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F78E1" w14:textId="77777777" w:rsidR="007435DD" w:rsidRDefault="007435DD" w:rsidP="00B476ED">
      <w:pPr>
        <w:spacing w:line="240" w:lineRule="auto"/>
        <w:ind w:right="-801"/>
        <w:jc w:val="center"/>
        <w:rPr>
          <w:rFonts w:eastAsia="Calibri" w:cs="Calibri"/>
          <w:b/>
          <w:sz w:val="20"/>
          <w:szCs w:val="20"/>
        </w:rPr>
      </w:pPr>
    </w:p>
    <w:p w14:paraId="283C3B6F" w14:textId="77777777" w:rsidR="007435DD" w:rsidRDefault="007435DD" w:rsidP="00B476ED">
      <w:pPr>
        <w:spacing w:line="240" w:lineRule="auto"/>
        <w:ind w:right="-801"/>
        <w:jc w:val="center"/>
        <w:rPr>
          <w:rFonts w:eastAsia="Calibri" w:cs="Calibri"/>
          <w:b/>
          <w:sz w:val="20"/>
          <w:szCs w:val="20"/>
        </w:rPr>
      </w:pPr>
    </w:p>
    <w:p w14:paraId="2493ABCF" w14:textId="77777777" w:rsidR="007435DD" w:rsidRDefault="007435DD" w:rsidP="00B476ED">
      <w:pPr>
        <w:spacing w:line="240" w:lineRule="auto"/>
        <w:ind w:right="-801"/>
        <w:jc w:val="center"/>
        <w:rPr>
          <w:rFonts w:eastAsia="Calibri" w:cs="Calibri"/>
          <w:b/>
          <w:sz w:val="20"/>
          <w:szCs w:val="20"/>
        </w:rPr>
      </w:pPr>
    </w:p>
    <w:p w14:paraId="0264DDE3" w14:textId="34FB37AD" w:rsidR="00DC13A7" w:rsidRPr="004754B0" w:rsidRDefault="00DC13A7" w:rsidP="00B476ED">
      <w:pPr>
        <w:spacing w:line="240" w:lineRule="auto"/>
        <w:ind w:right="-801"/>
        <w:jc w:val="center"/>
        <w:rPr>
          <w:rFonts w:eastAsia="Calibri" w:cs="Calibri"/>
          <w:b/>
          <w:sz w:val="20"/>
          <w:szCs w:val="20"/>
        </w:rPr>
      </w:pPr>
      <w:r w:rsidRPr="004754B0">
        <w:rPr>
          <w:rFonts w:eastAsia="Calibri" w:cs="Calibri"/>
          <w:b/>
          <w:sz w:val="20"/>
          <w:szCs w:val="20"/>
        </w:rPr>
        <w:t>CORTE INTERAMERICANA DE DERECHOS HUMANOS</w:t>
      </w:r>
    </w:p>
    <w:p w14:paraId="72A0EC8F" w14:textId="77777777" w:rsidR="00DC13A7" w:rsidRPr="004754B0" w:rsidRDefault="00DC13A7" w:rsidP="00B476ED">
      <w:pPr>
        <w:tabs>
          <w:tab w:val="left" w:pos="720"/>
        </w:tabs>
        <w:spacing w:line="240" w:lineRule="auto"/>
        <w:ind w:right="-801"/>
        <w:jc w:val="center"/>
        <w:rPr>
          <w:rFonts w:eastAsia="Calibri" w:cs="Verdana"/>
          <w:b/>
          <w:bCs/>
          <w:caps/>
          <w:snapToGrid w:val="0"/>
          <w:sz w:val="20"/>
          <w:szCs w:val="20"/>
          <w:lang w:eastAsia="es-ES"/>
        </w:rPr>
      </w:pPr>
    </w:p>
    <w:p w14:paraId="22A01267" w14:textId="77777777" w:rsidR="00DC13A7" w:rsidRPr="004754B0" w:rsidRDefault="00DC13A7" w:rsidP="00B476ED">
      <w:pPr>
        <w:spacing w:line="240" w:lineRule="auto"/>
        <w:ind w:right="-801"/>
        <w:jc w:val="center"/>
        <w:rPr>
          <w:rFonts w:eastAsia="Calibri" w:cs="Calibri"/>
          <w:b/>
          <w:sz w:val="20"/>
          <w:szCs w:val="20"/>
        </w:rPr>
      </w:pPr>
      <w:r w:rsidRPr="004754B0">
        <w:rPr>
          <w:rFonts w:eastAsia="Calibri" w:cs="Calibri"/>
          <w:b/>
          <w:sz w:val="20"/>
          <w:szCs w:val="20"/>
        </w:rPr>
        <w:t>CASO MOTA ABARULLO Y OTROS</w:t>
      </w:r>
      <w:r w:rsidRPr="004754B0">
        <w:rPr>
          <w:rFonts w:eastAsia="Calibri" w:cs="Calibri"/>
          <w:b/>
          <w:i/>
          <w:sz w:val="20"/>
          <w:szCs w:val="20"/>
        </w:rPr>
        <w:t xml:space="preserve"> </w:t>
      </w:r>
      <w:r w:rsidRPr="003C748A">
        <w:rPr>
          <w:rFonts w:eastAsia="Calibri" w:cs="Calibri"/>
          <w:b/>
          <w:sz w:val="20"/>
          <w:szCs w:val="20"/>
        </w:rPr>
        <w:t xml:space="preserve">VS. </w:t>
      </w:r>
      <w:r w:rsidRPr="004754B0">
        <w:rPr>
          <w:rFonts w:eastAsia="Calibri" w:cs="Calibri"/>
          <w:b/>
          <w:sz w:val="20"/>
          <w:szCs w:val="20"/>
        </w:rPr>
        <w:t>VENEZUELA</w:t>
      </w:r>
    </w:p>
    <w:p w14:paraId="71EECBE9" w14:textId="77777777" w:rsidR="00DC13A7" w:rsidRPr="004754B0" w:rsidRDefault="00DC13A7" w:rsidP="00B476ED">
      <w:pPr>
        <w:tabs>
          <w:tab w:val="left" w:pos="720"/>
        </w:tabs>
        <w:spacing w:line="240" w:lineRule="auto"/>
        <w:ind w:right="-801"/>
        <w:jc w:val="center"/>
        <w:rPr>
          <w:rFonts w:eastAsia="Calibri" w:cs="Verdana"/>
          <w:b/>
          <w:bCs/>
          <w:caps/>
          <w:snapToGrid w:val="0"/>
          <w:sz w:val="20"/>
          <w:szCs w:val="20"/>
          <w:lang w:eastAsia="es-ES"/>
        </w:rPr>
      </w:pPr>
    </w:p>
    <w:p w14:paraId="7111A952" w14:textId="77777777" w:rsidR="00DC13A7" w:rsidRPr="004754B0" w:rsidRDefault="00DC13A7" w:rsidP="00B476ED">
      <w:pPr>
        <w:tabs>
          <w:tab w:val="left" w:pos="720"/>
        </w:tabs>
        <w:spacing w:line="240" w:lineRule="auto"/>
        <w:ind w:right="-801"/>
        <w:jc w:val="center"/>
        <w:rPr>
          <w:rFonts w:eastAsia="Calibri" w:cs="Verdana"/>
          <w:b/>
          <w:bCs/>
          <w:snapToGrid w:val="0"/>
          <w:sz w:val="20"/>
          <w:szCs w:val="20"/>
          <w:lang w:eastAsia="es-ES"/>
        </w:rPr>
      </w:pPr>
      <w:r w:rsidRPr="004754B0">
        <w:rPr>
          <w:rFonts w:eastAsia="Calibri" w:cs="Verdana"/>
          <w:b/>
          <w:bCs/>
          <w:snapToGrid w:val="0"/>
          <w:sz w:val="20"/>
          <w:szCs w:val="20"/>
          <w:lang w:eastAsia="es-ES"/>
        </w:rPr>
        <w:t xml:space="preserve">SENTENCIA DE </w:t>
      </w:r>
      <w:r>
        <w:rPr>
          <w:rFonts w:eastAsia="Calibri" w:cs="Verdana"/>
          <w:b/>
          <w:bCs/>
          <w:snapToGrid w:val="0"/>
          <w:sz w:val="20"/>
          <w:szCs w:val="20"/>
          <w:lang w:eastAsia="es-ES"/>
        </w:rPr>
        <w:t>18</w:t>
      </w:r>
      <w:r w:rsidRPr="004754B0">
        <w:rPr>
          <w:rFonts w:eastAsia="Calibri" w:cs="Verdana"/>
          <w:b/>
          <w:bCs/>
          <w:snapToGrid w:val="0"/>
          <w:sz w:val="20"/>
          <w:szCs w:val="20"/>
          <w:lang w:eastAsia="es-ES"/>
        </w:rPr>
        <w:t xml:space="preserve"> DE NOVIEMBRE DE 2020</w:t>
      </w:r>
    </w:p>
    <w:p w14:paraId="4D999C69" w14:textId="77777777" w:rsidR="00DC13A7" w:rsidRPr="004754B0" w:rsidRDefault="00DC13A7" w:rsidP="00B476ED">
      <w:pPr>
        <w:tabs>
          <w:tab w:val="left" w:pos="720"/>
        </w:tabs>
        <w:spacing w:line="240" w:lineRule="auto"/>
        <w:ind w:right="-801"/>
        <w:jc w:val="center"/>
        <w:rPr>
          <w:rFonts w:eastAsia="Calibri" w:cs="Verdana"/>
          <w:b/>
          <w:bCs/>
          <w:caps/>
          <w:snapToGrid w:val="0"/>
          <w:sz w:val="20"/>
          <w:szCs w:val="20"/>
          <w:lang w:eastAsia="es-ES"/>
        </w:rPr>
      </w:pPr>
    </w:p>
    <w:p w14:paraId="19123819" w14:textId="77777777" w:rsidR="00DC13A7" w:rsidRPr="004754B0" w:rsidRDefault="00DC13A7" w:rsidP="00B476ED">
      <w:pPr>
        <w:tabs>
          <w:tab w:val="left" w:pos="720"/>
        </w:tabs>
        <w:spacing w:line="240" w:lineRule="auto"/>
        <w:ind w:right="-801"/>
        <w:jc w:val="center"/>
        <w:rPr>
          <w:rFonts w:eastAsia="Calibri" w:cs="Verdana"/>
          <w:b/>
          <w:bCs/>
          <w:caps/>
          <w:snapToGrid w:val="0"/>
          <w:sz w:val="20"/>
          <w:szCs w:val="20"/>
          <w:lang w:eastAsia="es-ES"/>
        </w:rPr>
      </w:pPr>
      <w:r w:rsidRPr="004754B0">
        <w:rPr>
          <w:rFonts w:eastAsia="Calibri" w:cs="Verdana"/>
          <w:b/>
          <w:bCs/>
          <w:i/>
          <w:iCs/>
          <w:snapToGrid w:val="0"/>
          <w:sz w:val="20"/>
          <w:szCs w:val="20"/>
          <w:lang w:eastAsia="es-ES"/>
        </w:rPr>
        <w:t>(</w:t>
      </w:r>
      <w:r>
        <w:rPr>
          <w:rFonts w:eastAsia="Calibri" w:cs="Verdana"/>
          <w:b/>
          <w:bCs/>
          <w:i/>
          <w:iCs/>
          <w:snapToGrid w:val="0"/>
          <w:sz w:val="20"/>
          <w:szCs w:val="20"/>
          <w:lang w:eastAsia="es-ES"/>
        </w:rPr>
        <w:t>Fondo,</w:t>
      </w:r>
      <w:r w:rsidRPr="004754B0">
        <w:rPr>
          <w:rFonts w:eastAsia="Calibri" w:cs="Verdana"/>
          <w:b/>
          <w:bCs/>
          <w:i/>
          <w:iCs/>
          <w:snapToGrid w:val="0"/>
          <w:sz w:val="20"/>
          <w:szCs w:val="20"/>
          <w:lang w:eastAsia="es-ES"/>
        </w:rPr>
        <w:t xml:space="preserve"> Reparaciones</w:t>
      </w:r>
      <w:r>
        <w:rPr>
          <w:rFonts w:eastAsia="Calibri" w:cs="Verdana"/>
          <w:b/>
          <w:bCs/>
          <w:i/>
          <w:iCs/>
          <w:snapToGrid w:val="0"/>
          <w:sz w:val="20"/>
          <w:szCs w:val="20"/>
          <w:lang w:eastAsia="es-ES"/>
        </w:rPr>
        <w:t xml:space="preserve"> y Costas</w:t>
      </w:r>
      <w:r w:rsidRPr="004754B0">
        <w:rPr>
          <w:rFonts w:eastAsia="Calibri" w:cs="Verdana"/>
          <w:b/>
          <w:bCs/>
          <w:i/>
          <w:iCs/>
          <w:snapToGrid w:val="0"/>
          <w:sz w:val="20"/>
          <w:szCs w:val="20"/>
          <w:lang w:eastAsia="es-ES"/>
        </w:rPr>
        <w:t>)</w:t>
      </w:r>
    </w:p>
    <w:p w14:paraId="6AFEC34A" w14:textId="77777777" w:rsidR="00DC13A7" w:rsidRPr="004754B0" w:rsidRDefault="00DC13A7" w:rsidP="00B476ED">
      <w:pPr>
        <w:tabs>
          <w:tab w:val="left" w:pos="3819"/>
        </w:tabs>
        <w:spacing w:before="4" w:line="240" w:lineRule="auto"/>
        <w:ind w:right="-801"/>
        <w:rPr>
          <w:rFonts w:eastAsia="Calibri"/>
          <w:sz w:val="20"/>
          <w:szCs w:val="20"/>
        </w:rPr>
      </w:pPr>
      <w:r w:rsidRPr="004754B0">
        <w:rPr>
          <w:rFonts w:eastAsia="Calibri"/>
          <w:sz w:val="20"/>
          <w:szCs w:val="20"/>
        </w:rPr>
        <w:tab/>
      </w:r>
    </w:p>
    <w:p w14:paraId="4A96CE2A" w14:textId="77777777" w:rsidR="00DC13A7" w:rsidRPr="004754B0" w:rsidRDefault="00DC13A7" w:rsidP="00B476ED">
      <w:pPr>
        <w:tabs>
          <w:tab w:val="left" w:pos="720"/>
        </w:tabs>
        <w:spacing w:line="240" w:lineRule="auto"/>
        <w:ind w:right="-801"/>
        <w:rPr>
          <w:rFonts w:eastAsia="Verdana" w:cs="Verdana"/>
          <w:sz w:val="20"/>
          <w:szCs w:val="20"/>
        </w:rPr>
      </w:pPr>
      <w:r w:rsidRPr="004754B0">
        <w:rPr>
          <w:rFonts w:eastAsia="Verdana" w:cs="Verdana"/>
          <w:sz w:val="20"/>
          <w:szCs w:val="20"/>
        </w:rPr>
        <w:t xml:space="preserve">En el caso </w:t>
      </w:r>
      <w:r w:rsidRPr="004754B0">
        <w:rPr>
          <w:rFonts w:eastAsia="Verdana" w:cs="Verdana"/>
          <w:i/>
          <w:sz w:val="20"/>
          <w:szCs w:val="20"/>
        </w:rPr>
        <w:t xml:space="preserve">Mota </w:t>
      </w:r>
      <w:proofErr w:type="spellStart"/>
      <w:r w:rsidRPr="004754B0">
        <w:rPr>
          <w:rFonts w:eastAsia="Verdana" w:cs="Verdana"/>
          <w:i/>
          <w:sz w:val="20"/>
          <w:szCs w:val="20"/>
        </w:rPr>
        <w:t>Abarullo</w:t>
      </w:r>
      <w:proofErr w:type="spellEnd"/>
      <w:r w:rsidRPr="004754B0">
        <w:rPr>
          <w:rFonts w:eastAsia="Verdana" w:cs="Verdana"/>
          <w:i/>
          <w:sz w:val="20"/>
          <w:szCs w:val="20"/>
        </w:rPr>
        <w:t xml:space="preserve"> y otros Vs. Venezuela</w:t>
      </w:r>
      <w:r w:rsidRPr="004754B0">
        <w:rPr>
          <w:rFonts w:eastAsia="Verdana" w:cs="Verdana"/>
          <w:sz w:val="20"/>
          <w:szCs w:val="20"/>
        </w:rPr>
        <w:t>,</w:t>
      </w:r>
    </w:p>
    <w:p w14:paraId="16700AD6" w14:textId="77777777" w:rsidR="00DC13A7" w:rsidRPr="004754B0" w:rsidRDefault="00DC13A7" w:rsidP="00B476ED">
      <w:pPr>
        <w:spacing w:before="4" w:line="240" w:lineRule="auto"/>
        <w:ind w:right="-801"/>
        <w:rPr>
          <w:rFonts w:eastAsia="Calibri"/>
          <w:sz w:val="20"/>
          <w:szCs w:val="20"/>
        </w:rPr>
      </w:pPr>
    </w:p>
    <w:p w14:paraId="635C6498" w14:textId="77777777" w:rsidR="00DC13A7" w:rsidRPr="004754B0" w:rsidRDefault="00DC13A7" w:rsidP="00B476ED">
      <w:pPr>
        <w:tabs>
          <w:tab w:val="left" w:pos="720"/>
        </w:tabs>
        <w:spacing w:line="240" w:lineRule="auto"/>
        <w:ind w:right="-801"/>
        <w:rPr>
          <w:rFonts w:eastAsia="Calibri" w:cs="Verdana"/>
          <w:sz w:val="20"/>
          <w:szCs w:val="20"/>
        </w:rPr>
      </w:pPr>
      <w:r w:rsidRPr="004754B0">
        <w:rPr>
          <w:rFonts w:eastAsia="Calibri" w:cs="Verdana"/>
          <w:sz w:val="20"/>
          <w:szCs w:val="20"/>
        </w:rPr>
        <w:t>la Corte Interamericana de Derechos Humanos (en adelante también “Corte Interamericana”, “Corte” o “Tribunal”), integrada por los siguientes jueces:</w:t>
      </w:r>
      <w:r w:rsidRPr="004754B0">
        <w:rPr>
          <w:rFonts w:eastAsia="Calibri" w:cs="Verdana"/>
          <w:sz w:val="20"/>
          <w:szCs w:val="20"/>
        </w:rPr>
        <w:tab/>
      </w:r>
    </w:p>
    <w:p w14:paraId="6A8C058A" w14:textId="77777777" w:rsidR="00DC13A7" w:rsidRDefault="00DC13A7" w:rsidP="00B476ED">
      <w:pPr>
        <w:tabs>
          <w:tab w:val="left" w:pos="720"/>
        </w:tabs>
        <w:spacing w:line="240" w:lineRule="auto"/>
        <w:ind w:right="-801"/>
        <w:rPr>
          <w:rFonts w:eastAsia="Calibri" w:cs="Verdana"/>
          <w:sz w:val="20"/>
          <w:szCs w:val="20"/>
        </w:rPr>
      </w:pPr>
    </w:p>
    <w:p w14:paraId="18BD75AC" w14:textId="77777777" w:rsidR="00DC13A7" w:rsidRDefault="00DC13A7" w:rsidP="00B476ED">
      <w:pPr>
        <w:spacing w:line="240" w:lineRule="auto"/>
        <w:ind w:right="-801"/>
        <w:rPr>
          <w:sz w:val="20"/>
          <w:szCs w:val="20"/>
        </w:rPr>
      </w:pPr>
      <w:r>
        <w:rPr>
          <w:sz w:val="20"/>
          <w:szCs w:val="20"/>
        </w:rPr>
        <w:t xml:space="preserve">Elizabeth Odio Benito, </w:t>
      </w:r>
      <w:proofErr w:type="gramStart"/>
      <w:r>
        <w:rPr>
          <w:sz w:val="20"/>
          <w:szCs w:val="20"/>
        </w:rPr>
        <w:t>Presidenta</w:t>
      </w:r>
      <w:proofErr w:type="gramEnd"/>
      <w:r>
        <w:rPr>
          <w:sz w:val="20"/>
          <w:szCs w:val="20"/>
        </w:rPr>
        <w:t xml:space="preserve">; </w:t>
      </w:r>
    </w:p>
    <w:p w14:paraId="37580899" w14:textId="77777777" w:rsidR="00DC13A7" w:rsidRDefault="00DC13A7" w:rsidP="00B476ED">
      <w:pPr>
        <w:spacing w:line="240" w:lineRule="auto"/>
        <w:ind w:right="-801"/>
        <w:rPr>
          <w:sz w:val="20"/>
          <w:szCs w:val="20"/>
        </w:rPr>
      </w:pPr>
      <w:r>
        <w:rPr>
          <w:sz w:val="20"/>
          <w:szCs w:val="20"/>
        </w:rPr>
        <w:t xml:space="preserve">L. Patricio Pazmiño Freire, </w:t>
      </w:r>
      <w:proofErr w:type="gramStart"/>
      <w:r>
        <w:rPr>
          <w:sz w:val="20"/>
          <w:szCs w:val="20"/>
        </w:rPr>
        <w:t>Vicepresidente</w:t>
      </w:r>
      <w:proofErr w:type="gramEnd"/>
      <w:r>
        <w:rPr>
          <w:sz w:val="20"/>
          <w:szCs w:val="20"/>
        </w:rPr>
        <w:t xml:space="preserve">; </w:t>
      </w:r>
    </w:p>
    <w:p w14:paraId="474EA980" w14:textId="77777777" w:rsidR="00DC13A7" w:rsidRDefault="00DC13A7" w:rsidP="00B476ED">
      <w:pPr>
        <w:spacing w:line="240" w:lineRule="auto"/>
        <w:ind w:right="-801"/>
        <w:rPr>
          <w:sz w:val="20"/>
          <w:szCs w:val="20"/>
        </w:rPr>
      </w:pPr>
      <w:r>
        <w:rPr>
          <w:sz w:val="20"/>
          <w:szCs w:val="20"/>
        </w:rPr>
        <w:t xml:space="preserve">Eduardo Vio Grossi, Juez; </w:t>
      </w:r>
    </w:p>
    <w:p w14:paraId="2FC97E20" w14:textId="77777777" w:rsidR="00DC13A7" w:rsidRDefault="00DC13A7" w:rsidP="00B476ED">
      <w:pPr>
        <w:spacing w:line="240" w:lineRule="auto"/>
        <w:ind w:right="-801"/>
        <w:rPr>
          <w:sz w:val="20"/>
          <w:szCs w:val="20"/>
        </w:rPr>
      </w:pPr>
      <w:r>
        <w:rPr>
          <w:sz w:val="20"/>
          <w:szCs w:val="20"/>
        </w:rPr>
        <w:t xml:space="preserve">Humberto Antonio Sierra Porto, Juez; </w:t>
      </w:r>
    </w:p>
    <w:p w14:paraId="5FF8574F" w14:textId="77777777" w:rsidR="00DC13A7" w:rsidRDefault="00DC13A7" w:rsidP="00B476ED">
      <w:pPr>
        <w:spacing w:line="240" w:lineRule="auto"/>
        <w:ind w:right="-801"/>
        <w:rPr>
          <w:sz w:val="20"/>
          <w:szCs w:val="20"/>
        </w:rPr>
      </w:pPr>
      <w:r>
        <w:rPr>
          <w:sz w:val="20"/>
          <w:szCs w:val="20"/>
        </w:rPr>
        <w:t>Eduardo Ferrer Mac-</w:t>
      </w:r>
      <w:proofErr w:type="spellStart"/>
      <w:r>
        <w:rPr>
          <w:sz w:val="20"/>
          <w:szCs w:val="20"/>
        </w:rPr>
        <w:t>Gregor</w:t>
      </w:r>
      <w:proofErr w:type="spellEnd"/>
      <w:r>
        <w:rPr>
          <w:sz w:val="20"/>
          <w:szCs w:val="20"/>
        </w:rPr>
        <w:t xml:space="preserve"> </w:t>
      </w:r>
      <w:proofErr w:type="spellStart"/>
      <w:r>
        <w:rPr>
          <w:sz w:val="20"/>
          <w:szCs w:val="20"/>
        </w:rPr>
        <w:t>Poisot</w:t>
      </w:r>
      <w:proofErr w:type="spellEnd"/>
      <w:r>
        <w:rPr>
          <w:sz w:val="20"/>
          <w:szCs w:val="20"/>
        </w:rPr>
        <w:t xml:space="preserve">, Juez; </w:t>
      </w:r>
    </w:p>
    <w:p w14:paraId="553A48B1" w14:textId="77777777" w:rsidR="00DC13A7" w:rsidRDefault="00DC13A7" w:rsidP="00B476ED">
      <w:pPr>
        <w:spacing w:line="240" w:lineRule="auto"/>
        <w:ind w:right="-801"/>
        <w:rPr>
          <w:sz w:val="20"/>
          <w:szCs w:val="20"/>
        </w:rPr>
      </w:pPr>
      <w:r>
        <w:rPr>
          <w:sz w:val="20"/>
          <w:szCs w:val="20"/>
        </w:rPr>
        <w:t xml:space="preserve">Eugenio Raúl Zaffaroni, Juez, y </w:t>
      </w:r>
    </w:p>
    <w:p w14:paraId="380383B8" w14:textId="77777777" w:rsidR="00DC13A7" w:rsidRDefault="00DC13A7" w:rsidP="00B476ED">
      <w:pPr>
        <w:spacing w:line="240" w:lineRule="auto"/>
        <w:ind w:right="-801"/>
        <w:rPr>
          <w:sz w:val="20"/>
          <w:szCs w:val="20"/>
        </w:rPr>
      </w:pPr>
      <w:r>
        <w:rPr>
          <w:sz w:val="20"/>
          <w:szCs w:val="20"/>
        </w:rPr>
        <w:t>Ricardo Pérez Manrique, Juez;</w:t>
      </w:r>
    </w:p>
    <w:p w14:paraId="79E10661" w14:textId="77777777" w:rsidR="00DC13A7" w:rsidRDefault="00DC13A7" w:rsidP="00B476ED">
      <w:pPr>
        <w:spacing w:line="240" w:lineRule="auto"/>
        <w:ind w:right="-801"/>
        <w:rPr>
          <w:sz w:val="20"/>
          <w:szCs w:val="20"/>
        </w:rPr>
      </w:pPr>
    </w:p>
    <w:p w14:paraId="48BE9D97" w14:textId="77777777" w:rsidR="00DC13A7" w:rsidRDefault="00DC13A7" w:rsidP="00B476ED">
      <w:pPr>
        <w:spacing w:line="240" w:lineRule="auto"/>
        <w:ind w:right="-801"/>
        <w:rPr>
          <w:sz w:val="20"/>
          <w:szCs w:val="20"/>
        </w:rPr>
      </w:pPr>
      <w:r>
        <w:rPr>
          <w:sz w:val="20"/>
          <w:szCs w:val="20"/>
        </w:rPr>
        <w:t xml:space="preserve">presentes, además, </w:t>
      </w:r>
    </w:p>
    <w:p w14:paraId="53B0887D" w14:textId="77777777" w:rsidR="00DC13A7" w:rsidRDefault="00DC13A7" w:rsidP="00B476ED">
      <w:pPr>
        <w:spacing w:line="240" w:lineRule="auto"/>
        <w:ind w:right="-801"/>
        <w:rPr>
          <w:sz w:val="20"/>
          <w:szCs w:val="20"/>
        </w:rPr>
      </w:pPr>
    </w:p>
    <w:p w14:paraId="36710D0F" w14:textId="77777777" w:rsidR="00DC13A7" w:rsidRDefault="00DC13A7" w:rsidP="00B476ED">
      <w:pPr>
        <w:spacing w:line="240" w:lineRule="auto"/>
        <w:ind w:right="-801"/>
        <w:rPr>
          <w:sz w:val="20"/>
          <w:szCs w:val="20"/>
        </w:rPr>
      </w:pPr>
      <w:r>
        <w:rPr>
          <w:sz w:val="20"/>
          <w:szCs w:val="20"/>
        </w:rPr>
        <w:t xml:space="preserve">Pablo Saavedra Alessandri, </w:t>
      </w:r>
      <w:proofErr w:type="gramStart"/>
      <w:r>
        <w:rPr>
          <w:sz w:val="20"/>
          <w:szCs w:val="20"/>
        </w:rPr>
        <w:t>Secretario</w:t>
      </w:r>
      <w:proofErr w:type="gramEnd"/>
      <w:r>
        <w:rPr>
          <w:sz w:val="20"/>
          <w:szCs w:val="20"/>
        </w:rPr>
        <w:t>, y</w:t>
      </w:r>
    </w:p>
    <w:p w14:paraId="2A0ED6A3" w14:textId="77777777" w:rsidR="00DC13A7" w:rsidRDefault="00DC13A7" w:rsidP="00B476ED">
      <w:pPr>
        <w:spacing w:line="240" w:lineRule="auto"/>
        <w:ind w:right="-801"/>
        <w:rPr>
          <w:sz w:val="20"/>
          <w:szCs w:val="20"/>
        </w:rPr>
      </w:pPr>
      <w:r>
        <w:rPr>
          <w:sz w:val="20"/>
          <w:szCs w:val="20"/>
        </w:rPr>
        <w:t xml:space="preserve">Romina I. </w:t>
      </w:r>
      <w:proofErr w:type="spellStart"/>
      <w:r>
        <w:rPr>
          <w:sz w:val="20"/>
          <w:szCs w:val="20"/>
        </w:rPr>
        <w:t>Sijniensky</w:t>
      </w:r>
      <w:proofErr w:type="spellEnd"/>
      <w:r>
        <w:rPr>
          <w:sz w:val="20"/>
          <w:szCs w:val="20"/>
        </w:rPr>
        <w:t>, Secretaria Adjunta,</w:t>
      </w:r>
    </w:p>
    <w:p w14:paraId="164CEB0E" w14:textId="77777777" w:rsidR="00DC13A7" w:rsidRPr="004754B0" w:rsidRDefault="00DC13A7" w:rsidP="00B476ED">
      <w:pPr>
        <w:tabs>
          <w:tab w:val="left" w:pos="720"/>
        </w:tabs>
        <w:spacing w:line="240" w:lineRule="auto"/>
        <w:ind w:right="-801"/>
        <w:rPr>
          <w:rFonts w:eastAsia="Calibri" w:cs="Verdana"/>
          <w:sz w:val="20"/>
          <w:szCs w:val="20"/>
        </w:rPr>
      </w:pPr>
    </w:p>
    <w:p w14:paraId="1FE248A3" w14:textId="77777777" w:rsidR="00DC13A7" w:rsidRPr="004754B0" w:rsidRDefault="00DC13A7" w:rsidP="00B476ED">
      <w:pPr>
        <w:tabs>
          <w:tab w:val="left" w:pos="720"/>
        </w:tabs>
        <w:spacing w:line="240" w:lineRule="auto"/>
        <w:ind w:right="-801"/>
        <w:rPr>
          <w:rFonts w:eastAsia="Calibri" w:cs="Verdana"/>
          <w:sz w:val="20"/>
          <w:szCs w:val="20"/>
        </w:rPr>
      </w:pPr>
      <w:r w:rsidRPr="004754B0">
        <w:rPr>
          <w:rFonts w:eastAsia="Calibri" w:cs="Verdana"/>
          <w:sz w:val="20"/>
          <w:szCs w:val="20"/>
        </w:rPr>
        <w:t>de conformidad con los artículos 62.3 y 63.1 de la Convención Americana sobre Derechos Humanos (en adelante también “Convención Americana” o “Convención”) y con los artículos 31, 32, 62, 65 y 67 del Reglamento de la Corte (en adelante también “Reglamento”), dicta la presente Sentencia, que se estructura en el siguiente orden:</w:t>
      </w:r>
    </w:p>
    <w:p w14:paraId="470952CE" w14:textId="77777777" w:rsidR="00DC13A7" w:rsidRPr="004754B0" w:rsidRDefault="00DC13A7" w:rsidP="00B476ED">
      <w:pPr>
        <w:spacing w:before="4" w:line="240" w:lineRule="auto"/>
        <w:ind w:right="-801"/>
        <w:rPr>
          <w:rFonts w:eastAsia="Calibri"/>
          <w:sz w:val="20"/>
          <w:szCs w:val="20"/>
        </w:rPr>
      </w:pPr>
    </w:p>
    <w:p w14:paraId="4BBA8E83" w14:textId="77777777" w:rsidR="00DC13A7" w:rsidRPr="004754B0" w:rsidRDefault="00DC13A7" w:rsidP="00B476ED">
      <w:pPr>
        <w:spacing w:line="240" w:lineRule="auto"/>
        <w:ind w:right="-801"/>
        <w:rPr>
          <w:rFonts w:eastAsia="Verdana" w:cs="Verdana"/>
          <w:position w:val="-1"/>
          <w:sz w:val="20"/>
          <w:szCs w:val="20"/>
        </w:rPr>
      </w:pPr>
      <w:r w:rsidRPr="004754B0">
        <w:rPr>
          <w:rFonts w:eastAsia="Verdana" w:cs="Verdana"/>
          <w:position w:val="-1"/>
          <w:sz w:val="20"/>
          <w:szCs w:val="20"/>
        </w:rPr>
        <w:br w:type="page"/>
      </w:r>
    </w:p>
    <w:sdt>
      <w:sdtPr>
        <w:rPr>
          <w:rFonts w:ascii="Verdana" w:hAnsi="Verdana" w:cs="Times New Roman"/>
          <w:b w:val="0"/>
          <w:bCs w:val="0"/>
          <w:caps w:val="0"/>
          <w:sz w:val="22"/>
          <w:szCs w:val="22"/>
        </w:rPr>
        <w:id w:val="1909802414"/>
        <w:docPartObj>
          <w:docPartGallery w:val="Table of Contents"/>
          <w:docPartUnique/>
        </w:docPartObj>
      </w:sdtPr>
      <w:sdtEndPr/>
      <w:sdtContent>
        <w:p w14:paraId="4EFA2416" w14:textId="77777777" w:rsidR="00DC13A7" w:rsidRPr="002A479E" w:rsidRDefault="00DC13A7" w:rsidP="009F505D">
          <w:pPr>
            <w:pStyle w:val="TDC1"/>
            <w:spacing w:before="0" w:after="0" w:line="360" w:lineRule="auto"/>
            <w:ind w:right="-799"/>
            <w:jc w:val="center"/>
            <w:rPr>
              <w:rFonts w:ascii="Verdana" w:hAnsi="Verdana"/>
              <w:u w:val="single"/>
            </w:rPr>
          </w:pPr>
          <w:r w:rsidRPr="002A479E">
            <w:rPr>
              <w:rFonts w:ascii="Verdana" w:hAnsi="Verdana"/>
              <w:u w:val="single"/>
            </w:rPr>
            <w:t>TABLA DE CONTENIDO</w:t>
          </w:r>
        </w:p>
        <w:p w14:paraId="43868E3C" w14:textId="30B15070" w:rsidR="004224C0" w:rsidRPr="009F505D" w:rsidRDefault="004224C0"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r w:rsidRPr="009F505D">
            <w:rPr>
              <w:rFonts w:ascii="Verdana" w:hAnsi="Verdana"/>
            </w:rPr>
            <w:fldChar w:fldCharType="begin"/>
          </w:r>
          <w:r w:rsidRPr="009F505D">
            <w:rPr>
              <w:rFonts w:ascii="Verdana" w:hAnsi="Verdana"/>
            </w:rPr>
            <w:instrText xml:space="preserve"> TOC \o \h \z \u </w:instrText>
          </w:r>
          <w:r w:rsidRPr="009F505D">
            <w:rPr>
              <w:rFonts w:ascii="Verdana" w:hAnsi="Verdana"/>
            </w:rPr>
            <w:fldChar w:fldCharType="separate"/>
          </w:r>
          <w:hyperlink w:anchor="_Toc58330199" w:history="1">
            <w:r w:rsidRPr="009F505D">
              <w:rPr>
                <w:rStyle w:val="Hipervnculo"/>
                <w:rFonts w:ascii="Verdana" w:hAnsi="Verdana"/>
                <w:noProof/>
              </w:rPr>
              <w:t>I INTRODUCCIÓN DE LA CAUSA Y OBJETO DE LA CONTROVERSIA</w:t>
            </w:r>
            <w:r w:rsidRPr="009F505D">
              <w:rPr>
                <w:rFonts w:ascii="Verdana" w:hAnsi="Verdana"/>
                <w:noProof/>
                <w:webHidden/>
              </w:rPr>
              <w:tab/>
            </w:r>
            <w:r w:rsidRPr="009F505D">
              <w:rPr>
                <w:rFonts w:ascii="Verdana" w:hAnsi="Verdana"/>
                <w:noProof/>
                <w:webHidden/>
              </w:rPr>
              <w:fldChar w:fldCharType="begin"/>
            </w:r>
            <w:r w:rsidRPr="009F505D">
              <w:rPr>
                <w:rFonts w:ascii="Verdana" w:hAnsi="Verdana"/>
                <w:noProof/>
                <w:webHidden/>
              </w:rPr>
              <w:instrText xml:space="preserve"> PAGEREF _Toc58330199 \h </w:instrText>
            </w:r>
            <w:r w:rsidRPr="009F505D">
              <w:rPr>
                <w:rFonts w:ascii="Verdana" w:hAnsi="Verdana"/>
                <w:noProof/>
                <w:webHidden/>
              </w:rPr>
            </w:r>
            <w:r w:rsidRPr="009F505D">
              <w:rPr>
                <w:rFonts w:ascii="Verdana" w:hAnsi="Verdana"/>
                <w:noProof/>
                <w:webHidden/>
              </w:rPr>
              <w:fldChar w:fldCharType="separate"/>
            </w:r>
            <w:r w:rsidR="003667C0">
              <w:rPr>
                <w:rFonts w:ascii="Verdana" w:hAnsi="Verdana"/>
                <w:noProof/>
                <w:webHidden/>
              </w:rPr>
              <w:t>4</w:t>
            </w:r>
            <w:r w:rsidRPr="009F505D">
              <w:rPr>
                <w:rFonts w:ascii="Verdana" w:hAnsi="Verdana"/>
                <w:noProof/>
                <w:webHidden/>
              </w:rPr>
              <w:fldChar w:fldCharType="end"/>
            </w:r>
          </w:hyperlink>
        </w:p>
        <w:p w14:paraId="1C0B6FF6" w14:textId="7AB68353" w:rsidR="004224C0" w:rsidRPr="009F505D" w:rsidRDefault="00D42448"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hyperlink w:anchor="_Toc58330200" w:history="1">
            <w:r w:rsidR="004224C0" w:rsidRPr="009F505D">
              <w:rPr>
                <w:rStyle w:val="Hipervnculo"/>
                <w:rFonts w:ascii="Verdana" w:hAnsi="Verdana"/>
                <w:noProof/>
              </w:rPr>
              <w:t>II PROCEDIMIENTO ANTE LA CORTE</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_Toc58330200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5</w:t>
            </w:r>
            <w:r w:rsidR="004224C0" w:rsidRPr="009F505D">
              <w:rPr>
                <w:rFonts w:ascii="Verdana" w:hAnsi="Verdana"/>
                <w:noProof/>
                <w:webHidden/>
              </w:rPr>
              <w:fldChar w:fldCharType="end"/>
            </w:r>
          </w:hyperlink>
        </w:p>
        <w:p w14:paraId="7DD2F3E0" w14:textId="0FFEB42B" w:rsidR="004224C0" w:rsidRPr="009F505D" w:rsidRDefault="00D42448"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hyperlink w:anchor="_Toc58330201" w:history="1">
            <w:r w:rsidR="004224C0" w:rsidRPr="009F505D">
              <w:rPr>
                <w:rStyle w:val="Hipervnculo"/>
                <w:rFonts w:ascii="Verdana" w:hAnsi="Verdana"/>
                <w:noProof/>
              </w:rPr>
              <w:t>III COMPETENCIA</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_Toc58330201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6</w:t>
            </w:r>
            <w:r w:rsidR="004224C0" w:rsidRPr="009F505D">
              <w:rPr>
                <w:rFonts w:ascii="Verdana" w:hAnsi="Verdana"/>
                <w:noProof/>
                <w:webHidden/>
              </w:rPr>
              <w:fldChar w:fldCharType="end"/>
            </w:r>
          </w:hyperlink>
        </w:p>
        <w:p w14:paraId="37A46E12" w14:textId="31451485" w:rsidR="004224C0" w:rsidRPr="009F505D" w:rsidRDefault="00D42448"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hyperlink w:anchor="_Toc58330202" w:history="1">
            <w:r w:rsidR="004224C0" w:rsidRPr="009F505D">
              <w:rPr>
                <w:rStyle w:val="Hipervnculo"/>
                <w:rFonts w:ascii="Verdana" w:eastAsia="Batang" w:hAnsi="Verdana"/>
                <w:noProof/>
                <w:lang w:eastAsia="en-US"/>
              </w:rPr>
              <w:t>IV</w:t>
            </w:r>
          </w:hyperlink>
          <w:r w:rsidR="00636572" w:rsidRPr="009F505D">
            <w:rPr>
              <w:rStyle w:val="Hipervnculo"/>
              <w:rFonts w:ascii="Verdana" w:hAnsi="Verdana"/>
              <w:noProof/>
              <w:u w:val="none"/>
            </w:rPr>
            <w:t xml:space="preserve"> </w:t>
          </w:r>
          <w:hyperlink w:anchor="_Toc58330203" w:history="1">
            <w:r w:rsidR="004224C0" w:rsidRPr="009F505D">
              <w:rPr>
                <w:rStyle w:val="Hipervnculo"/>
                <w:rFonts w:ascii="Verdana" w:eastAsia="Batang" w:hAnsi="Verdana"/>
                <w:noProof/>
                <w:lang w:eastAsia="en-US"/>
              </w:rPr>
              <w:t>RECONOCIMIENTO DE RESPONSABILIDAD INTERNACIONAL</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_Toc58330203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7</w:t>
            </w:r>
            <w:r w:rsidR="004224C0" w:rsidRPr="009F505D">
              <w:rPr>
                <w:rFonts w:ascii="Verdana" w:hAnsi="Verdana"/>
                <w:noProof/>
                <w:webHidden/>
              </w:rPr>
              <w:fldChar w:fldCharType="end"/>
            </w:r>
          </w:hyperlink>
        </w:p>
        <w:p w14:paraId="3A1F7A36" w14:textId="6B1CF532"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04" w:history="1">
            <w:r w:rsidR="004224C0" w:rsidRPr="007E339B">
              <w:rPr>
                <w:rStyle w:val="Hipervnculo"/>
                <w:rFonts w:ascii="Verdana" w:eastAsia="Batang" w:hAnsi="Verdana"/>
                <w:b/>
                <w:i/>
                <w:noProof/>
                <w:lang w:eastAsia="en-US"/>
              </w:rPr>
              <w:t>A.</w:t>
            </w:r>
            <w:r w:rsidR="004224C0" w:rsidRPr="007E339B">
              <w:rPr>
                <w:rFonts w:ascii="Verdana" w:eastAsiaTheme="minorEastAsia" w:hAnsi="Verdana" w:cstheme="minorBidi"/>
                <w:b/>
                <w:i/>
                <w:smallCaps w:val="0"/>
                <w:noProof/>
              </w:rPr>
              <w:tab/>
            </w:r>
            <w:r w:rsidR="004224C0" w:rsidRPr="007E339B">
              <w:rPr>
                <w:rStyle w:val="Hipervnculo"/>
                <w:rFonts w:ascii="Verdana" w:eastAsia="Batang" w:hAnsi="Verdana"/>
                <w:b/>
                <w:i/>
                <w:noProof/>
                <w:lang w:eastAsia="en-US"/>
              </w:rPr>
              <w:t>Reconocimiento de responsabilidad del Estado y observaciones de la Comisión y de los representantes</w:t>
            </w:r>
            <w:r w:rsidR="00636572" w:rsidRPr="009F505D">
              <w:rPr>
                <w:rFonts w:ascii="Verdana" w:hAnsi="Verdana"/>
                <w:noProof/>
                <w:webHidden/>
              </w:rPr>
              <w:t xml:space="preserve">                                                                                                       </w:t>
            </w:r>
            <w:r w:rsidR="009F505D">
              <w:rPr>
                <w:rFonts w:ascii="Verdana" w:hAnsi="Verdana"/>
                <w:noProof/>
                <w:webHidden/>
              </w:rPr>
              <w:t xml:space="preserve">          </w:t>
            </w:r>
            <w:r w:rsidR="00636572" w:rsidRPr="009F505D">
              <w:rPr>
                <w:rFonts w:ascii="Verdana" w:hAnsi="Verdana"/>
                <w:noProof/>
                <w:webHidden/>
              </w:rPr>
              <w:t xml:space="preserve"> </w:t>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_Toc58330204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7</w:t>
            </w:r>
            <w:r w:rsidR="004224C0" w:rsidRPr="009F505D">
              <w:rPr>
                <w:rFonts w:ascii="Verdana" w:hAnsi="Verdana"/>
                <w:noProof/>
                <w:webHidden/>
              </w:rPr>
              <w:fldChar w:fldCharType="end"/>
            </w:r>
          </w:hyperlink>
        </w:p>
        <w:p w14:paraId="64A04301" w14:textId="421A681B"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05" w:history="1">
            <w:r w:rsidR="004224C0" w:rsidRPr="007E339B">
              <w:rPr>
                <w:rStyle w:val="Hipervnculo"/>
                <w:rFonts w:ascii="Verdana" w:hAnsi="Verdana"/>
                <w:b/>
                <w:i/>
                <w:noProof/>
                <w:lang w:eastAsia="en-US"/>
              </w:rPr>
              <w:t>B.</w:t>
            </w:r>
            <w:r w:rsidR="004224C0" w:rsidRPr="007E339B">
              <w:rPr>
                <w:rFonts w:ascii="Verdana" w:eastAsiaTheme="minorEastAsia" w:hAnsi="Verdana" w:cstheme="minorBidi"/>
                <w:b/>
                <w:i/>
                <w:smallCaps w:val="0"/>
                <w:noProof/>
              </w:rPr>
              <w:tab/>
            </w:r>
            <w:r w:rsidR="004224C0" w:rsidRPr="007E339B">
              <w:rPr>
                <w:rStyle w:val="Hipervnculo"/>
                <w:rFonts w:ascii="Verdana" w:hAnsi="Verdana"/>
                <w:b/>
                <w:i/>
                <w:noProof/>
                <w:lang w:eastAsia="en-US"/>
              </w:rPr>
              <w:t>Consideraciones de la Corte</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_Toc58330205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8</w:t>
            </w:r>
            <w:r w:rsidR="004224C0" w:rsidRPr="009F505D">
              <w:rPr>
                <w:rFonts w:ascii="Verdana" w:hAnsi="Verdana"/>
                <w:noProof/>
                <w:webHidden/>
              </w:rPr>
              <w:fldChar w:fldCharType="end"/>
            </w:r>
          </w:hyperlink>
        </w:p>
        <w:p w14:paraId="733771F3" w14:textId="6E40BCB1" w:rsidR="004224C0" w:rsidRPr="009F505D" w:rsidRDefault="00D42448" w:rsidP="009F505D">
          <w:pPr>
            <w:pStyle w:val="TDC3"/>
            <w:tabs>
              <w:tab w:val="right" w:leader="dot" w:pos="8828"/>
            </w:tabs>
            <w:spacing w:line="360" w:lineRule="auto"/>
            <w:ind w:right="-799"/>
            <w:jc w:val="both"/>
            <w:rPr>
              <w:rFonts w:ascii="Verdana" w:eastAsiaTheme="minorEastAsia" w:hAnsi="Verdana" w:cstheme="minorBidi"/>
              <w:i w:val="0"/>
              <w:iCs w:val="0"/>
              <w:noProof/>
            </w:rPr>
          </w:pPr>
          <w:hyperlink w:anchor="_Toc58330206" w:history="1">
            <w:r w:rsidR="004224C0" w:rsidRPr="009F505D">
              <w:rPr>
                <w:rStyle w:val="Hipervnculo"/>
                <w:rFonts w:ascii="Verdana" w:eastAsia="Batang" w:hAnsi="Verdana"/>
                <w:noProof/>
                <w:lang w:eastAsia="en-US"/>
              </w:rPr>
              <w:t>B.1. En cuanto a los hechos</w:t>
            </w:r>
            <w:r w:rsidR="004224C0" w:rsidRPr="009F505D">
              <w:rPr>
                <w:rFonts w:ascii="Verdana" w:hAnsi="Verdana"/>
                <w:noProof/>
                <w:webHidden/>
              </w:rPr>
              <w:tab/>
            </w:r>
            <w:r w:rsidR="004224C0" w:rsidRPr="0049033D">
              <w:rPr>
                <w:rFonts w:ascii="Verdana" w:hAnsi="Verdana"/>
                <w:i w:val="0"/>
                <w:noProof/>
                <w:webHidden/>
              </w:rPr>
              <w:fldChar w:fldCharType="begin"/>
            </w:r>
            <w:r w:rsidR="004224C0" w:rsidRPr="0049033D">
              <w:rPr>
                <w:rFonts w:ascii="Verdana" w:hAnsi="Verdana"/>
                <w:i w:val="0"/>
                <w:noProof/>
                <w:webHidden/>
              </w:rPr>
              <w:instrText xml:space="preserve"> PAGEREF _Toc58330206 \h </w:instrText>
            </w:r>
            <w:r w:rsidR="004224C0" w:rsidRPr="0049033D">
              <w:rPr>
                <w:rFonts w:ascii="Verdana" w:hAnsi="Verdana"/>
                <w:i w:val="0"/>
                <w:noProof/>
                <w:webHidden/>
              </w:rPr>
            </w:r>
            <w:r w:rsidR="004224C0" w:rsidRPr="0049033D">
              <w:rPr>
                <w:rFonts w:ascii="Verdana" w:hAnsi="Verdana"/>
                <w:i w:val="0"/>
                <w:noProof/>
                <w:webHidden/>
              </w:rPr>
              <w:fldChar w:fldCharType="separate"/>
            </w:r>
            <w:r w:rsidR="003667C0">
              <w:rPr>
                <w:rFonts w:ascii="Verdana" w:hAnsi="Verdana"/>
                <w:i w:val="0"/>
                <w:noProof/>
                <w:webHidden/>
              </w:rPr>
              <w:t>8</w:t>
            </w:r>
            <w:r w:rsidR="004224C0" w:rsidRPr="0049033D">
              <w:rPr>
                <w:rFonts w:ascii="Verdana" w:hAnsi="Verdana"/>
                <w:i w:val="0"/>
                <w:noProof/>
                <w:webHidden/>
              </w:rPr>
              <w:fldChar w:fldCharType="end"/>
            </w:r>
          </w:hyperlink>
        </w:p>
        <w:p w14:paraId="311B6965" w14:textId="744D640F" w:rsidR="004224C0" w:rsidRPr="009F505D" w:rsidRDefault="00D42448" w:rsidP="009F505D">
          <w:pPr>
            <w:pStyle w:val="TDC3"/>
            <w:tabs>
              <w:tab w:val="right" w:leader="dot" w:pos="8828"/>
            </w:tabs>
            <w:spacing w:line="360" w:lineRule="auto"/>
            <w:ind w:right="-799"/>
            <w:jc w:val="both"/>
            <w:rPr>
              <w:rFonts w:ascii="Verdana" w:eastAsiaTheme="minorEastAsia" w:hAnsi="Verdana" w:cstheme="minorBidi"/>
              <w:i w:val="0"/>
              <w:iCs w:val="0"/>
              <w:noProof/>
            </w:rPr>
          </w:pPr>
          <w:hyperlink w:anchor="_Toc58330207" w:history="1">
            <w:r w:rsidR="004224C0" w:rsidRPr="009F505D">
              <w:rPr>
                <w:rStyle w:val="Hipervnculo"/>
                <w:rFonts w:ascii="Verdana" w:eastAsia="Batang" w:hAnsi="Verdana"/>
                <w:noProof/>
                <w:lang w:eastAsia="en-US"/>
              </w:rPr>
              <w:t>B.2. En cuanto a las pretensiones de derecho</w:t>
            </w:r>
            <w:r w:rsidR="004224C0" w:rsidRPr="009F505D">
              <w:rPr>
                <w:rFonts w:ascii="Verdana" w:hAnsi="Verdana"/>
                <w:noProof/>
                <w:webHidden/>
              </w:rPr>
              <w:tab/>
            </w:r>
            <w:r w:rsidR="004224C0" w:rsidRPr="0049033D">
              <w:rPr>
                <w:rFonts w:ascii="Verdana" w:hAnsi="Verdana"/>
                <w:i w:val="0"/>
                <w:noProof/>
                <w:webHidden/>
              </w:rPr>
              <w:fldChar w:fldCharType="begin"/>
            </w:r>
            <w:r w:rsidR="004224C0" w:rsidRPr="0049033D">
              <w:rPr>
                <w:rFonts w:ascii="Verdana" w:hAnsi="Verdana"/>
                <w:i w:val="0"/>
                <w:noProof/>
                <w:webHidden/>
              </w:rPr>
              <w:instrText xml:space="preserve"> PAGEREF _Toc58330207 \h </w:instrText>
            </w:r>
            <w:r w:rsidR="004224C0" w:rsidRPr="0049033D">
              <w:rPr>
                <w:rFonts w:ascii="Verdana" w:hAnsi="Verdana"/>
                <w:i w:val="0"/>
                <w:noProof/>
                <w:webHidden/>
              </w:rPr>
            </w:r>
            <w:r w:rsidR="004224C0" w:rsidRPr="0049033D">
              <w:rPr>
                <w:rFonts w:ascii="Verdana" w:hAnsi="Verdana"/>
                <w:i w:val="0"/>
                <w:noProof/>
                <w:webHidden/>
              </w:rPr>
              <w:fldChar w:fldCharType="separate"/>
            </w:r>
            <w:r w:rsidR="003667C0">
              <w:rPr>
                <w:rFonts w:ascii="Verdana" w:hAnsi="Verdana"/>
                <w:i w:val="0"/>
                <w:noProof/>
                <w:webHidden/>
              </w:rPr>
              <w:t>8</w:t>
            </w:r>
            <w:r w:rsidR="004224C0" w:rsidRPr="0049033D">
              <w:rPr>
                <w:rFonts w:ascii="Verdana" w:hAnsi="Verdana"/>
                <w:i w:val="0"/>
                <w:noProof/>
                <w:webHidden/>
              </w:rPr>
              <w:fldChar w:fldCharType="end"/>
            </w:r>
          </w:hyperlink>
        </w:p>
        <w:p w14:paraId="03A713BF" w14:textId="43D4D1A7" w:rsidR="004224C0" w:rsidRPr="009F505D" w:rsidRDefault="00D42448" w:rsidP="009F505D">
          <w:pPr>
            <w:pStyle w:val="TDC3"/>
            <w:tabs>
              <w:tab w:val="right" w:leader="dot" w:pos="8828"/>
            </w:tabs>
            <w:spacing w:line="360" w:lineRule="auto"/>
            <w:ind w:right="-799"/>
            <w:jc w:val="both"/>
            <w:rPr>
              <w:rFonts w:ascii="Verdana" w:eastAsiaTheme="minorEastAsia" w:hAnsi="Verdana" w:cstheme="minorBidi"/>
              <w:i w:val="0"/>
              <w:iCs w:val="0"/>
              <w:noProof/>
            </w:rPr>
          </w:pPr>
          <w:hyperlink w:anchor="_Toc58330208" w:history="1">
            <w:r w:rsidR="004224C0" w:rsidRPr="009F505D">
              <w:rPr>
                <w:rStyle w:val="Hipervnculo"/>
                <w:rFonts w:ascii="Verdana" w:eastAsia="Batang" w:hAnsi="Verdana"/>
                <w:noProof/>
                <w:lang w:eastAsia="en-US"/>
              </w:rPr>
              <w:t>B.3. En cuanto a las reparaciones</w:t>
            </w:r>
            <w:r w:rsidR="004224C0" w:rsidRPr="009F505D">
              <w:rPr>
                <w:rFonts w:ascii="Verdana" w:hAnsi="Verdana"/>
                <w:noProof/>
                <w:webHidden/>
              </w:rPr>
              <w:tab/>
            </w:r>
            <w:r w:rsidR="004224C0" w:rsidRPr="0049033D">
              <w:rPr>
                <w:rFonts w:ascii="Verdana" w:hAnsi="Verdana"/>
                <w:i w:val="0"/>
                <w:noProof/>
                <w:webHidden/>
              </w:rPr>
              <w:fldChar w:fldCharType="begin"/>
            </w:r>
            <w:r w:rsidR="004224C0" w:rsidRPr="0049033D">
              <w:rPr>
                <w:rFonts w:ascii="Verdana" w:hAnsi="Verdana"/>
                <w:i w:val="0"/>
                <w:noProof/>
                <w:webHidden/>
              </w:rPr>
              <w:instrText xml:space="preserve"> PAGEREF _Toc58330208 \h </w:instrText>
            </w:r>
            <w:r w:rsidR="004224C0" w:rsidRPr="0049033D">
              <w:rPr>
                <w:rFonts w:ascii="Verdana" w:hAnsi="Verdana"/>
                <w:i w:val="0"/>
                <w:noProof/>
                <w:webHidden/>
              </w:rPr>
            </w:r>
            <w:r w:rsidR="004224C0" w:rsidRPr="0049033D">
              <w:rPr>
                <w:rFonts w:ascii="Verdana" w:hAnsi="Verdana"/>
                <w:i w:val="0"/>
                <w:noProof/>
                <w:webHidden/>
              </w:rPr>
              <w:fldChar w:fldCharType="separate"/>
            </w:r>
            <w:r w:rsidR="003667C0">
              <w:rPr>
                <w:rFonts w:ascii="Verdana" w:hAnsi="Verdana"/>
                <w:i w:val="0"/>
                <w:noProof/>
                <w:webHidden/>
              </w:rPr>
              <w:t>9</w:t>
            </w:r>
            <w:r w:rsidR="004224C0" w:rsidRPr="0049033D">
              <w:rPr>
                <w:rFonts w:ascii="Verdana" w:hAnsi="Verdana"/>
                <w:i w:val="0"/>
                <w:noProof/>
                <w:webHidden/>
              </w:rPr>
              <w:fldChar w:fldCharType="end"/>
            </w:r>
          </w:hyperlink>
        </w:p>
        <w:p w14:paraId="3BAD47E0" w14:textId="65B5EF56" w:rsidR="004224C0" w:rsidRPr="009F505D" w:rsidRDefault="00D42448" w:rsidP="009F505D">
          <w:pPr>
            <w:pStyle w:val="TDC3"/>
            <w:tabs>
              <w:tab w:val="right" w:leader="dot" w:pos="8828"/>
            </w:tabs>
            <w:spacing w:line="360" w:lineRule="auto"/>
            <w:ind w:right="-799"/>
            <w:jc w:val="both"/>
            <w:rPr>
              <w:rFonts w:ascii="Verdana" w:eastAsiaTheme="minorEastAsia" w:hAnsi="Verdana" w:cstheme="minorBidi"/>
              <w:i w:val="0"/>
              <w:iCs w:val="0"/>
              <w:noProof/>
            </w:rPr>
          </w:pPr>
          <w:hyperlink w:anchor="_Toc58330209" w:history="1">
            <w:r w:rsidR="004224C0" w:rsidRPr="009F505D">
              <w:rPr>
                <w:rStyle w:val="Hipervnculo"/>
                <w:rFonts w:ascii="Verdana" w:eastAsia="Batang" w:hAnsi="Verdana"/>
                <w:noProof/>
                <w:lang w:eastAsia="en-US"/>
              </w:rPr>
              <w:t>B.4. Valoración del alcance del reconocimiento de responsabilidad</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_Toc58330209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9</w:t>
            </w:r>
            <w:r w:rsidR="004224C0" w:rsidRPr="009F505D">
              <w:rPr>
                <w:rFonts w:ascii="Verdana" w:hAnsi="Verdana"/>
                <w:noProof/>
                <w:webHidden/>
              </w:rPr>
              <w:fldChar w:fldCharType="end"/>
            </w:r>
          </w:hyperlink>
        </w:p>
        <w:p w14:paraId="01AB2CC7" w14:textId="4888F056" w:rsidR="004224C0" w:rsidRPr="009F505D" w:rsidRDefault="00D42448"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hyperlink w:anchor="_Toc58330210" w:history="1">
            <w:r w:rsidR="004224C0" w:rsidRPr="009F505D">
              <w:rPr>
                <w:rStyle w:val="Hipervnculo"/>
                <w:rFonts w:ascii="Verdana" w:hAnsi="Verdana"/>
                <w:noProof/>
              </w:rPr>
              <w:t>V PRUEBA</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_Toc58330210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10</w:t>
            </w:r>
            <w:r w:rsidR="004224C0" w:rsidRPr="009F505D">
              <w:rPr>
                <w:rFonts w:ascii="Verdana" w:hAnsi="Verdana"/>
                <w:noProof/>
                <w:webHidden/>
              </w:rPr>
              <w:fldChar w:fldCharType="end"/>
            </w:r>
          </w:hyperlink>
        </w:p>
        <w:p w14:paraId="1EE17DF3" w14:textId="64179A2F"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11" w:history="1">
            <w:r w:rsidR="004224C0" w:rsidRPr="002A479E">
              <w:rPr>
                <w:rStyle w:val="Hipervnculo"/>
                <w:rFonts w:ascii="Verdana" w:hAnsi="Verdana"/>
                <w:b/>
                <w:i/>
                <w:noProof/>
              </w:rPr>
              <w:t xml:space="preserve">A. </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Admisibilidad de la prueba documental</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_Toc58330211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10</w:t>
            </w:r>
            <w:r w:rsidR="004224C0" w:rsidRPr="009F505D">
              <w:rPr>
                <w:rFonts w:ascii="Verdana" w:hAnsi="Verdana"/>
                <w:noProof/>
                <w:webHidden/>
              </w:rPr>
              <w:fldChar w:fldCharType="end"/>
            </w:r>
          </w:hyperlink>
        </w:p>
        <w:p w14:paraId="4BA99AD6" w14:textId="520AD7AF"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12" w:history="1">
            <w:r w:rsidR="004224C0" w:rsidRPr="002A479E">
              <w:rPr>
                <w:rStyle w:val="Hipervnculo"/>
                <w:rFonts w:ascii="Verdana" w:hAnsi="Verdana"/>
                <w:b/>
                <w:i/>
                <w:noProof/>
              </w:rPr>
              <w:t>B.</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Admisibilidad de la prueba testimonial y pericial</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_Toc58330212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11</w:t>
            </w:r>
            <w:r w:rsidR="004224C0" w:rsidRPr="009F505D">
              <w:rPr>
                <w:rFonts w:ascii="Verdana" w:hAnsi="Verdana"/>
                <w:noProof/>
                <w:webHidden/>
              </w:rPr>
              <w:fldChar w:fldCharType="end"/>
            </w:r>
          </w:hyperlink>
        </w:p>
        <w:p w14:paraId="44A5E021" w14:textId="19026E52" w:rsidR="004224C0" w:rsidRPr="009F505D" w:rsidRDefault="00D42448"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hyperlink w:anchor="_Toc58330213" w:history="1">
            <w:r w:rsidR="004224C0" w:rsidRPr="009F505D">
              <w:rPr>
                <w:rStyle w:val="Hipervnculo"/>
                <w:rFonts w:ascii="Verdana" w:hAnsi="Verdana"/>
                <w:noProof/>
              </w:rPr>
              <w:t>Vi HECHOS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_Toc58330213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11</w:t>
            </w:r>
            <w:r w:rsidR="004224C0" w:rsidRPr="009F505D">
              <w:rPr>
                <w:rFonts w:ascii="Verdana" w:hAnsi="Verdana"/>
                <w:noProof/>
                <w:webHidden/>
              </w:rPr>
              <w:fldChar w:fldCharType="end"/>
            </w:r>
          </w:hyperlink>
        </w:p>
        <w:p w14:paraId="2A942A68" w14:textId="2B49ED2F"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14" w:history="1">
            <w:r w:rsidR="004224C0" w:rsidRPr="009F505D">
              <w:rPr>
                <w:rStyle w:val="Hipervnculo"/>
                <w:rFonts w:ascii="Verdana" w:hAnsi="Verdana"/>
                <w:b/>
                <w:i/>
                <w:noProof/>
                <w:lang w:val="es-MX"/>
              </w:rPr>
              <w:t>A.</w:t>
            </w:r>
            <w:r w:rsidR="004224C0" w:rsidRPr="009F505D">
              <w:rPr>
                <w:rFonts w:ascii="Verdana" w:eastAsiaTheme="minorEastAsia" w:hAnsi="Verdana" w:cstheme="minorBidi"/>
                <w:smallCaps w:val="0"/>
                <w:noProof/>
              </w:rPr>
              <w:tab/>
            </w:r>
            <w:r w:rsidR="004224C0" w:rsidRPr="009F505D">
              <w:rPr>
                <w:rStyle w:val="Hipervnculo"/>
                <w:rFonts w:ascii="Verdana" w:hAnsi="Verdana"/>
                <w:b/>
                <w:i/>
                <w:noProof/>
                <w:lang w:val="es-MX"/>
              </w:rPr>
              <w:t>Las víctimas fallecidas y sus familiares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_Toc58330214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12</w:t>
            </w:r>
            <w:r w:rsidR="004224C0" w:rsidRPr="009F505D">
              <w:rPr>
                <w:rFonts w:ascii="Verdana" w:hAnsi="Verdana"/>
                <w:noProof/>
                <w:webHidden/>
              </w:rPr>
              <w:fldChar w:fldCharType="end"/>
            </w:r>
          </w:hyperlink>
        </w:p>
        <w:p w14:paraId="112B9826" w14:textId="46CD6822" w:rsidR="004224C0" w:rsidRPr="009F505D" w:rsidRDefault="00D42448" w:rsidP="009F505D">
          <w:pPr>
            <w:pStyle w:val="TDC2"/>
            <w:tabs>
              <w:tab w:val="right" w:leader="dot" w:pos="8828"/>
            </w:tabs>
            <w:spacing w:line="360" w:lineRule="auto"/>
            <w:ind w:right="-799"/>
            <w:jc w:val="both"/>
            <w:rPr>
              <w:rFonts w:ascii="Verdana" w:eastAsiaTheme="minorEastAsia" w:hAnsi="Verdana" w:cstheme="minorBidi"/>
              <w:smallCaps w:val="0"/>
              <w:noProof/>
            </w:rPr>
          </w:pPr>
          <w:hyperlink w:anchor="_Toc58330215" w:history="1">
            <w:r w:rsidR="004224C0" w:rsidRPr="009F505D">
              <w:rPr>
                <w:rStyle w:val="Hipervnculo"/>
                <w:rFonts w:ascii="Verdana" w:hAnsi="Verdana"/>
                <w:b/>
                <w:i/>
                <w:noProof/>
                <w:lang w:val="es-MX"/>
              </w:rPr>
              <w:t>B. La situación del INAM-San Félix al momento de los hechos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_Toc58330215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12</w:t>
            </w:r>
            <w:r w:rsidR="004224C0" w:rsidRPr="009F505D">
              <w:rPr>
                <w:rFonts w:ascii="Verdana" w:hAnsi="Verdana"/>
                <w:noProof/>
                <w:webHidden/>
              </w:rPr>
              <w:fldChar w:fldCharType="end"/>
            </w:r>
          </w:hyperlink>
        </w:p>
        <w:p w14:paraId="50789E67" w14:textId="6D66148F" w:rsidR="004224C0" w:rsidRPr="009F505D" w:rsidRDefault="00D42448" w:rsidP="009F505D">
          <w:pPr>
            <w:pStyle w:val="TDC2"/>
            <w:tabs>
              <w:tab w:val="right" w:leader="dot" w:pos="8828"/>
            </w:tabs>
            <w:spacing w:line="360" w:lineRule="auto"/>
            <w:ind w:right="-799"/>
            <w:jc w:val="both"/>
            <w:rPr>
              <w:rFonts w:ascii="Verdana" w:eastAsiaTheme="minorEastAsia" w:hAnsi="Verdana" w:cstheme="minorBidi"/>
              <w:smallCaps w:val="0"/>
              <w:noProof/>
            </w:rPr>
          </w:pPr>
          <w:hyperlink w:anchor="_Toc58330216" w:history="1">
            <w:r w:rsidR="004224C0" w:rsidRPr="009F505D">
              <w:rPr>
                <w:rStyle w:val="Hipervnculo"/>
                <w:rFonts w:ascii="Verdana" w:hAnsi="Verdana"/>
                <w:b/>
                <w:i/>
                <w:noProof/>
                <w:lang w:val="es-MX"/>
              </w:rPr>
              <w:t>C. Los hechos del 30 de junio de 2005</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_Toc58330216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15</w:t>
            </w:r>
            <w:r w:rsidR="004224C0" w:rsidRPr="009F505D">
              <w:rPr>
                <w:rFonts w:ascii="Verdana" w:hAnsi="Verdana"/>
                <w:noProof/>
                <w:webHidden/>
              </w:rPr>
              <w:fldChar w:fldCharType="end"/>
            </w:r>
          </w:hyperlink>
        </w:p>
        <w:p w14:paraId="3E61C2E3" w14:textId="3FD55F4C" w:rsidR="004224C0" w:rsidRPr="009F505D" w:rsidRDefault="00D42448" w:rsidP="009F505D">
          <w:pPr>
            <w:pStyle w:val="TDC2"/>
            <w:tabs>
              <w:tab w:val="right" w:leader="dot" w:pos="8828"/>
            </w:tabs>
            <w:spacing w:line="360" w:lineRule="auto"/>
            <w:ind w:right="-799"/>
            <w:jc w:val="both"/>
            <w:rPr>
              <w:rFonts w:ascii="Verdana" w:eastAsiaTheme="minorEastAsia" w:hAnsi="Verdana" w:cstheme="minorBidi"/>
              <w:smallCaps w:val="0"/>
              <w:noProof/>
            </w:rPr>
          </w:pPr>
          <w:hyperlink w:anchor="_Toc58330217" w:history="1">
            <w:r w:rsidR="004224C0" w:rsidRPr="009F505D">
              <w:rPr>
                <w:rStyle w:val="Hipervnculo"/>
                <w:rFonts w:ascii="Verdana" w:hAnsi="Verdana"/>
                <w:b/>
                <w:i/>
                <w:noProof/>
                <w:lang w:val="es-MX"/>
              </w:rPr>
              <w:t>D. Actos de investigación y proceso judicial</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_Toc58330217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18</w:t>
            </w:r>
            <w:r w:rsidR="004224C0" w:rsidRPr="009F505D">
              <w:rPr>
                <w:rFonts w:ascii="Verdana" w:hAnsi="Verdana"/>
                <w:noProof/>
                <w:webHidden/>
              </w:rPr>
              <w:fldChar w:fldCharType="end"/>
            </w:r>
          </w:hyperlink>
        </w:p>
        <w:p w14:paraId="477E66C4" w14:textId="107A14CC" w:rsidR="004224C0" w:rsidRPr="009F505D" w:rsidRDefault="00D42448"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hyperlink w:anchor="_Toc58330218" w:history="1">
            <w:r w:rsidR="004224C0" w:rsidRPr="009F505D">
              <w:rPr>
                <w:rStyle w:val="Hipervnculo"/>
                <w:rFonts w:ascii="Verdana" w:hAnsi="Verdana"/>
                <w:noProof/>
              </w:rPr>
              <w:t>VIi Fondo</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_Toc58330218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20</w:t>
            </w:r>
            <w:r w:rsidR="004224C0" w:rsidRPr="009F505D">
              <w:rPr>
                <w:rFonts w:ascii="Verdana" w:hAnsi="Verdana"/>
                <w:noProof/>
                <w:webHidden/>
              </w:rPr>
              <w:fldChar w:fldCharType="end"/>
            </w:r>
          </w:hyperlink>
        </w:p>
        <w:p w14:paraId="5739410C" w14:textId="6626A997" w:rsidR="004224C0" w:rsidRPr="009F505D" w:rsidRDefault="00D42448"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hyperlink w:anchor="_Toc58330219" w:history="1">
            <w:r w:rsidR="004224C0" w:rsidRPr="009F505D">
              <w:rPr>
                <w:rStyle w:val="Hipervnculo"/>
                <w:rFonts w:ascii="Verdana" w:hAnsi="Verdana"/>
                <w:noProof/>
              </w:rPr>
              <w:t>VIi.1 DERECHOS A LA VIDA, A LA INTEGRIDAD PERSONAL y DERECHOS DEL NIÑO en relación con LAS OBLIGACIONES DE RESPETARlos Y GARANTIZARlos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_Toc58330219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20</w:t>
            </w:r>
            <w:r w:rsidR="004224C0" w:rsidRPr="009F505D">
              <w:rPr>
                <w:rFonts w:ascii="Verdana" w:hAnsi="Verdana"/>
                <w:noProof/>
                <w:webHidden/>
              </w:rPr>
              <w:fldChar w:fldCharType="end"/>
            </w:r>
          </w:hyperlink>
        </w:p>
        <w:p w14:paraId="4A814D04" w14:textId="11F2F994"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20" w:history="1">
            <w:r w:rsidR="004224C0" w:rsidRPr="002A479E">
              <w:rPr>
                <w:rStyle w:val="Hipervnculo"/>
                <w:rFonts w:ascii="Verdana" w:hAnsi="Verdana"/>
                <w:b/>
                <w:i/>
                <w:noProof/>
              </w:rPr>
              <w:t>A.</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Argumentos de la Comisión y de las partes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_Toc58330220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20</w:t>
            </w:r>
            <w:r w:rsidR="004224C0" w:rsidRPr="009F505D">
              <w:rPr>
                <w:rFonts w:ascii="Verdana" w:hAnsi="Verdana"/>
                <w:noProof/>
                <w:webHidden/>
              </w:rPr>
              <w:fldChar w:fldCharType="end"/>
            </w:r>
          </w:hyperlink>
        </w:p>
        <w:p w14:paraId="5D745C42" w14:textId="67E735FB"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21" w:history="1">
            <w:r w:rsidR="004224C0" w:rsidRPr="002A479E">
              <w:rPr>
                <w:rStyle w:val="Hipervnculo"/>
                <w:rFonts w:ascii="Verdana" w:hAnsi="Verdana"/>
                <w:b/>
                <w:i/>
                <w:noProof/>
              </w:rPr>
              <w:t>B.</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Consideraciones de la Corte</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_Toc58330221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22</w:t>
            </w:r>
            <w:r w:rsidR="004224C0" w:rsidRPr="009F505D">
              <w:rPr>
                <w:rFonts w:ascii="Verdana" w:hAnsi="Verdana"/>
                <w:noProof/>
                <w:webHidden/>
              </w:rPr>
              <w:fldChar w:fldCharType="end"/>
            </w:r>
          </w:hyperlink>
        </w:p>
        <w:p w14:paraId="54042698" w14:textId="50F21396" w:rsidR="004224C0" w:rsidRPr="009F505D" w:rsidRDefault="00D42448" w:rsidP="009F505D">
          <w:pPr>
            <w:pStyle w:val="TDC3"/>
            <w:tabs>
              <w:tab w:val="right" w:leader="dot" w:pos="8828"/>
            </w:tabs>
            <w:spacing w:line="360" w:lineRule="auto"/>
            <w:ind w:right="-799"/>
            <w:jc w:val="both"/>
            <w:rPr>
              <w:rFonts w:ascii="Verdana" w:eastAsiaTheme="minorEastAsia" w:hAnsi="Verdana" w:cstheme="minorBidi"/>
              <w:i w:val="0"/>
              <w:iCs w:val="0"/>
              <w:noProof/>
            </w:rPr>
          </w:pPr>
          <w:hyperlink w:anchor="_Toc58330222" w:history="1">
            <w:r w:rsidR="004224C0" w:rsidRPr="009F505D">
              <w:rPr>
                <w:rStyle w:val="Hipervnculo"/>
                <w:rFonts w:ascii="Verdana" w:hAnsi="Verdana"/>
                <w:noProof/>
              </w:rPr>
              <w:t>B.1 Consideraciones generales sobre las obligaciones estatales respecto a la vida e integridad personal de personas adolescentes privadas de su libertad</w:t>
            </w:r>
            <w:r w:rsidR="004224C0" w:rsidRPr="009F505D">
              <w:rPr>
                <w:rFonts w:ascii="Verdana" w:hAnsi="Verdana"/>
                <w:noProof/>
                <w:webHidden/>
              </w:rPr>
              <w:tab/>
            </w:r>
            <w:r w:rsidR="004224C0" w:rsidRPr="0049033D">
              <w:rPr>
                <w:rFonts w:ascii="Verdana" w:hAnsi="Verdana"/>
                <w:i w:val="0"/>
                <w:noProof/>
                <w:webHidden/>
              </w:rPr>
              <w:fldChar w:fldCharType="begin"/>
            </w:r>
            <w:r w:rsidR="004224C0" w:rsidRPr="0049033D">
              <w:rPr>
                <w:rFonts w:ascii="Verdana" w:hAnsi="Verdana"/>
                <w:i w:val="0"/>
                <w:noProof/>
                <w:webHidden/>
              </w:rPr>
              <w:instrText xml:space="preserve"> PAGEREF _Toc58330222 \h </w:instrText>
            </w:r>
            <w:r w:rsidR="004224C0" w:rsidRPr="0049033D">
              <w:rPr>
                <w:rFonts w:ascii="Verdana" w:hAnsi="Verdana"/>
                <w:i w:val="0"/>
                <w:noProof/>
                <w:webHidden/>
              </w:rPr>
            </w:r>
            <w:r w:rsidR="004224C0" w:rsidRPr="0049033D">
              <w:rPr>
                <w:rFonts w:ascii="Verdana" w:hAnsi="Verdana"/>
                <w:i w:val="0"/>
                <w:noProof/>
                <w:webHidden/>
              </w:rPr>
              <w:fldChar w:fldCharType="separate"/>
            </w:r>
            <w:r w:rsidR="003667C0">
              <w:rPr>
                <w:rFonts w:ascii="Verdana" w:hAnsi="Verdana"/>
                <w:i w:val="0"/>
                <w:noProof/>
                <w:webHidden/>
              </w:rPr>
              <w:t>25</w:t>
            </w:r>
            <w:r w:rsidR="004224C0" w:rsidRPr="0049033D">
              <w:rPr>
                <w:rFonts w:ascii="Verdana" w:hAnsi="Verdana"/>
                <w:i w:val="0"/>
                <w:noProof/>
                <w:webHidden/>
              </w:rPr>
              <w:fldChar w:fldCharType="end"/>
            </w:r>
          </w:hyperlink>
        </w:p>
        <w:p w14:paraId="3E496E29" w14:textId="28178235" w:rsidR="004224C0" w:rsidRPr="009F505D" w:rsidRDefault="00D42448" w:rsidP="009F505D">
          <w:pPr>
            <w:pStyle w:val="TDC3"/>
            <w:tabs>
              <w:tab w:val="right" w:leader="dot" w:pos="8828"/>
            </w:tabs>
            <w:spacing w:line="360" w:lineRule="auto"/>
            <w:ind w:right="-799"/>
            <w:jc w:val="both"/>
            <w:rPr>
              <w:rFonts w:ascii="Verdana" w:eastAsiaTheme="minorEastAsia" w:hAnsi="Verdana" w:cstheme="minorBidi"/>
              <w:i w:val="0"/>
              <w:iCs w:val="0"/>
              <w:noProof/>
            </w:rPr>
          </w:pPr>
          <w:hyperlink w:anchor="_Toc58330223" w:history="1">
            <w:r w:rsidR="0049033D">
              <w:rPr>
                <w:rStyle w:val="Hipervnculo"/>
                <w:rFonts w:ascii="Verdana" w:hAnsi="Verdana"/>
                <w:noProof/>
              </w:rPr>
              <w:t>B.2 La responsabilidad internacion</w:t>
            </w:r>
            <w:r w:rsidR="004224C0" w:rsidRPr="009F505D">
              <w:rPr>
                <w:rStyle w:val="Hipervnculo"/>
                <w:rFonts w:ascii="Verdana" w:hAnsi="Verdana"/>
                <w:noProof/>
              </w:rPr>
              <w:t>al en el caso</w:t>
            </w:r>
            <w:r w:rsidR="004224C0" w:rsidRPr="009F505D">
              <w:rPr>
                <w:rFonts w:ascii="Verdana" w:hAnsi="Verdana"/>
                <w:noProof/>
                <w:webHidden/>
              </w:rPr>
              <w:tab/>
            </w:r>
            <w:r w:rsidR="004224C0" w:rsidRPr="0049033D">
              <w:rPr>
                <w:rFonts w:ascii="Verdana" w:hAnsi="Verdana"/>
                <w:i w:val="0"/>
                <w:noProof/>
                <w:webHidden/>
              </w:rPr>
              <w:fldChar w:fldCharType="begin"/>
            </w:r>
            <w:r w:rsidR="004224C0" w:rsidRPr="0049033D">
              <w:rPr>
                <w:rFonts w:ascii="Verdana" w:hAnsi="Verdana"/>
                <w:i w:val="0"/>
                <w:noProof/>
                <w:webHidden/>
              </w:rPr>
              <w:instrText xml:space="preserve"> PAGEREF _Toc58330223 \h </w:instrText>
            </w:r>
            <w:r w:rsidR="004224C0" w:rsidRPr="0049033D">
              <w:rPr>
                <w:rFonts w:ascii="Verdana" w:hAnsi="Verdana"/>
                <w:i w:val="0"/>
                <w:noProof/>
                <w:webHidden/>
              </w:rPr>
            </w:r>
            <w:r w:rsidR="004224C0" w:rsidRPr="0049033D">
              <w:rPr>
                <w:rFonts w:ascii="Verdana" w:hAnsi="Verdana"/>
                <w:i w:val="0"/>
                <w:noProof/>
                <w:webHidden/>
              </w:rPr>
              <w:fldChar w:fldCharType="separate"/>
            </w:r>
            <w:r w:rsidR="003667C0">
              <w:rPr>
                <w:rFonts w:ascii="Verdana" w:hAnsi="Verdana"/>
                <w:i w:val="0"/>
                <w:noProof/>
                <w:webHidden/>
              </w:rPr>
              <w:t>28</w:t>
            </w:r>
            <w:r w:rsidR="004224C0" w:rsidRPr="0049033D">
              <w:rPr>
                <w:rFonts w:ascii="Verdana" w:hAnsi="Verdana"/>
                <w:i w:val="0"/>
                <w:noProof/>
                <w:webHidden/>
              </w:rPr>
              <w:fldChar w:fldCharType="end"/>
            </w:r>
          </w:hyperlink>
        </w:p>
        <w:p w14:paraId="2213E5AD" w14:textId="5A6044B3" w:rsidR="004224C0" w:rsidRPr="009F505D" w:rsidRDefault="00D42448" w:rsidP="009F505D">
          <w:pPr>
            <w:pStyle w:val="TDC4"/>
            <w:tabs>
              <w:tab w:val="right" w:leader="dot" w:pos="8828"/>
            </w:tabs>
            <w:spacing w:line="360" w:lineRule="auto"/>
            <w:ind w:right="-799"/>
            <w:jc w:val="both"/>
            <w:rPr>
              <w:rFonts w:ascii="Verdana" w:eastAsiaTheme="minorEastAsia" w:hAnsi="Verdana" w:cstheme="minorBidi"/>
              <w:noProof/>
              <w:sz w:val="20"/>
              <w:szCs w:val="20"/>
            </w:rPr>
          </w:pPr>
          <w:hyperlink w:anchor="_Toc58330224" w:history="1">
            <w:r w:rsidR="004224C0" w:rsidRPr="009F505D">
              <w:rPr>
                <w:rStyle w:val="Hipervnculo"/>
                <w:rFonts w:ascii="Verdana" w:hAnsi="Verdana"/>
                <w:i/>
                <w:noProof/>
                <w:sz w:val="20"/>
                <w:szCs w:val="20"/>
                <w:lang w:val="es-ES"/>
              </w:rPr>
              <w:t>B.2.1 Hacinamiento</w:t>
            </w:r>
            <w:r w:rsidR="004224C0" w:rsidRPr="009F505D">
              <w:rPr>
                <w:rFonts w:ascii="Verdana" w:hAnsi="Verdana"/>
                <w:noProof/>
                <w:webHidden/>
                <w:sz w:val="20"/>
                <w:szCs w:val="20"/>
              </w:rPr>
              <w:tab/>
            </w:r>
            <w:r w:rsidR="004224C0" w:rsidRPr="009F505D">
              <w:rPr>
                <w:rFonts w:ascii="Verdana" w:hAnsi="Verdana"/>
                <w:noProof/>
                <w:webHidden/>
                <w:sz w:val="20"/>
                <w:szCs w:val="20"/>
              </w:rPr>
              <w:fldChar w:fldCharType="begin"/>
            </w:r>
            <w:r w:rsidR="004224C0" w:rsidRPr="009F505D">
              <w:rPr>
                <w:rFonts w:ascii="Verdana" w:hAnsi="Verdana"/>
                <w:noProof/>
                <w:webHidden/>
                <w:sz w:val="20"/>
                <w:szCs w:val="20"/>
              </w:rPr>
              <w:instrText xml:space="preserve"> PAGEREF _Toc58330224 \h </w:instrText>
            </w:r>
            <w:r w:rsidR="004224C0" w:rsidRPr="009F505D">
              <w:rPr>
                <w:rFonts w:ascii="Verdana" w:hAnsi="Verdana"/>
                <w:noProof/>
                <w:webHidden/>
                <w:sz w:val="20"/>
                <w:szCs w:val="20"/>
              </w:rPr>
            </w:r>
            <w:r w:rsidR="004224C0" w:rsidRPr="009F505D">
              <w:rPr>
                <w:rFonts w:ascii="Verdana" w:hAnsi="Verdana"/>
                <w:noProof/>
                <w:webHidden/>
                <w:sz w:val="20"/>
                <w:szCs w:val="20"/>
              </w:rPr>
              <w:fldChar w:fldCharType="separate"/>
            </w:r>
            <w:r w:rsidR="003667C0">
              <w:rPr>
                <w:rFonts w:ascii="Verdana" w:hAnsi="Verdana"/>
                <w:noProof/>
                <w:webHidden/>
                <w:sz w:val="20"/>
                <w:szCs w:val="20"/>
              </w:rPr>
              <w:t>28</w:t>
            </w:r>
            <w:r w:rsidR="004224C0" w:rsidRPr="009F505D">
              <w:rPr>
                <w:rFonts w:ascii="Verdana" w:hAnsi="Verdana"/>
                <w:noProof/>
                <w:webHidden/>
                <w:sz w:val="20"/>
                <w:szCs w:val="20"/>
              </w:rPr>
              <w:fldChar w:fldCharType="end"/>
            </w:r>
          </w:hyperlink>
        </w:p>
        <w:p w14:paraId="705EDBF6" w14:textId="24108679" w:rsidR="004224C0" w:rsidRPr="009F505D" w:rsidRDefault="00D42448" w:rsidP="009F505D">
          <w:pPr>
            <w:pStyle w:val="TDC4"/>
            <w:tabs>
              <w:tab w:val="right" w:leader="dot" w:pos="8828"/>
            </w:tabs>
            <w:spacing w:line="360" w:lineRule="auto"/>
            <w:ind w:right="-799"/>
            <w:jc w:val="both"/>
            <w:rPr>
              <w:rFonts w:ascii="Verdana" w:eastAsiaTheme="minorEastAsia" w:hAnsi="Verdana" w:cstheme="minorBidi"/>
              <w:noProof/>
              <w:sz w:val="20"/>
              <w:szCs w:val="20"/>
            </w:rPr>
          </w:pPr>
          <w:hyperlink w:anchor="_Toc58330225" w:history="1">
            <w:r w:rsidR="004224C0" w:rsidRPr="009F505D">
              <w:rPr>
                <w:rStyle w:val="Hipervnculo"/>
                <w:rFonts w:ascii="Verdana" w:hAnsi="Verdana"/>
                <w:i/>
                <w:noProof/>
                <w:sz w:val="20"/>
                <w:szCs w:val="20"/>
                <w:lang w:val="es-ES"/>
              </w:rPr>
              <w:t>B.2.2 Infraestructura, condiciones de seguridad y separación de internos</w:t>
            </w:r>
            <w:r w:rsidR="004224C0" w:rsidRPr="009F505D">
              <w:rPr>
                <w:rFonts w:ascii="Verdana" w:hAnsi="Verdana"/>
                <w:noProof/>
                <w:webHidden/>
                <w:sz w:val="20"/>
                <w:szCs w:val="20"/>
              </w:rPr>
              <w:tab/>
            </w:r>
            <w:r w:rsidR="004224C0" w:rsidRPr="009F505D">
              <w:rPr>
                <w:rFonts w:ascii="Verdana" w:hAnsi="Verdana"/>
                <w:noProof/>
                <w:webHidden/>
                <w:sz w:val="20"/>
                <w:szCs w:val="20"/>
              </w:rPr>
              <w:fldChar w:fldCharType="begin"/>
            </w:r>
            <w:r w:rsidR="004224C0" w:rsidRPr="009F505D">
              <w:rPr>
                <w:rFonts w:ascii="Verdana" w:hAnsi="Verdana"/>
                <w:noProof/>
                <w:webHidden/>
                <w:sz w:val="20"/>
                <w:szCs w:val="20"/>
              </w:rPr>
              <w:instrText xml:space="preserve"> PAGEREF _Toc58330225 \h </w:instrText>
            </w:r>
            <w:r w:rsidR="004224C0" w:rsidRPr="009F505D">
              <w:rPr>
                <w:rFonts w:ascii="Verdana" w:hAnsi="Verdana"/>
                <w:noProof/>
                <w:webHidden/>
                <w:sz w:val="20"/>
                <w:szCs w:val="20"/>
              </w:rPr>
            </w:r>
            <w:r w:rsidR="004224C0" w:rsidRPr="009F505D">
              <w:rPr>
                <w:rFonts w:ascii="Verdana" w:hAnsi="Verdana"/>
                <w:noProof/>
                <w:webHidden/>
                <w:sz w:val="20"/>
                <w:szCs w:val="20"/>
              </w:rPr>
              <w:fldChar w:fldCharType="separate"/>
            </w:r>
            <w:r w:rsidR="003667C0">
              <w:rPr>
                <w:rFonts w:ascii="Verdana" w:hAnsi="Verdana"/>
                <w:noProof/>
                <w:webHidden/>
                <w:sz w:val="20"/>
                <w:szCs w:val="20"/>
              </w:rPr>
              <w:t>28</w:t>
            </w:r>
            <w:r w:rsidR="004224C0" w:rsidRPr="009F505D">
              <w:rPr>
                <w:rFonts w:ascii="Verdana" w:hAnsi="Verdana"/>
                <w:noProof/>
                <w:webHidden/>
                <w:sz w:val="20"/>
                <w:szCs w:val="20"/>
              </w:rPr>
              <w:fldChar w:fldCharType="end"/>
            </w:r>
          </w:hyperlink>
        </w:p>
        <w:p w14:paraId="02295C77" w14:textId="083A7AF7" w:rsidR="004224C0" w:rsidRPr="009F505D" w:rsidRDefault="00D42448" w:rsidP="009F505D">
          <w:pPr>
            <w:pStyle w:val="TDC4"/>
            <w:tabs>
              <w:tab w:val="right" w:leader="dot" w:pos="8828"/>
            </w:tabs>
            <w:spacing w:line="360" w:lineRule="auto"/>
            <w:ind w:right="-799"/>
            <w:jc w:val="both"/>
            <w:rPr>
              <w:rFonts w:ascii="Verdana" w:eastAsiaTheme="minorEastAsia" w:hAnsi="Verdana" w:cstheme="minorBidi"/>
              <w:noProof/>
              <w:sz w:val="20"/>
              <w:szCs w:val="20"/>
            </w:rPr>
          </w:pPr>
          <w:hyperlink w:anchor="_Toc58330226" w:history="1">
            <w:r w:rsidR="004224C0" w:rsidRPr="009F505D">
              <w:rPr>
                <w:rStyle w:val="Hipervnculo"/>
                <w:rFonts w:ascii="Verdana" w:hAnsi="Verdana"/>
                <w:i/>
                <w:noProof/>
                <w:sz w:val="20"/>
                <w:szCs w:val="20"/>
              </w:rPr>
              <w:t>B.2.3 Finalidad de la privación de libertad</w:t>
            </w:r>
            <w:r w:rsidR="004224C0" w:rsidRPr="009F505D">
              <w:rPr>
                <w:rFonts w:ascii="Verdana" w:hAnsi="Verdana"/>
                <w:noProof/>
                <w:webHidden/>
                <w:sz w:val="20"/>
                <w:szCs w:val="20"/>
              </w:rPr>
              <w:tab/>
            </w:r>
            <w:r w:rsidR="004224C0" w:rsidRPr="009F505D">
              <w:rPr>
                <w:rFonts w:ascii="Verdana" w:hAnsi="Verdana"/>
                <w:noProof/>
                <w:webHidden/>
                <w:sz w:val="20"/>
                <w:szCs w:val="20"/>
              </w:rPr>
              <w:fldChar w:fldCharType="begin"/>
            </w:r>
            <w:r w:rsidR="004224C0" w:rsidRPr="009F505D">
              <w:rPr>
                <w:rFonts w:ascii="Verdana" w:hAnsi="Verdana"/>
                <w:noProof/>
                <w:webHidden/>
                <w:sz w:val="20"/>
                <w:szCs w:val="20"/>
              </w:rPr>
              <w:instrText xml:space="preserve"> PAGEREF _Toc58330226 \h </w:instrText>
            </w:r>
            <w:r w:rsidR="004224C0" w:rsidRPr="009F505D">
              <w:rPr>
                <w:rFonts w:ascii="Verdana" w:hAnsi="Verdana"/>
                <w:noProof/>
                <w:webHidden/>
                <w:sz w:val="20"/>
                <w:szCs w:val="20"/>
              </w:rPr>
            </w:r>
            <w:r w:rsidR="004224C0" w:rsidRPr="009F505D">
              <w:rPr>
                <w:rFonts w:ascii="Verdana" w:hAnsi="Verdana"/>
                <w:noProof/>
                <w:webHidden/>
                <w:sz w:val="20"/>
                <w:szCs w:val="20"/>
              </w:rPr>
              <w:fldChar w:fldCharType="separate"/>
            </w:r>
            <w:r w:rsidR="003667C0">
              <w:rPr>
                <w:rFonts w:ascii="Verdana" w:hAnsi="Verdana"/>
                <w:noProof/>
                <w:webHidden/>
                <w:sz w:val="20"/>
                <w:szCs w:val="20"/>
              </w:rPr>
              <w:t>30</w:t>
            </w:r>
            <w:r w:rsidR="004224C0" w:rsidRPr="009F505D">
              <w:rPr>
                <w:rFonts w:ascii="Verdana" w:hAnsi="Verdana"/>
                <w:noProof/>
                <w:webHidden/>
                <w:sz w:val="20"/>
                <w:szCs w:val="20"/>
              </w:rPr>
              <w:fldChar w:fldCharType="end"/>
            </w:r>
          </w:hyperlink>
        </w:p>
        <w:p w14:paraId="07CCEA85" w14:textId="03615DEA" w:rsidR="004224C0" w:rsidRPr="009F505D" w:rsidRDefault="00D42448" w:rsidP="009F505D">
          <w:pPr>
            <w:pStyle w:val="TDC4"/>
            <w:tabs>
              <w:tab w:val="right" w:leader="dot" w:pos="8828"/>
            </w:tabs>
            <w:spacing w:line="360" w:lineRule="auto"/>
            <w:ind w:right="-799"/>
            <w:jc w:val="both"/>
            <w:rPr>
              <w:rFonts w:ascii="Verdana" w:eastAsiaTheme="minorEastAsia" w:hAnsi="Verdana" w:cstheme="minorBidi"/>
              <w:noProof/>
              <w:sz w:val="20"/>
              <w:szCs w:val="20"/>
            </w:rPr>
          </w:pPr>
          <w:hyperlink w:anchor="_Toc58330227" w:history="1">
            <w:r w:rsidR="004224C0" w:rsidRPr="009F505D">
              <w:rPr>
                <w:rStyle w:val="Hipervnculo"/>
                <w:rFonts w:ascii="Verdana" w:hAnsi="Verdana"/>
                <w:i/>
                <w:noProof/>
                <w:sz w:val="20"/>
                <w:szCs w:val="20"/>
              </w:rPr>
              <w:t>B.2.4 La actuación estatal frente al incendio del 30 de junio de 2005</w:t>
            </w:r>
            <w:r w:rsidR="004224C0" w:rsidRPr="009F505D">
              <w:rPr>
                <w:rFonts w:ascii="Verdana" w:hAnsi="Verdana"/>
                <w:noProof/>
                <w:webHidden/>
                <w:sz w:val="20"/>
                <w:szCs w:val="20"/>
              </w:rPr>
              <w:tab/>
            </w:r>
            <w:r w:rsidR="004224C0" w:rsidRPr="009F505D">
              <w:rPr>
                <w:rFonts w:ascii="Verdana" w:hAnsi="Verdana"/>
                <w:noProof/>
                <w:webHidden/>
                <w:sz w:val="20"/>
                <w:szCs w:val="20"/>
              </w:rPr>
              <w:fldChar w:fldCharType="begin"/>
            </w:r>
            <w:r w:rsidR="004224C0" w:rsidRPr="009F505D">
              <w:rPr>
                <w:rFonts w:ascii="Verdana" w:hAnsi="Verdana"/>
                <w:noProof/>
                <w:webHidden/>
                <w:sz w:val="20"/>
                <w:szCs w:val="20"/>
              </w:rPr>
              <w:instrText xml:space="preserve"> PAGEREF _Toc58330227 \h </w:instrText>
            </w:r>
            <w:r w:rsidR="004224C0" w:rsidRPr="009F505D">
              <w:rPr>
                <w:rFonts w:ascii="Verdana" w:hAnsi="Verdana"/>
                <w:noProof/>
                <w:webHidden/>
                <w:sz w:val="20"/>
                <w:szCs w:val="20"/>
              </w:rPr>
            </w:r>
            <w:r w:rsidR="004224C0" w:rsidRPr="009F505D">
              <w:rPr>
                <w:rFonts w:ascii="Verdana" w:hAnsi="Verdana"/>
                <w:noProof/>
                <w:webHidden/>
                <w:sz w:val="20"/>
                <w:szCs w:val="20"/>
              </w:rPr>
              <w:fldChar w:fldCharType="separate"/>
            </w:r>
            <w:r w:rsidR="003667C0">
              <w:rPr>
                <w:rFonts w:ascii="Verdana" w:hAnsi="Verdana"/>
                <w:noProof/>
                <w:webHidden/>
                <w:sz w:val="20"/>
                <w:szCs w:val="20"/>
              </w:rPr>
              <w:t>32</w:t>
            </w:r>
            <w:r w:rsidR="004224C0" w:rsidRPr="009F505D">
              <w:rPr>
                <w:rFonts w:ascii="Verdana" w:hAnsi="Verdana"/>
                <w:noProof/>
                <w:webHidden/>
                <w:sz w:val="20"/>
                <w:szCs w:val="20"/>
              </w:rPr>
              <w:fldChar w:fldCharType="end"/>
            </w:r>
          </w:hyperlink>
        </w:p>
        <w:p w14:paraId="5B4DA704" w14:textId="001C8F2B" w:rsidR="004224C0" w:rsidRPr="009F505D" w:rsidRDefault="00D42448" w:rsidP="009F505D">
          <w:pPr>
            <w:pStyle w:val="TDC4"/>
            <w:tabs>
              <w:tab w:val="right" w:leader="dot" w:pos="8828"/>
            </w:tabs>
            <w:spacing w:line="360" w:lineRule="auto"/>
            <w:ind w:right="-799"/>
            <w:jc w:val="both"/>
            <w:rPr>
              <w:rFonts w:ascii="Verdana" w:eastAsiaTheme="minorEastAsia" w:hAnsi="Verdana" w:cstheme="minorBidi"/>
              <w:noProof/>
              <w:sz w:val="20"/>
              <w:szCs w:val="20"/>
            </w:rPr>
          </w:pPr>
          <w:hyperlink w:anchor="_Toc58330228" w:history="1">
            <w:r w:rsidR="004224C0" w:rsidRPr="009F505D">
              <w:rPr>
                <w:rStyle w:val="Hipervnculo"/>
                <w:rFonts w:ascii="Verdana" w:hAnsi="Verdana"/>
                <w:i/>
                <w:noProof/>
                <w:sz w:val="20"/>
                <w:szCs w:val="20"/>
                <w:lang w:val="es-CO"/>
              </w:rPr>
              <w:t>B.2.5 Conclusión</w:t>
            </w:r>
            <w:r w:rsidR="004224C0" w:rsidRPr="009F505D">
              <w:rPr>
                <w:rFonts w:ascii="Verdana" w:hAnsi="Verdana"/>
                <w:noProof/>
                <w:webHidden/>
                <w:sz w:val="20"/>
                <w:szCs w:val="20"/>
              </w:rPr>
              <w:tab/>
            </w:r>
            <w:r w:rsidR="004224C0" w:rsidRPr="009F505D">
              <w:rPr>
                <w:rFonts w:ascii="Verdana" w:hAnsi="Verdana"/>
                <w:noProof/>
                <w:webHidden/>
                <w:sz w:val="20"/>
                <w:szCs w:val="20"/>
              </w:rPr>
              <w:fldChar w:fldCharType="begin"/>
            </w:r>
            <w:r w:rsidR="004224C0" w:rsidRPr="009F505D">
              <w:rPr>
                <w:rFonts w:ascii="Verdana" w:hAnsi="Verdana"/>
                <w:noProof/>
                <w:webHidden/>
                <w:sz w:val="20"/>
                <w:szCs w:val="20"/>
              </w:rPr>
              <w:instrText xml:space="preserve"> PAGEREF _Toc58330228 \h </w:instrText>
            </w:r>
            <w:r w:rsidR="004224C0" w:rsidRPr="009F505D">
              <w:rPr>
                <w:rFonts w:ascii="Verdana" w:hAnsi="Verdana"/>
                <w:noProof/>
                <w:webHidden/>
                <w:sz w:val="20"/>
                <w:szCs w:val="20"/>
              </w:rPr>
            </w:r>
            <w:r w:rsidR="004224C0" w:rsidRPr="009F505D">
              <w:rPr>
                <w:rFonts w:ascii="Verdana" w:hAnsi="Verdana"/>
                <w:noProof/>
                <w:webHidden/>
                <w:sz w:val="20"/>
                <w:szCs w:val="20"/>
              </w:rPr>
              <w:fldChar w:fldCharType="separate"/>
            </w:r>
            <w:r w:rsidR="003667C0">
              <w:rPr>
                <w:rFonts w:ascii="Verdana" w:hAnsi="Verdana"/>
                <w:noProof/>
                <w:webHidden/>
                <w:sz w:val="20"/>
                <w:szCs w:val="20"/>
              </w:rPr>
              <w:t>33</w:t>
            </w:r>
            <w:r w:rsidR="004224C0" w:rsidRPr="009F505D">
              <w:rPr>
                <w:rFonts w:ascii="Verdana" w:hAnsi="Verdana"/>
                <w:noProof/>
                <w:webHidden/>
                <w:sz w:val="20"/>
                <w:szCs w:val="20"/>
              </w:rPr>
              <w:fldChar w:fldCharType="end"/>
            </w:r>
          </w:hyperlink>
        </w:p>
        <w:p w14:paraId="4D0D25DA" w14:textId="26E0F8FB" w:rsidR="004224C0" w:rsidRPr="009F505D" w:rsidRDefault="00D42448"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hyperlink w:anchor="_Toc58330229" w:history="1">
            <w:r w:rsidR="004224C0" w:rsidRPr="009F505D">
              <w:rPr>
                <w:rStyle w:val="Hipervnculo"/>
                <w:rFonts w:ascii="Verdana" w:hAnsi="Verdana"/>
                <w:noProof/>
              </w:rPr>
              <w:t>VIi.2 DERECHOS A LAs garantías judiciales y a la protección judicial EN RELACIÓN CON LAS OBLIGACIONES DE RESPETARLOS Y GARANTIZARLOS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_Toc58330229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33</w:t>
            </w:r>
            <w:r w:rsidR="004224C0" w:rsidRPr="009F505D">
              <w:rPr>
                <w:rFonts w:ascii="Verdana" w:hAnsi="Verdana"/>
                <w:noProof/>
                <w:webHidden/>
              </w:rPr>
              <w:fldChar w:fldCharType="end"/>
            </w:r>
          </w:hyperlink>
        </w:p>
        <w:p w14:paraId="0C71EBD9" w14:textId="1B835BFF"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30" w:history="1">
            <w:r w:rsidR="00636572" w:rsidRPr="002A479E">
              <w:rPr>
                <w:rStyle w:val="Hipervnculo"/>
                <w:rFonts w:ascii="Verdana" w:hAnsi="Verdana"/>
                <w:b/>
                <w:i/>
                <w:noProof/>
              </w:rPr>
              <w:t>A</w:t>
            </w:r>
            <w:r w:rsidR="004224C0" w:rsidRPr="002A479E">
              <w:rPr>
                <w:rStyle w:val="Hipervnculo"/>
                <w:rFonts w:ascii="Verdana" w:hAnsi="Verdana"/>
                <w:b/>
                <w:i/>
                <w:noProof/>
              </w:rPr>
              <w:t>.</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Argumentos de la Comisión y de las partes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_Toc58330230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33</w:t>
            </w:r>
            <w:r w:rsidR="004224C0" w:rsidRPr="009F505D">
              <w:rPr>
                <w:rFonts w:ascii="Verdana" w:hAnsi="Verdana"/>
                <w:noProof/>
                <w:webHidden/>
              </w:rPr>
              <w:fldChar w:fldCharType="end"/>
            </w:r>
          </w:hyperlink>
        </w:p>
        <w:p w14:paraId="09719A89" w14:textId="0943A9AB"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31" w:history="1">
            <w:r w:rsidR="00636572" w:rsidRPr="002A479E">
              <w:rPr>
                <w:rStyle w:val="Hipervnculo"/>
                <w:rFonts w:ascii="Verdana" w:hAnsi="Verdana"/>
                <w:b/>
                <w:i/>
                <w:noProof/>
              </w:rPr>
              <w:t>B</w:t>
            </w:r>
            <w:r w:rsidR="004224C0" w:rsidRPr="002A479E">
              <w:rPr>
                <w:rStyle w:val="Hipervnculo"/>
                <w:rFonts w:ascii="Verdana" w:hAnsi="Verdana"/>
                <w:b/>
                <w:i/>
                <w:noProof/>
              </w:rPr>
              <w:t>.</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Consideraciones de la Corte</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_Toc58330231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34</w:t>
            </w:r>
            <w:r w:rsidR="004224C0" w:rsidRPr="009F505D">
              <w:rPr>
                <w:rFonts w:ascii="Verdana" w:hAnsi="Verdana"/>
                <w:noProof/>
                <w:webHidden/>
              </w:rPr>
              <w:fldChar w:fldCharType="end"/>
            </w:r>
          </w:hyperlink>
        </w:p>
        <w:p w14:paraId="66421DCF" w14:textId="7C3D751C" w:rsidR="004224C0" w:rsidRPr="009F505D" w:rsidRDefault="00D42448"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hyperlink w:anchor="_Toc58330232" w:history="1">
            <w:r w:rsidR="004224C0" w:rsidRPr="009F505D">
              <w:rPr>
                <w:rStyle w:val="Hipervnculo"/>
                <w:rFonts w:ascii="Verdana" w:hAnsi="Verdana"/>
                <w:noProof/>
              </w:rPr>
              <w:t>VIi.3 DERECHO A LA INTEGRIDAD PERSONAL DE FAMILIARES DE LAS VÍCTIMAS FALLECIDAS en relación con las obligaciones de respetarlo y garantizarlo</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_Toc58330232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36</w:t>
            </w:r>
            <w:r w:rsidR="004224C0" w:rsidRPr="009F505D">
              <w:rPr>
                <w:rFonts w:ascii="Verdana" w:hAnsi="Verdana"/>
                <w:noProof/>
                <w:webHidden/>
              </w:rPr>
              <w:fldChar w:fldCharType="end"/>
            </w:r>
          </w:hyperlink>
        </w:p>
        <w:p w14:paraId="117E7634" w14:textId="32461432"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33" w:history="1">
            <w:r w:rsidR="00636572" w:rsidRPr="002A479E">
              <w:rPr>
                <w:rStyle w:val="Hipervnculo"/>
                <w:rFonts w:ascii="Verdana" w:hAnsi="Verdana"/>
                <w:b/>
                <w:i/>
                <w:noProof/>
              </w:rPr>
              <w:t>A</w:t>
            </w:r>
            <w:r w:rsidR="004224C0" w:rsidRPr="002A479E">
              <w:rPr>
                <w:rStyle w:val="Hipervnculo"/>
                <w:rFonts w:ascii="Verdana" w:hAnsi="Verdana"/>
                <w:b/>
                <w:i/>
                <w:noProof/>
              </w:rPr>
              <w:t>.</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Argumentos de las partes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_Toc58330233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36</w:t>
            </w:r>
            <w:r w:rsidR="004224C0" w:rsidRPr="009F505D">
              <w:rPr>
                <w:rFonts w:ascii="Verdana" w:hAnsi="Verdana"/>
                <w:noProof/>
                <w:webHidden/>
              </w:rPr>
              <w:fldChar w:fldCharType="end"/>
            </w:r>
          </w:hyperlink>
        </w:p>
        <w:p w14:paraId="3B8960DD" w14:textId="15E09FD8"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34" w:history="1">
            <w:r w:rsidR="00636572" w:rsidRPr="002A479E">
              <w:rPr>
                <w:rStyle w:val="Hipervnculo"/>
                <w:rFonts w:ascii="Verdana" w:hAnsi="Verdana"/>
                <w:b/>
                <w:i/>
                <w:noProof/>
              </w:rPr>
              <w:t>B</w:t>
            </w:r>
            <w:r w:rsidR="004224C0" w:rsidRPr="002A479E">
              <w:rPr>
                <w:rStyle w:val="Hipervnculo"/>
                <w:rFonts w:ascii="Verdana" w:hAnsi="Verdana"/>
                <w:b/>
                <w:i/>
                <w:noProof/>
              </w:rPr>
              <w:t>.</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Consideraciones de la Corte</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_Toc58330234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36</w:t>
            </w:r>
            <w:r w:rsidR="004224C0" w:rsidRPr="009F505D">
              <w:rPr>
                <w:rFonts w:ascii="Verdana" w:hAnsi="Verdana"/>
                <w:noProof/>
                <w:webHidden/>
              </w:rPr>
              <w:fldChar w:fldCharType="end"/>
            </w:r>
          </w:hyperlink>
        </w:p>
        <w:p w14:paraId="2055CC10" w14:textId="4F51B406" w:rsidR="004224C0" w:rsidRPr="009F505D" w:rsidRDefault="00D42448"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hyperlink w:anchor="_Toc58330235" w:history="1">
            <w:r w:rsidR="004224C0" w:rsidRPr="009F505D">
              <w:rPr>
                <w:rStyle w:val="Hipervnculo"/>
                <w:rFonts w:ascii="Verdana" w:hAnsi="Verdana"/>
                <w:noProof/>
              </w:rPr>
              <w:t>VIII REPARACIONES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_Toc58330235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37</w:t>
            </w:r>
            <w:r w:rsidR="004224C0" w:rsidRPr="009F505D">
              <w:rPr>
                <w:rFonts w:ascii="Verdana" w:hAnsi="Verdana"/>
                <w:noProof/>
                <w:webHidden/>
              </w:rPr>
              <w:fldChar w:fldCharType="end"/>
            </w:r>
          </w:hyperlink>
        </w:p>
        <w:p w14:paraId="16824A1F" w14:textId="60B5ED0B"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36" w:history="1">
            <w:r w:rsidR="004224C0" w:rsidRPr="002A479E">
              <w:rPr>
                <w:rStyle w:val="Hipervnculo"/>
                <w:rFonts w:ascii="Verdana" w:hAnsi="Verdana"/>
                <w:b/>
                <w:i/>
                <w:noProof/>
                <w:lang w:eastAsia="en-US"/>
              </w:rPr>
              <w:t>A.</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Parte Lesionada</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_Toc58330236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38</w:t>
            </w:r>
            <w:r w:rsidR="004224C0" w:rsidRPr="009F505D">
              <w:rPr>
                <w:rFonts w:ascii="Verdana" w:hAnsi="Verdana"/>
                <w:noProof/>
                <w:webHidden/>
              </w:rPr>
              <w:fldChar w:fldCharType="end"/>
            </w:r>
          </w:hyperlink>
        </w:p>
        <w:p w14:paraId="1F62459B" w14:textId="2C0C0E06"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37" w:history="1">
            <w:r w:rsidR="004224C0" w:rsidRPr="002A479E">
              <w:rPr>
                <w:rStyle w:val="Hipervnculo"/>
                <w:rFonts w:ascii="Verdana" w:hAnsi="Verdana"/>
                <w:b/>
                <w:i/>
                <w:noProof/>
                <w:lang w:eastAsia="en-US"/>
              </w:rPr>
              <w:t>B.</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Obligación de investigar</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_Toc58330237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38</w:t>
            </w:r>
            <w:r w:rsidR="004224C0" w:rsidRPr="009F505D">
              <w:rPr>
                <w:rFonts w:ascii="Verdana" w:hAnsi="Verdana"/>
                <w:noProof/>
                <w:webHidden/>
              </w:rPr>
              <w:fldChar w:fldCharType="end"/>
            </w:r>
          </w:hyperlink>
        </w:p>
        <w:p w14:paraId="18150395" w14:textId="633A5EF3"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38" w:history="1">
            <w:r w:rsidR="004224C0" w:rsidRPr="002A479E">
              <w:rPr>
                <w:rStyle w:val="Hipervnculo"/>
                <w:rFonts w:ascii="Verdana" w:hAnsi="Verdana"/>
                <w:b/>
                <w:i/>
                <w:noProof/>
                <w:lang w:eastAsia="en-US"/>
              </w:rPr>
              <w:t>C.</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Medidas de rehabilitación</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_Toc58330238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39</w:t>
            </w:r>
            <w:r w:rsidR="004224C0" w:rsidRPr="009F505D">
              <w:rPr>
                <w:rFonts w:ascii="Verdana" w:hAnsi="Verdana"/>
                <w:noProof/>
                <w:webHidden/>
              </w:rPr>
              <w:fldChar w:fldCharType="end"/>
            </w:r>
          </w:hyperlink>
        </w:p>
        <w:p w14:paraId="79372E69" w14:textId="70A75748"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39" w:history="1">
            <w:r w:rsidR="004224C0" w:rsidRPr="002A479E">
              <w:rPr>
                <w:rStyle w:val="Hipervnculo"/>
                <w:rFonts w:ascii="Verdana" w:hAnsi="Verdana"/>
                <w:b/>
                <w:i/>
                <w:noProof/>
                <w:lang w:eastAsia="en-US"/>
              </w:rPr>
              <w:t>D.</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rPr>
              <w:t>Medidas de satisfacción</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_Toc58330239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40</w:t>
            </w:r>
            <w:r w:rsidR="004224C0" w:rsidRPr="009F505D">
              <w:rPr>
                <w:rFonts w:ascii="Verdana" w:hAnsi="Verdana"/>
                <w:noProof/>
                <w:webHidden/>
              </w:rPr>
              <w:fldChar w:fldCharType="end"/>
            </w:r>
          </w:hyperlink>
        </w:p>
        <w:p w14:paraId="54FC76B1" w14:textId="5E73D8F8"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40" w:history="1">
            <w:r w:rsidR="004224C0" w:rsidRPr="002A479E">
              <w:rPr>
                <w:rStyle w:val="Hipervnculo"/>
                <w:rFonts w:ascii="Verdana" w:hAnsi="Verdana"/>
                <w:b/>
                <w:i/>
                <w:noProof/>
                <w:lang w:eastAsia="en-US"/>
              </w:rPr>
              <w:t>E.</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lang w:eastAsia="en-US"/>
              </w:rPr>
              <w:t>Garantías de no repetición</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_Toc58330240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40</w:t>
            </w:r>
            <w:r w:rsidR="004224C0" w:rsidRPr="009F505D">
              <w:rPr>
                <w:rFonts w:ascii="Verdana" w:hAnsi="Verdana"/>
                <w:noProof/>
                <w:webHidden/>
              </w:rPr>
              <w:fldChar w:fldCharType="end"/>
            </w:r>
          </w:hyperlink>
        </w:p>
        <w:p w14:paraId="74624A93" w14:textId="41BE600A"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41" w:history="1">
            <w:r w:rsidR="004224C0" w:rsidRPr="002A479E">
              <w:rPr>
                <w:rStyle w:val="Hipervnculo"/>
                <w:rFonts w:ascii="Verdana" w:hAnsi="Verdana"/>
                <w:b/>
                <w:i/>
                <w:noProof/>
                <w:lang w:eastAsia="en-US"/>
              </w:rPr>
              <w:t>F.</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lang w:eastAsia="en-US"/>
              </w:rPr>
              <w:t>Otras medidas solicitadas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_Toc58330241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45</w:t>
            </w:r>
            <w:r w:rsidR="004224C0" w:rsidRPr="009F505D">
              <w:rPr>
                <w:rFonts w:ascii="Verdana" w:hAnsi="Verdana"/>
                <w:noProof/>
                <w:webHidden/>
              </w:rPr>
              <w:fldChar w:fldCharType="end"/>
            </w:r>
          </w:hyperlink>
        </w:p>
        <w:p w14:paraId="79D3E747" w14:textId="58F0AAA4"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42" w:history="1">
            <w:r w:rsidR="004224C0" w:rsidRPr="002A479E">
              <w:rPr>
                <w:rStyle w:val="Hipervnculo"/>
                <w:rFonts w:ascii="Verdana" w:hAnsi="Verdana"/>
                <w:b/>
                <w:i/>
                <w:noProof/>
                <w:lang w:eastAsia="en-US"/>
              </w:rPr>
              <w:t>G.</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lang w:eastAsia="en-US"/>
              </w:rPr>
              <w:t>Indemnizaciones compensatorias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_Toc58330242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45</w:t>
            </w:r>
            <w:r w:rsidR="004224C0" w:rsidRPr="009F505D">
              <w:rPr>
                <w:rFonts w:ascii="Verdana" w:hAnsi="Verdana"/>
                <w:noProof/>
                <w:webHidden/>
              </w:rPr>
              <w:fldChar w:fldCharType="end"/>
            </w:r>
          </w:hyperlink>
        </w:p>
        <w:p w14:paraId="515C94FD" w14:textId="5FBC7DA2"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43" w:history="1">
            <w:r w:rsidR="004224C0" w:rsidRPr="002A479E">
              <w:rPr>
                <w:rStyle w:val="Hipervnculo"/>
                <w:rFonts w:ascii="Verdana" w:hAnsi="Verdana"/>
                <w:b/>
                <w:i/>
                <w:noProof/>
                <w:lang w:eastAsia="en-US"/>
              </w:rPr>
              <w:t>H.</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lang w:eastAsia="en-US"/>
              </w:rPr>
              <w:t>Costas y gastos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_Toc58330243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47</w:t>
            </w:r>
            <w:r w:rsidR="004224C0" w:rsidRPr="009F505D">
              <w:rPr>
                <w:rFonts w:ascii="Verdana" w:hAnsi="Verdana"/>
                <w:noProof/>
                <w:webHidden/>
              </w:rPr>
              <w:fldChar w:fldCharType="end"/>
            </w:r>
          </w:hyperlink>
        </w:p>
        <w:p w14:paraId="67CC9409" w14:textId="152049A2"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44" w:history="1">
            <w:r w:rsidR="004224C0" w:rsidRPr="002A479E">
              <w:rPr>
                <w:rStyle w:val="Hipervnculo"/>
                <w:rFonts w:ascii="Verdana" w:hAnsi="Verdana"/>
                <w:b/>
                <w:i/>
                <w:noProof/>
                <w:lang w:eastAsia="en-US"/>
              </w:rPr>
              <w:t>I.</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lang w:eastAsia="en-US"/>
              </w:rPr>
              <w:t>Fondo de Asistencia Legal de Víctimas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_Toc58330244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48</w:t>
            </w:r>
            <w:r w:rsidR="004224C0" w:rsidRPr="009F505D">
              <w:rPr>
                <w:rFonts w:ascii="Verdana" w:hAnsi="Verdana"/>
                <w:noProof/>
                <w:webHidden/>
              </w:rPr>
              <w:fldChar w:fldCharType="end"/>
            </w:r>
          </w:hyperlink>
        </w:p>
        <w:p w14:paraId="2E580D37" w14:textId="59D9948E" w:rsidR="004224C0" w:rsidRPr="009F505D" w:rsidRDefault="00D42448" w:rsidP="009F505D">
          <w:pPr>
            <w:pStyle w:val="TDC2"/>
            <w:tabs>
              <w:tab w:val="left" w:pos="720"/>
              <w:tab w:val="right" w:leader="dot" w:pos="8828"/>
            </w:tabs>
            <w:spacing w:line="360" w:lineRule="auto"/>
            <w:ind w:right="-799"/>
            <w:jc w:val="both"/>
            <w:rPr>
              <w:rFonts w:ascii="Verdana" w:eastAsiaTheme="minorEastAsia" w:hAnsi="Verdana" w:cstheme="minorBidi"/>
              <w:smallCaps w:val="0"/>
              <w:noProof/>
            </w:rPr>
          </w:pPr>
          <w:hyperlink w:anchor="_Toc58330245" w:history="1">
            <w:r w:rsidR="004224C0" w:rsidRPr="002A479E">
              <w:rPr>
                <w:rStyle w:val="Hipervnculo"/>
                <w:rFonts w:ascii="Verdana" w:hAnsi="Verdana"/>
                <w:b/>
                <w:i/>
                <w:noProof/>
                <w:lang w:eastAsia="en-US"/>
              </w:rPr>
              <w:t>J.</w:t>
            </w:r>
            <w:r w:rsidR="004224C0" w:rsidRPr="002A479E">
              <w:rPr>
                <w:rFonts w:ascii="Verdana" w:eastAsiaTheme="minorEastAsia" w:hAnsi="Verdana" w:cstheme="minorBidi"/>
                <w:b/>
                <w:i/>
                <w:smallCaps w:val="0"/>
                <w:noProof/>
              </w:rPr>
              <w:tab/>
            </w:r>
            <w:r w:rsidR="004224C0" w:rsidRPr="002A479E">
              <w:rPr>
                <w:rStyle w:val="Hipervnculo"/>
                <w:rFonts w:ascii="Verdana" w:hAnsi="Verdana"/>
                <w:b/>
                <w:i/>
                <w:noProof/>
                <w:lang w:eastAsia="en-US"/>
              </w:rPr>
              <w:t>Modalidad de cumplimiento</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_Toc58330245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48</w:t>
            </w:r>
            <w:r w:rsidR="004224C0" w:rsidRPr="009F505D">
              <w:rPr>
                <w:rFonts w:ascii="Verdana" w:hAnsi="Verdana"/>
                <w:noProof/>
                <w:webHidden/>
              </w:rPr>
              <w:fldChar w:fldCharType="end"/>
            </w:r>
          </w:hyperlink>
        </w:p>
        <w:p w14:paraId="02FFB8B2" w14:textId="22992BBA" w:rsidR="004224C0" w:rsidRPr="009F505D" w:rsidRDefault="00D42448" w:rsidP="009F505D">
          <w:pPr>
            <w:pStyle w:val="TDC1"/>
            <w:tabs>
              <w:tab w:val="right" w:leader="dot" w:pos="8828"/>
            </w:tabs>
            <w:spacing w:before="0" w:after="0" w:line="360" w:lineRule="auto"/>
            <w:ind w:right="-799"/>
            <w:jc w:val="both"/>
            <w:rPr>
              <w:rFonts w:ascii="Verdana" w:eastAsiaTheme="minorEastAsia" w:hAnsi="Verdana" w:cstheme="minorBidi"/>
              <w:b w:val="0"/>
              <w:bCs w:val="0"/>
              <w:caps w:val="0"/>
              <w:noProof/>
            </w:rPr>
          </w:pPr>
          <w:hyperlink w:anchor="_Toc58330246" w:history="1">
            <w:r w:rsidR="004224C0" w:rsidRPr="009F505D">
              <w:rPr>
                <w:rStyle w:val="Hipervnculo"/>
                <w:rFonts w:ascii="Verdana" w:hAnsi="Verdana"/>
                <w:noProof/>
              </w:rPr>
              <w:t>IX PUNTOS RESOLUTIVOS</w:t>
            </w:r>
            <w:r w:rsidR="004224C0" w:rsidRPr="009F505D">
              <w:rPr>
                <w:rFonts w:ascii="Verdana" w:hAnsi="Verdana"/>
                <w:noProof/>
                <w:webHidden/>
              </w:rPr>
              <w:tab/>
            </w:r>
            <w:r w:rsidR="004224C0" w:rsidRPr="009F505D">
              <w:rPr>
                <w:rFonts w:ascii="Verdana" w:hAnsi="Verdana"/>
                <w:noProof/>
                <w:webHidden/>
              </w:rPr>
              <w:fldChar w:fldCharType="begin"/>
            </w:r>
            <w:r w:rsidR="004224C0" w:rsidRPr="009F505D">
              <w:rPr>
                <w:rFonts w:ascii="Verdana" w:hAnsi="Verdana"/>
                <w:noProof/>
                <w:webHidden/>
              </w:rPr>
              <w:instrText xml:space="preserve"> PAGEREF _Toc58330246 \h </w:instrText>
            </w:r>
            <w:r w:rsidR="004224C0" w:rsidRPr="009F505D">
              <w:rPr>
                <w:rFonts w:ascii="Verdana" w:hAnsi="Verdana"/>
                <w:noProof/>
                <w:webHidden/>
              </w:rPr>
            </w:r>
            <w:r w:rsidR="004224C0" w:rsidRPr="009F505D">
              <w:rPr>
                <w:rFonts w:ascii="Verdana" w:hAnsi="Verdana"/>
                <w:noProof/>
                <w:webHidden/>
              </w:rPr>
              <w:fldChar w:fldCharType="separate"/>
            </w:r>
            <w:r w:rsidR="003667C0">
              <w:rPr>
                <w:rFonts w:ascii="Verdana" w:hAnsi="Verdana"/>
                <w:noProof/>
                <w:webHidden/>
              </w:rPr>
              <w:t>49</w:t>
            </w:r>
            <w:r w:rsidR="004224C0" w:rsidRPr="009F505D">
              <w:rPr>
                <w:rFonts w:ascii="Verdana" w:hAnsi="Verdana"/>
                <w:noProof/>
                <w:webHidden/>
              </w:rPr>
              <w:fldChar w:fldCharType="end"/>
            </w:r>
          </w:hyperlink>
        </w:p>
        <w:p w14:paraId="5CDF35BF" w14:textId="1DDF560A" w:rsidR="00DC13A7" w:rsidRPr="004754B0" w:rsidRDefault="004224C0" w:rsidP="009F505D">
          <w:pPr>
            <w:spacing w:line="360" w:lineRule="auto"/>
            <w:ind w:right="-799"/>
            <w:rPr>
              <w:sz w:val="22"/>
              <w:szCs w:val="22"/>
            </w:rPr>
          </w:pPr>
          <w:r w:rsidRPr="009F505D">
            <w:rPr>
              <w:sz w:val="20"/>
              <w:szCs w:val="20"/>
            </w:rPr>
            <w:fldChar w:fldCharType="end"/>
          </w:r>
        </w:p>
      </w:sdtContent>
    </w:sdt>
    <w:p w14:paraId="7A1DD473" w14:textId="77777777" w:rsidR="00DC13A7" w:rsidRPr="004754B0" w:rsidRDefault="00DC13A7" w:rsidP="00B476ED">
      <w:pPr>
        <w:widowControl/>
        <w:adjustRightInd/>
        <w:spacing w:line="240" w:lineRule="auto"/>
        <w:ind w:right="-801"/>
        <w:jc w:val="left"/>
        <w:textAlignment w:val="auto"/>
        <w:rPr>
          <w:rFonts w:cs="Verdana"/>
          <w:b/>
          <w:bCs/>
          <w:caps/>
          <w:snapToGrid w:val="0"/>
          <w:sz w:val="22"/>
          <w:szCs w:val="22"/>
        </w:rPr>
      </w:pPr>
      <w:r w:rsidRPr="004754B0">
        <w:rPr>
          <w:rFonts w:cs="Verdana"/>
          <w:b/>
          <w:bCs/>
          <w:caps/>
          <w:snapToGrid w:val="0"/>
          <w:sz w:val="22"/>
          <w:szCs w:val="22"/>
        </w:rPr>
        <w:br w:type="page"/>
      </w:r>
    </w:p>
    <w:p w14:paraId="399A9412" w14:textId="77777777" w:rsidR="00DC13A7" w:rsidRDefault="00DC13A7" w:rsidP="00B476ED">
      <w:pPr>
        <w:pStyle w:val="Ttulo1"/>
        <w:spacing w:before="0" w:after="0"/>
        <w:ind w:right="-801"/>
      </w:pPr>
    </w:p>
    <w:p w14:paraId="5368BFD5" w14:textId="251ED182" w:rsidR="00C5289C" w:rsidRDefault="00C5289C" w:rsidP="00B476ED">
      <w:pPr>
        <w:pStyle w:val="Ttulo1"/>
        <w:spacing w:before="0" w:after="0"/>
        <w:ind w:right="-801"/>
      </w:pPr>
      <w:bookmarkStart w:id="0" w:name="_Toc58330199"/>
      <w:r w:rsidRPr="004754B0">
        <w:t>I</w:t>
      </w:r>
      <w:r w:rsidRPr="004754B0">
        <w:br/>
        <w:t>INTRODUCCIÓN DE LA CAUSA Y OBJETO DE LA CONTROVERSIA</w:t>
      </w:r>
      <w:bookmarkEnd w:id="0"/>
    </w:p>
    <w:p w14:paraId="3782095B" w14:textId="77777777" w:rsidR="00DC13A7" w:rsidRPr="00DC13A7" w:rsidRDefault="00DC13A7" w:rsidP="00B476ED">
      <w:pPr>
        <w:pStyle w:val="Ttulo1"/>
        <w:spacing w:before="0" w:after="0"/>
        <w:ind w:right="-801"/>
      </w:pPr>
    </w:p>
    <w:p w14:paraId="749430CB" w14:textId="18F6BA52" w:rsidR="00C5289C" w:rsidRPr="004754B0" w:rsidRDefault="00C5289C" w:rsidP="00B476ED">
      <w:pPr>
        <w:numPr>
          <w:ilvl w:val="0"/>
          <w:numId w:val="1"/>
        </w:numPr>
        <w:tabs>
          <w:tab w:val="left" w:pos="567"/>
          <w:tab w:val="num" w:pos="1569"/>
          <w:tab w:val="num" w:pos="12305"/>
        </w:tabs>
        <w:spacing w:line="240" w:lineRule="auto"/>
        <w:ind w:left="0" w:right="-801" w:firstLine="0"/>
        <w:rPr>
          <w:sz w:val="20"/>
          <w:szCs w:val="20"/>
          <w:lang w:val="es-ES_tradnl"/>
        </w:rPr>
      </w:pPr>
      <w:r w:rsidRPr="004754B0">
        <w:rPr>
          <w:i/>
          <w:sz w:val="20"/>
          <w:szCs w:val="20"/>
        </w:rPr>
        <w:t xml:space="preserve">El caso sometido a la Corte. </w:t>
      </w:r>
      <w:r w:rsidRPr="004754B0">
        <w:rPr>
          <w:sz w:val="20"/>
          <w:szCs w:val="20"/>
        </w:rPr>
        <w:t xml:space="preserve">– El 29 de marzo de 2019 la Comisión Interamericana de Derechos Humanos (en adelante también “la Comisión Interamericana” o “la Comisión”) sometió a la jurisdicción de la Corte el caso “José Gregorio Mota </w:t>
      </w:r>
      <w:proofErr w:type="spellStart"/>
      <w:r w:rsidRPr="004754B0">
        <w:rPr>
          <w:sz w:val="20"/>
          <w:szCs w:val="20"/>
        </w:rPr>
        <w:t>Abarullo</w:t>
      </w:r>
      <w:proofErr w:type="spellEnd"/>
      <w:r w:rsidRPr="004754B0">
        <w:rPr>
          <w:sz w:val="20"/>
          <w:szCs w:val="20"/>
        </w:rPr>
        <w:t xml:space="preserve"> y Otros (Muertes en la Cárcel de San Félix)” contra la República Bolivariana de Venezuela (en adelante “el Estado” o “Venezuela”). </w:t>
      </w:r>
      <w:r>
        <w:rPr>
          <w:sz w:val="20"/>
          <w:szCs w:val="20"/>
        </w:rPr>
        <w:t>E</w:t>
      </w:r>
      <w:r w:rsidRPr="004754B0">
        <w:rPr>
          <w:sz w:val="20"/>
          <w:szCs w:val="20"/>
          <w:lang w:val="es-ES_tradnl"/>
        </w:rPr>
        <w:t xml:space="preserve">l caso se relaciona con la alegada responsabilidad del Estado por las muertes de José Gregorio Mota </w:t>
      </w:r>
      <w:proofErr w:type="spellStart"/>
      <w:r w:rsidRPr="004754B0">
        <w:rPr>
          <w:sz w:val="20"/>
          <w:szCs w:val="20"/>
          <w:lang w:val="es-ES_tradnl"/>
        </w:rPr>
        <w:t>Abarullo</w:t>
      </w:r>
      <w:proofErr w:type="spellEnd"/>
      <w:r w:rsidRPr="004754B0">
        <w:rPr>
          <w:sz w:val="20"/>
          <w:szCs w:val="20"/>
          <w:lang w:val="es-ES_tradnl"/>
        </w:rPr>
        <w:t>, Gabriel de Jesús Yáñez Sánchez, Rafael Antonio Parra Herrera, Cristi</w:t>
      </w:r>
      <w:r w:rsidR="0077020F">
        <w:rPr>
          <w:sz w:val="20"/>
          <w:szCs w:val="20"/>
          <w:lang w:val="es-ES_tradnl"/>
        </w:rPr>
        <w:t>a</w:t>
      </w:r>
      <w:r w:rsidRPr="004754B0">
        <w:rPr>
          <w:sz w:val="20"/>
          <w:szCs w:val="20"/>
          <w:lang w:val="es-ES_tradnl"/>
        </w:rPr>
        <w:t>n Arnaldo Molina Córdova</w:t>
      </w:r>
      <w:r w:rsidR="00F92294">
        <w:rPr>
          <w:rStyle w:val="Refdenotaalpie"/>
          <w:sz w:val="20"/>
          <w:szCs w:val="20"/>
          <w:lang w:val="es-ES_tradnl"/>
        </w:rPr>
        <w:footnoteReference w:id="1"/>
      </w:r>
      <w:r w:rsidRPr="004754B0">
        <w:rPr>
          <w:sz w:val="20"/>
          <w:szCs w:val="20"/>
          <w:lang w:val="es-ES_tradnl"/>
        </w:rPr>
        <w:t xml:space="preserve"> y Johan José Correa</w:t>
      </w:r>
      <w:r w:rsidRPr="00B03A88">
        <w:rPr>
          <w:sz w:val="20"/>
          <w:szCs w:val="20"/>
          <w:lang w:val="es-ES_tradnl"/>
        </w:rPr>
        <w:t>,</w:t>
      </w:r>
      <w:r w:rsidRPr="004754B0">
        <w:rPr>
          <w:sz w:val="20"/>
          <w:szCs w:val="20"/>
          <w:lang w:val="es-ES_tradnl"/>
        </w:rPr>
        <w:t xml:space="preserve"> como consecuencia de un incendio ocurrido el 30 de junio de 2005 en la celda en la que se </w:t>
      </w:r>
      <w:r w:rsidRPr="00EA0726">
        <w:rPr>
          <w:sz w:val="20"/>
          <w:szCs w:val="20"/>
          <w:lang w:val="es-ES_tradnl"/>
        </w:rPr>
        <w:t xml:space="preserve">encontraban privados de libertad, dentro del “Centro de Tratamiento y Diagnóstico ‘Monseñor Juan José Bernal’”, un </w:t>
      </w:r>
      <w:r w:rsidR="00C655BE">
        <w:rPr>
          <w:sz w:val="20"/>
          <w:szCs w:val="20"/>
          <w:lang w:val="es-ES_tradnl"/>
        </w:rPr>
        <w:t>c</w:t>
      </w:r>
      <w:r w:rsidRPr="00EA0726">
        <w:rPr>
          <w:sz w:val="20"/>
          <w:szCs w:val="20"/>
          <w:lang w:val="es-ES_tradnl"/>
        </w:rPr>
        <w:t>entro de detención de adolescentes en conflicto con la ley penal, adscrito al Instituto Nacional de Atención del Menor (INAM), ubicado en la localidad de San Félix, en el municipio Caroní, en Ciudad Guayana</w:t>
      </w:r>
      <w:r w:rsidRPr="004754B0">
        <w:rPr>
          <w:sz w:val="20"/>
          <w:szCs w:val="20"/>
          <w:lang w:val="es-ES_tradnl"/>
        </w:rPr>
        <w:t>, Estado Bolívar (en adelante</w:t>
      </w:r>
      <w:r w:rsidR="00DC13A7">
        <w:rPr>
          <w:sz w:val="20"/>
          <w:szCs w:val="20"/>
          <w:lang w:val="es-ES_tradnl"/>
        </w:rPr>
        <w:t xml:space="preserve"> también</w:t>
      </w:r>
      <w:r w:rsidRPr="004754B0">
        <w:rPr>
          <w:sz w:val="20"/>
          <w:szCs w:val="20"/>
          <w:lang w:val="es-ES_tradnl"/>
        </w:rPr>
        <w:t xml:space="preserve"> “Centro” o “INAM-San F</w:t>
      </w:r>
      <w:r w:rsidR="00C655BE">
        <w:rPr>
          <w:sz w:val="20"/>
          <w:szCs w:val="20"/>
          <w:lang w:val="es-ES_tradnl"/>
        </w:rPr>
        <w:t>é</w:t>
      </w:r>
      <w:r w:rsidRPr="004754B0">
        <w:rPr>
          <w:sz w:val="20"/>
          <w:szCs w:val="20"/>
          <w:lang w:val="es-ES_tradnl"/>
        </w:rPr>
        <w:t xml:space="preserve">lix”). </w:t>
      </w:r>
      <w:r w:rsidRPr="003A5C19">
        <w:rPr>
          <w:sz w:val="20"/>
          <w:szCs w:val="20"/>
          <w:lang w:val="es-ES_tradnl"/>
        </w:rPr>
        <w:t xml:space="preserve">La Comisión determinó que Venezuela violó los derechos a la vida e integridad personal de las personas nombradas “en relación con las obligaciones en materia de niñez, en vista de[l] incumplimiento del deber de prevención y del sufrimiento causado”. Adujo, al respecto, que los jóvenes fallecidos, de más de 18 </w:t>
      </w:r>
      <w:proofErr w:type="gramStart"/>
      <w:r w:rsidRPr="003A5C19">
        <w:rPr>
          <w:sz w:val="20"/>
          <w:szCs w:val="20"/>
          <w:lang w:val="es-ES_tradnl"/>
        </w:rPr>
        <w:t>años de edad</w:t>
      </w:r>
      <w:proofErr w:type="gramEnd"/>
      <w:r w:rsidRPr="003A5C19">
        <w:rPr>
          <w:sz w:val="20"/>
          <w:szCs w:val="20"/>
          <w:lang w:val="es-ES_tradnl"/>
        </w:rPr>
        <w:t xml:space="preserve"> al momento del incendio, ingresaron al Centro siendo adolescentes</w:t>
      </w:r>
      <w:r w:rsidRPr="00B03A88">
        <w:rPr>
          <w:sz w:val="20"/>
          <w:szCs w:val="20"/>
          <w:lang w:val="es-ES_tradnl"/>
        </w:rPr>
        <w:t>.</w:t>
      </w:r>
      <w:r>
        <w:rPr>
          <w:sz w:val="20"/>
          <w:szCs w:val="20"/>
          <w:lang w:val="es-ES_tradnl"/>
        </w:rPr>
        <w:t xml:space="preserve"> </w:t>
      </w:r>
      <w:r w:rsidRPr="004754B0">
        <w:rPr>
          <w:sz w:val="20"/>
          <w:szCs w:val="20"/>
          <w:lang w:val="es-ES_tradnl"/>
        </w:rPr>
        <w:t>También “identificó una serie de elementos que ponen de manifiesto la falta de una política penitenciaria de prevención de situac</w:t>
      </w:r>
      <w:r w:rsidR="00BD2ED8">
        <w:rPr>
          <w:sz w:val="20"/>
          <w:szCs w:val="20"/>
          <w:lang w:val="es-ES_tradnl"/>
        </w:rPr>
        <w:t>iones críticas en el INAM-San Fé</w:t>
      </w:r>
      <w:r w:rsidRPr="004754B0">
        <w:rPr>
          <w:sz w:val="20"/>
          <w:szCs w:val="20"/>
          <w:lang w:val="es-ES_tradnl"/>
        </w:rPr>
        <w:t xml:space="preserve">lix”, reflejada en “situaciones críticas”, en particular, condiciones de hacinamiento y falta de infraestructura. Además, consideró atribuible al Estado la “negligencia de personal del Centro y el Cuerpo de Bomberos” para apagar el incendio. Por otra parte, dada la falta de un “recurso efectivo para esclarecer lo sucedido” y establecer responsabilidades, tomando en cuenta la “impunidad” en que permanecen los hechos y el tiempo transcurrido desde los mismos y desde la imputación, en 2006, a presuntos responsables, la Comisión determinó que los familiares de los fallecidos vieron vulnerados sus derechos a las garantías y protección judiciales. </w:t>
      </w:r>
    </w:p>
    <w:p w14:paraId="7420DF2B" w14:textId="77777777" w:rsidR="00C5289C" w:rsidRPr="004754B0" w:rsidRDefault="00C5289C" w:rsidP="00B476ED">
      <w:pPr>
        <w:pStyle w:val="Prrafodelista"/>
        <w:spacing w:line="240" w:lineRule="auto"/>
        <w:ind w:left="0" w:right="-801"/>
        <w:rPr>
          <w:sz w:val="20"/>
          <w:szCs w:val="20"/>
          <w:lang w:val="es-ES_tradnl"/>
        </w:rPr>
      </w:pPr>
    </w:p>
    <w:p w14:paraId="2C1E658A" w14:textId="77777777" w:rsidR="00C5289C" w:rsidRPr="004754B0" w:rsidRDefault="00C5289C" w:rsidP="00B476ED">
      <w:pPr>
        <w:numPr>
          <w:ilvl w:val="0"/>
          <w:numId w:val="1"/>
        </w:numPr>
        <w:tabs>
          <w:tab w:val="left" w:pos="567"/>
          <w:tab w:val="num" w:pos="1569"/>
          <w:tab w:val="num" w:pos="12305"/>
        </w:tabs>
        <w:spacing w:line="240" w:lineRule="auto"/>
        <w:ind w:left="0" w:right="-801" w:firstLine="0"/>
        <w:rPr>
          <w:sz w:val="20"/>
          <w:szCs w:val="20"/>
        </w:rPr>
      </w:pPr>
      <w:bookmarkStart w:id="1" w:name="_Ref15466599"/>
      <w:r w:rsidRPr="004754B0">
        <w:rPr>
          <w:i/>
          <w:sz w:val="20"/>
          <w:szCs w:val="20"/>
        </w:rPr>
        <w:t>Trámite ante la Comisión.</w:t>
      </w:r>
      <w:r w:rsidRPr="004754B0">
        <w:rPr>
          <w:sz w:val="20"/>
          <w:szCs w:val="20"/>
        </w:rPr>
        <w:t xml:space="preserve"> – El trámite ante la Comisión fue el siguiente:</w:t>
      </w:r>
      <w:bookmarkEnd w:id="1"/>
    </w:p>
    <w:p w14:paraId="252A2EC9" w14:textId="77777777" w:rsidR="00C5289C" w:rsidRPr="004754B0" w:rsidRDefault="00C5289C" w:rsidP="00B476ED">
      <w:pPr>
        <w:pStyle w:val="Prrafodelista"/>
        <w:spacing w:line="240" w:lineRule="auto"/>
        <w:ind w:right="-801"/>
        <w:rPr>
          <w:sz w:val="20"/>
          <w:szCs w:val="20"/>
        </w:rPr>
      </w:pPr>
    </w:p>
    <w:p w14:paraId="5E518BB7" w14:textId="77777777" w:rsidR="00C5289C" w:rsidRPr="004754B0" w:rsidRDefault="00C5289C" w:rsidP="00B476ED">
      <w:pPr>
        <w:pStyle w:val="Prrafodelista"/>
        <w:widowControl/>
        <w:numPr>
          <w:ilvl w:val="0"/>
          <w:numId w:val="2"/>
        </w:numPr>
        <w:adjustRightInd/>
        <w:spacing w:line="240" w:lineRule="auto"/>
        <w:ind w:right="-801"/>
        <w:textAlignment w:val="auto"/>
        <w:rPr>
          <w:sz w:val="20"/>
          <w:szCs w:val="20"/>
        </w:rPr>
      </w:pPr>
      <w:r w:rsidRPr="004754B0">
        <w:rPr>
          <w:i/>
          <w:sz w:val="20"/>
          <w:szCs w:val="20"/>
        </w:rPr>
        <w:t xml:space="preserve">Petición. </w:t>
      </w:r>
      <w:r w:rsidRPr="004754B0">
        <w:rPr>
          <w:sz w:val="20"/>
          <w:szCs w:val="20"/>
        </w:rPr>
        <w:t xml:space="preserve">– El 12 de octubre de 2007 la Comisión recibió la petición inicial, presentada por el Observatorio Venezolano de Prisiones (OVP). </w:t>
      </w:r>
    </w:p>
    <w:p w14:paraId="7969DC3F" w14:textId="77777777" w:rsidR="00C5289C" w:rsidRPr="004754B0" w:rsidRDefault="00C5289C" w:rsidP="00B476ED">
      <w:pPr>
        <w:widowControl/>
        <w:adjustRightInd/>
        <w:spacing w:line="240" w:lineRule="auto"/>
        <w:ind w:right="-801"/>
        <w:textAlignment w:val="auto"/>
        <w:rPr>
          <w:sz w:val="20"/>
          <w:szCs w:val="20"/>
          <w:highlight w:val="yellow"/>
        </w:rPr>
      </w:pPr>
    </w:p>
    <w:p w14:paraId="6D3344E2" w14:textId="36B7A6E2" w:rsidR="00C5289C" w:rsidRPr="004754B0" w:rsidRDefault="00C5289C" w:rsidP="00B476ED">
      <w:pPr>
        <w:pStyle w:val="Prrafodelista"/>
        <w:widowControl/>
        <w:numPr>
          <w:ilvl w:val="0"/>
          <w:numId w:val="2"/>
        </w:numPr>
        <w:adjustRightInd/>
        <w:spacing w:line="240" w:lineRule="auto"/>
        <w:ind w:right="-801"/>
        <w:textAlignment w:val="auto"/>
        <w:rPr>
          <w:sz w:val="20"/>
          <w:szCs w:val="20"/>
        </w:rPr>
      </w:pPr>
      <w:r w:rsidRPr="004754B0">
        <w:rPr>
          <w:i/>
          <w:sz w:val="20"/>
          <w:szCs w:val="20"/>
        </w:rPr>
        <w:t>Informes de admisibilidad y fondo.</w:t>
      </w:r>
      <w:r w:rsidRPr="004754B0">
        <w:rPr>
          <w:sz w:val="20"/>
          <w:szCs w:val="20"/>
        </w:rPr>
        <w:t xml:space="preserve"> – Los días 8 de noviembre de 2012 y 5 de octubre de 2018 la Comisión aprobó, respectivamente, el Informe de Admisibilidad No. 91/12 y el Informe de Fondo No</w:t>
      </w:r>
      <w:r w:rsidR="007A09FB">
        <w:rPr>
          <w:sz w:val="20"/>
          <w:szCs w:val="20"/>
        </w:rPr>
        <w:t>.</w:t>
      </w:r>
      <w:r w:rsidRPr="004754B0">
        <w:rPr>
          <w:sz w:val="20"/>
          <w:szCs w:val="20"/>
        </w:rPr>
        <w:t xml:space="preserve"> 118/18 (en adelante “Informe de Fondo”) en el cual llegó a una serie de conclusiones</w:t>
      </w:r>
      <w:r w:rsidRPr="00C371A1">
        <w:rPr>
          <w:rStyle w:val="Refdenotaalpie"/>
          <w:sz w:val="20"/>
          <w:szCs w:val="20"/>
        </w:rPr>
        <w:footnoteReference w:id="2"/>
      </w:r>
      <w:r w:rsidRPr="004754B0">
        <w:rPr>
          <w:sz w:val="20"/>
          <w:szCs w:val="20"/>
        </w:rPr>
        <w:t xml:space="preserve"> y formuló varias recomendaciones al Estado</w:t>
      </w:r>
      <w:r w:rsidR="00DE621F">
        <w:rPr>
          <w:sz w:val="20"/>
          <w:szCs w:val="20"/>
        </w:rPr>
        <w:t>.</w:t>
      </w:r>
    </w:p>
    <w:p w14:paraId="62E696CC" w14:textId="77777777" w:rsidR="00C5289C" w:rsidRPr="004754B0" w:rsidRDefault="00C5289C" w:rsidP="00B476ED">
      <w:pPr>
        <w:pStyle w:val="Prrafodelista"/>
        <w:widowControl/>
        <w:adjustRightInd/>
        <w:spacing w:line="240" w:lineRule="auto"/>
        <w:ind w:left="720" w:right="-801"/>
        <w:textAlignment w:val="auto"/>
        <w:rPr>
          <w:sz w:val="20"/>
          <w:szCs w:val="20"/>
        </w:rPr>
      </w:pPr>
    </w:p>
    <w:p w14:paraId="43340453" w14:textId="01C1CD20" w:rsidR="00C5289C" w:rsidRPr="004754B0" w:rsidRDefault="0024736C" w:rsidP="00B476ED">
      <w:pPr>
        <w:widowControl/>
        <w:numPr>
          <w:ilvl w:val="0"/>
          <w:numId w:val="2"/>
        </w:numPr>
        <w:tabs>
          <w:tab w:val="left" w:pos="567"/>
          <w:tab w:val="num" w:pos="1569"/>
          <w:tab w:val="num" w:pos="12305"/>
        </w:tabs>
        <w:adjustRightInd/>
        <w:spacing w:line="240" w:lineRule="auto"/>
        <w:ind w:right="-801"/>
        <w:textAlignment w:val="auto"/>
        <w:rPr>
          <w:sz w:val="20"/>
          <w:szCs w:val="20"/>
        </w:rPr>
      </w:pPr>
      <w:r>
        <w:rPr>
          <w:i/>
          <w:sz w:val="20"/>
          <w:szCs w:val="20"/>
        </w:rPr>
        <w:t xml:space="preserve"> </w:t>
      </w:r>
      <w:r w:rsidR="00C5289C" w:rsidRPr="004754B0">
        <w:rPr>
          <w:i/>
          <w:sz w:val="20"/>
          <w:szCs w:val="20"/>
        </w:rPr>
        <w:t>Notificación al Estado.</w:t>
      </w:r>
      <w:r w:rsidR="00C5289C" w:rsidRPr="004754B0">
        <w:rPr>
          <w:sz w:val="20"/>
          <w:szCs w:val="20"/>
        </w:rPr>
        <w:t xml:space="preserve"> – El Informe de Fondo fue notificado al Estado por medio de una comunicación de 31 de octubre de 2018, en la que la Comisión le otorgó un plazo de dos meses para informar sobre el cumplimiento de las recomendaciones. La Comisión otorgó una prórroga al Estado, pero, conforme indicó, con posterioridad Venezuela no envió información sobre el cumplimiento de lo recomendado</w:t>
      </w:r>
      <w:r w:rsidR="00C5289C">
        <w:rPr>
          <w:sz w:val="20"/>
          <w:szCs w:val="20"/>
        </w:rPr>
        <w:t xml:space="preserve"> y</w:t>
      </w:r>
      <w:r w:rsidR="00C5289C" w:rsidRPr="004754B0">
        <w:rPr>
          <w:sz w:val="20"/>
          <w:szCs w:val="20"/>
        </w:rPr>
        <w:t xml:space="preserve"> tampoco solicitó una nueva prórroga.</w:t>
      </w:r>
    </w:p>
    <w:p w14:paraId="3D96B36D" w14:textId="77777777" w:rsidR="00C5289C" w:rsidRPr="004754B0" w:rsidRDefault="00C5289C" w:rsidP="00B476ED">
      <w:pPr>
        <w:pStyle w:val="Prrafodelista"/>
        <w:spacing w:line="240" w:lineRule="auto"/>
        <w:ind w:right="-801"/>
        <w:rPr>
          <w:sz w:val="20"/>
          <w:szCs w:val="20"/>
          <w:highlight w:val="yellow"/>
        </w:rPr>
      </w:pPr>
    </w:p>
    <w:p w14:paraId="596E3D2E" w14:textId="4222178D" w:rsidR="00C5289C" w:rsidRPr="004754B0" w:rsidRDefault="00C5289C" w:rsidP="00B476ED">
      <w:pPr>
        <w:numPr>
          <w:ilvl w:val="0"/>
          <w:numId w:val="1"/>
        </w:numPr>
        <w:tabs>
          <w:tab w:val="left" w:pos="567"/>
          <w:tab w:val="num" w:pos="1569"/>
          <w:tab w:val="num" w:pos="12305"/>
        </w:tabs>
        <w:spacing w:line="240" w:lineRule="auto"/>
        <w:ind w:left="0" w:right="-801" w:firstLine="0"/>
        <w:rPr>
          <w:sz w:val="20"/>
          <w:szCs w:val="20"/>
        </w:rPr>
      </w:pPr>
      <w:r w:rsidRPr="004754B0">
        <w:rPr>
          <w:i/>
          <w:sz w:val="20"/>
          <w:szCs w:val="20"/>
        </w:rPr>
        <w:t>Sometimiento a la Corte.</w:t>
      </w:r>
      <w:r w:rsidRPr="004754B0">
        <w:rPr>
          <w:sz w:val="20"/>
          <w:szCs w:val="20"/>
        </w:rPr>
        <w:t xml:space="preserve"> – El 28 de marzo de 2019, “ante la necesidad de obtención de justicia y reparación”, la Comisión sometió a la jurisdicción de la Corte “la totalidad de los hechos y violaciones de derechos humanos que [la primera] </w:t>
      </w:r>
      <w:proofErr w:type="spellStart"/>
      <w:r w:rsidRPr="004754B0">
        <w:rPr>
          <w:sz w:val="20"/>
          <w:szCs w:val="20"/>
        </w:rPr>
        <w:t>establec</w:t>
      </w:r>
      <w:proofErr w:type="spellEnd"/>
      <w:r w:rsidRPr="004754B0">
        <w:rPr>
          <w:sz w:val="20"/>
          <w:szCs w:val="20"/>
        </w:rPr>
        <w:t>[</w:t>
      </w:r>
      <w:proofErr w:type="spellStart"/>
      <w:r w:rsidRPr="004754B0">
        <w:rPr>
          <w:sz w:val="20"/>
          <w:szCs w:val="20"/>
        </w:rPr>
        <w:t>ió</w:t>
      </w:r>
      <w:proofErr w:type="spellEnd"/>
      <w:r w:rsidRPr="004754B0">
        <w:rPr>
          <w:sz w:val="20"/>
          <w:szCs w:val="20"/>
        </w:rPr>
        <w:t>] en el Informe de Fondo”</w:t>
      </w:r>
      <w:r w:rsidRPr="00C371A1">
        <w:rPr>
          <w:rStyle w:val="Refdenotaalpie"/>
          <w:sz w:val="20"/>
          <w:szCs w:val="20"/>
        </w:rPr>
        <w:footnoteReference w:id="3"/>
      </w:r>
      <w:r w:rsidRPr="00C371A1">
        <w:rPr>
          <w:sz w:val="20"/>
          <w:szCs w:val="20"/>
        </w:rPr>
        <w:t>.</w:t>
      </w:r>
      <w:r w:rsidRPr="004754B0">
        <w:rPr>
          <w:sz w:val="20"/>
          <w:szCs w:val="20"/>
        </w:rPr>
        <w:t xml:space="preserve"> </w:t>
      </w:r>
    </w:p>
    <w:p w14:paraId="752DECB8" w14:textId="77777777" w:rsidR="00C5289C" w:rsidRPr="004754B0" w:rsidRDefault="00C5289C" w:rsidP="00B476ED">
      <w:pPr>
        <w:tabs>
          <w:tab w:val="left" w:pos="567"/>
        </w:tabs>
        <w:spacing w:line="240" w:lineRule="auto"/>
        <w:ind w:right="-801"/>
        <w:rPr>
          <w:sz w:val="20"/>
          <w:szCs w:val="20"/>
        </w:rPr>
      </w:pPr>
    </w:p>
    <w:p w14:paraId="7DDF34F8" w14:textId="795A2424" w:rsidR="00C5289C" w:rsidRPr="004754B0" w:rsidRDefault="00C5289C" w:rsidP="00B476ED">
      <w:pPr>
        <w:numPr>
          <w:ilvl w:val="0"/>
          <w:numId w:val="1"/>
        </w:numPr>
        <w:tabs>
          <w:tab w:val="left" w:pos="567"/>
          <w:tab w:val="num" w:pos="1569"/>
          <w:tab w:val="num" w:pos="12305"/>
        </w:tabs>
        <w:spacing w:line="240" w:lineRule="auto"/>
        <w:ind w:left="0" w:right="-801" w:firstLine="0"/>
        <w:rPr>
          <w:sz w:val="20"/>
          <w:szCs w:val="20"/>
        </w:rPr>
      </w:pPr>
      <w:r w:rsidRPr="004754B0">
        <w:rPr>
          <w:i/>
          <w:sz w:val="20"/>
          <w:szCs w:val="20"/>
        </w:rPr>
        <w:t xml:space="preserve">Solicitudes de la Comisión Interamericana. </w:t>
      </w:r>
      <w:r w:rsidRPr="004754B0">
        <w:rPr>
          <w:sz w:val="20"/>
          <w:szCs w:val="20"/>
        </w:rPr>
        <w:t>–</w:t>
      </w:r>
      <w:r w:rsidR="00DE621F">
        <w:rPr>
          <w:sz w:val="20"/>
          <w:szCs w:val="20"/>
        </w:rPr>
        <w:t xml:space="preserve"> </w:t>
      </w:r>
      <w:r>
        <w:rPr>
          <w:sz w:val="20"/>
          <w:szCs w:val="20"/>
        </w:rPr>
        <w:t>L</w:t>
      </w:r>
      <w:r w:rsidRPr="004754B0">
        <w:rPr>
          <w:sz w:val="20"/>
          <w:szCs w:val="20"/>
        </w:rPr>
        <w:t>a Comisión solicitó a la Corte que “concluya y declare” la responsabilidad internacional del Estado por las mismas violaciones señaladas en su Informe de Fondo (</w:t>
      </w:r>
      <w:r w:rsidRPr="004754B0">
        <w:rPr>
          <w:i/>
          <w:sz w:val="20"/>
          <w:szCs w:val="20"/>
        </w:rPr>
        <w:t xml:space="preserve">supra </w:t>
      </w:r>
      <w:r w:rsidRPr="004754B0">
        <w:rPr>
          <w:sz w:val="20"/>
          <w:szCs w:val="20"/>
        </w:rPr>
        <w:t xml:space="preserve">nota a pie de página </w:t>
      </w:r>
      <w:r w:rsidR="00C371A1">
        <w:rPr>
          <w:sz w:val="20"/>
          <w:szCs w:val="20"/>
        </w:rPr>
        <w:t>2</w:t>
      </w:r>
      <w:r w:rsidRPr="004754B0">
        <w:rPr>
          <w:sz w:val="20"/>
          <w:szCs w:val="20"/>
        </w:rPr>
        <w:t xml:space="preserve">). Asimismo, </w:t>
      </w:r>
      <w:r>
        <w:rPr>
          <w:sz w:val="20"/>
          <w:szCs w:val="20"/>
        </w:rPr>
        <w:t>requirió que</w:t>
      </w:r>
      <w:r w:rsidRPr="004754B0">
        <w:rPr>
          <w:sz w:val="20"/>
          <w:szCs w:val="20"/>
        </w:rPr>
        <w:t xml:space="preserve"> la Corte ordenara medidas de reparación, las cuales se detallan y analizan en el Capítulo </w:t>
      </w:r>
      <w:r w:rsidR="009246B8">
        <w:rPr>
          <w:sz w:val="20"/>
          <w:szCs w:val="20"/>
        </w:rPr>
        <w:t>VIII</w:t>
      </w:r>
      <w:r w:rsidR="009246B8" w:rsidRPr="004754B0">
        <w:rPr>
          <w:sz w:val="20"/>
          <w:szCs w:val="20"/>
        </w:rPr>
        <w:t xml:space="preserve"> </w:t>
      </w:r>
      <w:r w:rsidRPr="004754B0">
        <w:rPr>
          <w:sz w:val="20"/>
          <w:szCs w:val="20"/>
        </w:rPr>
        <w:t xml:space="preserve">de la presente Sentencia. </w:t>
      </w:r>
      <w:r w:rsidRPr="004754B0">
        <w:rPr>
          <w:sz w:val="20"/>
          <w:szCs w:val="20"/>
          <w:lang w:val="es-ES"/>
        </w:rPr>
        <w:t>Este Tribunal nota, con preocupación, que</w:t>
      </w:r>
      <w:r w:rsidR="009246B8">
        <w:rPr>
          <w:sz w:val="20"/>
          <w:szCs w:val="20"/>
          <w:lang w:val="es-ES"/>
        </w:rPr>
        <w:t>,</w:t>
      </w:r>
      <w:r w:rsidRPr="004754B0">
        <w:rPr>
          <w:sz w:val="20"/>
          <w:szCs w:val="20"/>
          <w:lang w:val="es-ES"/>
        </w:rPr>
        <w:t xml:space="preserve"> entre la presentación de la petición inicial ante la Comisión y el sometimiento del caso ante la Corte, han transcurrido más de 11 años.</w:t>
      </w:r>
    </w:p>
    <w:p w14:paraId="76FFFE1C" w14:textId="77777777" w:rsidR="00C5289C" w:rsidRPr="004754B0" w:rsidRDefault="00C5289C" w:rsidP="00B476ED">
      <w:pPr>
        <w:tabs>
          <w:tab w:val="left" w:pos="567"/>
        </w:tabs>
        <w:spacing w:line="240" w:lineRule="auto"/>
        <w:ind w:right="-801"/>
        <w:rPr>
          <w:sz w:val="20"/>
          <w:szCs w:val="20"/>
        </w:rPr>
      </w:pPr>
    </w:p>
    <w:p w14:paraId="55C4674A" w14:textId="37A552D9" w:rsidR="00C5289C" w:rsidRPr="004754B0" w:rsidRDefault="00C5289C" w:rsidP="00B476ED">
      <w:pPr>
        <w:pStyle w:val="Ttulo1"/>
        <w:spacing w:before="0" w:after="0"/>
        <w:ind w:right="-801"/>
      </w:pPr>
      <w:bookmarkStart w:id="2" w:name="_Toc58330200"/>
      <w:r w:rsidRPr="004754B0">
        <w:t>II</w:t>
      </w:r>
      <w:r w:rsidRPr="004754B0">
        <w:br/>
        <w:t>PROCEDIMIENTO ANTE LA CORTE</w:t>
      </w:r>
      <w:bookmarkEnd w:id="2"/>
    </w:p>
    <w:p w14:paraId="6ABB6A1B" w14:textId="77777777" w:rsidR="00C5289C" w:rsidRPr="004754B0" w:rsidRDefault="00C5289C" w:rsidP="00B476ED">
      <w:pPr>
        <w:spacing w:line="240" w:lineRule="auto"/>
        <w:ind w:right="-801"/>
        <w:rPr>
          <w:sz w:val="20"/>
          <w:szCs w:val="20"/>
          <w:lang w:val="es-MX" w:eastAsia="es-ES"/>
        </w:rPr>
      </w:pPr>
    </w:p>
    <w:p w14:paraId="32E2810D" w14:textId="1AF47FE1" w:rsidR="00C5289C" w:rsidRPr="007A09FB" w:rsidRDefault="00C5289C" w:rsidP="00B476ED">
      <w:pPr>
        <w:numPr>
          <w:ilvl w:val="0"/>
          <w:numId w:val="1"/>
        </w:numPr>
        <w:tabs>
          <w:tab w:val="left" w:pos="567"/>
          <w:tab w:val="num" w:pos="1569"/>
          <w:tab w:val="num" w:pos="12305"/>
        </w:tabs>
        <w:spacing w:line="240" w:lineRule="auto"/>
        <w:ind w:left="0" w:right="-801" w:firstLine="0"/>
        <w:rPr>
          <w:sz w:val="20"/>
          <w:szCs w:val="20"/>
        </w:rPr>
      </w:pPr>
      <w:r w:rsidRPr="007A09FB">
        <w:rPr>
          <w:i/>
          <w:sz w:val="20"/>
          <w:szCs w:val="20"/>
        </w:rPr>
        <w:t xml:space="preserve">Notificación a los representantes y al Estado. </w:t>
      </w:r>
      <w:r w:rsidRPr="007A09FB">
        <w:rPr>
          <w:sz w:val="20"/>
          <w:szCs w:val="20"/>
        </w:rPr>
        <w:t xml:space="preserve">– El sometimiento del caso por parte de la Comisión fue notificado por la Corte </w:t>
      </w:r>
      <w:r w:rsidR="00F73036" w:rsidRPr="008E4FC2">
        <w:rPr>
          <w:sz w:val="20"/>
          <w:szCs w:val="20"/>
        </w:rPr>
        <w:t xml:space="preserve">Interamericana </w:t>
      </w:r>
      <w:r w:rsidRPr="008E4FC2">
        <w:rPr>
          <w:sz w:val="20"/>
          <w:szCs w:val="20"/>
        </w:rPr>
        <w:t>a la representación de las presuntas víctimas</w:t>
      </w:r>
      <w:r w:rsidRPr="00BD2ED8">
        <w:rPr>
          <w:rStyle w:val="Refdenotaalpie"/>
          <w:sz w:val="20"/>
          <w:szCs w:val="20"/>
        </w:rPr>
        <w:footnoteReference w:id="4"/>
      </w:r>
      <w:r w:rsidRPr="007A09FB">
        <w:rPr>
          <w:sz w:val="20"/>
          <w:szCs w:val="20"/>
        </w:rPr>
        <w:t xml:space="preserve"> (en adelante también “los representantes”) y al Estado el 9 de julio de 2019. </w:t>
      </w:r>
      <w:bookmarkStart w:id="3" w:name="para7"/>
    </w:p>
    <w:p w14:paraId="367D9123" w14:textId="77777777" w:rsidR="00C5289C" w:rsidRPr="004754B0" w:rsidRDefault="00C5289C" w:rsidP="00B476ED">
      <w:pPr>
        <w:tabs>
          <w:tab w:val="left" w:pos="567"/>
        </w:tabs>
        <w:spacing w:line="240" w:lineRule="auto"/>
        <w:ind w:right="-801"/>
        <w:rPr>
          <w:sz w:val="20"/>
          <w:szCs w:val="20"/>
        </w:rPr>
      </w:pPr>
    </w:p>
    <w:p w14:paraId="0A35B526" w14:textId="0B1C2982" w:rsidR="00C5289C" w:rsidRPr="004754B0" w:rsidRDefault="00C5289C" w:rsidP="00B476ED">
      <w:pPr>
        <w:numPr>
          <w:ilvl w:val="0"/>
          <w:numId w:val="1"/>
        </w:numPr>
        <w:tabs>
          <w:tab w:val="left" w:pos="567"/>
          <w:tab w:val="num" w:pos="1569"/>
          <w:tab w:val="num" w:pos="12305"/>
        </w:tabs>
        <w:spacing w:line="240" w:lineRule="auto"/>
        <w:ind w:left="0" w:right="-801" w:firstLine="0"/>
        <w:rPr>
          <w:sz w:val="20"/>
          <w:szCs w:val="20"/>
        </w:rPr>
      </w:pPr>
      <w:r w:rsidRPr="00EA0726">
        <w:rPr>
          <w:i/>
          <w:sz w:val="20"/>
          <w:szCs w:val="20"/>
        </w:rPr>
        <w:t>Escrito de solicitudes, argumentos y pruebas.</w:t>
      </w:r>
      <w:r w:rsidRPr="00EA0726">
        <w:rPr>
          <w:sz w:val="20"/>
          <w:szCs w:val="20"/>
        </w:rPr>
        <w:t xml:space="preserve"> – El 6 de septiembre de 2019 los representantes remitieron su escrito de solicitudes, argumentos y pruebas</w:t>
      </w:r>
      <w:bookmarkEnd w:id="3"/>
      <w:r w:rsidRPr="00EA0726">
        <w:rPr>
          <w:sz w:val="20"/>
          <w:szCs w:val="20"/>
        </w:rPr>
        <w:t xml:space="preserve"> (en adelante, “</w:t>
      </w:r>
      <w:r w:rsidRPr="008E4FC2">
        <w:rPr>
          <w:sz w:val="20"/>
          <w:szCs w:val="20"/>
        </w:rPr>
        <w:t>escrito de solicitudes y argumentos”), conforme los artículos 25 y 40 del Reglamento de la Corte</w:t>
      </w:r>
      <w:r w:rsidRPr="00BD2ED8">
        <w:rPr>
          <w:rStyle w:val="Refdenotaalpie"/>
          <w:sz w:val="20"/>
          <w:szCs w:val="20"/>
        </w:rPr>
        <w:footnoteReference w:id="5"/>
      </w:r>
      <w:r w:rsidRPr="008E4FC2">
        <w:rPr>
          <w:sz w:val="20"/>
          <w:szCs w:val="20"/>
        </w:rPr>
        <w:t>. Solicitaron que la Corte declare que el Estado violó los derechos a la vida, a la integridad</w:t>
      </w:r>
      <w:r w:rsidRPr="00EA0726">
        <w:rPr>
          <w:sz w:val="20"/>
          <w:szCs w:val="20"/>
        </w:rPr>
        <w:t xml:space="preserve"> personal, a las garantías judiciales</w:t>
      </w:r>
      <w:r w:rsidR="00C371A1">
        <w:rPr>
          <w:sz w:val="20"/>
          <w:szCs w:val="20"/>
        </w:rPr>
        <w:t>,</w:t>
      </w:r>
      <w:r w:rsidRPr="00EA0726">
        <w:rPr>
          <w:sz w:val="20"/>
          <w:szCs w:val="20"/>
        </w:rPr>
        <w:t xml:space="preserve"> a la protección judicial</w:t>
      </w:r>
      <w:r w:rsidR="00C371A1">
        <w:rPr>
          <w:sz w:val="20"/>
          <w:szCs w:val="20"/>
        </w:rPr>
        <w:t xml:space="preserve"> y</w:t>
      </w:r>
      <w:r w:rsidRPr="004754B0">
        <w:rPr>
          <w:sz w:val="20"/>
          <w:szCs w:val="20"/>
        </w:rPr>
        <w:t xml:space="preserve"> “los derechos de niños privados de libertad”, de acuerdo con los artículos 4, 5, 8, 25 y 19 de la Convención, respectivamente. Asimismo, señalaron que Venezuela violó el derecho a la integridad personal de familiares de los jóvenes fallecidos. </w:t>
      </w:r>
      <w:r>
        <w:rPr>
          <w:sz w:val="20"/>
          <w:szCs w:val="20"/>
        </w:rPr>
        <w:t>R</w:t>
      </w:r>
      <w:proofErr w:type="spellStart"/>
      <w:r w:rsidRPr="004754B0">
        <w:rPr>
          <w:sz w:val="20"/>
          <w:szCs w:val="20"/>
          <w:lang w:val="es-GT"/>
        </w:rPr>
        <w:t>equirieron</w:t>
      </w:r>
      <w:proofErr w:type="spellEnd"/>
      <w:r w:rsidRPr="004754B0">
        <w:rPr>
          <w:sz w:val="20"/>
          <w:szCs w:val="20"/>
          <w:lang w:val="es-GT"/>
        </w:rPr>
        <w:t xml:space="preserve"> que se ordenara</w:t>
      </w:r>
      <w:r>
        <w:rPr>
          <w:sz w:val="20"/>
          <w:szCs w:val="20"/>
          <w:lang w:val="es-GT"/>
        </w:rPr>
        <w:t>n</w:t>
      </w:r>
      <w:r w:rsidRPr="004754B0">
        <w:rPr>
          <w:sz w:val="20"/>
          <w:szCs w:val="20"/>
          <w:lang w:val="es-GT"/>
        </w:rPr>
        <w:t xml:space="preserve"> diversas medidas de reparación y el reintegro de costas y gastos del proceso, conforme se indica más adelante (</w:t>
      </w:r>
      <w:r w:rsidRPr="004754B0">
        <w:rPr>
          <w:i/>
          <w:sz w:val="20"/>
          <w:szCs w:val="20"/>
          <w:lang w:val="es-GT"/>
        </w:rPr>
        <w:t xml:space="preserve">infra </w:t>
      </w:r>
      <w:r w:rsidRPr="004754B0">
        <w:rPr>
          <w:sz w:val="20"/>
          <w:szCs w:val="20"/>
          <w:lang w:val="es-GT"/>
        </w:rPr>
        <w:t xml:space="preserve">Capítulo </w:t>
      </w:r>
      <w:r>
        <w:rPr>
          <w:sz w:val="20"/>
          <w:szCs w:val="20"/>
          <w:lang w:val="es-GT"/>
        </w:rPr>
        <w:t>VIII</w:t>
      </w:r>
      <w:r w:rsidRPr="004754B0">
        <w:rPr>
          <w:sz w:val="20"/>
          <w:szCs w:val="20"/>
          <w:lang w:val="es-GT"/>
        </w:rPr>
        <w:t>)</w:t>
      </w:r>
      <w:r w:rsidR="00B4379B">
        <w:rPr>
          <w:sz w:val="20"/>
          <w:szCs w:val="20"/>
          <w:lang w:val="es-GT"/>
        </w:rPr>
        <w:t>.</w:t>
      </w:r>
    </w:p>
    <w:p w14:paraId="49732694" w14:textId="77777777" w:rsidR="00C5289C" w:rsidRPr="004754B0" w:rsidRDefault="00C5289C" w:rsidP="00B476ED">
      <w:pPr>
        <w:tabs>
          <w:tab w:val="left" w:pos="567"/>
          <w:tab w:val="num" w:pos="12305"/>
        </w:tabs>
        <w:spacing w:line="240" w:lineRule="auto"/>
        <w:ind w:right="-801"/>
        <w:rPr>
          <w:sz w:val="20"/>
          <w:szCs w:val="20"/>
          <w:highlight w:val="yellow"/>
        </w:rPr>
      </w:pPr>
    </w:p>
    <w:p w14:paraId="619BE94F" w14:textId="77777777" w:rsidR="00C5289C" w:rsidRPr="004754B0" w:rsidRDefault="00C5289C" w:rsidP="00B476ED">
      <w:pPr>
        <w:numPr>
          <w:ilvl w:val="0"/>
          <w:numId w:val="1"/>
        </w:numPr>
        <w:tabs>
          <w:tab w:val="left" w:pos="567"/>
          <w:tab w:val="num" w:pos="1569"/>
          <w:tab w:val="num" w:pos="12305"/>
        </w:tabs>
        <w:spacing w:line="240" w:lineRule="auto"/>
        <w:ind w:left="0" w:right="-801" w:firstLine="0"/>
        <w:rPr>
          <w:sz w:val="20"/>
          <w:szCs w:val="20"/>
        </w:rPr>
      </w:pPr>
      <w:r w:rsidRPr="004754B0">
        <w:rPr>
          <w:i/>
          <w:sz w:val="20"/>
          <w:szCs w:val="20"/>
        </w:rPr>
        <w:t>Escrito de contestación.</w:t>
      </w:r>
      <w:r w:rsidRPr="004754B0">
        <w:rPr>
          <w:sz w:val="20"/>
          <w:szCs w:val="20"/>
        </w:rPr>
        <w:t xml:space="preserve"> </w:t>
      </w:r>
      <w:r w:rsidRPr="004754B0">
        <w:rPr>
          <w:i/>
          <w:sz w:val="20"/>
          <w:szCs w:val="20"/>
        </w:rPr>
        <w:t xml:space="preserve">– </w:t>
      </w:r>
      <w:r w:rsidRPr="004754B0">
        <w:rPr>
          <w:sz w:val="20"/>
          <w:szCs w:val="20"/>
        </w:rPr>
        <w:t xml:space="preserve">El 16 de diciembre de 2019 el Estado presentó su escrito de contestación al sometimiento del caso e Informe de </w:t>
      </w:r>
      <w:proofErr w:type="gramStart"/>
      <w:r w:rsidRPr="004754B0">
        <w:rPr>
          <w:sz w:val="20"/>
          <w:szCs w:val="20"/>
        </w:rPr>
        <w:t>Fondo</w:t>
      </w:r>
      <w:proofErr w:type="gramEnd"/>
      <w:r w:rsidRPr="004754B0">
        <w:rPr>
          <w:sz w:val="20"/>
          <w:szCs w:val="20"/>
        </w:rPr>
        <w:t xml:space="preserve"> así como al escrito de solicitudes y argumentos (</w:t>
      </w:r>
      <w:r w:rsidRPr="00E878BA">
        <w:rPr>
          <w:sz w:val="20"/>
          <w:szCs w:val="20"/>
        </w:rPr>
        <w:t>en adelante “escrito de contestación” o “contestación”), de acuerdo con el artículo 41 del Reglamento</w:t>
      </w:r>
      <w:r w:rsidRPr="00E878BA">
        <w:rPr>
          <w:rStyle w:val="Refdenotaalpie"/>
          <w:sz w:val="20"/>
          <w:szCs w:val="20"/>
        </w:rPr>
        <w:footnoteReference w:id="6"/>
      </w:r>
      <w:r w:rsidRPr="00E878BA">
        <w:rPr>
          <w:sz w:val="20"/>
          <w:szCs w:val="20"/>
        </w:rPr>
        <w:t xml:space="preserve">. Venezuela reconoció su responsabilidad internacional, en los términos que </w:t>
      </w:r>
      <w:r w:rsidRPr="00E878BA">
        <w:rPr>
          <w:sz w:val="20"/>
          <w:szCs w:val="20"/>
        </w:rPr>
        <w:lastRenderedPageBreak/>
        <w:t>se indican más adelante (</w:t>
      </w:r>
      <w:r w:rsidRPr="00E878BA">
        <w:rPr>
          <w:i/>
          <w:sz w:val="20"/>
          <w:szCs w:val="20"/>
        </w:rPr>
        <w:t xml:space="preserve">infra </w:t>
      </w:r>
      <w:proofErr w:type="spellStart"/>
      <w:r w:rsidRPr="00E878BA">
        <w:rPr>
          <w:sz w:val="20"/>
          <w:szCs w:val="20"/>
        </w:rPr>
        <w:t>párrs</w:t>
      </w:r>
      <w:proofErr w:type="spellEnd"/>
      <w:r w:rsidRPr="00E878BA">
        <w:rPr>
          <w:sz w:val="20"/>
          <w:szCs w:val="20"/>
        </w:rPr>
        <w:t>. 13 y 14).</w:t>
      </w:r>
      <w:r w:rsidRPr="004754B0">
        <w:rPr>
          <w:b/>
          <w:sz w:val="20"/>
          <w:szCs w:val="20"/>
        </w:rPr>
        <w:t xml:space="preserve"> </w:t>
      </w:r>
    </w:p>
    <w:p w14:paraId="35526AF8" w14:textId="77777777" w:rsidR="00C5289C" w:rsidRPr="004754B0" w:rsidRDefault="00C5289C" w:rsidP="00B476ED">
      <w:pPr>
        <w:pStyle w:val="Prrafodelista"/>
        <w:spacing w:line="240" w:lineRule="auto"/>
        <w:ind w:left="0" w:right="-801"/>
        <w:rPr>
          <w:sz w:val="20"/>
          <w:szCs w:val="20"/>
        </w:rPr>
      </w:pPr>
    </w:p>
    <w:p w14:paraId="35DE7BD2" w14:textId="3BCCF2C1" w:rsidR="00C5289C" w:rsidRPr="004754B0" w:rsidRDefault="00C5289C" w:rsidP="00B476ED">
      <w:pPr>
        <w:numPr>
          <w:ilvl w:val="0"/>
          <w:numId w:val="1"/>
        </w:numPr>
        <w:tabs>
          <w:tab w:val="left" w:pos="567"/>
          <w:tab w:val="num" w:pos="1569"/>
          <w:tab w:val="num" w:pos="12305"/>
        </w:tabs>
        <w:spacing w:line="240" w:lineRule="auto"/>
        <w:ind w:left="0" w:right="-801" w:firstLine="0"/>
        <w:rPr>
          <w:sz w:val="20"/>
          <w:szCs w:val="20"/>
        </w:rPr>
      </w:pPr>
      <w:r w:rsidRPr="004754B0">
        <w:rPr>
          <w:i/>
          <w:sz w:val="20"/>
          <w:szCs w:val="20"/>
        </w:rPr>
        <w:t>Observaciones al reconocimiento de responsabilidad</w:t>
      </w:r>
      <w:r w:rsidRPr="004754B0">
        <w:rPr>
          <w:sz w:val="20"/>
          <w:szCs w:val="20"/>
        </w:rPr>
        <w:t xml:space="preserve">. – Los días 14 y 17 de febrero de 2020 la Comisión </w:t>
      </w:r>
      <w:r w:rsidR="00F73036">
        <w:rPr>
          <w:sz w:val="20"/>
          <w:szCs w:val="20"/>
        </w:rPr>
        <w:t xml:space="preserve">Interamericana de Derechos Humanos </w:t>
      </w:r>
      <w:r w:rsidRPr="004754B0">
        <w:rPr>
          <w:sz w:val="20"/>
          <w:szCs w:val="20"/>
        </w:rPr>
        <w:t xml:space="preserve">y los representantes, respectivamente, presentaron sus observaciones al reconocimiento de responsabilidad realizado por el Estado. </w:t>
      </w:r>
    </w:p>
    <w:p w14:paraId="3340E4F5" w14:textId="77777777" w:rsidR="00C5289C" w:rsidRPr="004754B0" w:rsidRDefault="00C5289C" w:rsidP="00B476ED">
      <w:pPr>
        <w:tabs>
          <w:tab w:val="left" w:pos="567"/>
        </w:tabs>
        <w:spacing w:line="240" w:lineRule="auto"/>
        <w:ind w:right="-801"/>
        <w:rPr>
          <w:sz w:val="20"/>
          <w:szCs w:val="20"/>
          <w:highlight w:val="yellow"/>
        </w:rPr>
      </w:pPr>
    </w:p>
    <w:p w14:paraId="5B9C5149" w14:textId="457AC1CA" w:rsidR="00C5289C" w:rsidRPr="004754B0" w:rsidRDefault="00C5289C" w:rsidP="00B476ED">
      <w:pPr>
        <w:numPr>
          <w:ilvl w:val="0"/>
          <w:numId w:val="1"/>
        </w:numPr>
        <w:tabs>
          <w:tab w:val="left" w:pos="567"/>
          <w:tab w:val="num" w:pos="1569"/>
          <w:tab w:val="num" w:pos="12305"/>
        </w:tabs>
        <w:spacing w:line="240" w:lineRule="auto"/>
        <w:ind w:left="0" w:right="-801" w:firstLine="0"/>
        <w:rPr>
          <w:sz w:val="20"/>
          <w:szCs w:val="20"/>
        </w:rPr>
      </w:pPr>
      <w:r w:rsidRPr="004754B0">
        <w:rPr>
          <w:i/>
          <w:sz w:val="20"/>
          <w:szCs w:val="20"/>
        </w:rPr>
        <w:t xml:space="preserve">Procedimiento final escrito y diligencia de prueba oral. </w:t>
      </w:r>
      <w:r w:rsidRPr="004754B0">
        <w:rPr>
          <w:sz w:val="20"/>
          <w:szCs w:val="20"/>
        </w:rPr>
        <w:t>–</w:t>
      </w:r>
      <w:r w:rsidR="00B4379B">
        <w:rPr>
          <w:sz w:val="20"/>
          <w:szCs w:val="20"/>
        </w:rPr>
        <w:t xml:space="preserve"> </w:t>
      </w:r>
      <w:r w:rsidRPr="004754B0">
        <w:rPr>
          <w:sz w:val="20"/>
          <w:szCs w:val="20"/>
        </w:rPr>
        <w:t xml:space="preserve">Por medio de una Resolución de 30 de junio de </w:t>
      </w:r>
      <w:r w:rsidRPr="00212E52">
        <w:rPr>
          <w:sz w:val="20"/>
          <w:szCs w:val="20"/>
        </w:rPr>
        <w:t>2020</w:t>
      </w:r>
      <w:r w:rsidRPr="00BD2ED8">
        <w:rPr>
          <w:rStyle w:val="Refdenotaalpie"/>
          <w:sz w:val="20"/>
          <w:szCs w:val="20"/>
        </w:rPr>
        <w:footnoteReference w:id="7"/>
      </w:r>
      <w:r w:rsidRPr="00212E52">
        <w:rPr>
          <w:sz w:val="20"/>
          <w:szCs w:val="20"/>
        </w:rPr>
        <w:t>, a la luz</w:t>
      </w:r>
      <w:r w:rsidRPr="004754B0">
        <w:rPr>
          <w:sz w:val="20"/>
          <w:szCs w:val="20"/>
        </w:rPr>
        <w:t xml:space="preserve"> de los dispuesto en los artículos 15, 45 y 50.1 del Reglamento, la </w:t>
      </w:r>
      <w:proofErr w:type="gramStart"/>
      <w:r w:rsidRPr="004754B0">
        <w:rPr>
          <w:sz w:val="20"/>
          <w:szCs w:val="20"/>
        </w:rPr>
        <w:t>Presidenta</w:t>
      </w:r>
      <w:proofErr w:type="gramEnd"/>
      <w:r w:rsidRPr="004754B0">
        <w:rPr>
          <w:sz w:val="20"/>
          <w:szCs w:val="20"/>
        </w:rPr>
        <w:t xml:space="preserve">, en consulta con el pleno de la Corte, decidió que, por razones de </w:t>
      </w:r>
      <w:r w:rsidRPr="00E878BA">
        <w:rPr>
          <w:sz w:val="20"/>
          <w:szCs w:val="20"/>
        </w:rPr>
        <w:t>economía procesal, no era necesario convocar una audiencia pública en el presente caso</w:t>
      </w:r>
      <w:r w:rsidRPr="00E878BA">
        <w:rPr>
          <w:rStyle w:val="Refdenotaalpie"/>
          <w:sz w:val="20"/>
          <w:szCs w:val="20"/>
        </w:rPr>
        <w:footnoteReference w:id="8"/>
      </w:r>
      <w:r w:rsidRPr="00E878BA">
        <w:rPr>
          <w:sz w:val="20"/>
          <w:szCs w:val="20"/>
        </w:rPr>
        <w:t>. La Resolución fue, respecto a algunas de sus determinaciones, recurrida por los representantes</w:t>
      </w:r>
      <w:r w:rsidRPr="004754B0">
        <w:rPr>
          <w:sz w:val="20"/>
          <w:szCs w:val="20"/>
        </w:rPr>
        <w:t xml:space="preserve">. </w:t>
      </w:r>
      <w:r>
        <w:rPr>
          <w:sz w:val="20"/>
          <w:szCs w:val="20"/>
        </w:rPr>
        <w:t>E</w:t>
      </w:r>
      <w:r w:rsidRPr="004754B0">
        <w:rPr>
          <w:sz w:val="20"/>
          <w:szCs w:val="20"/>
        </w:rPr>
        <w:t xml:space="preserve">l 24 de agosto de 2020 </w:t>
      </w:r>
      <w:r>
        <w:rPr>
          <w:sz w:val="20"/>
          <w:szCs w:val="20"/>
        </w:rPr>
        <w:t xml:space="preserve">la Corte </w:t>
      </w:r>
      <w:r w:rsidRPr="004754B0">
        <w:rPr>
          <w:sz w:val="20"/>
          <w:szCs w:val="20"/>
        </w:rPr>
        <w:t xml:space="preserve">emitió una </w:t>
      </w:r>
      <w:r w:rsidRPr="00EA0726">
        <w:rPr>
          <w:sz w:val="20"/>
          <w:szCs w:val="20"/>
        </w:rPr>
        <w:t xml:space="preserve">Resolución en la que declaró procedente el recurso y dispuso, modificando parcialmente la Resolución de la </w:t>
      </w:r>
      <w:proofErr w:type="gramStart"/>
      <w:r w:rsidRPr="00EA0726">
        <w:rPr>
          <w:sz w:val="20"/>
          <w:szCs w:val="20"/>
        </w:rPr>
        <w:t>Presidenta</w:t>
      </w:r>
      <w:proofErr w:type="gramEnd"/>
      <w:r w:rsidRPr="00EA0726">
        <w:rPr>
          <w:sz w:val="20"/>
          <w:szCs w:val="20"/>
        </w:rPr>
        <w:t xml:space="preserve">, una extensión del plazo que se había fijado para la presentación de declaraciones escritas, así como que dos familiares de los jóvenes fallecidos </w:t>
      </w:r>
      <w:r w:rsidRPr="00E878BA">
        <w:rPr>
          <w:sz w:val="20"/>
          <w:szCs w:val="20"/>
        </w:rPr>
        <w:t>rindieran declaración oral por medio de una videoconferencia. La misma tuvo lugar el 3 de septiembre de 2020</w:t>
      </w:r>
      <w:r w:rsidRPr="00E878BA">
        <w:rPr>
          <w:rStyle w:val="Refdenotaalpie"/>
          <w:sz w:val="20"/>
          <w:szCs w:val="20"/>
        </w:rPr>
        <w:footnoteReference w:id="9"/>
      </w:r>
      <w:r w:rsidRPr="00E878BA">
        <w:rPr>
          <w:sz w:val="20"/>
          <w:szCs w:val="20"/>
        </w:rPr>
        <w:t>.</w:t>
      </w:r>
    </w:p>
    <w:p w14:paraId="16E745E6" w14:textId="77777777" w:rsidR="00C5289C" w:rsidRPr="004754B0" w:rsidRDefault="00C5289C" w:rsidP="00B476ED">
      <w:pPr>
        <w:tabs>
          <w:tab w:val="left" w:pos="567"/>
          <w:tab w:val="num" w:pos="12305"/>
        </w:tabs>
        <w:spacing w:line="240" w:lineRule="auto"/>
        <w:ind w:right="-801"/>
        <w:rPr>
          <w:sz w:val="20"/>
          <w:szCs w:val="20"/>
        </w:rPr>
      </w:pPr>
    </w:p>
    <w:p w14:paraId="41713D01" w14:textId="77777777" w:rsidR="00C5289C" w:rsidRPr="004754B0" w:rsidRDefault="00C5289C"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b/>
          <w:sz w:val="20"/>
          <w:szCs w:val="20"/>
        </w:rPr>
      </w:pPr>
      <w:r w:rsidRPr="004754B0">
        <w:rPr>
          <w:i/>
          <w:sz w:val="20"/>
          <w:szCs w:val="20"/>
        </w:rPr>
        <w:t xml:space="preserve">Alegatos y observaciones finales. </w:t>
      </w:r>
      <w:r w:rsidRPr="004754B0">
        <w:rPr>
          <w:sz w:val="20"/>
          <w:szCs w:val="20"/>
        </w:rPr>
        <w:t xml:space="preserve">– El 7 de octubre de 2020 los representantes, el Estado y la Comisión remitieron sus alegatos finales escritos y observaciones finales escritas. </w:t>
      </w:r>
    </w:p>
    <w:p w14:paraId="303E2EE6" w14:textId="77777777" w:rsidR="00C5289C" w:rsidRPr="004754B0" w:rsidRDefault="00C5289C" w:rsidP="00B476ED">
      <w:pPr>
        <w:widowControl/>
        <w:tabs>
          <w:tab w:val="left" w:pos="567"/>
          <w:tab w:val="num" w:pos="12305"/>
        </w:tabs>
        <w:autoSpaceDE w:val="0"/>
        <w:autoSpaceDN w:val="0"/>
        <w:adjustRightInd/>
        <w:spacing w:line="240" w:lineRule="auto"/>
        <w:ind w:left="567" w:right="-801" w:hanging="567"/>
        <w:textAlignment w:val="auto"/>
        <w:rPr>
          <w:b/>
          <w:sz w:val="20"/>
          <w:szCs w:val="20"/>
        </w:rPr>
      </w:pPr>
    </w:p>
    <w:p w14:paraId="5C99F7BB" w14:textId="77777777" w:rsidR="00C5289C" w:rsidRPr="00A43C92" w:rsidRDefault="00C5289C" w:rsidP="002A479E">
      <w:pPr>
        <w:numPr>
          <w:ilvl w:val="0"/>
          <w:numId w:val="1"/>
        </w:numPr>
        <w:tabs>
          <w:tab w:val="left" w:pos="567"/>
          <w:tab w:val="num" w:pos="1569"/>
          <w:tab w:val="num" w:pos="12305"/>
        </w:tabs>
        <w:spacing w:line="240" w:lineRule="auto"/>
        <w:ind w:left="0" w:right="-799" w:firstLine="0"/>
        <w:rPr>
          <w:sz w:val="20"/>
          <w:szCs w:val="20"/>
        </w:rPr>
      </w:pPr>
      <w:r w:rsidRPr="004754B0">
        <w:rPr>
          <w:i/>
          <w:sz w:val="20"/>
          <w:szCs w:val="20"/>
        </w:rPr>
        <w:t xml:space="preserve">Deliberación del presente caso. </w:t>
      </w:r>
      <w:r w:rsidRPr="004754B0">
        <w:rPr>
          <w:sz w:val="20"/>
          <w:szCs w:val="20"/>
        </w:rPr>
        <w:t xml:space="preserve">– La Corte deliberó la presente Sentencia, a través de </w:t>
      </w:r>
      <w:r>
        <w:rPr>
          <w:sz w:val="20"/>
          <w:szCs w:val="20"/>
        </w:rPr>
        <w:t xml:space="preserve">sesiones </w:t>
      </w:r>
      <w:r w:rsidRPr="004754B0">
        <w:rPr>
          <w:sz w:val="20"/>
          <w:szCs w:val="20"/>
        </w:rPr>
        <w:t>virtual</w:t>
      </w:r>
      <w:r>
        <w:rPr>
          <w:sz w:val="20"/>
          <w:szCs w:val="20"/>
        </w:rPr>
        <w:t>es</w:t>
      </w:r>
      <w:r w:rsidRPr="004754B0">
        <w:rPr>
          <w:sz w:val="20"/>
          <w:szCs w:val="20"/>
        </w:rPr>
        <w:t xml:space="preserve">, </w:t>
      </w:r>
      <w:r>
        <w:rPr>
          <w:sz w:val="20"/>
          <w:szCs w:val="20"/>
        </w:rPr>
        <w:t>entre</w:t>
      </w:r>
      <w:r w:rsidRPr="004754B0">
        <w:rPr>
          <w:sz w:val="20"/>
          <w:szCs w:val="20"/>
        </w:rPr>
        <w:t xml:space="preserve"> los días </w:t>
      </w:r>
      <w:r>
        <w:rPr>
          <w:sz w:val="20"/>
          <w:szCs w:val="20"/>
        </w:rPr>
        <w:t xml:space="preserve">16 y 18 </w:t>
      </w:r>
      <w:r w:rsidRPr="00AC52B5">
        <w:rPr>
          <w:sz w:val="20"/>
          <w:szCs w:val="20"/>
        </w:rPr>
        <w:t>de noviembre</w:t>
      </w:r>
      <w:r w:rsidRPr="004754B0">
        <w:rPr>
          <w:sz w:val="20"/>
          <w:szCs w:val="20"/>
        </w:rPr>
        <w:t xml:space="preserve"> de </w:t>
      </w:r>
      <w:r w:rsidRPr="00E878BA">
        <w:rPr>
          <w:sz w:val="20"/>
          <w:szCs w:val="20"/>
        </w:rPr>
        <w:t>2020</w:t>
      </w:r>
      <w:r w:rsidRPr="00E878BA">
        <w:rPr>
          <w:rStyle w:val="Refdenotaalpie"/>
          <w:sz w:val="20"/>
          <w:szCs w:val="20"/>
          <w:lang w:val="es-ES"/>
        </w:rPr>
        <w:footnoteReference w:id="10"/>
      </w:r>
      <w:r w:rsidRPr="00E878BA">
        <w:rPr>
          <w:sz w:val="20"/>
          <w:szCs w:val="20"/>
          <w:lang w:val="es-ES"/>
        </w:rPr>
        <w:t>.</w:t>
      </w:r>
    </w:p>
    <w:p w14:paraId="19C1BA65" w14:textId="77777777" w:rsidR="00C5289C" w:rsidRPr="004754B0" w:rsidRDefault="00C5289C" w:rsidP="002A479E">
      <w:pPr>
        <w:tabs>
          <w:tab w:val="left" w:pos="567"/>
        </w:tabs>
        <w:spacing w:line="240" w:lineRule="auto"/>
        <w:ind w:right="-799"/>
        <w:rPr>
          <w:sz w:val="20"/>
          <w:szCs w:val="20"/>
        </w:rPr>
      </w:pPr>
    </w:p>
    <w:p w14:paraId="38187907" w14:textId="7EFB7ECC" w:rsidR="00C5289C" w:rsidRDefault="00C5289C" w:rsidP="002A479E">
      <w:pPr>
        <w:pStyle w:val="Ttulo1"/>
        <w:spacing w:before="0" w:after="0"/>
        <w:ind w:right="-799"/>
      </w:pPr>
      <w:bookmarkStart w:id="4" w:name="_Toc58330201"/>
      <w:r w:rsidRPr="004754B0">
        <w:t>III</w:t>
      </w:r>
      <w:r w:rsidRPr="004754B0">
        <w:br/>
        <w:t>COMPETENCIA</w:t>
      </w:r>
      <w:bookmarkEnd w:id="4"/>
    </w:p>
    <w:p w14:paraId="1DE7CE32" w14:textId="77777777" w:rsidR="00C5289C" w:rsidRPr="003A5C19" w:rsidRDefault="00C5289C" w:rsidP="002A479E">
      <w:pPr>
        <w:spacing w:line="240" w:lineRule="auto"/>
        <w:ind w:right="-799"/>
        <w:rPr>
          <w:lang w:val="es-MX" w:eastAsia="es-ES"/>
        </w:rPr>
      </w:pPr>
    </w:p>
    <w:p w14:paraId="60DE2708" w14:textId="3319EDE0" w:rsidR="00C5289C" w:rsidRPr="004754B0" w:rsidRDefault="00C5289C" w:rsidP="002A479E">
      <w:pPr>
        <w:numPr>
          <w:ilvl w:val="0"/>
          <w:numId w:val="1"/>
        </w:numPr>
        <w:tabs>
          <w:tab w:val="left" w:pos="567"/>
          <w:tab w:val="num" w:pos="1569"/>
          <w:tab w:val="num" w:pos="12305"/>
        </w:tabs>
        <w:spacing w:line="240" w:lineRule="auto"/>
        <w:ind w:left="0" w:right="-799" w:firstLine="0"/>
        <w:rPr>
          <w:rFonts w:eastAsia="Batang"/>
          <w:sz w:val="20"/>
          <w:szCs w:val="20"/>
          <w:lang w:eastAsia="en-US"/>
        </w:rPr>
      </w:pPr>
      <w:r w:rsidRPr="004754B0">
        <w:rPr>
          <w:sz w:val="20"/>
          <w:szCs w:val="20"/>
        </w:rPr>
        <w:t xml:space="preserve">Venezuela fue Estado Parte de la Convención Americana desde el 9 de agosto de 1977 y reconoció la competencia contenciosa de la Corte el 24 de junio de 1981. Con posterioridad, </w:t>
      </w:r>
      <w:r w:rsidRPr="004754B0">
        <w:rPr>
          <w:spacing w:val="-2"/>
          <w:sz w:val="20"/>
          <w:szCs w:val="20"/>
        </w:rPr>
        <w:t xml:space="preserve">el 10 de septiembre de 2012, el Estado denunció la Convención Americana. La denuncia se hizo efectiva el 10 de septiembre de 2013. De acuerdo con el artículo 78.2 de la Convención, la Corte es competente para conocer el presente caso, tomando en cuenta que los hechos analizados </w:t>
      </w:r>
      <w:r w:rsidR="00B93019">
        <w:rPr>
          <w:spacing w:val="-2"/>
          <w:sz w:val="20"/>
          <w:szCs w:val="20"/>
        </w:rPr>
        <w:t xml:space="preserve">tuvieron origen con </w:t>
      </w:r>
      <w:r w:rsidRPr="004754B0">
        <w:rPr>
          <w:spacing w:val="-2"/>
          <w:sz w:val="20"/>
          <w:szCs w:val="20"/>
        </w:rPr>
        <w:t>anterior</w:t>
      </w:r>
      <w:r w:rsidR="00B93019">
        <w:rPr>
          <w:spacing w:val="-2"/>
          <w:sz w:val="20"/>
          <w:szCs w:val="20"/>
        </w:rPr>
        <w:t>idad</w:t>
      </w:r>
      <w:r w:rsidRPr="004754B0">
        <w:rPr>
          <w:spacing w:val="-2"/>
          <w:sz w:val="20"/>
          <w:szCs w:val="20"/>
        </w:rPr>
        <w:t xml:space="preserve"> al momento en que la denuncia de la Convención </w:t>
      </w:r>
      <w:r>
        <w:rPr>
          <w:spacing w:val="-2"/>
          <w:sz w:val="20"/>
          <w:szCs w:val="20"/>
        </w:rPr>
        <w:t xml:space="preserve">puede </w:t>
      </w:r>
      <w:r w:rsidRPr="004754B0">
        <w:rPr>
          <w:spacing w:val="-2"/>
          <w:sz w:val="20"/>
          <w:szCs w:val="20"/>
        </w:rPr>
        <w:t>produc</w:t>
      </w:r>
      <w:r>
        <w:rPr>
          <w:spacing w:val="-2"/>
          <w:sz w:val="20"/>
          <w:szCs w:val="20"/>
        </w:rPr>
        <w:t>ir</w:t>
      </w:r>
      <w:r w:rsidRPr="004754B0">
        <w:rPr>
          <w:spacing w:val="-2"/>
          <w:sz w:val="20"/>
          <w:szCs w:val="20"/>
        </w:rPr>
        <w:t xml:space="preserve"> efectos.</w:t>
      </w:r>
    </w:p>
    <w:p w14:paraId="458C5A10" w14:textId="77777777" w:rsidR="00C5289C" w:rsidRPr="004754B0" w:rsidRDefault="00C5289C" w:rsidP="00B476ED">
      <w:pPr>
        <w:tabs>
          <w:tab w:val="left" w:pos="567"/>
        </w:tabs>
        <w:spacing w:line="240" w:lineRule="auto"/>
        <w:ind w:right="-801"/>
        <w:rPr>
          <w:spacing w:val="-2"/>
          <w:sz w:val="20"/>
          <w:szCs w:val="20"/>
        </w:rPr>
      </w:pPr>
    </w:p>
    <w:p w14:paraId="128EC6C4" w14:textId="5A7D4D26" w:rsidR="00C5289C" w:rsidRPr="004754B0" w:rsidRDefault="00C5289C" w:rsidP="00B476ED">
      <w:pPr>
        <w:pStyle w:val="Ttulo1"/>
        <w:spacing w:before="0" w:after="0"/>
        <w:ind w:right="-801"/>
        <w:rPr>
          <w:rFonts w:eastAsia="Batang"/>
          <w:lang w:eastAsia="en-US"/>
        </w:rPr>
      </w:pPr>
      <w:bookmarkStart w:id="5" w:name="_Toc58330202"/>
      <w:r w:rsidRPr="004754B0">
        <w:rPr>
          <w:rFonts w:eastAsia="Batang"/>
          <w:lang w:eastAsia="en-US"/>
        </w:rPr>
        <w:lastRenderedPageBreak/>
        <w:t>IV</w:t>
      </w:r>
      <w:bookmarkEnd w:id="5"/>
      <w:r w:rsidR="002954DB" w:rsidRPr="004754B0">
        <w:br/>
      </w:r>
      <w:bookmarkStart w:id="6" w:name="_Toc58330203"/>
      <w:r w:rsidRPr="004754B0">
        <w:rPr>
          <w:rFonts w:eastAsia="Batang"/>
          <w:lang w:eastAsia="en-US"/>
        </w:rPr>
        <w:t>RECONOCIMIENTO DE RESPONSABILIDAD INTERNACIONAL</w:t>
      </w:r>
      <w:bookmarkEnd w:id="6"/>
    </w:p>
    <w:p w14:paraId="0A6C0734" w14:textId="77777777" w:rsidR="00C5289C" w:rsidRPr="004754B0" w:rsidRDefault="00C5289C" w:rsidP="00B476ED">
      <w:pPr>
        <w:spacing w:line="240" w:lineRule="auto"/>
        <w:ind w:right="-801"/>
        <w:rPr>
          <w:rFonts w:eastAsia="Batang"/>
          <w:sz w:val="20"/>
          <w:szCs w:val="20"/>
          <w:lang w:eastAsia="en-US"/>
        </w:rPr>
      </w:pPr>
    </w:p>
    <w:p w14:paraId="6D5CF9A1" w14:textId="6AC07EA2" w:rsidR="00C5289C" w:rsidRPr="004754B0" w:rsidRDefault="00C5289C" w:rsidP="00B476ED">
      <w:pPr>
        <w:pStyle w:val="Ttulo2"/>
        <w:tabs>
          <w:tab w:val="clear" w:pos="1134"/>
          <w:tab w:val="left" w:pos="1418"/>
        </w:tabs>
        <w:spacing w:before="0" w:after="0"/>
        <w:ind w:left="284" w:right="-801" w:firstLine="0"/>
        <w:rPr>
          <w:rFonts w:eastAsia="Batang"/>
          <w:lang w:eastAsia="en-US"/>
        </w:rPr>
      </w:pPr>
      <w:bookmarkStart w:id="7" w:name="_Toc58330204"/>
      <w:r w:rsidRPr="004754B0">
        <w:rPr>
          <w:rFonts w:eastAsia="Batang"/>
          <w:lang w:eastAsia="en-US"/>
        </w:rPr>
        <w:t>Reconocimiento de responsabilidad del Estado y observaciones de la Comisión y de los representantes</w:t>
      </w:r>
      <w:bookmarkEnd w:id="7"/>
    </w:p>
    <w:p w14:paraId="22E187FB" w14:textId="77777777" w:rsidR="00C5289C" w:rsidRPr="004754B0" w:rsidRDefault="00C5289C" w:rsidP="00B476ED">
      <w:pPr>
        <w:tabs>
          <w:tab w:val="left" w:pos="567"/>
        </w:tabs>
        <w:spacing w:line="240" w:lineRule="auto"/>
        <w:ind w:right="-801"/>
        <w:rPr>
          <w:rFonts w:eastAsia="Batang"/>
          <w:sz w:val="20"/>
          <w:szCs w:val="20"/>
          <w:lang w:eastAsia="en-US"/>
        </w:rPr>
      </w:pPr>
    </w:p>
    <w:p w14:paraId="412A70A4" w14:textId="77777777" w:rsidR="00C5289C" w:rsidRPr="004754B0"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4754B0">
        <w:rPr>
          <w:rFonts w:eastAsia="Batang"/>
          <w:sz w:val="20"/>
          <w:szCs w:val="20"/>
          <w:lang w:eastAsia="en-US"/>
        </w:rPr>
        <w:t xml:space="preserve">El </w:t>
      </w:r>
      <w:r w:rsidRPr="004754B0">
        <w:rPr>
          <w:rFonts w:eastAsia="Batang"/>
          <w:b/>
          <w:i/>
          <w:sz w:val="20"/>
          <w:szCs w:val="20"/>
          <w:lang w:eastAsia="en-US"/>
        </w:rPr>
        <w:t>Estado</w:t>
      </w:r>
      <w:r w:rsidRPr="004754B0">
        <w:rPr>
          <w:rFonts w:eastAsia="Batang"/>
          <w:sz w:val="20"/>
          <w:szCs w:val="20"/>
          <w:lang w:eastAsia="en-US"/>
        </w:rPr>
        <w:t xml:space="preserve">, en su contestación, reconoció su responsabilidad internacional. Lo hizo manifestando lo que sigue: </w:t>
      </w:r>
    </w:p>
    <w:p w14:paraId="14300FDC" w14:textId="77777777" w:rsidR="00C5289C" w:rsidRPr="004754B0" w:rsidRDefault="00C5289C" w:rsidP="00B476ED">
      <w:pPr>
        <w:tabs>
          <w:tab w:val="left" w:pos="567"/>
        </w:tabs>
        <w:spacing w:line="240" w:lineRule="auto"/>
        <w:ind w:right="-801"/>
        <w:rPr>
          <w:rFonts w:eastAsia="Batang"/>
          <w:sz w:val="20"/>
          <w:szCs w:val="20"/>
          <w:lang w:eastAsia="en-US"/>
        </w:rPr>
      </w:pPr>
    </w:p>
    <w:p w14:paraId="12DD1AF4" w14:textId="0AFB7C97" w:rsidR="00C5289C" w:rsidRPr="004754B0" w:rsidRDefault="00C5289C" w:rsidP="00B476ED">
      <w:pPr>
        <w:tabs>
          <w:tab w:val="left" w:pos="567"/>
        </w:tabs>
        <w:spacing w:line="240" w:lineRule="auto"/>
        <w:ind w:left="284" w:right="-234"/>
        <w:rPr>
          <w:rFonts w:eastAsia="Batang"/>
          <w:sz w:val="16"/>
          <w:szCs w:val="16"/>
          <w:lang w:eastAsia="en-US"/>
        </w:rPr>
      </w:pPr>
      <w:r w:rsidRPr="004754B0">
        <w:rPr>
          <w:rFonts w:eastAsia="Batang"/>
          <w:sz w:val="16"/>
          <w:szCs w:val="16"/>
          <w:lang w:eastAsia="en-US"/>
        </w:rPr>
        <w:t xml:space="preserve">El Estado […] reconoce su responsabilidad internacional en el presente procedimiento por la vulneración de [los] derecho[s] a la vida e integridad personal, establecidos en los artículos 4.1, 5.1, 5.4, 5.5 y 5.6 de la Convención Americana sobre Derechos Humanos, en relación con las obligaciones previstas en sus artículos 1.1 y 19, en perjuicio de los señores José Gregorio Mota </w:t>
      </w:r>
      <w:proofErr w:type="spellStart"/>
      <w:r w:rsidRPr="004754B0">
        <w:rPr>
          <w:rFonts w:eastAsia="Batang"/>
          <w:sz w:val="16"/>
          <w:szCs w:val="16"/>
          <w:lang w:eastAsia="en-US"/>
        </w:rPr>
        <w:t>Abarullo</w:t>
      </w:r>
      <w:proofErr w:type="spellEnd"/>
      <w:r w:rsidRPr="004754B0">
        <w:rPr>
          <w:rFonts w:eastAsia="Batang"/>
          <w:sz w:val="16"/>
          <w:szCs w:val="16"/>
          <w:lang w:eastAsia="en-US"/>
        </w:rPr>
        <w:t>, Gabriel de Jesús Yánez Sánchez, Rafael Antonio Parra Herrera, Cristi</w:t>
      </w:r>
      <w:r w:rsidR="00C34EAE">
        <w:rPr>
          <w:rFonts w:eastAsia="Batang"/>
          <w:sz w:val="16"/>
          <w:szCs w:val="16"/>
          <w:lang w:eastAsia="en-US"/>
        </w:rPr>
        <w:t>[a]</w:t>
      </w:r>
      <w:r w:rsidRPr="004754B0">
        <w:rPr>
          <w:rFonts w:eastAsia="Batang"/>
          <w:sz w:val="16"/>
          <w:szCs w:val="16"/>
          <w:lang w:eastAsia="en-US"/>
        </w:rPr>
        <w:t>n Arnaldo Molina Córdova y Johan José Correa, en los términos y condiciones establecidos en el Informe de Fondo […].</w:t>
      </w:r>
    </w:p>
    <w:p w14:paraId="475FC6AD" w14:textId="77777777" w:rsidR="00C5289C" w:rsidRPr="004754B0" w:rsidRDefault="00C5289C" w:rsidP="00B476ED">
      <w:pPr>
        <w:tabs>
          <w:tab w:val="left" w:pos="567"/>
        </w:tabs>
        <w:spacing w:line="240" w:lineRule="auto"/>
        <w:ind w:left="284" w:right="-234"/>
        <w:rPr>
          <w:rFonts w:eastAsia="Batang"/>
          <w:sz w:val="16"/>
          <w:szCs w:val="16"/>
          <w:lang w:eastAsia="en-US"/>
        </w:rPr>
      </w:pPr>
    </w:p>
    <w:p w14:paraId="4055B1FD" w14:textId="77777777" w:rsidR="00C5289C" w:rsidRPr="004754B0" w:rsidRDefault="00C5289C" w:rsidP="00B476ED">
      <w:pPr>
        <w:tabs>
          <w:tab w:val="left" w:pos="567"/>
        </w:tabs>
        <w:spacing w:line="240" w:lineRule="auto"/>
        <w:ind w:left="284" w:right="-234"/>
        <w:rPr>
          <w:rFonts w:eastAsia="Batang"/>
          <w:sz w:val="16"/>
          <w:szCs w:val="16"/>
          <w:lang w:eastAsia="en-US"/>
        </w:rPr>
      </w:pPr>
      <w:r w:rsidRPr="004754B0">
        <w:rPr>
          <w:rFonts w:eastAsia="Batang"/>
          <w:sz w:val="16"/>
          <w:szCs w:val="16"/>
          <w:lang w:eastAsia="en-US"/>
        </w:rPr>
        <w:t>Igualmente, reconoce su responsabilidad internacional en el presente procedimiento por no haber asegurado un recurso efectivo para esclarecer lo sucedido y establecer las responsabilidades correspondientes, en contravención a los artículos 8.1 y 25.1 de la Convención Americana sobre Derechos Humanos, en relación con las obligaciones previstas en su artículo 1.1, también en los términos y condiciones indicados en el referido Informe de Fondo.</w:t>
      </w:r>
    </w:p>
    <w:p w14:paraId="329A1A44" w14:textId="77777777" w:rsidR="00C5289C" w:rsidRPr="004754B0" w:rsidRDefault="00C5289C" w:rsidP="00B476ED">
      <w:pPr>
        <w:tabs>
          <w:tab w:val="left" w:pos="567"/>
        </w:tabs>
        <w:spacing w:line="240" w:lineRule="auto"/>
        <w:ind w:right="-801"/>
        <w:rPr>
          <w:rFonts w:eastAsia="Batang"/>
          <w:sz w:val="20"/>
          <w:szCs w:val="20"/>
          <w:lang w:eastAsia="en-US"/>
        </w:rPr>
      </w:pPr>
    </w:p>
    <w:p w14:paraId="5CEE76FF" w14:textId="77777777" w:rsidR="00C5289C" w:rsidRPr="004754B0"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4754B0">
        <w:rPr>
          <w:rFonts w:eastAsia="Batang"/>
          <w:sz w:val="20"/>
          <w:szCs w:val="20"/>
          <w:lang w:eastAsia="en-US"/>
        </w:rPr>
        <w:t>Venezuela expresó además que “[e]n principio y de forma general […] se compromete a cumplir con las reparaciones integrales correspondientes”, en atención a la jurisprudencia de la Corte y criterios seguidos en casos similares. Se refirió también a diversos tipos de medidas de reparación: a) se “</w:t>
      </w:r>
      <w:proofErr w:type="spellStart"/>
      <w:r w:rsidRPr="004754B0">
        <w:rPr>
          <w:rFonts w:eastAsia="Batang"/>
          <w:sz w:val="20"/>
          <w:szCs w:val="20"/>
          <w:lang w:eastAsia="en-US"/>
        </w:rPr>
        <w:t>compromet</w:t>
      </w:r>
      <w:proofErr w:type="spellEnd"/>
      <w:r w:rsidRPr="004754B0">
        <w:rPr>
          <w:rFonts w:eastAsia="Batang"/>
          <w:sz w:val="20"/>
          <w:szCs w:val="20"/>
          <w:lang w:eastAsia="en-US"/>
        </w:rPr>
        <w:t>[</w:t>
      </w:r>
      <w:proofErr w:type="spellStart"/>
      <w:r w:rsidRPr="004754B0">
        <w:rPr>
          <w:rFonts w:eastAsia="Batang"/>
          <w:sz w:val="20"/>
          <w:szCs w:val="20"/>
          <w:lang w:eastAsia="en-US"/>
        </w:rPr>
        <w:t>ió</w:t>
      </w:r>
      <w:proofErr w:type="spellEnd"/>
      <w:r w:rsidRPr="004754B0">
        <w:rPr>
          <w:rFonts w:eastAsia="Batang"/>
          <w:sz w:val="20"/>
          <w:szCs w:val="20"/>
          <w:lang w:eastAsia="en-US"/>
        </w:rPr>
        <w:t>]”, desde el momento de presentación del escrito de contestación, a brindar “atención en salud a las víctimas”, para lo cual las “</w:t>
      </w:r>
      <w:proofErr w:type="spellStart"/>
      <w:r w:rsidRPr="004754B0">
        <w:rPr>
          <w:rFonts w:eastAsia="Batang"/>
          <w:sz w:val="20"/>
          <w:szCs w:val="20"/>
          <w:lang w:eastAsia="en-US"/>
        </w:rPr>
        <w:t>invit</w:t>
      </w:r>
      <w:proofErr w:type="spellEnd"/>
      <w:r w:rsidRPr="004754B0">
        <w:rPr>
          <w:rFonts w:eastAsia="Batang"/>
          <w:sz w:val="20"/>
          <w:szCs w:val="20"/>
          <w:lang w:eastAsia="en-US"/>
        </w:rPr>
        <w:t>[</w:t>
      </w:r>
      <w:proofErr w:type="spellStart"/>
      <w:r w:rsidRPr="004754B0">
        <w:rPr>
          <w:rFonts w:eastAsia="Batang"/>
          <w:sz w:val="20"/>
          <w:szCs w:val="20"/>
          <w:lang w:eastAsia="en-US"/>
        </w:rPr>
        <w:t>ó</w:t>
      </w:r>
      <w:proofErr w:type="spellEnd"/>
      <w:r w:rsidRPr="004754B0">
        <w:rPr>
          <w:rFonts w:eastAsia="Batang"/>
          <w:sz w:val="20"/>
          <w:szCs w:val="20"/>
          <w:lang w:eastAsia="en-US"/>
        </w:rPr>
        <w:t>]” a contactar a las autoridades estatales; b) se “</w:t>
      </w:r>
      <w:proofErr w:type="spellStart"/>
      <w:r w:rsidRPr="004754B0">
        <w:rPr>
          <w:rFonts w:eastAsia="Batang"/>
          <w:sz w:val="20"/>
          <w:szCs w:val="20"/>
          <w:lang w:eastAsia="en-US"/>
        </w:rPr>
        <w:t>compromet</w:t>
      </w:r>
      <w:proofErr w:type="spellEnd"/>
      <w:r w:rsidRPr="004754B0">
        <w:rPr>
          <w:rFonts w:eastAsia="Batang"/>
          <w:sz w:val="20"/>
          <w:szCs w:val="20"/>
          <w:lang w:eastAsia="en-US"/>
        </w:rPr>
        <w:t>[</w:t>
      </w:r>
      <w:proofErr w:type="spellStart"/>
      <w:r w:rsidRPr="004754B0">
        <w:rPr>
          <w:rFonts w:eastAsia="Batang"/>
          <w:sz w:val="20"/>
          <w:szCs w:val="20"/>
          <w:lang w:eastAsia="en-US"/>
        </w:rPr>
        <w:t>ió</w:t>
      </w:r>
      <w:proofErr w:type="spellEnd"/>
      <w:r w:rsidRPr="004754B0">
        <w:rPr>
          <w:rFonts w:eastAsia="Batang"/>
          <w:sz w:val="20"/>
          <w:szCs w:val="20"/>
          <w:lang w:eastAsia="en-US"/>
        </w:rPr>
        <w:t>]”, asimismo, a “impulsar, desarrollar y continuar el proceso penal en curso para esclarecer lo sucedido y establecer las responsabilidades a que hubiere lugar”, y c) “</w:t>
      </w:r>
      <w:proofErr w:type="spellStart"/>
      <w:r w:rsidRPr="004754B0">
        <w:rPr>
          <w:rFonts w:eastAsia="Batang"/>
          <w:sz w:val="20"/>
          <w:szCs w:val="20"/>
          <w:lang w:eastAsia="en-US"/>
        </w:rPr>
        <w:t>inform</w:t>
      </w:r>
      <w:proofErr w:type="spellEnd"/>
      <w:r w:rsidRPr="004754B0">
        <w:rPr>
          <w:rFonts w:eastAsia="Batang"/>
          <w:sz w:val="20"/>
          <w:szCs w:val="20"/>
          <w:lang w:eastAsia="en-US"/>
        </w:rPr>
        <w:t>[</w:t>
      </w:r>
      <w:proofErr w:type="spellStart"/>
      <w:r w:rsidRPr="004754B0">
        <w:rPr>
          <w:rFonts w:eastAsia="Batang"/>
          <w:sz w:val="20"/>
          <w:szCs w:val="20"/>
          <w:lang w:eastAsia="en-US"/>
        </w:rPr>
        <w:t>ó</w:t>
      </w:r>
      <w:proofErr w:type="spellEnd"/>
      <w:r w:rsidRPr="004754B0">
        <w:rPr>
          <w:rFonts w:eastAsia="Batang"/>
          <w:sz w:val="20"/>
          <w:szCs w:val="20"/>
          <w:lang w:eastAsia="en-US"/>
        </w:rPr>
        <w:t>]” que desde que ocurrieron los hechos del caso “ha venido […] adoptando un conjunto de medidas legislativas, administrativas y educativas que garantizan que sucesos como los ocurridos en el presente caso [no] vuelva[n] a repetirse”. Indicó, respecto a lo último, diversas acciones, que se detallan más adelante (</w:t>
      </w:r>
      <w:r w:rsidRPr="004754B0">
        <w:rPr>
          <w:rFonts w:eastAsia="Batang"/>
          <w:i/>
          <w:sz w:val="20"/>
          <w:szCs w:val="20"/>
          <w:lang w:eastAsia="en-US"/>
        </w:rPr>
        <w:t xml:space="preserve">infra </w:t>
      </w:r>
      <w:r w:rsidRPr="004754B0">
        <w:rPr>
          <w:rFonts w:eastAsia="Batang"/>
          <w:sz w:val="20"/>
          <w:szCs w:val="20"/>
          <w:lang w:eastAsia="en-US"/>
        </w:rPr>
        <w:t xml:space="preserve">Capítulo </w:t>
      </w:r>
      <w:r>
        <w:rPr>
          <w:rFonts w:eastAsia="Batang"/>
          <w:sz w:val="20"/>
          <w:szCs w:val="20"/>
          <w:lang w:eastAsia="en-US"/>
        </w:rPr>
        <w:t>VIII</w:t>
      </w:r>
      <w:r w:rsidRPr="004754B0">
        <w:rPr>
          <w:rFonts w:eastAsia="Batang"/>
          <w:sz w:val="20"/>
          <w:szCs w:val="20"/>
          <w:lang w:eastAsia="en-US"/>
        </w:rPr>
        <w:t>)</w:t>
      </w:r>
      <w:r>
        <w:rPr>
          <w:rFonts w:eastAsia="Batang"/>
          <w:sz w:val="20"/>
          <w:szCs w:val="20"/>
          <w:lang w:eastAsia="en-US"/>
        </w:rPr>
        <w:t>.</w:t>
      </w:r>
    </w:p>
    <w:p w14:paraId="4357FBBD" w14:textId="77777777" w:rsidR="00C5289C" w:rsidRPr="004754B0" w:rsidRDefault="00C5289C" w:rsidP="00B476ED">
      <w:pPr>
        <w:tabs>
          <w:tab w:val="left" w:pos="567"/>
        </w:tabs>
        <w:spacing w:line="240" w:lineRule="auto"/>
        <w:ind w:right="-801"/>
        <w:rPr>
          <w:rFonts w:eastAsia="Batang"/>
          <w:sz w:val="20"/>
          <w:szCs w:val="20"/>
          <w:lang w:eastAsia="en-US"/>
        </w:rPr>
      </w:pPr>
    </w:p>
    <w:p w14:paraId="2161591B" w14:textId="37425EA2" w:rsidR="00C5289C" w:rsidRPr="004754B0"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4754B0">
        <w:rPr>
          <w:rFonts w:eastAsia="Batang"/>
          <w:sz w:val="20"/>
          <w:szCs w:val="20"/>
          <w:lang w:eastAsia="en-US"/>
        </w:rPr>
        <w:t xml:space="preserve">La </w:t>
      </w:r>
      <w:r w:rsidRPr="004754B0">
        <w:rPr>
          <w:rFonts w:eastAsia="Batang"/>
          <w:b/>
          <w:i/>
          <w:sz w:val="20"/>
          <w:szCs w:val="20"/>
          <w:lang w:eastAsia="en-US"/>
        </w:rPr>
        <w:t>Comisión</w:t>
      </w:r>
      <w:r w:rsidRPr="004754B0">
        <w:rPr>
          <w:rFonts w:eastAsia="Batang"/>
          <w:sz w:val="20"/>
          <w:szCs w:val="20"/>
          <w:lang w:eastAsia="en-US"/>
        </w:rPr>
        <w:t xml:space="preserve"> “valor[</w:t>
      </w:r>
      <w:proofErr w:type="spellStart"/>
      <w:r w:rsidRPr="004754B0">
        <w:rPr>
          <w:rFonts w:eastAsia="Batang"/>
          <w:sz w:val="20"/>
          <w:szCs w:val="20"/>
          <w:lang w:eastAsia="en-US"/>
        </w:rPr>
        <w:t>ó</w:t>
      </w:r>
      <w:proofErr w:type="spellEnd"/>
      <w:r w:rsidRPr="004754B0">
        <w:rPr>
          <w:rFonts w:eastAsia="Batang"/>
          <w:sz w:val="20"/>
          <w:szCs w:val="20"/>
          <w:lang w:eastAsia="en-US"/>
        </w:rPr>
        <w:t>] positivamente” el reconocimiento de responsabilidad, enten</w:t>
      </w:r>
      <w:r>
        <w:rPr>
          <w:rFonts w:eastAsia="Batang"/>
          <w:sz w:val="20"/>
          <w:szCs w:val="20"/>
          <w:lang w:eastAsia="en-US"/>
        </w:rPr>
        <w:t>d</w:t>
      </w:r>
      <w:r w:rsidRPr="004754B0">
        <w:rPr>
          <w:rFonts w:eastAsia="Batang"/>
          <w:sz w:val="20"/>
          <w:szCs w:val="20"/>
          <w:lang w:eastAsia="en-US"/>
        </w:rPr>
        <w:t xml:space="preserve">iendo que “constituye una contribución positiva” al proceso y a la “dignificación de las víctimas”. Advirtió que abarca “la totalidad de las violaciones declaradas [en el Informe de Fondo]”, y que “implica una aceptación de los hechos del caso”. </w:t>
      </w:r>
      <w:r>
        <w:rPr>
          <w:rFonts w:eastAsia="Batang"/>
          <w:sz w:val="20"/>
          <w:szCs w:val="20"/>
          <w:lang w:eastAsia="en-US"/>
        </w:rPr>
        <w:t>También</w:t>
      </w:r>
      <w:r w:rsidRPr="004754B0">
        <w:rPr>
          <w:rFonts w:eastAsia="Batang"/>
          <w:sz w:val="20"/>
          <w:szCs w:val="20"/>
          <w:lang w:eastAsia="en-US"/>
        </w:rPr>
        <w:t xml:space="preserve"> “valor[</w:t>
      </w:r>
      <w:proofErr w:type="spellStart"/>
      <w:r w:rsidRPr="004754B0">
        <w:rPr>
          <w:rFonts w:eastAsia="Batang"/>
          <w:sz w:val="20"/>
          <w:szCs w:val="20"/>
          <w:lang w:eastAsia="en-US"/>
        </w:rPr>
        <w:t>ó</w:t>
      </w:r>
      <w:proofErr w:type="spellEnd"/>
      <w:r w:rsidRPr="004754B0">
        <w:rPr>
          <w:rFonts w:eastAsia="Batang"/>
          <w:sz w:val="20"/>
          <w:szCs w:val="20"/>
          <w:lang w:eastAsia="en-US"/>
        </w:rPr>
        <w:t>] positivamente” las medidas de no repetición que el Estado informó que ha adoptado desde 2006 (</w:t>
      </w:r>
      <w:r w:rsidRPr="004754B0">
        <w:rPr>
          <w:rFonts w:eastAsia="Batang"/>
          <w:i/>
          <w:sz w:val="20"/>
          <w:szCs w:val="20"/>
          <w:lang w:eastAsia="en-US"/>
        </w:rPr>
        <w:t>infra</w:t>
      </w:r>
      <w:r w:rsidRPr="004754B0">
        <w:rPr>
          <w:rFonts w:eastAsia="Batang"/>
          <w:sz w:val="20"/>
          <w:szCs w:val="20"/>
          <w:lang w:eastAsia="en-US"/>
        </w:rPr>
        <w:t xml:space="preserve">, Capítulo </w:t>
      </w:r>
      <w:r>
        <w:rPr>
          <w:rFonts w:eastAsia="Batang"/>
          <w:sz w:val="20"/>
          <w:szCs w:val="20"/>
          <w:lang w:eastAsia="en-US"/>
        </w:rPr>
        <w:t>VIII</w:t>
      </w:r>
      <w:r w:rsidRPr="004754B0">
        <w:rPr>
          <w:rFonts w:eastAsia="Batang"/>
          <w:sz w:val="20"/>
          <w:szCs w:val="20"/>
          <w:lang w:eastAsia="en-US"/>
        </w:rPr>
        <w:t>), aunque entendió que “para concluir que existe total cumplimiento” de lo recomendado en el Informe de Fondo, es necesario evaluar la implementación y efectividad de esas medidas. Observó, por otra parte, que el Estado no se refirió a “medidas de compensación económica y satisfacción”.</w:t>
      </w:r>
    </w:p>
    <w:p w14:paraId="2EA41350" w14:textId="77777777" w:rsidR="00C5289C" w:rsidRPr="004754B0" w:rsidRDefault="00C5289C" w:rsidP="00B476ED">
      <w:pPr>
        <w:pStyle w:val="Prrafodelista"/>
        <w:spacing w:line="240" w:lineRule="auto"/>
        <w:ind w:left="0" w:right="-801"/>
        <w:rPr>
          <w:rFonts w:eastAsia="Batang"/>
          <w:sz w:val="20"/>
          <w:szCs w:val="20"/>
          <w:highlight w:val="cyan"/>
          <w:lang w:eastAsia="en-US"/>
        </w:rPr>
      </w:pPr>
    </w:p>
    <w:p w14:paraId="6785A7DF" w14:textId="48D4E464" w:rsidR="00C5289C" w:rsidRPr="004754B0"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4754B0">
        <w:rPr>
          <w:rFonts w:eastAsia="Batang"/>
          <w:sz w:val="20"/>
          <w:szCs w:val="20"/>
          <w:lang w:eastAsia="en-US"/>
        </w:rPr>
        <w:t xml:space="preserve">Los </w:t>
      </w:r>
      <w:r w:rsidRPr="00A43C92">
        <w:rPr>
          <w:rFonts w:eastAsia="Batang"/>
          <w:b/>
          <w:bCs/>
          <w:i/>
          <w:iCs/>
          <w:sz w:val="20"/>
          <w:szCs w:val="20"/>
          <w:lang w:eastAsia="en-US"/>
        </w:rPr>
        <w:t>representantes</w:t>
      </w:r>
      <w:r w:rsidRPr="004754B0">
        <w:rPr>
          <w:rFonts w:eastAsia="Batang"/>
          <w:sz w:val="20"/>
          <w:szCs w:val="20"/>
          <w:lang w:eastAsia="en-US"/>
        </w:rPr>
        <w:t xml:space="preserve"> expresaron que “[e]l reconocimiento pleno de responsabilidad internacional </w:t>
      </w:r>
      <w:r>
        <w:rPr>
          <w:rFonts w:eastAsia="Batang"/>
          <w:sz w:val="20"/>
          <w:szCs w:val="20"/>
          <w:lang w:eastAsia="en-US"/>
        </w:rPr>
        <w:t xml:space="preserve">[…] </w:t>
      </w:r>
      <w:r w:rsidRPr="004754B0">
        <w:rPr>
          <w:rFonts w:eastAsia="Batang"/>
          <w:sz w:val="20"/>
          <w:szCs w:val="20"/>
          <w:lang w:eastAsia="en-US"/>
        </w:rPr>
        <w:t>es importante y largamente anhelado por las familias de las [v]</w:t>
      </w:r>
      <w:proofErr w:type="spellStart"/>
      <w:r w:rsidRPr="004754B0">
        <w:rPr>
          <w:rFonts w:eastAsia="Batang"/>
          <w:sz w:val="20"/>
          <w:szCs w:val="20"/>
          <w:lang w:eastAsia="en-US"/>
        </w:rPr>
        <w:t>íctimas</w:t>
      </w:r>
      <w:proofErr w:type="spellEnd"/>
      <w:r w:rsidRPr="004754B0">
        <w:rPr>
          <w:rFonts w:eastAsia="Batang"/>
          <w:sz w:val="20"/>
          <w:szCs w:val="20"/>
          <w:lang w:eastAsia="en-US"/>
        </w:rPr>
        <w:t xml:space="preserve">”. Consideraron que, dado el </w:t>
      </w:r>
      <w:r>
        <w:rPr>
          <w:rFonts w:eastAsia="Batang"/>
          <w:sz w:val="20"/>
          <w:szCs w:val="20"/>
          <w:lang w:eastAsia="en-US"/>
        </w:rPr>
        <w:t>mismo</w:t>
      </w:r>
      <w:r w:rsidRPr="004754B0">
        <w:rPr>
          <w:rFonts w:eastAsia="Batang"/>
          <w:sz w:val="20"/>
          <w:szCs w:val="20"/>
          <w:lang w:eastAsia="en-US"/>
        </w:rPr>
        <w:t xml:space="preserve">, deben tenerse por “incontrovertibles” los hechos del caso. Afirmaron que, con base en el artículo 41.3 del Reglamento, la Corte debe tomar como “aceptados” los hechos </w:t>
      </w:r>
      <w:r>
        <w:rPr>
          <w:rFonts w:eastAsia="Batang"/>
          <w:sz w:val="20"/>
          <w:szCs w:val="20"/>
          <w:lang w:eastAsia="en-US"/>
        </w:rPr>
        <w:t xml:space="preserve">y “pretensiones” </w:t>
      </w:r>
      <w:r w:rsidRPr="004754B0">
        <w:rPr>
          <w:rFonts w:eastAsia="Batang"/>
          <w:sz w:val="20"/>
          <w:szCs w:val="20"/>
          <w:lang w:eastAsia="en-US"/>
        </w:rPr>
        <w:t>señalados en el escrito de solicitudes y argumento</w:t>
      </w:r>
      <w:r>
        <w:rPr>
          <w:rFonts w:eastAsia="Batang"/>
          <w:sz w:val="20"/>
          <w:szCs w:val="20"/>
          <w:lang w:eastAsia="en-US"/>
        </w:rPr>
        <w:t>s</w:t>
      </w:r>
      <w:r w:rsidRPr="004754B0">
        <w:rPr>
          <w:rFonts w:eastAsia="Batang"/>
          <w:sz w:val="20"/>
          <w:szCs w:val="20"/>
          <w:lang w:eastAsia="en-US"/>
        </w:rPr>
        <w:t xml:space="preserve">, en tanto no hubo una negativa expresa del Estado al respecto. </w:t>
      </w:r>
    </w:p>
    <w:p w14:paraId="0D85FE9D" w14:textId="77777777" w:rsidR="00C5289C" w:rsidRPr="004754B0" w:rsidRDefault="00C5289C" w:rsidP="00B476ED">
      <w:pPr>
        <w:pStyle w:val="Prrafodelista"/>
        <w:spacing w:line="240" w:lineRule="auto"/>
        <w:ind w:left="0" w:right="-801"/>
        <w:rPr>
          <w:rFonts w:eastAsia="Batang"/>
          <w:sz w:val="20"/>
          <w:szCs w:val="20"/>
          <w:lang w:eastAsia="en-US"/>
        </w:rPr>
      </w:pPr>
    </w:p>
    <w:p w14:paraId="68859663" w14:textId="5A02A1F7" w:rsidR="00C5289C" w:rsidRPr="004754B0"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4754B0">
        <w:rPr>
          <w:rFonts w:eastAsia="Batang"/>
          <w:sz w:val="20"/>
          <w:szCs w:val="20"/>
          <w:lang w:eastAsia="en-US"/>
        </w:rPr>
        <w:t xml:space="preserve">Sobre las reparaciones, los representantes notaron que Venezuela no se pronunció sobre aquellas solicitadas por ellos. </w:t>
      </w:r>
      <w:r w:rsidRPr="00B03A88">
        <w:rPr>
          <w:rFonts w:eastAsia="Batang"/>
          <w:sz w:val="20"/>
          <w:szCs w:val="20"/>
          <w:lang w:eastAsia="en-US"/>
        </w:rPr>
        <w:t xml:space="preserve">Adujeron también que el reconocimiento de responsabilidad cumple con una medida de satisfacción que requirieron, consistente en el reconocimiento de </w:t>
      </w:r>
      <w:r w:rsidRPr="00B03A88">
        <w:rPr>
          <w:rFonts w:eastAsia="Batang"/>
          <w:sz w:val="20"/>
          <w:szCs w:val="20"/>
          <w:lang w:eastAsia="en-US"/>
        </w:rPr>
        <w:lastRenderedPageBreak/>
        <w:t>responsabilidad internacional. Agregaron que no se ha completado la investigación de los hechos,</w:t>
      </w:r>
      <w:r w:rsidRPr="00EE1F1A">
        <w:rPr>
          <w:rFonts w:eastAsia="Batang"/>
          <w:sz w:val="20"/>
          <w:szCs w:val="20"/>
          <w:lang w:eastAsia="en-US"/>
        </w:rPr>
        <w:t xml:space="preserve"> </w:t>
      </w:r>
      <w:r w:rsidRPr="003A5C19">
        <w:rPr>
          <w:rFonts w:eastAsia="Batang"/>
          <w:sz w:val="20"/>
          <w:szCs w:val="20"/>
          <w:lang w:eastAsia="en-US"/>
        </w:rPr>
        <w:t>que las medidas de rehabilitación ofrecidas por el Estado no son suficientes, y que no es “creíble” el señalamiento estatal respecto a que se han adoptado las medidas de no repetición necesarias. Afirmaron que hay una “falta de compromiso” del Estado en “garantizar los derechos humanos de las personas privadas de libertad”, y que hay “constantes violaciones” a los mismos. Mencionaron, al respecto,</w:t>
      </w:r>
      <w:r w:rsidRPr="004754B0">
        <w:rPr>
          <w:rFonts w:eastAsia="Batang"/>
          <w:sz w:val="20"/>
          <w:szCs w:val="20"/>
          <w:lang w:eastAsia="en-US"/>
        </w:rPr>
        <w:t xml:space="preserve"> diversas situaciones, no referidas al caso, de hacinamiento, falta de atención médica, muertes y otras circunstancias. </w:t>
      </w:r>
    </w:p>
    <w:p w14:paraId="67E74D7F" w14:textId="77777777" w:rsidR="00C5289C" w:rsidRPr="004754B0" w:rsidRDefault="00C5289C" w:rsidP="00B476ED">
      <w:pPr>
        <w:tabs>
          <w:tab w:val="left" w:pos="567"/>
          <w:tab w:val="num" w:pos="12305"/>
        </w:tabs>
        <w:spacing w:line="240" w:lineRule="auto"/>
        <w:ind w:right="-801"/>
        <w:rPr>
          <w:rFonts w:eastAsia="Batang"/>
          <w:sz w:val="20"/>
          <w:szCs w:val="20"/>
          <w:lang w:eastAsia="en-US"/>
        </w:rPr>
      </w:pPr>
    </w:p>
    <w:p w14:paraId="2F94F2CE" w14:textId="233E02B3" w:rsidR="00C5289C" w:rsidRPr="004754B0" w:rsidRDefault="00C5289C" w:rsidP="00B476ED">
      <w:pPr>
        <w:pStyle w:val="Ttulo2"/>
        <w:tabs>
          <w:tab w:val="clear" w:pos="1134"/>
          <w:tab w:val="left" w:pos="1560"/>
        </w:tabs>
        <w:spacing w:before="0" w:after="0"/>
        <w:ind w:left="284" w:right="-801" w:firstLine="0"/>
        <w:rPr>
          <w:lang w:eastAsia="en-US"/>
        </w:rPr>
      </w:pPr>
      <w:bookmarkStart w:id="8" w:name="_Toc58330205"/>
      <w:r w:rsidRPr="004754B0">
        <w:rPr>
          <w:lang w:eastAsia="en-US"/>
        </w:rPr>
        <w:t>Consideraciones de la Corte</w:t>
      </w:r>
      <w:bookmarkEnd w:id="8"/>
    </w:p>
    <w:p w14:paraId="0033915F" w14:textId="77777777" w:rsidR="00C5289C" w:rsidRPr="004754B0" w:rsidRDefault="00C5289C" w:rsidP="00B476ED">
      <w:pPr>
        <w:pStyle w:val="Prrafodelista"/>
        <w:spacing w:line="240" w:lineRule="auto"/>
        <w:ind w:left="0" w:right="-801"/>
        <w:rPr>
          <w:rFonts w:eastAsia="Batang"/>
          <w:sz w:val="20"/>
          <w:szCs w:val="20"/>
          <w:lang w:eastAsia="en-US"/>
        </w:rPr>
      </w:pPr>
    </w:p>
    <w:p w14:paraId="555C9665" w14:textId="77777777" w:rsidR="00C5289C" w:rsidRPr="004754B0" w:rsidRDefault="00C5289C" w:rsidP="00B476ED">
      <w:pPr>
        <w:numPr>
          <w:ilvl w:val="0"/>
          <w:numId w:val="1"/>
        </w:numPr>
        <w:tabs>
          <w:tab w:val="left" w:pos="567"/>
        </w:tabs>
        <w:spacing w:line="240" w:lineRule="auto"/>
        <w:ind w:left="0" w:right="-801" w:firstLine="0"/>
        <w:rPr>
          <w:rFonts w:eastAsia="Batang"/>
          <w:sz w:val="20"/>
          <w:szCs w:val="20"/>
          <w:lang w:eastAsia="en-US"/>
        </w:rPr>
      </w:pPr>
      <w:r w:rsidRPr="004754B0">
        <w:rPr>
          <w:rFonts w:eastAsia="Batang"/>
          <w:sz w:val="20"/>
          <w:szCs w:val="20"/>
          <w:lang w:eastAsia="en-US"/>
        </w:rPr>
        <w:t xml:space="preserve">La Corte recuerda que, de conformidad con los artículos 62 y 64 del Reglamento, y en ejercicio de sus poderes de tutela judicial de derechos humanos, cuestión de orden público internacional, </w:t>
      </w:r>
      <w:r>
        <w:rPr>
          <w:rFonts w:eastAsia="Batang"/>
          <w:sz w:val="20"/>
          <w:szCs w:val="20"/>
          <w:lang w:eastAsia="en-US"/>
        </w:rPr>
        <w:t xml:space="preserve">le </w:t>
      </w:r>
      <w:r w:rsidRPr="004754B0">
        <w:rPr>
          <w:rFonts w:eastAsia="Batang"/>
          <w:sz w:val="20"/>
          <w:szCs w:val="20"/>
          <w:lang w:eastAsia="en-US"/>
        </w:rPr>
        <w:t xml:space="preserve">incumbe velar por que los actos de reconocimiento de </w:t>
      </w:r>
      <w:r w:rsidRPr="00B93019">
        <w:rPr>
          <w:rFonts w:eastAsia="Batang"/>
          <w:sz w:val="20"/>
          <w:szCs w:val="20"/>
          <w:lang w:eastAsia="en-US"/>
        </w:rPr>
        <w:t>responsabilidad resulten aceptables para los fines que busca cumplir el sistema interamericano</w:t>
      </w:r>
      <w:r w:rsidRPr="00B93019">
        <w:rPr>
          <w:rStyle w:val="Refdenotaalpie"/>
          <w:rFonts w:eastAsia="Batang"/>
          <w:sz w:val="20"/>
          <w:szCs w:val="20"/>
          <w:lang w:eastAsia="en-US"/>
        </w:rPr>
        <w:footnoteReference w:id="11"/>
      </w:r>
      <w:r w:rsidRPr="00B93019">
        <w:rPr>
          <w:rFonts w:eastAsia="Batang"/>
          <w:sz w:val="20"/>
          <w:szCs w:val="20"/>
          <w:lang w:eastAsia="en-US"/>
        </w:rPr>
        <w:t>. Con base</w:t>
      </w:r>
      <w:r w:rsidRPr="004754B0">
        <w:rPr>
          <w:rFonts w:eastAsia="Batang"/>
          <w:sz w:val="20"/>
          <w:szCs w:val="20"/>
          <w:lang w:eastAsia="en-US"/>
        </w:rPr>
        <w:t xml:space="preserve"> en lo anterior, examinará los alcances del reconocimiento de responsabilidad en este caso concreto, considerando los términos </w:t>
      </w:r>
      <w:proofErr w:type="gramStart"/>
      <w:r w:rsidRPr="004754B0">
        <w:rPr>
          <w:rFonts w:eastAsia="Batang"/>
          <w:sz w:val="20"/>
          <w:szCs w:val="20"/>
          <w:lang w:eastAsia="en-US"/>
        </w:rPr>
        <w:t>del mismo</w:t>
      </w:r>
      <w:proofErr w:type="gramEnd"/>
      <w:r w:rsidRPr="004754B0">
        <w:rPr>
          <w:rFonts w:eastAsia="Batang"/>
          <w:sz w:val="20"/>
          <w:szCs w:val="20"/>
          <w:lang w:eastAsia="en-US"/>
        </w:rPr>
        <w:t xml:space="preserve"> y sus efectos respecto a los hechos del caso, las pretensiones de derecho y las medidas de reparación. </w:t>
      </w:r>
    </w:p>
    <w:p w14:paraId="5C0272F6" w14:textId="77777777" w:rsidR="00C5289C" w:rsidRPr="004754B0" w:rsidRDefault="00C5289C" w:rsidP="00B476ED">
      <w:pPr>
        <w:tabs>
          <w:tab w:val="left" w:pos="567"/>
        </w:tabs>
        <w:spacing w:line="240" w:lineRule="auto"/>
        <w:ind w:right="-801"/>
        <w:rPr>
          <w:rFonts w:eastAsia="Batang"/>
          <w:sz w:val="20"/>
          <w:szCs w:val="20"/>
          <w:lang w:eastAsia="en-US"/>
        </w:rPr>
      </w:pPr>
    </w:p>
    <w:p w14:paraId="65014086" w14:textId="79458D65" w:rsidR="00C5289C" w:rsidRPr="004754B0" w:rsidRDefault="00C5289C" w:rsidP="00B476ED">
      <w:pPr>
        <w:pStyle w:val="Ttulo3"/>
        <w:numPr>
          <w:ilvl w:val="0"/>
          <w:numId w:val="0"/>
        </w:numPr>
        <w:tabs>
          <w:tab w:val="clear" w:pos="1134"/>
          <w:tab w:val="left" w:pos="1560"/>
        </w:tabs>
        <w:spacing w:before="0" w:after="0"/>
        <w:ind w:left="567" w:right="-801"/>
        <w:rPr>
          <w:rFonts w:eastAsia="Batang"/>
          <w:lang w:eastAsia="en-US"/>
        </w:rPr>
      </w:pPr>
      <w:bookmarkStart w:id="9" w:name="_Toc58330206"/>
      <w:r w:rsidRPr="004754B0">
        <w:rPr>
          <w:rFonts w:eastAsia="Batang"/>
          <w:lang w:eastAsia="en-US"/>
        </w:rPr>
        <w:t xml:space="preserve">B.1. </w:t>
      </w:r>
      <w:r w:rsidRPr="00B900C8">
        <w:rPr>
          <w:rFonts w:eastAsia="Batang"/>
          <w:u w:val="single"/>
          <w:lang w:eastAsia="en-US"/>
        </w:rPr>
        <w:t>En cuanto a los hechos</w:t>
      </w:r>
      <w:bookmarkEnd w:id="9"/>
    </w:p>
    <w:p w14:paraId="7C1549DD" w14:textId="77777777" w:rsidR="00C5289C" w:rsidRPr="004754B0" w:rsidRDefault="00C5289C" w:rsidP="00B476ED">
      <w:pPr>
        <w:tabs>
          <w:tab w:val="left" w:pos="567"/>
        </w:tabs>
        <w:spacing w:line="240" w:lineRule="auto"/>
        <w:ind w:right="-801"/>
        <w:rPr>
          <w:rFonts w:eastAsia="Batang"/>
          <w:sz w:val="20"/>
          <w:szCs w:val="20"/>
          <w:lang w:eastAsia="en-US"/>
        </w:rPr>
      </w:pPr>
    </w:p>
    <w:p w14:paraId="57BFA6C8" w14:textId="12D000DF" w:rsidR="00C5289C" w:rsidRPr="004754B0"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4754B0">
        <w:rPr>
          <w:rFonts w:eastAsia="Batang"/>
          <w:sz w:val="20"/>
          <w:szCs w:val="20"/>
          <w:lang w:eastAsia="en-US"/>
        </w:rPr>
        <w:t>Venezuela reconoci</w:t>
      </w:r>
      <w:r>
        <w:rPr>
          <w:rFonts w:eastAsia="Batang"/>
          <w:sz w:val="20"/>
          <w:szCs w:val="20"/>
          <w:lang w:eastAsia="en-US"/>
        </w:rPr>
        <w:t>ó su</w:t>
      </w:r>
      <w:r w:rsidRPr="004754B0">
        <w:rPr>
          <w:rFonts w:eastAsia="Batang"/>
          <w:sz w:val="20"/>
          <w:szCs w:val="20"/>
          <w:lang w:eastAsia="en-US"/>
        </w:rPr>
        <w:t xml:space="preserve"> responsabilidad internacional respecto a la totalidad de las violaciones de derechos indicadas por la Comisión</w:t>
      </w:r>
      <w:r>
        <w:rPr>
          <w:rFonts w:eastAsia="Batang"/>
          <w:sz w:val="20"/>
          <w:szCs w:val="20"/>
          <w:lang w:eastAsia="en-US"/>
        </w:rPr>
        <w:t>,</w:t>
      </w:r>
      <w:r w:rsidRPr="004754B0">
        <w:rPr>
          <w:rFonts w:eastAsia="Batang"/>
          <w:sz w:val="20"/>
          <w:szCs w:val="20"/>
          <w:lang w:eastAsia="en-US"/>
        </w:rPr>
        <w:t xml:space="preserve"> “en los términos y condiciones establecidos en el Informe de Fondo”. La Corte entiende que el Estado, al aceptar todas las violaciones a derechos humanos referidas en el Informe de Fondo, ha reconocido, a su vez, la totalidad de los hechos contenidos en dicho Informe que dieron lugar a tales violaciones. </w:t>
      </w:r>
    </w:p>
    <w:p w14:paraId="6E6E3E77" w14:textId="77777777" w:rsidR="00C5289C" w:rsidRPr="004754B0" w:rsidRDefault="00C5289C" w:rsidP="00B476ED">
      <w:pPr>
        <w:tabs>
          <w:tab w:val="left" w:pos="567"/>
          <w:tab w:val="num" w:pos="12305"/>
        </w:tabs>
        <w:spacing w:line="240" w:lineRule="auto"/>
        <w:ind w:right="-801"/>
        <w:rPr>
          <w:rFonts w:eastAsia="Batang"/>
          <w:sz w:val="20"/>
          <w:szCs w:val="20"/>
          <w:lang w:eastAsia="en-US"/>
        </w:rPr>
      </w:pPr>
    </w:p>
    <w:p w14:paraId="165F4615" w14:textId="37A379E1" w:rsidR="00C5289C" w:rsidRPr="004754B0" w:rsidRDefault="00C5289C" w:rsidP="00B476ED">
      <w:pPr>
        <w:pStyle w:val="Ttulo3"/>
        <w:numPr>
          <w:ilvl w:val="0"/>
          <w:numId w:val="0"/>
        </w:numPr>
        <w:tabs>
          <w:tab w:val="clear" w:pos="1134"/>
          <w:tab w:val="left" w:pos="1418"/>
        </w:tabs>
        <w:spacing w:before="0" w:after="0"/>
        <w:ind w:left="567" w:right="-801"/>
        <w:rPr>
          <w:rFonts w:eastAsia="Batang"/>
          <w:lang w:eastAsia="en-US"/>
        </w:rPr>
      </w:pPr>
      <w:bookmarkStart w:id="10" w:name="_Toc58330207"/>
      <w:r w:rsidRPr="004754B0">
        <w:rPr>
          <w:rFonts w:eastAsia="Batang"/>
          <w:lang w:eastAsia="en-US"/>
        </w:rPr>
        <w:t xml:space="preserve">B.2. </w:t>
      </w:r>
      <w:r w:rsidRPr="00B900C8">
        <w:rPr>
          <w:rFonts w:eastAsia="Batang"/>
          <w:u w:val="single"/>
          <w:lang w:eastAsia="en-US"/>
        </w:rPr>
        <w:t>En cuanto a las pretensiones de derecho</w:t>
      </w:r>
      <w:bookmarkEnd w:id="10"/>
    </w:p>
    <w:p w14:paraId="60104801" w14:textId="77777777" w:rsidR="00C5289C" w:rsidRPr="004754B0" w:rsidRDefault="00C5289C" w:rsidP="00B476ED">
      <w:pPr>
        <w:pStyle w:val="Prrafodelista"/>
        <w:spacing w:line="240" w:lineRule="auto"/>
        <w:ind w:left="0" w:right="-801"/>
        <w:rPr>
          <w:rFonts w:eastAsia="Batang"/>
          <w:sz w:val="20"/>
          <w:szCs w:val="20"/>
          <w:lang w:eastAsia="en-US"/>
        </w:rPr>
      </w:pPr>
    </w:p>
    <w:p w14:paraId="6BA726ED" w14:textId="58A9C947" w:rsidR="00C5289C" w:rsidRPr="004754B0"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4754B0">
        <w:rPr>
          <w:rFonts w:eastAsia="Batang"/>
          <w:sz w:val="20"/>
          <w:szCs w:val="20"/>
          <w:lang w:eastAsia="en-US"/>
        </w:rPr>
        <w:t xml:space="preserve">Respecto a las pretensiones de derecho, dados los términos del reconocimiento de responsabilidad, la Corte constata que ha cesado la controversia en cuanto a la responsabilidad internacional de Venezuela por las violaciones siguientes: a) de los derechos a la vida y a la integridad personal, reconocidos en los artículos 4.1, 5.1, 5.4, 5.5 y 5.6 de la Convención Americana sobre Derechos Humanos, en relación con las obligaciones previstas en sus artículos 1.1 y 19, en perjuicio de las cinco personas fallecidas </w:t>
      </w:r>
      <w:r>
        <w:rPr>
          <w:rFonts w:eastAsia="Batang"/>
          <w:sz w:val="20"/>
          <w:szCs w:val="20"/>
          <w:lang w:eastAsia="en-US"/>
        </w:rPr>
        <w:t>(</w:t>
      </w:r>
      <w:r>
        <w:rPr>
          <w:rFonts w:eastAsia="Batang"/>
          <w:i/>
          <w:sz w:val="20"/>
          <w:szCs w:val="20"/>
          <w:lang w:eastAsia="en-US"/>
        </w:rPr>
        <w:t xml:space="preserve">supra </w:t>
      </w:r>
      <w:r>
        <w:rPr>
          <w:rFonts w:eastAsia="Batang"/>
          <w:sz w:val="20"/>
          <w:szCs w:val="20"/>
          <w:lang w:eastAsia="en-US"/>
        </w:rPr>
        <w:t>párr. 1)</w:t>
      </w:r>
      <w:r w:rsidRPr="004754B0">
        <w:rPr>
          <w:rFonts w:eastAsia="Batang"/>
          <w:sz w:val="20"/>
          <w:szCs w:val="20"/>
          <w:lang w:eastAsia="en-US"/>
        </w:rPr>
        <w:t>, y b) de los derechos a las garantías judiciales y a la protección judicial</w:t>
      </w:r>
      <w:r>
        <w:rPr>
          <w:rFonts w:eastAsia="Batang"/>
          <w:sz w:val="20"/>
          <w:szCs w:val="20"/>
          <w:lang w:eastAsia="en-US"/>
        </w:rPr>
        <w:t>,</w:t>
      </w:r>
      <w:r w:rsidRPr="004754B0">
        <w:rPr>
          <w:rFonts w:eastAsia="Batang"/>
          <w:sz w:val="20"/>
          <w:szCs w:val="20"/>
          <w:lang w:eastAsia="en-US"/>
        </w:rPr>
        <w:t xml:space="preserve"> reconocidos en los artículos 8.1 y 25.1 de la Convención, en relación con </w:t>
      </w:r>
      <w:r>
        <w:rPr>
          <w:rFonts w:eastAsia="Batang"/>
          <w:sz w:val="20"/>
          <w:szCs w:val="20"/>
          <w:lang w:eastAsia="en-US"/>
        </w:rPr>
        <w:t>su</w:t>
      </w:r>
      <w:r w:rsidRPr="004754B0">
        <w:rPr>
          <w:rFonts w:eastAsia="Batang"/>
          <w:sz w:val="20"/>
          <w:szCs w:val="20"/>
          <w:lang w:eastAsia="en-US"/>
        </w:rPr>
        <w:t xml:space="preserve"> artículo 1.1, en perjuicio de personas familiares de los fallecidos, identificadas en el Informe de Fondo</w:t>
      </w:r>
      <w:r w:rsidR="00014609">
        <w:rPr>
          <w:rFonts w:eastAsia="Batang"/>
          <w:sz w:val="20"/>
          <w:szCs w:val="20"/>
          <w:lang w:eastAsia="en-US"/>
        </w:rPr>
        <w:t xml:space="preserve"> (</w:t>
      </w:r>
      <w:r w:rsidR="00014609">
        <w:rPr>
          <w:rFonts w:eastAsia="Batang"/>
          <w:i/>
          <w:sz w:val="20"/>
          <w:szCs w:val="20"/>
          <w:lang w:eastAsia="en-US"/>
        </w:rPr>
        <w:t xml:space="preserve">supra </w:t>
      </w:r>
      <w:r w:rsidR="00014609">
        <w:rPr>
          <w:rFonts w:eastAsia="Batang"/>
          <w:sz w:val="20"/>
          <w:szCs w:val="20"/>
          <w:lang w:eastAsia="en-US"/>
        </w:rPr>
        <w:t>nota a pie de página 2)</w:t>
      </w:r>
      <w:r w:rsidRPr="004754B0">
        <w:rPr>
          <w:rFonts w:eastAsia="Batang"/>
          <w:sz w:val="20"/>
          <w:szCs w:val="20"/>
          <w:lang w:eastAsia="en-US"/>
        </w:rPr>
        <w:t xml:space="preserve">, por la “falta de un recurso efectivo para esclarecer lo sucedido y establecer las responsabilidades </w:t>
      </w:r>
      <w:r w:rsidRPr="00014609">
        <w:rPr>
          <w:rFonts w:eastAsia="Batang"/>
          <w:sz w:val="20"/>
          <w:szCs w:val="20"/>
          <w:lang w:eastAsia="en-US"/>
        </w:rPr>
        <w:t>correspondientes”</w:t>
      </w:r>
      <w:r w:rsidRPr="00014609">
        <w:rPr>
          <w:rStyle w:val="Refdenotaalpie"/>
          <w:rFonts w:eastAsia="Batang"/>
          <w:sz w:val="20"/>
          <w:szCs w:val="20"/>
          <w:lang w:eastAsia="en-US"/>
        </w:rPr>
        <w:footnoteReference w:id="12"/>
      </w:r>
      <w:r w:rsidRPr="00014609">
        <w:rPr>
          <w:rFonts w:eastAsia="Batang"/>
          <w:sz w:val="20"/>
          <w:szCs w:val="20"/>
          <w:lang w:eastAsia="en-US"/>
        </w:rPr>
        <w:t>.</w:t>
      </w:r>
    </w:p>
    <w:p w14:paraId="068D46C4" w14:textId="77777777" w:rsidR="00C5289C" w:rsidRPr="004754B0" w:rsidRDefault="00C5289C" w:rsidP="00B476ED">
      <w:pPr>
        <w:tabs>
          <w:tab w:val="left" w:pos="567"/>
        </w:tabs>
        <w:spacing w:line="240" w:lineRule="auto"/>
        <w:ind w:right="-801"/>
        <w:rPr>
          <w:rFonts w:eastAsia="Batang"/>
          <w:sz w:val="20"/>
          <w:szCs w:val="20"/>
          <w:lang w:eastAsia="en-US"/>
        </w:rPr>
      </w:pPr>
    </w:p>
    <w:p w14:paraId="74E079A2" w14:textId="4B531904" w:rsidR="00C5289C" w:rsidRPr="00B03A88"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4754B0">
        <w:rPr>
          <w:rFonts w:eastAsia="Batang"/>
          <w:sz w:val="20"/>
          <w:szCs w:val="20"/>
          <w:lang w:eastAsia="en-US"/>
        </w:rPr>
        <w:t xml:space="preserve">El reconocimiento de responsabilidad, por ende, abarca en forma expresa todas las violaciones a disposiciones convencionales aducidas por la Comisión y los representantes. No obstante, en relación con el artículo 5.1 de la Convención, el Estado no se pronunció de forma directa sobre la aseveración de los representantes, no formulada por la Comisión, de que los familiares de los jóvenes fallecidos vieron vulnerado su derecho a la integridad personal. </w:t>
      </w:r>
      <w:r w:rsidRPr="003A5C19">
        <w:rPr>
          <w:rFonts w:eastAsia="Batang"/>
          <w:sz w:val="20"/>
          <w:szCs w:val="20"/>
          <w:lang w:eastAsia="en-US"/>
        </w:rPr>
        <w:t xml:space="preserve">Por lo tanto, la Corte entiende que la afectación a la integridad personal de los familiares de los jóvenes fallecidos no está abarcada por el reconocimiento de responsabilidad y resulta necesario </w:t>
      </w:r>
      <w:r w:rsidRPr="003A5C19">
        <w:rPr>
          <w:rFonts w:eastAsia="Batang"/>
          <w:sz w:val="20"/>
          <w:szCs w:val="20"/>
          <w:lang w:eastAsia="en-US"/>
        </w:rPr>
        <w:lastRenderedPageBreak/>
        <w:t>examinar la violación alegada por los representantes.</w:t>
      </w:r>
      <w:r w:rsidRPr="00B03A88">
        <w:rPr>
          <w:rFonts w:eastAsia="Batang"/>
          <w:sz w:val="20"/>
          <w:szCs w:val="20"/>
          <w:lang w:eastAsia="en-US"/>
        </w:rPr>
        <w:t xml:space="preserve">    </w:t>
      </w:r>
    </w:p>
    <w:p w14:paraId="62A7310A" w14:textId="77777777" w:rsidR="00C5289C" w:rsidRPr="004754B0" w:rsidRDefault="00C5289C" w:rsidP="00B476ED">
      <w:pPr>
        <w:spacing w:line="240" w:lineRule="auto"/>
        <w:ind w:right="-801"/>
        <w:rPr>
          <w:rFonts w:eastAsia="Batang"/>
          <w:sz w:val="20"/>
          <w:szCs w:val="20"/>
          <w:highlight w:val="cyan"/>
          <w:lang w:eastAsia="en-US"/>
        </w:rPr>
      </w:pPr>
    </w:p>
    <w:p w14:paraId="431129C5" w14:textId="33CFEE17" w:rsidR="00C5289C" w:rsidRPr="004754B0" w:rsidRDefault="00C5289C" w:rsidP="00B476ED">
      <w:pPr>
        <w:pStyle w:val="Ttulo3"/>
        <w:numPr>
          <w:ilvl w:val="0"/>
          <w:numId w:val="0"/>
        </w:numPr>
        <w:tabs>
          <w:tab w:val="clear" w:pos="1134"/>
          <w:tab w:val="left" w:pos="1418"/>
        </w:tabs>
        <w:spacing w:before="0" w:after="0"/>
        <w:ind w:left="567" w:right="-801"/>
        <w:rPr>
          <w:rFonts w:eastAsia="Batang"/>
          <w:lang w:eastAsia="en-US"/>
        </w:rPr>
      </w:pPr>
      <w:bookmarkStart w:id="11" w:name="_Toc58330208"/>
      <w:r w:rsidRPr="004754B0">
        <w:rPr>
          <w:rFonts w:eastAsia="Batang"/>
          <w:lang w:eastAsia="en-US"/>
        </w:rPr>
        <w:t xml:space="preserve">B.3. </w:t>
      </w:r>
      <w:r w:rsidRPr="00B900C8">
        <w:rPr>
          <w:rFonts w:eastAsia="Batang"/>
          <w:u w:val="single"/>
          <w:lang w:eastAsia="en-US"/>
        </w:rPr>
        <w:t>En cuanto a las reparaciones</w:t>
      </w:r>
      <w:bookmarkEnd w:id="11"/>
    </w:p>
    <w:p w14:paraId="047C3BF1" w14:textId="77777777" w:rsidR="00C5289C" w:rsidRPr="004754B0" w:rsidRDefault="00C5289C" w:rsidP="00B476ED">
      <w:pPr>
        <w:pStyle w:val="Prrafodelista"/>
        <w:spacing w:line="240" w:lineRule="auto"/>
        <w:ind w:left="284" w:right="-801"/>
        <w:rPr>
          <w:rFonts w:eastAsia="Batang"/>
          <w:sz w:val="20"/>
          <w:szCs w:val="20"/>
          <w:lang w:eastAsia="en-US"/>
        </w:rPr>
      </w:pPr>
    </w:p>
    <w:p w14:paraId="2D144A12" w14:textId="46BA1D9F" w:rsidR="00C5289C" w:rsidRPr="004754B0" w:rsidRDefault="00014609"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Pr>
          <w:rFonts w:eastAsia="Batang"/>
          <w:sz w:val="20"/>
          <w:szCs w:val="20"/>
          <w:lang w:eastAsia="en-US"/>
        </w:rPr>
        <w:t>En lo que se refiere a la</w:t>
      </w:r>
      <w:r w:rsidR="00C5289C" w:rsidRPr="004754B0">
        <w:rPr>
          <w:rFonts w:eastAsia="Batang"/>
          <w:sz w:val="20"/>
          <w:szCs w:val="20"/>
          <w:lang w:eastAsia="en-US"/>
        </w:rPr>
        <w:t xml:space="preserve"> </w:t>
      </w:r>
      <w:r>
        <w:rPr>
          <w:rFonts w:eastAsia="Batang"/>
          <w:sz w:val="20"/>
          <w:szCs w:val="20"/>
          <w:lang w:eastAsia="en-US"/>
        </w:rPr>
        <w:t>reparación de las violacio</w:t>
      </w:r>
      <w:r w:rsidR="00C5289C" w:rsidRPr="004754B0">
        <w:rPr>
          <w:rFonts w:eastAsia="Batang"/>
          <w:sz w:val="20"/>
          <w:szCs w:val="20"/>
          <w:lang w:eastAsia="en-US"/>
        </w:rPr>
        <w:t>nes</w:t>
      </w:r>
      <w:r>
        <w:rPr>
          <w:rFonts w:eastAsia="Batang"/>
          <w:sz w:val="20"/>
          <w:szCs w:val="20"/>
          <w:lang w:eastAsia="en-US"/>
        </w:rPr>
        <w:t xml:space="preserve"> a derechos humanos</w:t>
      </w:r>
      <w:r w:rsidR="00C5289C" w:rsidRPr="004754B0">
        <w:rPr>
          <w:rFonts w:eastAsia="Batang"/>
          <w:sz w:val="20"/>
          <w:szCs w:val="20"/>
          <w:lang w:eastAsia="en-US"/>
        </w:rPr>
        <w:t xml:space="preserve">, la Corte constata que el Estado afirmó que cumpliría las medidas correspondientes. Además, se comprometió a brindar “atención en salud” a las víctimas y a avanzar en las actuaciones de investigación. También informó sobre el desarrollo de medidas tendientes a evitar la repetición de los hechos. No obstante, la Comisión y los representantes no admitieron que esté acreditada la efectividad de tales medidas y advirtieron que el Estado no se refirió a </w:t>
      </w:r>
      <w:r w:rsidR="00DE4DAE">
        <w:rPr>
          <w:rFonts w:eastAsia="Batang"/>
          <w:sz w:val="20"/>
          <w:szCs w:val="20"/>
          <w:lang w:eastAsia="en-US"/>
        </w:rPr>
        <w:t xml:space="preserve">las </w:t>
      </w:r>
      <w:r w:rsidR="00C5289C" w:rsidRPr="004754B0">
        <w:rPr>
          <w:rFonts w:eastAsia="Batang"/>
          <w:sz w:val="20"/>
          <w:szCs w:val="20"/>
          <w:lang w:eastAsia="en-US"/>
        </w:rPr>
        <w:t>medidas de satisfacción ni</w:t>
      </w:r>
      <w:r w:rsidR="00DE4DAE">
        <w:rPr>
          <w:rFonts w:eastAsia="Batang"/>
          <w:sz w:val="20"/>
          <w:szCs w:val="20"/>
          <w:lang w:eastAsia="en-US"/>
        </w:rPr>
        <w:t xml:space="preserve"> a las</w:t>
      </w:r>
      <w:r w:rsidR="00C5289C" w:rsidRPr="004754B0">
        <w:rPr>
          <w:rFonts w:eastAsia="Batang"/>
          <w:sz w:val="20"/>
          <w:szCs w:val="20"/>
          <w:lang w:eastAsia="en-US"/>
        </w:rPr>
        <w:t xml:space="preserve"> pecuniarias que solicitaron. Los representantes, además, entendieron insuficientes las actuaciones de investigación realizadas, así como las medidas de rehabilitación ofrecidas por el Estado. Por lo dicho, la Corte resolverá lo procedente respecto a las medidas de reparación solicitadas. </w:t>
      </w:r>
    </w:p>
    <w:p w14:paraId="7E6A4CE2" w14:textId="77777777" w:rsidR="00C5289C" w:rsidRPr="004754B0" w:rsidRDefault="00C5289C" w:rsidP="00B476ED">
      <w:pPr>
        <w:tabs>
          <w:tab w:val="left" w:pos="567"/>
          <w:tab w:val="num" w:pos="12305"/>
        </w:tabs>
        <w:spacing w:line="240" w:lineRule="auto"/>
        <w:ind w:right="-801"/>
        <w:rPr>
          <w:rFonts w:eastAsia="Batang"/>
          <w:sz w:val="20"/>
          <w:szCs w:val="20"/>
          <w:lang w:eastAsia="en-US"/>
        </w:rPr>
      </w:pPr>
    </w:p>
    <w:p w14:paraId="4F146AB8" w14:textId="79740D43" w:rsidR="00C5289C" w:rsidRPr="004754B0" w:rsidRDefault="00C5289C" w:rsidP="00B476ED">
      <w:pPr>
        <w:pStyle w:val="Ttulo3"/>
        <w:numPr>
          <w:ilvl w:val="0"/>
          <w:numId w:val="0"/>
        </w:numPr>
        <w:tabs>
          <w:tab w:val="clear" w:pos="1134"/>
        </w:tabs>
        <w:spacing w:before="0" w:after="0"/>
        <w:ind w:left="567" w:right="-801"/>
        <w:rPr>
          <w:rFonts w:eastAsia="Batang"/>
          <w:lang w:eastAsia="en-US"/>
        </w:rPr>
      </w:pPr>
      <w:bookmarkStart w:id="12" w:name="_Toc58330209"/>
      <w:r w:rsidRPr="004754B0">
        <w:rPr>
          <w:rFonts w:eastAsia="Batang"/>
          <w:lang w:eastAsia="en-US"/>
        </w:rPr>
        <w:t xml:space="preserve">B.4. </w:t>
      </w:r>
      <w:r w:rsidRPr="00B900C8">
        <w:rPr>
          <w:rFonts w:eastAsia="Batang"/>
          <w:u w:val="single"/>
          <w:lang w:eastAsia="en-US"/>
        </w:rPr>
        <w:t>Valoración del alcance del reconocimiento de responsabilidad</w:t>
      </w:r>
      <w:bookmarkEnd w:id="12"/>
    </w:p>
    <w:p w14:paraId="5D4EEEFB" w14:textId="77777777" w:rsidR="00C5289C" w:rsidRPr="004754B0" w:rsidRDefault="00C5289C" w:rsidP="00B476ED">
      <w:pPr>
        <w:tabs>
          <w:tab w:val="left" w:pos="567"/>
        </w:tabs>
        <w:spacing w:line="240" w:lineRule="auto"/>
        <w:ind w:right="-801"/>
        <w:rPr>
          <w:rFonts w:eastAsia="Batang"/>
          <w:sz w:val="20"/>
          <w:szCs w:val="20"/>
          <w:lang w:eastAsia="en-US"/>
        </w:rPr>
      </w:pPr>
    </w:p>
    <w:p w14:paraId="383300BB" w14:textId="77777777" w:rsidR="00C5289C" w:rsidRPr="00B03A88"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4754B0">
        <w:rPr>
          <w:rFonts w:eastAsia="Batang"/>
          <w:sz w:val="20"/>
          <w:szCs w:val="20"/>
          <w:lang w:eastAsia="en-US"/>
        </w:rPr>
        <w:t xml:space="preserve">La Corte, como en otros </w:t>
      </w:r>
      <w:r w:rsidRPr="00014609">
        <w:rPr>
          <w:rFonts w:eastAsia="Batang"/>
          <w:sz w:val="20"/>
          <w:szCs w:val="20"/>
          <w:lang w:eastAsia="en-US"/>
        </w:rPr>
        <w:t>casos</w:t>
      </w:r>
      <w:r w:rsidRPr="00014609">
        <w:rPr>
          <w:rStyle w:val="Refdenotaalpie"/>
          <w:rFonts w:eastAsia="Batang"/>
          <w:sz w:val="20"/>
          <w:szCs w:val="20"/>
          <w:lang w:eastAsia="en-US"/>
        </w:rPr>
        <w:footnoteReference w:id="13"/>
      </w:r>
      <w:r w:rsidRPr="00014609">
        <w:rPr>
          <w:rFonts w:eastAsia="Batang"/>
          <w:sz w:val="20"/>
          <w:szCs w:val="20"/>
          <w:lang w:eastAsia="en-US"/>
        </w:rPr>
        <w:t>, valora el reconocimiento de responsabilidad internacional, el cual constituye una contribución</w:t>
      </w:r>
      <w:r w:rsidRPr="004754B0">
        <w:rPr>
          <w:rFonts w:eastAsia="Batang"/>
          <w:sz w:val="20"/>
          <w:szCs w:val="20"/>
          <w:lang w:eastAsia="en-US"/>
        </w:rPr>
        <w:t xml:space="preserve"> positiva al desarrollo de este proceso, a la vigencia de los principios que inspiran la Convención y a la satisfacción de las necesidades de reparación de las víctimas de violaciones de derechos humanos. El reconocimiento de Venezuela de su responsabilidad internacional produce plenos efectos jurídicos</w:t>
      </w:r>
      <w:r>
        <w:rPr>
          <w:rFonts w:eastAsia="Batang"/>
          <w:sz w:val="20"/>
          <w:szCs w:val="20"/>
          <w:lang w:eastAsia="en-US"/>
        </w:rPr>
        <w:t>,</w:t>
      </w:r>
      <w:r w:rsidRPr="004754B0">
        <w:rPr>
          <w:rFonts w:eastAsia="Batang"/>
          <w:sz w:val="20"/>
          <w:szCs w:val="20"/>
          <w:lang w:eastAsia="en-US"/>
        </w:rPr>
        <w:t xml:space="preserve"> </w:t>
      </w:r>
      <w:proofErr w:type="gramStart"/>
      <w:r w:rsidRPr="004754B0">
        <w:rPr>
          <w:rFonts w:eastAsia="Batang"/>
          <w:sz w:val="20"/>
          <w:szCs w:val="20"/>
          <w:lang w:eastAsia="en-US"/>
        </w:rPr>
        <w:t>de acuerdo a</w:t>
      </w:r>
      <w:proofErr w:type="gramEnd"/>
      <w:r w:rsidRPr="004754B0">
        <w:rPr>
          <w:rFonts w:eastAsia="Batang"/>
          <w:sz w:val="20"/>
          <w:szCs w:val="20"/>
          <w:lang w:eastAsia="en-US"/>
        </w:rPr>
        <w:t xml:space="preserve"> los artículos 62 y 64 del Reglamento, y tiene un alto valor simbólico en aras de que no se repitan hechos similares. </w:t>
      </w:r>
      <w:r w:rsidRPr="003A5C19">
        <w:rPr>
          <w:rFonts w:eastAsia="Batang"/>
          <w:sz w:val="20"/>
          <w:szCs w:val="20"/>
          <w:lang w:eastAsia="en-US"/>
        </w:rPr>
        <w:t>El Tribunal considera que ha cesado la controversia del caso respecto a los hechos y la necesidad de adoptar medidas de reparación. Asimismo, ha cesado la controversia respecto de la mayor parte de las violaciones a derechos humanos aducidas, a excepción de la violación a la integridad personal en perjuicio de familiares de los cinco jóvenes fallecidos, argüida por los representantes, que no ha sido expresamente reconocida por el Estado</w:t>
      </w:r>
      <w:r w:rsidRPr="00B03A88">
        <w:rPr>
          <w:rFonts w:eastAsia="Batang"/>
          <w:sz w:val="20"/>
          <w:szCs w:val="20"/>
          <w:lang w:eastAsia="en-US"/>
        </w:rPr>
        <w:t xml:space="preserve"> </w:t>
      </w:r>
      <w:r w:rsidRPr="003A5C19">
        <w:rPr>
          <w:rFonts w:eastAsia="Batang"/>
          <w:sz w:val="20"/>
          <w:szCs w:val="20"/>
          <w:lang w:eastAsia="en-US"/>
        </w:rPr>
        <w:t>(</w:t>
      </w:r>
      <w:r w:rsidRPr="003A5C19">
        <w:rPr>
          <w:rFonts w:eastAsia="Batang"/>
          <w:i/>
          <w:sz w:val="20"/>
          <w:szCs w:val="20"/>
          <w:lang w:eastAsia="en-US"/>
        </w:rPr>
        <w:t xml:space="preserve">supra </w:t>
      </w:r>
      <w:proofErr w:type="spellStart"/>
      <w:r w:rsidRPr="003A5C19">
        <w:rPr>
          <w:rFonts w:eastAsia="Batang"/>
          <w:sz w:val="20"/>
          <w:szCs w:val="20"/>
          <w:lang w:eastAsia="en-US"/>
        </w:rPr>
        <w:t>párr</w:t>
      </w:r>
      <w:r>
        <w:rPr>
          <w:rFonts w:eastAsia="Batang"/>
          <w:sz w:val="20"/>
          <w:szCs w:val="20"/>
          <w:lang w:eastAsia="en-US"/>
        </w:rPr>
        <w:t>s</w:t>
      </w:r>
      <w:proofErr w:type="spellEnd"/>
      <w:r w:rsidRPr="003A5C19">
        <w:rPr>
          <w:rFonts w:eastAsia="Batang"/>
          <w:sz w:val="20"/>
          <w:szCs w:val="20"/>
          <w:lang w:eastAsia="en-US"/>
        </w:rPr>
        <w:t xml:space="preserve">. </w:t>
      </w:r>
      <w:r>
        <w:rPr>
          <w:rFonts w:eastAsia="Batang"/>
          <w:sz w:val="20"/>
          <w:szCs w:val="20"/>
          <w:lang w:eastAsia="en-US"/>
        </w:rPr>
        <w:t>13 y 21</w:t>
      </w:r>
      <w:r w:rsidRPr="00B03A88">
        <w:rPr>
          <w:rFonts w:eastAsia="Batang"/>
          <w:sz w:val="20"/>
          <w:szCs w:val="20"/>
          <w:lang w:eastAsia="en-US"/>
        </w:rPr>
        <w:t xml:space="preserve">). </w:t>
      </w:r>
    </w:p>
    <w:p w14:paraId="17AFCED7" w14:textId="77777777" w:rsidR="00C5289C" w:rsidRPr="00EE1F1A" w:rsidRDefault="00C5289C" w:rsidP="00B476ED">
      <w:pPr>
        <w:tabs>
          <w:tab w:val="left" w:pos="567"/>
        </w:tabs>
        <w:spacing w:line="240" w:lineRule="auto"/>
        <w:ind w:right="-801"/>
        <w:rPr>
          <w:rFonts w:eastAsia="Batang"/>
          <w:sz w:val="20"/>
          <w:szCs w:val="20"/>
          <w:lang w:eastAsia="en-US"/>
        </w:rPr>
      </w:pPr>
    </w:p>
    <w:p w14:paraId="4E9EDDD4" w14:textId="77777777" w:rsidR="00C5289C" w:rsidRPr="00B03A88"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3A5C19">
        <w:rPr>
          <w:rFonts w:eastAsia="Batang"/>
          <w:sz w:val="20"/>
          <w:szCs w:val="20"/>
          <w:lang w:eastAsia="en-US"/>
        </w:rPr>
        <w:t xml:space="preserve">Sin que empezca lo anterior, la Corte estima necesario dictar la presente Sentencia y determinar, en ella, los hechos ocurridos. Ello contribuye a la reparación de las víctimas, a evitar que se repitan hechos </w:t>
      </w:r>
      <w:r w:rsidRPr="00CC1265">
        <w:rPr>
          <w:rFonts w:eastAsia="Batang"/>
          <w:sz w:val="20"/>
          <w:szCs w:val="20"/>
          <w:lang w:eastAsia="en-US"/>
        </w:rPr>
        <w:t>similares y a satisfacer, en suma, los fines de la jurisdicción interamericana sobre derechos humanos</w:t>
      </w:r>
      <w:r w:rsidRPr="00CC1265">
        <w:rPr>
          <w:rStyle w:val="Refdenotaalpie"/>
          <w:rFonts w:eastAsia="Batang"/>
          <w:sz w:val="20"/>
          <w:szCs w:val="20"/>
          <w:lang w:eastAsia="en-US"/>
        </w:rPr>
        <w:footnoteReference w:id="14"/>
      </w:r>
      <w:r w:rsidRPr="00CC1265">
        <w:rPr>
          <w:rFonts w:eastAsia="Batang"/>
          <w:sz w:val="20"/>
          <w:szCs w:val="20"/>
          <w:lang w:eastAsia="en-US"/>
        </w:rPr>
        <w:t>.</w:t>
      </w:r>
      <w:r w:rsidRPr="00B03A88">
        <w:rPr>
          <w:rFonts w:eastAsia="Batang"/>
          <w:sz w:val="20"/>
          <w:szCs w:val="20"/>
          <w:lang w:eastAsia="en-US"/>
        </w:rPr>
        <w:t xml:space="preserve"> </w:t>
      </w:r>
    </w:p>
    <w:p w14:paraId="3FB0F20C" w14:textId="77777777" w:rsidR="00C5289C" w:rsidRPr="00EE1F1A" w:rsidRDefault="00C5289C" w:rsidP="00B476ED">
      <w:pPr>
        <w:pStyle w:val="Prrafodelista"/>
        <w:spacing w:line="240" w:lineRule="auto"/>
        <w:ind w:right="-801"/>
        <w:rPr>
          <w:rFonts w:eastAsia="Batang"/>
          <w:sz w:val="20"/>
          <w:szCs w:val="20"/>
          <w:lang w:eastAsia="en-US"/>
        </w:rPr>
      </w:pPr>
    </w:p>
    <w:p w14:paraId="02427CA5" w14:textId="6EEA60E8" w:rsidR="00C5289C" w:rsidRPr="00B03A88"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3A5C19">
        <w:rPr>
          <w:rFonts w:eastAsia="Batang"/>
          <w:sz w:val="20"/>
          <w:szCs w:val="20"/>
          <w:lang w:eastAsia="en-US"/>
        </w:rPr>
        <w:t xml:space="preserve">Este Tribunal entiende necesario, </w:t>
      </w:r>
      <w:r w:rsidRPr="00AC52B5">
        <w:rPr>
          <w:rFonts w:eastAsia="Batang"/>
          <w:sz w:val="20"/>
          <w:szCs w:val="20"/>
          <w:lang w:eastAsia="en-US"/>
        </w:rPr>
        <w:t>entonces,</w:t>
      </w:r>
      <w:r w:rsidRPr="001341C2">
        <w:rPr>
          <w:rFonts w:eastAsia="Batang"/>
          <w:b/>
          <w:sz w:val="20"/>
          <w:szCs w:val="20"/>
          <w:lang w:eastAsia="en-US"/>
        </w:rPr>
        <w:t xml:space="preserve"> </w:t>
      </w:r>
      <w:r w:rsidRPr="003A5C19">
        <w:rPr>
          <w:rFonts w:eastAsia="Batang"/>
          <w:sz w:val="20"/>
          <w:szCs w:val="20"/>
          <w:lang w:eastAsia="en-US"/>
        </w:rPr>
        <w:t>analizar los alcances de la responsabilidad internacional del Estado en relación con el incendio producido el 30 de junio de 2005 en el INAM-San Félix</w:t>
      </w:r>
      <w:r>
        <w:rPr>
          <w:rFonts w:eastAsia="Batang"/>
          <w:sz w:val="20"/>
          <w:szCs w:val="20"/>
          <w:lang w:eastAsia="en-US"/>
        </w:rPr>
        <w:t xml:space="preserve"> </w:t>
      </w:r>
      <w:r w:rsidRPr="00AC52B5">
        <w:rPr>
          <w:rFonts w:eastAsia="Batang"/>
          <w:sz w:val="20"/>
          <w:szCs w:val="20"/>
          <w:lang w:eastAsia="en-US"/>
        </w:rPr>
        <w:t>y las acciones posteriores de investigación</w:t>
      </w:r>
      <w:r w:rsidRPr="003A5C19">
        <w:rPr>
          <w:rFonts w:eastAsia="Batang"/>
          <w:sz w:val="20"/>
          <w:szCs w:val="20"/>
          <w:lang w:val="es-ES_tradnl" w:eastAsia="en-US"/>
        </w:rPr>
        <w:t>. Destaca que este caso permitirá a la Corte examinar violaciones a derechos humanos aducidas respecto de un centro de privación de libertad para adolescentes, en que se ha indicado la violación a derechos del niño en relación con personas que, habiendo ingresado a la institución antes de cumplir 18 años, habían superado ya esa edad al momento de los hechos centrales del caso.</w:t>
      </w:r>
      <w:r w:rsidRPr="00B03A88">
        <w:rPr>
          <w:rFonts w:eastAsia="Batang"/>
          <w:sz w:val="20"/>
          <w:szCs w:val="20"/>
          <w:lang w:val="es-ES_tradnl" w:eastAsia="en-US"/>
        </w:rPr>
        <w:t xml:space="preserve"> También resulta pertinente examinar los </w:t>
      </w:r>
      <w:r w:rsidRPr="003A5C19">
        <w:rPr>
          <w:rFonts w:eastAsia="Batang"/>
          <w:sz w:val="20"/>
          <w:szCs w:val="20"/>
          <w:lang w:val="es-ES_tradnl" w:eastAsia="en-US"/>
        </w:rPr>
        <w:t>alegatos sobre la vulneración del derecho a la integridad personal de familiares de los jóvenes fallecidos, en tanto que, como se señaló</w:t>
      </w:r>
      <w:r>
        <w:rPr>
          <w:rFonts w:eastAsia="Batang"/>
          <w:sz w:val="20"/>
          <w:szCs w:val="20"/>
          <w:lang w:val="es-ES_tradnl" w:eastAsia="en-US"/>
        </w:rPr>
        <w:t>,</w:t>
      </w:r>
      <w:r w:rsidRPr="003A5C19">
        <w:rPr>
          <w:rFonts w:eastAsia="Batang"/>
          <w:sz w:val="20"/>
          <w:szCs w:val="20"/>
          <w:lang w:val="es-ES_tradnl" w:eastAsia="en-US"/>
        </w:rPr>
        <w:t xml:space="preserve"> no fue expresamente reconocida por el Estado (</w:t>
      </w:r>
      <w:r w:rsidRPr="003A5C19">
        <w:rPr>
          <w:rFonts w:eastAsia="Batang"/>
          <w:i/>
          <w:sz w:val="20"/>
          <w:szCs w:val="20"/>
          <w:lang w:val="es-ES_tradnl" w:eastAsia="en-US"/>
        </w:rPr>
        <w:t xml:space="preserve">supra </w:t>
      </w:r>
      <w:proofErr w:type="spellStart"/>
      <w:r w:rsidRPr="003A5C19">
        <w:rPr>
          <w:rFonts w:eastAsia="Batang"/>
          <w:sz w:val="20"/>
          <w:szCs w:val="20"/>
          <w:lang w:val="es-ES_tradnl" w:eastAsia="en-US"/>
        </w:rPr>
        <w:t>párr</w:t>
      </w:r>
      <w:r>
        <w:rPr>
          <w:rFonts w:eastAsia="Batang"/>
          <w:sz w:val="20"/>
          <w:szCs w:val="20"/>
          <w:lang w:val="es-ES_tradnl" w:eastAsia="en-US"/>
        </w:rPr>
        <w:t>s</w:t>
      </w:r>
      <w:proofErr w:type="spellEnd"/>
      <w:r w:rsidRPr="003A5C19">
        <w:rPr>
          <w:rFonts w:eastAsia="Batang"/>
          <w:sz w:val="20"/>
          <w:szCs w:val="20"/>
          <w:lang w:val="es-ES_tradnl" w:eastAsia="en-US"/>
        </w:rPr>
        <w:t xml:space="preserve">. </w:t>
      </w:r>
      <w:r>
        <w:rPr>
          <w:rFonts w:eastAsia="Batang"/>
          <w:sz w:val="20"/>
          <w:szCs w:val="20"/>
          <w:lang w:val="es-ES_tradnl" w:eastAsia="en-US"/>
        </w:rPr>
        <w:t>13, 21 y 23</w:t>
      </w:r>
      <w:r w:rsidRPr="003A5C19">
        <w:rPr>
          <w:rFonts w:eastAsia="Batang"/>
          <w:sz w:val="20"/>
          <w:szCs w:val="20"/>
          <w:lang w:val="es-ES_tradnl" w:eastAsia="en-US"/>
        </w:rPr>
        <w:t>)</w:t>
      </w:r>
      <w:r w:rsidRPr="00B03A88">
        <w:rPr>
          <w:rFonts w:eastAsia="Batang"/>
          <w:sz w:val="20"/>
          <w:szCs w:val="20"/>
          <w:lang w:val="es-ES_tradnl" w:eastAsia="en-US"/>
        </w:rPr>
        <w:t xml:space="preserve">. </w:t>
      </w:r>
    </w:p>
    <w:p w14:paraId="4BB487F4" w14:textId="77777777" w:rsidR="00C5289C" w:rsidRPr="004754B0" w:rsidRDefault="00C5289C" w:rsidP="00B476ED">
      <w:pPr>
        <w:pStyle w:val="Prrafodelista"/>
        <w:spacing w:line="240" w:lineRule="auto"/>
        <w:ind w:right="-801"/>
        <w:rPr>
          <w:rFonts w:eastAsia="Batang"/>
          <w:sz w:val="20"/>
          <w:szCs w:val="20"/>
          <w:lang w:eastAsia="en-US"/>
        </w:rPr>
      </w:pPr>
    </w:p>
    <w:p w14:paraId="67D07674" w14:textId="77777777" w:rsidR="00C5289C" w:rsidRPr="004754B0" w:rsidRDefault="00C5289C" w:rsidP="00B476ED">
      <w:pPr>
        <w:numPr>
          <w:ilvl w:val="0"/>
          <w:numId w:val="1"/>
        </w:numPr>
        <w:tabs>
          <w:tab w:val="left" w:pos="567"/>
          <w:tab w:val="num" w:pos="1569"/>
          <w:tab w:val="num" w:pos="12305"/>
        </w:tabs>
        <w:spacing w:line="240" w:lineRule="auto"/>
        <w:ind w:left="0" w:right="-801" w:firstLine="0"/>
        <w:rPr>
          <w:rFonts w:eastAsia="Batang"/>
          <w:sz w:val="20"/>
          <w:szCs w:val="20"/>
          <w:lang w:eastAsia="en-US"/>
        </w:rPr>
      </w:pPr>
      <w:r w:rsidRPr="004754B0">
        <w:rPr>
          <w:rFonts w:eastAsia="Batang"/>
          <w:sz w:val="20"/>
          <w:szCs w:val="20"/>
          <w:lang w:eastAsia="en-US"/>
        </w:rPr>
        <w:t xml:space="preserve">La Corte se pronunciará sobre las reparaciones correspondientes por las violaciones a derechos humanos reconocidas por el Estado y determinadas en la presente Sentencia. </w:t>
      </w:r>
    </w:p>
    <w:p w14:paraId="435D36AD" w14:textId="77777777" w:rsidR="00C5289C" w:rsidRPr="004754B0" w:rsidRDefault="00C5289C" w:rsidP="00B476ED">
      <w:pPr>
        <w:spacing w:line="240" w:lineRule="auto"/>
        <w:ind w:right="-801"/>
        <w:rPr>
          <w:rFonts w:eastAsia="Batang"/>
          <w:sz w:val="20"/>
          <w:szCs w:val="20"/>
          <w:lang w:eastAsia="en-US"/>
        </w:rPr>
      </w:pPr>
    </w:p>
    <w:p w14:paraId="6A077252" w14:textId="5046BC9B" w:rsidR="00C5289C" w:rsidRDefault="00C5289C" w:rsidP="00B476ED">
      <w:pPr>
        <w:pStyle w:val="Ttulo1"/>
        <w:spacing w:before="0" w:after="0"/>
        <w:ind w:right="-801"/>
      </w:pPr>
      <w:bookmarkStart w:id="13" w:name="_Toc375517114"/>
      <w:bookmarkStart w:id="14" w:name="_Toc459158102"/>
      <w:bookmarkStart w:id="15" w:name="_Toc470180046"/>
      <w:bookmarkStart w:id="16" w:name="_Toc514172609"/>
      <w:bookmarkStart w:id="17" w:name="_Toc58330210"/>
      <w:r w:rsidRPr="004754B0">
        <w:t>V</w:t>
      </w:r>
      <w:r w:rsidRPr="004754B0">
        <w:br/>
        <w:t>PRUEBA</w:t>
      </w:r>
      <w:bookmarkEnd w:id="13"/>
      <w:bookmarkEnd w:id="14"/>
      <w:bookmarkEnd w:id="15"/>
      <w:bookmarkEnd w:id="16"/>
      <w:bookmarkEnd w:id="17"/>
    </w:p>
    <w:p w14:paraId="3AB9AE13" w14:textId="77777777" w:rsidR="00C5289C" w:rsidRPr="004754B0" w:rsidRDefault="00C5289C" w:rsidP="00B476ED">
      <w:pPr>
        <w:spacing w:line="240" w:lineRule="auto"/>
        <w:ind w:right="-801"/>
        <w:rPr>
          <w:lang w:val="es-MX" w:eastAsia="es-ES"/>
        </w:rPr>
      </w:pPr>
    </w:p>
    <w:p w14:paraId="0057D32B" w14:textId="6E1DBE97" w:rsidR="00C5289C" w:rsidRDefault="00CC1265" w:rsidP="00B476ED">
      <w:pPr>
        <w:pStyle w:val="Ttulo2"/>
        <w:numPr>
          <w:ilvl w:val="0"/>
          <w:numId w:val="0"/>
        </w:numPr>
        <w:tabs>
          <w:tab w:val="clear" w:pos="1134"/>
          <w:tab w:val="left" w:pos="1560"/>
        </w:tabs>
        <w:spacing w:before="0" w:after="0"/>
        <w:ind w:left="284" w:right="-801" w:hanging="13"/>
      </w:pPr>
      <w:bookmarkStart w:id="18" w:name="_Toc375517116"/>
      <w:bookmarkStart w:id="19" w:name="_Toc459158104"/>
      <w:bookmarkStart w:id="20" w:name="_Toc470180048"/>
      <w:bookmarkStart w:id="21" w:name="_Toc514172611"/>
      <w:bookmarkStart w:id="22" w:name="_Toc58330211"/>
      <w:r>
        <w:t xml:space="preserve">A. </w:t>
      </w:r>
      <w:r w:rsidR="00401835">
        <w:tab/>
      </w:r>
      <w:r w:rsidR="00C5289C" w:rsidRPr="004754B0">
        <w:t>Admisibilidad de la prueba</w:t>
      </w:r>
      <w:bookmarkEnd w:id="18"/>
      <w:bookmarkEnd w:id="19"/>
      <w:bookmarkEnd w:id="20"/>
      <w:bookmarkEnd w:id="21"/>
      <w:r w:rsidR="00C5289C" w:rsidRPr="004754B0">
        <w:t xml:space="preserve"> documental</w:t>
      </w:r>
      <w:bookmarkEnd w:id="22"/>
    </w:p>
    <w:p w14:paraId="444CB7F1" w14:textId="77777777" w:rsidR="00C5289C" w:rsidRPr="004754B0" w:rsidRDefault="00C5289C" w:rsidP="00B476ED">
      <w:pPr>
        <w:spacing w:line="240" w:lineRule="auto"/>
        <w:ind w:right="-801"/>
      </w:pPr>
    </w:p>
    <w:p w14:paraId="4E396F8B" w14:textId="77777777" w:rsidR="00C5289C" w:rsidRPr="004754B0" w:rsidRDefault="00C5289C"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rFonts w:eastAsia="Calibri"/>
          <w:sz w:val="20"/>
          <w:szCs w:val="20"/>
        </w:rPr>
      </w:pPr>
      <w:r w:rsidRPr="004754B0">
        <w:rPr>
          <w:rFonts w:eastAsia="Calibri"/>
          <w:sz w:val="20"/>
          <w:szCs w:val="20"/>
        </w:rPr>
        <w:t xml:space="preserve">El Tribunal recibió diversos documentos presentados como prueba por la Comisión y las partes, los cuales, como </w:t>
      </w:r>
      <w:r w:rsidRPr="00CC1265">
        <w:rPr>
          <w:rFonts w:eastAsia="Calibri"/>
          <w:sz w:val="20"/>
          <w:szCs w:val="20"/>
        </w:rPr>
        <w:t>en otros casos, admite, en el entendido que fueron presentados en la debida oportunidad procesal (artículo 57 del Reglamento)</w:t>
      </w:r>
      <w:r w:rsidRPr="00CC1265">
        <w:rPr>
          <w:rStyle w:val="Refdenotaalpie"/>
          <w:rFonts w:eastAsia="Calibri"/>
          <w:sz w:val="20"/>
          <w:szCs w:val="20"/>
        </w:rPr>
        <w:footnoteReference w:id="15"/>
      </w:r>
      <w:r w:rsidRPr="00CC1265">
        <w:rPr>
          <w:rStyle w:val="Refdenotaalpie"/>
          <w:rFonts w:eastAsia="Calibri"/>
          <w:sz w:val="20"/>
          <w:szCs w:val="20"/>
        </w:rPr>
        <w:t xml:space="preserve"> </w:t>
      </w:r>
      <w:r w:rsidRPr="00CC1265">
        <w:rPr>
          <w:rFonts w:eastAsia="Calibri"/>
          <w:sz w:val="20"/>
          <w:szCs w:val="20"/>
        </w:rPr>
        <w:t>y su admisibilidad no fue controvertida u objetada</w:t>
      </w:r>
      <w:r w:rsidRPr="00CC1265">
        <w:rPr>
          <w:rStyle w:val="Refdenotaalpie"/>
          <w:rFonts w:eastAsia="Calibri"/>
          <w:sz w:val="20"/>
          <w:szCs w:val="20"/>
        </w:rPr>
        <w:footnoteReference w:id="16"/>
      </w:r>
      <w:r w:rsidRPr="00CC1265">
        <w:rPr>
          <w:rFonts w:eastAsia="Calibri"/>
          <w:sz w:val="20"/>
          <w:szCs w:val="20"/>
        </w:rPr>
        <w:t>.</w:t>
      </w:r>
      <w:r w:rsidRPr="004754B0">
        <w:rPr>
          <w:rFonts w:eastAsia="Calibri"/>
          <w:sz w:val="20"/>
          <w:szCs w:val="20"/>
        </w:rPr>
        <w:t xml:space="preserve"> </w:t>
      </w:r>
    </w:p>
    <w:p w14:paraId="0C790B4E" w14:textId="77777777" w:rsidR="00C5289C" w:rsidRPr="004754B0" w:rsidRDefault="00C5289C" w:rsidP="00B476ED">
      <w:pPr>
        <w:widowControl/>
        <w:tabs>
          <w:tab w:val="left" w:pos="567"/>
        </w:tabs>
        <w:autoSpaceDE w:val="0"/>
        <w:autoSpaceDN w:val="0"/>
        <w:adjustRightInd/>
        <w:spacing w:line="240" w:lineRule="auto"/>
        <w:ind w:right="-801"/>
        <w:textAlignment w:val="auto"/>
        <w:rPr>
          <w:rFonts w:eastAsia="Calibri"/>
          <w:sz w:val="20"/>
          <w:szCs w:val="20"/>
        </w:rPr>
      </w:pPr>
    </w:p>
    <w:p w14:paraId="1AB360B7" w14:textId="77777777" w:rsidR="00C5289C" w:rsidRPr="004754B0" w:rsidRDefault="00C5289C"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4754B0">
        <w:rPr>
          <w:sz w:val="20"/>
          <w:szCs w:val="20"/>
        </w:rPr>
        <w:t>Además, e</w:t>
      </w:r>
      <w:r w:rsidRPr="004754B0">
        <w:rPr>
          <w:sz w:val="20"/>
          <w:szCs w:val="20"/>
          <w:lang w:val="es-ES"/>
        </w:rPr>
        <w:t xml:space="preserve">n virtud de lo dispuesto en la Resolución de la </w:t>
      </w:r>
      <w:proofErr w:type="gramStart"/>
      <w:r w:rsidRPr="004754B0">
        <w:rPr>
          <w:sz w:val="20"/>
          <w:szCs w:val="20"/>
          <w:lang w:val="es-ES"/>
        </w:rPr>
        <w:t>Presidenta</w:t>
      </w:r>
      <w:proofErr w:type="gramEnd"/>
      <w:r w:rsidRPr="004754B0">
        <w:rPr>
          <w:sz w:val="20"/>
          <w:szCs w:val="20"/>
          <w:lang w:val="es-ES"/>
        </w:rPr>
        <w:t xml:space="preserve"> de 30 de junio de 2020 (</w:t>
      </w:r>
      <w:r w:rsidRPr="004754B0">
        <w:rPr>
          <w:i/>
          <w:sz w:val="20"/>
          <w:szCs w:val="20"/>
          <w:lang w:val="es-ES"/>
        </w:rPr>
        <w:t xml:space="preserve">supra </w:t>
      </w:r>
      <w:r w:rsidRPr="004754B0">
        <w:rPr>
          <w:sz w:val="20"/>
          <w:szCs w:val="20"/>
          <w:lang w:val="es-ES"/>
        </w:rPr>
        <w:t xml:space="preserve">párr. </w:t>
      </w:r>
      <w:r>
        <w:rPr>
          <w:sz w:val="20"/>
          <w:szCs w:val="20"/>
          <w:lang w:val="es-ES"/>
        </w:rPr>
        <w:t>9</w:t>
      </w:r>
      <w:r w:rsidRPr="004754B0">
        <w:rPr>
          <w:sz w:val="20"/>
          <w:szCs w:val="20"/>
          <w:lang w:val="es-ES"/>
        </w:rPr>
        <w:t xml:space="preserve">), queda incorporado al acervo probatorio, como prueba documental, la declaración pericial escrita rendida por </w:t>
      </w:r>
      <w:r w:rsidRPr="00CC1265">
        <w:rPr>
          <w:sz w:val="20"/>
          <w:szCs w:val="20"/>
          <w:lang w:val="es-ES"/>
        </w:rPr>
        <w:t xml:space="preserve">el señor Mario Coriolano en el caso </w:t>
      </w:r>
      <w:r w:rsidRPr="00CC1265">
        <w:rPr>
          <w:i/>
          <w:sz w:val="20"/>
          <w:szCs w:val="20"/>
          <w:lang w:val="es-ES"/>
        </w:rPr>
        <w:t>Pacheco Teruel y otros Vs. Honduras</w:t>
      </w:r>
      <w:r w:rsidRPr="00CC1265">
        <w:rPr>
          <w:sz w:val="20"/>
          <w:szCs w:val="20"/>
          <w:lang w:val="es-ES"/>
        </w:rPr>
        <w:t>, conocido por esta Corte</w:t>
      </w:r>
      <w:r w:rsidRPr="00CC1265">
        <w:rPr>
          <w:rStyle w:val="Refdenotaalpie"/>
          <w:sz w:val="20"/>
          <w:szCs w:val="20"/>
          <w:lang w:val="es-ES"/>
        </w:rPr>
        <w:footnoteReference w:id="17"/>
      </w:r>
      <w:r w:rsidRPr="00CC1265">
        <w:rPr>
          <w:sz w:val="20"/>
          <w:szCs w:val="20"/>
          <w:lang w:val="es-ES"/>
        </w:rPr>
        <w:t>.</w:t>
      </w:r>
    </w:p>
    <w:p w14:paraId="6E921ADA" w14:textId="77777777" w:rsidR="00C5289C" w:rsidRPr="004754B0" w:rsidRDefault="00C5289C" w:rsidP="00B476ED">
      <w:pPr>
        <w:widowControl/>
        <w:tabs>
          <w:tab w:val="left" w:pos="567"/>
        </w:tabs>
        <w:autoSpaceDE w:val="0"/>
        <w:autoSpaceDN w:val="0"/>
        <w:adjustRightInd/>
        <w:spacing w:line="240" w:lineRule="auto"/>
        <w:ind w:right="-801"/>
        <w:textAlignment w:val="auto"/>
        <w:rPr>
          <w:sz w:val="20"/>
          <w:szCs w:val="20"/>
        </w:rPr>
      </w:pPr>
    </w:p>
    <w:p w14:paraId="761D1D3F" w14:textId="77777777" w:rsidR="00C5289C" w:rsidRPr="00CC1265" w:rsidRDefault="00C5289C"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CC1265">
        <w:rPr>
          <w:sz w:val="20"/>
          <w:szCs w:val="20"/>
        </w:rPr>
        <w:t>Los representantes, al presentar sus observaciones sobre el reconocimiento estatal de responsabilidad (</w:t>
      </w:r>
      <w:r w:rsidRPr="00CC1265">
        <w:rPr>
          <w:i/>
          <w:sz w:val="20"/>
          <w:szCs w:val="20"/>
        </w:rPr>
        <w:t xml:space="preserve">supra </w:t>
      </w:r>
      <w:r w:rsidRPr="00CC1265">
        <w:rPr>
          <w:sz w:val="20"/>
          <w:szCs w:val="20"/>
        </w:rPr>
        <w:t>párr. 8), remitieron 20 documentos. Dos de ellos dan cuenta de hechos vinculados al caso ocurridos con posterioridad a la presentación del escrito de solicitudes y argumentos. Por lo tanto, resultan prueba de hechos supervinientes, en los términos del artículo 57.2 del Reglamento y quedan admitidos</w:t>
      </w:r>
      <w:r w:rsidRPr="00CC1265">
        <w:rPr>
          <w:rStyle w:val="Refdenotaalpie"/>
          <w:sz w:val="20"/>
          <w:szCs w:val="20"/>
        </w:rPr>
        <w:footnoteReference w:id="18"/>
      </w:r>
      <w:r w:rsidRPr="00CC1265">
        <w:rPr>
          <w:sz w:val="20"/>
          <w:szCs w:val="20"/>
        </w:rPr>
        <w:t>. Los otros 18 documentos no habían sido solicitados ni fueron presentados en la oportunidad procesal correspondiente. Por lo tanto, no son admitidos</w:t>
      </w:r>
      <w:r w:rsidRPr="00CC1265">
        <w:rPr>
          <w:rStyle w:val="Refdenotaalpie"/>
          <w:sz w:val="20"/>
          <w:szCs w:val="20"/>
        </w:rPr>
        <w:footnoteReference w:id="19"/>
      </w:r>
      <w:r w:rsidRPr="00CC1265">
        <w:rPr>
          <w:sz w:val="20"/>
          <w:szCs w:val="20"/>
        </w:rPr>
        <w:t xml:space="preserve">.  </w:t>
      </w:r>
    </w:p>
    <w:p w14:paraId="55F7E40F" w14:textId="77777777" w:rsidR="00C5289C" w:rsidRPr="004754B0" w:rsidRDefault="00C5289C" w:rsidP="00B476ED">
      <w:pPr>
        <w:pStyle w:val="Prrafodelista"/>
        <w:spacing w:line="240" w:lineRule="auto"/>
        <w:ind w:left="0" w:right="-801"/>
        <w:outlineLvl w:val="1"/>
        <w:rPr>
          <w:sz w:val="20"/>
          <w:szCs w:val="20"/>
        </w:rPr>
      </w:pPr>
    </w:p>
    <w:p w14:paraId="21F4FC20" w14:textId="59DB1399" w:rsidR="00C5289C" w:rsidRPr="004754B0" w:rsidRDefault="00C5289C" w:rsidP="00B476ED">
      <w:pPr>
        <w:pStyle w:val="Ttulo2"/>
        <w:numPr>
          <w:ilvl w:val="0"/>
          <w:numId w:val="14"/>
        </w:numPr>
        <w:tabs>
          <w:tab w:val="clear" w:pos="1134"/>
          <w:tab w:val="left" w:pos="1560"/>
        </w:tabs>
        <w:spacing w:before="0" w:after="0"/>
        <w:ind w:left="284" w:right="-801" w:hanging="13"/>
      </w:pPr>
      <w:bookmarkStart w:id="23" w:name="_Toc9511441"/>
      <w:bookmarkStart w:id="24" w:name="_Toc4402949"/>
      <w:bookmarkStart w:id="25" w:name="_Toc4402710"/>
      <w:bookmarkStart w:id="26" w:name="_Toc26283432"/>
      <w:bookmarkStart w:id="27" w:name="_Toc32394145"/>
      <w:bookmarkStart w:id="28" w:name="_Toc52794751"/>
      <w:bookmarkStart w:id="29" w:name="_Toc58330212"/>
      <w:r w:rsidRPr="004754B0">
        <w:t>Admisibilidad de la prueba testimonial y pericial</w:t>
      </w:r>
      <w:bookmarkEnd w:id="23"/>
      <w:bookmarkEnd w:id="24"/>
      <w:bookmarkEnd w:id="25"/>
      <w:bookmarkEnd w:id="26"/>
      <w:bookmarkEnd w:id="27"/>
      <w:bookmarkEnd w:id="28"/>
      <w:bookmarkEnd w:id="29"/>
    </w:p>
    <w:p w14:paraId="4E7927F3" w14:textId="77777777" w:rsidR="00C5289C" w:rsidRPr="004754B0" w:rsidRDefault="00C5289C" w:rsidP="00B476ED">
      <w:pPr>
        <w:pStyle w:val="Prrafodelista"/>
        <w:spacing w:line="240" w:lineRule="auto"/>
        <w:ind w:left="0" w:right="-801"/>
        <w:rPr>
          <w:sz w:val="20"/>
          <w:szCs w:val="20"/>
        </w:rPr>
      </w:pPr>
    </w:p>
    <w:p w14:paraId="18FE6454" w14:textId="34BEF172" w:rsidR="00C5289C" w:rsidRDefault="00C5289C" w:rsidP="00B476ED">
      <w:pPr>
        <w:widowControl/>
        <w:numPr>
          <w:ilvl w:val="0"/>
          <w:numId w:val="1"/>
        </w:numPr>
        <w:tabs>
          <w:tab w:val="left" w:pos="567"/>
          <w:tab w:val="num" w:pos="12305"/>
        </w:tabs>
        <w:autoSpaceDE w:val="0"/>
        <w:autoSpaceDN w:val="0"/>
        <w:adjustRightInd/>
        <w:spacing w:line="240" w:lineRule="auto"/>
        <w:ind w:left="0" w:right="-801" w:firstLine="0"/>
        <w:textAlignment w:val="auto"/>
        <w:rPr>
          <w:sz w:val="20"/>
          <w:szCs w:val="20"/>
        </w:rPr>
      </w:pPr>
      <w:r w:rsidRPr="004754B0">
        <w:rPr>
          <w:sz w:val="20"/>
          <w:szCs w:val="20"/>
        </w:rPr>
        <w:t>Este Tribunal estima pertinente admitir las declaraciones periciales rendidas ante fedatario público por C</w:t>
      </w:r>
      <w:r w:rsidR="0000398B">
        <w:rPr>
          <w:sz w:val="20"/>
          <w:szCs w:val="20"/>
        </w:rPr>
        <w:t>o</w:t>
      </w:r>
      <w:r w:rsidRPr="004754B0">
        <w:rPr>
          <w:sz w:val="20"/>
          <w:szCs w:val="20"/>
        </w:rPr>
        <w:t xml:space="preserve">rina </w:t>
      </w:r>
      <w:proofErr w:type="spellStart"/>
      <w:r w:rsidRPr="004754B0">
        <w:rPr>
          <w:sz w:val="20"/>
          <w:szCs w:val="20"/>
        </w:rPr>
        <w:t>Giacomello</w:t>
      </w:r>
      <w:proofErr w:type="spellEnd"/>
      <w:r w:rsidRPr="004754B0">
        <w:rPr>
          <w:sz w:val="20"/>
          <w:szCs w:val="20"/>
        </w:rPr>
        <w:t xml:space="preserve"> y Juan </w:t>
      </w:r>
      <w:r w:rsidR="009F4FD2">
        <w:rPr>
          <w:sz w:val="20"/>
          <w:szCs w:val="20"/>
        </w:rPr>
        <w:t xml:space="preserve">E. </w:t>
      </w:r>
      <w:r w:rsidRPr="004754B0">
        <w:rPr>
          <w:sz w:val="20"/>
          <w:szCs w:val="20"/>
        </w:rPr>
        <w:t>Méndez, así como las dadas en forma oral por las víctimas Belkis Josefina Correa Ríos y Myriam Josefina Herrera Sánchez, en la diligencia realizada por videoconferencia (</w:t>
      </w:r>
      <w:r w:rsidRPr="004754B0">
        <w:rPr>
          <w:i/>
          <w:sz w:val="20"/>
          <w:szCs w:val="20"/>
        </w:rPr>
        <w:t xml:space="preserve">supra </w:t>
      </w:r>
      <w:r w:rsidRPr="004754B0">
        <w:rPr>
          <w:sz w:val="20"/>
          <w:szCs w:val="20"/>
        </w:rPr>
        <w:t xml:space="preserve">párr. </w:t>
      </w:r>
      <w:r>
        <w:rPr>
          <w:sz w:val="20"/>
          <w:szCs w:val="20"/>
        </w:rPr>
        <w:t>9</w:t>
      </w:r>
      <w:r w:rsidRPr="004754B0">
        <w:rPr>
          <w:sz w:val="20"/>
          <w:szCs w:val="20"/>
        </w:rPr>
        <w:t>), en la medida en que se ajusten al objeto que fue definido por la Presidencia en la Resolución mediante la cual se ordenó recibirlos y al objeto del presente caso.</w:t>
      </w:r>
    </w:p>
    <w:p w14:paraId="725BB631" w14:textId="77777777" w:rsidR="00C5289C" w:rsidRDefault="00C5289C" w:rsidP="00B476ED">
      <w:pPr>
        <w:widowControl/>
        <w:tabs>
          <w:tab w:val="left" w:pos="567"/>
        </w:tabs>
        <w:autoSpaceDE w:val="0"/>
        <w:autoSpaceDN w:val="0"/>
        <w:adjustRightInd/>
        <w:spacing w:line="240" w:lineRule="auto"/>
        <w:ind w:right="-801"/>
        <w:textAlignment w:val="auto"/>
        <w:rPr>
          <w:sz w:val="20"/>
          <w:szCs w:val="20"/>
        </w:rPr>
      </w:pPr>
    </w:p>
    <w:p w14:paraId="4369612C" w14:textId="412CC15C" w:rsidR="00C5289C" w:rsidRPr="00435EFD" w:rsidRDefault="00C5289C" w:rsidP="00B476ED">
      <w:pPr>
        <w:widowControl/>
        <w:numPr>
          <w:ilvl w:val="0"/>
          <w:numId w:val="1"/>
        </w:numPr>
        <w:tabs>
          <w:tab w:val="left" w:pos="567"/>
          <w:tab w:val="num" w:pos="12305"/>
        </w:tabs>
        <w:autoSpaceDE w:val="0"/>
        <w:autoSpaceDN w:val="0"/>
        <w:adjustRightInd/>
        <w:spacing w:line="240" w:lineRule="auto"/>
        <w:ind w:left="0" w:right="-801" w:firstLine="0"/>
        <w:textAlignment w:val="auto"/>
        <w:rPr>
          <w:sz w:val="20"/>
          <w:szCs w:val="20"/>
        </w:rPr>
      </w:pPr>
      <w:r w:rsidRPr="00435EFD">
        <w:rPr>
          <w:sz w:val="20"/>
          <w:szCs w:val="20"/>
        </w:rPr>
        <w:t xml:space="preserve">En el caso de las declaraciones de las víctimas Elvia </w:t>
      </w:r>
      <w:proofErr w:type="spellStart"/>
      <w:r w:rsidRPr="00435EFD">
        <w:rPr>
          <w:sz w:val="20"/>
          <w:szCs w:val="20"/>
        </w:rPr>
        <w:t>Abarullo</w:t>
      </w:r>
      <w:proofErr w:type="spellEnd"/>
      <w:r w:rsidRPr="00435EFD">
        <w:rPr>
          <w:sz w:val="20"/>
          <w:szCs w:val="20"/>
        </w:rPr>
        <w:t xml:space="preserve">, Jesús Juvenal Herrera Sánchez, Luis José Yáñez y Maritza del Valle Sánchez Ávila, así como las de la perita Magaly Mercedes Vásquez González y el perito Marlon José Barreto Ríos, y las de los </w:t>
      </w:r>
      <w:r w:rsidRPr="00401835">
        <w:rPr>
          <w:sz w:val="20"/>
          <w:szCs w:val="20"/>
        </w:rPr>
        <w:t xml:space="preserve">testigos Ovidio Antonio Peña Varela y </w:t>
      </w:r>
      <w:proofErr w:type="spellStart"/>
      <w:r w:rsidRPr="00401835">
        <w:rPr>
          <w:sz w:val="20"/>
          <w:szCs w:val="20"/>
        </w:rPr>
        <w:t>Rossy</w:t>
      </w:r>
      <w:proofErr w:type="spellEnd"/>
      <w:r w:rsidRPr="00401835">
        <w:rPr>
          <w:sz w:val="20"/>
          <w:szCs w:val="20"/>
        </w:rPr>
        <w:t xml:space="preserve"> Mariana Mendoza Rojas, se advierte que no fueron rendidas ante fedatario público. Conforme expresaron las partes, ello se debió a dificultades derivadas de la pandemia por propagación del virus COVID-19</w:t>
      </w:r>
      <w:r w:rsidRPr="00401835">
        <w:rPr>
          <w:rStyle w:val="Refdenotaalpie"/>
          <w:sz w:val="20"/>
          <w:szCs w:val="20"/>
        </w:rPr>
        <w:footnoteReference w:id="20"/>
      </w:r>
      <w:r w:rsidRPr="00401835">
        <w:rPr>
          <w:sz w:val="20"/>
          <w:szCs w:val="20"/>
        </w:rPr>
        <w:t>. En atención a los motivos señalados por las partes, todas las declaraciones escritas antes aludidas quedan admitidas</w:t>
      </w:r>
      <w:r w:rsidRPr="00401835">
        <w:rPr>
          <w:rStyle w:val="Refdenotaalpie"/>
          <w:sz w:val="20"/>
          <w:szCs w:val="20"/>
        </w:rPr>
        <w:footnoteReference w:id="21"/>
      </w:r>
      <w:r w:rsidRPr="00401835">
        <w:rPr>
          <w:sz w:val="20"/>
          <w:szCs w:val="20"/>
        </w:rPr>
        <w:t>.</w:t>
      </w:r>
      <w:r w:rsidRPr="00435EFD">
        <w:rPr>
          <w:sz w:val="20"/>
          <w:szCs w:val="20"/>
        </w:rPr>
        <w:t xml:space="preserve"> </w:t>
      </w:r>
    </w:p>
    <w:p w14:paraId="2B11EF39" w14:textId="77777777" w:rsidR="00D47AFE" w:rsidRDefault="00D47AFE" w:rsidP="007A4020">
      <w:pPr>
        <w:pStyle w:val="Ttulo1"/>
        <w:spacing w:before="0" w:after="0"/>
        <w:ind w:right="-799"/>
      </w:pPr>
      <w:bookmarkStart w:id="30" w:name="_Toc33020810"/>
    </w:p>
    <w:p w14:paraId="6A131860" w14:textId="79E14E1E" w:rsidR="00D47AFE" w:rsidRDefault="00D47AFE" w:rsidP="007A4020">
      <w:pPr>
        <w:pStyle w:val="Ttulo1"/>
        <w:spacing w:before="0" w:after="0"/>
        <w:ind w:right="-799"/>
      </w:pPr>
      <w:bookmarkStart w:id="31" w:name="_Toc58328999"/>
      <w:bookmarkStart w:id="32" w:name="_Toc58330213"/>
      <w:r w:rsidRPr="004754B0">
        <w:t>V</w:t>
      </w:r>
      <w:r>
        <w:t>i</w:t>
      </w:r>
      <w:r w:rsidRPr="004754B0">
        <w:br/>
        <w:t>HECHOS</w:t>
      </w:r>
      <w:bookmarkEnd w:id="30"/>
      <w:bookmarkEnd w:id="31"/>
      <w:bookmarkEnd w:id="32"/>
      <w:r w:rsidRPr="004754B0">
        <w:t xml:space="preserve"> </w:t>
      </w:r>
    </w:p>
    <w:p w14:paraId="799AFD54" w14:textId="77777777" w:rsidR="00D47AFE" w:rsidRPr="002A479E" w:rsidRDefault="00D47AFE" w:rsidP="007A4020">
      <w:pPr>
        <w:spacing w:line="240" w:lineRule="auto"/>
        <w:ind w:right="-799"/>
        <w:rPr>
          <w:sz w:val="20"/>
          <w:szCs w:val="20"/>
          <w:lang w:val="es-MX" w:eastAsia="es-ES"/>
        </w:rPr>
      </w:pPr>
    </w:p>
    <w:p w14:paraId="49F57348" w14:textId="77777777" w:rsidR="00D47AFE" w:rsidRPr="004754B0" w:rsidRDefault="00D47AFE" w:rsidP="007A4020">
      <w:pPr>
        <w:widowControl/>
        <w:numPr>
          <w:ilvl w:val="0"/>
          <w:numId w:val="1"/>
        </w:numPr>
        <w:tabs>
          <w:tab w:val="left" w:pos="567"/>
        </w:tabs>
        <w:autoSpaceDE w:val="0"/>
        <w:autoSpaceDN w:val="0"/>
        <w:adjustRightInd/>
        <w:spacing w:line="240" w:lineRule="auto"/>
        <w:ind w:left="0" w:right="-799" w:firstLine="0"/>
        <w:textAlignment w:val="auto"/>
        <w:rPr>
          <w:sz w:val="20"/>
          <w:szCs w:val="20"/>
        </w:rPr>
      </w:pPr>
      <w:r w:rsidRPr="004754B0">
        <w:rPr>
          <w:sz w:val="20"/>
          <w:szCs w:val="20"/>
        </w:rPr>
        <w:t>En este capítulo la Corte establecerá los hechos del caso</w:t>
      </w:r>
      <w:r>
        <w:rPr>
          <w:sz w:val="20"/>
          <w:szCs w:val="20"/>
        </w:rPr>
        <w:t>,</w:t>
      </w:r>
      <w:r w:rsidRPr="004754B0">
        <w:rPr>
          <w:sz w:val="20"/>
          <w:szCs w:val="20"/>
        </w:rPr>
        <w:t xml:space="preserve"> con base en el marco fáctico sometido al conocimiento de</w:t>
      </w:r>
      <w:r>
        <w:rPr>
          <w:sz w:val="20"/>
          <w:szCs w:val="20"/>
        </w:rPr>
        <w:t>l Tribunal por la Comisión</w:t>
      </w:r>
      <w:r w:rsidRPr="004754B0">
        <w:rPr>
          <w:sz w:val="20"/>
          <w:szCs w:val="20"/>
        </w:rPr>
        <w:t xml:space="preserve">. Tendrá en cuenta la aceptación </w:t>
      </w:r>
      <w:proofErr w:type="gramStart"/>
      <w:r w:rsidRPr="004754B0">
        <w:rPr>
          <w:sz w:val="20"/>
          <w:szCs w:val="20"/>
        </w:rPr>
        <w:t>de</w:t>
      </w:r>
      <w:r>
        <w:rPr>
          <w:sz w:val="20"/>
          <w:szCs w:val="20"/>
        </w:rPr>
        <w:t>l mismo</w:t>
      </w:r>
      <w:proofErr w:type="gramEnd"/>
      <w:r w:rsidRPr="004754B0">
        <w:rPr>
          <w:sz w:val="20"/>
          <w:szCs w:val="20"/>
        </w:rPr>
        <w:t xml:space="preserve"> por el Estado (</w:t>
      </w:r>
      <w:r w:rsidRPr="004754B0">
        <w:rPr>
          <w:i/>
          <w:sz w:val="20"/>
          <w:szCs w:val="20"/>
        </w:rPr>
        <w:t>supra</w:t>
      </w:r>
      <w:r w:rsidRPr="004754B0">
        <w:rPr>
          <w:sz w:val="20"/>
          <w:szCs w:val="20"/>
        </w:rPr>
        <w:t xml:space="preserve"> </w:t>
      </w:r>
      <w:proofErr w:type="spellStart"/>
      <w:r w:rsidRPr="004754B0">
        <w:rPr>
          <w:sz w:val="20"/>
          <w:szCs w:val="20"/>
        </w:rPr>
        <w:t>párr</w:t>
      </w:r>
      <w:r>
        <w:rPr>
          <w:sz w:val="20"/>
          <w:szCs w:val="20"/>
        </w:rPr>
        <w:t>s</w:t>
      </w:r>
      <w:proofErr w:type="spellEnd"/>
      <w:r w:rsidRPr="004754B0">
        <w:rPr>
          <w:sz w:val="20"/>
          <w:szCs w:val="20"/>
        </w:rPr>
        <w:t xml:space="preserve">. </w:t>
      </w:r>
      <w:r>
        <w:rPr>
          <w:sz w:val="20"/>
          <w:szCs w:val="20"/>
        </w:rPr>
        <w:t>13 y19</w:t>
      </w:r>
      <w:r w:rsidRPr="004754B0">
        <w:rPr>
          <w:sz w:val="20"/>
          <w:szCs w:val="20"/>
        </w:rPr>
        <w:t>)</w:t>
      </w:r>
      <w:r>
        <w:rPr>
          <w:sz w:val="20"/>
          <w:szCs w:val="20"/>
        </w:rPr>
        <w:t>,</w:t>
      </w:r>
      <w:r w:rsidRPr="004754B0">
        <w:rPr>
          <w:sz w:val="20"/>
          <w:szCs w:val="20"/>
        </w:rPr>
        <w:t xml:space="preserve"> así como que Venezuela no controvirtió hechos señalados por la Comisión ni por los representantes. Lo anterior, sin perjuicio de las precisiones que surjan de la prueba. </w:t>
      </w:r>
    </w:p>
    <w:p w14:paraId="68545D0E" w14:textId="77777777" w:rsidR="00D47AFE" w:rsidRPr="004754B0" w:rsidRDefault="00D47AFE" w:rsidP="00B476ED">
      <w:pPr>
        <w:widowControl/>
        <w:tabs>
          <w:tab w:val="left" w:pos="567"/>
        </w:tabs>
        <w:autoSpaceDE w:val="0"/>
        <w:autoSpaceDN w:val="0"/>
        <w:adjustRightInd/>
        <w:spacing w:line="240" w:lineRule="auto"/>
        <w:ind w:right="-801"/>
        <w:textAlignment w:val="auto"/>
        <w:rPr>
          <w:sz w:val="20"/>
          <w:szCs w:val="20"/>
        </w:rPr>
      </w:pPr>
    </w:p>
    <w:p w14:paraId="0782E25E" w14:textId="79F1DC00" w:rsidR="00D47AFE" w:rsidRPr="004754B0"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Pr>
          <w:sz w:val="20"/>
          <w:szCs w:val="20"/>
        </w:rPr>
        <w:t>La Corte</w:t>
      </w:r>
      <w:r w:rsidRPr="004754B0">
        <w:rPr>
          <w:sz w:val="20"/>
          <w:szCs w:val="20"/>
        </w:rPr>
        <w:t xml:space="preserve"> advierte que los representantes adujeron una situación contextual </w:t>
      </w:r>
      <w:r w:rsidRPr="0068675E">
        <w:rPr>
          <w:sz w:val="20"/>
          <w:szCs w:val="20"/>
        </w:rPr>
        <w:t>relacionada con la “situación de los derechos humanos” y los “centros de reclusión en Venezuela”. Tales aspectos fácticos de contexto no fueron señalados en el Informe de Fondo</w:t>
      </w:r>
      <w:r w:rsidRPr="0068675E">
        <w:rPr>
          <w:rStyle w:val="Refdenotaalpie"/>
          <w:sz w:val="20"/>
          <w:szCs w:val="20"/>
        </w:rPr>
        <w:footnoteReference w:id="22"/>
      </w:r>
      <w:r w:rsidRPr="0068675E">
        <w:rPr>
          <w:sz w:val="20"/>
          <w:szCs w:val="20"/>
        </w:rPr>
        <w:t xml:space="preserve"> y, por ello, no forman parte del marco fáctico del caso. En consecuencia, no serán considerados.</w:t>
      </w:r>
      <w:r w:rsidRPr="004754B0">
        <w:rPr>
          <w:b/>
          <w:sz w:val="20"/>
          <w:szCs w:val="20"/>
        </w:rPr>
        <w:t xml:space="preserve"> </w:t>
      </w:r>
    </w:p>
    <w:p w14:paraId="4332E26D" w14:textId="77777777" w:rsidR="00D47AFE" w:rsidRPr="004754B0" w:rsidRDefault="00D47AFE" w:rsidP="00B476ED">
      <w:pPr>
        <w:pStyle w:val="Prrafodelista"/>
        <w:spacing w:line="240" w:lineRule="auto"/>
        <w:ind w:left="0" w:right="-801"/>
        <w:rPr>
          <w:sz w:val="20"/>
          <w:szCs w:val="20"/>
        </w:rPr>
      </w:pPr>
    </w:p>
    <w:p w14:paraId="122544DF" w14:textId="77777777" w:rsidR="00D47AFE" w:rsidRPr="004754B0"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4754B0">
        <w:rPr>
          <w:sz w:val="20"/>
          <w:szCs w:val="20"/>
        </w:rPr>
        <w:lastRenderedPageBreak/>
        <w:t xml:space="preserve">Los hechos del caso se relacionan con la muerte de cinco personas que se encontraban privadas de su libertad en el INAM-San Félix, como consecuencia de un incendio ocurrido el 30 de junio de 2005 en la celda en la que estaban. </w:t>
      </w:r>
      <w:r>
        <w:rPr>
          <w:sz w:val="20"/>
          <w:szCs w:val="20"/>
        </w:rPr>
        <w:t>A</w:t>
      </w:r>
      <w:r w:rsidRPr="004754B0">
        <w:rPr>
          <w:sz w:val="20"/>
          <w:szCs w:val="20"/>
        </w:rPr>
        <w:t>barcan la situación en que se encontraba dicho Centro de privación de libertad, así como actuaciones de autoridades estatales, al momento del</w:t>
      </w:r>
      <w:r>
        <w:rPr>
          <w:sz w:val="20"/>
          <w:szCs w:val="20"/>
        </w:rPr>
        <w:t xml:space="preserve"> incendio</w:t>
      </w:r>
      <w:r w:rsidRPr="004754B0">
        <w:rPr>
          <w:sz w:val="20"/>
          <w:szCs w:val="20"/>
        </w:rPr>
        <w:t xml:space="preserve"> y con posterioridad, inclusive de investigación</w:t>
      </w:r>
      <w:r>
        <w:rPr>
          <w:sz w:val="20"/>
          <w:szCs w:val="20"/>
        </w:rPr>
        <w:t xml:space="preserve"> y judiciales</w:t>
      </w:r>
      <w:r w:rsidRPr="004754B0">
        <w:rPr>
          <w:sz w:val="20"/>
          <w:szCs w:val="20"/>
        </w:rPr>
        <w:t xml:space="preserve">. A continuación, entonces, se expondrán circunstancias fácticas sobre: a) las víctimas fallecidas y sus familiares; b) </w:t>
      </w:r>
      <w:r>
        <w:rPr>
          <w:sz w:val="20"/>
          <w:szCs w:val="20"/>
        </w:rPr>
        <w:t xml:space="preserve">la </w:t>
      </w:r>
      <w:r w:rsidRPr="004754B0">
        <w:rPr>
          <w:sz w:val="20"/>
          <w:szCs w:val="20"/>
        </w:rPr>
        <w:t xml:space="preserve">situación del INAM-San Félix al momento de los hechos; c) los hechos de 30 de junio de 2005, y d) </w:t>
      </w:r>
      <w:r>
        <w:rPr>
          <w:sz w:val="20"/>
          <w:szCs w:val="20"/>
        </w:rPr>
        <w:t xml:space="preserve">los </w:t>
      </w:r>
      <w:r w:rsidRPr="004754B0">
        <w:rPr>
          <w:sz w:val="20"/>
          <w:szCs w:val="20"/>
        </w:rPr>
        <w:t xml:space="preserve">actos de investigación y </w:t>
      </w:r>
      <w:r>
        <w:rPr>
          <w:sz w:val="20"/>
          <w:szCs w:val="20"/>
        </w:rPr>
        <w:t xml:space="preserve">el </w:t>
      </w:r>
      <w:r w:rsidRPr="004754B0">
        <w:rPr>
          <w:sz w:val="20"/>
          <w:szCs w:val="20"/>
        </w:rPr>
        <w:t xml:space="preserve">proceso judicial. </w:t>
      </w:r>
    </w:p>
    <w:p w14:paraId="3ACFC740" w14:textId="77777777" w:rsidR="00D47AFE" w:rsidRPr="004754B0" w:rsidRDefault="00D47AFE" w:rsidP="00B476ED">
      <w:pPr>
        <w:widowControl/>
        <w:tabs>
          <w:tab w:val="left" w:pos="567"/>
        </w:tabs>
        <w:autoSpaceDE w:val="0"/>
        <w:autoSpaceDN w:val="0"/>
        <w:adjustRightInd/>
        <w:spacing w:line="240" w:lineRule="auto"/>
        <w:ind w:right="-801"/>
        <w:textAlignment w:val="auto"/>
        <w:rPr>
          <w:sz w:val="20"/>
          <w:szCs w:val="20"/>
        </w:rPr>
      </w:pPr>
    </w:p>
    <w:p w14:paraId="501BAA7B" w14:textId="7F7A33CA" w:rsidR="00D47AFE" w:rsidRPr="004754B0" w:rsidRDefault="00D47AFE" w:rsidP="00B476ED">
      <w:pPr>
        <w:pStyle w:val="Prrafodelista"/>
        <w:widowControl/>
        <w:numPr>
          <w:ilvl w:val="0"/>
          <w:numId w:val="24"/>
        </w:numPr>
        <w:tabs>
          <w:tab w:val="left" w:pos="0"/>
        </w:tabs>
        <w:adjustRightInd/>
        <w:spacing w:line="240" w:lineRule="auto"/>
        <w:ind w:left="284" w:right="-801" w:hanging="11"/>
        <w:contextualSpacing/>
        <w:textAlignment w:val="auto"/>
        <w:outlineLvl w:val="1"/>
        <w:rPr>
          <w:b/>
          <w:i/>
          <w:sz w:val="20"/>
          <w:lang w:val="es-MX"/>
        </w:rPr>
      </w:pPr>
      <w:bookmarkStart w:id="33" w:name="_Toc58329000"/>
      <w:bookmarkStart w:id="34" w:name="_Toc58330214"/>
      <w:r w:rsidRPr="004754B0">
        <w:rPr>
          <w:b/>
          <w:i/>
          <w:sz w:val="20"/>
          <w:lang w:val="es-MX"/>
        </w:rPr>
        <w:t>Las víctimas fallecidas y sus familiares</w:t>
      </w:r>
      <w:bookmarkEnd w:id="33"/>
      <w:bookmarkEnd w:id="34"/>
      <w:r w:rsidRPr="004754B0">
        <w:rPr>
          <w:b/>
          <w:i/>
          <w:sz w:val="20"/>
          <w:lang w:val="es-MX"/>
        </w:rPr>
        <w:t xml:space="preserve"> </w:t>
      </w:r>
    </w:p>
    <w:p w14:paraId="50680E6B" w14:textId="77777777" w:rsidR="00D47AFE" w:rsidRPr="004754B0" w:rsidRDefault="00D47AFE" w:rsidP="00B476ED">
      <w:pPr>
        <w:pStyle w:val="Prrafodelista"/>
        <w:spacing w:line="240" w:lineRule="auto"/>
        <w:ind w:right="-801"/>
        <w:rPr>
          <w:sz w:val="20"/>
          <w:lang w:val="es-MX"/>
        </w:rPr>
      </w:pPr>
    </w:p>
    <w:p w14:paraId="42FE01A0" w14:textId="1F1E932C" w:rsidR="00D47AFE" w:rsidRPr="00EA0726"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4754B0">
        <w:rPr>
          <w:sz w:val="20"/>
          <w:lang w:val="es-MX"/>
        </w:rPr>
        <w:t xml:space="preserve">Las siguientes cinco personas </w:t>
      </w:r>
      <w:r>
        <w:rPr>
          <w:sz w:val="20"/>
          <w:lang w:val="es-MX"/>
        </w:rPr>
        <w:t xml:space="preserve">estuvieron </w:t>
      </w:r>
      <w:r w:rsidRPr="004754B0">
        <w:rPr>
          <w:sz w:val="20"/>
          <w:lang w:val="es-MX"/>
        </w:rPr>
        <w:t>privadas de su libertad en el INAM-San Félix</w:t>
      </w:r>
      <w:r>
        <w:rPr>
          <w:sz w:val="20"/>
          <w:lang w:val="es-MX"/>
        </w:rPr>
        <w:t xml:space="preserve"> en 2005</w:t>
      </w:r>
      <w:r w:rsidRPr="004754B0">
        <w:rPr>
          <w:sz w:val="20"/>
          <w:lang w:val="es-MX"/>
        </w:rPr>
        <w:t xml:space="preserve">: a) José Gregorio Mota </w:t>
      </w:r>
      <w:proofErr w:type="spellStart"/>
      <w:r w:rsidRPr="004754B0">
        <w:rPr>
          <w:sz w:val="20"/>
          <w:lang w:val="es-MX"/>
        </w:rPr>
        <w:t>Abarullo</w:t>
      </w:r>
      <w:proofErr w:type="spellEnd"/>
      <w:r w:rsidRPr="004754B0">
        <w:rPr>
          <w:sz w:val="20"/>
          <w:lang w:val="es-MX"/>
        </w:rPr>
        <w:t>, quien nació el 26 de junio de 1985; b) Rafael Antonio Parra Herrera, quien nació el 2 de diciembre de 1986; c</w:t>
      </w:r>
      <w:r w:rsidRPr="00EA0726">
        <w:rPr>
          <w:sz w:val="20"/>
          <w:lang w:val="es-MX"/>
        </w:rPr>
        <w:t xml:space="preserve">) Johan José Correa, cuya fecha de nacimiento es el 29 de enero de 1987; d) Gabriel de Jesús Yáñez Sánchez, nacido el 11 de abril de 1987, y </w:t>
      </w:r>
      <w:proofErr w:type="spellStart"/>
      <w:r w:rsidRPr="00EA0726">
        <w:rPr>
          <w:sz w:val="20"/>
          <w:lang w:val="es-MX"/>
        </w:rPr>
        <w:t>e</w:t>
      </w:r>
      <w:proofErr w:type="spellEnd"/>
      <w:r w:rsidRPr="00EA0726">
        <w:rPr>
          <w:sz w:val="20"/>
          <w:lang w:val="es-MX"/>
        </w:rPr>
        <w:t>) Cristian Arnaldo Molina Córdo</w:t>
      </w:r>
      <w:r>
        <w:rPr>
          <w:sz w:val="20"/>
          <w:lang w:val="es-MX"/>
        </w:rPr>
        <w:t>v</w:t>
      </w:r>
      <w:r w:rsidRPr="00EA0726">
        <w:rPr>
          <w:sz w:val="20"/>
          <w:lang w:val="es-MX"/>
        </w:rPr>
        <w:t xml:space="preserve">a, nacido el 17 de abril de 1987. </w:t>
      </w:r>
      <w:r w:rsidRPr="00EA0726">
        <w:rPr>
          <w:bCs/>
          <w:sz w:val="20"/>
          <w:lang w:val="es-MX"/>
        </w:rPr>
        <w:t xml:space="preserve">Los cinco jóvenes habían ingresado al INAM-San Félix por infracciones cometidas antes de cumplir 18 </w:t>
      </w:r>
      <w:proofErr w:type="gramStart"/>
      <w:r w:rsidRPr="00EA0726">
        <w:rPr>
          <w:bCs/>
          <w:sz w:val="20"/>
          <w:lang w:val="es-MX"/>
        </w:rPr>
        <w:t>años de edad</w:t>
      </w:r>
      <w:proofErr w:type="gramEnd"/>
      <w:r w:rsidRPr="00EA0726">
        <w:rPr>
          <w:bCs/>
          <w:sz w:val="20"/>
          <w:lang w:val="es-MX"/>
        </w:rPr>
        <w:t xml:space="preserve">. El 30 de junio de 2005, cuando se produjo un incendio en su celda, todos </w:t>
      </w:r>
      <w:r>
        <w:rPr>
          <w:bCs/>
          <w:sz w:val="20"/>
          <w:lang w:val="es-MX"/>
        </w:rPr>
        <w:t>tenían</w:t>
      </w:r>
      <w:r w:rsidRPr="00EA0726">
        <w:rPr>
          <w:bCs/>
          <w:sz w:val="20"/>
          <w:lang w:val="es-MX"/>
        </w:rPr>
        <w:t xml:space="preserve"> 18 </w:t>
      </w:r>
      <w:proofErr w:type="gramStart"/>
      <w:r w:rsidRPr="00EA0726">
        <w:rPr>
          <w:bCs/>
          <w:sz w:val="20"/>
          <w:lang w:val="es-MX"/>
        </w:rPr>
        <w:t>años</w:t>
      </w:r>
      <w:r>
        <w:rPr>
          <w:bCs/>
          <w:sz w:val="20"/>
          <w:lang w:val="es-MX"/>
        </w:rPr>
        <w:t xml:space="preserve"> de edad</w:t>
      </w:r>
      <w:proofErr w:type="gramEnd"/>
      <w:r>
        <w:rPr>
          <w:bCs/>
          <w:sz w:val="20"/>
          <w:lang w:val="es-MX"/>
        </w:rPr>
        <w:t xml:space="preserve"> cumplidos</w:t>
      </w:r>
      <w:r w:rsidRPr="00EA0726">
        <w:rPr>
          <w:bCs/>
          <w:sz w:val="20"/>
          <w:lang w:val="es-MX"/>
        </w:rPr>
        <w:t xml:space="preserve">, menos José Mota, quien tenía 20. </w:t>
      </w:r>
    </w:p>
    <w:p w14:paraId="25914067" w14:textId="77777777" w:rsidR="00D47AFE" w:rsidRPr="004754B0" w:rsidRDefault="00D47AFE" w:rsidP="00B476ED">
      <w:pPr>
        <w:widowControl/>
        <w:tabs>
          <w:tab w:val="left" w:pos="567"/>
        </w:tabs>
        <w:autoSpaceDE w:val="0"/>
        <w:autoSpaceDN w:val="0"/>
        <w:adjustRightInd/>
        <w:spacing w:line="240" w:lineRule="auto"/>
        <w:ind w:right="-801"/>
        <w:textAlignment w:val="auto"/>
        <w:rPr>
          <w:sz w:val="20"/>
          <w:szCs w:val="20"/>
        </w:rPr>
      </w:pPr>
    </w:p>
    <w:p w14:paraId="50606AC3" w14:textId="5D1F68AF" w:rsidR="00D47AFE" w:rsidRPr="004754B0"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4754B0">
        <w:rPr>
          <w:sz w:val="20"/>
          <w:lang w:val="es-MX"/>
        </w:rPr>
        <w:t xml:space="preserve">Son familiares de cada uno de los cinco jóvenes: </w:t>
      </w:r>
      <w:r w:rsidRPr="000231CC">
        <w:rPr>
          <w:sz w:val="20"/>
          <w:lang w:val="es-MX"/>
        </w:rPr>
        <w:t xml:space="preserve">a) Elvia </w:t>
      </w:r>
      <w:proofErr w:type="spellStart"/>
      <w:r w:rsidRPr="000231CC">
        <w:rPr>
          <w:sz w:val="20"/>
          <w:lang w:val="es-MX"/>
        </w:rPr>
        <w:t>Abarullo</w:t>
      </w:r>
      <w:proofErr w:type="spellEnd"/>
      <w:r w:rsidRPr="000231CC">
        <w:rPr>
          <w:sz w:val="20"/>
          <w:lang w:val="es-MX"/>
        </w:rPr>
        <w:t xml:space="preserve"> de Mota, Félix Enríquez Mota y </w:t>
      </w:r>
      <w:proofErr w:type="spellStart"/>
      <w:r w:rsidRPr="000231CC">
        <w:rPr>
          <w:sz w:val="20"/>
          <w:lang w:val="es-MX"/>
        </w:rPr>
        <w:t>Osmely</w:t>
      </w:r>
      <w:proofErr w:type="spellEnd"/>
      <w:r w:rsidRPr="000231CC">
        <w:rPr>
          <w:sz w:val="20"/>
          <w:lang w:val="es-MX"/>
        </w:rPr>
        <w:t xml:space="preserve"> Angelina Mota </w:t>
      </w:r>
      <w:proofErr w:type="spellStart"/>
      <w:r w:rsidRPr="000231CC">
        <w:rPr>
          <w:sz w:val="20"/>
          <w:lang w:val="es-MX"/>
        </w:rPr>
        <w:t>Abarullo</w:t>
      </w:r>
      <w:proofErr w:type="spellEnd"/>
      <w:r w:rsidRPr="000231CC">
        <w:rPr>
          <w:sz w:val="20"/>
          <w:lang w:val="es-MX"/>
        </w:rPr>
        <w:t xml:space="preserve"> (madre, padre y hermana de José Mota, respectivamente); b) Myriam Josefina Herrera Sánchez y Jesús Juvenal Herrera Sánchez (abuela y tío de Rafael Parra, respectivamente); c) </w:t>
      </w:r>
      <w:proofErr w:type="spellStart"/>
      <w:r w:rsidRPr="000231CC">
        <w:rPr>
          <w:sz w:val="20"/>
          <w:lang w:val="es-MX"/>
        </w:rPr>
        <w:t>Nelys</w:t>
      </w:r>
      <w:proofErr w:type="spellEnd"/>
      <w:r w:rsidRPr="000231CC">
        <w:rPr>
          <w:sz w:val="20"/>
          <w:lang w:val="es-MX"/>
        </w:rPr>
        <w:t xml:space="preserve"> Margarita Correa, quien, conforme informaron los representantes, falleció en julio de 2019, y Belk</w:t>
      </w:r>
      <w:r w:rsidRPr="003C748A">
        <w:rPr>
          <w:sz w:val="20"/>
          <w:lang w:val="es-MX"/>
        </w:rPr>
        <w:t>i</w:t>
      </w:r>
      <w:r w:rsidRPr="000231CC">
        <w:rPr>
          <w:sz w:val="20"/>
          <w:lang w:val="es-MX"/>
        </w:rPr>
        <w:t xml:space="preserve">s Josefina Correa Ríos (madre y hermana de Johan Correa, respectivamente); d) Luis José Yáñez y Maritza del Valle Sánchez Ávila (padre y madre de Gabriel Yáñez, respectivamente), y </w:t>
      </w:r>
      <w:proofErr w:type="spellStart"/>
      <w:r w:rsidRPr="000231CC">
        <w:rPr>
          <w:sz w:val="20"/>
          <w:lang w:val="es-MX"/>
        </w:rPr>
        <w:t>e</w:t>
      </w:r>
      <w:proofErr w:type="spellEnd"/>
      <w:r w:rsidRPr="000231CC">
        <w:rPr>
          <w:sz w:val="20"/>
          <w:lang w:val="es-MX"/>
        </w:rPr>
        <w:t>) María Cristina Córdova de Molina y Hugo Arnaldo Molina</w:t>
      </w:r>
      <w:r w:rsidRPr="004754B0">
        <w:rPr>
          <w:sz w:val="20"/>
          <w:lang w:val="es-MX"/>
        </w:rPr>
        <w:t xml:space="preserve"> (madre y padre de Cristian Molina, respectivamente).</w:t>
      </w:r>
    </w:p>
    <w:p w14:paraId="1DEC8F49" w14:textId="77777777" w:rsidR="00D47AFE" w:rsidRPr="004754B0" w:rsidRDefault="00D47AFE" w:rsidP="00B476ED">
      <w:pPr>
        <w:pStyle w:val="Prrafodelista"/>
        <w:spacing w:line="240" w:lineRule="auto"/>
        <w:ind w:left="0" w:right="-801"/>
        <w:rPr>
          <w:sz w:val="20"/>
          <w:lang w:val="es-MX"/>
        </w:rPr>
      </w:pPr>
    </w:p>
    <w:p w14:paraId="1741B232" w14:textId="2C225026" w:rsidR="00D47AFE" w:rsidRPr="004754B0" w:rsidRDefault="00D47AFE" w:rsidP="00B476ED">
      <w:pPr>
        <w:pStyle w:val="Prrafodelista"/>
        <w:spacing w:line="240" w:lineRule="auto"/>
        <w:ind w:left="142" w:right="-801"/>
        <w:outlineLvl w:val="1"/>
        <w:rPr>
          <w:b/>
          <w:i/>
          <w:sz w:val="20"/>
          <w:lang w:val="es-MX"/>
        </w:rPr>
      </w:pPr>
      <w:bookmarkStart w:id="35" w:name="_Toc58329001"/>
      <w:bookmarkStart w:id="36" w:name="_Toc58330215"/>
      <w:r w:rsidRPr="004754B0">
        <w:rPr>
          <w:b/>
          <w:i/>
          <w:sz w:val="20"/>
          <w:lang w:val="es-MX"/>
        </w:rPr>
        <w:t xml:space="preserve">B. </w:t>
      </w:r>
      <w:r>
        <w:rPr>
          <w:b/>
          <w:i/>
          <w:sz w:val="20"/>
          <w:lang w:val="es-MX"/>
        </w:rPr>
        <w:t>La s</w:t>
      </w:r>
      <w:r w:rsidRPr="004754B0">
        <w:rPr>
          <w:b/>
          <w:i/>
          <w:sz w:val="20"/>
          <w:lang w:val="es-MX"/>
        </w:rPr>
        <w:t>ituación del INAM-San Félix al momento de los hechos</w:t>
      </w:r>
      <w:bookmarkEnd w:id="35"/>
      <w:bookmarkEnd w:id="36"/>
    </w:p>
    <w:p w14:paraId="4E5DF75D" w14:textId="77777777" w:rsidR="00D47AFE" w:rsidRPr="004754B0" w:rsidRDefault="00D47AFE" w:rsidP="00B476ED">
      <w:pPr>
        <w:pStyle w:val="Prrafodelista"/>
        <w:tabs>
          <w:tab w:val="left" w:pos="2674"/>
        </w:tabs>
        <w:spacing w:line="240" w:lineRule="auto"/>
        <w:ind w:left="0" w:right="-801"/>
        <w:rPr>
          <w:sz w:val="20"/>
          <w:lang w:val="es-MX"/>
        </w:rPr>
      </w:pPr>
      <w:r w:rsidRPr="004754B0">
        <w:rPr>
          <w:sz w:val="20"/>
          <w:lang w:val="es-MX"/>
        </w:rPr>
        <w:tab/>
      </w:r>
    </w:p>
    <w:p w14:paraId="05E78467" w14:textId="77777777" w:rsidR="00D47AFE" w:rsidRPr="00EA0726"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4754B0">
        <w:rPr>
          <w:sz w:val="20"/>
          <w:lang w:val="es-MX"/>
        </w:rPr>
        <w:t xml:space="preserve">El INAM-San Félix es </w:t>
      </w:r>
      <w:r w:rsidRPr="00EA0726">
        <w:rPr>
          <w:sz w:val="20"/>
          <w:lang w:val="es-MX"/>
        </w:rPr>
        <w:t>un centro de reclusión para adolescentes, que albergaba también, al momento de los hechos</w:t>
      </w:r>
      <w:r>
        <w:rPr>
          <w:sz w:val="20"/>
          <w:lang w:val="es-MX"/>
        </w:rPr>
        <w:t xml:space="preserve"> y con anterioridad</w:t>
      </w:r>
      <w:r w:rsidRPr="00EA0726">
        <w:rPr>
          <w:sz w:val="20"/>
          <w:lang w:val="es-MX"/>
        </w:rPr>
        <w:t xml:space="preserve">, personas mayores de edad </w:t>
      </w:r>
      <w:r w:rsidRPr="0068675E">
        <w:rPr>
          <w:sz w:val="20"/>
          <w:szCs w:val="20"/>
          <w:lang w:val="es-MX"/>
        </w:rPr>
        <w:t>privadas de su libertad por infracciones a la ley penal cometidas siendo menores de edad</w:t>
      </w:r>
      <w:r w:rsidRPr="0068675E">
        <w:rPr>
          <w:rStyle w:val="Refdenotaalpie"/>
          <w:sz w:val="20"/>
          <w:szCs w:val="20"/>
        </w:rPr>
        <w:footnoteReference w:id="23"/>
      </w:r>
      <w:r w:rsidRPr="0068675E">
        <w:rPr>
          <w:sz w:val="20"/>
          <w:szCs w:val="20"/>
          <w:lang w:val="es-MX"/>
        </w:rPr>
        <w:t>.</w:t>
      </w:r>
      <w:r w:rsidRPr="00EA0726">
        <w:rPr>
          <w:sz w:val="20"/>
          <w:lang w:val="es-MX"/>
        </w:rPr>
        <w:t xml:space="preserve"> </w:t>
      </w:r>
    </w:p>
    <w:p w14:paraId="1DCF2030" w14:textId="77777777" w:rsidR="00D47AFE" w:rsidRPr="00EA0726" w:rsidRDefault="00D47AFE" w:rsidP="00B476ED">
      <w:pPr>
        <w:widowControl/>
        <w:tabs>
          <w:tab w:val="left" w:pos="567"/>
        </w:tabs>
        <w:autoSpaceDE w:val="0"/>
        <w:autoSpaceDN w:val="0"/>
        <w:adjustRightInd/>
        <w:spacing w:line="240" w:lineRule="auto"/>
        <w:ind w:right="-801"/>
        <w:textAlignment w:val="auto"/>
        <w:rPr>
          <w:sz w:val="20"/>
          <w:szCs w:val="20"/>
        </w:rPr>
      </w:pPr>
    </w:p>
    <w:p w14:paraId="2E1290D4" w14:textId="77777777" w:rsidR="00D47AFE" w:rsidRPr="004754B0"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68675E">
        <w:rPr>
          <w:sz w:val="20"/>
          <w:szCs w:val="20"/>
          <w:lang w:val="es-MX"/>
        </w:rPr>
        <w:t xml:space="preserve">El INAM-San Félix presentaba en 2005 una serie de problemas estructurales, tales como hacinamiento, falta de personal de custodia suficiente y la falta de instalaciones y medidas de seguridad adecuadas. </w:t>
      </w:r>
      <w:r w:rsidRPr="0068675E">
        <w:rPr>
          <w:bCs/>
          <w:sz w:val="20"/>
          <w:szCs w:val="20"/>
          <w:lang w:val="es-MX"/>
        </w:rPr>
        <w:t>Esta situación no solo era conocida por las autoridades del Centro, sino que también fue conocida por autoridades judiciales</w:t>
      </w:r>
      <w:r w:rsidRPr="0068675E">
        <w:rPr>
          <w:rStyle w:val="Refdenotaalpie"/>
          <w:bCs/>
          <w:sz w:val="20"/>
          <w:szCs w:val="20"/>
        </w:rPr>
        <w:footnoteReference w:id="24"/>
      </w:r>
      <w:r w:rsidRPr="0068675E">
        <w:rPr>
          <w:bCs/>
          <w:sz w:val="20"/>
          <w:szCs w:val="20"/>
          <w:lang w:val="es-MX"/>
        </w:rPr>
        <w:t>. Asimismo</w:t>
      </w:r>
      <w:r w:rsidRPr="004754B0">
        <w:rPr>
          <w:bCs/>
          <w:sz w:val="20"/>
          <w:lang w:val="es-MX"/>
        </w:rPr>
        <w:t xml:space="preserve">, existían otras deficiencias, como el control insuficiente del ingreso de material </w:t>
      </w:r>
      <w:r>
        <w:rPr>
          <w:bCs/>
          <w:sz w:val="20"/>
          <w:lang w:val="es-MX"/>
        </w:rPr>
        <w:t>prohibido</w:t>
      </w:r>
      <w:r w:rsidRPr="004754B0">
        <w:rPr>
          <w:bCs/>
          <w:sz w:val="20"/>
          <w:lang w:val="es-MX"/>
        </w:rPr>
        <w:t xml:space="preserve"> o la falta de implementación de programas</w:t>
      </w:r>
      <w:r>
        <w:rPr>
          <w:bCs/>
          <w:sz w:val="20"/>
          <w:lang w:val="es-MX"/>
        </w:rPr>
        <w:t xml:space="preserve"> de educación y</w:t>
      </w:r>
      <w:r w:rsidRPr="004754B0">
        <w:rPr>
          <w:bCs/>
          <w:sz w:val="20"/>
          <w:lang w:val="es-MX"/>
        </w:rPr>
        <w:t xml:space="preserve"> tendientes a la readaptación social de la población privada de su libertad. </w:t>
      </w:r>
      <w:r>
        <w:rPr>
          <w:bCs/>
          <w:sz w:val="20"/>
          <w:lang w:val="es-MX"/>
        </w:rPr>
        <w:t xml:space="preserve">Las personas </w:t>
      </w:r>
      <w:r w:rsidRPr="004754B0">
        <w:rPr>
          <w:bCs/>
          <w:sz w:val="20"/>
          <w:lang w:val="es-MX"/>
        </w:rPr>
        <w:t>no estaban separad</w:t>
      </w:r>
      <w:r>
        <w:rPr>
          <w:bCs/>
          <w:sz w:val="20"/>
          <w:lang w:val="es-MX"/>
        </w:rPr>
        <w:t>a</w:t>
      </w:r>
      <w:r w:rsidRPr="004754B0">
        <w:rPr>
          <w:bCs/>
          <w:sz w:val="20"/>
          <w:lang w:val="es-MX"/>
        </w:rPr>
        <w:t>s entre “procesad</w:t>
      </w:r>
      <w:r>
        <w:rPr>
          <w:bCs/>
          <w:sz w:val="20"/>
          <w:lang w:val="es-MX"/>
        </w:rPr>
        <w:t>o</w:t>
      </w:r>
      <w:r w:rsidRPr="004754B0">
        <w:rPr>
          <w:bCs/>
          <w:sz w:val="20"/>
          <w:lang w:val="es-MX"/>
        </w:rPr>
        <w:t>s y sancionad</w:t>
      </w:r>
      <w:r>
        <w:rPr>
          <w:bCs/>
          <w:sz w:val="20"/>
          <w:lang w:val="es-MX"/>
        </w:rPr>
        <w:t>o</w:t>
      </w:r>
      <w:r w:rsidRPr="004754B0">
        <w:rPr>
          <w:bCs/>
          <w:sz w:val="20"/>
          <w:lang w:val="es-MX"/>
        </w:rPr>
        <w:t>s”</w:t>
      </w:r>
      <w:r>
        <w:rPr>
          <w:bCs/>
          <w:sz w:val="20"/>
          <w:lang w:val="es-MX"/>
        </w:rPr>
        <w:t xml:space="preserve"> (</w:t>
      </w:r>
      <w:r>
        <w:rPr>
          <w:bCs/>
          <w:i/>
          <w:sz w:val="20"/>
          <w:lang w:val="es-MX"/>
        </w:rPr>
        <w:t xml:space="preserve">infra </w:t>
      </w:r>
      <w:r>
        <w:rPr>
          <w:bCs/>
          <w:sz w:val="20"/>
          <w:lang w:val="es-MX"/>
        </w:rPr>
        <w:t>párr. 42),</w:t>
      </w:r>
      <w:r w:rsidRPr="004754B0">
        <w:rPr>
          <w:bCs/>
          <w:sz w:val="20"/>
          <w:lang w:val="es-MX"/>
        </w:rPr>
        <w:t xml:space="preserve"> ni </w:t>
      </w:r>
      <w:proofErr w:type="gramStart"/>
      <w:r w:rsidRPr="004754B0">
        <w:rPr>
          <w:bCs/>
          <w:sz w:val="20"/>
          <w:lang w:val="es-MX"/>
        </w:rPr>
        <w:t>de acuerdo a</w:t>
      </w:r>
      <w:proofErr w:type="gramEnd"/>
      <w:r w:rsidRPr="004754B0">
        <w:rPr>
          <w:bCs/>
          <w:sz w:val="20"/>
          <w:lang w:val="es-MX"/>
        </w:rPr>
        <w:t xml:space="preserve"> su edad</w:t>
      </w:r>
      <w:r>
        <w:rPr>
          <w:bCs/>
          <w:sz w:val="20"/>
          <w:lang w:val="es-MX"/>
        </w:rPr>
        <w:t>.</w:t>
      </w:r>
      <w:r w:rsidRPr="004754B0">
        <w:rPr>
          <w:bCs/>
          <w:sz w:val="20"/>
          <w:lang w:val="es-MX"/>
        </w:rPr>
        <w:t xml:space="preserve"> </w:t>
      </w:r>
    </w:p>
    <w:p w14:paraId="194AE21F" w14:textId="77777777" w:rsidR="00D47AFE" w:rsidRPr="004754B0" w:rsidRDefault="00D47AFE" w:rsidP="00B476ED">
      <w:pPr>
        <w:pStyle w:val="Prrafodelista"/>
        <w:spacing w:line="240" w:lineRule="auto"/>
        <w:ind w:right="-801"/>
        <w:rPr>
          <w:sz w:val="20"/>
          <w:lang w:val="es-MX"/>
        </w:rPr>
      </w:pPr>
    </w:p>
    <w:p w14:paraId="68D16F37" w14:textId="2A525A3E" w:rsidR="00D47AFE" w:rsidRPr="0068675E"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68675E">
        <w:rPr>
          <w:sz w:val="20"/>
          <w:szCs w:val="20"/>
          <w:lang w:val="es-MX"/>
        </w:rPr>
        <w:lastRenderedPageBreak/>
        <w:t>En cuanto al hacinamiento, aunque el Centro contaba con la capacidad para albergar 30 personas, a lo largo de 2004 y 2005 se reportaba una población promedio de 75 a 90 jóvenes, e incluso en una ocasión hasta 105. Para mediados de 2005 el Centro albergaba aproximadamente a 50 jóvenes, sin contar con la infraestructura necesaria para ello</w:t>
      </w:r>
      <w:r w:rsidRPr="0068675E">
        <w:rPr>
          <w:rStyle w:val="Refdenotaalpie"/>
          <w:sz w:val="20"/>
          <w:szCs w:val="20"/>
          <w:lang w:eastAsia="x-none"/>
        </w:rPr>
        <w:footnoteReference w:id="25"/>
      </w:r>
      <w:r w:rsidRPr="0068675E">
        <w:rPr>
          <w:sz w:val="20"/>
          <w:szCs w:val="20"/>
          <w:lang w:val="es-MX"/>
        </w:rPr>
        <w:t>. Por otra parte, carecía de personal suficiente: había dos “guías”</w:t>
      </w:r>
      <w:r w:rsidRPr="0068675E">
        <w:rPr>
          <w:rStyle w:val="Refdenotaalpie"/>
          <w:sz w:val="20"/>
          <w:szCs w:val="20"/>
          <w:lang w:eastAsia="x-none"/>
        </w:rPr>
        <w:footnoteReference w:id="26"/>
      </w:r>
      <w:r w:rsidRPr="0068675E">
        <w:rPr>
          <w:sz w:val="20"/>
          <w:szCs w:val="20"/>
          <w:lang w:val="es-MX"/>
        </w:rPr>
        <w:t xml:space="preserve"> por guardia, lo que resultaba poco para atender la población de la institución. Además, no había personal de seguridad o policial en forma permanente, lo que llevaba a que no siempre se efectuaran actos de requisa, facilitándose la eventual introducción al penal de elementos prohibidos</w:t>
      </w:r>
      <w:r w:rsidRPr="0068675E">
        <w:rPr>
          <w:rStyle w:val="Refdenotaalpie"/>
          <w:sz w:val="20"/>
          <w:szCs w:val="20"/>
        </w:rPr>
        <w:footnoteReference w:id="27"/>
      </w:r>
      <w:r w:rsidRPr="0068675E">
        <w:rPr>
          <w:sz w:val="20"/>
          <w:szCs w:val="20"/>
          <w:lang w:val="es-MX"/>
        </w:rPr>
        <w:t xml:space="preserve">. </w:t>
      </w:r>
    </w:p>
    <w:p w14:paraId="45A47469" w14:textId="77777777" w:rsidR="00D47AFE" w:rsidRPr="004754B0" w:rsidRDefault="00D47AFE" w:rsidP="00B476ED">
      <w:pPr>
        <w:pStyle w:val="Prrafodelista"/>
        <w:spacing w:line="240" w:lineRule="auto"/>
        <w:ind w:right="-801"/>
        <w:rPr>
          <w:sz w:val="20"/>
          <w:lang w:val="es-MX"/>
        </w:rPr>
      </w:pPr>
    </w:p>
    <w:p w14:paraId="5112BB68" w14:textId="77777777" w:rsidR="00D47AFE" w:rsidRPr="004754B0"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Pr>
          <w:sz w:val="20"/>
          <w:lang w:val="es-MX"/>
        </w:rPr>
        <w:t>El C</w:t>
      </w:r>
      <w:r w:rsidRPr="004754B0">
        <w:rPr>
          <w:sz w:val="20"/>
          <w:lang w:val="es-MX"/>
        </w:rPr>
        <w:t xml:space="preserve">entro </w:t>
      </w:r>
      <w:r>
        <w:rPr>
          <w:sz w:val="20"/>
          <w:lang w:val="es-MX"/>
        </w:rPr>
        <w:t>tampoco</w:t>
      </w:r>
      <w:r w:rsidRPr="004754B0">
        <w:rPr>
          <w:sz w:val="20"/>
          <w:lang w:val="es-MX"/>
        </w:rPr>
        <w:t xml:space="preserve"> contaba con un plan de atención a emergencias ni con medidas de prevención y protección contra incendios. Al respecto, un informe pericial de agosto de 2005 </w:t>
      </w:r>
      <w:r w:rsidRPr="009B0BD8">
        <w:rPr>
          <w:sz w:val="20"/>
          <w:szCs w:val="20"/>
          <w:lang w:val="es-MX"/>
        </w:rPr>
        <w:t xml:space="preserve">concluyó que el edificio no tenía </w:t>
      </w:r>
      <w:r>
        <w:rPr>
          <w:sz w:val="20"/>
          <w:szCs w:val="20"/>
          <w:lang w:val="es-MX"/>
        </w:rPr>
        <w:t>“</w:t>
      </w:r>
      <w:r w:rsidRPr="009B0BD8">
        <w:rPr>
          <w:sz w:val="20"/>
          <w:szCs w:val="20"/>
          <w:lang w:val="es-MX"/>
        </w:rPr>
        <w:t xml:space="preserve">sistemas de detección ni alarmas contra </w:t>
      </w:r>
      <w:r w:rsidRPr="0068675E">
        <w:rPr>
          <w:sz w:val="20"/>
          <w:szCs w:val="20"/>
          <w:lang w:val="es-MX"/>
        </w:rPr>
        <w:t>[i]</w:t>
      </w:r>
      <w:proofErr w:type="spellStart"/>
      <w:r w:rsidRPr="0068675E">
        <w:rPr>
          <w:sz w:val="20"/>
          <w:szCs w:val="20"/>
          <w:lang w:val="es-MX"/>
        </w:rPr>
        <w:t>ncendios</w:t>
      </w:r>
      <w:proofErr w:type="spellEnd"/>
      <w:r w:rsidRPr="0068675E">
        <w:rPr>
          <w:sz w:val="20"/>
          <w:szCs w:val="20"/>
          <w:lang w:val="es-MX"/>
        </w:rPr>
        <w:t>, en ninguna de las áreas”</w:t>
      </w:r>
      <w:r w:rsidRPr="0068675E">
        <w:rPr>
          <w:rStyle w:val="Refdenotaalpie"/>
          <w:sz w:val="20"/>
          <w:szCs w:val="20"/>
          <w:lang w:eastAsia="x-none"/>
        </w:rPr>
        <w:footnoteReference w:id="28"/>
      </w:r>
      <w:r w:rsidRPr="0068675E">
        <w:rPr>
          <w:sz w:val="20"/>
          <w:szCs w:val="20"/>
          <w:lang w:val="es-MX"/>
        </w:rPr>
        <w:t>. Tampoco tenía extintores</w:t>
      </w:r>
      <w:r w:rsidRPr="0068675E">
        <w:rPr>
          <w:rStyle w:val="Refdenotaalpie"/>
          <w:sz w:val="20"/>
          <w:szCs w:val="20"/>
          <w:lang w:eastAsia="x-none"/>
        </w:rPr>
        <w:footnoteReference w:id="29"/>
      </w:r>
      <w:r w:rsidRPr="0068675E">
        <w:rPr>
          <w:sz w:val="20"/>
          <w:szCs w:val="20"/>
          <w:lang w:val="es-MX"/>
        </w:rPr>
        <w:t>. Las instalaciones no contaban con servicios de electricidad y alumbrado suficientes. La iluminación en los dormitorios se efectuaba únicamente a través de las lámparas que se encontraban en los pasillos</w:t>
      </w:r>
      <w:r w:rsidRPr="0068675E">
        <w:rPr>
          <w:rStyle w:val="Refdenotaalpie"/>
          <w:sz w:val="20"/>
          <w:szCs w:val="20"/>
          <w:lang w:eastAsia="x-none"/>
        </w:rPr>
        <w:footnoteReference w:id="30"/>
      </w:r>
      <w:r w:rsidRPr="0068675E">
        <w:rPr>
          <w:sz w:val="20"/>
          <w:szCs w:val="20"/>
          <w:lang w:val="es-MX"/>
        </w:rPr>
        <w:t>.</w:t>
      </w:r>
      <w:r w:rsidRPr="009B0BD8">
        <w:rPr>
          <w:sz w:val="20"/>
          <w:szCs w:val="20"/>
          <w:lang w:val="es-MX"/>
        </w:rPr>
        <w:t xml:space="preserve"> </w:t>
      </w:r>
      <w:r w:rsidRPr="004754B0">
        <w:rPr>
          <w:sz w:val="20"/>
          <w:lang w:val="es-MX"/>
        </w:rPr>
        <w:t xml:space="preserve"> </w:t>
      </w:r>
    </w:p>
    <w:p w14:paraId="56AC67C3" w14:textId="77777777" w:rsidR="00D47AFE" w:rsidRPr="004754B0" w:rsidRDefault="00D47AFE" w:rsidP="00B476ED">
      <w:pPr>
        <w:pStyle w:val="Prrafodelista"/>
        <w:spacing w:line="240" w:lineRule="auto"/>
        <w:ind w:right="-801"/>
        <w:rPr>
          <w:sz w:val="20"/>
          <w:lang w:val="es-MX"/>
        </w:rPr>
      </w:pPr>
    </w:p>
    <w:p w14:paraId="2F157BA8" w14:textId="51CCA9F2" w:rsidR="00D47AFE" w:rsidRPr="004754B0"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4754B0">
        <w:rPr>
          <w:sz w:val="20"/>
          <w:lang w:val="es-MX"/>
        </w:rPr>
        <w:t xml:space="preserve">Por otra parte, para la fecha de los hechos, los programas educativos del INAM-San Félix se encontraban suspendidos por falta de material. En </w:t>
      </w:r>
      <w:r>
        <w:rPr>
          <w:sz w:val="20"/>
          <w:lang w:val="es-MX"/>
        </w:rPr>
        <w:t>l</w:t>
      </w:r>
      <w:r w:rsidRPr="004754B0">
        <w:rPr>
          <w:sz w:val="20"/>
          <w:lang w:val="es-MX"/>
        </w:rPr>
        <w:t xml:space="preserve">os meses anteriores al incendio, se alertó sobre la falta de entrega del reglamento de la institución a los internos, así como sobre el incumplimiento de sus planes individuales. </w:t>
      </w:r>
      <w:r w:rsidRPr="0068675E">
        <w:rPr>
          <w:sz w:val="20"/>
          <w:lang w:val="es-MX"/>
        </w:rPr>
        <w:t xml:space="preserve">La </w:t>
      </w:r>
      <w:proofErr w:type="gramStart"/>
      <w:r w:rsidRPr="0068675E">
        <w:rPr>
          <w:sz w:val="20"/>
          <w:lang w:val="es-MX"/>
        </w:rPr>
        <w:t>Presidenta</w:t>
      </w:r>
      <w:proofErr w:type="gramEnd"/>
      <w:r w:rsidRPr="0068675E">
        <w:rPr>
          <w:sz w:val="20"/>
          <w:lang w:val="es-MX"/>
        </w:rPr>
        <w:t xml:space="preserve"> del Instituto </w:t>
      </w:r>
      <w:r w:rsidRPr="0068675E">
        <w:rPr>
          <w:sz w:val="20"/>
          <w:szCs w:val="20"/>
          <w:lang w:val="es-MX"/>
        </w:rPr>
        <w:t>Nacional de Atención del Menor (INAM)</w:t>
      </w:r>
      <w:r>
        <w:rPr>
          <w:sz w:val="20"/>
          <w:szCs w:val="20"/>
          <w:lang w:val="es-MX"/>
        </w:rPr>
        <w:t xml:space="preserve"> había</w:t>
      </w:r>
      <w:r w:rsidRPr="009B0BD8">
        <w:rPr>
          <w:sz w:val="20"/>
          <w:szCs w:val="20"/>
          <w:lang w:val="es-MX"/>
        </w:rPr>
        <w:t xml:space="preserve"> adv</w:t>
      </w:r>
      <w:r>
        <w:rPr>
          <w:sz w:val="20"/>
          <w:szCs w:val="20"/>
          <w:lang w:val="es-MX"/>
        </w:rPr>
        <w:t>ertido</w:t>
      </w:r>
      <w:r w:rsidRPr="009B0BD8">
        <w:rPr>
          <w:sz w:val="20"/>
          <w:szCs w:val="20"/>
          <w:lang w:val="es-MX"/>
        </w:rPr>
        <w:t xml:space="preserve"> que las instalaciones, sus </w:t>
      </w:r>
      <w:r w:rsidRPr="0068675E">
        <w:rPr>
          <w:sz w:val="20"/>
          <w:szCs w:val="20"/>
          <w:lang w:val="es-MX"/>
        </w:rPr>
        <w:t xml:space="preserve">precarias condiciones y la falta de recursos, “no </w:t>
      </w:r>
      <w:proofErr w:type="spellStart"/>
      <w:r w:rsidRPr="0068675E">
        <w:rPr>
          <w:sz w:val="20"/>
          <w:szCs w:val="20"/>
          <w:lang w:val="es-MX"/>
        </w:rPr>
        <w:t>permit</w:t>
      </w:r>
      <w:proofErr w:type="spellEnd"/>
      <w:r w:rsidRPr="0068675E">
        <w:rPr>
          <w:sz w:val="20"/>
          <w:szCs w:val="20"/>
          <w:lang w:val="es-MX"/>
        </w:rPr>
        <w:t>[</w:t>
      </w:r>
      <w:proofErr w:type="spellStart"/>
      <w:r w:rsidRPr="0068675E">
        <w:rPr>
          <w:sz w:val="20"/>
          <w:szCs w:val="20"/>
          <w:lang w:val="es-MX"/>
        </w:rPr>
        <w:t>ían</w:t>
      </w:r>
      <w:proofErr w:type="spellEnd"/>
      <w:r w:rsidRPr="0068675E">
        <w:rPr>
          <w:sz w:val="20"/>
          <w:szCs w:val="20"/>
          <w:lang w:val="es-MX"/>
        </w:rPr>
        <w:t>] la reeducación de los jóvenes que transgreden la ley”</w:t>
      </w:r>
      <w:r w:rsidRPr="0068675E">
        <w:rPr>
          <w:rStyle w:val="Refdenotaalpie"/>
          <w:sz w:val="20"/>
          <w:szCs w:val="20"/>
          <w:lang w:eastAsia="x-none"/>
        </w:rPr>
        <w:footnoteReference w:id="31"/>
      </w:r>
      <w:r w:rsidRPr="0068675E">
        <w:rPr>
          <w:sz w:val="20"/>
          <w:szCs w:val="20"/>
          <w:lang w:val="es-MX"/>
        </w:rPr>
        <w:t>. En julio de 2005</w:t>
      </w:r>
      <w:r w:rsidR="001A3132">
        <w:rPr>
          <w:sz w:val="20"/>
          <w:szCs w:val="20"/>
          <w:lang w:val="es-MX"/>
        </w:rPr>
        <w:t>,</w:t>
      </w:r>
      <w:r w:rsidRPr="0068675E">
        <w:rPr>
          <w:sz w:val="20"/>
          <w:szCs w:val="20"/>
          <w:lang w:val="es-MX"/>
        </w:rPr>
        <w:t xml:space="preserve"> el Consejo Nacional de Derechos del Niño y del Adolescente indicó “la </w:t>
      </w:r>
      <w:proofErr w:type="gramStart"/>
      <w:r w:rsidRPr="0068675E">
        <w:rPr>
          <w:sz w:val="20"/>
          <w:szCs w:val="20"/>
          <w:lang w:val="es-MX"/>
        </w:rPr>
        <w:t>carencia[</w:t>
      </w:r>
      <w:proofErr w:type="gramEnd"/>
      <w:r w:rsidRPr="0068675E">
        <w:rPr>
          <w:sz w:val="20"/>
          <w:szCs w:val="20"/>
          <w:lang w:val="es-MX"/>
        </w:rPr>
        <w:t xml:space="preserve">, en el INAM -San Félix,] de programas [y] plan[es] individual[es,] y la no garantía de los derechos </w:t>
      </w:r>
      <w:r w:rsidRPr="0068675E">
        <w:rPr>
          <w:sz w:val="20"/>
          <w:szCs w:val="20"/>
          <w:lang w:val="es-MX"/>
        </w:rPr>
        <w:lastRenderedPageBreak/>
        <w:t>tales como: educación, salud, desarrollo, integridad personal, cultural, recreación, información entre otros”</w:t>
      </w:r>
      <w:r w:rsidRPr="0068675E">
        <w:rPr>
          <w:rStyle w:val="Refdenotaalpie"/>
          <w:sz w:val="20"/>
          <w:szCs w:val="20"/>
          <w:lang w:eastAsia="x-none"/>
        </w:rPr>
        <w:footnoteReference w:id="32"/>
      </w:r>
      <w:r w:rsidRPr="0068675E">
        <w:rPr>
          <w:sz w:val="20"/>
          <w:szCs w:val="20"/>
          <w:lang w:val="es-MX"/>
        </w:rPr>
        <w:t xml:space="preserve">. </w:t>
      </w:r>
      <w:bookmarkStart w:id="37" w:name="_Hlk35935163"/>
      <w:bookmarkEnd w:id="37"/>
      <w:r w:rsidRPr="0068675E">
        <w:rPr>
          <w:bCs/>
          <w:sz w:val="20"/>
          <w:szCs w:val="20"/>
          <w:lang w:val="es-MX"/>
        </w:rPr>
        <w:t>Aunado a lo anterior, hubo señalamientos de maltrato a los internos</w:t>
      </w:r>
      <w:r w:rsidRPr="0068675E">
        <w:rPr>
          <w:rStyle w:val="Refdenotaalpie"/>
          <w:bCs/>
          <w:sz w:val="20"/>
          <w:szCs w:val="20"/>
        </w:rPr>
        <w:footnoteReference w:id="33"/>
      </w:r>
      <w:r w:rsidRPr="0068675E">
        <w:rPr>
          <w:bCs/>
          <w:sz w:val="20"/>
          <w:szCs w:val="20"/>
          <w:lang w:val="es-MX"/>
        </w:rPr>
        <w:t>.</w:t>
      </w:r>
    </w:p>
    <w:p w14:paraId="6635B15F" w14:textId="77777777" w:rsidR="00D47AFE" w:rsidRPr="004754B0" w:rsidRDefault="00D47AFE" w:rsidP="00B476ED">
      <w:pPr>
        <w:pStyle w:val="Prrafodelista"/>
        <w:spacing w:line="240" w:lineRule="auto"/>
        <w:ind w:right="-801"/>
        <w:rPr>
          <w:sz w:val="20"/>
          <w:lang w:val="es-MX"/>
        </w:rPr>
      </w:pPr>
    </w:p>
    <w:p w14:paraId="34E28572" w14:textId="77777777" w:rsidR="00D47AFE" w:rsidRPr="00E80AAD"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E80AAD">
        <w:rPr>
          <w:sz w:val="20"/>
          <w:szCs w:val="20"/>
          <w:lang w:val="es-MX"/>
        </w:rPr>
        <w:t xml:space="preserve">Además, hay información que indica que en el INAM-San Félix, al momento de los hechos, no había separación de población adulta y menor de 18 </w:t>
      </w:r>
      <w:proofErr w:type="gramStart"/>
      <w:r w:rsidRPr="00E80AAD">
        <w:rPr>
          <w:sz w:val="20"/>
          <w:szCs w:val="20"/>
          <w:lang w:val="es-MX"/>
        </w:rPr>
        <w:t>años de edad</w:t>
      </w:r>
      <w:proofErr w:type="gramEnd"/>
      <w:r w:rsidRPr="00E80AAD">
        <w:rPr>
          <w:rStyle w:val="Refdenotaalpie"/>
          <w:sz w:val="20"/>
          <w:szCs w:val="20"/>
        </w:rPr>
        <w:footnoteReference w:id="34"/>
      </w:r>
      <w:r w:rsidRPr="00E80AAD">
        <w:rPr>
          <w:sz w:val="20"/>
          <w:szCs w:val="20"/>
          <w:lang w:val="es-MX"/>
        </w:rPr>
        <w:t>.</w:t>
      </w:r>
      <w:r w:rsidRPr="00E80AAD">
        <w:rPr>
          <w:sz w:val="20"/>
          <w:szCs w:val="20"/>
        </w:rPr>
        <w:t xml:space="preserve"> Al respecto, </w:t>
      </w:r>
      <w:proofErr w:type="gramStart"/>
      <w:r w:rsidRPr="00E80AAD">
        <w:rPr>
          <w:sz w:val="20"/>
          <w:szCs w:val="20"/>
        </w:rPr>
        <w:t>de acuerdo a</w:t>
      </w:r>
      <w:proofErr w:type="gramEnd"/>
      <w:r w:rsidRPr="00E80AAD">
        <w:rPr>
          <w:sz w:val="20"/>
          <w:szCs w:val="20"/>
        </w:rPr>
        <w:t xml:space="preserve"> declaraciones de </w:t>
      </w:r>
      <w:r w:rsidRPr="00E80AAD">
        <w:rPr>
          <w:sz w:val="20"/>
          <w:szCs w:val="20"/>
          <w:lang w:val="es-MX"/>
        </w:rPr>
        <w:t xml:space="preserve">autoridades estatales, “la precariedad de [las] instalaciones [del INAM-San Félix] no </w:t>
      </w:r>
      <w:proofErr w:type="spellStart"/>
      <w:r w:rsidRPr="00E80AAD">
        <w:rPr>
          <w:sz w:val="20"/>
          <w:szCs w:val="20"/>
          <w:lang w:val="es-MX"/>
        </w:rPr>
        <w:t>permit</w:t>
      </w:r>
      <w:proofErr w:type="spellEnd"/>
      <w:r w:rsidRPr="00E80AAD">
        <w:rPr>
          <w:sz w:val="20"/>
          <w:szCs w:val="20"/>
          <w:lang w:val="es-MX"/>
        </w:rPr>
        <w:t>[</w:t>
      </w:r>
      <w:proofErr w:type="spellStart"/>
      <w:r w:rsidRPr="00E80AAD">
        <w:rPr>
          <w:sz w:val="20"/>
          <w:szCs w:val="20"/>
          <w:lang w:val="es-MX"/>
        </w:rPr>
        <w:t>ía</w:t>
      </w:r>
      <w:proofErr w:type="spellEnd"/>
      <w:r w:rsidRPr="00E80AAD">
        <w:rPr>
          <w:sz w:val="20"/>
          <w:szCs w:val="20"/>
          <w:lang w:val="es-MX"/>
        </w:rPr>
        <w:t>] la separación entre los menores de edad [y] los adultos jóvenes”, situación que “genera[</w:t>
      </w:r>
      <w:proofErr w:type="spellStart"/>
      <w:r w:rsidRPr="00E80AAD">
        <w:rPr>
          <w:sz w:val="20"/>
          <w:szCs w:val="20"/>
          <w:lang w:val="es-MX"/>
        </w:rPr>
        <w:t>ba</w:t>
      </w:r>
      <w:proofErr w:type="spellEnd"/>
      <w:r w:rsidRPr="00E80AAD">
        <w:rPr>
          <w:sz w:val="20"/>
          <w:szCs w:val="20"/>
          <w:lang w:val="es-MX"/>
        </w:rPr>
        <w:t>] una serie de enfrentamientos constantes [entre los internos]”, las que escapaban de posibilidades de control</w:t>
      </w:r>
      <w:r w:rsidRPr="00E80AAD">
        <w:rPr>
          <w:rStyle w:val="Refdenotaalpie"/>
          <w:sz w:val="20"/>
          <w:szCs w:val="20"/>
          <w:lang w:eastAsia="x-none"/>
        </w:rPr>
        <w:footnoteReference w:id="35"/>
      </w:r>
      <w:r w:rsidRPr="00E80AAD">
        <w:rPr>
          <w:sz w:val="20"/>
          <w:szCs w:val="20"/>
          <w:lang w:val="es-MX"/>
        </w:rPr>
        <w:t>. La problemática de la existencia de rencillas entre internos era de amplio conocimiento del personal del Centro y del personal judicial asociado con el mismo</w:t>
      </w:r>
      <w:r w:rsidRPr="00E80AAD">
        <w:rPr>
          <w:bCs/>
          <w:sz w:val="20"/>
          <w:szCs w:val="20"/>
          <w:lang w:val="es-MX"/>
        </w:rPr>
        <w:t>.</w:t>
      </w:r>
      <w:r w:rsidRPr="00E80AAD">
        <w:rPr>
          <w:b/>
          <w:bCs/>
          <w:sz w:val="20"/>
          <w:szCs w:val="20"/>
          <w:lang w:val="es-MX"/>
        </w:rPr>
        <w:t xml:space="preserve"> </w:t>
      </w:r>
      <w:r w:rsidRPr="00E80AAD">
        <w:rPr>
          <w:bCs/>
          <w:sz w:val="20"/>
          <w:szCs w:val="20"/>
          <w:lang w:val="es-MX"/>
        </w:rPr>
        <w:t>Tampoco había separación entre “procesados y sancionados” pues la misma “no [había sido] prevista en el diseño del establecimiento”</w:t>
      </w:r>
      <w:r w:rsidRPr="00E80AAD">
        <w:rPr>
          <w:rStyle w:val="Refdenotaalpie"/>
          <w:bCs/>
          <w:sz w:val="20"/>
          <w:szCs w:val="20"/>
        </w:rPr>
        <w:footnoteReference w:id="36"/>
      </w:r>
      <w:r w:rsidRPr="00E80AAD">
        <w:rPr>
          <w:bCs/>
          <w:sz w:val="20"/>
          <w:szCs w:val="20"/>
          <w:lang w:val="es-MX"/>
        </w:rPr>
        <w:t>.</w:t>
      </w:r>
    </w:p>
    <w:p w14:paraId="71262A85" w14:textId="77777777" w:rsidR="00D47AFE" w:rsidRPr="004754B0" w:rsidRDefault="00D47AFE" w:rsidP="00B476ED">
      <w:pPr>
        <w:widowControl/>
        <w:tabs>
          <w:tab w:val="left" w:pos="567"/>
        </w:tabs>
        <w:autoSpaceDE w:val="0"/>
        <w:autoSpaceDN w:val="0"/>
        <w:adjustRightInd/>
        <w:spacing w:line="240" w:lineRule="auto"/>
        <w:ind w:right="-801"/>
        <w:textAlignment w:val="auto"/>
        <w:rPr>
          <w:sz w:val="20"/>
          <w:szCs w:val="20"/>
        </w:rPr>
      </w:pPr>
    </w:p>
    <w:p w14:paraId="603A34CA" w14:textId="0A0111C4" w:rsidR="00D47AFE" w:rsidRPr="00E80AAD"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E80AAD">
        <w:rPr>
          <w:sz w:val="20"/>
          <w:szCs w:val="20"/>
          <w:lang w:val="es-MX"/>
        </w:rPr>
        <w:t xml:space="preserve">En la práctica, se ordenaba el traslado de un joven sólo cuando el </w:t>
      </w:r>
      <w:proofErr w:type="gramStart"/>
      <w:r w:rsidRPr="00E80AAD">
        <w:rPr>
          <w:sz w:val="20"/>
          <w:szCs w:val="20"/>
          <w:lang w:val="es-MX"/>
        </w:rPr>
        <w:t>Director</w:t>
      </w:r>
      <w:proofErr w:type="gramEnd"/>
      <w:r w:rsidRPr="00E80AAD">
        <w:rPr>
          <w:sz w:val="20"/>
          <w:szCs w:val="20"/>
          <w:lang w:val="es-MX"/>
        </w:rPr>
        <w:t xml:space="preserve"> del Centro lo solicitaba, por entender que representaba un peligro para la integridad física de otros</w:t>
      </w:r>
      <w:r w:rsidRPr="00E80AAD">
        <w:rPr>
          <w:rStyle w:val="Refdenotaalpie"/>
          <w:sz w:val="20"/>
          <w:szCs w:val="20"/>
          <w:lang w:eastAsia="x-none"/>
        </w:rPr>
        <w:footnoteReference w:id="37"/>
      </w:r>
      <w:r w:rsidRPr="00E80AAD">
        <w:rPr>
          <w:sz w:val="20"/>
          <w:szCs w:val="20"/>
          <w:lang w:val="es-MX"/>
        </w:rPr>
        <w:t>.</w:t>
      </w:r>
      <w:r w:rsidRPr="00E80AAD">
        <w:rPr>
          <w:sz w:val="20"/>
          <w:szCs w:val="20"/>
        </w:rPr>
        <w:t xml:space="preserve"> </w:t>
      </w:r>
      <w:r w:rsidRPr="00E80AAD">
        <w:rPr>
          <w:sz w:val="20"/>
          <w:szCs w:val="20"/>
          <w:lang w:val="es-MX"/>
        </w:rPr>
        <w:t>El eventual traslado de las personas alojadas en el INAM-San Félix correspondía a la cárcel de Vista Hermosa en Ciudad Bolívar, destacada como una de las más peligrosas de Venezuela</w:t>
      </w:r>
      <w:r w:rsidR="00BD2ED8">
        <w:rPr>
          <w:rStyle w:val="Refdenotaalpie"/>
          <w:sz w:val="20"/>
          <w:szCs w:val="20"/>
          <w:lang w:val="es-MX"/>
        </w:rPr>
        <w:footnoteReference w:id="38"/>
      </w:r>
      <w:r w:rsidRPr="00E80AAD">
        <w:rPr>
          <w:sz w:val="20"/>
          <w:szCs w:val="20"/>
          <w:lang w:val="es-MX"/>
        </w:rPr>
        <w:t>. En la misma no existían condiciones para proteger de manera efectiva los derechos de los jóvenes adultos. Esta situación favorecía una suerte de amenaza sobre los mismos. Así, se ha señalado que “los tenían amedrentados que si se portaban mal iban a informar al tribunal para que ordenara el traslado para Ciudad Bolívar”</w:t>
      </w:r>
      <w:r w:rsidRPr="00E80AAD">
        <w:rPr>
          <w:rStyle w:val="Refdenotaalpie"/>
          <w:sz w:val="20"/>
          <w:szCs w:val="20"/>
          <w:lang w:eastAsia="x-none"/>
        </w:rPr>
        <w:footnoteReference w:id="39"/>
      </w:r>
      <w:r w:rsidRPr="00E80AAD">
        <w:rPr>
          <w:sz w:val="20"/>
          <w:szCs w:val="20"/>
          <w:lang w:val="es-MX"/>
        </w:rPr>
        <w:t xml:space="preserve">. </w:t>
      </w:r>
    </w:p>
    <w:p w14:paraId="3408089E" w14:textId="048D29AE" w:rsidR="00D47AFE" w:rsidRDefault="00D47AFE" w:rsidP="00B476ED">
      <w:pPr>
        <w:pStyle w:val="Prrafodelista"/>
        <w:spacing w:line="240" w:lineRule="auto"/>
        <w:ind w:right="-801"/>
        <w:rPr>
          <w:sz w:val="20"/>
          <w:lang w:val="es-MX"/>
        </w:rPr>
      </w:pPr>
    </w:p>
    <w:p w14:paraId="3684AE9C" w14:textId="36C97353" w:rsidR="007152EF" w:rsidRDefault="007152EF" w:rsidP="00B476ED">
      <w:pPr>
        <w:pStyle w:val="Prrafodelista"/>
        <w:spacing w:line="240" w:lineRule="auto"/>
        <w:ind w:right="-801"/>
        <w:rPr>
          <w:sz w:val="20"/>
          <w:lang w:val="es-MX"/>
        </w:rPr>
      </w:pPr>
    </w:p>
    <w:p w14:paraId="6959F544" w14:textId="238C959D" w:rsidR="007152EF" w:rsidRDefault="007152EF" w:rsidP="00B476ED">
      <w:pPr>
        <w:pStyle w:val="Prrafodelista"/>
        <w:spacing w:line="240" w:lineRule="auto"/>
        <w:ind w:right="-801"/>
        <w:rPr>
          <w:sz w:val="20"/>
          <w:lang w:val="es-MX"/>
        </w:rPr>
      </w:pPr>
    </w:p>
    <w:p w14:paraId="635465B3" w14:textId="0F10D6C1" w:rsidR="007152EF" w:rsidRDefault="007152EF" w:rsidP="00B476ED">
      <w:pPr>
        <w:pStyle w:val="Prrafodelista"/>
        <w:spacing w:line="240" w:lineRule="auto"/>
        <w:ind w:right="-801"/>
        <w:rPr>
          <w:sz w:val="20"/>
          <w:lang w:val="es-MX"/>
        </w:rPr>
      </w:pPr>
    </w:p>
    <w:p w14:paraId="140B575F" w14:textId="77777777" w:rsidR="007152EF" w:rsidRPr="004754B0" w:rsidRDefault="007152EF" w:rsidP="00B476ED">
      <w:pPr>
        <w:pStyle w:val="Prrafodelista"/>
        <w:spacing w:line="240" w:lineRule="auto"/>
        <w:ind w:right="-801"/>
        <w:rPr>
          <w:sz w:val="20"/>
          <w:lang w:val="es-MX"/>
        </w:rPr>
      </w:pPr>
    </w:p>
    <w:p w14:paraId="333F6A12" w14:textId="021EB597" w:rsidR="00D47AFE" w:rsidRPr="004754B0" w:rsidRDefault="00D47AFE" w:rsidP="00B476ED">
      <w:pPr>
        <w:pStyle w:val="Prrafodelista"/>
        <w:spacing w:line="240" w:lineRule="auto"/>
        <w:ind w:left="142" w:right="-801"/>
        <w:outlineLvl w:val="1"/>
        <w:rPr>
          <w:b/>
          <w:i/>
          <w:sz w:val="20"/>
          <w:lang w:val="es-MX"/>
        </w:rPr>
      </w:pPr>
      <w:bookmarkStart w:id="38" w:name="_Toc58329002"/>
      <w:bookmarkStart w:id="39" w:name="_Toc58330216"/>
      <w:r w:rsidRPr="004754B0">
        <w:rPr>
          <w:b/>
          <w:i/>
          <w:sz w:val="20"/>
          <w:lang w:val="es-MX"/>
        </w:rPr>
        <w:lastRenderedPageBreak/>
        <w:t>C. Los hechos del 30 de junio de 2005</w:t>
      </w:r>
      <w:bookmarkEnd w:id="38"/>
      <w:bookmarkEnd w:id="39"/>
    </w:p>
    <w:p w14:paraId="22D4F1C2" w14:textId="77777777" w:rsidR="00D47AFE" w:rsidRPr="004754B0" w:rsidRDefault="00D47AFE" w:rsidP="00B476ED">
      <w:pPr>
        <w:pStyle w:val="Prrafodelista"/>
        <w:spacing w:line="240" w:lineRule="auto"/>
        <w:ind w:right="-801"/>
        <w:rPr>
          <w:sz w:val="20"/>
          <w:lang w:val="es-MX"/>
        </w:rPr>
      </w:pPr>
    </w:p>
    <w:p w14:paraId="5E4B6250" w14:textId="21760899" w:rsidR="00D47AFE" w:rsidRPr="00E80AAD"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E80AAD">
        <w:rPr>
          <w:sz w:val="20"/>
          <w:szCs w:val="20"/>
          <w:lang w:val="es-MX"/>
        </w:rPr>
        <w:t>Al inicio del 30 de junio de 2005 había siete jóvenes en la celda 4 del INAM-San Félix: José Mota</w:t>
      </w:r>
      <w:r w:rsidRPr="00E80AAD">
        <w:rPr>
          <w:rStyle w:val="Refdenotaalpie"/>
          <w:sz w:val="20"/>
          <w:szCs w:val="20"/>
        </w:rPr>
        <w:footnoteReference w:id="40"/>
      </w:r>
      <w:r w:rsidRPr="00E80AAD">
        <w:rPr>
          <w:sz w:val="20"/>
          <w:szCs w:val="20"/>
          <w:lang w:val="es-MX"/>
        </w:rPr>
        <w:t xml:space="preserve">, Rafael Parra, Johan Correa, Gabriel Yáñez, Cristian Molina y otros dos jóvenes, C.Z. y J.L. Diez personas laboraron ese día en el Centro: el guía N.R., quien fungía como </w:t>
      </w:r>
      <w:proofErr w:type="gramStart"/>
      <w:r w:rsidRPr="00E80AAD">
        <w:rPr>
          <w:sz w:val="20"/>
          <w:szCs w:val="20"/>
          <w:lang w:val="es-MX"/>
        </w:rPr>
        <w:t>Jefe</w:t>
      </w:r>
      <w:proofErr w:type="gramEnd"/>
      <w:r w:rsidRPr="00E80AAD">
        <w:rPr>
          <w:sz w:val="20"/>
          <w:szCs w:val="20"/>
          <w:lang w:val="es-MX"/>
        </w:rPr>
        <w:t xml:space="preserve"> del Centro (a pesar de que su rango era de “Guía II”), otros tres guías, tres asistentes sociales, un docente, una tutora y una secretaria</w:t>
      </w:r>
      <w:r w:rsidRPr="00E80AAD">
        <w:rPr>
          <w:rStyle w:val="Refdenotaalpie"/>
          <w:sz w:val="20"/>
          <w:szCs w:val="20"/>
          <w:lang w:eastAsia="x-none"/>
        </w:rPr>
        <w:footnoteReference w:id="41"/>
      </w:r>
      <w:r w:rsidRPr="00E80AAD">
        <w:rPr>
          <w:sz w:val="20"/>
          <w:szCs w:val="20"/>
          <w:lang w:val="es-MX"/>
        </w:rPr>
        <w:t xml:space="preserve">. </w:t>
      </w:r>
    </w:p>
    <w:p w14:paraId="0D0771CE" w14:textId="77777777" w:rsidR="00D47AFE" w:rsidRPr="00E80AAD" w:rsidRDefault="00D47AFE" w:rsidP="00B476ED">
      <w:pPr>
        <w:widowControl/>
        <w:tabs>
          <w:tab w:val="left" w:pos="567"/>
          <w:tab w:val="num" w:pos="12305"/>
        </w:tabs>
        <w:autoSpaceDE w:val="0"/>
        <w:autoSpaceDN w:val="0"/>
        <w:adjustRightInd/>
        <w:spacing w:line="240" w:lineRule="auto"/>
        <w:ind w:right="-801"/>
        <w:textAlignment w:val="auto"/>
        <w:rPr>
          <w:sz w:val="20"/>
          <w:szCs w:val="20"/>
        </w:rPr>
      </w:pPr>
    </w:p>
    <w:p w14:paraId="71A59E09" w14:textId="77777777" w:rsidR="00D47AFE" w:rsidRPr="00E80AAD"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E80AAD">
        <w:rPr>
          <w:sz w:val="20"/>
          <w:szCs w:val="20"/>
          <w:lang w:val="es-MX"/>
        </w:rPr>
        <w:t xml:space="preserve">En horas del almuerzo, hubo una pelea entre Rafael Parra y los otros jóvenes que estaban alojados en la celda 4 contra C.A., apodado “el Boxeador”, de la celda 2. </w:t>
      </w:r>
    </w:p>
    <w:p w14:paraId="79ACB3EE" w14:textId="77777777" w:rsidR="00D47AFE" w:rsidRPr="00E80AAD" w:rsidRDefault="00D47AFE" w:rsidP="00B476ED">
      <w:pPr>
        <w:pStyle w:val="Prrafodelista"/>
        <w:spacing w:line="240" w:lineRule="auto"/>
        <w:ind w:right="-801"/>
        <w:rPr>
          <w:sz w:val="20"/>
          <w:szCs w:val="20"/>
          <w:lang w:val="es-MX"/>
        </w:rPr>
      </w:pPr>
    </w:p>
    <w:p w14:paraId="717FAA9E" w14:textId="0903B231" w:rsidR="00D47AFE" w:rsidRPr="00E80AAD"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E80AAD">
        <w:rPr>
          <w:sz w:val="20"/>
          <w:szCs w:val="20"/>
          <w:lang w:val="es-MX"/>
        </w:rPr>
        <w:t>Para las 16:00 h. seis funcionarios habían dejado el lugar. Las personas que quedaron, para atender a la población privada de libertad, de unos 50 jóvenes, fueron los guías N.R., F.G. y J.C. y la asistente social B.H.</w:t>
      </w:r>
      <w:r w:rsidRPr="00E80AAD">
        <w:rPr>
          <w:rStyle w:val="Refdenotaalpie"/>
          <w:sz w:val="20"/>
          <w:szCs w:val="20"/>
          <w:lang w:eastAsia="x-none"/>
        </w:rPr>
        <w:footnoteReference w:id="42"/>
      </w:r>
      <w:r w:rsidRPr="00E80AAD">
        <w:rPr>
          <w:sz w:val="20"/>
          <w:szCs w:val="20"/>
          <w:lang w:val="es-MX"/>
        </w:rPr>
        <w:t>.</w:t>
      </w:r>
    </w:p>
    <w:p w14:paraId="49C164A9" w14:textId="77777777" w:rsidR="00D47AFE" w:rsidRPr="004754B0" w:rsidRDefault="00D47AFE" w:rsidP="00B476ED">
      <w:pPr>
        <w:pStyle w:val="Prrafodelista"/>
        <w:spacing w:line="240" w:lineRule="auto"/>
        <w:ind w:right="-801"/>
        <w:rPr>
          <w:sz w:val="20"/>
          <w:lang w:val="es-MX"/>
        </w:rPr>
      </w:pPr>
    </w:p>
    <w:p w14:paraId="1B3F8B94" w14:textId="74B0D786" w:rsidR="00D47AFE" w:rsidRPr="00E80AAD"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E80AAD">
        <w:rPr>
          <w:sz w:val="20"/>
          <w:szCs w:val="20"/>
          <w:lang w:val="es-MX"/>
        </w:rPr>
        <w:t>Por la tarde, cerca de las 16:00 h., jóvenes que habitaban la celda 4 estaban, en la sala de televisión, recibiendo visitas de sus familiares. También los jóvenes que se alojaban en el dormitorio 7 estaban recibiendo visitas, en la sala del comedor</w:t>
      </w:r>
      <w:r w:rsidRPr="00E80AAD">
        <w:rPr>
          <w:rStyle w:val="Refdenotaalpie"/>
          <w:sz w:val="20"/>
          <w:szCs w:val="20"/>
          <w:lang w:eastAsia="x-none"/>
        </w:rPr>
        <w:footnoteReference w:id="43"/>
      </w:r>
      <w:r w:rsidRPr="00E80AAD">
        <w:rPr>
          <w:sz w:val="20"/>
          <w:szCs w:val="20"/>
          <w:lang w:val="es-MX"/>
        </w:rPr>
        <w:t xml:space="preserve">. </w:t>
      </w:r>
    </w:p>
    <w:p w14:paraId="6FDA5A9F" w14:textId="77777777" w:rsidR="00D47AFE" w:rsidRPr="00E80AAD" w:rsidRDefault="00D47AFE" w:rsidP="00B476ED">
      <w:pPr>
        <w:widowControl/>
        <w:tabs>
          <w:tab w:val="left" w:pos="567"/>
        </w:tabs>
        <w:autoSpaceDE w:val="0"/>
        <w:autoSpaceDN w:val="0"/>
        <w:adjustRightInd/>
        <w:spacing w:line="240" w:lineRule="auto"/>
        <w:ind w:right="-801"/>
        <w:textAlignment w:val="auto"/>
        <w:rPr>
          <w:sz w:val="20"/>
          <w:szCs w:val="20"/>
        </w:rPr>
      </w:pPr>
    </w:p>
    <w:p w14:paraId="26D365E6" w14:textId="0C2E1647" w:rsidR="00D47AFE" w:rsidRPr="00E80AAD"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trike/>
          <w:sz w:val="20"/>
          <w:szCs w:val="20"/>
        </w:rPr>
      </w:pPr>
      <w:r w:rsidRPr="00E80AAD">
        <w:rPr>
          <w:sz w:val="20"/>
          <w:szCs w:val="20"/>
          <w:lang w:val="es-MX"/>
        </w:rPr>
        <w:t xml:space="preserve">Cuando finalizaron las visitas, los jóvenes del dormitorio 7 se rehusaron a ingresar en su celda y, </w:t>
      </w:r>
      <w:proofErr w:type="gramStart"/>
      <w:r w:rsidRPr="00E80AAD">
        <w:rPr>
          <w:sz w:val="20"/>
          <w:szCs w:val="20"/>
          <w:lang w:val="es-MX"/>
        </w:rPr>
        <w:t>de acuerdo a</w:t>
      </w:r>
      <w:proofErr w:type="gramEnd"/>
      <w:r w:rsidRPr="00E80AAD">
        <w:rPr>
          <w:sz w:val="20"/>
          <w:szCs w:val="20"/>
          <w:lang w:val="es-MX"/>
        </w:rPr>
        <w:t xml:space="preserve"> lo que después indicó el guía J.C., “salieron corriendo […] porque querían pelear con los muchachos [de la celda 4]”. Explicó que, “logra[ron] controlarlos y devolverlos hacia [el dormitorio 7]”</w:t>
      </w:r>
      <w:r w:rsidRPr="00E80AAD">
        <w:rPr>
          <w:rStyle w:val="Refdenotaalpie"/>
          <w:sz w:val="20"/>
          <w:szCs w:val="20"/>
          <w:lang w:eastAsia="x-none"/>
        </w:rPr>
        <w:footnoteReference w:id="44"/>
      </w:r>
      <w:r w:rsidRPr="00E80AAD">
        <w:rPr>
          <w:sz w:val="20"/>
          <w:szCs w:val="20"/>
          <w:lang w:val="es-MX"/>
        </w:rPr>
        <w:t>. Luego el guía J.C. se dirigió a la sala de televisión a indicarle a los familiares de los jóvenes alojados en el dormitorio 4 que ya debían finalizar la visita. Tales familiares le comunicaron su preocupación</w:t>
      </w:r>
      <w:r w:rsidR="006D3DFC">
        <w:rPr>
          <w:sz w:val="20"/>
          <w:szCs w:val="20"/>
          <w:lang w:val="es-MX"/>
        </w:rPr>
        <w:t xml:space="preserve"> por la situación</w:t>
      </w:r>
      <w:r w:rsidRPr="00E80AAD">
        <w:rPr>
          <w:sz w:val="20"/>
          <w:szCs w:val="20"/>
          <w:lang w:val="es-MX"/>
        </w:rPr>
        <w:t xml:space="preserve">, y él les indicó que estuvieran tranquilos, que todo estaba bajo control. </w:t>
      </w:r>
    </w:p>
    <w:p w14:paraId="16F8DDD5" w14:textId="77777777" w:rsidR="00D47AFE" w:rsidRPr="004754B0" w:rsidRDefault="00D47AFE" w:rsidP="00B476ED">
      <w:pPr>
        <w:pStyle w:val="Prrafodelista"/>
        <w:spacing w:line="240" w:lineRule="auto"/>
        <w:ind w:right="-801"/>
        <w:rPr>
          <w:sz w:val="20"/>
          <w:lang w:val="es-MX"/>
        </w:rPr>
      </w:pPr>
    </w:p>
    <w:p w14:paraId="6462ED79" w14:textId="51194D71" w:rsidR="00D47AFE" w:rsidRPr="004754B0"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Pr>
          <w:sz w:val="20"/>
          <w:lang w:val="es-MX"/>
        </w:rPr>
        <w:t>Antes de las 16:30 h. el guía N.R.</w:t>
      </w:r>
      <w:r w:rsidRPr="004754B0">
        <w:rPr>
          <w:sz w:val="20"/>
          <w:lang w:val="es-MX"/>
        </w:rPr>
        <w:t xml:space="preserve"> se comunicó con </w:t>
      </w:r>
      <w:r>
        <w:rPr>
          <w:sz w:val="20"/>
          <w:lang w:val="es-MX"/>
        </w:rPr>
        <w:t xml:space="preserve">otros guías </w:t>
      </w:r>
      <w:r w:rsidRPr="004754B0">
        <w:rPr>
          <w:sz w:val="20"/>
          <w:lang w:val="es-MX"/>
        </w:rPr>
        <w:t xml:space="preserve">para </w:t>
      </w:r>
      <w:r w:rsidR="00490832">
        <w:rPr>
          <w:sz w:val="20"/>
          <w:lang w:val="es-MX"/>
        </w:rPr>
        <w:t>informarles</w:t>
      </w:r>
      <w:r w:rsidR="00490832" w:rsidRPr="004754B0">
        <w:rPr>
          <w:sz w:val="20"/>
          <w:lang w:val="es-MX"/>
        </w:rPr>
        <w:t xml:space="preserve"> </w:t>
      </w:r>
      <w:r w:rsidRPr="004754B0">
        <w:rPr>
          <w:sz w:val="20"/>
          <w:lang w:val="es-MX"/>
        </w:rPr>
        <w:t xml:space="preserve">que se habían recibido “oficios de libertad” de los jóvenes </w:t>
      </w:r>
      <w:r>
        <w:rPr>
          <w:sz w:val="20"/>
          <w:lang w:val="es-MX"/>
        </w:rPr>
        <w:t>C.Z. y J.L.</w:t>
      </w:r>
      <w:r w:rsidRPr="004754B0">
        <w:rPr>
          <w:sz w:val="20"/>
          <w:lang w:val="es-MX"/>
        </w:rPr>
        <w:t xml:space="preserve"> </w:t>
      </w:r>
      <w:r>
        <w:rPr>
          <w:sz w:val="20"/>
          <w:lang w:val="es-MX"/>
        </w:rPr>
        <w:t>C</w:t>
      </w:r>
      <w:r w:rsidRPr="004754B0">
        <w:rPr>
          <w:sz w:val="20"/>
          <w:lang w:val="es-MX"/>
        </w:rPr>
        <w:t xml:space="preserve">uando los familiares de los jóvenes alojados en la celda 4 estaban finalizando la visita, advirtieron que el </w:t>
      </w:r>
      <w:r>
        <w:rPr>
          <w:sz w:val="20"/>
          <w:lang w:val="es-MX"/>
        </w:rPr>
        <w:t>guía</w:t>
      </w:r>
      <w:r w:rsidRPr="004754B0">
        <w:rPr>
          <w:sz w:val="20"/>
          <w:lang w:val="es-MX"/>
        </w:rPr>
        <w:t xml:space="preserve"> </w:t>
      </w:r>
      <w:r>
        <w:rPr>
          <w:sz w:val="20"/>
          <w:lang w:val="es-MX"/>
        </w:rPr>
        <w:t>J.C.</w:t>
      </w:r>
      <w:r w:rsidRPr="004754B0">
        <w:rPr>
          <w:sz w:val="20"/>
          <w:lang w:val="es-MX"/>
        </w:rPr>
        <w:t xml:space="preserve"> estaba sacando a los jóvenes </w:t>
      </w:r>
      <w:r>
        <w:rPr>
          <w:sz w:val="20"/>
          <w:lang w:val="es-MX"/>
        </w:rPr>
        <w:t>C.</w:t>
      </w:r>
      <w:r w:rsidRPr="004754B0">
        <w:rPr>
          <w:sz w:val="20"/>
          <w:lang w:val="es-MX"/>
        </w:rPr>
        <w:t>Z</w:t>
      </w:r>
      <w:r>
        <w:rPr>
          <w:sz w:val="20"/>
          <w:lang w:val="es-MX"/>
        </w:rPr>
        <w:t>.</w:t>
      </w:r>
      <w:r w:rsidRPr="004754B0">
        <w:rPr>
          <w:sz w:val="20"/>
          <w:lang w:val="es-MX"/>
        </w:rPr>
        <w:t xml:space="preserve"> y </w:t>
      </w:r>
      <w:r>
        <w:rPr>
          <w:sz w:val="20"/>
          <w:lang w:val="es-MX"/>
        </w:rPr>
        <w:t>J.</w:t>
      </w:r>
      <w:r w:rsidRPr="004754B0">
        <w:rPr>
          <w:sz w:val="20"/>
          <w:lang w:val="es-MX"/>
        </w:rPr>
        <w:t xml:space="preserve">L. </w:t>
      </w:r>
      <w:r>
        <w:rPr>
          <w:sz w:val="20"/>
          <w:lang w:val="es-MX"/>
        </w:rPr>
        <w:t>Éstos gritaron</w:t>
      </w:r>
      <w:r w:rsidRPr="004754B0">
        <w:rPr>
          <w:sz w:val="20"/>
          <w:lang w:val="es-MX"/>
        </w:rPr>
        <w:t xml:space="preserve"> “muchachos cuídense por los pasillos que los están esperando, que están tramando algo”. Ante esta situación, los familiares de los </w:t>
      </w:r>
      <w:r>
        <w:rPr>
          <w:sz w:val="20"/>
          <w:lang w:val="es-MX"/>
        </w:rPr>
        <w:t xml:space="preserve">otros cinco </w:t>
      </w:r>
      <w:r w:rsidRPr="004754B0">
        <w:rPr>
          <w:sz w:val="20"/>
          <w:lang w:val="es-MX"/>
        </w:rPr>
        <w:t>jóvenes</w:t>
      </w:r>
      <w:r>
        <w:rPr>
          <w:sz w:val="20"/>
          <w:lang w:val="es-MX"/>
        </w:rPr>
        <w:t xml:space="preserve"> de la celda 4 les</w:t>
      </w:r>
      <w:r w:rsidRPr="004754B0">
        <w:rPr>
          <w:sz w:val="20"/>
          <w:lang w:val="es-MX"/>
        </w:rPr>
        <w:t xml:space="preserve"> aconsejaron </w:t>
      </w:r>
      <w:r>
        <w:rPr>
          <w:sz w:val="20"/>
          <w:lang w:val="es-MX"/>
        </w:rPr>
        <w:t xml:space="preserve">a éstos </w:t>
      </w:r>
      <w:r w:rsidRPr="004754B0">
        <w:rPr>
          <w:sz w:val="20"/>
          <w:lang w:val="es-MX"/>
        </w:rPr>
        <w:t>que no pelear</w:t>
      </w:r>
      <w:r>
        <w:rPr>
          <w:sz w:val="20"/>
          <w:lang w:val="es-MX"/>
        </w:rPr>
        <w:t>an</w:t>
      </w:r>
      <w:r w:rsidRPr="004754B0">
        <w:rPr>
          <w:sz w:val="20"/>
          <w:lang w:val="es-MX"/>
        </w:rPr>
        <w:t xml:space="preserve">, porque </w:t>
      </w:r>
      <w:r>
        <w:rPr>
          <w:sz w:val="20"/>
          <w:lang w:val="es-MX"/>
        </w:rPr>
        <w:t xml:space="preserve">corrían el riesgo de que los trasladaran a la cárcel de </w:t>
      </w:r>
      <w:r w:rsidRPr="004754B0">
        <w:rPr>
          <w:sz w:val="20"/>
          <w:lang w:val="es-MX"/>
        </w:rPr>
        <w:t xml:space="preserve">Ciudad Bolívar. </w:t>
      </w:r>
      <w:r>
        <w:rPr>
          <w:sz w:val="20"/>
          <w:lang w:val="es-MX"/>
        </w:rPr>
        <w:t xml:space="preserve">El guía N.R. </w:t>
      </w:r>
      <w:r w:rsidRPr="004754B0">
        <w:rPr>
          <w:sz w:val="20"/>
          <w:lang w:val="es-MX"/>
        </w:rPr>
        <w:t>declaró que “cuando saca[ron] a [</w:t>
      </w:r>
      <w:r>
        <w:rPr>
          <w:sz w:val="20"/>
          <w:lang w:val="es-MX"/>
        </w:rPr>
        <w:t>C.Z. y a J.L.</w:t>
      </w:r>
      <w:r w:rsidRPr="004754B0">
        <w:rPr>
          <w:sz w:val="20"/>
          <w:lang w:val="es-MX"/>
        </w:rPr>
        <w:t xml:space="preserve">] de los dormitorios los demás internos </w:t>
      </w:r>
      <w:r w:rsidRPr="00E80AAD">
        <w:rPr>
          <w:sz w:val="20"/>
          <w:szCs w:val="20"/>
          <w:lang w:val="es-MX"/>
        </w:rPr>
        <w:t xml:space="preserve">fomentaron un escándalo”, diciendo “se van las brujas y se van los sapos” y dando “patadas a las rejas”. Agregó que entró al Centro para </w:t>
      </w:r>
      <w:r w:rsidRPr="00E80AAD">
        <w:rPr>
          <w:sz w:val="20"/>
          <w:szCs w:val="20"/>
          <w:lang w:val="es-MX"/>
        </w:rPr>
        <w:lastRenderedPageBreak/>
        <w:t>verificar lo que pasaba y luego de ver que la situación “se calmó”, volvió a salir a la parte externa</w:t>
      </w:r>
      <w:r w:rsidRPr="00E80AAD">
        <w:rPr>
          <w:rStyle w:val="Refdenotaalpie"/>
          <w:sz w:val="20"/>
          <w:szCs w:val="20"/>
          <w:lang w:eastAsia="x-none"/>
        </w:rPr>
        <w:footnoteReference w:id="45"/>
      </w:r>
      <w:r w:rsidRPr="00E80AAD">
        <w:rPr>
          <w:sz w:val="20"/>
          <w:szCs w:val="20"/>
          <w:lang w:val="es-MX"/>
        </w:rPr>
        <w:t>.</w:t>
      </w:r>
      <w:r w:rsidRPr="004754B0">
        <w:rPr>
          <w:sz w:val="20"/>
          <w:lang w:val="es-MX"/>
        </w:rPr>
        <w:t xml:space="preserve"> </w:t>
      </w:r>
    </w:p>
    <w:p w14:paraId="423D2488" w14:textId="77777777" w:rsidR="00D47AFE" w:rsidRPr="004754B0" w:rsidRDefault="00D47AFE" w:rsidP="00B476ED">
      <w:pPr>
        <w:widowControl/>
        <w:tabs>
          <w:tab w:val="left" w:pos="567"/>
        </w:tabs>
        <w:autoSpaceDE w:val="0"/>
        <w:autoSpaceDN w:val="0"/>
        <w:adjustRightInd/>
        <w:spacing w:line="240" w:lineRule="auto"/>
        <w:ind w:right="-801"/>
        <w:textAlignment w:val="auto"/>
        <w:rPr>
          <w:sz w:val="20"/>
          <w:szCs w:val="20"/>
        </w:rPr>
      </w:pPr>
    </w:p>
    <w:p w14:paraId="3EAF4CA0" w14:textId="4FF9C318" w:rsidR="00D47AFE" w:rsidRPr="00E80AAD"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E80AAD">
        <w:rPr>
          <w:sz w:val="20"/>
          <w:szCs w:val="20"/>
          <w:lang w:val="es-MX"/>
        </w:rPr>
        <w:t>Los guías, después, decidieron “sacar dormitorio por dormitorio [a los internos para cenar], en vista de la situación tensa”</w:t>
      </w:r>
      <w:r w:rsidRPr="00E80AAD">
        <w:rPr>
          <w:rStyle w:val="Refdenotaalpie"/>
          <w:sz w:val="20"/>
          <w:szCs w:val="20"/>
          <w:lang w:eastAsia="x-none"/>
        </w:rPr>
        <w:footnoteReference w:id="46"/>
      </w:r>
      <w:r w:rsidRPr="00E80AAD">
        <w:rPr>
          <w:sz w:val="20"/>
          <w:szCs w:val="20"/>
          <w:lang w:val="es-MX"/>
        </w:rPr>
        <w:t xml:space="preserve">. Así, luego de ingresar a los internos del dormitorio 4, aproximadamente a las </w:t>
      </w:r>
      <w:r w:rsidR="006D3DFC">
        <w:rPr>
          <w:sz w:val="20"/>
          <w:szCs w:val="20"/>
          <w:lang w:val="es-MX"/>
        </w:rPr>
        <w:t>16</w:t>
      </w:r>
      <w:r w:rsidRPr="00E80AAD">
        <w:rPr>
          <w:sz w:val="20"/>
          <w:szCs w:val="20"/>
          <w:lang w:val="es-MX"/>
        </w:rPr>
        <w:t xml:space="preserve">:45 </w:t>
      </w:r>
      <w:r w:rsidR="006D3DFC">
        <w:rPr>
          <w:sz w:val="20"/>
          <w:szCs w:val="20"/>
          <w:lang w:val="es-MX"/>
        </w:rPr>
        <w:t>h.</w:t>
      </w:r>
      <w:r w:rsidRPr="00E80AAD">
        <w:rPr>
          <w:sz w:val="20"/>
          <w:szCs w:val="20"/>
          <w:lang w:val="es-MX"/>
        </w:rPr>
        <w:t xml:space="preserve"> los guías F.G. y J.C. fueron a sacar para cenar a quienes se encontraban en el dormitorio 2, que en ese momento eran 11. </w:t>
      </w:r>
    </w:p>
    <w:p w14:paraId="661B5A15" w14:textId="77777777" w:rsidR="00D47AFE" w:rsidRPr="00EC601B" w:rsidRDefault="00D47AFE" w:rsidP="00B476ED">
      <w:pPr>
        <w:pStyle w:val="Prrafodelista"/>
        <w:spacing w:line="240" w:lineRule="auto"/>
        <w:ind w:right="-801"/>
        <w:rPr>
          <w:sz w:val="20"/>
          <w:szCs w:val="20"/>
          <w:lang w:val="es-MX"/>
        </w:rPr>
      </w:pPr>
    </w:p>
    <w:p w14:paraId="425BCE2A" w14:textId="77777777" w:rsidR="00D47AFE" w:rsidRPr="00E80AAD"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E80AAD">
        <w:rPr>
          <w:sz w:val="20"/>
          <w:szCs w:val="20"/>
          <w:lang w:val="es-MX"/>
        </w:rPr>
        <w:t>Los jóvenes del dormitorio 2 abordaron a los guías con chuzos. El guía J.C. declaró que les pidieron las llaves “porque iban a matar a los [jóvenes] de [la celda 4]”, y que i</w:t>
      </w:r>
      <w:r w:rsidRPr="00E80AAD">
        <w:rPr>
          <w:bCs/>
          <w:sz w:val="20"/>
          <w:szCs w:val="20"/>
          <w:lang w:val="es-MX"/>
        </w:rPr>
        <w:t>ntentaron quitarle la llave al guía F.G., quien, forcejeando, pudo evitarlo y salió corriendo</w:t>
      </w:r>
      <w:r w:rsidRPr="00E80AAD">
        <w:rPr>
          <w:rStyle w:val="Refdenotaalpie"/>
          <w:sz w:val="20"/>
          <w:szCs w:val="20"/>
          <w:lang w:eastAsia="x-none"/>
        </w:rPr>
        <w:footnoteReference w:id="47"/>
      </w:r>
      <w:r w:rsidRPr="00E80AAD">
        <w:rPr>
          <w:bCs/>
          <w:sz w:val="20"/>
          <w:szCs w:val="20"/>
          <w:lang w:val="es-MX"/>
        </w:rPr>
        <w:t>.</w:t>
      </w:r>
    </w:p>
    <w:p w14:paraId="570108BC" w14:textId="77777777" w:rsidR="00D47AFE" w:rsidRPr="004754B0" w:rsidRDefault="00D47AFE" w:rsidP="00B476ED">
      <w:pPr>
        <w:pStyle w:val="Prrafodelista"/>
        <w:spacing w:line="240" w:lineRule="auto"/>
        <w:ind w:right="-801"/>
        <w:rPr>
          <w:sz w:val="20"/>
          <w:lang w:val="es-MX"/>
        </w:rPr>
      </w:pPr>
    </w:p>
    <w:p w14:paraId="5DB8E837" w14:textId="55F724ED" w:rsidR="00D47AFE" w:rsidRPr="008A7A61"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4754B0">
        <w:rPr>
          <w:sz w:val="20"/>
          <w:lang w:val="es-MX"/>
        </w:rPr>
        <w:t>Algunos jóvenes del dormitorio 2 se dirigieron hacia el dormitorio 4, pronunciando palabras intimidatorias y motivando a</w:t>
      </w:r>
      <w:r w:rsidR="006D3DFC">
        <w:rPr>
          <w:sz w:val="20"/>
          <w:lang w:val="es-MX"/>
        </w:rPr>
        <w:t xml:space="preserve"> los otros</w:t>
      </w:r>
      <w:r w:rsidRPr="004754B0">
        <w:rPr>
          <w:sz w:val="20"/>
          <w:lang w:val="es-MX"/>
        </w:rPr>
        <w:t xml:space="preserve"> </w:t>
      </w:r>
      <w:r>
        <w:rPr>
          <w:sz w:val="20"/>
          <w:lang w:val="es-MX"/>
        </w:rPr>
        <w:t>internos</w:t>
      </w:r>
      <w:r w:rsidRPr="004754B0">
        <w:rPr>
          <w:sz w:val="20"/>
          <w:lang w:val="es-MX"/>
        </w:rPr>
        <w:t xml:space="preserve"> a unirse </w:t>
      </w:r>
      <w:r>
        <w:rPr>
          <w:sz w:val="20"/>
          <w:lang w:val="es-MX"/>
        </w:rPr>
        <w:t>a su accionar</w:t>
      </w:r>
      <w:r w:rsidRPr="004754B0">
        <w:rPr>
          <w:sz w:val="20"/>
          <w:lang w:val="es-MX"/>
        </w:rPr>
        <w:t xml:space="preserve">. Pese a ello el guía </w:t>
      </w:r>
      <w:r>
        <w:rPr>
          <w:sz w:val="20"/>
          <w:lang w:val="es-MX"/>
        </w:rPr>
        <w:t>F.</w:t>
      </w:r>
      <w:r w:rsidRPr="004754B0">
        <w:rPr>
          <w:sz w:val="20"/>
          <w:lang w:val="es-MX"/>
        </w:rPr>
        <w:t xml:space="preserve">G. pudo </w:t>
      </w:r>
      <w:r w:rsidR="006D3DFC">
        <w:rPr>
          <w:sz w:val="20"/>
          <w:lang w:val="es-MX"/>
        </w:rPr>
        <w:t>devolver</w:t>
      </w:r>
      <w:r w:rsidRPr="004754B0">
        <w:rPr>
          <w:sz w:val="20"/>
          <w:lang w:val="es-MX"/>
        </w:rPr>
        <w:t xml:space="preserve"> a los jóvenes </w:t>
      </w:r>
      <w:r w:rsidR="006D3DFC">
        <w:rPr>
          <w:sz w:val="20"/>
          <w:lang w:val="es-MX"/>
        </w:rPr>
        <w:t>al</w:t>
      </w:r>
      <w:r w:rsidRPr="004754B0">
        <w:rPr>
          <w:sz w:val="20"/>
          <w:lang w:val="es-MX"/>
        </w:rPr>
        <w:t xml:space="preserve"> dormitorio</w:t>
      </w:r>
      <w:r w:rsidR="006D3DFC">
        <w:rPr>
          <w:sz w:val="20"/>
          <w:lang w:val="es-MX"/>
        </w:rPr>
        <w:t xml:space="preserve"> 2</w:t>
      </w:r>
      <w:r w:rsidRPr="004754B0">
        <w:rPr>
          <w:sz w:val="20"/>
          <w:lang w:val="es-MX"/>
        </w:rPr>
        <w:t>. Allí entró ese guía y también el guía N</w:t>
      </w:r>
      <w:r>
        <w:rPr>
          <w:sz w:val="20"/>
          <w:lang w:val="es-MX"/>
        </w:rPr>
        <w:t>.</w:t>
      </w:r>
      <w:r w:rsidRPr="004754B0">
        <w:rPr>
          <w:sz w:val="20"/>
          <w:lang w:val="es-MX"/>
        </w:rPr>
        <w:t>R</w:t>
      </w:r>
      <w:r>
        <w:rPr>
          <w:sz w:val="20"/>
          <w:lang w:val="es-MX"/>
        </w:rPr>
        <w:t>.</w:t>
      </w:r>
      <w:r w:rsidRPr="004754B0">
        <w:rPr>
          <w:sz w:val="20"/>
          <w:lang w:val="es-MX"/>
        </w:rPr>
        <w:t xml:space="preserve">, a fin de decomisar las armas. </w:t>
      </w:r>
      <w:r>
        <w:rPr>
          <w:bCs/>
          <w:sz w:val="20"/>
          <w:lang w:val="es-MX"/>
        </w:rPr>
        <w:t xml:space="preserve">Mientras los guías aludidos permanecían en </w:t>
      </w:r>
      <w:r w:rsidR="006D3DFC">
        <w:rPr>
          <w:bCs/>
          <w:sz w:val="20"/>
          <w:lang w:val="es-MX"/>
        </w:rPr>
        <w:t>el dormitorio</w:t>
      </w:r>
      <w:r>
        <w:rPr>
          <w:bCs/>
          <w:sz w:val="20"/>
          <w:lang w:val="es-MX"/>
        </w:rPr>
        <w:t xml:space="preserve"> 2, el </w:t>
      </w:r>
      <w:r w:rsidRPr="00435EFD">
        <w:rPr>
          <w:sz w:val="20"/>
          <w:szCs w:val="20"/>
          <w:lang w:val="es-MX"/>
        </w:rPr>
        <w:t xml:space="preserve">guía </w:t>
      </w:r>
      <w:r>
        <w:rPr>
          <w:sz w:val="20"/>
          <w:szCs w:val="20"/>
          <w:lang w:val="es-MX"/>
        </w:rPr>
        <w:t>J.</w:t>
      </w:r>
      <w:r w:rsidRPr="00435EFD">
        <w:rPr>
          <w:sz w:val="20"/>
          <w:szCs w:val="20"/>
          <w:lang w:val="es-MX"/>
        </w:rPr>
        <w:t xml:space="preserve">C. </w:t>
      </w:r>
      <w:r w:rsidRPr="001476A6">
        <w:rPr>
          <w:sz w:val="20"/>
          <w:szCs w:val="20"/>
          <w:lang w:val="es-MX"/>
        </w:rPr>
        <w:t>sal</w:t>
      </w:r>
      <w:r>
        <w:rPr>
          <w:sz w:val="20"/>
          <w:szCs w:val="20"/>
          <w:lang w:val="es-MX"/>
        </w:rPr>
        <w:t>i</w:t>
      </w:r>
      <w:r w:rsidRPr="001476A6">
        <w:rPr>
          <w:sz w:val="20"/>
          <w:szCs w:val="20"/>
          <w:lang w:val="es-MX"/>
        </w:rPr>
        <w:t>ó al pasillo y percibió</w:t>
      </w:r>
      <w:r w:rsidRPr="003C748A">
        <w:rPr>
          <w:sz w:val="20"/>
          <w:szCs w:val="20"/>
          <w:lang w:val="es-MX"/>
        </w:rPr>
        <w:t xml:space="preserve"> </w:t>
      </w:r>
      <w:r w:rsidRPr="00435EFD">
        <w:rPr>
          <w:sz w:val="20"/>
          <w:szCs w:val="20"/>
          <w:lang w:val="es-MX"/>
        </w:rPr>
        <w:t xml:space="preserve">se estaban quemando </w:t>
      </w:r>
      <w:r w:rsidRPr="008A7A61">
        <w:rPr>
          <w:sz w:val="20"/>
          <w:szCs w:val="20"/>
          <w:lang w:val="es-MX"/>
        </w:rPr>
        <w:t>las personas alojadas en el dormitorio 4. Los jóvenes alojados en esa celda habían encendido varias colchonetas cerca de la puerta de acceso a la misma, a modo de defensa, para prevenir el paso de los internos de la celda 2</w:t>
      </w:r>
      <w:r w:rsidRPr="008A7A61">
        <w:rPr>
          <w:rStyle w:val="Refdenotaalpie"/>
          <w:sz w:val="20"/>
          <w:szCs w:val="20"/>
          <w:lang w:eastAsia="x-none"/>
        </w:rPr>
        <w:footnoteReference w:id="48"/>
      </w:r>
      <w:r w:rsidRPr="008A7A61">
        <w:rPr>
          <w:sz w:val="20"/>
          <w:szCs w:val="20"/>
          <w:lang w:val="es-MX"/>
        </w:rPr>
        <w:t>.</w:t>
      </w:r>
      <w:r w:rsidRPr="008A7A61">
        <w:rPr>
          <w:bCs/>
          <w:sz w:val="20"/>
          <w:szCs w:val="20"/>
          <w:lang w:val="es-MX"/>
        </w:rPr>
        <w:t xml:space="preserve"> El fuego se propagó </w:t>
      </w:r>
      <w:r w:rsidR="006D3DFC">
        <w:rPr>
          <w:bCs/>
          <w:sz w:val="20"/>
          <w:szCs w:val="20"/>
          <w:lang w:val="es-MX"/>
        </w:rPr>
        <w:t>al interior del dormitorio</w:t>
      </w:r>
      <w:r w:rsidRPr="008A7A61">
        <w:rPr>
          <w:bCs/>
          <w:sz w:val="20"/>
          <w:szCs w:val="20"/>
          <w:lang w:val="es-MX"/>
        </w:rPr>
        <w:t>, originando gran cantidad de humo y hollín</w:t>
      </w:r>
      <w:r w:rsidRPr="008A7A61">
        <w:rPr>
          <w:rStyle w:val="Refdenotaalpie"/>
          <w:bCs/>
          <w:sz w:val="20"/>
          <w:szCs w:val="20"/>
        </w:rPr>
        <w:footnoteReference w:id="49"/>
      </w:r>
      <w:r w:rsidRPr="008A7A61">
        <w:rPr>
          <w:bCs/>
          <w:sz w:val="20"/>
          <w:szCs w:val="20"/>
          <w:lang w:val="es-MX"/>
        </w:rPr>
        <w:t>.</w:t>
      </w:r>
      <w:r w:rsidRPr="008A7A61">
        <w:rPr>
          <w:b/>
          <w:bCs/>
          <w:sz w:val="20"/>
          <w:szCs w:val="20"/>
          <w:lang w:val="es-MX"/>
        </w:rPr>
        <w:t xml:space="preserve"> </w:t>
      </w:r>
    </w:p>
    <w:p w14:paraId="19B1709B" w14:textId="77777777" w:rsidR="00D47AFE" w:rsidRPr="008A7A61" w:rsidRDefault="00D47AFE" w:rsidP="00B476ED">
      <w:pPr>
        <w:widowControl/>
        <w:tabs>
          <w:tab w:val="left" w:pos="567"/>
        </w:tabs>
        <w:autoSpaceDE w:val="0"/>
        <w:autoSpaceDN w:val="0"/>
        <w:adjustRightInd/>
        <w:spacing w:line="240" w:lineRule="auto"/>
        <w:ind w:right="-801"/>
        <w:textAlignment w:val="auto"/>
        <w:rPr>
          <w:sz w:val="20"/>
          <w:szCs w:val="20"/>
        </w:rPr>
      </w:pPr>
    </w:p>
    <w:p w14:paraId="4739AFFE" w14:textId="347C39A1" w:rsidR="00D47AFE" w:rsidRPr="008A7A61"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8A7A61">
        <w:rPr>
          <w:sz w:val="20"/>
          <w:szCs w:val="20"/>
          <w:lang w:val="es-MX"/>
        </w:rPr>
        <w:t>El guía J.C. declaró que pasaron “como tres minutos desde que [lo] empezaron a llamar los jóvenes [del dormitorio 4 hasta el momento que llegó a la celda,] y [que] eran aproximadamente las [</w:t>
      </w:r>
      <w:r w:rsidR="006D3DFC">
        <w:rPr>
          <w:sz w:val="20"/>
          <w:szCs w:val="20"/>
          <w:lang w:val="es-MX"/>
        </w:rPr>
        <w:t>17</w:t>
      </w:r>
      <w:r w:rsidRPr="008A7A61">
        <w:rPr>
          <w:sz w:val="20"/>
          <w:szCs w:val="20"/>
          <w:lang w:val="es-MX"/>
        </w:rPr>
        <w:t xml:space="preserve">:00 </w:t>
      </w:r>
      <w:r w:rsidR="006D3DFC">
        <w:rPr>
          <w:sz w:val="20"/>
          <w:szCs w:val="20"/>
          <w:lang w:val="es-MX"/>
        </w:rPr>
        <w:t>h.</w:t>
      </w:r>
      <w:r w:rsidRPr="008A7A61">
        <w:rPr>
          <w:sz w:val="20"/>
          <w:szCs w:val="20"/>
          <w:lang w:val="es-MX"/>
        </w:rPr>
        <w:t>]”</w:t>
      </w:r>
      <w:r w:rsidRPr="008A7A61">
        <w:rPr>
          <w:rStyle w:val="Refdenotaalpie"/>
          <w:sz w:val="20"/>
          <w:szCs w:val="20"/>
          <w:lang w:eastAsia="x-none"/>
        </w:rPr>
        <w:footnoteReference w:id="50"/>
      </w:r>
      <w:r w:rsidRPr="008A7A61">
        <w:rPr>
          <w:sz w:val="20"/>
          <w:szCs w:val="20"/>
          <w:lang w:val="es-MX"/>
        </w:rPr>
        <w:t>. C.M., interno que apoyaba con la limpieza, sostuvo, no obstante, que el guía J.C. demoró “como cinco minutos aproximadamente” luego de escuchar los gritos de las supuestas víctimas, para proceder a prestarles ayuda</w:t>
      </w:r>
      <w:r w:rsidRPr="008A7A61">
        <w:rPr>
          <w:rStyle w:val="Refdenotaalpie"/>
          <w:sz w:val="20"/>
          <w:szCs w:val="20"/>
          <w:lang w:eastAsia="x-none"/>
        </w:rPr>
        <w:footnoteReference w:id="51"/>
      </w:r>
      <w:r w:rsidRPr="008A7A61">
        <w:rPr>
          <w:sz w:val="20"/>
          <w:szCs w:val="20"/>
          <w:lang w:val="es-MX"/>
        </w:rPr>
        <w:t xml:space="preserve">. </w:t>
      </w:r>
    </w:p>
    <w:p w14:paraId="0B217A45" w14:textId="77777777" w:rsidR="00D47AFE" w:rsidRPr="004754B0" w:rsidRDefault="00D47AFE" w:rsidP="00B476ED">
      <w:pPr>
        <w:pStyle w:val="Prrafodelista"/>
        <w:spacing w:line="240" w:lineRule="auto"/>
        <w:ind w:right="-801"/>
        <w:rPr>
          <w:sz w:val="20"/>
          <w:lang w:val="es-MX"/>
        </w:rPr>
      </w:pPr>
    </w:p>
    <w:p w14:paraId="1E5C5820" w14:textId="1EC8D270" w:rsidR="00D47AFE" w:rsidRPr="004754B0"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8A7A61">
        <w:rPr>
          <w:sz w:val="20"/>
          <w:szCs w:val="20"/>
          <w:lang w:val="es-MX"/>
        </w:rPr>
        <w:t>El guía J.C</w:t>
      </w:r>
      <w:r w:rsidR="00620184">
        <w:rPr>
          <w:sz w:val="20"/>
          <w:szCs w:val="20"/>
          <w:lang w:val="es-MX"/>
        </w:rPr>
        <w:t>.</w:t>
      </w:r>
      <w:r w:rsidRPr="008A7A61">
        <w:rPr>
          <w:sz w:val="20"/>
          <w:szCs w:val="20"/>
          <w:lang w:val="es-MX"/>
        </w:rPr>
        <w:t xml:space="preserve"> sostuvo que no hubo tiempo para auxiliar efectivamente a las víctimas. Expresó que gritó y pidió auxilio a los guías N.R. y F.G., para que llevaran las llaves. Agregó que llamó al interno C.M., y que echaron agua a las colchonetas y otras pertenencias</w:t>
      </w:r>
      <w:r w:rsidRPr="008A7A61">
        <w:rPr>
          <w:rStyle w:val="Refdenotaalpie"/>
          <w:sz w:val="20"/>
          <w:szCs w:val="20"/>
          <w:lang w:eastAsia="x-none"/>
        </w:rPr>
        <w:footnoteReference w:id="52"/>
      </w:r>
      <w:r w:rsidRPr="008A7A61">
        <w:rPr>
          <w:sz w:val="20"/>
          <w:szCs w:val="20"/>
          <w:lang w:val="es-MX"/>
        </w:rPr>
        <w:t xml:space="preserve">. El guía N.R., declaró que tomó unos tres minutos para salir de la celda 2 hacia la celda 4, luego de anoticiado de la situación por el guía J.C. </w:t>
      </w:r>
      <w:r w:rsidRPr="008A7A61">
        <w:rPr>
          <w:bCs/>
          <w:sz w:val="20"/>
          <w:szCs w:val="20"/>
          <w:lang w:val="es-MX"/>
        </w:rPr>
        <w:t>S</w:t>
      </w:r>
      <w:r w:rsidRPr="008A7A61">
        <w:rPr>
          <w:sz w:val="20"/>
          <w:szCs w:val="20"/>
          <w:lang w:val="es-MX"/>
        </w:rPr>
        <w:t xml:space="preserve">eñaló también que “cuando </w:t>
      </w:r>
      <w:proofErr w:type="spellStart"/>
      <w:r w:rsidRPr="008A7A61">
        <w:rPr>
          <w:sz w:val="20"/>
          <w:szCs w:val="20"/>
          <w:lang w:val="es-MX"/>
        </w:rPr>
        <w:t>lleg</w:t>
      </w:r>
      <w:proofErr w:type="spellEnd"/>
      <w:r w:rsidRPr="008A7A61">
        <w:rPr>
          <w:sz w:val="20"/>
          <w:szCs w:val="20"/>
          <w:lang w:val="es-MX"/>
        </w:rPr>
        <w:t>[</w:t>
      </w:r>
      <w:proofErr w:type="spellStart"/>
      <w:r w:rsidRPr="008A7A61">
        <w:rPr>
          <w:sz w:val="20"/>
          <w:szCs w:val="20"/>
          <w:lang w:val="es-MX"/>
        </w:rPr>
        <w:t>ó</w:t>
      </w:r>
      <w:proofErr w:type="spellEnd"/>
      <w:r w:rsidRPr="008A7A61">
        <w:rPr>
          <w:sz w:val="20"/>
          <w:szCs w:val="20"/>
          <w:lang w:val="es-MX"/>
        </w:rPr>
        <w:t xml:space="preserve">] [al dormitorio 4] no se escuchaban voces […] ni </w:t>
      </w:r>
      <w:proofErr w:type="gramStart"/>
      <w:r w:rsidRPr="008A7A61">
        <w:rPr>
          <w:sz w:val="20"/>
          <w:szCs w:val="20"/>
          <w:lang w:val="es-MX"/>
        </w:rPr>
        <w:t>ruido[</w:t>
      </w:r>
      <w:proofErr w:type="gramEnd"/>
      <w:r w:rsidRPr="008A7A61">
        <w:rPr>
          <w:sz w:val="20"/>
          <w:szCs w:val="20"/>
          <w:lang w:val="es-MX"/>
        </w:rPr>
        <w:t>,] solamente las llamas que se expandían en el dormitorio y el humo”. Conforme la misma declaración, los guías, y el interno C.M</w:t>
      </w:r>
      <w:r w:rsidR="00401448">
        <w:rPr>
          <w:sz w:val="20"/>
          <w:szCs w:val="20"/>
          <w:lang w:val="es-MX"/>
        </w:rPr>
        <w:t>.</w:t>
      </w:r>
      <w:r w:rsidRPr="008A7A61">
        <w:rPr>
          <w:sz w:val="20"/>
          <w:szCs w:val="20"/>
          <w:lang w:val="es-MX"/>
        </w:rPr>
        <w:t xml:space="preserve">, intentaron apagar el incendio con </w:t>
      </w:r>
      <w:r w:rsidR="007152EF">
        <w:rPr>
          <w:sz w:val="20"/>
          <w:szCs w:val="20"/>
          <w:lang w:val="es-MX"/>
        </w:rPr>
        <w:t>cubos</w:t>
      </w:r>
      <w:r w:rsidRPr="008A7A61">
        <w:rPr>
          <w:sz w:val="20"/>
          <w:szCs w:val="20"/>
          <w:lang w:val="es-MX"/>
        </w:rPr>
        <w:t xml:space="preserve"> de agua</w:t>
      </w:r>
      <w:r w:rsidRPr="008A7A61">
        <w:rPr>
          <w:rStyle w:val="Refdenotaalpie"/>
          <w:sz w:val="20"/>
          <w:szCs w:val="20"/>
          <w:lang w:eastAsia="x-none"/>
        </w:rPr>
        <w:footnoteReference w:id="53"/>
      </w:r>
      <w:r w:rsidRPr="008A7A61">
        <w:rPr>
          <w:sz w:val="20"/>
          <w:szCs w:val="20"/>
          <w:lang w:val="es-MX"/>
        </w:rPr>
        <w:t>. El guía J.C., adujo que no contaban con extintores, y que “</w:t>
      </w:r>
      <w:proofErr w:type="spellStart"/>
      <w:r w:rsidRPr="008A7A61">
        <w:rPr>
          <w:sz w:val="20"/>
          <w:szCs w:val="20"/>
          <w:lang w:val="es-MX"/>
        </w:rPr>
        <w:t>hici</w:t>
      </w:r>
      <w:proofErr w:type="spellEnd"/>
      <w:r w:rsidRPr="008A7A61">
        <w:rPr>
          <w:sz w:val="20"/>
          <w:szCs w:val="20"/>
          <w:lang w:val="es-MX"/>
        </w:rPr>
        <w:t>[</w:t>
      </w:r>
      <w:proofErr w:type="spellStart"/>
      <w:r w:rsidRPr="008A7A61">
        <w:rPr>
          <w:sz w:val="20"/>
          <w:szCs w:val="20"/>
          <w:lang w:val="es-MX"/>
        </w:rPr>
        <w:t>eron</w:t>
      </w:r>
      <w:proofErr w:type="spellEnd"/>
      <w:r w:rsidRPr="008A7A61">
        <w:rPr>
          <w:sz w:val="20"/>
          <w:szCs w:val="20"/>
          <w:lang w:val="es-MX"/>
        </w:rPr>
        <w:t xml:space="preserve">] lo que </w:t>
      </w:r>
      <w:proofErr w:type="spellStart"/>
      <w:r w:rsidRPr="008A7A61">
        <w:rPr>
          <w:sz w:val="20"/>
          <w:szCs w:val="20"/>
          <w:lang w:val="es-MX"/>
        </w:rPr>
        <w:t>pudi</w:t>
      </w:r>
      <w:proofErr w:type="spellEnd"/>
      <w:r w:rsidRPr="008A7A61">
        <w:rPr>
          <w:sz w:val="20"/>
          <w:szCs w:val="20"/>
          <w:lang w:val="es-MX"/>
        </w:rPr>
        <w:t>[</w:t>
      </w:r>
      <w:proofErr w:type="spellStart"/>
      <w:r w:rsidRPr="008A7A61">
        <w:rPr>
          <w:sz w:val="20"/>
          <w:szCs w:val="20"/>
          <w:lang w:val="es-MX"/>
        </w:rPr>
        <w:t>eron</w:t>
      </w:r>
      <w:proofErr w:type="spellEnd"/>
      <w:r w:rsidRPr="008A7A61">
        <w:rPr>
          <w:sz w:val="20"/>
          <w:szCs w:val="20"/>
          <w:lang w:val="es-MX"/>
        </w:rPr>
        <w:t>]”</w:t>
      </w:r>
      <w:r w:rsidRPr="008A7A61">
        <w:rPr>
          <w:rStyle w:val="Refdenotaalpie"/>
          <w:sz w:val="20"/>
          <w:szCs w:val="20"/>
          <w:lang w:eastAsia="x-none"/>
        </w:rPr>
        <w:footnoteReference w:id="54"/>
      </w:r>
      <w:r w:rsidRPr="008A7A61">
        <w:rPr>
          <w:sz w:val="20"/>
          <w:szCs w:val="20"/>
          <w:lang w:val="es-MX"/>
        </w:rPr>
        <w:t xml:space="preserve">. Un interno de la celda 2 indicó que “los muchachos se quemaron porque [el guía J.C.] en vez de abrir la puerta, lo que [hacía] era correr por el pasillo gritando que se </w:t>
      </w:r>
      <w:proofErr w:type="spellStart"/>
      <w:r w:rsidRPr="008A7A61">
        <w:rPr>
          <w:sz w:val="20"/>
          <w:szCs w:val="20"/>
          <w:lang w:val="es-MX"/>
        </w:rPr>
        <w:t>esta</w:t>
      </w:r>
      <w:proofErr w:type="spellEnd"/>
      <w:r w:rsidRPr="008A7A61">
        <w:rPr>
          <w:sz w:val="20"/>
          <w:szCs w:val="20"/>
          <w:lang w:val="es-MX"/>
        </w:rPr>
        <w:t>[</w:t>
      </w:r>
      <w:proofErr w:type="spellStart"/>
      <w:r w:rsidRPr="008A7A61">
        <w:rPr>
          <w:sz w:val="20"/>
          <w:szCs w:val="20"/>
          <w:lang w:val="es-MX"/>
        </w:rPr>
        <w:t>ba</w:t>
      </w:r>
      <w:proofErr w:type="spellEnd"/>
      <w:r w:rsidRPr="008A7A61">
        <w:rPr>
          <w:sz w:val="20"/>
          <w:szCs w:val="20"/>
          <w:lang w:val="es-MX"/>
        </w:rPr>
        <w:t>] quemando la celda [4]”</w:t>
      </w:r>
      <w:r w:rsidRPr="008A7A61">
        <w:rPr>
          <w:rStyle w:val="Refdenotaalpie"/>
          <w:sz w:val="20"/>
          <w:szCs w:val="20"/>
          <w:lang w:eastAsia="x-none"/>
        </w:rPr>
        <w:footnoteReference w:id="55"/>
      </w:r>
      <w:r w:rsidRPr="008A7A61">
        <w:rPr>
          <w:sz w:val="20"/>
          <w:szCs w:val="20"/>
          <w:lang w:val="es-MX"/>
        </w:rPr>
        <w:t>.</w:t>
      </w:r>
      <w:r w:rsidRPr="004754B0">
        <w:rPr>
          <w:sz w:val="20"/>
          <w:lang w:val="es-MX"/>
        </w:rPr>
        <w:t xml:space="preserve"> </w:t>
      </w:r>
    </w:p>
    <w:p w14:paraId="57AD79CC" w14:textId="77777777" w:rsidR="00D47AFE" w:rsidRPr="004754B0" w:rsidRDefault="00D47AFE" w:rsidP="00B476ED">
      <w:pPr>
        <w:pStyle w:val="Prrafodelista"/>
        <w:spacing w:line="240" w:lineRule="auto"/>
        <w:ind w:right="-801"/>
        <w:rPr>
          <w:sz w:val="20"/>
          <w:lang w:val="es-MX"/>
        </w:rPr>
      </w:pPr>
    </w:p>
    <w:p w14:paraId="35266D76" w14:textId="56881542" w:rsidR="00D47AFE" w:rsidRPr="008A7A61"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8A7A61">
        <w:rPr>
          <w:sz w:val="20"/>
          <w:szCs w:val="20"/>
          <w:lang w:val="es-MX"/>
        </w:rPr>
        <w:t xml:space="preserve">Los jóvenes C.Z. y J.L., así como familiares de los jóvenes de la celda 4 que los habían visitado ese día, estaban afuera del Centro, en sus inmediaciones, cuando ocurrió el incendio. </w:t>
      </w:r>
      <w:proofErr w:type="spellStart"/>
      <w:r w:rsidRPr="008A7A61">
        <w:rPr>
          <w:sz w:val="20"/>
          <w:szCs w:val="20"/>
          <w:lang w:val="es-MX"/>
        </w:rPr>
        <w:t>Osmely</w:t>
      </w:r>
      <w:proofErr w:type="spellEnd"/>
      <w:r w:rsidRPr="008A7A61">
        <w:rPr>
          <w:sz w:val="20"/>
          <w:szCs w:val="20"/>
          <w:lang w:val="es-MX"/>
        </w:rPr>
        <w:t xml:space="preserve"> Mota cuestionó la narrativa del guía N.R. Sostuvo que él estaba “sentado en la entrada jugando ajedrez, [cuando] empezaron a gritar [José Mota] y [Rafael] Parra diciendo ‘N.R., un motín’” Agregó que a ella y otros familiares “[les] </w:t>
      </w:r>
      <w:proofErr w:type="spellStart"/>
      <w:r w:rsidRPr="008A7A61">
        <w:rPr>
          <w:sz w:val="20"/>
          <w:szCs w:val="20"/>
          <w:lang w:val="es-MX"/>
        </w:rPr>
        <w:t>extrañ</w:t>
      </w:r>
      <w:proofErr w:type="spellEnd"/>
      <w:r w:rsidRPr="008A7A61">
        <w:rPr>
          <w:sz w:val="20"/>
          <w:szCs w:val="20"/>
          <w:lang w:val="es-MX"/>
        </w:rPr>
        <w:t>[</w:t>
      </w:r>
      <w:proofErr w:type="spellStart"/>
      <w:r w:rsidRPr="008A7A61">
        <w:rPr>
          <w:sz w:val="20"/>
          <w:szCs w:val="20"/>
          <w:lang w:val="es-MX"/>
        </w:rPr>
        <w:t>ó</w:t>
      </w:r>
      <w:proofErr w:type="spellEnd"/>
      <w:r w:rsidRPr="008A7A61">
        <w:rPr>
          <w:sz w:val="20"/>
          <w:szCs w:val="20"/>
          <w:lang w:val="es-MX"/>
        </w:rPr>
        <w:t xml:space="preserve">] que [N.R.] no </w:t>
      </w:r>
      <w:proofErr w:type="gramStart"/>
      <w:r w:rsidRPr="008A7A61">
        <w:rPr>
          <w:sz w:val="20"/>
          <w:szCs w:val="20"/>
          <w:lang w:val="es-MX"/>
        </w:rPr>
        <w:t>escuchara[</w:t>
      </w:r>
      <w:proofErr w:type="gramEnd"/>
      <w:r w:rsidRPr="008A7A61">
        <w:rPr>
          <w:sz w:val="20"/>
          <w:szCs w:val="20"/>
          <w:lang w:val="es-MX"/>
        </w:rPr>
        <w:t>,] ya que [ellos] escucha[</w:t>
      </w:r>
      <w:proofErr w:type="spellStart"/>
      <w:r w:rsidRPr="008A7A61">
        <w:rPr>
          <w:sz w:val="20"/>
          <w:szCs w:val="20"/>
          <w:lang w:val="es-MX"/>
        </w:rPr>
        <w:t>ban</w:t>
      </w:r>
      <w:proofErr w:type="spellEnd"/>
      <w:r w:rsidRPr="008A7A61">
        <w:rPr>
          <w:sz w:val="20"/>
          <w:szCs w:val="20"/>
          <w:lang w:val="es-MX"/>
        </w:rPr>
        <w:t>] desde afuera”. Indicó que fue cuando los familiares comenzaron a gritar que N.R. “salió corriendo para adentro”, y que cuando los familiares comenzaron a ver humo, quisieron entrar, pero la asistente B.H. cerró el portón</w:t>
      </w:r>
      <w:r w:rsidRPr="008A7A61">
        <w:rPr>
          <w:rStyle w:val="Refdenotaalpie"/>
          <w:sz w:val="20"/>
          <w:szCs w:val="20"/>
          <w:lang w:eastAsia="x-none"/>
        </w:rPr>
        <w:footnoteReference w:id="56"/>
      </w:r>
      <w:r w:rsidRPr="008A7A61">
        <w:rPr>
          <w:sz w:val="20"/>
          <w:szCs w:val="20"/>
          <w:lang w:val="es-MX"/>
        </w:rPr>
        <w:t xml:space="preserve">. </w:t>
      </w:r>
      <w:bookmarkStart w:id="41" w:name="_Hlk36452497"/>
      <w:bookmarkEnd w:id="41"/>
    </w:p>
    <w:p w14:paraId="1E42265B" w14:textId="77777777" w:rsidR="00D47AFE" w:rsidRPr="004754B0" w:rsidRDefault="00D47AFE" w:rsidP="00B476ED">
      <w:pPr>
        <w:pStyle w:val="Prrafodelista"/>
        <w:spacing w:line="240" w:lineRule="auto"/>
        <w:ind w:right="-801"/>
        <w:rPr>
          <w:sz w:val="20"/>
          <w:lang w:val="es-MX"/>
        </w:rPr>
      </w:pPr>
    </w:p>
    <w:p w14:paraId="6AC62668" w14:textId="19C46226" w:rsidR="00D47AFE" w:rsidRPr="001E017C"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1E017C">
        <w:rPr>
          <w:sz w:val="20"/>
          <w:lang w:val="es-MX"/>
        </w:rPr>
        <w:t>La asistente B</w:t>
      </w:r>
      <w:r>
        <w:rPr>
          <w:sz w:val="20"/>
          <w:lang w:val="es-MX"/>
        </w:rPr>
        <w:t>.</w:t>
      </w:r>
      <w:r w:rsidRPr="001E017C">
        <w:rPr>
          <w:sz w:val="20"/>
          <w:lang w:val="es-MX"/>
        </w:rPr>
        <w:t>H</w:t>
      </w:r>
      <w:r>
        <w:rPr>
          <w:sz w:val="20"/>
          <w:lang w:val="es-MX"/>
        </w:rPr>
        <w:t>.</w:t>
      </w:r>
      <w:r w:rsidRPr="001E017C">
        <w:rPr>
          <w:sz w:val="20"/>
          <w:lang w:val="es-MX"/>
        </w:rPr>
        <w:t xml:space="preserve"> al escuchar los gritos, llamó al Servicio Autónomo de Emergencias Bolívar 171 (en adelante</w:t>
      </w:r>
      <w:r w:rsidR="00F73036">
        <w:rPr>
          <w:sz w:val="20"/>
          <w:lang w:val="es-MX"/>
        </w:rPr>
        <w:t xml:space="preserve"> también</w:t>
      </w:r>
      <w:r w:rsidRPr="001E017C">
        <w:rPr>
          <w:sz w:val="20"/>
          <w:lang w:val="es-MX"/>
        </w:rPr>
        <w:t xml:space="preserve"> “servicio 171”), informando </w:t>
      </w:r>
      <w:r>
        <w:rPr>
          <w:sz w:val="20"/>
          <w:lang w:val="es-MX"/>
        </w:rPr>
        <w:t xml:space="preserve">lo que estaba ocurriendo y </w:t>
      </w:r>
      <w:r w:rsidRPr="001E017C">
        <w:rPr>
          <w:sz w:val="20"/>
          <w:lang w:val="es-MX"/>
        </w:rPr>
        <w:t xml:space="preserve">que no había policías en el Centro. </w:t>
      </w:r>
      <w:r w:rsidRPr="008A7A61">
        <w:rPr>
          <w:sz w:val="20"/>
          <w:szCs w:val="20"/>
          <w:lang w:val="es-MX"/>
        </w:rPr>
        <w:t>Lo hizo tres veces, entre las 16:56 h. y las 17:04 h. El servicio 171 llegó al lugar a las 17:15 h.</w:t>
      </w:r>
      <w:r w:rsidRPr="008A7A61">
        <w:rPr>
          <w:rStyle w:val="Refdenotaalpie"/>
          <w:sz w:val="20"/>
          <w:szCs w:val="20"/>
        </w:rPr>
        <w:footnoteReference w:id="57"/>
      </w:r>
      <w:r w:rsidRPr="008A7A61">
        <w:rPr>
          <w:sz w:val="20"/>
          <w:szCs w:val="20"/>
          <w:lang w:val="es-MX"/>
        </w:rPr>
        <w:t>, sin equipamiento</w:t>
      </w:r>
      <w:r>
        <w:rPr>
          <w:sz w:val="20"/>
          <w:lang w:val="es-MX"/>
        </w:rPr>
        <w:t xml:space="preserve"> adecuado, </w:t>
      </w:r>
      <w:r w:rsidRPr="001E017C">
        <w:rPr>
          <w:sz w:val="20"/>
          <w:lang w:val="es-MX"/>
        </w:rPr>
        <w:t>y después lo hicieron los bomberos. La primera unidad de bomberos que arribó no traía el equipo adecuado para ingresar y combatir el incendio, por lo que hubo que esperar a una segunda unidad, que venía de Unare y llegó más tarde</w:t>
      </w:r>
      <w:r w:rsidRPr="001E017C">
        <w:rPr>
          <w:sz w:val="20"/>
          <w:szCs w:val="20"/>
          <w:lang w:val="es-MX"/>
        </w:rPr>
        <w:t>.</w:t>
      </w:r>
      <w:r w:rsidRPr="001E017C">
        <w:rPr>
          <w:sz w:val="20"/>
          <w:lang w:val="es-MX"/>
        </w:rPr>
        <w:t xml:space="preserve"> </w:t>
      </w:r>
    </w:p>
    <w:p w14:paraId="4EBC4A35" w14:textId="77777777" w:rsidR="00D47AFE" w:rsidRPr="004754B0" w:rsidRDefault="00D47AFE" w:rsidP="00B476ED">
      <w:pPr>
        <w:pStyle w:val="Prrafodelista"/>
        <w:spacing w:line="240" w:lineRule="auto"/>
        <w:ind w:right="-801"/>
        <w:rPr>
          <w:sz w:val="20"/>
          <w:lang w:val="es-MX"/>
        </w:rPr>
      </w:pPr>
    </w:p>
    <w:p w14:paraId="2877B8C9" w14:textId="6AA9CDFD" w:rsidR="00D47AFE"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lang w:val="es-MX"/>
        </w:rPr>
      </w:pPr>
      <w:r>
        <w:rPr>
          <w:sz w:val="20"/>
          <w:lang w:val="es-MX"/>
        </w:rPr>
        <w:t>Antes que los bomberos estuvieran en condiciones de actuar, e</w:t>
      </w:r>
      <w:r w:rsidRPr="004754B0">
        <w:rPr>
          <w:sz w:val="20"/>
          <w:lang w:val="es-MX"/>
        </w:rPr>
        <w:t>l interno C</w:t>
      </w:r>
      <w:r>
        <w:rPr>
          <w:sz w:val="20"/>
          <w:lang w:val="es-MX"/>
        </w:rPr>
        <w:t>.</w:t>
      </w:r>
      <w:r w:rsidRPr="004754B0">
        <w:rPr>
          <w:sz w:val="20"/>
          <w:lang w:val="es-MX"/>
        </w:rPr>
        <w:t>M</w:t>
      </w:r>
      <w:r>
        <w:rPr>
          <w:sz w:val="20"/>
          <w:lang w:val="es-MX"/>
        </w:rPr>
        <w:t>.</w:t>
      </w:r>
      <w:r w:rsidRPr="004754B0">
        <w:rPr>
          <w:sz w:val="20"/>
          <w:lang w:val="es-MX"/>
        </w:rPr>
        <w:t xml:space="preserve"> </w:t>
      </w:r>
      <w:r>
        <w:rPr>
          <w:sz w:val="20"/>
          <w:lang w:val="es-MX"/>
        </w:rPr>
        <w:t>l</w:t>
      </w:r>
      <w:r w:rsidRPr="004754B0">
        <w:rPr>
          <w:sz w:val="20"/>
          <w:lang w:val="es-MX"/>
        </w:rPr>
        <w:t>ogró abrir la reja de la celda 4 y</w:t>
      </w:r>
      <w:r>
        <w:rPr>
          <w:sz w:val="20"/>
          <w:lang w:val="es-MX"/>
        </w:rPr>
        <w:t>,</w:t>
      </w:r>
      <w:r w:rsidRPr="004754B0">
        <w:rPr>
          <w:sz w:val="20"/>
          <w:lang w:val="es-MX"/>
        </w:rPr>
        <w:t xml:space="preserve"> con la ayuda de paramédicos que llegaron del 171, los guías sacaron a José Mota y Gabriel Yáñez con vida. Johan Correa, Rafael Parra</w:t>
      </w:r>
      <w:r>
        <w:rPr>
          <w:sz w:val="20"/>
          <w:lang w:val="es-MX"/>
        </w:rPr>
        <w:t xml:space="preserve"> </w:t>
      </w:r>
      <w:r w:rsidRPr="004754B0">
        <w:rPr>
          <w:sz w:val="20"/>
          <w:lang w:val="es-MX"/>
        </w:rPr>
        <w:t xml:space="preserve">y Cristian </w:t>
      </w:r>
      <w:r>
        <w:rPr>
          <w:sz w:val="20"/>
          <w:lang w:val="es-MX"/>
        </w:rPr>
        <w:t>M</w:t>
      </w:r>
      <w:r w:rsidRPr="004754B0">
        <w:rPr>
          <w:sz w:val="20"/>
          <w:lang w:val="es-MX"/>
        </w:rPr>
        <w:t>olina habían perecido, y fueron sacados del lugar como media hora después</w:t>
      </w:r>
      <w:r>
        <w:rPr>
          <w:sz w:val="20"/>
          <w:lang w:val="es-MX"/>
        </w:rPr>
        <w:t>.</w:t>
      </w:r>
      <w:r w:rsidRPr="004754B0">
        <w:rPr>
          <w:sz w:val="20"/>
          <w:lang w:val="es-MX"/>
        </w:rPr>
        <w:t xml:space="preserve"> </w:t>
      </w:r>
      <w:r w:rsidRPr="00F100AA">
        <w:rPr>
          <w:sz w:val="20"/>
          <w:lang w:val="es-MX"/>
        </w:rPr>
        <w:t>Cuando los</w:t>
      </w:r>
      <w:r>
        <w:rPr>
          <w:sz w:val="20"/>
          <w:szCs w:val="20"/>
        </w:rPr>
        <w:t xml:space="preserve"> </w:t>
      </w:r>
      <w:r w:rsidRPr="00F100AA">
        <w:rPr>
          <w:sz w:val="20"/>
          <w:lang w:val="es-MX"/>
        </w:rPr>
        <w:t>bomberos llegaron</w:t>
      </w:r>
      <w:r>
        <w:rPr>
          <w:sz w:val="20"/>
          <w:lang w:val="es-MX"/>
        </w:rPr>
        <w:t xml:space="preserve"> el incendio estaba ya prácticamente extinguido. </w:t>
      </w:r>
    </w:p>
    <w:p w14:paraId="13F8AF38" w14:textId="77777777" w:rsidR="00D47AFE" w:rsidRPr="004754B0" w:rsidRDefault="00D47AFE" w:rsidP="00B476ED">
      <w:pPr>
        <w:pStyle w:val="Prrafodelista"/>
        <w:spacing w:line="240" w:lineRule="auto"/>
        <w:ind w:right="-801"/>
        <w:rPr>
          <w:sz w:val="20"/>
          <w:lang w:val="es-MX"/>
        </w:rPr>
      </w:pPr>
    </w:p>
    <w:p w14:paraId="4666B3A9" w14:textId="77777777" w:rsidR="00D47AFE" w:rsidRPr="008A7A61"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8A7A61">
        <w:rPr>
          <w:sz w:val="20"/>
          <w:szCs w:val="20"/>
          <w:lang w:val="es-MX"/>
        </w:rPr>
        <w:t>Posteriormente, se efectuó el traslado de los jóvenes Mota y Yáñez a la clínica Manuel Piar, la cual inicialmente se negó a recibirlos por supuesta falta de convenio con el INAM. Allí fallecieron poco tiempo después. Las cinco víctimas murieron debido a la gravedad de sus heridas y afectaciones respiratorias</w:t>
      </w:r>
      <w:r w:rsidRPr="008A7A61">
        <w:rPr>
          <w:rStyle w:val="Refdenotaalpie"/>
          <w:sz w:val="20"/>
          <w:szCs w:val="20"/>
          <w:lang w:eastAsia="x-none"/>
        </w:rPr>
        <w:footnoteReference w:id="58"/>
      </w:r>
      <w:r w:rsidRPr="008A7A61">
        <w:rPr>
          <w:sz w:val="20"/>
          <w:szCs w:val="20"/>
          <w:lang w:val="es-MX"/>
        </w:rPr>
        <w:t xml:space="preserve">. En consecuencia, sus muertes fueron causadas por un incendio </w:t>
      </w:r>
      <w:r w:rsidRPr="008A7A61">
        <w:rPr>
          <w:sz w:val="20"/>
          <w:szCs w:val="20"/>
          <w:lang w:val="es-MX"/>
        </w:rPr>
        <w:lastRenderedPageBreak/>
        <w:t xml:space="preserve">que ni las autoridades del Centro ni servicios externos de emergencia pudieron evitar o sofocar. Tales autoridades y servicios no prestaron una asistencia que lograra salvar las vidas de los cinco jóvenes. Sus cuerpos fueron trasladados a la morgue del Hospital Raúl </w:t>
      </w:r>
      <w:proofErr w:type="spellStart"/>
      <w:r w:rsidRPr="008A7A61">
        <w:rPr>
          <w:sz w:val="20"/>
          <w:szCs w:val="20"/>
          <w:lang w:val="es-MX"/>
        </w:rPr>
        <w:t>Leoní</w:t>
      </w:r>
      <w:proofErr w:type="spellEnd"/>
      <w:r w:rsidRPr="008A7A61">
        <w:rPr>
          <w:sz w:val="20"/>
          <w:szCs w:val="20"/>
          <w:lang w:val="es-MX"/>
        </w:rPr>
        <w:t xml:space="preserve">, donde se les practicaron reconocimientos médicos y autopsias. </w:t>
      </w:r>
    </w:p>
    <w:p w14:paraId="6D073CB3" w14:textId="77777777" w:rsidR="00D47AFE" w:rsidRPr="004754B0" w:rsidRDefault="00D47AFE" w:rsidP="00B476ED">
      <w:pPr>
        <w:pStyle w:val="Prrafodelista"/>
        <w:spacing w:line="240" w:lineRule="auto"/>
        <w:ind w:right="-801"/>
        <w:rPr>
          <w:sz w:val="20"/>
          <w:lang w:val="es-MX"/>
        </w:rPr>
      </w:pPr>
    </w:p>
    <w:p w14:paraId="49B084DB" w14:textId="7CAF7AFD" w:rsidR="00D47AFE" w:rsidRPr="004754B0" w:rsidRDefault="00D47AFE" w:rsidP="002A479E">
      <w:pPr>
        <w:pStyle w:val="Prrafodelista"/>
        <w:spacing w:line="240" w:lineRule="auto"/>
        <w:ind w:left="284" w:right="-801"/>
        <w:outlineLvl w:val="1"/>
        <w:rPr>
          <w:b/>
          <w:i/>
          <w:sz w:val="20"/>
          <w:lang w:val="es-MX"/>
        </w:rPr>
      </w:pPr>
      <w:bookmarkStart w:id="42" w:name="_Toc58329003"/>
      <w:bookmarkStart w:id="43" w:name="_Toc58330217"/>
      <w:r w:rsidRPr="004754B0">
        <w:rPr>
          <w:b/>
          <w:i/>
          <w:sz w:val="20"/>
          <w:lang w:val="es-MX"/>
        </w:rPr>
        <w:t xml:space="preserve">D. </w:t>
      </w:r>
      <w:r>
        <w:rPr>
          <w:b/>
          <w:i/>
          <w:sz w:val="20"/>
          <w:lang w:val="es-MX"/>
        </w:rPr>
        <w:t>A</w:t>
      </w:r>
      <w:r w:rsidRPr="004754B0">
        <w:rPr>
          <w:b/>
          <w:i/>
          <w:sz w:val="20"/>
          <w:lang w:val="es-MX"/>
        </w:rPr>
        <w:t>ct</w:t>
      </w:r>
      <w:r>
        <w:rPr>
          <w:b/>
          <w:i/>
          <w:sz w:val="20"/>
          <w:lang w:val="es-MX"/>
        </w:rPr>
        <w:t>os de investigación y proceso j</w:t>
      </w:r>
      <w:r w:rsidRPr="004754B0">
        <w:rPr>
          <w:b/>
          <w:i/>
          <w:sz w:val="20"/>
          <w:lang w:val="es-MX"/>
        </w:rPr>
        <w:t>udicial</w:t>
      </w:r>
      <w:bookmarkEnd w:id="42"/>
      <w:bookmarkEnd w:id="43"/>
    </w:p>
    <w:p w14:paraId="13E599B5" w14:textId="77777777" w:rsidR="00D47AFE" w:rsidRPr="004754B0" w:rsidRDefault="00D47AFE" w:rsidP="00B476ED">
      <w:pPr>
        <w:pStyle w:val="Prrafodelista"/>
        <w:spacing w:line="240" w:lineRule="auto"/>
        <w:ind w:right="-801"/>
        <w:rPr>
          <w:sz w:val="20"/>
          <w:lang w:val="es-MX"/>
        </w:rPr>
      </w:pPr>
    </w:p>
    <w:p w14:paraId="6A46678E" w14:textId="77777777" w:rsidR="00D47AFE" w:rsidRPr="004754B0"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4754B0">
        <w:rPr>
          <w:sz w:val="20"/>
          <w:lang w:val="es-MX"/>
        </w:rPr>
        <w:t>La investigación inició el mismo día de los hechos y al mes siguiente se involucraron el Consejo Nacional de Derechos del Niño y del Adolescente y la Comisión Permanente de Familia, Mujer y Juventud de la Asamblea Nacional.</w:t>
      </w:r>
    </w:p>
    <w:p w14:paraId="29FF9245" w14:textId="77777777" w:rsidR="00D47AFE" w:rsidRPr="004754B0" w:rsidRDefault="00D47AFE" w:rsidP="00B476ED">
      <w:pPr>
        <w:widowControl/>
        <w:tabs>
          <w:tab w:val="left" w:pos="567"/>
        </w:tabs>
        <w:autoSpaceDE w:val="0"/>
        <w:autoSpaceDN w:val="0"/>
        <w:adjustRightInd/>
        <w:spacing w:line="240" w:lineRule="auto"/>
        <w:ind w:right="-801"/>
        <w:textAlignment w:val="auto"/>
        <w:rPr>
          <w:sz w:val="20"/>
          <w:szCs w:val="20"/>
        </w:rPr>
      </w:pPr>
    </w:p>
    <w:p w14:paraId="4C9B392E" w14:textId="3AEF7D1D" w:rsidR="00D47AFE" w:rsidRPr="008A7A61"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8A7A61">
        <w:rPr>
          <w:sz w:val="20"/>
          <w:szCs w:val="20"/>
          <w:lang w:val="es-MX"/>
        </w:rPr>
        <w:t>Familiares de los jóvenes muertos denunciaron ante autoridades y ante medios de comunicación que lo ocurrido habría sido una represalia por denuncias previas, llegando a afirmar que el incendio fue un plan previamente acordado por el personal del Centro</w:t>
      </w:r>
      <w:r w:rsidRPr="008A7A61">
        <w:rPr>
          <w:rStyle w:val="Refdenotaalpie"/>
          <w:sz w:val="20"/>
          <w:szCs w:val="20"/>
          <w:lang w:eastAsia="x-none"/>
        </w:rPr>
        <w:footnoteReference w:id="59"/>
      </w:r>
      <w:r w:rsidRPr="008A7A61">
        <w:rPr>
          <w:sz w:val="20"/>
          <w:szCs w:val="20"/>
          <w:lang w:val="es-MX"/>
        </w:rPr>
        <w:t xml:space="preserve">. </w:t>
      </w:r>
      <w:r w:rsidRPr="008A7A61">
        <w:rPr>
          <w:bCs/>
          <w:sz w:val="20"/>
          <w:szCs w:val="20"/>
          <w:lang w:val="es-MX"/>
        </w:rPr>
        <w:t>Acerca de las denuncias previas referidas, consta que una jueza declaró que, ocho días antes del incendio, algunos de los jóvenes de la celda 4 habían señalado, ante ella, conductas irregulares de personal del INAM</w:t>
      </w:r>
      <w:r w:rsidR="00401448">
        <w:rPr>
          <w:bCs/>
          <w:sz w:val="20"/>
          <w:szCs w:val="20"/>
          <w:lang w:val="es-MX"/>
        </w:rPr>
        <w:t>-</w:t>
      </w:r>
      <w:r w:rsidRPr="008A7A61">
        <w:rPr>
          <w:bCs/>
          <w:sz w:val="20"/>
          <w:szCs w:val="20"/>
          <w:lang w:val="es-MX"/>
        </w:rPr>
        <w:t>San Félix</w:t>
      </w:r>
      <w:r w:rsidRPr="008A7A61">
        <w:rPr>
          <w:rStyle w:val="Refdenotaalpie"/>
          <w:bCs/>
          <w:sz w:val="20"/>
          <w:szCs w:val="20"/>
        </w:rPr>
        <w:footnoteReference w:id="60"/>
      </w:r>
      <w:r w:rsidRPr="008A7A61">
        <w:rPr>
          <w:bCs/>
          <w:sz w:val="20"/>
          <w:szCs w:val="20"/>
          <w:lang w:val="es-MX"/>
        </w:rPr>
        <w:t>.</w:t>
      </w:r>
    </w:p>
    <w:p w14:paraId="79ED8AED" w14:textId="77777777" w:rsidR="00D47AFE" w:rsidRPr="0049033D" w:rsidRDefault="00D47AFE" w:rsidP="00B476ED">
      <w:pPr>
        <w:pStyle w:val="Prrafodelista"/>
        <w:spacing w:line="240" w:lineRule="auto"/>
        <w:ind w:right="-801"/>
        <w:rPr>
          <w:sz w:val="20"/>
        </w:rPr>
      </w:pPr>
    </w:p>
    <w:p w14:paraId="28F7918C" w14:textId="1230FCB9" w:rsidR="00D47AFE" w:rsidRPr="008A7A61"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8A7A61">
        <w:rPr>
          <w:sz w:val="20"/>
          <w:szCs w:val="20"/>
          <w:lang w:val="es-MX"/>
        </w:rPr>
        <w:t>Durante los meses de julio y agosto de 2005 se recibieron diversas declaraciones, entre las que se encuentran las siguientes: de B.H., asistente social del INAM</w:t>
      </w:r>
      <w:r w:rsidR="00401448">
        <w:rPr>
          <w:sz w:val="20"/>
          <w:szCs w:val="20"/>
          <w:lang w:val="es-MX"/>
        </w:rPr>
        <w:t>-</w:t>
      </w:r>
      <w:r w:rsidRPr="008A7A61">
        <w:rPr>
          <w:sz w:val="20"/>
          <w:szCs w:val="20"/>
          <w:lang w:val="es-MX"/>
        </w:rPr>
        <w:t>San Félix; de C.Z y J.L., quienes habían estado privados de libertad en la celda 4 hasta el día del incendio; de los guías N.R., J. C., y F.G.; de los internos del INAM-San Félix C.M. y J.M., y de la jueza Y.B.</w:t>
      </w:r>
      <w:r w:rsidRPr="008A7A61">
        <w:rPr>
          <w:rStyle w:val="Refdenotaalpie"/>
          <w:sz w:val="20"/>
          <w:szCs w:val="20"/>
        </w:rPr>
        <w:footnoteReference w:id="61"/>
      </w:r>
      <w:r w:rsidRPr="008A7A61">
        <w:rPr>
          <w:sz w:val="20"/>
          <w:szCs w:val="20"/>
          <w:lang w:val="es-MX"/>
        </w:rPr>
        <w:t>.</w:t>
      </w:r>
      <w:r w:rsidRPr="008A7A61">
        <w:rPr>
          <w:sz w:val="20"/>
          <w:szCs w:val="20"/>
        </w:rPr>
        <w:t xml:space="preserve"> </w:t>
      </w:r>
      <w:r w:rsidRPr="008A7A61">
        <w:rPr>
          <w:sz w:val="20"/>
          <w:szCs w:val="20"/>
          <w:lang w:val="es-MX"/>
        </w:rPr>
        <w:t>El 31 de agosto de 2005 se realizó un informe pericial respecto a las causas del incendio</w:t>
      </w:r>
      <w:r w:rsidRPr="008A7A61">
        <w:rPr>
          <w:rStyle w:val="Refdenotaalpie"/>
          <w:sz w:val="20"/>
          <w:szCs w:val="20"/>
        </w:rPr>
        <w:footnoteReference w:id="62"/>
      </w:r>
      <w:r w:rsidRPr="008A7A61">
        <w:rPr>
          <w:sz w:val="20"/>
          <w:szCs w:val="20"/>
          <w:lang w:val="es-MX"/>
        </w:rPr>
        <w:t xml:space="preserve">. </w:t>
      </w:r>
    </w:p>
    <w:p w14:paraId="3C976D9E" w14:textId="77777777" w:rsidR="00D47AFE" w:rsidRPr="00435EFD" w:rsidRDefault="00D47AFE" w:rsidP="00B476ED">
      <w:pPr>
        <w:pStyle w:val="Prrafodelista"/>
        <w:spacing w:line="240" w:lineRule="auto"/>
        <w:ind w:right="-801"/>
        <w:rPr>
          <w:sz w:val="20"/>
          <w:szCs w:val="20"/>
          <w:lang w:val="es-MX"/>
        </w:rPr>
      </w:pPr>
    </w:p>
    <w:p w14:paraId="1855245C" w14:textId="77777777" w:rsidR="00D47AFE" w:rsidRPr="008A7A61"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8A7A61">
        <w:rPr>
          <w:sz w:val="20"/>
          <w:szCs w:val="20"/>
          <w:lang w:val="es-MX"/>
        </w:rPr>
        <w:t>En diciembre de 2005 el Ministerio Público solicitó la exhumación de los cuerpos de los cinco jóvenes. Hizo esta solicitud con base en declaraciones en las que se indicó que un señor que trabaja en la morgue había dicho que las víctimas olían a “</w:t>
      </w:r>
      <w:proofErr w:type="spellStart"/>
      <w:r w:rsidRPr="008A7A61">
        <w:rPr>
          <w:iCs/>
          <w:sz w:val="20"/>
          <w:szCs w:val="20"/>
          <w:lang w:val="es-MX"/>
        </w:rPr>
        <w:t>tiner</w:t>
      </w:r>
      <w:proofErr w:type="spellEnd"/>
      <w:r w:rsidRPr="008A7A61">
        <w:rPr>
          <w:iCs/>
          <w:sz w:val="20"/>
          <w:szCs w:val="20"/>
          <w:lang w:val="es-MX"/>
        </w:rPr>
        <w:t>”</w:t>
      </w:r>
      <w:r w:rsidRPr="008A7A61">
        <w:rPr>
          <w:sz w:val="20"/>
          <w:szCs w:val="20"/>
          <w:lang w:val="es-MX"/>
        </w:rPr>
        <w:t xml:space="preserve">. A su vez, la abuela de </w:t>
      </w:r>
      <w:r w:rsidRPr="008A7A61">
        <w:rPr>
          <w:sz w:val="20"/>
          <w:szCs w:val="20"/>
          <w:lang w:val="es-MX"/>
        </w:rPr>
        <w:lastRenderedPageBreak/>
        <w:t>Rafael Parra había manifestado “que lo ocurrido había sido un ajusticiamiento”</w:t>
      </w:r>
      <w:r w:rsidRPr="008A7A61">
        <w:rPr>
          <w:rStyle w:val="Refdenotaalpie"/>
          <w:sz w:val="20"/>
          <w:szCs w:val="20"/>
          <w:lang w:eastAsia="x-none"/>
        </w:rPr>
        <w:footnoteReference w:id="63"/>
      </w:r>
      <w:r w:rsidRPr="008A7A61">
        <w:rPr>
          <w:sz w:val="20"/>
          <w:szCs w:val="20"/>
          <w:lang w:val="es-MX"/>
        </w:rPr>
        <w:t>. Las nuevas autopsias no arrojaron hallazgos adicionales sobre las causas de muerte</w:t>
      </w:r>
      <w:r w:rsidRPr="008A7A61">
        <w:rPr>
          <w:rStyle w:val="Refdenotaalpie"/>
          <w:sz w:val="20"/>
          <w:szCs w:val="20"/>
        </w:rPr>
        <w:footnoteReference w:id="64"/>
      </w:r>
      <w:r w:rsidRPr="008A7A61">
        <w:rPr>
          <w:sz w:val="20"/>
          <w:szCs w:val="20"/>
          <w:lang w:val="es-MX"/>
        </w:rPr>
        <w:t xml:space="preserve">. </w:t>
      </w:r>
    </w:p>
    <w:p w14:paraId="1560AEB9" w14:textId="77777777" w:rsidR="00D47AFE" w:rsidRPr="008A7A61" w:rsidRDefault="00D47AFE" w:rsidP="00B476ED">
      <w:pPr>
        <w:pStyle w:val="Prrafodelista"/>
        <w:spacing w:line="240" w:lineRule="auto"/>
        <w:ind w:right="-801"/>
        <w:rPr>
          <w:sz w:val="20"/>
          <w:szCs w:val="20"/>
          <w:lang w:val="es-MX"/>
        </w:rPr>
      </w:pPr>
    </w:p>
    <w:p w14:paraId="391BA5C1" w14:textId="77777777" w:rsidR="00D47AFE" w:rsidRPr="008A7A61"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8A7A61">
        <w:rPr>
          <w:sz w:val="20"/>
          <w:szCs w:val="20"/>
          <w:lang w:val="es-MX"/>
        </w:rPr>
        <w:t>Por medio de comunicaciones de 6 de abril de 2006 se informó a J.C., F.G. y N.R. que habían sido imputados en la causa y se les nombró una defensora pública</w:t>
      </w:r>
      <w:r w:rsidRPr="008A7A61">
        <w:rPr>
          <w:rStyle w:val="Refdenotaalpie"/>
          <w:sz w:val="20"/>
          <w:szCs w:val="20"/>
        </w:rPr>
        <w:footnoteReference w:id="65"/>
      </w:r>
      <w:r w:rsidRPr="008A7A61">
        <w:rPr>
          <w:sz w:val="20"/>
          <w:szCs w:val="20"/>
          <w:lang w:val="es-MX"/>
        </w:rPr>
        <w:t>. Antes de eso, y con posterioridad al incendio, habían sido suspendidos de sus cargos.</w:t>
      </w:r>
    </w:p>
    <w:p w14:paraId="74B2BFF1" w14:textId="77777777" w:rsidR="00D47AFE" w:rsidRPr="00435EFD" w:rsidRDefault="00D47AFE" w:rsidP="00B476ED">
      <w:pPr>
        <w:pStyle w:val="Prrafodelista"/>
        <w:spacing w:line="240" w:lineRule="auto"/>
        <w:ind w:right="-801"/>
        <w:rPr>
          <w:sz w:val="20"/>
          <w:szCs w:val="20"/>
          <w:lang w:val="es-MX"/>
        </w:rPr>
      </w:pPr>
    </w:p>
    <w:p w14:paraId="087A70CC" w14:textId="77777777" w:rsidR="00D47AFE" w:rsidRPr="008A7A61"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8A7A61">
        <w:rPr>
          <w:sz w:val="20"/>
          <w:szCs w:val="20"/>
          <w:lang w:val="es-MX"/>
        </w:rPr>
        <w:t>El 25 de agosto de 2006 se efectuó la diligencia de reconstrucción de hechos, que, conforme el informe respectivo, “no se puedo realizar a cabalidad”, ya que el área en que se había suscitado el incendio estaba “totalmente modificada”. El 31 de octubre de 2006 se volvió a realizar la diligencia</w:t>
      </w:r>
      <w:r w:rsidRPr="008A7A61">
        <w:rPr>
          <w:rStyle w:val="Refdenotaalpie"/>
          <w:sz w:val="20"/>
          <w:szCs w:val="20"/>
          <w:lang w:eastAsia="x-none"/>
        </w:rPr>
        <w:footnoteReference w:id="66"/>
      </w:r>
      <w:r w:rsidRPr="008A7A61">
        <w:rPr>
          <w:sz w:val="20"/>
          <w:szCs w:val="20"/>
          <w:lang w:val="es-MX"/>
        </w:rPr>
        <w:t>.</w:t>
      </w:r>
      <w:r w:rsidRPr="008A7A61">
        <w:rPr>
          <w:sz w:val="20"/>
          <w:szCs w:val="20"/>
        </w:rPr>
        <w:t xml:space="preserve"> Varios meses después, en</w:t>
      </w:r>
      <w:r w:rsidRPr="008A7A61">
        <w:rPr>
          <w:sz w:val="20"/>
          <w:szCs w:val="20"/>
          <w:lang w:val="es-MX"/>
        </w:rPr>
        <w:t xml:space="preserve"> de mayo de 2007, el Cuerpo de Bomberos entregó al Fiscal interviniente un informe sobre los hechos.</w:t>
      </w:r>
    </w:p>
    <w:p w14:paraId="5C45F97B" w14:textId="77777777" w:rsidR="00D47AFE" w:rsidRPr="004754B0" w:rsidRDefault="00D47AFE" w:rsidP="00B476ED">
      <w:pPr>
        <w:pStyle w:val="Prrafodelista"/>
        <w:spacing w:line="240" w:lineRule="auto"/>
        <w:ind w:right="-801"/>
        <w:rPr>
          <w:sz w:val="20"/>
          <w:lang w:val="es-MX"/>
        </w:rPr>
      </w:pPr>
    </w:p>
    <w:p w14:paraId="0380C671" w14:textId="77777777" w:rsidR="00D47AFE" w:rsidRPr="004754B0"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4754B0">
        <w:rPr>
          <w:sz w:val="20"/>
          <w:lang w:val="es-MX"/>
        </w:rPr>
        <w:t xml:space="preserve">El 29 de septiembre de 2008, la Fiscal Cuadragésima Segunda Comisionada del Ministerio Público, con competencia plena a nivel nacional y el Fiscal Décimo Primero del Ministerio Público del Segundo Circuito de la Circunscripción Judicial del Estado de Bolívar, presentaron acusación formal en contra de </w:t>
      </w:r>
      <w:r>
        <w:rPr>
          <w:sz w:val="20"/>
          <w:lang w:val="es-MX"/>
        </w:rPr>
        <w:t xml:space="preserve">J.C., F.G. y N.R. </w:t>
      </w:r>
      <w:r w:rsidRPr="004754B0">
        <w:rPr>
          <w:sz w:val="20"/>
          <w:lang w:val="es-MX"/>
        </w:rPr>
        <w:t>por homicidio culposo y solicitaron admitir la acusación y dar apertura a juicio oral. En la acusación formal se indicó que</w:t>
      </w:r>
      <w:r>
        <w:rPr>
          <w:sz w:val="20"/>
          <w:lang w:val="es-MX"/>
        </w:rPr>
        <w:t>,</w:t>
      </w:r>
      <w:r w:rsidRPr="004754B0">
        <w:rPr>
          <w:sz w:val="20"/>
          <w:lang w:val="es-MX"/>
        </w:rPr>
        <w:t xml:space="preserve"> el 30 de junio de 2005</w:t>
      </w:r>
      <w:r>
        <w:rPr>
          <w:sz w:val="20"/>
          <w:lang w:val="es-MX"/>
        </w:rPr>
        <w:t>,</w:t>
      </w:r>
    </w:p>
    <w:p w14:paraId="7E499FF5" w14:textId="77777777" w:rsidR="00D47AFE" w:rsidRPr="004754B0" w:rsidRDefault="00D47AFE" w:rsidP="00B476ED">
      <w:pPr>
        <w:pStyle w:val="Prrafodelista"/>
        <w:spacing w:line="240" w:lineRule="auto"/>
        <w:ind w:right="-801"/>
        <w:rPr>
          <w:sz w:val="20"/>
          <w:lang w:val="es-MX"/>
        </w:rPr>
      </w:pPr>
    </w:p>
    <w:p w14:paraId="698A8212" w14:textId="77777777" w:rsidR="00D47AFE" w:rsidRPr="004754B0" w:rsidRDefault="00D47AFE" w:rsidP="00B476ED">
      <w:pPr>
        <w:spacing w:line="240" w:lineRule="auto"/>
        <w:ind w:left="567" w:right="-234"/>
        <w:rPr>
          <w:sz w:val="16"/>
          <w:szCs w:val="16"/>
        </w:rPr>
      </w:pPr>
      <w:r>
        <w:rPr>
          <w:sz w:val="16"/>
          <w:szCs w:val="16"/>
        </w:rPr>
        <w:t>h</w:t>
      </w:r>
      <w:r w:rsidRPr="004754B0">
        <w:rPr>
          <w:sz w:val="16"/>
          <w:szCs w:val="16"/>
        </w:rPr>
        <w:t xml:space="preserve">ubo una tentativa de motín entre los internos adolescentes de la celda número dos (2) y los jóvenes adultos de </w:t>
      </w:r>
      <w:r>
        <w:rPr>
          <w:sz w:val="16"/>
          <w:szCs w:val="16"/>
        </w:rPr>
        <w:t>l</w:t>
      </w:r>
      <w:r w:rsidRPr="004754B0">
        <w:rPr>
          <w:sz w:val="16"/>
          <w:szCs w:val="16"/>
        </w:rPr>
        <w:t>a celda número cuatro (4), logrando ser controlado este intento de motín</w:t>
      </w:r>
      <w:r>
        <w:rPr>
          <w:sz w:val="16"/>
          <w:szCs w:val="16"/>
        </w:rPr>
        <w:t>,</w:t>
      </w:r>
      <w:r w:rsidRPr="004754B0">
        <w:rPr>
          <w:sz w:val="16"/>
          <w:szCs w:val="16"/>
        </w:rPr>
        <w:t xml:space="preserve"> por [los imputados], a consecuencia de esta intentona y como medio de defensa [las víctimas del incendio], encienden cerca de la puerta de acceso a la celda [número 4], varias colchonetas, tratando de este modo evitar que los adolescentes de la celda número 2 ingresaran a la celda número 4. </w:t>
      </w:r>
      <w:r>
        <w:rPr>
          <w:sz w:val="16"/>
          <w:szCs w:val="16"/>
        </w:rPr>
        <w:t>[</w:t>
      </w:r>
      <w:r w:rsidRPr="004754B0">
        <w:rPr>
          <w:sz w:val="16"/>
          <w:szCs w:val="16"/>
        </w:rPr>
        <w:t>A]l observar que las llamas se salían de control, los jóvenes adultos gritaban solicitando ayuda y socorro, siendo este llamado escuchado desde la parte externa del recinto, por los familiares de los detenidos que momentos antes asistieron a la visita correspondiente, así como por el personal que labora[</w:t>
      </w:r>
      <w:proofErr w:type="spellStart"/>
      <w:r w:rsidRPr="004754B0">
        <w:rPr>
          <w:sz w:val="16"/>
          <w:szCs w:val="16"/>
        </w:rPr>
        <w:t>ba</w:t>
      </w:r>
      <w:proofErr w:type="spellEnd"/>
      <w:r w:rsidRPr="004754B0">
        <w:rPr>
          <w:sz w:val="16"/>
          <w:szCs w:val="16"/>
        </w:rPr>
        <w:t>] en el centro de diagnóstico. Cabe destacar que [los imputados], actuaron de manera negligente al no atender a la solicitud de auxilio por parte de [las víctimas] y no abrir inmediatamente la puerta que da acceso a la celda donde se encontraban recluid[a]s [las víctimas]</w:t>
      </w:r>
      <w:r w:rsidRPr="004754B0">
        <w:rPr>
          <w:rStyle w:val="Refdenotaalpie"/>
          <w:sz w:val="16"/>
          <w:szCs w:val="16"/>
          <w:lang w:eastAsia="x-none"/>
        </w:rPr>
        <w:footnoteReference w:id="67"/>
      </w:r>
      <w:r>
        <w:rPr>
          <w:sz w:val="16"/>
          <w:szCs w:val="16"/>
        </w:rPr>
        <w:t>.</w:t>
      </w:r>
      <w:r w:rsidRPr="004754B0">
        <w:rPr>
          <w:b/>
          <w:bCs/>
          <w:sz w:val="16"/>
          <w:szCs w:val="16"/>
        </w:rPr>
        <w:t xml:space="preserve"> </w:t>
      </w:r>
    </w:p>
    <w:p w14:paraId="01ACE75A" w14:textId="77777777" w:rsidR="00D47AFE" w:rsidRPr="004754B0" w:rsidRDefault="00D47AFE" w:rsidP="00B476ED">
      <w:pPr>
        <w:pStyle w:val="Prrafodelista"/>
        <w:spacing w:line="240" w:lineRule="auto"/>
        <w:ind w:right="-801"/>
        <w:rPr>
          <w:sz w:val="20"/>
          <w:lang w:val="es-MX"/>
        </w:rPr>
      </w:pPr>
    </w:p>
    <w:p w14:paraId="61341001" w14:textId="77777777" w:rsidR="00D47AFE" w:rsidRPr="008A7A61"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r w:rsidRPr="008A7A61">
        <w:rPr>
          <w:sz w:val="20"/>
          <w:szCs w:val="20"/>
          <w:lang w:val="es-MX"/>
        </w:rPr>
        <w:t>Entre junio de 2010 y enero de 2015, la audiencia de juicio fue diferida en, por lo menos, siete ocasiones</w:t>
      </w:r>
      <w:r w:rsidRPr="008A7A61">
        <w:rPr>
          <w:rStyle w:val="Refdenotaalpie"/>
          <w:sz w:val="20"/>
          <w:szCs w:val="20"/>
          <w:lang w:eastAsia="x-none"/>
        </w:rPr>
        <w:footnoteReference w:id="68"/>
      </w:r>
      <w:r w:rsidRPr="008A7A61">
        <w:rPr>
          <w:sz w:val="20"/>
          <w:szCs w:val="20"/>
          <w:lang w:val="es-MX"/>
        </w:rPr>
        <w:t xml:space="preserve">. </w:t>
      </w:r>
      <w:r w:rsidRPr="008A7A61">
        <w:rPr>
          <w:bCs/>
          <w:sz w:val="20"/>
          <w:szCs w:val="20"/>
          <w:lang w:val="es-MX"/>
        </w:rPr>
        <w:t>Los representantes han señalado que, para septiembre de 2019, más de “14 años después de los hechos, la [a]</w:t>
      </w:r>
      <w:proofErr w:type="spellStart"/>
      <w:r w:rsidRPr="008A7A61">
        <w:rPr>
          <w:bCs/>
          <w:sz w:val="20"/>
          <w:szCs w:val="20"/>
          <w:lang w:val="es-MX"/>
        </w:rPr>
        <w:t>udiencia</w:t>
      </w:r>
      <w:proofErr w:type="spellEnd"/>
      <w:r w:rsidRPr="008A7A61">
        <w:rPr>
          <w:bCs/>
          <w:sz w:val="20"/>
          <w:szCs w:val="20"/>
          <w:lang w:val="es-MX"/>
        </w:rPr>
        <w:t xml:space="preserve"> de [j]</w:t>
      </w:r>
      <w:proofErr w:type="spellStart"/>
      <w:r w:rsidRPr="008A7A61">
        <w:rPr>
          <w:bCs/>
          <w:sz w:val="20"/>
          <w:szCs w:val="20"/>
          <w:lang w:val="es-MX"/>
        </w:rPr>
        <w:t>uicio</w:t>
      </w:r>
      <w:proofErr w:type="spellEnd"/>
      <w:r w:rsidRPr="008A7A61">
        <w:rPr>
          <w:bCs/>
          <w:sz w:val="20"/>
          <w:szCs w:val="20"/>
          <w:lang w:val="es-MX"/>
        </w:rPr>
        <w:t xml:space="preserve"> ha[</w:t>
      </w:r>
      <w:proofErr w:type="spellStart"/>
      <w:r w:rsidRPr="008A7A61">
        <w:rPr>
          <w:bCs/>
          <w:sz w:val="20"/>
          <w:szCs w:val="20"/>
          <w:lang w:val="es-MX"/>
        </w:rPr>
        <w:t>bía</w:t>
      </w:r>
      <w:proofErr w:type="spellEnd"/>
      <w:r w:rsidRPr="008A7A61">
        <w:rPr>
          <w:bCs/>
          <w:sz w:val="20"/>
          <w:szCs w:val="20"/>
          <w:lang w:val="es-MX"/>
        </w:rPr>
        <w:t>] sido diferida en al menos 60 oportunidades”.</w:t>
      </w:r>
    </w:p>
    <w:p w14:paraId="2556EBEE" w14:textId="77777777" w:rsidR="00D47AFE" w:rsidRPr="00435EFD" w:rsidRDefault="00D47AFE" w:rsidP="00B476ED">
      <w:pPr>
        <w:widowControl/>
        <w:tabs>
          <w:tab w:val="left" w:pos="567"/>
        </w:tabs>
        <w:autoSpaceDE w:val="0"/>
        <w:autoSpaceDN w:val="0"/>
        <w:adjustRightInd/>
        <w:spacing w:line="240" w:lineRule="auto"/>
        <w:ind w:right="-801"/>
        <w:textAlignment w:val="auto"/>
        <w:rPr>
          <w:sz w:val="20"/>
          <w:szCs w:val="20"/>
        </w:rPr>
      </w:pPr>
    </w:p>
    <w:p w14:paraId="12A5D3B8" w14:textId="77777777" w:rsidR="00D47AFE" w:rsidRPr="00435EFD"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sz w:val="20"/>
          <w:szCs w:val="20"/>
        </w:rPr>
      </w:pPr>
      <w:proofErr w:type="gramStart"/>
      <w:r w:rsidRPr="008A7A61">
        <w:rPr>
          <w:sz w:val="20"/>
          <w:szCs w:val="20"/>
          <w:lang w:val="es-MX"/>
        </w:rPr>
        <w:t>De acuerdo a</w:t>
      </w:r>
      <w:proofErr w:type="gramEnd"/>
      <w:r w:rsidRPr="008A7A61">
        <w:rPr>
          <w:sz w:val="20"/>
          <w:szCs w:val="20"/>
          <w:lang w:val="es-MX"/>
        </w:rPr>
        <w:t xml:space="preserve"> lo informado por los representantes, la causa se encuentra ante el Tribunal Cuarto de Funciones de Juicio Itinerante de Puerto Ordaz. El 6 de noviembre de 2019 se libró orden de captura contra J.C., F.G. y N.R., por “reiteradas incomparecencias a las audiencias de juicio”, incluso la que se iba desarrollar en esa misma fecha</w:t>
      </w:r>
      <w:r w:rsidRPr="008A7A61">
        <w:rPr>
          <w:rStyle w:val="Refdenotaalpie"/>
          <w:sz w:val="20"/>
          <w:szCs w:val="20"/>
        </w:rPr>
        <w:footnoteReference w:id="69"/>
      </w:r>
      <w:r w:rsidRPr="008A7A61">
        <w:rPr>
          <w:sz w:val="20"/>
          <w:szCs w:val="20"/>
          <w:lang w:val="es-MX"/>
        </w:rPr>
        <w:t>. Los</w:t>
      </w:r>
      <w:r w:rsidRPr="00EA0726">
        <w:rPr>
          <w:sz w:val="20"/>
          <w:szCs w:val="20"/>
          <w:lang w:val="es-MX"/>
        </w:rPr>
        <w:t xml:space="preserve"> representantes indicaron también que “[e]</w:t>
      </w:r>
      <w:r w:rsidRPr="00EA0726">
        <w:rPr>
          <w:sz w:val="20"/>
          <w:szCs w:val="20"/>
        </w:rPr>
        <w:t>n virtud de la inactividad del Ministerio Público venezolano, se interpuso una querella ante los tribunales</w:t>
      </w:r>
      <w:r w:rsidRPr="00435EFD">
        <w:rPr>
          <w:sz w:val="20"/>
          <w:szCs w:val="20"/>
        </w:rPr>
        <w:t xml:space="preserve"> competentes, </w:t>
      </w:r>
      <w:r>
        <w:rPr>
          <w:sz w:val="20"/>
          <w:szCs w:val="20"/>
        </w:rPr>
        <w:t xml:space="preserve">no </w:t>
      </w:r>
      <w:proofErr w:type="gramStart"/>
      <w:r>
        <w:rPr>
          <w:sz w:val="20"/>
          <w:szCs w:val="20"/>
        </w:rPr>
        <w:t>obstante</w:t>
      </w:r>
      <w:proofErr w:type="gramEnd"/>
      <w:r>
        <w:rPr>
          <w:sz w:val="20"/>
          <w:szCs w:val="20"/>
        </w:rPr>
        <w:t xml:space="preserve"> lo cual</w:t>
      </w:r>
      <w:r w:rsidRPr="00435EFD">
        <w:rPr>
          <w:sz w:val="20"/>
          <w:szCs w:val="20"/>
        </w:rPr>
        <w:t xml:space="preserve"> </w:t>
      </w:r>
      <w:r>
        <w:rPr>
          <w:sz w:val="20"/>
          <w:szCs w:val="20"/>
        </w:rPr>
        <w:t xml:space="preserve">ésta </w:t>
      </w:r>
      <w:r w:rsidRPr="00435EFD">
        <w:rPr>
          <w:sz w:val="20"/>
          <w:szCs w:val="20"/>
        </w:rPr>
        <w:t>nunca produjo resultados”.</w:t>
      </w:r>
    </w:p>
    <w:p w14:paraId="7EB7ED8A" w14:textId="77777777" w:rsidR="00D47AFE" w:rsidRPr="004754B0" w:rsidRDefault="00D47AFE" w:rsidP="00B476ED">
      <w:pPr>
        <w:spacing w:line="240" w:lineRule="auto"/>
        <w:ind w:right="-801"/>
      </w:pPr>
    </w:p>
    <w:p w14:paraId="7120D412" w14:textId="7D6D4DC5" w:rsidR="00D47AFE" w:rsidRPr="004754B0" w:rsidRDefault="00D47AFE" w:rsidP="00B476ED">
      <w:pPr>
        <w:pStyle w:val="Ttulo1"/>
        <w:spacing w:before="0" w:after="0"/>
        <w:ind w:right="-801"/>
      </w:pPr>
      <w:bookmarkStart w:id="44" w:name="_Toc58329004"/>
      <w:bookmarkStart w:id="45" w:name="_Toc58330218"/>
      <w:r w:rsidRPr="004754B0">
        <w:t>VI</w:t>
      </w:r>
      <w:r>
        <w:t>i</w:t>
      </w:r>
      <w:r w:rsidRPr="004754B0">
        <w:br/>
        <w:t>Fondo</w:t>
      </w:r>
      <w:bookmarkEnd w:id="44"/>
      <w:bookmarkEnd w:id="45"/>
      <w:r w:rsidRPr="004754B0">
        <w:t xml:space="preserve"> </w:t>
      </w:r>
    </w:p>
    <w:p w14:paraId="1374AA02" w14:textId="77777777" w:rsidR="00D47AFE" w:rsidRPr="004754B0" w:rsidRDefault="00D47AFE" w:rsidP="00B476ED">
      <w:pPr>
        <w:widowControl/>
        <w:tabs>
          <w:tab w:val="left" w:pos="567"/>
        </w:tabs>
        <w:autoSpaceDE w:val="0"/>
        <w:autoSpaceDN w:val="0"/>
        <w:adjustRightInd/>
        <w:spacing w:line="240" w:lineRule="auto"/>
        <w:ind w:right="-801"/>
        <w:textAlignment w:val="auto"/>
        <w:rPr>
          <w:sz w:val="20"/>
          <w:szCs w:val="20"/>
        </w:rPr>
      </w:pPr>
    </w:p>
    <w:p w14:paraId="7DAABEC1" w14:textId="77777777" w:rsidR="00D47AFE" w:rsidRPr="004754B0"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rFonts w:eastAsia="Calibri" w:cs="Verdana Bold"/>
          <w:bCs/>
          <w:sz w:val="20"/>
          <w:szCs w:val="20"/>
          <w:lang w:val="es-MX"/>
        </w:rPr>
      </w:pPr>
      <w:r w:rsidRPr="004754B0">
        <w:rPr>
          <w:rFonts w:eastAsia="Calibri" w:cs="Verdana Bold"/>
          <w:bCs/>
          <w:sz w:val="20"/>
          <w:szCs w:val="20"/>
          <w:lang w:val="es-MX"/>
        </w:rPr>
        <w:t>El caso que aquí se examina versa sobre la responsabilidad estatal por afectaciones a la integridad personal y a la vida de</w:t>
      </w:r>
      <w:r w:rsidRPr="004754B0">
        <w:rPr>
          <w:sz w:val="20"/>
          <w:szCs w:val="20"/>
          <w:lang w:val="es-ES_tradnl"/>
        </w:rPr>
        <w:t xml:space="preserve"> José Gregorio Mota </w:t>
      </w:r>
      <w:proofErr w:type="spellStart"/>
      <w:r w:rsidRPr="004754B0">
        <w:rPr>
          <w:sz w:val="20"/>
          <w:szCs w:val="20"/>
          <w:lang w:val="es-ES_tradnl"/>
        </w:rPr>
        <w:t>Abarullo</w:t>
      </w:r>
      <w:proofErr w:type="spellEnd"/>
      <w:r w:rsidRPr="004754B0">
        <w:rPr>
          <w:sz w:val="20"/>
          <w:szCs w:val="20"/>
          <w:lang w:val="es-ES_tradnl"/>
        </w:rPr>
        <w:t xml:space="preserve">, Gabriel de Jesús Yáñez Sánchez, Rafael Antonio Parra Herrera, Cristián Arnaldo Molina Córdova y Johan José Correa, como consecuencia de un incendio ocurrido el 30 de junio de 2005 en la celda en la que se hallaban, en el INAM –San Félix, que derivó en sus muertes. Se ha aducido, y el Estado ha reconocido, que dichas circunstancias conllevaron la vulneración de los derechos a la integridad personal y a la vida de los jóvenes nombrados, en relación con las obligaciones atinentes a la protección de los derechos de los niños y de respetar y garantizar los derechos. El caso también incluye la responsabilidad estatal, aceptada por Venezuela, por la falta de acciones efectivas para el esclarecimiento de los hechos y la determinación de las responsabilidades correspondientes, en perjuicio de los derechos a las garantías judiciales y a la protección judicial de familiares de los jóvenes </w:t>
      </w:r>
      <w:r>
        <w:rPr>
          <w:sz w:val="20"/>
          <w:szCs w:val="20"/>
          <w:lang w:val="es-ES_tradnl"/>
        </w:rPr>
        <w:t>muertos</w:t>
      </w:r>
      <w:r w:rsidRPr="004754B0">
        <w:rPr>
          <w:sz w:val="20"/>
          <w:szCs w:val="20"/>
          <w:lang w:val="es-ES_tradnl"/>
        </w:rPr>
        <w:t>.</w:t>
      </w:r>
      <w:r>
        <w:rPr>
          <w:sz w:val="20"/>
          <w:szCs w:val="20"/>
          <w:lang w:val="es-ES_tradnl"/>
        </w:rPr>
        <w:t xml:space="preserve"> Asimismo, abarca las alegaciones sobre la afectación al derecho a la integridad personal de tales familiares, en virtud de las circunstancias referidas. </w:t>
      </w:r>
      <w:r w:rsidRPr="004754B0">
        <w:rPr>
          <w:sz w:val="20"/>
          <w:szCs w:val="20"/>
          <w:lang w:val="es-ES_tradnl"/>
        </w:rPr>
        <w:t xml:space="preserve"> </w:t>
      </w:r>
    </w:p>
    <w:p w14:paraId="1A64DC84" w14:textId="77777777" w:rsidR="00D47AFE" w:rsidRPr="004754B0" w:rsidRDefault="00D47AFE" w:rsidP="00B476ED">
      <w:pPr>
        <w:widowControl/>
        <w:tabs>
          <w:tab w:val="left" w:pos="567"/>
        </w:tabs>
        <w:autoSpaceDE w:val="0"/>
        <w:autoSpaceDN w:val="0"/>
        <w:adjustRightInd/>
        <w:spacing w:line="240" w:lineRule="auto"/>
        <w:ind w:right="-801"/>
        <w:textAlignment w:val="auto"/>
        <w:rPr>
          <w:rFonts w:eastAsia="Calibri" w:cs="Verdana Bold"/>
          <w:bCs/>
          <w:sz w:val="20"/>
          <w:szCs w:val="20"/>
          <w:lang w:val="es-MX"/>
        </w:rPr>
      </w:pPr>
    </w:p>
    <w:p w14:paraId="2A6C64BC" w14:textId="3168C671" w:rsidR="00D47AFE" w:rsidRPr="00300F12" w:rsidRDefault="00D47AFE" w:rsidP="00B476ED">
      <w:pPr>
        <w:widowControl/>
        <w:numPr>
          <w:ilvl w:val="0"/>
          <w:numId w:val="1"/>
        </w:numPr>
        <w:tabs>
          <w:tab w:val="left" w:pos="567"/>
          <w:tab w:val="num" w:pos="1569"/>
          <w:tab w:val="num" w:pos="12305"/>
        </w:tabs>
        <w:autoSpaceDE w:val="0"/>
        <w:autoSpaceDN w:val="0"/>
        <w:adjustRightInd/>
        <w:spacing w:line="240" w:lineRule="auto"/>
        <w:ind w:left="0" w:right="-801" w:firstLine="0"/>
        <w:textAlignment w:val="auto"/>
        <w:rPr>
          <w:rFonts w:eastAsia="Calibri" w:cs="Verdana Bold"/>
          <w:bCs/>
          <w:sz w:val="16"/>
          <w:szCs w:val="16"/>
          <w:lang w:val="es-MX"/>
        </w:rPr>
      </w:pPr>
      <w:r w:rsidRPr="00300F12">
        <w:rPr>
          <w:rFonts w:eastAsia="Calibri" w:cs="Verdana Bold"/>
          <w:bCs/>
          <w:sz w:val="20"/>
          <w:szCs w:val="20"/>
          <w:lang w:val="es-MX"/>
        </w:rPr>
        <w:t xml:space="preserve">La Corte examinará, en primer </w:t>
      </w:r>
      <w:r w:rsidRPr="00EA0726">
        <w:rPr>
          <w:rFonts w:eastAsia="Calibri" w:cs="Verdana Bold"/>
          <w:bCs/>
          <w:sz w:val="20"/>
          <w:szCs w:val="20"/>
          <w:lang w:val="es-MX"/>
        </w:rPr>
        <w:t>término, las vulneraciones a los derechos a la integridad personal</w:t>
      </w:r>
      <w:r>
        <w:rPr>
          <w:rFonts w:eastAsia="Calibri" w:cs="Verdana Bold"/>
          <w:bCs/>
          <w:sz w:val="20"/>
          <w:szCs w:val="20"/>
          <w:lang w:val="es-MX"/>
        </w:rPr>
        <w:t>, a la vida y a los derechos del niño</w:t>
      </w:r>
      <w:r w:rsidRPr="00EA0726">
        <w:rPr>
          <w:rFonts w:eastAsia="Calibri" w:cs="Verdana Bold"/>
          <w:bCs/>
          <w:sz w:val="20"/>
          <w:szCs w:val="20"/>
          <w:lang w:val="es-MX"/>
        </w:rPr>
        <w:t xml:space="preserve"> de las cinco personas que </w:t>
      </w:r>
      <w:r w:rsidR="000A01F4">
        <w:rPr>
          <w:rFonts w:eastAsia="Calibri" w:cs="Verdana Bold"/>
          <w:bCs/>
          <w:sz w:val="20"/>
          <w:szCs w:val="20"/>
          <w:lang w:val="es-MX"/>
        </w:rPr>
        <w:t>fallecieron</w:t>
      </w:r>
      <w:r w:rsidRPr="00AC52B5">
        <w:rPr>
          <w:rFonts w:eastAsia="Calibri" w:cs="Verdana Bold"/>
          <w:bCs/>
          <w:sz w:val="20"/>
          <w:szCs w:val="20"/>
          <w:lang w:val="es-MX"/>
        </w:rPr>
        <w:t>; en segundo lugar analizará las violaciones a las garantías judiciales y a la protección judicial, en relación con la investigación de los hechos</w:t>
      </w:r>
      <w:r>
        <w:rPr>
          <w:rFonts w:eastAsia="Calibri" w:cs="Verdana Bold"/>
          <w:bCs/>
          <w:sz w:val="20"/>
          <w:szCs w:val="20"/>
          <w:lang w:val="es-MX"/>
        </w:rPr>
        <w:t xml:space="preserve"> y el proceso penal seguido en el caso</w:t>
      </w:r>
      <w:r w:rsidRPr="00AC52B5">
        <w:rPr>
          <w:rFonts w:eastAsia="Calibri" w:cs="Verdana Bold"/>
          <w:bCs/>
          <w:sz w:val="20"/>
          <w:szCs w:val="20"/>
          <w:lang w:val="es-MX"/>
        </w:rPr>
        <w:t>, y, en tercer término, expondrá sus consideraciones respecto a</w:t>
      </w:r>
      <w:r w:rsidRPr="00EA0726">
        <w:rPr>
          <w:rFonts w:eastAsia="Calibri" w:cs="Verdana Bold"/>
          <w:bCs/>
          <w:sz w:val="20"/>
          <w:szCs w:val="20"/>
          <w:lang w:val="es-MX"/>
        </w:rPr>
        <w:t xml:space="preserve"> la afectación al derecho a la integridad personal en perjuicio de</w:t>
      </w:r>
      <w:r w:rsidRPr="00EE062A">
        <w:rPr>
          <w:rFonts w:eastAsia="Calibri" w:cs="Verdana Bold"/>
          <w:bCs/>
          <w:sz w:val="20"/>
          <w:szCs w:val="20"/>
          <w:lang w:val="es-MX"/>
        </w:rPr>
        <w:t xml:space="preserve"> </w:t>
      </w:r>
      <w:r w:rsidRPr="003C748A">
        <w:rPr>
          <w:rFonts w:eastAsia="Calibri" w:cs="Verdana Bold"/>
          <w:bCs/>
          <w:sz w:val="20"/>
          <w:szCs w:val="20"/>
          <w:lang w:val="es-MX"/>
        </w:rPr>
        <w:t>los</w:t>
      </w:r>
      <w:r>
        <w:rPr>
          <w:rFonts w:eastAsia="Calibri" w:cs="Verdana Bold"/>
          <w:bCs/>
          <w:sz w:val="20"/>
          <w:szCs w:val="20"/>
          <w:lang w:val="es-MX"/>
        </w:rPr>
        <w:t xml:space="preserve"> </w:t>
      </w:r>
      <w:r w:rsidRPr="00EA0726">
        <w:rPr>
          <w:rFonts w:eastAsia="Calibri" w:cs="Verdana Bold"/>
          <w:bCs/>
          <w:sz w:val="20"/>
          <w:szCs w:val="20"/>
          <w:lang w:val="es-MX"/>
        </w:rPr>
        <w:t>familiares</w:t>
      </w:r>
      <w:r>
        <w:rPr>
          <w:rFonts w:eastAsia="Calibri" w:cs="Verdana Bold"/>
          <w:bCs/>
          <w:sz w:val="20"/>
          <w:szCs w:val="20"/>
          <w:lang w:val="es-MX"/>
        </w:rPr>
        <w:t xml:space="preserve"> </w:t>
      </w:r>
      <w:r w:rsidRPr="00AC52B5">
        <w:rPr>
          <w:rFonts w:eastAsia="Calibri" w:cs="Verdana Bold"/>
          <w:bCs/>
          <w:sz w:val="20"/>
          <w:szCs w:val="20"/>
          <w:lang w:val="es-MX"/>
        </w:rPr>
        <w:t>de las víctimas fallecidas</w:t>
      </w:r>
      <w:r>
        <w:rPr>
          <w:rFonts w:eastAsia="Batang"/>
          <w:sz w:val="20"/>
          <w:szCs w:val="20"/>
          <w:lang w:eastAsia="en-US"/>
        </w:rPr>
        <w:t>.</w:t>
      </w:r>
    </w:p>
    <w:p w14:paraId="1B613D4B" w14:textId="77777777" w:rsidR="00D47AFE" w:rsidRPr="004754B0" w:rsidRDefault="00D47AFE" w:rsidP="00B476ED">
      <w:pPr>
        <w:pStyle w:val="Prrafodelista"/>
        <w:spacing w:line="240" w:lineRule="auto"/>
        <w:ind w:right="-801"/>
        <w:rPr>
          <w:rFonts w:eastAsia="Calibri" w:cs="Verdana Bold"/>
          <w:bCs/>
          <w:sz w:val="16"/>
          <w:szCs w:val="16"/>
          <w:lang w:val="es-MX"/>
        </w:rPr>
      </w:pPr>
    </w:p>
    <w:p w14:paraId="7C79142C" w14:textId="5F4A2809" w:rsidR="00D47AFE" w:rsidRPr="004754B0" w:rsidRDefault="00D47AFE" w:rsidP="00B476ED">
      <w:pPr>
        <w:pStyle w:val="Ttulo1"/>
        <w:spacing w:before="0" w:after="0"/>
        <w:ind w:right="-801"/>
      </w:pPr>
      <w:bookmarkStart w:id="46" w:name="_Toc58329005"/>
      <w:bookmarkStart w:id="47" w:name="_Toc58330219"/>
      <w:r w:rsidRPr="004754B0">
        <w:t>VI</w:t>
      </w:r>
      <w:r>
        <w:t>i</w:t>
      </w:r>
      <w:r w:rsidRPr="004754B0">
        <w:t>.1</w:t>
      </w:r>
      <w:r w:rsidRPr="004754B0">
        <w:br/>
        <w:t>DERECHOS A LA VIDA</w:t>
      </w:r>
      <w:r w:rsidRPr="004754B0">
        <w:rPr>
          <w:rStyle w:val="Refdenotaalpie"/>
          <w:b w:val="0"/>
        </w:rPr>
        <w:footnoteReference w:id="70"/>
      </w:r>
      <w:r>
        <w:t>,</w:t>
      </w:r>
      <w:r w:rsidRPr="004754B0">
        <w:t xml:space="preserve"> A LA INTEGRIDAD PERSONAL</w:t>
      </w:r>
      <w:r w:rsidRPr="004754B0">
        <w:rPr>
          <w:rStyle w:val="Refdenotaalpie"/>
          <w:b w:val="0"/>
        </w:rPr>
        <w:footnoteReference w:id="71"/>
      </w:r>
      <w:r w:rsidRPr="004754B0">
        <w:t xml:space="preserve"> </w:t>
      </w:r>
      <w:r>
        <w:t>y</w:t>
      </w:r>
      <w:r w:rsidRPr="004754B0">
        <w:t xml:space="preserve"> DERECHOS DEL NIÑO</w:t>
      </w:r>
      <w:r w:rsidRPr="004754B0">
        <w:rPr>
          <w:rStyle w:val="Refdenotaalpie"/>
          <w:b w:val="0"/>
        </w:rPr>
        <w:footnoteReference w:id="72"/>
      </w:r>
      <w:r w:rsidRPr="004754B0">
        <w:t xml:space="preserve"> </w:t>
      </w:r>
      <w:r>
        <w:t xml:space="preserve">en relación con </w:t>
      </w:r>
      <w:r w:rsidRPr="004754B0">
        <w:t>LAS OBLIGACIONES DE RESPETAR</w:t>
      </w:r>
      <w:r>
        <w:t>los</w:t>
      </w:r>
      <w:r w:rsidRPr="004754B0">
        <w:t xml:space="preserve"> Y GARANTIZAR</w:t>
      </w:r>
      <w:r>
        <w:t>los</w:t>
      </w:r>
      <w:r w:rsidRPr="004754B0">
        <w:rPr>
          <w:rStyle w:val="Refdenotaalpie"/>
          <w:b w:val="0"/>
        </w:rPr>
        <w:footnoteReference w:id="73"/>
      </w:r>
      <w:bookmarkEnd w:id="46"/>
      <w:bookmarkEnd w:id="47"/>
      <w:r w:rsidRPr="004754B0">
        <w:t xml:space="preserve"> </w:t>
      </w:r>
    </w:p>
    <w:p w14:paraId="4C07E973" w14:textId="77777777" w:rsidR="00D47AFE" w:rsidRPr="004754B0" w:rsidRDefault="00D47AFE" w:rsidP="00B476ED">
      <w:pPr>
        <w:widowControl/>
        <w:tabs>
          <w:tab w:val="left" w:pos="567"/>
          <w:tab w:val="num" w:pos="12305"/>
        </w:tabs>
        <w:autoSpaceDE w:val="0"/>
        <w:autoSpaceDN w:val="0"/>
        <w:adjustRightInd/>
        <w:spacing w:line="240" w:lineRule="auto"/>
        <w:ind w:right="-801"/>
        <w:textAlignment w:val="auto"/>
        <w:rPr>
          <w:rFonts w:eastAsia="Calibri" w:cs="Verdana Bold"/>
          <w:bCs/>
          <w:sz w:val="16"/>
          <w:szCs w:val="16"/>
          <w:lang w:val="es-MX"/>
        </w:rPr>
      </w:pPr>
    </w:p>
    <w:p w14:paraId="6693B837" w14:textId="200E7E1D" w:rsidR="00D47AFE" w:rsidRPr="004754B0" w:rsidRDefault="00D47AFE" w:rsidP="00B476ED">
      <w:pPr>
        <w:pStyle w:val="Ttulo2"/>
        <w:numPr>
          <w:ilvl w:val="0"/>
          <w:numId w:val="4"/>
        </w:numPr>
        <w:spacing w:before="0" w:after="0"/>
        <w:ind w:right="-801"/>
      </w:pPr>
      <w:bookmarkStart w:id="48" w:name="_Toc58329006"/>
      <w:bookmarkStart w:id="49" w:name="_Toc58330220"/>
      <w:r w:rsidRPr="004754B0">
        <w:t>Argumentos de la Comisión y de las partes</w:t>
      </w:r>
      <w:bookmarkEnd w:id="48"/>
      <w:bookmarkEnd w:id="49"/>
      <w:r w:rsidRPr="004754B0">
        <w:t xml:space="preserve"> </w:t>
      </w:r>
    </w:p>
    <w:p w14:paraId="4C0F1535" w14:textId="77777777" w:rsidR="00D47AFE" w:rsidRPr="004754B0" w:rsidRDefault="00D47AFE" w:rsidP="00B476ED">
      <w:pPr>
        <w:spacing w:line="240" w:lineRule="auto"/>
        <w:ind w:right="-801"/>
      </w:pPr>
    </w:p>
    <w:p w14:paraId="79AD7C6D" w14:textId="25D99158" w:rsidR="00D47AFE" w:rsidRPr="005F1BA0" w:rsidRDefault="00D47AFE" w:rsidP="00B476ED">
      <w:pPr>
        <w:numPr>
          <w:ilvl w:val="0"/>
          <w:numId w:val="1"/>
        </w:numPr>
        <w:tabs>
          <w:tab w:val="left" w:pos="567"/>
          <w:tab w:val="num" w:pos="1569"/>
          <w:tab w:val="num" w:pos="12305"/>
        </w:tabs>
        <w:spacing w:line="240" w:lineRule="auto"/>
        <w:ind w:left="0" w:right="-801" w:firstLine="0"/>
        <w:rPr>
          <w:sz w:val="20"/>
          <w:szCs w:val="20"/>
        </w:rPr>
      </w:pPr>
      <w:r w:rsidRPr="004754B0">
        <w:rPr>
          <w:rFonts w:eastAsia="Calibri" w:cs="Arial"/>
          <w:sz w:val="20"/>
          <w:szCs w:val="20"/>
        </w:rPr>
        <w:t xml:space="preserve">La </w:t>
      </w:r>
      <w:r w:rsidRPr="004754B0">
        <w:rPr>
          <w:rFonts w:eastAsia="Calibri" w:cs="Arial"/>
          <w:b/>
          <w:i/>
          <w:sz w:val="20"/>
          <w:szCs w:val="20"/>
        </w:rPr>
        <w:t>Comisión</w:t>
      </w:r>
      <w:r w:rsidRPr="004754B0">
        <w:rPr>
          <w:rFonts w:eastAsia="Calibri" w:cs="Arial"/>
          <w:sz w:val="20"/>
          <w:szCs w:val="20"/>
        </w:rPr>
        <w:t xml:space="preserve"> </w:t>
      </w:r>
      <w:r w:rsidRPr="004754B0">
        <w:rPr>
          <w:rFonts w:eastAsia="Calibri"/>
          <w:sz w:val="20"/>
          <w:szCs w:val="20"/>
          <w:lang w:val="es-ES"/>
        </w:rPr>
        <w:t>señaló que el Estado tiene una posición especial de garante frente a las personas privadas de libertad</w:t>
      </w:r>
      <w:r>
        <w:rPr>
          <w:rFonts w:eastAsia="Calibri"/>
          <w:sz w:val="20"/>
          <w:szCs w:val="20"/>
          <w:lang w:val="es-ES"/>
        </w:rPr>
        <w:t>, que</w:t>
      </w:r>
      <w:r w:rsidRPr="004754B0">
        <w:rPr>
          <w:rFonts w:eastAsia="Calibri"/>
          <w:sz w:val="20"/>
          <w:szCs w:val="20"/>
          <w:lang w:val="es-ES"/>
        </w:rPr>
        <w:t xml:space="preserve"> debe ser asumida “con mayor cuidado y responsabilidad” respecto a menores de 18 </w:t>
      </w:r>
      <w:proofErr w:type="gramStart"/>
      <w:r w:rsidRPr="004754B0">
        <w:rPr>
          <w:rFonts w:eastAsia="Calibri"/>
          <w:sz w:val="20"/>
          <w:szCs w:val="20"/>
          <w:lang w:val="es-ES"/>
        </w:rPr>
        <w:t>años de edad</w:t>
      </w:r>
      <w:proofErr w:type="gramEnd"/>
      <w:r w:rsidRPr="004754B0">
        <w:rPr>
          <w:rFonts w:eastAsia="Calibri"/>
          <w:sz w:val="20"/>
          <w:szCs w:val="20"/>
          <w:lang w:val="es-ES"/>
        </w:rPr>
        <w:t xml:space="preserve">. Ello abarca </w:t>
      </w:r>
      <w:r>
        <w:rPr>
          <w:rFonts w:eastAsia="Calibri"/>
          <w:sz w:val="20"/>
          <w:szCs w:val="20"/>
          <w:lang w:val="es-ES"/>
        </w:rPr>
        <w:t>el deber de cumplir con</w:t>
      </w:r>
      <w:r w:rsidRPr="004754B0">
        <w:rPr>
          <w:rFonts w:eastAsia="Calibri"/>
          <w:sz w:val="20"/>
          <w:szCs w:val="20"/>
          <w:lang w:val="es-ES"/>
        </w:rPr>
        <w:t xml:space="preserve"> medidas de cuidado, </w:t>
      </w:r>
      <w:r w:rsidRPr="004754B0">
        <w:rPr>
          <w:rFonts w:eastAsia="Calibri"/>
          <w:sz w:val="20"/>
          <w:szCs w:val="20"/>
          <w:lang w:val="es-ES"/>
        </w:rPr>
        <w:lastRenderedPageBreak/>
        <w:t>protección y asistencia</w:t>
      </w:r>
      <w:r>
        <w:rPr>
          <w:rFonts w:eastAsia="Calibri"/>
          <w:sz w:val="20"/>
          <w:szCs w:val="20"/>
          <w:lang w:val="es-ES"/>
        </w:rPr>
        <w:t xml:space="preserve"> </w:t>
      </w:r>
      <w:r w:rsidRPr="004754B0">
        <w:rPr>
          <w:rFonts w:eastAsia="Calibri"/>
          <w:sz w:val="20"/>
          <w:szCs w:val="20"/>
          <w:lang w:val="es-ES"/>
        </w:rPr>
        <w:t xml:space="preserve">necesarias para </w:t>
      </w:r>
      <w:r>
        <w:rPr>
          <w:rFonts w:eastAsia="Calibri"/>
          <w:sz w:val="20"/>
          <w:szCs w:val="20"/>
          <w:lang w:val="es-ES"/>
        </w:rPr>
        <w:t>el</w:t>
      </w:r>
      <w:r w:rsidRPr="004754B0">
        <w:rPr>
          <w:rFonts w:eastAsia="Calibri"/>
          <w:sz w:val="20"/>
          <w:szCs w:val="20"/>
          <w:lang w:val="es-ES"/>
        </w:rPr>
        <w:t xml:space="preserve"> desarrollo sano</w:t>
      </w:r>
      <w:r>
        <w:rPr>
          <w:rFonts w:eastAsia="Calibri"/>
          <w:sz w:val="20"/>
          <w:szCs w:val="20"/>
          <w:lang w:val="es-ES"/>
        </w:rPr>
        <w:t xml:space="preserve"> de esas personas</w:t>
      </w:r>
      <w:r w:rsidRPr="004754B0">
        <w:rPr>
          <w:rFonts w:eastAsia="Calibri"/>
          <w:sz w:val="20"/>
          <w:szCs w:val="20"/>
          <w:lang w:val="es-ES"/>
        </w:rPr>
        <w:t xml:space="preserve">. Entendió que ello era relevante en este caso, pues los cinco jóvenes, quienes </w:t>
      </w:r>
      <w:r w:rsidR="00A63498">
        <w:rPr>
          <w:rFonts w:eastAsia="Calibri"/>
          <w:sz w:val="20"/>
          <w:szCs w:val="20"/>
          <w:lang w:val="es-ES"/>
        </w:rPr>
        <w:t>fallecieron</w:t>
      </w:r>
      <w:r w:rsidR="00A63498" w:rsidRPr="004754B0">
        <w:rPr>
          <w:rFonts w:eastAsia="Calibri"/>
          <w:sz w:val="20"/>
          <w:szCs w:val="20"/>
          <w:lang w:val="es-ES"/>
        </w:rPr>
        <w:t xml:space="preserve"> </w:t>
      </w:r>
      <w:r w:rsidRPr="004754B0">
        <w:rPr>
          <w:rFonts w:eastAsia="Calibri"/>
          <w:sz w:val="20"/>
          <w:szCs w:val="20"/>
          <w:lang w:val="es-ES"/>
        </w:rPr>
        <w:t xml:space="preserve">siendo adultos, habían ingresado al Centro antes de cumplir 18 </w:t>
      </w:r>
      <w:proofErr w:type="gramStart"/>
      <w:r w:rsidRPr="004754B0">
        <w:rPr>
          <w:rFonts w:eastAsia="Calibri"/>
          <w:sz w:val="20"/>
          <w:szCs w:val="20"/>
          <w:lang w:val="es-ES"/>
        </w:rPr>
        <w:t>años</w:t>
      </w:r>
      <w:r w:rsidR="00A63498">
        <w:rPr>
          <w:rFonts w:eastAsia="Calibri"/>
          <w:sz w:val="20"/>
          <w:szCs w:val="20"/>
          <w:lang w:val="es-ES"/>
        </w:rPr>
        <w:t xml:space="preserve"> de edad</w:t>
      </w:r>
      <w:proofErr w:type="gramEnd"/>
      <w:r w:rsidRPr="004754B0">
        <w:rPr>
          <w:rFonts w:eastAsia="Calibri"/>
          <w:sz w:val="20"/>
          <w:szCs w:val="20"/>
          <w:lang w:val="es-ES"/>
        </w:rPr>
        <w:t xml:space="preserve">. </w:t>
      </w:r>
      <w:r w:rsidRPr="005F1BA0">
        <w:rPr>
          <w:rFonts w:eastAsia="Calibri"/>
          <w:sz w:val="20"/>
          <w:szCs w:val="20"/>
          <w:lang w:val="es-ES"/>
        </w:rPr>
        <w:t>Adujo que, dada la señalada posición de especial garante</w:t>
      </w:r>
      <w:r>
        <w:rPr>
          <w:rFonts w:eastAsia="Calibri"/>
          <w:sz w:val="20"/>
          <w:szCs w:val="20"/>
          <w:lang w:val="es-ES"/>
        </w:rPr>
        <w:t>,</w:t>
      </w:r>
      <w:r w:rsidRPr="005F1BA0">
        <w:rPr>
          <w:rFonts w:eastAsia="Calibri"/>
          <w:sz w:val="20"/>
          <w:szCs w:val="20"/>
          <w:lang w:val="es-ES"/>
        </w:rPr>
        <w:t xml:space="preserve"> “hay una presunción de responsabilidad del Estado” por las cinco muertes, que no ha sido desvirtuada</w:t>
      </w:r>
      <w:r>
        <w:rPr>
          <w:rFonts w:eastAsia="Calibri"/>
          <w:sz w:val="20"/>
          <w:szCs w:val="20"/>
          <w:lang w:val="es-ES"/>
        </w:rPr>
        <w:t>.</w:t>
      </w:r>
      <w:r w:rsidRPr="005F1BA0">
        <w:rPr>
          <w:rFonts w:eastAsia="Calibri"/>
          <w:sz w:val="20"/>
          <w:szCs w:val="20"/>
          <w:lang w:val="es-ES"/>
        </w:rPr>
        <w:t xml:space="preserve"> </w:t>
      </w:r>
      <w:r>
        <w:rPr>
          <w:rFonts w:eastAsia="Calibri"/>
          <w:sz w:val="20"/>
          <w:szCs w:val="20"/>
          <w:lang w:val="es-ES"/>
        </w:rPr>
        <w:t>Aseveró asimismo</w:t>
      </w:r>
      <w:r w:rsidRPr="005F1BA0">
        <w:rPr>
          <w:rFonts w:eastAsia="Calibri"/>
          <w:sz w:val="20"/>
          <w:szCs w:val="20"/>
          <w:lang w:val="es-ES"/>
        </w:rPr>
        <w:t xml:space="preserve"> que</w:t>
      </w:r>
      <w:r>
        <w:rPr>
          <w:rFonts w:eastAsia="Calibri"/>
          <w:sz w:val="20"/>
          <w:szCs w:val="20"/>
          <w:lang w:val="es-ES"/>
        </w:rPr>
        <w:t>,</w:t>
      </w:r>
      <w:r w:rsidRPr="005F1BA0">
        <w:rPr>
          <w:rFonts w:eastAsia="Calibri"/>
          <w:sz w:val="20"/>
          <w:szCs w:val="20"/>
          <w:lang w:val="es-ES"/>
        </w:rPr>
        <w:t xml:space="preserve"> frente al incendio</w:t>
      </w:r>
      <w:r>
        <w:rPr>
          <w:rFonts w:eastAsia="Calibri"/>
          <w:sz w:val="20"/>
          <w:szCs w:val="20"/>
          <w:lang w:val="es-ES"/>
        </w:rPr>
        <w:t>,</w:t>
      </w:r>
      <w:r w:rsidRPr="005F1BA0">
        <w:rPr>
          <w:rFonts w:eastAsia="Calibri"/>
          <w:sz w:val="20"/>
          <w:szCs w:val="20"/>
          <w:lang w:val="es-ES"/>
        </w:rPr>
        <w:t xml:space="preserve"> las autoridades competentes demoraron o no actuaron con la debida diligencia para liberar a los jóvenes de la celda y apagar el fuego. Consideró también que la falta de equipamiento</w:t>
      </w:r>
      <w:r w:rsidR="000432E5">
        <w:rPr>
          <w:rFonts w:eastAsia="Calibri"/>
          <w:sz w:val="20"/>
          <w:szCs w:val="20"/>
          <w:lang w:val="es-ES"/>
        </w:rPr>
        <w:t xml:space="preserve"> adecuad</w:t>
      </w:r>
      <w:r w:rsidR="00C730FC">
        <w:rPr>
          <w:rFonts w:eastAsia="Calibri"/>
          <w:sz w:val="20"/>
          <w:szCs w:val="20"/>
          <w:lang w:val="es-ES"/>
        </w:rPr>
        <w:t>o</w:t>
      </w:r>
      <w:r w:rsidRPr="005F1BA0">
        <w:rPr>
          <w:rFonts w:eastAsia="Calibri"/>
          <w:sz w:val="20"/>
          <w:szCs w:val="20"/>
          <w:lang w:val="es-ES"/>
        </w:rPr>
        <w:t xml:space="preserve"> de</w:t>
      </w:r>
      <w:r>
        <w:rPr>
          <w:rFonts w:eastAsia="Calibri"/>
          <w:sz w:val="20"/>
          <w:szCs w:val="20"/>
          <w:lang w:val="es-ES"/>
        </w:rPr>
        <w:t xml:space="preserve"> </w:t>
      </w:r>
      <w:r w:rsidRPr="005F1BA0">
        <w:rPr>
          <w:rFonts w:eastAsia="Calibri"/>
          <w:sz w:val="20"/>
          <w:szCs w:val="20"/>
          <w:lang w:val="es-ES"/>
        </w:rPr>
        <w:t>l</w:t>
      </w:r>
      <w:r>
        <w:rPr>
          <w:rFonts w:eastAsia="Calibri"/>
          <w:sz w:val="20"/>
          <w:szCs w:val="20"/>
          <w:lang w:val="es-ES"/>
        </w:rPr>
        <w:t>os</w:t>
      </w:r>
      <w:r w:rsidRPr="005F1BA0">
        <w:rPr>
          <w:rFonts w:eastAsia="Calibri"/>
          <w:sz w:val="20"/>
          <w:szCs w:val="20"/>
          <w:lang w:val="es-ES"/>
        </w:rPr>
        <w:t xml:space="preserve"> </w:t>
      </w:r>
      <w:r>
        <w:rPr>
          <w:rFonts w:eastAsia="Calibri"/>
          <w:sz w:val="20"/>
          <w:szCs w:val="20"/>
          <w:lang w:val="es-ES"/>
        </w:rPr>
        <w:t>b</w:t>
      </w:r>
      <w:r w:rsidRPr="005F1BA0">
        <w:rPr>
          <w:rFonts w:eastAsia="Calibri"/>
          <w:sz w:val="20"/>
          <w:szCs w:val="20"/>
          <w:lang w:val="es-ES"/>
        </w:rPr>
        <w:t xml:space="preserve">omberos </w:t>
      </w:r>
      <w:r>
        <w:rPr>
          <w:rFonts w:eastAsia="Calibri"/>
          <w:sz w:val="20"/>
          <w:szCs w:val="20"/>
          <w:lang w:val="es-ES"/>
        </w:rPr>
        <w:t xml:space="preserve">que llegaron inicialmente al lugar </w:t>
      </w:r>
      <w:r w:rsidRPr="005F1BA0">
        <w:rPr>
          <w:rFonts w:eastAsia="Calibri"/>
          <w:sz w:val="20"/>
          <w:szCs w:val="20"/>
          <w:lang w:val="es-ES"/>
        </w:rPr>
        <w:t xml:space="preserve">constituyó una omisión atribuible al Estado. </w:t>
      </w:r>
    </w:p>
    <w:p w14:paraId="0F8B4A33" w14:textId="77777777" w:rsidR="00D47AFE" w:rsidRPr="004754B0" w:rsidRDefault="00D47AFE" w:rsidP="00B476ED">
      <w:pPr>
        <w:pStyle w:val="Prrafodelista"/>
        <w:spacing w:line="240" w:lineRule="auto"/>
        <w:ind w:right="-801"/>
        <w:rPr>
          <w:rFonts w:eastAsia="Calibri"/>
          <w:sz w:val="20"/>
          <w:szCs w:val="20"/>
          <w:lang w:val="es-ES"/>
        </w:rPr>
      </w:pPr>
    </w:p>
    <w:p w14:paraId="6DAA4FE1" w14:textId="2A45C9CD" w:rsidR="00D47AFE" w:rsidRPr="00D8063F" w:rsidRDefault="00D47AFE" w:rsidP="00B476ED">
      <w:pPr>
        <w:numPr>
          <w:ilvl w:val="0"/>
          <w:numId w:val="1"/>
        </w:numPr>
        <w:tabs>
          <w:tab w:val="left" w:pos="567"/>
          <w:tab w:val="num" w:pos="1569"/>
          <w:tab w:val="num" w:pos="12305"/>
        </w:tabs>
        <w:spacing w:line="240" w:lineRule="auto"/>
        <w:ind w:left="0" w:right="-801" w:firstLine="0"/>
        <w:rPr>
          <w:sz w:val="20"/>
          <w:szCs w:val="20"/>
        </w:rPr>
      </w:pPr>
      <w:r w:rsidRPr="00D8063F">
        <w:rPr>
          <w:rFonts w:eastAsia="Calibri"/>
          <w:sz w:val="20"/>
          <w:szCs w:val="20"/>
          <w:lang w:val="es-ES"/>
        </w:rPr>
        <w:t>Además, la Comisión afirmó</w:t>
      </w:r>
      <w:r w:rsidRPr="00D8063F">
        <w:rPr>
          <w:rFonts w:eastAsia="Calibri" w:cs="Arial"/>
          <w:sz w:val="20"/>
          <w:szCs w:val="20"/>
        </w:rPr>
        <w:t xml:space="preserve"> que el INAM-San Félix no contaba con políticas de prevención de situaciones críticas, presentaba una situación de hacinamiento y carecía de personal suficiente para proveer condiciones de seguridad mínimas. </w:t>
      </w:r>
      <w:r w:rsidRPr="00D8063F">
        <w:rPr>
          <w:rFonts w:cs="Arial"/>
          <w:sz w:val="20"/>
          <w:szCs w:val="20"/>
        </w:rPr>
        <w:t xml:space="preserve">Sostuvo también que el Centro carecía de infraestructura adecuada, en especial respecto a las instalaciones eléctricas, y que no posibilitaba la separación de los internos procesados de aquellos condenados, así como de aquellos mayores de edad de los adolescentes. </w:t>
      </w:r>
      <w:r w:rsidRPr="00D8063F">
        <w:rPr>
          <w:sz w:val="20"/>
          <w:szCs w:val="20"/>
        </w:rPr>
        <w:t>Además, refirió que “se comprobó la inoperatividad del programa de educación del Centro para la fecha de los hechos, así como el incumplimiento de los planes individuales tendientes a la resocialización”</w:t>
      </w:r>
      <w:r w:rsidRPr="00D8063F">
        <w:rPr>
          <w:rStyle w:val="Refdenotaalpie"/>
          <w:rFonts w:cs="Arial"/>
          <w:sz w:val="20"/>
          <w:szCs w:val="20"/>
        </w:rPr>
        <w:footnoteReference w:id="74"/>
      </w:r>
      <w:r w:rsidRPr="00D8063F">
        <w:rPr>
          <w:sz w:val="20"/>
          <w:szCs w:val="20"/>
        </w:rPr>
        <w:t xml:space="preserve">.  </w:t>
      </w:r>
    </w:p>
    <w:p w14:paraId="39C76446" w14:textId="77777777" w:rsidR="00D47AFE" w:rsidRDefault="00D47AFE" w:rsidP="00B476ED">
      <w:pPr>
        <w:pStyle w:val="Prrafodelista"/>
        <w:spacing w:line="240" w:lineRule="auto"/>
        <w:ind w:right="-801"/>
        <w:rPr>
          <w:sz w:val="20"/>
          <w:szCs w:val="20"/>
        </w:rPr>
      </w:pPr>
    </w:p>
    <w:p w14:paraId="315E9CE2" w14:textId="77777777" w:rsidR="00D47AFE" w:rsidRPr="00E663A8" w:rsidRDefault="00D47AFE" w:rsidP="00B476ED">
      <w:pPr>
        <w:numPr>
          <w:ilvl w:val="0"/>
          <w:numId w:val="1"/>
        </w:numPr>
        <w:tabs>
          <w:tab w:val="left" w:pos="567"/>
          <w:tab w:val="num" w:pos="1569"/>
          <w:tab w:val="num" w:pos="12305"/>
        </w:tabs>
        <w:spacing w:line="240" w:lineRule="auto"/>
        <w:ind w:left="0" w:right="-801" w:firstLine="0"/>
        <w:rPr>
          <w:sz w:val="20"/>
          <w:szCs w:val="20"/>
        </w:rPr>
      </w:pPr>
      <w:r>
        <w:rPr>
          <w:sz w:val="20"/>
          <w:szCs w:val="20"/>
        </w:rPr>
        <w:t>La Comisión e</w:t>
      </w:r>
      <w:r w:rsidRPr="00E663A8">
        <w:rPr>
          <w:sz w:val="20"/>
          <w:szCs w:val="20"/>
        </w:rPr>
        <w:t>ntendió que lo antes expuesto contribuía a una situación, conocida por las autoridades, que podía genera</w:t>
      </w:r>
      <w:r>
        <w:rPr>
          <w:sz w:val="20"/>
          <w:szCs w:val="20"/>
        </w:rPr>
        <w:t>r</w:t>
      </w:r>
      <w:r w:rsidRPr="00E663A8">
        <w:rPr>
          <w:sz w:val="20"/>
          <w:szCs w:val="20"/>
        </w:rPr>
        <w:t xml:space="preserve"> hechos de violencia. A</w:t>
      </w:r>
      <w:r>
        <w:rPr>
          <w:sz w:val="20"/>
          <w:szCs w:val="20"/>
        </w:rPr>
        <w:t>dvirtió que, a</w:t>
      </w:r>
      <w:r w:rsidRPr="00E663A8">
        <w:rPr>
          <w:sz w:val="20"/>
          <w:szCs w:val="20"/>
        </w:rPr>
        <w:t>demás, el día de los hechos hubo “indicios claros” sobre la “inminencia de un episodio de violencia”: una pelea al mediodía, la agresión de internos de la celda 7 a aquellos que habitaban la celda 4, la agresión a los jóvenes</w:t>
      </w:r>
      <w:r>
        <w:rPr>
          <w:sz w:val="20"/>
          <w:szCs w:val="20"/>
        </w:rPr>
        <w:t xml:space="preserve"> C.</w:t>
      </w:r>
      <w:r w:rsidRPr="00E663A8">
        <w:rPr>
          <w:sz w:val="20"/>
          <w:szCs w:val="20"/>
        </w:rPr>
        <w:t xml:space="preserve"> Z</w:t>
      </w:r>
      <w:r>
        <w:rPr>
          <w:sz w:val="20"/>
          <w:szCs w:val="20"/>
        </w:rPr>
        <w:t>.</w:t>
      </w:r>
      <w:r w:rsidRPr="00E663A8">
        <w:rPr>
          <w:sz w:val="20"/>
          <w:szCs w:val="20"/>
        </w:rPr>
        <w:t xml:space="preserve"> y </w:t>
      </w:r>
      <w:r>
        <w:rPr>
          <w:sz w:val="20"/>
          <w:szCs w:val="20"/>
        </w:rPr>
        <w:t>J.</w:t>
      </w:r>
      <w:r w:rsidRPr="00E663A8">
        <w:rPr>
          <w:sz w:val="20"/>
          <w:szCs w:val="20"/>
        </w:rPr>
        <w:t>L</w:t>
      </w:r>
      <w:r>
        <w:rPr>
          <w:sz w:val="20"/>
          <w:szCs w:val="20"/>
        </w:rPr>
        <w:t>.,</w:t>
      </w:r>
      <w:r w:rsidRPr="00E663A8">
        <w:rPr>
          <w:sz w:val="20"/>
          <w:szCs w:val="20"/>
        </w:rPr>
        <w:t xml:space="preserve"> y la advertencia </w:t>
      </w:r>
      <w:r w:rsidRPr="00D8063F">
        <w:rPr>
          <w:sz w:val="20"/>
          <w:szCs w:val="20"/>
        </w:rPr>
        <w:t>de familiares. Frente a ello, a criterio de la Comisión, las autoridades tomaron medidas inadecuadas</w:t>
      </w:r>
      <w:r w:rsidRPr="00D8063F">
        <w:rPr>
          <w:rStyle w:val="Refdenotaalpie"/>
          <w:sz w:val="20"/>
          <w:szCs w:val="20"/>
        </w:rPr>
        <w:footnoteReference w:id="75"/>
      </w:r>
      <w:r w:rsidRPr="00D8063F">
        <w:rPr>
          <w:sz w:val="20"/>
          <w:szCs w:val="20"/>
        </w:rPr>
        <w:t>, que</w:t>
      </w:r>
      <w:r w:rsidRPr="00E663A8">
        <w:rPr>
          <w:sz w:val="20"/>
          <w:szCs w:val="20"/>
        </w:rPr>
        <w:t xml:space="preserve"> no respondían a una política de prevención de la violencia.</w:t>
      </w:r>
    </w:p>
    <w:p w14:paraId="15B56092" w14:textId="77777777" w:rsidR="00D47AFE" w:rsidRPr="004754B0" w:rsidRDefault="00D47AFE" w:rsidP="00B476ED">
      <w:pPr>
        <w:pStyle w:val="Prrafodelista"/>
        <w:spacing w:line="240" w:lineRule="auto"/>
        <w:ind w:right="-801"/>
        <w:rPr>
          <w:strike/>
          <w:sz w:val="20"/>
          <w:szCs w:val="20"/>
        </w:rPr>
      </w:pPr>
    </w:p>
    <w:p w14:paraId="6A468C0A" w14:textId="77777777" w:rsidR="00D47AFE" w:rsidRPr="004754B0" w:rsidRDefault="00D47AFE" w:rsidP="00B476ED">
      <w:pPr>
        <w:numPr>
          <w:ilvl w:val="0"/>
          <w:numId w:val="1"/>
        </w:numPr>
        <w:tabs>
          <w:tab w:val="left" w:pos="567"/>
          <w:tab w:val="num" w:pos="1569"/>
          <w:tab w:val="num" w:pos="12305"/>
        </w:tabs>
        <w:spacing w:line="240" w:lineRule="auto"/>
        <w:ind w:left="0" w:right="-801" w:firstLine="0"/>
        <w:rPr>
          <w:sz w:val="20"/>
          <w:szCs w:val="20"/>
        </w:rPr>
      </w:pPr>
      <w:r w:rsidRPr="004754B0">
        <w:rPr>
          <w:sz w:val="20"/>
          <w:szCs w:val="20"/>
        </w:rPr>
        <w:t>Teniendo en cuenta los elementos anteriores “en su conjunto”, la Comisión entendió que Venezuela incumplió su deber de prevención y es responsable por la violación a los derechos a la vida e integridad personal, en perjuicio de las víctimas mortales. Determinó, entonces, en perjuici</w:t>
      </w:r>
      <w:r>
        <w:rPr>
          <w:sz w:val="20"/>
          <w:szCs w:val="20"/>
        </w:rPr>
        <w:t xml:space="preserve">o de </w:t>
      </w:r>
      <w:proofErr w:type="gramStart"/>
      <w:r>
        <w:rPr>
          <w:sz w:val="20"/>
          <w:szCs w:val="20"/>
        </w:rPr>
        <w:t>las mismas</w:t>
      </w:r>
      <w:proofErr w:type="gramEnd"/>
      <w:r w:rsidRPr="004754B0">
        <w:rPr>
          <w:sz w:val="20"/>
          <w:szCs w:val="20"/>
        </w:rPr>
        <w:t>, la violación de</w:t>
      </w:r>
      <w:r>
        <w:rPr>
          <w:sz w:val="20"/>
          <w:szCs w:val="20"/>
        </w:rPr>
        <w:t xml:space="preserve"> </w:t>
      </w:r>
      <w:r w:rsidRPr="004754B0">
        <w:rPr>
          <w:sz w:val="20"/>
          <w:szCs w:val="20"/>
        </w:rPr>
        <w:t>“</w:t>
      </w:r>
      <w:r w:rsidRPr="004754B0">
        <w:rPr>
          <w:rFonts w:eastAsia="Calibri" w:cs="Arial"/>
          <w:sz w:val="20"/>
          <w:szCs w:val="20"/>
        </w:rPr>
        <w:t xml:space="preserve">los artículos 4.1, 5.1, 5.4, 5.5 y 5.6 de la Convención Americana, en relación con las obligaciones contenidas en los artículos 1.1 y 19 del mismo instrumento”. </w:t>
      </w:r>
    </w:p>
    <w:p w14:paraId="2F775505" w14:textId="77777777" w:rsidR="00D47AFE" w:rsidRPr="00B706B7" w:rsidRDefault="00D47AFE" w:rsidP="00B476ED">
      <w:pPr>
        <w:tabs>
          <w:tab w:val="left" w:pos="567"/>
          <w:tab w:val="num" w:pos="12305"/>
        </w:tabs>
        <w:spacing w:line="240" w:lineRule="auto"/>
        <w:ind w:right="-801"/>
        <w:rPr>
          <w:rFonts w:eastAsia="Calibri" w:cs="Arial"/>
          <w:sz w:val="20"/>
          <w:szCs w:val="20"/>
          <w:highlight w:val="yellow"/>
        </w:rPr>
      </w:pPr>
    </w:p>
    <w:p w14:paraId="10055E30" w14:textId="679FFC59" w:rsidR="00D47AFE" w:rsidRPr="00EB7EAA" w:rsidRDefault="00D47AFE" w:rsidP="00B476ED">
      <w:pPr>
        <w:numPr>
          <w:ilvl w:val="0"/>
          <w:numId w:val="1"/>
        </w:numPr>
        <w:tabs>
          <w:tab w:val="left" w:pos="567"/>
          <w:tab w:val="num" w:pos="1569"/>
          <w:tab w:val="num" w:pos="12305"/>
        </w:tabs>
        <w:spacing w:line="240" w:lineRule="auto"/>
        <w:ind w:left="0" w:right="-801" w:firstLine="0"/>
        <w:rPr>
          <w:rFonts w:eastAsia="Calibri" w:cs="Arial"/>
          <w:sz w:val="20"/>
          <w:szCs w:val="20"/>
        </w:rPr>
      </w:pPr>
      <w:r w:rsidRPr="00B706B7">
        <w:rPr>
          <w:rFonts w:eastAsia="Calibri" w:cs="Arial"/>
          <w:sz w:val="20"/>
          <w:szCs w:val="20"/>
        </w:rPr>
        <w:t xml:space="preserve">Los </w:t>
      </w:r>
      <w:r w:rsidRPr="00B706B7">
        <w:rPr>
          <w:rFonts w:eastAsia="Calibri" w:cs="Arial"/>
          <w:b/>
          <w:i/>
          <w:sz w:val="20"/>
          <w:szCs w:val="20"/>
        </w:rPr>
        <w:t>representantes</w:t>
      </w:r>
      <w:r w:rsidRPr="00B706B7">
        <w:rPr>
          <w:rFonts w:eastAsia="Calibri" w:cs="Arial"/>
          <w:sz w:val="20"/>
          <w:szCs w:val="20"/>
        </w:rPr>
        <w:t xml:space="preserve"> argu</w:t>
      </w:r>
      <w:r>
        <w:rPr>
          <w:rFonts w:eastAsia="Calibri" w:cs="Arial"/>
          <w:sz w:val="20"/>
          <w:szCs w:val="20"/>
        </w:rPr>
        <w:t>mentaron</w:t>
      </w:r>
      <w:r w:rsidRPr="00B706B7">
        <w:rPr>
          <w:rFonts w:eastAsia="Calibri" w:cs="Arial"/>
          <w:sz w:val="20"/>
          <w:szCs w:val="20"/>
        </w:rPr>
        <w:t xml:space="preserve"> que el Estado transgredió </w:t>
      </w:r>
      <w:r w:rsidRPr="00816876">
        <w:rPr>
          <w:rFonts w:eastAsia="Calibri" w:cs="Arial"/>
          <w:sz w:val="20"/>
          <w:szCs w:val="20"/>
        </w:rPr>
        <w:t>“</w:t>
      </w:r>
      <w:proofErr w:type="spellStart"/>
      <w:r w:rsidRPr="00816876">
        <w:rPr>
          <w:rFonts w:eastAsia="Calibri" w:cs="Arial"/>
          <w:sz w:val="20"/>
          <w:szCs w:val="20"/>
        </w:rPr>
        <w:t>obligaci</w:t>
      </w:r>
      <w:proofErr w:type="spellEnd"/>
      <w:r w:rsidRPr="00B706B7">
        <w:rPr>
          <w:rFonts w:eastAsia="Calibri" w:cs="Arial"/>
          <w:sz w:val="20"/>
          <w:szCs w:val="20"/>
        </w:rPr>
        <w:t>[</w:t>
      </w:r>
      <w:proofErr w:type="spellStart"/>
      <w:r w:rsidRPr="00B706B7">
        <w:rPr>
          <w:rFonts w:eastAsia="Calibri" w:cs="Arial"/>
          <w:sz w:val="20"/>
          <w:szCs w:val="20"/>
        </w:rPr>
        <w:t>ones</w:t>
      </w:r>
      <w:proofErr w:type="spellEnd"/>
      <w:r w:rsidRPr="00B706B7">
        <w:rPr>
          <w:rFonts w:eastAsia="Calibri" w:cs="Arial"/>
          <w:sz w:val="20"/>
          <w:szCs w:val="20"/>
        </w:rPr>
        <w:t>]</w:t>
      </w:r>
      <w:r w:rsidRPr="00816876">
        <w:rPr>
          <w:rFonts w:eastAsia="Calibri" w:cs="Arial"/>
          <w:sz w:val="20"/>
          <w:szCs w:val="20"/>
        </w:rPr>
        <w:t xml:space="preserve"> negativa</w:t>
      </w:r>
      <w:r w:rsidRPr="00B706B7">
        <w:rPr>
          <w:rFonts w:eastAsia="Calibri" w:cs="Arial"/>
          <w:sz w:val="20"/>
          <w:szCs w:val="20"/>
        </w:rPr>
        <w:t>[s]</w:t>
      </w:r>
      <w:r w:rsidRPr="00816876">
        <w:rPr>
          <w:rFonts w:eastAsia="Calibri" w:cs="Arial"/>
          <w:sz w:val="20"/>
          <w:szCs w:val="20"/>
        </w:rPr>
        <w:t>”</w:t>
      </w:r>
      <w:r w:rsidRPr="00B706B7">
        <w:rPr>
          <w:rFonts w:eastAsia="Calibri" w:cs="Arial"/>
          <w:sz w:val="20"/>
          <w:szCs w:val="20"/>
        </w:rPr>
        <w:t xml:space="preserve"> </w:t>
      </w:r>
      <w:r>
        <w:rPr>
          <w:rFonts w:eastAsia="Calibri" w:cs="Arial"/>
          <w:sz w:val="20"/>
          <w:szCs w:val="20"/>
        </w:rPr>
        <w:t xml:space="preserve">y “positivas” </w:t>
      </w:r>
      <w:r w:rsidRPr="00B706B7">
        <w:rPr>
          <w:rFonts w:eastAsia="Calibri" w:cs="Arial"/>
          <w:sz w:val="20"/>
          <w:szCs w:val="20"/>
        </w:rPr>
        <w:t>respecto del derecho a la vida</w:t>
      </w:r>
      <w:r>
        <w:rPr>
          <w:rFonts w:eastAsia="Calibri" w:cs="Arial"/>
          <w:sz w:val="20"/>
          <w:szCs w:val="20"/>
        </w:rPr>
        <w:t>, receptado en el artículo 4.1 de la Convención</w:t>
      </w:r>
      <w:r w:rsidRPr="00B706B7">
        <w:rPr>
          <w:rFonts w:eastAsia="Calibri" w:cs="Arial"/>
          <w:sz w:val="20"/>
          <w:szCs w:val="20"/>
        </w:rPr>
        <w:t>.</w:t>
      </w:r>
      <w:r w:rsidRPr="00816876">
        <w:rPr>
          <w:rFonts w:eastAsia="Calibri" w:cs="Arial"/>
          <w:sz w:val="20"/>
          <w:szCs w:val="20"/>
        </w:rPr>
        <w:t xml:space="preserve"> </w:t>
      </w:r>
      <w:r w:rsidRPr="00B706B7">
        <w:rPr>
          <w:rFonts w:eastAsia="Calibri" w:cs="Arial"/>
          <w:sz w:val="20"/>
          <w:szCs w:val="20"/>
        </w:rPr>
        <w:t>S</w:t>
      </w:r>
      <w:r w:rsidRPr="00816876">
        <w:rPr>
          <w:rFonts w:eastAsia="Calibri" w:cs="Arial"/>
          <w:sz w:val="20"/>
          <w:szCs w:val="20"/>
        </w:rPr>
        <w:t>ostuvieron que “las autoridades crearon una situación de riesgo real e inminente”</w:t>
      </w:r>
      <w:r w:rsidRPr="00EC601B">
        <w:rPr>
          <w:rFonts w:eastAsia="Calibri" w:cs="Arial"/>
          <w:sz w:val="20"/>
          <w:szCs w:val="20"/>
        </w:rPr>
        <w:t>, pues: a) agentes del Estado encerraron a las víctimas bajo llave, y luego no abrieron la puerta a tiempo; b) no había personal suficiente en el Centro; c) por lo anterior, los funcionarios estatales no pudieron contener el motín a tiempo; d) el Centro no contaba con “protecciones mínimas” contra incendios; e) el personal “no evitó que los reclusos contaran con artefactos para iniciar incendios”; f) en el INAM –San Félix no había “</w:t>
      </w:r>
      <w:r w:rsidRPr="00EC601B">
        <w:rPr>
          <w:rFonts w:eastAsiaTheme="minorHAnsi"/>
          <w:sz w:val="20"/>
          <w:szCs w:val="20"/>
          <w:lang w:eastAsia="en-US"/>
        </w:rPr>
        <w:t xml:space="preserve">mecanismos eficaces de detección y extinción de incendios, </w:t>
      </w:r>
      <w:r>
        <w:rPr>
          <w:rFonts w:eastAsiaTheme="minorHAnsi"/>
          <w:sz w:val="20"/>
          <w:szCs w:val="20"/>
          <w:lang w:eastAsia="en-US"/>
        </w:rPr>
        <w:t>[ni un]</w:t>
      </w:r>
      <w:r w:rsidRPr="002505FA">
        <w:rPr>
          <w:rFonts w:eastAsiaTheme="minorHAnsi"/>
          <w:sz w:val="20"/>
          <w:szCs w:val="20"/>
          <w:lang w:eastAsia="en-US"/>
        </w:rPr>
        <w:t xml:space="preserve"> protocolo de acción adecuado en caso de una emergencia”. Afirmaron que “la negligencia estatal se hizo evidente con el resultado”</w:t>
      </w:r>
      <w:r w:rsidRPr="00783CAA">
        <w:rPr>
          <w:rFonts w:eastAsiaTheme="minorHAnsi"/>
          <w:sz w:val="20"/>
          <w:szCs w:val="20"/>
          <w:lang w:eastAsia="en-US"/>
        </w:rPr>
        <w:t>, que implicó una “privación arbitraria de las vidas de las [v]</w:t>
      </w:r>
      <w:proofErr w:type="spellStart"/>
      <w:r w:rsidRPr="00783CAA">
        <w:rPr>
          <w:rFonts w:eastAsiaTheme="minorHAnsi"/>
          <w:sz w:val="20"/>
          <w:szCs w:val="20"/>
          <w:lang w:eastAsia="en-US"/>
        </w:rPr>
        <w:t>íctimas</w:t>
      </w:r>
      <w:proofErr w:type="spellEnd"/>
      <w:r w:rsidRPr="00783CAA">
        <w:rPr>
          <w:rFonts w:eastAsiaTheme="minorHAnsi"/>
          <w:sz w:val="20"/>
          <w:szCs w:val="20"/>
          <w:lang w:eastAsia="en-US"/>
        </w:rPr>
        <w:t xml:space="preserve">”. </w:t>
      </w:r>
      <w:r>
        <w:rPr>
          <w:rFonts w:eastAsia="Calibri" w:cs="Arial"/>
          <w:sz w:val="20"/>
          <w:szCs w:val="20"/>
        </w:rPr>
        <w:t>A</w:t>
      </w:r>
      <w:r w:rsidRPr="00EB7EAA">
        <w:rPr>
          <w:rFonts w:eastAsia="Calibri" w:cs="Arial"/>
          <w:sz w:val="20"/>
          <w:szCs w:val="20"/>
        </w:rPr>
        <w:t xml:space="preserve">dujeron </w:t>
      </w:r>
      <w:r>
        <w:rPr>
          <w:rFonts w:eastAsia="Calibri" w:cs="Arial"/>
          <w:sz w:val="20"/>
          <w:szCs w:val="20"/>
        </w:rPr>
        <w:t xml:space="preserve">también </w:t>
      </w:r>
      <w:r w:rsidRPr="00EB7EAA">
        <w:rPr>
          <w:rFonts w:eastAsia="Calibri" w:cs="Arial"/>
          <w:sz w:val="20"/>
          <w:szCs w:val="20"/>
        </w:rPr>
        <w:t>que Venezuela infringió</w:t>
      </w:r>
      <w:r>
        <w:rPr>
          <w:rFonts w:eastAsia="Calibri" w:cs="Arial"/>
          <w:sz w:val="20"/>
          <w:szCs w:val="20"/>
        </w:rPr>
        <w:t xml:space="preserve"> sus obligaciones pues</w:t>
      </w:r>
      <w:r w:rsidRPr="00EB7EAA">
        <w:rPr>
          <w:rFonts w:eastAsia="Calibri" w:cs="Arial"/>
          <w:sz w:val="20"/>
          <w:szCs w:val="20"/>
        </w:rPr>
        <w:t xml:space="preserve"> no fueron cumplidas “medidas anticipatorias o preventivas”, </w:t>
      </w:r>
      <w:r>
        <w:rPr>
          <w:rFonts w:eastAsia="Calibri" w:cs="Arial"/>
          <w:sz w:val="20"/>
          <w:szCs w:val="20"/>
        </w:rPr>
        <w:t>dado que</w:t>
      </w:r>
      <w:r w:rsidRPr="00EB7EAA">
        <w:rPr>
          <w:rFonts w:eastAsia="Calibri" w:cs="Arial"/>
          <w:sz w:val="20"/>
          <w:szCs w:val="20"/>
        </w:rPr>
        <w:t xml:space="preserve"> el Centro no contaba con las protecciones básicas contra incendios, ni un plan de escape en caso de eventos de ese tipo. Agregaron que los funcionarios estatales “fallaron en la prevención del ingreso </w:t>
      </w:r>
      <w:r w:rsidRPr="00D8063F">
        <w:rPr>
          <w:rFonts w:eastAsia="Calibri" w:cs="Arial"/>
          <w:sz w:val="20"/>
          <w:szCs w:val="20"/>
        </w:rPr>
        <w:t xml:space="preserve">de materiales </w:t>
      </w:r>
      <w:r w:rsidRPr="00D8063F">
        <w:rPr>
          <w:rFonts w:eastAsia="Calibri" w:cs="Arial"/>
          <w:sz w:val="20"/>
          <w:szCs w:val="20"/>
        </w:rPr>
        <w:lastRenderedPageBreak/>
        <w:t>ilícitos”</w:t>
      </w:r>
      <w:r w:rsidRPr="00D8063F">
        <w:rPr>
          <w:rStyle w:val="Refdenotaalpie"/>
          <w:rFonts w:eastAsia="Calibri" w:cs="Arial"/>
          <w:sz w:val="20"/>
          <w:szCs w:val="20"/>
        </w:rPr>
        <w:footnoteReference w:id="76"/>
      </w:r>
      <w:r w:rsidRPr="00D8063F">
        <w:rPr>
          <w:rFonts w:eastAsia="Calibri" w:cs="Arial"/>
          <w:sz w:val="20"/>
          <w:szCs w:val="20"/>
        </w:rPr>
        <w:t>.</w:t>
      </w:r>
      <w:r w:rsidRPr="00EB7EAA">
        <w:rPr>
          <w:rFonts w:eastAsia="Calibri" w:cs="Arial"/>
          <w:sz w:val="20"/>
          <w:szCs w:val="20"/>
        </w:rPr>
        <w:t xml:space="preserve"> </w:t>
      </w:r>
    </w:p>
    <w:p w14:paraId="38FB01D9" w14:textId="77777777" w:rsidR="00D47AFE" w:rsidRPr="00783CAA" w:rsidRDefault="00D47AFE" w:rsidP="00B476ED">
      <w:pPr>
        <w:pStyle w:val="Prrafodelista"/>
        <w:spacing w:line="240" w:lineRule="auto"/>
        <w:ind w:right="-801"/>
        <w:rPr>
          <w:rFonts w:eastAsia="Calibri" w:cs="Arial"/>
          <w:sz w:val="20"/>
          <w:szCs w:val="20"/>
        </w:rPr>
      </w:pPr>
    </w:p>
    <w:p w14:paraId="1082B455" w14:textId="77777777" w:rsidR="00D47AFE" w:rsidRPr="00816876" w:rsidRDefault="00D47AFE" w:rsidP="00B476ED">
      <w:pPr>
        <w:numPr>
          <w:ilvl w:val="0"/>
          <w:numId w:val="1"/>
        </w:numPr>
        <w:tabs>
          <w:tab w:val="left" w:pos="567"/>
          <w:tab w:val="num" w:pos="1569"/>
          <w:tab w:val="num" w:pos="12305"/>
        </w:tabs>
        <w:spacing w:line="240" w:lineRule="auto"/>
        <w:ind w:left="0" w:right="-801" w:firstLine="0"/>
        <w:rPr>
          <w:rFonts w:eastAsia="Calibri" w:cs="Arial"/>
          <w:sz w:val="20"/>
          <w:szCs w:val="20"/>
        </w:rPr>
      </w:pPr>
      <w:r w:rsidRPr="00783CAA">
        <w:rPr>
          <w:rFonts w:eastAsia="Calibri" w:cs="Arial"/>
          <w:sz w:val="20"/>
          <w:szCs w:val="20"/>
        </w:rPr>
        <w:t xml:space="preserve">Los representantes también </w:t>
      </w:r>
      <w:r w:rsidRPr="00B706B7">
        <w:rPr>
          <w:rFonts w:eastAsia="Calibri" w:cs="Arial"/>
          <w:sz w:val="20"/>
          <w:szCs w:val="20"/>
        </w:rPr>
        <w:t>argu</w:t>
      </w:r>
      <w:r>
        <w:rPr>
          <w:rFonts w:eastAsia="Calibri" w:cs="Arial"/>
          <w:sz w:val="20"/>
          <w:szCs w:val="20"/>
        </w:rPr>
        <w:t>yeron</w:t>
      </w:r>
      <w:r w:rsidRPr="00816876">
        <w:rPr>
          <w:rFonts w:eastAsia="Calibri" w:cs="Arial"/>
          <w:sz w:val="20"/>
          <w:szCs w:val="20"/>
        </w:rPr>
        <w:t xml:space="preserve"> que Venezuela vulneró el derecho</w:t>
      </w:r>
      <w:r w:rsidRPr="00EC601B">
        <w:rPr>
          <w:rFonts w:eastAsia="Calibri" w:cs="Arial"/>
          <w:sz w:val="20"/>
          <w:szCs w:val="20"/>
        </w:rPr>
        <w:t xml:space="preserve"> a la integridad personal, </w:t>
      </w:r>
      <w:r>
        <w:rPr>
          <w:rFonts w:eastAsia="Calibri" w:cs="Arial"/>
          <w:sz w:val="20"/>
          <w:szCs w:val="20"/>
        </w:rPr>
        <w:t xml:space="preserve">reconocido en el artículo 5 de la Convención, </w:t>
      </w:r>
      <w:r w:rsidRPr="00EC601B">
        <w:rPr>
          <w:rFonts w:eastAsia="Calibri" w:cs="Arial"/>
          <w:sz w:val="20"/>
          <w:szCs w:val="20"/>
        </w:rPr>
        <w:t xml:space="preserve">por la falta de políticas </w:t>
      </w:r>
      <w:r>
        <w:rPr>
          <w:rFonts w:eastAsia="Calibri" w:cs="Arial"/>
          <w:sz w:val="20"/>
          <w:szCs w:val="20"/>
        </w:rPr>
        <w:t>de</w:t>
      </w:r>
      <w:r w:rsidRPr="00EC601B">
        <w:rPr>
          <w:rFonts w:eastAsia="Calibri" w:cs="Arial"/>
          <w:sz w:val="20"/>
          <w:szCs w:val="20"/>
        </w:rPr>
        <w:t xml:space="preserve"> prevención de situaciones críticas y por la “omisión </w:t>
      </w:r>
      <w:r>
        <w:rPr>
          <w:rFonts w:eastAsia="Calibri" w:cs="Arial"/>
          <w:sz w:val="20"/>
          <w:szCs w:val="20"/>
        </w:rPr>
        <w:t xml:space="preserve">[en] </w:t>
      </w:r>
      <w:r w:rsidRPr="00EC601B">
        <w:rPr>
          <w:rFonts w:eastAsia="Calibri" w:cs="Arial"/>
          <w:sz w:val="20"/>
          <w:szCs w:val="20"/>
        </w:rPr>
        <w:t xml:space="preserve">proteger la integridad física </w:t>
      </w:r>
      <w:r>
        <w:rPr>
          <w:rFonts w:eastAsia="Calibri" w:cs="Arial"/>
          <w:sz w:val="20"/>
          <w:szCs w:val="20"/>
        </w:rPr>
        <w:t xml:space="preserve">[…] </w:t>
      </w:r>
      <w:r w:rsidRPr="00EC601B">
        <w:rPr>
          <w:rFonts w:eastAsia="Calibri" w:cs="Arial"/>
          <w:sz w:val="20"/>
          <w:szCs w:val="20"/>
        </w:rPr>
        <w:t>de las [v]</w:t>
      </w:r>
      <w:proofErr w:type="spellStart"/>
      <w:r w:rsidRPr="00EC601B">
        <w:rPr>
          <w:rFonts w:eastAsia="Calibri" w:cs="Arial"/>
          <w:sz w:val="20"/>
          <w:szCs w:val="20"/>
        </w:rPr>
        <w:t>íctimas</w:t>
      </w:r>
      <w:proofErr w:type="spellEnd"/>
      <w:r w:rsidRPr="00EC601B">
        <w:rPr>
          <w:rFonts w:eastAsia="Calibri" w:cs="Arial"/>
          <w:sz w:val="20"/>
          <w:szCs w:val="20"/>
        </w:rPr>
        <w:t xml:space="preserve">, causando quemaduras y asfixia”. </w:t>
      </w:r>
      <w:r w:rsidRPr="00B706B7">
        <w:rPr>
          <w:rFonts w:eastAsia="Calibri" w:cs="Arial"/>
          <w:sz w:val="20"/>
          <w:szCs w:val="20"/>
        </w:rPr>
        <w:t>Sostuvieron</w:t>
      </w:r>
      <w:r>
        <w:rPr>
          <w:rFonts w:eastAsia="Calibri" w:cs="Arial"/>
          <w:sz w:val="20"/>
          <w:szCs w:val="20"/>
        </w:rPr>
        <w:t>, aunado a ello,</w:t>
      </w:r>
      <w:r w:rsidRPr="00B706B7">
        <w:rPr>
          <w:rFonts w:eastAsia="Calibri" w:cs="Arial"/>
          <w:sz w:val="20"/>
          <w:szCs w:val="20"/>
        </w:rPr>
        <w:t xml:space="preserve"> que el hacinamiento es, en sí mismo, violatorio de la integridad personal,</w:t>
      </w:r>
      <w:r>
        <w:rPr>
          <w:rFonts w:eastAsia="Calibri" w:cs="Arial"/>
          <w:sz w:val="20"/>
          <w:szCs w:val="20"/>
        </w:rPr>
        <w:t xml:space="preserve"> </w:t>
      </w:r>
      <w:r w:rsidRPr="00B706B7">
        <w:rPr>
          <w:rFonts w:eastAsia="Calibri" w:cs="Arial"/>
          <w:sz w:val="20"/>
          <w:szCs w:val="20"/>
        </w:rPr>
        <w:t>y que el Estado debía</w:t>
      </w:r>
      <w:r w:rsidRPr="00B706B7">
        <w:rPr>
          <w:rFonts w:eastAsia="Calibri" w:cs="Arial"/>
          <w:b/>
          <w:sz w:val="20"/>
          <w:szCs w:val="20"/>
        </w:rPr>
        <w:t xml:space="preserve"> </w:t>
      </w:r>
      <w:r w:rsidRPr="00B706B7">
        <w:rPr>
          <w:rFonts w:eastAsia="Calibri" w:cs="Arial"/>
          <w:sz w:val="20"/>
          <w:szCs w:val="20"/>
        </w:rPr>
        <w:t xml:space="preserve">separar a las personas privadas de su libertad condenadas y procesadas, así como también a las adultas de las </w:t>
      </w:r>
      <w:r>
        <w:rPr>
          <w:rFonts w:eastAsia="Calibri" w:cs="Arial"/>
          <w:sz w:val="20"/>
          <w:szCs w:val="20"/>
        </w:rPr>
        <w:t>adolescentes</w:t>
      </w:r>
      <w:r w:rsidRPr="00B706B7">
        <w:rPr>
          <w:rFonts w:eastAsia="Calibri" w:cs="Arial"/>
          <w:sz w:val="20"/>
          <w:szCs w:val="20"/>
        </w:rPr>
        <w:t>.</w:t>
      </w:r>
      <w:r w:rsidRPr="00B706B7">
        <w:rPr>
          <w:rFonts w:eastAsia="Calibri" w:cs="Arial"/>
          <w:b/>
          <w:sz w:val="20"/>
          <w:szCs w:val="20"/>
        </w:rPr>
        <w:t xml:space="preserve"> </w:t>
      </w:r>
      <w:r w:rsidRPr="00B706B7">
        <w:rPr>
          <w:rFonts w:eastAsia="Calibri" w:cs="Arial"/>
          <w:sz w:val="20"/>
          <w:szCs w:val="20"/>
        </w:rPr>
        <w:t>Adujeron que la falta de esta última separación generó un “ambiente de conflicto” entre los internos.</w:t>
      </w:r>
      <w:r w:rsidRPr="00B706B7">
        <w:rPr>
          <w:rFonts w:eastAsia="Calibri" w:cs="Arial"/>
          <w:b/>
          <w:sz w:val="20"/>
          <w:szCs w:val="20"/>
        </w:rPr>
        <w:t xml:space="preserve"> </w:t>
      </w:r>
    </w:p>
    <w:p w14:paraId="014CD3D6" w14:textId="77777777" w:rsidR="00D47AFE" w:rsidRPr="00EC601B" w:rsidRDefault="00D47AFE" w:rsidP="00B476ED">
      <w:pPr>
        <w:pStyle w:val="Prrafodelista"/>
        <w:spacing w:line="240" w:lineRule="auto"/>
        <w:ind w:right="-801"/>
        <w:rPr>
          <w:rFonts w:eastAsia="Calibri" w:cs="Arial"/>
          <w:sz w:val="20"/>
          <w:szCs w:val="20"/>
        </w:rPr>
      </w:pPr>
    </w:p>
    <w:p w14:paraId="7B6759A2" w14:textId="351AD252" w:rsidR="00D47AFE" w:rsidRPr="00816876" w:rsidRDefault="00D47AFE" w:rsidP="00B476ED">
      <w:pPr>
        <w:numPr>
          <w:ilvl w:val="0"/>
          <w:numId w:val="1"/>
        </w:numPr>
        <w:tabs>
          <w:tab w:val="left" w:pos="567"/>
          <w:tab w:val="num" w:pos="1569"/>
          <w:tab w:val="num" w:pos="12305"/>
        </w:tabs>
        <w:spacing w:line="240" w:lineRule="auto"/>
        <w:ind w:left="0" w:right="-801" w:firstLine="0"/>
        <w:rPr>
          <w:rFonts w:eastAsia="Calibri" w:cs="Arial"/>
          <w:sz w:val="20"/>
          <w:szCs w:val="20"/>
        </w:rPr>
      </w:pPr>
      <w:r w:rsidRPr="00EC601B">
        <w:rPr>
          <w:rFonts w:eastAsia="Calibri" w:cs="Arial"/>
          <w:sz w:val="20"/>
          <w:szCs w:val="20"/>
        </w:rPr>
        <w:t xml:space="preserve"> </w:t>
      </w:r>
      <w:r w:rsidRPr="002505FA">
        <w:rPr>
          <w:rFonts w:eastAsia="Calibri" w:cs="Arial"/>
          <w:sz w:val="20"/>
          <w:szCs w:val="20"/>
        </w:rPr>
        <w:t xml:space="preserve">Por último, los representantes alegaron que Venezuela </w:t>
      </w:r>
      <w:r w:rsidRPr="00B706B7">
        <w:rPr>
          <w:rFonts w:eastAsia="Calibri" w:cs="Arial"/>
          <w:sz w:val="20"/>
          <w:szCs w:val="20"/>
        </w:rPr>
        <w:t>inobservó</w:t>
      </w:r>
      <w:r w:rsidRPr="00816876">
        <w:rPr>
          <w:rFonts w:eastAsia="Calibri" w:cs="Arial"/>
          <w:sz w:val="20"/>
          <w:szCs w:val="20"/>
        </w:rPr>
        <w:t xml:space="preserve"> el artículo</w:t>
      </w:r>
      <w:r w:rsidRPr="00EC601B">
        <w:rPr>
          <w:rFonts w:eastAsia="Calibri" w:cs="Arial"/>
          <w:sz w:val="20"/>
          <w:szCs w:val="20"/>
        </w:rPr>
        <w:t xml:space="preserve"> 19 de la Convención, relativo al derecho a </w:t>
      </w:r>
      <w:r>
        <w:rPr>
          <w:rFonts w:eastAsia="Calibri" w:cs="Arial"/>
          <w:sz w:val="20"/>
          <w:szCs w:val="20"/>
        </w:rPr>
        <w:t xml:space="preserve">medidas de protección </w:t>
      </w:r>
      <w:r w:rsidR="0076667E">
        <w:rPr>
          <w:rFonts w:eastAsia="Calibri" w:cs="Arial"/>
          <w:sz w:val="20"/>
          <w:szCs w:val="20"/>
        </w:rPr>
        <w:t xml:space="preserve">especial </w:t>
      </w:r>
      <w:r>
        <w:rPr>
          <w:rFonts w:eastAsia="Calibri" w:cs="Arial"/>
          <w:sz w:val="20"/>
          <w:szCs w:val="20"/>
        </w:rPr>
        <w:t>para niñas o niños</w:t>
      </w:r>
      <w:r w:rsidRPr="00EC601B">
        <w:rPr>
          <w:rFonts w:eastAsia="Calibri" w:cs="Arial"/>
          <w:sz w:val="20"/>
          <w:szCs w:val="20"/>
        </w:rPr>
        <w:t xml:space="preserve">. Explicaron que, a su entender, “[l]a obligación de Venezuela de prevenir los sucesos </w:t>
      </w:r>
      <w:r>
        <w:rPr>
          <w:rFonts w:eastAsia="Calibri" w:cs="Arial"/>
          <w:sz w:val="20"/>
          <w:szCs w:val="20"/>
        </w:rPr>
        <w:t xml:space="preserve">[…] </w:t>
      </w:r>
      <w:r w:rsidRPr="00EC601B">
        <w:rPr>
          <w:rFonts w:eastAsia="Calibri" w:cs="Arial"/>
          <w:sz w:val="20"/>
          <w:szCs w:val="20"/>
        </w:rPr>
        <w:t>era una obligación continua y permanente</w:t>
      </w:r>
      <w:r>
        <w:rPr>
          <w:rFonts w:eastAsia="Calibri" w:cs="Arial"/>
          <w:sz w:val="20"/>
          <w:szCs w:val="20"/>
        </w:rPr>
        <w:t>” que inició</w:t>
      </w:r>
      <w:r w:rsidRPr="00EC601B">
        <w:rPr>
          <w:rFonts w:eastAsia="Calibri" w:cs="Arial"/>
          <w:sz w:val="20"/>
          <w:szCs w:val="20"/>
        </w:rPr>
        <w:t xml:space="preserve"> </w:t>
      </w:r>
      <w:r>
        <w:rPr>
          <w:rFonts w:eastAsia="Calibri" w:cs="Arial"/>
          <w:sz w:val="20"/>
          <w:szCs w:val="20"/>
        </w:rPr>
        <w:t>“</w:t>
      </w:r>
      <w:r w:rsidRPr="00EC601B">
        <w:rPr>
          <w:rFonts w:eastAsia="Calibri" w:cs="Arial"/>
          <w:sz w:val="20"/>
          <w:szCs w:val="20"/>
        </w:rPr>
        <w:t>mucho tiempo antes</w:t>
      </w:r>
      <w:r>
        <w:rPr>
          <w:rFonts w:eastAsia="Calibri" w:cs="Arial"/>
          <w:sz w:val="20"/>
          <w:szCs w:val="20"/>
        </w:rPr>
        <w:t>” del incendio</w:t>
      </w:r>
      <w:r w:rsidRPr="00EC601B">
        <w:rPr>
          <w:rFonts w:eastAsia="Calibri" w:cs="Arial"/>
          <w:sz w:val="20"/>
          <w:szCs w:val="20"/>
        </w:rPr>
        <w:t xml:space="preserve">, cuando las </w:t>
      </w:r>
      <w:r>
        <w:rPr>
          <w:rFonts w:eastAsia="Calibri" w:cs="Arial"/>
          <w:sz w:val="20"/>
          <w:szCs w:val="20"/>
        </w:rPr>
        <w:t>v</w:t>
      </w:r>
      <w:r w:rsidRPr="00EC601B">
        <w:rPr>
          <w:rFonts w:eastAsia="Calibri" w:cs="Arial"/>
          <w:sz w:val="20"/>
          <w:szCs w:val="20"/>
        </w:rPr>
        <w:t xml:space="preserve">íctimas aún eran adolescentes. </w:t>
      </w:r>
      <w:r w:rsidRPr="002505FA">
        <w:rPr>
          <w:rFonts w:eastAsia="Calibri" w:cs="Arial"/>
          <w:sz w:val="20"/>
          <w:szCs w:val="20"/>
        </w:rPr>
        <w:t xml:space="preserve">Agregaron que </w:t>
      </w:r>
      <w:r>
        <w:rPr>
          <w:rFonts w:eastAsia="Calibri" w:cs="Arial"/>
          <w:sz w:val="20"/>
          <w:szCs w:val="20"/>
        </w:rPr>
        <w:t>éstas</w:t>
      </w:r>
      <w:r w:rsidRPr="002505FA">
        <w:rPr>
          <w:rFonts w:eastAsia="Calibri" w:cs="Arial"/>
          <w:sz w:val="20"/>
          <w:szCs w:val="20"/>
        </w:rPr>
        <w:t xml:space="preserve">, luego de cumplir </w:t>
      </w:r>
      <w:r w:rsidRPr="00783CAA">
        <w:rPr>
          <w:rFonts w:eastAsia="Calibri" w:cs="Arial"/>
          <w:sz w:val="20"/>
          <w:szCs w:val="20"/>
        </w:rPr>
        <w:t xml:space="preserve">18 </w:t>
      </w:r>
      <w:proofErr w:type="gramStart"/>
      <w:r w:rsidRPr="00783CAA">
        <w:rPr>
          <w:rFonts w:eastAsia="Calibri" w:cs="Arial"/>
          <w:sz w:val="20"/>
          <w:szCs w:val="20"/>
        </w:rPr>
        <w:t>años de edad</w:t>
      </w:r>
      <w:proofErr w:type="gramEnd"/>
      <w:r w:rsidRPr="00783CAA">
        <w:rPr>
          <w:rFonts w:eastAsia="Calibri" w:cs="Arial"/>
          <w:sz w:val="20"/>
          <w:szCs w:val="20"/>
        </w:rPr>
        <w:t>, permanecían “</w:t>
      </w:r>
      <w:r w:rsidRPr="00783CAA">
        <w:rPr>
          <w:rFonts w:eastAsiaTheme="minorHAnsi"/>
          <w:sz w:val="20"/>
          <w:szCs w:val="20"/>
          <w:lang w:eastAsia="en-US"/>
        </w:rPr>
        <w:t>en una prisión para menores</w:t>
      </w:r>
      <w:r>
        <w:rPr>
          <w:rFonts w:eastAsiaTheme="minorHAnsi"/>
          <w:sz w:val="20"/>
          <w:szCs w:val="20"/>
          <w:lang w:eastAsia="en-US"/>
        </w:rPr>
        <w:t xml:space="preserve">”, </w:t>
      </w:r>
      <w:r w:rsidRPr="00783CAA">
        <w:rPr>
          <w:rFonts w:eastAsiaTheme="minorHAnsi"/>
          <w:sz w:val="20"/>
          <w:szCs w:val="20"/>
          <w:lang w:eastAsia="en-US"/>
        </w:rPr>
        <w:t xml:space="preserve">por lo </w:t>
      </w:r>
      <w:r>
        <w:rPr>
          <w:rFonts w:eastAsiaTheme="minorHAnsi"/>
          <w:sz w:val="20"/>
          <w:szCs w:val="20"/>
          <w:lang w:eastAsia="en-US"/>
        </w:rPr>
        <w:t>que el Estado debía garantizarles la protección debida a adolescentes</w:t>
      </w:r>
      <w:r w:rsidRPr="00783CAA">
        <w:rPr>
          <w:rFonts w:eastAsiaTheme="minorHAnsi"/>
          <w:sz w:val="20"/>
          <w:szCs w:val="20"/>
          <w:lang w:eastAsia="en-US"/>
        </w:rPr>
        <w:t>.</w:t>
      </w:r>
    </w:p>
    <w:p w14:paraId="46E69217" w14:textId="77777777" w:rsidR="00D47AFE" w:rsidRPr="004754B0" w:rsidRDefault="00D47AFE" w:rsidP="00B476ED">
      <w:pPr>
        <w:pStyle w:val="Prrafodelista"/>
        <w:spacing w:line="240" w:lineRule="auto"/>
        <w:ind w:right="-801"/>
        <w:rPr>
          <w:rFonts w:eastAsia="Calibri" w:cs="Arial"/>
          <w:sz w:val="20"/>
          <w:szCs w:val="20"/>
        </w:rPr>
      </w:pPr>
    </w:p>
    <w:p w14:paraId="167F5380" w14:textId="77777777" w:rsidR="00D47AFE" w:rsidRDefault="00D47AFE" w:rsidP="00B476ED">
      <w:pPr>
        <w:numPr>
          <w:ilvl w:val="0"/>
          <w:numId w:val="1"/>
        </w:numPr>
        <w:tabs>
          <w:tab w:val="left" w:pos="567"/>
          <w:tab w:val="num" w:pos="1569"/>
          <w:tab w:val="num" w:pos="12305"/>
        </w:tabs>
        <w:spacing w:line="240" w:lineRule="auto"/>
        <w:ind w:left="0" w:right="-801" w:firstLine="0"/>
        <w:rPr>
          <w:rFonts w:eastAsia="Calibri" w:cs="Arial"/>
          <w:sz w:val="20"/>
          <w:szCs w:val="20"/>
        </w:rPr>
      </w:pPr>
      <w:r w:rsidRPr="004754B0">
        <w:rPr>
          <w:rFonts w:eastAsia="Calibri" w:cs="Arial"/>
          <w:sz w:val="20"/>
          <w:szCs w:val="20"/>
        </w:rPr>
        <w:t xml:space="preserve">El </w:t>
      </w:r>
      <w:r w:rsidRPr="004754B0">
        <w:rPr>
          <w:rFonts w:eastAsia="Calibri" w:cs="Arial"/>
          <w:b/>
          <w:i/>
          <w:sz w:val="20"/>
          <w:szCs w:val="20"/>
        </w:rPr>
        <w:t>Estado</w:t>
      </w:r>
      <w:r w:rsidRPr="004754B0">
        <w:rPr>
          <w:rFonts w:eastAsia="Calibri" w:cs="Arial"/>
          <w:sz w:val="20"/>
          <w:szCs w:val="20"/>
        </w:rPr>
        <w:t>, como se ha señalado (</w:t>
      </w:r>
      <w:r w:rsidRPr="004754B0">
        <w:rPr>
          <w:rFonts w:eastAsia="Calibri" w:cs="Arial"/>
          <w:i/>
          <w:sz w:val="20"/>
          <w:szCs w:val="20"/>
        </w:rPr>
        <w:t xml:space="preserve">supra </w:t>
      </w:r>
      <w:proofErr w:type="spellStart"/>
      <w:r w:rsidRPr="004754B0">
        <w:rPr>
          <w:rFonts w:eastAsia="Calibri" w:cs="Arial"/>
          <w:sz w:val="20"/>
          <w:szCs w:val="20"/>
        </w:rPr>
        <w:t>párr</w:t>
      </w:r>
      <w:r>
        <w:rPr>
          <w:rFonts w:eastAsia="Calibri" w:cs="Arial"/>
          <w:sz w:val="20"/>
          <w:szCs w:val="20"/>
        </w:rPr>
        <w:t>s</w:t>
      </w:r>
      <w:proofErr w:type="spellEnd"/>
      <w:r w:rsidRPr="004754B0">
        <w:rPr>
          <w:rFonts w:eastAsia="Calibri" w:cs="Arial"/>
          <w:sz w:val="20"/>
          <w:szCs w:val="20"/>
        </w:rPr>
        <w:t xml:space="preserve">. </w:t>
      </w:r>
      <w:r>
        <w:rPr>
          <w:rFonts w:eastAsia="Calibri" w:cs="Arial"/>
          <w:sz w:val="20"/>
          <w:szCs w:val="20"/>
        </w:rPr>
        <w:t>13 y 20</w:t>
      </w:r>
      <w:r w:rsidRPr="004754B0">
        <w:rPr>
          <w:rFonts w:eastAsia="Calibri" w:cs="Arial"/>
          <w:sz w:val="20"/>
          <w:szCs w:val="20"/>
        </w:rPr>
        <w:t xml:space="preserve">) </w:t>
      </w:r>
      <w:r w:rsidRPr="004754B0">
        <w:rPr>
          <w:rFonts w:eastAsia="Calibri"/>
          <w:sz w:val="20"/>
          <w:szCs w:val="20"/>
          <w:lang w:val="es-ES"/>
        </w:rPr>
        <w:t xml:space="preserve">reconoció su responsabilidad </w:t>
      </w:r>
      <w:r>
        <w:rPr>
          <w:rFonts w:eastAsia="Calibri"/>
          <w:sz w:val="20"/>
          <w:szCs w:val="20"/>
          <w:lang w:val="es-ES"/>
        </w:rPr>
        <w:t>por</w:t>
      </w:r>
      <w:r w:rsidRPr="004754B0">
        <w:rPr>
          <w:rFonts w:eastAsia="Calibri"/>
          <w:sz w:val="20"/>
          <w:szCs w:val="20"/>
          <w:lang w:val="es-ES"/>
        </w:rPr>
        <w:t xml:space="preserve"> la vulneración de</w:t>
      </w:r>
      <w:r>
        <w:rPr>
          <w:rFonts w:eastAsia="Calibri"/>
          <w:sz w:val="20"/>
          <w:szCs w:val="20"/>
          <w:lang w:val="es-ES"/>
        </w:rPr>
        <w:t xml:space="preserve"> </w:t>
      </w:r>
      <w:r w:rsidRPr="004754B0">
        <w:rPr>
          <w:rFonts w:eastAsia="Calibri"/>
          <w:sz w:val="20"/>
          <w:szCs w:val="20"/>
          <w:lang w:val="es-ES"/>
        </w:rPr>
        <w:t>l</w:t>
      </w:r>
      <w:r>
        <w:rPr>
          <w:rFonts w:eastAsia="Calibri"/>
          <w:sz w:val="20"/>
          <w:szCs w:val="20"/>
          <w:lang w:val="es-ES"/>
        </w:rPr>
        <w:t>os</w:t>
      </w:r>
      <w:r w:rsidRPr="004754B0">
        <w:rPr>
          <w:rFonts w:eastAsia="Calibri"/>
          <w:sz w:val="20"/>
          <w:szCs w:val="20"/>
          <w:lang w:val="es-ES"/>
        </w:rPr>
        <w:t xml:space="preserve"> derecho</w:t>
      </w:r>
      <w:r>
        <w:rPr>
          <w:rFonts w:eastAsia="Calibri"/>
          <w:sz w:val="20"/>
          <w:szCs w:val="20"/>
          <w:lang w:val="es-ES"/>
        </w:rPr>
        <w:t>s</w:t>
      </w:r>
      <w:r w:rsidRPr="004754B0">
        <w:rPr>
          <w:rFonts w:eastAsia="Calibri"/>
          <w:sz w:val="20"/>
          <w:szCs w:val="20"/>
          <w:lang w:val="es-ES"/>
        </w:rPr>
        <w:t xml:space="preserve"> a la vida e integridad personal establecidos en los artículos 4.1, 5.1, 5.4, 5.5 y 5.6 de la Convención, en relación con las obligaciones previstas en sus artículos 1.1 y 19. </w:t>
      </w:r>
    </w:p>
    <w:p w14:paraId="2DB3127E" w14:textId="77777777" w:rsidR="00D47AFE" w:rsidRPr="004754B0" w:rsidRDefault="00D47AFE" w:rsidP="00B476ED">
      <w:pPr>
        <w:tabs>
          <w:tab w:val="left" w:pos="567"/>
        </w:tabs>
        <w:spacing w:line="240" w:lineRule="auto"/>
        <w:ind w:right="-801"/>
        <w:rPr>
          <w:sz w:val="20"/>
          <w:szCs w:val="20"/>
        </w:rPr>
      </w:pPr>
    </w:p>
    <w:p w14:paraId="49D94011" w14:textId="26A2F7A9" w:rsidR="00D47AFE" w:rsidRPr="004754B0" w:rsidRDefault="00D47AFE" w:rsidP="00B476ED">
      <w:pPr>
        <w:pStyle w:val="Ttulo2"/>
        <w:numPr>
          <w:ilvl w:val="0"/>
          <w:numId w:val="4"/>
        </w:numPr>
        <w:spacing w:before="0" w:after="0"/>
        <w:ind w:right="-801"/>
      </w:pPr>
      <w:bookmarkStart w:id="50" w:name="_Toc24447092"/>
      <w:bookmarkStart w:id="51" w:name="_Toc33020821"/>
      <w:bookmarkStart w:id="52" w:name="_Toc58329007"/>
      <w:bookmarkStart w:id="53" w:name="_Toc58330221"/>
      <w:r w:rsidRPr="004754B0">
        <w:t>Consideraciones de la Corte</w:t>
      </w:r>
      <w:bookmarkEnd w:id="50"/>
      <w:bookmarkEnd w:id="51"/>
      <w:bookmarkEnd w:id="52"/>
      <w:bookmarkEnd w:id="53"/>
    </w:p>
    <w:p w14:paraId="2E7BB347" w14:textId="77777777" w:rsidR="00D47AFE" w:rsidRDefault="00D47AFE" w:rsidP="00B476ED">
      <w:pPr>
        <w:pStyle w:val="Prrafodelista"/>
        <w:spacing w:line="240" w:lineRule="auto"/>
        <w:ind w:right="-801"/>
        <w:rPr>
          <w:sz w:val="20"/>
          <w:szCs w:val="20"/>
        </w:rPr>
      </w:pPr>
    </w:p>
    <w:p w14:paraId="5A99823C" w14:textId="77777777" w:rsidR="00D47AFE" w:rsidRPr="00EE1CF9" w:rsidRDefault="00D47AFE" w:rsidP="00B476ED">
      <w:pPr>
        <w:numPr>
          <w:ilvl w:val="0"/>
          <w:numId w:val="1"/>
        </w:numPr>
        <w:tabs>
          <w:tab w:val="left" w:pos="567"/>
          <w:tab w:val="num" w:pos="1569"/>
          <w:tab w:val="num" w:pos="12305"/>
        </w:tabs>
        <w:spacing w:line="240" w:lineRule="auto"/>
        <w:ind w:left="0" w:right="-801" w:firstLine="0"/>
        <w:rPr>
          <w:rFonts w:eastAsia="Calibri" w:cs="Arial"/>
          <w:sz w:val="20"/>
          <w:szCs w:val="20"/>
        </w:rPr>
      </w:pPr>
      <w:r w:rsidRPr="00EE1CF9">
        <w:rPr>
          <w:sz w:val="20"/>
          <w:szCs w:val="20"/>
        </w:rPr>
        <w:t>A efectos de analizar la responsabilidad estatal en el caso, es necesario, dadas sus características, comenzar por efectuar una precisión sobre el reconocimiento</w:t>
      </w:r>
      <w:r>
        <w:rPr>
          <w:sz w:val="20"/>
          <w:szCs w:val="20"/>
        </w:rPr>
        <w:t>,</w:t>
      </w:r>
      <w:r w:rsidRPr="00EE1CF9">
        <w:rPr>
          <w:sz w:val="20"/>
          <w:szCs w:val="20"/>
        </w:rPr>
        <w:t xml:space="preserve"> por parte de Venezuela</w:t>
      </w:r>
      <w:r>
        <w:rPr>
          <w:sz w:val="20"/>
          <w:szCs w:val="20"/>
        </w:rPr>
        <w:t>,</w:t>
      </w:r>
      <w:r w:rsidRPr="00EE1CF9">
        <w:rPr>
          <w:sz w:val="20"/>
          <w:szCs w:val="20"/>
        </w:rPr>
        <w:t xml:space="preserve"> de la violación de los artículos 5.5 y 19 de la Convención Americana, referidos a la especialización de la justicia de “menores” y a los derechos del niño, respectivamente. Ello en tanto que los cinco jóvenes que fallecieron ingresaron al INAM-San Félix cuando tenían menos de 18 años y cuando ocurrió el incendio, que produjo su muerte, ya habían superado esa edad. </w:t>
      </w:r>
    </w:p>
    <w:p w14:paraId="4E2610A9" w14:textId="77777777" w:rsidR="00D47AFE" w:rsidRPr="00164FDF" w:rsidRDefault="00D47AFE" w:rsidP="00B476ED">
      <w:pPr>
        <w:tabs>
          <w:tab w:val="left" w:pos="6286"/>
        </w:tabs>
        <w:spacing w:line="240" w:lineRule="auto"/>
        <w:ind w:right="-801"/>
        <w:rPr>
          <w:sz w:val="20"/>
          <w:szCs w:val="20"/>
        </w:rPr>
      </w:pPr>
      <w:r>
        <w:rPr>
          <w:sz w:val="20"/>
          <w:szCs w:val="20"/>
        </w:rPr>
        <w:tab/>
      </w:r>
    </w:p>
    <w:p w14:paraId="255A0D92" w14:textId="04BA2459" w:rsidR="00D47AFE" w:rsidRPr="00D8063F" w:rsidRDefault="00D47AFE" w:rsidP="00B476ED">
      <w:pPr>
        <w:widowControl/>
        <w:numPr>
          <w:ilvl w:val="0"/>
          <w:numId w:val="31"/>
        </w:numPr>
        <w:tabs>
          <w:tab w:val="left" w:pos="567"/>
        </w:tabs>
        <w:adjustRightInd/>
        <w:spacing w:line="240" w:lineRule="auto"/>
        <w:ind w:left="0" w:right="-801" w:firstLine="0"/>
        <w:textAlignment w:val="auto"/>
        <w:rPr>
          <w:sz w:val="20"/>
          <w:szCs w:val="20"/>
        </w:rPr>
      </w:pPr>
      <w:r w:rsidRPr="00D8063F">
        <w:rPr>
          <w:sz w:val="20"/>
          <w:szCs w:val="20"/>
        </w:rPr>
        <w:t xml:space="preserve">La Corte advierte, en el mismo sentido que ha expresado en jurisprudencia previa, que las disposiciones indicadas deben ser entendidas, a fin de fijar su contenido y alcances, teniendo en cuenta, entre otros instrumentos, a la Convención sobre los Derechos del Niño, que este Tribunal ha estimado incluida dentro de un “muy comprensivo </w:t>
      </w:r>
      <w:r w:rsidRPr="00D8063F">
        <w:rPr>
          <w:i/>
          <w:sz w:val="20"/>
          <w:szCs w:val="20"/>
        </w:rPr>
        <w:t>corpus iuris</w:t>
      </w:r>
      <w:r w:rsidRPr="00D8063F">
        <w:rPr>
          <w:sz w:val="20"/>
          <w:szCs w:val="20"/>
        </w:rPr>
        <w:t xml:space="preserve"> internacional de protección de niñas, niños y adolescentes”</w:t>
      </w:r>
      <w:r w:rsidRPr="00D8063F">
        <w:rPr>
          <w:rStyle w:val="Refdenotaalpie"/>
          <w:rFonts w:eastAsia="MS Mincho"/>
          <w:sz w:val="20"/>
          <w:szCs w:val="20"/>
        </w:rPr>
        <w:footnoteReference w:id="77"/>
      </w:r>
      <w:r w:rsidRPr="00D8063F">
        <w:rPr>
          <w:sz w:val="20"/>
          <w:szCs w:val="20"/>
        </w:rPr>
        <w:t xml:space="preserve">. </w:t>
      </w:r>
    </w:p>
    <w:p w14:paraId="0AC75C47" w14:textId="77777777" w:rsidR="00D47AFE" w:rsidRPr="00214148" w:rsidRDefault="00D47AFE" w:rsidP="00B476ED">
      <w:pPr>
        <w:pStyle w:val="Prrafodelista"/>
        <w:spacing w:line="240" w:lineRule="auto"/>
        <w:ind w:right="-801"/>
        <w:rPr>
          <w:sz w:val="20"/>
          <w:szCs w:val="20"/>
        </w:rPr>
      </w:pPr>
    </w:p>
    <w:p w14:paraId="1D2BD926" w14:textId="50763135" w:rsidR="00D47AFE" w:rsidRPr="00D8063F" w:rsidRDefault="00D47AFE" w:rsidP="00B476ED">
      <w:pPr>
        <w:widowControl/>
        <w:numPr>
          <w:ilvl w:val="0"/>
          <w:numId w:val="31"/>
        </w:numPr>
        <w:tabs>
          <w:tab w:val="left" w:pos="567"/>
        </w:tabs>
        <w:adjustRightInd/>
        <w:spacing w:line="240" w:lineRule="auto"/>
        <w:ind w:left="0" w:right="-801" w:firstLine="0"/>
        <w:textAlignment w:val="auto"/>
        <w:rPr>
          <w:sz w:val="20"/>
          <w:szCs w:val="20"/>
        </w:rPr>
      </w:pPr>
      <w:proofErr w:type="gramStart"/>
      <w:r w:rsidRPr="00D8063F">
        <w:rPr>
          <w:sz w:val="20"/>
          <w:szCs w:val="20"/>
        </w:rPr>
        <w:t>De acuerdo a</w:t>
      </w:r>
      <w:proofErr w:type="gramEnd"/>
      <w:r w:rsidRPr="00D8063F">
        <w:rPr>
          <w:sz w:val="20"/>
          <w:szCs w:val="20"/>
        </w:rPr>
        <w:t xml:space="preserve"> las pautas que surgen de dicha Convención, en particular de sus artículos 37 y 40, el abordaje de las conductas ilícitas atribuidas a niñas o niños debe efectuarse, como ha </w:t>
      </w:r>
      <w:r w:rsidRPr="00D8063F">
        <w:rPr>
          <w:sz w:val="20"/>
          <w:szCs w:val="20"/>
        </w:rPr>
        <w:lastRenderedPageBreak/>
        <w:t>indicado la Corte, en forma “diferenciada y específica</w:t>
      </w:r>
      <w:r w:rsidR="001B5EAF">
        <w:rPr>
          <w:sz w:val="20"/>
          <w:szCs w:val="20"/>
        </w:rPr>
        <w:t>”</w:t>
      </w:r>
      <w:r w:rsidRPr="00D8063F">
        <w:rPr>
          <w:rStyle w:val="Refdenotaalpie"/>
          <w:rFonts w:eastAsia="MS Mincho"/>
          <w:sz w:val="20"/>
          <w:szCs w:val="20"/>
        </w:rPr>
        <w:footnoteReference w:id="78"/>
      </w:r>
      <w:r w:rsidRPr="00D8063F">
        <w:rPr>
          <w:sz w:val="20"/>
          <w:szCs w:val="20"/>
        </w:rPr>
        <w:t>, es decir, bajo un régimen especial, distinto del aplicable a personas adultas. En ese marco, de conformidad con el apartado b) del artículo 37 citado, la privación de libertad de niñas o niños debe utilizarse como “medida de último recurso”. Debe llevarse a cabo de modo que permita cumplir la finalidad de reintegración de la medida, que es inclusiva de una educación que le permita prepararlo para su regreso a la sociedad</w:t>
      </w:r>
      <w:r w:rsidRPr="00D8063F">
        <w:rPr>
          <w:rStyle w:val="Refdenotaalpie"/>
          <w:rFonts w:eastAsia="MS Mincho"/>
          <w:sz w:val="20"/>
          <w:szCs w:val="20"/>
        </w:rPr>
        <w:footnoteReference w:id="79"/>
      </w:r>
      <w:r w:rsidRPr="00D8063F">
        <w:rPr>
          <w:sz w:val="20"/>
          <w:szCs w:val="20"/>
        </w:rPr>
        <w:t xml:space="preserve">. </w:t>
      </w:r>
    </w:p>
    <w:p w14:paraId="363659FA" w14:textId="77777777" w:rsidR="00D47AFE" w:rsidRDefault="00D47AFE" w:rsidP="00B476ED">
      <w:pPr>
        <w:pStyle w:val="Prrafodelista"/>
        <w:spacing w:line="240" w:lineRule="auto"/>
        <w:ind w:right="-801"/>
        <w:rPr>
          <w:sz w:val="20"/>
          <w:szCs w:val="20"/>
        </w:rPr>
      </w:pPr>
    </w:p>
    <w:p w14:paraId="5E26971F" w14:textId="77777777" w:rsidR="00D47AFE" w:rsidRPr="00D8063F" w:rsidRDefault="00D47AFE" w:rsidP="00B476ED">
      <w:pPr>
        <w:widowControl/>
        <w:numPr>
          <w:ilvl w:val="0"/>
          <w:numId w:val="31"/>
        </w:numPr>
        <w:tabs>
          <w:tab w:val="left" w:pos="567"/>
        </w:tabs>
        <w:adjustRightInd/>
        <w:spacing w:line="240" w:lineRule="auto"/>
        <w:ind w:left="0" w:right="-801" w:firstLine="0"/>
        <w:textAlignment w:val="auto"/>
        <w:rPr>
          <w:sz w:val="20"/>
          <w:szCs w:val="20"/>
        </w:rPr>
      </w:pPr>
      <w:r w:rsidRPr="00D8063F">
        <w:rPr>
          <w:sz w:val="20"/>
          <w:szCs w:val="20"/>
        </w:rPr>
        <w:t>De lo anterior se desprende que, en tanto el régimen especial para niñas o niños resulte relevante, su ejecución debe efectuarse de modo que permita cumplir la finalidad aludida. Sobre el particular la Corte ha señalado que, “</w:t>
      </w:r>
      <w:r w:rsidRPr="00D8063F">
        <w:rPr>
          <w:sz w:val="20"/>
          <w:szCs w:val="20"/>
          <w:lang w:val="es-MX"/>
        </w:rPr>
        <w:t xml:space="preserve">conforme al principio de especialización, se requiere el establecimiento de un sistema de justicia especializado en todas las fases del proceso y durante la ejecución de las medidas o sanciones que, eventualmente, se apliquen a los menores de 18 </w:t>
      </w:r>
      <w:proofErr w:type="gramStart"/>
      <w:r w:rsidRPr="00D8063F">
        <w:rPr>
          <w:sz w:val="20"/>
          <w:szCs w:val="20"/>
          <w:lang w:val="es-MX"/>
        </w:rPr>
        <w:t>años de edad</w:t>
      </w:r>
      <w:proofErr w:type="gramEnd"/>
      <w:r w:rsidRPr="00D8063F">
        <w:rPr>
          <w:sz w:val="20"/>
          <w:szCs w:val="20"/>
          <w:lang w:val="es-MX"/>
        </w:rPr>
        <w:t xml:space="preserve"> que hayan cometido delitos y que, conforme a la legislación interna, sean imputables”</w:t>
      </w:r>
      <w:r w:rsidRPr="00D8063F">
        <w:rPr>
          <w:rStyle w:val="Refdenotaalpie"/>
          <w:sz w:val="20"/>
          <w:szCs w:val="20"/>
        </w:rPr>
        <w:footnoteReference w:id="80"/>
      </w:r>
      <w:r w:rsidRPr="00D8063F">
        <w:rPr>
          <w:sz w:val="20"/>
          <w:szCs w:val="20"/>
          <w:lang w:val="es-MX"/>
        </w:rPr>
        <w:t>. Esto tiene sustento en que, como ha indicado el Comité de los Derechos del Niño, “</w:t>
      </w:r>
      <w:r w:rsidRPr="00D8063F">
        <w:rPr>
          <w:sz w:val="20"/>
          <w:szCs w:val="20"/>
        </w:rPr>
        <w:t>[l]a aplicación de un método estrictamente punitivo no se ajusta a los principios básicos de la justicia juvenil enunciados en el artículo 40, párrafo 1, de la Convención [sobre los Derechos del Niño…]. Se debe tener en cuenta el interés superior del niño como consideración primordial, así como la necesidad de promover su reintegración en la sociedad”</w:t>
      </w:r>
      <w:r w:rsidRPr="00D8063F">
        <w:rPr>
          <w:rStyle w:val="Refdenotaalpie"/>
          <w:sz w:val="20"/>
          <w:szCs w:val="20"/>
        </w:rPr>
        <w:footnoteReference w:id="81"/>
      </w:r>
      <w:r w:rsidRPr="00D8063F">
        <w:rPr>
          <w:sz w:val="20"/>
          <w:szCs w:val="20"/>
        </w:rPr>
        <w:t>.</w:t>
      </w:r>
    </w:p>
    <w:p w14:paraId="09806F29" w14:textId="77777777" w:rsidR="00D47AFE" w:rsidRPr="009B13D9" w:rsidRDefault="00D47AFE" w:rsidP="00B476ED">
      <w:pPr>
        <w:widowControl/>
        <w:tabs>
          <w:tab w:val="left" w:pos="567"/>
        </w:tabs>
        <w:adjustRightInd/>
        <w:spacing w:line="240" w:lineRule="auto"/>
        <w:ind w:right="-801"/>
        <w:textAlignment w:val="auto"/>
        <w:rPr>
          <w:sz w:val="20"/>
          <w:szCs w:val="20"/>
        </w:rPr>
      </w:pPr>
    </w:p>
    <w:p w14:paraId="1F3524C7" w14:textId="77777777" w:rsidR="00D47AFE" w:rsidRPr="00B72068" w:rsidRDefault="00D47AFE" w:rsidP="00B476ED">
      <w:pPr>
        <w:widowControl/>
        <w:numPr>
          <w:ilvl w:val="0"/>
          <w:numId w:val="31"/>
        </w:numPr>
        <w:tabs>
          <w:tab w:val="left" w:pos="567"/>
        </w:tabs>
        <w:adjustRightInd/>
        <w:spacing w:line="240" w:lineRule="auto"/>
        <w:ind w:left="0" w:right="-801" w:firstLine="0"/>
        <w:textAlignment w:val="auto"/>
        <w:rPr>
          <w:sz w:val="20"/>
          <w:szCs w:val="20"/>
        </w:rPr>
      </w:pPr>
      <w:r w:rsidRPr="00D8063F">
        <w:rPr>
          <w:sz w:val="20"/>
          <w:szCs w:val="20"/>
        </w:rPr>
        <w:t>La regla de separación de niños o niñas y personas adultas en establecimientos de detención o reclusión</w:t>
      </w:r>
      <w:r w:rsidRPr="00D8063F">
        <w:rPr>
          <w:rStyle w:val="Refdenotaalpie"/>
          <w:rFonts w:eastAsia="MS Mincho"/>
          <w:sz w:val="20"/>
          <w:szCs w:val="20"/>
        </w:rPr>
        <w:footnoteReference w:id="82"/>
      </w:r>
      <w:r w:rsidRPr="00D8063F">
        <w:rPr>
          <w:sz w:val="20"/>
          <w:szCs w:val="20"/>
        </w:rPr>
        <w:t xml:space="preserve"> debe aplicarse y entenderse de conformidad con lo anterior</w:t>
      </w:r>
      <w:r w:rsidRPr="00D8063F">
        <w:rPr>
          <w:rStyle w:val="Refdenotaalpie"/>
          <w:rFonts w:eastAsiaTheme="minorHAnsi" w:cs="TimesNewRoman"/>
          <w:sz w:val="20"/>
          <w:szCs w:val="20"/>
          <w:lang w:eastAsia="en-US"/>
        </w:rPr>
        <w:footnoteReference w:id="83"/>
      </w:r>
      <w:r w:rsidRPr="00D8063F">
        <w:rPr>
          <w:sz w:val="20"/>
          <w:szCs w:val="20"/>
        </w:rPr>
        <w:t>.</w:t>
      </w:r>
      <w:r w:rsidRPr="00214148">
        <w:rPr>
          <w:sz w:val="20"/>
          <w:szCs w:val="20"/>
        </w:rPr>
        <w:t xml:space="preserve"> En </w:t>
      </w:r>
      <w:r w:rsidRPr="00D8063F">
        <w:rPr>
          <w:sz w:val="20"/>
          <w:szCs w:val="20"/>
        </w:rPr>
        <w:t xml:space="preserve">este </w:t>
      </w:r>
      <w:r w:rsidRPr="00D8063F">
        <w:rPr>
          <w:sz w:val="20"/>
          <w:szCs w:val="20"/>
        </w:rPr>
        <w:lastRenderedPageBreak/>
        <w:t xml:space="preserve">sentido, </w:t>
      </w:r>
      <w:r w:rsidRPr="00D8063F">
        <w:rPr>
          <w:rFonts w:eastAsiaTheme="minorHAnsi"/>
          <w:sz w:val="20"/>
          <w:szCs w:val="20"/>
          <w:lang w:eastAsia="en-US"/>
        </w:rPr>
        <w:t>el Comité de los Derechos del Niño ha reconocido que: “[e]</w:t>
      </w:r>
      <w:proofErr w:type="spellStart"/>
      <w:r w:rsidRPr="00D8063F">
        <w:rPr>
          <w:rFonts w:eastAsiaTheme="minorHAnsi"/>
          <w:sz w:val="20"/>
          <w:szCs w:val="20"/>
          <w:lang w:eastAsia="en-US"/>
        </w:rPr>
        <w:t>sta</w:t>
      </w:r>
      <w:proofErr w:type="spellEnd"/>
      <w:r w:rsidRPr="00D8063F">
        <w:rPr>
          <w:rFonts w:eastAsiaTheme="minorHAnsi"/>
          <w:sz w:val="20"/>
          <w:szCs w:val="20"/>
          <w:lang w:eastAsia="en-US"/>
        </w:rPr>
        <w:t xml:space="preserve"> norma no significa que una persona internada en un centro para niños deba ser trasladada a una institución para adultos inmediatamente después de cumplir los 18 años, sino que debería poder permanecer en dicho centro si ello redunda en su interés superior y no atenta contra el interés superior de los niños internados en el centro”</w:t>
      </w:r>
      <w:r w:rsidRPr="00D8063F">
        <w:rPr>
          <w:rStyle w:val="Refdenotaalpie"/>
          <w:rFonts w:eastAsiaTheme="minorHAnsi"/>
          <w:sz w:val="20"/>
          <w:szCs w:val="20"/>
          <w:lang w:eastAsia="en-US"/>
        </w:rPr>
        <w:footnoteReference w:id="84"/>
      </w:r>
      <w:r w:rsidRPr="00D8063F">
        <w:rPr>
          <w:color w:val="000000"/>
          <w:sz w:val="20"/>
          <w:szCs w:val="20"/>
        </w:rPr>
        <w:t>.</w:t>
      </w:r>
    </w:p>
    <w:p w14:paraId="54D0B890" w14:textId="77777777" w:rsidR="00D47AFE" w:rsidRPr="00B72068" w:rsidRDefault="00D47AFE" w:rsidP="00B476ED">
      <w:pPr>
        <w:tabs>
          <w:tab w:val="left" w:pos="567"/>
        </w:tabs>
        <w:spacing w:line="240" w:lineRule="auto"/>
        <w:ind w:right="-801"/>
        <w:rPr>
          <w:sz w:val="20"/>
          <w:szCs w:val="20"/>
        </w:rPr>
      </w:pPr>
    </w:p>
    <w:p w14:paraId="66455715" w14:textId="40C3F2E9" w:rsidR="00D47AFE" w:rsidRDefault="00D47AFE" w:rsidP="00B476ED">
      <w:pPr>
        <w:numPr>
          <w:ilvl w:val="0"/>
          <w:numId w:val="31"/>
        </w:numPr>
        <w:tabs>
          <w:tab w:val="left" w:pos="567"/>
        </w:tabs>
        <w:spacing w:line="240" w:lineRule="auto"/>
        <w:ind w:left="0" w:right="-801" w:firstLine="0"/>
        <w:rPr>
          <w:sz w:val="20"/>
          <w:szCs w:val="20"/>
        </w:rPr>
      </w:pPr>
      <w:r>
        <w:rPr>
          <w:sz w:val="20"/>
          <w:szCs w:val="20"/>
        </w:rPr>
        <w:t>Asimismo, la legislación de Venezuela al momento de los hechos preveía que el juez podía autorizar que quienes cumplieran la mayoría de edad permanecieran en la institución para adolescentes hasta los veintiún años y que, en caso de ser trasladados a una institución de adultos, debían permanecer físicamente separado de éstos (</w:t>
      </w:r>
      <w:r>
        <w:rPr>
          <w:i/>
          <w:sz w:val="20"/>
          <w:szCs w:val="20"/>
        </w:rPr>
        <w:t xml:space="preserve">supra </w:t>
      </w:r>
      <w:r>
        <w:rPr>
          <w:sz w:val="20"/>
          <w:szCs w:val="20"/>
        </w:rPr>
        <w:t xml:space="preserve">nota a pie de página </w:t>
      </w:r>
      <w:r w:rsidR="00A6483E">
        <w:rPr>
          <w:sz w:val="20"/>
          <w:szCs w:val="20"/>
        </w:rPr>
        <w:t>34</w:t>
      </w:r>
      <w:r>
        <w:rPr>
          <w:sz w:val="20"/>
          <w:szCs w:val="20"/>
        </w:rPr>
        <w:t>).</w:t>
      </w:r>
    </w:p>
    <w:p w14:paraId="0D2ABA9E" w14:textId="77777777" w:rsidR="00D47AFE" w:rsidRDefault="00D47AFE" w:rsidP="00B476ED">
      <w:pPr>
        <w:pStyle w:val="Prrafodelista"/>
        <w:spacing w:line="240" w:lineRule="auto"/>
        <w:ind w:right="-801"/>
        <w:rPr>
          <w:sz w:val="20"/>
          <w:szCs w:val="20"/>
        </w:rPr>
      </w:pPr>
    </w:p>
    <w:p w14:paraId="3B45E7C9" w14:textId="77777777" w:rsidR="00D47AFE" w:rsidRPr="00EA0726" w:rsidRDefault="00D47AFE" w:rsidP="00B476ED">
      <w:pPr>
        <w:numPr>
          <w:ilvl w:val="0"/>
          <w:numId w:val="31"/>
        </w:numPr>
        <w:tabs>
          <w:tab w:val="left" w:pos="567"/>
        </w:tabs>
        <w:spacing w:line="240" w:lineRule="auto"/>
        <w:ind w:left="0" w:right="-801" w:firstLine="0"/>
        <w:rPr>
          <w:sz w:val="20"/>
          <w:szCs w:val="20"/>
        </w:rPr>
      </w:pPr>
      <w:r w:rsidRPr="00B72068">
        <w:rPr>
          <w:sz w:val="20"/>
          <w:szCs w:val="20"/>
        </w:rPr>
        <w:t xml:space="preserve"> </w:t>
      </w:r>
      <w:r w:rsidRPr="0066294C">
        <w:rPr>
          <w:sz w:val="20"/>
          <w:szCs w:val="20"/>
        </w:rPr>
        <w:t xml:space="preserve">Lo </w:t>
      </w:r>
      <w:r w:rsidRPr="00EA0726">
        <w:rPr>
          <w:sz w:val="20"/>
          <w:szCs w:val="20"/>
        </w:rPr>
        <w:t xml:space="preserve">dicho, por otra parte, en nada altera las obligaciones estatales de adoptar las acciones pertinentes, en el interior de las instituciones </w:t>
      </w:r>
      <w:r>
        <w:rPr>
          <w:sz w:val="20"/>
          <w:szCs w:val="20"/>
        </w:rPr>
        <w:t>d</w:t>
      </w:r>
      <w:r w:rsidRPr="00EA0726">
        <w:rPr>
          <w:sz w:val="20"/>
          <w:szCs w:val="20"/>
        </w:rPr>
        <w:t xml:space="preserve">e privación de libertad, para dar adecuada protección a las personas que allí se alojan. La Corte ha dicho, </w:t>
      </w:r>
      <w:r>
        <w:rPr>
          <w:sz w:val="20"/>
          <w:szCs w:val="20"/>
        </w:rPr>
        <w:t>en ese sentido</w:t>
      </w:r>
      <w:r w:rsidRPr="00EA0726">
        <w:rPr>
          <w:sz w:val="20"/>
          <w:szCs w:val="20"/>
        </w:rPr>
        <w:t xml:space="preserve">, que “para proteger la vida e integridad personal” de niños privados de libertad </w:t>
      </w:r>
    </w:p>
    <w:p w14:paraId="03D9E031" w14:textId="77777777" w:rsidR="00D47AFE" w:rsidRPr="00EA0726" w:rsidRDefault="00D47AFE" w:rsidP="00B476ED">
      <w:pPr>
        <w:pStyle w:val="Prrafodelista"/>
        <w:spacing w:line="240" w:lineRule="auto"/>
        <w:ind w:right="-801"/>
        <w:rPr>
          <w:sz w:val="20"/>
          <w:szCs w:val="20"/>
        </w:rPr>
      </w:pPr>
    </w:p>
    <w:p w14:paraId="587A66EE" w14:textId="77777777" w:rsidR="00D47AFE" w:rsidRPr="00EA0726" w:rsidRDefault="00D47AFE" w:rsidP="00B476ED">
      <w:pPr>
        <w:tabs>
          <w:tab w:val="left" w:pos="567"/>
        </w:tabs>
        <w:spacing w:line="240" w:lineRule="auto"/>
        <w:ind w:left="284" w:right="-801"/>
        <w:rPr>
          <w:sz w:val="16"/>
          <w:szCs w:val="16"/>
        </w:rPr>
      </w:pPr>
      <w:r w:rsidRPr="00EA0726">
        <w:rPr>
          <w:sz w:val="16"/>
          <w:szCs w:val="16"/>
        </w:rPr>
        <w:t xml:space="preserve">debe existir, como mínimo, una separación por categorías de edad, naturaleza de la infracción cometida y entre jóvenes procesados y aquellos cuya situación ya ha sido resuelta, de manera que los internos pertenecientes a categorías diversas deberán ser alojados en diferentes sectores dentro del establecimiento. En consonancia con lo dicho anteriormente, ‘[e]l criterio principal para separar a los diversos grupos de menores [de 18 </w:t>
      </w:r>
      <w:proofErr w:type="gramStart"/>
      <w:r w:rsidRPr="00EA0726">
        <w:rPr>
          <w:sz w:val="16"/>
          <w:szCs w:val="16"/>
        </w:rPr>
        <w:t>años de edad</w:t>
      </w:r>
      <w:proofErr w:type="gramEnd"/>
      <w:r w:rsidRPr="00EA0726">
        <w:rPr>
          <w:sz w:val="16"/>
          <w:szCs w:val="16"/>
        </w:rPr>
        <w:t>] privados de libertad deberá ser la prestación del tipo de asistencia que mejor se adapte a las necesidades concretas de los interesados y la protección de su bienestar e integridad físicos, mentales y morales’</w:t>
      </w:r>
      <w:r w:rsidRPr="00EA0726">
        <w:rPr>
          <w:rStyle w:val="Refdenotaalpie"/>
          <w:rFonts w:eastAsia="MS Mincho"/>
          <w:sz w:val="16"/>
          <w:szCs w:val="16"/>
        </w:rPr>
        <w:footnoteReference w:id="85"/>
      </w:r>
      <w:r w:rsidRPr="00EA0726">
        <w:rPr>
          <w:sz w:val="16"/>
          <w:szCs w:val="16"/>
        </w:rPr>
        <w:t>.</w:t>
      </w:r>
    </w:p>
    <w:p w14:paraId="6ACB9BF7" w14:textId="77777777" w:rsidR="00D47AFE" w:rsidRPr="00EA0726" w:rsidRDefault="00D47AFE" w:rsidP="00B476ED">
      <w:pPr>
        <w:tabs>
          <w:tab w:val="left" w:pos="567"/>
        </w:tabs>
        <w:spacing w:line="240" w:lineRule="auto"/>
        <w:ind w:right="-801"/>
        <w:rPr>
          <w:sz w:val="20"/>
          <w:szCs w:val="20"/>
        </w:rPr>
      </w:pPr>
    </w:p>
    <w:p w14:paraId="202B34F7" w14:textId="6F283AC7" w:rsidR="00D47AFE" w:rsidRPr="00D8063F" w:rsidRDefault="00D47AFE" w:rsidP="00B476ED">
      <w:pPr>
        <w:numPr>
          <w:ilvl w:val="0"/>
          <w:numId w:val="31"/>
        </w:numPr>
        <w:tabs>
          <w:tab w:val="left" w:pos="567"/>
        </w:tabs>
        <w:spacing w:line="240" w:lineRule="auto"/>
        <w:ind w:left="0" w:right="-801" w:firstLine="0"/>
        <w:rPr>
          <w:sz w:val="20"/>
          <w:szCs w:val="20"/>
        </w:rPr>
      </w:pPr>
      <w:r w:rsidRPr="00D8063F">
        <w:rPr>
          <w:sz w:val="20"/>
          <w:szCs w:val="20"/>
        </w:rPr>
        <w:t xml:space="preserve">Dado todo lo anterior, las obligaciones relevantes del Estado respecto a los cinco jóvenes </w:t>
      </w:r>
      <w:r w:rsidRPr="00D8063F">
        <w:rPr>
          <w:sz w:val="20"/>
          <w:szCs w:val="20"/>
        </w:rPr>
        <w:lastRenderedPageBreak/>
        <w:t xml:space="preserve">fallecidos, que </w:t>
      </w:r>
      <w:r w:rsidR="001E764D">
        <w:rPr>
          <w:sz w:val="20"/>
          <w:szCs w:val="20"/>
        </w:rPr>
        <w:t>iniciaron</w:t>
      </w:r>
      <w:r w:rsidR="001E764D" w:rsidRPr="00D8063F">
        <w:rPr>
          <w:sz w:val="20"/>
          <w:szCs w:val="20"/>
        </w:rPr>
        <w:t xml:space="preserve"> </w:t>
      </w:r>
      <w:r w:rsidRPr="00D8063F">
        <w:rPr>
          <w:sz w:val="20"/>
          <w:szCs w:val="20"/>
        </w:rPr>
        <w:t xml:space="preserve">a partir de su vinculación al sistema de justicia y su privación de libertad cuando ellos eran menores de 18 años, corresponden a aquellas atinentes a los derechos de las niñas o niños, de conformidad con el artículo 19 de la Convención. En ese sentido, a fin de cumplir la finalidad </w:t>
      </w:r>
      <w:proofErr w:type="gramStart"/>
      <w:r w:rsidRPr="00D8063F">
        <w:rPr>
          <w:sz w:val="20"/>
          <w:szCs w:val="20"/>
        </w:rPr>
        <w:t>socio-educativa</w:t>
      </w:r>
      <w:proofErr w:type="gramEnd"/>
      <w:r w:rsidRPr="00D8063F">
        <w:rPr>
          <w:sz w:val="20"/>
          <w:szCs w:val="20"/>
        </w:rPr>
        <w:t xml:space="preserve"> que resulta propia de medidas adoptadas respecto a niños o niñas que hubieren cometido infracciones a la ley penal, incluso cuando implican la privación de libertad, procede extender el régimen especial de </w:t>
      </w:r>
      <w:r w:rsidR="00A4739A">
        <w:rPr>
          <w:sz w:val="20"/>
          <w:szCs w:val="20"/>
        </w:rPr>
        <w:t>adolescentes</w:t>
      </w:r>
      <w:r w:rsidR="00A4739A" w:rsidRPr="00D8063F">
        <w:rPr>
          <w:sz w:val="20"/>
          <w:szCs w:val="20"/>
        </w:rPr>
        <w:t xml:space="preserve"> </w:t>
      </w:r>
      <w:r w:rsidRPr="00D8063F">
        <w:rPr>
          <w:sz w:val="20"/>
          <w:szCs w:val="20"/>
        </w:rPr>
        <w:t>a quienes cumplan 18 años de edad mientras se encuentran cumpliendo dichas medidas. En ese sentido, la sola circunstancia de cumplir 18 años no sustrae a los jóvenes sometidos a privación de libertad en establecimientos para adolescentes de la especial protección que debe proporcionales el Estado</w:t>
      </w:r>
      <w:r w:rsidRPr="00D8063F">
        <w:rPr>
          <w:rStyle w:val="Refdenotaalpie"/>
          <w:rFonts w:eastAsia="MS Mincho"/>
          <w:sz w:val="20"/>
          <w:szCs w:val="20"/>
        </w:rPr>
        <w:footnoteReference w:id="86"/>
      </w:r>
      <w:r w:rsidRPr="00D8063F">
        <w:rPr>
          <w:sz w:val="20"/>
          <w:szCs w:val="20"/>
        </w:rPr>
        <w:t xml:space="preserve">. Al respecto, el </w:t>
      </w:r>
      <w:r w:rsidRPr="00D8063F">
        <w:rPr>
          <w:color w:val="000000"/>
          <w:sz w:val="20"/>
          <w:szCs w:val="20"/>
        </w:rPr>
        <w:t>Comité de los Derechos del Niño ha señalado que “[l]os sistemas de justicia juvenil […] deben ampliar la protección a los niños que eran menores de 18 años en el momento de la comisión del delito pero que alcanzan esa edad durante el juicio o el proceso de imposición de la pena”</w:t>
      </w:r>
      <w:r w:rsidRPr="00D8063F">
        <w:rPr>
          <w:rStyle w:val="Refdenotaalpie"/>
          <w:color w:val="000000"/>
          <w:sz w:val="20"/>
          <w:szCs w:val="20"/>
        </w:rPr>
        <w:footnoteReference w:id="87"/>
      </w:r>
      <w:r w:rsidRPr="00D8063F">
        <w:rPr>
          <w:color w:val="000000"/>
          <w:sz w:val="20"/>
          <w:szCs w:val="20"/>
        </w:rPr>
        <w:t xml:space="preserve">.  </w:t>
      </w:r>
    </w:p>
    <w:p w14:paraId="349BA04D" w14:textId="77777777" w:rsidR="00D47AFE" w:rsidRPr="00EA0726" w:rsidRDefault="00D47AFE" w:rsidP="00B476ED">
      <w:pPr>
        <w:pStyle w:val="Prrafodelista"/>
        <w:spacing w:line="240" w:lineRule="auto"/>
        <w:ind w:right="-801"/>
        <w:rPr>
          <w:sz w:val="20"/>
          <w:szCs w:val="20"/>
        </w:rPr>
      </w:pPr>
    </w:p>
    <w:p w14:paraId="51618921" w14:textId="785C14DC" w:rsidR="00D47AFE" w:rsidRPr="003A5C19" w:rsidRDefault="00D47AFE" w:rsidP="00B476ED">
      <w:pPr>
        <w:numPr>
          <w:ilvl w:val="0"/>
          <w:numId w:val="31"/>
        </w:numPr>
        <w:tabs>
          <w:tab w:val="left" w:pos="567"/>
        </w:tabs>
        <w:spacing w:line="240" w:lineRule="auto"/>
        <w:ind w:left="0" w:right="-801" w:firstLine="0"/>
        <w:rPr>
          <w:sz w:val="20"/>
          <w:szCs w:val="20"/>
        </w:rPr>
      </w:pPr>
      <w:r>
        <w:rPr>
          <w:sz w:val="20"/>
          <w:szCs w:val="20"/>
        </w:rPr>
        <w:t>E</w:t>
      </w:r>
      <w:r w:rsidRPr="00EA0726">
        <w:rPr>
          <w:sz w:val="20"/>
          <w:szCs w:val="20"/>
        </w:rPr>
        <w:t xml:space="preserve">s preciso enfatizar que, si bien las víctimas del presente caso habían cumplido </w:t>
      </w:r>
      <w:r w:rsidR="007230EB">
        <w:rPr>
          <w:sz w:val="20"/>
          <w:szCs w:val="20"/>
        </w:rPr>
        <w:t>18 años</w:t>
      </w:r>
      <w:r w:rsidRPr="00EA0726">
        <w:rPr>
          <w:sz w:val="20"/>
          <w:szCs w:val="20"/>
        </w:rPr>
        <w:t xml:space="preserve"> </w:t>
      </w:r>
      <w:r w:rsidR="00807593">
        <w:rPr>
          <w:sz w:val="20"/>
          <w:szCs w:val="20"/>
        </w:rPr>
        <w:t>cuando ocurrió el</w:t>
      </w:r>
      <w:r>
        <w:rPr>
          <w:sz w:val="20"/>
          <w:szCs w:val="20"/>
        </w:rPr>
        <w:t xml:space="preserve"> incendio en su celda, </w:t>
      </w:r>
      <w:r w:rsidRPr="00EA0726">
        <w:rPr>
          <w:sz w:val="20"/>
          <w:szCs w:val="20"/>
        </w:rPr>
        <w:t>su privación de libertad era consecuencia de infracciones a la ley penal cometidas cuando eran menores de edad. En consecuencia, el principio de especialidad - artículos 5.5 y 19 de la Convención Americana y los artículos 37</w:t>
      </w:r>
      <w:r w:rsidR="004E714F">
        <w:rPr>
          <w:sz w:val="20"/>
          <w:szCs w:val="20"/>
        </w:rPr>
        <w:t>.</w:t>
      </w:r>
      <w:r w:rsidRPr="00EA0726">
        <w:rPr>
          <w:sz w:val="20"/>
          <w:szCs w:val="20"/>
        </w:rPr>
        <w:t xml:space="preserve">c), 40.1 y 40.3 de la Convención </w:t>
      </w:r>
      <w:r w:rsidR="004E714F">
        <w:rPr>
          <w:sz w:val="20"/>
          <w:szCs w:val="20"/>
        </w:rPr>
        <w:t>sobre</w:t>
      </w:r>
      <w:r w:rsidR="004E714F" w:rsidRPr="00EA0726">
        <w:rPr>
          <w:sz w:val="20"/>
          <w:szCs w:val="20"/>
        </w:rPr>
        <w:t xml:space="preserve"> </w:t>
      </w:r>
      <w:r w:rsidRPr="00EA0726">
        <w:rPr>
          <w:sz w:val="20"/>
          <w:szCs w:val="20"/>
        </w:rPr>
        <w:t>los Derechos del Niño -, determina que la sanción se rija en su ejecución conforme al estatuto personal vigente a la fecha de la comisión del ilícito. El principio</w:t>
      </w:r>
      <w:r w:rsidRPr="00054C2D">
        <w:rPr>
          <w:sz w:val="20"/>
          <w:szCs w:val="20"/>
        </w:rPr>
        <w:t xml:space="preserve"> de especialidad se aplica en cuanto a la determinación de las medidas y sanciones e impone condiciones de ejecución diferenciadas durante toda su implementación.</w:t>
      </w:r>
      <w:r>
        <w:rPr>
          <w:sz w:val="20"/>
          <w:szCs w:val="20"/>
        </w:rPr>
        <w:t xml:space="preserve"> </w:t>
      </w:r>
      <w:r w:rsidRPr="003A5C19">
        <w:rPr>
          <w:sz w:val="20"/>
          <w:szCs w:val="20"/>
        </w:rPr>
        <w:t xml:space="preserve">Por lo dicho, la Corte examinará el caso a la luz de las medidas especiales de protección que deben ser garantizadas a </w:t>
      </w:r>
      <w:r>
        <w:rPr>
          <w:sz w:val="20"/>
          <w:szCs w:val="20"/>
        </w:rPr>
        <w:t>adolescentes</w:t>
      </w:r>
      <w:r w:rsidRPr="003A5C19">
        <w:rPr>
          <w:sz w:val="20"/>
          <w:szCs w:val="20"/>
        </w:rPr>
        <w:t>.</w:t>
      </w:r>
    </w:p>
    <w:p w14:paraId="25D6AB0E" w14:textId="77777777" w:rsidR="00D47AFE" w:rsidRPr="004754B0" w:rsidRDefault="00D47AFE" w:rsidP="00B476ED">
      <w:pPr>
        <w:pStyle w:val="Prrafodelista"/>
        <w:spacing w:line="240" w:lineRule="auto"/>
        <w:ind w:right="-801"/>
        <w:rPr>
          <w:sz w:val="20"/>
          <w:szCs w:val="20"/>
        </w:rPr>
      </w:pPr>
    </w:p>
    <w:p w14:paraId="376CF96D" w14:textId="672C92CB" w:rsidR="00D47AFE" w:rsidRPr="00EA0726" w:rsidRDefault="00D47AFE" w:rsidP="00B476ED">
      <w:pPr>
        <w:numPr>
          <w:ilvl w:val="0"/>
          <w:numId w:val="31"/>
        </w:numPr>
        <w:tabs>
          <w:tab w:val="left" w:pos="567"/>
        </w:tabs>
        <w:spacing w:line="240" w:lineRule="auto"/>
        <w:ind w:left="0" w:right="-801" w:firstLine="0"/>
        <w:rPr>
          <w:sz w:val="20"/>
          <w:szCs w:val="20"/>
        </w:rPr>
      </w:pPr>
      <w:r w:rsidRPr="004754B0">
        <w:rPr>
          <w:sz w:val="20"/>
          <w:szCs w:val="20"/>
        </w:rPr>
        <w:t xml:space="preserve"> Teniendo en cuenta lo señalado, la Corte, en primer </w:t>
      </w:r>
      <w:r w:rsidRPr="00EA0726">
        <w:rPr>
          <w:sz w:val="20"/>
          <w:szCs w:val="20"/>
        </w:rPr>
        <w:t xml:space="preserve">término, dará cuenta de consideraciones generales sobre las obligaciones estatales respecto a la vida e integridad </w:t>
      </w:r>
      <w:r w:rsidRPr="00C630B6">
        <w:rPr>
          <w:sz w:val="20"/>
          <w:szCs w:val="20"/>
        </w:rPr>
        <w:t>personal</w:t>
      </w:r>
      <w:r w:rsidR="00C630B6" w:rsidRPr="00C630B6">
        <w:rPr>
          <w:sz w:val="20"/>
          <w:szCs w:val="20"/>
        </w:rPr>
        <w:t xml:space="preserve"> </w:t>
      </w:r>
      <w:r w:rsidR="00C630B6" w:rsidRPr="0049033D">
        <w:rPr>
          <w:sz w:val="20"/>
          <w:szCs w:val="20"/>
        </w:rPr>
        <w:t>de personas adolescentes privadas de su libertad</w:t>
      </w:r>
      <w:r w:rsidRPr="00EA0726">
        <w:rPr>
          <w:sz w:val="20"/>
          <w:szCs w:val="20"/>
        </w:rPr>
        <w:t xml:space="preserve"> y, en segundo término, analizará la responsabilidad </w:t>
      </w:r>
      <w:r w:rsidR="00C630B6">
        <w:rPr>
          <w:sz w:val="20"/>
          <w:szCs w:val="20"/>
        </w:rPr>
        <w:t>internacional</w:t>
      </w:r>
      <w:r w:rsidR="00C630B6" w:rsidRPr="00EA0726">
        <w:rPr>
          <w:sz w:val="20"/>
          <w:szCs w:val="20"/>
        </w:rPr>
        <w:t xml:space="preserve"> </w:t>
      </w:r>
      <w:r w:rsidRPr="00EA0726">
        <w:rPr>
          <w:sz w:val="20"/>
          <w:szCs w:val="20"/>
        </w:rPr>
        <w:t xml:space="preserve">en el caso. </w:t>
      </w:r>
    </w:p>
    <w:p w14:paraId="6AA98D0F" w14:textId="77777777" w:rsidR="00D47AFE" w:rsidRPr="00EA0726" w:rsidRDefault="00D47AFE" w:rsidP="00B476ED">
      <w:pPr>
        <w:tabs>
          <w:tab w:val="left" w:pos="567"/>
        </w:tabs>
        <w:spacing w:line="240" w:lineRule="auto"/>
        <w:ind w:right="-801"/>
        <w:rPr>
          <w:sz w:val="20"/>
          <w:szCs w:val="20"/>
        </w:rPr>
      </w:pPr>
    </w:p>
    <w:p w14:paraId="059556B7" w14:textId="7DF217D4" w:rsidR="00D47AFE" w:rsidRPr="00EA0726" w:rsidRDefault="00D47AFE" w:rsidP="00B476ED">
      <w:pPr>
        <w:pStyle w:val="Prrafodelista"/>
        <w:spacing w:line="240" w:lineRule="auto"/>
        <w:ind w:left="567" w:right="-801"/>
        <w:outlineLvl w:val="2"/>
        <w:rPr>
          <w:i/>
          <w:sz w:val="20"/>
          <w:szCs w:val="20"/>
        </w:rPr>
      </w:pPr>
      <w:bookmarkStart w:id="54" w:name="_Toc58329008"/>
      <w:bookmarkStart w:id="55" w:name="_Toc58330222"/>
      <w:r w:rsidRPr="00EA0726">
        <w:rPr>
          <w:i/>
          <w:sz w:val="20"/>
          <w:szCs w:val="20"/>
        </w:rPr>
        <w:t>B</w:t>
      </w:r>
      <w:r w:rsidRPr="003C748A">
        <w:rPr>
          <w:i/>
          <w:sz w:val="20"/>
          <w:szCs w:val="20"/>
        </w:rPr>
        <w:t xml:space="preserve">.1 </w:t>
      </w:r>
      <w:r w:rsidRPr="00A86156">
        <w:rPr>
          <w:i/>
          <w:sz w:val="20"/>
          <w:szCs w:val="20"/>
          <w:u w:val="single"/>
        </w:rPr>
        <w:t>Consideraciones generales sobre las obligaciones estatales respecto a la vida e integridad personal de personas adolescentes privadas de su libertad</w:t>
      </w:r>
      <w:bookmarkEnd w:id="54"/>
      <w:bookmarkEnd w:id="55"/>
    </w:p>
    <w:p w14:paraId="4D2C4AED" w14:textId="77777777" w:rsidR="00D47AFE" w:rsidRPr="00EA0726" w:rsidRDefault="00D47AFE" w:rsidP="00B476ED">
      <w:pPr>
        <w:pStyle w:val="Prrafodelista"/>
        <w:spacing w:line="240" w:lineRule="auto"/>
        <w:ind w:right="-801"/>
        <w:rPr>
          <w:sz w:val="20"/>
          <w:szCs w:val="20"/>
        </w:rPr>
      </w:pPr>
    </w:p>
    <w:p w14:paraId="37433286" w14:textId="7A3CB752" w:rsidR="00D47AFE" w:rsidRPr="004754B0" w:rsidRDefault="00D47AFE" w:rsidP="00B476ED">
      <w:pPr>
        <w:numPr>
          <w:ilvl w:val="0"/>
          <w:numId w:val="31"/>
        </w:numPr>
        <w:tabs>
          <w:tab w:val="left" w:pos="567"/>
        </w:tabs>
        <w:spacing w:line="240" w:lineRule="auto"/>
        <w:ind w:left="0" w:right="-801" w:firstLine="0"/>
        <w:rPr>
          <w:sz w:val="16"/>
          <w:szCs w:val="16"/>
          <w:lang w:val="es-PE"/>
        </w:rPr>
      </w:pPr>
      <w:r w:rsidRPr="00D8063F">
        <w:rPr>
          <w:sz w:val="20"/>
          <w:szCs w:val="20"/>
        </w:rPr>
        <w:t>La Corte recuerda que quien sea privado de su libertad “tiene derecho a vivir en condiciones de detención compatibles con su dignidad personal y el Estado debe garantizarle [los] derecho[s] a la vida y a la integridad personal”</w:t>
      </w:r>
      <w:r w:rsidRPr="00D8063F">
        <w:rPr>
          <w:rStyle w:val="Refdenotaalpie"/>
          <w:rFonts w:eastAsia="MS Mincho"/>
          <w:sz w:val="20"/>
          <w:szCs w:val="20"/>
        </w:rPr>
        <w:footnoteReference w:id="88"/>
      </w:r>
      <w:r w:rsidRPr="00D8063F">
        <w:rPr>
          <w:sz w:val="20"/>
          <w:szCs w:val="20"/>
        </w:rPr>
        <w:t xml:space="preserve">. </w:t>
      </w:r>
      <w:r w:rsidRPr="00D8063F">
        <w:rPr>
          <w:bCs/>
          <w:sz w:val="20"/>
          <w:szCs w:val="20"/>
        </w:rPr>
        <w:t xml:space="preserve">La restricción de </w:t>
      </w:r>
      <w:proofErr w:type="gramStart"/>
      <w:r w:rsidRPr="00D8063F">
        <w:rPr>
          <w:bCs/>
          <w:sz w:val="20"/>
          <w:szCs w:val="20"/>
        </w:rPr>
        <w:t>los mismos</w:t>
      </w:r>
      <w:proofErr w:type="gramEnd"/>
      <w:r w:rsidRPr="00D8063F">
        <w:rPr>
          <w:bCs/>
          <w:sz w:val="20"/>
          <w:szCs w:val="20"/>
        </w:rPr>
        <w:t xml:space="preserve"> </w:t>
      </w:r>
      <w:r w:rsidRPr="00D8063F">
        <w:rPr>
          <w:sz w:val="20"/>
          <w:szCs w:val="20"/>
        </w:rPr>
        <w:t xml:space="preserve">“no sólo no tiene justificación </w:t>
      </w:r>
      <w:r w:rsidRPr="00D8063F">
        <w:rPr>
          <w:sz w:val="20"/>
          <w:szCs w:val="20"/>
        </w:rPr>
        <w:lastRenderedPageBreak/>
        <w:t>fundada en la privación de libertad, sino que también está prohibida por el derecho internacional”</w:t>
      </w:r>
      <w:r w:rsidRPr="00D8063F">
        <w:rPr>
          <w:rStyle w:val="Refdenotaalpie"/>
          <w:rFonts w:eastAsia="MS Mincho"/>
          <w:sz w:val="20"/>
          <w:szCs w:val="20"/>
        </w:rPr>
        <w:footnoteReference w:id="89"/>
      </w:r>
      <w:r w:rsidRPr="00D8063F">
        <w:rPr>
          <w:sz w:val="20"/>
          <w:szCs w:val="20"/>
        </w:rPr>
        <w:t>.</w:t>
      </w:r>
      <w:r w:rsidRPr="009B13D9">
        <w:rPr>
          <w:sz w:val="20"/>
          <w:szCs w:val="20"/>
        </w:rPr>
        <w:t xml:space="preserve"> El Tribunal</w:t>
      </w:r>
      <w:r w:rsidRPr="004754B0">
        <w:rPr>
          <w:sz w:val="20"/>
          <w:szCs w:val="20"/>
        </w:rPr>
        <w:t xml:space="preserve"> ha explicado también que,</w:t>
      </w:r>
    </w:p>
    <w:p w14:paraId="27F62303" w14:textId="77777777" w:rsidR="00D47AFE" w:rsidRPr="004754B0" w:rsidRDefault="00D47AFE" w:rsidP="00B476ED">
      <w:pPr>
        <w:pStyle w:val="Prrafodelista"/>
        <w:widowControl/>
        <w:adjustRightInd/>
        <w:spacing w:line="240" w:lineRule="auto"/>
        <w:ind w:left="284" w:right="-801"/>
        <w:contextualSpacing/>
        <w:textAlignment w:val="auto"/>
        <w:rPr>
          <w:sz w:val="16"/>
          <w:szCs w:val="16"/>
          <w:lang w:val="es-PE"/>
        </w:rPr>
      </w:pPr>
    </w:p>
    <w:p w14:paraId="28A9E5E2" w14:textId="77777777" w:rsidR="00D47AFE" w:rsidRPr="004754B0" w:rsidRDefault="00D47AFE" w:rsidP="00B476ED">
      <w:pPr>
        <w:pStyle w:val="Prrafodelista"/>
        <w:widowControl/>
        <w:adjustRightInd/>
        <w:spacing w:line="240" w:lineRule="auto"/>
        <w:ind w:left="284" w:right="-801"/>
        <w:contextualSpacing/>
        <w:textAlignment w:val="auto"/>
        <w:rPr>
          <w:sz w:val="16"/>
          <w:szCs w:val="16"/>
          <w:lang w:val="es-GT"/>
        </w:rPr>
      </w:pPr>
      <w:r w:rsidRPr="004754B0">
        <w:rPr>
          <w:sz w:val="16"/>
          <w:szCs w:val="16"/>
          <w:lang w:val="es-PE"/>
        </w:rPr>
        <w:t>[…] frente a personas privadas de libertad, el Estado se encuentra en una posición especial de garante, toda vez que las autoridades penitenciarias ejercen un fuerte control o dominio sobre las personas que se encuentran sujetas a su custodia</w:t>
      </w:r>
      <w:r w:rsidRPr="004754B0">
        <w:rPr>
          <w:rStyle w:val="Refdenotaalpie"/>
          <w:rFonts w:eastAsia="MS Mincho"/>
          <w:sz w:val="16"/>
          <w:szCs w:val="16"/>
          <w:lang w:val="es-PE"/>
        </w:rPr>
        <w:footnoteReference w:id="90"/>
      </w:r>
      <w:r w:rsidRPr="004754B0">
        <w:rPr>
          <w:sz w:val="16"/>
          <w:szCs w:val="16"/>
          <w:lang w:val="es-PE"/>
        </w:rPr>
        <w:t>, más aún si se trata de niños. De este modo, se produce una relación e interacción especial de sujeción entre la persona privada de libertad y el Estado, caracterizada por la particular intensidad con que el Estado puede regular sus derechos y obligaciones y por las circunstancias propias del encierro, en donde al recluso se le impide satisfacer por cuenta propia una serie de necesidades básicas que son esenciales para el desarrollo de una vida digna</w:t>
      </w:r>
      <w:r w:rsidRPr="004754B0">
        <w:rPr>
          <w:rStyle w:val="Refdenotaalpie"/>
          <w:rFonts w:eastAsia="MS Mincho"/>
          <w:sz w:val="16"/>
          <w:szCs w:val="16"/>
          <w:lang w:val="es-PE"/>
        </w:rPr>
        <w:footnoteReference w:id="91"/>
      </w:r>
      <w:r w:rsidRPr="004754B0">
        <w:rPr>
          <w:sz w:val="16"/>
          <w:szCs w:val="16"/>
          <w:lang w:val="es-PE"/>
        </w:rPr>
        <w:t>.</w:t>
      </w:r>
    </w:p>
    <w:p w14:paraId="18E4E6FF" w14:textId="77777777" w:rsidR="00D47AFE" w:rsidRPr="004754B0" w:rsidRDefault="00D47AFE" w:rsidP="00B476ED">
      <w:pPr>
        <w:tabs>
          <w:tab w:val="left" w:pos="567"/>
        </w:tabs>
        <w:spacing w:line="240" w:lineRule="auto"/>
        <w:ind w:right="-801"/>
        <w:rPr>
          <w:sz w:val="20"/>
          <w:szCs w:val="20"/>
        </w:rPr>
      </w:pPr>
    </w:p>
    <w:p w14:paraId="207E7A96" w14:textId="352CD892" w:rsidR="00D47AFE" w:rsidRPr="00F6333E" w:rsidRDefault="00D47AFE" w:rsidP="00B476ED">
      <w:pPr>
        <w:numPr>
          <w:ilvl w:val="0"/>
          <w:numId w:val="31"/>
        </w:numPr>
        <w:tabs>
          <w:tab w:val="left" w:pos="567"/>
        </w:tabs>
        <w:spacing w:line="240" w:lineRule="auto"/>
        <w:ind w:left="0" w:right="-801" w:firstLine="0"/>
        <w:rPr>
          <w:sz w:val="20"/>
          <w:szCs w:val="20"/>
        </w:rPr>
      </w:pPr>
      <w:r w:rsidRPr="00D8063F">
        <w:rPr>
          <w:bCs/>
          <w:sz w:val="20"/>
          <w:szCs w:val="20"/>
        </w:rPr>
        <w:t xml:space="preserve">Esta condición de garante del </w:t>
      </w:r>
      <w:proofErr w:type="gramStart"/>
      <w:r w:rsidRPr="00D8063F">
        <w:rPr>
          <w:bCs/>
          <w:sz w:val="20"/>
          <w:szCs w:val="20"/>
        </w:rPr>
        <w:t>Estado,</w:t>
      </w:r>
      <w:proofErr w:type="gramEnd"/>
      <w:r w:rsidRPr="00D8063F">
        <w:rPr>
          <w:bCs/>
          <w:sz w:val="20"/>
          <w:szCs w:val="20"/>
        </w:rPr>
        <w:t xml:space="preserve"> lleva a que éste deba procurar a las personas privadas de la liber</w:t>
      </w:r>
      <w:r w:rsidR="00F62CCA">
        <w:rPr>
          <w:bCs/>
          <w:sz w:val="20"/>
          <w:szCs w:val="20"/>
        </w:rPr>
        <w:t>t</w:t>
      </w:r>
      <w:r w:rsidRPr="00D8063F">
        <w:rPr>
          <w:bCs/>
          <w:sz w:val="20"/>
          <w:szCs w:val="20"/>
        </w:rPr>
        <w:t>ad “condiciones mínimas compatibles con su dignidad”, lo que resulta necesario para “proteger y garantizar” su vida e integridad</w:t>
      </w:r>
      <w:r w:rsidRPr="00D8063F">
        <w:rPr>
          <w:rStyle w:val="Refdenotaalpie"/>
          <w:rFonts w:eastAsia="MS Mincho"/>
          <w:bCs/>
          <w:sz w:val="20"/>
          <w:szCs w:val="20"/>
        </w:rPr>
        <w:footnoteReference w:id="92"/>
      </w:r>
      <w:r w:rsidRPr="00D8063F">
        <w:rPr>
          <w:bCs/>
          <w:sz w:val="20"/>
          <w:szCs w:val="20"/>
        </w:rPr>
        <w:t xml:space="preserve">. Al respecto, </w:t>
      </w:r>
      <w:r w:rsidRPr="00D8063F">
        <w:rPr>
          <w:sz w:val="20"/>
          <w:szCs w:val="20"/>
          <w:lang w:val="es-ES"/>
        </w:rPr>
        <w:t>este Tribunal</w:t>
      </w:r>
      <w:r w:rsidRPr="00F6333E">
        <w:rPr>
          <w:sz w:val="20"/>
          <w:szCs w:val="20"/>
          <w:lang w:val="es-ES"/>
        </w:rPr>
        <w:t xml:space="preserve"> </w:t>
      </w:r>
      <w:r w:rsidRPr="00A4194E">
        <w:rPr>
          <w:sz w:val="20"/>
          <w:szCs w:val="20"/>
          <w:lang w:val="es-ES"/>
        </w:rPr>
        <w:t>ya ha hecho notar que “ha incorporado en su jurisprudencia los principales estándares sobre condiciones carcelarias y deber de prevención que el Estado debe garantizar en favor de las personas privadas de libertad”</w:t>
      </w:r>
      <w:r w:rsidRPr="00A4194E">
        <w:rPr>
          <w:rStyle w:val="Refdenotaalpie"/>
          <w:rFonts w:eastAsia="MS Mincho"/>
          <w:sz w:val="20"/>
          <w:szCs w:val="20"/>
          <w:lang w:val="es-ES"/>
        </w:rPr>
        <w:footnoteReference w:id="93"/>
      </w:r>
      <w:r w:rsidRPr="00A4194E">
        <w:rPr>
          <w:sz w:val="20"/>
          <w:szCs w:val="20"/>
          <w:lang w:val="es-ES"/>
        </w:rPr>
        <w:t>.</w:t>
      </w:r>
      <w:r w:rsidRPr="00F6333E">
        <w:rPr>
          <w:sz w:val="20"/>
          <w:szCs w:val="20"/>
          <w:lang w:val="es-ES"/>
        </w:rPr>
        <w:t xml:space="preserve"> </w:t>
      </w:r>
    </w:p>
    <w:p w14:paraId="2F319DF1" w14:textId="77777777" w:rsidR="00D47AFE" w:rsidRPr="00BB0332" w:rsidRDefault="00D47AFE" w:rsidP="00B476ED">
      <w:pPr>
        <w:tabs>
          <w:tab w:val="left" w:pos="567"/>
        </w:tabs>
        <w:spacing w:line="240" w:lineRule="auto"/>
        <w:ind w:right="-801"/>
        <w:rPr>
          <w:sz w:val="20"/>
          <w:szCs w:val="20"/>
        </w:rPr>
      </w:pPr>
    </w:p>
    <w:p w14:paraId="1D84EB0A" w14:textId="77777777" w:rsidR="00D47AFE" w:rsidRPr="00A4194E" w:rsidRDefault="00D47AFE" w:rsidP="00B476ED">
      <w:pPr>
        <w:numPr>
          <w:ilvl w:val="0"/>
          <w:numId w:val="31"/>
        </w:numPr>
        <w:tabs>
          <w:tab w:val="left" w:pos="567"/>
        </w:tabs>
        <w:spacing w:line="240" w:lineRule="auto"/>
        <w:ind w:left="0" w:right="-801" w:firstLine="0"/>
        <w:rPr>
          <w:sz w:val="20"/>
          <w:szCs w:val="20"/>
        </w:rPr>
      </w:pPr>
      <w:r w:rsidRPr="00A4194E">
        <w:rPr>
          <w:sz w:val="20"/>
          <w:szCs w:val="20"/>
        </w:rPr>
        <w:t>Lo anterior, requiere que se garanticen adecuadamente condiciones de seguridad durante la privación de libertad. E</w:t>
      </w:r>
      <w:r w:rsidRPr="00A4194E">
        <w:rPr>
          <w:bCs/>
          <w:sz w:val="20"/>
          <w:szCs w:val="20"/>
        </w:rPr>
        <w:t>l Estado, en ese sentido, debe prevenir situaciones que pudieran conducir, por acción u omisión, a la afectación del derecho a la integridad personal o del derecho a la vida</w:t>
      </w:r>
      <w:r w:rsidRPr="00A4194E">
        <w:rPr>
          <w:rStyle w:val="Refdenotaalpie"/>
          <w:rFonts w:eastAsia="MS Mincho"/>
          <w:sz w:val="20"/>
          <w:szCs w:val="20"/>
        </w:rPr>
        <w:footnoteReference w:id="94"/>
      </w:r>
      <w:r w:rsidRPr="00A4194E">
        <w:rPr>
          <w:bCs/>
          <w:sz w:val="20"/>
          <w:szCs w:val="20"/>
        </w:rPr>
        <w:t xml:space="preserve">. </w:t>
      </w:r>
    </w:p>
    <w:p w14:paraId="0F3992DC" w14:textId="77777777" w:rsidR="00D47AFE" w:rsidRPr="00EA0726" w:rsidRDefault="00D47AFE" w:rsidP="00B476ED">
      <w:pPr>
        <w:tabs>
          <w:tab w:val="left" w:pos="567"/>
        </w:tabs>
        <w:spacing w:line="240" w:lineRule="auto"/>
        <w:ind w:right="-801"/>
        <w:rPr>
          <w:sz w:val="20"/>
          <w:szCs w:val="20"/>
        </w:rPr>
      </w:pPr>
    </w:p>
    <w:p w14:paraId="2EC3CC8D" w14:textId="1E52384F" w:rsidR="00D47AFE" w:rsidRPr="00EA0726" w:rsidRDefault="00D47AFE" w:rsidP="00B476ED">
      <w:pPr>
        <w:numPr>
          <w:ilvl w:val="0"/>
          <w:numId w:val="31"/>
        </w:numPr>
        <w:tabs>
          <w:tab w:val="left" w:pos="567"/>
        </w:tabs>
        <w:spacing w:line="240" w:lineRule="auto"/>
        <w:ind w:left="0" w:right="-801" w:firstLine="0"/>
        <w:rPr>
          <w:sz w:val="20"/>
          <w:szCs w:val="20"/>
        </w:rPr>
      </w:pPr>
      <w:r w:rsidRPr="00EA0726">
        <w:rPr>
          <w:sz w:val="20"/>
          <w:szCs w:val="20"/>
        </w:rPr>
        <w:t>La posición de garante aludida, a su vez, presenta modalidades especiales en el caso de niños o niñas</w:t>
      </w:r>
      <w:r>
        <w:rPr>
          <w:sz w:val="20"/>
          <w:szCs w:val="20"/>
        </w:rPr>
        <w:t>.</w:t>
      </w:r>
      <w:r w:rsidRPr="00EA0726">
        <w:rPr>
          <w:sz w:val="20"/>
          <w:szCs w:val="20"/>
        </w:rPr>
        <w:t xml:space="preserve"> Frente a tales personas </w:t>
      </w:r>
      <w:r w:rsidRPr="00EA0726">
        <w:rPr>
          <w:sz w:val="20"/>
          <w:szCs w:val="20"/>
          <w:lang w:val="es-ES"/>
        </w:rPr>
        <w:t>privadas de la libertad, el Estado debe asumir una posición especial de garante con mayor cuidado y responsabilidad, y debe tomar medidas especiales orientadas en el principio del interés superior del niño</w:t>
      </w:r>
      <w:r w:rsidRPr="00EA0726">
        <w:rPr>
          <w:sz w:val="20"/>
          <w:szCs w:val="20"/>
          <w:vertAlign w:val="superscript"/>
        </w:rPr>
        <w:footnoteReference w:id="95"/>
      </w:r>
      <w:r w:rsidRPr="00EA0726">
        <w:rPr>
          <w:sz w:val="20"/>
          <w:szCs w:val="20"/>
          <w:lang w:val="es-ES"/>
        </w:rPr>
        <w:t>. En ese sentido, este Tribunal ha ya tenido en cuenta que “</w:t>
      </w:r>
      <w:r w:rsidRPr="00EA0726">
        <w:rPr>
          <w:sz w:val="20"/>
          <w:szCs w:val="20"/>
        </w:rPr>
        <w:t xml:space="preserve">los artículos 6 y 27 de la Convención sobre los Derechos del Niño incluyen en el derecho a la vida la obligación </w:t>
      </w:r>
      <w:r w:rsidRPr="00A4194E">
        <w:rPr>
          <w:sz w:val="20"/>
          <w:szCs w:val="20"/>
        </w:rPr>
        <w:t>del Estado de garantizar ‘en la máxima medida posible la supervivencia y el desarrollo del niño’”</w:t>
      </w:r>
      <w:r w:rsidRPr="00A4194E">
        <w:rPr>
          <w:rStyle w:val="Refdenotaalpie"/>
          <w:rFonts w:eastAsia="MS Mincho"/>
          <w:sz w:val="20"/>
          <w:szCs w:val="20"/>
        </w:rPr>
        <w:footnoteReference w:id="96"/>
      </w:r>
      <w:r w:rsidRPr="00A4194E">
        <w:rPr>
          <w:sz w:val="20"/>
          <w:szCs w:val="20"/>
        </w:rPr>
        <w:t>. La protección de la vida del niño “requiere que el Estado se preocupe particularmente de las circunstancias de la vida que llevará mientras se mantenga privado de libertad, puesto que ese derecho no se ha extinguido ni restringido por su detención o prisión”</w:t>
      </w:r>
      <w:r w:rsidRPr="00A4194E">
        <w:rPr>
          <w:rStyle w:val="Refdenotaalpie"/>
          <w:sz w:val="20"/>
          <w:szCs w:val="20"/>
        </w:rPr>
        <w:footnoteReference w:id="97"/>
      </w:r>
      <w:r w:rsidRPr="00A4194E">
        <w:rPr>
          <w:sz w:val="20"/>
          <w:szCs w:val="20"/>
        </w:rPr>
        <w:t>. Lo anterior requiere que los Estados adopten medidas eficientes para evitar la violencia, inclusive actos de amotinamiento o similares</w:t>
      </w:r>
      <w:r w:rsidRPr="00A4194E">
        <w:rPr>
          <w:rStyle w:val="Refdenotaalpie"/>
          <w:sz w:val="20"/>
          <w:szCs w:val="20"/>
        </w:rPr>
        <w:footnoteReference w:id="98"/>
      </w:r>
      <w:r w:rsidRPr="00A4194E">
        <w:rPr>
          <w:sz w:val="20"/>
          <w:szCs w:val="20"/>
        </w:rPr>
        <w:t>, como así también situaciones de emergencias (</w:t>
      </w:r>
      <w:r w:rsidRPr="00A4194E">
        <w:rPr>
          <w:i/>
          <w:sz w:val="20"/>
          <w:szCs w:val="20"/>
        </w:rPr>
        <w:t xml:space="preserve">infra </w:t>
      </w:r>
      <w:r w:rsidRPr="00A4194E">
        <w:rPr>
          <w:sz w:val="20"/>
          <w:szCs w:val="20"/>
        </w:rPr>
        <w:t xml:space="preserve">párr. 98). En el mismo sentido, </w:t>
      </w:r>
      <w:r w:rsidRPr="00A4194E">
        <w:rPr>
          <w:sz w:val="20"/>
          <w:szCs w:val="20"/>
          <w:lang w:val="es-ES"/>
        </w:rPr>
        <w:t>el perito Méndez ha explicado “</w:t>
      </w:r>
      <w:r w:rsidRPr="00A4194E">
        <w:rPr>
          <w:rFonts w:eastAsiaTheme="minorHAnsi" w:cs="ArialMT"/>
          <w:sz w:val="20"/>
          <w:szCs w:val="20"/>
          <w:lang w:eastAsia="en-US"/>
        </w:rPr>
        <w:t>tratándose de niños, la obligación de prevención a cargo de los Estados</w:t>
      </w:r>
      <w:r w:rsidRPr="00A4194E">
        <w:rPr>
          <w:sz w:val="20"/>
          <w:szCs w:val="20"/>
        </w:rPr>
        <w:t xml:space="preserve"> </w:t>
      </w:r>
      <w:r w:rsidRPr="00A4194E">
        <w:rPr>
          <w:rFonts w:eastAsiaTheme="minorHAnsi" w:cs="ArialMT"/>
          <w:sz w:val="20"/>
          <w:szCs w:val="20"/>
          <w:lang w:eastAsia="en-US"/>
        </w:rPr>
        <w:t>adquiere aún mayor relevancia, dado que conforman un grupo en situación de vulnerabilidad”</w:t>
      </w:r>
      <w:r w:rsidR="00955F88">
        <w:rPr>
          <w:rStyle w:val="Refdenotaalpie"/>
          <w:rFonts w:eastAsiaTheme="minorHAnsi" w:cs="ArialMT"/>
          <w:sz w:val="20"/>
          <w:szCs w:val="20"/>
          <w:lang w:eastAsia="en-US"/>
        </w:rPr>
        <w:footnoteReference w:id="99"/>
      </w:r>
      <w:r w:rsidRPr="00A4194E">
        <w:rPr>
          <w:rFonts w:eastAsiaTheme="minorHAnsi" w:cs="ArialMT"/>
          <w:sz w:val="20"/>
          <w:szCs w:val="20"/>
          <w:lang w:eastAsia="en-US"/>
        </w:rPr>
        <w:t>.</w:t>
      </w:r>
      <w:r w:rsidRPr="00EA0726">
        <w:rPr>
          <w:rFonts w:eastAsiaTheme="minorHAnsi" w:cs="ArialMT"/>
          <w:sz w:val="20"/>
          <w:szCs w:val="20"/>
          <w:lang w:eastAsia="en-US"/>
        </w:rPr>
        <w:t xml:space="preserve"> </w:t>
      </w:r>
    </w:p>
    <w:p w14:paraId="288B13C4" w14:textId="77777777" w:rsidR="00D47AFE" w:rsidRPr="00EA0726" w:rsidRDefault="00D47AFE" w:rsidP="00B476ED">
      <w:pPr>
        <w:tabs>
          <w:tab w:val="left" w:pos="567"/>
        </w:tabs>
        <w:spacing w:line="240" w:lineRule="auto"/>
        <w:ind w:right="-801"/>
        <w:rPr>
          <w:sz w:val="20"/>
          <w:szCs w:val="20"/>
        </w:rPr>
      </w:pPr>
      <w:r w:rsidRPr="00EA0726">
        <w:rPr>
          <w:rFonts w:eastAsiaTheme="minorHAnsi" w:cs="ArialMT"/>
          <w:sz w:val="20"/>
          <w:szCs w:val="20"/>
          <w:lang w:eastAsia="en-US"/>
        </w:rPr>
        <w:t xml:space="preserve"> </w:t>
      </w:r>
    </w:p>
    <w:p w14:paraId="7A82182C" w14:textId="77777777" w:rsidR="00D47AFE" w:rsidRPr="00A4194E" w:rsidRDefault="00D47AFE" w:rsidP="00B476ED">
      <w:pPr>
        <w:numPr>
          <w:ilvl w:val="0"/>
          <w:numId w:val="31"/>
        </w:numPr>
        <w:tabs>
          <w:tab w:val="left" w:pos="567"/>
        </w:tabs>
        <w:spacing w:line="240" w:lineRule="auto"/>
        <w:ind w:left="0" w:right="-801" w:firstLine="0"/>
        <w:rPr>
          <w:sz w:val="20"/>
          <w:szCs w:val="20"/>
        </w:rPr>
      </w:pPr>
      <w:r w:rsidRPr="00A4194E">
        <w:rPr>
          <w:sz w:val="20"/>
          <w:szCs w:val="20"/>
        </w:rPr>
        <w:t>Por lo anterior, los Estados tienen una obligación de “desplegar acciones inmediatas que garanticen la integridad física, psíquica y moral de los internos, así como su derecho a la vida y el derecho a gozar las condiciones mínimas de una vida digna, especialmente cuando se trata de niños y niñas, quienes requieren una atención especial por parte del Estado”</w:t>
      </w:r>
      <w:r w:rsidRPr="00A4194E">
        <w:rPr>
          <w:rStyle w:val="Refdenotaalpie"/>
          <w:sz w:val="20"/>
          <w:szCs w:val="20"/>
        </w:rPr>
        <w:footnoteReference w:id="100"/>
      </w:r>
      <w:r w:rsidRPr="00A4194E">
        <w:rPr>
          <w:sz w:val="20"/>
          <w:szCs w:val="20"/>
        </w:rPr>
        <w:t>.</w:t>
      </w:r>
    </w:p>
    <w:p w14:paraId="6BE6453F" w14:textId="77777777" w:rsidR="00D47AFE" w:rsidRPr="00EA0726" w:rsidRDefault="00D47AFE" w:rsidP="00B476ED">
      <w:pPr>
        <w:tabs>
          <w:tab w:val="left" w:pos="567"/>
        </w:tabs>
        <w:spacing w:line="240" w:lineRule="auto"/>
        <w:ind w:right="-801"/>
        <w:rPr>
          <w:sz w:val="20"/>
          <w:szCs w:val="20"/>
        </w:rPr>
      </w:pPr>
    </w:p>
    <w:p w14:paraId="7BFB6610" w14:textId="77777777" w:rsidR="00D47AFE" w:rsidRPr="00EA0726" w:rsidRDefault="00D47AFE" w:rsidP="00B476ED">
      <w:pPr>
        <w:numPr>
          <w:ilvl w:val="0"/>
          <w:numId w:val="31"/>
        </w:numPr>
        <w:tabs>
          <w:tab w:val="left" w:pos="567"/>
        </w:tabs>
        <w:spacing w:line="240" w:lineRule="auto"/>
        <w:ind w:left="0" w:right="-801" w:firstLine="0"/>
        <w:rPr>
          <w:sz w:val="20"/>
          <w:szCs w:val="20"/>
        </w:rPr>
      </w:pPr>
      <w:r w:rsidRPr="00EA0726">
        <w:rPr>
          <w:sz w:val="20"/>
          <w:szCs w:val="20"/>
          <w:lang w:val="es-ES"/>
        </w:rPr>
        <w:t xml:space="preserve">Teniendo en cuenta lo expresado, así como otros parámetros más puntuales que se enuncian en el apartado siguiente, la Corte evaluará los hechos sucedidos en el caso. </w:t>
      </w:r>
    </w:p>
    <w:p w14:paraId="76876E78" w14:textId="77777777" w:rsidR="00D47AFE" w:rsidRDefault="00D47AFE" w:rsidP="00B476ED">
      <w:pPr>
        <w:pStyle w:val="Prrafodelista"/>
        <w:spacing w:line="240" w:lineRule="auto"/>
        <w:ind w:right="-801"/>
        <w:rPr>
          <w:sz w:val="20"/>
          <w:szCs w:val="20"/>
          <w:lang w:val="es-ES"/>
        </w:rPr>
      </w:pPr>
    </w:p>
    <w:p w14:paraId="44A5D8C5" w14:textId="1B2BA260" w:rsidR="00D47AFE" w:rsidRPr="00A86156" w:rsidRDefault="00D47AFE" w:rsidP="00B476ED">
      <w:pPr>
        <w:pStyle w:val="Prrafodelista"/>
        <w:spacing w:line="240" w:lineRule="auto"/>
        <w:ind w:left="567" w:right="-801"/>
        <w:outlineLvl w:val="2"/>
        <w:rPr>
          <w:i/>
          <w:sz w:val="20"/>
          <w:szCs w:val="20"/>
        </w:rPr>
      </w:pPr>
      <w:bookmarkStart w:id="56" w:name="_Toc58329009"/>
      <w:bookmarkStart w:id="57" w:name="_Toc58330223"/>
      <w:r w:rsidRPr="00A86156">
        <w:rPr>
          <w:i/>
          <w:sz w:val="20"/>
          <w:szCs w:val="20"/>
        </w:rPr>
        <w:t xml:space="preserve">B.2 </w:t>
      </w:r>
      <w:r w:rsidRPr="00A86156">
        <w:rPr>
          <w:i/>
          <w:sz w:val="20"/>
          <w:szCs w:val="20"/>
          <w:u w:val="single"/>
        </w:rPr>
        <w:t xml:space="preserve">La responsabilidad </w:t>
      </w:r>
      <w:r w:rsidR="00C630B6">
        <w:rPr>
          <w:i/>
          <w:sz w:val="20"/>
          <w:szCs w:val="20"/>
          <w:u w:val="single"/>
        </w:rPr>
        <w:t>internacional</w:t>
      </w:r>
      <w:r w:rsidR="00C630B6" w:rsidRPr="00A86156">
        <w:rPr>
          <w:i/>
          <w:sz w:val="20"/>
          <w:szCs w:val="20"/>
          <w:u w:val="single"/>
        </w:rPr>
        <w:t xml:space="preserve"> </w:t>
      </w:r>
      <w:r w:rsidRPr="00A86156">
        <w:rPr>
          <w:i/>
          <w:sz w:val="20"/>
          <w:szCs w:val="20"/>
          <w:u w:val="single"/>
        </w:rPr>
        <w:t>en el caso</w:t>
      </w:r>
      <w:bookmarkEnd w:id="56"/>
      <w:bookmarkEnd w:id="57"/>
    </w:p>
    <w:p w14:paraId="2979DC0D" w14:textId="77777777" w:rsidR="00D47AFE" w:rsidRDefault="00D47AFE" w:rsidP="00B476ED">
      <w:pPr>
        <w:pStyle w:val="Prrafodelista"/>
        <w:spacing w:line="240" w:lineRule="auto"/>
        <w:ind w:right="-801"/>
        <w:rPr>
          <w:sz w:val="20"/>
          <w:szCs w:val="20"/>
          <w:lang w:val="es-ES"/>
        </w:rPr>
      </w:pPr>
    </w:p>
    <w:p w14:paraId="42FBBA6F" w14:textId="77777777" w:rsidR="00D47AFE" w:rsidRPr="002A3C8E" w:rsidRDefault="00D47AFE" w:rsidP="00B476ED">
      <w:pPr>
        <w:pStyle w:val="Prrafodelista"/>
        <w:spacing w:line="240" w:lineRule="auto"/>
        <w:ind w:left="851" w:right="-801"/>
        <w:outlineLvl w:val="3"/>
        <w:rPr>
          <w:i/>
          <w:sz w:val="20"/>
          <w:szCs w:val="20"/>
          <w:lang w:val="es-ES"/>
        </w:rPr>
      </w:pPr>
      <w:bookmarkStart w:id="58" w:name="_Toc58330224"/>
      <w:r w:rsidRPr="002A3C8E">
        <w:rPr>
          <w:i/>
          <w:sz w:val="20"/>
          <w:szCs w:val="20"/>
          <w:lang w:val="es-ES"/>
        </w:rPr>
        <w:t>B.2.1 Hacinamiento</w:t>
      </w:r>
      <w:bookmarkEnd w:id="58"/>
      <w:r w:rsidRPr="002A3C8E">
        <w:rPr>
          <w:i/>
          <w:sz w:val="20"/>
          <w:szCs w:val="20"/>
          <w:lang w:val="es-ES"/>
        </w:rPr>
        <w:t xml:space="preserve"> </w:t>
      </w:r>
    </w:p>
    <w:p w14:paraId="4E2C1AC0" w14:textId="77777777" w:rsidR="00D47AFE" w:rsidRPr="00F6333E" w:rsidRDefault="00D47AFE" w:rsidP="00B476ED">
      <w:pPr>
        <w:pStyle w:val="Prrafodelista"/>
        <w:spacing w:line="240" w:lineRule="auto"/>
        <w:ind w:right="-801"/>
        <w:rPr>
          <w:sz w:val="20"/>
          <w:szCs w:val="20"/>
          <w:lang w:val="es-ES"/>
        </w:rPr>
      </w:pPr>
    </w:p>
    <w:p w14:paraId="0D0B1D35" w14:textId="749CA318" w:rsidR="00D47AFE" w:rsidRPr="00A4194E" w:rsidRDefault="00D64766" w:rsidP="00B476ED">
      <w:pPr>
        <w:numPr>
          <w:ilvl w:val="0"/>
          <w:numId w:val="31"/>
        </w:numPr>
        <w:tabs>
          <w:tab w:val="left" w:pos="567"/>
        </w:tabs>
        <w:spacing w:line="240" w:lineRule="auto"/>
        <w:ind w:left="0" w:right="-801" w:firstLine="0"/>
        <w:rPr>
          <w:sz w:val="20"/>
          <w:szCs w:val="20"/>
          <w:lang w:val="es-ES"/>
        </w:rPr>
      </w:pPr>
      <w:r>
        <w:rPr>
          <w:sz w:val="20"/>
          <w:szCs w:val="20"/>
          <w:lang w:val="es-ES"/>
        </w:rPr>
        <w:t>E</w:t>
      </w:r>
      <w:r w:rsidR="00D47AFE" w:rsidRPr="00A4194E">
        <w:rPr>
          <w:sz w:val="20"/>
          <w:szCs w:val="20"/>
          <w:lang w:val="es-ES"/>
        </w:rPr>
        <w:t>n primer lugar, debe resaltarse que la Corte ha señalado que el hacinamiento constituye en sí mismo una violación a la integridad personal</w:t>
      </w:r>
      <w:r w:rsidR="00D47AFE" w:rsidRPr="00A4194E">
        <w:rPr>
          <w:rStyle w:val="Refdenotaalpie"/>
          <w:rFonts w:eastAsia="MS Mincho"/>
          <w:sz w:val="20"/>
          <w:szCs w:val="20"/>
          <w:lang w:val="es-ES"/>
        </w:rPr>
        <w:footnoteReference w:id="101"/>
      </w:r>
      <w:r w:rsidR="00D47AFE" w:rsidRPr="00A4194E">
        <w:rPr>
          <w:sz w:val="20"/>
          <w:szCs w:val="20"/>
          <w:lang w:val="es-ES"/>
        </w:rPr>
        <w:t xml:space="preserve"> y que obstaculiza el normal desempeño de las funciones esenciales en los centros penitenciarios</w:t>
      </w:r>
      <w:r w:rsidR="00D47AFE" w:rsidRPr="00A4194E">
        <w:rPr>
          <w:sz w:val="20"/>
          <w:szCs w:val="20"/>
          <w:vertAlign w:val="superscript"/>
          <w:lang w:val="es-ES"/>
        </w:rPr>
        <w:footnoteReference w:id="102"/>
      </w:r>
      <w:r w:rsidR="003A200F">
        <w:rPr>
          <w:sz w:val="20"/>
          <w:szCs w:val="20"/>
          <w:lang w:val="es-ES"/>
        </w:rPr>
        <w:t>.</w:t>
      </w:r>
      <w:r w:rsidR="00D47AFE" w:rsidRPr="00A4194E">
        <w:rPr>
          <w:sz w:val="20"/>
          <w:szCs w:val="20"/>
          <w:lang w:val="es-ES"/>
        </w:rPr>
        <w:t xml:space="preserve"> Además</w:t>
      </w:r>
      <w:r w:rsidR="00D47AFE" w:rsidRPr="00F6333E">
        <w:rPr>
          <w:sz w:val="20"/>
          <w:szCs w:val="20"/>
          <w:lang w:val="es-ES"/>
        </w:rPr>
        <w:t xml:space="preserve">, </w:t>
      </w:r>
      <w:r w:rsidR="00D47AFE" w:rsidRPr="00F6333E">
        <w:rPr>
          <w:sz w:val="20"/>
          <w:szCs w:val="20"/>
        </w:rPr>
        <w:t xml:space="preserve">“no permite que los adolescentes desarrollen una vida digna mientras se encuentran privados de </w:t>
      </w:r>
      <w:proofErr w:type="gramStart"/>
      <w:r w:rsidR="00D47AFE" w:rsidRPr="00F6333E">
        <w:rPr>
          <w:sz w:val="20"/>
          <w:szCs w:val="20"/>
        </w:rPr>
        <w:t>libertad[</w:t>
      </w:r>
      <w:proofErr w:type="gramEnd"/>
      <w:r w:rsidR="00D47AFE" w:rsidRPr="00F6333E">
        <w:rPr>
          <w:sz w:val="20"/>
          <w:szCs w:val="20"/>
        </w:rPr>
        <w:t xml:space="preserve">, lo que] cobra especial relevancia en virtud de la obligación </w:t>
      </w:r>
      <w:r w:rsidR="00D47AFE" w:rsidRPr="00A4194E">
        <w:rPr>
          <w:sz w:val="20"/>
          <w:szCs w:val="20"/>
        </w:rPr>
        <w:t>adicional establecida en el artículo 19 de la Convención Americana</w:t>
      </w:r>
      <w:r w:rsidR="003A200F">
        <w:rPr>
          <w:sz w:val="20"/>
          <w:szCs w:val="20"/>
        </w:rPr>
        <w:t>”</w:t>
      </w:r>
      <w:r w:rsidR="00D47AFE" w:rsidRPr="00A4194E">
        <w:rPr>
          <w:rStyle w:val="Refdenotaalpie"/>
          <w:rFonts w:eastAsia="MS Mincho"/>
          <w:sz w:val="20"/>
          <w:szCs w:val="20"/>
        </w:rPr>
        <w:footnoteReference w:id="103"/>
      </w:r>
      <w:r w:rsidR="00D47AFE" w:rsidRPr="00A4194E">
        <w:rPr>
          <w:sz w:val="20"/>
          <w:szCs w:val="20"/>
        </w:rPr>
        <w:t>.</w:t>
      </w:r>
    </w:p>
    <w:p w14:paraId="7E6C2B7A" w14:textId="77777777" w:rsidR="00D47AFE" w:rsidRPr="00A4194E" w:rsidRDefault="00D47AFE" w:rsidP="00B476ED">
      <w:pPr>
        <w:tabs>
          <w:tab w:val="left" w:pos="567"/>
        </w:tabs>
        <w:spacing w:line="240" w:lineRule="auto"/>
        <w:ind w:right="-801"/>
        <w:rPr>
          <w:sz w:val="20"/>
          <w:szCs w:val="20"/>
          <w:lang w:val="es-ES"/>
        </w:rPr>
      </w:pPr>
    </w:p>
    <w:p w14:paraId="16CCF47D" w14:textId="77777777" w:rsidR="00D47AFE" w:rsidRPr="00A4194E" w:rsidRDefault="00D47AFE" w:rsidP="00B476ED">
      <w:pPr>
        <w:numPr>
          <w:ilvl w:val="0"/>
          <w:numId w:val="31"/>
        </w:numPr>
        <w:tabs>
          <w:tab w:val="left" w:pos="567"/>
        </w:tabs>
        <w:spacing w:line="240" w:lineRule="auto"/>
        <w:ind w:left="0" w:right="-801" w:firstLine="0"/>
        <w:rPr>
          <w:sz w:val="20"/>
          <w:szCs w:val="20"/>
          <w:lang w:val="es-ES"/>
        </w:rPr>
      </w:pPr>
      <w:r w:rsidRPr="00A4194E">
        <w:rPr>
          <w:sz w:val="20"/>
          <w:szCs w:val="20"/>
          <w:lang w:val="es-ES"/>
        </w:rPr>
        <w:t xml:space="preserve">Pese a lo expuesto, </w:t>
      </w:r>
      <w:r w:rsidRPr="00A4194E">
        <w:rPr>
          <w:sz w:val="20"/>
          <w:szCs w:val="20"/>
        </w:rPr>
        <w:t>surge de los hechos que el INAM – San Félix presentaba una situación de sobrepoblación (</w:t>
      </w:r>
      <w:r w:rsidRPr="00A4194E">
        <w:rPr>
          <w:i/>
          <w:sz w:val="20"/>
          <w:szCs w:val="20"/>
        </w:rPr>
        <w:t xml:space="preserve">supra </w:t>
      </w:r>
      <w:r w:rsidRPr="00A4194E">
        <w:rPr>
          <w:sz w:val="20"/>
          <w:szCs w:val="20"/>
        </w:rPr>
        <w:t>párr. 39), contraria a la integridad personal. En ese sentido, aunque podía albergar a 30 personas, alojó en promedio, a lo largo de 2004 y 2005, entre 75 y 90, y al momento de los hechos tenía cerca de 50. Lo anterior, en todos los casos implica una situación de hacinamiento</w:t>
      </w:r>
      <w:r w:rsidRPr="00A4194E">
        <w:rPr>
          <w:rStyle w:val="Refdenotaalpie"/>
          <w:rFonts w:eastAsia="MS Mincho"/>
          <w:sz w:val="20"/>
          <w:szCs w:val="20"/>
        </w:rPr>
        <w:footnoteReference w:id="104"/>
      </w:r>
      <w:r w:rsidRPr="00A4194E">
        <w:rPr>
          <w:sz w:val="20"/>
          <w:szCs w:val="20"/>
        </w:rPr>
        <w:t xml:space="preserve">. </w:t>
      </w:r>
    </w:p>
    <w:p w14:paraId="4FCC1AFA" w14:textId="77777777" w:rsidR="00D47AFE" w:rsidRDefault="00D47AFE" w:rsidP="00B476ED">
      <w:pPr>
        <w:pStyle w:val="Prrafodelista"/>
        <w:spacing w:line="240" w:lineRule="auto"/>
        <w:ind w:right="-801"/>
        <w:rPr>
          <w:sz w:val="20"/>
          <w:szCs w:val="20"/>
          <w:lang w:val="es-ES"/>
        </w:rPr>
      </w:pPr>
    </w:p>
    <w:p w14:paraId="6433D22B" w14:textId="77777777" w:rsidR="00D47AFE" w:rsidRPr="002A3C8E" w:rsidRDefault="00D47AFE" w:rsidP="00B476ED">
      <w:pPr>
        <w:pStyle w:val="Prrafodelista"/>
        <w:spacing w:line="240" w:lineRule="auto"/>
        <w:ind w:left="851" w:right="-801"/>
        <w:outlineLvl w:val="3"/>
        <w:rPr>
          <w:i/>
          <w:sz w:val="20"/>
          <w:szCs w:val="20"/>
          <w:lang w:val="es-ES"/>
        </w:rPr>
      </w:pPr>
      <w:bookmarkStart w:id="59" w:name="_Toc58330225"/>
      <w:r w:rsidRPr="002A3C8E">
        <w:rPr>
          <w:i/>
          <w:sz w:val="20"/>
          <w:szCs w:val="20"/>
          <w:lang w:val="es-ES"/>
        </w:rPr>
        <w:t>B.2.2 I</w:t>
      </w:r>
      <w:r>
        <w:rPr>
          <w:i/>
          <w:sz w:val="20"/>
          <w:szCs w:val="20"/>
          <w:lang w:val="es-ES"/>
        </w:rPr>
        <w:t xml:space="preserve">nfraestructura, </w:t>
      </w:r>
      <w:r w:rsidRPr="002A3C8E">
        <w:rPr>
          <w:i/>
          <w:sz w:val="20"/>
          <w:szCs w:val="20"/>
          <w:lang w:val="es-ES"/>
        </w:rPr>
        <w:t>condiciones de seguridad</w:t>
      </w:r>
      <w:r>
        <w:rPr>
          <w:i/>
          <w:sz w:val="20"/>
          <w:szCs w:val="20"/>
          <w:lang w:val="es-ES"/>
        </w:rPr>
        <w:t xml:space="preserve"> y separación de internos</w:t>
      </w:r>
      <w:bookmarkEnd w:id="59"/>
    </w:p>
    <w:p w14:paraId="3312A44C" w14:textId="77777777" w:rsidR="00D47AFE" w:rsidRPr="004754B0" w:rsidRDefault="00D47AFE" w:rsidP="00B476ED">
      <w:pPr>
        <w:pStyle w:val="Prrafodelista"/>
        <w:spacing w:line="240" w:lineRule="auto"/>
        <w:ind w:right="-801"/>
        <w:rPr>
          <w:sz w:val="20"/>
          <w:szCs w:val="20"/>
          <w:lang w:val="es-ES"/>
        </w:rPr>
      </w:pPr>
    </w:p>
    <w:p w14:paraId="6D35C7EE" w14:textId="77777777" w:rsidR="00D47AFE" w:rsidRPr="00A4194E" w:rsidRDefault="00D47AFE" w:rsidP="00B476ED">
      <w:pPr>
        <w:numPr>
          <w:ilvl w:val="0"/>
          <w:numId w:val="31"/>
        </w:numPr>
        <w:tabs>
          <w:tab w:val="left" w:pos="567"/>
        </w:tabs>
        <w:spacing w:line="240" w:lineRule="auto"/>
        <w:ind w:left="0" w:right="-801" w:firstLine="0"/>
        <w:rPr>
          <w:sz w:val="20"/>
          <w:szCs w:val="20"/>
        </w:rPr>
      </w:pPr>
      <w:r w:rsidRPr="00A4194E">
        <w:rPr>
          <w:sz w:val="20"/>
          <w:szCs w:val="20"/>
          <w:lang w:val="es-ES"/>
        </w:rPr>
        <w:t>En lo que se refiere a la separación de internos por categorías, la misma debe realizarse, de conformidad a lo dispuesto por los artículos 5.4 y 5.5 de la Convención, “entre procesados y condenados y entre los menores de [18 años de] edad de los adultos, con el objetivo de que los privados de libertad reciban el tratamiento adecuado a su condición”</w:t>
      </w:r>
      <w:r w:rsidRPr="00A4194E">
        <w:rPr>
          <w:sz w:val="20"/>
          <w:szCs w:val="20"/>
          <w:vertAlign w:val="superscript"/>
          <w:lang w:val="es-ES"/>
        </w:rPr>
        <w:footnoteReference w:id="105"/>
      </w:r>
      <w:r w:rsidRPr="00A4194E">
        <w:rPr>
          <w:sz w:val="20"/>
          <w:szCs w:val="20"/>
          <w:lang w:val="es-ES"/>
        </w:rPr>
        <w:t>.</w:t>
      </w:r>
      <w:r w:rsidRPr="00A4194E">
        <w:rPr>
          <w:sz w:val="20"/>
          <w:szCs w:val="20"/>
        </w:rPr>
        <w:t xml:space="preserve"> Además de lo ya expuesto (</w:t>
      </w:r>
      <w:r w:rsidRPr="00A4194E">
        <w:rPr>
          <w:i/>
          <w:sz w:val="20"/>
          <w:szCs w:val="20"/>
        </w:rPr>
        <w:t xml:space="preserve">supra </w:t>
      </w:r>
      <w:proofErr w:type="spellStart"/>
      <w:r w:rsidRPr="00A4194E">
        <w:rPr>
          <w:sz w:val="20"/>
          <w:szCs w:val="20"/>
        </w:rPr>
        <w:t>párrs</w:t>
      </w:r>
      <w:proofErr w:type="spellEnd"/>
      <w:r w:rsidRPr="00A4194E">
        <w:rPr>
          <w:sz w:val="20"/>
          <w:szCs w:val="20"/>
        </w:rPr>
        <w:t xml:space="preserve">. 82 a 84) sobre la separación entre adolescentes y adultos, la Corte ha aclarado que </w:t>
      </w:r>
      <w:r w:rsidRPr="00A4194E">
        <w:rPr>
          <w:rFonts w:eastAsiaTheme="minorHAnsi" w:cs="TimesNewRomanPSMT"/>
          <w:sz w:val="20"/>
          <w:szCs w:val="20"/>
          <w:lang w:eastAsia="en-US"/>
        </w:rPr>
        <w:t>“la separación de los procesados y de los condenados requiere no solamente mantenerlos en diferentes celdas, sino también que estas celdas estén ubicadas en diferentes secciones dentro de un determinado centro de detención, o en diferentes establecimientos si resultara posible”</w:t>
      </w:r>
      <w:r w:rsidRPr="00A4194E">
        <w:rPr>
          <w:rStyle w:val="Refdenotaalpie"/>
          <w:rFonts w:eastAsiaTheme="minorHAnsi" w:cs="TimesNewRomanPSMT"/>
          <w:sz w:val="20"/>
          <w:szCs w:val="20"/>
          <w:lang w:eastAsia="en-US"/>
        </w:rPr>
        <w:footnoteReference w:id="106"/>
      </w:r>
      <w:r w:rsidRPr="00A4194E">
        <w:rPr>
          <w:rFonts w:eastAsiaTheme="minorHAnsi" w:cs="TimesNewRomanPSMT"/>
          <w:sz w:val="20"/>
          <w:szCs w:val="20"/>
          <w:lang w:eastAsia="en-US"/>
        </w:rPr>
        <w:t>.</w:t>
      </w:r>
    </w:p>
    <w:p w14:paraId="4343EAE0" w14:textId="77777777" w:rsidR="00D47AFE" w:rsidRPr="00AC52B5" w:rsidRDefault="00D47AFE" w:rsidP="00B476ED">
      <w:pPr>
        <w:tabs>
          <w:tab w:val="left" w:pos="567"/>
        </w:tabs>
        <w:spacing w:line="240" w:lineRule="auto"/>
        <w:ind w:right="-801"/>
        <w:rPr>
          <w:sz w:val="20"/>
          <w:szCs w:val="20"/>
        </w:rPr>
      </w:pPr>
    </w:p>
    <w:p w14:paraId="1F965F21" w14:textId="77777777" w:rsidR="00D47AFE" w:rsidRPr="00A4194E" w:rsidRDefault="00D47AFE" w:rsidP="00B476ED">
      <w:pPr>
        <w:numPr>
          <w:ilvl w:val="0"/>
          <w:numId w:val="31"/>
        </w:numPr>
        <w:tabs>
          <w:tab w:val="left" w:pos="567"/>
        </w:tabs>
        <w:spacing w:line="240" w:lineRule="auto"/>
        <w:ind w:left="0" w:right="-801" w:firstLine="0"/>
        <w:rPr>
          <w:sz w:val="20"/>
          <w:szCs w:val="20"/>
        </w:rPr>
      </w:pPr>
      <w:r w:rsidRPr="00A4194E">
        <w:rPr>
          <w:rFonts w:eastAsia="Verdana" w:cs="Verdana"/>
          <w:sz w:val="20"/>
          <w:szCs w:val="20"/>
        </w:rPr>
        <w:lastRenderedPageBreak/>
        <w:t>Asimismo, los Estados deben extremar los cuidados en consideración a las especiales características de las instituciones totales</w:t>
      </w:r>
      <w:r w:rsidRPr="00A4194E">
        <w:rPr>
          <w:rStyle w:val="Refdenotaalpie"/>
          <w:rFonts w:eastAsia="Verdana"/>
          <w:sz w:val="20"/>
          <w:szCs w:val="20"/>
        </w:rPr>
        <w:footnoteReference w:id="107"/>
      </w:r>
      <w:r w:rsidRPr="00A4194E">
        <w:rPr>
          <w:rFonts w:eastAsia="Verdana" w:cs="Verdana"/>
          <w:sz w:val="20"/>
          <w:szCs w:val="20"/>
        </w:rPr>
        <w:t xml:space="preserve"> para niños, niñas y adolescentes, en particular el mayor riesgo de conflictividad violenta por efecto de su etapa psicológica evolutiva.</w:t>
      </w:r>
    </w:p>
    <w:p w14:paraId="66CC40F7" w14:textId="77777777" w:rsidR="00D47AFE" w:rsidRPr="00F6333E" w:rsidRDefault="00D47AFE" w:rsidP="00B476ED">
      <w:pPr>
        <w:tabs>
          <w:tab w:val="left" w:pos="567"/>
        </w:tabs>
        <w:spacing w:line="240" w:lineRule="auto"/>
        <w:ind w:right="-801"/>
        <w:rPr>
          <w:sz w:val="20"/>
          <w:szCs w:val="20"/>
        </w:rPr>
      </w:pPr>
    </w:p>
    <w:p w14:paraId="44E5249D" w14:textId="77777777" w:rsidR="00D47AFE" w:rsidRPr="00A4194E" w:rsidRDefault="00D47AFE" w:rsidP="00B476ED">
      <w:pPr>
        <w:numPr>
          <w:ilvl w:val="0"/>
          <w:numId w:val="31"/>
        </w:numPr>
        <w:tabs>
          <w:tab w:val="left" w:pos="567"/>
        </w:tabs>
        <w:spacing w:line="240" w:lineRule="auto"/>
        <w:ind w:left="0" w:right="-801" w:firstLine="0"/>
        <w:rPr>
          <w:sz w:val="20"/>
          <w:szCs w:val="20"/>
        </w:rPr>
      </w:pPr>
      <w:r w:rsidRPr="00A4194E">
        <w:rPr>
          <w:sz w:val="20"/>
          <w:szCs w:val="20"/>
          <w:lang w:val="es-ES"/>
        </w:rPr>
        <w:t>En ese marco,</w:t>
      </w:r>
      <w:r w:rsidRPr="00A4194E">
        <w:rPr>
          <w:b/>
          <w:sz w:val="20"/>
          <w:szCs w:val="20"/>
          <w:lang w:val="es-ES"/>
        </w:rPr>
        <w:t xml:space="preserve"> </w:t>
      </w:r>
      <w:r w:rsidRPr="00A4194E">
        <w:rPr>
          <w:sz w:val="20"/>
          <w:szCs w:val="20"/>
          <w:lang w:val="es-ES"/>
        </w:rPr>
        <w:t>los centros de privación de libertad de adolescentes deben ser seguros, lo que, entre otros factores, implica que garanticen la protección de las personas alojadas en ellos contra situaciones de riesgo; que, en caso de ser cerrados, tengan una población lo menos numerosa posible; que cuenten con “locales y servicios que satisfagan todas las exigencias de la higiene y la dignidad humana”, y que estén diseñados de modo que “reduzcan al mínimo el riesgo de incendio y garanticen una evacuación segura de los locales”</w:t>
      </w:r>
      <w:r w:rsidRPr="00A4194E">
        <w:rPr>
          <w:rStyle w:val="Refdenotaalpie"/>
          <w:rFonts w:eastAsia="MS Mincho"/>
          <w:sz w:val="20"/>
          <w:szCs w:val="20"/>
          <w:lang w:val="es-ES"/>
        </w:rPr>
        <w:footnoteReference w:id="108"/>
      </w:r>
      <w:r w:rsidRPr="00A4194E">
        <w:rPr>
          <w:sz w:val="20"/>
          <w:szCs w:val="20"/>
          <w:lang w:val="es-ES"/>
        </w:rPr>
        <w:t xml:space="preserve">. Además, debe recordarse que la Corte ha establecido que el Estado,  </w:t>
      </w:r>
    </w:p>
    <w:p w14:paraId="25BA6F8E" w14:textId="77777777" w:rsidR="00D47AFE" w:rsidRDefault="00D47AFE" w:rsidP="00B476ED">
      <w:pPr>
        <w:pStyle w:val="Prrafodelista"/>
        <w:spacing w:line="240" w:lineRule="auto"/>
        <w:ind w:right="-801"/>
        <w:rPr>
          <w:rFonts w:eastAsia="Verdana" w:cs="Verdana"/>
          <w:b/>
          <w:sz w:val="20"/>
        </w:rPr>
      </w:pPr>
    </w:p>
    <w:p w14:paraId="7C56703A" w14:textId="77777777" w:rsidR="00D47AFE" w:rsidRPr="005E2DB7" w:rsidRDefault="00D47AFE" w:rsidP="00B476ED">
      <w:pPr>
        <w:widowControl/>
        <w:adjustRightInd/>
        <w:spacing w:line="240" w:lineRule="auto"/>
        <w:ind w:left="284" w:right="-234"/>
        <w:textAlignment w:val="auto"/>
        <w:rPr>
          <w:b/>
          <w:sz w:val="16"/>
          <w:szCs w:val="16"/>
          <w:lang w:val="es-ES"/>
        </w:rPr>
      </w:pPr>
      <w:r w:rsidRPr="004754B0">
        <w:rPr>
          <w:sz w:val="16"/>
          <w:szCs w:val="16"/>
          <w:lang w:val="es-ES"/>
        </w:rPr>
        <w:t xml:space="preserve">en su función de </w:t>
      </w:r>
      <w:proofErr w:type="gramStart"/>
      <w:r w:rsidRPr="004754B0">
        <w:rPr>
          <w:sz w:val="16"/>
          <w:szCs w:val="16"/>
          <w:lang w:val="es-ES"/>
        </w:rPr>
        <w:t>garante[</w:t>
      </w:r>
      <w:proofErr w:type="gramEnd"/>
      <w:r w:rsidRPr="004754B0">
        <w:rPr>
          <w:sz w:val="16"/>
          <w:szCs w:val="16"/>
          <w:lang w:val="es-ES"/>
        </w:rPr>
        <w:t>,] debe diseñar y aplicar una política penitenciaria de prevención de situaciones críticas que pondría[n] en peligro los derechos fundamentales de los internos en custodia</w:t>
      </w:r>
      <w:r w:rsidRPr="004754B0">
        <w:rPr>
          <w:rStyle w:val="Refdenotaalpie"/>
          <w:rFonts w:eastAsia="MS Mincho"/>
          <w:sz w:val="16"/>
          <w:szCs w:val="16"/>
          <w:lang w:val="es-ES"/>
        </w:rPr>
        <w:footnoteReference w:id="109"/>
      </w:r>
      <w:r w:rsidRPr="004754B0">
        <w:rPr>
          <w:sz w:val="16"/>
          <w:szCs w:val="16"/>
          <w:lang w:val="es-ES"/>
        </w:rPr>
        <w:t>. En este sentido, el Estado debe incorporar en el diseño, estructura, construcción, mejoras, manutención y operación de los centros de detención, todos los mecanismos materiales que reduzcan al mínimo el riesgo de que se produzcan situaciones de emergencia [o] incendios y en el evento que se produzcan estas situaciones se pueda reaccionar con la debida diligencia, garantizando la protección de los internos o una evacuación segura de los locales. Entre esos mecanismos se encuentran sistemas eficaces de detección y extinción de incendios, alarmas, así como protocolos de acción en casos de emergencias que garanticen la seguridad de los privados de libertad</w:t>
      </w:r>
      <w:r w:rsidRPr="004754B0">
        <w:rPr>
          <w:sz w:val="16"/>
          <w:szCs w:val="16"/>
          <w:vertAlign w:val="superscript"/>
          <w:lang w:val="es-ES"/>
        </w:rPr>
        <w:footnoteReference w:id="110"/>
      </w:r>
      <w:r w:rsidRPr="004754B0">
        <w:rPr>
          <w:sz w:val="16"/>
          <w:szCs w:val="16"/>
          <w:lang w:val="es-ES"/>
        </w:rPr>
        <w:t xml:space="preserve">. </w:t>
      </w:r>
    </w:p>
    <w:p w14:paraId="1B1C5284" w14:textId="77777777" w:rsidR="00D47AFE" w:rsidRDefault="00D47AFE" w:rsidP="00B476ED">
      <w:pPr>
        <w:pStyle w:val="Prrafodelista"/>
        <w:spacing w:line="240" w:lineRule="auto"/>
        <w:ind w:right="-801"/>
        <w:rPr>
          <w:rFonts w:eastAsia="Verdana" w:cs="Verdana"/>
          <w:b/>
          <w:sz w:val="20"/>
        </w:rPr>
      </w:pPr>
    </w:p>
    <w:p w14:paraId="289645BB" w14:textId="77777777" w:rsidR="00D47AFE" w:rsidRPr="00D81F2D" w:rsidRDefault="00D47AFE" w:rsidP="00B476ED">
      <w:pPr>
        <w:numPr>
          <w:ilvl w:val="0"/>
          <w:numId w:val="31"/>
        </w:numPr>
        <w:tabs>
          <w:tab w:val="left" w:pos="567"/>
        </w:tabs>
        <w:spacing w:line="240" w:lineRule="auto"/>
        <w:ind w:left="0" w:right="-801" w:firstLine="0"/>
        <w:rPr>
          <w:sz w:val="20"/>
          <w:szCs w:val="20"/>
        </w:rPr>
      </w:pPr>
      <w:r w:rsidRPr="00D81F2D">
        <w:rPr>
          <w:rFonts w:eastAsia="Verdana" w:cs="Verdana"/>
          <w:sz w:val="20"/>
        </w:rPr>
        <w:t>En este sentido, los Estados no deben proveer a los presos o internos</w:t>
      </w:r>
      <w:r>
        <w:rPr>
          <w:rFonts w:eastAsia="Verdana" w:cs="Verdana"/>
          <w:sz w:val="20"/>
        </w:rPr>
        <w:t>,</w:t>
      </w:r>
      <w:r w:rsidRPr="00D81F2D">
        <w:rPr>
          <w:rFonts w:eastAsia="Verdana" w:cs="Verdana"/>
          <w:sz w:val="20"/>
        </w:rPr>
        <w:t xml:space="preserve"> ni permitir que tengan en sus celdas, pabellones o ámbitos cerrados de alojamiento, colchones u otros elementos análogos que no sean ignífugos, especialmente los de materiales muy tóxicos en casos de combustión, como el poliuretano. Asimismo, deben tomar las medidas necesarias para que la autoridad de vigilancia tenga siempre, a su inmediata disposición y en verificadas condiciones de uso, las llaves o dispositivos que permitan la rápida apertura de celdas, pabellones o ámbitos cerrados. Además, es menester mantener en perfectas condiciones de funcionamiento extinguidores y otros dispositivos de combate de incendio en toda institución total.</w:t>
      </w:r>
    </w:p>
    <w:p w14:paraId="27FDDE1E" w14:textId="77777777" w:rsidR="00D47AFE" w:rsidRDefault="00D47AFE" w:rsidP="00B476ED">
      <w:pPr>
        <w:spacing w:line="240" w:lineRule="auto"/>
        <w:ind w:right="-801"/>
        <w:rPr>
          <w:sz w:val="20"/>
          <w:szCs w:val="20"/>
        </w:rPr>
      </w:pPr>
    </w:p>
    <w:p w14:paraId="513EEDCE" w14:textId="43A5C7DB" w:rsidR="00D47AFE" w:rsidRDefault="00D47AFE" w:rsidP="00B476ED">
      <w:pPr>
        <w:numPr>
          <w:ilvl w:val="0"/>
          <w:numId w:val="31"/>
        </w:numPr>
        <w:tabs>
          <w:tab w:val="left" w:pos="567"/>
        </w:tabs>
        <w:spacing w:line="240" w:lineRule="auto"/>
        <w:ind w:left="0" w:right="-801" w:firstLine="0"/>
        <w:rPr>
          <w:sz w:val="20"/>
          <w:szCs w:val="20"/>
        </w:rPr>
      </w:pPr>
      <w:r w:rsidRPr="00907B1F">
        <w:rPr>
          <w:sz w:val="20"/>
          <w:szCs w:val="20"/>
        </w:rPr>
        <w:t xml:space="preserve">Los hechos establecidos muestran que las instalaciones del INAM-San Félix resultaban </w:t>
      </w:r>
      <w:r w:rsidRPr="00907B1F">
        <w:rPr>
          <w:sz w:val="20"/>
          <w:szCs w:val="20"/>
        </w:rPr>
        <w:lastRenderedPageBreak/>
        <w:t>precarias y no permitían la separación entre menores</w:t>
      </w:r>
      <w:r>
        <w:rPr>
          <w:sz w:val="20"/>
          <w:szCs w:val="20"/>
        </w:rPr>
        <w:t xml:space="preserve"> de 18 años</w:t>
      </w:r>
      <w:r w:rsidRPr="00907B1F">
        <w:rPr>
          <w:sz w:val="20"/>
          <w:szCs w:val="20"/>
        </w:rPr>
        <w:t xml:space="preserve"> y mayores de </w:t>
      </w:r>
      <w:r>
        <w:rPr>
          <w:sz w:val="20"/>
          <w:szCs w:val="20"/>
        </w:rPr>
        <w:t xml:space="preserve">esa </w:t>
      </w:r>
      <w:r w:rsidRPr="00907B1F">
        <w:rPr>
          <w:sz w:val="20"/>
          <w:szCs w:val="20"/>
        </w:rPr>
        <w:t>edad, ni entre personas privadas de libertad procesadas y condenadas</w:t>
      </w:r>
      <w:r>
        <w:rPr>
          <w:sz w:val="20"/>
          <w:szCs w:val="20"/>
        </w:rPr>
        <w:t xml:space="preserve"> (</w:t>
      </w:r>
      <w:r w:rsidRPr="003C748A">
        <w:rPr>
          <w:i/>
          <w:sz w:val="20"/>
          <w:szCs w:val="20"/>
        </w:rPr>
        <w:t>supra</w:t>
      </w:r>
      <w:r>
        <w:rPr>
          <w:sz w:val="20"/>
          <w:szCs w:val="20"/>
        </w:rPr>
        <w:t xml:space="preserve"> </w:t>
      </w:r>
      <w:proofErr w:type="spellStart"/>
      <w:r>
        <w:rPr>
          <w:sz w:val="20"/>
          <w:szCs w:val="20"/>
        </w:rPr>
        <w:t>párrs</w:t>
      </w:r>
      <w:proofErr w:type="spellEnd"/>
      <w:r>
        <w:rPr>
          <w:sz w:val="20"/>
          <w:szCs w:val="20"/>
        </w:rPr>
        <w:t>. 38, 40, 41 y 42)</w:t>
      </w:r>
      <w:r w:rsidRPr="00907B1F">
        <w:rPr>
          <w:sz w:val="20"/>
          <w:szCs w:val="20"/>
        </w:rPr>
        <w:t xml:space="preserve">. </w:t>
      </w:r>
    </w:p>
    <w:p w14:paraId="7635C78F" w14:textId="77777777" w:rsidR="00D47AFE" w:rsidRDefault="00D47AFE" w:rsidP="00B476ED">
      <w:pPr>
        <w:spacing w:line="240" w:lineRule="auto"/>
        <w:ind w:right="-801"/>
        <w:rPr>
          <w:sz w:val="20"/>
          <w:szCs w:val="20"/>
        </w:rPr>
      </w:pPr>
    </w:p>
    <w:p w14:paraId="08359CFB" w14:textId="2E4E94A3" w:rsidR="00D47AFE" w:rsidRPr="004754B0" w:rsidRDefault="00D47AFE" w:rsidP="007A4020">
      <w:pPr>
        <w:numPr>
          <w:ilvl w:val="0"/>
          <w:numId w:val="31"/>
        </w:numPr>
        <w:tabs>
          <w:tab w:val="left" w:pos="567"/>
        </w:tabs>
        <w:spacing w:line="240" w:lineRule="auto"/>
        <w:ind w:left="0" w:right="-799" w:firstLine="0"/>
        <w:rPr>
          <w:sz w:val="20"/>
          <w:szCs w:val="20"/>
          <w:lang w:val="es-CO"/>
        </w:rPr>
      </w:pPr>
      <w:r>
        <w:rPr>
          <w:sz w:val="20"/>
          <w:szCs w:val="20"/>
          <w:lang w:val="es-CO"/>
        </w:rPr>
        <w:t>T</w:t>
      </w:r>
      <w:r w:rsidRPr="004754B0">
        <w:rPr>
          <w:sz w:val="20"/>
          <w:szCs w:val="20"/>
          <w:lang w:val="es-CO"/>
        </w:rPr>
        <w:t xml:space="preserve">ales </w:t>
      </w:r>
      <w:r w:rsidRPr="00EA0726">
        <w:rPr>
          <w:sz w:val="20"/>
          <w:szCs w:val="20"/>
          <w:lang w:val="es-CO"/>
        </w:rPr>
        <w:t>circunstancias generaban una situación de riesgo, por los problemas de convivencia que implicaban. En ese sentido, las rencillas entre internos eran frecuentes (</w:t>
      </w:r>
      <w:r w:rsidRPr="00EA0726">
        <w:rPr>
          <w:i/>
          <w:sz w:val="20"/>
          <w:szCs w:val="20"/>
          <w:lang w:val="es-CO"/>
        </w:rPr>
        <w:t xml:space="preserve">supra </w:t>
      </w:r>
      <w:r w:rsidRPr="00EA0726">
        <w:rPr>
          <w:sz w:val="20"/>
          <w:szCs w:val="20"/>
          <w:lang w:val="es-CO"/>
        </w:rPr>
        <w:t>párr. 4</w:t>
      </w:r>
      <w:r>
        <w:rPr>
          <w:sz w:val="20"/>
          <w:szCs w:val="20"/>
          <w:lang w:val="es-CO"/>
        </w:rPr>
        <w:t>2</w:t>
      </w:r>
      <w:r w:rsidRPr="00EA0726">
        <w:rPr>
          <w:sz w:val="20"/>
          <w:szCs w:val="20"/>
          <w:lang w:val="es-CO"/>
        </w:rPr>
        <w:t>). Resulta evidente que las autoridades del centro no contaban con protocolos y con estrategias adecuadas a los efectos de evitar estos conflictos Esa situación resultaba, por otra parte, potenciada por problemas estructurales del Centro. El mismo no contaba con planes de atención de emergencias, ni con medidas de prevención contra incendios. No había sistemas de alarmas contra incendios ni extintores. Las instalaciones de electricidad e iluminación eran, asimismo, defectuosas</w:t>
      </w:r>
      <w:r>
        <w:rPr>
          <w:sz w:val="20"/>
          <w:szCs w:val="20"/>
          <w:lang w:val="es-CO"/>
        </w:rPr>
        <w:t xml:space="preserve"> (</w:t>
      </w:r>
      <w:r>
        <w:rPr>
          <w:i/>
          <w:sz w:val="20"/>
          <w:szCs w:val="20"/>
          <w:lang w:val="es-CO"/>
        </w:rPr>
        <w:t>supra</w:t>
      </w:r>
      <w:r>
        <w:rPr>
          <w:sz w:val="20"/>
          <w:szCs w:val="20"/>
          <w:lang w:val="es-CO"/>
        </w:rPr>
        <w:t xml:space="preserve"> párr. 40)</w:t>
      </w:r>
      <w:r w:rsidRPr="00EA0726">
        <w:rPr>
          <w:sz w:val="20"/>
          <w:szCs w:val="20"/>
          <w:lang w:val="es-CO"/>
        </w:rPr>
        <w:t>. Además, el Centro contaba con personal insuficiente y no había un control adecuado que impidiera el ingreso de materiales prohibidos o peligrosos (</w:t>
      </w:r>
      <w:r w:rsidRPr="00EA0726">
        <w:rPr>
          <w:i/>
          <w:sz w:val="20"/>
          <w:szCs w:val="20"/>
          <w:lang w:val="es-CO"/>
        </w:rPr>
        <w:t xml:space="preserve">supra </w:t>
      </w:r>
      <w:r w:rsidRPr="00EA0726">
        <w:rPr>
          <w:sz w:val="20"/>
          <w:szCs w:val="20"/>
          <w:lang w:val="es-CO"/>
        </w:rPr>
        <w:t xml:space="preserve">párr. </w:t>
      </w:r>
      <w:r>
        <w:rPr>
          <w:sz w:val="20"/>
          <w:szCs w:val="20"/>
          <w:lang w:val="es-CO"/>
        </w:rPr>
        <w:t>39</w:t>
      </w:r>
      <w:r w:rsidRPr="00EA0726">
        <w:rPr>
          <w:sz w:val="20"/>
          <w:szCs w:val="20"/>
          <w:lang w:val="es-CO"/>
        </w:rPr>
        <w:t xml:space="preserve">). La perita </w:t>
      </w:r>
      <w:proofErr w:type="spellStart"/>
      <w:r w:rsidRPr="00EA0726">
        <w:rPr>
          <w:sz w:val="20"/>
          <w:szCs w:val="20"/>
          <w:lang w:val="es-CO"/>
        </w:rPr>
        <w:t>Giacomello</w:t>
      </w:r>
      <w:proofErr w:type="spellEnd"/>
      <w:r w:rsidRPr="00EA0726">
        <w:rPr>
          <w:sz w:val="20"/>
          <w:szCs w:val="20"/>
          <w:lang w:val="es-CO"/>
        </w:rPr>
        <w:t>, al respecto, concluyó que “el INAM – San Félix tenía todas las condiciones para propiciar una tragedia, y ninguna condición para cumplir con los derechos de los</w:t>
      </w:r>
      <w:r w:rsidRPr="004754B0">
        <w:rPr>
          <w:sz w:val="20"/>
          <w:szCs w:val="20"/>
          <w:lang w:val="es-CO"/>
        </w:rPr>
        <w:t xml:space="preserve"> adolescentes y jóvenes privados de la libertad”</w:t>
      </w:r>
      <w:r w:rsidR="00955F88">
        <w:rPr>
          <w:rStyle w:val="Refdenotaalpie"/>
          <w:sz w:val="20"/>
          <w:szCs w:val="20"/>
          <w:lang w:val="es-CO"/>
        </w:rPr>
        <w:footnoteReference w:id="111"/>
      </w:r>
      <w:r w:rsidRPr="004754B0">
        <w:rPr>
          <w:sz w:val="20"/>
          <w:szCs w:val="20"/>
          <w:lang w:val="es-CO"/>
        </w:rPr>
        <w:t xml:space="preserve">. </w:t>
      </w:r>
    </w:p>
    <w:p w14:paraId="0BD40F8B" w14:textId="77777777" w:rsidR="00D47AFE" w:rsidRDefault="00D47AFE" w:rsidP="007A4020">
      <w:pPr>
        <w:spacing w:line="240" w:lineRule="auto"/>
        <w:ind w:right="-799"/>
        <w:rPr>
          <w:sz w:val="20"/>
          <w:szCs w:val="20"/>
        </w:rPr>
      </w:pPr>
    </w:p>
    <w:p w14:paraId="61651079" w14:textId="77777777" w:rsidR="00D47AFE" w:rsidRPr="00D47AFE" w:rsidRDefault="00D47AFE" w:rsidP="007A4020">
      <w:pPr>
        <w:pStyle w:val="Ttulo4"/>
        <w:tabs>
          <w:tab w:val="left" w:pos="1276"/>
        </w:tabs>
        <w:spacing w:before="0" w:line="240" w:lineRule="auto"/>
        <w:ind w:left="851" w:right="-799"/>
        <w:rPr>
          <w:rFonts w:ascii="Verdana" w:hAnsi="Verdana"/>
          <w:color w:val="auto"/>
          <w:sz w:val="20"/>
          <w:szCs w:val="20"/>
        </w:rPr>
      </w:pPr>
      <w:bookmarkStart w:id="60" w:name="_Toc58330226"/>
      <w:r w:rsidRPr="00D47AFE">
        <w:rPr>
          <w:rFonts w:ascii="Verdana" w:hAnsi="Verdana"/>
          <w:color w:val="auto"/>
          <w:sz w:val="20"/>
          <w:szCs w:val="20"/>
        </w:rPr>
        <w:t>B.2.3 Finalidad de la privación de libertad</w:t>
      </w:r>
      <w:bookmarkEnd w:id="60"/>
    </w:p>
    <w:p w14:paraId="7D35EF02" w14:textId="77777777" w:rsidR="00D47AFE" w:rsidRPr="004754B0" w:rsidRDefault="00D47AFE" w:rsidP="007A4020">
      <w:pPr>
        <w:tabs>
          <w:tab w:val="left" w:pos="567"/>
        </w:tabs>
        <w:spacing w:line="240" w:lineRule="auto"/>
        <w:ind w:right="-799"/>
        <w:rPr>
          <w:sz w:val="20"/>
          <w:szCs w:val="20"/>
        </w:rPr>
      </w:pPr>
    </w:p>
    <w:p w14:paraId="191F2600" w14:textId="15F2979E" w:rsidR="00D47AFE" w:rsidRPr="001E1D0C" w:rsidRDefault="00D47AFE" w:rsidP="007A4020">
      <w:pPr>
        <w:numPr>
          <w:ilvl w:val="0"/>
          <w:numId w:val="31"/>
        </w:numPr>
        <w:tabs>
          <w:tab w:val="left" w:pos="567"/>
        </w:tabs>
        <w:spacing w:line="240" w:lineRule="auto"/>
        <w:ind w:left="0" w:right="-799" w:firstLine="0"/>
        <w:rPr>
          <w:b/>
          <w:sz w:val="20"/>
          <w:szCs w:val="20"/>
          <w:lang w:val="es-CO"/>
        </w:rPr>
      </w:pPr>
      <w:r w:rsidRPr="00A86156">
        <w:rPr>
          <w:sz w:val="20"/>
          <w:szCs w:val="20"/>
        </w:rPr>
        <w:t>Aunado a lo ya establecido, debe tenerse en cuenta que las penas de privación de libertad deben cumplir la finalidad prevista en el artículo 5.6 de la Convención</w:t>
      </w:r>
      <w:r w:rsidR="00873952">
        <w:rPr>
          <w:sz w:val="20"/>
          <w:szCs w:val="20"/>
        </w:rPr>
        <w:t xml:space="preserve"> a la luz de lo establecido en la Convención sobre los Derechos del Niño</w:t>
      </w:r>
      <w:r w:rsidR="005D70B9">
        <w:rPr>
          <w:sz w:val="20"/>
          <w:szCs w:val="20"/>
        </w:rPr>
        <w:t xml:space="preserve"> (</w:t>
      </w:r>
      <w:r w:rsidR="005D70B9">
        <w:rPr>
          <w:i/>
          <w:sz w:val="20"/>
          <w:szCs w:val="20"/>
        </w:rPr>
        <w:t xml:space="preserve">supra </w:t>
      </w:r>
      <w:r w:rsidR="005D70B9">
        <w:rPr>
          <w:sz w:val="20"/>
          <w:szCs w:val="20"/>
        </w:rPr>
        <w:t>párr. 85)</w:t>
      </w:r>
      <w:r w:rsidRPr="00A86156">
        <w:rPr>
          <w:sz w:val="20"/>
          <w:szCs w:val="20"/>
        </w:rPr>
        <w:t xml:space="preserve">. En relación con esta disposición, </w:t>
      </w:r>
      <w:r w:rsidRPr="00A86156">
        <w:rPr>
          <w:sz w:val="20"/>
          <w:szCs w:val="20"/>
          <w:lang w:val="es-CO"/>
        </w:rPr>
        <w:t xml:space="preserve">en el caso </w:t>
      </w:r>
      <w:r w:rsidRPr="00A86156">
        <w:rPr>
          <w:i/>
          <w:sz w:val="20"/>
          <w:szCs w:val="20"/>
          <w:lang w:val="es-CO"/>
        </w:rPr>
        <w:t>Mendoza y otros Vs. Argentina</w:t>
      </w:r>
      <w:r w:rsidRPr="00A86156">
        <w:rPr>
          <w:sz w:val="20"/>
          <w:szCs w:val="20"/>
          <w:lang w:val="es-CO"/>
        </w:rPr>
        <w:t>, la Corte recordó que el artículo</w:t>
      </w:r>
      <w:r w:rsidR="00955F88">
        <w:rPr>
          <w:sz w:val="20"/>
          <w:szCs w:val="20"/>
          <w:lang w:val="es-CO"/>
        </w:rPr>
        <w:t xml:space="preserve"> 5.6</w:t>
      </w:r>
      <w:r w:rsidRPr="00A86156">
        <w:rPr>
          <w:sz w:val="20"/>
          <w:szCs w:val="20"/>
          <w:lang w:val="es-CO"/>
        </w:rPr>
        <w:t xml:space="preserve"> señala que </w:t>
      </w:r>
      <w:r w:rsidRPr="00A86156">
        <w:rPr>
          <w:sz w:val="20"/>
          <w:szCs w:val="20"/>
        </w:rPr>
        <w:t>“[l]as penas privativas de la libertad tendrán como finalidad esencial la reforma y la readaptación social de los condenados”, y determinó que</w:t>
      </w:r>
      <w:r w:rsidRPr="00A86156">
        <w:rPr>
          <w:sz w:val="20"/>
          <w:szCs w:val="20"/>
          <w:lang w:val="es-CO"/>
        </w:rPr>
        <w:t xml:space="preserve"> las penas impuestas a niños o niñas por la comisión de delitos deben perseguir la reintegración de tales personas a la sociedad</w:t>
      </w:r>
      <w:r w:rsidRPr="00A86156">
        <w:rPr>
          <w:sz w:val="20"/>
          <w:szCs w:val="20"/>
          <w:vertAlign w:val="superscript"/>
          <w:lang w:val="es-CO"/>
        </w:rPr>
        <w:footnoteReference w:id="112"/>
      </w:r>
      <w:r w:rsidRPr="00A86156">
        <w:rPr>
          <w:sz w:val="20"/>
          <w:szCs w:val="20"/>
          <w:lang w:val="es-CO"/>
        </w:rPr>
        <w:t xml:space="preserve">. Este Tribunal ha señalado también que </w:t>
      </w:r>
      <w:r w:rsidRPr="00A86156">
        <w:rPr>
          <w:sz w:val="20"/>
          <w:szCs w:val="20"/>
        </w:rPr>
        <w:t>“</w:t>
      </w:r>
      <w:r w:rsidRPr="00A86156">
        <w:rPr>
          <w:sz w:val="20"/>
          <w:szCs w:val="20"/>
          <w:lang w:val="es-ES"/>
        </w:rPr>
        <w:t>la educación, el trabajo y la recreación son funciones esenciales de los centros penitenciarios, las cuales deben ser brindadas a todas las personas privadas de libertad con el fin de promover la rehabilitación y readaptación social de los internos”</w:t>
      </w:r>
      <w:r w:rsidRPr="00A86156">
        <w:rPr>
          <w:rStyle w:val="Refdenotaalpie"/>
          <w:rFonts w:eastAsia="MS Mincho"/>
          <w:sz w:val="20"/>
          <w:szCs w:val="20"/>
          <w:lang w:val="es-ES"/>
        </w:rPr>
        <w:footnoteReference w:id="113"/>
      </w:r>
      <w:r w:rsidRPr="00A86156">
        <w:rPr>
          <w:sz w:val="20"/>
          <w:szCs w:val="20"/>
          <w:lang w:val="es-ES"/>
        </w:rPr>
        <w:t>. Los niños recluidos deben contar con programas y actividades que permitan su desarrollo</w:t>
      </w:r>
      <w:r w:rsidRPr="0000133C">
        <w:rPr>
          <w:sz w:val="20"/>
          <w:szCs w:val="20"/>
          <w:lang w:val="es-ES"/>
        </w:rPr>
        <w:t xml:space="preserve"> sano</w:t>
      </w:r>
      <w:r w:rsidRPr="0000133C">
        <w:rPr>
          <w:sz w:val="20"/>
          <w:szCs w:val="20"/>
          <w:vertAlign w:val="superscript"/>
          <w:lang w:val="es-ES"/>
        </w:rPr>
        <w:footnoteReference w:id="114"/>
      </w:r>
      <w:r w:rsidRPr="0000133C">
        <w:rPr>
          <w:sz w:val="20"/>
          <w:szCs w:val="20"/>
          <w:lang w:val="es-ES"/>
        </w:rPr>
        <w:t>.</w:t>
      </w:r>
      <w:r w:rsidRPr="004754B0">
        <w:rPr>
          <w:sz w:val="20"/>
          <w:szCs w:val="20"/>
          <w:lang w:val="es-ES"/>
        </w:rPr>
        <w:t xml:space="preserve"> </w:t>
      </w:r>
    </w:p>
    <w:p w14:paraId="5B0194A8" w14:textId="77777777" w:rsidR="00D47AFE" w:rsidRDefault="00D47AFE" w:rsidP="00B476ED">
      <w:pPr>
        <w:tabs>
          <w:tab w:val="left" w:pos="567"/>
        </w:tabs>
        <w:spacing w:line="240" w:lineRule="auto"/>
        <w:ind w:right="-801"/>
        <w:rPr>
          <w:b/>
          <w:sz w:val="20"/>
          <w:szCs w:val="20"/>
          <w:lang w:val="es-CO"/>
        </w:rPr>
      </w:pPr>
    </w:p>
    <w:p w14:paraId="66B0D5E2" w14:textId="77777777" w:rsidR="00D47AFE" w:rsidRPr="001E1D0C" w:rsidRDefault="00D47AFE" w:rsidP="00B476ED">
      <w:pPr>
        <w:numPr>
          <w:ilvl w:val="0"/>
          <w:numId w:val="31"/>
        </w:numPr>
        <w:tabs>
          <w:tab w:val="left" w:pos="567"/>
        </w:tabs>
        <w:spacing w:line="240" w:lineRule="auto"/>
        <w:ind w:left="0" w:right="-801" w:firstLine="0"/>
        <w:rPr>
          <w:b/>
          <w:sz w:val="20"/>
          <w:szCs w:val="20"/>
          <w:lang w:val="es-CO"/>
        </w:rPr>
      </w:pPr>
      <w:r w:rsidRPr="001E1D0C">
        <w:rPr>
          <w:sz w:val="20"/>
          <w:szCs w:val="20"/>
          <w:lang w:val="es-CO"/>
        </w:rPr>
        <w:t xml:space="preserve">De modo contrario a lo dicho, las personas privadas de su libertad en el INAM – San Félix no contaban, en el momento de los hechos, con programas educativos, los que se encontraban </w:t>
      </w:r>
      <w:r w:rsidRPr="001E1D0C">
        <w:rPr>
          <w:sz w:val="20"/>
          <w:szCs w:val="20"/>
          <w:lang w:val="es-CO"/>
        </w:rPr>
        <w:lastRenderedPageBreak/>
        <w:t>suspendidos. Las propias autoridades estatales, reconocieron carencias en la “reeducación” de los jóvenes, así como, en términos más generales, en la garantía de sus derechos (</w:t>
      </w:r>
      <w:r w:rsidRPr="001E1D0C">
        <w:rPr>
          <w:i/>
          <w:sz w:val="20"/>
          <w:szCs w:val="20"/>
          <w:lang w:val="es-CO"/>
        </w:rPr>
        <w:t xml:space="preserve">supra </w:t>
      </w:r>
      <w:r w:rsidRPr="001E1D0C">
        <w:rPr>
          <w:sz w:val="20"/>
          <w:szCs w:val="20"/>
          <w:lang w:val="es-CO"/>
        </w:rPr>
        <w:t xml:space="preserve">párr. </w:t>
      </w:r>
      <w:r>
        <w:rPr>
          <w:sz w:val="20"/>
          <w:szCs w:val="20"/>
          <w:lang w:val="es-CO"/>
        </w:rPr>
        <w:t>41</w:t>
      </w:r>
      <w:r w:rsidRPr="001E1D0C">
        <w:rPr>
          <w:sz w:val="20"/>
          <w:szCs w:val="20"/>
          <w:lang w:val="es-CO"/>
        </w:rPr>
        <w:t xml:space="preserve">). </w:t>
      </w:r>
    </w:p>
    <w:p w14:paraId="290A2BAD" w14:textId="77777777" w:rsidR="00D47AFE" w:rsidRDefault="00D47AFE" w:rsidP="00B476ED">
      <w:pPr>
        <w:pStyle w:val="Prrafodelista"/>
        <w:spacing w:line="240" w:lineRule="auto"/>
        <w:ind w:right="-801"/>
        <w:rPr>
          <w:sz w:val="20"/>
          <w:szCs w:val="20"/>
          <w:lang w:val="es-CO"/>
        </w:rPr>
      </w:pPr>
    </w:p>
    <w:p w14:paraId="063A46E5" w14:textId="77777777" w:rsidR="00D47AFE" w:rsidRPr="00EA0726" w:rsidRDefault="00D47AFE" w:rsidP="00B476ED">
      <w:pPr>
        <w:numPr>
          <w:ilvl w:val="0"/>
          <w:numId w:val="31"/>
        </w:numPr>
        <w:tabs>
          <w:tab w:val="left" w:pos="567"/>
        </w:tabs>
        <w:spacing w:line="240" w:lineRule="auto"/>
        <w:ind w:left="0" w:right="-801" w:firstLine="0"/>
        <w:rPr>
          <w:b/>
          <w:sz w:val="20"/>
          <w:szCs w:val="20"/>
          <w:lang w:val="es-CO"/>
        </w:rPr>
      </w:pPr>
      <w:r w:rsidRPr="0000133C">
        <w:rPr>
          <w:sz w:val="20"/>
          <w:szCs w:val="20"/>
          <w:lang w:val="es-CO"/>
        </w:rPr>
        <w:t xml:space="preserve">No obstante, no es tomando lo anterior en forma aislada que se configura, en el </w:t>
      </w:r>
      <w:r w:rsidRPr="00A86156">
        <w:rPr>
          <w:sz w:val="20"/>
          <w:szCs w:val="20"/>
          <w:lang w:val="es-CO"/>
        </w:rPr>
        <w:t>caso, la violación al artículo 5.6 de la Convención. El cumplimiento de la finalidad prevista en esa disposición supone que la privación de libertad se desarrolle en condiciones adecuadas, que no resulten lesivas de los derechos de las personas penadas, lo que resulta particularmente relevante respecto a niños y niñas</w:t>
      </w:r>
      <w:r w:rsidRPr="00A86156">
        <w:rPr>
          <w:rStyle w:val="Refdenotaalpie"/>
          <w:rFonts w:eastAsia="MS Mincho"/>
          <w:sz w:val="20"/>
          <w:szCs w:val="20"/>
          <w:lang w:val="es-CO"/>
        </w:rPr>
        <w:footnoteReference w:id="115"/>
      </w:r>
      <w:r w:rsidRPr="00A86156">
        <w:rPr>
          <w:sz w:val="20"/>
          <w:szCs w:val="20"/>
          <w:lang w:val="es-CO"/>
        </w:rPr>
        <w:t xml:space="preserve">. De ese modo, la observancia del inciso 6 del artículo 5 de la Convención tiene relación con el cumplimiento, respecto de personas penadas privadas de su libertad, de los demás incisos de ese artículo. La Corte ha indicado, en ese sentido, que condiciones de encierro que conduzcan a un deterioro de la integridad física, psíquica o moral pueden, </w:t>
      </w:r>
      <w:proofErr w:type="gramStart"/>
      <w:r w:rsidRPr="00A86156">
        <w:rPr>
          <w:sz w:val="20"/>
          <w:szCs w:val="20"/>
          <w:lang w:val="es-CO"/>
        </w:rPr>
        <w:t>de acuerdo al</w:t>
      </w:r>
      <w:proofErr w:type="gramEnd"/>
      <w:r w:rsidRPr="00A86156">
        <w:rPr>
          <w:sz w:val="20"/>
          <w:szCs w:val="20"/>
          <w:lang w:val="es-CO"/>
        </w:rPr>
        <w:t xml:space="preserve"> caso y a su gravedad, ser “</w:t>
      </w:r>
      <w:r w:rsidRPr="00A86156">
        <w:rPr>
          <w:sz w:val="20"/>
          <w:szCs w:val="20"/>
        </w:rPr>
        <w:t>contrarias a la ‘finalidad esencial’ de las penas privativas de la libertad, como establece el inciso 6 del […] artículo [5 de la Convención]”</w:t>
      </w:r>
      <w:r w:rsidRPr="00A86156">
        <w:rPr>
          <w:rStyle w:val="Refdenotaalpie"/>
          <w:rFonts w:eastAsia="MS Mincho"/>
          <w:sz w:val="20"/>
          <w:szCs w:val="20"/>
        </w:rPr>
        <w:footnoteReference w:id="116"/>
      </w:r>
      <w:r w:rsidRPr="00A86156">
        <w:rPr>
          <w:sz w:val="20"/>
          <w:szCs w:val="20"/>
        </w:rPr>
        <w:t>.  Como se ha expuesto, las condiciones existentes en el INAM –San Félix no resultaban adecuadas.</w:t>
      </w:r>
      <w:r w:rsidRPr="00EA0726">
        <w:rPr>
          <w:sz w:val="20"/>
          <w:szCs w:val="20"/>
        </w:rPr>
        <w:t xml:space="preserve"> </w:t>
      </w:r>
    </w:p>
    <w:p w14:paraId="04BE77C4" w14:textId="77777777" w:rsidR="00D47AFE" w:rsidRPr="00EA0726" w:rsidRDefault="00D47AFE" w:rsidP="00B476ED">
      <w:pPr>
        <w:tabs>
          <w:tab w:val="left" w:pos="567"/>
        </w:tabs>
        <w:spacing w:line="240" w:lineRule="auto"/>
        <w:ind w:right="-801"/>
        <w:rPr>
          <w:b/>
          <w:sz w:val="20"/>
          <w:szCs w:val="20"/>
          <w:lang w:val="es-CO"/>
        </w:rPr>
      </w:pPr>
      <w:r w:rsidRPr="00EA0726">
        <w:rPr>
          <w:sz w:val="20"/>
          <w:szCs w:val="20"/>
        </w:rPr>
        <w:t xml:space="preserve"> </w:t>
      </w:r>
    </w:p>
    <w:p w14:paraId="1A055300" w14:textId="5DB05B4B" w:rsidR="00D47AFE" w:rsidRPr="00EA0726" w:rsidRDefault="00D47AFE" w:rsidP="007A4020">
      <w:pPr>
        <w:numPr>
          <w:ilvl w:val="0"/>
          <w:numId w:val="31"/>
        </w:numPr>
        <w:tabs>
          <w:tab w:val="left" w:pos="567"/>
        </w:tabs>
        <w:spacing w:line="240" w:lineRule="auto"/>
        <w:ind w:left="0" w:right="-799" w:firstLine="0"/>
        <w:rPr>
          <w:sz w:val="20"/>
          <w:szCs w:val="20"/>
          <w:lang w:val="es-CO"/>
        </w:rPr>
      </w:pPr>
      <w:r w:rsidRPr="00A86156">
        <w:rPr>
          <w:sz w:val="20"/>
          <w:szCs w:val="20"/>
          <w:lang w:val="es-MX"/>
        </w:rPr>
        <w:t xml:space="preserve">En esta línea, la Observación General </w:t>
      </w:r>
      <w:r w:rsidR="009E4C37">
        <w:rPr>
          <w:sz w:val="20"/>
          <w:szCs w:val="20"/>
          <w:lang w:val="es-MX"/>
        </w:rPr>
        <w:t xml:space="preserve">No. </w:t>
      </w:r>
      <w:r w:rsidRPr="00A86156">
        <w:rPr>
          <w:sz w:val="20"/>
          <w:szCs w:val="20"/>
          <w:lang w:val="es-MX"/>
        </w:rPr>
        <w:t>24 del Comité de los Derechos del Niño plantea que la privación de libertad es una medida de último recurso</w:t>
      </w:r>
      <w:r w:rsidRPr="00A86156">
        <w:rPr>
          <w:rStyle w:val="Refdenotaalpie"/>
          <w:sz w:val="20"/>
          <w:szCs w:val="20"/>
        </w:rPr>
        <w:footnoteReference w:id="117"/>
      </w:r>
      <w:r w:rsidRPr="00A86156">
        <w:rPr>
          <w:sz w:val="20"/>
          <w:szCs w:val="20"/>
          <w:lang w:val="es-MX"/>
        </w:rPr>
        <w:t>. Cuando</w:t>
      </w:r>
      <w:r w:rsidRPr="00EA0726">
        <w:rPr>
          <w:sz w:val="20"/>
          <w:szCs w:val="20"/>
          <w:lang w:val="es-MX"/>
        </w:rPr>
        <w:t xml:space="preserve"> </w:t>
      </w:r>
      <w:r w:rsidR="000A4473">
        <w:rPr>
          <w:sz w:val="20"/>
          <w:szCs w:val="20"/>
          <w:lang w:val="es-MX"/>
        </w:rPr>
        <w:t>la persona</w:t>
      </w:r>
      <w:r w:rsidRPr="00EA0726">
        <w:rPr>
          <w:sz w:val="20"/>
          <w:szCs w:val="20"/>
          <w:lang w:val="es-MX"/>
        </w:rPr>
        <w:t xml:space="preserve"> menor</w:t>
      </w:r>
      <w:r w:rsidR="000A4473">
        <w:rPr>
          <w:sz w:val="20"/>
          <w:szCs w:val="20"/>
          <w:lang w:val="es-MX"/>
        </w:rPr>
        <w:t xml:space="preserve"> de 18 </w:t>
      </w:r>
      <w:proofErr w:type="gramStart"/>
      <w:r w:rsidR="000A4473">
        <w:rPr>
          <w:sz w:val="20"/>
          <w:szCs w:val="20"/>
          <w:lang w:val="es-MX"/>
        </w:rPr>
        <w:t>años de edad</w:t>
      </w:r>
      <w:proofErr w:type="gramEnd"/>
      <w:r w:rsidRPr="00EA0726">
        <w:rPr>
          <w:sz w:val="20"/>
          <w:szCs w:val="20"/>
          <w:lang w:val="es-MX"/>
        </w:rPr>
        <w:t xml:space="preserve"> sea condenad debe recibir una educación, un tratamiento y una atención con miras a su puesta en libertad, su reintegración social y el desempeño de una función constructiva </w:t>
      </w:r>
      <w:r w:rsidRPr="00A86156">
        <w:rPr>
          <w:sz w:val="20"/>
          <w:szCs w:val="20"/>
          <w:lang w:val="es-MX"/>
        </w:rPr>
        <w:t>en la sociedad</w:t>
      </w:r>
      <w:r w:rsidRPr="00A86156">
        <w:rPr>
          <w:rStyle w:val="Refdenotaalpie"/>
          <w:sz w:val="20"/>
          <w:szCs w:val="20"/>
        </w:rPr>
        <w:footnoteReference w:id="118"/>
      </w:r>
      <w:r w:rsidRPr="00A86156">
        <w:rPr>
          <w:sz w:val="20"/>
          <w:szCs w:val="20"/>
          <w:lang w:val="es-MX"/>
        </w:rPr>
        <w:t xml:space="preserve">. La Corte concluye que las condiciones que presentaba el INAM-San Félix no </w:t>
      </w:r>
      <w:r w:rsidRPr="00A86156">
        <w:rPr>
          <w:sz w:val="20"/>
          <w:szCs w:val="20"/>
          <w:lang w:val="es-MX"/>
        </w:rPr>
        <w:lastRenderedPageBreak/>
        <w:t>resultaban aptas para lograr esta finalidad y</w:t>
      </w:r>
      <w:r w:rsidRPr="00A86156">
        <w:rPr>
          <w:sz w:val="20"/>
          <w:szCs w:val="20"/>
        </w:rPr>
        <w:t>, por ende, eran incompatibles con la finalidad prevista en el artículo 5.6 convencional.</w:t>
      </w:r>
    </w:p>
    <w:p w14:paraId="594DF4B3" w14:textId="77777777" w:rsidR="00D47AFE" w:rsidRPr="00EA0726" w:rsidRDefault="00D47AFE" w:rsidP="007A4020">
      <w:pPr>
        <w:pStyle w:val="Prrafodelista"/>
        <w:spacing w:line="240" w:lineRule="auto"/>
        <w:ind w:right="-799"/>
        <w:rPr>
          <w:sz w:val="20"/>
          <w:szCs w:val="20"/>
          <w:lang w:val="es-CO"/>
        </w:rPr>
      </w:pPr>
    </w:p>
    <w:p w14:paraId="1EB15EBB" w14:textId="77777777" w:rsidR="00D47AFE" w:rsidRPr="00D47AFE" w:rsidRDefault="00D47AFE" w:rsidP="007A4020">
      <w:pPr>
        <w:pStyle w:val="Ttulo4"/>
        <w:tabs>
          <w:tab w:val="left" w:pos="1418"/>
        </w:tabs>
        <w:spacing w:before="0" w:line="240" w:lineRule="auto"/>
        <w:ind w:left="851" w:right="-799"/>
        <w:rPr>
          <w:rFonts w:ascii="Verdana" w:hAnsi="Verdana"/>
          <w:color w:val="auto"/>
          <w:sz w:val="20"/>
          <w:szCs w:val="20"/>
        </w:rPr>
      </w:pPr>
      <w:bookmarkStart w:id="61" w:name="_Toc58330227"/>
      <w:r w:rsidRPr="00D47AFE">
        <w:rPr>
          <w:rFonts w:ascii="Verdana" w:hAnsi="Verdana"/>
          <w:color w:val="auto"/>
          <w:sz w:val="20"/>
          <w:szCs w:val="20"/>
        </w:rPr>
        <w:t>B.2.4 La actuación estatal frente al incendio del 30 de junio de 2005</w:t>
      </w:r>
      <w:bookmarkEnd w:id="61"/>
    </w:p>
    <w:p w14:paraId="158BEE66" w14:textId="77777777" w:rsidR="00D47AFE" w:rsidRPr="00EA0726" w:rsidRDefault="00D47AFE" w:rsidP="007A4020">
      <w:pPr>
        <w:pStyle w:val="Prrafodelista"/>
        <w:spacing w:line="240" w:lineRule="auto"/>
        <w:ind w:right="-799"/>
        <w:rPr>
          <w:sz w:val="20"/>
          <w:szCs w:val="20"/>
          <w:lang w:val="es-CO"/>
        </w:rPr>
      </w:pPr>
    </w:p>
    <w:p w14:paraId="344576F4" w14:textId="77777777" w:rsidR="00D47AFE" w:rsidRPr="00F97C27" w:rsidRDefault="00D47AFE" w:rsidP="007A4020">
      <w:pPr>
        <w:numPr>
          <w:ilvl w:val="0"/>
          <w:numId w:val="31"/>
        </w:numPr>
        <w:tabs>
          <w:tab w:val="left" w:pos="567"/>
        </w:tabs>
        <w:spacing w:line="240" w:lineRule="auto"/>
        <w:ind w:left="0" w:right="-799" w:firstLine="0"/>
        <w:rPr>
          <w:sz w:val="20"/>
          <w:szCs w:val="20"/>
          <w:lang w:val="es-CO"/>
        </w:rPr>
      </w:pPr>
      <w:r w:rsidRPr="00EA0726">
        <w:rPr>
          <w:sz w:val="20"/>
          <w:szCs w:val="20"/>
          <w:lang w:val="es-CO"/>
        </w:rPr>
        <w:t>Como es notorio, todas las circunstancias antes expuestas generaban una situación de riesgo, que se materializó en los</w:t>
      </w:r>
      <w:r w:rsidRPr="004754B0">
        <w:rPr>
          <w:sz w:val="20"/>
          <w:szCs w:val="20"/>
          <w:lang w:val="es-CO"/>
        </w:rPr>
        <w:t xml:space="preserve"> hechos del 30 de junio de 2005</w:t>
      </w:r>
      <w:r>
        <w:rPr>
          <w:sz w:val="20"/>
          <w:szCs w:val="20"/>
          <w:lang w:val="es-CO"/>
        </w:rPr>
        <w:t xml:space="preserve"> (</w:t>
      </w:r>
      <w:r>
        <w:rPr>
          <w:i/>
          <w:sz w:val="20"/>
          <w:szCs w:val="20"/>
          <w:lang w:val="es-CO"/>
        </w:rPr>
        <w:t xml:space="preserve">supra </w:t>
      </w:r>
      <w:proofErr w:type="spellStart"/>
      <w:r>
        <w:rPr>
          <w:sz w:val="20"/>
          <w:szCs w:val="20"/>
          <w:lang w:val="es-CO"/>
        </w:rPr>
        <w:t>parrs</w:t>
      </w:r>
      <w:proofErr w:type="spellEnd"/>
      <w:r>
        <w:rPr>
          <w:sz w:val="20"/>
          <w:szCs w:val="20"/>
          <w:lang w:val="es-CO"/>
        </w:rPr>
        <w:t>. 44 a 58). La misma, en sus aspectos generales,</w:t>
      </w:r>
      <w:r w:rsidRPr="004754B0">
        <w:rPr>
          <w:sz w:val="20"/>
          <w:szCs w:val="20"/>
          <w:lang w:val="es-CO"/>
        </w:rPr>
        <w:t xml:space="preserve"> resultaba conocida por autoridades estatales. Además de ello, ese día</w:t>
      </w:r>
      <w:r>
        <w:rPr>
          <w:sz w:val="20"/>
          <w:szCs w:val="20"/>
          <w:lang w:val="es-CO"/>
        </w:rPr>
        <w:t>, de</w:t>
      </w:r>
      <w:r w:rsidRPr="004754B0">
        <w:rPr>
          <w:sz w:val="20"/>
          <w:szCs w:val="20"/>
          <w:lang w:val="es-CO"/>
        </w:rPr>
        <w:t xml:space="preserve"> modo previo al incendio, hubo evidencias de una situación concreta </w:t>
      </w:r>
      <w:r>
        <w:rPr>
          <w:sz w:val="20"/>
          <w:szCs w:val="20"/>
          <w:lang w:val="es-CO"/>
        </w:rPr>
        <w:t xml:space="preserve">de </w:t>
      </w:r>
      <w:r w:rsidRPr="004754B0">
        <w:rPr>
          <w:sz w:val="20"/>
          <w:szCs w:val="20"/>
          <w:lang w:val="es-CO"/>
        </w:rPr>
        <w:t xml:space="preserve">tensión, conocida directamente por personal del INAM – San Félix: se produjo un altercado entre los jóvenes alojados en la celda 4 y un joven de la celda 2; luego internos del dormitorio 7 intentaron pelear con los de la celda 4; más adelante, cuando dos de los siete jóvenes de esa celda estaban saliendo, pues habían sido liberados, internos de otros dormitorios se exaltaron y </w:t>
      </w:r>
      <w:r w:rsidRPr="00F97C27">
        <w:rPr>
          <w:sz w:val="20"/>
          <w:szCs w:val="20"/>
          <w:lang w:val="es-CO"/>
        </w:rPr>
        <w:t>profirieron gritos e insultos (</w:t>
      </w:r>
      <w:r w:rsidRPr="00F97C27">
        <w:rPr>
          <w:i/>
          <w:sz w:val="20"/>
          <w:szCs w:val="20"/>
          <w:lang w:val="es-CO"/>
        </w:rPr>
        <w:t xml:space="preserve">supra </w:t>
      </w:r>
      <w:proofErr w:type="spellStart"/>
      <w:r w:rsidRPr="00F97C27">
        <w:rPr>
          <w:sz w:val="20"/>
          <w:szCs w:val="20"/>
          <w:lang w:val="es-CO"/>
        </w:rPr>
        <w:t>párr</w:t>
      </w:r>
      <w:r>
        <w:rPr>
          <w:sz w:val="20"/>
          <w:szCs w:val="20"/>
          <w:lang w:val="es-CO"/>
        </w:rPr>
        <w:t>s</w:t>
      </w:r>
      <w:proofErr w:type="spellEnd"/>
      <w:r w:rsidRPr="00F97C27">
        <w:rPr>
          <w:sz w:val="20"/>
          <w:szCs w:val="20"/>
          <w:lang w:val="es-CO"/>
        </w:rPr>
        <w:t>.</w:t>
      </w:r>
      <w:r>
        <w:rPr>
          <w:sz w:val="20"/>
          <w:szCs w:val="20"/>
          <w:lang w:val="es-CO"/>
        </w:rPr>
        <w:t xml:space="preserve"> 45, 48 y</w:t>
      </w:r>
      <w:r w:rsidRPr="00F97C27">
        <w:rPr>
          <w:sz w:val="20"/>
          <w:szCs w:val="20"/>
          <w:lang w:val="es-CO"/>
        </w:rPr>
        <w:t xml:space="preserve"> </w:t>
      </w:r>
      <w:r>
        <w:rPr>
          <w:sz w:val="20"/>
          <w:szCs w:val="20"/>
          <w:lang w:val="es-CO"/>
        </w:rPr>
        <w:t>49</w:t>
      </w:r>
      <w:r w:rsidRPr="00F97C27">
        <w:rPr>
          <w:sz w:val="20"/>
          <w:szCs w:val="20"/>
          <w:lang w:val="es-CO"/>
        </w:rPr>
        <w:t>). Por último, los propios familiares de los jóvenes que estaban alojados en la celda 4 advirtieron a un guía del Centro, su preocupación (</w:t>
      </w:r>
      <w:r w:rsidRPr="00F97C27">
        <w:rPr>
          <w:i/>
          <w:sz w:val="20"/>
          <w:szCs w:val="20"/>
          <w:lang w:val="es-CO"/>
        </w:rPr>
        <w:t xml:space="preserve">supra </w:t>
      </w:r>
      <w:r w:rsidRPr="00F97C27">
        <w:rPr>
          <w:sz w:val="20"/>
          <w:szCs w:val="20"/>
          <w:lang w:val="es-CO"/>
        </w:rPr>
        <w:t xml:space="preserve">párr. </w:t>
      </w:r>
      <w:r>
        <w:rPr>
          <w:sz w:val="20"/>
          <w:szCs w:val="20"/>
          <w:lang w:val="es-CO"/>
        </w:rPr>
        <w:t>48</w:t>
      </w:r>
      <w:r w:rsidRPr="00F97C27">
        <w:rPr>
          <w:sz w:val="20"/>
          <w:szCs w:val="20"/>
          <w:lang w:val="es-CO"/>
        </w:rPr>
        <w:t>).</w:t>
      </w:r>
    </w:p>
    <w:p w14:paraId="67F13572" w14:textId="77777777" w:rsidR="00D47AFE" w:rsidRPr="00F97C27" w:rsidRDefault="00D47AFE" w:rsidP="00B476ED">
      <w:pPr>
        <w:pStyle w:val="Prrafodelista"/>
        <w:spacing w:line="240" w:lineRule="auto"/>
        <w:ind w:right="-801"/>
        <w:rPr>
          <w:sz w:val="20"/>
          <w:szCs w:val="20"/>
          <w:lang w:val="es-CO"/>
        </w:rPr>
      </w:pPr>
    </w:p>
    <w:p w14:paraId="2B9C4935" w14:textId="4DFB607E" w:rsidR="00D47AFE" w:rsidRPr="00F97C27" w:rsidRDefault="00D47AFE" w:rsidP="00B476ED">
      <w:pPr>
        <w:numPr>
          <w:ilvl w:val="0"/>
          <w:numId w:val="31"/>
        </w:numPr>
        <w:tabs>
          <w:tab w:val="left" w:pos="567"/>
        </w:tabs>
        <w:spacing w:line="240" w:lineRule="auto"/>
        <w:ind w:left="0" w:right="-801" w:firstLine="0"/>
        <w:rPr>
          <w:sz w:val="20"/>
          <w:szCs w:val="20"/>
          <w:lang w:val="es-CO"/>
        </w:rPr>
      </w:pPr>
      <w:r w:rsidRPr="00F97C27">
        <w:rPr>
          <w:sz w:val="20"/>
          <w:szCs w:val="20"/>
          <w:lang w:val="es-CO"/>
        </w:rPr>
        <w:t>Pese a lo dicho, el personal del Centro, que se encontraba reducido a cuatro personas (</w:t>
      </w:r>
      <w:r w:rsidRPr="00F97C27">
        <w:rPr>
          <w:i/>
          <w:sz w:val="20"/>
          <w:szCs w:val="20"/>
          <w:lang w:val="es-CO"/>
        </w:rPr>
        <w:t xml:space="preserve">supra </w:t>
      </w:r>
      <w:r>
        <w:rPr>
          <w:sz w:val="20"/>
          <w:szCs w:val="20"/>
          <w:lang w:val="es-CO"/>
        </w:rPr>
        <w:t>párr. 46)</w:t>
      </w:r>
      <w:r w:rsidRPr="00F97C27">
        <w:rPr>
          <w:sz w:val="20"/>
          <w:szCs w:val="20"/>
          <w:lang w:val="es-CO"/>
        </w:rPr>
        <w:t>,</w:t>
      </w:r>
      <w:r>
        <w:rPr>
          <w:sz w:val="20"/>
          <w:szCs w:val="20"/>
          <w:lang w:val="es-CO"/>
        </w:rPr>
        <w:t xml:space="preserve"> </w:t>
      </w:r>
      <w:r w:rsidRPr="00F97C27">
        <w:rPr>
          <w:sz w:val="20"/>
          <w:szCs w:val="20"/>
          <w:lang w:val="es-CO"/>
        </w:rPr>
        <w:t>no adoptó acciones para prevenir incidentes de violencia, a excepción de sacar a los internos de cada dormitorio para cenar por turnos (</w:t>
      </w:r>
      <w:r w:rsidRPr="00F97C27">
        <w:rPr>
          <w:i/>
          <w:sz w:val="20"/>
          <w:szCs w:val="20"/>
          <w:lang w:val="es-CO"/>
        </w:rPr>
        <w:t xml:space="preserve">supra </w:t>
      </w:r>
      <w:r w:rsidRPr="00F97C27">
        <w:rPr>
          <w:sz w:val="20"/>
          <w:szCs w:val="20"/>
          <w:lang w:val="es-CO"/>
        </w:rPr>
        <w:t>párr.</w:t>
      </w:r>
      <w:r>
        <w:rPr>
          <w:sz w:val="20"/>
          <w:szCs w:val="20"/>
          <w:lang w:val="es-CO"/>
        </w:rPr>
        <w:t>50</w:t>
      </w:r>
      <w:r w:rsidRPr="00F97C27">
        <w:rPr>
          <w:sz w:val="20"/>
          <w:szCs w:val="20"/>
          <w:lang w:val="es-CO"/>
        </w:rPr>
        <w:t xml:space="preserve">), lo que resultó insuficiente. </w:t>
      </w:r>
    </w:p>
    <w:p w14:paraId="25B13439" w14:textId="77777777" w:rsidR="00D47AFE" w:rsidRPr="00F97C27" w:rsidRDefault="00D47AFE" w:rsidP="00B476ED">
      <w:pPr>
        <w:pStyle w:val="Prrafodelista"/>
        <w:spacing w:line="240" w:lineRule="auto"/>
        <w:ind w:right="-801"/>
        <w:rPr>
          <w:sz w:val="20"/>
          <w:szCs w:val="20"/>
          <w:lang w:val="es-CO"/>
        </w:rPr>
      </w:pPr>
    </w:p>
    <w:p w14:paraId="1A2D2A81" w14:textId="112C9BA1" w:rsidR="00D47AFE" w:rsidRPr="004754B0" w:rsidRDefault="00D47AFE" w:rsidP="00B476ED">
      <w:pPr>
        <w:numPr>
          <w:ilvl w:val="0"/>
          <w:numId w:val="31"/>
        </w:numPr>
        <w:tabs>
          <w:tab w:val="left" w:pos="567"/>
        </w:tabs>
        <w:spacing w:line="240" w:lineRule="auto"/>
        <w:ind w:left="0" w:right="-801" w:firstLine="0"/>
        <w:rPr>
          <w:sz w:val="20"/>
          <w:szCs w:val="20"/>
          <w:lang w:val="es-CO"/>
        </w:rPr>
      </w:pPr>
      <w:r w:rsidRPr="00F97C27">
        <w:rPr>
          <w:sz w:val="20"/>
          <w:szCs w:val="20"/>
          <w:lang w:val="es-CO"/>
        </w:rPr>
        <w:t>Cuando luego, a partir de los incidentes ocasionados en la celda 2, se produjo el incendio en la celda 4, estando sus ocupantes atrapados adentro</w:t>
      </w:r>
      <w:r>
        <w:rPr>
          <w:sz w:val="20"/>
          <w:szCs w:val="20"/>
          <w:lang w:val="es-CO"/>
        </w:rPr>
        <w:t xml:space="preserve"> (</w:t>
      </w:r>
      <w:r>
        <w:rPr>
          <w:i/>
          <w:sz w:val="20"/>
          <w:szCs w:val="20"/>
          <w:lang w:val="es-CO"/>
        </w:rPr>
        <w:t xml:space="preserve">supra </w:t>
      </w:r>
      <w:proofErr w:type="spellStart"/>
      <w:r>
        <w:rPr>
          <w:sz w:val="20"/>
          <w:szCs w:val="20"/>
          <w:lang w:val="es-CO"/>
        </w:rPr>
        <w:t>párrs</w:t>
      </w:r>
      <w:proofErr w:type="spellEnd"/>
      <w:r>
        <w:rPr>
          <w:sz w:val="20"/>
          <w:szCs w:val="20"/>
          <w:lang w:val="es-CO"/>
        </w:rPr>
        <w:t>. 51 y 52)</w:t>
      </w:r>
      <w:r w:rsidRPr="00F97C27">
        <w:rPr>
          <w:sz w:val="20"/>
          <w:szCs w:val="20"/>
          <w:lang w:val="es-CO"/>
        </w:rPr>
        <w:t>, se hicieron patentes las insuficiencias del Centro ya referidas (</w:t>
      </w:r>
      <w:r w:rsidRPr="00F97C27">
        <w:rPr>
          <w:i/>
          <w:sz w:val="20"/>
          <w:szCs w:val="20"/>
          <w:lang w:val="es-CO"/>
        </w:rPr>
        <w:t xml:space="preserve">supra </w:t>
      </w:r>
      <w:proofErr w:type="spellStart"/>
      <w:r w:rsidRPr="00F97C27">
        <w:rPr>
          <w:sz w:val="20"/>
          <w:szCs w:val="20"/>
          <w:lang w:val="es-CO"/>
        </w:rPr>
        <w:t>párr</w:t>
      </w:r>
      <w:r>
        <w:rPr>
          <w:sz w:val="20"/>
          <w:szCs w:val="20"/>
          <w:lang w:val="es-CO"/>
        </w:rPr>
        <w:t>s</w:t>
      </w:r>
      <w:proofErr w:type="spellEnd"/>
      <w:r w:rsidRPr="00F97C27">
        <w:rPr>
          <w:sz w:val="20"/>
          <w:szCs w:val="20"/>
          <w:lang w:val="es-CO"/>
        </w:rPr>
        <w:t xml:space="preserve">. </w:t>
      </w:r>
      <w:r>
        <w:rPr>
          <w:sz w:val="20"/>
          <w:szCs w:val="20"/>
          <w:lang w:val="es-CO"/>
        </w:rPr>
        <w:t>100 y 101</w:t>
      </w:r>
      <w:r w:rsidRPr="00F97C27">
        <w:rPr>
          <w:sz w:val="20"/>
          <w:szCs w:val="20"/>
          <w:lang w:val="es-CO"/>
        </w:rPr>
        <w:t xml:space="preserve">), respecto a tales situaciones de emergencia. En primer lugar, </w:t>
      </w:r>
      <w:r>
        <w:rPr>
          <w:sz w:val="20"/>
          <w:szCs w:val="20"/>
          <w:lang w:val="es-CO"/>
        </w:rPr>
        <w:t xml:space="preserve">los colchones resultaban fácilmente inflamables, lo que se evidencia por el modo en que se produjo </w:t>
      </w:r>
      <w:r w:rsidRPr="00F97C27">
        <w:rPr>
          <w:sz w:val="20"/>
          <w:szCs w:val="20"/>
          <w:lang w:val="es-CO"/>
        </w:rPr>
        <w:t>el incendio</w:t>
      </w:r>
      <w:r>
        <w:rPr>
          <w:sz w:val="20"/>
          <w:szCs w:val="20"/>
          <w:lang w:val="es-CO"/>
        </w:rPr>
        <w:t>.</w:t>
      </w:r>
      <w:r w:rsidRPr="00F97C27">
        <w:rPr>
          <w:sz w:val="20"/>
          <w:szCs w:val="20"/>
          <w:lang w:val="es-CO"/>
        </w:rPr>
        <w:t xml:space="preserve"> </w:t>
      </w:r>
      <w:r>
        <w:rPr>
          <w:sz w:val="20"/>
          <w:szCs w:val="20"/>
          <w:lang w:val="es-CO"/>
        </w:rPr>
        <w:t>Hubo también</w:t>
      </w:r>
      <w:r w:rsidRPr="00F97C27">
        <w:rPr>
          <w:sz w:val="20"/>
          <w:szCs w:val="20"/>
          <w:lang w:val="es-CO"/>
        </w:rPr>
        <w:t xml:space="preserve"> falta de controles, pues el incendio se habría ocasionado a partir del uso de adminículos que no podrían haber ingresado al Centro.</w:t>
      </w:r>
      <w:r w:rsidRPr="004754B0">
        <w:rPr>
          <w:sz w:val="20"/>
          <w:szCs w:val="20"/>
          <w:lang w:val="es-CO"/>
        </w:rPr>
        <w:t xml:space="preserve"> En segundo término, no había extintores ni formas directas de acceder a agua cerca de la celda, lo que llevó a que unos de los guías y un interno fueran a buscar agua con baldes</w:t>
      </w:r>
      <w:r>
        <w:rPr>
          <w:sz w:val="20"/>
          <w:szCs w:val="20"/>
          <w:lang w:val="es-CO"/>
        </w:rPr>
        <w:t xml:space="preserve"> (</w:t>
      </w:r>
      <w:r>
        <w:rPr>
          <w:i/>
          <w:sz w:val="20"/>
          <w:szCs w:val="20"/>
          <w:lang w:val="es-CO"/>
        </w:rPr>
        <w:t xml:space="preserve">supra </w:t>
      </w:r>
      <w:r>
        <w:rPr>
          <w:sz w:val="20"/>
          <w:szCs w:val="20"/>
          <w:lang w:val="es-CO"/>
        </w:rPr>
        <w:t>párr. 54)</w:t>
      </w:r>
      <w:r w:rsidRPr="004754B0">
        <w:rPr>
          <w:sz w:val="20"/>
          <w:szCs w:val="20"/>
          <w:lang w:val="es-CO"/>
        </w:rPr>
        <w:t xml:space="preserve">. El personal del Centro, por último, no abrió en forma oportuna la puerta de la celda. Cuando la misma fue abierta, </w:t>
      </w:r>
      <w:r w:rsidRPr="004754B0">
        <w:rPr>
          <w:sz w:val="20"/>
          <w:lang w:val="es-MX"/>
        </w:rPr>
        <w:t>Johan Correa, Rafael Parra y Cristian Molina ya habían perecido</w:t>
      </w:r>
      <w:r w:rsidRPr="004754B0">
        <w:rPr>
          <w:sz w:val="20"/>
          <w:szCs w:val="20"/>
          <w:lang w:val="es-CO"/>
        </w:rPr>
        <w:t>, y si bien los otros dos</w:t>
      </w:r>
      <w:r w:rsidR="00223A6F">
        <w:rPr>
          <w:sz w:val="20"/>
          <w:szCs w:val="20"/>
          <w:lang w:val="es-CO"/>
        </w:rPr>
        <w:t xml:space="preserve"> jóvenes</w:t>
      </w:r>
      <w:r w:rsidRPr="004754B0">
        <w:rPr>
          <w:sz w:val="20"/>
          <w:szCs w:val="20"/>
          <w:lang w:val="es-CO"/>
        </w:rPr>
        <w:t xml:space="preserve">, </w:t>
      </w:r>
      <w:r w:rsidRPr="004754B0">
        <w:rPr>
          <w:sz w:val="20"/>
          <w:lang w:val="es-MX"/>
        </w:rPr>
        <w:t>José Mota y Gabriel Yáñez, fueron asistidos,</w:t>
      </w:r>
      <w:r w:rsidRPr="004754B0">
        <w:rPr>
          <w:sz w:val="20"/>
          <w:szCs w:val="20"/>
          <w:lang w:val="es-CO"/>
        </w:rPr>
        <w:t xml:space="preserve"> ello se efectúo en forma tardía y no lograron sobrevivir</w:t>
      </w:r>
      <w:r>
        <w:rPr>
          <w:sz w:val="20"/>
          <w:szCs w:val="20"/>
          <w:lang w:val="es-CO"/>
        </w:rPr>
        <w:t xml:space="preserve"> (</w:t>
      </w:r>
      <w:r>
        <w:rPr>
          <w:i/>
          <w:sz w:val="20"/>
          <w:szCs w:val="20"/>
          <w:lang w:val="es-CO"/>
        </w:rPr>
        <w:t xml:space="preserve">supra </w:t>
      </w:r>
      <w:proofErr w:type="spellStart"/>
      <w:r>
        <w:rPr>
          <w:sz w:val="20"/>
          <w:szCs w:val="20"/>
          <w:lang w:val="es-CO"/>
        </w:rPr>
        <w:t>párrs</w:t>
      </w:r>
      <w:proofErr w:type="spellEnd"/>
      <w:r w:rsidRPr="004754B0">
        <w:rPr>
          <w:sz w:val="20"/>
          <w:szCs w:val="20"/>
          <w:lang w:val="es-CO"/>
        </w:rPr>
        <w:t>.</w:t>
      </w:r>
      <w:r>
        <w:rPr>
          <w:sz w:val="20"/>
          <w:szCs w:val="20"/>
          <w:lang w:val="es-CO"/>
        </w:rPr>
        <w:t xml:space="preserve"> 57 y 58). </w:t>
      </w:r>
    </w:p>
    <w:p w14:paraId="51C44864" w14:textId="77777777" w:rsidR="00D47AFE" w:rsidRPr="004754B0" w:rsidRDefault="00D47AFE" w:rsidP="00B476ED">
      <w:pPr>
        <w:pStyle w:val="Prrafodelista"/>
        <w:spacing w:line="240" w:lineRule="auto"/>
        <w:ind w:right="-801"/>
        <w:rPr>
          <w:sz w:val="20"/>
          <w:szCs w:val="20"/>
          <w:lang w:val="es-CO"/>
        </w:rPr>
      </w:pPr>
    </w:p>
    <w:p w14:paraId="721A00A3" w14:textId="4999F2C6" w:rsidR="00D47AFE" w:rsidRPr="004754B0" w:rsidRDefault="00D47AFE" w:rsidP="00B476ED">
      <w:pPr>
        <w:numPr>
          <w:ilvl w:val="0"/>
          <w:numId w:val="31"/>
        </w:numPr>
        <w:tabs>
          <w:tab w:val="left" w:pos="567"/>
        </w:tabs>
        <w:spacing w:line="240" w:lineRule="auto"/>
        <w:ind w:left="0" w:right="-801" w:firstLine="0"/>
        <w:rPr>
          <w:sz w:val="20"/>
          <w:szCs w:val="20"/>
          <w:lang w:val="es-CO"/>
        </w:rPr>
      </w:pPr>
      <w:r w:rsidRPr="004754B0">
        <w:rPr>
          <w:sz w:val="20"/>
          <w:szCs w:val="20"/>
          <w:lang w:val="es-CO"/>
        </w:rPr>
        <w:t xml:space="preserve">Debe destacarse, además, que el Centro no contó con asistencia externa útil. La unidad del servicio de emergencias y los bomberos demoraron </w:t>
      </w:r>
      <w:r>
        <w:rPr>
          <w:sz w:val="20"/>
          <w:szCs w:val="20"/>
          <w:lang w:val="es-CO"/>
        </w:rPr>
        <w:t xml:space="preserve">más de 18 minutos, desde que la primera fue llamada, </w:t>
      </w:r>
      <w:r w:rsidRPr="004754B0">
        <w:rPr>
          <w:sz w:val="20"/>
          <w:szCs w:val="20"/>
          <w:lang w:val="es-CO"/>
        </w:rPr>
        <w:t>en llegar al sitio</w:t>
      </w:r>
      <w:r>
        <w:rPr>
          <w:sz w:val="20"/>
          <w:szCs w:val="20"/>
          <w:lang w:val="es-CO"/>
        </w:rPr>
        <w:t xml:space="preserve"> (</w:t>
      </w:r>
      <w:r>
        <w:rPr>
          <w:i/>
          <w:sz w:val="20"/>
          <w:szCs w:val="20"/>
          <w:lang w:val="es-CO"/>
        </w:rPr>
        <w:t xml:space="preserve">supra </w:t>
      </w:r>
      <w:r>
        <w:rPr>
          <w:sz w:val="20"/>
          <w:szCs w:val="20"/>
          <w:lang w:val="es-CO"/>
        </w:rPr>
        <w:t>párr. 56)</w:t>
      </w:r>
      <w:r w:rsidRPr="004754B0">
        <w:rPr>
          <w:sz w:val="20"/>
          <w:szCs w:val="20"/>
          <w:lang w:val="es-CO"/>
        </w:rPr>
        <w:t>. La primera unidad de bomberos que llegó, además, no traía agua ni equipamiento adecuado para ingresar, por lo que una segunda unidad arribó posteriormente, pero en un momento en que ya no resultó útil. Además, los jóvenes Mota y Yáñez fueron trasladados a una clínica que en forma inicial se negó a atenderlos, por no tener un convenio con el INAM</w:t>
      </w:r>
      <w:r>
        <w:rPr>
          <w:sz w:val="20"/>
          <w:szCs w:val="20"/>
          <w:lang w:val="es-CO"/>
        </w:rPr>
        <w:t xml:space="preserve"> (</w:t>
      </w:r>
      <w:r>
        <w:rPr>
          <w:i/>
          <w:sz w:val="20"/>
          <w:szCs w:val="20"/>
          <w:lang w:val="es-CO"/>
        </w:rPr>
        <w:t xml:space="preserve">supra </w:t>
      </w:r>
      <w:r>
        <w:rPr>
          <w:sz w:val="20"/>
          <w:szCs w:val="20"/>
          <w:lang w:val="es-CO"/>
        </w:rPr>
        <w:t>párr. 58)</w:t>
      </w:r>
      <w:r w:rsidRPr="004754B0">
        <w:rPr>
          <w:sz w:val="20"/>
          <w:szCs w:val="20"/>
          <w:lang w:val="es-CO"/>
        </w:rPr>
        <w:t>. Estas circunstancias denotan también una falencia de la actuación estatal, ya que muestran que el Estado</w:t>
      </w:r>
      <w:r>
        <w:rPr>
          <w:sz w:val="20"/>
          <w:szCs w:val="20"/>
          <w:lang w:val="es-CO"/>
        </w:rPr>
        <w:t xml:space="preserve"> no</w:t>
      </w:r>
      <w:r w:rsidRPr="004754B0">
        <w:rPr>
          <w:sz w:val="20"/>
          <w:szCs w:val="20"/>
          <w:lang w:val="es-CO"/>
        </w:rPr>
        <w:t xml:space="preserve"> adoptó las acciones necesarias que permitieran una asistencia oportuna y eficaz </w:t>
      </w:r>
      <w:r w:rsidR="006C7B11">
        <w:rPr>
          <w:sz w:val="20"/>
          <w:szCs w:val="20"/>
          <w:lang w:val="es-CO"/>
        </w:rPr>
        <w:t>ante</w:t>
      </w:r>
      <w:r w:rsidR="006C7B11" w:rsidRPr="004754B0">
        <w:rPr>
          <w:sz w:val="20"/>
          <w:szCs w:val="20"/>
          <w:lang w:val="es-CO"/>
        </w:rPr>
        <w:t xml:space="preserve"> </w:t>
      </w:r>
      <w:r w:rsidRPr="004754B0">
        <w:rPr>
          <w:sz w:val="20"/>
          <w:szCs w:val="20"/>
          <w:lang w:val="es-CO"/>
        </w:rPr>
        <w:t>la situación de emergencia.</w:t>
      </w:r>
      <w:r>
        <w:rPr>
          <w:sz w:val="20"/>
          <w:szCs w:val="20"/>
          <w:lang w:val="es-CO"/>
        </w:rPr>
        <w:t xml:space="preserve"> </w:t>
      </w:r>
    </w:p>
    <w:p w14:paraId="6A976506" w14:textId="77777777" w:rsidR="00D47AFE" w:rsidRPr="004754B0" w:rsidRDefault="00D47AFE" w:rsidP="00B476ED">
      <w:pPr>
        <w:pStyle w:val="Prrafodelista"/>
        <w:spacing w:line="240" w:lineRule="auto"/>
        <w:ind w:right="-801"/>
        <w:rPr>
          <w:sz w:val="20"/>
          <w:szCs w:val="20"/>
          <w:lang w:val="es-CO"/>
        </w:rPr>
      </w:pPr>
    </w:p>
    <w:p w14:paraId="4D0B821A" w14:textId="7CE73E53" w:rsidR="00D47AFE" w:rsidRPr="00EA0726" w:rsidRDefault="00D47AFE" w:rsidP="00B476ED">
      <w:pPr>
        <w:numPr>
          <w:ilvl w:val="0"/>
          <w:numId w:val="31"/>
        </w:numPr>
        <w:tabs>
          <w:tab w:val="left" w:pos="567"/>
        </w:tabs>
        <w:spacing w:line="240" w:lineRule="auto"/>
        <w:ind w:left="0" w:right="-801" w:firstLine="0"/>
        <w:rPr>
          <w:sz w:val="20"/>
          <w:szCs w:val="20"/>
          <w:lang w:val="es-CO"/>
        </w:rPr>
      </w:pPr>
      <w:r w:rsidRPr="004754B0">
        <w:rPr>
          <w:sz w:val="20"/>
          <w:szCs w:val="20"/>
          <w:lang w:val="es-CO"/>
        </w:rPr>
        <w:t xml:space="preserve">La Corte observa, en definitiva, que el Estado, pese la posición particular de especial garante que detentaba respecto a la población privada de la libertad en el INAM – San Félix, en la que había niños, además de jóvenes adultos, no tomó las medidas necesarias para que las cinco víctimas mortales de este caso estuvieran alojadas en condiciones adecuadas, lo que implicó el irrespeto de diversos aspectos de su derecho a la integridad personal. Asimismo, pese al conocimiento del riesgo que implicaba, y al deber de contar con una política penitenciaria de prevención de situaciones críticas, mantuvo al Centro en condiciones tales que posibilitaron que se produjeran incidentes de violencia y un incendio. Las </w:t>
      </w:r>
      <w:r w:rsidRPr="00EA0726">
        <w:rPr>
          <w:sz w:val="20"/>
          <w:szCs w:val="20"/>
          <w:lang w:val="es-CO"/>
        </w:rPr>
        <w:t xml:space="preserve">autoridades, el día del hecho, tuvieron </w:t>
      </w:r>
      <w:r w:rsidRPr="00EA0726">
        <w:rPr>
          <w:sz w:val="20"/>
          <w:szCs w:val="20"/>
          <w:lang w:val="es-CO"/>
        </w:rPr>
        <w:lastRenderedPageBreak/>
        <w:t>conocimiento de situaciones de tensión y agresión entre internos, pero no adoptaron acciones suficientes para prevenir hechos de violencia. Frente al incendio, que causó graves sufrimientos, lesivos del derecho a la integridad personal de los cinco jóvenes que habitaban la celda 4, y luego su muerte, las autoridades estatales no actuaron con la diligencia debida, sino con negligencia, lo que no permitió una asistencia oportuna.</w:t>
      </w:r>
    </w:p>
    <w:p w14:paraId="4D8B0100" w14:textId="77777777" w:rsidR="00D47AFE" w:rsidRPr="00EA0726" w:rsidRDefault="00D47AFE" w:rsidP="00B476ED">
      <w:pPr>
        <w:pStyle w:val="Prrafodelista"/>
        <w:spacing w:line="240" w:lineRule="auto"/>
        <w:ind w:right="-801"/>
        <w:rPr>
          <w:sz w:val="20"/>
          <w:szCs w:val="20"/>
          <w:lang w:val="es-CO"/>
        </w:rPr>
      </w:pPr>
    </w:p>
    <w:p w14:paraId="68B249DE" w14:textId="526838D8" w:rsidR="00D47AFE" w:rsidRPr="00A86156" w:rsidRDefault="00D47AFE" w:rsidP="00B476ED">
      <w:pPr>
        <w:numPr>
          <w:ilvl w:val="0"/>
          <w:numId w:val="31"/>
        </w:numPr>
        <w:tabs>
          <w:tab w:val="left" w:pos="567"/>
        </w:tabs>
        <w:spacing w:line="240" w:lineRule="auto"/>
        <w:ind w:left="0" w:right="-801" w:firstLine="0"/>
        <w:rPr>
          <w:sz w:val="20"/>
          <w:szCs w:val="20"/>
          <w:lang w:val="es-ES"/>
        </w:rPr>
      </w:pPr>
      <w:r w:rsidRPr="00A86156">
        <w:rPr>
          <w:sz w:val="20"/>
          <w:szCs w:val="20"/>
          <w:lang w:val="es-ES"/>
        </w:rPr>
        <w:t>Antes de concluir su examen, este Tribunal debe dejar sentado que advierte que, en los procesos judiciales internos, familiares de las víctimas afirmaron que lo sucedido a ellas obedeció a un acto de “ajusticiamiento” o de represalia (</w:t>
      </w:r>
      <w:r w:rsidRPr="00A86156">
        <w:rPr>
          <w:i/>
          <w:sz w:val="20"/>
          <w:szCs w:val="20"/>
          <w:lang w:val="es-ES"/>
        </w:rPr>
        <w:t xml:space="preserve">supra </w:t>
      </w:r>
      <w:r w:rsidRPr="00A86156">
        <w:rPr>
          <w:sz w:val="20"/>
          <w:szCs w:val="20"/>
          <w:lang w:val="es-ES"/>
        </w:rPr>
        <w:t>párr. 60). Al respecto, esta Corte recuerda que no es un tribunal penal, y no le corresponde establecer responsabilidades individuales</w:t>
      </w:r>
      <w:r w:rsidRPr="00A86156">
        <w:rPr>
          <w:rStyle w:val="Refdenotaalpie"/>
          <w:rFonts w:eastAsia="MS Mincho"/>
          <w:sz w:val="20"/>
          <w:szCs w:val="20"/>
          <w:lang w:val="es-ES"/>
        </w:rPr>
        <w:footnoteReference w:id="119"/>
      </w:r>
      <w:r w:rsidRPr="00A86156">
        <w:rPr>
          <w:sz w:val="20"/>
          <w:szCs w:val="20"/>
          <w:lang w:val="es-ES"/>
        </w:rPr>
        <w:t xml:space="preserve">, cuestión que compete a las autoridades internas. Asimismo, no cuenta con elementos que le permitan determinar o desestimar las afirmaciones señaladas. Ello, no obstante, como surge del análisis ya expresado, no resulta necesario para determinar la responsabilidad estatal en este caso. Por otra parte, tampoco resulta necesario examinar los alegatos sobre la inexistencia de tribunales especializados en niñez </w:t>
      </w:r>
      <w:r w:rsidRPr="002416B5">
        <w:rPr>
          <w:sz w:val="20"/>
          <w:szCs w:val="20"/>
          <w:lang w:val="es-ES"/>
        </w:rPr>
        <w:t>(</w:t>
      </w:r>
      <w:r w:rsidRPr="002416B5">
        <w:rPr>
          <w:i/>
          <w:sz w:val="20"/>
          <w:szCs w:val="20"/>
          <w:lang w:val="es-ES"/>
        </w:rPr>
        <w:t xml:space="preserve">supra </w:t>
      </w:r>
      <w:r w:rsidRPr="002416B5">
        <w:rPr>
          <w:sz w:val="20"/>
          <w:szCs w:val="20"/>
          <w:lang w:val="es-ES"/>
        </w:rPr>
        <w:t>nota a pie de página 7</w:t>
      </w:r>
      <w:r w:rsidR="007152EF">
        <w:rPr>
          <w:sz w:val="20"/>
          <w:szCs w:val="20"/>
          <w:lang w:val="es-ES"/>
        </w:rPr>
        <w:t>4</w:t>
      </w:r>
      <w:r w:rsidRPr="002416B5">
        <w:rPr>
          <w:sz w:val="20"/>
          <w:szCs w:val="20"/>
          <w:lang w:val="es-ES"/>
        </w:rPr>
        <w:t>)</w:t>
      </w:r>
      <w:r w:rsidRPr="00A86156">
        <w:rPr>
          <w:sz w:val="20"/>
          <w:szCs w:val="20"/>
          <w:lang w:val="es-ES"/>
        </w:rPr>
        <w:t>, ni el marco fáctico presenta elementos suficientes para hacerlo.</w:t>
      </w:r>
    </w:p>
    <w:p w14:paraId="1AC8C6EE" w14:textId="77777777" w:rsidR="00D47AFE" w:rsidRPr="00FD685C" w:rsidRDefault="00D47AFE" w:rsidP="00B476ED">
      <w:pPr>
        <w:pStyle w:val="Prrafodelista"/>
        <w:spacing w:line="240" w:lineRule="auto"/>
        <w:ind w:right="-801"/>
        <w:rPr>
          <w:sz w:val="20"/>
          <w:szCs w:val="20"/>
          <w:lang w:val="es-CO"/>
        </w:rPr>
      </w:pPr>
    </w:p>
    <w:p w14:paraId="238466EA" w14:textId="1E17EF2B" w:rsidR="00D47AFE" w:rsidRPr="00FD685C" w:rsidRDefault="00D47AFE" w:rsidP="00B476ED">
      <w:pPr>
        <w:numPr>
          <w:ilvl w:val="0"/>
          <w:numId w:val="31"/>
        </w:numPr>
        <w:tabs>
          <w:tab w:val="left" w:pos="567"/>
        </w:tabs>
        <w:spacing w:line="240" w:lineRule="auto"/>
        <w:ind w:left="0" w:right="-801" w:firstLine="0"/>
        <w:rPr>
          <w:sz w:val="20"/>
          <w:szCs w:val="20"/>
          <w:lang w:val="es-ES"/>
        </w:rPr>
      </w:pPr>
      <w:r w:rsidRPr="00FD685C">
        <w:rPr>
          <w:sz w:val="20"/>
          <w:szCs w:val="20"/>
          <w:lang w:val="es-CO"/>
        </w:rPr>
        <w:t xml:space="preserve">Por último, este Tribunal advierte que los representantes adujeron que el incumplimiento del Estado en la realización de una investigación y en procesos tendientes a determinar responsabilidades individuales y aplicar las sanciones correspondientes conllevó también una vulneración del derecho a la vida </w:t>
      </w:r>
      <w:r w:rsidRPr="002416B5">
        <w:rPr>
          <w:sz w:val="20"/>
          <w:szCs w:val="20"/>
          <w:lang w:val="es-CO"/>
        </w:rPr>
        <w:t>(</w:t>
      </w:r>
      <w:r w:rsidRPr="002416B5">
        <w:rPr>
          <w:i/>
          <w:sz w:val="20"/>
          <w:szCs w:val="20"/>
          <w:lang w:val="es-CO"/>
        </w:rPr>
        <w:t xml:space="preserve">supra </w:t>
      </w:r>
      <w:r w:rsidRPr="002416B5">
        <w:rPr>
          <w:sz w:val="20"/>
          <w:szCs w:val="20"/>
          <w:lang w:val="es-CO"/>
        </w:rPr>
        <w:t>nota a pie de página 7</w:t>
      </w:r>
      <w:r w:rsidR="002416B5" w:rsidRPr="002416B5">
        <w:rPr>
          <w:sz w:val="20"/>
          <w:szCs w:val="20"/>
          <w:lang w:val="es-CO"/>
        </w:rPr>
        <w:t>5</w:t>
      </w:r>
      <w:r w:rsidRPr="002416B5">
        <w:rPr>
          <w:sz w:val="20"/>
          <w:szCs w:val="20"/>
          <w:lang w:val="es-CO"/>
        </w:rPr>
        <w:t>).</w:t>
      </w:r>
      <w:r w:rsidRPr="00FD685C">
        <w:rPr>
          <w:sz w:val="20"/>
          <w:szCs w:val="20"/>
          <w:lang w:val="es-CO"/>
        </w:rPr>
        <w:t xml:space="preserve"> Dicho a</w:t>
      </w:r>
      <w:r>
        <w:rPr>
          <w:sz w:val="20"/>
          <w:szCs w:val="20"/>
          <w:lang w:val="es-CO"/>
        </w:rPr>
        <w:t>rgumento</w:t>
      </w:r>
      <w:r w:rsidRPr="00FD685C">
        <w:rPr>
          <w:sz w:val="20"/>
          <w:szCs w:val="20"/>
          <w:lang w:val="es-CO"/>
        </w:rPr>
        <w:t xml:space="preserve"> tiene por base, en lo sustancial, la misma conducta estatal que fundamenta las alegaciones sobre violaciones a los derechos a las garantías judiciales y a la protección judicial, así como el reconocimiento de responsabilidad correlativo </w:t>
      </w:r>
      <w:r>
        <w:rPr>
          <w:sz w:val="20"/>
          <w:szCs w:val="20"/>
        </w:rPr>
        <w:t>(</w:t>
      </w:r>
      <w:r>
        <w:rPr>
          <w:i/>
          <w:sz w:val="20"/>
          <w:szCs w:val="20"/>
        </w:rPr>
        <w:t xml:space="preserve">supra </w:t>
      </w:r>
      <w:proofErr w:type="spellStart"/>
      <w:r>
        <w:rPr>
          <w:sz w:val="20"/>
          <w:szCs w:val="20"/>
        </w:rPr>
        <w:t>párrs</w:t>
      </w:r>
      <w:proofErr w:type="spellEnd"/>
      <w:r>
        <w:rPr>
          <w:sz w:val="20"/>
          <w:szCs w:val="20"/>
        </w:rPr>
        <w:t xml:space="preserve">. 13 y 20). La Corte entiende que procede examinar lo pertinente en relación con los dos últimos derechos indicados, lo que hará en el próximo capítulo de esta Sentencia. </w:t>
      </w:r>
    </w:p>
    <w:p w14:paraId="296CD94E" w14:textId="77777777" w:rsidR="00D47AFE" w:rsidRDefault="00D47AFE" w:rsidP="00B476ED">
      <w:pPr>
        <w:pStyle w:val="Prrafodelista"/>
        <w:spacing w:line="240" w:lineRule="auto"/>
        <w:ind w:right="-801"/>
        <w:rPr>
          <w:sz w:val="20"/>
          <w:szCs w:val="20"/>
          <w:lang w:val="es-CO"/>
        </w:rPr>
      </w:pPr>
    </w:p>
    <w:p w14:paraId="4FD944F3" w14:textId="77777777" w:rsidR="00D47AFE" w:rsidRPr="00C12456" w:rsidRDefault="00D47AFE" w:rsidP="00B476ED">
      <w:pPr>
        <w:pStyle w:val="Prrafodelista"/>
        <w:spacing w:line="240" w:lineRule="auto"/>
        <w:ind w:left="851" w:right="-801"/>
        <w:outlineLvl w:val="3"/>
        <w:rPr>
          <w:i/>
          <w:sz w:val="20"/>
          <w:szCs w:val="20"/>
          <w:lang w:val="es-CO"/>
        </w:rPr>
      </w:pPr>
      <w:bookmarkStart w:id="62" w:name="_Toc58330228"/>
      <w:r w:rsidRPr="00C12456">
        <w:rPr>
          <w:i/>
          <w:sz w:val="20"/>
          <w:szCs w:val="20"/>
          <w:lang w:val="es-CO"/>
        </w:rPr>
        <w:t>B.2.5 Conclusión</w:t>
      </w:r>
      <w:bookmarkEnd w:id="62"/>
    </w:p>
    <w:p w14:paraId="5D370048" w14:textId="77777777" w:rsidR="00D47AFE" w:rsidRDefault="00D47AFE" w:rsidP="00B476ED">
      <w:pPr>
        <w:pStyle w:val="Prrafodelista"/>
        <w:spacing w:line="240" w:lineRule="auto"/>
        <w:ind w:right="-801"/>
        <w:rPr>
          <w:sz w:val="20"/>
          <w:szCs w:val="20"/>
          <w:lang w:val="es-ES"/>
        </w:rPr>
      </w:pPr>
    </w:p>
    <w:p w14:paraId="2212BA7A" w14:textId="08A1E40F" w:rsidR="00D47AFE" w:rsidRPr="00D81F2D" w:rsidRDefault="00D47AFE" w:rsidP="00B476ED">
      <w:pPr>
        <w:numPr>
          <w:ilvl w:val="0"/>
          <w:numId w:val="31"/>
        </w:numPr>
        <w:tabs>
          <w:tab w:val="left" w:pos="567"/>
        </w:tabs>
        <w:spacing w:line="240" w:lineRule="auto"/>
        <w:ind w:left="0" w:right="-801" w:firstLine="0"/>
        <w:rPr>
          <w:sz w:val="16"/>
          <w:szCs w:val="16"/>
          <w:lang w:val="es-ES"/>
        </w:rPr>
      </w:pPr>
      <w:r w:rsidRPr="00AE6158">
        <w:rPr>
          <w:sz w:val="20"/>
          <w:szCs w:val="20"/>
          <w:lang w:val="es-ES"/>
        </w:rPr>
        <w:t xml:space="preserve">La Corte, tomando en consideración todo lo expuesto y el reconocimiento de responsabilidad efectuado por Venezuela, concluye que el Estado violó los derechos a la vida, a la integridad personal y los derechos del niño de José Gregorio Mota </w:t>
      </w:r>
      <w:proofErr w:type="spellStart"/>
      <w:r w:rsidRPr="00AE6158">
        <w:rPr>
          <w:sz w:val="20"/>
          <w:szCs w:val="20"/>
          <w:lang w:val="es-ES"/>
        </w:rPr>
        <w:t>Abarullo</w:t>
      </w:r>
      <w:proofErr w:type="spellEnd"/>
      <w:r w:rsidRPr="00AE6158">
        <w:rPr>
          <w:sz w:val="20"/>
          <w:szCs w:val="20"/>
          <w:lang w:val="es-ES"/>
        </w:rPr>
        <w:t>, Rafael Antonio Parra Herrera, Johan José Correa, Gabriel de Jesús Yáñez Sánchez y Cristian Arnaldo Molina Córdo</w:t>
      </w:r>
      <w:r>
        <w:rPr>
          <w:sz w:val="20"/>
          <w:szCs w:val="20"/>
          <w:lang w:val="es-ES"/>
        </w:rPr>
        <w:t>v</w:t>
      </w:r>
      <w:r w:rsidRPr="00AE6158">
        <w:rPr>
          <w:sz w:val="20"/>
          <w:szCs w:val="20"/>
          <w:lang w:val="es-ES"/>
        </w:rPr>
        <w:t>a, incumpliendo, en su perjuicio, los artículos 4.1, 5.1, 5.4, 5.5, 5.6 y 19 de la Convención Americana sobre Derechos Humanos, en relación con el artículo 1.1 del mismo tratado.</w:t>
      </w:r>
    </w:p>
    <w:p w14:paraId="43889883" w14:textId="77777777" w:rsidR="00D47AFE" w:rsidRPr="004754B0" w:rsidRDefault="00D47AFE" w:rsidP="00B476ED">
      <w:pPr>
        <w:spacing w:line="240" w:lineRule="auto"/>
        <w:ind w:right="-801"/>
        <w:rPr>
          <w:lang w:val="es-ES"/>
        </w:rPr>
      </w:pPr>
    </w:p>
    <w:p w14:paraId="6A4FAA49" w14:textId="4B193CFB" w:rsidR="00D47AFE" w:rsidRPr="004754B0" w:rsidRDefault="00D47AFE" w:rsidP="00B476ED">
      <w:pPr>
        <w:pStyle w:val="Ttulo1"/>
        <w:spacing w:before="0" w:after="0"/>
        <w:ind w:right="-801"/>
      </w:pPr>
      <w:bookmarkStart w:id="63" w:name="_Toc54543716"/>
      <w:bookmarkStart w:id="64" w:name="_Toc58329010"/>
      <w:bookmarkStart w:id="65" w:name="_Toc58330229"/>
      <w:r w:rsidRPr="004754B0">
        <w:t>VI</w:t>
      </w:r>
      <w:r>
        <w:t>i</w:t>
      </w:r>
      <w:r w:rsidRPr="004754B0">
        <w:t>.2</w:t>
      </w:r>
      <w:r w:rsidRPr="004754B0">
        <w:br/>
        <w:t>DERECHOS A LAs garantías judiciales</w:t>
      </w:r>
      <w:r w:rsidRPr="00D81F2D">
        <w:rPr>
          <w:rStyle w:val="Refdenotaalpie"/>
          <w:b w:val="0"/>
        </w:rPr>
        <w:footnoteReference w:id="120"/>
      </w:r>
      <w:r w:rsidRPr="00D81F2D">
        <w:rPr>
          <w:b w:val="0"/>
        </w:rPr>
        <w:t xml:space="preserve"> </w:t>
      </w:r>
      <w:r w:rsidRPr="004754B0">
        <w:t>y a la protección judicial</w:t>
      </w:r>
      <w:r w:rsidRPr="004754B0">
        <w:rPr>
          <w:rStyle w:val="Refdenotaalpie"/>
          <w:b w:val="0"/>
        </w:rPr>
        <w:footnoteReference w:id="121"/>
      </w:r>
      <w:r w:rsidRPr="004754B0">
        <w:t xml:space="preserve"> EN RELACIÓN CON LAS OBLIGACIONES DE RESPETAR</w:t>
      </w:r>
      <w:r>
        <w:t xml:space="preserve">LOS </w:t>
      </w:r>
      <w:r w:rsidRPr="004754B0">
        <w:t>Y GARANTIZARLOS</w:t>
      </w:r>
      <w:bookmarkEnd w:id="63"/>
      <w:bookmarkEnd w:id="64"/>
      <w:bookmarkEnd w:id="65"/>
      <w:r w:rsidRPr="004754B0">
        <w:t xml:space="preserve"> </w:t>
      </w:r>
    </w:p>
    <w:p w14:paraId="0D44A46A" w14:textId="77777777" w:rsidR="00D47AFE" w:rsidRPr="004754B0" w:rsidRDefault="00D47AFE" w:rsidP="00B476ED">
      <w:pPr>
        <w:widowControl/>
        <w:tabs>
          <w:tab w:val="left" w:pos="567"/>
          <w:tab w:val="num" w:pos="12305"/>
        </w:tabs>
        <w:autoSpaceDE w:val="0"/>
        <w:autoSpaceDN w:val="0"/>
        <w:adjustRightInd/>
        <w:spacing w:line="240" w:lineRule="auto"/>
        <w:ind w:right="-801"/>
        <w:textAlignment w:val="auto"/>
        <w:rPr>
          <w:rFonts w:eastAsia="Calibri" w:cs="Verdana Bold"/>
          <w:bCs/>
          <w:sz w:val="16"/>
          <w:szCs w:val="16"/>
          <w:lang w:val="es-MX"/>
        </w:rPr>
      </w:pPr>
    </w:p>
    <w:p w14:paraId="1D642D95" w14:textId="3169C3C0" w:rsidR="00D47AFE" w:rsidRPr="004754B0" w:rsidRDefault="00D47AFE" w:rsidP="00700B9F">
      <w:pPr>
        <w:pStyle w:val="Ttulo2"/>
        <w:numPr>
          <w:ilvl w:val="0"/>
          <w:numId w:val="36"/>
        </w:numPr>
        <w:tabs>
          <w:tab w:val="clear" w:pos="1134"/>
        </w:tabs>
        <w:spacing w:before="0" w:after="0"/>
        <w:ind w:left="284" w:right="-801" w:hanging="13"/>
      </w:pPr>
      <w:bookmarkStart w:id="66" w:name="_Toc54543717"/>
      <w:bookmarkStart w:id="67" w:name="_Toc58329011"/>
      <w:bookmarkStart w:id="68" w:name="_Toc58330230"/>
      <w:r w:rsidRPr="004754B0">
        <w:t>Argumentos de la Comisión y de las partes</w:t>
      </w:r>
      <w:bookmarkEnd w:id="66"/>
      <w:bookmarkEnd w:id="67"/>
      <w:bookmarkEnd w:id="68"/>
      <w:r w:rsidRPr="004754B0">
        <w:t xml:space="preserve"> </w:t>
      </w:r>
    </w:p>
    <w:p w14:paraId="27357403" w14:textId="77777777" w:rsidR="00D47AFE" w:rsidRDefault="00D47AFE" w:rsidP="00B476ED">
      <w:pPr>
        <w:tabs>
          <w:tab w:val="left" w:pos="567"/>
        </w:tabs>
        <w:spacing w:line="240" w:lineRule="auto"/>
        <w:ind w:right="-801"/>
        <w:rPr>
          <w:sz w:val="20"/>
          <w:szCs w:val="20"/>
          <w:lang w:val="es-ES"/>
        </w:rPr>
      </w:pPr>
    </w:p>
    <w:p w14:paraId="48B06A7C" w14:textId="0D0EAF09" w:rsidR="00D47AFE" w:rsidRPr="00D81F2D" w:rsidRDefault="00D47AFE" w:rsidP="00B476ED">
      <w:pPr>
        <w:numPr>
          <w:ilvl w:val="0"/>
          <w:numId w:val="31"/>
        </w:numPr>
        <w:tabs>
          <w:tab w:val="left" w:pos="567"/>
        </w:tabs>
        <w:spacing w:line="240" w:lineRule="auto"/>
        <w:ind w:left="0" w:right="-801" w:firstLine="0"/>
        <w:rPr>
          <w:sz w:val="16"/>
          <w:szCs w:val="16"/>
          <w:lang w:val="es-ES"/>
        </w:rPr>
      </w:pPr>
      <w:r w:rsidRPr="00D81F2D">
        <w:rPr>
          <w:rFonts w:eastAsia="Calibri" w:cs="Calibri"/>
          <w:sz w:val="20"/>
          <w:szCs w:val="20"/>
        </w:rPr>
        <w:t xml:space="preserve">La </w:t>
      </w:r>
      <w:r w:rsidRPr="00D81F2D">
        <w:rPr>
          <w:rFonts w:eastAsia="Calibri" w:cs="Calibri"/>
          <w:b/>
          <w:i/>
          <w:sz w:val="20"/>
          <w:szCs w:val="20"/>
        </w:rPr>
        <w:t>Comisión</w:t>
      </w:r>
      <w:r w:rsidRPr="00D81F2D">
        <w:rPr>
          <w:rFonts w:eastAsia="Calibri" w:cs="Calibri"/>
          <w:sz w:val="20"/>
          <w:szCs w:val="20"/>
        </w:rPr>
        <w:t xml:space="preserve"> estableció que “se configuró una clara violación al plazo razonable, dado </w:t>
      </w:r>
      <w:proofErr w:type="gramStart"/>
      <w:r w:rsidRPr="00D81F2D">
        <w:rPr>
          <w:rFonts w:eastAsia="Calibri" w:cs="Calibri"/>
          <w:sz w:val="20"/>
          <w:szCs w:val="20"/>
        </w:rPr>
        <w:t>que[</w:t>
      </w:r>
      <w:proofErr w:type="gramEnd"/>
      <w:r w:rsidRPr="00D81F2D">
        <w:rPr>
          <w:rFonts w:eastAsia="Calibri" w:cs="Calibri"/>
          <w:sz w:val="20"/>
          <w:szCs w:val="20"/>
        </w:rPr>
        <w:t>, al momento de emitirse el Informe de Fondo,] ha[</w:t>
      </w:r>
      <w:proofErr w:type="spellStart"/>
      <w:r w:rsidRPr="00D81F2D">
        <w:rPr>
          <w:rFonts w:eastAsia="Calibri" w:cs="Calibri"/>
          <w:sz w:val="20"/>
          <w:szCs w:val="20"/>
        </w:rPr>
        <w:t>bían</w:t>
      </w:r>
      <w:proofErr w:type="spellEnd"/>
      <w:r w:rsidRPr="00D81F2D">
        <w:rPr>
          <w:rFonts w:eastAsia="Calibri" w:cs="Calibri"/>
          <w:sz w:val="20"/>
          <w:szCs w:val="20"/>
        </w:rPr>
        <w:t xml:space="preserve">] pasado más de 13 años desde la muerte de las víctimas y 12 años desde la imputación de los presuntos responsables en 2006”. </w:t>
      </w:r>
      <w:r w:rsidRPr="00D81F2D">
        <w:rPr>
          <w:rFonts w:eastAsia="Calibri" w:cs="Calibri"/>
          <w:sz w:val="20"/>
          <w:szCs w:val="20"/>
        </w:rPr>
        <w:lastRenderedPageBreak/>
        <w:t xml:space="preserve">Adujo que de la información disponible resulta que </w:t>
      </w:r>
      <w:r>
        <w:rPr>
          <w:rFonts w:eastAsia="Calibri" w:cs="Calibri"/>
          <w:sz w:val="20"/>
          <w:szCs w:val="20"/>
        </w:rPr>
        <w:t>“</w:t>
      </w:r>
      <w:r w:rsidRPr="00D81F2D">
        <w:rPr>
          <w:rFonts w:eastAsia="Calibri" w:cs="Calibri"/>
          <w:sz w:val="20"/>
          <w:szCs w:val="20"/>
        </w:rPr>
        <w:t>los procesos internos continúan su curso, por lo que los hechos se mantienen en situación de impunidad, sin que se haya completado el enjuiciamiento y la determinación de las sanciones correspondientes por los distintos niveles de responsabilidad que pudieron tener lugar en el presente caso</w:t>
      </w:r>
      <w:r>
        <w:rPr>
          <w:rFonts w:eastAsia="Calibri" w:cs="Calibri"/>
          <w:sz w:val="20"/>
          <w:szCs w:val="20"/>
        </w:rPr>
        <w:t>”</w:t>
      </w:r>
      <w:r w:rsidRPr="00D81F2D">
        <w:rPr>
          <w:rFonts w:eastAsia="Calibri" w:cs="Calibri"/>
          <w:sz w:val="20"/>
          <w:szCs w:val="20"/>
        </w:rPr>
        <w:t>. Esto</w:t>
      </w:r>
      <w:r>
        <w:rPr>
          <w:rFonts w:eastAsia="Calibri" w:cs="Calibri"/>
          <w:sz w:val="20"/>
          <w:szCs w:val="20"/>
        </w:rPr>
        <w:t xml:space="preserve">, </w:t>
      </w:r>
      <w:r w:rsidR="00975967">
        <w:rPr>
          <w:rFonts w:eastAsia="Calibri" w:cs="Calibri"/>
          <w:sz w:val="20"/>
          <w:szCs w:val="20"/>
        </w:rPr>
        <w:t>sostuvo</w:t>
      </w:r>
      <w:r>
        <w:rPr>
          <w:rFonts w:eastAsia="Calibri" w:cs="Calibri"/>
          <w:sz w:val="20"/>
          <w:szCs w:val="20"/>
        </w:rPr>
        <w:t>,</w:t>
      </w:r>
      <w:r w:rsidRPr="00D81F2D">
        <w:rPr>
          <w:rFonts w:eastAsia="Calibri" w:cs="Calibri"/>
          <w:sz w:val="20"/>
          <w:szCs w:val="20"/>
        </w:rPr>
        <w:t xml:space="preserve"> incluye a </w:t>
      </w:r>
      <w:r>
        <w:rPr>
          <w:rFonts w:eastAsia="Calibri" w:cs="Calibri"/>
          <w:sz w:val="20"/>
          <w:szCs w:val="20"/>
        </w:rPr>
        <w:t>“</w:t>
      </w:r>
      <w:r w:rsidRPr="00D81F2D">
        <w:rPr>
          <w:rFonts w:eastAsia="Calibri" w:cs="Calibri"/>
          <w:sz w:val="20"/>
          <w:szCs w:val="20"/>
        </w:rPr>
        <w:t>las autoridades que estaban presentes en el Centro el día de los hechos y aquellas cuyas omisiones hubieran podido contribuir a la permanencia de los problemas estructurales</w:t>
      </w:r>
      <w:r>
        <w:rPr>
          <w:rFonts w:eastAsia="Calibri" w:cs="Calibri"/>
          <w:sz w:val="20"/>
          <w:szCs w:val="20"/>
        </w:rPr>
        <w:t>”</w:t>
      </w:r>
      <w:r w:rsidRPr="00D81F2D">
        <w:rPr>
          <w:rFonts w:eastAsia="Calibri" w:cs="Calibri"/>
          <w:sz w:val="20"/>
          <w:szCs w:val="20"/>
        </w:rPr>
        <w:t>.</w:t>
      </w:r>
    </w:p>
    <w:p w14:paraId="32F1F742" w14:textId="77777777" w:rsidR="00D47AFE" w:rsidRDefault="00D47AFE" w:rsidP="00B476ED">
      <w:pPr>
        <w:tabs>
          <w:tab w:val="left" w:pos="567"/>
        </w:tabs>
        <w:spacing w:line="240" w:lineRule="auto"/>
        <w:ind w:right="-801"/>
        <w:rPr>
          <w:sz w:val="16"/>
          <w:szCs w:val="16"/>
          <w:lang w:val="es-ES"/>
        </w:rPr>
      </w:pPr>
    </w:p>
    <w:p w14:paraId="07A75B26" w14:textId="77777777" w:rsidR="00D47AFE" w:rsidRDefault="00D47AFE" w:rsidP="00B476ED">
      <w:pPr>
        <w:numPr>
          <w:ilvl w:val="0"/>
          <w:numId w:val="31"/>
        </w:numPr>
        <w:tabs>
          <w:tab w:val="left" w:pos="567"/>
        </w:tabs>
        <w:spacing w:line="240" w:lineRule="auto"/>
        <w:ind w:left="0" w:right="-801" w:firstLine="0"/>
        <w:rPr>
          <w:sz w:val="16"/>
          <w:szCs w:val="16"/>
          <w:lang w:val="es-ES"/>
        </w:rPr>
      </w:pPr>
      <w:r w:rsidRPr="00D81F2D">
        <w:rPr>
          <w:rFonts w:eastAsia="Calibri" w:cs="Calibri"/>
          <w:sz w:val="20"/>
          <w:szCs w:val="20"/>
        </w:rPr>
        <w:t>La Comisión concluyó</w:t>
      </w:r>
      <w:r w:rsidRPr="00D81F2D">
        <w:rPr>
          <w:rFonts w:eastAsia="Calibri" w:cs="Calibri"/>
          <w:b/>
          <w:sz w:val="20"/>
          <w:szCs w:val="20"/>
        </w:rPr>
        <w:t xml:space="preserve"> </w:t>
      </w:r>
      <w:r w:rsidRPr="00D81F2D">
        <w:rPr>
          <w:rFonts w:eastAsia="Calibri" w:cs="Calibri"/>
          <w:sz w:val="20"/>
          <w:szCs w:val="20"/>
        </w:rPr>
        <w:t xml:space="preserve">que el Estado no proveyó a los familiares de las víctimas </w:t>
      </w:r>
      <w:r>
        <w:rPr>
          <w:rFonts w:eastAsia="Calibri" w:cs="Calibri"/>
          <w:sz w:val="20"/>
          <w:szCs w:val="20"/>
        </w:rPr>
        <w:t>u</w:t>
      </w:r>
      <w:r w:rsidRPr="00D81F2D">
        <w:rPr>
          <w:rFonts w:eastAsia="Calibri" w:cs="Calibri"/>
          <w:sz w:val="20"/>
          <w:szCs w:val="20"/>
        </w:rPr>
        <w:t xml:space="preserve">n recurso efectivo para esclarecer lo sucedido y establecer las responsabilidades correspondientes, en violación de los derechos consagrados en los artículos 8.1 y 25.1 de la Convención Americana en relación con el artículo 1.1 del mismo instrumento. </w:t>
      </w:r>
    </w:p>
    <w:p w14:paraId="3A606ED0" w14:textId="77777777" w:rsidR="00D47AFE" w:rsidRDefault="00D47AFE" w:rsidP="00B476ED">
      <w:pPr>
        <w:pStyle w:val="Prrafodelista"/>
        <w:spacing w:line="240" w:lineRule="auto"/>
        <w:ind w:right="-801"/>
        <w:rPr>
          <w:rFonts w:eastAsia="Calibri" w:cs="Calibri"/>
          <w:sz w:val="20"/>
          <w:szCs w:val="20"/>
        </w:rPr>
      </w:pPr>
    </w:p>
    <w:p w14:paraId="2087E945" w14:textId="77777777" w:rsidR="00D47AFE" w:rsidRDefault="00D47AFE" w:rsidP="00B476ED">
      <w:pPr>
        <w:numPr>
          <w:ilvl w:val="0"/>
          <w:numId w:val="31"/>
        </w:numPr>
        <w:tabs>
          <w:tab w:val="left" w:pos="567"/>
        </w:tabs>
        <w:spacing w:line="240" w:lineRule="auto"/>
        <w:ind w:left="0" w:right="-801" w:firstLine="0"/>
        <w:rPr>
          <w:sz w:val="16"/>
          <w:szCs w:val="16"/>
          <w:lang w:val="es-ES"/>
        </w:rPr>
      </w:pPr>
      <w:r w:rsidRPr="00D81F2D">
        <w:rPr>
          <w:rFonts w:eastAsia="Calibri" w:cs="Calibri"/>
          <w:sz w:val="20"/>
          <w:szCs w:val="20"/>
        </w:rPr>
        <w:t>Los</w:t>
      </w:r>
      <w:r w:rsidRPr="00D81F2D">
        <w:rPr>
          <w:rFonts w:eastAsia="Calibri" w:cs="Calibri"/>
          <w:b/>
          <w:sz w:val="20"/>
          <w:szCs w:val="20"/>
        </w:rPr>
        <w:t xml:space="preserve"> </w:t>
      </w:r>
      <w:r w:rsidRPr="00D81F2D">
        <w:rPr>
          <w:rFonts w:eastAsia="Calibri" w:cs="Calibri"/>
          <w:b/>
          <w:i/>
          <w:sz w:val="20"/>
          <w:szCs w:val="20"/>
        </w:rPr>
        <w:t>representantes</w:t>
      </w:r>
      <w:r w:rsidRPr="00D81F2D">
        <w:rPr>
          <w:rFonts w:eastAsia="Calibri" w:cs="Calibri"/>
          <w:sz w:val="20"/>
          <w:szCs w:val="20"/>
        </w:rPr>
        <w:t xml:space="preserve"> alegaron las siguientes consideraciones respecto a las garantías judiciales: i) el caso se ha demorado </w:t>
      </w:r>
      <w:r w:rsidRPr="00975967">
        <w:rPr>
          <w:rFonts w:eastAsia="Calibri" w:cs="Calibri"/>
          <w:sz w:val="20"/>
          <w:szCs w:val="20"/>
        </w:rPr>
        <w:t>gravemente</w:t>
      </w:r>
      <w:r w:rsidRPr="00955F88">
        <w:rPr>
          <w:rStyle w:val="Refdenotaalpie"/>
          <w:rFonts w:eastAsia="Calibri" w:cs="Calibri"/>
          <w:sz w:val="20"/>
          <w:szCs w:val="20"/>
        </w:rPr>
        <w:footnoteReference w:id="122"/>
      </w:r>
      <w:r w:rsidRPr="00975967">
        <w:rPr>
          <w:rFonts w:eastAsia="Calibri" w:cs="Calibri"/>
          <w:sz w:val="20"/>
          <w:szCs w:val="20"/>
        </w:rPr>
        <w:t xml:space="preserve">; </w:t>
      </w:r>
      <w:proofErr w:type="spellStart"/>
      <w:r w:rsidRPr="00975967">
        <w:rPr>
          <w:rFonts w:eastAsia="Calibri" w:cs="Calibri"/>
          <w:sz w:val="20"/>
          <w:szCs w:val="20"/>
        </w:rPr>
        <w:t>ii</w:t>
      </w:r>
      <w:proofErr w:type="spellEnd"/>
      <w:r w:rsidRPr="00975967">
        <w:rPr>
          <w:rFonts w:eastAsia="Calibri" w:cs="Calibri"/>
          <w:sz w:val="20"/>
          <w:szCs w:val="20"/>
        </w:rPr>
        <w:t>) el proceso penal está “estancado” desde hace cerca de 14 años, a pesar del impulso procesal que han</w:t>
      </w:r>
      <w:r w:rsidRPr="00D81F2D">
        <w:rPr>
          <w:rFonts w:eastAsia="Calibri" w:cs="Calibri"/>
          <w:sz w:val="20"/>
          <w:szCs w:val="20"/>
        </w:rPr>
        <w:t xml:space="preserve"> intentado darle los familiares de las presuntas víctimas y de que </w:t>
      </w:r>
      <w:r>
        <w:rPr>
          <w:rFonts w:eastAsia="Calibri" w:cs="Calibri"/>
          <w:sz w:val="20"/>
          <w:szCs w:val="20"/>
        </w:rPr>
        <w:t>é</w:t>
      </w:r>
      <w:r w:rsidRPr="00D81F2D">
        <w:rPr>
          <w:rFonts w:eastAsia="Calibri" w:cs="Calibri"/>
          <w:sz w:val="20"/>
          <w:szCs w:val="20"/>
        </w:rPr>
        <w:t>stas ya rindieron toda la evidencia que podían entregar a las autoridades judiciales</w:t>
      </w:r>
      <w:r>
        <w:rPr>
          <w:rFonts w:eastAsia="Calibri" w:cs="Calibri"/>
          <w:sz w:val="20"/>
          <w:szCs w:val="20"/>
        </w:rPr>
        <w:t>;</w:t>
      </w:r>
      <w:r w:rsidRPr="00D81F2D">
        <w:rPr>
          <w:rFonts w:eastAsia="Calibri" w:cs="Calibri"/>
          <w:sz w:val="20"/>
          <w:szCs w:val="20"/>
        </w:rPr>
        <w:t xml:space="preserve"> </w:t>
      </w:r>
      <w:proofErr w:type="spellStart"/>
      <w:r w:rsidRPr="00D81F2D">
        <w:rPr>
          <w:rFonts w:eastAsia="Calibri" w:cs="Calibri"/>
          <w:sz w:val="20"/>
          <w:szCs w:val="20"/>
        </w:rPr>
        <w:t>iii</w:t>
      </w:r>
      <w:proofErr w:type="spellEnd"/>
      <w:r w:rsidRPr="00D81F2D">
        <w:rPr>
          <w:rFonts w:eastAsia="Calibri" w:cs="Calibri"/>
          <w:sz w:val="20"/>
          <w:szCs w:val="20"/>
        </w:rPr>
        <w:t xml:space="preserve">) las autoridades judiciales han sido </w:t>
      </w:r>
      <w:r>
        <w:rPr>
          <w:rFonts w:eastAsia="Calibri" w:cs="Calibri"/>
          <w:sz w:val="20"/>
          <w:szCs w:val="20"/>
        </w:rPr>
        <w:t>“</w:t>
      </w:r>
      <w:r w:rsidRPr="00D81F2D">
        <w:rPr>
          <w:rFonts w:eastAsia="Calibri" w:cs="Calibri"/>
          <w:sz w:val="20"/>
          <w:szCs w:val="20"/>
        </w:rPr>
        <w:t>omisas</w:t>
      </w:r>
      <w:r>
        <w:rPr>
          <w:rFonts w:eastAsia="Calibri" w:cs="Calibri"/>
          <w:sz w:val="20"/>
          <w:szCs w:val="20"/>
        </w:rPr>
        <w:t>”</w:t>
      </w:r>
      <w:r w:rsidRPr="00D81F2D">
        <w:rPr>
          <w:rFonts w:eastAsia="Calibri" w:cs="Calibri"/>
          <w:sz w:val="20"/>
          <w:szCs w:val="20"/>
        </w:rPr>
        <w:t xml:space="preserve">, al </w:t>
      </w:r>
      <w:r>
        <w:rPr>
          <w:rFonts w:eastAsia="Calibri" w:cs="Calibri"/>
          <w:sz w:val="20"/>
          <w:szCs w:val="20"/>
        </w:rPr>
        <w:t>“</w:t>
      </w:r>
      <w:r w:rsidRPr="00D81F2D">
        <w:rPr>
          <w:rFonts w:eastAsia="Calibri" w:cs="Calibri"/>
          <w:sz w:val="20"/>
          <w:szCs w:val="20"/>
        </w:rPr>
        <w:t>incumplir con sus obligaciones de conducir el proceso penal conforme lo exige la ley</w:t>
      </w:r>
      <w:r>
        <w:rPr>
          <w:rFonts w:eastAsia="Calibri" w:cs="Calibri"/>
          <w:sz w:val="20"/>
          <w:szCs w:val="20"/>
        </w:rPr>
        <w:t>”</w:t>
      </w:r>
      <w:r w:rsidRPr="00D81F2D">
        <w:rPr>
          <w:rFonts w:eastAsia="Calibri" w:cs="Calibri"/>
          <w:sz w:val="20"/>
          <w:szCs w:val="20"/>
        </w:rPr>
        <w:t>,</w:t>
      </w:r>
      <w:r>
        <w:rPr>
          <w:rFonts w:eastAsia="Calibri" w:cs="Calibri"/>
          <w:sz w:val="20"/>
          <w:szCs w:val="20"/>
        </w:rPr>
        <w:t xml:space="preserve"> y</w:t>
      </w:r>
      <w:r w:rsidRPr="00D81F2D">
        <w:rPr>
          <w:rFonts w:eastAsia="Calibri" w:cs="Calibri"/>
          <w:sz w:val="20"/>
          <w:szCs w:val="20"/>
        </w:rPr>
        <w:t xml:space="preserve"> </w:t>
      </w:r>
      <w:proofErr w:type="spellStart"/>
      <w:r w:rsidRPr="00D81F2D">
        <w:rPr>
          <w:rFonts w:eastAsia="Calibri" w:cs="Calibri"/>
          <w:sz w:val="20"/>
          <w:szCs w:val="20"/>
        </w:rPr>
        <w:t>iv</w:t>
      </w:r>
      <w:proofErr w:type="spellEnd"/>
      <w:r w:rsidRPr="00D81F2D">
        <w:rPr>
          <w:rFonts w:eastAsia="Calibri" w:cs="Calibri"/>
          <w:sz w:val="20"/>
          <w:szCs w:val="20"/>
        </w:rPr>
        <w:t xml:space="preserve">) todo lo anterior ha generado afectaciones a los familiares de las víctimas. </w:t>
      </w:r>
      <w:r>
        <w:rPr>
          <w:rFonts w:eastAsia="Calibri" w:cs="Calibri"/>
          <w:sz w:val="20"/>
          <w:szCs w:val="20"/>
        </w:rPr>
        <w:t>Destacaron como “injustificada e irracional” la “demora” en la realización de la “audiencia de apertura de juicio”, dados sus múltiples diferimientos. Consideraron “inexplicable” la “impunidad” en la que permanece el caso, teniendo en cuenta que los hechos ocurrieron en un centro de reclusión bajo control de autoridades estatales y que ya se ha individualizado a tres personas a quienes se ha imputado responsabilidad penal.</w:t>
      </w:r>
    </w:p>
    <w:p w14:paraId="190CCF64" w14:textId="77777777" w:rsidR="00D47AFE" w:rsidRDefault="00D47AFE" w:rsidP="00B476ED">
      <w:pPr>
        <w:pStyle w:val="Prrafodelista"/>
        <w:spacing w:line="240" w:lineRule="auto"/>
        <w:ind w:right="-801"/>
        <w:rPr>
          <w:rFonts w:eastAsia="Calibri" w:cs="Calibri"/>
          <w:sz w:val="20"/>
          <w:szCs w:val="20"/>
        </w:rPr>
      </w:pPr>
    </w:p>
    <w:p w14:paraId="1B7CE235" w14:textId="77777777" w:rsidR="00D47AFE" w:rsidRDefault="00D47AFE" w:rsidP="00B476ED">
      <w:pPr>
        <w:numPr>
          <w:ilvl w:val="0"/>
          <w:numId w:val="31"/>
        </w:numPr>
        <w:tabs>
          <w:tab w:val="left" w:pos="567"/>
        </w:tabs>
        <w:spacing w:line="240" w:lineRule="auto"/>
        <w:ind w:left="0" w:right="-801" w:firstLine="0"/>
        <w:rPr>
          <w:sz w:val="16"/>
          <w:szCs w:val="16"/>
          <w:lang w:val="es-ES"/>
        </w:rPr>
      </w:pPr>
      <w:r w:rsidRPr="00D81F2D">
        <w:rPr>
          <w:rFonts w:eastAsia="Calibri" w:cs="Calibri"/>
          <w:sz w:val="20"/>
          <w:szCs w:val="20"/>
        </w:rPr>
        <w:t xml:space="preserve">Adujeron, además, que más de dos años después de iniciadas las investigaciones, </w:t>
      </w:r>
      <w:r w:rsidRPr="003C748A">
        <w:rPr>
          <w:rFonts w:eastAsia="Calibri" w:cs="Calibri"/>
          <w:sz w:val="20"/>
          <w:szCs w:val="20"/>
        </w:rPr>
        <w:t xml:space="preserve">el </w:t>
      </w:r>
      <w:r w:rsidRPr="003C748A">
        <w:rPr>
          <w:sz w:val="20"/>
          <w:szCs w:val="20"/>
        </w:rPr>
        <w:t>Cuerpo de Investigaciones Científicas, Penales y Criminalísticas (</w:t>
      </w:r>
      <w:r w:rsidRPr="003C748A">
        <w:rPr>
          <w:rFonts w:eastAsia="Calibri" w:cs="Calibri"/>
          <w:sz w:val="20"/>
          <w:szCs w:val="20"/>
        </w:rPr>
        <w:t>CICPC)</w:t>
      </w:r>
      <w:r w:rsidRPr="00D81F2D">
        <w:rPr>
          <w:rFonts w:eastAsia="Calibri" w:cs="Calibri"/>
          <w:sz w:val="20"/>
          <w:szCs w:val="20"/>
        </w:rPr>
        <w:t>, aún no había practicado pruebas ordenadas por la Fiscalía. A</w:t>
      </w:r>
      <w:r>
        <w:rPr>
          <w:rFonts w:eastAsia="Calibri" w:cs="Calibri"/>
          <w:sz w:val="20"/>
          <w:szCs w:val="20"/>
        </w:rPr>
        <w:t>firmaron también que</w:t>
      </w:r>
      <w:r w:rsidRPr="00D81F2D">
        <w:rPr>
          <w:rFonts w:eastAsia="Calibri" w:cs="Calibri"/>
          <w:sz w:val="20"/>
          <w:szCs w:val="20"/>
        </w:rPr>
        <w:t xml:space="preserve"> la diligencia de reconstrucción de los hechos fue realizada más de un año después de iniciada la investigación y</w:t>
      </w:r>
      <w:r>
        <w:rPr>
          <w:rFonts w:eastAsia="Calibri" w:cs="Calibri"/>
          <w:sz w:val="20"/>
          <w:szCs w:val="20"/>
        </w:rPr>
        <w:t xml:space="preserve"> que</w:t>
      </w:r>
      <w:r w:rsidRPr="00D81F2D">
        <w:rPr>
          <w:rFonts w:eastAsia="Calibri" w:cs="Calibri"/>
          <w:sz w:val="20"/>
          <w:szCs w:val="20"/>
        </w:rPr>
        <w:t>, al realizarse</w:t>
      </w:r>
      <w:r>
        <w:rPr>
          <w:rFonts w:eastAsia="Calibri" w:cs="Calibri"/>
          <w:sz w:val="20"/>
          <w:szCs w:val="20"/>
        </w:rPr>
        <w:t>,</w:t>
      </w:r>
      <w:r w:rsidRPr="00D81F2D">
        <w:rPr>
          <w:rFonts w:eastAsia="Calibri" w:cs="Calibri"/>
          <w:sz w:val="20"/>
          <w:szCs w:val="20"/>
        </w:rPr>
        <w:t xml:space="preserve"> fue “infructuosa”</w:t>
      </w:r>
      <w:r>
        <w:rPr>
          <w:rFonts w:eastAsia="Calibri" w:cs="Calibri"/>
          <w:sz w:val="20"/>
          <w:szCs w:val="20"/>
        </w:rPr>
        <w:t>,</w:t>
      </w:r>
      <w:r w:rsidRPr="00D81F2D">
        <w:rPr>
          <w:rFonts w:eastAsia="Calibri" w:cs="Calibri"/>
          <w:sz w:val="20"/>
          <w:szCs w:val="20"/>
        </w:rPr>
        <w:t xml:space="preserve"> porque las autoridades del Centro habían modificado las instalaciones</w:t>
      </w:r>
      <w:r>
        <w:rPr>
          <w:rFonts w:eastAsia="Calibri" w:cs="Calibri"/>
          <w:sz w:val="20"/>
          <w:szCs w:val="20"/>
        </w:rPr>
        <w:t xml:space="preserve"> y</w:t>
      </w:r>
      <w:r w:rsidRPr="00D81F2D">
        <w:rPr>
          <w:rFonts w:eastAsia="Calibri" w:cs="Calibri"/>
          <w:sz w:val="20"/>
          <w:szCs w:val="20"/>
        </w:rPr>
        <w:t xml:space="preserve"> no se pudo determinar en dónde estaba ubicada la celda en que ocurrió el incendio.</w:t>
      </w:r>
    </w:p>
    <w:p w14:paraId="20FECB8B" w14:textId="77777777" w:rsidR="00D47AFE" w:rsidRDefault="00D47AFE" w:rsidP="00B476ED">
      <w:pPr>
        <w:pStyle w:val="Prrafodelista"/>
        <w:spacing w:line="240" w:lineRule="auto"/>
        <w:ind w:right="-801"/>
        <w:rPr>
          <w:rFonts w:eastAsia="Calibri" w:cs="Calibri"/>
          <w:sz w:val="20"/>
          <w:szCs w:val="20"/>
        </w:rPr>
      </w:pPr>
    </w:p>
    <w:p w14:paraId="69D3677D" w14:textId="77777777" w:rsidR="00D47AFE" w:rsidRDefault="00D47AFE" w:rsidP="00B476ED">
      <w:pPr>
        <w:numPr>
          <w:ilvl w:val="0"/>
          <w:numId w:val="31"/>
        </w:numPr>
        <w:tabs>
          <w:tab w:val="left" w:pos="567"/>
        </w:tabs>
        <w:spacing w:line="240" w:lineRule="auto"/>
        <w:ind w:left="0" w:right="-801" w:firstLine="0"/>
        <w:rPr>
          <w:sz w:val="16"/>
          <w:szCs w:val="16"/>
          <w:lang w:val="es-ES"/>
        </w:rPr>
      </w:pPr>
      <w:r w:rsidRPr="00D81F2D">
        <w:rPr>
          <w:rFonts w:eastAsia="Calibri" w:cs="Calibri"/>
          <w:sz w:val="20"/>
          <w:szCs w:val="20"/>
        </w:rPr>
        <w:t xml:space="preserve">Por lo expuesto anteriormente, los representantes concluyeron que el Estado violó los derechos a las garantías judiciales y </w:t>
      </w:r>
      <w:r>
        <w:rPr>
          <w:rFonts w:eastAsia="Calibri" w:cs="Calibri"/>
          <w:sz w:val="20"/>
          <w:szCs w:val="20"/>
        </w:rPr>
        <w:t xml:space="preserve">a la </w:t>
      </w:r>
      <w:r w:rsidRPr="00D81F2D">
        <w:rPr>
          <w:rFonts w:eastAsia="Calibri" w:cs="Calibri"/>
          <w:sz w:val="20"/>
          <w:szCs w:val="20"/>
        </w:rPr>
        <w:t>protección judicial establecido</w:t>
      </w:r>
      <w:r>
        <w:rPr>
          <w:rFonts w:eastAsia="Calibri" w:cs="Calibri"/>
          <w:sz w:val="20"/>
          <w:szCs w:val="20"/>
        </w:rPr>
        <w:t>s</w:t>
      </w:r>
      <w:r w:rsidRPr="00D81F2D">
        <w:rPr>
          <w:rFonts w:eastAsia="Calibri" w:cs="Calibri"/>
          <w:sz w:val="20"/>
          <w:szCs w:val="20"/>
        </w:rPr>
        <w:t xml:space="preserve"> en los artículos 8 y 25 de la Convención</w:t>
      </w:r>
      <w:r>
        <w:rPr>
          <w:rFonts w:eastAsia="Calibri" w:cs="Calibri"/>
          <w:sz w:val="20"/>
          <w:szCs w:val="20"/>
        </w:rPr>
        <w:t xml:space="preserve"> Americana</w:t>
      </w:r>
      <w:r w:rsidRPr="00D81F2D">
        <w:rPr>
          <w:rFonts w:eastAsia="Calibri" w:cs="Calibri"/>
          <w:sz w:val="20"/>
          <w:szCs w:val="20"/>
        </w:rPr>
        <w:t xml:space="preserve">. </w:t>
      </w:r>
    </w:p>
    <w:p w14:paraId="6E361800" w14:textId="77777777" w:rsidR="00D47AFE" w:rsidRDefault="00D47AFE" w:rsidP="00B476ED">
      <w:pPr>
        <w:pStyle w:val="Prrafodelista"/>
        <w:spacing w:line="240" w:lineRule="auto"/>
        <w:ind w:right="-801"/>
        <w:rPr>
          <w:rFonts w:eastAsia="Calibri"/>
          <w:sz w:val="20"/>
          <w:szCs w:val="20"/>
          <w:lang w:val="es-ES"/>
        </w:rPr>
      </w:pPr>
    </w:p>
    <w:p w14:paraId="2C439FED" w14:textId="77777777" w:rsidR="00D47AFE" w:rsidRDefault="00D47AFE" w:rsidP="00B476ED">
      <w:pPr>
        <w:numPr>
          <w:ilvl w:val="0"/>
          <w:numId w:val="31"/>
        </w:numPr>
        <w:tabs>
          <w:tab w:val="left" w:pos="567"/>
        </w:tabs>
        <w:spacing w:line="240" w:lineRule="auto"/>
        <w:ind w:left="0" w:right="-801" w:firstLine="0"/>
        <w:rPr>
          <w:sz w:val="16"/>
          <w:szCs w:val="16"/>
          <w:lang w:val="es-ES"/>
        </w:rPr>
      </w:pPr>
      <w:r w:rsidRPr="00D81F2D">
        <w:rPr>
          <w:rFonts w:eastAsia="Calibri"/>
          <w:sz w:val="20"/>
          <w:szCs w:val="20"/>
          <w:lang w:val="es-ES"/>
        </w:rPr>
        <w:t xml:space="preserve">El </w:t>
      </w:r>
      <w:r w:rsidRPr="00D81F2D">
        <w:rPr>
          <w:rFonts w:eastAsia="Calibri"/>
          <w:b/>
          <w:i/>
          <w:sz w:val="20"/>
          <w:szCs w:val="20"/>
          <w:lang w:val="es-ES"/>
        </w:rPr>
        <w:t>Estado</w:t>
      </w:r>
      <w:r w:rsidRPr="00D81F2D">
        <w:rPr>
          <w:rFonts w:eastAsia="Calibri"/>
          <w:sz w:val="20"/>
          <w:szCs w:val="20"/>
          <w:lang w:val="es-ES"/>
        </w:rPr>
        <w:t xml:space="preserve"> reconoció su responsabilidad internacional por no haber asegurado un recurso efectivo para esclarecer lo sucedido y establecer las responsabilidades correspondientes, en contravención a los artículos 8.1 y 25.1 de la Convención Americana en relación con las obligaciones previstas en su artículo 1.1 (</w:t>
      </w:r>
      <w:r w:rsidRPr="00D81F2D">
        <w:rPr>
          <w:rFonts w:eastAsia="Calibri"/>
          <w:i/>
          <w:sz w:val="20"/>
          <w:szCs w:val="20"/>
          <w:lang w:val="es-ES"/>
        </w:rPr>
        <w:t xml:space="preserve">supra </w:t>
      </w:r>
      <w:proofErr w:type="spellStart"/>
      <w:r w:rsidRPr="00D81F2D">
        <w:rPr>
          <w:rFonts w:eastAsia="Calibri"/>
          <w:sz w:val="20"/>
          <w:szCs w:val="20"/>
          <w:lang w:val="es-ES"/>
        </w:rPr>
        <w:t>párr</w:t>
      </w:r>
      <w:r>
        <w:rPr>
          <w:rFonts w:eastAsia="Calibri"/>
          <w:sz w:val="20"/>
          <w:szCs w:val="20"/>
          <w:lang w:val="es-ES"/>
        </w:rPr>
        <w:t>s</w:t>
      </w:r>
      <w:proofErr w:type="spellEnd"/>
      <w:r w:rsidRPr="00D81F2D">
        <w:rPr>
          <w:rFonts w:eastAsia="Calibri"/>
          <w:sz w:val="20"/>
          <w:szCs w:val="20"/>
          <w:lang w:val="es-ES"/>
        </w:rPr>
        <w:t xml:space="preserve">. </w:t>
      </w:r>
      <w:r>
        <w:rPr>
          <w:rFonts w:eastAsia="Calibri"/>
          <w:sz w:val="20"/>
          <w:szCs w:val="20"/>
          <w:lang w:val="es-ES"/>
        </w:rPr>
        <w:t>13 y 20</w:t>
      </w:r>
      <w:r w:rsidRPr="00D81F2D">
        <w:rPr>
          <w:rFonts w:eastAsia="Calibri"/>
          <w:sz w:val="20"/>
          <w:szCs w:val="20"/>
          <w:lang w:val="es-ES"/>
        </w:rPr>
        <w:t xml:space="preserve">). </w:t>
      </w:r>
    </w:p>
    <w:p w14:paraId="395B1E8A" w14:textId="77777777" w:rsidR="00D47AFE" w:rsidRPr="002D5C9D" w:rsidRDefault="00D47AFE" w:rsidP="00B476ED">
      <w:pPr>
        <w:pStyle w:val="Prrafodelista"/>
        <w:spacing w:line="240" w:lineRule="auto"/>
        <w:ind w:right="-801"/>
        <w:rPr>
          <w:sz w:val="20"/>
          <w:szCs w:val="20"/>
          <w:lang w:val="es-ES"/>
        </w:rPr>
      </w:pPr>
    </w:p>
    <w:p w14:paraId="77AF6CFF" w14:textId="3D706BDF" w:rsidR="00D47AFE" w:rsidRPr="004754B0" w:rsidRDefault="00D47AFE" w:rsidP="00700B9F">
      <w:pPr>
        <w:pStyle w:val="Ttulo2"/>
        <w:numPr>
          <w:ilvl w:val="0"/>
          <w:numId w:val="4"/>
        </w:numPr>
        <w:tabs>
          <w:tab w:val="clear" w:pos="1134"/>
        </w:tabs>
        <w:spacing w:before="0" w:after="0"/>
        <w:ind w:left="284" w:right="-801" w:firstLine="0"/>
      </w:pPr>
      <w:bookmarkStart w:id="69" w:name="_Toc54543718"/>
      <w:bookmarkStart w:id="70" w:name="_Toc58329012"/>
      <w:bookmarkStart w:id="71" w:name="_Toc58330231"/>
      <w:r w:rsidRPr="004754B0">
        <w:t>Consideraciones de la Corte</w:t>
      </w:r>
      <w:bookmarkEnd w:id="69"/>
      <w:bookmarkEnd w:id="70"/>
      <w:bookmarkEnd w:id="71"/>
      <w:r w:rsidRPr="004754B0">
        <w:t xml:space="preserve"> </w:t>
      </w:r>
    </w:p>
    <w:p w14:paraId="1FF55CD0" w14:textId="77777777" w:rsidR="00D47AFE" w:rsidRDefault="00D47AFE" w:rsidP="00B476ED">
      <w:pPr>
        <w:pStyle w:val="Prrafodelista"/>
        <w:spacing w:line="240" w:lineRule="auto"/>
        <w:ind w:right="-801"/>
        <w:rPr>
          <w:sz w:val="20"/>
          <w:szCs w:val="20"/>
        </w:rPr>
      </w:pPr>
    </w:p>
    <w:p w14:paraId="22F659E0" w14:textId="77777777" w:rsidR="00D47AFE" w:rsidRPr="00A86156" w:rsidRDefault="00D47AFE" w:rsidP="00B476ED">
      <w:pPr>
        <w:numPr>
          <w:ilvl w:val="0"/>
          <w:numId w:val="31"/>
        </w:numPr>
        <w:tabs>
          <w:tab w:val="left" w:pos="567"/>
        </w:tabs>
        <w:spacing w:line="240" w:lineRule="auto"/>
        <w:ind w:left="0" w:right="-801" w:firstLine="0"/>
        <w:rPr>
          <w:sz w:val="20"/>
          <w:szCs w:val="20"/>
          <w:lang w:val="es-ES"/>
        </w:rPr>
      </w:pPr>
      <w:r w:rsidRPr="00A86156">
        <w:rPr>
          <w:sz w:val="20"/>
          <w:szCs w:val="20"/>
        </w:rPr>
        <w:t xml:space="preserve">De conformidad con la Convención Americana, los Estados Partes están obligados a suministrar recursos judiciales efectivos a las víctimas de violaciones a los derechos humanos (artículo 25),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 El derecho de acceso a la justicia debe </w:t>
      </w:r>
      <w:r w:rsidRPr="00A86156">
        <w:rPr>
          <w:sz w:val="20"/>
          <w:szCs w:val="20"/>
        </w:rPr>
        <w:lastRenderedPageBreak/>
        <w:t>asegurar, en tiempo razonable, el derecho de las presuntas víctimas o sus familiares a que se haga todo lo necesario para conocer la verdad de lo sucedido e investigar, juzgar y, en su caso, sancionar a los eventuales responsables</w:t>
      </w:r>
      <w:r w:rsidRPr="00A86156">
        <w:rPr>
          <w:rStyle w:val="Refdenotaalpie"/>
          <w:sz w:val="20"/>
          <w:szCs w:val="20"/>
          <w:lang w:val="es-AR"/>
        </w:rPr>
        <w:footnoteReference w:id="123"/>
      </w:r>
      <w:r w:rsidRPr="00A86156">
        <w:rPr>
          <w:sz w:val="20"/>
          <w:szCs w:val="20"/>
        </w:rPr>
        <w:t>.</w:t>
      </w:r>
    </w:p>
    <w:p w14:paraId="5FE2B6B2" w14:textId="77777777" w:rsidR="00D47AFE" w:rsidRDefault="00D47AFE" w:rsidP="00B476ED">
      <w:pPr>
        <w:tabs>
          <w:tab w:val="left" w:pos="567"/>
        </w:tabs>
        <w:spacing w:line="240" w:lineRule="auto"/>
        <w:ind w:right="-801"/>
        <w:rPr>
          <w:sz w:val="16"/>
          <w:szCs w:val="16"/>
          <w:lang w:val="es-ES"/>
        </w:rPr>
      </w:pPr>
    </w:p>
    <w:p w14:paraId="1787C014" w14:textId="77777777" w:rsidR="00D47AFE" w:rsidRPr="00A86156" w:rsidRDefault="00D47AFE" w:rsidP="00B476ED">
      <w:pPr>
        <w:numPr>
          <w:ilvl w:val="0"/>
          <w:numId w:val="31"/>
        </w:numPr>
        <w:tabs>
          <w:tab w:val="left" w:pos="567"/>
        </w:tabs>
        <w:spacing w:line="240" w:lineRule="auto"/>
        <w:ind w:left="0" w:right="-801" w:firstLine="0"/>
        <w:rPr>
          <w:sz w:val="20"/>
          <w:szCs w:val="20"/>
          <w:lang w:val="es-ES"/>
        </w:rPr>
      </w:pPr>
      <w:r w:rsidRPr="00A86156">
        <w:rPr>
          <w:rFonts w:cs="Arial"/>
          <w:sz w:val="20"/>
          <w:szCs w:val="20"/>
        </w:rPr>
        <w:t>El Tribunal ha indicado también que el deber de investigar es de medios, y no de resultados, pero exige que el órgano que investiga procure el resultado que se persigue; es decir debe llevar a cabo todas aquellas actuaciones y averiguaciones necesarias, por los medios legales disponibles, para lograr la determinación de la verdad</w:t>
      </w:r>
      <w:r w:rsidRPr="00A86156">
        <w:rPr>
          <w:rStyle w:val="Refdenotaalpie"/>
          <w:rFonts w:cs="Arial"/>
          <w:sz w:val="20"/>
          <w:szCs w:val="20"/>
        </w:rPr>
        <w:footnoteReference w:id="124"/>
      </w:r>
      <w:r w:rsidRPr="00A86156">
        <w:rPr>
          <w:rFonts w:cs="Arial"/>
          <w:sz w:val="20"/>
          <w:szCs w:val="20"/>
        </w:rPr>
        <w:t xml:space="preserve">. </w:t>
      </w:r>
      <w:r w:rsidRPr="00A86156">
        <w:rPr>
          <w:sz w:val="20"/>
          <w:szCs w:val="20"/>
        </w:rPr>
        <w:t xml:space="preserve">En tal sentido, </w:t>
      </w:r>
      <w:r w:rsidRPr="00A86156">
        <w:rPr>
          <w:rFonts w:cs="Arial"/>
          <w:sz w:val="20"/>
          <w:szCs w:val="20"/>
        </w:rPr>
        <w:t xml:space="preserve">para que una investigación sea efectiva en los términos de la </w:t>
      </w:r>
      <w:r w:rsidRPr="00A86156">
        <w:rPr>
          <w:rStyle w:val="nfasis"/>
          <w:rFonts w:cs="Arial"/>
          <w:i w:val="0"/>
          <w:sz w:val="20"/>
          <w:szCs w:val="20"/>
        </w:rPr>
        <w:t>Con</w:t>
      </w:r>
      <w:r w:rsidRPr="00A86156">
        <w:rPr>
          <w:rFonts w:cs="Arial"/>
          <w:sz w:val="20"/>
          <w:szCs w:val="20"/>
        </w:rPr>
        <w:t>vención,</w:t>
      </w:r>
      <w:r w:rsidRPr="00A86156">
        <w:rPr>
          <w:rFonts w:cs="Arial"/>
          <w:i/>
          <w:sz w:val="20"/>
          <w:szCs w:val="20"/>
        </w:rPr>
        <w:t xml:space="preserve"> </w:t>
      </w:r>
      <w:r w:rsidRPr="00A86156">
        <w:rPr>
          <w:rStyle w:val="nfasis"/>
          <w:rFonts w:cs="Arial"/>
          <w:i w:val="0"/>
          <w:sz w:val="20"/>
          <w:szCs w:val="20"/>
        </w:rPr>
        <w:t xml:space="preserve">debe llevarse a cabo con la debida diligencia. En ese sentido, </w:t>
      </w:r>
      <w:r w:rsidRPr="00A86156">
        <w:rPr>
          <w:snapToGrid w:val="0"/>
          <w:spacing w:val="-2"/>
          <w:sz w:val="20"/>
          <w:szCs w:val="20"/>
          <w:lang w:eastAsia="es-ES"/>
        </w:rPr>
        <w:t>debe evitar omisiones en la recaudación de prueba y en el seguimiento de líneas lógicas de investigación</w:t>
      </w:r>
      <w:r w:rsidRPr="00A86156">
        <w:rPr>
          <w:rStyle w:val="Refdenotaalpie"/>
          <w:spacing w:val="-2"/>
          <w:sz w:val="20"/>
          <w:szCs w:val="20"/>
        </w:rPr>
        <w:footnoteReference w:id="125"/>
      </w:r>
      <w:r w:rsidRPr="00A86156">
        <w:rPr>
          <w:snapToGrid w:val="0"/>
          <w:spacing w:val="-2"/>
          <w:sz w:val="20"/>
          <w:szCs w:val="20"/>
          <w:lang w:eastAsia="es-ES"/>
        </w:rPr>
        <w:t>.</w:t>
      </w:r>
    </w:p>
    <w:p w14:paraId="4DE08AF1" w14:textId="77777777" w:rsidR="00D47AFE" w:rsidRDefault="00D47AFE" w:rsidP="00B476ED">
      <w:pPr>
        <w:pStyle w:val="Prrafodelista"/>
        <w:spacing w:line="240" w:lineRule="auto"/>
        <w:ind w:right="-801"/>
        <w:rPr>
          <w:rFonts w:cs="Arial"/>
          <w:sz w:val="20"/>
          <w:szCs w:val="20"/>
        </w:rPr>
      </w:pPr>
    </w:p>
    <w:p w14:paraId="3A3F2AEC" w14:textId="77777777" w:rsidR="00D47AFE" w:rsidRPr="00A86156" w:rsidRDefault="00D47AFE" w:rsidP="00B476ED">
      <w:pPr>
        <w:numPr>
          <w:ilvl w:val="0"/>
          <w:numId w:val="31"/>
        </w:numPr>
        <w:tabs>
          <w:tab w:val="left" w:pos="567"/>
        </w:tabs>
        <w:spacing w:line="240" w:lineRule="auto"/>
        <w:ind w:left="0" w:right="-801" w:firstLine="0"/>
        <w:rPr>
          <w:sz w:val="20"/>
          <w:szCs w:val="20"/>
          <w:lang w:val="es-ES"/>
        </w:rPr>
      </w:pPr>
      <w:r w:rsidRPr="00A86156">
        <w:rPr>
          <w:rFonts w:cs="Arial"/>
          <w:sz w:val="20"/>
          <w:szCs w:val="20"/>
        </w:rPr>
        <w:t xml:space="preserve">Por otro lado, </w:t>
      </w:r>
      <w:r w:rsidRPr="00955F88">
        <w:rPr>
          <w:rFonts w:eastAsia="MS Mincho" w:cs="Verdana"/>
          <w:bCs/>
          <w:sz w:val="20"/>
          <w:szCs w:val="20"/>
          <w:lang w:eastAsia="en-US"/>
        </w:rPr>
        <w:t>el Tribunal</w:t>
      </w:r>
      <w:r w:rsidRPr="00A86156">
        <w:rPr>
          <w:rFonts w:cs="Verdana"/>
          <w:bCs/>
          <w:sz w:val="20"/>
          <w:szCs w:val="20"/>
        </w:rPr>
        <w:t xml:space="preserve"> ha establecido en su jurisprudencia constante que una demora prolongada en el proceso puede llegar a constituir, por sí misma, una </w:t>
      </w:r>
      <w:r w:rsidRPr="00A86156">
        <w:rPr>
          <w:snapToGrid w:val="0"/>
          <w:spacing w:val="-2"/>
          <w:sz w:val="20"/>
          <w:szCs w:val="20"/>
          <w:lang w:eastAsia="es-ES"/>
        </w:rPr>
        <w:t>violación</w:t>
      </w:r>
      <w:r w:rsidRPr="00A86156">
        <w:rPr>
          <w:rFonts w:cs="Verdana"/>
          <w:bCs/>
          <w:sz w:val="20"/>
          <w:szCs w:val="20"/>
        </w:rPr>
        <w:t xml:space="preserve"> a las garantías judiciales</w:t>
      </w:r>
      <w:r w:rsidRPr="00A86156">
        <w:rPr>
          <w:rStyle w:val="Refdenotaalpie"/>
          <w:bCs/>
          <w:sz w:val="20"/>
          <w:szCs w:val="20"/>
        </w:rPr>
        <w:footnoteReference w:id="126"/>
      </w:r>
      <w:r w:rsidRPr="00A86156">
        <w:rPr>
          <w:rFonts w:cs="Verdana"/>
          <w:bCs/>
          <w:sz w:val="20"/>
          <w:szCs w:val="20"/>
        </w:rPr>
        <w:t>. La evaluación del plazo razonable se debe analizar en cada caso concreto, en relación con la duración total del proceso, desde el primer acto procesal hasta que se dicte sentencia definitiva, incluyendo los recursos de instancia que pudieran eventualmente presentarse</w:t>
      </w:r>
      <w:r w:rsidRPr="00A86156">
        <w:rPr>
          <w:rStyle w:val="Refdenotaalpie"/>
          <w:bCs/>
          <w:sz w:val="20"/>
          <w:szCs w:val="20"/>
        </w:rPr>
        <w:footnoteReference w:id="127"/>
      </w:r>
      <w:r w:rsidRPr="00A86156">
        <w:rPr>
          <w:rFonts w:cs="Verdana"/>
          <w:bCs/>
          <w:sz w:val="20"/>
          <w:szCs w:val="20"/>
        </w:rPr>
        <w:t>.</w:t>
      </w:r>
    </w:p>
    <w:p w14:paraId="245E84BD" w14:textId="77777777" w:rsidR="00D47AFE" w:rsidRDefault="00D47AFE" w:rsidP="00B476ED">
      <w:pPr>
        <w:pStyle w:val="Prrafodelista"/>
        <w:spacing w:line="240" w:lineRule="auto"/>
        <w:ind w:right="-801"/>
        <w:rPr>
          <w:sz w:val="20"/>
          <w:szCs w:val="20"/>
          <w:lang w:eastAsia="es-MX"/>
        </w:rPr>
      </w:pPr>
    </w:p>
    <w:p w14:paraId="59171ACE" w14:textId="77777777" w:rsidR="00D47AFE" w:rsidRDefault="00D47AFE" w:rsidP="00B476ED">
      <w:pPr>
        <w:numPr>
          <w:ilvl w:val="0"/>
          <w:numId w:val="31"/>
        </w:numPr>
        <w:tabs>
          <w:tab w:val="left" w:pos="567"/>
        </w:tabs>
        <w:spacing w:line="240" w:lineRule="auto"/>
        <w:ind w:left="0" w:right="-801" w:firstLine="0"/>
        <w:rPr>
          <w:sz w:val="16"/>
          <w:szCs w:val="16"/>
          <w:lang w:val="es-ES"/>
        </w:rPr>
      </w:pPr>
      <w:r w:rsidRPr="00D81F2D">
        <w:rPr>
          <w:sz w:val="20"/>
          <w:szCs w:val="20"/>
          <w:lang w:eastAsia="es-MX"/>
        </w:rPr>
        <w:t xml:space="preserve">Surge de los hechos que las circunstancias que derivaron en la muerte de los cinco jóvenes que habitaban la celda 4 del INAM –San Félix no han sido todavía esclarecidas. En ese sentido, </w:t>
      </w:r>
      <w:proofErr w:type="gramStart"/>
      <w:r w:rsidRPr="00D81F2D">
        <w:rPr>
          <w:sz w:val="20"/>
          <w:szCs w:val="20"/>
          <w:lang w:eastAsia="es-MX"/>
        </w:rPr>
        <w:t>de acuerdo a</w:t>
      </w:r>
      <w:proofErr w:type="gramEnd"/>
      <w:r w:rsidRPr="00D81F2D">
        <w:rPr>
          <w:sz w:val="20"/>
          <w:szCs w:val="20"/>
          <w:lang w:eastAsia="es-MX"/>
        </w:rPr>
        <w:t xml:space="preserve"> la información con que cuenta la Corte, el proceso penal respectivo no ha concluido</w:t>
      </w:r>
      <w:r>
        <w:rPr>
          <w:sz w:val="20"/>
          <w:szCs w:val="20"/>
          <w:lang w:eastAsia="es-MX"/>
        </w:rPr>
        <w:t xml:space="preserve"> (</w:t>
      </w:r>
      <w:r>
        <w:rPr>
          <w:i/>
          <w:sz w:val="20"/>
          <w:szCs w:val="20"/>
          <w:lang w:eastAsia="es-MX"/>
        </w:rPr>
        <w:t xml:space="preserve">supra </w:t>
      </w:r>
      <w:r>
        <w:rPr>
          <w:sz w:val="20"/>
          <w:szCs w:val="20"/>
          <w:lang w:eastAsia="es-MX"/>
        </w:rPr>
        <w:t>párr. 67)</w:t>
      </w:r>
      <w:r w:rsidRPr="00D81F2D">
        <w:rPr>
          <w:sz w:val="20"/>
          <w:szCs w:val="20"/>
          <w:lang w:eastAsia="es-MX"/>
        </w:rPr>
        <w:t>. Además, como ha quedado dicho, el Estado reconoció su responsabilidad por la violación de los derechos reconocidos en los artículos 8.1 y 25 de la Convención Americana</w:t>
      </w:r>
      <w:r>
        <w:rPr>
          <w:sz w:val="20"/>
          <w:szCs w:val="20"/>
          <w:lang w:eastAsia="es-MX"/>
        </w:rPr>
        <w:t xml:space="preserve"> (</w:t>
      </w:r>
      <w:r>
        <w:rPr>
          <w:i/>
          <w:sz w:val="20"/>
          <w:szCs w:val="20"/>
          <w:lang w:eastAsia="es-MX"/>
        </w:rPr>
        <w:t xml:space="preserve">supra </w:t>
      </w:r>
      <w:proofErr w:type="spellStart"/>
      <w:r>
        <w:rPr>
          <w:sz w:val="20"/>
          <w:szCs w:val="20"/>
          <w:lang w:eastAsia="es-MX"/>
        </w:rPr>
        <w:t>párrs</w:t>
      </w:r>
      <w:proofErr w:type="spellEnd"/>
      <w:r w:rsidRPr="00D81F2D">
        <w:rPr>
          <w:sz w:val="20"/>
          <w:szCs w:val="20"/>
          <w:lang w:eastAsia="es-MX"/>
        </w:rPr>
        <w:t>.</w:t>
      </w:r>
      <w:r>
        <w:rPr>
          <w:sz w:val="20"/>
          <w:szCs w:val="20"/>
          <w:lang w:eastAsia="es-MX"/>
        </w:rPr>
        <w:t xml:space="preserve"> 13, 20 y 119).</w:t>
      </w:r>
      <w:r w:rsidRPr="00D81F2D">
        <w:rPr>
          <w:sz w:val="20"/>
          <w:szCs w:val="20"/>
          <w:lang w:eastAsia="es-MX"/>
        </w:rPr>
        <w:t xml:space="preserve"> </w:t>
      </w:r>
    </w:p>
    <w:p w14:paraId="666C2A00" w14:textId="77777777" w:rsidR="00D47AFE" w:rsidRDefault="00D47AFE" w:rsidP="00B476ED">
      <w:pPr>
        <w:pStyle w:val="Prrafodelista"/>
        <w:spacing w:line="240" w:lineRule="auto"/>
        <w:ind w:right="-801"/>
        <w:rPr>
          <w:sz w:val="20"/>
          <w:szCs w:val="20"/>
          <w:lang w:val="es-CO"/>
        </w:rPr>
      </w:pPr>
    </w:p>
    <w:p w14:paraId="5E9421AF" w14:textId="77777777" w:rsidR="00D47AFE" w:rsidRDefault="00D47AFE" w:rsidP="00B476ED">
      <w:pPr>
        <w:numPr>
          <w:ilvl w:val="0"/>
          <w:numId w:val="31"/>
        </w:numPr>
        <w:tabs>
          <w:tab w:val="left" w:pos="567"/>
        </w:tabs>
        <w:spacing w:line="240" w:lineRule="auto"/>
        <w:ind w:left="0" w:right="-801" w:firstLine="0"/>
        <w:rPr>
          <w:sz w:val="16"/>
          <w:szCs w:val="16"/>
          <w:lang w:val="es-ES"/>
        </w:rPr>
      </w:pPr>
      <w:r w:rsidRPr="00D81F2D">
        <w:rPr>
          <w:sz w:val="20"/>
          <w:szCs w:val="20"/>
          <w:lang w:val="es-CO"/>
        </w:rPr>
        <w:t xml:space="preserve">A partir de los hechos, y teniendo en cuenta la posición conteste de las partes y la Comisión, es posible concluir que las actuaciones no han sido seguidas en forma diligente y en un plazo razonable. </w:t>
      </w:r>
    </w:p>
    <w:p w14:paraId="73DD0EB0" w14:textId="77777777" w:rsidR="00D47AFE" w:rsidRDefault="00D47AFE" w:rsidP="00B476ED">
      <w:pPr>
        <w:pStyle w:val="Prrafodelista"/>
        <w:spacing w:line="240" w:lineRule="auto"/>
        <w:ind w:right="-801"/>
        <w:rPr>
          <w:sz w:val="20"/>
          <w:szCs w:val="20"/>
          <w:lang w:val="es-CO"/>
        </w:rPr>
      </w:pPr>
    </w:p>
    <w:p w14:paraId="02896729" w14:textId="77777777" w:rsidR="00D47AFE" w:rsidRDefault="00D47AFE" w:rsidP="00B476ED">
      <w:pPr>
        <w:numPr>
          <w:ilvl w:val="0"/>
          <w:numId w:val="31"/>
        </w:numPr>
        <w:tabs>
          <w:tab w:val="left" w:pos="567"/>
        </w:tabs>
        <w:spacing w:line="240" w:lineRule="auto"/>
        <w:ind w:left="0" w:right="-801" w:firstLine="0"/>
        <w:rPr>
          <w:sz w:val="16"/>
          <w:szCs w:val="16"/>
          <w:lang w:val="es-ES"/>
        </w:rPr>
      </w:pPr>
      <w:r w:rsidRPr="00D81F2D">
        <w:rPr>
          <w:sz w:val="20"/>
          <w:szCs w:val="20"/>
          <w:lang w:val="es-CO"/>
        </w:rPr>
        <w:t>Al respecto, habiendo transcurrido más de 15 años de ocurrido el incendio, el proceso continúa sin conclusión. En ese marco, aunque la Corte no cuenta con los detalles de todas las diligencias practicadas, ha habido inobservancias en la diligencia debida. En particular, como lo han señalado los representantes, la diligencia de reconstrucción de hechos fue efectuada en forma tardía, no sólo por el tiempo mayor a un año que había transcurrido desde los hechos, sino porque las instalaciones del Centro habían sido modificadas, lo que presentó un obstáculo a la eficacia de la medida de prueba</w:t>
      </w:r>
      <w:r>
        <w:rPr>
          <w:sz w:val="20"/>
          <w:szCs w:val="20"/>
          <w:lang w:val="es-CO"/>
        </w:rPr>
        <w:t xml:space="preserve"> (</w:t>
      </w:r>
      <w:r>
        <w:rPr>
          <w:i/>
          <w:sz w:val="20"/>
          <w:szCs w:val="20"/>
          <w:lang w:val="es-CO"/>
        </w:rPr>
        <w:t xml:space="preserve">supra </w:t>
      </w:r>
      <w:r>
        <w:rPr>
          <w:sz w:val="20"/>
          <w:szCs w:val="20"/>
          <w:lang w:val="es-CO"/>
        </w:rPr>
        <w:t>párr. 64)</w:t>
      </w:r>
      <w:r w:rsidRPr="00D81F2D">
        <w:rPr>
          <w:sz w:val="20"/>
          <w:szCs w:val="20"/>
          <w:lang w:val="es-CO"/>
        </w:rPr>
        <w:t xml:space="preserve">. </w:t>
      </w:r>
    </w:p>
    <w:p w14:paraId="6C472EB0" w14:textId="77777777" w:rsidR="00D47AFE" w:rsidRDefault="00D47AFE" w:rsidP="00B476ED">
      <w:pPr>
        <w:pStyle w:val="Prrafodelista"/>
        <w:spacing w:line="240" w:lineRule="auto"/>
        <w:ind w:right="-801"/>
        <w:rPr>
          <w:sz w:val="20"/>
          <w:szCs w:val="20"/>
          <w:lang w:val="es-CO"/>
        </w:rPr>
      </w:pPr>
    </w:p>
    <w:p w14:paraId="01D708E2" w14:textId="77777777" w:rsidR="00D47AFE" w:rsidRPr="00A86156" w:rsidRDefault="00D47AFE" w:rsidP="00B476ED">
      <w:pPr>
        <w:numPr>
          <w:ilvl w:val="0"/>
          <w:numId w:val="31"/>
        </w:numPr>
        <w:tabs>
          <w:tab w:val="left" w:pos="567"/>
        </w:tabs>
        <w:spacing w:line="240" w:lineRule="auto"/>
        <w:ind w:left="0" w:right="-801" w:firstLine="0"/>
        <w:rPr>
          <w:sz w:val="20"/>
          <w:szCs w:val="20"/>
          <w:lang w:val="es-ES"/>
        </w:rPr>
      </w:pPr>
      <w:r w:rsidRPr="00A86156">
        <w:rPr>
          <w:sz w:val="20"/>
          <w:szCs w:val="20"/>
          <w:lang w:val="es-CO"/>
        </w:rPr>
        <w:lastRenderedPageBreak/>
        <w:t>Además, aunque el 29 de septiembre de 2008 los fiscales intervinientes formularon acusación formal y solicitaron la apertura del juicio oral, la audiencia de juicio fue diferida en múltiples ocasiones (</w:t>
      </w:r>
      <w:r w:rsidRPr="00A86156">
        <w:rPr>
          <w:i/>
          <w:sz w:val="20"/>
          <w:szCs w:val="20"/>
          <w:lang w:val="es-CO"/>
        </w:rPr>
        <w:t xml:space="preserve">supra </w:t>
      </w:r>
      <w:proofErr w:type="spellStart"/>
      <w:r w:rsidRPr="00A86156">
        <w:rPr>
          <w:sz w:val="20"/>
          <w:szCs w:val="20"/>
          <w:lang w:val="es-CO"/>
        </w:rPr>
        <w:t>párrs</w:t>
      </w:r>
      <w:proofErr w:type="spellEnd"/>
      <w:r w:rsidRPr="00A86156">
        <w:rPr>
          <w:sz w:val="20"/>
          <w:szCs w:val="20"/>
          <w:lang w:val="es-CO"/>
        </w:rPr>
        <w:t>. 65 y66). Los representantes han indicado que ello sucedió al menos en 60 oportunidades. La Corte considera que lo expuesto conlleva una dilación ostensible que resulta contraria al derecho de las víctimas a acceder a la justicia</w:t>
      </w:r>
      <w:r w:rsidRPr="00A86156">
        <w:rPr>
          <w:rStyle w:val="Refdenotaalpie"/>
          <w:sz w:val="20"/>
          <w:szCs w:val="20"/>
          <w:lang w:val="es-CO"/>
        </w:rPr>
        <w:footnoteReference w:id="128"/>
      </w:r>
      <w:r w:rsidRPr="00A86156">
        <w:rPr>
          <w:sz w:val="20"/>
          <w:szCs w:val="20"/>
          <w:lang w:val="es-CO"/>
        </w:rPr>
        <w:t xml:space="preserve">. Teniendo esto en cuenta, así como el prolongado tiempo transcurrido desde los hechos y el reconocimiento estatal de responsabilidad, la Corte no entiende necesario, en este caso, efectuar un examen sobre tiempo insumido en las actuaciones internas. Lo expuesto, en efecto, resulta suficiente para concluir que las mismas no han observado un plazo razonable. </w:t>
      </w:r>
    </w:p>
    <w:p w14:paraId="317C82B8" w14:textId="77777777" w:rsidR="00D47AFE" w:rsidRDefault="00D47AFE" w:rsidP="00B476ED">
      <w:pPr>
        <w:pStyle w:val="Prrafodelista"/>
        <w:spacing w:line="240" w:lineRule="auto"/>
        <w:ind w:right="-801"/>
        <w:rPr>
          <w:sz w:val="20"/>
          <w:szCs w:val="20"/>
        </w:rPr>
      </w:pPr>
    </w:p>
    <w:p w14:paraId="10AFA4AA" w14:textId="7D431F78" w:rsidR="00D47AFE" w:rsidRPr="003C748A" w:rsidRDefault="00D47AFE" w:rsidP="00B476ED">
      <w:pPr>
        <w:numPr>
          <w:ilvl w:val="0"/>
          <w:numId w:val="31"/>
        </w:numPr>
        <w:tabs>
          <w:tab w:val="left" w:pos="567"/>
        </w:tabs>
        <w:spacing w:line="240" w:lineRule="auto"/>
        <w:ind w:left="0" w:right="-801" w:firstLine="0"/>
        <w:rPr>
          <w:sz w:val="16"/>
          <w:szCs w:val="16"/>
          <w:lang w:val="es-ES"/>
        </w:rPr>
      </w:pPr>
      <w:r w:rsidRPr="00D81F2D">
        <w:rPr>
          <w:sz w:val="20"/>
          <w:szCs w:val="20"/>
        </w:rPr>
        <w:t>Con base en lo señalado, la Corte concluye que Venezuela es responsable por la violación de los derechos a las garantías judiciales y a la protección judicial, reconocidos en los artículos 8.1 y 25</w:t>
      </w:r>
      <w:r w:rsidR="007E339B">
        <w:rPr>
          <w:sz w:val="20"/>
          <w:szCs w:val="20"/>
        </w:rPr>
        <w:t>.1</w:t>
      </w:r>
      <w:r w:rsidRPr="00D81F2D">
        <w:rPr>
          <w:sz w:val="20"/>
          <w:szCs w:val="20"/>
        </w:rPr>
        <w:t xml:space="preserve"> de la Convención Americana, en relación con las obligaciones en el artículo 1.1 del mismo instrumento, en perjuicio de los familiares de las personas fallecidas: </w:t>
      </w:r>
      <w:r w:rsidRPr="003C748A">
        <w:rPr>
          <w:sz w:val="20"/>
          <w:szCs w:val="20"/>
          <w:lang w:val="es-MX"/>
        </w:rPr>
        <w:t xml:space="preserve">Elvia </w:t>
      </w:r>
      <w:proofErr w:type="spellStart"/>
      <w:r w:rsidRPr="003C748A">
        <w:rPr>
          <w:sz w:val="20"/>
          <w:szCs w:val="20"/>
          <w:lang w:val="es-MX"/>
        </w:rPr>
        <w:t>Abarullo</w:t>
      </w:r>
      <w:proofErr w:type="spellEnd"/>
      <w:r w:rsidRPr="003C748A">
        <w:rPr>
          <w:sz w:val="20"/>
          <w:szCs w:val="20"/>
          <w:lang w:val="es-MX"/>
        </w:rPr>
        <w:t xml:space="preserve"> de Mota, Félix Enríquez Mota, </w:t>
      </w:r>
      <w:proofErr w:type="spellStart"/>
      <w:r w:rsidRPr="003C748A">
        <w:rPr>
          <w:sz w:val="20"/>
          <w:szCs w:val="20"/>
          <w:lang w:val="es-MX"/>
        </w:rPr>
        <w:t>Osmely</w:t>
      </w:r>
      <w:proofErr w:type="spellEnd"/>
      <w:r w:rsidRPr="003C748A">
        <w:rPr>
          <w:sz w:val="20"/>
          <w:szCs w:val="20"/>
          <w:lang w:val="es-MX"/>
        </w:rPr>
        <w:t xml:space="preserve"> Angelina Mota </w:t>
      </w:r>
      <w:proofErr w:type="spellStart"/>
      <w:r w:rsidRPr="003C748A">
        <w:rPr>
          <w:sz w:val="20"/>
          <w:szCs w:val="20"/>
          <w:lang w:val="es-MX"/>
        </w:rPr>
        <w:t>Abarullo</w:t>
      </w:r>
      <w:proofErr w:type="spellEnd"/>
      <w:r w:rsidRPr="003C748A">
        <w:rPr>
          <w:sz w:val="20"/>
          <w:szCs w:val="20"/>
          <w:lang w:val="es-MX"/>
        </w:rPr>
        <w:t xml:space="preserve">, Myriam Josefina Herrera Sánchez, Jesús Juvenal Herrera Sánchez, </w:t>
      </w:r>
      <w:proofErr w:type="spellStart"/>
      <w:r w:rsidRPr="003C748A">
        <w:rPr>
          <w:sz w:val="20"/>
          <w:szCs w:val="20"/>
          <w:lang w:val="es-MX"/>
        </w:rPr>
        <w:t>Nelys</w:t>
      </w:r>
      <w:proofErr w:type="spellEnd"/>
      <w:r w:rsidRPr="003C748A">
        <w:rPr>
          <w:sz w:val="20"/>
          <w:szCs w:val="20"/>
          <w:lang w:val="es-MX"/>
        </w:rPr>
        <w:t xml:space="preserve"> Margarita Correa, Belkis Josefina Correa Ríos, Luis José Yáñez, Maritza del Valle Sánchez Ávila, María Cristina Córdova de Molina y Hugo Arnaldo Molina.</w:t>
      </w:r>
    </w:p>
    <w:p w14:paraId="4B16F649" w14:textId="77777777" w:rsidR="00B900C8" w:rsidRDefault="00B900C8" w:rsidP="00B476ED">
      <w:pPr>
        <w:spacing w:line="240" w:lineRule="auto"/>
        <w:ind w:right="-801"/>
      </w:pPr>
    </w:p>
    <w:p w14:paraId="412A7C36" w14:textId="3407A7DE" w:rsidR="00C5289C" w:rsidRPr="004754B0" w:rsidRDefault="00C5289C" w:rsidP="00B476ED">
      <w:pPr>
        <w:pStyle w:val="Ttulo1"/>
        <w:spacing w:before="0" w:after="0"/>
        <w:ind w:right="-801"/>
      </w:pPr>
      <w:bookmarkStart w:id="72" w:name="_Toc54943534"/>
      <w:bookmarkStart w:id="73" w:name="_Toc58330232"/>
      <w:r w:rsidRPr="004754B0">
        <w:t>VI</w:t>
      </w:r>
      <w:r>
        <w:t>i</w:t>
      </w:r>
      <w:r w:rsidRPr="004754B0">
        <w:t>.</w:t>
      </w:r>
      <w:r>
        <w:t>3</w:t>
      </w:r>
      <w:r w:rsidRPr="004754B0">
        <w:br/>
      </w:r>
      <w:bookmarkEnd w:id="72"/>
      <w:r w:rsidRPr="004754B0">
        <w:t>DERECHO A LA INTEGRIDAD PERSONAL DE FAMILIARES DE LAS VÍCTIMAS FALLECIDAS</w:t>
      </w:r>
      <w:r w:rsidR="00401835">
        <w:t xml:space="preserve"> en relación con las obligaciones de respetarlo y garantizarlo</w:t>
      </w:r>
      <w:bookmarkEnd w:id="73"/>
      <w:r w:rsidRPr="004754B0">
        <w:t xml:space="preserve"> </w:t>
      </w:r>
    </w:p>
    <w:p w14:paraId="15EBFF2F" w14:textId="77777777" w:rsidR="00C5289C" w:rsidRPr="004754B0" w:rsidRDefault="00C5289C" w:rsidP="00B476ED">
      <w:pPr>
        <w:widowControl/>
        <w:tabs>
          <w:tab w:val="left" w:pos="567"/>
          <w:tab w:val="num" w:pos="12305"/>
        </w:tabs>
        <w:autoSpaceDE w:val="0"/>
        <w:autoSpaceDN w:val="0"/>
        <w:adjustRightInd/>
        <w:spacing w:line="240" w:lineRule="auto"/>
        <w:ind w:right="-801"/>
        <w:textAlignment w:val="auto"/>
        <w:rPr>
          <w:rFonts w:eastAsia="Calibri" w:cs="Verdana Bold"/>
          <w:bCs/>
          <w:sz w:val="16"/>
          <w:szCs w:val="16"/>
          <w:lang w:val="es-MX"/>
        </w:rPr>
      </w:pPr>
    </w:p>
    <w:p w14:paraId="19A96034" w14:textId="3114811B" w:rsidR="00C5289C" w:rsidRPr="004754B0" w:rsidRDefault="00C5289C" w:rsidP="00700B9F">
      <w:pPr>
        <w:pStyle w:val="Ttulo2"/>
        <w:numPr>
          <w:ilvl w:val="0"/>
          <w:numId w:val="37"/>
        </w:numPr>
        <w:tabs>
          <w:tab w:val="clear" w:pos="1134"/>
        </w:tabs>
        <w:spacing w:before="0" w:after="0"/>
        <w:ind w:left="284" w:right="-801" w:firstLine="0"/>
      </w:pPr>
      <w:bookmarkStart w:id="74" w:name="_Toc58330233"/>
      <w:r w:rsidRPr="004754B0">
        <w:t>Argumentos de las partes</w:t>
      </w:r>
      <w:r w:rsidRPr="004754B0">
        <w:rPr>
          <w:rStyle w:val="Refdenotaalpie"/>
          <w:b w:val="0"/>
          <w:i w:val="0"/>
        </w:rPr>
        <w:footnoteReference w:id="129"/>
      </w:r>
      <w:bookmarkEnd w:id="74"/>
      <w:r w:rsidRPr="00700B9F">
        <w:rPr>
          <w:b w:val="0"/>
          <w:i w:val="0"/>
        </w:rPr>
        <w:t xml:space="preserve"> </w:t>
      </w:r>
    </w:p>
    <w:p w14:paraId="11DC723A" w14:textId="77777777" w:rsidR="00C5289C" w:rsidRPr="004754B0" w:rsidRDefault="00C5289C" w:rsidP="00B476ED">
      <w:pPr>
        <w:pStyle w:val="Prrafodelista"/>
        <w:spacing w:line="240" w:lineRule="auto"/>
        <w:ind w:right="-801"/>
        <w:rPr>
          <w:sz w:val="20"/>
          <w:szCs w:val="20"/>
          <w:lang w:val="es-CO"/>
        </w:rPr>
      </w:pPr>
    </w:p>
    <w:p w14:paraId="5116CB8C" w14:textId="4F6F5050" w:rsidR="00C5289C" w:rsidRPr="0066366C" w:rsidRDefault="00C5289C" w:rsidP="00B476ED">
      <w:pPr>
        <w:numPr>
          <w:ilvl w:val="0"/>
          <w:numId w:val="13"/>
        </w:numPr>
        <w:tabs>
          <w:tab w:val="left" w:pos="567"/>
        </w:tabs>
        <w:spacing w:line="240" w:lineRule="auto"/>
        <w:ind w:left="0" w:right="-801" w:firstLine="31"/>
        <w:rPr>
          <w:sz w:val="20"/>
          <w:szCs w:val="20"/>
          <w:lang w:val="es-CO"/>
        </w:rPr>
      </w:pPr>
      <w:r w:rsidRPr="004754B0">
        <w:rPr>
          <w:sz w:val="20"/>
          <w:szCs w:val="20"/>
          <w:lang w:val="es-CO"/>
        </w:rPr>
        <w:t xml:space="preserve">Los </w:t>
      </w:r>
      <w:r w:rsidRPr="004754B0">
        <w:rPr>
          <w:b/>
          <w:i/>
          <w:sz w:val="20"/>
          <w:szCs w:val="20"/>
          <w:lang w:val="es-CO"/>
        </w:rPr>
        <w:t xml:space="preserve">representantes </w:t>
      </w:r>
      <w:r w:rsidRPr="004754B0">
        <w:rPr>
          <w:sz w:val="20"/>
          <w:szCs w:val="20"/>
          <w:lang w:val="es-CO"/>
        </w:rPr>
        <w:t>adujeron que Venezuela vulneró la “integridad de los familiares de las [v]</w:t>
      </w:r>
      <w:proofErr w:type="spellStart"/>
      <w:r w:rsidRPr="004754B0">
        <w:rPr>
          <w:sz w:val="20"/>
          <w:szCs w:val="20"/>
          <w:lang w:val="es-CO"/>
        </w:rPr>
        <w:t>íctimas</w:t>
      </w:r>
      <w:proofErr w:type="spellEnd"/>
      <w:r w:rsidRPr="004754B0">
        <w:rPr>
          <w:sz w:val="20"/>
          <w:szCs w:val="20"/>
          <w:lang w:val="es-CO"/>
        </w:rPr>
        <w:t xml:space="preserve">, al demorar hasta el día de hoy los trámites de esclarecimiento y atribución de responsabilidad penal a los responsables de los </w:t>
      </w:r>
      <w:r w:rsidRPr="0066366C">
        <w:rPr>
          <w:sz w:val="20"/>
          <w:szCs w:val="20"/>
          <w:lang w:val="es-CO"/>
        </w:rPr>
        <w:t xml:space="preserve">trágicos hechos”. </w:t>
      </w:r>
    </w:p>
    <w:p w14:paraId="728BA7B4" w14:textId="77777777" w:rsidR="00C5289C" w:rsidRPr="00EE1F1A" w:rsidRDefault="00C5289C" w:rsidP="00B476ED">
      <w:pPr>
        <w:tabs>
          <w:tab w:val="left" w:pos="567"/>
        </w:tabs>
        <w:spacing w:line="240" w:lineRule="auto"/>
        <w:ind w:right="-801"/>
        <w:rPr>
          <w:sz w:val="20"/>
          <w:szCs w:val="20"/>
          <w:lang w:val="es-CO"/>
        </w:rPr>
      </w:pPr>
    </w:p>
    <w:p w14:paraId="72AD892B" w14:textId="77777777" w:rsidR="00C5289C" w:rsidRPr="0066366C" w:rsidRDefault="00C5289C" w:rsidP="00B476ED">
      <w:pPr>
        <w:numPr>
          <w:ilvl w:val="0"/>
          <w:numId w:val="13"/>
        </w:numPr>
        <w:tabs>
          <w:tab w:val="left" w:pos="567"/>
        </w:tabs>
        <w:spacing w:line="240" w:lineRule="auto"/>
        <w:ind w:left="0" w:right="-801" w:firstLine="0"/>
        <w:rPr>
          <w:sz w:val="20"/>
          <w:szCs w:val="20"/>
          <w:lang w:val="es-CO"/>
        </w:rPr>
      </w:pPr>
      <w:r w:rsidRPr="003A5C19">
        <w:rPr>
          <w:sz w:val="20"/>
          <w:szCs w:val="20"/>
          <w:lang w:val="es-CO"/>
        </w:rPr>
        <w:t xml:space="preserve">La </w:t>
      </w:r>
      <w:r w:rsidRPr="003A5C19">
        <w:rPr>
          <w:b/>
          <w:i/>
          <w:sz w:val="20"/>
          <w:szCs w:val="20"/>
          <w:lang w:val="es-CO"/>
        </w:rPr>
        <w:t>Comisión</w:t>
      </w:r>
      <w:r w:rsidRPr="003A5C19">
        <w:rPr>
          <w:sz w:val="20"/>
          <w:szCs w:val="20"/>
          <w:lang w:val="es-CO"/>
        </w:rPr>
        <w:t xml:space="preserve"> y el </w:t>
      </w:r>
      <w:r w:rsidRPr="003A5C19">
        <w:rPr>
          <w:b/>
          <w:i/>
          <w:sz w:val="20"/>
          <w:szCs w:val="20"/>
          <w:lang w:val="es-CO"/>
        </w:rPr>
        <w:t>Estado</w:t>
      </w:r>
      <w:r w:rsidRPr="003A5C19">
        <w:rPr>
          <w:sz w:val="20"/>
          <w:szCs w:val="20"/>
          <w:lang w:val="es-CO"/>
        </w:rPr>
        <w:t xml:space="preserve"> no se pronunciaron sobre este alegato</w:t>
      </w:r>
      <w:r w:rsidRPr="0066366C">
        <w:rPr>
          <w:sz w:val="20"/>
          <w:szCs w:val="20"/>
          <w:lang w:val="es-CO"/>
        </w:rPr>
        <w:t xml:space="preserve">.  </w:t>
      </w:r>
    </w:p>
    <w:p w14:paraId="06741C4D" w14:textId="77777777" w:rsidR="00C5289C" w:rsidRPr="004754B0" w:rsidRDefault="00C5289C" w:rsidP="00B476ED">
      <w:pPr>
        <w:pStyle w:val="Prrafodelista"/>
        <w:spacing w:line="240" w:lineRule="auto"/>
        <w:ind w:right="-801"/>
        <w:rPr>
          <w:sz w:val="20"/>
          <w:szCs w:val="20"/>
          <w:lang w:val="es-CO"/>
        </w:rPr>
      </w:pPr>
    </w:p>
    <w:p w14:paraId="2F6E7C2F" w14:textId="5C86678C" w:rsidR="00C5289C" w:rsidRPr="004754B0" w:rsidRDefault="00C5289C" w:rsidP="00700B9F">
      <w:pPr>
        <w:pStyle w:val="Ttulo2"/>
        <w:numPr>
          <w:ilvl w:val="0"/>
          <w:numId w:val="4"/>
        </w:numPr>
        <w:tabs>
          <w:tab w:val="clear" w:pos="1134"/>
        </w:tabs>
        <w:spacing w:before="0" w:after="0"/>
        <w:ind w:left="284" w:right="-801" w:firstLine="0"/>
      </w:pPr>
      <w:bookmarkStart w:id="75" w:name="_Toc58330234"/>
      <w:r w:rsidRPr="004754B0">
        <w:t>Consideraciones de la Corte</w:t>
      </w:r>
      <w:bookmarkEnd w:id="75"/>
      <w:r w:rsidRPr="004754B0">
        <w:rPr>
          <w:b w:val="0"/>
          <w:i w:val="0"/>
        </w:rPr>
        <w:t xml:space="preserve"> </w:t>
      </w:r>
    </w:p>
    <w:p w14:paraId="3C9ED21E" w14:textId="77777777" w:rsidR="00C5289C" w:rsidRPr="004754B0" w:rsidRDefault="00C5289C" w:rsidP="00B476ED">
      <w:pPr>
        <w:pStyle w:val="Prrafodelista"/>
        <w:spacing w:line="240" w:lineRule="auto"/>
        <w:ind w:right="-801"/>
        <w:rPr>
          <w:sz w:val="20"/>
          <w:szCs w:val="20"/>
          <w:lang w:val="es-CO"/>
        </w:rPr>
      </w:pPr>
    </w:p>
    <w:p w14:paraId="33EFA7D5" w14:textId="39638764" w:rsidR="00C5289C" w:rsidRPr="004754B0" w:rsidRDefault="00C5289C" w:rsidP="00B476ED">
      <w:pPr>
        <w:numPr>
          <w:ilvl w:val="0"/>
          <w:numId w:val="13"/>
        </w:numPr>
        <w:tabs>
          <w:tab w:val="left" w:pos="567"/>
        </w:tabs>
        <w:spacing w:line="240" w:lineRule="auto"/>
        <w:ind w:left="0" w:right="-801" w:firstLine="0"/>
        <w:rPr>
          <w:sz w:val="20"/>
          <w:szCs w:val="20"/>
          <w:lang w:val="es-CO"/>
        </w:rPr>
      </w:pPr>
      <w:r w:rsidRPr="004754B0">
        <w:rPr>
          <w:sz w:val="20"/>
          <w:szCs w:val="20"/>
          <w:lang w:val="es-CO"/>
        </w:rPr>
        <w:t xml:space="preserve">La Corte ha señalado que los familiares de las víctimas de violaciones de los derechos humanos pueden ser, a su vez, víctimas. </w:t>
      </w:r>
      <w:r>
        <w:rPr>
          <w:sz w:val="20"/>
          <w:szCs w:val="20"/>
          <w:lang w:val="es-CO"/>
        </w:rPr>
        <w:t>D</w:t>
      </w:r>
      <w:r w:rsidRPr="004754B0">
        <w:rPr>
          <w:sz w:val="20"/>
          <w:szCs w:val="20"/>
          <w:lang w:val="es-CO"/>
        </w:rPr>
        <w:t xml:space="preserve">e acuerdo </w:t>
      </w:r>
      <w:r w:rsidR="00AB5845">
        <w:rPr>
          <w:sz w:val="20"/>
          <w:szCs w:val="20"/>
          <w:lang w:val="es-CO"/>
        </w:rPr>
        <w:t>con</w:t>
      </w:r>
      <w:r w:rsidRPr="004754B0">
        <w:rPr>
          <w:sz w:val="20"/>
          <w:szCs w:val="20"/>
          <w:lang w:val="es-CO"/>
        </w:rPr>
        <w:t xml:space="preserve"> las circunstancias del caso, la Corte ha </w:t>
      </w:r>
      <w:r w:rsidRPr="004C740D">
        <w:rPr>
          <w:sz w:val="20"/>
          <w:szCs w:val="20"/>
          <w:lang w:val="es-CO"/>
        </w:rPr>
        <w:t>entendido violado el derecho a la integridad de algunos familiares con motivo del sufrimiento padecido como producto de las circunstancias particulares de las violaciones perpetradas contra sus seres queridos y a causa de las posteriores actuaciones de las autoridades estatales frente a los hechos</w:t>
      </w:r>
      <w:r w:rsidRPr="004C740D">
        <w:rPr>
          <w:rStyle w:val="Refdenotaalpie"/>
          <w:sz w:val="20"/>
          <w:szCs w:val="20"/>
          <w:lang w:val="es-CO"/>
        </w:rPr>
        <w:footnoteReference w:id="130"/>
      </w:r>
      <w:r w:rsidRPr="004C740D">
        <w:rPr>
          <w:sz w:val="20"/>
          <w:szCs w:val="20"/>
          <w:lang w:val="es-CO"/>
        </w:rPr>
        <w:t>.</w:t>
      </w:r>
    </w:p>
    <w:p w14:paraId="0C06758B" w14:textId="77777777" w:rsidR="00C5289C" w:rsidRPr="004754B0" w:rsidRDefault="00C5289C" w:rsidP="00B476ED">
      <w:pPr>
        <w:tabs>
          <w:tab w:val="left" w:pos="567"/>
        </w:tabs>
        <w:spacing w:line="240" w:lineRule="auto"/>
        <w:ind w:right="-801"/>
        <w:rPr>
          <w:sz w:val="20"/>
          <w:szCs w:val="20"/>
          <w:lang w:val="es-CO"/>
        </w:rPr>
      </w:pPr>
    </w:p>
    <w:p w14:paraId="6ED7FCD5" w14:textId="77777777" w:rsidR="00C5289C" w:rsidRPr="007E0B95" w:rsidRDefault="00C5289C" w:rsidP="00B476ED">
      <w:pPr>
        <w:numPr>
          <w:ilvl w:val="0"/>
          <w:numId w:val="13"/>
        </w:numPr>
        <w:tabs>
          <w:tab w:val="left" w:pos="567"/>
        </w:tabs>
        <w:spacing w:line="240" w:lineRule="auto"/>
        <w:ind w:left="0" w:right="-801" w:firstLine="0"/>
        <w:rPr>
          <w:sz w:val="20"/>
          <w:szCs w:val="20"/>
          <w:lang w:val="es-CO"/>
        </w:rPr>
      </w:pPr>
      <w:r>
        <w:rPr>
          <w:sz w:val="20"/>
          <w:szCs w:val="20"/>
          <w:lang w:val="es-CO"/>
        </w:rPr>
        <w:t>L</w:t>
      </w:r>
      <w:r w:rsidRPr="004754B0">
        <w:rPr>
          <w:sz w:val="20"/>
          <w:szCs w:val="20"/>
          <w:lang w:val="es-CO"/>
        </w:rPr>
        <w:t xml:space="preserve">a vulneración a la integridad personal de familiares puede, en algunas circunstancias, ser </w:t>
      </w:r>
      <w:r w:rsidRPr="004754B0">
        <w:rPr>
          <w:sz w:val="20"/>
          <w:szCs w:val="20"/>
          <w:lang w:val="es-CO"/>
        </w:rPr>
        <w:lastRenderedPageBreak/>
        <w:t xml:space="preserve">presumida. Es lo que ocurre en el presente caso. Al respecto, </w:t>
      </w:r>
      <w:r w:rsidRPr="007E0B95">
        <w:rPr>
          <w:sz w:val="20"/>
          <w:szCs w:val="20"/>
        </w:rPr>
        <w:t xml:space="preserve">el </w:t>
      </w:r>
      <w:r w:rsidRPr="004C740D">
        <w:rPr>
          <w:sz w:val="20"/>
          <w:szCs w:val="20"/>
        </w:rPr>
        <w:t xml:space="preserve">Tribunal ha estimado “que los sufrimientos o muerte de una persona, con motivo de un incendio, acarrean a sus familiares </w:t>
      </w:r>
      <w:r w:rsidRPr="004C740D">
        <w:rPr>
          <w:sz w:val="20"/>
          <w:szCs w:val="20"/>
          <w:lang w:val="es-ES"/>
        </w:rPr>
        <w:t xml:space="preserve">más cercanos </w:t>
      </w:r>
      <w:r w:rsidRPr="004C740D">
        <w:rPr>
          <w:sz w:val="20"/>
          <w:szCs w:val="20"/>
        </w:rPr>
        <w:t>un daño inmaterial propio de la naturaleza humana, por lo cual no es necesario demostrarlo”</w:t>
      </w:r>
      <w:r w:rsidRPr="004C740D">
        <w:rPr>
          <w:rStyle w:val="Refdenotaalpie"/>
          <w:sz w:val="20"/>
          <w:szCs w:val="20"/>
        </w:rPr>
        <w:footnoteReference w:id="131"/>
      </w:r>
      <w:r w:rsidRPr="004C740D">
        <w:rPr>
          <w:sz w:val="20"/>
          <w:szCs w:val="20"/>
        </w:rPr>
        <w:t>.</w:t>
      </w:r>
      <w:r w:rsidRPr="007E0B95">
        <w:rPr>
          <w:sz w:val="20"/>
          <w:szCs w:val="20"/>
        </w:rPr>
        <w:t xml:space="preserve"> </w:t>
      </w:r>
    </w:p>
    <w:p w14:paraId="6F0B5F14" w14:textId="77777777" w:rsidR="00C5289C" w:rsidRPr="004754B0" w:rsidRDefault="00C5289C" w:rsidP="00B476ED">
      <w:pPr>
        <w:pStyle w:val="Prrafodelista"/>
        <w:spacing w:line="240" w:lineRule="auto"/>
        <w:ind w:right="-801"/>
        <w:rPr>
          <w:sz w:val="20"/>
          <w:szCs w:val="20"/>
          <w:lang w:val="es-CO"/>
        </w:rPr>
      </w:pPr>
    </w:p>
    <w:p w14:paraId="224B6B18" w14:textId="79BD399B" w:rsidR="00C5289C" w:rsidRPr="00B633EF" w:rsidRDefault="00C5289C" w:rsidP="00B476ED">
      <w:pPr>
        <w:numPr>
          <w:ilvl w:val="0"/>
          <w:numId w:val="13"/>
        </w:numPr>
        <w:tabs>
          <w:tab w:val="left" w:pos="567"/>
        </w:tabs>
        <w:spacing w:line="240" w:lineRule="auto"/>
        <w:ind w:left="0" w:right="-801" w:firstLine="0"/>
        <w:rPr>
          <w:sz w:val="20"/>
          <w:szCs w:val="20"/>
          <w:lang w:val="es-CO"/>
        </w:rPr>
      </w:pPr>
      <w:r w:rsidRPr="004754B0">
        <w:rPr>
          <w:sz w:val="20"/>
          <w:szCs w:val="20"/>
          <w:lang w:val="es-CO"/>
        </w:rPr>
        <w:t xml:space="preserve">En forma adicional, prueba vertida en el proceso evidencia la afectación sufrida por familiares de los jóvenes muertos. Así, Elvia </w:t>
      </w:r>
      <w:proofErr w:type="spellStart"/>
      <w:r w:rsidRPr="004754B0">
        <w:rPr>
          <w:sz w:val="20"/>
          <w:szCs w:val="20"/>
          <w:lang w:val="es-CO"/>
        </w:rPr>
        <w:t>Abarullo</w:t>
      </w:r>
      <w:proofErr w:type="spellEnd"/>
      <w:r w:rsidRPr="004754B0">
        <w:rPr>
          <w:sz w:val="20"/>
          <w:szCs w:val="20"/>
          <w:lang w:val="es-CO"/>
        </w:rPr>
        <w:t>, madre de José Mota, declaró</w:t>
      </w:r>
      <w:r w:rsidR="004C740D">
        <w:rPr>
          <w:sz w:val="20"/>
          <w:szCs w:val="20"/>
          <w:lang w:val="es-CO"/>
        </w:rPr>
        <w:t xml:space="preserve"> que</w:t>
      </w:r>
      <w:r w:rsidRPr="004754B0">
        <w:rPr>
          <w:sz w:val="20"/>
          <w:szCs w:val="20"/>
          <w:lang w:val="es-CO"/>
        </w:rPr>
        <w:t xml:space="preserve"> “h[a] sufrido muchísimo” por la falta de su hijo y por la inactividad de las autoridades, y que el recuerdo de su hijo “es como una película que se repite todos los días” y “mucho más”</w:t>
      </w:r>
      <w:r w:rsidR="004C740D">
        <w:rPr>
          <w:sz w:val="20"/>
          <w:szCs w:val="20"/>
          <w:lang w:val="es-CO"/>
        </w:rPr>
        <w:t>,</w:t>
      </w:r>
      <w:r w:rsidRPr="004754B0">
        <w:rPr>
          <w:sz w:val="20"/>
          <w:szCs w:val="20"/>
          <w:lang w:val="es-CO"/>
        </w:rPr>
        <w:t xml:space="preserve"> por haber ella presenciado los hechos el 30 de junio de 2005, estando afuera del INAM–San Félix. Expresó que “[t]</w:t>
      </w:r>
      <w:proofErr w:type="spellStart"/>
      <w:r w:rsidRPr="004754B0">
        <w:rPr>
          <w:sz w:val="20"/>
          <w:szCs w:val="20"/>
          <w:lang w:val="es-CO"/>
        </w:rPr>
        <w:t>odos</w:t>
      </w:r>
      <w:proofErr w:type="spellEnd"/>
      <w:r w:rsidRPr="004754B0">
        <w:rPr>
          <w:sz w:val="20"/>
          <w:szCs w:val="20"/>
          <w:lang w:val="es-CO"/>
        </w:rPr>
        <w:t xml:space="preserve"> [sus familiares] </w:t>
      </w:r>
      <w:proofErr w:type="spellStart"/>
      <w:r w:rsidRPr="004754B0">
        <w:rPr>
          <w:sz w:val="20"/>
          <w:szCs w:val="20"/>
          <w:lang w:val="es-CO"/>
        </w:rPr>
        <w:t>sufri</w:t>
      </w:r>
      <w:proofErr w:type="spellEnd"/>
      <w:r w:rsidRPr="004754B0">
        <w:rPr>
          <w:sz w:val="20"/>
          <w:szCs w:val="20"/>
          <w:lang w:val="es-CO"/>
        </w:rPr>
        <w:t>[</w:t>
      </w:r>
      <w:proofErr w:type="spellStart"/>
      <w:r w:rsidRPr="004754B0">
        <w:rPr>
          <w:sz w:val="20"/>
          <w:szCs w:val="20"/>
          <w:lang w:val="es-CO"/>
        </w:rPr>
        <w:t>eron</w:t>
      </w:r>
      <w:proofErr w:type="spellEnd"/>
      <w:r w:rsidRPr="004754B0">
        <w:rPr>
          <w:sz w:val="20"/>
          <w:szCs w:val="20"/>
          <w:lang w:val="es-CO"/>
        </w:rPr>
        <w:t xml:space="preserve">] y </w:t>
      </w:r>
      <w:proofErr w:type="spellStart"/>
      <w:r w:rsidRPr="004754B0">
        <w:rPr>
          <w:sz w:val="20"/>
          <w:szCs w:val="20"/>
          <w:lang w:val="es-CO"/>
        </w:rPr>
        <w:t>rec</w:t>
      </w:r>
      <w:proofErr w:type="spellEnd"/>
      <w:r w:rsidRPr="004754B0">
        <w:rPr>
          <w:sz w:val="20"/>
          <w:szCs w:val="20"/>
          <w:lang w:val="es-CO"/>
        </w:rPr>
        <w:t>[</w:t>
      </w:r>
      <w:proofErr w:type="spellStart"/>
      <w:r w:rsidRPr="004754B0">
        <w:rPr>
          <w:sz w:val="20"/>
          <w:szCs w:val="20"/>
          <w:lang w:val="es-CO"/>
        </w:rPr>
        <w:t>uerdan</w:t>
      </w:r>
      <w:proofErr w:type="spellEnd"/>
      <w:r w:rsidRPr="004754B0">
        <w:rPr>
          <w:sz w:val="20"/>
          <w:szCs w:val="20"/>
          <w:lang w:val="es-CO"/>
        </w:rPr>
        <w:t xml:space="preserve">] la muerte de José Gregorio como si fuera ayer”. </w:t>
      </w:r>
      <w:r w:rsidRPr="00B633EF">
        <w:rPr>
          <w:sz w:val="20"/>
          <w:szCs w:val="20"/>
          <w:lang w:val="es-CO"/>
        </w:rPr>
        <w:t xml:space="preserve">Jesús Juvenal Herrera Sánchez, tío de Rafael Parra, señaló que él y sus familiares se vieron gravemente impactados por la muerte de su sobrino. </w:t>
      </w:r>
      <w:proofErr w:type="spellStart"/>
      <w:r w:rsidRPr="00B633EF">
        <w:rPr>
          <w:sz w:val="20"/>
          <w:szCs w:val="20"/>
          <w:lang w:val="es-CO"/>
        </w:rPr>
        <w:t>Miryam</w:t>
      </w:r>
      <w:proofErr w:type="spellEnd"/>
      <w:r w:rsidRPr="00B633EF">
        <w:rPr>
          <w:sz w:val="20"/>
          <w:szCs w:val="20"/>
          <w:lang w:val="es-CO"/>
        </w:rPr>
        <w:t xml:space="preserve"> Josefina Herrera Sánchez, abuela de Rafael Parra, declaró que resultó </w:t>
      </w:r>
      <w:r w:rsidR="00B35251">
        <w:rPr>
          <w:sz w:val="20"/>
          <w:szCs w:val="20"/>
          <w:lang w:val="es-CO"/>
        </w:rPr>
        <w:t xml:space="preserve">“demasiado triste” lo sucedido. </w:t>
      </w:r>
      <w:r w:rsidRPr="00B633EF">
        <w:rPr>
          <w:sz w:val="20"/>
          <w:szCs w:val="20"/>
          <w:lang w:val="es-CO"/>
        </w:rPr>
        <w:t xml:space="preserve">Maritza del Valle Sánchez Ávila, madre de Gabriel Yáñez, expresó que todos los días tiene “en [su] mente” a su hijo, y que los recuerdos “continúan creando un trauma psicológico, […] a veces no </w:t>
      </w:r>
      <w:proofErr w:type="spellStart"/>
      <w:r w:rsidRPr="00B633EF">
        <w:rPr>
          <w:sz w:val="20"/>
          <w:szCs w:val="20"/>
          <w:lang w:val="es-CO"/>
        </w:rPr>
        <w:t>pued</w:t>
      </w:r>
      <w:proofErr w:type="spellEnd"/>
      <w:r w:rsidRPr="00B633EF">
        <w:rPr>
          <w:sz w:val="20"/>
          <w:szCs w:val="20"/>
          <w:lang w:val="es-CO"/>
        </w:rPr>
        <w:t xml:space="preserve">[e] de salir de [su] casa, ya que </w:t>
      </w:r>
      <w:proofErr w:type="spellStart"/>
      <w:r w:rsidRPr="00B633EF">
        <w:rPr>
          <w:sz w:val="20"/>
          <w:szCs w:val="20"/>
          <w:lang w:val="es-CO"/>
        </w:rPr>
        <w:t>recuerd</w:t>
      </w:r>
      <w:proofErr w:type="spellEnd"/>
      <w:r w:rsidRPr="00B633EF">
        <w:rPr>
          <w:sz w:val="20"/>
          <w:szCs w:val="20"/>
          <w:lang w:val="es-CO"/>
        </w:rPr>
        <w:t>[a] como si fuera ayer la muerte de [su] hijo y [le] da miedo”. Indicó que también sus familiares se vieron impactados, y que siguen esperando justicia. Luis José Yáñez, padre de Gabriel Yáñez, afirmó que la muerte de su hijo generó “[m]</w:t>
      </w:r>
      <w:proofErr w:type="spellStart"/>
      <w:r w:rsidRPr="00B633EF">
        <w:rPr>
          <w:sz w:val="20"/>
          <w:szCs w:val="20"/>
          <w:lang w:val="es-CO"/>
        </w:rPr>
        <w:t>ucho</w:t>
      </w:r>
      <w:proofErr w:type="spellEnd"/>
      <w:r w:rsidRPr="00B633EF">
        <w:rPr>
          <w:sz w:val="20"/>
          <w:szCs w:val="20"/>
          <w:lang w:val="es-CO"/>
        </w:rPr>
        <w:t>[s] cambios” en su vida y su familia, que él no ha sido el mismo desde la muerte de Gabriel y que todos los días los recuerdan y desean que estuviera vivo.</w:t>
      </w:r>
      <w:r w:rsidRPr="00B633EF">
        <w:rPr>
          <w:b/>
          <w:sz w:val="20"/>
          <w:szCs w:val="20"/>
          <w:lang w:val="es-CO"/>
        </w:rPr>
        <w:t xml:space="preserve"> </w:t>
      </w:r>
    </w:p>
    <w:p w14:paraId="42582FB1" w14:textId="77777777" w:rsidR="00C5289C" w:rsidRDefault="00C5289C" w:rsidP="00B476ED">
      <w:pPr>
        <w:tabs>
          <w:tab w:val="left" w:pos="567"/>
        </w:tabs>
        <w:spacing w:line="240" w:lineRule="auto"/>
        <w:ind w:right="-801"/>
        <w:rPr>
          <w:sz w:val="20"/>
          <w:szCs w:val="20"/>
          <w:lang w:val="es-CO"/>
        </w:rPr>
      </w:pPr>
    </w:p>
    <w:p w14:paraId="4C2A6713" w14:textId="295FAACB" w:rsidR="00C5289C" w:rsidRPr="00B633EF" w:rsidRDefault="00C5289C" w:rsidP="00B476ED">
      <w:pPr>
        <w:numPr>
          <w:ilvl w:val="0"/>
          <w:numId w:val="13"/>
        </w:numPr>
        <w:tabs>
          <w:tab w:val="left" w:pos="567"/>
        </w:tabs>
        <w:spacing w:line="240" w:lineRule="auto"/>
        <w:ind w:left="0" w:right="-801" w:firstLine="0"/>
        <w:rPr>
          <w:sz w:val="20"/>
          <w:szCs w:val="20"/>
          <w:lang w:val="es-CO"/>
        </w:rPr>
      </w:pPr>
      <w:r>
        <w:rPr>
          <w:sz w:val="20"/>
          <w:szCs w:val="20"/>
          <w:lang w:val="es-CO"/>
        </w:rPr>
        <w:t xml:space="preserve">La Corte concluye, entonces, que el Estado violó el derecho a la integridad personal, reconocido en el artículo 5.1 de la Convención, en relación con su artículo 1.1, en perjuicio de </w:t>
      </w:r>
      <w:r w:rsidRPr="00B633EF">
        <w:rPr>
          <w:sz w:val="20"/>
          <w:szCs w:val="20"/>
          <w:lang w:val="es-CO"/>
        </w:rPr>
        <w:t xml:space="preserve">Elvia </w:t>
      </w:r>
      <w:proofErr w:type="spellStart"/>
      <w:r w:rsidRPr="00B633EF">
        <w:rPr>
          <w:sz w:val="20"/>
          <w:szCs w:val="20"/>
          <w:lang w:val="es-CO"/>
        </w:rPr>
        <w:t>Abarullo</w:t>
      </w:r>
      <w:proofErr w:type="spellEnd"/>
      <w:r w:rsidRPr="00B633EF">
        <w:rPr>
          <w:sz w:val="20"/>
          <w:szCs w:val="20"/>
          <w:lang w:val="es-CO"/>
        </w:rPr>
        <w:t xml:space="preserve"> de Mota, Félix Enríquez Mota, </w:t>
      </w:r>
      <w:proofErr w:type="spellStart"/>
      <w:r w:rsidRPr="00B633EF">
        <w:rPr>
          <w:sz w:val="20"/>
          <w:szCs w:val="20"/>
          <w:lang w:val="es-CO"/>
        </w:rPr>
        <w:t>Osmely</w:t>
      </w:r>
      <w:proofErr w:type="spellEnd"/>
      <w:r w:rsidRPr="00B633EF">
        <w:rPr>
          <w:sz w:val="20"/>
          <w:szCs w:val="20"/>
          <w:lang w:val="es-CO"/>
        </w:rPr>
        <w:t xml:space="preserve"> Angelina Mota </w:t>
      </w:r>
      <w:proofErr w:type="spellStart"/>
      <w:r w:rsidRPr="00B633EF">
        <w:rPr>
          <w:sz w:val="20"/>
          <w:szCs w:val="20"/>
          <w:lang w:val="es-CO"/>
        </w:rPr>
        <w:t>Abarullo</w:t>
      </w:r>
      <w:proofErr w:type="spellEnd"/>
      <w:r w:rsidRPr="00B633EF">
        <w:rPr>
          <w:sz w:val="20"/>
          <w:szCs w:val="20"/>
          <w:lang w:val="es-CO"/>
        </w:rPr>
        <w:t xml:space="preserve">, Myriam Josefina Herrera Sánchez, Jesús Juvenal Herrera Sánchez, </w:t>
      </w:r>
      <w:proofErr w:type="spellStart"/>
      <w:r w:rsidRPr="00B633EF">
        <w:rPr>
          <w:sz w:val="20"/>
          <w:szCs w:val="20"/>
          <w:lang w:val="es-CO"/>
        </w:rPr>
        <w:t>Nelys</w:t>
      </w:r>
      <w:proofErr w:type="spellEnd"/>
      <w:r w:rsidRPr="00B633EF">
        <w:rPr>
          <w:sz w:val="20"/>
          <w:szCs w:val="20"/>
          <w:lang w:val="es-CO"/>
        </w:rPr>
        <w:t xml:space="preserve"> Margarita Correa, Belk</w:t>
      </w:r>
      <w:r w:rsidR="00B35251">
        <w:rPr>
          <w:sz w:val="20"/>
          <w:szCs w:val="20"/>
          <w:lang w:val="es-CO"/>
        </w:rPr>
        <w:t>is</w:t>
      </w:r>
      <w:r w:rsidRPr="00B633EF">
        <w:rPr>
          <w:sz w:val="20"/>
          <w:szCs w:val="20"/>
          <w:lang w:val="es-CO"/>
        </w:rPr>
        <w:t xml:space="preserve"> Josefina Correa Ríos, Luis José Yáñez, Maritza del Valle Sánchez Ávila, María Cristina Córdova de Molina y Hugo Arnaldo Molina.</w:t>
      </w:r>
    </w:p>
    <w:p w14:paraId="11C13293" w14:textId="77777777" w:rsidR="00C5289C" w:rsidRDefault="00C5289C" w:rsidP="00B476ED">
      <w:pPr>
        <w:tabs>
          <w:tab w:val="left" w:pos="567"/>
        </w:tabs>
        <w:spacing w:line="240" w:lineRule="auto"/>
        <w:ind w:right="-801"/>
        <w:rPr>
          <w:sz w:val="20"/>
          <w:szCs w:val="20"/>
          <w:lang w:val="es-CO"/>
        </w:rPr>
      </w:pPr>
    </w:p>
    <w:p w14:paraId="3BBDEFBE" w14:textId="1F0DDFA6" w:rsidR="00C5289C" w:rsidRPr="00B633EF" w:rsidRDefault="00C5289C" w:rsidP="00B476ED">
      <w:pPr>
        <w:pStyle w:val="Prrafodelista"/>
        <w:spacing w:line="240" w:lineRule="auto"/>
        <w:ind w:right="-801"/>
        <w:jc w:val="center"/>
        <w:outlineLvl w:val="0"/>
        <w:rPr>
          <w:b/>
          <w:sz w:val="20"/>
          <w:szCs w:val="20"/>
          <w:lang w:val="es-CO"/>
        </w:rPr>
      </w:pPr>
      <w:bookmarkStart w:id="76" w:name="_Toc58330235"/>
      <w:r w:rsidRPr="00B633EF">
        <w:rPr>
          <w:b/>
          <w:sz w:val="20"/>
          <w:szCs w:val="20"/>
        </w:rPr>
        <w:t>VII</w:t>
      </w:r>
      <w:r>
        <w:rPr>
          <w:b/>
          <w:sz w:val="20"/>
          <w:szCs w:val="20"/>
        </w:rPr>
        <w:t>I</w:t>
      </w:r>
      <w:r w:rsidRPr="00B633EF">
        <w:rPr>
          <w:b/>
          <w:sz w:val="20"/>
          <w:szCs w:val="20"/>
        </w:rPr>
        <w:br/>
        <w:t>REPARACIONES</w:t>
      </w:r>
      <w:bookmarkEnd w:id="76"/>
    </w:p>
    <w:p w14:paraId="00A32AA9" w14:textId="77777777" w:rsidR="00C5289C" w:rsidRPr="00B633EF" w:rsidRDefault="00C5289C" w:rsidP="00B476ED">
      <w:pPr>
        <w:pStyle w:val="Prrafodelista"/>
        <w:spacing w:line="240" w:lineRule="auto"/>
        <w:ind w:right="-801"/>
        <w:rPr>
          <w:sz w:val="20"/>
          <w:szCs w:val="20"/>
          <w:lang w:val="es-CO"/>
        </w:rPr>
      </w:pPr>
    </w:p>
    <w:p w14:paraId="0EA858AF" w14:textId="77777777" w:rsidR="00C5289C" w:rsidRPr="00D64A56" w:rsidRDefault="00C5289C" w:rsidP="00B476ED">
      <w:pPr>
        <w:numPr>
          <w:ilvl w:val="0"/>
          <w:numId w:val="13"/>
        </w:numPr>
        <w:tabs>
          <w:tab w:val="left" w:pos="567"/>
        </w:tabs>
        <w:spacing w:line="240" w:lineRule="auto"/>
        <w:ind w:left="0" w:right="-801" w:firstLine="0"/>
        <w:rPr>
          <w:sz w:val="20"/>
          <w:szCs w:val="20"/>
          <w:lang w:val="es-CO"/>
        </w:rPr>
      </w:pPr>
      <w:bookmarkStart w:id="77" w:name="_Toc426108479"/>
      <w:bookmarkStart w:id="78" w:name="_Toc430339025"/>
      <w:bookmarkStart w:id="79" w:name="_Toc480194724"/>
      <w:bookmarkStart w:id="80" w:name="_Toc499146735"/>
      <w:bookmarkStart w:id="81" w:name="_Toc375560978"/>
      <w:r w:rsidRPr="00D64A56">
        <w:rPr>
          <w:sz w:val="20"/>
          <w:szCs w:val="20"/>
        </w:rPr>
        <w:t>Sobre la base de lo dispuesto en el artículo 63.1 de la Convención, la Corte ha indicado que toda violación de una obligación internacional que haya producido daño comporta el deber de repararlo adecuadamente</w:t>
      </w:r>
      <w:r w:rsidRPr="00B35251">
        <w:rPr>
          <w:sz w:val="20"/>
          <w:szCs w:val="20"/>
        </w:rPr>
        <w:t>, y que esa disposición recoge una norma consuetudinaria que constituye uno de los principios fundamentales del Derecho Internacional contemporáneo sobre responsabilidad de un Estado</w:t>
      </w:r>
      <w:r w:rsidRPr="00B35251">
        <w:rPr>
          <w:rStyle w:val="Refdenotaalpie"/>
          <w:rFonts w:eastAsia="MS Mincho"/>
          <w:sz w:val="20"/>
          <w:szCs w:val="20"/>
        </w:rPr>
        <w:footnoteReference w:id="132"/>
      </w:r>
      <w:r w:rsidRPr="00B35251">
        <w:rPr>
          <w:sz w:val="20"/>
          <w:szCs w:val="20"/>
        </w:rPr>
        <w:t>.</w:t>
      </w:r>
      <w:r w:rsidRPr="00D64A56">
        <w:rPr>
          <w:sz w:val="20"/>
          <w:szCs w:val="20"/>
        </w:rPr>
        <w:t xml:space="preserve"> </w:t>
      </w:r>
    </w:p>
    <w:p w14:paraId="6B5EE965" w14:textId="77777777" w:rsidR="00C5289C" w:rsidRPr="00D64A56" w:rsidRDefault="00C5289C" w:rsidP="00B476ED">
      <w:pPr>
        <w:tabs>
          <w:tab w:val="left" w:pos="567"/>
        </w:tabs>
        <w:spacing w:line="240" w:lineRule="auto"/>
        <w:ind w:right="-801"/>
        <w:rPr>
          <w:sz w:val="20"/>
          <w:szCs w:val="20"/>
          <w:lang w:val="es-CO"/>
        </w:rPr>
      </w:pPr>
    </w:p>
    <w:p w14:paraId="332CB965" w14:textId="77777777" w:rsidR="00C5289C" w:rsidRPr="007F2C4B" w:rsidRDefault="00C5289C" w:rsidP="00B476ED">
      <w:pPr>
        <w:numPr>
          <w:ilvl w:val="0"/>
          <w:numId w:val="13"/>
        </w:numPr>
        <w:tabs>
          <w:tab w:val="left" w:pos="567"/>
        </w:tabs>
        <w:spacing w:line="240" w:lineRule="auto"/>
        <w:ind w:left="0" w:right="-801" w:firstLine="0"/>
        <w:rPr>
          <w:sz w:val="20"/>
          <w:szCs w:val="20"/>
          <w:lang w:val="es-CO"/>
        </w:rPr>
      </w:pPr>
      <w:r w:rsidRPr="00D64A56">
        <w:rPr>
          <w:sz w:val="20"/>
          <w:szCs w:val="20"/>
        </w:rPr>
        <w:t xml:space="preserve">La reparación del daño ocasionado por la infracción de una obligación internacional requiere, siempre que sea posible, la plena restitución </w:t>
      </w:r>
      <w:r w:rsidRPr="00D64A56">
        <w:rPr>
          <w:i/>
          <w:sz w:val="20"/>
          <w:szCs w:val="20"/>
        </w:rPr>
        <w:t>(</w:t>
      </w:r>
      <w:proofErr w:type="spellStart"/>
      <w:r w:rsidRPr="00D64A56">
        <w:rPr>
          <w:i/>
          <w:sz w:val="20"/>
          <w:szCs w:val="20"/>
        </w:rPr>
        <w:t>restitutio</w:t>
      </w:r>
      <w:proofErr w:type="spellEnd"/>
      <w:r w:rsidRPr="00D64A56">
        <w:rPr>
          <w:i/>
          <w:sz w:val="20"/>
          <w:szCs w:val="20"/>
        </w:rPr>
        <w:t xml:space="preserve"> in </w:t>
      </w:r>
      <w:proofErr w:type="spellStart"/>
      <w:r w:rsidRPr="00D64A56">
        <w:rPr>
          <w:i/>
          <w:sz w:val="20"/>
          <w:szCs w:val="20"/>
        </w:rPr>
        <w:t>integrum</w:t>
      </w:r>
      <w:proofErr w:type="spellEnd"/>
      <w:r w:rsidRPr="00D64A56">
        <w:rPr>
          <w:i/>
          <w:sz w:val="20"/>
          <w:szCs w:val="20"/>
        </w:rPr>
        <w:t>)</w:t>
      </w:r>
      <w:r w:rsidRPr="00D64A56">
        <w:rPr>
          <w:sz w:val="20"/>
          <w:szCs w:val="20"/>
        </w:rPr>
        <w:t xml:space="preserve">, que consiste en el restablecimiento de la situación anterior. De no ser esto factible, como ocurre en la </w:t>
      </w:r>
      <w:r w:rsidRPr="007F2C4B">
        <w:rPr>
          <w:sz w:val="20"/>
          <w:szCs w:val="20"/>
        </w:rPr>
        <w:t xml:space="preserve">mayoría de los casos de violaciones a derechos humanos, el Tribunal determinará medidas para </w:t>
      </w:r>
      <w:r w:rsidRPr="00B35251">
        <w:rPr>
          <w:sz w:val="20"/>
          <w:szCs w:val="20"/>
        </w:rPr>
        <w:t>garantizar los derechos conculcados y reparar las consecuencias que las infracciones produjeron</w:t>
      </w:r>
      <w:r w:rsidRPr="00B35251">
        <w:rPr>
          <w:rStyle w:val="Refdenotaalpie"/>
          <w:rFonts w:eastAsia="MS Mincho"/>
          <w:sz w:val="20"/>
          <w:szCs w:val="20"/>
        </w:rPr>
        <w:footnoteReference w:id="133"/>
      </w:r>
      <w:r w:rsidRPr="00B35251">
        <w:rPr>
          <w:sz w:val="20"/>
          <w:szCs w:val="20"/>
        </w:rPr>
        <w:t>.</w:t>
      </w:r>
      <w:r w:rsidRPr="007F2C4B">
        <w:rPr>
          <w:sz w:val="20"/>
          <w:szCs w:val="20"/>
        </w:rPr>
        <w:t xml:space="preserve"> Por tanto, la Corte ha considerado la necesidad de otorgar diversas medidas de reparación a fin de resarcir</w:t>
      </w:r>
      <w:r w:rsidRPr="00D64A56">
        <w:rPr>
          <w:sz w:val="20"/>
          <w:szCs w:val="20"/>
        </w:rPr>
        <w:t xml:space="preserve"> los daños de </w:t>
      </w:r>
      <w:r w:rsidRPr="00B35251">
        <w:rPr>
          <w:sz w:val="20"/>
          <w:szCs w:val="20"/>
        </w:rPr>
        <w:t xml:space="preserve">manera integral por lo que, además de las </w:t>
      </w:r>
      <w:r w:rsidRPr="00B35251">
        <w:rPr>
          <w:sz w:val="20"/>
          <w:szCs w:val="20"/>
        </w:rPr>
        <w:lastRenderedPageBreak/>
        <w:t>compensaciones pecuniarias, las medidas de restitución, rehabilitación, satisfacción y garantías de no repetición tienen especial relevancia</w:t>
      </w:r>
      <w:r w:rsidRPr="00B35251">
        <w:rPr>
          <w:rStyle w:val="Refdenotaalpie"/>
          <w:rFonts w:eastAsia="MS Mincho"/>
          <w:sz w:val="20"/>
          <w:szCs w:val="20"/>
        </w:rPr>
        <w:footnoteReference w:id="134"/>
      </w:r>
      <w:r w:rsidRPr="00B35251">
        <w:rPr>
          <w:sz w:val="20"/>
          <w:szCs w:val="20"/>
        </w:rPr>
        <w:t>.</w:t>
      </w:r>
      <w:r w:rsidRPr="00B35251">
        <w:rPr>
          <w:sz w:val="20"/>
          <w:szCs w:val="20"/>
          <w:lang w:val="es-CO"/>
        </w:rPr>
        <w:t xml:space="preserve"> </w:t>
      </w:r>
      <w:r w:rsidRPr="00B35251">
        <w:rPr>
          <w:sz w:val="20"/>
          <w:szCs w:val="20"/>
        </w:rPr>
        <w:t>Además, este Tribunal ha establecido que las reparaciones deben tener un nexo causal con los hechos del caso, las violaciones declaradas, y los daños acreditados, así como las medidas solicitadas para repararlos. La Corte deberá analizar dicha concurrencia para pronunciarse debidamente y conforme a derecho</w:t>
      </w:r>
      <w:r w:rsidRPr="00B35251">
        <w:rPr>
          <w:sz w:val="20"/>
          <w:szCs w:val="20"/>
          <w:vertAlign w:val="superscript"/>
        </w:rPr>
        <w:footnoteReference w:id="135"/>
      </w:r>
      <w:r w:rsidRPr="00B35251">
        <w:rPr>
          <w:sz w:val="20"/>
          <w:szCs w:val="20"/>
        </w:rPr>
        <w:t>.</w:t>
      </w:r>
    </w:p>
    <w:p w14:paraId="55D136ED" w14:textId="77777777" w:rsidR="00C5289C" w:rsidRDefault="00C5289C" w:rsidP="00B476ED">
      <w:pPr>
        <w:pStyle w:val="Prrafodelista"/>
        <w:spacing w:line="240" w:lineRule="auto"/>
        <w:ind w:right="-801"/>
        <w:rPr>
          <w:sz w:val="20"/>
          <w:szCs w:val="20"/>
        </w:rPr>
      </w:pPr>
    </w:p>
    <w:p w14:paraId="5634F6C4" w14:textId="27BE6297" w:rsidR="00C5289C" w:rsidRPr="00B35251" w:rsidRDefault="00C5289C" w:rsidP="00B476ED">
      <w:pPr>
        <w:widowControl/>
        <w:numPr>
          <w:ilvl w:val="0"/>
          <w:numId w:val="13"/>
        </w:numPr>
        <w:tabs>
          <w:tab w:val="left" w:pos="709"/>
        </w:tabs>
        <w:autoSpaceDE w:val="0"/>
        <w:autoSpaceDN w:val="0"/>
        <w:spacing w:line="240" w:lineRule="auto"/>
        <w:ind w:left="0" w:right="-801" w:firstLine="0"/>
        <w:textAlignment w:val="auto"/>
        <w:rPr>
          <w:b/>
          <w:sz w:val="20"/>
          <w:szCs w:val="20"/>
          <w:lang w:val="es-ES_tradnl"/>
        </w:rPr>
      </w:pPr>
      <w:r w:rsidRPr="00B35251">
        <w:rPr>
          <w:sz w:val="20"/>
          <w:szCs w:val="20"/>
        </w:rPr>
        <w:t>Tomando en cuenta las violaciones a la Convención Americana declaradas en el capítulo anterior, a la luz de los criterios fijados en la jurisprudencia del Tribunal en relación con la naturaleza y alcances de la obligación de reparar</w:t>
      </w:r>
      <w:r w:rsidRPr="00B35251">
        <w:rPr>
          <w:rStyle w:val="Refdenotaalpie"/>
          <w:rFonts w:eastAsia="MS Mincho"/>
          <w:sz w:val="20"/>
          <w:szCs w:val="20"/>
        </w:rPr>
        <w:footnoteReference w:id="136"/>
      </w:r>
      <w:r w:rsidRPr="00B35251">
        <w:rPr>
          <w:sz w:val="20"/>
          <w:szCs w:val="20"/>
        </w:rPr>
        <w:t>, la Corte analizará las pretensiones presentadas por la Comisión y los representantes, así como los argumentos del Estado.</w:t>
      </w:r>
      <w:bookmarkStart w:id="82" w:name="_Ref469938768"/>
      <w:bookmarkEnd w:id="77"/>
      <w:bookmarkEnd w:id="78"/>
      <w:bookmarkEnd w:id="79"/>
      <w:bookmarkEnd w:id="80"/>
      <w:bookmarkEnd w:id="81"/>
      <w:r w:rsidRPr="00B35251">
        <w:rPr>
          <w:sz w:val="20"/>
          <w:szCs w:val="20"/>
        </w:rPr>
        <w:t xml:space="preserve"> En relación con la posición de Venezuela, debe destacarse que, aunque no se refirió en forma puntual a todas las medidas de reparación solicitadas por la Comisión y los representantes, efectuó, en su escrito de contestación, un señalamiento de su “</w:t>
      </w:r>
      <w:proofErr w:type="spellStart"/>
      <w:r w:rsidRPr="00B35251">
        <w:rPr>
          <w:sz w:val="20"/>
          <w:szCs w:val="20"/>
        </w:rPr>
        <w:t>comprom</w:t>
      </w:r>
      <w:proofErr w:type="spellEnd"/>
      <w:r w:rsidRPr="00B35251">
        <w:rPr>
          <w:sz w:val="20"/>
          <w:szCs w:val="20"/>
        </w:rPr>
        <w:t>[</w:t>
      </w:r>
      <w:proofErr w:type="spellStart"/>
      <w:r w:rsidRPr="00B35251">
        <w:rPr>
          <w:sz w:val="20"/>
          <w:szCs w:val="20"/>
        </w:rPr>
        <w:t>iso</w:t>
      </w:r>
      <w:proofErr w:type="spellEnd"/>
      <w:r w:rsidRPr="00B35251">
        <w:rPr>
          <w:sz w:val="20"/>
          <w:szCs w:val="20"/>
        </w:rPr>
        <w:t xml:space="preserve">]”, “[e]n principio y de forma general”, a </w:t>
      </w:r>
      <w:r w:rsidRPr="00B35251">
        <w:rPr>
          <w:sz w:val="20"/>
          <w:szCs w:val="20"/>
          <w:lang w:val="es-CO"/>
        </w:rPr>
        <w:t>“</w:t>
      </w:r>
      <w:r w:rsidRPr="00B35251">
        <w:rPr>
          <w:rFonts w:eastAsiaTheme="minorHAnsi" w:cs="ArialMT"/>
          <w:sz w:val="20"/>
          <w:szCs w:val="20"/>
          <w:lang w:eastAsia="en-US"/>
        </w:rPr>
        <w:t>cumplir con las reparaciones integrales correspondientes al presente caso, en atención a la jurisprudencia desarrollada para tales efectos por [la] Corte y los criterios que se han seguido en casos similares en la República Bolivariana de Venezuela”</w:t>
      </w:r>
      <w:r w:rsidR="00B35251">
        <w:rPr>
          <w:rFonts w:eastAsiaTheme="minorHAnsi" w:cs="ArialMT"/>
          <w:sz w:val="20"/>
          <w:szCs w:val="20"/>
          <w:lang w:eastAsia="en-US"/>
        </w:rPr>
        <w:t xml:space="preserve"> (</w:t>
      </w:r>
      <w:r w:rsidR="00B35251">
        <w:rPr>
          <w:rFonts w:eastAsiaTheme="minorHAnsi" w:cs="ArialMT"/>
          <w:i/>
          <w:sz w:val="20"/>
          <w:szCs w:val="20"/>
          <w:lang w:eastAsia="en-US"/>
        </w:rPr>
        <w:t xml:space="preserve">supra </w:t>
      </w:r>
      <w:r w:rsidR="00B35251">
        <w:rPr>
          <w:rFonts w:eastAsiaTheme="minorHAnsi" w:cs="ArialMT"/>
          <w:sz w:val="20"/>
          <w:szCs w:val="20"/>
          <w:lang w:eastAsia="en-US"/>
        </w:rPr>
        <w:t>párr. 14)</w:t>
      </w:r>
      <w:r w:rsidRPr="00B35251">
        <w:rPr>
          <w:rStyle w:val="Refdenotaalpie"/>
          <w:rFonts w:eastAsiaTheme="minorHAnsi" w:cs="ArialMT"/>
          <w:sz w:val="20"/>
          <w:szCs w:val="20"/>
          <w:lang w:eastAsia="en-US"/>
        </w:rPr>
        <w:footnoteReference w:id="137"/>
      </w:r>
      <w:r w:rsidRPr="00B35251">
        <w:rPr>
          <w:rFonts w:eastAsiaTheme="minorHAnsi" w:cs="ArialMT"/>
          <w:sz w:val="20"/>
          <w:szCs w:val="20"/>
          <w:lang w:eastAsia="en-US"/>
        </w:rPr>
        <w:t xml:space="preserve">. </w:t>
      </w:r>
    </w:p>
    <w:p w14:paraId="48EBA0C8" w14:textId="77777777" w:rsidR="00C5289C" w:rsidRDefault="00C5289C" w:rsidP="00B476ED">
      <w:pPr>
        <w:pStyle w:val="Prrafodelista"/>
        <w:spacing w:line="240" w:lineRule="auto"/>
        <w:ind w:right="-801"/>
        <w:rPr>
          <w:sz w:val="20"/>
          <w:szCs w:val="20"/>
          <w:lang w:val="es-ES_tradnl"/>
        </w:rPr>
      </w:pPr>
    </w:p>
    <w:p w14:paraId="128401DC" w14:textId="77777777" w:rsidR="00C5289C" w:rsidRPr="00D64A56" w:rsidRDefault="00C5289C" w:rsidP="00B476ED">
      <w:pPr>
        <w:pStyle w:val="Ttulo2"/>
        <w:numPr>
          <w:ilvl w:val="0"/>
          <w:numId w:val="8"/>
        </w:numPr>
        <w:tabs>
          <w:tab w:val="clear" w:pos="1134"/>
          <w:tab w:val="left" w:pos="708"/>
        </w:tabs>
        <w:spacing w:before="0" w:after="0"/>
        <w:ind w:right="-801"/>
        <w:textAlignment w:val="auto"/>
        <w:rPr>
          <w:lang w:eastAsia="en-US"/>
        </w:rPr>
      </w:pPr>
      <w:bookmarkStart w:id="83" w:name="_Toc52794770"/>
      <w:bookmarkStart w:id="84" w:name="_Toc37778493"/>
      <w:bookmarkStart w:id="85" w:name="_Toc36823503"/>
      <w:bookmarkStart w:id="86" w:name="_Toc32394184"/>
      <w:bookmarkStart w:id="87" w:name="_Toc192587"/>
      <w:bookmarkStart w:id="88" w:name="_Toc502885956"/>
      <w:bookmarkStart w:id="89" w:name="_Toc502891616"/>
      <w:bookmarkStart w:id="90" w:name="_Toc514063465"/>
      <w:bookmarkStart w:id="91" w:name="_Toc58330236"/>
      <w:r w:rsidRPr="00D64A56">
        <w:t>Parte Lesionada</w:t>
      </w:r>
      <w:bookmarkEnd w:id="83"/>
      <w:bookmarkEnd w:id="84"/>
      <w:bookmarkEnd w:id="85"/>
      <w:bookmarkEnd w:id="86"/>
      <w:bookmarkEnd w:id="87"/>
      <w:bookmarkEnd w:id="88"/>
      <w:bookmarkEnd w:id="89"/>
      <w:bookmarkEnd w:id="90"/>
      <w:bookmarkEnd w:id="91"/>
    </w:p>
    <w:p w14:paraId="6D48094B" w14:textId="77777777" w:rsidR="00C5289C" w:rsidRDefault="00C5289C" w:rsidP="00B476ED">
      <w:pPr>
        <w:pStyle w:val="Prrafodelista"/>
        <w:spacing w:line="240" w:lineRule="auto"/>
        <w:ind w:right="-801"/>
        <w:rPr>
          <w:sz w:val="20"/>
          <w:szCs w:val="20"/>
          <w:lang w:val="es-ES_tradnl"/>
        </w:rPr>
      </w:pPr>
    </w:p>
    <w:p w14:paraId="7F99812C" w14:textId="53E0C3FD" w:rsidR="00C5289C" w:rsidRPr="00D83692" w:rsidRDefault="00C5289C" w:rsidP="00B476ED">
      <w:pPr>
        <w:numPr>
          <w:ilvl w:val="0"/>
          <w:numId w:val="13"/>
        </w:numPr>
        <w:tabs>
          <w:tab w:val="left" w:pos="567"/>
        </w:tabs>
        <w:spacing w:line="240" w:lineRule="auto"/>
        <w:ind w:left="0" w:right="-801" w:firstLine="0"/>
        <w:rPr>
          <w:sz w:val="20"/>
          <w:szCs w:val="20"/>
          <w:lang w:val="es-CO"/>
        </w:rPr>
      </w:pPr>
      <w:r w:rsidRPr="00D83692">
        <w:rPr>
          <w:sz w:val="20"/>
          <w:szCs w:val="20"/>
          <w:lang w:val="es-ES_tradnl"/>
        </w:rPr>
        <w:t xml:space="preserve">Este Tribunal considera parte lesionada, en los términos del artículo 63.1 de la Convención, a quien ha sido declarada víctima de la violación de algún derecho reconocido en la misma. Por lo tanto, esta </w:t>
      </w:r>
      <w:r w:rsidRPr="00D83692">
        <w:rPr>
          <w:sz w:val="20"/>
          <w:szCs w:val="20"/>
        </w:rPr>
        <w:t>Corte</w:t>
      </w:r>
      <w:r w:rsidRPr="00D83692">
        <w:rPr>
          <w:sz w:val="20"/>
          <w:szCs w:val="20"/>
          <w:lang w:val="es-ES_tradnl"/>
        </w:rPr>
        <w:t xml:space="preserve"> considera como “parte lesionada” a </w:t>
      </w:r>
      <w:bookmarkEnd w:id="82"/>
      <w:r w:rsidRPr="001B08C5">
        <w:rPr>
          <w:sz w:val="20"/>
          <w:lang w:val="es-MX"/>
        </w:rPr>
        <w:t xml:space="preserve">José Gregorio Mota </w:t>
      </w:r>
      <w:proofErr w:type="spellStart"/>
      <w:r w:rsidRPr="001B08C5">
        <w:rPr>
          <w:sz w:val="20"/>
          <w:lang w:val="es-MX"/>
        </w:rPr>
        <w:t>Abarullo</w:t>
      </w:r>
      <w:proofErr w:type="spellEnd"/>
      <w:r w:rsidRPr="001B08C5">
        <w:rPr>
          <w:sz w:val="20"/>
          <w:lang w:val="es-MX"/>
        </w:rPr>
        <w:t>, Rafael Antonio Parra Herrera, Johan José Correa, Gabriel de Jesús Yáñez Sánchez, Cristian Arnaldo Molina Córdo</w:t>
      </w:r>
      <w:r w:rsidR="000305F3">
        <w:rPr>
          <w:sz w:val="20"/>
          <w:lang w:val="es-MX"/>
        </w:rPr>
        <w:t>v</w:t>
      </w:r>
      <w:r w:rsidRPr="001B08C5">
        <w:rPr>
          <w:sz w:val="20"/>
          <w:lang w:val="es-MX"/>
        </w:rPr>
        <w:t xml:space="preserve">a, Elvia </w:t>
      </w:r>
      <w:proofErr w:type="spellStart"/>
      <w:r w:rsidRPr="001B08C5">
        <w:rPr>
          <w:sz w:val="20"/>
          <w:lang w:val="es-MX"/>
        </w:rPr>
        <w:t>Abarullo</w:t>
      </w:r>
      <w:proofErr w:type="spellEnd"/>
      <w:r w:rsidRPr="001B08C5">
        <w:rPr>
          <w:sz w:val="20"/>
          <w:lang w:val="es-MX"/>
        </w:rPr>
        <w:t xml:space="preserve"> de Mota, Félix Enríquez Mota, </w:t>
      </w:r>
      <w:proofErr w:type="spellStart"/>
      <w:r w:rsidRPr="001B08C5">
        <w:rPr>
          <w:sz w:val="20"/>
          <w:lang w:val="es-MX"/>
        </w:rPr>
        <w:t>Osmely</w:t>
      </w:r>
      <w:proofErr w:type="spellEnd"/>
      <w:r w:rsidRPr="001B08C5">
        <w:rPr>
          <w:sz w:val="20"/>
          <w:lang w:val="es-MX"/>
        </w:rPr>
        <w:t xml:space="preserve"> Angelina Mota </w:t>
      </w:r>
      <w:proofErr w:type="spellStart"/>
      <w:r w:rsidRPr="001B08C5">
        <w:rPr>
          <w:sz w:val="20"/>
          <w:lang w:val="es-MX"/>
        </w:rPr>
        <w:t>Abarullo</w:t>
      </w:r>
      <w:proofErr w:type="spellEnd"/>
      <w:r w:rsidRPr="001B08C5">
        <w:rPr>
          <w:sz w:val="20"/>
          <w:lang w:val="es-MX"/>
        </w:rPr>
        <w:t xml:space="preserve">, Myriam Josefina Herrera Sánchez, Jesús Juvenal Herrera Sánchez, </w:t>
      </w:r>
      <w:proofErr w:type="spellStart"/>
      <w:r w:rsidRPr="001B08C5">
        <w:rPr>
          <w:sz w:val="20"/>
          <w:lang w:val="es-MX"/>
        </w:rPr>
        <w:t>Nelys</w:t>
      </w:r>
      <w:proofErr w:type="spellEnd"/>
      <w:r w:rsidRPr="001B08C5">
        <w:rPr>
          <w:sz w:val="20"/>
          <w:lang w:val="es-MX"/>
        </w:rPr>
        <w:t xml:space="preserve"> Margarita Correa, Belk</w:t>
      </w:r>
      <w:r w:rsidR="00C641CA">
        <w:rPr>
          <w:sz w:val="20"/>
          <w:lang w:val="es-MX"/>
        </w:rPr>
        <w:t>i</w:t>
      </w:r>
      <w:r w:rsidRPr="001B08C5">
        <w:rPr>
          <w:sz w:val="20"/>
          <w:lang w:val="es-MX"/>
        </w:rPr>
        <w:t>s Josefina Correa Ríos, Luis José Yáñez, Maritza del Valle Sánchez Ávila, María Cristina Córdova de Molina y Hugo Arnaldo Molina</w:t>
      </w:r>
      <w:r w:rsidRPr="00D83692">
        <w:rPr>
          <w:sz w:val="20"/>
          <w:lang w:val="es-MX"/>
        </w:rPr>
        <w:t xml:space="preserve">, </w:t>
      </w:r>
      <w:r w:rsidRPr="00D83692">
        <w:rPr>
          <w:sz w:val="20"/>
          <w:szCs w:val="20"/>
          <w:lang w:val="es-ES_tradnl"/>
        </w:rPr>
        <w:t>quienes, en su carácter de víctimas de las violaciones declaradas en capítulo VII serán consideradas beneficiarias de las reparaciones que la Corte ordene. El Tribunal recuerda que, como se indicó anteriormente</w:t>
      </w:r>
      <w:r w:rsidR="00AE2D43">
        <w:rPr>
          <w:sz w:val="20"/>
          <w:szCs w:val="20"/>
          <w:lang w:val="es-ES_tradnl"/>
        </w:rPr>
        <w:t xml:space="preserve"> (</w:t>
      </w:r>
      <w:r w:rsidR="00AE2D43">
        <w:rPr>
          <w:i/>
          <w:sz w:val="20"/>
          <w:szCs w:val="20"/>
          <w:lang w:val="es-ES_tradnl"/>
        </w:rPr>
        <w:t xml:space="preserve">supra </w:t>
      </w:r>
      <w:r w:rsidR="00AE2D43">
        <w:rPr>
          <w:sz w:val="20"/>
          <w:szCs w:val="20"/>
          <w:lang w:val="es-ES_tradnl"/>
        </w:rPr>
        <w:t>párr. 36)</w:t>
      </w:r>
      <w:r w:rsidRPr="00D83692">
        <w:rPr>
          <w:sz w:val="20"/>
          <w:szCs w:val="20"/>
          <w:lang w:val="es-ES_tradnl"/>
        </w:rPr>
        <w:t>, consta que, además de las cinco primeras personas nombrada</w:t>
      </w:r>
      <w:r w:rsidR="00AE2D43">
        <w:rPr>
          <w:sz w:val="20"/>
          <w:szCs w:val="20"/>
          <w:lang w:val="es-ES_tradnl"/>
        </w:rPr>
        <w:t>s</w:t>
      </w:r>
      <w:r w:rsidRPr="00D83692">
        <w:rPr>
          <w:sz w:val="20"/>
          <w:szCs w:val="20"/>
          <w:lang w:val="es-ES_tradnl"/>
        </w:rPr>
        <w:t>, la señora</w:t>
      </w:r>
      <w:r w:rsidRPr="00D83692">
        <w:rPr>
          <w:sz w:val="20"/>
          <w:lang w:val="es-MX"/>
        </w:rPr>
        <w:t xml:space="preserve"> </w:t>
      </w:r>
      <w:proofErr w:type="spellStart"/>
      <w:r w:rsidRPr="00D83692">
        <w:rPr>
          <w:sz w:val="20"/>
          <w:lang w:val="es-MX"/>
        </w:rPr>
        <w:t>Nelys</w:t>
      </w:r>
      <w:proofErr w:type="spellEnd"/>
      <w:r w:rsidRPr="00D83692">
        <w:rPr>
          <w:sz w:val="20"/>
          <w:lang w:val="es-MX"/>
        </w:rPr>
        <w:t xml:space="preserve"> Margarita Correa</w:t>
      </w:r>
      <w:r w:rsidRPr="00D83692">
        <w:rPr>
          <w:sz w:val="20"/>
          <w:szCs w:val="20"/>
          <w:lang w:val="es-ES_tradnl"/>
        </w:rPr>
        <w:t xml:space="preserve"> falleció de modo previo a la adopción de la presente Sentencia.</w:t>
      </w:r>
    </w:p>
    <w:p w14:paraId="3EFD69CC" w14:textId="77777777" w:rsidR="00C5289C" w:rsidRDefault="00C5289C" w:rsidP="00B476ED">
      <w:pPr>
        <w:tabs>
          <w:tab w:val="left" w:pos="567"/>
        </w:tabs>
        <w:spacing w:line="240" w:lineRule="auto"/>
        <w:ind w:right="-801"/>
        <w:rPr>
          <w:sz w:val="20"/>
          <w:szCs w:val="20"/>
          <w:lang w:val="es-ES_tradnl"/>
        </w:rPr>
      </w:pPr>
    </w:p>
    <w:p w14:paraId="1AD097D8" w14:textId="359FFDF5" w:rsidR="00C5289C" w:rsidRPr="00D64A56" w:rsidRDefault="00C5289C" w:rsidP="00B476ED">
      <w:pPr>
        <w:pStyle w:val="Ttulo2"/>
        <w:numPr>
          <w:ilvl w:val="0"/>
          <w:numId w:val="8"/>
        </w:numPr>
        <w:tabs>
          <w:tab w:val="clear" w:pos="1134"/>
          <w:tab w:val="left" w:pos="708"/>
        </w:tabs>
        <w:spacing w:before="0" w:after="0"/>
        <w:ind w:right="-801"/>
        <w:textAlignment w:val="auto"/>
        <w:rPr>
          <w:lang w:eastAsia="en-US"/>
        </w:rPr>
      </w:pPr>
      <w:bookmarkStart w:id="92" w:name="_Toc58330237"/>
      <w:r>
        <w:t>Obligación de investigar</w:t>
      </w:r>
      <w:bookmarkEnd w:id="92"/>
    </w:p>
    <w:p w14:paraId="4F5E000D" w14:textId="77777777" w:rsidR="00C5289C" w:rsidRPr="00D83692" w:rsidRDefault="00C5289C" w:rsidP="00B476ED">
      <w:pPr>
        <w:tabs>
          <w:tab w:val="left" w:pos="567"/>
        </w:tabs>
        <w:spacing w:line="240" w:lineRule="auto"/>
        <w:ind w:right="-801"/>
        <w:rPr>
          <w:sz w:val="20"/>
          <w:szCs w:val="20"/>
          <w:lang w:val="es-CO"/>
        </w:rPr>
      </w:pPr>
    </w:p>
    <w:p w14:paraId="6434D09B" w14:textId="3AAB1A3D" w:rsidR="00C5289C" w:rsidRPr="009216E3" w:rsidRDefault="00C5289C" w:rsidP="00B476ED">
      <w:pPr>
        <w:numPr>
          <w:ilvl w:val="0"/>
          <w:numId w:val="13"/>
        </w:numPr>
        <w:tabs>
          <w:tab w:val="left" w:pos="567"/>
        </w:tabs>
        <w:spacing w:line="240" w:lineRule="auto"/>
        <w:ind w:left="0" w:right="-801" w:firstLine="0"/>
        <w:rPr>
          <w:sz w:val="20"/>
          <w:szCs w:val="20"/>
          <w:lang w:val="es-CO"/>
        </w:rPr>
      </w:pPr>
      <w:r>
        <w:rPr>
          <w:sz w:val="20"/>
          <w:szCs w:val="20"/>
          <w:lang w:val="es-ES_tradnl"/>
        </w:rPr>
        <w:t xml:space="preserve">La </w:t>
      </w:r>
      <w:r w:rsidRPr="00251F75">
        <w:rPr>
          <w:b/>
          <w:i/>
          <w:sz w:val="20"/>
          <w:szCs w:val="20"/>
          <w:lang w:val="es-ES_tradnl"/>
        </w:rPr>
        <w:t>Comisión</w:t>
      </w:r>
      <w:r>
        <w:rPr>
          <w:sz w:val="20"/>
          <w:szCs w:val="20"/>
          <w:lang w:val="es-ES_tradnl"/>
        </w:rPr>
        <w:t xml:space="preserve"> solicitó que se orden</w:t>
      </w:r>
      <w:r w:rsidR="00325154">
        <w:rPr>
          <w:sz w:val="20"/>
          <w:szCs w:val="20"/>
          <w:lang w:val="es-ES_tradnl"/>
        </w:rPr>
        <w:t>ara</w:t>
      </w:r>
      <w:r>
        <w:rPr>
          <w:sz w:val="20"/>
          <w:szCs w:val="20"/>
          <w:lang w:val="es-ES_tradnl"/>
        </w:rPr>
        <w:t xml:space="preserve"> al Estado “[c]</w:t>
      </w:r>
      <w:proofErr w:type="spellStart"/>
      <w:r>
        <w:rPr>
          <w:sz w:val="20"/>
          <w:szCs w:val="20"/>
          <w:lang w:val="es-ES_tradnl"/>
        </w:rPr>
        <w:t>ontinuar</w:t>
      </w:r>
      <w:proofErr w:type="spellEnd"/>
      <w:r>
        <w:rPr>
          <w:sz w:val="20"/>
          <w:szCs w:val="20"/>
          <w:lang w:val="es-ES_tradnl"/>
        </w:rPr>
        <w:t xml:space="preserve"> la investigación penal de manera diligente, efectiva y dentro de un plazo razonable, con el objeto de esclarecer los hechos en forma completa, identificar todas las posibles responsabilidades e imponer las sanciones que correspondan respecto a las violaciones a derechos humanos” determinadas en el Informe de Fondo. </w:t>
      </w:r>
    </w:p>
    <w:p w14:paraId="5933BB00" w14:textId="77777777" w:rsidR="00C5289C" w:rsidRPr="009216E3" w:rsidRDefault="00C5289C" w:rsidP="00B476ED">
      <w:pPr>
        <w:tabs>
          <w:tab w:val="left" w:pos="567"/>
        </w:tabs>
        <w:spacing w:line="240" w:lineRule="auto"/>
        <w:ind w:right="-801"/>
        <w:rPr>
          <w:sz w:val="20"/>
          <w:szCs w:val="20"/>
          <w:lang w:val="es-CO"/>
        </w:rPr>
      </w:pPr>
    </w:p>
    <w:p w14:paraId="3099D009" w14:textId="4EE7BE39" w:rsidR="00C5289C" w:rsidRPr="00551CA6" w:rsidRDefault="00C5289C" w:rsidP="00B476ED">
      <w:pPr>
        <w:numPr>
          <w:ilvl w:val="0"/>
          <w:numId w:val="13"/>
        </w:numPr>
        <w:tabs>
          <w:tab w:val="left" w:pos="567"/>
        </w:tabs>
        <w:spacing w:line="240" w:lineRule="auto"/>
        <w:ind w:left="0" w:right="-801" w:firstLine="0"/>
        <w:rPr>
          <w:sz w:val="20"/>
          <w:szCs w:val="20"/>
          <w:lang w:val="es-CO"/>
        </w:rPr>
      </w:pPr>
      <w:r w:rsidRPr="009216E3">
        <w:rPr>
          <w:sz w:val="20"/>
          <w:szCs w:val="20"/>
          <w:lang w:val="es-CO"/>
        </w:rPr>
        <w:t xml:space="preserve">Los </w:t>
      </w:r>
      <w:r w:rsidRPr="009216E3">
        <w:rPr>
          <w:b/>
          <w:i/>
          <w:sz w:val="20"/>
          <w:szCs w:val="20"/>
          <w:lang w:val="es-CO"/>
        </w:rPr>
        <w:t>representantes</w:t>
      </w:r>
      <w:r w:rsidRPr="009216E3">
        <w:rPr>
          <w:sz w:val="20"/>
          <w:szCs w:val="20"/>
          <w:lang w:val="es-CO"/>
        </w:rPr>
        <w:t xml:space="preserve"> requirieron a la Corte que “ordene al Estado adoptar todas las medidas necesarias para investigar en un plazo razonable y de manera efectiva, objetiva e </w:t>
      </w:r>
      <w:r w:rsidRPr="009216E3">
        <w:rPr>
          <w:sz w:val="20"/>
          <w:szCs w:val="20"/>
          <w:lang w:val="es-CO"/>
        </w:rPr>
        <w:lastRenderedPageBreak/>
        <w:t xml:space="preserve">imparcial los hechos que causaron la muerte de las </w:t>
      </w:r>
      <w:r w:rsidR="00DD5486">
        <w:rPr>
          <w:sz w:val="20"/>
          <w:szCs w:val="20"/>
          <w:lang w:val="es-CO"/>
        </w:rPr>
        <w:t>[v]</w:t>
      </w:r>
      <w:proofErr w:type="spellStart"/>
      <w:r w:rsidRPr="009216E3">
        <w:rPr>
          <w:sz w:val="20"/>
          <w:szCs w:val="20"/>
          <w:lang w:val="es-CO"/>
        </w:rPr>
        <w:t>íctimas</w:t>
      </w:r>
      <w:proofErr w:type="spellEnd"/>
      <w:r w:rsidRPr="009216E3">
        <w:rPr>
          <w:sz w:val="20"/>
          <w:szCs w:val="20"/>
          <w:lang w:val="es-CO"/>
        </w:rPr>
        <w:t xml:space="preserve"> y</w:t>
      </w:r>
      <w:r w:rsidR="00AE2D43">
        <w:rPr>
          <w:sz w:val="20"/>
          <w:szCs w:val="20"/>
          <w:lang w:val="es-CO"/>
        </w:rPr>
        <w:t xml:space="preserve"> [que]</w:t>
      </w:r>
      <w:r w:rsidRPr="009216E3">
        <w:rPr>
          <w:sz w:val="20"/>
          <w:szCs w:val="20"/>
          <w:lang w:val="es-CO"/>
        </w:rPr>
        <w:t>, con base en ello, imponga las</w:t>
      </w:r>
      <w:r>
        <w:rPr>
          <w:sz w:val="20"/>
          <w:szCs w:val="20"/>
          <w:lang w:val="es-CO"/>
        </w:rPr>
        <w:t xml:space="preserve"> </w:t>
      </w:r>
      <w:r w:rsidRPr="009216E3">
        <w:rPr>
          <w:sz w:val="20"/>
          <w:szCs w:val="20"/>
          <w:lang w:val="es-CO"/>
        </w:rPr>
        <w:t>sanciones que correspondan a los responsables</w:t>
      </w:r>
      <w:r>
        <w:rPr>
          <w:sz w:val="20"/>
          <w:szCs w:val="20"/>
          <w:lang w:val="es-CO"/>
        </w:rPr>
        <w:t>”</w:t>
      </w:r>
      <w:r w:rsidRPr="009216E3">
        <w:rPr>
          <w:sz w:val="20"/>
          <w:szCs w:val="20"/>
          <w:lang w:val="es-CO"/>
        </w:rPr>
        <w:t>.</w:t>
      </w:r>
      <w:r>
        <w:rPr>
          <w:sz w:val="20"/>
          <w:szCs w:val="20"/>
          <w:lang w:val="es-CO"/>
        </w:rPr>
        <w:t xml:space="preserve"> </w:t>
      </w:r>
    </w:p>
    <w:p w14:paraId="17CEA55D" w14:textId="77777777" w:rsidR="00C5289C" w:rsidRDefault="00C5289C" w:rsidP="00B476ED">
      <w:pPr>
        <w:pStyle w:val="Prrafodelista"/>
        <w:spacing w:line="240" w:lineRule="auto"/>
        <w:ind w:right="-801"/>
        <w:rPr>
          <w:sz w:val="20"/>
          <w:szCs w:val="20"/>
          <w:lang w:val="es-CO"/>
        </w:rPr>
      </w:pPr>
    </w:p>
    <w:p w14:paraId="6DAAAE2F" w14:textId="77777777" w:rsidR="00C5289C" w:rsidRDefault="00C5289C" w:rsidP="00B476ED">
      <w:pPr>
        <w:numPr>
          <w:ilvl w:val="0"/>
          <w:numId w:val="13"/>
        </w:numPr>
        <w:tabs>
          <w:tab w:val="left" w:pos="567"/>
        </w:tabs>
        <w:spacing w:line="240" w:lineRule="auto"/>
        <w:ind w:left="0" w:right="-801" w:firstLine="0"/>
        <w:rPr>
          <w:sz w:val="20"/>
          <w:szCs w:val="20"/>
          <w:lang w:val="es-ES_tradnl"/>
        </w:rPr>
      </w:pPr>
      <w:r w:rsidRPr="00551CA6">
        <w:rPr>
          <w:sz w:val="20"/>
          <w:szCs w:val="20"/>
          <w:lang w:val="es-CO"/>
        </w:rPr>
        <w:t xml:space="preserve">El </w:t>
      </w:r>
      <w:r w:rsidRPr="00551CA6">
        <w:rPr>
          <w:b/>
          <w:i/>
          <w:sz w:val="20"/>
          <w:szCs w:val="20"/>
          <w:lang w:val="es-CO"/>
        </w:rPr>
        <w:t>Estado</w:t>
      </w:r>
      <w:r w:rsidRPr="00551CA6">
        <w:rPr>
          <w:sz w:val="20"/>
          <w:szCs w:val="20"/>
          <w:lang w:val="es-CO"/>
        </w:rPr>
        <w:t>, “</w:t>
      </w:r>
      <w:r w:rsidRPr="00551CA6">
        <w:rPr>
          <w:sz w:val="20"/>
          <w:szCs w:val="20"/>
          <w:lang w:val="es-ES_tradnl"/>
        </w:rPr>
        <w:t xml:space="preserve">se </w:t>
      </w:r>
      <w:proofErr w:type="spellStart"/>
      <w:proofErr w:type="gramStart"/>
      <w:r w:rsidRPr="00551CA6">
        <w:rPr>
          <w:sz w:val="20"/>
          <w:szCs w:val="20"/>
          <w:lang w:val="es-ES_tradnl"/>
        </w:rPr>
        <w:t>compromet</w:t>
      </w:r>
      <w:proofErr w:type="spellEnd"/>
      <w:r w:rsidRPr="00551CA6">
        <w:rPr>
          <w:sz w:val="20"/>
          <w:szCs w:val="20"/>
          <w:lang w:val="es-ES_tradnl"/>
        </w:rPr>
        <w:t>[</w:t>
      </w:r>
      <w:proofErr w:type="spellStart"/>
      <w:proofErr w:type="gramEnd"/>
      <w:r w:rsidRPr="00551CA6">
        <w:rPr>
          <w:sz w:val="20"/>
          <w:szCs w:val="20"/>
          <w:lang w:val="es-ES_tradnl"/>
        </w:rPr>
        <w:t>ió</w:t>
      </w:r>
      <w:proofErr w:type="spellEnd"/>
      <w:r w:rsidRPr="00551CA6">
        <w:rPr>
          <w:sz w:val="20"/>
          <w:szCs w:val="20"/>
          <w:lang w:val="es-ES_tradnl"/>
        </w:rPr>
        <w:t xml:space="preserve"> a] impulsar, desarrollar y continuar el proceso penal en curso para esclarecer lo sucedido y establecer las responsabilidades a que hubiere lugar como consecuencia de los hechos acontecidos en el presente caso, en un plazo razonable y con la debida diligencia, tomando en cuenta las</w:t>
      </w:r>
      <w:r>
        <w:rPr>
          <w:sz w:val="20"/>
          <w:szCs w:val="20"/>
          <w:lang w:val="es-ES_tradnl"/>
        </w:rPr>
        <w:t xml:space="preserve"> </w:t>
      </w:r>
      <w:r w:rsidRPr="00551CA6">
        <w:rPr>
          <w:sz w:val="20"/>
          <w:szCs w:val="20"/>
          <w:lang w:val="es-ES_tradnl"/>
        </w:rPr>
        <w:t>circunstancias del caso</w:t>
      </w:r>
      <w:r>
        <w:rPr>
          <w:sz w:val="20"/>
          <w:szCs w:val="20"/>
          <w:lang w:val="es-ES_tradnl"/>
        </w:rPr>
        <w:t>”</w:t>
      </w:r>
      <w:r w:rsidRPr="00551CA6">
        <w:rPr>
          <w:sz w:val="20"/>
          <w:szCs w:val="20"/>
          <w:lang w:val="es-ES_tradnl"/>
        </w:rPr>
        <w:t>.</w:t>
      </w:r>
    </w:p>
    <w:p w14:paraId="47E93344" w14:textId="77777777" w:rsidR="00C5289C" w:rsidRDefault="00C5289C" w:rsidP="00B476ED">
      <w:pPr>
        <w:pStyle w:val="Prrafodelista"/>
        <w:spacing w:line="240" w:lineRule="auto"/>
        <w:ind w:right="-801"/>
        <w:rPr>
          <w:sz w:val="20"/>
          <w:szCs w:val="20"/>
          <w:lang w:val="es-ES_tradnl"/>
        </w:rPr>
      </w:pPr>
    </w:p>
    <w:p w14:paraId="58608AA6" w14:textId="55CD9413" w:rsidR="00C5289C" w:rsidRDefault="00C5289C" w:rsidP="00B476ED">
      <w:pPr>
        <w:numPr>
          <w:ilvl w:val="0"/>
          <w:numId w:val="13"/>
        </w:numPr>
        <w:tabs>
          <w:tab w:val="left" w:pos="567"/>
        </w:tabs>
        <w:spacing w:line="240" w:lineRule="auto"/>
        <w:ind w:left="0" w:right="-801" w:firstLine="0"/>
        <w:rPr>
          <w:sz w:val="20"/>
          <w:szCs w:val="20"/>
          <w:lang w:val="es-ES_tradnl"/>
        </w:rPr>
      </w:pPr>
      <w:r>
        <w:rPr>
          <w:sz w:val="20"/>
          <w:szCs w:val="20"/>
          <w:lang w:val="es-ES_tradnl"/>
        </w:rPr>
        <w:t xml:space="preserve">La </w:t>
      </w:r>
      <w:r w:rsidRPr="006D5711">
        <w:rPr>
          <w:b/>
          <w:i/>
          <w:sz w:val="20"/>
          <w:szCs w:val="20"/>
          <w:lang w:val="es-ES_tradnl"/>
        </w:rPr>
        <w:t>Corte</w:t>
      </w:r>
      <w:r>
        <w:rPr>
          <w:sz w:val="20"/>
          <w:szCs w:val="20"/>
          <w:lang w:val="es-ES_tradnl"/>
        </w:rPr>
        <w:t xml:space="preserve"> </w:t>
      </w:r>
      <w:r w:rsidRPr="006D5711">
        <w:rPr>
          <w:sz w:val="20"/>
          <w:szCs w:val="20"/>
          <w:lang w:val="es-ES_tradnl"/>
        </w:rPr>
        <w:t>dispone que el Estado</w:t>
      </w:r>
      <w:r>
        <w:rPr>
          <w:sz w:val="20"/>
          <w:szCs w:val="20"/>
          <w:lang w:val="es-ES_tradnl"/>
        </w:rPr>
        <w:t>, en un plazo razonable, y de conformidad con el derecho interno, impulse, continúe y concluya</w:t>
      </w:r>
      <w:r w:rsidRPr="006D5711">
        <w:rPr>
          <w:sz w:val="20"/>
          <w:szCs w:val="20"/>
          <w:lang w:val="es-ES_tradnl"/>
        </w:rPr>
        <w:t xml:space="preserve">, con la debida diligencia, las investigaciones </w:t>
      </w:r>
      <w:r>
        <w:rPr>
          <w:sz w:val="20"/>
          <w:szCs w:val="20"/>
          <w:lang w:val="es-ES_tradnl"/>
        </w:rPr>
        <w:t xml:space="preserve">y/o procesos judiciales </w:t>
      </w:r>
      <w:r w:rsidRPr="006D5711">
        <w:rPr>
          <w:sz w:val="20"/>
          <w:szCs w:val="20"/>
          <w:lang w:val="es-ES_tradnl"/>
        </w:rPr>
        <w:t>que sean necesari</w:t>
      </w:r>
      <w:r>
        <w:rPr>
          <w:sz w:val="20"/>
          <w:szCs w:val="20"/>
          <w:lang w:val="es-ES_tradnl"/>
        </w:rPr>
        <w:t>o</w:t>
      </w:r>
      <w:r w:rsidRPr="006D5711">
        <w:rPr>
          <w:sz w:val="20"/>
          <w:szCs w:val="20"/>
          <w:lang w:val="es-ES_tradnl"/>
        </w:rPr>
        <w:t xml:space="preserve">s para determinar y, en </w:t>
      </w:r>
      <w:r>
        <w:rPr>
          <w:sz w:val="20"/>
          <w:szCs w:val="20"/>
          <w:lang w:val="es-ES_tradnl"/>
        </w:rPr>
        <w:t>su caso, juzgar y sancionar a la</w:t>
      </w:r>
      <w:r w:rsidRPr="006D5711">
        <w:rPr>
          <w:sz w:val="20"/>
          <w:szCs w:val="20"/>
          <w:lang w:val="es-ES_tradnl"/>
        </w:rPr>
        <w:t xml:space="preserve">s </w:t>
      </w:r>
      <w:r>
        <w:rPr>
          <w:sz w:val="20"/>
          <w:szCs w:val="20"/>
          <w:lang w:val="es-ES_tradnl"/>
        </w:rPr>
        <w:t xml:space="preserve">personas </w:t>
      </w:r>
      <w:r w:rsidRPr="006D5711">
        <w:rPr>
          <w:sz w:val="20"/>
          <w:szCs w:val="20"/>
          <w:lang w:val="es-ES_tradnl"/>
        </w:rPr>
        <w:t xml:space="preserve">responsables de las muertes y lesiones ocasionadas a personas privadas de libertad en </w:t>
      </w:r>
      <w:r>
        <w:rPr>
          <w:sz w:val="20"/>
          <w:szCs w:val="20"/>
          <w:lang w:val="es-ES_tradnl"/>
        </w:rPr>
        <w:t>el INAM</w:t>
      </w:r>
      <w:r w:rsidR="00A259E6">
        <w:rPr>
          <w:sz w:val="20"/>
          <w:szCs w:val="20"/>
          <w:lang w:val="es-ES_tradnl"/>
        </w:rPr>
        <w:t>-</w:t>
      </w:r>
      <w:r>
        <w:rPr>
          <w:sz w:val="20"/>
          <w:szCs w:val="20"/>
          <w:lang w:val="es-ES_tradnl"/>
        </w:rPr>
        <w:t>San Félix a partir del incendio ocurrido el 30 de junio de 2005</w:t>
      </w:r>
      <w:r w:rsidRPr="006D5711">
        <w:rPr>
          <w:sz w:val="20"/>
          <w:szCs w:val="20"/>
          <w:lang w:val="es-ES_tradnl"/>
        </w:rPr>
        <w:t>.</w:t>
      </w:r>
    </w:p>
    <w:p w14:paraId="0AB3DF12" w14:textId="77777777" w:rsidR="00C5289C" w:rsidRDefault="00C5289C" w:rsidP="00B476ED">
      <w:pPr>
        <w:pStyle w:val="Prrafodelista"/>
        <w:spacing w:line="240" w:lineRule="auto"/>
        <w:ind w:right="-801"/>
        <w:rPr>
          <w:sz w:val="20"/>
          <w:szCs w:val="20"/>
          <w:lang w:val="es-ES_tradnl"/>
        </w:rPr>
      </w:pPr>
    </w:p>
    <w:p w14:paraId="31816412" w14:textId="54B7B873" w:rsidR="00C5289C" w:rsidRPr="0066366C" w:rsidRDefault="00C5289C" w:rsidP="00B476ED">
      <w:pPr>
        <w:numPr>
          <w:ilvl w:val="0"/>
          <w:numId w:val="13"/>
        </w:numPr>
        <w:tabs>
          <w:tab w:val="left" w:pos="567"/>
        </w:tabs>
        <w:spacing w:line="240" w:lineRule="auto"/>
        <w:ind w:left="0" w:right="-801" w:firstLine="0"/>
        <w:rPr>
          <w:sz w:val="20"/>
          <w:szCs w:val="20"/>
          <w:lang w:val="es-ES_tradnl"/>
        </w:rPr>
      </w:pPr>
      <w:r w:rsidRPr="003A5C19">
        <w:rPr>
          <w:sz w:val="20"/>
          <w:szCs w:val="20"/>
          <w:lang w:val="es-ES_tradnl"/>
        </w:rPr>
        <w:t>Además, la Corte dispone que el Estado, en un plazo razonable, y de conformidad con el derecho interno, realice las actuaciones necesarias para, en su caso, determinar las responsabilidades administrativas y/o disciplinarias que pudieren corresponder en relación con las circunstancias que derivaron en el incendio de la celda 4 del INAM –</w:t>
      </w:r>
      <w:r w:rsidR="00A259E6">
        <w:rPr>
          <w:sz w:val="20"/>
          <w:szCs w:val="20"/>
          <w:lang w:val="es-ES_tradnl"/>
        </w:rPr>
        <w:t xml:space="preserve"> </w:t>
      </w:r>
      <w:r w:rsidRPr="003A5C19">
        <w:rPr>
          <w:sz w:val="20"/>
          <w:szCs w:val="20"/>
          <w:lang w:val="es-ES_tradnl"/>
        </w:rPr>
        <w:t>San Félix el 30 de junio de 2005</w:t>
      </w:r>
      <w:r w:rsidRPr="0066366C">
        <w:rPr>
          <w:sz w:val="20"/>
          <w:szCs w:val="20"/>
          <w:lang w:val="es-ES_tradnl"/>
        </w:rPr>
        <w:t>.</w:t>
      </w:r>
    </w:p>
    <w:p w14:paraId="4BE8D8A9" w14:textId="77777777" w:rsidR="00C5289C" w:rsidRDefault="00C5289C" w:rsidP="00B476ED">
      <w:pPr>
        <w:tabs>
          <w:tab w:val="left" w:pos="567"/>
        </w:tabs>
        <w:spacing w:line="240" w:lineRule="auto"/>
        <w:ind w:right="-801"/>
        <w:rPr>
          <w:sz w:val="20"/>
          <w:szCs w:val="20"/>
          <w:lang w:val="es-ES_tradnl"/>
        </w:rPr>
      </w:pPr>
    </w:p>
    <w:p w14:paraId="3ECCA83B" w14:textId="5CFD1519" w:rsidR="00C5289C" w:rsidRPr="00D64A56" w:rsidRDefault="00C5289C" w:rsidP="00B476ED">
      <w:pPr>
        <w:pStyle w:val="Ttulo2"/>
        <w:numPr>
          <w:ilvl w:val="0"/>
          <w:numId w:val="8"/>
        </w:numPr>
        <w:tabs>
          <w:tab w:val="clear" w:pos="1134"/>
          <w:tab w:val="left" w:pos="708"/>
        </w:tabs>
        <w:spacing w:before="0" w:after="0"/>
        <w:ind w:right="-801"/>
        <w:textAlignment w:val="auto"/>
        <w:rPr>
          <w:lang w:eastAsia="en-US"/>
        </w:rPr>
      </w:pPr>
      <w:bookmarkStart w:id="93" w:name="_Toc58330238"/>
      <w:r>
        <w:t>Medidas de rehabilitación</w:t>
      </w:r>
      <w:bookmarkEnd w:id="93"/>
    </w:p>
    <w:p w14:paraId="4C5EBB4C" w14:textId="77777777" w:rsidR="00C5289C" w:rsidRPr="00251F75" w:rsidRDefault="00C5289C" w:rsidP="00B476ED">
      <w:pPr>
        <w:tabs>
          <w:tab w:val="left" w:pos="567"/>
        </w:tabs>
        <w:spacing w:line="240" w:lineRule="auto"/>
        <w:ind w:right="-801"/>
        <w:rPr>
          <w:sz w:val="20"/>
          <w:szCs w:val="20"/>
          <w:lang w:val="es-CO"/>
        </w:rPr>
      </w:pPr>
    </w:p>
    <w:p w14:paraId="6944209C" w14:textId="26317C81" w:rsidR="00C5289C" w:rsidRPr="009216E3" w:rsidRDefault="00C5289C" w:rsidP="00B476ED">
      <w:pPr>
        <w:numPr>
          <w:ilvl w:val="0"/>
          <w:numId w:val="13"/>
        </w:numPr>
        <w:tabs>
          <w:tab w:val="left" w:pos="567"/>
        </w:tabs>
        <w:spacing w:line="240" w:lineRule="auto"/>
        <w:ind w:left="0" w:right="-801" w:firstLine="0"/>
        <w:rPr>
          <w:sz w:val="20"/>
          <w:szCs w:val="20"/>
          <w:lang w:val="es-CO"/>
        </w:rPr>
      </w:pPr>
      <w:r>
        <w:rPr>
          <w:sz w:val="20"/>
          <w:szCs w:val="20"/>
          <w:lang w:val="es-ES_tradnl"/>
        </w:rPr>
        <w:t xml:space="preserve">La </w:t>
      </w:r>
      <w:r w:rsidRPr="009216E3">
        <w:rPr>
          <w:b/>
          <w:i/>
          <w:sz w:val="20"/>
          <w:szCs w:val="20"/>
          <w:lang w:val="es-ES_tradnl"/>
        </w:rPr>
        <w:t>Comisión</w:t>
      </w:r>
      <w:r>
        <w:rPr>
          <w:sz w:val="20"/>
          <w:szCs w:val="20"/>
          <w:lang w:val="es-ES_tradnl"/>
        </w:rPr>
        <w:t xml:space="preserve"> requirió que </w:t>
      </w:r>
      <w:r w:rsidR="00325154">
        <w:rPr>
          <w:sz w:val="20"/>
          <w:szCs w:val="20"/>
          <w:lang w:val="es-ES_tradnl"/>
        </w:rPr>
        <w:t xml:space="preserve">se </w:t>
      </w:r>
      <w:r>
        <w:rPr>
          <w:sz w:val="20"/>
          <w:szCs w:val="20"/>
          <w:lang w:val="es-ES_tradnl"/>
        </w:rPr>
        <w:t>orden</w:t>
      </w:r>
      <w:r w:rsidR="00325154">
        <w:rPr>
          <w:sz w:val="20"/>
          <w:szCs w:val="20"/>
          <w:lang w:val="es-ES_tradnl"/>
        </w:rPr>
        <w:t>ara</w:t>
      </w:r>
      <w:r>
        <w:rPr>
          <w:sz w:val="20"/>
          <w:szCs w:val="20"/>
          <w:lang w:val="es-ES_tradnl"/>
        </w:rPr>
        <w:t xml:space="preserve"> al Estado “[d]</w:t>
      </w:r>
      <w:proofErr w:type="spellStart"/>
      <w:r>
        <w:rPr>
          <w:sz w:val="20"/>
          <w:szCs w:val="20"/>
          <w:lang w:val="es-ES_tradnl"/>
        </w:rPr>
        <w:t>isponer</w:t>
      </w:r>
      <w:proofErr w:type="spellEnd"/>
      <w:r>
        <w:rPr>
          <w:sz w:val="20"/>
          <w:szCs w:val="20"/>
          <w:lang w:val="es-ES_tradnl"/>
        </w:rPr>
        <w:t xml:space="preserve"> las medidas de atención en salud física y mental necesarias para la rehabilitación de los familiares de los jóvenes fallecidos, de ser su voluntad y de manera concertada”. </w:t>
      </w:r>
    </w:p>
    <w:p w14:paraId="75A3DDE1" w14:textId="77777777" w:rsidR="00C5289C" w:rsidRPr="009216E3" w:rsidRDefault="00C5289C" w:rsidP="00B476ED">
      <w:pPr>
        <w:tabs>
          <w:tab w:val="left" w:pos="567"/>
        </w:tabs>
        <w:spacing w:line="240" w:lineRule="auto"/>
        <w:ind w:right="-801"/>
        <w:rPr>
          <w:sz w:val="20"/>
          <w:szCs w:val="20"/>
          <w:lang w:val="es-CO"/>
        </w:rPr>
      </w:pPr>
    </w:p>
    <w:p w14:paraId="2A83FF72" w14:textId="132F60F2" w:rsidR="00C5289C" w:rsidRDefault="00C5289C" w:rsidP="00B476ED">
      <w:pPr>
        <w:numPr>
          <w:ilvl w:val="0"/>
          <w:numId w:val="13"/>
        </w:numPr>
        <w:tabs>
          <w:tab w:val="left" w:pos="567"/>
        </w:tabs>
        <w:spacing w:line="240" w:lineRule="auto"/>
        <w:ind w:left="0" w:right="-801" w:firstLine="0"/>
        <w:rPr>
          <w:b/>
          <w:sz w:val="20"/>
          <w:szCs w:val="20"/>
          <w:lang w:val="es-ES_tradnl"/>
        </w:rPr>
      </w:pPr>
      <w:r w:rsidRPr="009216E3">
        <w:rPr>
          <w:sz w:val="20"/>
          <w:szCs w:val="20"/>
          <w:lang w:val="es-CO"/>
        </w:rPr>
        <w:t xml:space="preserve">Los </w:t>
      </w:r>
      <w:r w:rsidRPr="001559A7">
        <w:rPr>
          <w:b/>
          <w:i/>
          <w:sz w:val="20"/>
          <w:szCs w:val="20"/>
          <w:lang w:val="es-CO"/>
        </w:rPr>
        <w:t>representantes</w:t>
      </w:r>
      <w:r w:rsidRPr="009216E3">
        <w:rPr>
          <w:i/>
          <w:sz w:val="20"/>
          <w:szCs w:val="20"/>
          <w:lang w:val="es-CO"/>
        </w:rPr>
        <w:t xml:space="preserve"> </w:t>
      </w:r>
      <w:r w:rsidRPr="009216E3">
        <w:rPr>
          <w:sz w:val="20"/>
          <w:szCs w:val="20"/>
          <w:lang w:val="es-CO"/>
        </w:rPr>
        <w:t>expresaron que debe ordenarse a</w:t>
      </w:r>
      <w:r>
        <w:rPr>
          <w:sz w:val="20"/>
          <w:szCs w:val="20"/>
          <w:lang w:val="es-CO"/>
        </w:rPr>
        <w:t xml:space="preserve"> Venezuela</w:t>
      </w:r>
      <w:r w:rsidRPr="009216E3">
        <w:rPr>
          <w:sz w:val="20"/>
          <w:szCs w:val="20"/>
          <w:lang w:val="es-CO"/>
        </w:rPr>
        <w:t xml:space="preserve"> “</w:t>
      </w:r>
      <w:r w:rsidRPr="009216E3">
        <w:rPr>
          <w:sz w:val="20"/>
          <w:szCs w:val="20"/>
          <w:lang w:val="es-ES_tradnl"/>
        </w:rPr>
        <w:t>disponer las medidas de atención en salud física y mental necesarias para la rehabilitación de los familiares de las [v]</w:t>
      </w:r>
      <w:proofErr w:type="spellStart"/>
      <w:r w:rsidRPr="009216E3">
        <w:rPr>
          <w:sz w:val="20"/>
          <w:szCs w:val="20"/>
          <w:lang w:val="es-ES_tradnl"/>
        </w:rPr>
        <w:t>íctimas</w:t>
      </w:r>
      <w:proofErr w:type="spellEnd"/>
      <w:r w:rsidRPr="009216E3">
        <w:rPr>
          <w:sz w:val="20"/>
          <w:szCs w:val="20"/>
          <w:lang w:val="es-ES_tradnl"/>
        </w:rPr>
        <w:t>”. Requirieron que la “atención física y psicosocial” sea brindada por el Estado”</w:t>
      </w:r>
      <w:r>
        <w:rPr>
          <w:sz w:val="20"/>
          <w:szCs w:val="20"/>
          <w:lang w:val="es-ES_tradnl"/>
        </w:rPr>
        <w:t xml:space="preserve"> </w:t>
      </w:r>
      <w:r w:rsidRPr="009216E3">
        <w:rPr>
          <w:sz w:val="20"/>
          <w:szCs w:val="20"/>
          <w:lang w:val="es-ES_tradnl"/>
        </w:rPr>
        <w:t xml:space="preserve">de mutuo acuerdo con los beneficiarios, tomando en cuenta las necesidades particulares de cada uno, incluyendo la localidad geográfica de cada víctima”. </w:t>
      </w:r>
    </w:p>
    <w:p w14:paraId="24EB71E3" w14:textId="77777777" w:rsidR="00C5289C" w:rsidRDefault="00C5289C" w:rsidP="00B476ED">
      <w:pPr>
        <w:pStyle w:val="Prrafodelista"/>
        <w:spacing w:line="240" w:lineRule="auto"/>
        <w:ind w:right="-801"/>
        <w:rPr>
          <w:b/>
          <w:sz w:val="20"/>
          <w:szCs w:val="20"/>
          <w:lang w:val="es-ES_tradnl"/>
        </w:rPr>
      </w:pPr>
    </w:p>
    <w:p w14:paraId="777CD127" w14:textId="0C9FF5F0" w:rsidR="00C5289C" w:rsidRPr="001863F8" w:rsidRDefault="00C5289C" w:rsidP="00B476ED">
      <w:pPr>
        <w:numPr>
          <w:ilvl w:val="0"/>
          <w:numId w:val="13"/>
        </w:numPr>
        <w:tabs>
          <w:tab w:val="left" w:pos="567"/>
        </w:tabs>
        <w:spacing w:line="240" w:lineRule="auto"/>
        <w:ind w:left="0" w:right="-801" w:firstLine="0"/>
        <w:rPr>
          <w:sz w:val="20"/>
          <w:szCs w:val="20"/>
          <w:lang w:val="es-ES_tradnl"/>
        </w:rPr>
      </w:pPr>
      <w:r w:rsidRPr="001559A7">
        <w:rPr>
          <w:sz w:val="20"/>
          <w:szCs w:val="20"/>
          <w:lang w:val="es-ES_tradnl"/>
        </w:rPr>
        <w:t xml:space="preserve">El </w:t>
      </w:r>
      <w:r w:rsidRPr="001559A7">
        <w:rPr>
          <w:b/>
          <w:i/>
          <w:sz w:val="20"/>
          <w:szCs w:val="20"/>
          <w:lang w:val="es-ES_tradnl"/>
        </w:rPr>
        <w:t>Estado</w:t>
      </w:r>
      <w:r w:rsidRPr="001559A7">
        <w:rPr>
          <w:b/>
          <w:sz w:val="20"/>
          <w:szCs w:val="20"/>
          <w:lang w:val="es-ES_tradnl"/>
        </w:rPr>
        <w:t xml:space="preserve"> </w:t>
      </w:r>
      <w:r w:rsidRPr="001559A7">
        <w:rPr>
          <w:sz w:val="20"/>
          <w:szCs w:val="20"/>
          <w:lang w:val="es-ES_tradnl"/>
        </w:rPr>
        <w:t xml:space="preserve">“se </w:t>
      </w:r>
      <w:proofErr w:type="spellStart"/>
      <w:r w:rsidRPr="00551CA6">
        <w:rPr>
          <w:sz w:val="20"/>
          <w:szCs w:val="20"/>
          <w:lang w:val="es-ES_tradnl"/>
        </w:rPr>
        <w:t>compromet</w:t>
      </w:r>
      <w:proofErr w:type="spellEnd"/>
      <w:r w:rsidRPr="00551CA6">
        <w:rPr>
          <w:sz w:val="20"/>
          <w:szCs w:val="20"/>
          <w:lang w:val="es-ES_tradnl"/>
        </w:rPr>
        <w:t>[</w:t>
      </w:r>
      <w:proofErr w:type="spellStart"/>
      <w:r w:rsidRPr="00551CA6">
        <w:rPr>
          <w:sz w:val="20"/>
          <w:szCs w:val="20"/>
          <w:lang w:val="es-ES_tradnl"/>
        </w:rPr>
        <w:t>ió</w:t>
      </w:r>
      <w:proofErr w:type="spellEnd"/>
      <w:r w:rsidRPr="00551CA6">
        <w:rPr>
          <w:sz w:val="20"/>
          <w:szCs w:val="20"/>
          <w:lang w:val="es-ES_tradnl"/>
        </w:rPr>
        <w:t>] a partir de la presentación del [escrito de contestación], a ofrecer y brindar medidas de atención en salud a las víctimas”. Por ello, “</w:t>
      </w:r>
      <w:proofErr w:type="spellStart"/>
      <w:r w:rsidRPr="00551CA6">
        <w:rPr>
          <w:sz w:val="20"/>
          <w:szCs w:val="20"/>
          <w:lang w:val="es-ES_tradnl"/>
        </w:rPr>
        <w:t>invit</w:t>
      </w:r>
      <w:proofErr w:type="spellEnd"/>
      <w:r w:rsidRPr="00551CA6">
        <w:rPr>
          <w:sz w:val="20"/>
          <w:szCs w:val="20"/>
          <w:lang w:val="es-ES_tradnl"/>
        </w:rPr>
        <w:t>[</w:t>
      </w:r>
      <w:proofErr w:type="spellStart"/>
      <w:r w:rsidRPr="00551CA6">
        <w:rPr>
          <w:sz w:val="20"/>
          <w:szCs w:val="20"/>
          <w:lang w:val="es-ES_tradnl"/>
        </w:rPr>
        <w:t>ó</w:t>
      </w:r>
      <w:proofErr w:type="spellEnd"/>
      <w:r w:rsidRPr="00551CA6">
        <w:rPr>
          <w:sz w:val="20"/>
          <w:szCs w:val="20"/>
          <w:lang w:val="es-ES_tradnl"/>
        </w:rPr>
        <w:t>] a las víctimas interesadas a contactar a las autoridades del Estado […]</w:t>
      </w:r>
      <w:r w:rsidR="00A259E6">
        <w:rPr>
          <w:sz w:val="20"/>
          <w:szCs w:val="20"/>
          <w:lang w:val="es-ES_tradnl"/>
        </w:rPr>
        <w:t xml:space="preserve"> </w:t>
      </w:r>
      <w:r w:rsidRPr="00551CA6">
        <w:rPr>
          <w:sz w:val="20"/>
          <w:szCs w:val="20"/>
          <w:lang w:val="es-ES_tradnl"/>
        </w:rPr>
        <w:t xml:space="preserve">para hacer efectivas las medidas que sean requeridas para atender las condiciones de salud derivadas del presente caso”. </w:t>
      </w:r>
    </w:p>
    <w:p w14:paraId="0A70AE25" w14:textId="77777777" w:rsidR="00C5289C" w:rsidRDefault="00C5289C" w:rsidP="00B476ED">
      <w:pPr>
        <w:pStyle w:val="Prrafodelista"/>
        <w:spacing w:line="240" w:lineRule="auto"/>
        <w:ind w:right="-801"/>
        <w:rPr>
          <w:sz w:val="20"/>
          <w:szCs w:val="20"/>
          <w:lang w:val="es-ES_tradnl"/>
        </w:rPr>
      </w:pPr>
    </w:p>
    <w:p w14:paraId="1FD5875A" w14:textId="038B6641" w:rsidR="00C5289C" w:rsidRPr="009B77DE" w:rsidRDefault="00C5289C" w:rsidP="00B476ED">
      <w:pPr>
        <w:numPr>
          <w:ilvl w:val="0"/>
          <w:numId w:val="13"/>
        </w:numPr>
        <w:tabs>
          <w:tab w:val="left" w:pos="567"/>
        </w:tabs>
        <w:spacing w:line="240" w:lineRule="auto"/>
        <w:ind w:left="0" w:right="-801" w:firstLine="0"/>
        <w:rPr>
          <w:sz w:val="20"/>
          <w:szCs w:val="20"/>
          <w:lang w:val="es-ES_tradnl"/>
        </w:rPr>
      </w:pPr>
      <w:r w:rsidRPr="009B77DE">
        <w:rPr>
          <w:sz w:val="20"/>
          <w:szCs w:val="20"/>
        </w:rPr>
        <w:t xml:space="preserve">La </w:t>
      </w:r>
      <w:r w:rsidRPr="009B77DE">
        <w:rPr>
          <w:b/>
          <w:i/>
          <w:sz w:val="20"/>
          <w:szCs w:val="20"/>
        </w:rPr>
        <w:t>Corte</w:t>
      </w:r>
      <w:r w:rsidRPr="009B77DE">
        <w:rPr>
          <w:sz w:val="20"/>
          <w:szCs w:val="20"/>
        </w:rPr>
        <w:t xml:space="preserve"> ordena al Estado brindar, de manera gratuita, en forma prioritaria, tratamiento </w:t>
      </w:r>
      <w:r w:rsidR="00325154" w:rsidRPr="009B77DE">
        <w:rPr>
          <w:sz w:val="20"/>
          <w:szCs w:val="20"/>
        </w:rPr>
        <w:t xml:space="preserve">psicológico </w:t>
      </w:r>
      <w:r w:rsidR="00325154">
        <w:rPr>
          <w:sz w:val="20"/>
          <w:szCs w:val="20"/>
        </w:rPr>
        <w:t>y/</w:t>
      </w:r>
      <w:r w:rsidRPr="009B77DE">
        <w:rPr>
          <w:sz w:val="20"/>
          <w:szCs w:val="20"/>
        </w:rPr>
        <w:t xml:space="preserve">o </w:t>
      </w:r>
      <w:r w:rsidR="00325154" w:rsidRPr="009B77DE">
        <w:rPr>
          <w:sz w:val="20"/>
          <w:szCs w:val="20"/>
        </w:rPr>
        <w:t xml:space="preserve">psiquiátrico </w:t>
      </w:r>
      <w:r w:rsidRPr="009B77DE">
        <w:rPr>
          <w:sz w:val="20"/>
          <w:szCs w:val="20"/>
        </w:rPr>
        <w:t>a las víctimas que así lo requieran. Los tratamientos deberán incluir la provisión de medicamentos y, en su caso, transporte y otros gastos directamente relacionados y necesarios</w:t>
      </w:r>
      <w:r w:rsidRPr="009B77DE">
        <w:rPr>
          <w:rStyle w:val="Refdenotaalpie"/>
          <w:rFonts w:eastAsia="MS Mincho"/>
          <w:sz w:val="20"/>
          <w:szCs w:val="20"/>
        </w:rPr>
        <w:footnoteReference w:id="138"/>
      </w:r>
      <w:r w:rsidRPr="009B77DE">
        <w:rPr>
          <w:sz w:val="20"/>
          <w:szCs w:val="20"/>
        </w:rPr>
        <w:t>; asimismo, deberán prestarse, en la medida de lo posible, en los centros más cercanos al lugar de residencia de los beneficiarios</w:t>
      </w:r>
      <w:r w:rsidRPr="009B77DE">
        <w:rPr>
          <w:rStyle w:val="Refdenotaalpie"/>
          <w:rFonts w:eastAsia="MS Mincho"/>
          <w:sz w:val="20"/>
          <w:szCs w:val="20"/>
        </w:rPr>
        <w:footnoteReference w:id="139"/>
      </w:r>
      <w:r w:rsidRPr="009B77DE">
        <w:rPr>
          <w:sz w:val="20"/>
          <w:szCs w:val="20"/>
        </w:rPr>
        <w:t>, por el tiempo que sea necesario. Al proveer los tratamientos deben considerarse las circunstancias y necesidades particulares de cada víctima, según lo que se acuerde con ella y después de una evaluación individual</w:t>
      </w:r>
      <w:r w:rsidRPr="009B77DE">
        <w:rPr>
          <w:rStyle w:val="Refdenotaalpie"/>
          <w:rFonts w:eastAsia="MS Mincho"/>
          <w:sz w:val="20"/>
          <w:szCs w:val="20"/>
        </w:rPr>
        <w:footnoteReference w:id="140"/>
      </w:r>
      <w:r w:rsidRPr="009B77DE">
        <w:rPr>
          <w:sz w:val="20"/>
          <w:szCs w:val="20"/>
        </w:rPr>
        <w:t>.</w:t>
      </w:r>
    </w:p>
    <w:p w14:paraId="5DB64D3A" w14:textId="77777777" w:rsidR="00C5289C" w:rsidRPr="00E62ABF" w:rsidRDefault="00C5289C" w:rsidP="00B476ED">
      <w:pPr>
        <w:pStyle w:val="Prrafodelista"/>
        <w:spacing w:line="240" w:lineRule="auto"/>
        <w:ind w:right="-801"/>
        <w:rPr>
          <w:sz w:val="20"/>
          <w:szCs w:val="20"/>
        </w:rPr>
      </w:pPr>
    </w:p>
    <w:p w14:paraId="35BD997D" w14:textId="053BAE44" w:rsidR="00C5289C" w:rsidRPr="009B77DE" w:rsidRDefault="00C5289C" w:rsidP="00B476ED">
      <w:pPr>
        <w:numPr>
          <w:ilvl w:val="0"/>
          <w:numId w:val="13"/>
        </w:numPr>
        <w:tabs>
          <w:tab w:val="left" w:pos="567"/>
        </w:tabs>
        <w:spacing w:line="240" w:lineRule="auto"/>
        <w:ind w:left="0" w:right="-801" w:firstLine="0"/>
        <w:rPr>
          <w:sz w:val="20"/>
          <w:szCs w:val="20"/>
          <w:lang w:val="es-ES_tradnl"/>
        </w:rPr>
      </w:pPr>
      <w:r w:rsidRPr="009B77DE">
        <w:rPr>
          <w:sz w:val="20"/>
          <w:szCs w:val="20"/>
        </w:rPr>
        <w:lastRenderedPageBreak/>
        <w:t xml:space="preserve">Las personas beneficiarias disponen de un plazo de seis meses, contado a partir de la notificación de la presente Sentencia, para confirmar al Estado su anuencia a recibir atención psicológica </w:t>
      </w:r>
      <w:r w:rsidR="00325154">
        <w:rPr>
          <w:sz w:val="20"/>
          <w:szCs w:val="20"/>
        </w:rPr>
        <w:t>y/</w:t>
      </w:r>
      <w:r w:rsidR="009B77DE" w:rsidRPr="009B77DE">
        <w:rPr>
          <w:sz w:val="20"/>
          <w:szCs w:val="20"/>
        </w:rPr>
        <w:t xml:space="preserve">o </w:t>
      </w:r>
      <w:r w:rsidRPr="009B77DE">
        <w:rPr>
          <w:sz w:val="20"/>
          <w:szCs w:val="20"/>
        </w:rPr>
        <w:t>psiquiátrica</w:t>
      </w:r>
      <w:r w:rsidRPr="009B77DE">
        <w:rPr>
          <w:rStyle w:val="Refdenotaalpie"/>
          <w:rFonts w:eastAsia="MS Mincho"/>
          <w:sz w:val="20"/>
          <w:szCs w:val="20"/>
        </w:rPr>
        <w:footnoteReference w:id="141"/>
      </w:r>
      <w:r w:rsidRPr="009B77DE">
        <w:rPr>
          <w:sz w:val="20"/>
          <w:szCs w:val="20"/>
        </w:rPr>
        <w:t>. A su vez, el Estado dispondrá del plazo de seis meses, contado a partir de la recepción de dicha solicitud, para brindar de manera efectiva la atención solicitada.</w:t>
      </w:r>
    </w:p>
    <w:p w14:paraId="45B62E12" w14:textId="77777777" w:rsidR="00C5289C" w:rsidRDefault="00C5289C" w:rsidP="00B476ED">
      <w:pPr>
        <w:tabs>
          <w:tab w:val="left" w:pos="567"/>
        </w:tabs>
        <w:spacing w:line="240" w:lineRule="auto"/>
        <w:ind w:right="-801"/>
        <w:rPr>
          <w:b/>
          <w:sz w:val="20"/>
          <w:szCs w:val="20"/>
          <w:lang w:val="es-ES_tradnl"/>
        </w:rPr>
      </w:pPr>
    </w:p>
    <w:p w14:paraId="79124453" w14:textId="79B41ABD" w:rsidR="00C5289C" w:rsidRPr="00D64A56" w:rsidRDefault="00C5289C" w:rsidP="00B476ED">
      <w:pPr>
        <w:pStyle w:val="Ttulo2"/>
        <w:numPr>
          <w:ilvl w:val="0"/>
          <w:numId w:val="8"/>
        </w:numPr>
        <w:tabs>
          <w:tab w:val="clear" w:pos="1134"/>
          <w:tab w:val="left" w:pos="708"/>
        </w:tabs>
        <w:spacing w:before="0" w:after="0"/>
        <w:ind w:right="-801"/>
        <w:textAlignment w:val="auto"/>
        <w:rPr>
          <w:lang w:eastAsia="en-US"/>
        </w:rPr>
      </w:pPr>
      <w:bookmarkStart w:id="94" w:name="_Toc58330239"/>
      <w:r>
        <w:t>Medidas de satisfacción</w:t>
      </w:r>
      <w:bookmarkEnd w:id="94"/>
    </w:p>
    <w:p w14:paraId="4CD4118C" w14:textId="77777777" w:rsidR="00C5289C" w:rsidRPr="00251F75" w:rsidRDefault="00C5289C" w:rsidP="00B476ED">
      <w:pPr>
        <w:tabs>
          <w:tab w:val="left" w:pos="567"/>
        </w:tabs>
        <w:spacing w:line="240" w:lineRule="auto"/>
        <w:ind w:right="-801"/>
        <w:rPr>
          <w:sz w:val="20"/>
          <w:szCs w:val="20"/>
          <w:lang w:val="es-CO"/>
        </w:rPr>
      </w:pPr>
    </w:p>
    <w:p w14:paraId="7EB20930" w14:textId="77777777" w:rsidR="00C5289C" w:rsidRPr="009216E3" w:rsidRDefault="00C5289C" w:rsidP="00B476ED">
      <w:pPr>
        <w:numPr>
          <w:ilvl w:val="0"/>
          <w:numId w:val="13"/>
        </w:numPr>
        <w:tabs>
          <w:tab w:val="left" w:pos="567"/>
        </w:tabs>
        <w:spacing w:line="240" w:lineRule="auto"/>
        <w:ind w:left="0" w:right="-801" w:firstLine="0"/>
        <w:rPr>
          <w:sz w:val="20"/>
          <w:szCs w:val="20"/>
          <w:lang w:val="es-CO"/>
        </w:rPr>
      </w:pPr>
      <w:r>
        <w:rPr>
          <w:sz w:val="20"/>
          <w:szCs w:val="20"/>
          <w:lang w:val="es-ES_tradnl"/>
        </w:rPr>
        <w:t xml:space="preserve">La </w:t>
      </w:r>
      <w:r w:rsidRPr="006E6E5D">
        <w:rPr>
          <w:b/>
          <w:i/>
          <w:sz w:val="20"/>
          <w:szCs w:val="20"/>
          <w:lang w:val="es-ES_tradnl"/>
        </w:rPr>
        <w:t>Comisión</w:t>
      </w:r>
      <w:r>
        <w:rPr>
          <w:sz w:val="20"/>
          <w:szCs w:val="20"/>
          <w:lang w:val="es-ES_tradnl"/>
        </w:rPr>
        <w:t xml:space="preserve"> entendió que el Estado debe reparar integralmente las violaciones a derechos humanos, tanto en el aspecto material como inmaterial, inclusive mediante medidas de satisfacción. </w:t>
      </w:r>
    </w:p>
    <w:p w14:paraId="0F1774C5" w14:textId="77777777" w:rsidR="00C5289C" w:rsidRPr="009216E3" w:rsidRDefault="00C5289C" w:rsidP="00B476ED">
      <w:pPr>
        <w:tabs>
          <w:tab w:val="left" w:pos="567"/>
        </w:tabs>
        <w:spacing w:line="240" w:lineRule="auto"/>
        <w:ind w:right="-801"/>
        <w:rPr>
          <w:sz w:val="20"/>
          <w:szCs w:val="20"/>
          <w:lang w:val="es-CO"/>
        </w:rPr>
      </w:pPr>
    </w:p>
    <w:p w14:paraId="11E766A3" w14:textId="35100251" w:rsidR="00C5289C" w:rsidRPr="00C11547" w:rsidRDefault="00C5289C" w:rsidP="00B476ED">
      <w:pPr>
        <w:numPr>
          <w:ilvl w:val="0"/>
          <w:numId w:val="13"/>
        </w:numPr>
        <w:tabs>
          <w:tab w:val="left" w:pos="567"/>
        </w:tabs>
        <w:spacing w:line="240" w:lineRule="auto"/>
        <w:ind w:left="0" w:right="-801" w:firstLine="0"/>
        <w:rPr>
          <w:sz w:val="20"/>
          <w:szCs w:val="20"/>
          <w:lang w:val="es-CO"/>
        </w:rPr>
      </w:pPr>
      <w:r w:rsidRPr="00C11547">
        <w:rPr>
          <w:sz w:val="20"/>
          <w:szCs w:val="20"/>
          <w:lang w:val="es-CO"/>
        </w:rPr>
        <w:t xml:space="preserve">Los </w:t>
      </w:r>
      <w:r w:rsidRPr="005D075B">
        <w:rPr>
          <w:b/>
          <w:i/>
          <w:sz w:val="20"/>
          <w:szCs w:val="20"/>
          <w:lang w:val="es-CO"/>
        </w:rPr>
        <w:t>representantes</w:t>
      </w:r>
      <w:r w:rsidRPr="00C11547">
        <w:rPr>
          <w:sz w:val="20"/>
          <w:szCs w:val="20"/>
          <w:lang w:val="es-CO"/>
        </w:rPr>
        <w:t xml:space="preserve"> requirieron que se orden</w:t>
      </w:r>
      <w:r w:rsidR="00F944BA">
        <w:rPr>
          <w:sz w:val="20"/>
          <w:szCs w:val="20"/>
          <w:lang w:val="es-CO"/>
        </w:rPr>
        <w:t>ara</w:t>
      </w:r>
      <w:r>
        <w:rPr>
          <w:sz w:val="20"/>
          <w:szCs w:val="20"/>
          <w:lang w:val="es-CO"/>
        </w:rPr>
        <w:t>n</w:t>
      </w:r>
      <w:r w:rsidRPr="00C11547">
        <w:rPr>
          <w:sz w:val="20"/>
          <w:szCs w:val="20"/>
          <w:lang w:val="es-CO"/>
        </w:rPr>
        <w:t xml:space="preserve"> las siguientes publicaciones: a) </w:t>
      </w:r>
      <w:r w:rsidRPr="00C11547">
        <w:rPr>
          <w:rFonts w:eastAsiaTheme="minorHAnsi"/>
          <w:sz w:val="20"/>
          <w:szCs w:val="20"/>
          <w:lang w:eastAsia="en-US"/>
        </w:rPr>
        <w:t xml:space="preserve">“el resumen oficial de la Sentencia emitido por la Corte en la Gaceta Oficial venezolana”; b) “el resumen oficial de la Sentencia emitido por la Corte, en un diario de amplia circulación nacional en Venezuela”; y c) “la Sentencia en su integridad, disponible por un período de un año, en un sitio web oficial del Ministerio Público y el Ministerio del Poder Popular para el Servicio Penitenciario”. </w:t>
      </w:r>
    </w:p>
    <w:p w14:paraId="7559301C" w14:textId="77777777" w:rsidR="00C5289C" w:rsidRDefault="00C5289C" w:rsidP="00B476ED">
      <w:pPr>
        <w:pStyle w:val="Prrafodelista"/>
        <w:spacing w:line="240" w:lineRule="auto"/>
        <w:ind w:right="-801"/>
        <w:rPr>
          <w:sz w:val="20"/>
          <w:szCs w:val="20"/>
          <w:lang w:val="es-CO"/>
        </w:rPr>
      </w:pPr>
    </w:p>
    <w:p w14:paraId="7997AB83" w14:textId="77777777" w:rsidR="00C5289C" w:rsidRDefault="00C5289C" w:rsidP="00B476ED">
      <w:pPr>
        <w:numPr>
          <w:ilvl w:val="0"/>
          <w:numId w:val="13"/>
        </w:numPr>
        <w:tabs>
          <w:tab w:val="left" w:pos="567"/>
        </w:tabs>
        <w:spacing w:line="240" w:lineRule="auto"/>
        <w:ind w:left="0" w:right="-801" w:firstLine="0"/>
        <w:rPr>
          <w:sz w:val="20"/>
          <w:szCs w:val="20"/>
          <w:lang w:val="es-CO"/>
        </w:rPr>
      </w:pPr>
      <w:r>
        <w:rPr>
          <w:sz w:val="20"/>
          <w:szCs w:val="20"/>
          <w:lang w:val="es-CO"/>
        </w:rPr>
        <w:t xml:space="preserve">El </w:t>
      </w:r>
      <w:r w:rsidRPr="00D851BA">
        <w:rPr>
          <w:b/>
          <w:i/>
          <w:sz w:val="20"/>
          <w:szCs w:val="20"/>
          <w:lang w:val="es-CO"/>
        </w:rPr>
        <w:t xml:space="preserve">Estado </w:t>
      </w:r>
      <w:r>
        <w:rPr>
          <w:sz w:val="20"/>
          <w:szCs w:val="20"/>
          <w:lang w:val="es-CO"/>
        </w:rPr>
        <w:t>no se refirió a las solicitudes de medidas de satisfacción.</w:t>
      </w:r>
    </w:p>
    <w:p w14:paraId="4A9BBED8" w14:textId="77777777" w:rsidR="00C5289C" w:rsidRDefault="00C5289C" w:rsidP="00B476ED">
      <w:pPr>
        <w:pStyle w:val="Prrafodelista"/>
        <w:spacing w:line="240" w:lineRule="auto"/>
        <w:ind w:right="-801"/>
        <w:rPr>
          <w:sz w:val="20"/>
          <w:szCs w:val="20"/>
          <w:lang w:val="es-CO"/>
        </w:rPr>
      </w:pPr>
    </w:p>
    <w:p w14:paraId="53F540DB" w14:textId="3D44A26D" w:rsidR="00C5289C" w:rsidRPr="00A917A3" w:rsidRDefault="00C5289C" w:rsidP="00B476ED">
      <w:pPr>
        <w:numPr>
          <w:ilvl w:val="0"/>
          <w:numId w:val="13"/>
        </w:numPr>
        <w:tabs>
          <w:tab w:val="left" w:pos="567"/>
        </w:tabs>
        <w:spacing w:line="240" w:lineRule="auto"/>
        <w:ind w:left="0" w:right="-801" w:firstLine="0"/>
        <w:rPr>
          <w:sz w:val="20"/>
          <w:szCs w:val="20"/>
          <w:lang w:val="es-CO"/>
        </w:rPr>
      </w:pPr>
      <w:r w:rsidRPr="00A917A3">
        <w:rPr>
          <w:sz w:val="20"/>
          <w:szCs w:val="20"/>
        </w:rPr>
        <w:t xml:space="preserve">La </w:t>
      </w:r>
      <w:r w:rsidRPr="00A917A3">
        <w:rPr>
          <w:b/>
          <w:i/>
          <w:sz w:val="20"/>
          <w:szCs w:val="20"/>
        </w:rPr>
        <w:t>Corte</w:t>
      </w:r>
      <w:r w:rsidRPr="00A917A3">
        <w:rPr>
          <w:sz w:val="20"/>
          <w:szCs w:val="20"/>
        </w:rPr>
        <w:t>, como en otros casos</w:t>
      </w:r>
      <w:r w:rsidRPr="00A917A3">
        <w:rPr>
          <w:sz w:val="20"/>
          <w:szCs w:val="20"/>
          <w:vertAlign w:val="superscript"/>
        </w:rPr>
        <w:footnoteReference w:id="142"/>
      </w:r>
      <w:r w:rsidRPr="00A917A3">
        <w:rPr>
          <w:sz w:val="20"/>
          <w:szCs w:val="20"/>
        </w:rPr>
        <w:t xml:space="preserve">, dispone </w:t>
      </w:r>
      <w:r w:rsidRPr="00A917A3">
        <w:rPr>
          <w:rFonts w:cs="Verdana"/>
          <w:sz w:val="20"/>
          <w:szCs w:val="20"/>
          <w:lang w:val="es-ES"/>
        </w:rPr>
        <w:t>que el Estado publique, en el plazo de seis meses, contado a partir de la notificación de la presente Sentencia</w:t>
      </w:r>
      <w:r w:rsidRPr="00A917A3">
        <w:rPr>
          <w:sz w:val="20"/>
          <w:szCs w:val="20"/>
        </w:rPr>
        <w:t>, en un tamaño de letra legible y adecuado, lo siguiente</w:t>
      </w:r>
      <w:r w:rsidRPr="00A917A3">
        <w:rPr>
          <w:rFonts w:cs="Verdana"/>
          <w:sz w:val="20"/>
          <w:szCs w:val="20"/>
          <w:lang w:val="es-ES"/>
        </w:rPr>
        <w:t xml:space="preserve">: a) el resumen </w:t>
      </w:r>
      <w:r w:rsidRPr="00A917A3">
        <w:rPr>
          <w:sz w:val="20"/>
          <w:szCs w:val="20"/>
        </w:rPr>
        <w:t>oficial</w:t>
      </w:r>
      <w:r w:rsidRPr="00A917A3">
        <w:rPr>
          <w:rFonts w:cs="Verdana"/>
          <w:sz w:val="20"/>
          <w:szCs w:val="20"/>
          <w:lang w:val="es-ES"/>
        </w:rPr>
        <w:t xml:space="preserve"> de la presente Sentencia elaborado por la Corte, por una sola vez, en la Gaceta Oficial venezolana; b) el </w:t>
      </w:r>
      <w:r w:rsidRPr="00A917A3">
        <w:rPr>
          <w:sz w:val="20"/>
          <w:szCs w:val="20"/>
        </w:rPr>
        <w:t>resumen</w:t>
      </w:r>
      <w:r w:rsidRPr="00A917A3">
        <w:rPr>
          <w:rFonts w:cs="Verdana"/>
          <w:sz w:val="20"/>
          <w:szCs w:val="20"/>
          <w:lang w:val="es-ES"/>
        </w:rPr>
        <w:t xml:space="preserve"> oficial de la presente Sentencia elaborado por la Corte, por una sola vez, en un diario de amplia circulación nacional, </w:t>
      </w:r>
      <w:r w:rsidRPr="00A917A3">
        <w:rPr>
          <w:sz w:val="20"/>
          <w:szCs w:val="20"/>
        </w:rPr>
        <w:t xml:space="preserve">en un tamaño de letra legible y adecuado, </w:t>
      </w:r>
      <w:r w:rsidRPr="00A917A3">
        <w:rPr>
          <w:rFonts w:cs="Verdana"/>
          <w:sz w:val="20"/>
          <w:szCs w:val="20"/>
          <w:lang w:val="es-ES"/>
        </w:rPr>
        <w:t>y c) la presente Sentencia en su integridad, disponible por un período de un año, en sitios web oficiales</w:t>
      </w:r>
      <w:r w:rsidRPr="00A917A3">
        <w:rPr>
          <w:rFonts w:eastAsiaTheme="minorHAnsi"/>
          <w:sz w:val="20"/>
          <w:szCs w:val="20"/>
          <w:lang w:eastAsia="en-US"/>
        </w:rPr>
        <w:t xml:space="preserve"> del Ministerio Público y el Ministerio del Poder Popular para el Servicio Penitenciario</w:t>
      </w:r>
      <w:r w:rsidRPr="00A917A3">
        <w:rPr>
          <w:rFonts w:cs="Georgia"/>
          <w:sz w:val="20"/>
          <w:szCs w:val="20"/>
        </w:rPr>
        <w:t xml:space="preserve">. </w:t>
      </w:r>
      <w:r w:rsidRPr="00A917A3">
        <w:rPr>
          <w:sz w:val="20"/>
          <w:szCs w:val="20"/>
        </w:rPr>
        <w:t xml:space="preserve">El Estado deberá informar de forma inmediata a este Tribunal una vez que proceda a realizar cada una de las publicaciones dispuestas, independientemente del plazo de un año para presentar su primer informe dispuesto en el punto resolutivo </w:t>
      </w:r>
      <w:r w:rsidR="009B77DE">
        <w:rPr>
          <w:sz w:val="20"/>
          <w:szCs w:val="20"/>
        </w:rPr>
        <w:t xml:space="preserve">12 </w:t>
      </w:r>
      <w:r w:rsidRPr="00A917A3">
        <w:rPr>
          <w:sz w:val="20"/>
          <w:szCs w:val="20"/>
        </w:rPr>
        <w:t>de la presente Sentencia.</w:t>
      </w:r>
    </w:p>
    <w:p w14:paraId="02C5E9FA" w14:textId="77777777" w:rsidR="00C5289C" w:rsidRDefault="00C5289C" w:rsidP="00B476ED">
      <w:pPr>
        <w:tabs>
          <w:tab w:val="left" w:pos="567"/>
        </w:tabs>
        <w:spacing w:line="240" w:lineRule="auto"/>
        <w:ind w:right="-801"/>
        <w:rPr>
          <w:sz w:val="20"/>
          <w:szCs w:val="20"/>
          <w:lang w:val="es-ES_tradnl"/>
        </w:rPr>
      </w:pPr>
    </w:p>
    <w:p w14:paraId="7DADDC2E" w14:textId="06F886AB" w:rsidR="00C5289C" w:rsidRPr="00D64A56" w:rsidRDefault="00C5289C" w:rsidP="00B476ED">
      <w:pPr>
        <w:pStyle w:val="Ttulo2"/>
        <w:numPr>
          <w:ilvl w:val="0"/>
          <w:numId w:val="8"/>
        </w:numPr>
        <w:tabs>
          <w:tab w:val="clear" w:pos="1134"/>
          <w:tab w:val="left" w:pos="708"/>
        </w:tabs>
        <w:spacing w:before="0" w:after="0"/>
        <w:ind w:right="-801"/>
        <w:textAlignment w:val="auto"/>
        <w:rPr>
          <w:lang w:eastAsia="en-US"/>
        </w:rPr>
      </w:pPr>
      <w:bookmarkStart w:id="95" w:name="_Toc58330240"/>
      <w:r>
        <w:rPr>
          <w:lang w:eastAsia="en-US"/>
        </w:rPr>
        <w:t>Garantías de no repetición</w:t>
      </w:r>
      <w:bookmarkEnd w:id="95"/>
    </w:p>
    <w:p w14:paraId="11E4D20B" w14:textId="77777777" w:rsidR="00C5289C" w:rsidRPr="006E6E5D" w:rsidRDefault="00C5289C" w:rsidP="00B476ED">
      <w:pPr>
        <w:tabs>
          <w:tab w:val="left" w:pos="567"/>
        </w:tabs>
        <w:spacing w:line="240" w:lineRule="auto"/>
        <w:ind w:right="-801"/>
        <w:rPr>
          <w:sz w:val="20"/>
          <w:szCs w:val="20"/>
          <w:lang w:val="es-CO"/>
        </w:rPr>
      </w:pPr>
    </w:p>
    <w:p w14:paraId="125AA7D2" w14:textId="7754A344" w:rsidR="00C5289C" w:rsidRPr="00DC70F4" w:rsidRDefault="00C5289C" w:rsidP="00B476ED">
      <w:pPr>
        <w:numPr>
          <w:ilvl w:val="0"/>
          <w:numId w:val="13"/>
        </w:numPr>
        <w:tabs>
          <w:tab w:val="left" w:pos="567"/>
        </w:tabs>
        <w:spacing w:line="240" w:lineRule="auto"/>
        <w:ind w:left="0" w:right="-801" w:firstLine="0"/>
        <w:rPr>
          <w:sz w:val="20"/>
          <w:szCs w:val="20"/>
          <w:lang w:val="es-CO"/>
        </w:rPr>
      </w:pPr>
      <w:r>
        <w:rPr>
          <w:sz w:val="20"/>
          <w:szCs w:val="20"/>
          <w:lang w:val="es-CO"/>
        </w:rPr>
        <w:t xml:space="preserve">La </w:t>
      </w:r>
      <w:r w:rsidRPr="00F1771B">
        <w:rPr>
          <w:b/>
          <w:i/>
          <w:sz w:val="20"/>
          <w:szCs w:val="20"/>
          <w:lang w:val="es-CO"/>
        </w:rPr>
        <w:t xml:space="preserve">Comisión </w:t>
      </w:r>
      <w:r>
        <w:rPr>
          <w:sz w:val="20"/>
          <w:szCs w:val="20"/>
          <w:lang w:val="es-CO"/>
        </w:rPr>
        <w:t>requirió, al someter el caso a la Corte, que se ordena</w:t>
      </w:r>
      <w:r w:rsidR="00F944BA">
        <w:rPr>
          <w:sz w:val="20"/>
          <w:szCs w:val="20"/>
          <w:lang w:val="es-CO"/>
        </w:rPr>
        <w:t>ra</w:t>
      </w:r>
      <w:r>
        <w:rPr>
          <w:sz w:val="20"/>
          <w:szCs w:val="20"/>
          <w:lang w:val="es-CO"/>
        </w:rPr>
        <w:t xml:space="preserve"> a Venezuela “[d]</w:t>
      </w:r>
      <w:proofErr w:type="spellStart"/>
      <w:r>
        <w:rPr>
          <w:sz w:val="20"/>
          <w:szCs w:val="20"/>
          <w:lang w:val="es-CO"/>
        </w:rPr>
        <w:t>isponer</w:t>
      </w:r>
      <w:proofErr w:type="spellEnd"/>
      <w:r>
        <w:rPr>
          <w:sz w:val="20"/>
          <w:szCs w:val="20"/>
          <w:lang w:val="es-CO"/>
        </w:rPr>
        <w:t xml:space="preserve"> mecanismos de no repetición que incluyan todas las medidas necesarias para erradicar los múltiples factores de riesgo identificados en el [Informe de Fondo], tanto en materia de infraestructura, control efectivo, atención a situaciones de emergencia, eliminación del hacinamiento, separación y estricto cumplimiento de los programas de resocialización de los adolescentes que se encuentran privados de libertad en el INAM–San Félix”. </w:t>
      </w:r>
    </w:p>
    <w:p w14:paraId="3AE4E321" w14:textId="77777777" w:rsidR="00C5289C" w:rsidRPr="00DC70F4" w:rsidRDefault="00C5289C" w:rsidP="00B476ED">
      <w:pPr>
        <w:tabs>
          <w:tab w:val="left" w:pos="567"/>
        </w:tabs>
        <w:spacing w:line="240" w:lineRule="auto"/>
        <w:ind w:right="-801"/>
        <w:rPr>
          <w:sz w:val="20"/>
          <w:szCs w:val="20"/>
          <w:lang w:val="es-CO"/>
        </w:rPr>
      </w:pPr>
    </w:p>
    <w:p w14:paraId="79EA3988" w14:textId="20FB7310" w:rsidR="00C5289C" w:rsidRPr="003B5095" w:rsidRDefault="00C5289C" w:rsidP="00B476ED">
      <w:pPr>
        <w:numPr>
          <w:ilvl w:val="0"/>
          <w:numId w:val="13"/>
        </w:numPr>
        <w:tabs>
          <w:tab w:val="left" w:pos="567"/>
        </w:tabs>
        <w:spacing w:line="240" w:lineRule="auto"/>
        <w:ind w:left="0" w:right="-801" w:firstLine="0"/>
        <w:rPr>
          <w:sz w:val="20"/>
          <w:szCs w:val="20"/>
          <w:lang w:val="es-CO"/>
        </w:rPr>
      </w:pPr>
      <w:r w:rsidRPr="003B5095">
        <w:rPr>
          <w:sz w:val="20"/>
          <w:szCs w:val="20"/>
          <w:lang w:val="es-CO"/>
        </w:rPr>
        <w:t>Luego, en sus observaciones finales escritas</w:t>
      </w:r>
      <w:r>
        <w:rPr>
          <w:sz w:val="20"/>
          <w:szCs w:val="20"/>
          <w:lang w:val="es-CO"/>
        </w:rPr>
        <w:t>,</w:t>
      </w:r>
      <w:r w:rsidRPr="003B5095">
        <w:rPr>
          <w:sz w:val="20"/>
          <w:szCs w:val="20"/>
          <w:lang w:val="es-CO"/>
        </w:rPr>
        <w:t xml:space="preserve"> expresó que “valora muy positivamente las medidas que el Estado informa haber adoptado desde 2006” (</w:t>
      </w:r>
      <w:r w:rsidRPr="003B5095">
        <w:rPr>
          <w:i/>
          <w:sz w:val="20"/>
          <w:szCs w:val="20"/>
          <w:lang w:val="es-CO"/>
        </w:rPr>
        <w:t xml:space="preserve">infra </w:t>
      </w:r>
      <w:proofErr w:type="spellStart"/>
      <w:r w:rsidRPr="003B5095">
        <w:rPr>
          <w:sz w:val="20"/>
          <w:szCs w:val="20"/>
          <w:lang w:val="es-CO"/>
        </w:rPr>
        <w:t>párr</w:t>
      </w:r>
      <w:r>
        <w:rPr>
          <w:sz w:val="20"/>
          <w:szCs w:val="20"/>
          <w:lang w:val="es-CO"/>
        </w:rPr>
        <w:t>s</w:t>
      </w:r>
      <w:proofErr w:type="spellEnd"/>
      <w:r w:rsidRPr="003B5095">
        <w:rPr>
          <w:sz w:val="20"/>
          <w:szCs w:val="20"/>
          <w:lang w:val="es-CO"/>
        </w:rPr>
        <w:t xml:space="preserve">. </w:t>
      </w:r>
      <w:r>
        <w:rPr>
          <w:sz w:val="20"/>
          <w:szCs w:val="20"/>
          <w:lang w:val="es-CO"/>
        </w:rPr>
        <w:t>156 y 157</w:t>
      </w:r>
      <w:r w:rsidRPr="003B5095">
        <w:rPr>
          <w:sz w:val="20"/>
          <w:szCs w:val="20"/>
          <w:lang w:val="es-CO"/>
        </w:rPr>
        <w:t>).</w:t>
      </w:r>
      <w:r w:rsidRPr="003B5095">
        <w:rPr>
          <w:b/>
          <w:sz w:val="20"/>
          <w:szCs w:val="20"/>
          <w:lang w:val="es-CO"/>
        </w:rPr>
        <w:t xml:space="preserve"> </w:t>
      </w:r>
      <w:r w:rsidRPr="003B5095">
        <w:rPr>
          <w:sz w:val="20"/>
          <w:szCs w:val="20"/>
          <w:lang w:val="es-CO"/>
        </w:rPr>
        <w:t xml:space="preserve">No obstante, entendió que “es necesario que las mismas sean evaluadas y establecer que en la práctica están siendo implementadas y son efectivas”. </w:t>
      </w:r>
      <w:r w:rsidRPr="009B77DE">
        <w:rPr>
          <w:sz w:val="20"/>
          <w:szCs w:val="20"/>
          <w:lang w:val="es-CO"/>
        </w:rPr>
        <w:t xml:space="preserve">Evaluó los señalamientos estatales “a la luz de las pruebas que obran en el expediente del caso y de la información pública disponible”, </w:t>
      </w:r>
      <w:r w:rsidRPr="009B77DE">
        <w:rPr>
          <w:sz w:val="20"/>
          <w:szCs w:val="20"/>
          <w:lang w:val="es-CO"/>
        </w:rPr>
        <w:lastRenderedPageBreak/>
        <w:t>y adujo lo siguiente: a) los “factores estructurales” del presente caso “forman parte de una situación más general que enfrentan las personas privadas de libertad en Venezuela”, que resulta “crítica” en varios aspectos</w:t>
      </w:r>
      <w:r w:rsidRPr="009B77DE">
        <w:rPr>
          <w:rStyle w:val="Refdenotaalpie"/>
          <w:rFonts w:eastAsia="MS Mincho"/>
          <w:sz w:val="20"/>
          <w:szCs w:val="20"/>
          <w:lang w:val="es-CO"/>
        </w:rPr>
        <w:footnoteReference w:id="143"/>
      </w:r>
      <w:r w:rsidRPr="009B77DE">
        <w:rPr>
          <w:sz w:val="20"/>
          <w:szCs w:val="20"/>
          <w:lang w:val="es-CO"/>
        </w:rPr>
        <w:t xml:space="preserve">, y b) de acuerdo </w:t>
      </w:r>
      <w:r w:rsidR="00FE6A0E" w:rsidRPr="009B77DE">
        <w:rPr>
          <w:sz w:val="20"/>
          <w:szCs w:val="20"/>
          <w:lang w:val="es-CO"/>
        </w:rPr>
        <w:t xml:space="preserve">con </w:t>
      </w:r>
      <w:r w:rsidRPr="009B77DE">
        <w:rPr>
          <w:sz w:val="20"/>
          <w:szCs w:val="20"/>
          <w:lang w:val="es-CO"/>
        </w:rPr>
        <w:t>prueba pericial, algun</w:t>
      </w:r>
      <w:r w:rsidR="00FE6A0E" w:rsidRPr="009B77DE">
        <w:rPr>
          <w:sz w:val="20"/>
          <w:szCs w:val="20"/>
          <w:lang w:val="es-CO"/>
        </w:rPr>
        <w:t>o</w:t>
      </w:r>
      <w:r w:rsidRPr="009B77DE">
        <w:rPr>
          <w:sz w:val="20"/>
          <w:szCs w:val="20"/>
          <w:lang w:val="es-CO"/>
        </w:rPr>
        <w:t>s de actos normativos e institucionales previstos en legislación Venezolana todavía no se han hecho efectivos, y algunos aspectos de dicha legislación resultarían perjudiciales</w:t>
      </w:r>
      <w:r w:rsidRPr="009B77DE">
        <w:rPr>
          <w:rStyle w:val="Refdenotaalpie"/>
          <w:sz w:val="20"/>
          <w:szCs w:val="20"/>
          <w:lang w:val="es-CO"/>
        </w:rPr>
        <w:footnoteReference w:id="144"/>
      </w:r>
      <w:r w:rsidRPr="003B5095">
        <w:rPr>
          <w:sz w:val="20"/>
          <w:szCs w:val="20"/>
          <w:lang w:val="es-CO"/>
        </w:rPr>
        <w:t xml:space="preserve"> .  </w:t>
      </w:r>
    </w:p>
    <w:p w14:paraId="29AE20BA" w14:textId="77777777" w:rsidR="00C5289C" w:rsidRPr="003B5095" w:rsidRDefault="00C5289C" w:rsidP="00B476ED">
      <w:pPr>
        <w:pStyle w:val="Prrafodelista"/>
        <w:widowControl/>
        <w:tabs>
          <w:tab w:val="left" w:pos="567"/>
        </w:tabs>
        <w:autoSpaceDE w:val="0"/>
        <w:autoSpaceDN w:val="0"/>
        <w:spacing w:line="240" w:lineRule="auto"/>
        <w:ind w:left="284" w:right="-801"/>
        <w:jc w:val="left"/>
        <w:textAlignment w:val="auto"/>
        <w:rPr>
          <w:sz w:val="20"/>
          <w:szCs w:val="20"/>
          <w:lang w:val="es-CO"/>
        </w:rPr>
      </w:pPr>
    </w:p>
    <w:p w14:paraId="182A3F0A" w14:textId="4E58803F" w:rsidR="00C5289C" w:rsidRPr="003B5095" w:rsidRDefault="00C5289C" w:rsidP="00B476ED">
      <w:pPr>
        <w:widowControl/>
        <w:numPr>
          <w:ilvl w:val="0"/>
          <w:numId w:val="13"/>
        </w:numPr>
        <w:tabs>
          <w:tab w:val="left" w:pos="567"/>
        </w:tabs>
        <w:autoSpaceDE w:val="0"/>
        <w:autoSpaceDN w:val="0"/>
        <w:spacing w:line="240" w:lineRule="auto"/>
        <w:ind w:left="0" w:right="-801" w:firstLine="0"/>
        <w:textAlignment w:val="auto"/>
        <w:rPr>
          <w:rFonts w:eastAsiaTheme="minorHAnsi"/>
          <w:sz w:val="20"/>
          <w:szCs w:val="20"/>
          <w:lang w:eastAsia="en-US"/>
        </w:rPr>
      </w:pPr>
      <w:r w:rsidRPr="003B5095">
        <w:rPr>
          <w:sz w:val="20"/>
          <w:szCs w:val="20"/>
          <w:lang w:val="es-CO"/>
        </w:rPr>
        <w:t xml:space="preserve">Los </w:t>
      </w:r>
      <w:r w:rsidRPr="003B5095">
        <w:rPr>
          <w:b/>
          <w:i/>
          <w:sz w:val="20"/>
          <w:szCs w:val="20"/>
          <w:lang w:val="es-CO"/>
        </w:rPr>
        <w:t>representantes</w:t>
      </w:r>
      <w:r w:rsidRPr="003B5095">
        <w:rPr>
          <w:sz w:val="20"/>
          <w:szCs w:val="20"/>
          <w:lang w:val="es-CO"/>
        </w:rPr>
        <w:t xml:space="preserve"> entendieron que el Estado debe “</w:t>
      </w:r>
      <w:proofErr w:type="spellStart"/>
      <w:r w:rsidRPr="003B5095">
        <w:rPr>
          <w:rFonts w:eastAsiaTheme="minorHAnsi"/>
          <w:sz w:val="20"/>
          <w:szCs w:val="20"/>
          <w:lang w:eastAsia="en-US"/>
        </w:rPr>
        <w:t>adopt</w:t>
      </w:r>
      <w:proofErr w:type="spellEnd"/>
      <w:r w:rsidRPr="003B5095">
        <w:rPr>
          <w:rFonts w:eastAsiaTheme="minorHAnsi"/>
          <w:sz w:val="20"/>
          <w:szCs w:val="20"/>
          <w:lang w:eastAsia="en-US"/>
        </w:rPr>
        <w:t>[ar], dentro de un plazo razonable, las medidas necesarias para que los centros de detención y cárceles se ajusten a los estándares que exige el derecho internacional de los derechos humanos, y para evitar que hechos trágicos como los sucedidos en el presente caso vuelvan a ocurrir”. Por ello, solicitaron que se orden</w:t>
      </w:r>
      <w:r w:rsidR="009B2429">
        <w:rPr>
          <w:rFonts w:eastAsiaTheme="minorHAnsi"/>
          <w:sz w:val="20"/>
          <w:szCs w:val="20"/>
          <w:lang w:eastAsia="en-US"/>
        </w:rPr>
        <w:t>ara</w:t>
      </w:r>
      <w:r w:rsidRPr="003B5095">
        <w:rPr>
          <w:rFonts w:eastAsiaTheme="minorHAnsi"/>
          <w:sz w:val="20"/>
          <w:szCs w:val="20"/>
          <w:lang w:eastAsia="en-US"/>
        </w:rPr>
        <w:t xml:space="preserve"> a Venezuela diversas medidas consistentes en: a) reformas legi</w:t>
      </w:r>
      <w:r>
        <w:rPr>
          <w:rFonts w:eastAsiaTheme="minorHAnsi"/>
          <w:sz w:val="20"/>
          <w:szCs w:val="20"/>
          <w:lang w:eastAsia="en-US"/>
        </w:rPr>
        <w:t>s</w:t>
      </w:r>
      <w:r w:rsidRPr="003B5095">
        <w:rPr>
          <w:rFonts w:eastAsiaTheme="minorHAnsi"/>
          <w:sz w:val="20"/>
          <w:szCs w:val="20"/>
          <w:lang w:eastAsia="en-US"/>
        </w:rPr>
        <w:t xml:space="preserve">lativas; b) políticas de prevención respecto a situaciones de emergencia; c) programas de formación de funcionarios públicos; d) acciones para </w:t>
      </w:r>
      <w:r w:rsidRPr="001C5BC8">
        <w:rPr>
          <w:rFonts w:eastAsiaTheme="minorHAnsi"/>
          <w:sz w:val="20"/>
          <w:szCs w:val="20"/>
          <w:lang w:eastAsia="en-US"/>
        </w:rPr>
        <w:t xml:space="preserve">“neutralizar o disminuir los efectos </w:t>
      </w:r>
      <w:proofErr w:type="spellStart"/>
      <w:r w:rsidRPr="001C5BC8">
        <w:rPr>
          <w:rFonts w:eastAsiaTheme="minorHAnsi"/>
          <w:sz w:val="20"/>
          <w:szCs w:val="20"/>
          <w:lang w:eastAsia="en-US"/>
        </w:rPr>
        <w:t>desocializadores</w:t>
      </w:r>
      <w:proofErr w:type="spellEnd"/>
      <w:r w:rsidRPr="001C5BC8">
        <w:rPr>
          <w:rFonts w:eastAsiaTheme="minorHAnsi"/>
          <w:sz w:val="20"/>
          <w:szCs w:val="20"/>
          <w:lang w:eastAsia="en-US"/>
        </w:rPr>
        <w:t xml:space="preserve"> del encierro de adolescentes”</w:t>
      </w:r>
      <w:r w:rsidR="006D3DFC">
        <w:rPr>
          <w:rFonts w:eastAsiaTheme="minorHAnsi"/>
          <w:sz w:val="20"/>
          <w:szCs w:val="20"/>
          <w:lang w:eastAsia="en-US"/>
        </w:rPr>
        <w:t>,</w:t>
      </w:r>
      <w:r w:rsidRPr="001C5BC8">
        <w:rPr>
          <w:rFonts w:eastAsiaTheme="minorHAnsi"/>
          <w:sz w:val="20"/>
          <w:szCs w:val="20"/>
          <w:lang w:eastAsia="en-US"/>
        </w:rPr>
        <w:t xml:space="preserve"> </w:t>
      </w:r>
      <w:r w:rsidR="009B2429">
        <w:rPr>
          <w:rFonts w:eastAsiaTheme="minorHAnsi"/>
          <w:sz w:val="20"/>
          <w:szCs w:val="20"/>
          <w:lang w:eastAsia="en-US"/>
        </w:rPr>
        <w:t xml:space="preserve">y </w:t>
      </w:r>
      <w:proofErr w:type="spellStart"/>
      <w:r w:rsidRPr="001C5BC8">
        <w:rPr>
          <w:rFonts w:eastAsiaTheme="minorHAnsi"/>
          <w:sz w:val="20"/>
          <w:szCs w:val="20"/>
          <w:lang w:eastAsia="en-US"/>
        </w:rPr>
        <w:t>e</w:t>
      </w:r>
      <w:proofErr w:type="spellEnd"/>
      <w:r w:rsidRPr="001C5BC8">
        <w:rPr>
          <w:rFonts w:eastAsiaTheme="minorHAnsi"/>
          <w:sz w:val="20"/>
          <w:szCs w:val="20"/>
          <w:lang w:eastAsia="en-US"/>
        </w:rPr>
        <w:t>) dar publicidad a datos oficiales</w:t>
      </w:r>
      <w:r w:rsidRPr="001C5BC8">
        <w:rPr>
          <w:rStyle w:val="Refdenotaalpie"/>
          <w:rFonts w:eastAsiaTheme="minorHAnsi"/>
          <w:sz w:val="20"/>
          <w:szCs w:val="20"/>
          <w:lang w:eastAsia="en-US"/>
        </w:rPr>
        <w:footnoteReference w:id="145"/>
      </w:r>
      <w:r w:rsidRPr="001C5BC8">
        <w:rPr>
          <w:rFonts w:eastAsiaTheme="minorHAnsi"/>
          <w:sz w:val="20"/>
          <w:szCs w:val="20"/>
          <w:lang w:eastAsia="en-US"/>
        </w:rPr>
        <w:t>.</w:t>
      </w:r>
      <w:r w:rsidRPr="003B5095">
        <w:rPr>
          <w:rFonts w:eastAsiaTheme="minorHAnsi"/>
          <w:sz w:val="20"/>
          <w:szCs w:val="20"/>
          <w:lang w:eastAsia="en-US"/>
        </w:rPr>
        <w:t xml:space="preserve"> </w:t>
      </w:r>
    </w:p>
    <w:p w14:paraId="27C11057" w14:textId="77777777" w:rsidR="00C5289C" w:rsidRPr="00F1771B" w:rsidRDefault="00C5289C" w:rsidP="00B476ED">
      <w:pPr>
        <w:pStyle w:val="Prrafodelista"/>
        <w:spacing w:line="240" w:lineRule="auto"/>
        <w:ind w:right="-801"/>
        <w:rPr>
          <w:rFonts w:eastAsiaTheme="minorHAnsi"/>
          <w:sz w:val="20"/>
          <w:szCs w:val="20"/>
          <w:lang w:eastAsia="en-US"/>
        </w:rPr>
      </w:pPr>
    </w:p>
    <w:p w14:paraId="349CABCE" w14:textId="3075F4B0" w:rsidR="00C5289C" w:rsidRPr="001C5BC8" w:rsidRDefault="00C5289C" w:rsidP="00B476ED">
      <w:pPr>
        <w:widowControl/>
        <w:numPr>
          <w:ilvl w:val="0"/>
          <w:numId w:val="13"/>
        </w:numPr>
        <w:tabs>
          <w:tab w:val="left" w:pos="567"/>
        </w:tabs>
        <w:autoSpaceDE w:val="0"/>
        <w:autoSpaceDN w:val="0"/>
        <w:spacing w:line="240" w:lineRule="auto"/>
        <w:ind w:left="0" w:right="-801" w:firstLine="0"/>
        <w:textAlignment w:val="auto"/>
        <w:rPr>
          <w:rFonts w:eastAsiaTheme="minorHAnsi"/>
          <w:sz w:val="20"/>
          <w:szCs w:val="20"/>
          <w:lang w:eastAsia="en-US"/>
        </w:rPr>
      </w:pPr>
      <w:r w:rsidRPr="001C5BC8">
        <w:rPr>
          <w:rFonts w:eastAsiaTheme="minorHAnsi"/>
          <w:sz w:val="20"/>
          <w:szCs w:val="20"/>
          <w:lang w:eastAsia="en-US"/>
        </w:rPr>
        <w:lastRenderedPageBreak/>
        <w:t>Los representantes, en sus alegatos finales escritos, expresaron que “la crisis del sistema penitenciario en Venezuela no ha sido superada y la realidad de los centros de privación de libertad continúa siendo de hacinamiento, violencia y muerte”. Además, calificaron de “</w:t>
      </w:r>
      <w:proofErr w:type="spellStart"/>
      <w:r w:rsidRPr="001C5BC8">
        <w:rPr>
          <w:rFonts w:eastAsiaTheme="minorHAnsi"/>
          <w:sz w:val="20"/>
          <w:szCs w:val="20"/>
          <w:lang w:eastAsia="en-US"/>
        </w:rPr>
        <w:t>fals</w:t>
      </w:r>
      <w:proofErr w:type="spellEnd"/>
      <w:r w:rsidRPr="001C5BC8">
        <w:rPr>
          <w:rFonts w:eastAsiaTheme="minorHAnsi"/>
          <w:sz w:val="20"/>
          <w:szCs w:val="20"/>
          <w:lang w:eastAsia="en-US"/>
        </w:rPr>
        <w:t>[a]” la información estatal (</w:t>
      </w:r>
      <w:r w:rsidRPr="001C5BC8">
        <w:rPr>
          <w:rFonts w:eastAsiaTheme="minorHAnsi"/>
          <w:i/>
          <w:sz w:val="20"/>
          <w:szCs w:val="20"/>
          <w:lang w:eastAsia="en-US"/>
        </w:rPr>
        <w:t xml:space="preserve">infra </w:t>
      </w:r>
      <w:r w:rsidRPr="001C5BC8">
        <w:rPr>
          <w:rFonts w:eastAsiaTheme="minorHAnsi"/>
          <w:sz w:val="20"/>
          <w:szCs w:val="20"/>
          <w:lang w:eastAsia="en-US"/>
        </w:rPr>
        <w:t>párr. 156) sobre la adecuación de la infraestructura penitenciaria, y la aplicación, en la totalidad de las entidades, de “Nuevo Régimen Disciplinario”, así como sobre el “Grupo de Respuesta Inmediata de Custodia (GRIC) Adolescente”</w:t>
      </w:r>
      <w:r w:rsidRPr="001C5BC8">
        <w:rPr>
          <w:rStyle w:val="Refdenotaalpie"/>
          <w:rFonts w:eastAsiaTheme="minorHAnsi"/>
          <w:sz w:val="20"/>
          <w:szCs w:val="20"/>
          <w:lang w:eastAsia="en-US"/>
        </w:rPr>
        <w:footnoteReference w:id="146"/>
      </w:r>
      <w:r w:rsidRPr="001C5BC8">
        <w:rPr>
          <w:rFonts w:eastAsiaTheme="minorHAnsi"/>
          <w:sz w:val="20"/>
          <w:szCs w:val="20"/>
          <w:lang w:eastAsia="en-US"/>
        </w:rPr>
        <w:t>. Entendieron que las “iniciativas” señaladas por el Estado (</w:t>
      </w:r>
      <w:r w:rsidRPr="001C5BC8">
        <w:rPr>
          <w:rFonts w:eastAsiaTheme="minorHAnsi"/>
          <w:i/>
          <w:sz w:val="20"/>
          <w:szCs w:val="20"/>
          <w:lang w:eastAsia="en-US"/>
        </w:rPr>
        <w:t>infra</w:t>
      </w:r>
      <w:r w:rsidRPr="001C5BC8">
        <w:rPr>
          <w:rFonts w:eastAsiaTheme="minorHAnsi"/>
          <w:sz w:val="20"/>
          <w:szCs w:val="20"/>
          <w:lang w:eastAsia="en-US"/>
        </w:rPr>
        <w:t xml:space="preserve"> párr. 156) “no se traducen en la práctica en un sistema penitenciario que respete los derechos humanos de las personas privadas de libertad, en particular los derechos de los adolescentes en conflicto con la ley penal”. Por ello, insistieron en la importancia de las medidas de no repetición solicita</w:t>
      </w:r>
      <w:r w:rsidR="00A10DCE">
        <w:rPr>
          <w:rFonts w:eastAsiaTheme="minorHAnsi"/>
          <w:sz w:val="20"/>
          <w:szCs w:val="20"/>
          <w:lang w:eastAsia="en-US"/>
        </w:rPr>
        <w:t>das</w:t>
      </w:r>
      <w:r w:rsidRPr="001C5BC8">
        <w:rPr>
          <w:rStyle w:val="Refdenotaalpie"/>
          <w:rFonts w:eastAsiaTheme="minorHAnsi"/>
          <w:sz w:val="20"/>
          <w:szCs w:val="20"/>
          <w:lang w:eastAsia="en-US"/>
        </w:rPr>
        <w:footnoteReference w:id="147"/>
      </w:r>
      <w:r w:rsidRPr="001C5BC8">
        <w:rPr>
          <w:rFonts w:eastAsiaTheme="minorHAnsi"/>
          <w:sz w:val="20"/>
          <w:szCs w:val="20"/>
          <w:lang w:eastAsia="en-US"/>
        </w:rPr>
        <w:t>.</w:t>
      </w:r>
      <w:r w:rsidRPr="001C5BC8">
        <w:rPr>
          <w:rFonts w:eastAsiaTheme="minorHAnsi"/>
          <w:b/>
          <w:sz w:val="20"/>
          <w:szCs w:val="20"/>
          <w:lang w:eastAsia="en-US"/>
        </w:rPr>
        <w:t xml:space="preserve"> </w:t>
      </w:r>
    </w:p>
    <w:p w14:paraId="7977BB46" w14:textId="77777777" w:rsidR="00C5289C" w:rsidRDefault="00C5289C" w:rsidP="00B476ED">
      <w:pPr>
        <w:widowControl/>
        <w:tabs>
          <w:tab w:val="left" w:pos="567"/>
        </w:tabs>
        <w:autoSpaceDE w:val="0"/>
        <w:autoSpaceDN w:val="0"/>
        <w:spacing w:line="240" w:lineRule="auto"/>
        <w:ind w:right="-801"/>
        <w:textAlignment w:val="auto"/>
        <w:rPr>
          <w:rFonts w:eastAsiaTheme="minorHAnsi"/>
          <w:sz w:val="20"/>
          <w:szCs w:val="20"/>
          <w:lang w:eastAsia="en-US"/>
        </w:rPr>
      </w:pPr>
    </w:p>
    <w:p w14:paraId="01586A8A" w14:textId="0C56EA65" w:rsidR="00C5289C" w:rsidRPr="003B5095" w:rsidRDefault="00C5289C" w:rsidP="00B476ED">
      <w:pPr>
        <w:widowControl/>
        <w:numPr>
          <w:ilvl w:val="0"/>
          <w:numId w:val="13"/>
        </w:numPr>
        <w:tabs>
          <w:tab w:val="left" w:pos="567"/>
        </w:tabs>
        <w:autoSpaceDE w:val="0"/>
        <w:autoSpaceDN w:val="0"/>
        <w:spacing w:line="240" w:lineRule="auto"/>
        <w:ind w:left="0" w:right="-801" w:firstLine="0"/>
        <w:textAlignment w:val="auto"/>
        <w:rPr>
          <w:rFonts w:eastAsiaTheme="minorHAnsi"/>
          <w:sz w:val="20"/>
          <w:szCs w:val="20"/>
          <w:lang w:eastAsia="en-US"/>
        </w:rPr>
      </w:pPr>
      <w:r w:rsidRPr="003B5095">
        <w:rPr>
          <w:rFonts w:eastAsiaTheme="minorHAnsi"/>
          <w:sz w:val="20"/>
          <w:szCs w:val="20"/>
          <w:lang w:eastAsia="en-US"/>
        </w:rPr>
        <w:t xml:space="preserve">El </w:t>
      </w:r>
      <w:r w:rsidRPr="003B5095">
        <w:rPr>
          <w:rFonts w:eastAsiaTheme="minorHAnsi"/>
          <w:b/>
          <w:i/>
          <w:sz w:val="20"/>
          <w:szCs w:val="20"/>
          <w:lang w:eastAsia="en-US"/>
        </w:rPr>
        <w:t>Estado</w:t>
      </w:r>
      <w:r w:rsidRPr="003B5095">
        <w:rPr>
          <w:rFonts w:eastAsiaTheme="minorHAnsi"/>
          <w:sz w:val="20"/>
          <w:szCs w:val="20"/>
          <w:lang w:eastAsia="en-US"/>
        </w:rPr>
        <w:t xml:space="preserve"> informó que</w:t>
      </w:r>
      <w:r w:rsidR="00494920">
        <w:rPr>
          <w:rFonts w:eastAsiaTheme="minorHAnsi"/>
          <w:sz w:val="20"/>
          <w:szCs w:val="20"/>
          <w:lang w:eastAsia="en-US"/>
        </w:rPr>
        <w:t>,</w:t>
      </w:r>
      <w:r w:rsidRPr="003B5095">
        <w:rPr>
          <w:rFonts w:eastAsiaTheme="minorHAnsi"/>
          <w:sz w:val="20"/>
          <w:szCs w:val="20"/>
          <w:lang w:eastAsia="en-US"/>
        </w:rPr>
        <w:t xml:space="preserve"> “desde que ocurrieron los hechos”, </w:t>
      </w:r>
      <w:r w:rsidRPr="003B5095">
        <w:rPr>
          <w:rFonts w:eastAsiaTheme="minorHAnsi" w:cs="ArialMT"/>
          <w:sz w:val="20"/>
          <w:szCs w:val="20"/>
          <w:lang w:eastAsia="en-US"/>
        </w:rPr>
        <w:t>ha adoptado “un conjunto</w:t>
      </w:r>
      <w:r w:rsidRPr="003B5095">
        <w:rPr>
          <w:rFonts w:eastAsiaTheme="minorHAnsi"/>
          <w:sz w:val="20"/>
          <w:szCs w:val="20"/>
          <w:lang w:eastAsia="en-US"/>
        </w:rPr>
        <w:t xml:space="preserve"> </w:t>
      </w:r>
      <w:r w:rsidRPr="003B5095">
        <w:rPr>
          <w:rFonts w:eastAsiaTheme="minorHAnsi" w:cs="ArialMT"/>
          <w:sz w:val="20"/>
          <w:szCs w:val="20"/>
          <w:lang w:eastAsia="en-US"/>
        </w:rPr>
        <w:t xml:space="preserve">de medidas legislativas, administrativas y educativas que garantizan que sucesos como los ocurridos [no] vuelva[n] a </w:t>
      </w:r>
      <w:proofErr w:type="gramStart"/>
      <w:r w:rsidRPr="003B5095">
        <w:rPr>
          <w:rFonts w:eastAsiaTheme="minorHAnsi" w:cs="ArialMT"/>
          <w:sz w:val="20"/>
          <w:szCs w:val="20"/>
          <w:lang w:eastAsia="en-US"/>
        </w:rPr>
        <w:t>repetirse[</w:t>
      </w:r>
      <w:proofErr w:type="gramEnd"/>
      <w:r w:rsidRPr="003B5095">
        <w:rPr>
          <w:rFonts w:eastAsiaTheme="minorHAnsi" w:cs="ArialMT"/>
          <w:sz w:val="20"/>
          <w:szCs w:val="20"/>
          <w:lang w:eastAsia="en-US"/>
        </w:rPr>
        <w:t xml:space="preserve">,] tanto en el Centro objeto de </w:t>
      </w:r>
      <w:r w:rsidRPr="001C5BC8">
        <w:rPr>
          <w:rFonts w:eastAsiaTheme="minorHAnsi" w:cs="ArialMT"/>
          <w:sz w:val="20"/>
          <w:szCs w:val="20"/>
          <w:lang w:eastAsia="en-US"/>
        </w:rPr>
        <w:t>este procedimiento como en todos los demás programas socio-educativos del Sistema de Responsabilidad Penal de los y las Adolescentes”</w:t>
      </w:r>
      <w:r w:rsidRPr="001C5BC8">
        <w:rPr>
          <w:rStyle w:val="Refdenotaalpie"/>
          <w:rFonts w:eastAsiaTheme="minorHAnsi" w:cs="ArialMT"/>
          <w:sz w:val="20"/>
          <w:szCs w:val="20"/>
          <w:lang w:eastAsia="en-US"/>
        </w:rPr>
        <w:footnoteReference w:id="148"/>
      </w:r>
      <w:r w:rsidRPr="001C5BC8">
        <w:rPr>
          <w:rFonts w:eastAsiaTheme="minorHAnsi" w:cs="ArialMT"/>
          <w:sz w:val="20"/>
          <w:szCs w:val="20"/>
          <w:lang w:eastAsia="en-US"/>
        </w:rPr>
        <w:t>. Al respecto, destacó lo siguiente</w:t>
      </w:r>
      <w:r w:rsidRPr="003B5095">
        <w:rPr>
          <w:rFonts w:eastAsiaTheme="minorHAnsi" w:cs="ArialMT"/>
          <w:sz w:val="20"/>
          <w:szCs w:val="20"/>
          <w:lang w:eastAsia="en-US"/>
        </w:rPr>
        <w:t xml:space="preserve">: </w:t>
      </w:r>
    </w:p>
    <w:p w14:paraId="37FBD838" w14:textId="77777777" w:rsidR="00C5289C" w:rsidRPr="003B5095" w:rsidRDefault="00C5289C" w:rsidP="00B476ED">
      <w:pPr>
        <w:widowControl/>
        <w:tabs>
          <w:tab w:val="left" w:pos="567"/>
        </w:tabs>
        <w:autoSpaceDE w:val="0"/>
        <w:autoSpaceDN w:val="0"/>
        <w:spacing w:line="240" w:lineRule="auto"/>
        <w:ind w:right="-801"/>
        <w:textAlignment w:val="auto"/>
        <w:rPr>
          <w:rFonts w:eastAsiaTheme="minorHAnsi"/>
          <w:sz w:val="20"/>
          <w:szCs w:val="20"/>
          <w:lang w:eastAsia="en-US"/>
        </w:rPr>
      </w:pPr>
    </w:p>
    <w:p w14:paraId="53A2BD00" w14:textId="0B5012C5" w:rsidR="00C5289C" w:rsidRPr="001C5BC8" w:rsidRDefault="00C5289C" w:rsidP="00B476ED">
      <w:pPr>
        <w:pStyle w:val="Prrafodelista"/>
        <w:widowControl/>
        <w:numPr>
          <w:ilvl w:val="0"/>
          <w:numId w:val="9"/>
        </w:numPr>
        <w:tabs>
          <w:tab w:val="left" w:pos="567"/>
        </w:tabs>
        <w:autoSpaceDE w:val="0"/>
        <w:autoSpaceDN w:val="0"/>
        <w:spacing w:line="240" w:lineRule="auto"/>
        <w:ind w:left="284" w:right="-801" w:firstLine="0"/>
        <w:textAlignment w:val="auto"/>
        <w:rPr>
          <w:rFonts w:eastAsiaTheme="minorHAnsi" w:cs="ArialMT"/>
          <w:sz w:val="20"/>
          <w:szCs w:val="20"/>
          <w:lang w:eastAsia="en-US"/>
        </w:rPr>
      </w:pPr>
      <w:r w:rsidRPr="001C5BC8">
        <w:rPr>
          <w:rFonts w:eastAsiaTheme="minorHAnsi" w:cs="ArialMT"/>
          <w:sz w:val="20"/>
          <w:szCs w:val="20"/>
          <w:lang w:eastAsia="en-US"/>
        </w:rPr>
        <w:t>El INAM fue suprimido en forma total en la “Ley Orgánica de Reforma de la Ley Orgánica para la Protección de Niños, Niñas y Adolescentes del 2006”</w:t>
      </w:r>
      <w:r w:rsidRPr="001C5BC8">
        <w:rPr>
          <w:rStyle w:val="Refdenotaalpie"/>
          <w:rFonts w:eastAsiaTheme="minorHAnsi" w:cs="ArialMT"/>
          <w:sz w:val="20"/>
          <w:szCs w:val="20"/>
          <w:lang w:eastAsia="en-US"/>
        </w:rPr>
        <w:footnoteReference w:id="149"/>
      </w:r>
      <w:r w:rsidRPr="001C5BC8">
        <w:rPr>
          <w:rFonts w:eastAsiaTheme="minorHAnsi" w:cs="ArialMT"/>
          <w:sz w:val="20"/>
          <w:szCs w:val="20"/>
          <w:lang w:eastAsia="en-US"/>
        </w:rPr>
        <w:t>, siendo los hechos del presente caso los que “catalizaron el proceso de liquidación” de la institución.</w:t>
      </w:r>
    </w:p>
    <w:p w14:paraId="25399A72" w14:textId="77777777" w:rsidR="00C5289C" w:rsidRPr="003B5095" w:rsidRDefault="00C5289C" w:rsidP="00B476ED">
      <w:pPr>
        <w:pStyle w:val="Prrafodelista"/>
        <w:widowControl/>
        <w:tabs>
          <w:tab w:val="left" w:pos="567"/>
        </w:tabs>
        <w:autoSpaceDE w:val="0"/>
        <w:autoSpaceDN w:val="0"/>
        <w:spacing w:line="240" w:lineRule="auto"/>
        <w:ind w:left="284" w:right="-801"/>
        <w:jc w:val="left"/>
        <w:textAlignment w:val="auto"/>
        <w:rPr>
          <w:rFonts w:eastAsiaTheme="minorHAnsi" w:cs="ArialMT"/>
          <w:sz w:val="20"/>
          <w:szCs w:val="20"/>
          <w:lang w:eastAsia="en-US"/>
        </w:rPr>
      </w:pPr>
      <w:r w:rsidRPr="003B5095">
        <w:rPr>
          <w:rFonts w:eastAsiaTheme="minorHAnsi" w:cs="ArialMT"/>
          <w:sz w:val="20"/>
          <w:szCs w:val="20"/>
          <w:lang w:eastAsia="en-US"/>
        </w:rPr>
        <w:t xml:space="preserve"> </w:t>
      </w:r>
    </w:p>
    <w:p w14:paraId="2DE6BB0B" w14:textId="798CA627" w:rsidR="00C5289C" w:rsidRPr="003B5095" w:rsidRDefault="00C5289C" w:rsidP="00B476ED">
      <w:pPr>
        <w:pStyle w:val="Prrafodelista"/>
        <w:widowControl/>
        <w:numPr>
          <w:ilvl w:val="0"/>
          <w:numId w:val="9"/>
        </w:numPr>
        <w:tabs>
          <w:tab w:val="left" w:pos="567"/>
        </w:tabs>
        <w:autoSpaceDE w:val="0"/>
        <w:autoSpaceDN w:val="0"/>
        <w:spacing w:line="240" w:lineRule="auto"/>
        <w:ind w:left="284" w:right="-801" w:firstLine="0"/>
        <w:textAlignment w:val="auto"/>
        <w:rPr>
          <w:rFonts w:eastAsiaTheme="minorHAnsi"/>
          <w:sz w:val="20"/>
          <w:szCs w:val="20"/>
          <w:lang w:eastAsia="en-US"/>
        </w:rPr>
      </w:pPr>
      <w:r w:rsidRPr="003B5095">
        <w:rPr>
          <w:rFonts w:eastAsiaTheme="minorHAnsi" w:cs="ArialMT"/>
          <w:sz w:val="20"/>
          <w:szCs w:val="20"/>
          <w:lang w:eastAsia="en-US"/>
        </w:rPr>
        <w:t>En 2011 se creó el “Ministerio del Poder Popular para el Servicio Penitenciario (MPPSP)</w:t>
      </w:r>
      <w:r w:rsidR="00B91E5B">
        <w:rPr>
          <w:rFonts w:eastAsiaTheme="minorHAnsi" w:cs="ArialMT"/>
          <w:sz w:val="20"/>
          <w:szCs w:val="20"/>
          <w:lang w:eastAsia="en-US"/>
        </w:rPr>
        <w:t>”</w:t>
      </w:r>
      <w:r w:rsidRPr="003B5095">
        <w:rPr>
          <w:rFonts w:eastAsiaTheme="minorHAnsi" w:cs="ArialMT"/>
          <w:sz w:val="20"/>
          <w:szCs w:val="20"/>
          <w:lang w:eastAsia="en-US"/>
        </w:rPr>
        <w:t xml:space="preserve">, con el firme objetivo de cambiar el panorama y realidad de todos los centros de privación de libertad venezolanos”. </w:t>
      </w:r>
      <w:r w:rsidR="00181B0C">
        <w:rPr>
          <w:rFonts w:eastAsiaTheme="minorHAnsi" w:cs="ArialMT"/>
          <w:sz w:val="20"/>
          <w:szCs w:val="20"/>
          <w:lang w:eastAsia="en-US"/>
        </w:rPr>
        <w:t xml:space="preserve">Las </w:t>
      </w:r>
      <w:r w:rsidRPr="003B5095">
        <w:rPr>
          <w:rFonts w:eastAsiaTheme="minorHAnsi" w:cs="ArialMT"/>
          <w:sz w:val="20"/>
          <w:szCs w:val="20"/>
          <w:lang w:eastAsia="en-US"/>
        </w:rPr>
        <w:t xml:space="preserve">32 entidades de atención a adolescentes en conflicto con la ley penal, que antes estaban bajo responsabilidad del INAM, pasaron a estar bajo la supervisión de la nueva entidad. </w:t>
      </w:r>
    </w:p>
    <w:p w14:paraId="07A24E3F" w14:textId="77777777" w:rsidR="00C5289C" w:rsidRPr="003B5095" w:rsidRDefault="00C5289C" w:rsidP="00B476ED">
      <w:pPr>
        <w:pStyle w:val="Prrafodelista"/>
        <w:spacing w:line="240" w:lineRule="auto"/>
        <w:ind w:left="284" w:right="-801"/>
        <w:rPr>
          <w:rFonts w:eastAsiaTheme="minorHAnsi"/>
          <w:sz w:val="20"/>
          <w:szCs w:val="20"/>
          <w:lang w:eastAsia="en-US"/>
        </w:rPr>
      </w:pPr>
    </w:p>
    <w:p w14:paraId="78A071AB" w14:textId="54EA050B" w:rsidR="00C5289C" w:rsidRPr="003B5095" w:rsidRDefault="00C5289C" w:rsidP="00B476ED">
      <w:pPr>
        <w:pStyle w:val="Prrafodelista"/>
        <w:widowControl/>
        <w:numPr>
          <w:ilvl w:val="0"/>
          <w:numId w:val="9"/>
        </w:numPr>
        <w:tabs>
          <w:tab w:val="left" w:pos="567"/>
        </w:tabs>
        <w:autoSpaceDE w:val="0"/>
        <w:autoSpaceDN w:val="0"/>
        <w:spacing w:line="240" w:lineRule="auto"/>
        <w:ind w:left="284" w:right="-801" w:firstLine="0"/>
        <w:textAlignment w:val="auto"/>
        <w:rPr>
          <w:rFonts w:eastAsiaTheme="minorHAnsi"/>
          <w:sz w:val="20"/>
          <w:szCs w:val="20"/>
          <w:lang w:eastAsia="en-US"/>
        </w:rPr>
      </w:pPr>
      <w:r w:rsidRPr="003B5095">
        <w:rPr>
          <w:rFonts w:eastAsiaTheme="minorHAnsi"/>
          <w:sz w:val="20"/>
          <w:szCs w:val="20"/>
          <w:lang w:eastAsia="en-US"/>
        </w:rPr>
        <w:t>El MPPSP, a partir de julio de 2011, realizó un diagnóstico de todas las entidades, “y se procedió a realizar una transformación total en términos de infraestructura para ofrecer las adecuadas condiciones mínimas de reclusión, conforme a la legislación nacional y estándares internacionales en materia de derechos humanos de los adolescentes a nivel nacional”.</w:t>
      </w:r>
    </w:p>
    <w:p w14:paraId="3E35A276" w14:textId="77777777" w:rsidR="00C5289C" w:rsidRPr="001C5BC8" w:rsidRDefault="00C5289C" w:rsidP="00B476ED">
      <w:pPr>
        <w:pStyle w:val="Prrafodelista"/>
        <w:spacing w:line="240" w:lineRule="auto"/>
        <w:ind w:left="284" w:right="-801"/>
        <w:rPr>
          <w:rFonts w:eastAsiaTheme="minorHAnsi"/>
          <w:sz w:val="20"/>
          <w:szCs w:val="20"/>
          <w:lang w:eastAsia="en-US"/>
        </w:rPr>
      </w:pPr>
    </w:p>
    <w:p w14:paraId="2AA64DBA" w14:textId="53E92286" w:rsidR="00C5289C" w:rsidRPr="001C5BC8" w:rsidRDefault="00C5289C" w:rsidP="00B476ED">
      <w:pPr>
        <w:pStyle w:val="Prrafodelista"/>
        <w:widowControl/>
        <w:numPr>
          <w:ilvl w:val="0"/>
          <w:numId w:val="9"/>
        </w:numPr>
        <w:tabs>
          <w:tab w:val="left" w:pos="567"/>
        </w:tabs>
        <w:autoSpaceDE w:val="0"/>
        <w:autoSpaceDN w:val="0"/>
        <w:spacing w:line="240" w:lineRule="auto"/>
        <w:ind w:left="284" w:right="-801" w:firstLine="0"/>
        <w:textAlignment w:val="auto"/>
        <w:rPr>
          <w:rFonts w:eastAsiaTheme="minorHAnsi"/>
          <w:sz w:val="20"/>
          <w:szCs w:val="20"/>
          <w:lang w:eastAsia="en-US"/>
        </w:rPr>
      </w:pPr>
      <w:r w:rsidRPr="001C5BC8">
        <w:rPr>
          <w:rFonts w:eastAsiaTheme="minorHAnsi"/>
          <w:sz w:val="20"/>
          <w:szCs w:val="20"/>
          <w:lang w:eastAsia="en-US"/>
        </w:rPr>
        <w:t xml:space="preserve"> Desde 2013 se han inaugurado varias obras para lograr mejores condiciones en las 32 entidades referidas. Asimismo, se han generado políticas públicas que se traducen en “programas socioeducativos”, “</w:t>
      </w:r>
      <w:r w:rsidRPr="001C5BC8">
        <w:rPr>
          <w:rFonts w:eastAsiaTheme="minorHAnsi" w:cs="ArialMT"/>
          <w:sz w:val="20"/>
          <w:szCs w:val="20"/>
          <w:lang w:eastAsia="en-US"/>
        </w:rPr>
        <w:t xml:space="preserve">promoviendo la instauración de valores positivos y reorientando la conducta para su incorporación a la vida social y al trabajo productivo y liberador”. </w:t>
      </w:r>
      <w:r w:rsidRPr="001C5BC8">
        <w:rPr>
          <w:rFonts w:eastAsiaTheme="minorHAnsi"/>
          <w:sz w:val="20"/>
          <w:szCs w:val="20"/>
          <w:lang w:eastAsia="en-US"/>
        </w:rPr>
        <w:t>Esos programas incorporan posibles “medidas alternativas a la privación de libertad”</w:t>
      </w:r>
      <w:r w:rsidRPr="001C5BC8">
        <w:rPr>
          <w:rStyle w:val="Refdenotaalpie"/>
          <w:rFonts w:eastAsiaTheme="minorHAnsi"/>
          <w:sz w:val="20"/>
          <w:szCs w:val="20"/>
          <w:lang w:eastAsia="en-US"/>
        </w:rPr>
        <w:footnoteReference w:id="150"/>
      </w:r>
      <w:r w:rsidRPr="001C5BC8">
        <w:rPr>
          <w:rFonts w:eastAsiaTheme="minorHAnsi"/>
          <w:sz w:val="20"/>
          <w:szCs w:val="20"/>
          <w:lang w:eastAsia="en-US"/>
        </w:rPr>
        <w:t>.</w:t>
      </w:r>
    </w:p>
    <w:p w14:paraId="4900AFA3" w14:textId="77777777" w:rsidR="00C5289C" w:rsidRPr="003B5095" w:rsidRDefault="00C5289C" w:rsidP="00B476ED">
      <w:pPr>
        <w:pStyle w:val="Prrafodelista"/>
        <w:spacing w:line="240" w:lineRule="auto"/>
        <w:ind w:left="284" w:right="-801"/>
        <w:rPr>
          <w:rFonts w:eastAsiaTheme="minorHAnsi"/>
          <w:sz w:val="20"/>
          <w:szCs w:val="20"/>
          <w:lang w:eastAsia="en-US"/>
        </w:rPr>
      </w:pPr>
    </w:p>
    <w:p w14:paraId="3A5EDC9A" w14:textId="3EF5C780" w:rsidR="00C5289C" w:rsidRPr="003B5095" w:rsidRDefault="00C5289C" w:rsidP="00B476ED">
      <w:pPr>
        <w:pStyle w:val="Prrafodelista"/>
        <w:widowControl/>
        <w:numPr>
          <w:ilvl w:val="0"/>
          <w:numId w:val="9"/>
        </w:numPr>
        <w:tabs>
          <w:tab w:val="left" w:pos="567"/>
        </w:tabs>
        <w:autoSpaceDE w:val="0"/>
        <w:autoSpaceDN w:val="0"/>
        <w:spacing w:line="240" w:lineRule="auto"/>
        <w:ind w:left="284" w:right="-801" w:firstLine="0"/>
        <w:textAlignment w:val="auto"/>
        <w:rPr>
          <w:rFonts w:eastAsiaTheme="minorHAnsi"/>
          <w:b/>
          <w:sz w:val="20"/>
          <w:szCs w:val="20"/>
          <w:lang w:eastAsia="en-US"/>
        </w:rPr>
      </w:pPr>
      <w:r w:rsidRPr="003B5095">
        <w:rPr>
          <w:rFonts w:eastAsiaTheme="minorHAnsi" w:cs="ArialMT"/>
          <w:sz w:val="20"/>
          <w:szCs w:val="20"/>
          <w:lang w:eastAsia="en-US"/>
        </w:rPr>
        <w:t xml:space="preserve"> “En la actualidad, </w:t>
      </w:r>
      <w:r w:rsidR="001C5BC8">
        <w:rPr>
          <w:rFonts w:eastAsiaTheme="minorHAnsi" w:cs="ArialMT"/>
          <w:sz w:val="20"/>
          <w:szCs w:val="20"/>
          <w:lang w:eastAsia="en-US"/>
        </w:rPr>
        <w:t>[</w:t>
      </w:r>
      <w:r w:rsidRPr="003B5095">
        <w:rPr>
          <w:rFonts w:eastAsiaTheme="minorHAnsi" w:cs="ArialMT"/>
          <w:sz w:val="20"/>
          <w:szCs w:val="20"/>
          <w:lang w:eastAsia="en-US"/>
        </w:rPr>
        <w:t>el Estado</w:t>
      </w:r>
      <w:r w:rsidR="001C5BC8">
        <w:rPr>
          <w:rFonts w:eastAsiaTheme="minorHAnsi" w:cs="ArialMT"/>
          <w:sz w:val="20"/>
          <w:szCs w:val="20"/>
          <w:lang w:eastAsia="en-US"/>
        </w:rPr>
        <w:t>]</w:t>
      </w:r>
      <w:r w:rsidRPr="003B5095">
        <w:rPr>
          <w:rFonts w:eastAsiaTheme="minorHAnsi" w:cs="ArialMT"/>
          <w:sz w:val="20"/>
          <w:szCs w:val="20"/>
          <w:lang w:eastAsia="en-US"/>
        </w:rPr>
        <w:t xml:space="preserve"> cuenta con 32 entidades de atención con una infraestructura idónea para albergar a todos los adolescentes en conflicto con la ley penal, sin que exista hacinamiento alguno. […] En estos centros […] se cuenta con espacios para la educación, cultura, deporte, alimentación, salud, trabajo, visitas familiares, socio productivos, entre otros</w:t>
      </w:r>
      <w:r w:rsidR="00CE19C7">
        <w:rPr>
          <w:rFonts w:eastAsiaTheme="minorHAnsi" w:cs="ArialMT"/>
          <w:sz w:val="20"/>
          <w:szCs w:val="20"/>
          <w:lang w:eastAsia="en-US"/>
        </w:rPr>
        <w:t>”</w:t>
      </w:r>
      <w:r w:rsidRPr="003B5095">
        <w:rPr>
          <w:rFonts w:eastAsiaTheme="minorHAnsi" w:cs="ArialMT"/>
          <w:sz w:val="20"/>
          <w:szCs w:val="20"/>
          <w:lang w:eastAsia="en-US"/>
        </w:rPr>
        <w:t xml:space="preserve">. Todas las entidades “cuentan con </w:t>
      </w:r>
      <w:r w:rsidRPr="003B5095">
        <w:rPr>
          <w:rFonts w:eastAsiaTheme="minorHAnsi"/>
          <w:sz w:val="20"/>
          <w:szCs w:val="20"/>
          <w:lang w:eastAsia="en-US"/>
        </w:rPr>
        <w:t>la aplicación del Nuevo Régimen Disciplinario, lo cual implica el control total por parte del Estado y la inexistencia de cualquier tipo de armamento, drogas o cualquier objeto de prohibida tenencia que atente contra la seguridad”. Desde 2011 hasta la actualidad no se ha presentado “ningún hecho de violencia dentro de estos recintos a nivel nacional”.</w:t>
      </w:r>
    </w:p>
    <w:p w14:paraId="6441D85C" w14:textId="77777777" w:rsidR="00C5289C" w:rsidRPr="003B5095" w:rsidRDefault="00C5289C" w:rsidP="00B476ED">
      <w:pPr>
        <w:pStyle w:val="Prrafodelista"/>
        <w:widowControl/>
        <w:tabs>
          <w:tab w:val="left" w:pos="567"/>
        </w:tabs>
        <w:autoSpaceDE w:val="0"/>
        <w:autoSpaceDN w:val="0"/>
        <w:spacing w:line="240" w:lineRule="auto"/>
        <w:ind w:left="284" w:right="-801"/>
        <w:textAlignment w:val="auto"/>
        <w:rPr>
          <w:rFonts w:eastAsiaTheme="minorHAnsi"/>
          <w:b/>
          <w:sz w:val="20"/>
          <w:szCs w:val="20"/>
          <w:lang w:eastAsia="en-US"/>
        </w:rPr>
      </w:pPr>
    </w:p>
    <w:p w14:paraId="4D162826" w14:textId="2CA2E1C4" w:rsidR="00C5289C" w:rsidRPr="003B5095" w:rsidRDefault="00C5289C" w:rsidP="00B476ED">
      <w:pPr>
        <w:pStyle w:val="Prrafodelista"/>
        <w:widowControl/>
        <w:numPr>
          <w:ilvl w:val="0"/>
          <w:numId w:val="9"/>
        </w:numPr>
        <w:tabs>
          <w:tab w:val="left" w:pos="567"/>
        </w:tabs>
        <w:autoSpaceDE w:val="0"/>
        <w:autoSpaceDN w:val="0"/>
        <w:spacing w:line="240" w:lineRule="auto"/>
        <w:ind w:left="284" w:right="-801" w:firstLine="0"/>
        <w:textAlignment w:val="auto"/>
        <w:rPr>
          <w:rFonts w:eastAsiaTheme="minorHAnsi"/>
          <w:b/>
          <w:sz w:val="20"/>
          <w:szCs w:val="20"/>
          <w:lang w:eastAsia="en-US"/>
        </w:rPr>
      </w:pPr>
      <w:r w:rsidRPr="003B5095">
        <w:rPr>
          <w:rFonts w:eastAsiaTheme="minorHAnsi"/>
          <w:sz w:val="20"/>
          <w:szCs w:val="20"/>
          <w:lang w:eastAsia="en-US"/>
        </w:rPr>
        <w:t>Asimismo, el MPPSP cuenta con el personal necesario para brindar seguridad interna y supervisión de las actividades diarias. También existe seguridad externa, brindada por los organismos de seguridad del Estado de carácter civil. El personal, “tanto el custodio como el […] administrativo en general recibe constante capacitación y talleres en materia de derechos humanos y tratamiento para la población adolescente en conflicto con la ley penal”. “De igual manera, “se cuenta con el Grupo de Respuesta Inmediata de Custodia (GRIC) Adolescente quienes son funcionarios […] que reciben formación en diferentes áreas tales como seguridad, trato de los adolescentes con respeto a los derechos humanos, revisión y requisa, manejo de situaciones de emergencia (incendios, movimientos telúricos, entre otros)”. Tienen a su cargo la implementación del “Nuevo Régimen Penitenciario”.</w:t>
      </w:r>
    </w:p>
    <w:p w14:paraId="660F14C4" w14:textId="77777777" w:rsidR="00C5289C" w:rsidRPr="003B5095" w:rsidRDefault="00C5289C" w:rsidP="00B476ED">
      <w:pPr>
        <w:widowControl/>
        <w:tabs>
          <w:tab w:val="left" w:pos="567"/>
        </w:tabs>
        <w:autoSpaceDE w:val="0"/>
        <w:autoSpaceDN w:val="0"/>
        <w:spacing w:line="240" w:lineRule="auto"/>
        <w:ind w:right="-801"/>
        <w:jc w:val="left"/>
        <w:textAlignment w:val="auto"/>
        <w:rPr>
          <w:rFonts w:eastAsiaTheme="minorHAnsi"/>
          <w:sz w:val="20"/>
          <w:szCs w:val="20"/>
          <w:lang w:eastAsia="en-US"/>
        </w:rPr>
      </w:pPr>
    </w:p>
    <w:p w14:paraId="6B9C90AC" w14:textId="7C44A458" w:rsidR="00C5289C" w:rsidRPr="005D478E" w:rsidRDefault="00C5289C" w:rsidP="00B476ED">
      <w:pPr>
        <w:widowControl/>
        <w:numPr>
          <w:ilvl w:val="0"/>
          <w:numId w:val="13"/>
        </w:numPr>
        <w:tabs>
          <w:tab w:val="left" w:pos="567"/>
        </w:tabs>
        <w:autoSpaceDE w:val="0"/>
        <w:autoSpaceDN w:val="0"/>
        <w:spacing w:line="240" w:lineRule="auto"/>
        <w:ind w:left="0" w:right="-801" w:firstLine="0"/>
        <w:textAlignment w:val="auto"/>
        <w:rPr>
          <w:rFonts w:eastAsiaTheme="minorHAnsi" w:cs="Arial-BoldMT"/>
          <w:bCs/>
          <w:sz w:val="20"/>
          <w:szCs w:val="20"/>
          <w:lang w:eastAsia="en-US"/>
        </w:rPr>
      </w:pPr>
      <w:r w:rsidRPr="005D478E">
        <w:rPr>
          <w:rFonts w:eastAsiaTheme="minorHAnsi"/>
          <w:sz w:val="20"/>
          <w:szCs w:val="20"/>
          <w:lang w:eastAsia="en-US"/>
        </w:rPr>
        <w:t xml:space="preserve">El Estado advirtió también que la </w:t>
      </w:r>
      <w:r w:rsidRPr="005D478E">
        <w:rPr>
          <w:rFonts w:eastAsiaTheme="minorHAnsi" w:cs="Arial-BoldMT"/>
          <w:bCs/>
          <w:sz w:val="20"/>
          <w:szCs w:val="20"/>
          <w:lang w:eastAsia="en-US"/>
        </w:rPr>
        <w:t xml:space="preserve">Entidad de Atención al Adolescente Monseñor Juan José Bernal (llamada en esta Sentencia también “INAM–San Félix”), cuenta con la aplicación del “Nuevo Régimen Disciplinario”. Señaló que tiene capacidad para 70 adolescentes hombres, y tiene actualmente una población de 26, “clasificados según su grupo etario y agrupados por su condición jurídica”, a quienes se les brinda educación y atención en salud. Agregó que la institución tiene instalaciones deportivas, culturales y áreas sociales, que permiten aplicar un “tratamiento integral”. </w:t>
      </w:r>
      <w:r w:rsidR="00AF7DEE">
        <w:rPr>
          <w:rFonts w:eastAsiaTheme="minorHAnsi" w:cs="Arial-BoldMT"/>
          <w:bCs/>
          <w:sz w:val="20"/>
          <w:szCs w:val="20"/>
          <w:lang w:eastAsia="en-US"/>
        </w:rPr>
        <w:t>Posee</w:t>
      </w:r>
      <w:r w:rsidR="00AF7DEE" w:rsidRPr="005D478E">
        <w:rPr>
          <w:rFonts w:eastAsiaTheme="minorHAnsi" w:cs="Arial-BoldMT"/>
          <w:bCs/>
          <w:sz w:val="20"/>
          <w:szCs w:val="20"/>
          <w:lang w:eastAsia="en-US"/>
        </w:rPr>
        <w:t xml:space="preserve"> </w:t>
      </w:r>
      <w:r w:rsidRPr="005D478E">
        <w:rPr>
          <w:rFonts w:eastAsiaTheme="minorHAnsi" w:cs="Arial-BoldMT"/>
          <w:bCs/>
          <w:sz w:val="20"/>
          <w:szCs w:val="20"/>
          <w:lang w:eastAsia="en-US"/>
        </w:rPr>
        <w:t>también espacios externos para el desarrollo de la agricultura. Señaló Venezuela también que el personal incluye “21 funcionarios de custodia”, existiendo “control absoluto” por parte del Estado en las instalaciones, lo que evita el ingreso de cualquier objeto prohibido. El Estado informó que desde 2011</w:t>
      </w:r>
      <w:r w:rsidRPr="005D478E">
        <w:rPr>
          <w:rFonts w:eastAsiaTheme="minorHAnsi"/>
          <w:sz w:val="20"/>
          <w:szCs w:val="20"/>
          <w:lang w:eastAsia="en-US"/>
        </w:rPr>
        <w:t xml:space="preserve"> “</w:t>
      </w:r>
      <w:r w:rsidRPr="005D478E">
        <w:rPr>
          <w:rFonts w:eastAsiaTheme="minorHAnsi" w:cs="Arial-BoldMT"/>
          <w:bCs/>
          <w:sz w:val="20"/>
          <w:szCs w:val="20"/>
          <w:lang w:eastAsia="en-US"/>
        </w:rPr>
        <w:t>no se tiene registro en este Centro de ningún hecho violento que haya</w:t>
      </w:r>
      <w:r>
        <w:rPr>
          <w:rFonts w:eastAsiaTheme="minorHAnsi" w:cs="Arial-BoldMT"/>
          <w:bCs/>
          <w:sz w:val="20"/>
          <w:szCs w:val="20"/>
          <w:lang w:eastAsia="en-US"/>
        </w:rPr>
        <w:t xml:space="preserve"> </w:t>
      </w:r>
      <w:r w:rsidRPr="005D478E">
        <w:rPr>
          <w:rFonts w:eastAsiaTheme="minorHAnsi" w:cs="Arial-BoldMT"/>
          <w:bCs/>
          <w:sz w:val="20"/>
          <w:szCs w:val="20"/>
          <w:lang w:eastAsia="en-US"/>
        </w:rPr>
        <w:t>generado heridos o muertos</w:t>
      </w:r>
      <w:r>
        <w:rPr>
          <w:rFonts w:eastAsiaTheme="minorHAnsi" w:cs="Arial-BoldMT"/>
          <w:bCs/>
          <w:sz w:val="20"/>
          <w:szCs w:val="20"/>
          <w:lang w:eastAsia="en-US"/>
        </w:rPr>
        <w:t>”. Consideró que la Entidad “supera los estándares internacionales en materia de privación de libertad”.</w:t>
      </w:r>
    </w:p>
    <w:p w14:paraId="7066FEC8" w14:textId="77777777" w:rsidR="00C5289C" w:rsidRDefault="00C5289C" w:rsidP="00B476ED">
      <w:pPr>
        <w:widowControl/>
        <w:tabs>
          <w:tab w:val="left" w:pos="567"/>
        </w:tabs>
        <w:autoSpaceDE w:val="0"/>
        <w:autoSpaceDN w:val="0"/>
        <w:spacing w:line="240" w:lineRule="auto"/>
        <w:ind w:right="-801"/>
        <w:jc w:val="left"/>
        <w:textAlignment w:val="auto"/>
        <w:rPr>
          <w:rFonts w:eastAsiaTheme="minorHAnsi"/>
          <w:sz w:val="20"/>
          <w:szCs w:val="20"/>
          <w:lang w:eastAsia="en-US"/>
        </w:rPr>
      </w:pPr>
    </w:p>
    <w:p w14:paraId="3A4938DD" w14:textId="558CE19B" w:rsidR="00C5289C" w:rsidRPr="0066366C" w:rsidRDefault="00C5289C" w:rsidP="00B476ED">
      <w:pPr>
        <w:widowControl/>
        <w:numPr>
          <w:ilvl w:val="0"/>
          <w:numId w:val="13"/>
        </w:numPr>
        <w:tabs>
          <w:tab w:val="left" w:pos="567"/>
        </w:tabs>
        <w:autoSpaceDE w:val="0"/>
        <w:autoSpaceDN w:val="0"/>
        <w:spacing w:line="240" w:lineRule="auto"/>
        <w:ind w:left="0" w:right="-801" w:firstLine="0"/>
        <w:textAlignment w:val="auto"/>
        <w:rPr>
          <w:rFonts w:eastAsiaTheme="minorHAnsi"/>
          <w:sz w:val="20"/>
          <w:szCs w:val="20"/>
          <w:lang w:eastAsia="en-US"/>
        </w:rPr>
      </w:pPr>
      <w:r w:rsidRPr="006833D4">
        <w:rPr>
          <w:sz w:val="20"/>
          <w:szCs w:val="20"/>
          <w:lang w:val="es-ES_tradnl"/>
        </w:rPr>
        <w:t xml:space="preserve">La </w:t>
      </w:r>
      <w:r w:rsidRPr="006833D4">
        <w:rPr>
          <w:b/>
          <w:i/>
          <w:sz w:val="20"/>
          <w:szCs w:val="20"/>
          <w:lang w:val="es-ES_tradnl"/>
        </w:rPr>
        <w:t>Corte</w:t>
      </w:r>
      <w:r w:rsidRPr="006833D4">
        <w:rPr>
          <w:sz w:val="20"/>
          <w:szCs w:val="20"/>
          <w:lang w:val="es-ES_tradnl"/>
        </w:rPr>
        <w:t xml:space="preserve"> </w:t>
      </w:r>
      <w:r w:rsidRPr="00FA0B6B">
        <w:rPr>
          <w:rFonts w:eastAsiaTheme="minorHAnsi"/>
          <w:sz w:val="20"/>
          <w:szCs w:val="20"/>
          <w:lang w:eastAsia="en-US"/>
        </w:rPr>
        <w:t xml:space="preserve">nota que los representantes y la Comisión han aludido a una presunta “crisis” del sistema penitenciario venezolano, o a la supuesta “situación crítica” del mismo, y han formulado consideraciones al </w:t>
      </w:r>
      <w:r w:rsidRPr="0066366C">
        <w:rPr>
          <w:rFonts w:eastAsiaTheme="minorHAnsi"/>
          <w:sz w:val="20"/>
          <w:szCs w:val="20"/>
          <w:lang w:eastAsia="en-US"/>
        </w:rPr>
        <w:t xml:space="preserve">respecto. </w:t>
      </w:r>
      <w:r w:rsidRPr="003A5C19">
        <w:rPr>
          <w:rFonts w:eastAsiaTheme="minorHAnsi"/>
          <w:sz w:val="20"/>
          <w:szCs w:val="20"/>
          <w:lang w:eastAsia="en-US"/>
        </w:rPr>
        <w:t xml:space="preserve">No obstante, no corresponde a la Corte, en el marco acotado de su competencia y sus funciones jurisdiccionales en el presente caso, efectuar una evaluación general de sistema </w:t>
      </w:r>
      <w:r w:rsidRPr="00AF7DEE">
        <w:rPr>
          <w:rFonts w:eastAsiaTheme="minorHAnsi"/>
          <w:sz w:val="20"/>
          <w:szCs w:val="20"/>
          <w:lang w:eastAsia="en-US"/>
        </w:rPr>
        <w:t xml:space="preserve">penitenciario de Venezuela que, además, ha sufrido modificaciones a partir </w:t>
      </w:r>
      <w:r w:rsidRPr="00AF7DEE">
        <w:rPr>
          <w:rFonts w:eastAsiaTheme="minorHAnsi"/>
          <w:sz w:val="20"/>
          <w:szCs w:val="20"/>
          <w:lang w:eastAsia="en-US"/>
        </w:rPr>
        <w:lastRenderedPageBreak/>
        <w:t>de 2006</w:t>
      </w:r>
      <w:r w:rsidRPr="006D3DFC">
        <w:rPr>
          <w:rStyle w:val="Refdenotaalpie"/>
          <w:rFonts w:eastAsiaTheme="minorHAnsi"/>
          <w:sz w:val="20"/>
          <w:szCs w:val="20"/>
          <w:lang w:eastAsia="en-US"/>
        </w:rPr>
        <w:footnoteReference w:id="151"/>
      </w:r>
      <w:r w:rsidRPr="00AF7DEE">
        <w:rPr>
          <w:rFonts w:eastAsiaTheme="minorHAnsi"/>
          <w:sz w:val="20"/>
          <w:szCs w:val="20"/>
          <w:lang w:eastAsia="en-US"/>
        </w:rPr>
        <w:t>, luego de los hechos del caso. Aunado a ello, y en el mismo sentido, la Corte entiende que no corresponde realizar en abstracto un análisis de legislación que no ha sido aplicada ni ha tenido un impacto en el caso</w:t>
      </w:r>
      <w:r w:rsidRPr="006D3DFC">
        <w:rPr>
          <w:rStyle w:val="Refdenotaalpie"/>
          <w:rFonts w:eastAsiaTheme="minorHAnsi"/>
          <w:sz w:val="20"/>
          <w:szCs w:val="20"/>
          <w:lang w:eastAsia="en-US"/>
        </w:rPr>
        <w:footnoteReference w:id="152"/>
      </w:r>
      <w:r w:rsidRPr="00AF7DEE">
        <w:rPr>
          <w:rFonts w:eastAsiaTheme="minorHAnsi"/>
          <w:sz w:val="20"/>
          <w:szCs w:val="20"/>
          <w:lang w:eastAsia="en-US"/>
        </w:rPr>
        <w:t xml:space="preserve">. </w:t>
      </w:r>
    </w:p>
    <w:p w14:paraId="26175A04" w14:textId="77777777" w:rsidR="00C5289C" w:rsidRDefault="00C5289C" w:rsidP="00B476ED">
      <w:pPr>
        <w:pStyle w:val="Prrafodelista"/>
        <w:spacing w:line="240" w:lineRule="auto"/>
        <w:ind w:right="-801"/>
        <w:rPr>
          <w:rFonts w:eastAsiaTheme="minorHAnsi"/>
          <w:sz w:val="20"/>
          <w:szCs w:val="20"/>
          <w:lang w:eastAsia="en-US"/>
        </w:rPr>
      </w:pPr>
    </w:p>
    <w:p w14:paraId="68E51C39" w14:textId="77777777" w:rsidR="00C5289C" w:rsidRPr="003A5C19" w:rsidRDefault="00C5289C" w:rsidP="00B476ED">
      <w:pPr>
        <w:widowControl/>
        <w:numPr>
          <w:ilvl w:val="0"/>
          <w:numId w:val="13"/>
        </w:numPr>
        <w:tabs>
          <w:tab w:val="left" w:pos="567"/>
        </w:tabs>
        <w:autoSpaceDE w:val="0"/>
        <w:autoSpaceDN w:val="0"/>
        <w:spacing w:line="240" w:lineRule="auto"/>
        <w:ind w:left="0" w:right="-801" w:firstLine="0"/>
        <w:textAlignment w:val="auto"/>
        <w:rPr>
          <w:rFonts w:eastAsiaTheme="minorHAnsi"/>
          <w:sz w:val="20"/>
          <w:szCs w:val="20"/>
          <w:lang w:eastAsia="en-US"/>
        </w:rPr>
      </w:pPr>
      <w:r w:rsidRPr="003A5C19">
        <w:rPr>
          <w:rFonts w:eastAsiaTheme="minorHAnsi"/>
          <w:sz w:val="20"/>
          <w:szCs w:val="20"/>
          <w:lang w:eastAsia="en-US"/>
        </w:rPr>
        <w:t xml:space="preserve">Por otra parte, la Corte recuerda que en su Sentencia sobre el caso </w:t>
      </w:r>
      <w:r w:rsidRPr="003A5C19">
        <w:rPr>
          <w:rFonts w:cs="Verdana"/>
          <w:i/>
          <w:iCs/>
          <w:sz w:val="20"/>
          <w:szCs w:val="20"/>
        </w:rPr>
        <w:t xml:space="preserve">Montero Aranguren y otros (Retén de Catia), </w:t>
      </w:r>
      <w:r w:rsidRPr="003A5C19">
        <w:rPr>
          <w:rFonts w:cs="Verdana"/>
          <w:iCs/>
          <w:sz w:val="20"/>
          <w:szCs w:val="20"/>
        </w:rPr>
        <w:t xml:space="preserve">de 5 de julio de 2006, ordenó a Venezuela diversas acciones tendientes a garantizar derechos de personas privadas de la libertad, entre ellas: </w:t>
      </w:r>
    </w:p>
    <w:p w14:paraId="3878AF91" w14:textId="77777777" w:rsidR="00C5289C" w:rsidRPr="003A5C19" w:rsidRDefault="00C5289C" w:rsidP="00B476ED">
      <w:pPr>
        <w:pStyle w:val="Prrafodelista"/>
        <w:spacing w:line="240" w:lineRule="auto"/>
        <w:ind w:left="284" w:right="-801"/>
        <w:rPr>
          <w:rFonts w:eastAsiaTheme="minorHAnsi"/>
          <w:sz w:val="20"/>
          <w:szCs w:val="20"/>
          <w:lang w:eastAsia="en-US"/>
        </w:rPr>
      </w:pPr>
    </w:p>
    <w:p w14:paraId="08F426FE" w14:textId="114FE745" w:rsidR="00C5289C" w:rsidRPr="003A5C19" w:rsidRDefault="00C5289C" w:rsidP="00B476ED">
      <w:pPr>
        <w:pStyle w:val="Prrafodelista"/>
        <w:widowControl/>
        <w:numPr>
          <w:ilvl w:val="0"/>
          <w:numId w:val="11"/>
        </w:numPr>
        <w:tabs>
          <w:tab w:val="left" w:pos="567"/>
        </w:tabs>
        <w:autoSpaceDE w:val="0"/>
        <w:autoSpaceDN w:val="0"/>
        <w:spacing w:line="240" w:lineRule="auto"/>
        <w:ind w:left="284" w:right="-801" w:firstLine="0"/>
        <w:textAlignment w:val="auto"/>
        <w:rPr>
          <w:rFonts w:eastAsiaTheme="minorHAnsi"/>
          <w:sz w:val="20"/>
          <w:szCs w:val="20"/>
          <w:lang w:eastAsia="en-US"/>
        </w:rPr>
      </w:pPr>
      <w:r w:rsidRPr="003A5C19">
        <w:rPr>
          <w:rFonts w:eastAsiaTheme="minorHAnsi"/>
          <w:sz w:val="20"/>
          <w:szCs w:val="20"/>
          <w:lang w:eastAsia="en-US"/>
        </w:rPr>
        <w:t xml:space="preserve">“adecuar, en un plazo razonable, su legislación interna a la Convención Americana, de tal suerte </w:t>
      </w:r>
      <w:proofErr w:type="gramStart"/>
      <w:r w:rsidRPr="003A5C19">
        <w:rPr>
          <w:rFonts w:eastAsiaTheme="minorHAnsi"/>
          <w:sz w:val="20"/>
          <w:szCs w:val="20"/>
          <w:lang w:eastAsia="en-US"/>
        </w:rPr>
        <w:t>que[</w:t>
      </w:r>
      <w:proofErr w:type="gramEnd"/>
      <w:r w:rsidRPr="003A5C19">
        <w:rPr>
          <w:rFonts w:eastAsiaTheme="minorHAnsi"/>
          <w:sz w:val="20"/>
          <w:szCs w:val="20"/>
          <w:lang w:eastAsia="en-US"/>
        </w:rPr>
        <w:t>, entre otros aspectos,] ponga en funcionamiento un cuerpo de vigilancia penitenciaria eminentemente de carácter civil [y] garantice un procedimiento o mecanismo eficaz, ante un organismo competente, imparcial e independiente, para la verificación e investigación de las quejas que sobre violaciones de los derechos humanos presenten las personas privadas de libertad”</w:t>
      </w:r>
      <w:r w:rsidR="00063212">
        <w:rPr>
          <w:rFonts w:eastAsiaTheme="minorHAnsi"/>
          <w:sz w:val="20"/>
          <w:szCs w:val="20"/>
          <w:lang w:eastAsia="en-US"/>
        </w:rPr>
        <w:t>;</w:t>
      </w:r>
    </w:p>
    <w:p w14:paraId="1988A588" w14:textId="77777777" w:rsidR="00C5289C" w:rsidRPr="003A5C19" w:rsidRDefault="00C5289C" w:rsidP="00B476ED">
      <w:pPr>
        <w:pStyle w:val="Prrafodelista"/>
        <w:widowControl/>
        <w:tabs>
          <w:tab w:val="left" w:pos="567"/>
        </w:tabs>
        <w:autoSpaceDE w:val="0"/>
        <w:autoSpaceDN w:val="0"/>
        <w:spacing w:line="240" w:lineRule="auto"/>
        <w:ind w:left="284" w:right="-801"/>
        <w:textAlignment w:val="auto"/>
        <w:rPr>
          <w:rFonts w:eastAsiaTheme="minorHAnsi"/>
          <w:sz w:val="20"/>
          <w:szCs w:val="20"/>
          <w:lang w:eastAsia="en-US"/>
        </w:rPr>
      </w:pPr>
    </w:p>
    <w:p w14:paraId="2A432248" w14:textId="0A1360FE" w:rsidR="00C5289C" w:rsidRPr="003A5C19" w:rsidRDefault="00C5289C" w:rsidP="00B476ED">
      <w:pPr>
        <w:pStyle w:val="Prrafodelista"/>
        <w:widowControl/>
        <w:numPr>
          <w:ilvl w:val="0"/>
          <w:numId w:val="11"/>
        </w:numPr>
        <w:tabs>
          <w:tab w:val="left" w:pos="567"/>
        </w:tabs>
        <w:autoSpaceDE w:val="0"/>
        <w:autoSpaceDN w:val="0"/>
        <w:spacing w:line="240" w:lineRule="auto"/>
        <w:ind w:left="284" w:right="-801" w:firstLine="0"/>
        <w:textAlignment w:val="auto"/>
        <w:rPr>
          <w:rFonts w:eastAsiaTheme="minorHAnsi"/>
          <w:sz w:val="20"/>
          <w:szCs w:val="20"/>
          <w:lang w:eastAsia="en-US"/>
        </w:rPr>
      </w:pPr>
      <w:r w:rsidRPr="003A5C19">
        <w:rPr>
          <w:rFonts w:cs="Verdana"/>
          <w:sz w:val="20"/>
          <w:szCs w:val="20"/>
        </w:rPr>
        <w:t>“adoptar, dentro de un plazo razonable, las medidas necesarias para que las condiciones de las cárceles se adecuen a los estándares internacionales relativos a esta materia”, señalando que, en particular, el Estado debe “</w:t>
      </w:r>
      <w:r w:rsidRPr="003A5C19">
        <w:rPr>
          <w:rFonts w:eastAsiaTheme="minorHAnsi"/>
          <w:sz w:val="20"/>
          <w:szCs w:val="20"/>
          <w:lang w:eastAsia="en-US"/>
        </w:rPr>
        <w:t xml:space="preserve">asegurar que toda persona privada de su libertad viva en condiciones compatibles con su dignidad humana, entre las que se encuentren, </w:t>
      </w:r>
      <w:r w:rsidRPr="001C5BC8">
        <w:rPr>
          <w:rFonts w:eastAsiaTheme="minorHAnsi"/>
          <w:i/>
          <w:sz w:val="20"/>
          <w:szCs w:val="20"/>
          <w:lang w:eastAsia="en-US"/>
        </w:rPr>
        <w:t xml:space="preserve">inter </w:t>
      </w:r>
      <w:proofErr w:type="spellStart"/>
      <w:r w:rsidRPr="001C5BC8">
        <w:rPr>
          <w:rFonts w:eastAsiaTheme="minorHAnsi"/>
          <w:i/>
          <w:sz w:val="20"/>
          <w:szCs w:val="20"/>
          <w:lang w:eastAsia="en-US"/>
        </w:rPr>
        <w:t>alia</w:t>
      </w:r>
      <w:proofErr w:type="spellEnd"/>
      <w:r w:rsidRPr="003A5C19">
        <w:rPr>
          <w:rFonts w:eastAsiaTheme="minorHAnsi"/>
          <w:sz w:val="20"/>
          <w:szCs w:val="20"/>
          <w:lang w:eastAsia="en-US"/>
        </w:rPr>
        <w:t xml:space="preserve">: a) un espacio lo suficientemente amplio para pasar la noche; b) celdas ventiladas y con acceso a luz natural; c) acceso a sanitarios y duchas limpias y con suficiente privacidad; d) alimentación y atención en salud adecuadas, oportunas y suficientes, y </w:t>
      </w:r>
      <w:proofErr w:type="spellStart"/>
      <w:r w:rsidRPr="003A5C19">
        <w:rPr>
          <w:rFonts w:eastAsiaTheme="minorHAnsi"/>
          <w:sz w:val="20"/>
          <w:szCs w:val="20"/>
          <w:lang w:eastAsia="en-US"/>
        </w:rPr>
        <w:t>e</w:t>
      </w:r>
      <w:proofErr w:type="spellEnd"/>
      <w:r w:rsidRPr="003A5C19">
        <w:rPr>
          <w:rFonts w:eastAsiaTheme="minorHAnsi"/>
          <w:sz w:val="20"/>
          <w:szCs w:val="20"/>
          <w:lang w:eastAsia="en-US"/>
        </w:rPr>
        <w:t>) acceso a medidas educativas, laborales y de cualquier otra índole esenciales para la reforma y reada</w:t>
      </w:r>
      <w:r w:rsidR="001C5BC8">
        <w:rPr>
          <w:rFonts w:eastAsiaTheme="minorHAnsi"/>
          <w:sz w:val="20"/>
          <w:szCs w:val="20"/>
          <w:lang w:eastAsia="en-US"/>
        </w:rPr>
        <w:t>ptación social de los internos”, y</w:t>
      </w:r>
    </w:p>
    <w:p w14:paraId="6C86EFC2" w14:textId="77777777" w:rsidR="00C5289C" w:rsidRPr="003A5C19" w:rsidRDefault="00C5289C" w:rsidP="00B476ED">
      <w:pPr>
        <w:pStyle w:val="Prrafodelista"/>
        <w:spacing w:line="240" w:lineRule="auto"/>
        <w:ind w:left="284" w:right="-801"/>
        <w:rPr>
          <w:rFonts w:cs="Verdana"/>
          <w:sz w:val="20"/>
          <w:szCs w:val="20"/>
          <w:lang w:eastAsia="en-US"/>
        </w:rPr>
      </w:pPr>
    </w:p>
    <w:p w14:paraId="0FA8C9E2" w14:textId="77777777" w:rsidR="00C5289C" w:rsidRPr="005705FA" w:rsidRDefault="00C5289C" w:rsidP="00B476ED">
      <w:pPr>
        <w:pStyle w:val="Prrafodelista"/>
        <w:widowControl/>
        <w:numPr>
          <w:ilvl w:val="0"/>
          <w:numId w:val="11"/>
        </w:numPr>
        <w:tabs>
          <w:tab w:val="left" w:pos="567"/>
        </w:tabs>
        <w:autoSpaceDE w:val="0"/>
        <w:autoSpaceDN w:val="0"/>
        <w:spacing w:line="240" w:lineRule="auto"/>
        <w:ind w:left="284" w:right="-801" w:firstLine="0"/>
        <w:textAlignment w:val="auto"/>
        <w:rPr>
          <w:rFonts w:eastAsiaTheme="minorHAnsi"/>
          <w:sz w:val="20"/>
          <w:szCs w:val="20"/>
          <w:lang w:eastAsia="en-US"/>
        </w:rPr>
      </w:pPr>
      <w:r w:rsidRPr="003A5C19">
        <w:rPr>
          <w:rFonts w:cs="Verdana"/>
          <w:sz w:val="20"/>
          <w:szCs w:val="20"/>
          <w:lang w:eastAsia="en-US"/>
        </w:rPr>
        <w:t>“</w:t>
      </w:r>
      <w:proofErr w:type="spellStart"/>
      <w:r w:rsidRPr="003A5C19">
        <w:rPr>
          <w:rFonts w:cs="Verdana"/>
          <w:sz w:val="20"/>
          <w:szCs w:val="20"/>
          <w:lang w:eastAsia="en-US"/>
        </w:rPr>
        <w:t>diseñ</w:t>
      </w:r>
      <w:proofErr w:type="spellEnd"/>
      <w:r w:rsidRPr="003A5C19">
        <w:rPr>
          <w:rFonts w:cs="Verdana"/>
          <w:sz w:val="20"/>
          <w:szCs w:val="20"/>
          <w:lang w:eastAsia="en-US"/>
        </w:rPr>
        <w:t xml:space="preserve">[ar] e </w:t>
      </w:r>
      <w:proofErr w:type="spellStart"/>
      <w:r w:rsidRPr="003A5C19">
        <w:rPr>
          <w:rFonts w:cs="Verdana"/>
          <w:sz w:val="20"/>
          <w:szCs w:val="20"/>
          <w:lang w:eastAsia="en-US"/>
        </w:rPr>
        <w:t>implement</w:t>
      </w:r>
      <w:proofErr w:type="spellEnd"/>
      <w:r w:rsidRPr="003A5C19">
        <w:rPr>
          <w:rFonts w:cs="Verdana"/>
          <w:sz w:val="20"/>
          <w:szCs w:val="20"/>
          <w:lang w:eastAsia="en-US"/>
        </w:rPr>
        <w:t xml:space="preserve">[ar] un programa de capacitación sobre derechos humanos y estándares </w:t>
      </w:r>
      <w:r w:rsidRPr="005705FA">
        <w:rPr>
          <w:rFonts w:cs="Verdana"/>
          <w:sz w:val="20"/>
          <w:szCs w:val="20"/>
          <w:lang w:eastAsia="en-US"/>
        </w:rPr>
        <w:t>internacionales en materia de personas privadas de la libertad, dirigido a agentes policiales y penitenciarios”</w:t>
      </w:r>
      <w:r w:rsidRPr="005705FA">
        <w:rPr>
          <w:rStyle w:val="Refdenotaalpie"/>
          <w:sz w:val="20"/>
          <w:szCs w:val="20"/>
          <w:lang w:eastAsia="en-US"/>
        </w:rPr>
        <w:footnoteReference w:id="153"/>
      </w:r>
      <w:r w:rsidRPr="005705FA">
        <w:rPr>
          <w:rFonts w:cs="Verdana"/>
          <w:sz w:val="20"/>
          <w:szCs w:val="20"/>
          <w:lang w:eastAsia="en-US"/>
        </w:rPr>
        <w:t>.</w:t>
      </w:r>
    </w:p>
    <w:p w14:paraId="5955A5DD" w14:textId="77777777" w:rsidR="00C5289C" w:rsidRPr="003A5C19" w:rsidRDefault="00C5289C" w:rsidP="00B476ED">
      <w:pPr>
        <w:pStyle w:val="Prrafodelista"/>
        <w:spacing w:line="240" w:lineRule="auto"/>
        <w:ind w:right="-801"/>
        <w:rPr>
          <w:rFonts w:eastAsiaTheme="minorHAnsi"/>
          <w:sz w:val="20"/>
          <w:szCs w:val="20"/>
          <w:lang w:eastAsia="en-US"/>
        </w:rPr>
      </w:pPr>
    </w:p>
    <w:p w14:paraId="45C8E30E" w14:textId="77777777" w:rsidR="00C5289C" w:rsidRPr="001C5BC8" w:rsidRDefault="00C5289C" w:rsidP="00B476ED">
      <w:pPr>
        <w:widowControl/>
        <w:numPr>
          <w:ilvl w:val="0"/>
          <w:numId w:val="13"/>
        </w:numPr>
        <w:tabs>
          <w:tab w:val="left" w:pos="567"/>
        </w:tabs>
        <w:autoSpaceDE w:val="0"/>
        <w:autoSpaceDN w:val="0"/>
        <w:spacing w:line="240" w:lineRule="auto"/>
        <w:ind w:left="0" w:right="-801" w:firstLine="0"/>
        <w:textAlignment w:val="auto"/>
        <w:rPr>
          <w:rFonts w:eastAsiaTheme="minorHAnsi"/>
          <w:sz w:val="20"/>
          <w:szCs w:val="20"/>
          <w:lang w:eastAsia="en-US"/>
        </w:rPr>
      </w:pPr>
      <w:r w:rsidRPr="001C5BC8">
        <w:rPr>
          <w:rFonts w:eastAsiaTheme="minorHAnsi"/>
          <w:sz w:val="20"/>
          <w:szCs w:val="20"/>
          <w:lang w:eastAsia="en-US"/>
        </w:rPr>
        <w:t>Las medidas señaladas están siendo supervisadas por la Corte en el marco del trámite respectivo al caso indicado</w:t>
      </w:r>
      <w:r w:rsidRPr="001C5BC8">
        <w:rPr>
          <w:rStyle w:val="Refdenotaalpie"/>
          <w:rFonts w:eastAsiaTheme="minorHAnsi"/>
          <w:sz w:val="20"/>
          <w:szCs w:val="20"/>
          <w:lang w:eastAsia="en-US"/>
        </w:rPr>
        <w:footnoteReference w:id="154"/>
      </w:r>
      <w:r w:rsidRPr="001C5BC8">
        <w:rPr>
          <w:rFonts w:eastAsiaTheme="minorHAnsi"/>
          <w:sz w:val="20"/>
          <w:szCs w:val="20"/>
          <w:lang w:eastAsia="en-US"/>
        </w:rPr>
        <w:t>, y este Tribunal no entiende necesario ni procedente, por ello y por lo antes expuesto (</w:t>
      </w:r>
      <w:r w:rsidRPr="001C5BC8">
        <w:rPr>
          <w:rFonts w:eastAsiaTheme="minorHAnsi"/>
          <w:i/>
          <w:sz w:val="20"/>
          <w:szCs w:val="20"/>
          <w:lang w:eastAsia="en-US"/>
        </w:rPr>
        <w:t xml:space="preserve">supra </w:t>
      </w:r>
      <w:r w:rsidRPr="001C5BC8">
        <w:rPr>
          <w:rFonts w:eastAsiaTheme="minorHAnsi"/>
          <w:sz w:val="20"/>
          <w:szCs w:val="20"/>
          <w:lang w:eastAsia="en-US"/>
        </w:rPr>
        <w:t>párr. 158), disponer en el presente caso medidas dirigidas a modificaciones legales o institucionales del sistema penitenciario venezolano.</w:t>
      </w:r>
    </w:p>
    <w:p w14:paraId="46BB6CC6" w14:textId="77777777" w:rsidR="00C5289C" w:rsidRPr="003A5C19" w:rsidRDefault="00C5289C" w:rsidP="00B476ED">
      <w:pPr>
        <w:widowControl/>
        <w:tabs>
          <w:tab w:val="left" w:pos="567"/>
        </w:tabs>
        <w:autoSpaceDE w:val="0"/>
        <w:autoSpaceDN w:val="0"/>
        <w:spacing w:line="240" w:lineRule="auto"/>
        <w:ind w:right="-801"/>
        <w:textAlignment w:val="auto"/>
        <w:rPr>
          <w:rFonts w:eastAsiaTheme="minorHAnsi"/>
          <w:sz w:val="20"/>
          <w:szCs w:val="20"/>
          <w:lang w:eastAsia="en-US"/>
        </w:rPr>
      </w:pPr>
    </w:p>
    <w:p w14:paraId="1F48B5DC" w14:textId="5C8971B8" w:rsidR="00C5289C" w:rsidRDefault="00C5289C" w:rsidP="00B476ED">
      <w:pPr>
        <w:widowControl/>
        <w:numPr>
          <w:ilvl w:val="0"/>
          <w:numId w:val="13"/>
        </w:numPr>
        <w:tabs>
          <w:tab w:val="left" w:pos="567"/>
        </w:tabs>
        <w:autoSpaceDE w:val="0"/>
        <w:autoSpaceDN w:val="0"/>
        <w:spacing w:line="240" w:lineRule="auto"/>
        <w:ind w:left="0" w:right="-801" w:firstLine="0"/>
        <w:textAlignment w:val="auto"/>
        <w:rPr>
          <w:rFonts w:eastAsiaTheme="minorHAnsi"/>
          <w:sz w:val="20"/>
          <w:szCs w:val="20"/>
          <w:lang w:eastAsia="en-US"/>
        </w:rPr>
      </w:pPr>
      <w:r w:rsidRPr="003A5C19">
        <w:rPr>
          <w:rFonts w:eastAsiaTheme="minorHAnsi"/>
          <w:sz w:val="20"/>
          <w:szCs w:val="20"/>
          <w:lang w:eastAsia="en-US"/>
        </w:rPr>
        <w:t xml:space="preserve">Sin perjuicio de lo dicho, en relación puntual con los hechos del caso, este Tribunal nota que aunque el testigo Peña Varea ha referido que se han efectuado modificaciones en el centro Monseñor Juan José Bernal, en el que ocurrieron los hechos del caso, y se </w:t>
      </w:r>
      <w:r w:rsidRPr="005705FA">
        <w:rPr>
          <w:rFonts w:eastAsiaTheme="minorHAnsi"/>
          <w:sz w:val="20"/>
          <w:szCs w:val="20"/>
          <w:lang w:eastAsia="en-US"/>
        </w:rPr>
        <w:t>ha referido a la existencia de una “política” para emergencias, inclusive un “protocolo de desalojo”,</w:t>
      </w:r>
      <w:r w:rsidR="00063212" w:rsidRPr="005705FA">
        <w:rPr>
          <w:rFonts w:eastAsiaTheme="minorHAnsi"/>
          <w:sz w:val="20"/>
          <w:szCs w:val="20"/>
          <w:lang w:eastAsia="en-US"/>
        </w:rPr>
        <w:t xml:space="preserve"> </w:t>
      </w:r>
      <w:r w:rsidRPr="005705FA">
        <w:rPr>
          <w:rFonts w:eastAsiaTheme="minorHAnsi"/>
          <w:sz w:val="20"/>
          <w:szCs w:val="20"/>
          <w:lang w:eastAsia="en-US"/>
        </w:rPr>
        <w:t xml:space="preserve">no ha </w:t>
      </w:r>
      <w:r w:rsidRPr="005705FA">
        <w:rPr>
          <w:rFonts w:eastAsiaTheme="minorHAnsi"/>
          <w:sz w:val="20"/>
          <w:szCs w:val="20"/>
          <w:lang w:eastAsia="en-US"/>
        </w:rPr>
        <w:lastRenderedPageBreak/>
        <w:t>mencionado detalles al respecto ni consta información sobre la existencia de protocolos aplicables también en otros centros de detención</w:t>
      </w:r>
      <w:r w:rsidRPr="005705FA">
        <w:rPr>
          <w:rStyle w:val="Refdenotaalpie"/>
          <w:rFonts w:eastAsiaTheme="minorHAnsi"/>
          <w:sz w:val="20"/>
          <w:szCs w:val="20"/>
          <w:lang w:eastAsia="en-US"/>
        </w:rPr>
        <w:footnoteReference w:id="155"/>
      </w:r>
      <w:r w:rsidRPr="005705FA">
        <w:rPr>
          <w:rFonts w:eastAsiaTheme="minorHAnsi"/>
          <w:sz w:val="20"/>
          <w:szCs w:val="20"/>
          <w:lang w:eastAsia="en-US"/>
        </w:rPr>
        <w:t>.</w:t>
      </w:r>
      <w:r w:rsidRPr="003A5C19">
        <w:rPr>
          <w:rFonts w:eastAsiaTheme="minorHAnsi"/>
          <w:sz w:val="20"/>
          <w:szCs w:val="20"/>
          <w:lang w:eastAsia="en-US"/>
        </w:rPr>
        <w:t xml:space="preserve"> </w:t>
      </w:r>
    </w:p>
    <w:p w14:paraId="437568CD" w14:textId="77777777" w:rsidR="00C5289C" w:rsidRDefault="00C5289C" w:rsidP="00B476ED">
      <w:pPr>
        <w:pStyle w:val="Prrafodelista"/>
        <w:spacing w:line="240" w:lineRule="auto"/>
        <w:ind w:right="-801"/>
        <w:rPr>
          <w:rFonts w:eastAsiaTheme="minorHAnsi"/>
          <w:sz w:val="20"/>
          <w:szCs w:val="20"/>
          <w:lang w:eastAsia="en-US"/>
        </w:rPr>
      </w:pPr>
    </w:p>
    <w:p w14:paraId="0A425CF0" w14:textId="77777777" w:rsidR="00C5289C" w:rsidRPr="00D81F2D" w:rsidRDefault="00C5289C" w:rsidP="00B476ED">
      <w:pPr>
        <w:widowControl/>
        <w:numPr>
          <w:ilvl w:val="0"/>
          <w:numId w:val="13"/>
        </w:numPr>
        <w:tabs>
          <w:tab w:val="left" w:pos="567"/>
        </w:tabs>
        <w:autoSpaceDE w:val="0"/>
        <w:autoSpaceDN w:val="0"/>
        <w:spacing w:line="240" w:lineRule="auto"/>
        <w:ind w:left="0" w:right="-801" w:firstLine="0"/>
        <w:textAlignment w:val="auto"/>
        <w:rPr>
          <w:rFonts w:eastAsiaTheme="minorHAnsi"/>
          <w:sz w:val="20"/>
          <w:szCs w:val="20"/>
          <w:lang w:eastAsia="en-US"/>
        </w:rPr>
      </w:pPr>
      <w:r w:rsidRPr="00D81F2D">
        <w:rPr>
          <w:rFonts w:eastAsiaTheme="minorHAnsi"/>
          <w:sz w:val="20"/>
          <w:szCs w:val="20"/>
          <w:lang w:eastAsia="en-US"/>
        </w:rPr>
        <w:t xml:space="preserve">Por ello, la Corte ordena al Estado que, en caso de carecer de un protocolo sobre incendios o emergencias en centros de privación de libertad de adolescentes, adopte uno en el plazo de un año. El mismo debe prever tanto las acciones que deben realizarse, frente a tales situaciones, en esas instituciones como también la asistencia para emergencias, médica y/o de otro carácter que pueda resultar necesario proveer por medio de entidades externas. </w:t>
      </w:r>
      <w:r w:rsidRPr="00EE1CF9">
        <w:rPr>
          <w:rFonts w:eastAsiaTheme="minorHAnsi"/>
          <w:sz w:val="20"/>
          <w:szCs w:val="20"/>
          <w:lang w:eastAsia="en-US"/>
        </w:rPr>
        <w:t xml:space="preserve">En el marco de dicho protocolo, debe contemplarse: a) no proveer a los presos o internos ni permitir que tengan en sus celdas, o pabellones o ámbitos cerrados de alojamiento, colchones u otros elementos análogos que no sean ignífugos, especialmente los de materiales extremadamente tóxicos en casos de combustión, como el poliuretano, b) que las autoridades de vigilancia tengan siempre a su inmediata disposición y en verificadas condiciones de uso las llaves o dispositivos que permitan la rápida apertura de celdas, pabellones o ámbitos cerrados, y c) mantener en perfectas condiciones de funcionamiento extinguidores y todos otros dispositivos de combate de incendio en toda institución total. </w:t>
      </w:r>
      <w:r w:rsidRPr="00D81F2D">
        <w:rPr>
          <w:rFonts w:eastAsiaTheme="minorHAnsi"/>
          <w:sz w:val="20"/>
          <w:szCs w:val="20"/>
          <w:lang w:eastAsia="en-US"/>
        </w:rPr>
        <w:t xml:space="preserve">En caso de contar ya el Estado con dicho protocolo, deberá informarlo a la Corte en el mismo plazo, así como si el mismo cumple las condiciones que anteceden. </w:t>
      </w:r>
    </w:p>
    <w:p w14:paraId="2EF41C36" w14:textId="77777777" w:rsidR="00C5289C" w:rsidRDefault="00C5289C" w:rsidP="00B476ED">
      <w:pPr>
        <w:tabs>
          <w:tab w:val="left" w:pos="567"/>
        </w:tabs>
        <w:spacing w:line="240" w:lineRule="auto"/>
        <w:ind w:right="-801"/>
        <w:rPr>
          <w:b/>
          <w:sz w:val="20"/>
          <w:szCs w:val="20"/>
          <w:lang w:val="es-CO"/>
        </w:rPr>
      </w:pPr>
    </w:p>
    <w:p w14:paraId="65EAFFDC" w14:textId="3F26C275" w:rsidR="00C5289C" w:rsidRPr="00D64A56" w:rsidRDefault="00C5289C" w:rsidP="00B476ED">
      <w:pPr>
        <w:pStyle w:val="Ttulo2"/>
        <w:numPr>
          <w:ilvl w:val="0"/>
          <w:numId w:val="8"/>
        </w:numPr>
        <w:tabs>
          <w:tab w:val="clear" w:pos="1134"/>
          <w:tab w:val="left" w:pos="708"/>
        </w:tabs>
        <w:spacing w:before="0" w:after="0"/>
        <w:ind w:right="-801"/>
        <w:textAlignment w:val="auto"/>
        <w:rPr>
          <w:lang w:eastAsia="en-US"/>
        </w:rPr>
      </w:pPr>
      <w:bookmarkStart w:id="96" w:name="_Toc58330241"/>
      <w:r>
        <w:rPr>
          <w:lang w:eastAsia="en-US"/>
        </w:rPr>
        <w:t>Otras medidas solicitadas</w:t>
      </w:r>
      <w:bookmarkEnd w:id="96"/>
    </w:p>
    <w:p w14:paraId="03667643" w14:textId="77777777" w:rsidR="00C5289C" w:rsidRPr="006E6E5D" w:rsidRDefault="00C5289C" w:rsidP="00B476ED">
      <w:pPr>
        <w:tabs>
          <w:tab w:val="left" w:pos="567"/>
        </w:tabs>
        <w:spacing w:line="240" w:lineRule="auto"/>
        <w:ind w:right="-801"/>
        <w:rPr>
          <w:sz w:val="20"/>
          <w:szCs w:val="20"/>
          <w:lang w:val="es-CO"/>
        </w:rPr>
      </w:pPr>
    </w:p>
    <w:p w14:paraId="0CD3ABEE" w14:textId="7D36B631" w:rsidR="00C5289C" w:rsidRDefault="00C5289C" w:rsidP="00B476ED">
      <w:pPr>
        <w:widowControl/>
        <w:numPr>
          <w:ilvl w:val="0"/>
          <w:numId w:val="13"/>
        </w:numPr>
        <w:tabs>
          <w:tab w:val="left" w:pos="567"/>
        </w:tabs>
        <w:autoSpaceDE w:val="0"/>
        <w:autoSpaceDN w:val="0"/>
        <w:spacing w:line="240" w:lineRule="auto"/>
        <w:ind w:left="0" w:right="-801" w:firstLine="0"/>
        <w:textAlignment w:val="auto"/>
        <w:rPr>
          <w:sz w:val="20"/>
          <w:szCs w:val="20"/>
          <w:lang w:val="es-CO"/>
        </w:rPr>
      </w:pPr>
      <w:r w:rsidRPr="00F1771B">
        <w:rPr>
          <w:sz w:val="20"/>
          <w:szCs w:val="20"/>
          <w:lang w:val="es-CO"/>
        </w:rPr>
        <w:t xml:space="preserve">Los </w:t>
      </w:r>
      <w:r w:rsidRPr="005705FA">
        <w:rPr>
          <w:b/>
          <w:i/>
          <w:sz w:val="20"/>
          <w:szCs w:val="20"/>
          <w:lang w:val="es-CO"/>
        </w:rPr>
        <w:t>representantes</w:t>
      </w:r>
      <w:r w:rsidRPr="00F1771B">
        <w:rPr>
          <w:sz w:val="20"/>
          <w:szCs w:val="20"/>
          <w:lang w:val="es-CO"/>
        </w:rPr>
        <w:t xml:space="preserve"> solicitaron</w:t>
      </w:r>
      <w:r>
        <w:rPr>
          <w:sz w:val="20"/>
          <w:szCs w:val="20"/>
          <w:lang w:val="es-CO"/>
        </w:rPr>
        <w:t xml:space="preserve"> </w:t>
      </w:r>
      <w:r w:rsidRPr="00F1771B">
        <w:rPr>
          <w:sz w:val="20"/>
          <w:szCs w:val="20"/>
          <w:lang w:val="es-CO"/>
        </w:rPr>
        <w:t>que “</w:t>
      </w:r>
      <w:r w:rsidRPr="00F1771B">
        <w:rPr>
          <w:rFonts w:eastAsiaTheme="minorHAnsi"/>
          <w:sz w:val="20"/>
          <w:szCs w:val="20"/>
          <w:lang w:eastAsia="en-US"/>
        </w:rPr>
        <w:t>se otorgue una beca de estudios a favor de los familiares de las [v]</w:t>
      </w:r>
      <w:proofErr w:type="spellStart"/>
      <w:r w:rsidRPr="00F1771B">
        <w:rPr>
          <w:rFonts w:eastAsiaTheme="minorHAnsi"/>
          <w:sz w:val="20"/>
          <w:szCs w:val="20"/>
          <w:lang w:eastAsia="en-US"/>
        </w:rPr>
        <w:t>íctimas</w:t>
      </w:r>
      <w:proofErr w:type="spellEnd"/>
      <w:r w:rsidRPr="00F1771B">
        <w:rPr>
          <w:rFonts w:eastAsiaTheme="minorHAnsi"/>
          <w:sz w:val="20"/>
          <w:szCs w:val="20"/>
          <w:lang w:eastAsia="en-US"/>
        </w:rPr>
        <w:t xml:space="preserve"> que estén cursando estudios primarios, secundarios o superiores”. </w:t>
      </w:r>
      <w:r w:rsidRPr="006833D4">
        <w:rPr>
          <w:sz w:val="20"/>
          <w:szCs w:val="20"/>
          <w:lang w:val="es-CO"/>
        </w:rPr>
        <w:t xml:space="preserve">Además, los </w:t>
      </w:r>
      <w:r w:rsidRPr="005705FA">
        <w:rPr>
          <w:sz w:val="20"/>
          <w:szCs w:val="20"/>
          <w:lang w:val="es-CO"/>
        </w:rPr>
        <w:t>representantes</w:t>
      </w:r>
      <w:r w:rsidRPr="006833D4">
        <w:rPr>
          <w:sz w:val="20"/>
          <w:szCs w:val="20"/>
          <w:lang w:val="es-CO"/>
        </w:rPr>
        <w:t xml:space="preserve"> consideraron procedente que se ordene al Estado “realizar un acto público de reconocimiento de responsabilidad internacional con relación a la muerte de las </w:t>
      </w:r>
      <w:r>
        <w:rPr>
          <w:sz w:val="20"/>
          <w:szCs w:val="20"/>
          <w:lang w:val="es-CO"/>
        </w:rPr>
        <w:t>[v]</w:t>
      </w:r>
      <w:proofErr w:type="spellStart"/>
      <w:r w:rsidRPr="006833D4">
        <w:rPr>
          <w:sz w:val="20"/>
          <w:szCs w:val="20"/>
          <w:lang w:val="es-CO"/>
        </w:rPr>
        <w:t>íctimas</w:t>
      </w:r>
      <w:proofErr w:type="spellEnd"/>
      <w:r w:rsidRPr="006833D4">
        <w:rPr>
          <w:sz w:val="20"/>
          <w:szCs w:val="20"/>
          <w:lang w:val="es-CO"/>
        </w:rPr>
        <w:t xml:space="preserve">”. </w:t>
      </w:r>
      <w:r>
        <w:rPr>
          <w:sz w:val="20"/>
          <w:szCs w:val="20"/>
          <w:lang w:val="es-CO"/>
        </w:rPr>
        <w:t>El</w:t>
      </w:r>
      <w:r w:rsidRPr="006833D4">
        <w:rPr>
          <w:sz w:val="20"/>
          <w:szCs w:val="20"/>
          <w:lang w:val="es-CO"/>
        </w:rPr>
        <w:t xml:space="preserve"> </w:t>
      </w:r>
      <w:r w:rsidRPr="006833D4">
        <w:rPr>
          <w:b/>
          <w:i/>
          <w:sz w:val="20"/>
          <w:szCs w:val="20"/>
          <w:lang w:val="es-CO"/>
        </w:rPr>
        <w:t xml:space="preserve">Estado </w:t>
      </w:r>
      <w:r w:rsidRPr="006833D4">
        <w:rPr>
          <w:sz w:val="20"/>
          <w:szCs w:val="20"/>
          <w:lang w:val="es-CO"/>
        </w:rPr>
        <w:t>no se refiri</w:t>
      </w:r>
      <w:r>
        <w:rPr>
          <w:sz w:val="20"/>
          <w:szCs w:val="20"/>
          <w:lang w:val="es-CO"/>
        </w:rPr>
        <w:t>ó</w:t>
      </w:r>
      <w:r w:rsidRPr="006833D4">
        <w:rPr>
          <w:sz w:val="20"/>
          <w:szCs w:val="20"/>
          <w:lang w:val="es-CO"/>
        </w:rPr>
        <w:t xml:space="preserve"> a esta</w:t>
      </w:r>
      <w:r>
        <w:rPr>
          <w:sz w:val="20"/>
          <w:szCs w:val="20"/>
          <w:lang w:val="es-CO"/>
        </w:rPr>
        <w:t>s</w:t>
      </w:r>
      <w:r w:rsidRPr="006833D4">
        <w:rPr>
          <w:sz w:val="20"/>
          <w:szCs w:val="20"/>
          <w:lang w:val="es-CO"/>
        </w:rPr>
        <w:t xml:space="preserve"> solicitud</w:t>
      </w:r>
      <w:r>
        <w:rPr>
          <w:sz w:val="20"/>
          <w:szCs w:val="20"/>
          <w:lang w:val="es-CO"/>
        </w:rPr>
        <w:t>es</w:t>
      </w:r>
      <w:r w:rsidRPr="006833D4">
        <w:rPr>
          <w:sz w:val="20"/>
          <w:szCs w:val="20"/>
          <w:lang w:val="es-CO"/>
        </w:rPr>
        <w:t xml:space="preserve">. </w:t>
      </w:r>
    </w:p>
    <w:p w14:paraId="2F7776CB" w14:textId="77777777" w:rsidR="00C5289C" w:rsidRDefault="00C5289C" w:rsidP="00B476ED">
      <w:pPr>
        <w:widowControl/>
        <w:tabs>
          <w:tab w:val="left" w:pos="567"/>
        </w:tabs>
        <w:autoSpaceDE w:val="0"/>
        <w:autoSpaceDN w:val="0"/>
        <w:spacing w:line="240" w:lineRule="auto"/>
        <w:ind w:right="-801"/>
        <w:textAlignment w:val="auto"/>
        <w:rPr>
          <w:sz w:val="20"/>
          <w:szCs w:val="20"/>
          <w:lang w:val="es-CO"/>
        </w:rPr>
      </w:pPr>
    </w:p>
    <w:p w14:paraId="15151F78" w14:textId="77777777" w:rsidR="00C5289C" w:rsidRPr="003A5C19" w:rsidRDefault="00C5289C" w:rsidP="00B476ED">
      <w:pPr>
        <w:widowControl/>
        <w:numPr>
          <w:ilvl w:val="0"/>
          <w:numId w:val="13"/>
        </w:numPr>
        <w:tabs>
          <w:tab w:val="left" w:pos="567"/>
        </w:tabs>
        <w:autoSpaceDE w:val="0"/>
        <w:autoSpaceDN w:val="0"/>
        <w:spacing w:line="240" w:lineRule="auto"/>
        <w:ind w:left="0" w:right="-801" w:firstLine="0"/>
        <w:textAlignment w:val="auto"/>
        <w:rPr>
          <w:sz w:val="20"/>
          <w:szCs w:val="20"/>
          <w:lang w:val="es-CO"/>
        </w:rPr>
      </w:pPr>
      <w:r w:rsidRPr="00303FF3">
        <w:rPr>
          <w:sz w:val="20"/>
          <w:szCs w:val="20"/>
          <w:lang w:eastAsia="es-ES" w:bidi="es-ES"/>
        </w:rPr>
        <w:t xml:space="preserve">En cuanto a la primera medida referida en el párrafo anterior, la Corte advierte que no </w:t>
      </w:r>
      <w:r w:rsidRPr="00303FF3">
        <w:rPr>
          <w:sz w:val="20"/>
          <w:szCs w:val="20"/>
        </w:rPr>
        <w:t xml:space="preserve">guardan un nexo causal </w:t>
      </w:r>
      <w:r w:rsidRPr="003A5C19">
        <w:rPr>
          <w:sz w:val="20"/>
          <w:szCs w:val="20"/>
        </w:rPr>
        <w:t xml:space="preserve">con las violaciones determinadas en el presente caso, por lo que no considera procedente ordenarla. En cuanto a la solicitud de que el Estado realice un acto público de reconocimiento internacional esta Corte nota que los propios representantes, en su escrito de alegatos finales, señalaron que al haber Venezuela reconocido su responsabilidad había cumplido con esta solicitud. Esta Corte, teniendo en cuenta lo anterior, considera innecesario ordenar la realización de un acto público de reconocimiento de responsabilidad. </w:t>
      </w:r>
    </w:p>
    <w:p w14:paraId="6664EA46" w14:textId="77777777" w:rsidR="00C5289C" w:rsidRDefault="00C5289C" w:rsidP="00B476ED">
      <w:pPr>
        <w:tabs>
          <w:tab w:val="left" w:pos="567"/>
        </w:tabs>
        <w:spacing w:line="240" w:lineRule="auto"/>
        <w:ind w:right="-801"/>
        <w:rPr>
          <w:sz w:val="20"/>
          <w:szCs w:val="20"/>
          <w:lang w:val="es-CO"/>
        </w:rPr>
      </w:pPr>
    </w:p>
    <w:p w14:paraId="487C7BA9" w14:textId="73E47F3A" w:rsidR="00C5289C" w:rsidRPr="00D64A56" w:rsidRDefault="00C5289C" w:rsidP="00B476ED">
      <w:pPr>
        <w:pStyle w:val="Ttulo2"/>
        <w:numPr>
          <w:ilvl w:val="0"/>
          <w:numId w:val="8"/>
        </w:numPr>
        <w:tabs>
          <w:tab w:val="clear" w:pos="1134"/>
          <w:tab w:val="left" w:pos="708"/>
        </w:tabs>
        <w:spacing w:before="0" w:after="0"/>
        <w:ind w:right="-801"/>
        <w:textAlignment w:val="auto"/>
        <w:rPr>
          <w:lang w:eastAsia="en-US"/>
        </w:rPr>
      </w:pPr>
      <w:bookmarkStart w:id="97" w:name="_Toc58330242"/>
      <w:r>
        <w:rPr>
          <w:lang w:eastAsia="en-US"/>
        </w:rPr>
        <w:t>Indemnizaciones compensatorias</w:t>
      </w:r>
      <w:bookmarkEnd w:id="97"/>
    </w:p>
    <w:p w14:paraId="6AA0E260" w14:textId="77777777" w:rsidR="00C5289C" w:rsidRDefault="00C5289C" w:rsidP="00B476ED">
      <w:pPr>
        <w:tabs>
          <w:tab w:val="left" w:pos="567"/>
        </w:tabs>
        <w:spacing w:line="240" w:lineRule="auto"/>
        <w:ind w:right="-801"/>
        <w:rPr>
          <w:sz w:val="20"/>
          <w:szCs w:val="20"/>
          <w:lang w:val="es-CO"/>
        </w:rPr>
      </w:pPr>
    </w:p>
    <w:p w14:paraId="391970DD" w14:textId="3EDB061B" w:rsidR="00C5289C" w:rsidRPr="00436314" w:rsidRDefault="00C5289C" w:rsidP="00B476ED">
      <w:pPr>
        <w:numPr>
          <w:ilvl w:val="0"/>
          <w:numId w:val="13"/>
        </w:numPr>
        <w:tabs>
          <w:tab w:val="left" w:pos="567"/>
        </w:tabs>
        <w:spacing w:line="240" w:lineRule="auto"/>
        <w:ind w:left="0" w:right="-801" w:firstLine="0"/>
        <w:rPr>
          <w:sz w:val="20"/>
          <w:szCs w:val="20"/>
          <w:lang w:val="es-CO"/>
        </w:rPr>
      </w:pPr>
      <w:r>
        <w:rPr>
          <w:sz w:val="20"/>
          <w:szCs w:val="20"/>
          <w:lang w:val="es-CO"/>
        </w:rPr>
        <w:t xml:space="preserve">La </w:t>
      </w:r>
      <w:r w:rsidRPr="0023259D">
        <w:rPr>
          <w:b/>
          <w:i/>
          <w:sz w:val="20"/>
          <w:szCs w:val="20"/>
          <w:lang w:val="es-CO"/>
        </w:rPr>
        <w:t>Comisión</w:t>
      </w:r>
      <w:r>
        <w:rPr>
          <w:sz w:val="20"/>
          <w:szCs w:val="20"/>
          <w:lang w:val="es-CO"/>
        </w:rPr>
        <w:t xml:space="preserve"> solicitó que se reparen integralmente las violaciones a derechos humanos en su aspecto material e inmaterial, mediante medidas de compensación económica.</w:t>
      </w:r>
    </w:p>
    <w:p w14:paraId="200BAF05" w14:textId="77777777" w:rsidR="00C5289C" w:rsidRPr="0023259D" w:rsidRDefault="00C5289C" w:rsidP="00B476ED">
      <w:pPr>
        <w:tabs>
          <w:tab w:val="left" w:pos="567"/>
        </w:tabs>
        <w:spacing w:line="240" w:lineRule="auto"/>
        <w:ind w:right="-801"/>
        <w:rPr>
          <w:sz w:val="20"/>
          <w:szCs w:val="20"/>
          <w:lang w:val="es-CO"/>
        </w:rPr>
      </w:pPr>
    </w:p>
    <w:p w14:paraId="7B461965" w14:textId="400F9FC1" w:rsidR="00C5289C" w:rsidRPr="005705FA" w:rsidRDefault="00C5289C" w:rsidP="00B476ED">
      <w:pPr>
        <w:widowControl/>
        <w:numPr>
          <w:ilvl w:val="0"/>
          <w:numId w:val="13"/>
        </w:numPr>
        <w:tabs>
          <w:tab w:val="left" w:pos="567"/>
        </w:tabs>
        <w:autoSpaceDE w:val="0"/>
        <w:autoSpaceDN w:val="0"/>
        <w:spacing w:line="240" w:lineRule="auto"/>
        <w:ind w:left="0" w:right="-801" w:firstLine="0"/>
        <w:textAlignment w:val="auto"/>
        <w:rPr>
          <w:sz w:val="20"/>
          <w:szCs w:val="20"/>
          <w:lang w:val="es-CO"/>
        </w:rPr>
      </w:pPr>
      <w:r w:rsidRPr="005705FA">
        <w:rPr>
          <w:sz w:val="20"/>
          <w:szCs w:val="20"/>
          <w:lang w:val="es-CO"/>
        </w:rPr>
        <w:t xml:space="preserve">Los </w:t>
      </w:r>
      <w:r w:rsidRPr="005705FA">
        <w:rPr>
          <w:b/>
          <w:i/>
          <w:sz w:val="20"/>
          <w:szCs w:val="20"/>
          <w:lang w:val="es-CO"/>
        </w:rPr>
        <w:t>representantes</w:t>
      </w:r>
      <w:r w:rsidRPr="005705FA">
        <w:rPr>
          <w:sz w:val="20"/>
          <w:szCs w:val="20"/>
          <w:lang w:val="es-CO"/>
        </w:rPr>
        <w:t xml:space="preserve"> requirieron que la Corte “</w:t>
      </w:r>
      <w:r w:rsidRPr="005705FA">
        <w:rPr>
          <w:rFonts w:eastAsiaTheme="minorHAnsi"/>
          <w:sz w:val="20"/>
          <w:szCs w:val="20"/>
          <w:lang w:eastAsia="en-US"/>
        </w:rPr>
        <w:t>ordene a Venezuela pagar a los familiares de las [v]</w:t>
      </w:r>
      <w:proofErr w:type="spellStart"/>
      <w:r w:rsidRPr="005705FA">
        <w:rPr>
          <w:rFonts w:eastAsiaTheme="minorHAnsi"/>
          <w:sz w:val="20"/>
          <w:szCs w:val="20"/>
          <w:lang w:eastAsia="en-US"/>
        </w:rPr>
        <w:t>íctimas</w:t>
      </w:r>
      <w:proofErr w:type="spellEnd"/>
      <w:r w:rsidRPr="005705FA">
        <w:rPr>
          <w:rFonts w:eastAsiaTheme="minorHAnsi"/>
          <w:sz w:val="20"/>
          <w:szCs w:val="20"/>
          <w:lang w:eastAsia="en-US"/>
        </w:rPr>
        <w:t xml:space="preserve"> una indemnización […] que repare los daños materiales y morales que han sufrido por la muerte de las [v]</w:t>
      </w:r>
      <w:proofErr w:type="spellStart"/>
      <w:r w:rsidRPr="005705FA">
        <w:rPr>
          <w:rFonts w:eastAsiaTheme="minorHAnsi"/>
          <w:sz w:val="20"/>
          <w:szCs w:val="20"/>
          <w:lang w:eastAsia="en-US"/>
        </w:rPr>
        <w:t>íctimas</w:t>
      </w:r>
      <w:proofErr w:type="spellEnd"/>
      <w:r w:rsidRPr="005705FA">
        <w:rPr>
          <w:rFonts w:eastAsiaTheme="minorHAnsi"/>
          <w:sz w:val="20"/>
          <w:szCs w:val="20"/>
          <w:lang w:eastAsia="en-US"/>
        </w:rPr>
        <w:t>”. Solicitaron que la Corte “fije en equidad el monto”, dada “la dificultad para aportar el monto exacto de los daños”</w:t>
      </w:r>
      <w:r w:rsidRPr="005705FA">
        <w:rPr>
          <w:rStyle w:val="Refdenotaalpie"/>
          <w:rFonts w:eastAsiaTheme="minorHAnsi"/>
          <w:sz w:val="20"/>
          <w:szCs w:val="20"/>
          <w:lang w:eastAsia="en-US"/>
        </w:rPr>
        <w:footnoteReference w:id="156"/>
      </w:r>
      <w:r w:rsidRPr="005705FA">
        <w:rPr>
          <w:rFonts w:eastAsiaTheme="minorHAnsi"/>
          <w:sz w:val="20"/>
          <w:szCs w:val="20"/>
          <w:lang w:eastAsia="en-US"/>
        </w:rPr>
        <w:t>.</w:t>
      </w:r>
    </w:p>
    <w:p w14:paraId="4B493BF1" w14:textId="77777777" w:rsidR="00C5289C" w:rsidRDefault="00C5289C" w:rsidP="00B476ED">
      <w:pPr>
        <w:pStyle w:val="Prrafodelista"/>
        <w:spacing w:line="240" w:lineRule="auto"/>
        <w:ind w:right="-801"/>
        <w:rPr>
          <w:sz w:val="20"/>
          <w:szCs w:val="20"/>
          <w:lang w:val="es-CO"/>
        </w:rPr>
      </w:pPr>
    </w:p>
    <w:p w14:paraId="538D56F4" w14:textId="12FF6143" w:rsidR="00C5289C" w:rsidRPr="00887F86" w:rsidRDefault="00C5289C" w:rsidP="00B476ED">
      <w:pPr>
        <w:widowControl/>
        <w:numPr>
          <w:ilvl w:val="0"/>
          <w:numId w:val="13"/>
        </w:numPr>
        <w:tabs>
          <w:tab w:val="left" w:pos="567"/>
        </w:tabs>
        <w:autoSpaceDE w:val="0"/>
        <w:autoSpaceDN w:val="0"/>
        <w:spacing w:line="240" w:lineRule="auto"/>
        <w:ind w:left="0" w:right="-801" w:firstLine="0"/>
        <w:textAlignment w:val="auto"/>
        <w:rPr>
          <w:sz w:val="20"/>
          <w:szCs w:val="20"/>
          <w:lang w:val="es-CO"/>
        </w:rPr>
      </w:pPr>
      <w:r>
        <w:rPr>
          <w:sz w:val="20"/>
          <w:szCs w:val="20"/>
          <w:lang w:val="es-CO"/>
        </w:rPr>
        <w:t xml:space="preserve">El </w:t>
      </w:r>
      <w:r w:rsidRPr="00E80D6E">
        <w:rPr>
          <w:b/>
          <w:i/>
          <w:sz w:val="20"/>
          <w:szCs w:val="20"/>
          <w:lang w:val="es-CO"/>
        </w:rPr>
        <w:t>Estado</w:t>
      </w:r>
      <w:r>
        <w:rPr>
          <w:sz w:val="20"/>
          <w:szCs w:val="20"/>
          <w:lang w:val="es-CO"/>
        </w:rPr>
        <w:t xml:space="preserve"> no se refirió a esta solicitud</w:t>
      </w:r>
      <w:r w:rsidR="006E50F2">
        <w:rPr>
          <w:sz w:val="20"/>
          <w:szCs w:val="20"/>
          <w:lang w:val="es-CO"/>
        </w:rPr>
        <w:t>.</w:t>
      </w:r>
    </w:p>
    <w:p w14:paraId="704DB6A3" w14:textId="77777777" w:rsidR="00C5289C" w:rsidRDefault="00C5289C" w:rsidP="00B476ED">
      <w:pPr>
        <w:pStyle w:val="Prrafodelista"/>
        <w:spacing w:line="240" w:lineRule="auto"/>
        <w:ind w:right="-801"/>
        <w:rPr>
          <w:sz w:val="20"/>
          <w:szCs w:val="20"/>
          <w:lang w:val="es-CO"/>
        </w:rPr>
      </w:pPr>
    </w:p>
    <w:p w14:paraId="70648FE9" w14:textId="0F58FB6F" w:rsidR="00C5289C" w:rsidRPr="00C5045C" w:rsidRDefault="00C5289C" w:rsidP="00B476ED">
      <w:pPr>
        <w:widowControl/>
        <w:numPr>
          <w:ilvl w:val="0"/>
          <w:numId w:val="13"/>
        </w:numPr>
        <w:tabs>
          <w:tab w:val="left" w:pos="567"/>
        </w:tabs>
        <w:autoSpaceDE w:val="0"/>
        <w:autoSpaceDN w:val="0"/>
        <w:spacing w:line="240" w:lineRule="auto"/>
        <w:ind w:left="0" w:right="-801" w:firstLine="0"/>
        <w:textAlignment w:val="auto"/>
        <w:rPr>
          <w:sz w:val="20"/>
          <w:szCs w:val="20"/>
          <w:lang w:val="es-CO"/>
        </w:rPr>
      </w:pPr>
      <w:r w:rsidRPr="00C5045C">
        <w:rPr>
          <w:sz w:val="20"/>
          <w:szCs w:val="20"/>
          <w:lang w:val="es-CO"/>
        </w:rPr>
        <w:t xml:space="preserve">La </w:t>
      </w:r>
      <w:r w:rsidRPr="00C5045C">
        <w:rPr>
          <w:b/>
          <w:i/>
          <w:sz w:val="20"/>
          <w:szCs w:val="20"/>
          <w:lang w:val="es-CO"/>
        </w:rPr>
        <w:t>Corte</w:t>
      </w:r>
      <w:r w:rsidRPr="00C5045C">
        <w:rPr>
          <w:sz w:val="20"/>
          <w:szCs w:val="20"/>
          <w:lang w:val="es-CO"/>
        </w:rPr>
        <w:t xml:space="preserve"> ha desarrollado en su jurisprudencia que el daño material supone la </w:t>
      </w:r>
      <w:r w:rsidRPr="0042171C">
        <w:rPr>
          <w:sz w:val="20"/>
          <w:szCs w:val="20"/>
          <w:lang w:val="es-CO"/>
        </w:rPr>
        <w:t>pérdida o detrimento de los ingresos de las víctimas, los gastos efectuados con motivo de los hechos y las consecuencias de carácter pecuniario que tengan un nexo causal con los hechos del caso</w:t>
      </w:r>
      <w:r w:rsidRPr="005705FA">
        <w:rPr>
          <w:rStyle w:val="Refdenotaalpie"/>
          <w:rFonts w:eastAsia="MS Mincho"/>
          <w:sz w:val="20"/>
          <w:szCs w:val="20"/>
          <w:lang w:eastAsia="es-ES_tradnl"/>
        </w:rPr>
        <w:footnoteReference w:id="157"/>
      </w:r>
      <w:r w:rsidRPr="0042171C">
        <w:rPr>
          <w:sz w:val="20"/>
          <w:szCs w:val="20"/>
          <w:lang w:val="es-CO"/>
        </w:rPr>
        <w:t>.</w:t>
      </w:r>
      <w:r w:rsidR="00D10690">
        <w:rPr>
          <w:sz w:val="20"/>
          <w:szCs w:val="20"/>
          <w:lang w:val="es-CO"/>
        </w:rPr>
        <w:t xml:space="preserve"> </w:t>
      </w:r>
      <w:r w:rsidRPr="0042171C">
        <w:rPr>
          <w:sz w:val="20"/>
          <w:szCs w:val="20"/>
          <w:lang w:val="es-CO"/>
        </w:rPr>
        <w:t xml:space="preserve">Asimismo, </w:t>
      </w:r>
      <w:r w:rsidRPr="0042171C">
        <w:rPr>
          <w:sz w:val="20"/>
          <w:szCs w:val="20"/>
        </w:rPr>
        <w:t xml:space="preserve">ha desarrollado en su jurisprudencia el concepto de daño inmaterial, y ha establecido que este puede comprender tanto los sufrimientos y las aflicciones causados a </w:t>
      </w:r>
      <w:r w:rsidRPr="005705FA">
        <w:rPr>
          <w:sz w:val="20"/>
          <w:szCs w:val="20"/>
        </w:rPr>
        <w:t>la víctima directa y a sus allegados, como el menoscabo de valores muy significativos para las personas, así como las alteraciones, de carácter no pecuniario, en las condiciones de existencia de la víctima o su familia</w:t>
      </w:r>
      <w:r w:rsidRPr="005705FA">
        <w:rPr>
          <w:rStyle w:val="Refdenotaalpie"/>
          <w:rFonts w:eastAsia="MS Mincho"/>
          <w:sz w:val="20"/>
          <w:szCs w:val="20"/>
        </w:rPr>
        <w:footnoteReference w:id="158"/>
      </w:r>
      <w:r w:rsidRPr="005705FA">
        <w:rPr>
          <w:sz w:val="20"/>
          <w:szCs w:val="20"/>
        </w:rPr>
        <w:t>.</w:t>
      </w:r>
    </w:p>
    <w:p w14:paraId="5CF1D1DB" w14:textId="77777777" w:rsidR="00C5289C" w:rsidRDefault="00C5289C" w:rsidP="00B476ED">
      <w:pPr>
        <w:pStyle w:val="Prrafodelista"/>
        <w:spacing w:line="240" w:lineRule="auto"/>
        <w:ind w:right="-801"/>
        <w:rPr>
          <w:sz w:val="20"/>
          <w:szCs w:val="20"/>
          <w:lang w:val="es-CO"/>
        </w:rPr>
      </w:pPr>
    </w:p>
    <w:p w14:paraId="440CB445" w14:textId="52DD06A9" w:rsidR="00C5289C" w:rsidRDefault="00C5289C" w:rsidP="00B476ED">
      <w:pPr>
        <w:widowControl/>
        <w:numPr>
          <w:ilvl w:val="0"/>
          <w:numId w:val="13"/>
        </w:numPr>
        <w:tabs>
          <w:tab w:val="left" w:pos="567"/>
        </w:tabs>
        <w:autoSpaceDE w:val="0"/>
        <w:autoSpaceDN w:val="0"/>
        <w:spacing w:line="240" w:lineRule="auto"/>
        <w:ind w:left="0" w:right="-801" w:firstLine="0"/>
        <w:textAlignment w:val="auto"/>
        <w:rPr>
          <w:sz w:val="20"/>
          <w:szCs w:val="20"/>
          <w:lang w:val="es-CO"/>
        </w:rPr>
      </w:pPr>
      <w:r>
        <w:rPr>
          <w:sz w:val="20"/>
          <w:szCs w:val="20"/>
          <w:lang w:val="es-CO"/>
        </w:rPr>
        <w:t xml:space="preserve">La Corte advierte que los representantes no han requerido montos específicos ni han señalado elementos concretos para evaluar los daños sufridos. No obstante, este Tribunal entiende que, dada la naturaleza de los hechos y violaciones determinados en la presente Sentencia, las víctimas han sufrido daños materiales e inmateriales que deben ser compensados. Por ello, determina, en equidad, </w:t>
      </w:r>
      <w:r w:rsidRPr="0019228E">
        <w:rPr>
          <w:sz w:val="20"/>
          <w:szCs w:val="20"/>
          <w:lang w:val="es-CO"/>
        </w:rPr>
        <w:t>como compensación</w:t>
      </w:r>
      <w:r w:rsidR="005705FA">
        <w:rPr>
          <w:sz w:val="20"/>
          <w:szCs w:val="20"/>
          <w:lang w:val="es-CO"/>
        </w:rPr>
        <w:t xml:space="preserve">, a fin de reparar en forma unificada o conjunta </w:t>
      </w:r>
      <w:r w:rsidRPr="0019228E">
        <w:rPr>
          <w:sz w:val="20"/>
          <w:szCs w:val="20"/>
          <w:lang w:val="es-CO"/>
        </w:rPr>
        <w:t xml:space="preserve">los daños materiales </w:t>
      </w:r>
      <w:r w:rsidR="005705FA">
        <w:rPr>
          <w:sz w:val="20"/>
          <w:szCs w:val="20"/>
          <w:lang w:val="es-CO"/>
        </w:rPr>
        <w:t>y los i</w:t>
      </w:r>
      <w:r w:rsidRPr="0019228E">
        <w:rPr>
          <w:sz w:val="20"/>
          <w:szCs w:val="20"/>
          <w:lang w:val="es-CO"/>
        </w:rPr>
        <w:t>nmateriales,</w:t>
      </w:r>
      <w:r>
        <w:rPr>
          <w:sz w:val="20"/>
          <w:szCs w:val="20"/>
          <w:lang w:val="es-CO"/>
        </w:rPr>
        <w:t xml:space="preserve"> los siguientes montos dinerarios, a favor de cada una de las víctimas, </w:t>
      </w:r>
      <w:proofErr w:type="gramStart"/>
      <w:r>
        <w:rPr>
          <w:sz w:val="20"/>
          <w:szCs w:val="20"/>
          <w:lang w:val="es-CO"/>
        </w:rPr>
        <w:t>de acuerdo a</w:t>
      </w:r>
      <w:proofErr w:type="gramEnd"/>
      <w:r>
        <w:rPr>
          <w:sz w:val="20"/>
          <w:szCs w:val="20"/>
          <w:lang w:val="es-CO"/>
        </w:rPr>
        <w:t xml:space="preserve"> lo que se indica a continuación: </w:t>
      </w:r>
    </w:p>
    <w:p w14:paraId="366CA29E" w14:textId="77777777" w:rsidR="00C5289C" w:rsidRDefault="00C5289C" w:rsidP="00B476ED">
      <w:pPr>
        <w:widowControl/>
        <w:tabs>
          <w:tab w:val="left" w:pos="567"/>
        </w:tabs>
        <w:autoSpaceDE w:val="0"/>
        <w:autoSpaceDN w:val="0"/>
        <w:spacing w:line="240" w:lineRule="auto"/>
        <w:ind w:left="142" w:right="-801"/>
        <w:textAlignment w:val="auto"/>
        <w:rPr>
          <w:sz w:val="20"/>
          <w:szCs w:val="20"/>
          <w:lang w:val="es-CO"/>
        </w:rPr>
      </w:pPr>
    </w:p>
    <w:p w14:paraId="00A7624A" w14:textId="0578A136" w:rsidR="00C5289C" w:rsidRDefault="00C5289C" w:rsidP="00B476ED">
      <w:pPr>
        <w:pStyle w:val="Prrafodelista"/>
        <w:numPr>
          <w:ilvl w:val="0"/>
          <w:numId w:val="10"/>
        </w:numPr>
        <w:tabs>
          <w:tab w:val="left" w:pos="709"/>
        </w:tabs>
        <w:spacing w:line="240" w:lineRule="auto"/>
        <w:ind w:left="142" w:right="-801" w:firstLine="0"/>
        <w:rPr>
          <w:sz w:val="20"/>
          <w:szCs w:val="20"/>
          <w:lang w:val="es-CO"/>
        </w:rPr>
      </w:pPr>
      <w:r>
        <w:rPr>
          <w:sz w:val="20"/>
          <w:szCs w:val="20"/>
          <w:lang w:val="es-CO"/>
        </w:rPr>
        <w:t xml:space="preserve">José Gregorio Mota </w:t>
      </w:r>
      <w:proofErr w:type="spellStart"/>
      <w:r>
        <w:rPr>
          <w:sz w:val="20"/>
          <w:szCs w:val="20"/>
          <w:lang w:val="es-CO"/>
        </w:rPr>
        <w:t>Abarullo</w:t>
      </w:r>
      <w:proofErr w:type="spellEnd"/>
      <w:r>
        <w:rPr>
          <w:sz w:val="20"/>
          <w:szCs w:val="20"/>
          <w:lang w:val="es-CO"/>
        </w:rPr>
        <w:t>: US$ 160.000,00 (ciento sesenta mil dólares de los Estados Unidos de América)</w:t>
      </w:r>
      <w:r w:rsidR="002A6CE2">
        <w:rPr>
          <w:sz w:val="20"/>
          <w:szCs w:val="20"/>
          <w:lang w:val="es-CO"/>
        </w:rPr>
        <w:t>;</w:t>
      </w:r>
    </w:p>
    <w:p w14:paraId="30727106" w14:textId="62B1D087" w:rsidR="00C5289C" w:rsidRDefault="00C5289C" w:rsidP="00B476ED">
      <w:pPr>
        <w:pStyle w:val="Prrafodelista"/>
        <w:numPr>
          <w:ilvl w:val="0"/>
          <w:numId w:val="10"/>
        </w:numPr>
        <w:tabs>
          <w:tab w:val="left" w:pos="709"/>
        </w:tabs>
        <w:spacing w:line="240" w:lineRule="auto"/>
        <w:ind w:left="142" w:right="-801" w:firstLine="0"/>
        <w:rPr>
          <w:sz w:val="20"/>
          <w:szCs w:val="20"/>
          <w:lang w:val="es-CO"/>
        </w:rPr>
      </w:pPr>
      <w:r>
        <w:rPr>
          <w:sz w:val="20"/>
          <w:szCs w:val="20"/>
          <w:lang w:val="es-CO"/>
        </w:rPr>
        <w:t>Rafael Antonio Parra Herrera: US$ 160.000,00 (ciento sesenta mil dólares de los Estados Unidos de América)</w:t>
      </w:r>
      <w:r w:rsidR="002A6CE2">
        <w:rPr>
          <w:sz w:val="20"/>
          <w:szCs w:val="20"/>
          <w:lang w:val="es-CO"/>
        </w:rPr>
        <w:t>;</w:t>
      </w:r>
    </w:p>
    <w:p w14:paraId="3166B93D" w14:textId="263BCB35" w:rsidR="00C5289C" w:rsidRDefault="00C5289C" w:rsidP="00B476ED">
      <w:pPr>
        <w:pStyle w:val="Prrafodelista"/>
        <w:numPr>
          <w:ilvl w:val="0"/>
          <w:numId w:val="10"/>
        </w:numPr>
        <w:tabs>
          <w:tab w:val="left" w:pos="709"/>
        </w:tabs>
        <w:spacing w:line="240" w:lineRule="auto"/>
        <w:ind w:left="142" w:right="-801" w:firstLine="0"/>
        <w:rPr>
          <w:sz w:val="20"/>
          <w:szCs w:val="20"/>
          <w:lang w:val="es-CO"/>
        </w:rPr>
      </w:pPr>
      <w:r>
        <w:rPr>
          <w:sz w:val="20"/>
          <w:szCs w:val="20"/>
          <w:lang w:val="es-CO"/>
        </w:rPr>
        <w:t>Johan José Correa: US$ 160.000,00 (ciento sesenta mil dólares de los Estados Unidos de América)</w:t>
      </w:r>
      <w:r w:rsidR="002A6CE2">
        <w:rPr>
          <w:sz w:val="20"/>
          <w:szCs w:val="20"/>
          <w:lang w:val="es-CO"/>
        </w:rPr>
        <w:t>;</w:t>
      </w:r>
    </w:p>
    <w:p w14:paraId="4CDD3822" w14:textId="1B5C5692" w:rsidR="00C5289C" w:rsidRDefault="00C5289C" w:rsidP="00B476ED">
      <w:pPr>
        <w:pStyle w:val="Prrafodelista"/>
        <w:numPr>
          <w:ilvl w:val="0"/>
          <w:numId w:val="10"/>
        </w:numPr>
        <w:tabs>
          <w:tab w:val="left" w:pos="709"/>
        </w:tabs>
        <w:spacing w:line="240" w:lineRule="auto"/>
        <w:ind w:left="142" w:right="-801" w:firstLine="0"/>
        <w:rPr>
          <w:sz w:val="20"/>
          <w:szCs w:val="20"/>
          <w:lang w:val="es-CO"/>
        </w:rPr>
      </w:pPr>
      <w:r>
        <w:rPr>
          <w:sz w:val="20"/>
          <w:szCs w:val="20"/>
          <w:lang w:val="es-CO"/>
        </w:rPr>
        <w:t>Gabriel de Jesús Yáñez Sánchez: US$ 160.000,00 (ciento sesenta mil dólares de los Estados Unidos de América)</w:t>
      </w:r>
      <w:r w:rsidR="002A6CE2">
        <w:rPr>
          <w:sz w:val="20"/>
          <w:szCs w:val="20"/>
          <w:lang w:val="es-CO"/>
        </w:rPr>
        <w:t>;</w:t>
      </w:r>
    </w:p>
    <w:p w14:paraId="5DBF3FD0" w14:textId="65ED3197" w:rsidR="00C5289C" w:rsidRDefault="00C5289C" w:rsidP="00B476ED">
      <w:pPr>
        <w:pStyle w:val="Prrafodelista"/>
        <w:numPr>
          <w:ilvl w:val="0"/>
          <w:numId w:val="10"/>
        </w:numPr>
        <w:tabs>
          <w:tab w:val="left" w:pos="709"/>
        </w:tabs>
        <w:spacing w:line="240" w:lineRule="auto"/>
        <w:ind w:left="142" w:right="-801" w:firstLine="0"/>
        <w:rPr>
          <w:sz w:val="20"/>
          <w:szCs w:val="20"/>
          <w:lang w:val="es-CO"/>
        </w:rPr>
      </w:pPr>
      <w:r>
        <w:rPr>
          <w:sz w:val="20"/>
          <w:szCs w:val="20"/>
          <w:lang w:val="es-CO"/>
        </w:rPr>
        <w:t>Cristian Arnaldo Molina Córdova: US$ 160.000,00 (ciento sesenta mil dólares de los Estados Unidos de América)</w:t>
      </w:r>
      <w:r w:rsidR="002A6CE2">
        <w:rPr>
          <w:sz w:val="20"/>
          <w:szCs w:val="20"/>
          <w:lang w:val="es-CO"/>
        </w:rPr>
        <w:t>;</w:t>
      </w:r>
    </w:p>
    <w:p w14:paraId="0CFFED6D" w14:textId="5F3272D7" w:rsidR="00C5289C" w:rsidRPr="00444778" w:rsidRDefault="00C5289C" w:rsidP="00B476ED">
      <w:pPr>
        <w:pStyle w:val="Prrafodelista"/>
        <w:numPr>
          <w:ilvl w:val="0"/>
          <w:numId w:val="10"/>
        </w:numPr>
        <w:tabs>
          <w:tab w:val="left" w:pos="709"/>
        </w:tabs>
        <w:spacing w:line="240" w:lineRule="auto"/>
        <w:ind w:left="142" w:right="-801" w:firstLine="0"/>
        <w:rPr>
          <w:sz w:val="20"/>
          <w:szCs w:val="20"/>
          <w:lang w:val="es-CO"/>
        </w:rPr>
      </w:pPr>
      <w:r w:rsidRPr="00444778">
        <w:rPr>
          <w:sz w:val="20"/>
          <w:lang w:val="es-MX"/>
        </w:rPr>
        <w:t xml:space="preserve">Elvia </w:t>
      </w:r>
      <w:proofErr w:type="spellStart"/>
      <w:r w:rsidRPr="00444778">
        <w:rPr>
          <w:sz w:val="20"/>
          <w:lang w:val="es-MX"/>
        </w:rPr>
        <w:t>Abarullo</w:t>
      </w:r>
      <w:proofErr w:type="spellEnd"/>
      <w:r w:rsidRPr="00444778">
        <w:rPr>
          <w:sz w:val="20"/>
          <w:lang w:val="es-MX"/>
        </w:rPr>
        <w:t xml:space="preserve"> de Mota</w:t>
      </w:r>
      <w:r>
        <w:rPr>
          <w:sz w:val="20"/>
          <w:lang w:val="es-MX"/>
        </w:rPr>
        <w:t xml:space="preserve"> </w:t>
      </w:r>
      <w:r w:rsidR="005705FA">
        <w:rPr>
          <w:sz w:val="20"/>
          <w:lang w:val="es-MX"/>
        </w:rPr>
        <w:t>(</w:t>
      </w:r>
      <w:r>
        <w:rPr>
          <w:sz w:val="20"/>
          <w:lang w:val="es-MX"/>
        </w:rPr>
        <w:t>madre de José Mota</w:t>
      </w:r>
      <w:r w:rsidR="005705FA">
        <w:rPr>
          <w:sz w:val="20"/>
          <w:lang w:val="es-MX"/>
        </w:rPr>
        <w:t>)</w:t>
      </w:r>
      <w:r>
        <w:rPr>
          <w:sz w:val="20"/>
          <w:lang w:val="es-MX"/>
        </w:rPr>
        <w:t>: US$</w:t>
      </w:r>
      <w:r w:rsidR="00D10690">
        <w:rPr>
          <w:sz w:val="20"/>
          <w:lang w:val="es-MX"/>
        </w:rPr>
        <w:t xml:space="preserve"> </w:t>
      </w:r>
      <w:r>
        <w:rPr>
          <w:sz w:val="20"/>
          <w:lang w:val="es-MX"/>
        </w:rPr>
        <w:t>30.000,00 (treinta mil dólares de los Estados Unidos de América)</w:t>
      </w:r>
      <w:r w:rsidR="002A6CE2">
        <w:rPr>
          <w:sz w:val="20"/>
          <w:lang w:val="es-MX"/>
        </w:rPr>
        <w:t>;</w:t>
      </w:r>
    </w:p>
    <w:p w14:paraId="5144206D" w14:textId="210E6FB8" w:rsidR="00C5289C" w:rsidRPr="00444778" w:rsidRDefault="002A6CE2" w:rsidP="00B476ED">
      <w:pPr>
        <w:pStyle w:val="Prrafodelista"/>
        <w:numPr>
          <w:ilvl w:val="0"/>
          <w:numId w:val="10"/>
        </w:numPr>
        <w:tabs>
          <w:tab w:val="left" w:pos="709"/>
        </w:tabs>
        <w:spacing w:line="240" w:lineRule="auto"/>
        <w:ind w:left="142" w:right="-801" w:firstLine="0"/>
        <w:rPr>
          <w:sz w:val="20"/>
          <w:szCs w:val="20"/>
          <w:lang w:val="es-CO"/>
        </w:rPr>
      </w:pPr>
      <w:r>
        <w:rPr>
          <w:sz w:val="20"/>
          <w:lang w:val="es-MX"/>
        </w:rPr>
        <w:t>Félix Enríquez Mota (</w:t>
      </w:r>
      <w:r w:rsidR="00C5289C">
        <w:rPr>
          <w:sz w:val="20"/>
          <w:lang w:val="es-MX"/>
        </w:rPr>
        <w:t>padre de José Mota</w:t>
      </w:r>
      <w:r>
        <w:rPr>
          <w:sz w:val="20"/>
          <w:lang w:val="es-MX"/>
        </w:rPr>
        <w:t>)</w:t>
      </w:r>
      <w:r w:rsidR="00C5289C">
        <w:rPr>
          <w:sz w:val="20"/>
          <w:lang w:val="es-MX"/>
        </w:rPr>
        <w:t>:</w:t>
      </w:r>
      <w:r w:rsidR="00C5289C" w:rsidRPr="003005A0">
        <w:rPr>
          <w:sz w:val="20"/>
          <w:lang w:val="es-MX"/>
        </w:rPr>
        <w:t xml:space="preserve"> </w:t>
      </w:r>
      <w:r w:rsidR="00C5289C">
        <w:rPr>
          <w:sz w:val="20"/>
          <w:lang w:val="es-MX"/>
        </w:rPr>
        <w:t>US$ 30.000,00 (treinta mil dólares de los Estados Unidos de América)</w:t>
      </w:r>
      <w:r>
        <w:rPr>
          <w:sz w:val="20"/>
          <w:lang w:val="es-MX"/>
        </w:rPr>
        <w:t>;</w:t>
      </w:r>
    </w:p>
    <w:p w14:paraId="3D9CC76B" w14:textId="0BCE5AE2" w:rsidR="00C5289C" w:rsidRPr="003005A0" w:rsidRDefault="00C5289C" w:rsidP="00B476ED">
      <w:pPr>
        <w:pStyle w:val="Prrafodelista"/>
        <w:numPr>
          <w:ilvl w:val="0"/>
          <w:numId w:val="10"/>
        </w:numPr>
        <w:tabs>
          <w:tab w:val="left" w:pos="709"/>
        </w:tabs>
        <w:spacing w:line="240" w:lineRule="auto"/>
        <w:ind w:left="142" w:right="-801" w:firstLine="0"/>
        <w:rPr>
          <w:sz w:val="20"/>
          <w:szCs w:val="20"/>
          <w:lang w:val="es-CO"/>
        </w:rPr>
      </w:pPr>
      <w:proofErr w:type="spellStart"/>
      <w:r w:rsidRPr="00444778">
        <w:rPr>
          <w:sz w:val="20"/>
          <w:lang w:val="es-MX"/>
        </w:rPr>
        <w:t>Osmely</w:t>
      </w:r>
      <w:proofErr w:type="spellEnd"/>
      <w:r w:rsidRPr="00444778">
        <w:rPr>
          <w:sz w:val="20"/>
          <w:lang w:val="es-MX"/>
        </w:rPr>
        <w:t xml:space="preserve"> Angelina Mota </w:t>
      </w:r>
      <w:proofErr w:type="spellStart"/>
      <w:r w:rsidRPr="00444778">
        <w:rPr>
          <w:sz w:val="20"/>
          <w:lang w:val="es-MX"/>
        </w:rPr>
        <w:t>Abarullo</w:t>
      </w:r>
      <w:proofErr w:type="spellEnd"/>
      <w:r>
        <w:rPr>
          <w:sz w:val="20"/>
          <w:lang w:val="es-MX"/>
        </w:rPr>
        <w:t xml:space="preserve"> </w:t>
      </w:r>
      <w:r w:rsidR="002A6CE2">
        <w:rPr>
          <w:sz w:val="20"/>
          <w:lang w:val="es-MX"/>
        </w:rPr>
        <w:t>(</w:t>
      </w:r>
      <w:r>
        <w:rPr>
          <w:sz w:val="20"/>
          <w:lang w:val="es-MX"/>
        </w:rPr>
        <w:t>hermana de José Mota</w:t>
      </w:r>
      <w:r w:rsidR="002A6CE2">
        <w:rPr>
          <w:sz w:val="20"/>
          <w:lang w:val="es-MX"/>
        </w:rPr>
        <w:t>)</w:t>
      </w:r>
      <w:r>
        <w:rPr>
          <w:sz w:val="20"/>
          <w:lang w:val="es-MX"/>
        </w:rPr>
        <w:t>:</w:t>
      </w:r>
      <w:r w:rsidRPr="00444778">
        <w:rPr>
          <w:sz w:val="20"/>
          <w:lang w:val="es-MX"/>
        </w:rPr>
        <w:t xml:space="preserve"> </w:t>
      </w:r>
      <w:r>
        <w:rPr>
          <w:sz w:val="20"/>
          <w:lang w:val="es-MX"/>
        </w:rPr>
        <w:t>US$ 10.000,00 (diez mil dólares de los Estados Unidos de América)</w:t>
      </w:r>
      <w:r w:rsidR="002A6CE2">
        <w:rPr>
          <w:sz w:val="20"/>
          <w:lang w:val="es-MX"/>
        </w:rPr>
        <w:t>;</w:t>
      </w:r>
    </w:p>
    <w:p w14:paraId="429B3B33" w14:textId="3A81E717" w:rsidR="00C5289C" w:rsidRPr="003005A0" w:rsidRDefault="00C5289C" w:rsidP="00B476ED">
      <w:pPr>
        <w:pStyle w:val="Prrafodelista"/>
        <w:numPr>
          <w:ilvl w:val="0"/>
          <w:numId w:val="10"/>
        </w:numPr>
        <w:tabs>
          <w:tab w:val="left" w:pos="709"/>
        </w:tabs>
        <w:spacing w:line="240" w:lineRule="auto"/>
        <w:ind w:left="142" w:right="-801" w:firstLine="0"/>
        <w:rPr>
          <w:sz w:val="20"/>
          <w:szCs w:val="20"/>
          <w:lang w:val="es-CO"/>
        </w:rPr>
      </w:pPr>
      <w:r w:rsidRPr="00444778">
        <w:rPr>
          <w:sz w:val="20"/>
          <w:lang w:val="es-MX"/>
        </w:rPr>
        <w:t>Myriam Josefina Herrera Sánchez</w:t>
      </w:r>
      <w:r>
        <w:rPr>
          <w:sz w:val="20"/>
          <w:lang w:val="es-MX"/>
        </w:rPr>
        <w:t xml:space="preserve"> </w:t>
      </w:r>
      <w:r w:rsidR="002A6CE2">
        <w:rPr>
          <w:sz w:val="20"/>
          <w:lang w:val="es-MX"/>
        </w:rPr>
        <w:t>(</w:t>
      </w:r>
      <w:r>
        <w:rPr>
          <w:sz w:val="20"/>
          <w:lang w:val="es-MX"/>
        </w:rPr>
        <w:t>abuela de Rafael Parra</w:t>
      </w:r>
      <w:r w:rsidR="002A6CE2">
        <w:rPr>
          <w:sz w:val="20"/>
          <w:lang w:val="es-MX"/>
        </w:rPr>
        <w:t>)</w:t>
      </w:r>
      <w:r>
        <w:rPr>
          <w:sz w:val="20"/>
          <w:lang w:val="es-MX"/>
        </w:rPr>
        <w:t>:</w:t>
      </w:r>
      <w:r w:rsidRPr="00444778">
        <w:rPr>
          <w:sz w:val="20"/>
          <w:lang w:val="es-MX"/>
        </w:rPr>
        <w:t xml:space="preserve"> </w:t>
      </w:r>
      <w:r>
        <w:rPr>
          <w:sz w:val="20"/>
          <w:lang w:val="es-MX"/>
        </w:rPr>
        <w:t>US$ 25.000,00 (veinticinco mil dólares de los Estados Unidos de América)</w:t>
      </w:r>
      <w:r w:rsidR="002A6CE2">
        <w:rPr>
          <w:sz w:val="20"/>
          <w:lang w:val="es-MX"/>
        </w:rPr>
        <w:t>;</w:t>
      </w:r>
    </w:p>
    <w:p w14:paraId="583AD982" w14:textId="453BDCFA" w:rsidR="00C5289C" w:rsidRPr="003005A0" w:rsidRDefault="00C5289C" w:rsidP="00B476ED">
      <w:pPr>
        <w:pStyle w:val="Prrafodelista"/>
        <w:numPr>
          <w:ilvl w:val="0"/>
          <w:numId w:val="10"/>
        </w:numPr>
        <w:tabs>
          <w:tab w:val="left" w:pos="709"/>
        </w:tabs>
        <w:spacing w:line="240" w:lineRule="auto"/>
        <w:ind w:left="142" w:right="-801" w:firstLine="0"/>
        <w:rPr>
          <w:sz w:val="20"/>
          <w:szCs w:val="20"/>
          <w:lang w:val="es-CO"/>
        </w:rPr>
      </w:pPr>
      <w:r w:rsidRPr="00444778">
        <w:rPr>
          <w:sz w:val="20"/>
          <w:lang w:val="es-MX"/>
        </w:rPr>
        <w:t xml:space="preserve">Jesús Juvenal Herrera Sánchez </w:t>
      </w:r>
      <w:r w:rsidR="002A6CE2">
        <w:rPr>
          <w:sz w:val="20"/>
          <w:lang w:val="es-MX"/>
        </w:rPr>
        <w:t>(</w:t>
      </w:r>
      <w:r w:rsidRPr="00444778">
        <w:rPr>
          <w:sz w:val="20"/>
          <w:lang w:val="es-MX"/>
        </w:rPr>
        <w:t>tío de Rafael Parra</w:t>
      </w:r>
      <w:r w:rsidR="002A6CE2">
        <w:rPr>
          <w:sz w:val="20"/>
          <w:lang w:val="es-MX"/>
        </w:rPr>
        <w:t>)</w:t>
      </w:r>
      <w:r>
        <w:rPr>
          <w:sz w:val="20"/>
          <w:lang w:val="es-MX"/>
        </w:rPr>
        <w:t>: US$ 5.000,00 (cinco mil dólares de los Estados Unidos de América)</w:t>
      </w:r>
      <w:r w:rsidR="002A6CE2">
        <w:rPr>
          <w:sz w:val="20"/>
          <w:lang w:val="es-MX"/>
        </w:rPr>
        <w:t>;</w:t>
      </w:r>
    </w:p>
    <w:p w14:paraId="64B74317" w14:textId="373BE5BA" w:rsidR="00C5289C" w:rsidRPr="00F45C3C" w:rsidRDefault="002A6CE2" w:rsidP="00B476ED">
      <w:pPr>
        <w:pStyle w:val="Prrafodelista"/>
        <w:numPr>
          <w:ilvl w:val="0"/>
          <w:numId w:val="10"/>
        </w:numPr>
        <w:tabs>
          <w:tab w:val="left" w:pos="709"/>
        </w:tabs>
        <w:spacing w:line="240" w:lineRule="auto"/>
        <w:ind w:left="142" w:right="-801" w:firstLine="0"/>
        <w:rPr>
          <w:sz w:val="20"/>
          <w:szCs w:val="20"/>
          <w:lang w:val="es-CO"/>
        </w:rPr>
      </w:pPr>
      <w:proofErr w:type="spellStart"/>
      <w:r>
        <w:rPr>
          <w:sz w:val="20"/>
          <w:lang w:val="es-MX"/>
        </w:rPr>
        <w:t>Nelys</w:t>
      </w:r>
      <w:proofErr w:type="spellEnd"/>
      <w:r>
        <w:rPr>
          <w:sz w:val="20"/>
          <w:lang w:val="es-MX"/>
        </w:rPr>
        <w:t xml:space="preserve"> Margarita Correa (</w:t>
      </w:r>
      <w:r w:rsidR="00C5289C" w:rsidRPr="00F45C3C">
        <w:rPr>
          <w:sz w:val="20"/>
          <w:lang w:val="es-MX"/>
        </w:rPr>
        <w:t>fallecida, madre de Johan Correa</w:t>
      </w:r>
      <w:r>
        <w:rPr>
          <w:sz w:val="20"/>
          <w:lang w:val="es-MX"/>
        </w:rPr>
        <w:t>)</w:t>
      </w:r>
      <w:r w:rsidR="00C5289C" w:rsidRPr="00F45C3C">
        <w:rPr>
          <w:sz w:val="20"/>
          <w:lang w:val="es-MX"/>
        </w:rPr>
        <w:t>: US$</w:t>
      </w:r>
      <w:r w:rsidR="00416074">
        <w:rPr>
          <w:sz w:val="20"/>
          <w:lang w:val="es-MX"/>
        </w:rPr>
        <w:t xml:space="preserve"> </w:t>
      </w:r>
      <w:r w:rsidR="00C5289C" w:rsidRPr="00F45C3C">
        <w:rPr>
          <w:sz w:val="20"/>
          <w:lang w:val="es-MX"/>
        </w:rPr>
        <w:t>30.000,00 (treinta mil dólares de los Estados Unidos de América)</w:t>
      </w:r>
      <w:r>
        <w:rPr>
          <w:sz w:val="20"/>
          <w:lang w:val="es-MX"/>
        </w:rPr>
        <w:t>;</w:t>
      </w:r>
    </w:p>
    <w:p w14:paraId="6595B4A7" w14:textId="2E84CFFC" w:rsidR="00C5289C" w:rsidRPr="003005A0" w:rsidRDefault="00C5289C" w:rsidP="00B476ED">
      <w:pPr>
        <w:pStyle w:val="Prrafodelista"/>
        <w:numPr>
          <w:ilvl w:val="0"/>
          <w:numId w:val="10"/>
        </w:numPr>
        <w:tabs>
          <w:tab w:val="left" w:pos="709"/>
        </w:tabs>
        <w:spacing w:line="240" w:lineRule="auto"/>
        <w:ind w:left="142" w:right="-801" w:firstLine="0"/>
        <w:rPr>
          <w:sz w:val="20"/>
          <w:szCs w:val="20"/>
          <w:lang w:val="es-CO"/>
        </w:rPr>
      </w:pPr>
      <w:r w:rsidRPr="00444778">
        <w:rPr>
          <w:sz w:val="20"/>
          <w:lang w:val="es-MX"/>
        </w:rPr>
        <w:t>Belk</w:t>
      </w:r>
      <w:r w:rsidR="002A6CE2">
        <w:rPr>
          <w:sz w:val="20"/>
          <w:lang w:val="es-MX"/>
        </w:rPr>
        <w:t>is</w:t>
      </w:r>
      <w:r w:rsidRPr="00444778">
        <w:rPr>
          <w:sz w:val="20"/>
          <w:lang w:val="es-MX"/>
        </w:rPr>
        <w:t xml:space="preserve"> Josefina Correa Ríos </w:t>
      </w:r>
      <w:r w:rsidR="002A6CE2">
        <w:rPr>
          <w:sz w:val="20"/>
          <w:lang w:val="es-MX"/>
        </w:rPr>
        <w:t>(</w:t>
      </w:r>
      <w:r>
        <w:rPr>
          <w:sz w:val="20"/>
          <w:lang w:val="es-MX"/>
        </w:rPr>
        <w:t>hermana de Johan Correa</w:t>
      </w:r>
      <w:r w:rsidR="002A6CE2">
        <w:rPr>
          <w:sz w:val="20"/>
          <w:lang w:val="es-MX"/>
        </w:rPr>
        <w:t>)</w:t>
      </w:r>
      <w:r>
        <w:rPr>
          <w:sz w:val="20"/>
          <w:lang w:val="es-MX"/>
        </w:rPr>
        <w:t>:</w:t>
      </w:r>
      <w:r w:rsidRPr="00444778">
        <w:rPr>
          <w:sz w:val="20"/>
          <w:lang w:val="es-MX"/>
        </w:rPr>
        <w:t xml:space="preserve"> </w:t>
      </w:r>
      <w:r>
        <w:rPr>
          <w:sz w:val="20"/>
          <w:lang w:val="es-MX"/>
        </w:rPr>
        <w:t>US$ 10.000,00 (diez mil dólares de los Estados Unidos de América)</w:t>
      </w:r>
      <w:r w:rsidR="002A6CE2">
        <w:rPr>
          <w:sz w:val="20"/>
          <w:lang w:val="es-MX"/>
        </w:rPr>
        <w:t>;</w:t>
      </w:r>
    </w:p>
    <w:p w14:paraId="3B4048B4" w14:textId="294B9986" w:rsidR="00C5289C" w:rsidRPr="00F45C3C" w:rsidRDefault="00C5289C" w:rsidP="00B476ED">
      <w:pPr>
        <w:pStyle w:val="Prrafodelista"/>
        <w:numPr>
          <w:ilvl w:val="0"/>
          <w:numId w:val="10"/>
        </w:numPr>
        <w:tabs>
          <w:tab w:val="left" w:pos="709"/>
        </w:tabs>
        <w:spacing w:line="240" w:lineRule="auto"/>
        <w:ind w:left="142" w:right="-801" w:firstLine="0"/>
        <w:rPr>
          <w:sz w:val="20"/>
          <w:szCs w:val="20"/>
          <w:lang w:val="es-CO"/>
        </w:rPr>
      </w:pPr>
      <w:r w:rsidRPr="00F45C3C">
        <w:rPr>
          <w:sz w:val="20"/>
          <w:lang w:val="es-MX"/>
        </w:rPr>
        <w:t>Luis J</w:t>
      </w:r>
      <w:r w:rsidR="002A6CE2">
        <w:rPr>
          <w:sz w:val="20"/>
          <w:lang w:val="es-MX"/>
        </w:rPr>
        <w:t>osé Yáñez (</w:t>
      </w:r>
      <w:r w:rsidRPr="00F45C3C">
        <w:rPr>
          <w:sz w:val="20"/>
          <w:lang w:val="es-MX"/>
        </w:rPr>
        <w:t>padre de Gabriel Yá</w:t>
      </w:r>
      <w:r w:rsidR="002A6CE2">
        <w:rPr>
          <w:sz w:val="20"/>
          <w:lang w:val="es-MX"/>
        </w:rPr>
        <w:t>ñ</w:t>
      </w:r>
      <w:r w:rsidRPr="00F45C3C">
        <w:rPr>
          <w:sz w:val="20"/>
          <w:lang w:val="es-MX"/>
        </w:rPr>
        <w:t>ez</w:t>
      </w:r>
      <w:r w:rsidR="002A6CE2">
        <w:rPr>
          <w:sz w:val="20"/>
          <w:lang w:val="es-MX"/>
        </w:rPr>
        <w:t>)</w:t>
      </w:r>
      <w:r w:rsidRPr="00F45C3C">
        <w:rPr>
          <w:sz w:val="20"/>
          <w:lang w:val="es-MX"/>
        </w:rPr>
        <w:t>: US$</w:t>
      </w:r>
      <w:r w:rsidR="002A6CE2">
        <w:rPr>
          <w:sz w:val="20"/>
          <w:lang w:val="es-MX"/>
        </w:rPr>
        <w:t xml:space="preserve"> </w:t>
      </w:r>
      <w:r w:rsidRPr="00F45C3C">
        <w:rPr>
          <w:sz w:val="20"/>
          <w:lang w:val="es-MX"/>
        </w:rPr>
        <w:t>30.000,00 (treinta mil dólares de los Estados Unidos de América)</w:t>
      </w:r>
      <w:r w:rsidR="002A6CE2">
        <w:rPr>
          <w:sz w:val="20"/>
          <w:lang w:val="es-MX"/>
        </w:rPr>
        <w:t>;</w:t>
      </w:r>
    </w:p>
    <w:p w14:paraId="2C31F9A8" w14:textId="65B96852" w:rsidR="00C5289C" w:rsidRPr="00F45C3C" w:rsidRDefault="00C5289C" w:rsidP="00B476ED">
      <w:pPr>
        <w:pStyle w:val="Prrafodelista"/>
        <w:numPr>
          <w:ilvl w:val="0"/>
          <w:numId w:val="10"/>
        </w:numPr>
        <w:tabs>
          <w:tab w:val="left" w:pos="709"/>
        </w:tabs>
        <w:spacing w:line="240" w:lineRule="auto"/>
        <w:ind w:left="142" w:right="-801" w:firstLine="0"/>
        <w:rPr>
          <w:sz w:val="20"/>
          <w:szCs w:val="20"/>
          <w:lang w:val="es-CO"/>
        </w:rPr>
      </w:pPr>
      <w:r w:rsidRPr="00F45C3C">
        <w:rPr>
          <w:sz w:val="20"/>
          <w:lang w:val="es-MX"/>
        </w:rPr>
        <w:t>M</w:t>
      </w:r>
      <w:r w:rsidR="002A6CE2">
        <w:rPr>
          <w:sz w:val="20"/>
          <w:lang w:val="es-MX"/>
        </w:rPr>
        <w:t>aritza del Valle Sánchez Ávila (</w:t>
      </w:r>
      <w:r w:rsidRPr="00F45C3C">
        <w:rPr>
          <w:sz w:val="20"/>
          <w:lang w:val="es-MX"/>
        </w:rPr>
        <w:t>madre de Gabriel Yáñez</w:t>
      </w:r>
      <w:r w:rsidR="002A6CE2">
        <w:rPr>
          <w:sz w:val="20"/>
          <w:lang w:val="es-MX"/>
        </w:rPr>
        <w:t>)</w:t>
      </w:r>
      <w:r w:rsidRPr="00F45C3C">
        <w:rPr>
          <w:sz w:val="20"/>
          <w:lang w:val="es-MX"/>
        </w:rPr>
        <w:t>: US$</w:t>
      </w:r>
      <w:r w:rsidR="002A6CE2">
        <w:rPr>
          <w:sz w:val="20"/>
          <w:lang w:val="es-MX"/>
        </w:rPr>
        <w:t xml:space="preserve"> </w:t>
      </w:r>
      <w:r w:rsidRPr="00F45C3C">
        <w:rPr>
          <w:sz w:val="20"/>
          <w:lang w:val="es-MX"/>
        </w:rPr>
        <w:t xml:space="preserve">30.000,00 (treinta mil </w:t>
      </w:r>
      <w:r w:rsidRPr="00F45C3C">
        <w:rPr>
          <w:sz w:val="20"/>
          <w:lang w:val="es-MX"/>
        </w:rPr>
        <w:lastRenderedPageBreak/>
        <w:t>dólares de los Estados Unidos de América)</w:t>
      </w:r>
      <w:r w:rsidR="002A6CE2">
        <w:rPr>
          <w:sz w:val="20"/>
          <w:lang w:val="es-MX"/>
        </w:rPr>
        <w:t>;</w:t>
      </w:r>
    </w:p>
    <w:p w14:paraId="14437AD3" w14:textId="0314AF6A" w:rsidR="00C5289C" w:rsidRPr="00F45C3C" w:rsidRDefault="00C5289C" w:rsidP="00B476ED">
      <w:pPr>
        <w:pStyle w:val="Prrafodelista"/>
        <w:numPr>
          <w:ilvl w:val="0"/>
          <w:numId w:val="10"/>
        </w:numPr>
        <w:tabs>
          <w:tab w:val="left" w:pos="709"/>
        </w:tabs>
        <w:spacing w:line="240" w:lineRule="auto"/>
        <w:ind w:left="142" w:right="-801" w:firstLine="0"/>
        <w:rPr>
          <w:sz w:val="20"/>
          <w:szCs w:val="20"/>
          <w:lang w:val="es-CO"/>
        </w:rPr>
      </w:pPr>
      <w:r w:rsidRPr="00F45C3C">
        <w:rPr>
          <w:sz w:val="20"/>
          <w:lang w:val="es-MX"/>
        </w:rPr>
        <w:t xml:space="preserve">María Cristina Córdova de Molina </w:t>
      </w:r>
      <w:r w:rsidR="002A6CE2">
        <w:rPr>
          <w:sz w:val="20"/>
          <w:lang w:val="es-MX"/>
        </w:rPr>
        <w:t>(</w:t>
      </w:r>
      <w:r w:rsidRPr="00F45C3C">
        <w:rPr>
          <w:sz w:val="20"/>
          <w:lang w:val="es-MX"/>
        </w:rPr>
        <w:t>madre de Cristian Molina</w:t>
      </w:r>
      <w:r w:rsidR="002A6CE2">
        <w:rPr>
          <w:sz w:val="20"/>
          <w:lang w:val="es-MX"/>
        </w:rPr>
        <w:t>)</w:t>
      </w:r>
      <w:r w:rsidRPr="00F45C3C">
        <w:rPr>
          <w:sz w:val="20"/>
          <w:lang w:val="es-MX"/>
        </w:rPr>
        <w:t>: US$</w:t>
      </w:r>
      <w:r w:rsidR="002A6CE2">
        <w:rPr>
          <w:sz w:val="20"/>
          <w:lang w:val="es-MX"/>
        </w:rPr>
        <w:t xml:space="preserve"> </w:t>
      </w:r>
      <w:r w:rsidRPr="00F45C3C">
        <w:rPr>
          <w:sz w:val="20"/>
          <w:lang w:val="es-MX"/>
        </w:rPr>
        <w:t>30.000,00 (treinta mil dólares de los Estados Unidos de América)</w:t>
      </w:r>
      <w:r w:rsidR="002A6CE2">
        <w:rPr>
          <w:sz w:val="20"/>
          <w:lang w:val="es-MX"/>
        </w:rPr>
        <w:t>, y</w:t>
      </w:r>
    </w:p>
    <w:p w14:paraId="7BCBAD7E" w14:textId="3746D339" w:rsidR="00C5289C" w:rsidRPr="00F45C3C" w:rsidRDefault="002A6CE2" w:rsidP="00B476ED">
      <w:pPr>
        <w:pStyle w:val="Prrafodelista"/>
        <w:numPr>
          <w:ilvl w:val="0"/>
          <w:numId w:val="10"/>
        </w:numPr>
        <w:tabs>
          <w:tab w:val="left" w:pos="709"/>
        </w:tabs>
        <w:spacing w:line="240" w:lineRule="auto"/>
        <w:ind w:left="142" w:right="-801" w:firstLine="0"/>
        <w:rPr>
          <w:sz w:val="20"/>
          <w:szCs w:val="20"/>
          <w:lang w:val="es-CO"/>
        </w:rPr>
      </w:pPr>
      <w:r>
        <w:rPr>
          <w:sz w:val="20"/>
          <w:lang w:val="es-MX"/>
        </w:rPr>
        <w:t>Hugo Arnaldo Molina (</w:t>
      </w:r>
      <w:r w:rsidR="00C5289C">
        <w:rPr>
          <w:sz w:val="20"/>
          <w:lang w:val="es-MX"/>
        </w:rPr>
        <w:t>p</w:t>
      </w:r>
      <w:r w:rsidR="00C5289C" w:rsidRPr="00444778">
        <w:rPr>
          <w:sz w:val="20"/>
          <w:lang w:val="es-MX"/>
        </w:rPr>
        <w:t>adre de Cristian Molina</w:t>
      </w:r>
      <w:r>
        <w:rPr>
          <w:sz w:val="20"/>
          <w:lang w:val="es-MX"/>
        </w:rPr>
        <w:t>)</w:t>
      </w:r>
      <w:r w:rsidR="00C5289C">
        <w:rPr>
          <w:sz w:val="20"/>
          <w:lang w:val="es-MX"/>
        </w:rPr>
        <w:t>:</w:t>
      </w:r>
      <w:r w:rsidR="00C5289C" w:rsidRPr="00F45C3C">
        <w:rPr>
          <w:sz w:val="20"/>
          <w:lang w:val="es-MX"/>
        </w:rPr>
        <w:t xml:space="preserve"> US$</w:t>
      </w:r>
      <w:r>
        <w:rPr>
          <w:sz w:val="20"/>
          <w:lang w:val="es-MX"/>
        </w:rPr>
        <w:t xml:space="preserve"> </w:t>
      </w:r>
      <w:r w:rsidR="00C5289C" w:rsidRPr="00F45C3C">
        <w:rPr>
          <w:sz w:val="20"/>
          <w:lang w:val="es-MX"/>
        </w:rPr>
        <w:t>30.000,00 (treinta mil dólares de los Estados Unidos de América)</w:t>
      </w:r>
      <w:r>
        <w:rPr>
          <w:sz w:val="20"/>
          <w:lang w:val="es-MX"/>
        </w:rPr>
        <w:t>.</w:t>
      </w:r>
    </w:p>
    <w:p w14:paraId="4FCBA77E" w14:textId="77777777" w:rsidR="00C5289C" w:rsidRPr="00444778" w:rsidRDefault="00C5289C" w:rsidP="00B476ED">
      <w:pPr>
        <w:pStyle w:val="Prrafodelista"/>
        <w:tabs>
          <w:tab w:val="left" w:pos="709"/>
        </w:tabs>
        <w:spacing w:line="240" w:lineRule="auto"/>
        <w:ind w:left="284" w:right="-801"/>
        <w:rPr>
          <w:sz w:val="20"/>
          <w:szCs w:val="20"/>
          <w:lang w:val="es-CO"/>
        </w:rPr>
      </w:pPr>
    </w:p>
    <w:p w14:paraId="52E57C31" w14:textId="271E6275" w:rsidR="00C5289C" w:rsidRPr="00CE1AE0" w:rsidRDefault="00C5289C" w:rsidP="00B476ED">
      <w:pPr>
        <w:numPr>
          <w:ilvl w:val="0"/>
          <w:numId w:val="13"/>
        </w:numPr>
        <w:tabs>
          <w:tab w:val="left" w:pos="567"/>
        </w:tabs>
        <w:spacing w:line="240" w:lineRule="auto"/>
        <w:ind w:left="0" w:right="-801" w:firstLine="0"/>
        <w:rPr>
          <w:sz w:val="20"/>
          <w:szCs w:val="20"/>
          <w:lang w:val="es-CO"/>
        </w:rPr>
      </w:pPr>
      <w:r w:rsidRPr="00F45C3C">
        <w:rPr>
          <w:sz w:val="20"/>
          <w:szCs w:val="20"/>
          <w:lang w:val="es-CO"/>
        </w:rPr>
        <w:t>Cada uno de los montos asignados respecto a José Mota, Rafael Parra, Johan Correa, Gabriel Yáñez, y Cristian Molina</w:t>
      </w:r>
      <w:r>
        <w:rPr>
          <w:sz w:val="20"/>
          <w:szCs w:val="20"/>
          <w:lang w:val="es-CO"/>
        </w:rPr>
        <w:t xml:space="preserve"> deberá se</w:t>
      </w:r>
      <w:r w:rsidR="002A6CE2">
        <w:rPr>
          <w:sz w:val="20"/>
          <w:szCs w:val="20"/>
          <w:lang w:val="es-CO"/>
        </w:rPr>
        <w:t>r</w:t>
      </w:r>
      <w:r>
        <w:rPr>
          <w:sz w:val="20"/>
          <w:szCs w:val="20"/>
          <w:lang w:val="es-CO"/>
        </w:rPr>
        <w:t xml:space="preserve"> repartido entre sus familiares declarados víctimas en la presente sentencia, de acuerdo a lo siguiente: a) cada uno de los montos asignados a José Mota, Gabriel Yáñez y Cristian Molina serán repartidos, en partes iguales, entre sus padres; b) el monto asignado a Rafael Parra será repartido entre su abuela, Myriam Josefina Herrera Sánchez, y su tío, Jesús Juvenal Herrera Sánchez, correspondiéndole a la primera un 75% y al segundo un 25%; c) el monto asignado a Johan Correa será entregado, en su totalidad, a su hermana Belk</w:t>
      </w:r>
      <w:r w:rsidR="002A6CE2">
        <w:rPr>
          <w:sz w:val="20"/>
          <w:szCs w:val="20"/>
          <w:lang w:val="es-CO"/>
        </w:rPr>
        <w:t>i</w:t>
      </w:r>
      <w:r>
        <w:rPr>
          <w:sz w:val="20"/>
          <w:szCs w:val="20"/>
          <w:lang w:val="es-CO"/>
        </w:rPr>
        <w:t xml:space="preserve">s Josefina Correa Ríos, ya que la otra persona familiar de Johan Correa declarada víctima en la presente Sentencia, su madre </w:t>
      </w:r>
      <w:proofErr w:type="spellStart"/>
      <w:r>
        <w:rPr>
          <w:sz w:val="20"/>
          <w:szCs w:val="20"/>
          <w:lang w:val="es-CO"/>
        </w:rPr>
        <w:t>Nelys</w:t>
      </w:r>
      <w:proofErr w:type="spellEnd"/>
      <w:r>
        <w:rPr>
          <w:sz w:val="20"/>
          <w:szCs w:val="20"/>
          <w:lang w:val="es-CO"/>
        </w:rPr>
        <w:t xml:space="preserve"> Margarita Correa, falleció. En cuanto al monto asignado a </w:t>
      </w:r>
      <w:proofErr w:type="spellStart"/>
      <w:r>
        <w:rPr>
          <w:sz w:val="20"/>
          <w:szCs w:val="20"/>
          <w:lang w:val="es-CO"/>
        </w:rPr>
        <w:t>Nelys</w:t>
      </w:r>
      <w:proofErr w:type="spellEnd"/>
      <w:r>
        <w:rPr>
          <w:sz w:val="20"/>
          <w:szCs w:val="20"/>
          <w:lang w:val="es-CO"/>
        </w:rPr>
        <w:t xml:space="preserve"> Margarita Correa, el mismo también será entregado a Bel</w:t>
      </w:r>
      <w:r w:rsidR="002A6CE2">
        <w:rPr>
          <w:sz w:val="20"/>
          <w:szCs w:val="20"/>
          <w:lang w:val="es-CO"/>
        </w:rPr>
        <w:t>ki</w:t>
      </w:r>
      <w:r>
        <w:rPr>
          <w:sz w:val="20"/>
          <w:szCs w:val="20"/>
          <w:lang w:val="es-CO"/>
        </w:rPr>
        <w:t xml:space="preserve">s Josefina Correa Ríos. En cualquier otro caso, distinto de los ya señalados, en que una persona beneficiaria hubiera </w:t>
      </w:r>
      <w:r w:rsidR="00E62F98">
        <w:rPr>
          <w:sz w:val="20"/>
          <w:szCs w:val="20"/>
          <w:lang w:val="es-CO"/>
        </w:rPr>
        <w:t xml:space="preserve">fallecido </w:t>
      </w:r>
      <w:r>
        <w:rPr>
          <w:sz w:val="20"/>
          <w:szCs w:val="20"/>
          <w:lang w:val="es-CO"/>
        </w:rPr>
        <w:t xml:space="preserve">antes de la emisión de la presente Sentencia, el monto de indemnización asignado a dicha persona será repartido, en partes iguales, entre sus familiares declarados víctimas en la presente Sentencia que se encuentren vivos a la fecha de emisión del fallo. En su defecto, </w:t>
      </w:r>
      <w:r w:rsidRPr="00CE1AE0">
        <w:rPr>
          <w:sz w:val="20"/>
          <w:szCs w:val="20"/>
        </w:rPr>
        <w:t>deberá ser entregado a sus derechohabientes, conforme al derecho interno aplicable.</w:t>
      </w:r>
      <w:r>
        <w:rPr>
          <w:sz w:val="20"/>
          <w:szCs w:val="20"/>
        </w:rPr>
        <w:t xml:space="preserve"> En caso de que alguna persona beneficiaria muriera después de la fecha de emisión de la presente Sentencia, y antes de cobrar la indemnización, rige lo dispuesto en el título J del presente Capítulo, relativo a la modalidad de cumplimiento (</w:t>
      </w:r>
      <w:r>
        <w:rPr>
          <w:i/>
          <w:sz w:val="20"/>
          <w:szCs w:val="20"/>
        </w:rPr>
        <w:t xml:space="preserve">infra </w:t>
      </w:r>
      <w:proofErr w:type="spellStart"/>
      <w:r>
        <w:rPr>
          <w:sz w:val="20"/>
          <w:szCs w:val="20"/>
        </w:rPr>
        <w:t>párrs</w:t>
      </w:r>
      <w:proofErr w:type="spellEnd"/>
      <w:r>
        <w:rPr>
          <w:sz w:val="20"/>
          <w:szCs w:val="20"/>
        </w:rPr>
        <w:t xml:space="preserve">. 177 a 182). </w:t>
      </w:r>
    </w:p>
    <w:p w14:paraId="48DA4176" w14:textId="77777777" w:rsidR="00C5289C" w:rsidRDefault="00C5289C" w:rsidP="00B476ED">
      <w:pPr>
        <w:tabs>
          <w:tab w:val="left" w:pos="567"/>
        </w:tabs>
        <w:spacing w:line="240" w:lineRule="auto"/>
        <w:ind w:right="-801"/>
        <w:rPr>
          <w:sz w:val="20"/>
          <w:szCs w:val="20"/>
          <w:lang w:val="es-CO"/>
        </w:rPr>
      </w:pPr>
    </w:p>
    <w:p w14:paraId="780E27A7" w14:textId="051907FC" w:rsidR="00C5289C" w:rsidRPr="00D64A56" w:rsidRDefault="00C5289C" w:rsidP="00B476ED">
      <w:pPr>
        <w:pStyle w:val="Ttulo2"/>
        <w:numPr>
          <w:ilvl w:val="0"/>
          <w:numId w:val="8"/>
        </w:numPr>
        <w:tabs>
          <w:tab w:val="clear" w:pos="1134"/>
          <w:tab w:val="left" w:pos="708"/>
        </w:tabs>
        <w:spacing w:before="0" w:after="0"/>
        <w:ind w:right="-801"/>
        <w:textAlignment w:val="auto"/>
        <w:rPr>
          <w:lang w:eastAsia="en-US"/>
        </w:rPr>
      </w:pPr>
      <w:bookmarkStart w:id="98" w:name="_Toc58330243"/>
      <w:r>
        <w:rPr>
          <w:lang w:eastAsia="en-US"/>
        </w:rPr>
        <w:t>Costas y gastos</w:t>
      </w:r>
      <w:bookmarkEnd w:id="98"/>
    </w:p>
    <w:p w14:paraId="52141F10" w14:textId="77777777" w:rsidR="00C5289C" w:rsidRPr="0023259D" w:rsidRDefault="00C5289C" w:rsidP="00B476ED">
      <w:pPr>
        <w:tabs>
          <w:tab w:val="left" w:pos="567"/>
        </w:tabs>
        <w:spacing w:line="240" w:lineRule="auto"/>
        <w:ind w:right="-801"/>
        <w:rPr>
          <w:sz w:val="20"/>
          <w:szCs w:val="20"/>
          <w:lang w:val="es-CO"/>
        </w:rPr>
      </w:pPr>
    </w:p>
    <w:p w14:paraId="21D88569" w14:textId="0F1BADEC" w:rsidR="00C5289C" w:rsidRPr="002A6CE2" w:rsidRDefault="00C5289C" w:rsidP="00B476ED">
      <w:pPr>
        <w:numPr>
          <w:ilvl w:val="0"/>
          <w:numId w:val="13"/>
        </w:numPr>
        <w:tabs>
          <w:tab w:val="left" w:pos="567"/>
        </w:tabs>
        <w:spacing w:line="240" w:lineRule="auto"/>
        <w:ind w:left="0" w:right="-801" w:firstLine="0"/>
        <w:rPr>
          <w:sz w:val="20"/>
          <w:szCs w:val="20"/>
          <w:lang w:val="es-CO"/>
        </w:rPr>
      </w:pPr>
      <w:r>
        <w:rPr>
          <w:sz w:val="20"/>
          <w:szCs w:val="20"/>
          <w:lang w:val="es-CO"/>
        </w:rPr>
        <w:t xml:space="preserve">Los </w:t>
      </w:r>
      <w:r w:rsidRPr="00A72FB7">
        <w:rPr>
          <w:b/>
          <w:i/>
          <w:sz w:val="20"/>
          <w:szCs w:val="20"/>
          <w:lang w:val="es-CO"/>
        </w:rPr>
        <w:t>representantes</w:t>
      </w:r>
      <w:r>
        <w:rPr>
          <w:i/>
          <w:sz w:val="20"/>
          <w:szCs w:val="20"/>
          <w:lang w:val="es-CO"/>
        </w:rPr>
        <w:t xml:space="preserve"> </w:t>
      </w:r>
      <w:r>
        <w:rPr>
          <w:sz w:val="20"/>
          <w:szCs w:val="20"/>
          <w:lang w:val="es-CO"/>
        </w:rPr>
        <w:t>solicitaron que se orden</w:t>
      </w:r>
      <w:r w:rsidR="00E62F98">
        <w:rPr>
          <w:sz w:val="20"/>
          <w:szCs w:val="20"/>
          <w:lang w:val="es-CO"/>
        </w:rPr>
        <w:t>ara</w:t>
      </w:r>
      <w:r>
        <w:rPr>
          <w:sz w:val="20"/>
          <w:szCs w:val="20"/>
          <w:lang w:val="es-CO"/>
        </w:rPr>
        <w:t xml:space="preserve"> al Estado el pago de las costas originadas tanto a nivel nacional, en la tramitación de los procesos judiciales, como a nivel internacional, en el trámite del caso ante la Comisión y la Corte. Requirieron que este Tribunal “f</w:t>
      </w:r>
      <w:r w:rsidRPr="00A72FB7">
        <w:rPr>
          <w:sz w:val="20"/>
          <w:szCs w:val="20"/>
          <w:lang w:val="es-CO"/>
        </w:rPr>
        <w:t>ije en equidad el monto que el</w:t>
      </w:r>
      <w:r w:rsidR="002A6CE2">
        <w:rPr>
          <w:sz w:val="20"/>
          <w:szCs w:val="20"/>
          <w:lang w:val="es-CO"/>
        </w:rPr>
        <w:t xml:space="preserve"> </w:t>
      </w:r>
      <w:r w:rsidRPr="002A6CE2">
        <w:rPr>
          <w:sz w:val="20"/>
          <w:szCs w:val="20"/>
          <w:lang w:val="es-CO"/>
        </w:rPr>
        <w:t>Estado deba pagar por este concepto”.</w:t>
      </w:r>
    </w:p>
    <w:p w14:paraId="0A82CA11" w14:textId="77777777" w:rsidR="00C5289C" w:rsidRDefault="00C5289C" w:rsidP="00B476ED">
      <w:pPr>
        <w:tabs>
          <w:tab w:val="left" w:pos="567"/>
        </w:tabs>
        <w:spacing w:line="240" w:lineRule="auto"/>
        <w:ind w:right="-801"/>
      </w:pPr>
    </w:p>
    <w:p w14:paraId="568E9523" w14:textId="77777777" w:rsidR="00C5289C" w:rsidRPr="00995260" w:rsidRDefault="00C5289C" w:rsidP="00B476ED">
      <w:pPr>
        <w:numPr>
          <w:ilvl w:val="0"/>
          <w:numId w:val="13"/>
        </w:numPr>
        <w:tabs>
          <w:tab w:val="left" w:pos="567"/>
        </w:tabs>
        <w:spacing w:line="240" w:lineRule="auto"/>
        <w:ind w:left="0" w:right="-801" w:firstLine="0"/>
        <w:rPr>
          <w:sz w:val="20"/>
          <w:szCs w:val="20"/>
        </w:rPr>
      </w:pPr>
      <w:r w:rsidRPr="00995260">
        <w:rPr>
          <w:sz w:val="20"/>
          <w:szCs w:val="20"/>
        </w:rPr>
        <w:t>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w:t>
      </w:r>
      <w:r w:rsidRPr="00995260">
        <w:rPr>
          <w:sz w:val="20"/>
          <w:szCs w:val="20"/>
          <w:vertAlign w:val="superscript"/>
        </w:rPr>
        <w:footnoteReference w:id="159"/>
      </w:r>
      <w:r w:rsidRPr="00995260">
        <w:rPr>
          <w:sz w:val="20"/>
          <w:szCs w:val="20"/>
        </w:rPr>
        <w:t xml:space="preserve">. </w:t>
      </w:r>
      <w:r w:rsidRPr="00995260">
        <w:rPr>
          <w:rFonts w:cs="Verdana"/>
          <w:sz w:val="20"/>
          <w:szCs w:val="20"/>
        </w:rPr>
        <w:t xml:space="preserve">En cuanto al reembolso de las costas y gastos, corresponde al Tribunal apreciar </w:t>
      </w:r>
      <w:r w:rsidRPr="00995260">
        <w:rPr>
          <w:sz w:val="20"/>
          <w:szCs w:val="20"/>
        </w:rPr>
        <w:t>prudentemente</w:t>
      </w:r>
      <w:r w:rsidRPr="00995260">
        <w:rPr>
          <w:rFonts w:cs="Verdana"/>
          <w:sz w:val="20"/>
          <w:szCs w:val="20"/>
        </w:rPr>
        <w:t xml:space="preserv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995260">
        <w:rPr>
          <w:rFonts w:cs="Verdana"/>
          <w:i/>
          <w:iCs/>
          <w:sz w:val="20"/>
          <w:szCs w:val="20"/>
        </w:rPr>
        <w:t>quantum</w:t>
      </w:r>
      <w:r w:rsidRPr="00995260">
        <w:rPr>
          <w:rFonts w:cs="Verdana"/>
          <w:iCs/>
          <w:sz w:val="20"/>
          <w:szCs w:val="20"/>
        </w:rPr>
        <w:t xml:space="preserve"> </w:t>
      </w:r>
      <w:r w:rsidRPr="00995260">
        <w:rPr>
          <w:rFonts w:cs="Verdana"/>
          <w:sz w:val="20"/>
          <w:szCs w:val="20"/>
        </w:rPr>
        <w:t>sea razonable</w:t>
      </w:r>
      <w:r w:rsidRPr="00995260">
        <w:rPr>
          <w:sz w:val="20"/>
          <w:szCs w:val="20"/>
          <w:vertAlign w:val="superscript"/>
        </w:rPr>
        <w:footnoteReference w:id="160"/>
      </w:r>
      <w:r w:rsidRPr="00995260">
        <w:rPr>
          <w:sz w:val="20"/>
          <w:szCs w:val="20"/>
        </w:rPr>
        <w:t>.</w:t>
      </w:r>
    </w:p>
    <w:p w14:paraId="36FC4AF0" w14:textId="77777777" w:rsidR="00C5289C" w:rsidRDefault="00C5289C" w:rsidP="00B476ED">
      <w:pPr>
        <w:tabs>
          <w:tab w:val="left" w:pos="567"/>
        </w:tabs>
        <w:spacing w:line="240" w:lineRule="auto"/>
        <w:ind w:right="-801"/>
      </w:pPr>
    </w:p>
    <w:p w14:paraId="07D3B042" w14:textId="09FFA638" w:rsidR="00C5289C" w:rsidRPr="00995260" w:rsidRDefault="00C5289C" w:rsidP="00B476ED">
      <w:pPr>
        <w:numPr>
          <w:ilvl w:val="0"/>
          <w:numId w:val="13"/>
        </w:numPr>
        <w:tabs>
          <w:tab w:val="left" w:pos="567"/>
        </w:tabs>
        <w:spacing w:line="240" w:lineRule="auto"/>
        <w:ind w:left="0" w:right="-801" w:firstLine="0"/>
        <w:rPr>
          <w:sz w:val="20"/>
          <w:szCs w:val="20"/>
        </w:rPr>
      </w:pPr>
      <w:r w:rsidRPr="00995260">
        <w:rPr>
          <w:sz w:val="20"/>
          <w:szCs w:val="20"/>
        </w:rPr>
        <w:t>Este Tribunal nota que los representantes no han solicitado un monto dinerario específico para el reintegro de gastos y costas, ni acreditado en forma debida y razonada la totalidad de los gastos efectuados. La Corte decide, por entenderlo razonable, fijar</w:t>
      </w:r>
      <w:r w:rsidR="002A6CE2">
        <w:rPr>
          <w:sz w:val="20"/>
          <w:szCs w:val="20"/>
        </w:rPr>
        <w:t>,</w:t>
      </w:r>
      <w:r w:rsidRPr="00995260">
        <w:rPr>
          <w:sz w:val="20"/>
          <w:szCs w:val="20"/>
        </w:rPr>
        <w:t xml:space="preserve"> </w:t>
      </w:r>
      <w:r w:rsidRPr="003A5C19">
        <w:rPr>
          <w:sz w:val="20"/>
          <w:szCs w:val="20"/>
        </w:rPr>
        <w:t xml:space="preserve">en equidad, el pago de </w:t>
      </w:r>
      <w:r w:rsidRPr="003A5C19">
        <w:rPr>
          <w:sz w:val="20"/>
          <w:szCs w:val="20"/>
        </w:rPr>
        <w:lastRenderedPageBreak/>
        <w:t>un monto total de US$ 20.000.00 (veinte mil dólares de los Estados Unidos de América) por concepto</w:t>
      </w:r>
      <w:r w:rsidRPr="00995260">
        <w:rPr>
          <w:sz w:val="20"/>
          <w:szCs w:val="20"/>
        </w:rPr>
        <w:t xml:space="preserve"> de costas y gastos. Dicha cantidad deberá repartirse, en partes iguales, entre el Observatorio Venezolano de Prisiones (OVP) y el </w:t>
      </w:r>
      <w:r w:rsidRPr="00995260">
        <w:rPr>
          <w:i/>
          <w:sz w:val="20"/>
          <w:szCs w:val="20"/>
        </w:rPr>
        <w:t xml:space="preserve">Cyrus R. Vance Center </w:t>
      </w:r>
      <w:proofErr w:type="spellStart"/>
      <w:r w:rsidRPr="00995260">
        <w:rPr>
          <w:i/>
          <w:sz w:val="20"/>
          <w:szCs w:val="20"/>
        </w:rPr>
        <w:t>for</w:t>
      </w:r>
      <w:proofErr w:type="spellEnd"/>
      <w:r w:rsidRPr="00995260">
        <w:rPr>
          <w:i/>
          <w:sz w:val="20"/>
          <w:szCs w:val="20"/>
        </w:rPr>
        <w:t xml:space="preserve"> Internacional </w:t>
      </w:r>
      <w:proofErr w:type="spellStart"/>
      <w:r w:rsidRPr="00995260">
        <w:rPr>
          <w:i/>
          <w:sz w:val="20"/>
          <w:szCs w:val="20"/>
        </w:rPr>
        <w:t>Justice</w:t>
      </w:r>
      <w:proofErr w:type="spellEnd"/>
      <w:r w:rsidRPr="00995260">
        <w:rPr>
          <w:i/>
          <w:sz w:val="20"/>
          <w:szCs w:val="20"/>
        </w:rPr>
        <w:t xml:space="preserve">. </w:t>
      </w:r>
      <w:r w:rsidRPr="00995260">
        <w:rPr>
          <w:sz w:val="20"/>
          <w:szCs w:val="20"/>
        </w:rPr>
        <w:t>El Estado deberá entregar, a cada una de las organizaciones indicadas, el monto dinerario que le corresponde, en el plazo de seis meses.</w:t>
      </w:r>
    </w:p>
    <w:p w14:paraId="5F1D8A00" w14:textId="77777777" w:rsidR="00C5289C" w:rsidRPr="00995260" w:rsidRDefault="00C5289C" w:rsidP="00B476ED">
      <w:pPr>
        <w:pStyle w:val="Prrafodelista"/>
        <w:spacing w:line="240" w:lineRule="auto"/>
        <w:ind w:right="-801"/>
        <w:rPr>
          <w:sz w:val="20"/>
          <w:szCs w:val="20"/>
        </w:rPr>
      </w:pPr>
    </w:p>
    <w:p w14:paraId="0B43FA6B" w14:textId="77777777" w:rsidR="00C5289C" w:rsidRPr="00995260" w:rsidRDefault="00C5289C" w:rsidP="00B476ED">
      <w:pPr>
        <w:numPr>
          <w:ilvl w:val="0"/>
          <w:numId w:val="13"/>
        </w:numPr>
        <w:tabs>
          <w:tab w:val="left" w:pos="567"/>
        </w:tabs>
        <w:spacing w:line="240" w:lineRule="auto"/>
        <w:ind w:left="0" w:right="-801" w:firstLine="0"/>
        <w:rPr>
          <w:sz w:val="20"/>
          <w:szCs w:val="20"/>
        </w:rPr>
      </w:pPr>
      <w:r w:rsidRPr="00995260">
        <w:rPr>
          <w:sz w:val="20"/>
          <w:szCs w:val="20"/>
        </w:rPr>
        <w:t xml:space="preserve">En el procedimiento de supervisión de cumplimiento de la presente Sentencia, el Tribunal podrá disponer el reembolso por parte del Estado a las víctimas o sus </w:t>
      </w:r>
      <w:r w:rsidRPr="002A6CE2">
        <w:rPr>
          <w:sz w:val="20"/>
          <w:szCs w:val="20"/>
        </w:rPr>
        <w:t>representantes de los gastos razonables debidamente comprobados en dicha etapa procesal</w:t>
      </w:r>
      <w:r w:rsidRPr="002A6CE2">
        <w:rPr>
          <w:rStyle w:val="Refdenotaalpie"/>
          <w:sz w:val="20"/>
          <w:szCs w:val="20"/>
        </w:rPr>
        <w:footnoteReference w:id="161"/>
      </w:r>
      <w:r w:rsidRPr="002A6CE2">
        <w:rPr>
          <w:sz w:val="20"/>
          <w:szCs w:val="20"/>
        </w:rPr>
        <w:t>.</w:t>
      </w:r>
    </w:p>
    <w:p w14:paraId="49EA9B3C" w14:textId="77777777" w:rsidR="00C5289C" w:rsidRDefault="00C5289C" w:rsidP="00B476ED">
      <w:pPr>
        <w:tabs>
          <w:tab w:val="left" w:pos="567"/>
        </w:tabs>
        <w:spacing w:line="240" w:lineRule="auto"/>
        <w:ind w:right="-801"/>
        <w:rPr>
          <w:sz w:val="20"/>
          <w:szCs w:val="20"/>
          <w:lang w:val="es-CO"/>
        </w:rPr>
      </w:pPr>
    </w:p>
    <w:p w14:paraId="485227C2" w14:textId="7F8CC87D" w:rsidR="00C5289C" w:rsidRPr="00D64A56" w:rsidRDefault="00C5289C" w:rsidP="00B476ED">
      <w:pPr>
        <w:pStyle w:val="Ttulo2"/>
        <w:numPr>
          <w:ilvl w:val="0"/>
          <w:numId w:val="8"/>
        </w:numPr>
        <w:tabs>
          <w:tab w:val="clear" w:pos="1134"/>
          <w:tab w:val="left" w:pos="708"/>
        </w:tabs>
        <w:spacing w:before="0" w:after="0"/>
        <w:ind w:right="-801"/>
        <w:textAlignment w:val="auto"/>
        <w:rPr>
          <w:lang w:eastAsia="en-US"/>
        </w:rPr>
      </w:pPr>
      <w:bookmarkStart w:id="99" w:name="_Toc58330244"/>
      <w:r>
        <w:rPr>
          <w:lang w:eastAsia="en-US"/>
        </w:rPr>
        <w:t>Fondo de Asistencia Legal de Víctimas</w:t>
      </w:r>
      <w:bookmarkEnd w:id="99"/>
    </w:p>
    <w:p w14:paraId="12CC2AF3" w14:textId="77777777" w:rsidR="00C5289C" w:rsidRDefault="00C5289C" w:rsidP="00B476ED">
      <w:pPr>
        <w:tabs>
          <w:tab w:val="left" w:pos="567"/>
        </w:tabs>
        <w:spacing w:line="240" w:lineRule="auto"/>
        <w:ind w:right="-801"/>
        <w:rPr>
          <w:sz w:val="20"/>
          <w:szCs w:val="20"/>
          <w:lang w:val="es-CO"/>
        </w:rPr>
      </w:pPr>
    </w:p>
    <w:p w14:paraId="3D986E37" w14:textId="77777777" w:rsidR="00C5289C" w:rsidRPr="002A6CE2" w:rsidRDefault="00C5289C" w:rsidP="00B476ED">
      <w:pPr>
        <w:numPr>
          <w:ilvl w:val="0"/>
          <w:numId w:val="13"/>
        </w:numPr>
        <w:tabs>
          <w:tab w:val="left" w:pos="567"/>
        </w:tabs>
        <w:spacing w:line="240" w:lineRule="auto"/>
        <w:ind w:left="0" w:right="-801" w:firstLine="0"/>
        <w:rPr>
          <w:sz w:val="20"/>
          <w:szCs w:val="20"/>
        </w:rPr>
      </w:pPr>
      <w:r w:rsidRPr="001559A7">
        <w:rPr>
          <w:sz w:val="20"/>
          <w:szCs w:val="20"/>
          <w:lang w:val="es-CO"/>
        </w:rPr>
        <w:t>Debe dejarse sentado que, e</w:t>
      </w:r>
      <w:r w:rsidRPr="001559A7">
        <w:rPr>
          <w:sz w:val="20"/>
          <w:szCs w:val="20"/>
        </w:rPr>
        <w:t>n el presente caso, como consta en la Resolución de la Presidenta de 30 de junio de 2020 (</w:t>
      </w:r>
      <w:r w:rsidRPr="001559A7">
        <w:rPr>
          <w:i/>
          <w:sz w:val="20"/>
          <w:szCs w:val="20"/>
        </w:rPr>
        <w:t>supra</w:t>
      </w:r>
      <w:r w:rsidRPr="001559A7">
        <w:rPr>
          <w:sz w:val="20"/>
          <w:szCs w:val="20"/>
        </w:rPr>
        <w:t xml:space="preserve"> párr. </w:t>
      </w:r>
      <w:r>
        <w:rPr>
          <w:sz w:val="20"/>
          <w:szCs w:val="20"/>
        </w:rPr>
        <w:t>9</w:t>
      </w:r>
      <w:r w:rsidRPr="001559A7">
        <w:rPr>
          <w:sz w:val="20"/>
          <w:szCs w:val="20"/>
        </w:rPr>
        <w:t xml:space="preserve">), el 6 de marzo de 2020 “se comunicó a las partes y a la Comisión que, de conformidad con lo dispuesto en los artículos 31 del </w:t>
      </w:r>
      <w:r w:rsidRPr="00E80D6E">
        <w:rPr>
          <w:sz w:val="20"/>
          <w:szCs w:val="20"/>
        </w:rPr>
        <w:t>Reglamento de la Corte […] y 2, 3 y 5 del Reglamento del Fondo de Asistencia Legal de Víctimas, resulta[</w:t>
      </w:r>
      <w:proofErr w:type="spellStart"/>
      <w:r w:rsidRPr="00E80D6E">
        <w:rPr>
          <w:sz w:val="20"/>
          <w:szCs w:val="20"/>
        </w:rPr>
        <w:t>ba</w:t>
      </w:r>
      <w:proofErr w:type="spellEnd"/>
      <w:r w:rsidRPr="00E80D6E">
        <w:rPr>
          <w:sz w:val="20"/>
          <w:szCs w:val="20"/>
        </w:rPr>
        <w:t xml:space="preserve">] procedente la </w:t>
      </w:r>
      <w:r w:rsidRPr="002A6CE2">
        <w:rPr>
          <w:sz w:val="20"/>
          <w:szCs w:val="20"/>
        </w:rPr>
        <w:t>solicitud presentada por los representantes de acogerse al Fondo [de Asistencia Legal de Víctimas], por lo que se otorgaría apoyo económico para la presentación de tres declaraciones”</w:t>
      </w:r>
      <w:r w:rsidRPr="002A6CE2">
        <w:rPr>
          <w:rStyle w:val="Refdenotaalpie"/>
          <w:rFonts w:eastAsia="MS Mincho"/>
          <w:sz w:val="20"/>
          <w:szCs w:val="20"/>
        </w:rPr>
        <w:footnoteReference w:id="162"/>
      </w:r>
      <w:r w:rsidRPr="002A6CE2">
        <w:rPr>
          <w:sz w:val="20"/>
          <w:szCs w:val="20"/>
        </w:rPr>
        <w:t>. En la misma Resolución se determinó,</w:t>
      </w:r>
    </w:p>
    <w:p w14:paraId="1BC907D4" w14:textId="77777777" w:rsidR="00C5289C" w:rsidRPr="002A6CE2" w:rsidRDefault="00C5289C" w:rsidP="00B476ED">
      <w:pPr>
        <w:tabs>
          <w:tab w:val="left" w:pos="567"/>
        </w:tabs>
        <w:spacing w:line="240" w:lineRule="auto"/>
        <w:ind w:right="-801"/>
        <w:rPr>
          <w:sz w:val="20"/>
          <w:szCs w:val="20"/>
        </w:rPr>
      </w:pPr>
    </w:p>
    <w:p w14:paraId="0A3E0D50" w14:textId="57D0DF4F" w:rsidR="00C5289C" w:rsidRPr="001559A7" w:rsidRDefault="00C5289C" w:rsidP="00B476ED">
      <w:pPr>
        <w:tabs>
          <w:tab w:val="left" w:pos="567"/>
        </w:tabs>
        <w:spacing w:line="240" w:lineRule="auto"/>
        <w:ind w:left="284" w:right="-801"/>
        <w:rPr>
          <w:sz w:val="16"/>
          <w:szCs w:val="16"/>
        </w:rPr>
      </w:pPr>
      <w:r w:rsidRPr="001559A7">
        <w:rPr>
          <w:sz w:val="16"/>
          <w:szCs w:val="16"/>
        </w:rPr>
        <w:t>teniendo en cuenta que no se celebrar[</w:t>
      </w:r>
      <w:proofErr w:type="spellStart"/>
      <w:r w:rsidRPr="001559A7">
        <w:rPr>
          <w:sz w:val="16"/>
          <w:szCs w:val="16"/>
        </w:rPr>
        <w:t>ía</w:t>
      </w:r>
      <w:proofErr w:type="spellEnd"/>
      <w:r w:rsidRPr="001559A7">
        <w:rPr>
          <w:sz w:val="16"/>
          <w:szCs w:val="16"/>
        </w:rPr>
        <w:t>] una audiencia pública en el presente caso, [que] la asistencia económica ser[</w:t>
      </w:r>
      <w:proofErr w:type="spellStart"/>
      <w:r w:rsidRPr="001559A7">
        <w:rPr>
          <w:sz w:val="16"/>
          <w:szCs w:val="16"/>
        </w:rPr>
        <w:t>ía</w:t>
      </w:r>
      <w:proofErr w:type="spellEnd"/>
      <w:r w:rsidRPr="001559A7">
        <w:rPr>
          <w:sz w:val="16"/>
          <w:szCs w:val="16"/>
        </w:rPr>
        <w:t>] asignada para cubrir los gastos de tres declarantes, que indiquen los representantes, en lo que corresponde a los gastos de formalización y envío de las declaraciones escritas, siempre y cuando tales gastos resulten razonables. A tal efecto, los representantes deber[</w:t>
      </w:r>
      <w:proofErr w:type="spellStart"/>
      <w:r w:rsidRPr="001559A7">
        <w:rPr>
          <w:sz w:val="16"/>
          <w:szCs w:val="16"/>
        </w:rPr>
        <w:t>ían</w:t>
      </w:r>
      <w:proofErr w:type="spellEnd"/>
      <w:r w:rsidRPr="001559A7">
        <w:rPr>
          <w:sz w:val="16"/>
          <w:szCs w:val="16"/>
        </w:rPr>
        <w:t>] remitir al Tribunal tanto la justificación de tales gastos como sus comprobantes a más tardar con la presentación de los alegatos finales escritos, siendo esa la última oportunidad procesal para hacerlo</w:t>
      </w:r>
      <w:r w:rsidRPr="001559A7">
        <w:rPr>
          <w:rStyle w:val="Refdenotaalpie"/>
          <w:rFonts w:eastAsia="MS Mincho"/>
          <w:sz w:val="16"/>
          <w:szCs w:val="16"/>
        </w:rPr>
        <w:footnoteReference w:id="163"/>
      </w:r>
      <w:r w:rsidRPr="001559A7">
        <w:rPr>
          <w:sz w:val="16"/>
          <w:szCs w:val="16"/>
        </w:rPr>
        <w:t>.</w:t>
      </w:r>
    </w:p>
    <w:p w14:paraId="09915982" w14:textId="77777777" w:rsidR="00C5289C" w:rsidRPr="009C51B3" w:rsidRDefault="00C5289C" w:rsidP="00B476ED">
      <w:pPr>
        <w:tabs>
          <w:tab w:val="left" w:pos="567"/>
        </w:tabs>
        <w:spacing w:line="240" w:lineRule="auto"/>
        <w:ind w:right="-801"/>
        <w:rPr>
          <w:szCs w:val="20"/>
        </w:rPr>
      </w:pPr>
    </w:p>
    <w:p w14:paraId="2823807B" w14:textId="77777777" w:rsidR="00C5289C" w:rsidRPr="001559A7" w:rsidRDefault="00C5289C" w:rsidP="00B476ED">
      <w:pPr>
        <w:numPr>
          <w:ilvl w:val="0"/>
          <w:numId w:val="13"/>
        </w:numPr>
        <w:tabs>
          <w:tab w:val="left" w:pos="567"/>
        </w:tabs>
        <w:spacing w:line="240" w:lineRule="auto"/>
        <w:ind w:left="0" w:right="-801" w:firstLine="0"/>
        <w:rPr>
          <w:sz w:val="20"/>
          <w:szCs w:val="20"/>
        </w:rPr>
      </w:pPr>
      <w:r w:rsidRPr="001559A7">
        <w:rPr>
          <w:sz w:val="20"/>
          <w:szCs w:val="20"/>
        </w:rPr>
        <w:t xml:space="preserve">Pese a lo anterior, los representantes no remitieron junto a sus alegatos finales escritos, ni con anterioridad, comprobantes de gastos. Por ello, el Fondo de Asistencia Legal de Víctimas no fue utilizado, y no corresponde ordenar reintegro alguno al Estado. </w:t>
      </w:r>
    </w:p>
    <w:p w14:paraId="7504C79F" w14:textId="77777777" w:rsidR="00C5289C" w:rsidRDefault="00C5289C" w:rsidP="00B476ED">
      <w:pPr>
        <w:tabs>
          <w:tab w:val="left" w:pos="567"/>
        </w:tabs>
        <w:spacing w:line="240" w:lineRule="auto"/>
        <w:ind w:right="-801"/>
        <w:rPr>
          <w:sz w:val="20"/>
          <w:szCs w:val="20"/>
          <w:lang w:val="es-CO"/>
        </w:rPr>
      </w:pPr>
    </w:p>
    <w:p w14:paraId="536B0FE7" w14:textId="4529E13A" w:rsidR="00C5289C" w:rsidRPr="00D64A56" w:rsidRDefault="00C5289C" w:rsidP="00B476ED">
      <w:pPr>
        <w:pStyle w:val="Ttulo2"/>
        <w:numPr>
          <w:ilvl w:val="0"/>
          <w:numId w:val="8"/>
        </w:numPr>
        <w:tabs>
          <w:tab w:val="clear" w:pos="1134"/>
          <w:tab w:val="left" w:pos="708"/>
        </w:tabs>
        <w:spacing w:before="0" w:after="0"/>
        <w:ind w:right="-801"/>
        <w:textAlignment w:val="auto"/>
        <w:rPr>
          <w:lang w:eastAsia="en-US"/>
        </w:rPr>
      </w:pPr>
      <w:bookmarkStart w:id="100" w:name="_Toc58330245"/>
      <w:r>
        <w:rPr>
          <w:lang w:eastAsia="en-US"/>
        </w:rPr>
        <w:t>Modalidad de cumplimiento</w:t>
      </w:r>
      <w:bookmarkEnd w:id="100"/>
      <w:r>
        <w:rPr>
          <w:lang w:eastAsia="en-US"/>
        </w:rPr>
        <w:t xml:space="preserve"> </w:t>
      </w:r>
    </w:p>
    <w:p w14:paraId="4D4DF58C" w14:textId="77777777" w:rsidR="00C5289C" w:rsidRDefault="00C5289C" w:rsidP="00B476ED">
      <w:pPr>
        <w:tabs>
          <w:tab w:val="left" w:pos="567"/>
        </w:tabs>
        <w:spacing w:line="240" w:lineRule="auto"/>
        <w:ind w:right="-801"/>
        <w:rPr>
          <w:sz w:val="20"/>
          <w:szCs w:val="20"/>
          <w:lang w:val="es-CO"/>
        </w:rPr>
      </w:pPr>
    </w:p>
    <w:p w14:paraId="42D1D387" w14:textId="26967F6A" w:rsidR="00C5289C" w:rsidRPr="0023259D" w:rsidRDefault="00C5289C" w:rsidP="00B476ED">
      <w:pPr>
        <w:numPr>
          <w:ilvl w:val="0"/>
          <w:numId w:val="13"/>
        </w:numPr>
        <w:tabs>
          <w:tab w:val="left" w:pos="567"/>
        </w:tabs>
        <w:spacing w:line="240" w:lineRule="auto"/>
        <w:ind w:left="0" w:right="-801" w:firstLine="0"/>
        <w:rPr>
          <w:sz w:val="20"/>
          <w:szCs w:val="20"/>
          <w:lang w:val="es-CO"/>
        </w:rPr>
      </w:pPr>
      <w:r w:rsidRPr="0023259D">
        <w:rPr>
          <w:sz w:val="20"/>
          <w:szCs w:val="20"/>
        </w:rPr>
        <w:t>El Estado deberá efectuar el pago de las indemnizaciones por concepto de daño material e inmaterial y el reintegro de costas y gastos establecidos en la presente Sentencia directamente a las personas y a la</w:t>
      </w:r>
      <w:r w:rsidR="00086F00">
        <w:rPr>
          <w:sz w:val="20"/>
          <w:szCs w:val="20"/>
        </w:rPr>
        <w:t>s</w:t>
      </w:r>
      <w:r w:rsidRPr="0023259D">
        <w:rPr>
          <w:sz w:val="20"/>
          <w:szCs w:val="20"/>
        </w:rPr>
        <w:t xml:space="preserve"> organizaci</w:t>
      </w:r>
      <w:r w:rsidR="00086F00">
        <w:rPr>
          <w:sz w:val="20"/>
          <w:szCs w:val="20"/>
        </w:rPr>
        <w:t>o</w:t>
      </w:r>
      <w:r w:rsidRPr="0023259D">
        <w:rPr>
          <w:sz w:val="20"/>
          <w:szCs w:val="20"/>
        </w:rPr>
        <w:t>n</w:t>
      </w:r>
      <w:r w:rsidR="00086F00">
        <w:rPr>
          <w:sz w:val="20"/>
          <w:szCs w:val="20"/>
        </w:rPr>
        <w:t>es</w:t>
      </w:r>
      <w:r w:rsidRPr="0023259D">
        <w:rPr>
          <w:sz w:val="20"/>
          <w:szCs w:val="20"/>
        </w:rPr>
        <w:t xml:space="preserve"> que se indican, dentro del plazo de un año, contado a partir de la notificación del presente Fallo, en los términos de los siguientes párrafos.</w:t>
      </w:r>
    </w:p>
    <w:p w14:paraId="06ACA974" w14:textId="77777777" w:rsidR="00C5289C" w:rsidRPr="0023259D" w:rsidRDefault="00C5289C" w:rsidP="00B476ED">
      <w:pPr>
        <w:tabs>
          <w:tab w:val="left" w:pos="567"/>
        </w:tabs>
        <w:spacing w:line="240" w:lineRule="auto"/>
        <w:ind w:right="-801"/>
        <w:rPr>
          <w:sz w:val="20"/>
          <w:szCs w:val="20"/>
          <w:lang w:val="es-CO"/>
        </w:rPr>
      </w:pPr>
    </w:p>
    <w:p w14:paraId="28ED7E97" w14:textId="77777777" w:rsidR="00C5289C" w:rsidRPr="0023259D" w:rsidRDefault="00C5289C" w:rsidP="00B476ED">
      <w:pPr>
        <w:numPr>
          <w:ilvl w:val="0"/>
          <w:numId w:val="13"/>
        </w:numPr>
        <w:tabs>
          <w:tab w:val="left" w:pos="567"/>
        </w:tabs>
        <w:spacing w:line="240" w:lineRule="auto"/>
        <w:ind w:left="0" w:right="-801" w:firstLine="0"/>
        <w:rPr>
          <w:sz w:val="20"/>
          <w:szCs w:val="20"/>
          <w:lang w:val="es-CO"/>
        </w:rPr>
      </w:pPr>
      <w:r w:rsidRPr="0023259D">
        <w:rPr>
          <w:sz w:val="20"/>
          <w:szCs w:val="20"/>
        </w:rPr>
        <w:t>En caso de que los beneficiarios fallezcan antes de que les sean entregadas las indemnizaciones respectivas, estas se efectuarán directamente a sus derechohabientes, conforme al derecho interno aplicable.</w:t>
      </w:r>
    </w:p>
    <w:p w14:paraId="3A1E2A37" w14:textId="77777777" w:rsidR="00C5289C" w:rsidRDefault="00C5289C" w:rsidP="00B476ED">
      <w:pPr>
        <w:pStyle w:val="Prrafodelista"/>
        <w:spacing w:line="240" w:lineRule="auto"/>
        <w:ind w:right="-801"/>
        <w:rPr>
          <w:sz w:val="20"/>
          <w:szCs w:val="20"/>
        </w:rPr>
      </w:pPr>
    </w:p>
    <w:p w14:paraId="32466523" w14:textId="77777777" w:rsidR="00C5289C" w:rsidRPr="0023259D" w:rsidRDefault="00C5289C" w:rsidP="00B476ED">
      <w:pPr>
        <w:numPr>
          <w:ilvl w:val="0"/>
          <w:numId w:val="13"/>
        </w:numPr>
        <w:tabs>
          <w:tab w:val="left" w:pos="567"/>
        </w:tabs>
        <w:spacing w:line="240" w:lineRule="auto"/>
        <w:ind w:left="0" w:right="-801" w:firstLine="0"/>
        <w:rPr>
          <w:sz w:val="20"/>
          <w:szCs w:val="20"/>
          <w:lang w:val="es-CO"/>
        </w:rPr>
      </w:pPr>
      <w:r w:rsidRPr="0023259D">
        <w:rPr>
          <w:sz w:val="20"/>
          <w:szCs w:val="20"/>
        </w:rPr>
        <w:t xml:space="preserve">En lo que respecta a la moneda de pago de las indemnizaciones y reintegro de costas y gastos, el Estado debe cumplir sus obligaciones monetarias mediante el pago en dólares de los Estados Unidos de América o, de no ser esto posible, en su equivalente en moneda venezolana, utilizando para el cálculo respectivo la tasa </w:t>
      </w:r>
      <w:proofErr w:type="gramStart"/>
      <w:r w:rsidRPr="0023259D">
        <w:rPr>
          <w:sz w:val="20"/>
          <w:szCs w:val="20"/>
        </w:rPr>
        <w:t>más alta y más beneficiosa</w:t>
      </w:r>
      <w:proofErr w:type="gramEnd"/>
      <w:r w:rsidRPr="0023259D">
        <w:rPr>
          <w:sz w:val="20"/>
          <w:szCs w:val="20"/>
        </w:rPr>
        <w:t xml:space="preserve"> para las víctimas que permita su ordenamiento interno, vigente al momento del pago. Durante la etapa de supervisión de cumplimiento de la sentencia, la Corte podrá reajustar prudentemente el equivalente de estas cifras en moneda venezolana, con el objeto de evitar que las variaciones cambiarias afecten sustancialmente el valor adquisitivo de esos montos. </w:t>
      </w:r>
    </w:p>
    <w:p w14:paraId="51A2AB6F" w14:textId="77777777" w:rsidR="00C5289C" w:rsidRDefault="00C5289C" w:rsidP="00B476ED">
      <w:pPr>
        <w:pStyle w:val="Prrafodelista"/>
        <w:spacing w:line="240" w:lineRule="auto"/>
        <w:ind w:right="-801"/>
        <w:rPr>
          <w:sz w:val="20"/>
          <w:szCs w:val="20"/>
        </w:rPr>
      </w:pPr>
    </w:p>
    <w:p w14:paraId="6897923F" w14:textId="77777777" w:rsidR="00C5289C" w:rsidRPr="0023259D" w:rsidRDefault="00C5289C" w:rsidP="00B476ED">
      <w:pPr>
        <w:numPr>
          <w:ilvl w:val="0"/>
          <w:numId w:val="13"/>
        </w:numPr>
        <w:tabs>
          <w:tab w:val="left" w:pos="567"/>
        </w:tabs>
        <w:spacing w:line="240" w:lineRule="auto"/>
        <w:ind w:left="0" w:right="-801" w:firstLine="0"/>
        <w:rPr>
          <w:sz w:val="20"/>
          <w:szCs w:val="20"/>
          <w:lang w:val="es-CO"/>
        </w:rPr>
      </w:pPr>
      <w:r w:rsidRPr="0023259D">
        <w:rPr>
          <w:sz w:val="20"/>
          <w:szCs w:val="20"/>
        </w:rPr>
        <w:t xml:space="preserve">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venezolana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 </w:t>
      </w:r>
    </w:p>
    <w:p w14:paraId="19D25B52" w14:textId="77777777" w:rsidR="00C5289C" w:rsidRDefault="00C5289C" w:rsidP="00B476ED">
      <w:pPr>
        <w:pStyle w:val="Prrafodelista"/>
        <w:spacing w:line="240" w:lineRule="auto"/>
        <w:ind w:right="-801"/>
        <w:rPr>
          <w:sz w:val="20"/>
          <w:szCs w:val="20"/>
        </w:rPr>
      </w:pPr>
    </w:p>
    <w:p w14:paraId="360629DD" w14:textId="6CE7EA60" w:rsidR="00C5289C" w:rsidRPr="0023259D" w:rsidRDefault="00C5289C" w:rsidP="00B476ED">
      <w:pPr>
        <w:numPr>
          <w:ilvl w:val="0"/>
          <w:numId w:val="13"/>
        </w:numPr>
        <w:tabs>
          <w:tab w:val="left" w:pos="567"/>
        </w:tabs>
        <w:spacing w:line="240" w:lineRule="auto"/>
        <w:ind w:left="0" w:right="-801" w:firstLine="0"/>
        <w:rPr>
          <w:sz w:val="20"/>
          <w:szCs w:val="20"/>
          <w:lang w:val="es-CO"/>
        </w:rPr>
      </w:pPr>
      <w:r w:rsidRPr="0023259D">
        <w:rPr>
          <w:sz w:val="20"/>
          <w:szCs w:val="20"/>
        </w:rPr>
        <w:t>Las cantidades asignadas en la presente Sentencia como indemnización y como reintegro de costas y gastos deberán ser entregadas a las personas y a la</w:t>
      </w:r>
      <w:r w:rsidR="00086F00">
        <w:rPr>
          <w:sz w:val="20"/>
          <w:szCs w:val="20"/>
        </w:rPr>
        <w:t>s</w:t>
      </w:r>
      <w:r w:rsidRPr="0023259D">
        <w:rPr>
          <w:sz w:val="20"/>
          <w:szCs w:val="20"/>
        </w:rPr>
        <w:t xml:space="preserve"> organizaci</w:t>
      </w:r>
      <w:r w:rsidR="00086F00">
        <w:rPr>
          <w:sz w:val="20"/>
          <w:szCs w:val="20"/>
        </w:rPr>
        <w:t>o</w:t>
      </w:r>
      <w:r w:rsidRPr="0023259D">
        <w:rPr>
          <w:sz w:val="20"/>
          <w:szCs w:val="20"/>
        </w:rPr>
        <w:t>n</w:t>
      </w:r>
      <w:r w:rsidR="00086F00">
        <w:rPr>
          <w:sz w:val="20"/>
          <w:szCs w:val="20"/>
        </w:rPr>
        <w:t>es</w:t>
      </w:r>
      <w:r w:rsidRPr="0023259D">
        <w:rPr>
          <w:sz w:val="20"/>
          <w:szCs w:val="20"/>
        </w:rPr>
        <w:t xml:space="preserve"> indicadas en forma íntegra, conforme a lo establecido en esta Sentencia, sin reducciones derivadas de eventuales cargas fiscales.</w:t>
      </w:r>
    </w:p>
    <w:p w14:paraId="2580CB4B" w14:textId="77777777" w:rsidR="00C5289C" w:rsidRDefault="00C5289C" w:rsidP="00B476ED">
      <w:pPr>
        <w:pStyle w:val="Prrafodelista"/>
        <w:spacing w:line="240" w:lineRule="auto"/>
        <w:ind w:right="-801"/>
        <w:rPr>
          <w:sz w:val="20"/>
          <w:szCs w:val="20"/>
        </w:rPr>
      </w:pPr>
    </w:p>
    <w:p w14:paraId="5903C513" w14:textId="77777777" w:rsidR="00C5289C" w:rsidRPr="0023259D" w:rsidRDefault="00C5289C" w:rsidP="00B476ED">
      <w:pPr>
        <w:numPr>
          <w:ilvl w:val="0"/>
          <w:numId w:val="13"/>
        </w:numPr>
        <w:tabs>
          <w:tab w:val="left" w:pos="567"/>
        </w:tabs>
        <w:spacing w:line="240" w:lineRule="auto"/>
        <w:ind w:left="0" w:right="-801" w:firstLine="0"/>
        <w:rPr>
          <w:sz w:val="20"/>
          <w:szCs w:val="20"/>
          <w:lang w:val="es-CO"/>
        </w:rPr>
      </w:pPr>
      <w:r w:rsidRPr="0023259D">
        <w:rPr>
          <w:sz w:val="20"/>
          <w:szCs w:val="20"/>
        </w:rPr>
        <w:t>En caso de que el Estado incurriera en mora</w:t>
      </w:r>
      <w:r w:rsidRPr="00EE1CF9">
        <w:rPr>
          <w:sz w:val="20"/>
          <w:szCs w:val="20"/>
        </w:rPr>
        <w:t>,</w:t>
      </w:r>
      <w:r w:rsidRPr="0023259D">
        <w:rPr>
          <w:sz w:val="20"/>
          <w:szCs w:val="20"/>
        </w:rPr>
        <w:t xml:space="preserve"> deberá pagar un interés sobre la cantidad adeudada, correspondiente al interés bancario moratorio en la República Bolivariana de Venezuela.</w:t>
      </w:r>
    </w:p>
    <w:p w14:paraId="00AC5906" w14:textId="726F1EE2" w:rsidR="00C5289C" w:rsidRDefault="00C5289C" w:rsidP="00B476ED">
      <w:pPr>
        <w:spacing w:line="240" w:lineRule="auto"/>
        <w:ind w:right="-801"/>
      </w:pPr>
    </w:p>
    <w:p w14:paraId="51408885" w14:textId="77777777" w:rsidR="00B900C8" w:rsidRPr="00B633EF" w:rsidRDefault="00B900C8" w:rsidP="00B476ED">
      <w:pPr>
        <w:pStyle w:val="Prrafodelista"/>
        <w:spacing w:line="240" w:lineRule="auto"/>
        <w:ind w:right="-801"/>
        <w:jc w:val="center"/>
        <w:outlineLvl w:val="0"/>
        <w:rPr>
          <w:b/>
          <w:sz w:val="20"/>
          <w:szCs w:val="20"/>
          <w:lang w:val="es-CO"/>
        </w:rPr>
      </w:pPr>
      <w:bookmarkStart w:id="101" w:name="_Toc58330246"/>
      <w:r>
        <w:rPr>
          <w:b/>
          <w:sz w:val="20"/>
          <w:szCs w:val="20"/>
        </w:rPr>
        <w:t>IX</w:t>
      </w:r>
      <w:r>
        <w:rPr>
          <w:b/>
          <w:sz w:val="20"/>
          <w:szCs w:val="20"/>
        </w:rPr>
        <w:br/>
        <w:t>PUNTOS RESOLUTIVOS</w:t>
      </w:r>
      <w:bookmarkEnd w:id="101"/>
    </w:p>
    <w:p w14:paraId="33C23088" w14:textId="77777777" w:rsidR="00B900C8" w:rsidRPr="0023259D" w:rsidRDefault="00B900C8" w:rsidP="00B476ED">
      <w:pPr>
        <w:tabs>
          <w:tab w:val="left" w:pos="567"/>
        </w:tabs>
        <w:spacing w:line="240" w:lineRule="auto"/>
        <w:ind w:right="-801"/>
        <w:rPr>
          <w:sz w:val="20"/>
          <w:szCs w:val="20"/>
          <w:lang w:val="es-CO"/>
        </w:rPr>
      </w:pPr>
    </w:p>
    <w:p w14:paraId="3BCC9F8F" w14:textId="77777777" w:rsidR="00B900C8" w:rsidRPr="0000014D" w:rsidRDefault="00B900C8" w:rsidP="00B476ED">
      <w:pPr>
        <w:numPr>
          <w:ilvl w:val="0"/>
          <w:numId w:val="13"/>
        </w:numPr>
        <w:tabs>
          <w:tab w:val="left" w:pos="567"/>
        </w:tabs>
        <w:spacing w:line="240" w:lineRule="auto"/>
        <w:ind w:left="0" w:right="-801" w:firstLine="0"/>
        <w:rPr>
          <w:sz w:val="20"/>
          <w:szCs w:val="20"/>
          <w:lang w:val="es-CO"/>
        </w:rPr>
      </w:pPr>
      <w:r w:rsidRPr="0000014D">
        <w:rPr>
          <w:sz w:val="20"/>
          <w:szCs w:val="20"/>
        </w:rPr>
        <w:t xml:space="preserve">Por tanto, </w:t>
      </w:r>
    </w:p>
    <w:p w14:paraId="3411F5BC" w14:textId="77777777" w:rsidR="00B900C8" w:rsidRPr="0000014D" w:rsidRDefault="00B900C8" w:rsidP="00B476ED">
      <w:pPr>
        <w:pStyle w:val="Prrafodelista"/>
        <w:tabs>
          <w:tab w:val="left" w:pos="630"/>
        </w:tabs>
        <w:spacing w:line="240" w:lineRule="auto"/>
        <w:ind w:left="0" w:right="-801"/>
        <w:rPr>
          <w:sz w:val="20"/>
          <w:szCs w:val="20"/>
        </w:rPr>
      </w:pPr>
    </w:p>
    <w:p w14:paraId="300CFD66" w14:textId="77777777" w:rsidR="00B900C8" w:rsidRPr="0000014D" w:rsidRDefault="00B900C8" w:rsidP="00B476ED">
      <w:pPr>
        <w:pStyle w:val="Prrafodelista"/>
        <w:tabs>
          <w:tab w:val="left" w:pos="630"/>
        </w:tabs>
        <w:spacing w:line="240" w:lineRule="auto"/>
        <w:ind w:left="0" w:right="-801"/>
        <w:rPr>
          <w:b/>
          <w:sz w:val="20"/>
          <w:szCs w:val="20"/>
        </w:rPr>
      </w:pPr>
      <w:r w:rsidRPr="0000014D">
        <w:rPr>
          <w:b/>
          <w:sz w:val="20"/>
          <w:szCs w:val="20"/>
        </w:rPr>
        <w:t>LA CORTE</w:t>
      </w:r>
    </w:p>
    <w:p w14:paraId="7D61EC32" w14:textId="77777777" w:rsidR="00B900C8" w:rsidRPr="0000014D" w:rsidRDefault="00B900C8" w:rsidP="00B476ED">
      <w:pPr>
        <w:pStyle w:val="Prrafodelista"/>
        <w:tabs>
          <w:tab w:val="left" w:pos="630"/>
        </w:tabs>
        <w:spacing w:line="240" w:lineRule="auto"/>
        <w:ind w:left="0" w:right="-801"/>
        <w:rPr>
          <w:b/>
          <w:sz w:val="20"/>
          <w:szCs w:val="20"/>
        </w:rPr>
      </w:pPr>
    </w:p>
    <w:p w14:paraId="30AF3892" w14:textId="77777777" w:rsidR="00B900C8" w:rsidRPr="0000014D" w:rsidRDefault="00B900C8" w:rsidP="00B476ED">
      <w:pPr>
        <w:pStyle w:val="Prrafodelista"/>
        <w:tabs>
          <w:tab w:val="left" w:pos="630"/>
        </w:tabs>
        <w:spacing w:line="240" w:lineRule="auto"/>
        <w:ind w:left="0" w:right="-801"/>
        <w:rPr>
          <w:b/>
          <w:sz w:val="20"/>
          <w:szCs w:val="20"/>
        </w:rPr>
      </w:pPr>
      <w:r w:rsidRPr="0000014D">
        <w:rPr>
          <w:b/>
          <w:sz w:val="20"/>
          <w:szCs w:val="20"/>
        </w:rPr>
        <w:t>DECIDE,</w:t>
      </w:r>
    </w:p>
    <w:p w14:paraId="4D19FD00" w14:textId="77777777" w:rsidR="00B900C8" w:rsidRPr="0000014D" w:rsidRDefault="00B900C8" w:rsidP="00B476ED">
      <w:pPr>
        <w:pStyle w:val="Prrafodelista"/>
        <w:tabs>
          <w:tab w:val="left" w:pos="630"/>
        </w:tabs>
        <w:spacing w:line="240" w:lineRule="auto"/>
        <w:ind w:left="0" w:right="-801"/>
        <w:rPr>
          <w:b/>
          <w:sz w:val="20"/>
          <w:szCs w:val="20"/>
        </w:rPr>
      </w:pPr>
    </w:p>
    <w:p w14:paraId="790BB92C" w14:textId="77777777" w:rsidR="00B900C8" w:rsidRPr="0000014D" w:rsidRDefault="00B900C8" w:rsidP="00B476ED">
      <w:pPr>
        <w:pStyle w:val="Prrafodelista"/>
        <w:tabs>
          <w:tab w:val="left" w:pos="630"/>
        </w:tabs>
        <w:spacing w:line="240" w:lineRule="auto"/>
        <w:ind w:left="0" w:right="-801"/>
        <w:rPr>
          <w:b/>
          <w:sz w:val="20"/>
          <w:szCs w:val="20"/>
        </w:rPr>
      </w:pPr>
      <w:r w:rsidRPr="0000014D">
        <w:rPr>
          <w:sz w:val="20"/>
          <w:szCs w:val="20"/>
          <w:lang w:val="es-PE"/>
        </w:rPr>
        <w:t xml:space="preserve">Por </w:t>
      </w:r>
      <w:r>
        <w:rPr>
          <w:sz w:val="20"/>
          <w:szCs w:val="20"/>
          <w:lang w:val="es-PE"/>
        </w:rPr>
        <w:t>unanimidad</w:t>
      </w:r>
      <w:r w:rsidRPr="0000014D">
        <w:rPr>
          <w:sz w:val="20"/>
          <w:szCs w:val="20"/>
          <w:lang w:val="es-PE"/>
        </w:rPr>
        <w:t>:</w:t>
      </w:r>
    </w:p>
    <w:p w14:paraId="51CBB476" w14:textId="77777777" w:rsidR="00B900C8" w:rsidRPr="0000014D" w:rsidRDefault="00B900C8" w:rsidP="00B476ED">
      <w:pPr>
        <w:pStyle w:val="Prrafodelista"/>
        <w:tabs>
          <w:tab w:val="left" w:pos="630"/>
        </w:tabs>
        <w:spacing w:line="240" w:lineRule="auto"/>
        <w:ind w:left="0" w:right="-801"/>
        <w:rPr>
          <w:b/>
          <w:sz w:val="20"/>
          <w:szCs w:val="20"/>
        </w:rPr>
      </w:pPr>
    </w:p>
    <w:p w14:paraId="0ED6E6DD" w14:textId="6F351FAD" w:rsidR="00B900C8" w:rsidRPr="0000014D" w:rsidRDefault="00B900C8" w:rsidP="00B476ED">
      <w:pPr>
        <w:pStyle w:val="Prrafodelista"/>
        <w:widowControl/>
        <w:numPr>
          <w:ilvl w:val="3"/>
          <w:numId w:val="7"/>
        </w:numPr>
        <w:tabs>
          <w:tab w:val="left" w:pos="540"/>
          <w:tab w:val="left" w:pos="709"/>
        </w:tabs>
        <w:adjustRightInd/>
        <w:spacing w:line="240" w:lineRule="auto"/>
        <w:ind w:left="0" w:right="-801" w:firstLine="0"/>
        <w:textAlignment w:val="auto"/>
        <w:rPr>
          <w:b/>
          <w:sz w:val="20"/>
          <w:szCs w:val="20"/>
        </w:rPr>
      </w:pPr>
      <w:r w:rsidRPr="0000014D">
        <w:rPr>
          <w:sz w:val="20"/>
          <w:szCs w:val="20"/>
        </w:rPr>
        <w:t xml:space="preserve">Aceptar el reconocimiento de responsabilidad internacional efectuado por el Estado, en los términos de los párrafos </w:t>
      </w:r>
      <w:r w:rsidR="00700B9F">
        <w:rPr>
          <w:sz w:val="20"/>
          <w:szCs w:val="20"/>
        </w:rPr>
        <w:t>18</w:t>
      </w:r>
      <w:r w:rsidRPr="0000014D">
        <w:rPr>
          <w:sz w:val="20"/>
          <w:szCs w:val="20"/>
        </w:rPr>
        <w:t xml:space="preserve"> a </w:t>
      </w:r>
      <w:r w:rsidR="00700B9F">
        <w:rPr>
          <w:sz w:val="20"/>
          <w:szCs w:val="20"/>
        </w:rPr>
        <w:t>26</w:t>
      </w:r>
      <w:r w:rsidRPr="0000014D">
        <w:rPr>
          <w:sz w:val="20"/>
          <w:szCs w:val="20"/>
        </w:rPr>
        <w:t xml:space="preserve"> de la presente Sentencia.</w:t>
      </w:r>
    </w:p>
    <w:p w14:paraId="65637783" w14:textId="77777777" w:rsidR="00B900C8" w:rsidRPr="0052659E" w:rsidRDefault="00B900C8" w:rsidP="00B476ED">
      <w:pPr>
        <w:pStyle w:val="Prrafodelista"/>
        <w:tabs>
          <w:tab w:val="left" w:pos="630"/>
        </w:tabs>
        <w:spacing w:line="240" w:lineRule="auto"/>
        <w:ind w:left="0" w:right="-801"/>
        <w:rPr>
          <w:b/>
        </w:rPr>
      </w:pPr>
    </w:p>
    <w:p w14:paraId="33ECC484" w14:textId="77777777" w:rsidR="00B900C8" w:rsidRPr="00EF336A" w:rsidRDefault="00B900C8" w:rsidP="00B476ED">
      <w:pPr>
        <w:spacing w:line="240" w:lineRule="auto"/>
        <w:ind w:right="-801"/>
        <w:rPr>
          <w:b/>
          <w:sz w:val="20"/>
          <w:szCs w:val="20"/>
          <w:lang w:val="es-PE"/>
        </w:rPr>
      </w:pPr>
      <w:r w:rsidRPr="00EF336A">
        <w:rPr>
          <w:b/>
          <w:sz w:val="20"/>
          <w:szCs w:val="20"/>
        </w:rPr>
        <w:t>DECLARA</w:t>
      </w:r>
      <w:r w:rsidRPr="00EF336A">
        <w:rPr>
          <w:b/>
          <w:sz w:val="20"/>
          <w:szCs w:val="20"/>
          <w:lang w:val="es-PE"/>
        </w:rPr>
        <w:t>,</w:t>
      </w:r>
    </w:p>
    <w:p w14:paraId="1D3BD352" w14:textId="77777777" w:rsidR="00B900C8" w:rsidRPr="0052659E" w:rsidRDefault="00B900C8" w:rsidP="00B476ED">
      <w:pPr>
        <w:spacing w:line="240" w:lineRule="auto"/>
        <w:ind w:right="-801"/>
        <w:rPr>
          <w:b/>
          <w:lang w:val="es-PE"/>
        </w:rPr>
      </w:pPr>
    </w:p>
    <w:p w14:paraId="1B26C2B0" w14:textId="77777777" w:rsidR="00B900C8" w:rsidRPr="0000014D" w:rsidRDefault="00B900C8" w:rsidP="00B476ED">
      <w:pPr>
        <w:spacing w:line="240" w:lineRule="auto"/>
        <w:ind w:right="-801"/>
        <w:rPr>
          <w:sz w:val="20"/>
          <w:szCs w:val="20"/>
          <w:lang w:val="es-PE"/>
        </w:rPr>
      </w:pPr>
      <w:r w:rsidRPr="0000014D">
        <w:rPr>
          <w:sz w:val="20"/>
          <w:szCs w:val="20"/>
          <w:lang w:val="es-PE"/>
        </w:rPr>
        <w:t xml:space="preserve">Por </w:t>
      </w:r>
      <w:r>
        <w:rPr>
          <w:sz w:val="20"/>
          <w:szCs w:val="20"/>
          <w:lang w:val="es-PE"/>
        </w:rPr>
        <w:t>unanimidad</w:t>
      </w:r>
      <w:r w:rsidRPr="0000014D">
        <w:rPr>
          <w:sz w:val="20"/>
          <w:szCs w:val="20"/>
          <w:lang w:val="es-PE"/>
        </w:rPr>
        <w:t>, que:</w:t>
      </w:r>
    </w:p>
    <w:p w14:paraId="3907A1DF" w14:textId="77777777" w:rsidR="00B900C8" w:rsidRPr="0052659E" w:rsidRDefault="00B900C8" w:rsidP="00B476ED">
      <w:pPr>
        <w:spacing w:line="240" w:lineRule="auto"/>
        <w:ind w:right="-801"/>
        <w:rPr>
          <w:lang w:val="es-PE"/>
        </w:rPr>
      </w:pPr>
    </w:p>
    <w:p w14:paraId="74D9A9DF" w14:textId="0694D8D5" w:rsidR="00B900C8" w:rsidRPr="00CE6D24" w:rsidRDefault="00B900C8" w:rsidP="00B476ED">
      <w:pPr>
        <w:pStyle w:val="PrrafodeSentencia"/>
        <w:numPr>
          <w:ilvl w:val="0"/>
          <w:numId w:val="12"/>
        </w:numPr>
        <w:tabs>
          <w:tab w:val="clear" w:pos="567"/>
          <w:tab w:val="left" w:pos="709"/>
        </w:tabs>
        <w:ind w:left="0" w:right="-801" w:firstLine="0"/>
        <w:rPr>
          <w:lang w:val="es-PE"/>
        </w:rPr>
      </w:pPr>
      <w:r w:rsidRPr="00F77113">
        <w:rPr>
          <w:lang w:val="es-PE"/>
        </w:rPr>
        <w:t xml:space="preserve">El Estado es responsable por </w:t>
      </w:r>
      <w:r w:rsidRPr="003A5C19">
        <w:rPr>
          <w:lang w:val="es-PE"/>
        </w:rPr>
        <w:t xml:space="preserve">la violación de los derechos a la vida, a la integridad personal y de los derechos del niño, contenidos en los artículos 4.1, 5.1, 5.4, 5.5 y 5.6 y 19 de la Convención Americana sobre Derechos Humanos, en relación </w:t>
      </w:r>
      <w:r w:rsidR="00086F00">
        <w:rPr>
          <w:lang w:val="es-PE"/>
        </w:rPr>
        <w:t xml:space="preserve">con </w:t>
      </w:r>
      <w:r w:rsidRPr="003A5C19">
        <w:rPr>
          <w:lang w:val="es-PE"/>
        </w:rPr>
        <w:t>el artículo 1.1 del mismo instrumento, en</w:t>
      </w:r>
      <w:r w:rsidRPr="00F77113">
        <w:rPr>
          <w:lang w:val="es-PE"/>
        </w:rPr>
        <w:t xml:space="preserve"> perjuicio de </w:t>
      </w:r>
      <w:r w:rsidRPr="00CE6D24">
        <w:rPr>
          <w:lang w:val="es-MX"/>
        </w:rPr>
        <w:t xml:space="preserve">José Gregorio Mota </w:t>
      </w:r>
      <w:proofErr w:type="spellStart"/>
      <w:r w:rsidRPr="00CE6D24">
        <w:rPr>
          <w:lang w:val="es-MX"/>
        </w:rPr>
        <w:t>Abarullo</w:t>
      </w:r>
      <w:proofErr w:type="spellEnd"/>
      <w:r w:rsidRPr="00CE6D24">
        <w:rPr>
          <w:lang w:val="es-MX"/>
        </w:rPr>
        <w:t>, Rafael Antonio Parra Herrera, Johan José Correa,</w:t>
      </w:r>
      <w:r>
        <w:rPr>
          <w:lang w:val="es-MX"/>
        </w:rPr>
        <w:t xml:space="preserve"> Gabriel de Jesús Yáñez Sánchez y</w:t>
      </w:r>
      <w:r w:rsidRPr="00CE6D24">
        <w:rPr>
          <w:lang w:val="es-MX"/>
        </w:rPr>
        <w:t xml:space="preserve"> C</w:t>
      </w:r>
      <w:r>
        <w:rPr>
          <w:lang w:val="es-MX"/>
        </w:rPr>
        <w:t xml:space="preserve">ristian Arnaldo Molina Córdoba, en los términos de los párrafos </w:t>
      </w:r>
      <w:r w:rsidR="00700B9F">
        <w:rPr>
          <w:lang w:val="es-MX"/>
        </w:rPr>
        <w:t>78</w:t>
      </w:r>
      <w:r>
        <w:rPr>
          <w:lang w:val="es-MX"/>
        </w:rPr>
        <w:t xml:space="preserve"> a </w:t>
      </w:r>
      <w:r w:rsidR="00700B9F">
        <w:rPr>
          <w:lang w:val="es-MX"/>
        </w:rPr>
        <w:t>110 y 113</w:t>
      </w:r>
      <w:r>
        <w:rPr>
          <w:lang w:val="es-MX"/>
        </w:rPr>
        <w:t xml:space="preserve"> de la presente Sentencia.</w:t>
      </w:r>
    </w:p>
    <w:p w14:paraId="5D56C340" w14:textId="77777777" w:rsidR="00B900C8" w:rsidRPr="00CE6D24" w:rsidRDefault="00B900C8" w:rsidP="00B476ED">
      <w:pPr>
        <w:pStyle w:val="PrrafodeSentencia"/>
        <w:numPr>
          <w:ilvl w:val="0"/>
          <w:numId w:val="0"/>
        </w:numPr>
        <w:tabs>
          <w:tab w:val="clear" w:pos="567"/>
          <w:tab w:val="left" w:pos="709"/>
        </w:tabs>
        <w:ind w:right="-801"/>
        <w:rPr>
          <w:lang w:val="es-PE"/>
        </w:rPr>
      </w:pPr>
    </w:p>
    <w:p w14:paraId="648D562C" w14:textId="12F1787D" w:rsidR="00B900C8" w:rsidRPr="00CE6D24" w:rsidRDefault="00B900C8" w:rsidP="00B476ED">
      <w:pPr>
        <w:pStyle w:val="PrrafodeSentencia"/>
        <w:numPr>
          <w:ilvl w:val="0"/>
          <w:numId w:val="12"/>
        </w:numPr>
        <w:tabs>
          <w:tab w:val="clear" w:pos="567"/>
          <w:tab w:val="left" w:pos="709"/>
        </w:tabs>
        <w:ind w:left="0" w:right="-801" w:firstLine="0"/>
        <w:rPr>
          <w:lang w:val="es-PE"/>
        </w:rPr>
      </w:pPr>
      <w:r>
        <w:rPr>
          <w:lang w:val="es-PE"/>
        </w:rPr>
        <w:lastRenderedPageBreak/>
        <w:t xml:space="preserve">El Estado es responsable por la violación de los derechos a las garantías judiciales y a la protección judicial, reconocidos en los artículos 8.1 y 25.1 de la Convención Americana sobre Derechos Humanos, en relación con el artículo 1.1 del mismo instrumento, en perjuicio de </w:t>
      </w:r>
      <w:r w:rsidRPr="00CE6D24">
        <w:rPr>
          <w:lang w:val="es-MX"/>
        </w:rPr>
        <w:t xml:space="preserve">Elvia </w:t>
      </w:r>
      <w:proofErr w:type="spellStart"/>
      <w:r w:rsidRPr="00CE6D24">
        <w:rPr>
          <w:lang w:val="es-MX"/>
        </w:rPr>
        <w:t>Abarullo</w:t>
      </w:r>
      <w:proofErr w:type="spellEnd"/>
      <w:r w:rsidRPr="00CE6D24">
        <w:rPr>
          <w:lang w:val="es-MX"/>
        </w:rPr>
        <w:t xml:space="preserve"> de Mota, Félix Enríquez Mota, </w:t>
      </w:r>
      <w:proofErr w:type="spellStart"/>
      <w:r w:rsidRPr="00CE6D24">
        <w:rPr>
          <w:lang w:val="es-MX"/>
        </w:rPr>
        <w:t>Osmely</w:t>
      </w:r>
      <w:proofErr w:type="spellEnd"/>
      <w:r w:rsidRPr="00CE6D24">
        <w:rPr>
          <w:lang w:val="es-MX"/>
        </w:rPr>
        <w:t xml:space="preserve"> Angelina Mota </w:t>
      </w:r>
      <w:proofErr w:type="spellStart"/>
      <w:r w:rsidRPr="00CE6D24">
        <w:rPr>
          <w:lang w:val="es-MX"/>
        </w:rPr>
        <w:t>Abarullo</w:t>
      </w:r>
      <w:proofErr w:type="spellEnd"/>
      <w:r w:rsidRPr="00CE6D24">
        <w:rPr>
          <w:lang w:val="es-MX"/>
        </w:rPr>
        <w:t>, Myriam Josefina Herrera Sánchez, Jesús Juvenal Herrera Sánche</w:t>
      </w:r>
      <w:r w:rsidR="00F43338">
        <w:rPr>
          <w:lang w:val="es-MX"/>
        </w:rPr>
        <w:t xml:space="preserve">z, </w:t>
      </w:r>
      <w:proofErr w:type="spellStart"/>
      <w:r w:rsidR="00F43338">
        <w:rPr>
          <w:lang w:val="es-MX"/>
        </w:rPr>
        <w:t>Nelys</w:t>
      </w:r>
      <w:proofErr w:type="spellEnd"/>
      <w:r w:rsidR="00F43338">
        <w:rPr>
          <w:lang w:val="es-MX"/>
        </w:rPr>
        <w:t xml:space="preserve"> Margarita Correa, Belki</w:t>
      </w:r>
      <w:r w:rsidRPr="00CE6D24">
        <w:rPr>
          <w:lang w:val="es-MX"/>
        </w:rPr>
        <w:t>s Josefina Correa Ríos, Luis José Yáñez, Maritza del Valle Sánchez Ávila, María Cristina Córdova de Molina y Hugo Arnaldo Molina,</w:t>
      </w:r>
      <w:r>
        <w:rPr>
          <w:lang w:val="es-MX"/>
        </w:rPr>
        <w:t xml:space="preserve"> en los términos de los párrafos </w:t>
      </w:r>
      <w:r w:rsidR="00700B9F">
        <w:rPr>
          <w:lang w:val="es-MX"/>
        </w:rPr>
        <w:t>120</w:t>
      </w:r>
      <w:r>
        <w:rPr>
          <w:lang w:val="es-MX"/>
        </w:rPr>
        <w:t xml:space="preserve"> a </w:t>
      </w:r>
      <w:r w:rsidR="00700B9F">
        <w:rPr>
          <w:lang w:val="es-MX"/>
        </w:rPr>
        <w:t>127</w:t>
      </w:r>
      <w:r>
        <w:rPr>
          <w:lang w:val="es-MX"/>
        </w:rPr>
        <w:t xml:space="preserve"> de la presente Sentencia. </w:t>
      </w:r>
    </w:p>
    <w:p w14:paraId="1D2FD3B7" w14:textId="77777777" w:rsidR="00B900C8" w:rsidRDefault="00B900C8" w:rsidP="00B476ED">
      <w:pPr>
        <w:pStyle w:val="Prrafodelista"/>
        <w:spacing w:line="240" w:lineRule="auto"/>
        <w:ind w:right="-801"/>
        <w:rPr>
          <w:lang w:val="es-PE"/>
        </w:rPr>
      </w:pPr>
    </w:p>
    <w:p w14:paraId="4ED9E560" w14:textId="4C355B04" w:rsidR="00B900C8" w:rsidRPr="00CE6D24" w:rsidRDefault="00B900C8" w:rsidP="00B476ED">
      <w:pPr>
        <w:pStyle w:val="PrrafodeSentencia"/>
        <w:numPr>
          <w:ilvl w:val="0"/>
          <w:numId w:val="12"/>
        </w:numPr>
        <w:tabs>
          <w:tab w:val="clear" w:pos="567"/>
          <w:tab w:val="left" w:pos="709"/>
        </w:tabs>
        <w:ind w:left="0" w:right="-801" w:firstLine="0"/>
        <w:rPr>
          <w:lang w:val="es-PE"/>
        </w:rPr>
      </w:pPr>
      <w:r>
        <w:rPr>
          <w:lang w:val="es-PE"/>
        </w:rPr>
        <w:t xml:space="preserve">El Estado es responsable por la violación del derecho a la integridad personal, reconocido en el artículo 5.1 de la Convención Americana sobre Derechos Humanos, en relación con el artículo 1.1 del mismo instrumento, en perjuicio de </w:t>
      </w:r>
      <w:r w:rsidRPr="00CE6D24">
        <w:rPr>
          <w:lang w:val="es-MX"/>
        </w:rPr>
        <w:t xml:space="preserve">Elvia </w:t>
      </w:r>
      <w:proofErr w:type="spellStart"/>
      <w:r w:rsidRPr="00CE6D24">
        <w:rPr>
          <w:lang w:val="es-MX"/>
        </w:rPr>
        <w:t>Abarullo</w:t>
      </w:r>
      <w:proofErr w:type="spellEnd"/>
      <w:r w:rsidRPr="00CE6D24">
        <w:rPr>
          <w:lang w:val="es-MX"/>
        </w:rPr>
        <w:t xml:space="preserve"> de Mota, Félix Enríquez Mota, </w:t>
      </w:r>
      <w:proofErr w:type="spellStart"/>
      <w:r w:rsidRPr="00CE6D24">
        <w:rPr>
          <w:lang w:val="es-MX"/>
        </w:rPr>
        <w:t>Osmely</w:t>
      </w:r>
      <w:proofErr w:type="spellEnd"/>
      <w:r w:rsidRPr="00CE6D24">
        <w:rPr>
          <w:lang w:val="es-MX"/>
        </w:rPr>
        <w:t xml:space="preserve"> Angelina Mota </w:t>
      </w:r>
      <w:proofErr w:type="spellStart"/>
      <w:r w:rsidRPr="00CE6D24">
        <w:rPr>
          <w:lang w:val="es-MX"/>
        </w:rPr>
        <w:t>Abarullo</w:t>
      </w:r>
      <w:proofErr w:type="spellEnd"/>
      <w:r w:rsidRPr="00CE6D24">
        <w:rPr>
          <w:lang w:val="es-MX"/>
        </w:rPr>
        <w:t xml:space="preserve">, Myriam Josefina Herrera Sánchez, Jesús Juvenal Herrera Sánchez, </w:t>
      </w:r>
      <w:proofErr w:type="spellStart"/>
      <w:r w:rsidRPr="00CE6D24">
        <w:rPr>
          <w:lang w:val="es-MX"/>
        </w:rPr>
        <w:t>Nelys</w:t>
      </w:r>
      <w:proofErr w:type="spellEnd"/>
      <w:r w:rsidRPr="00CE6D24">
        <w:rPr>
          <w:lang w:val="es-MX"/>
        </w:rPr>
        <w:t xml:space="preserve"> Margarita Correa, Belk</w:t>
      </w:r>
      <w:r w:rsidR="00700B9F">
        <w:rPr>
          <w:lang w:val="es-MX"/>
        </w:rPr>
        <w:t>i</w:t>
      </w:r>
      <w:r w:rsidRPr="00CE6D24">
        <w:rPr>
          <w:lang w:val="es-MX"/>
        </w:rPr>
        <w:t xml:space="preserve">s Josefina Correa Ríos, Luis José Yáñez, Maritza del Valle Sánchez Ávila, María Cristina Córdova de Molina y Hugo Arnaldo Molina, en los términos de los párrafos </w:t>
      </w:r>
      <w:r w:rsidR="00700B9F">
        <w:rPr>
          <w:lang w:val="es-MX"/>
        </w:rPr>
        <w:t>130</w:t>
      </w:r>
      <w:r w:rsidRPr="00CE6D24">
        <w:rPr>
          <w:lang w:val="es-MX"/>
        </w:rPr>
        <w:t xml:space="preserve"> a </w:t>
      </w:r>
      <w:r w:rsidR="00700B9F">
        <w:rPr>
          <w:lang w:val="es-MX"/>
        </w:rPr>
        <w:t>133</w:t>
      </w:r>
      <w:r w:rsidRPr="00CE6D24">
        <w:rPr>
          <w:lang w:val="es-MX"/>
        </w:rPr>
        <w:t xml:space="preserve"> de la presente Sentencia. </w:t>
      </w:r>
    </w:p>
    <w:p w14:paraId="1841822C" w14:textId="77777777" w:rsidR="00B900C8" w:rsidRPr="0052659E" w:rsidRDefault="00B900C8" w:rsidP="00B476ED">
      <w:pPr>
        <w:spacing w:line="240" w:lineRule="auto"/>
        <w:ind w:right="-801"/>
        <w:rPr>
          <w:lang w:val="es-PE"/>
        </w:rPr>
      </w:pPr>
    </w:p>
    <w:p w14:paraId="242B93D9" w14:textId="77777777" w:rsidR="00B900C8" w:rsidRPr="0000014D" w:rsidRDefault="00B900C8" w:rsidP="00B476ED">
      <w:pPr>
        <w:spacing w:line="240" w:lineRule="auto"/>
        <w:ind w:right="-801"/>
        <w:rPr>
          <w:b/>
          <w:sz w:val="20"/>
          <w:szCs w:val="20"/>
          <w:lang w:val="es-PE"/>
        </w:rPr>
      </w:pPr>
      <w:r w:rsidRPr="0000014D">
        <w:rPr>
          <w:b/>
          <w:sz w:val="20"/>
          <w:szCs w:val="20"/>
          <w:lang w:val="es-PE"/>
        </w:rPr>
        <w:t>Y DISPONE:</w:t>
      </w:r>
    </w:p>
    <w:p w14:paraId="36D3B8B6" w14:textId="77777777" w:rsidR="00B900C8" w:rsidRPr="0000014D" w:rsidRDefault="00B900C8" w:rsidP="00B476ED">
      <w:pPr>
        <w:spacing w:line="240" w:lineRule="auto"/>
        <w:ind w:right="-801"/>
        <w:rPr>
          <w:b/>
          <w:sz w:val="20"/>
          <w:szCs w:val="20"/>
          <w:lang w:val="es-PE"/>
        </w:rPr>
      </w:pPr>
    </w:p>
    <w:p w14:paraId="7361DF87" w14:textId="77777777" w:rsidR="00B900C8" w:rsidRPr="0000014D" w:rsidRDefault="00B900C8" w:rsidP="00B476ED">
      <w:pPr>
        <w:spacing w:line="240" w:lineRule="auto"/>
        <w:ind w:right="-801"/>
        <w:rPr>
          <w:sz w:val="20"/>
          <w:szCs w:val="20"/>
          <w:lang w:val="es-PE"/>
        </w:rPr>
      </w:pPr>
      <w:r w:rsidRPr="0000014D">
        <w:rPr>
          <w:sz w:val="20"/>
          <w:szCs w:val="20"/>
          <w:lang w:val="es-PE"/>
        </w:rPr>
        <w:t xml:space="preserve">Por </w:t>
      </w:r>
      <w:r>
        <w:rPr>
          <w:sz w:val="20"/>
          <w:szCs w:val="20"/>
          <w:lang w:val="es-PE"/>
        </w:rPr>
        <w:t>unanimidad</w:t>
      </w:r>
      <w:r w:rsidRPr="0000014D">
        <w:rPr>
          <w:sz w:val="20"/>
          <w:szCs w:val="20"/>
          <w:lang w:val="es-PE"/>
        </w:rPr>
        <w:t>, que:</w:t>
      </w:r>
    </w:p>
    <w:p w14:paraId="0CC92DD7" w14:textId="77777777" w:rsidR="00B900C8" w:rsidRPr="0052659E" w:rsidRDefault="00B900C8" w:rsidP="00B476ED">
      <w:pPr>
        <w:spacing w:line="240" w:lineRule="auto"/>
        <w:ind w:right="-801"/>
        <w:rPr>
          <w:lang w:val="es-PE"/>
        </w:rPr>
      </w:pPr>
    </w:p>
    <w:p w14:paraId="1CF044E2" w14:textId="77777777" w:rsidR="00B900C8" w:rsidRPr="0052659E" w:rsidRDefault="00B900C8" w:rsidP="00B476ED">
      <w:pPr>
        <w:pStyle w:val="PrrafodeSentencia"/>
        <w:numPr>
          <w:ilvl w:val="0"/>
          <w:numId w:val="12"/>
        </w:numPr>
        <w:ind w:left="0" w:right="-801" w:firstLine="0"/>
        <w:rPr>
          <w:lang w:val="es-PE"/>
        </w:rPr>
      </w:pPr>
      <w:r w:rsidRPr="0052659E">
        <w:rPr>
          <w:lang w:val="es-PE"/>
        </w:rPr>
        <w:t>Esta Sentencia</w:t>
      </w:r>
      <w:r>
        <w:rPr>
          <w:lang w:val="es-PE"/>
        </w:rPr>
        <w:t xml:space="preserve"> es</w:t>
      </w:r>
      <w:r w:rsidRPr="0052659E">
        <w:rPr>
          <w:lang w:val="es-PE"/>
        </w:rPr>
        <w:t xml:space="preserve"> </w:t>
      </w:r>
      <w:r w:rsidRPr="0052659E">
        <w:rPr>
          <w:i/>
          <w:lang w:val="es-PE"/>
        </w:rPr>
        <w:t>per se</w:t>
      </w:r>
      <w:r w:rsidRPr="0052659E">
        <w:rPr>
          <w:lang w:val="es-PE"/>
        </w:rPr>
        <w:t xml:space="preserve"> una forma de reparación.</w:t>
      </w:r>
    </w:p>
    <w:p w14:paraId="488F5949" w14:textId="77777777" w:rsidR="00B900C8" w:rsidRPr="0052659E" w:rsidRDefault="00B900C8" w:rsidP="00B476ED">
      <w:pPr>
        <w:spacing w:line="240" w:lineRule="auto"/>
        <w:ind w:right="-801"/>
        <w:rPr>
          <w:lang w:val="es-PE"/>
        </w:rPr>
      </w:pPr>
    </w:p>
    <w:p w14:paraId="3E610E6D" w14:textId="56CE0994" w:rsidR="00B900C8" w:rsidRPr="000918E3" w:rsidRDefault="00B900C8" w:rsidP="00B476ED">
      <w:pPr>
        <w:pStyle w:val="PrrafodeSentencia"/>
        <w:numPr>
          <w:ilvl w:val="0"/>
          <w:numId w:val="12"/>
        </w:numPr>
        <w:ind w:left="0" w:right="-801" w:firstLine="0"/>
        <w:rPr>
          <w:lang w:val="es-PE"/>
        </w:rPr>
      </w:pPr>
      <w:r w:rsidRPr="0052659E">
        <w:rPr>
          <w:lang w:val="es-PE"/>
        </w:rPr>
        <w:t xml:space="preserve">El Estado </w:t>
      </w:r>
      <w:r>
        <w:t>impulsará, continuará y concluirá</w:t>
      </w:r>
      <w:r w:rsidRPr="00CE6D24">
        <w:t xml:space="preserve"> las investigaciones y/o procesos judiciales necesarios para determinar y, en su caso, juzgar y sancionar a las personas responsables de las muertes y lesiones ocasionadas a personas privadas de libertad en el INAM San- Félix a partir del incendio ocurrido el 30 de junio de 2005</w:t>
      </w:r>
      <w:r>
        <w:t xml:space="preserve">, en los términos del párrafo </w:t>
      </w:r>
      <w:r w:rsidR="00700B9F">
        <w:t>141</w:t>
      </w:r>
      <w:r>
        <w:t xml:space="preserve"> de la presente Sentencia. </w:t>
      </w:r>
    </w:p>
    <w:p w14:paraId="2C733B53" w14:textId="77777777" w:rsidR="00B900C8" w:rsidRPr="000918E3" w:rsidRDefault="00B900C8" w:rsidP="00B476ED">
      <w:pPr>
        <w:pStyle w:val="PrrafodeSentencia"/>
        <w:numPr>
          <w:ilvl w:val="0"/>
          <w:numId w:val="0"/>
        </w:numPr>
        <w:ind w:right="-801"/>
        <w:rPr>
          <w:lang w:val="es-PE"/>
        </w:rPr>
      </w:pPr>
    </w:p>
    <w:p w14:paraId="5BB79CD1" w14:textId="365F2199" w:rsidR="00B900C8" w:rsidRPr="003A5C19" w:rsidRDefault="00B900C8" w:rsidP="00B476ED">
      <w:pPr>
        <w:pStyle w:val="PrrafodeSentencia"/>
        <w:numPr>
          <w:ilvl w:val="0"/>
          <w:numId w:val="12"/>
        </w:numPr>
        <w:ind w:left="0" w:right="-801" w:firstLine="0"/>
        <w:rPr>
          <w:lang w:val="es-PE"/>
        </w:rPr>
      </w:pPr>
      <w:r w:rsidRPr="003A5C19">
        <w:rPr>
          <w:lang w:val="es-PE"/>
        </w:rPr>
        <w:t xml:space="preserve">El Estado </w:t>
      </w:r>
      <w:r w:rsidRPr="003A5C19">
        <w:t xml:space="preserve">realizará las actuaciones necesarias para, en su caso, determinar las responsabilidades administrativas y/o disciplinarias correspondientes, en los términos del párrafo </w:t>
      </w:r>
      <w:r w:rsidR="00700B9F">
        <w:t>142</w:t>
      </w:r>
      <w:r w:rsidRPr="003A5C19">
        <w:t xml:space="preserve"> de la presente Sentencia. </w:t>
      </w:r>
    </w:p>
    <w:p w14:paraId="2E07EA93" w14:textId="77777777" w:rsidR="00B900C8" w:rsidRDefault="00B900C8" w:rsidP="00B476ED">
      <w:pPr>
        <w:pStyle w:val="Prrafodelista"/>
        <w:spacing w:line="240" w:lineRule="auto"/>
        <w:ind w:right="-801"/>
        <w:rPr>
          <w:lang w:val="es-PE"/>
        </w:rPr>
      </w:pPr>
    </w:p>
    <w:p w14:paraId="00BECB6B" w14:textId="139A3DDD" w:rsidR="00B900C8" w:rsidRPr="0000014D" w:rsidRDefault="00B900C8" w:rsidP="00B476ED">
      <w:pPr>
        <w:pStyle w:val="PrrafodeSentencia"/>
        <w:numPr>
          <w:ilvl w:val="0"/>
          <w:numId w:val="12"/>
        </w:numPr>
        <w:ind w:left="0" w:right="-801" w:firstLine="0"/>
        <w:rPr>
          <w:lang w:val="es-PE"/>
        </w:rPr>
      </w:pPr>
      <w:r>
        <w:rPr>
          <w:lang w:val="es-PE"/>
        </w:rPr>
        <w:t xml:space="preserve">El Estado </w:t>
      </w:r>
      <w:r>
        <w:t>brindará</w:t>
      </w:r>
      <w:r w:rsidRPr="0000014D">
        <w:t xml:space="preserve"> tratamiento </w:t>
      </w:r>
      <w:r w:rsidR="00086F00" w:rsidRPr="0000014D">
        <w:t xml:space="preserve">psicológico </w:t>
      </w:r>
      <w:r w:rsidR="00086F00">
        <w:t xml:space="preserve">y/o </w:t>
      </w:r>
      <w:r w:rsidRPr="0000014D">
        <w:t xml:space="preserve">psiquiátrico a los familiares de las víctimas </w:t>
      </w:r>
      <w:r>
        <w:t xml:space="preserve">fallecidas </w:t>
      </w:r>
      <w:r w:rsidRPr="0000014D">
        <w:t>que así lo requieran</w:t>
      </w:r>
      <w:r>
        <w:t xml:space="preserve">, en los términos de los párrafos </w:t>
      </w:r>
      <w:r w:rsidR="00700B9F">
        <w:t>146</w:t>
      </w:r>
      <w:r>
        <w:t xml:space="preserve"> a </w:t>
      </w:r>
      <w:r w:rsidR="00700B9F">
        <w:t>147</w:t>
      </w:r>
      <w:r>
        <w:t xml:space="preserve"> de la presente Sentencia.</w:t>
      </w:r>
    </w:p>
    <w:p w14:paraId="328E7C52" w14:textId="77777777" w:rsidR="00B900C8" w:rsidRDefault="00B900C8" w:rsidP="00B476ED">
      <w:pPr>
        <w:pStyle w:val="Prrafodelista"/>
        <w:spacing w:line="240" w:lineRule="auto"/>
        <w:ind w:right="-801"/>
        <w:rPr>
          <w:lang w:val="es-PE"/>
        </w:rPr>
      </w:pPr>
    </w:p>
    <w:p w14:paraId="1F443553" w14:textId="54CD318C" w:rsidR="00B900C8" w:rsidRPr="0052659E" w:rsidRDefault="00B900C8" w:rsidP="00B476ED">
      <w:pPr>
        <w:pStyle w:val="PrrafodeSentencia"/>
        <w:numPr>
          <w:ilvl w:val="0"/>
          <w:numId w:val="12"/>
        </w:numPr>
        <w:ind w:left="0" w:right="-801" w:firstLine="0"/>
        <w:rPr>
          <w:lang w:val="es-PE"/>
        </w:rPr>
      </w:pPr>
      <w:r>
        <w:rPr>
          <w:lang w:val="es-PE"/>
        </w:rPr>
        <w:t xml:space="preserve">El Estado </w:t>
      </w:r>
      <w:r w:rsidRPr="0052659E">
        <w:rPr>
          <w:lang w:val="es-PE"/>
        </w:rPr>
        <w:t xml:space="preserve">realizará las publicaciones indicadas en el párrafo </w:t>
      </w:r>
      <w:r w:rsidR="00700B9F">
        <w:rPr>
          <w:lang w:val="es-PE"/>
        </w:rPr>
        <w:t>151</w:t>
      </w:r>
      <w:r w:rsidRPr="0052659E">
        <w:rPr>
          <w:lang w:val="es-PE"/>
        </w:rPr>
        <w:t xml:space="preserve"> de esta Sentencia, en el plazo de seis meses contado a partir de la notificación de </w:t>
      </w:r>
      <w:proofErr w:type="gramStart"/>
      <w:r w:rsidRPr="0052659E">
        <w:rPr>
          <w:lang w:val="es-PE"/>
        </w:rPr>
        <w:t>la misma</w:t>
      </w:r>
      <w:proofErr w:type="gramEnd"/>
      <w:r w:rsidRPr="0052659E">
        <w:rPr>
          <w:lang w:val="es-PE"/>
        </w:rPr>
        <w:t>.</w:t>
      </w:r>
    </w:p>
    <w:p w14:paraId="16BE86D6" w14:textId="77777777" w:rsidR="00B900C8" w:rsidRPr="0052659E" w:rsidRDefault="00B900C8" w:rsidP="00B476ED">
      <w:pPr>
        <w:pStyle w:val="Prrafodelista"/>
        <w:spacing w:line="240" w:lineRule="auto"/>
        <w:ind w:left="0" w:right="-801"/>
        <w:rPr>
          <w:lang w:val="es-PE"/>
        </w:rPr>
      </w:pPr>
    </w:p>
    <w:p w14:paraId="26477B20" w14:textId="7DDE24F8" w:rsidR="00B900C8" w:rsidRPr="003A5C19" w:rsidRDefault="00B900C8" w:rsidP="00B476ED">
      <w:pPr>
        <w:pStyle w:val="PrrafodeSentencia"/>
        <w:numPr>
          <w:ilvl w:val="0"/>
          <w:numId w:val="12"/>
        </w:numPr>
        <w:ind w:left="0" w:right="-801" w:firstLine="0"/>
      </w:pPr>
      <w:r w:rsidRPr="003A5C19">
        <w:rPr>
          <w:lang w:val="es-PE"/>
        </w:rPr>
        <w:t xml:space="preserve">El Estado </w:t>
      </w:r>
      <w:r w:rsidRPr="003A5C19">
        <w:t xml:space="preserve">implementará un protocolo </w:t>
      </w:r>
      <w:r>
        <w:t>para</w:t>
      </w:r>
      <w:r w:rsidRPr="003A5C19">
        <w:rPr>
          <w:rFonts w:eastAsiaTheme="minorHAnsi"/>
          <w:lang w:eastAsia="en-US"/>
        </w:rPr>
        <w:t xml:space="preserve"> circunstancias de incendio o emergencias en centros de privación de libertad de adolescentes, si no cuenta ya con uno, o informará lo pertinente</w:t>
      </w:r>
      <w:r w:rsidRPr="003A5C19">
        <w:t xml:space="preserve">, en los términos del párrafo </w:t>
      </w:r>
      <w:r w:rsidR="00700B9F">
        <w:t>162</w:t>
      </w:r>
      <w:r w:rsidRPr="003A5C19">
        <w:t xml:space="preserve"> de la presente Sentencia. </w:t>
      </w:r>
    </w:p>
    <w:p w14:paraId="1F4B3F60" w14:textId="77777777" w:rsidR="00B900C8" w:rsidRPr="0052659E" w:rsidRDefault="00B900C8" w:rsidP="00B476ED">
      <w:pPr>
        <w:spacing w:line="240" w:lineRule="auto"/>
        <w:ind w:right="-801"/>
        <w:rPr>
          <w:lang w:val="es-PE"/>
        </w:rPr>
      </w:pPr>
    </w:p>
    <w:p w14:paraId="24CAFF4F" w14:textId="565A2BF1" w:rsidR="00B900C8" w:rsidRPr="0052659E" w:rsidRDefault="00B900C8" w:rsidP="00B476ED">
      <w:pPr>
        <w:pStyle w:val="PrrafodeSentencia"/>
        <w:numPr>
          <w:ilvl w:val="0"/>
          <w:numId w:val="12"/>
        </w:numPr>
        <w:ind w:left="0" w:right="-801" w:firstLine="0"/>
        <w:rPr>
          <w:lang w:val="es-PE"/>
        </w:rPr>
      </w:pPr>
      <w:r w:rsidRPr="0052659E">
        <w:rPr>
          <w:lang w:val="es-PE"/>
        </w:rPr>
        <w:t xml:space="preserve">El Estado pagará las cantidades fijadas en los párrafos </w:t>
      </w:r>
      <w:r w:rsidR="00700B9F">
        <w:rPr>
          <w:lang w:val="es-PE"/>
        </w:rPr>
        <w:t>169</w:t>
      </w:r>
      <w:r w:rsidRPr="0052659E">
        <w:rPr>
          <w:lang w:val="es-PE"/>
        </w:rPr>
        <w:t xml:space="preserve"> </w:t>
      </w:r>
      <w:r w:rsidR="00700B9F">
        <w:rPr>
          <w:lang w:val="es-PE"/>
        </w:rPr>
        <w:t xml:space="preserve">y 173 </w:t>
      </w:r>
      <w:r w:rsidRPr="0052659E">
        <w:rPr>
          <w:lang w:val="es-PE"/>
        </w:rPr>
        <w:t>de la presente Sentencia, por concepto de daño material e inmaterial</w:t>
      </w:r>
      <w:r>
        <w:rPr>
          <w:lang w:val="es-PE"/>
        </w:rPr>
        <w:t xml:space="preserve"> y costas y gastos, en los términos de los párrafos </w:t>
      </w:r>
      <w:r w:rsidR="00700B9F">
        <w:rPr>
          <w:lang w:val="es-PE"/>
        </w:rPr>
        <w:t>170 y 177 a 182</w:t>
      </w:r>
      <w:r>
        <w:rPr>
          <w:lang w:val="es-PE"/>
        </w:rPr>
        <w:t xml:space="preserve"> de la presente Sentencia. </w:t>
      </w:r>
    </w:p>
    <w:p w14:paraId="1AB14917" w14:textId="77777777" w:rsidR="00B900C8" w:rsidRPr="0052659E" w:rsidRDefault="00B900C8" w:rsidP="00B476ED">
      <w:pPr>
        <w:spacing w:line="240" w:lineRule="auto"/>
        <w:ind w:right="-801"/>
        <w:rPr>
          <w:lang w:val="es-PE"/>
        </w:rPr>
      </w:pPr>
    </w:p>
    <w:p w14:paraId="1E4DA8D9" w14:textId="77777777" w:rsidR="00B900C8" w:rsidRPr="0052659E" w:rsidRDefault="00B900C8" w:rsidP="00B476ED">
      <w:pPr>
        <w:pStyle w:val="PrrafodeSentencia"/>
        <w:numPr>
          <w:ilvl w:val="0"/>
          <w:numId w:val="12"/>
        </w:numPr>
        <w:ind w:left="0" w:right="-801" w:firstLine="0"/>
        <w:rPr>
          <w:lang w:val="es-PE"/>
        </w:rPr>
      </w:pPr>
      <w:r w:rsidRPr="0052659E">
        <w:rPr>
          <w:lang w:val="es-PE"/>
        </w:rPr>
        <w:t xml:space="preserve">El Estado rendirá al Tribunal un informe, dentro del plazo de un año contado a partir de la notificación de la Sentencia, sobre las medidas adoptadas para cumplir con la misma, </w:t>
      </w:r>
      <w:r w:rsidRPr="0052659E">
        <w:t xml:space="preserve">sin perjuicio de lo establecido en el párrafo </w:t>
      </w:r>
      <w:r>
        <w:t>151</w:t>
      </w:r>
      <w:r w:rsidRPr="0052659E">
        <w:t xml:space="preserve"> de la presente Sentencia.</w:t>
      </w:r>
    </w:p>
    <w:p w14:paraId="2453527B" w14:textId="77777777" w:rsidR="00B900C8" w:rsidRPr="0052659E" w:rsidRDefault="00B900C8" w:rsidP="00B476ED">
      <w:pPr>
        <w:spacing w:line="240" w:lineRule="auto"/>
        <w:ind w:right="-801"/>
        <w:rPr>
          <w:lang w:val="es-PE"/>
        </w:rPr>
      </w:pPr>
    </w:p>
    <w:p w14:paraId="2B8FF903" w14:textId="77777777" w:rsidR="00B900C8" w:rsidRPr="0052659E" w:rsidRDefault="00B900C8" w:rsidP="00B476ED">
      <w:pPr>
        <w:pStyle w:val="PrrafodeSentencia"/>
        <w:numPr>
          <w:ilvl w:val="0"/>
          <w:numId w:val="12"/>
        </w:numPr>
        <w:ind w:left="0" w:right="-801" w:firstLine="0"/>
        <w:rPr>
          <w:lang w:val="es-PE"/>
        </w:rPr>
      </w:pPr>
      <w:r w:rsidRPr="0052659E">
        <w:rPr>
          <w:lang w:val="es-PE"/>
        </w:rPr>
        <w:lastRenderedPageBreak/>
        <w:t>La Corte supervisará el cumplimiento íntegro de la Sentencia, en ejercicio de sus atribuciones y en cumplimiento de sus deberes conforme a la Convención Americana sobre Derechos Humanos, y dará por concluido el presente caso una vez que el Estado haya dado cabal cumplimiento a lo dispuesto en la misma.</w:t>
      </w:r>
    </w:p>
    <w:p w14:paraId="4D50AC63" w14:textId="77777777" w:rsidR="00B900C8" w:rsidRDefault="00B900C8" w:rsidP="00B476ED">
      <w:pPr>
        <w:pStyle w:val="Prrafodelista"/>
        <w:spacing w:line="240" w:lineRule="auto"/>
        <w:ind w:left="0" w:right="-801"/>
        <w:rPr>
          <w:sz w:val="20"/>
          <w:szCs w:val="20"/>
          <w:lang w:val="es-PE"/>
        </w:rPr>
      </w:pPr>
    </w:p>
    <w:p w14:paraId="6EDFFCF7" w14:textId="01CC8EE6" w:rsidR="00C5289C" w:rsidRDefault="00B900C8" w:rsidP="00B476ED">
      <w:pPr>
        <w:pStyle w:val="Prrafodelista"/>
        <w:spacing w:line="240" w:lineRule="auto"/>
        <w:ind w:left="0" w:right="-801"/>
        <w:rPr>
          <w:sz w:val="20"/>
          <w:szCs w:val="20"/>
          <w:lang w:val="es-PE"/>
        </w:rPr>
      </w:pPr>
      <w:r w:rsidRPr="0000014D">
        <w:rPr>
          <w:sz w:val="20"/>
          <w:szCs w:val="20"/>
          <w:lang w:val="es-PE"/>
        </w:rPr>
        <w:t xml:space="preserve">Redactada en español en San José, Costa Rica, </w:t>
      </w:r>
      <w:r w:rsidRPr="00B900C8">
        <w:rPr>
          <w:sz w:val="20"/>
          <w:szCs w:val="20"/>
          <w:lang w:val="es-PE"/>
        </w:rPr>
        <w:t xml:space="preserve">el 18 de </w:t>
      </w:r>
      <w:r>
        <w:rPr>
          <w:sz w:val="20"/>
          <w:szCs w:val="20"/>
          <w:lang w:val="es-PE"/>
        </w:rPr>
        <w:t xml:space="preserve">noviembre </w:t>
      </w:r>
      <w:r w:rsidRPr="0000014D">
        <w:rPr>
          <w:sz w:val="20"/>
          <w:szCs w:val="20"/>
          <w:lang w:val="es-PE"/>
        </w:rPr>
        <w:t>de 2020</w:t>
      </w:r>
      <w:r>
        <w:rPr>
          <w:sz w:val="20"/>
          <w:szCs w:val="20"/>
          <w:lang w:val="es-PE"/>
        </w:rPr>
        <w:t>.</w:t>
      </w:r>
    </w:p>
    <w:p w14:paraId="020BB082" w14:textId="77777777" w:rsidR="00174BD9" w:rsidRDefault="00174BD9" w:rsidP="00B476ED">
      <w:pPr>
        <w:pStyle w:val="Prrafodelista"/>
        <w:spacing w:line="240" w:lineRule="auto"/>
        <w:ind w:left="0" w:right="-801"/>
        <w:rPr>
          <w:sz w:val="20"/>
          <w:szCs w:val="20"/>
          <w:lang w:val="es-PE"/>
        </w:rPr>
      </w:pPr>
    </w:p>
    <w:p w14:paraId="03FC5AB0" w14:textId="77777777" w:rsidR="00174BD9" w:rsidRPr="00414B95" w:rsidRDefault="00174BD9" w:rsidP="00174BD9">
      <w:pPr>
        <w:rPr>
          <w:sz w:val="20"/>
          <w:szCs w:val="20"/>
          <w:lang w:val="es-ES"/>
        </w:rPr>
      </w:pPr>
      <w:r w:rsidRPr="00414B95">
        <w:rPr>
          <w:sz w:val="20"/>
          <w:szCs w:val="20"/>
          <w:lang w:val="es-ES"/>
        </w:rPr>
        <w:t xml:space="preserve">Corte IDH. </w:t>
      </w:r>
      <w:r w:rsidRPr="00414B95">
        <w:rPr>
          <w:i/>
          <w:sz w:val="20"/>
          <w:szCs w:val="20"/>
          <w:lang w:val="es-ES"/>
        </w:rPr>
        <w:t xml:space="preserve">Caso </w:t>
      </w:r>
      <w:r w:rsidRPr="00414B95">
        <w:rPr>
          <w:i/>
          <w:iCs/>
          <w:sz w:val="20"/>
          <w:szCs w:val="20"/>
        </w:rPr>
        <w:t xml:space="preserve">Mota </w:t>
      </w:r>
      <w:proofErr w:type="spellStart"/>
      <w:r w:rsidRPr="00414B95">
        <w:rPr>
          <w:i/>
          <w:iCs/>
          <w:sz w:val="20"/>
          <w:szCs w:val="20"/>
        </w:rPr>
        <w:t>Abarullo</w:t>
      </w:r>
      <w:proofErr w:type="spellEnd"/>
      <w:r w:rsidRPr="00414B95">
        <w:rPr>
          <w:i/>
          <w:iCs/>
          <w:sz w:val="20"/>
          <w:szCs w:val="20"/>
        </w:rPr>
        <w:t xml:space="preserve"> y otros Vs. Venezuela</w:t>
      </w:r>
      <w:r w:rsidRPr="00414B95">
        <w:rPr>
          <w:iCs/>
          <w:sz w:val="20"/>
          <w:szCs w:val="20"/>
        </w:rPr>
        <w:t xml:space="preserve">. </w:t>
      </w:r>
      <w:r w:rsidRPr="00414B95">
        <w:rPr>
          <w:sz w:val="20"/>
          <w:szCs w:val="20"/>
          <w:lang w:val="es-ES"/>
        </w:rPr>
        <w:t>Fondo, Reparaciones y Costas. Sentencia de 18 de noviembre de 2020.</w:t>
      </w:r>
    </w:p>
    <w:p w14:paraId="032FC651" w14:textId="77777777" w:rsidR="00174BD9" w:rsidRPr="00414B95" w:rsidRDefault="00174BD9" w:rsidP="00174BD9">
      <w:pPr>
        <w:rPr>
          <w:sz w:val="20"/>
          <w:szCs w:val="20"/>
          <w:lang w:val="es-ES"/>
        </w:rPr>
      </w:pPr>
    </w:p>
    <w:p w14:paraId="20D7AF73" w14:textId="77777777" w:rsidR="00174BD9" w:rsidRPr="00414B95" w:rsidRDefault="00174BD9" w:rsidP="00174BD9">
      <w:pPr>
        <w:tabs>
          <w:tab w:val="left" w:pos="2027"/>
        </w:tabs>
        <w:rPr>
          <w:sz w:val="20"/>
          <w:szCs w:val="20"/>
          <w:lang w:val="pt-BR"/>
        </w:rPr>
      </w:pPr>
      <w:r w:rsidRPr="00414B95">
        <w:rPr>
          <w:sz w:val="20"/>
          <w:szCs w:val="20"/>
          <w:lang w:val="pt-BR"/>
        </w:rPr>
        <w:tab/>
      </w:r>
    </w:p>
    <w:p w14:paraId="0D729FB4" w14:textId="77777777" w:rsidR="00174BD9" w:rsidRPr="00414B95" w:rsidRDefault="00174BD9" w:rsidP="00174BD9">
      <w:pPr>
        <w:jc w:val="center"/>
        <w:rPr>
          <w:sz w:val="20"/>
          <w:szCs w:val="20"/>
          <w:lang w:val="pt-BR"/>
        </w:rPr>
      </w:pPr>
      <w:r w:rsidRPr="00414B95">
        <w:rPr>
          <w:sz w:val="20"/>
          <w:szCs w:val="20"/>
          <w:lang w:val="pt-BR"/>
        </w:rPr>
        <w:t xml:space="preserve">Elizabeth </w:t>
      </w:r>
      <w:proofErr w:type="spellStart"/>
      <w:r w:rsidRPr="00414B95">
        <w:rPr>
          <w:sz w:val="20"/>
          <w:szCs w:val="20"/>
          <w:lang w:val="pt-BR"/>
        </w:rPr>
        <w:t>Odio</w:t>
      </w:r>
      <w:proofErr w:type="spellEnd"/>
      <w:r w:rsidRPr="00414B95">
        <w:rPr>
          <w:sz w:val="20"/>
          <w:szCs w:val="20"/>
          <w:lang w:val="pt-BR"/>
        </w:rPr>
        <w:t xml:space="preserve"> Benito</w:t>
      </w:r>
    </w:p>
    <w:p w14:paraId="01657677" w14:textId="3AF53639" w:rsidR="00174BD9" w:rsidRPr="00414B95" w:rsidRDefault="00174BD9" w:rsidP="00174BD9">
      <w:pPr>
        <w:jc w:val="center"/>
        <w:rPr>
          <w:sz w:val="20"/>
          <w:szCs w:val="20"/>
          <w:lang w:val="pt-BR"/>
        </w:rPr>
      </w:pPr>
      <w:r w:rsidRPr="00414B95">
        <w:rPr>
          <w:sz w:val="20"/>
          <w:szCs w:val="20"/>
          <w:lang w:val="pt-BR"/>
        </w:rPr>
        <w:t>Presidenta</w:t>
      </w:r>
    </w:p>
    <w:p w14:paraId="5AC37848" w14:textId="77777777" w:rsidR="00174BD9" w:rsidRPr="00414B95" w:rsidRDefault="00174BD9" w:rsidP="00174BD9">
      <w:pPr>
        <w:ind w:firstLine="720"/>
        <w:rPr>
          <w:sz w:val="20"/>
          <w:szCs w:val="20"/>
          <w:lang w:val="pt-BR"/>
        </w:rPr>
      </w:pPr>
    </w:p>
    <w:p w14:paraId="17EA3990" w14:textId="3A0DDE96" w:rsidR="00174BD9" w:rsidRPr="00414B95" w:rsidRDefault="00174BD9" w:rsidP="00174BD9">
      <w:pPr>
        <w:rPr>
          <w:sz w:val="20"/>
          <w:szCs w:val="20"/>
          <w:lang w:val="pt-BR"/>
        </w:rPr>
      </w:pPr>
    </w:p>
    <w:p w14:paraId="0FAF0B8D" w14:textId="372F2D82" w:rsidR="00174BD9" w:rsidRPr="00414B95" w:rsidRDefault="00174BD9" w:rsidP="00174BD9">
      <w:pPr>
        <w:rPr>
          <w:sz w:val="20"/>
          <w:szCs w:val="20"/>
          <w:lang w:val="pt-BR"/>
        </w:rPr>
      </w:pPr>
      <w:r w:rsidRPr="00414B95">
        <w:rPr>
          <w:sz w:val="20"/>
          <w:szCs w:val="20"/>
          <w:lang w:val="pt-BR"/>
        </w:rPr>
        <w:t xml:space="preserve">L. </w:t>
      </w:r>
      <w:proofErr w:type="spellStart"/>
      <w:r w:rsidRPr="00414B95">
        <w:rPr>
          <w:sz w:val="20"/>
          <w:szCs w:val="20"/>
          <w:lang w:val="pt-BR"/>
        </w:rPr>
        <w:t>Patricio</w:t>
      </w:r>
      <w:proofErr w:type="spellEnd"/>
      <w:r w:rsidRPr="00414B95">
        <w:rPr>
          <w:sz w:val="20"/>
          <w:szCs w:val="20"/>
          <w:lang w:val="pt-BR"/>
        </w:rPr>
        <w:t xml:space="preserve"> </w:t>
      </w:r>
      <w:proofErr w:type="spellStart"/>
      <w:r w:rsidRPr="00414B95">
        <w:rPr>
          <w:sz w:val="20"/>
          <w:szCs w:val="20"/>
          <w:lang w:val="pt-BR"/>
        </w:rPr>
        <w:t>Pazmiño</w:t>
      </w:r>
      <w:proofErr w:type="spellEnd"/>
      <w:r w:rsidRPr="00414B95">
        <w:rPr>
          <w:sz w:val="20"/>
          <w:szCs w:val="20"/>
          <w:lang w:val="pt-BR"/>
        </w:rPr>
        <w:t xml:space="preserve"> Freire</w:t>
      </w:r>
      <w:r w:rsidRPr="00414B95">
        <w:rPr>
          <w:sz w:val="20"/>
          <w:szCs w:val="20"/>
          <w:lang w:val="pt-BR"/>
        </w:rPr>
        <w:tab/>
      </w:r>
      <w:r w:rsidRPr="00414B95">
        <w:rPr>
          <w:sz w:val="20"/>
          <w:szCs w:val="20"/>
          <w:lang w:val="pt-BR"/>
        </w:rPr>
        <w:tab/>
      </w:r>
      <w:r w:rsidRPr="00414B95">
        <w:rPr>
          <w:sz w:val="20"/>
          <w:szCs w:val="20"/>
          <w:lang w:val="pt-BR"/>
        </w:rPr>
        <w:tab/>
      </w:r>
      <w:r w:rsidRPr="00414B95">
        <w:rPr>
          <w:sz w:val="20"/>
          <w:szCs w:val="20"/>
          <w:lang w:val="pt-BR"/>
        </w:rPr>
        <w:tab/>
        <w:t xml:space="preserve">          </w:t>
      </w:r>
      <w:r w:rsidR="00414B95">
        <w:rPr>
          <w:sz w:val="20"/>
          <w:szCs w:val="20"/>
          <w:lang w:val="pt-BR"/>
        </w:rPr>
        <w:t xml:space="preserve">              </w:t>
      </w:r>
      <w:r w:rsidRPr="00414B95">
        <w:rPr>
          <w:sz w:val="20"/>
          <w:szCs w:val="20"/>
          <w:lang w:val="pt-BR"/>
        </w:rPr>
        <w:t xml:space="preserve">Eduardo </w:t>
      </w:r>
      <w:proofErr w:type="spellStart"/>
      <w:r w:rsidRPr="00414B95">
        <w:rPr>
          <w:sz w:val="20"/>
          <w:szCs w:val="20"/>
          <w:lang w:val="pt-BR"/>
        </w:rPr>
        <w:t>Vio</w:t>
      </w:r>
      <w:proofErr w:type="spellEnd"/>
      <w:r w:rsidRPr="00414B95">
        <w:rPr>
          <w:sz w:val="20"/>
          <w:szCs w:val="20"/>
          <w:lang w:val="pt-BR"/>
        </w:rPr>
        <w:t xml:space="preserve"> Grossi</w:t>
      </w:r>
    </w:p>
    <w:p w14:paraId="5DEBB14D" w14:textId="77777777" w:rsidR="00174BD9" w:rsidRPr="00414B95" w:rsidRDefault="00174BD9" w:rsidP="00174BD9">
      <w:pPr>
        <w:rPr>
          <w:sz w:val="20"/>
          <w:szCs w:val="20"/>
          <w:lang w:val="pt-BR"/>
        </w:rPr>
      </w:pPr>
    </w:p>
    <w:p w14:paraId="35FDD095" w14:textId="77777777" w:rsidR="00174BD9" w:rsidRPr="00414B95" w:rsidRDefault="00174BD9" w:rsidP="00174BD9">
      <w:pPr>
        <w:rPr>
          <w:sz w:val="20"/>
          <w:szCs w:val="20"/>
          <w:lang w:val="pt-BR"/>
        </w:rPr>
      </w:pPr>
    </w:p>
    <w:p w14:paraId="6537B666" w14:textId="070068BD" w:rsidR="00174BD9" w:rsidRPr="00414B95" w:rsidRDefault="00174BD9" w:rsidP="00174BD9">
      <w:pPr>
        <w:rPr>
          <w:sz w:val="20"/>
          <w:szCs w:val="20"/>
          <w:lang w:val="pt-BR"/>
        </w:rPr>
      </w:pPr>
      <w:r w:rsidRPr="00414B95">
        <w:rPr>
          <w:sz w:val="20"/>
          <w:szCs w:val="20"/>
          <w:lang w:val="pt-BR"/>
        </w:rPr>
        <w:t xml:space="preserve">Humberto </w:t>
      </w:r>
      <w:proofErr w:type="spellStart"/>
      <w:r w:rsidRPr="00414B95">
        <w:rPr>
          <w:sz w:val="20"/>
          <w:szCs w:val="20"/>
          <w:lang w:val="pt-BR"/>
        </w:rPr>
        <w:t>Antonio</w:t>
      </w:r>
      <w:proofErr w:type="spellEnd"/>
      <w:r w:rsidRPr="00414B95">
        <w:rPr>
          <w:sz w:val="20"/>
          <w:szCs w:val="20"/>
          <w:lang w:val="pt-BR"/>
        </w:rPr>
        <w:t xml:space="preserve"> </w:t>
      </w:r>
      <w:proofErr w:type="spellStart"/>
      <w:r w:rsidRPr="00414B95">
        <w:rPr>
          <w:sz w:val="20"/>
          <w:szCs w:val="20"/>
          <w:lang w:val="pt-BR"/>
        </w:rPr>
        <w:t>Sierra</w:t>
      </w:r>
      <w:proofErr w:type="spellEnd"/>
      <w:r w:rsidRPr="00414B95">
        <w:rPr>
          <w:sz w:val="20"/>
          <w:szCs w:val="20"/>
          <w:lang w:val="pt-BR"/>
        </w:rPr>
        <w:t xml:space="preserve"> Porto</w:t>
      </w:r>
      <w:r w:rsidRPr="00414B95">
        <w:rPr>
          <w:sz w:val="20"/>
          <w:szCs w:val="20"/>
          <w:lang w:val="pt-BR"/>
        </w:rPr>
        <w:tab/>
        <w:t xml:space="preserve">      </w:t>
      </w:r>
      <w:r w:rsidR="00414B95">
        <w:rPr>
          <w:sz w:val="20"/>
          <w:szCs w:val="20"/>
          <w:lang w:val="pt-BR"/>
        </w:rPr>
        <w:t xml:space="preserve">                    </w:t>
      </w:r>
      <w:r w:rsidRPr="00414B95">
        <w:rPr>
          <w:sz w:val="20"/>
          <w:szCs w:val="20"/>
          <w:lang w:val="pt-BR"/>
        </w:rPr>
        <w:t xml:space="preserve">Eduardo Ferrer </w:t>
      </w:r>
      <w:proofErr w:type="spellStart"/>
      <w:r w:rsidRPr="00414B95">
        <w:rPr>
          <w:sz w:val="20"/>
          <w:szCs w:val="20"/>
          <w:lang w:val="pt-BR"/>
        </w:rPr>
        <w:t>Mac-Gregor</w:t>
      </w:r>
      <w:proofErr w:type="spellEnd"/>
      <w:r w:rsidRPr="00414B95">
        <w:rPr>
          <w:sz w:val="20"/>
          <w:szCs w:val="20"/>
          <w:lang w:val="pt-BR"/>
        </w:rPr>
        <w:t xml:space="preserve"> </w:t>
      </w:r>
      <w:proofErr w:type="spellStart"/>
      <w:r w:rsidRPr="00414B95">
        <w:rPr>
          <w:sz w:val="20"/>
          <w:szCs w:val="20"/>
          <w:lang w:val="pt-BR"/>
        </w:rPr>
        <w:t>Poisot</w:t>
      </w:r>
      <w:proofErr w:type="spellEnd"/>
      <w:r w:rsidRPr="00414B95">
        <w:rPr>
          <w:sz w:val="20"/>
          <w:szCs w:val="20"/>
          <w:lang w:val="pt-BR"/>
        </w:rPr>
        <w:tab/>
        <w:t xml:space="preserve"> </w:t>
      </w:r>
    </w:p>
    <w:p w14:paraId="255D51D4" w14:textId="4120F922" w:rsidR="00174BD9" w:rsidRPr="00414B95" w:rsidRDefault="00174BD9" w:rsidP="00414B95">
      <w:pPr>
        <w:jc w:val="right"/>
        <w:rPr>
          <w:sz w:val="20"/>
          <w:szCs w:val="20"/>
          <w:lang w:val="pt-BR"/>
        </w:rPr>
      </w:pPr>
    </w:p>
    <w:p w14:paraId="1B4645DE" w14:textId="27F1A2AE" w:rsidR="00174BD9" w:rsidRPr="00414B95" w:rsidRDefault="00174BD9" w:rsidP="00174BD9">
      <w:pPr>
        <w:rPr>
          <w:sz w:val="20"/>
          <w:szCs w:val="20"/>
          <w:lang w:val="pt-BR"/>
        </w:rPr>
      </w:pPr>
      <w:r w:rsidRPr="00414B95">
        <w:rPr>
          <w:sz w:val="20"/>
          <w:szCs w:val="20"/>
          <w:lang w:val="pt-BR"/>
        </w:rPr>
        <w:t xml:space="preserve">Eugenio </w:t>
      </w:r>
      <w:proofErr w:type="spellStart"/>
      <w:r w:rsidRPr="00414B95">
        <w:rPr>
          <w:sz w:val="20"/>
          <w:szCs w:val="20"/>
          <w:lang w:val="pt-BR"/>
        </w:rPr>
        <w:t>Raúl</w:t>
      </w:r>
      <w:proofErr w:type="spellEnd"/>
      <w:r w:rsidRPr="00414B95">
        <w:rPr>
          <w:sz w:val="20"/>
          <w:szCs w:val="20"/>
          <w:lang w:val="pt-BR"/>
        </w:rPr>
        <w:t xml:space="preserve"> </w:t>
      </w:r>
      <w:proofErr w:type="spellStart"/>
      <w:r w:rsidRPr="00414B95">
        <w:rPr>
          <w:sz w:val="20"/>
          <w:szCs w:val="20"/>
          <w:lang w:val="pt-BR"/>
        </w:rPr>
        <w:t>Zaffaroni</w:t>
      </w:r>
      <w:proofErr w:type="spellEnd"/>
      <w:r w:rsidRPr="00414B95">
        <w:rPr>
          <w:sz w:val="20"/>
          <w:szCs w:val="20"/>
          <w:lang w:val="pt-BR"/>
        </w:rPr>
        <w:tab/>
      </w:r>
      <w:r w:rsidRPr="00414B95">
        <w:rPr>
          <w:sz w:val="20"/>
          <w:szCs w:val="20"/>
          <w:lang w:val="pt-BR"/>
        </w:rPr>
        <w:tab/>
      </w:r>
      <w:r w:rsidRPr="00414B95">
        <w:rPr>
          <w:sz w:val="20"/>
          <w:szCs w:val="20"/>
          <w:lang w:val="pt-BR"/>
        </w:rPr>
        <w:tab/>
        <w:t xml:space="preserve">                 </w:t>
      </w:r>
      <w:r w:rsidR="00414B95">
        <w:rPr>
          <w:sz w:val="20"/>
          <w:szCs w:val="20"/>
          <w:lang w:val="pt-BR"/>
        </w:rPr>
        <w:t xml:space="preserve">          </w:t>
      </w:r>
      <w:r w:rsidRPr="00414B95">
        <w:rPr>
          <w:sz w:val="20"/>
          <w:szCs w:val="20"/>
          <w:lang w:val="pt-BR"/>
        </w:rPr>
        <w:t xml:space="preserve">Ricardo C. Pérez </w:t>
      </w:r>
      <w:proofErr w:type="spellStart"/>
      <w:r w:rsidRPr="00414B95">
        <w:rPr>
          <w:sz w:val="20"/>
          <w:szCs w:val="20"/>
          <w:lang w:val="pt-BR"/>
        </w:rPr>
        <w:t>Manrique</w:t>
      </w:r>
      <w:proofErr w:type="spellEnd"/>
    </w:p>
    <w:p w14:paraId="71F31183" w14:textId="77777777" w:rsidR="00174BD9" w:rsidRPr="00414B95" w:rsidRDefault="00174BD9" w:rsidP="00174BD9">
      <w:pPr>
        <w:rPr>
          <w:sz w:val="20"/>
          <w:szCs w:val="20"/>
          <w:lang w:val="pt-BR"/>
        </w:rPr>
      </w:pPr>
    </w:p>
    <w:p w14:paraId="6911AAE7" w14:textId="77777777" w:rsidR="00174BD9" w:rsidRPr="00414B95" w:rsidRDefault="00174BD9" w:rsidP="00174BD9">
      <w:pPr>
        <w:rPr>
          <w:sz w:val="20"/>
          <w:szCs w:val="20"/>
          <w:lang w:val="pt-BR"/>
        </w:rPr>
      </w:pPr>
    </w:p>
    <w:p w14:paraId="65D63FAD" w14:textId="77777777" w:rsidR="00174BD9" w:rsidRPr="00414B95" w:rsidRDefault="00174BD9" w:rsidP="00174BD9">
      <w:pPr>
        <w:rPr>
          <w:sz w:val="20"/>
          <w:szCs w:val="20"/>
          <w:lang w:val="pt-BR"/>
        </w:rPr>
      </w:pPr>
    </w:p>
    <w:p w14:paraId="5D24CD8E" w14:textId="77777777" w:rsidR="00174BD9" w:rsidRPr="00414B95" w:rsidRDefault="00174BD9" w:rsidP="00174BD9">
      <w:pPr>
        <w:jc w:val="center"/>
        <w:rPr>
          <w:sz w:val="20"/>
          <w:szCs w:val="20"/>
          <w:lang w:val="pt-BR"/>
        </w:rPr>
      </w:pPr>
      <w:r w:rsidRPr="00414B95">
        <w:rPr>
          <w:sz w:val="20"/>
          <w:szCs w:val="20"/>
          <w:lang w:val="pt-BR"/>
        </w:rPr>
        <w:t xml:space="preserve">Pablo Saavedra </w:t>
      </w:r>
      <w:proofErr w:type="spellStart"/>
      <w:r w:rsidRPr="00414B95">
        <w:rPr>
          <w:sz w:val="20"/>
          <w:szCs w:val="20"/>
          <w:lang w:val="pt-BR"/>
        </w:rPr>
        <w:t>Alessandri</w:t>
      </w:r>
      <w:proofErr w:type="spellEnd"/>
    </w:p>
    <w:p w14:paraId="67EEAC68" w14:textId="77777777" w:rsidR="00174BD9" w:rsidRPr="00414B95" w:rsidRDefault="00174BD9" w:rsidP="00174BD9">
      <w:pPr>
        <w:jc w:val="center"/>
        <w:rPr>
          <w:sz w:val="20"/>
          <w:szCs w:val="20"/>
          <w:lang w:val="pt-BR"/>
        </w:rPr>
      </w:pPr>
      <w:r w:rsidRPr="00414B95">
        <w:rPr>
          <w:sz w:val="20"/>
          <w:szCs w:val="20"/>
          <w:lang w:val="pt-BR"/>
        </w:rPr>
        <w:t>Secretario</w:t>
      </w:r>
    </w:p>
    <w:p w14:paraId="4A58FA3B" w14:textId="7AAE8403" w:rsidR="00174BD9" w:rsidRPr="00414B95" w:rsidRDefault="00174BD9" w:rsidP="00174BD9">
      <w:pPr>
        <w:pStyle w:val="Textonotapie"/>
        <w:rPr>
          <w:lang w:val="pt-BR"/>
        </w:rPr>
      </w:pPr>
    </w:p>
    <w:p w14:paraId="52848B37" w14:textId="77777777" w:rsidR="00174BD9" w:rsidRPr="00414B95" w:rsidRDefault="00174BD9" w:rsidP="00174BD9">
      <w:pPr>
        <w:rPr>
          <w:sz w:val="20"/>
          <w:szCs w:val="20"/>
          <w:lang w:val="pt-BR"/>
        </w:rPr>
      </w:pPr>
      <w:proofErr w:type="spellStart"/>
      <w:r w:rsidRPr="00414B95">
        <w:rPr>
          <w:sz w:val="20"/>
          <w:szCs w:val="20"/>
          <w:lang w:val="pt-BR"/>
        </w:rPr>
        <w:t>Comuníquese</w:t>
      </w:r>
      <w:proofErr w:type="spellEnd"/>
      <w:r w:rsidRPr="00414B95">
        <w:rPr>
          <w:sz w:val="20"/>
          <w:szCs w:val="20"/>
          <w:lang w:val="pt-BR"/>
        </w:rPr>
        <w:t xml:space="preserve"> y </w:t>
      </w:r>
      <w:proofErr w:type="spellStart"/>
      <w:r w:rsidRPr="00414B95">
        <w:rPr>
          <w:sz w:val="20"/>
          <w:szCs w:val="20"/>
          <w:lang w:val="pt-BR"/>
        </w:rPr>
        <w:t>ejecútese</w:t>
      </w:r>
      <w:proofErr w:type="spellEnd"/>
      <w:r w:rsidRPr="00414B95">
        <w:rPr>
          <w:sz w:val="20"/>
          <w:szCs w:val="20"/>
          <w:lang w:val="pt-BR"/>
        </w:rPr>
        <w:t>,</w:t>
      </w:r>
    </w:p>
    <w:p w14:paraId="29ADD21D" w14:textId="36A80666" w:rsidR="00174BD9" w:rsidRPr="00414B95" w:rsidRDefault="00174BD9" w:rsidP="00174BD9">
      <w:pPr>
        <w:ind w:left="5664"/>
        <w:jc w:val="center"/>
        <w:rPr>
          <w:sz w:val="20"/>
          <w:szCs w:val="20"/>
          <w:lang w:val="pt-BR"/>
        </w:rPr>
      </w:pPr>
      <w:r w:rsidRPr="00414B95">
        <w:rPr>
          <w:sz w:val="20"/>
          <w:szCs w:val="20"/>
          <w:lang w:val="pt-BR"/>
        </w:rPr>
        <w:t xml:space="preserve">Elizabeth </w:t>
      </w:r>
      <w:proofErr w:type="spellStart"/>
      <w:r w:rsidRPr="00414B95">
        <w:rPr>
          <w:sz w:val="20"/>
          <w:szCs w:val="20"/>
          <w:lang w:val="pt-BR"/>
        </w:rPr>
        <w:t>Odio</w:t>
      </w:r>
      <w:proofErr w:type="spellEnd"/>
      <w:r w:rsidRPr="00414B95">
        <w:rPr>
          <w:sz w:val="20"/>
          <w:szCs w:val="20"/>
          <w:lang w:val="pt-BR"/>
        </w:rPr>
        <w:t xml:space="preserve"> Benito</w:t>
      </w:r>
    </w:p>
    <w:p w14:paraId="0C6258A3" w14:textId="5EC6ADA4" w:rsidR="00174BD9" w:rsidRPr="00414B95" w:rsidRDefault="00EB0A38" w:rsidP="00174BD9">
      <w:pPr>
        <w:ind w:firstLine="720"/>
        <w:rPr>
          <w:sz w:val="20"/>
          <w:szCs w:val="20"/>
          <w:lang w:val="pt-BR"/>
        </w:rPr>
      </w:pPr>
      <w:r>
        <w:rPr>
          <w:sz w:val="20"/>
          <w:szCs w:val="20"/>
          <w:lang w:val="pt-BR"/>
        </w:rPr>
        <w:tab/>
      </w:r>
      <w:r w:rsidR="00174BD9" w:rsidRPr="00414B95">
        <w:rPr>
          <w:sz w:val="20"/>
          <w:szCs w:val="20"/>
          <w:lang w:val="pt-BR"/>
        </w:rPr>
        <w:tab/>
      </w:r>
      <w:r w:rsidR="00174BD9" w:rsidRPr="00414B95">
        <w:rPr>
          <w:sz w:val="20"/>
          <w:szCs w:val="20"/>
          <w:lang w:val="pt-BR"/>
        </w:rPr>
        <w:tab/>
      </w:r>
      <w:r w:rsidR="00174BD9" w:rsidRPr="00414B95">
        <w:rPr>
          <w:sz w:val="20"/>
          <w:szCs w:val="20"/>
          <w:lang w:val="pt-BR"/>
        </w:rPr>
        <w:tab/>
      </w:r>
      <w:r w:rsidR="00174BD9" w:rsidRPr="00414B95">
        <w:rPr>
          <w:sz w:val="20"/>
          <w:szCs w:val="20"/>
          <w:lang w:val="pt-BR"/>
        </w:rPr>
        <w:tab/>
      </w:r>
      <w:r w:rsidR="00174BD9" w:rsidRPr="00414B95">
        <w:rPr>
          <w:sz w:val="20"/>
          <w:szCs w:val="20"/>
          <w:lang w:val="pt-BR"/>
        </w:rPr>
        <w:tab/>
      </w:r>
      <w:r w:rsidR="00174BD9" w:rsidRPr="00414B95">
        <w:rPr>
          <w:sz w:val="20"/>
          <w:szCs w:val="20"/>
          <w:lang w:val="pt-BR"/>
        </w:rPr>
        <w:tab/>
      </w:r>
      <w:r w:rsidR="00174BD9" w:rsidRPr="00414B95">
        <w:rPr>
          <w:sz w:val="20"/>
          <w:szCs w:val="20"/>
          <w:lang w:val="pt-BR"/>
        </w:rPr>
        <w:tab/>
      </w:r>
      <w:r>
        <w:rPr>
          <w:sz w:val="20"/>
          <w:szCs w:val="20"/>
          <w:lang w:val="pt-BR"/>
        </w:rPr>
        <w:tab/>
      </w:r>
      <w:r w:rsidR="00174BD9" w:rsidRPr="00414B95">
        <w:rPr>
          <w:sz w:val="20"/>
          <w:szCs w:val="20"/>
          <w:lang w:val="pt-BR"/>
        </w:rPr>
        <w:t>Presidenta</w:t>
      </w:r>
    </w:p>
    <w:p w14:paraId="3F152E23" w14:textId="77777777" w:rsidR="00174BD9" w:rsidRPr="00414B95" w:rsidRDefault="00174BD9" w:rsidP="00174BD9">
      <w:pPr>
        <w:rPr>
          <w:sz w:val="20"/>
          <w:szCs w:val="20"/>
          <w:lang w:val="pt-BR"/>
        </w:rPr>
      </w:pPr>
    </w:p>
    <w:p w14:paraId="2A97CF61" w14:textId="77777777" w:rsidR="00174BD9" w:rsidRPr="00414B95" w:rsidRDefault="00174BD9" w:rsidP="00174BD9">
      <w:pPr>
        <w:rPr>
          <w:sz w:val="20"/>
          <w:szCs w:val="20"/>
          <w:lang w:val="pt-BR"/>
        </w:rPr>
      </w:pPr>
      <w:r w:rsidRPr="00414B95">
        <w:rPr>
          <w:sz w:val="20"/>
          <w:szCs w:val="20"/>
          <w:lang w:val="pt-BR"/>
        </w:rPr>
        <w:t xml:space="preserve">Pablo Saavedra </w:t>
      </w:r>
      <w:proofErr w:type="spellStart"/>
      <w:r w:rsidRPr="00414B95">
        <w:rPr>
          <w:sz w:val="20"/>
          <w:szCs w:val="20"/>
          <w:lang w:val="pt-BR"/>
        </w:rPr>
        <w:t>Alessandri</w:t>
      </w:r>
      <w:proofErr w:type="spellEnd"/>
    </w:p>
    <w:p w14:paraId="49DB2D06" w14:textId="44139583" w:rsidR="00174BD9" w:rsidRPr="00414B95" w:rsidRDefault="00174BD9" w:rsidP="00174BD9">
      <w:pPr>
        <w:rPr>
          <w:sz w:val="20"/>
          <w:szCs w:val="20"/>
        </w:rPr>
      </w:pPr>
      <w:r w:rsidRPr="00414B95">
        <w:rPr>
          <w:sz w:val="20"/>
          <w:szCs w:val="20"/>
          <w:lang w:val="pt-BR"/>
        </w:rPr>
        <w:t xml:space="preserve">          </w:t>
      </w:r>
      <w:r w:rsidRPr="00414B95">
        <w:rPr>
          <w:sz w:val="20"/>
          <w:szCs w:val="20"/>
          <w:lang w:val="es-ES"/>
        </w:rPr>
        <w:t>Secretario</w:t>
      </w:r>
    </w:p>
    <w:sectPr w:rsidR="00174BD9" w:rsidRPr="00414B95" w:rsidSect="002A479E">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55F6C" w14:textId="77777777" w:rsidR="00D42448" w:rsidRDefault="00D42448" w:rsidP="00C5289C">
      <w:pPr>
        <w:spacing w:line="240" w:lineRule="auto"/>
      </w:pPr>
      <w:r>
        <w:separator/>
      </w:r>
    </w:p>
  </w:endnote>
  <w:endnote w:type="continuationSeparator" w:id="0">
    <w:p w14:paraId="73B1EF5E" w14:textId="77777777" w:rsidR="00D42448" w:rsidRDefault="00D42448" w:rsidP="00C528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MT">
    <w:charset w:val="00"/>
    <w:family w:val="auto"/>
    <w:pitch w:val="variable"/>
    <w:sig w:usb0="00000000"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TimesNewRomanPSMT">
    <w:panose1 w:val="00000000000000000000"/>
    <w:charset w:val="80"/>
    <w:family w:val="auto"/>
    <w:notTrueType/>
    <w:pitch w:val="default"/>
    <w:sig w:usb0="00000001" w:usb1="08070000" w:usb2="00000010" w:usb3="00000000" w:csb0="00020000" w:csb1="00000000"/>
  </w:font>
  <w:font w:name="TimesNewRomanPS-Italic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0769159"/>
      <w:docPartObj>
        <w:docPartGallery w:val="Page Numbers (Bottom of Page)"/>
        <w:docPartUnique/>
      </w:docPartObj>
    </w:sdtPr>
    <w:sdtEndPr>
      <w:rPr>
        <w:sz w:val="20"/>
        <w:szCs w:val="20"/>
      </w:rPr>
    </w:sdtEndPr>
    <w:sdtContent>
      <w:p w14:paraId="6DBF3A1C" w14:textId="687869A9" w:rsidR="004224C0" w:rsidRPr="004224C0" w:rsidRDefault="004224C0">
        <w:pPr>
          <w:pStyle w:val="Piedepgina"/>
          <w:jc w:val="center"/>
          <w:rPr>
            <w:sz w:val="20"/>
            <w:szCs w:val="20"/>
          </w:rPr>
        </w:pPr>
        <w:r w:rsidRPr="004224C0">
          <w:rPr>
            <w:sz w:val="20"/>
            <w:szCs w:val="20"/>
          </w:rPr>
          <w:fldChar w:fldCharType="begin"/>
        </w:r>
        <w:r w:rsidRPr="004224C0">
          <w:rPr>
            <w:sz w:val="20"/>
            <w:szCs w:val="20"/>
          </w:rPr>
          <w:instrText>PAGE   \* MERGEFORMAT</w:instrText>
        </w:r>
        <w:r w:rsidRPr="004224C0">
          <w:rPr>
            <w:sz w:val="20"/>
            <w:szCs w:val="20"/>
          </w:rPr>
          <w:fldChar w:fldCharType="separate"/>
        </w:r>
        <w:r w:rsidR="00414B95" w:rsidRPr="00414B95">
          <w:rPr>
            <w:noProof/>
            <w:sz w:val="20"/>
            <w:szCs w:val="20"/>
            <w:lang w:val="es-ES"/>
          </w:rPr>
          <w:t>52</w:t>
        </w:r>
        <w:r w:rsidRPr="004224C0">
          <w:rPr>
            <w:sz w:val="20"/>
            <w:szCs w:val="20"/>
          </w:rPr>
          <w:fldChar w:fldCharType="end"/>
        </w:r>
      </w:p>
    </w:sdtContent>
  </w:sdt>
  <w:p w14:paraId="5C253F51" w14:textId="77777777" w:rsidR="004224C0" w:rsidRDefault="004224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F1967A" w14:textId="77777777" w:rsidR="00D42448" w:rsidRDefault="00D42448" w:rsidP="00C5289C">
      <w:pPr>
        <w:spacing w:line="240" w:lineRule="auto"/>
      </w:pPr>
      <w:r>
        <w:separator/>
      </w:r>
    </w:p>
  </w:footnote>
  <w:footnote w:type="continuationSeparator" w:id="0">
    <w:p w14:paraId="564396F8" w14:textId="77777777" w:rsidR="00D42448" w:rsidRDefault="00D42448" w:rsidP="00C5289C">
      <w:pPr>
        <w:spacing w:line="240" w:lineRule="auto"/>
      </w:pPr>
      <w:r>
        <w:continuationSeparator/>
      </w:r>
    </w:p>
  </w:footnote>
  <w:footnote w:id="1">
    <w:p w14:paraId="02B134E5" w14:textId="5DEA2361" w:rsidR="004224C0" w:rsidRDefault="004224C0" w:rsidP="00B476ED">
      <w:pPr>
        <w:pStyle w:val="Textonotapie"/>
        <w:ind w:right="-943"/>
        <w:rPr>
          <w:sz w:val="16"/>
          <w:szCs w:val="16"/>
        </w:rPr>
      </w:pPr>
      <w:r w:rsidRPr="00C371A1">
        <w:rPr>
          <w:rStyle w:val="Refdenotaalpie"/>
          <w:sz w:val="16"/>
          <w:szCs w:val="16"/>
        </w:rPr>
        <w:footnoteRef/>
      </w:r>
      <w:r w:rsidRPr="00C371A1">
        <w:rPr>
          <w:sz w:val="16"/>
          <w:szCs w:val="16"/>
        </w:rPr>
        <w:t xml:space="preserve"> </w:t>
      </w:r>
      <w:r w:rsidR="002A479E">
        <w:rPr>
          <w:sz w:val="16"/>
          <w:szCs w:val="16"/>
        </w:rPr>
        <w:tab/>
      </w:r>
      <w:r w:rsidRPr="00C371A1">
        <w:rPr>
          <w:sz w:val="16"/>
          <w:szCs w:val="16"/>
        </w:rPr>
        <w:t>En cuanto al nombre de Cristian Arnaldo Molina Córdova, es preciso hacer notar que el acta de defunción emitida el 1 de julio de 2005 hace alusión a “Christian” Arnaldo Molina (</w:t>
      </w:r>
      <w:r w:rsidRPr="00C371A1">
        <w:rPr>
          <w:i/>
          <w:sz w:val="16"/>
          <w:szCs w:val="16"/>
        </w:rPr>
        <w:t>cfr.</w:t>
      </w:r>
      <w:r w:rsidRPr="00C371A1">
        <w:rPr>
          <w:sz w:val="16"/>
          <w:szCs w:val="16"/>
        </w:rPr>
        <w:t xml:space="preserve"> acta de defunción de 1 de julio de 2005 (expediente de prueba, f. 1215)). No obstante, los representantes, en su escrito de solicitudes y argumentos, se han referido a “Cristian” Arnaldo Molina Córdova, y así aparece el nombre en otros documentos, tales como la citación ante la Fiscalía Décima Primera del Ministerio Público del Segundo Circuito de la Circunscripción Judicial Penal del Estado de Bolívar, de 5 de agosto de 2005, o el acta de exhumación de 25 de enero de 2006 (</w:t>
      </w:r>
      <w:r w:rsidRPr="00C371A1">
        <w:rPr>
          <w:i/>
          <w:sz w:val="16"/>
          <w:szCs w:val="16"/>
        </w:rPr>
        <w:t>cfr.</w:t>
      </w:r>
      <w:r w:rsidRPr="00C371A1">
        <w:rPr>
          <w:sz w:val="16"/>
          <w:szCs w:val="16"/>
        </w:rPr>
        <w:t xml:space="preserve"> citación de fecha 5 de agosto de 2005 y acta de exhumación de 25 de enero de 2006 (expediente de prueba, fs. 1527 a 1530 y 1731 a 1732, respectivamente)). A efectos de la presente Sentencia, entonces, se </w:t>
      </w:r>
      <w:r w:rsidR="00A61759">
        <w:rPr>
          <w:sz w:val="16"/>
          <w:szCs w:val="16"/>
        </w:rPr>
        <w:t>utilizará</w:t>
      </w:r>
      <w:r w:rsidRPr="00C371A1">
        <w:rPr>
          <w:sz w:val="16"/>
          <w:szCs w:val="16"/>
        </w:rPr>
        <w:t xml:space="preserve"> el nombre “Cristian Arnaldo Molina Córdova”.</w:t>
      </w:r>
    </w:p>
    <w:p w14:paraId="34B1774A" w14:textId="77777777" w:rsidR="004224C0" w:rsidRPr="00C371A1" w:rsidRDefault="004224C0" w:rsidP="00B476ED">
      <w:pPr>
        <w:pStyle w:val="Textonotapie"/>
        <w:ind w:right="-943"/>
        <w:rPr>
          <w:sz w:val="16"/>
          <w:szCs w:val="16"/>
          <w:lang w:val="es-CR"/>
        </w:rPr>
      </w:pPr>
    </w:p>
  </w:footnote>
  <w:footnote w:id="2">
    <w:p w14:paraId="33F6A0BC" w14:textId="542C36F8" w:rsidR="004224C0" w:rsidRDefault="004224C0" w:rsidP="00B476ED">
      <w:pPr>
        <w:pStyle w:val="Textonotapie"/>
        <w:tabs>
          <w:tab w:val="left" w:pos="567"/>
        </w:tabs>
        <w:spacing w:before="40" w:after="40"/>
        <w:ind w:right="-943"/>
        <w:rPr>
          <w:sz w:val="16"/>
          <w:szCs w:val="16"/>
        </w:rPr>
      </w:pPr>
      <w:r w:rsidRPr="00AF2262">
        <w:rPr>
          <w:rStyle w:val="Refdenotaalpie"/>
          <w:sz w:val="16"/>
          <w:szCs w:val="16"/>
        </w:rPr>
        <w:footnoteRef/>
      </w:r>
      <w:r w:rsidRPr="00AF2262">
        <w:rPr>
          <w:sz w:val="16"/>
          <w:szCs w:val="16"/>
        </w:rPr>
        <w:t xml:space="preserve"> </w:t>
      </w:r>
      <w:r w:rsidRPr="00AF2262">
        <w:rPr>
          <w:sz w:val="16"/>
          <w:szCs w:val="16"/>
        </w:rPr>
        <w:tab/>
        <w:t>La Comisión, concluyó que el Estado, en perjuicio de las cinco personas fallecidas (</w:t>
      </w:r>
      <w:r w:rsidRPr="00AF2262">
        <w:rPr>
          <w:i/>
          <w:sz w:val="16"/>
          <w:szCs w:val="16"/>
        </w:rPr>
        <w:t xml:space="preserve">supra </w:t>
      </w:r>
      <w:r w:rsidRPr="003A5C19">
        <w:rPr>
          <w:sz w:val="16"/>
          <w:szCs w:val="16"/>
        </w:rPr>
        <w:t>párr. 1</w:t>
      </w:r>
      <w:r w:rsidRPr="00B03A88">
        <w:rPr>
          <w:sz w:val="16"/>
          <w:szCs w:val="16"/>
        </w:rPr>
        <w:t>)</w:t>
      </w:r>
      <w:r w:rsidRPr="00AF2262">
        <w:rPr>
          <w:sz w:val="16"/>
          <w:szCs w:val="16"/>
        </w:rPr>
        <w:t xml:space="preserve"> violó l</w:t>
      </w:r>
      <w:r>
        <w:rPr>
          <w:sz w:val="16"/>
          <w:szCs w:val="16"/>
        </w:rPr>
        <w:t>os</w:t>
      </w:r>
      <w:r w:rsidRPr="00AF2262">
        <w:rPr>
          <w:sz w:val="16"/>
          <w:szCs w:val="16"/>
        </w:rPr>
        <w:t xml:space="preserve"> derecho</w:t>
      </w:r>
      <w:r>
        <w:rPr>
          <w:sz w:val="16"/>
          <w:szCs w:val="16"/>
        </w:rPr>
        <w:t>s</w:t>
      </w:r>
      <w:r w:rsidRPr="00AF2262">
        <w:rPr>
          <w:sz w:val="16"/>
          <w:szCs w:val="16"/>
        </w:rPr>
        <w:t xml:space="preserve"> a la vida</w:t>
      </w:r>
      <w:r>
        <w:rPr>
          <w:sz w:val="16"/>
          <w:szCs w:val="16"/>
        </w:rPr>
        <w:t xml:space="preserve"> y</w:t>
      </w:r>
      <w:r w:rsidRPr="00AF2262">
        <w:rPr>
          <w:sz w:val="16"/>
          <w:szCs w:val="16"/>
        </w:rPr>
        <w:t xml:space="preserve"> a la integridad personal, de conformidad con los artículos</w:t>
      </w:r>
      <w:r>
        <w:rPr>
          <w:sz w:val="16"/>
          <w:szCs w:val="16"/>
        </w:rPr>
        <w:t xml:space="preserve"> 4.1,</w:t>
      </w:r>
      <w:r w:rsidRPr="00AF2262">
        <w:rPr>
          <w:sz w:val="16"/>
          <w:szCs w:val="16"/>
        </w:rPr>
        <w:t xml:space="preserve"> 5.1, 5.4, 5.5 y 5.6 de</w:t>
      </w:r>
      <w:r>
        <w:rPr>
          <w:sz w:val="16"/>
          <w:szCs w:val="16"/>
        </w:rPr>
        <w:t xml:space="preserve"> </w:t>
      </w:r>
      <w:r w:rsidRPr="00AF2262">
        <w:rPr>
          <w:sz w:val="16"/>
          <w:szCs w:val="16"/>
        </w:rPr>
        <w:t>l</w:t>
      </w:r>
      <w:r>
        <w:rPr>
          <w:sz w:val="16"/>
          <w:szCs w:val="16"/>
        </w:rPr>
        <w:t>a Convención</w:t>
      </w:r>
      <w:r w:rsidRPr="00AF2262">
        <w:rPr>
          <w:sz w:val="16"/>
          <w:szCs w:val="16"/>
        </w:rPr>
        <w:t xml:space="preserve">, en relación con las obligaciones establecidas en </w:t>
      </w:r>
      <w:r>
        <w:rPr>
          <w:sz w:val="16"/>
          <w:szCs w:val="16"/>
        </w:rPr>
        <w:t>sus</w:t>
      </w:r>
      <w:r w:rsidRPr="00AF2262">
        <w:rPr>
          <w:sz w:val="16"/>
          <w:szCs w:val="16"/>
        </w:rPr>
        <w:t xml:space="preserve"> artículos 1.1 y 19. Además, determinó que Venezuela</w:t>
      </w:r>
      <w:r>
        <w:rPr>
          <w:sz w:val="16"/>
          <w:szCs w:val="16"/>
        </w:rPr>
        <w:t xml:space="preserve"> </w:t>
      </w:r>
      <w:r w:rsidRPr="00AF2262">
        <w:rPr>
          <w:sz w:val="16"/>
          <w:szCs w:val="16"/>
        </w:rPr>
        <w:t>violó los derechos a las garantías judiciales y a la protección judicial, plasmados en los artículos 8.1 y 25.1 de la Convenció</w:t>
      </w:r>
      <w:r>
        <w:rPr>
          <w:sz w:val="16"/>
          <w:szCs w:val="16"/>
        </w:rPr>
        <w:t>n</w:t>
      </w:r>
      <w:r w:rsidRPr="00AF2262">
        <w:rPr>
          <w:sz w:val="16"/>
          <w:szCs w:val="16"/>
        </w:rPr>
        <w:t xml:space="preserve">, en relación con el </w:t>
      </w:r>
      <w:r>
        <w:rPr>
          <w:sz w:val="16"/>
          <w:szCs w:val="16"/>
        </w:rPr>
        <w:t xml:space="preserve">citado </w:t>
      </w:r>
      <w:r w:rsidRPr="00AF2262">
        <w:rPr>
          <w:sz w:val="16"/>
          <w:szCs w:val="16"/>
        </w:rPr>
        <w:t>artículo 1.1</w:t>
      </w:r>
      <w:r>
        <w:rPr>
          <w:sz w:val="16"/>
          <w:szCs w:val="16"/>
        </w:rPr>
        <w:t xml:space="preserve">, </w:t>
      </w:r>
      <w:r w:rsidRPr="00AF2262">
        <w:rPr>
          <w:sz w:val="16"/>
          <w:szCs w:val="16"/>
        </w:rPr>
        <w:t xml:space="preserve">en perjuicio de </w:t>
      </w:r>
      <w:r>
        <w:rPr>
          <w:sz w:val="16"/>
          <w:szCs w:val="16"/>
        </w:rPr>
        <w:t xml:space="preserve">los  siguientes </w:t>
      </w:r>
      <w:r w:rsidRPr="00AF2262">
        <w:rPr>
          <w:sz w:val="16"/>
          <w:szCs w:val="16"/>
        </w:rPr>
        <w:t xml:space="preserve">familiares de las personas fallecidas: </w:t>
      </w:r>
      <w:r w:rsidRPr="00F92294">
        <w:rPr>
          <w:sz w:val="16"/>
          <w:szCs w:val="16"/>
        </w:rPr>
        <w:t xml:space="preserve">Elvia </w:t>
      </w:r>
      <w:proofErr w:type="spellStart"/>
      <w:r w:rsidRPr="00F92294">
        <w:rPr>
          <w:sz w:val="16"/>
          <w:szCs w:val="16"/>
        </w:rPr>
        <w:t>Abarullo</w:t>
      </w:r>
      <w:proofErr w:type="spellEnd"/>
      <w:r w:rsidRPr="00F92294">
        <w:rPr>
          <w:sz w:val="16"/>
          <w:szCs w:val="16"/>
        </w:rPr>
        <w:t xml:space="preserve"> de Mota, Félix Enríquez Mota, </w:t>
      </w:r>
      <w:proofErr w:type="spellStart"/>
      <w:r w:rsidRPr="00F92294">
        <w:rPr>
          <w:sz w:val="16"/>
          <w:szCs w:val="16"/>
        </w:rPr>
        <w:t>Osmely</w:t>
      </w:r>
      <w:proofErr w:type="spellEnd"/>
      <w:r w:rsidRPr="00F92294">
        <w:rPr>
          <w:sz w:val="16"/>
          <w:szCs w:val="16"/>
        </w:rPr>
        <w:t xml:space="preserve"> Angelina Mota </w:t>
      </w:r>
      <w:proofErr w:type="spellStart"/>
      <w:r w:rsidRPr="00F92294">
        <w:rPr>
          <w:sz w:val="16"/>
          <w:szCs w:val="16"/>
        </w:rPr>
        <w:t>Abarullo</w:t>
      </w:r>
      <w:proofErr w:type="spellEnd"/>
      <w:r w:rsidRPr="00F92294">
        <w:rPr>
          <w:sz w:val="16"/>
          <w:szCs w:val="16"/>
        </w:rPr>
        <w:t xml:space="preserve">, Myriam Josefina Herrera Sánchez, Jesús Juvenal Herrera Sánchez, </w:t>
      </w:r>
      <w:proofErr w:type="spellStart"/>
      <w:r w:rsidRPr="00F92294">
        <w:rPr>
          <w:sz w:val="16"/>
          <w:szCs w:val="16"/>
        </w:rPr>
        <w:t>Nelys</w:t>
      </w:r>
      <w:proofErr w:type="spellEnd"/>
      <w:r w:rsidRPr="00F92294">
        <w:rPr>
          <w:sz w:val="16"/>
          <w:szCs w:val="16"/>
        </w:rPr>
        <w:t xml:space="preserve"> Margarita Correa, Belkis Josefina Correa Ríos, Luis José Yáñez, Maritza del Valle Sánchez Ávila, María Cristina Córdova de Molina y Hugo Arnaldo Molina.</w:t>
      </w:r>
    </w:p>
    <w:p w14:paraId="3F45BA36" w14:textId="77777777" w:rsidR="004224C0" w:rsidRPr="00AF2262" w:rsidRDefault="004224C0" w:rsidP="00B476ED">
      <w:pPr>
        <w:pStyle w:val="Textonotapie"/>
        <w:tabs>
          <w:tab w:val="left" w:pos="567"/>
        </w:tabs>
        <w:spacing w:before="40" w:after="40"/>
        <w:ind w:right="-943"/>
        <w:rPr>
          <w:sz w:val="16"/>
          <w:szCs w:val="16"/>
        </w:rPr>
      </w:pPr>
    </w:p>
  </w:footnote>
  <w:footnote w:id="3">
    <w:p w14:paraId="17811FC6" w14:textId="45D0FD53" w:rsidR="004224C0" w:rsidRPr="00AF2262" w:rsidRDefault="004224C0" w:rsidP="00B476ED">
      <w:pPr>
        <w:pStyle w:val="Textonotapie"/>
        <w:tabs>
          <w:tab w:val="left" w:pos="567"/>
        </w:tabs>
        <w:spacing w:before="40" w:after="40"/>
        <w:ind w:right="-943"/>
        <w:rPr>
          <w:sz w:val="16"/>
          <w:szCs w:val="16"/>
          <w:lang w:val="es-CR"/>
        </w:rPr>
      </w:pPr>
      <w:r w:rsidRPr="00AF2262">
        <w:rPr>
          <w:rStyle w:val="Refdenotaalpie"/>
          <w:sz w:val="16"/>
          <w:szCs w:val="16"/>
          <w:lang w:val="es-CR"/>
        </w:rPr>
        <w:footnoteRef/>
      </w:r>
      <w:r w:rsidRPr="00AF2262">
        <w:rPr>
          <w:sz w:val="16"/>
          <w:szCs w:val="16"/>
          <w:lang w:val="es-CR"/>
        </w:rPr>
        <w:t xml:space="preserve"> </w:t>
      </w:r>
      <w:r w:rsidRPr="00AF2262">
        <w:rPr>
          <w:sz w:val="16"/>
          <w:szCs w:val="16"/>
          <w:lang w:val="es-CR"/>
        </w:rPr>
        <w:tab/>
        <w:t xml:space="preserve">La Comisión designó, como sus delegados ante la Corte, al </w:t>
      </w:r>
      <w:r>
        <w:rPr>
          <w:sz w:val="16"/>
          <w:szCs w:val="16"/>
          <w:lang w:val="es-CR"/>
        </w:rPr>
        <w:t xml:space="preserve">entonces </w:t>
      </w:r>
      <w:r w:rsidRPr="00AF2262">
        <w:rPr>
          <w:sz w:val="16"/>
          <w:szCs w:val="16"/>
          <w:lang w:val="es-CR"/>
        </w:rPr>
        <w:t xml:space="preserve">Comisionado </w:t>
      </w:r>
      <w:r>
        <w:rPr>
          <w:sz w:val="16"/>
          <w:szCs w:val="16"/>
          <w:lang w:val="es-CR"/>
        </w:rPr>
        <w:t xml:space="preserve">Francisco José Eguiguren </w:t>
      </w:r>
      <w:proofErr w:type="spellStart"/>
      <w:r>
        <w:rPr>
          <w:sz w:val="16"/>
          <w:szCs w:val="16"/>
          <w:lang w:val="es-CR"/>
        </w:rPr>
        <w:t>Praeli</w:t>
      </w:r>
      <w:proofErr w:type="spellEnd"/>
      <w:r w:rsidRPr="00AF2262">
        <w:rPr>
          <w:sz w:val="16"/>
          <w:szCs w:val="16"/>
          <w:lang w:val="es-CR"/>
        </w:rPr>
        <w:t xml:space="preserve"> y al </w:t>
      </w:r>
      <w:r>
        <w:rPr>
          <w:sz w:val="16"/>
          <w:szCs w:val="16"/>
          <w:lang w:val="es-CR"/>
        </w:rPr>
        <w:t xml:space="preserve">entonces </w:t>
      </w:r>
      <w:r w:rsidRPr="00AF2262">
        <w:rPr>
          <w:sz w:val="16"/>
          <w:szCs w:val="16"/>
          <w:lang w:val="es-CR"/>
        </w:rPr>
        <w:t xml:space="preserve">Secretario Ejecutivo Paulo </w:t>
      </w:r>
      <w:proofErr w:type="spellStart"/>
      <w:r w:rsidRPr="00AF2262">
        <w:rPr>
          <w:sz w:val="16"/>
          <w:szCs w:val="16"/>
          <w:lang w:val="es-CR"/>
        </w:rPr>
        <w:t>Abrão</w:t>
      </w:r>
      <w:proofErr w:type="spellEnd"/>
      <w:r w:rsidRPr="00AF2262">
        <w:rPr>
          <w:sz w:val="16"/>
          <w:szCs w:val="16"/>
          <w:lang w:val="es-CR"/>
        </w:rPr>
        <w:t>. Asimismo, designó com</w:t>
      </w:r>
      <w:r>
        <w:rPr>
          <w:sz w:val="16"/>
          <w:szCs w:val="16"/>
          <w:lang w:val="es-CR"/>
        </w:rPr>
        <w:t>o asesora</w:t>
      </w:r>
      <w:r w:rsidRPr="00AF2262">
        <w:rPr>
          <w:sz w:val="16"/>
          <w:szCs w:val="16"/>
          <w:lang w:val="es-CR"/>
        </w:rPr>
        <w:t xml:space="preserve">s legales a Silvia Serrano Guzmán, entonces abogada de la Secretaría Ejecutiva, </w:t>
      </w:r>
      <w:r>
        <w:rPr>
          <w:sz w:val="16"/>
          <w:szCs w:val="16"/>
          <w:lang w:val="es-CR"/>
        </w:rPr>
        <w:t xml:space="preserve">y a Analía </w:t>
      </w:r>
      <w:proofErr w:type="spellStart"/>
      <w:r>
        <w:rPr>
          <w:sz w:val="16"/>
          <w:szCs w:val="16"/>
          <w:lang w:val="es-CR"/>
        </w:rPr>
        <w:t>Banfi</w:t>
      </w:r>
      <w:proofErr w:type="spellEnd"/>
      <w:r w:rsidRPr="00AF2262">
        <w:rPr>
          <w:sz w:val="16"/>
          <w:szCs w:val="16"/>
          <w:lang w:val="es-CR"/>
        </w:rPr>
        <w:t>, abogad</w:t>
      </w:r>
      <w:r>
        <w:rPr>
          <w:sz w:val="16"/>
          <w:szCs w:val="16"/>
          <w:lang w:val="es-CR"/>
        </w:rPr>
        <w:t>a</w:t>
      </w:r>
      <w:r w:rsidRPr="00AF2262">
        <w:rPr>
          <w:sz w:val="16"/>
          <w:szCs w:val="16"/>
          <w:lang w:val="es-CR"/>
        </w:rPr>
        <w:t xml:space="preserve"> de la Secretaría Ejecutiva.</w:t>
      </w:r>
    </w:p>
    <w:p w14:paraId="4FACA062" w14:textId="77777777" w:rsidR="004224C0" w:rsidRPr="00AF2262" w:rsidRDefault="004224C0" w:rsidP="00B476ED">
      <w:pPr>
        <w:pStyle w:val="Textonotapie"/>
        <w:tabs>
          <w:tab w:val="left" w:pos="567"/>
        </w:tabs>
        <w:spacing w:before="40" w:after="40"/>
        <w:ind w:right="-943"/>
        <w:rPr>
          <w:sz w:val="16"/>
          <w:szCs w:val="16"/>
          <w:lang w:val="es-CR"/>
        </w:rPr>
      </w:pPr>
    </w:p>
  </w:footnote>
  <w:footnote w:id="4">
    <w:p w14:paraId="2C91A4F2" w14:textId="35D431FC" w:rsidR="004224C0" w:rsidRPr="00AF2262" w:rsidRDefault="004224C0" w:rsidP="00B476ED">
      <w:pPr>
        <w:pStyle w:val="Textonotapie"/>
        <w:tabs>
          <w:tab w:val="left" w:pos="567"/>
        </w:tabs>
        <w:spacing w:before="40" w:after="40"/>
        <w:ind w:right="-943"/>
        <w:rPr>
          <w:sz w:val="16"/>
          <w:szCs w:val="16"/>
          <w:lang w:val="es-CR"/>
        </w:rPr>
      </w:pPr>
      <w:r w:rsidRPr="00AF2262">
        <w:rPr>
          <w:rStyle w:val="Refdenotaalpie"/>
          <w:sz w:val="16"/>
          <w:szCs w:val="16"/>
          <w:lang w:val="es-CR"/>
        </w:rPr>
        <w:footnoteRef/>
      </w:r>
      <w:r w:rsidRPr="00AF2262">
        <w:rPr>
          <w:sz w:val="16"/>
          <w:szCs w:val="16"/>
          <w:lang w:val="es-CR"/>
        </w:rPr>
        <w:t xml:space="preserve"> </w:t>
      </w:r>
      <w:r w:rsidRPr="00AF2262">
        <w:rPr>
          <w:sz w:val="16"/>
          <w:szCs w:val="16"/>
          <w:lang w:val="es-CR"/>
        </w:rPr>
        <w:tab/>
        <w:t xml:space="preserve">El Observatorio Venezolano de Prisiones (OVP) y el </w:t>
      </w:r>
      <w:r w:rsidRPr="00AF2262">
        <w:rPr>
          <w:i/>
          <w:sz w:val="16"/>
          <w:szCs w:val="16"/>
          <w:lang w:val="es-CR"/>
        </w:rPr>
        <w:t xml:space="preserve">Cyrus R. Vance Center </w:t>
      </w:r>
      <w:proofErr w:type="spellStart"/>
      <w:r w:rsidRPr="00AF2262">
        <w:rPr>
          <w:i/>
          <w:sz w:val="16"/>
          <w:szCs w:val="16"/>
          <w:lang w:val="es-CR"/>
        </w:rPr>
        <w:t>for</w:t>
      </w:r>
      <w:proofErr w:type="spellEnd"/>
      <w:r w:rsidRPr="00AF2262">
        <w:rPr>
          <w:i/>
          <w:sz w:val="16"/>
          <w:szCs w:val="16"/>
          <w:lang w:val="es-CR"/>
        </w:rPr>
        <w:t xml:space="preserve"> Internacional </w:t>
      </w:r>
      <w:proofErr w:type="spellStart"/>
      <w:r w:rsidRPr="00AF2262">
        <w:rPr>
          <w:i/>
          <w:sz w:val="16"/>
          <w:szCs w:val="16"/>
          <w:lang w:val="es-CR"/>
        </w:rPr>
        <w:t>Justice</w:t>
      </w:r>
      <w:proofErr w:type="spellEnd"/>
      <w:r w:rsidRPr="00AF2262">
        <w:rPr>
          <w:sz w:val="16"/>
          <w:szCs w:val="16"/>
          <w:lang w:val="es-CR"/>
        </w:rPr>
        <w:t xml:space="preserve"> ejercen la representación de las presuntas víctimas en este caso. </w:t>
      </w:r>
    </w:p>
    <w:p w14:paraId="6A71AD7B" w14:textId="77777777" w:rsidR="004224C0" w:rsidRPr="00AF2262" w:rsidRDefault="004224C0" w:rsidP="00B476ED">
      <w:pPr>
        <w:pStyle w:val="Textonotapie"/>
        <w:tabs>
          <w:tab w:val="left" w:pos="567"/>
        </w:tabs>
        <w:spacing w:before="40" w:after="40"/>
        <w:ind w:right="-943"/>
        <w:rPr>
          <w:sz w:val="16"/>
          <w:szCs w:val="16"/>
          <w:lang w:val="es-CR"/>
        </w:rPr>
      </w:pPr>
    </w:p>
  </w:footnote>
  <w:footnote w:id="5">
    <w:p w14:paraId="26193229" w14:textId="6D50C5B3" w:rsidR="004224C0" w:rsidRPr="00AF2262" w:rsidRDefault="004224C0" w:rsidP="00B476ED">
      <w:pPr>
        <w:pStyle w:val="Textonotapie"/>
        <w:ind w:right="-943"/>
        <w:rPr>
          <w:sz w:val="16"/>
          <w:szCs w:val="16"/>
          <w:lang w:val="es-CR"/>
        </w:rPr>
      </w:pPr>
      <w:r w:rsidRPr="00AF2262">
        <w:rPr>
          <w:rStyle w:val="Refdenotaalpie"/>
          <w:sz w:val="16"/>
          <w:szCs w:val="16"/>
          <w:lang w:val="es-CR"/>
        </w:rPr>
        <w:footnoteRef/>
      </w:r>
      <w:r w:rsidRPr="00AF2262">
        <w:rPr>
          <w:sz w:val="16"/>
          <w:szCs w:val="16"/>
        </w:rPr>
        <w:t xml:space="preserve"> </w:t>
      </w:r>
      <w:r w:rsidRPr="00AF2262">
        <w:rPr>
          <w:sz w:val="16"/>
          <w:szCs w:val="16"/>
          <w:lang w:val="es-CR"/>
        </w:rPr>
        <w:t xml:space="preserve"> </w:t>
      </w:r>
      <w:r w:rsidRPr="00AF2262">
        <w:rPr>
          <w:sz w:val="16"/>
          <w:szCs w:val="16"/>
          <w:lang w:val="es-CR"/>
        </w:rPr>
        <w:tab/>
        <w:t xml:space="preserve">El 14 de octubre de 2019, en respuesta a una solicitud de la Secretaría de la Corte, los representantes remitieron determinadas aclaraciones y documentación relacionada a los anexos documentales </w:t>
      </w:r>
      <w:r>
        <w:rPr>
          <w:sz w:val="16"/>
          <w:szCs w:val="16"/>
          <w:lang w:val="es-CR"/>
        </w:rPr>
        <w:t>a su escrito de solicitudes y argumentos</w:t>
      </w:r>
      <w:r w:rsidRPr="00AF2262">
        <w:rPr>
          <w:sz w:val="16"/>
          <w:szCs w:val="16"/>
          <w:lang w:val="es-CR"/>
        </w:rPr>
        <w:t>. E</w:t>
      </w:r>
      <w:r>
        <w:rPr>
          <w:sz w:val="16"/>
          <w:szCs w:val="16"/>
          <w:lang w:val="es-CR"/>
        </w:rPr>
        <w:t>se</w:t>
      </w:r>
      <w:r w:rsidRPr="00AF2262">
        <w:rPr>
          <w:sz w:val="16"/>
          <w:szCs w:val="16"/>
          <w:lang w:val="es-CR"/>
        </w:rPr>
        <w:t xml:space="preserve"> escrito, así como sus anexos, fueron transmitidos al Estado el 16 de octubre de 2019. </w:t>
      </w:r>
    </w:p>
    <w:p w14:paraId="2FA606A4" w14:textId="77777777" w:rsidR="004224C0" w:rsidRPr="00AF2262" w:rsidRDefault="004224C0" w:rsidP="00B476ED">
      <w:pPr>
        <w:pStyle w:val="Textonotapie"/>
        <w:ind w:right="-943"/>
        <w:rPr>
          <w:sz w:val="16"/>
          <w:szCs w:val="16"/>
          <w:lang w:val="es-CR"/>
        </w:rPr>
      </w:pPr>
    </w:p>
  </w:footnote>
  <w:footnote w:id="6">
    <w:p w14:paraId="0F59A0D1" w14:textId="67B0E7CE" w:rsidR="004224C0" w:rsidRPr="00AF2262" w:rsidRDefault="004224C0" w:rsidP="00B476ED">
      <w:pPr>
        <w:pStyle w:val="Textonotapie"/>
        <w:ind w:right="-943"/>
        <w:rPr>
          <w:sz w:val="16"/>
          <w:szCs w:val="16"/>
          <w:lang w:val="es-CR"/>
        </w:rPr>
      </w:pPr>
      <w:r w:rsidRPr="00AF2262">
        <w:rPr>
          <w:rStyle w:val="Refdenotaalpie"/>
          <w:sz w:val="16"/>
          <w:szCs w:val="16"/>
          <w:lang w:val="es-CR"/>
        </w:rPr>
        <w:footnoteRef/>
      </w:r>
      <w:r w:rsidRPr="00AF2262">
        <w:rPr>
          <w:rStyle w:val="Refdenotaalpie"/>
          <w:sz w:val="16"/>
          <w:szCs w:val="16"/>
          <w:lang w:val="es-CR"/>
        </w:rPr>
        <w:t xml:space="preserve"> </w:t>
      </w:r>
      <w:r w:rsidRPr="00AF2262">
        <w:rPr>
          <w:sz w:val="16"/>
          <w:szCs w:val="16"/>
        </w:rPr>
        <w:tab/>
      </w:r>
      <w:r w:rsidRPr="00AF2262">
        <w:rPr>
          <w:sz w:val="16"/>
          <w:szCs w:val="16"/>
          <w:lang w:val="es-CR"/>
        </w:rPr>
        <w:t xml:space="preserve">De modo previo, el 13 de noviembre de 2019, Venezuela designó a Larry </w:t>
      </w:r>
      <w:proofErr w:type="spellStart"/>
      <w:r w:rsidRPr="00AF2262">
        <w:rPr>
          <w:sz w:val="16"/>
          <w:szCs w:val="16"/>
          <w:lang w:val="es-CR"/>
        </w:rPr>
        <w:t>Devoe</w:t>
      </w:r>
      <w:proofErr w:type="spellEnd"/>
      <w:r w:rsidRPr="00AF2262">
        <w:rPr>
          <w:sz w:val="16"/>
          <w:szCs w:val="16"/>
          <w:lang w:val="es-CR"/>
        </w:rPr>
        <w:t xml:space="preserve"> Márquez como agente del Estado. El 3 de enero de 2020 el Estado remitió los anexos documentales a la contestación que, por problemas técnicos del correo electrónico de la Corte Interamericana, fueron recibidos por esta el 13 del mismo mes.</w:t>
      </w:r>
      <w:r w:rsidRPr="00AF2262">
        <w:rPr>
          <w:b/>
          <w:sz w:val="16"/>
          <w:szCs w:val="16"/>
          <w:lang w:val="es-CR"/>
        </w:rPr>
        <w:t xml:space="preserve"> </w:t>
      </w:r>
      <w:r w:rsidRPr="00AF2262">
        <w:rPr>
          <w:sz w:val="16"/>
          <w:szCs w:val="16"/>
          <w:lang w:val="es-CR"/>
        </w:rPr>
        <w:t>El 15 de enero de 2020 el escrito de contestación y sus anexos fueron transmitidos a la Comisión y a los representantes.</w:t>
      </w:r>
      <w:r w:rsidRPr="00AF2262">
        <w:rPr>
          <w:b/>
          <w:sz w:val="16"/>
          <w:szCs w:val="16"/>
          <w:lang w:val="es-CR"/>
        </w:rPr>
        <w:t xml:space="preserve"> </w:t>
      </w:r>
    </w:p>
  </w:footnote>
  <w:footnote w:id="7">
    <w:p w14:paraId="7C7B203A" w14:textId="77777777" w:rsidR="004224C0" w:rsidRPr="00E878BA"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sidRPr="00AF2262">
        <w:rPr>
          <w:sz w:val="16"/>
          <w:szCs w:val="16"/>
          <w:lang w:val="es-CR"/>
        </w:rPr>
        <w:t xml:space="preserve"> </w:t>
      </w:r>
      <w:r w:rsidRPr="00AF2262">
        <w:rPr>
          <w:sz w:val="16"/>
          <w:szCs w:val="16"/>
          <w:lang w:val="es-CR"/>
        </w:rPr>
        <w:tab/>
        <w:t>Disponible en el siguiente sitio de internet:</w:t>
      </w:r>
      <w:r w:rsidRPr="00AF2262">
        <w:rPr>
          <w:sz w:val="16"/>
          <w:szCs w:val="16"/>
        </w:rPr>
        <w:t xml:space="preserve"> </w:t>
      </w:r>
      <w:hyperlink r:id="rId1" w:history="1">
        <w:r w:rsidRPr="00E878BA">
          <w:rPr>
            <w:rStyle w:val="Hipervnculo"/>
            <w:color w:val="auto"/>
            <w:sz w:val="16"/>
            <w:szCs w:val="16"/>
            <w:u w:val="none"/>
            <w:lang w:val="es-CR"/>
          </w:rPr>
          <w:t>http://www.corteidh.or.cr/docs/asuntos/motaabarulloyotros_30_06_20.pdf</w:t>
        </w:r>
      </w:hyperlink>
      <w:r w:rsidRPr="00E878BA">
        <w:rPr>
          <w:sz w:val="16"/>
          <w:szCs w:val="16"/>
          <w:lang w:val="es-CR"/>
        </w:rPr>
        <w:t>.</w:t>
      </w:r>
    </w:p>
    <w:p w14:paraId="1A905B04" w14:textId="77777777" w:rsidR="004224C0" w:rsidRPr="00E878BA" w:rsidRDefault="004224C0" w:rsidP="00B476ED">
      <w:pPr>
        <w:pStyle w:val="Textonotapie"/>
        <w:ind w:right="-943"/>
        <w:rPr>
          <w:sz w:val="16"/>
          <w:szCs w:val="16"/>
          <w:lang w:val="es-CR"/>
        </w:rPr>
      </w:pPr>
    </w:p>
  </w:footnote>
  <w:footnote w:id="8">
    <w:p w14:paraId="2F006B5E" w14:textId="64541158" w:rsidR="004224C0" w:rsidRPr="00E878BA" w:rsidRDefault="004224C0" w:rsidP="00B476ED">
      <w:pPr>
        <w:pStyle w:val="Textonotapie"/>
        <w:ind w:right="-943"/>
        <w:rPr>
          <w:rStyle w:val="Hipervnculo"/>
          <w:color w:val="auto"/>
          <w:sz w:val="16"/>
          <w:szCs w:val="16"/>
          <w:u w:val="none"/>
        </w:rPr>
      </w:pPr>
      <w:r w:rsidRPr="00E878BA">
        <w:rPr>
          <w:rStyle w:val="Refdenotaalpie"/>
          <w:sz w:val="16"/>
          <w:szCs w:val="16"/>
        </w:rPr>
        <w:footnoteRef/>
      </w:r>
      <w:r w:rsidRPr="00E878BA">
        <w:rPr>
          <w:sz w:val="16"/>
          <w:szCs w:val="16"/>
        </w:rPr>
        <w:t xml:space="preserve">  </w:t>
      </w:r>
      <w:r w:rsidRPr="00E878BA">
        <w:rPr>
          <w:sz w:val="16"/>
          <w:szCs w:val="16"/>
        </w:rPr>
        <w:tab/>
        <w:t xml:space="preserve">Es pertinente dejar sentado </w:t>
      </w:r>
      <w:proofErr w:type="gramStart"/>
      <w:r w:rsidRPr="00E878BA">
        <w:rPr>
          <w:sz w:val="16"/>
          <w:szCs w:val="16"/>
        </w:rPr>
        <w:t>que</w:t>
      </w:r>
      <w:proofErr w:type="gramEnd"/>
      <w:r w:rsidRPr="00E878BA">
        <w:rPr>
          <w:sz w:val="16"/>
          <w:szCs w:val="16"/>
        </w:rPr>
        <w:t xml:space="preserve"> con anterioridad, e</w:t>
      </w:r>
      <w:r w:rsidRPr="00E878BA">
        <w:rPr>
          <w:sz w:val="16"/>
          <w:szCs w:val="16"/>
          <w:lang w:val="es-CR"/>
        </w:rPr>
        <w:t xml:space="preserve">l 17 de marzo de 2020, por medio del </w:t>
      </w:r>
      <w:r w:rsidRPr="00E878BA">
        <w:rPr>
          <w:sz w:val="16"/>
          <w:szCs w:val="16"/>
        </w:rPr>
        <w:t xml:space="preserve">Acuerdo 1/20 (disponible en el siguiente sitio de internet: </w:t>
      </w:r>
      <w:hyperlink r:id="rId2" w:history="1">
        <w:r w:rsidRPr="00E878BA">
          <w:rPr>
            <w:rStyle w:val="Hipervnculo"/>
            <w:color w:val="auto"/>
            <w:sz w:val="16"/>
            <w:szCs w:val="16"/>
            <w:u w:val="none"/>
          </w:rPr>
          <w:t>http://www.corteidh.or.cr/docs/comunicados/cp_18_2020.pdf</w:t>
        </w:r>
      </w:hyperlink>
      <w:r w:rsidRPr="00E878BA">
        <w:rPr>
          <w:sz w:val="16"/>
          <w:szCs w:val="16"/>
        </w:rPr>
        <w:t xml:space="preserve">), el Tribunal dispuso suspender el cómputo de todos los plazos debido a la emergencia en la salud causada por la pandemia por COVID-19. Dicha suspensión fue luego, el 16 de abril de 2020, ampliada hasta el 20 de mayo de 2020 inclusive, por medio del Acuerdo 2/20 de la Corte (disponible en el siguiente sitio de internet: </w:t>
      </w:r>
      <w:hyperlink r:id="rId3" w:history="1">
        <w:r w:rsidRPr="00E878BA">
          <w:rPr>
            <w:rStyle w:val="Hipervnculo"/>
            <w:color w:val="auto"/>
            <w:sz w:val="16"/>
            <w:szCs w:val="16"/>
            <w:u w:val="none"/>
          </w:rPr>
          <w:t>http://www.corteidh.or.cr/docs/comunicados/cp_28_2020.pdf</w:t>
        </w:r>
      </w:hyperlink>
      <w:r w:rsidRPr="00E878BA">
        <w:rPr>
          <w:rStyle w:val="Hipervnculo"/>
          <w:color w:val="auto"/>
          <w:sz w:val="16"/>
          <w:szCs w:val="16"/>
          <w:u w:val="none"/>
        </w:rPr>
        <w:t xml:space="preserve"> ).</w:t>
      </w:r>
    </w:p>
    <w:p w14:paraId="3E23B07E" w14:textId="77777777" w:rsidR="004224C0" w:rsidRPr="00E878BA" w:rsidRDefault="004224C0" w:rsidP="00B476ED">
      <w:pPr>
        <w:pStyle w:val="Textonotapie"/>
        <w:ind w:right="-943"/>
        <w:rPr>
          <w:sz w:val="16"/>
          <w:szCs w:val="16"/>
          <w:lang w:val="es-CR"/>
        </w:rPr>
      </w:pPr>
    </w:p>
  </w:footnote>
  <w:footnote w:id="9">
    <w:p w14:paraId="7A36A637" w14:textId="53936E03" w:rsidR="004224C0" w:rsidRPr="00777B77" w:rsidRDefault="004224C0" w:rsidP="00B476ED">
      <w:pPr>
        <w:pStyle w:val="Textonotapie"/>
        <w:ind w:right="-943"/>
        <w:rPr>
          <w:sz w:val="16"/>
          <w:szCs w:val="16"/>
          <w:lang w:val="es-CR"/>
        </w:rPr>
      </w:pPr>
      <w:r w:rsidRPr="00E878BA">
        <w:rPr>
          <w:rStyle w:val="Refdenotaalpie"/>
          <w:sz w:val="16"/>
          <w:szCs w:val="16"/>
        </w:rPr>
        <w:footnoteRef/>
      </w:r>
      <w:r w:rsidRPr="00E878BA">
        <w:rPr>
          <w:sz w:val="16"/>
          <w:szCs w:val="16"/>
        </w:rPr>
        <w:t xml:space="preserve"> </w:t>
      </w:r>
      <w:r w:rsidRPr="00E878BA">
        <w:rPr>
          <w:sz w:val="16"/>
          <w:szCs w:val="16"/>
          <w:lang w:val="es-CR"/>
        </w:rPr>
        <w:t xml:space="preserve"> </w:t>
      </w:r>
      <w:r w:rsidRPr="00E878BA">
        <w:rPr>
          <w:sz w:val="16"/>
          <w:szCs w:val="16"/>
          <w:lang w:val="es-CR"/>
        </w:rPr>
        <w:tab/>
        <w:t xml:space="preserve">La Resolución de la Corte de 24 de agosto de 2020 está disponible en el siguiente sitio de internet: </w:t>
      </w:r>
      <w:hyperlink r:id="rId4" w:history="1">
        <w:r w:rsidRPr="00E878BA">
          <w:rPr>
            <w:rStyle w:val="Hipervnculo"/>
            <w:color w:val="auto"/>
            <w:sz w:val="16"/>
            <w:szCs w:val="16"/>
            <w:u w:val="none"/>
            <w:lang w:val="es-CR"/>
          </w:rPr>
          <w:t>http://www.corteidh.or.cr/docs/asuntos/motaabarulloyotros_24_08_20.pdf</w:t>
        </w:r>
      </w:hyperlink>
      <w:r w:rsidRPr="00E878BA">
        <w:rPr>
          <w:sz w:val="16"/>
          <w:szCs w:val="16"/>
          <w:lang w:val="es-CR"/>
        </w:rPr>
        <w:t xml:space="preserve">. </w:t>
      </w:r>
      <w:r w:rsidRPr="003A5C19">
        <w:rPr>
          <w:sz w:val="16"/>
          <w:szCs w:val="16"/>
          <w:lang w:val="es-CR"/>
        </w:rPr>
        <w:t>Las personas que rindieron declaración oral por videoconferencia son las señoras Belkis Josefina Correa Ríos (</w:t>
      </w:r>
      <w:r w:rsidRPr="003A5C19">
        <w:rPr>
          <w:sz w:val="16"/>
          <w:szCs w:val="16"/>
        </w:rPr>
        <w:t xml:space="preserve">hermana de Johan José Correa) </w:t>
      </w:r>
      <w:r w:rsidRPr="003A5C19">
        <w:rPr>
          <w:sz w:val="16"/>
          <w:szCs w:val="16"/>
          <w:lang w:val="es-CR"/>
        </w:rPr>
        <w:t>y Myriam Josefina Herrera Sánchez</w:t>
      </w:r>
      <w:r>
        <w:rPr>
          <w:sz w:val="16"/>
          <w:szCs w:val="16"/>
          <w:lang w:val="es-CR"/>
        </w:rPr>
        <w:t xml:space="preserve"> </w:t>
      </w:r>
      <w:r w:rsidRPr="003A5C19">
        <w:rPr>
          <w:sz w:val="16"/>
          <w:szCs w:val="16"/>
          <w:lang w:val="es-CR"/>
        </w:rPr>
        <w:t>(</w:t>
      </w:r>
      <w:r w:rsidRPr="003A5C19">
        <w:rPr>
          <w:sz w:val="16"/>
          <w:szCs w:val="16"/>
        </w:rPr>
        <w:t>abuela de Rafael Antonio Parra Herrera).</w:t>
      </w:r>
    </w:p>
    <w:p w14:paraId="1D938105" w14:textId="77777777" w:rsidR="004224C0" w:rsidRPr="00AF2262" w:rsidRDefault="004224C0" w:rsidP="00B476ED">
      <w:pPr>
        <w:pStyle w:val="Textonotapie"/>
        <w:ind w:right="-943"/>
        <w:rPr>
          <w:sz w:val="16"/>
          <w:szCs w:val="16"/>
          <w:lang w:val="es-CR"/>
        </w:rPr>
      </w:pPr>
    </w:p>
  </w:footnote>
  <w:footnote w:id="10">
    <w:p w14:paraId="3EC96C2A" w14:textId="77777777" w:rsidR="004224C0" w:rsidRPr="00AF2262" w:rsidRDefault="004224C0" w:rsidP="00B476ED">
      <w:pPr>
        <w:pStyle w:val="Textonotapie"/>
        <w:tabs>
          <w:tab w:val="left" w:pos="567"/>
        </w:tabs>
        <w:spacing w:before="40" w:after="40"/>
        <w:ind w:right="-943"/>
        <w:rPr>
          <w:rFonts w:cs="Calibri"/>
          <w:sz w:val="16"/>
          <w:szCs w:val="16"/>
          <w:lang w:val="es-ES" w:eastAsia="es-ES_tradnl"/>
        </w:rPr>
      </w:pPr>
      <w:r w:rsidRPr="00AF2262">
        <w:rPr>
          <w:rStyle w:val="Refdenotaalpie"/>
          <w:sz w:val="16"/>
          <w:szCs w:val="16"/>
        </w:rPr>
        <w:footnoteRef/>
      </w:r>
      <w:r w:rsidRPr="00AF2262">
        <w:rPr>
          <w:sz w:val="16"/>
          <w:szCs w:val="16"/>
        </w:rPr>
        <w:t xml:space="preserve"> </w:t>
      </w:r>
      <w:r w:rsidRPr="00AF2262">
        <w:rPr>
          <w:sz w:val="16"/>
          <w:szCs w:val="16"/>
        </w:rPr>
        <w:tab/>
      </w:r>
      <w:r w:rsidRPr="00AF2262">
        <w:rPr>
          <w:rFonts w:cs="Calibri"/>
          <w:sz w:val="16"/>
          <w:szCs w:val="16"/>
          <w:lang w:val="es-AR" w:eastAsia="es-ES_tradnl"/>
        </w:rPr>
        <w:t xml:space="preserve">Debido a las circunstancias excepcionales ocasionadas por la pandemia COVID-19, esta Sentencia fue deliberada y aprobada durante el </w:t>
      </w:r>
      <w:r w:rsidRPr="00E878BA">
        <w:rPr>
          <w:rFonts w:cs="Calibri"/>
          <w:sz w:val="16"/>
          <w:szCs w:val="16"/>
          <w:lang w:val="es-AR" w:eastAsia="es-ES_tradnl"/>
        </w:rPr>
        <w:t>138</w:t>
      </w:r>
      <w:r w:rsidRPr="00AF2262">
        <w:rPr>
          <w:rFonts w:cs="Calibri"/>
          <w:sz w:val="16"/>
          <w:szCs w:val="16"/>
          <w:lang w:val="es-AR" w:eastAsia="es-ES_tradnl"/>
        </w:rPr>
        <w:t xml:space="preserve"> Período Ordinario de Sesiones, el cual se llevó a cabo de forma no presencial utilizando medios tecnológicos de conformidad con lo establecido en el Reglamento de la Corte.</w:t>
      </w:r>
    </w:p>
  </w:footnote>
  <w:footnote w:id="11">
    <w:p w14:paraId="50476ECF" w14:textId="77777777" w:rsidR="004224C0" w:rsidRPr="00AF2262" w:rsidRDefault="004224C0" w:rsidP="00B476ED">
      <w:pPr>
        <w:pStyle w:val="Textonotapie"/>
        <w:ind w:right="-943"/>
        <w:rPr>
          <w:sz w:val="16"/>
          <w:szCs w:val="16"/>
        </w:rPr>
      </w:pPr>
      <w:r w:rsidRPr="00AF2262">
        <w:rPr>
          <w:rStyle w:val="Refdenotaalpie"/>
          <w:sz w:val="16"/>
          <w:szCs w:val="16"/>
        </w:rPr>
        <w:footnoteRef/>
      </w:r>
      <w:r w:rsidRPr="00AF2262">
        <w:rPr>
          <w:sz w:val="16"/>
          <w:szCs w:val="16"/>
        </w:rPr>
        <w:t xml:space="preserve"> </w:t>
      </w:r>
      <w:r w:rsidRPr="00AF2262">
        <w:rPr>
          <w:sz w:val="16"/>
          <w:szCs w:val="16"/>
        </w:rPr>
        <w:tab/>
      </w:r>
      <w:r w:rsidRPr="00AF2262">
        <w:rPr>
          <w:i/>
          <w:sz w:val="16"/>
          <w:szCs w:val="16"/>
          <w:lang w:val="pt-BR"/>
        </w:rPr>
        <w:t xml:space="preserve">Cfr. Caso Manuel </w:t>
      </w:r>
      <w:proofErr w:type="spellStart"/>
      <w:r w:rsidRPr="00AF2262">
        <w:rPr>
          <w:i/>
          <w:sz w:val="16"/>
          <w:szCs w:val="16"/>
          <w:lang w:val="pt-BR"/>
        </w:rPr>
        <w:t>Cepeda</w:t>
      </w:r>
      <w:proofErr w:type="spellEnd"/>
      <w:r w:rsidRPr="00AF2262">
        <w:rPr>
          <w:i/>
          <w:sz w:val="16"/>
          <w:szCs w:val="16"/>
          <w:lang w:val="pt-BR"/>
        </w:rPr>
        <w:t xml:space="preserve"> Vargas Vs. </w:t>
      </w:r>
      <w:r w:rsidRPr="00AF2262">
        <w:rPr>
          <w:i/>
          <w:sz w:val="16"/>
          <w:szCs w:val="16"/>
        </w:rPr>
        <w:t>Colombia</w:t>
      </w:r>
      <w:r w:rsidRPr="00AF2262">
        <w:rPr>
          <w:sz w:val="16"/>
          <w:szCs w:val="16"/>
        </w:rPr>
        <w:t xml:space="preserve">. </w:t>
      </w:r>
      <w:r w:rsidRPr="00AF2262">
        <w:rPr>
          <w:i/>
          <w:sz w:val="16"/>
          <w:szCs w:val="16"/>
        </w:rPr>
        <w:t>Excepciones Preliminares, Fondo, Reparaciones y Costas.</w:t>
      </w:r>
      <w:r w:rsidRPr="00AF2262">
        <w:rPr>
          <w:sz w:val="16"/>
          <w:szCs w:val="16"/>
        </w:rPr>
        <w:t xml:space="preserve"> Sentencia de 26 de mayo de 2010. Serie C No. 213, párr. 17, y </w:t>
      </w:r>
      <w:r w:rsidRPr="00AF2262">
        <w:rPr>
          <w:i/>
          <w:sz w:val="16"/>
          <w:szCs w:val="16"/>
        </w:rPr>
        <w:t xml:space="preserve">Caso Fernández Prieto y </w:t>
      </w:r>
      <w:proofErr w:type="spellStart"/>
      <w:r w:rsidRPr="00AF2262">
        <w:rPr>
          <w:i/>
          <w:sz w:val="16"/>
          <w:szCs w:val="16"/>
        </w:rPr>
        <w:t>Tumbeiro</w:t>
      </w:r>
      <w:proofErr w:type="spellEnd"/>
      <w:r w:rsidRPr="00AF2262">
        <w:rPr>
          <w:i/>
          <w:sz w:val="16"/>
          <w:szCs w:val="16"/>
        </w:rPr>
        <w:t xml:space="preserve"> Vs. Argentina. Fondo y Reparaciones.</w:t>
      </w:r>
      <w:r w:rsidRPr="00AF2262">
        <w:rPr>
          <w:sz w:val="16"/>
          <w:szCs w:val="16"/>
        </w:rPr>
        <w:t xml:space="preserve"> Sentencia de 1 de septiembre de 2020. Serie C No. 411, párr. 19.</w:t>
      </w:r>
    </w:p>
    <w:p w14:paraId="5F72D616" w14:textId="77777777" w:rsidR="004224C0" w:rsidRPr="00AF2262" w:rsidRDefault="004224C0" w:rsidP="00B476ED">
      <w:pPr>
        <w:pStyle w:val="Textonotapie"/>
        <w:ind w:right="-943"/>
        <w:rPr>
          <w:sz w:val="16"/>
          <w:szCs w:val="16"/>
          <w:lang w:val="es-CR"/>
        </w:rPr>
      </w:pPr>
      <w:r w:rsidRPr="00AF2262">
        <w:rPr>
          <w:sz w:val="16"/>
          <w:szCs w:val="16"/>
        </w:rPr>
        <w:t xml:space="preserve"> </w:t>
      </w:r>
    </w:p>
  </w:footnote>
  <w:footnote w:id="12">
    <w:p w14:paraId="538BF07E" w14:textId="5C8331EE"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sidRPr="00AF2262">
        <w:rPr>
          <w:sz w:val="16"/>
          <w:szCs w:val="16"/>
          <w:lang w:val="es-CR"/>
        </w:rPr>
        <w:t xml:space="preserve"> </w:t>
      </w:r>
      <w:r w:rsidRPr="00AF2262">
        <w:rPr>
          <w:sz w:val="16"/>
          <w:szCs w:val="16"/>
          <w:lang w:val="es-CR"/>
        </w:rPr>
        <w:tab/>
        <w:t xml:space="preserve">Así lo determinó la Comisión en el Informe de Fondo, en su párrafo 89, y ha sido aceptado por el Estado, de acuerdo </w:t>
      </w:r>
      <w:r>
        <w:rPr>
          <w:sz w:val="16"/>
          <w:szCs w:val="16"/>
          <w:lang w:val="es-CR"/>
        </w:rPr>
        <w:t>con</w:t>
      </w:r>
      <w:r w:rsidRPr="00AF2262">
        <w:rPr>
          <w:sz w:val="16"/>
          <w:szCs w:val="16"/>
          <w:lang w:val="es-CR"/>
        </w:rPr>
        <w:t xml:space="preserve"> lo que surge de los términos de su reconocimiento de responsabilidad (</w:t>
      </w:r>
      <w:r w:rsidRPr="00AF2262">
        <w:rPr>
          <w:i/>
          <w:sz w:val="16"/>
          <w:szCs w:val="16"/>
          <w:lang w:val="es-CR"/>
        </w:rPr>
        <w:t xml:space="preserve">supra </w:t>
      </w:r>
      <w:r w:rsidRPr="00AF2262">
        <w:rPr>
          <w:sz w:val="16"/>
          <w:szCs w:val="16"/>
          <w:lang w:val="es-CR"/>
        </w:rPr>
        <w:t xml:space="preserve">párr. </w:t>
      </w:r>
      <w:r>
        <w:rPr>
          <w:sz w:val="16"/>
          <w:szCs w:val="16"/>
          <w:lang w:val="es-CR"/>
        </w:rPr>
        <w:t>13</w:t>
      </w:r>
      <w:r w:rsidRPr="00AF2262">
        <w:rPr>
          <w:sz w:val="16"/>
          <w:szCs w:val="16"/>
          <w:lang w:val="es-CR"/>
        </w:rPr>
        <w:t xml:space="preserve">). </w:t>
      </w:r>
    </w:p>
    <w:p w14:paraId="3A95FE32" w14:textId="77777777" w:rsidR="004224C0" w:rsidRPr="00AF2262" w:rsidRDefault="004224C0" w:rsidP="00B476ED">
      <w:pPr>
        <w:pStyle w:val="Textonotapie"/>
        <w:ind w:right="-943"/>
        <w:rPr>
          <w:sz w:val="16"/>
          <w:szCs w:val="16"/>
          <w:lang w:val="es-CR"/>
        </w:rPr>
      </w:pPr>
    </w:p>
  </w:footnote>
  <w:footnote w:id="13">
    <w:p w14:paraId="274597A3" w14:textId="60A9457E" w:rsidR="004224C0" w:rsidRPr="00AF2262" w:rsidRDefault="004224C0" w:rsidP="00B476ED">
      <w:pPr>
        <w:pStyle w:val="Textonotapie"/>
        <w:ind w:right="-943"/>
        <w:rPr>
          <w:sz w:val="16"/>
          <w:szCs w:val="16"/>
        </w:rPr>
      </w:pPr>
      <w:r w:rsidRPr="00AF2262">
        <w:rPr>
          <w:rStyle w:val="Refdenotaalpie"/>
          <w:sz w:val="16"/>
          <w:szCs w:val="16"/>
        </w:rPr>
        <w:footnoteRef/>
      </w:r>
      <w:r w:rsidRPr="00AF2262">
        <w:rPr>
          <w:sz w:val="16"/>
          <w:szCs w:val="16"/>
        </w:rPr>
        <w:t xml:space="preserve"> </w:t>
      </w:r>
      <w:r w:rsidRPr="00AF2262">
        <w:rPr>
          <w:sz w:val="16"/>
          <w:szCs w:val="16"/>
        </w:rPr>
        <w:tab/>
      </w:r>
      <w:r w:rsidRPr="00AF2262">
        <w:rPr>
          <w:i/>
          <w:sz w:val="16"/>
          <w:szCs w:val="16"/>
        </w:rPr>
        <w:t>Cfr. Caso Benavides Cevallos Vs. Ecuador. Fondo, Reparaciones y Costas.</w:t>
      </w:r>
      <w:r w:rsidRPr="00AF2262">
        <w:rPr>
          <w:sz w:val="16"/>
          <w:szCs w:val="16"/>
        </w:rPr>
        <w:t xml:space="preserve"> Sentencia de 19 de junio de 1998. Serie C No. 38, párr. 57, y </w:t>
      </w:r>
      <w:r w:rsidRPr="00AF2262">
        <w:rPr>
          <w:i/>
          <w:sz w:val="16"/>
          <w:szCs w:val="16"/>
        </w:rPr>
        <w:t xml:space="preserve">Caso Fernández Prieto y </w:t>
      </w:r>
      <w:proofErr w:type="spellStart"/>
      <w:r w:rsidRPr="00AF2262">
        <w:rPr>
          <w:i/>
          <w:sz w:val="16"/>
          <w:szCs w:val="16"/>
        </w:rPr>
        <w:t>Tumbeiro</w:t>
      </w:r>
      <w:proofErr w:type="spellEnd"/>
      <w:r w:rsidRPr="00AF2262">
        <w:rPr>
          <w:i/>
          <w:sz w:val="16"/>
          <w:szCs w:val="16"/>
        </w:rPr>
        <w:t xml:space="preserve"> Vs. Argentina</w:t>
      </w:r>
      <w:r w:rsidRPr="00AF2262">
        <w:rPr>
          <w:sz w:val="16"/>
          <w:szCs w:val="16"/>
        </w:rPr>
        <w:t>, párr. 20.</w:t>
      </w:r>
    </w:p>
    <w:p w14:paraId="33D70907" w14:textId="77777777" w:rsidR="004224C0" w:rsidRPr="00AF2262" w:rsidRDefault="004224C0" w:rsidP="00B476ED">
      <w:pPr>
        <w:pStyle w:val="Textonotapie"/>
        <w:ind w:right="-943"/>
        <w:rPr>
          <w:sz w:val="16"/>
          <w:szCs w:val="16"/>
          <w:lang w:val="es-CR"/>
        </w:rPr>
      </w:pPr>
    </w:p>
  </w:footnote>
  <w:footnote w:id="14">
    <w:p w14:paraId="5B822FF4" w14:textId="27C7487E" w:rsidR="004224C0" w:rsidRDefault="004224C0" w:rsidP="00B476ED">
      <w:pPr>
        <w:pStyle w:val="Textonotapie"/>
        <w:ind w:right="-943"/>
        <w:rPr>
          <w:sz w:val="16"/>
          <w:szCs w:val="16"/>
        </w:rPr>
      </w:pPr>
      <w:r w:rsidRPr="00AF2262">
        <w:rPr>
          <w:rStyle w:val="Refdenotaalpie"/>
          <w:sz w:val="16"/>
          <w:szCs w:val="16"/>
        </w:rPr>
        <w:footnoteRef/>
      </w:r>
      <w:r w:rsidRPr="00AF2262">
        <w:rPr>
          <w:sz w:val="16"/>
          <w:szCs w:val="16"/>
        </w:rPr>
        <w:t xml:space="preserve"> </w:t>
      </w:r>
      <w:r w:rsidRPr="00AF2262">
        <w:rPr>
          <w:sz w:val="16"/>
          <w:szCs w:val="16"/>
        </w:rPr>
        <w:tab/>
      </w:r>
      <w:r w:rsidRPr="00AF2262">
        <w:rPr>
          <w:i/>
          <w:sz w:val="16"/>
          <w:szCs w:val="16"/>
          <w:lang w:val="es-CR"/>
        </w:rPr>
        <w:t>Cfr.</w:t>
      </w:r>
      <w:r w:rsidRPr="00AF2262">
        <w:rPr>
          <w:sz w:val="16"/>
          <w:szCs w:val="16"/>
          <w:lang w:val="es-CR"/>
        </w:rPr>
        <w:t xml:space="preserve">, en el mismo sentido, </w:t>
      </w:r>
      <w:r w:rsidRPr="00AF2262">
        <w:rPr>
          <w:i/>
          <w:sz w:val="16"/>
          <w:szCs w:val="16"/>
          <w:lang w:val="es-ES"/>
        </w:rPr>
        <w:t xml:space="preserve">Caso </w:t>
      </w:r>
      <w:proofErr w:type="spellStart"/>
      <w:r w:rsidRPr="00AF2262">
        <w:rPr>
          <w:i/>
          <w:sz w:val="16"/>
          <w:szCs w:val="16"/>
          <w:lang w:val="es-ES"/>
        </w:rPr>
        <w:t>T</w:t>
      </w:r>
      <w:r>
        <w:rPr>
          <w:i/>
          <w:sz w:val="16"/>
          <w:szCs w:val="16"/>
          <w:lang w:val="es-ES"/>
        </w:rPr>
        <w:t>i</w:t>
      </w:r>
      <w:r w:rsidRPr="00AF2262">
        <w:rPr>
          <w:i/>
          <w:sz w:val="16"/>
          <w:szCs w:val="16"/>
          <w:lang w:val="es-ES"/>
        </w:rPr>
        <w:t>u</w:t>
      </w:r>
      <w:proofErr w:type="spellEnd"/>
      <w:r w:rsidRPr="00AF2262">
        <w:rPr>
          <w:i/>
          <w:sz w:val="16"/>
          <w:szCs w:val="16"/>
          <w:lang w:val="es-ES"/>
        </w:rPr>
        <w:t xml:space="preserve"> </w:t>
      </w:r>
      <w:proofErr w:type="spellStart"/>
      <w:r w:rsidRPr="00AF2262">
        <w:rPr>
          <w:i/>
          <w:sz w:val="16"/>
          <w:szCs w:val="16"/>
          <w:lang w:val="es-ES"/>
        </w:rPr>
        <w:t>Toj</w:t>
      </w:r>
      <w:r>
        <w:rPr>
          <w:i/>
          <w:sz w:val="16"/>
          <w:szCs w:val="16"/>
          <w:lang w:val="es-ES"/>
        </w:rPr>
        <w:t>í</w:t>
      </w:r>
      <w:r w:rsidRPr="00AF2262">
        <w:rPr>
          <w:i/>
          <w:sz w:val="16"/>
          <w:szCs w:val="16"/>
          <w:lang w:val="es-ES"/>
        </w:rPr>
        <w:t>n</w:t>
      </w:r>
      <w:proofErr w:type="spellEnd"/>
      <w:r w:rsidRPr="00AF2262">
        <w:rPr>
          <w:i/>
          <w:sz w:val="16"/>
          <w:szCs w:val="16"/>
          <w:lang w:val="es-ES"/>
        </w:rPr>
        <w:t xml:space="preserve"> Vs. Guatemala. Fondo, Reparaciones y Costas. </w:t>
      </w:r>
      <w:r w:rsidRPr="00AF2262">
        <w:rPr>
          <w:sz w:val="16"/>
          <w:szCs w:val="16"/>
          <w:lang w:val="es-ES"/>
        </w:rPr>
        <w:t xml:space="preserve">Sentencia de 26 de noviembre de 2008. Serie C No. 190, párr. 26 y </w:t>
      </w:r>
      <w:r w:rsidRPr="00AF2262">
        <w:rPr>
          <w:i/>
          <w:sz w:val="16"/>
          <w:szCs w:val="16"/>
        </w:rPr>
        <w:t xml:space="preserve">Caso Fernández Prieto y </w:t>
      </w:r>
      <w:proofErr w:type="spellStart"/>
      <w:r w:rsidRPr="00AF2262">
        <w:rPr>
          <w:i/>
          <w:sz w:val="16"/>
          <w:szCs w:val="16"/>
        </w:rPr>
        <w:t>Tumbeiro</w:t>
      </w:r>
      <w:proofErr w:type="spellEnd"/>
      <w:r w:rsidRPr="00AF2262">
        <w:rPr>
          <w:i/>
          <w:sz w:val="16"/>
          <w:szCs w:val="16"/>
        </w:rPr>
        <w:t xml:space="preserve"> Vs. Argentina</w:t>
      </w:r>
      <w:r w:rsidRPr="00AF2262">
        <w:rPr>
          <w:sz w:val="16"/>
          <w:szCs w:val="16"/>
        </w:rPr>
        <w:t>, párr. 21.</w:t>
      </w:r>
    </w:p>
    <w:p w14:paraId="176976E2" w14:textId="77777777" w:rsidR="004224C0" w:rsidRPr="00AF2262" w:rsidRDefault="004224C0" w:rsidP="00B476ED">
      <w:pPr>
        <w:pStyle w:val="Textonotapie"/>
        <w:ind w:right="-943"/>
        <w:rPr>
          <w:sz w:val="16"/>
          <w:szCs w:val="16"/>
          <w:lang w:val="es-CR"/>
        </w:rPr>
      </w:pPr>
    </w:p>
  </w:footnote>
  <w:footnote w:id="15">
    <w:p w14:paraId="2C767863" w14:textId="1E8F1AF6" w:rsidR="004224C0" w:rsidRPr="00AF2262" w:rsidRDefault="004224C0" w:rsidP="00B476ED">
      <w:pPr>
        <w:pStyle w:val="Textonotapie"/>
        <w:tabs>
          <w:tab w:val="left" w:pos="567"/>
        </w:tabs>
        <w:spacing w:before="40" w:after="40"/>
        <w:ind w:right="-943"/>
        <w:rPr>
          <w:rStyle w:val="Textoennegrita"/>
          <w:b w:val="0"/>
          <w:i/>
          <w:sz w:val="16"/>
          <w:szCs w:val="16"/>
          <w:shd w:val="clear" w:color="auto" w:fill="FFFFFF"/>
        </w:rPr>
      </w:pPr>
      <w:r w:rsidRPr="00AF2262">
        <w:rPr>
          <w:rStyle w:val="Refdenotaalpie"/>
          <w:sz w:val="16"/>
          <w:szCs w:val="16"/>
        </w:rPr>
        <w:footnoteRef/>
      </w:r>
      <w:r w:rsidRPr="00AF2262">
        <w:rPr>
          <w:sz w:val="16"/>
          <w:szCs w:val="16"/>
        </w:rPr>
        <w:t xml:space="preserve"> </w:t>
      </w:r>
      <w:r w:rsidRPr="00AF2262">
        <w:rPr>
          <w:sz w:val="16"/>
          <w:szCs w:val="16"/>
        </w:rPr>
        <w:tab/>
        <w:t>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w:t>
      </w:r>
      <w:r>
        <w:rPr>
          <w:sz w:val="16"/>
          <w:szCs w:val="16"/>
        </w:rPr>
        <w:t>os citados momentos procesales (</w:t>
      </w:r>
      <w:r>
        <w:rPr>
          <w:i/>
          <w:sz w:val="16"/>
          <w:szCs w:val="16"/>
        </w:rPr>
        <w:t>c</w:t>
      </w:r>
      <w:r w:rsidRPr="00AF2262">
        <w:rPr>
          <w:i/>
          <w:sz w:val="16"/>
          <w:szCs w:val="16"/>
        </w:rPr>
        <w:t>fr.</w:t>
      </w:r>
      <w:r w:rsidRPr="00AF2262">
        <w:rPr>
          <w:sz w:val="16"/>
          <w:szCs w:val="16"/>
        </w:rPr>
        <w:t xml:space="preserve"> </w:t>
      </w:r>
      <w:r w:rsidRPr="00AF2262">
        <w:rPr>
          <w:i/>
          <w:sz w:val="16"/>
          <w:szCs w:val="16"/>
        </w:rPr>
        <w:t xml:space="preserve">Caso Familia Barrios Vs. Venezuela. Fondo, Reparaciones y Costas. </w:t>
      </w:r>
      <w:r w:rsidRPr="00AF2262">
        <w:rPr>
          <w:sz w:val="16"/>
          <w:szCs w:val="16"/>
        </w:rPr>
        <w:t xml:space="preserve">Sentencia de 24 de noviembre de 2011. Serie C No. 237, </w:t>
      </w:r>
      <w:proofErr w:type="spellStart"/>
      <w:r w:rsidRPr="00AF2262">
        <w:rPr>
          <w:sz w:val="16"/>
          <w:szCs w:val="16"/>
        </w:rPr>
        <w:t>párrs</w:t>
      </w:r>
      <w:proofErr w:type="spellEnd"/>
      <w:r w:rsidRPr="00AF2262">
        <w:rPr>
          <w:sz w:val="16"/>
          <w:szCs w:val="16"/>
        </w:rPr>
        <w:t xml:space="preserve">. 17 y 18, y </w:t>
      </w:r>
      <w:r w:rsidRPr="00AF2262">
        <w:rPr>
          <w:i/>
          <w:sz w:val="16"/>
          <w:szCs w:val="16"/>
        </w:rPr>
        <w:t xml:space="preserve">Caso Fernández Prieto y </w:t>
      </w:r>
      <w:proofErr w:type="spellStart"/>
      <w:r w:rsidRPr="00AF2262">
        <w:rPr>
          <w:i/>
          <w:sz w:val="16"/>
          <w:szCs w:val="16"/>
        </w:rPr>
        <w:t>Tumbeiro</w:t>
      </w:r>
      <w:proofErr w:type="spellEnd"/>
      <w:r w:rsidRPr="00AF2262">
        <w:rPr>
          <w:i/>
          <w:sz w:val="16"/>
          <w:szCs w:val="16"/>
        </w:rPr>
        <w:t xml:space="preserve"> Vs. Argentina</w:t>
      </w:r>
      <w:r w:rsidRPr="00AF2262">
        <w:rPr>
          <w:sz w:val="16"/>
          <w:szCs w:val="16"/>
        </w:rPr>
        <w:t>, párr. 23</w:t>
      </w:r>
      <w:r>
        <w:rPr>
          <w:sz w:val="16"/>
          <w:szCs w:val="16"/>
        </w:rPr>
        <w:t>)</w:t>
      </w:r>
      <w:r w:rsidRPr="00AF2262">
        <w:rPr>
          <w:rStyle w:val="Textoennegrita"/>
          <w:b w:val="0"/>
          <w:i/>
          <w:sz w:val="16"/>
          <w:szCs w:val="16"/>
          <w:shd w:val="clear" w:color="auto" w:fill="FFFFFF"/>
        </w:rPr>
        <w:t>.</w:t>
      </w:r>
    </w:p>
    <w:p w14:paraId="57F53226" w14:textId="77777777" w:rsidR="004224C0" w:rsidRPr="00AF2262" w:rsidRDefault="004224C0" w:rsidP="00B476ED">
      <w:pPr>
        <w:pStyle w:val="Textonotapie"/>
        <w:tabs>
          <w:tab w:val="left" w:pos="567"/>
        </w:tabs>
        <w:spacing w:before="40" w:after="40"/>
        <w:ind w:right="-943"/>
        <w:rPr>
          <w:sz w:val="16"/>
          <w:szCs w:val="16"/>
        </w:rPr>
      </w:pPr>
    </w:p>
  </w:footnote>
  <w:footnote w:id="16">
    <w:p w14:paraId="7491C0E1" w14:textId="65D5430A" w:rsidR="004224C0" w:rsidRPr="00AF2262" w:rsidRDefault="004224C0" w:rsidP="00B476ED">
      <w:pPr>
        <w:pStyle w:val="Textonotapie"/>
        <w:ind w:right="-943"/>
        <w:rPr>
          <w:sz w:val="16"/>
          <w:szCs w:val="16"/>
        </w:rPr>
      </w:pPr>
      <w:r w:rsidRPr="00AF2262">
        <w:rPr>
          <w:rStyle w:val="Refdenotaalpie"/>
          <w:sz w:val="16"/>
          <w:szCs w:val="16"/>
        </w:rPr>
        <w:footnoteRef/>
      </w:r>
      <w:r w:rsidRPr="00AF2262">
        <w:rPr>
          <w:sz w:val="16"/>
          <w:szCs w:val="16"/>
        </w:rPr>
        <w:t xml:space="preserve"> </w:t>
      </w:r>
      <w:r w:rsidRPr="00AF2262">
        <w:rPr>
          <w:sz w:val="16"/>
          <w:szCs w:val="16"/>
        </w:rPr>
        <w:tab/>
      </w:r>
      <w:r w:rsidRPr="00AF2262">
        <w:rPr>
          <w:i/>
          <w:sz w:val="16"/>
          <w:szCs w:val="16"/>
        </w:rPr>
        <w:t>Cfr. Caso Velásquez Rodríguez Vs. Honduras. Fondo.</w:t>
      </w:r>
      <w:r w:rsidRPr="00AF2262">
        <w:rPr>
          <w:sz w:val="16"/>
          <w:szCs w:val="16"/>
        </w:rPr>
        <w:t xml:space="preserve"> Sentencia de 29 de julio de 1988. Serie C No. 4, párr. 140, y </w:t>
      </w:r>
      <w:r w:rsidRPr="00AF2262">
        <w:rPr>
          <w:i/>
          <w:sz w:val="16"/>
          <w:szCs w:val="16"/>
        </w:rPr>
        <w:t xml:space="preserve">Caso Fernández Prieto y </w:t>
      </w:r>
      <w:proofErr w:type="spellStart"/>
      <w:r w:rsidRPr="00AF2262">
        <w:rPr>
          <w:i/>
          <w:sz w:val="16"/>
          <w:szCs w:val="16"/>
        </w:rPr>
        <w:t>Tumbeiro</w:t>
      </w:r>
      <w:proofErr w:type="spellEnd"/>
      <w:r w:rsidRPr="00AF2262">
        <w:rPr>
          <w:i/>
          <w:sz w:val="16"/>
          <w:szCs w:val="16"/>
        </w:rPr>
        <w:t xml:space="preserve"> Vs. Argentina</w:t>
      </w:r>
      <w:r w:rsidRPr="00AF2262">
        <w:rPr>
          <w:sz w:val="16"/>
          <w:szCs w:val="16"/>
        </w:rPr>
        <w:t xml:space="preserve">, párr. 23. </w:t>
      </w:r>
    </w:p>
    <w:p w14:paraId="16A17938" w14:textId="77777777" w:rsidR="004224C0" w:rsidRPr="00AF2262" w:rsidRDefault="004224C0" w:rsidP="00B476ED">
      <w:pPr>
        <w:pStyle w:val="Textonotapie"/>
        <w:ind w:right="-943"/>
        <w:rPr>
          <w:sz w:val="16"/>
          <w:szCs w:val="16"/>
          <w:lang w:val="es-CR"/>
        </w:rPr>
      </w:pPr>
      <w:r w:rsidRPr="00AF2262">
        <w:rPr>
          <w:sz w:val="16"/>
          <w:szCs w:val="16"/>
        </w:rPr>
        <w:t xml:space="preserve"> </w:t>
      </w:r>
    </w:p>
  </w:footnote>
  <w:footnote w:id="17">
    <w:p w14:paraId="4BB40806" w14:textId="77777777" w:rsidR="004224C0" w:rsidRPr="00AF2262" w:rsidRDefault="004224C0" w:rsidP="00B476ED">
      <w:pPr>
        <w:pStyle w:val="Textonotapie"/>
        <w:tabs>
          <w:tab w:val="left" w:pos="567"/>
        </w:tabs>
        <w:ind w:right="-943"/>
        <w:rPr>
          <w:sz w:val="16"/>
          <w:szCs w:val="16"/>
          <w:lang w:val="es-CR"/>
        </w:rPr>
      </w:pPr>
      <w:r w:rsidRPr="00AF2262">
        <w:rPr>
          <w:rStyle w:val="Refdenotaalpie"/>
          <w:sz w:val="16"/>
          <w:szCs w:val="16"/>
        </w:rPr>
        <w:footnoteRef/>
      </w:r>
      <w:r w:rsidRPr="00AF2262">
        <w:rPr>
          <w:sz w:val="16"/>
          <w:szCs w:val="16"/>
        </w:rPr>
        <w:t xml:space="preserve"> </w:t>
      </w:r>
      <w:r w:rsidRPr="00AF2262">
        <w:rPr>
          <w:sz w:val="16"/>
          <w:szCs w:val="16"/>
        </w:rPr>
        <w:tab/>
      </w:r>
      <w:r w:rsidRPr="00AF2262">
        <w:rPr>
          <w:i/>
          <w:sz w:val="16"/>
          <w:szCs w:val="16"/>
          <w:lang w:val="es-CR"/>
        </w:rPr>
        <w:t>Cfr</w:t>
      </w:r>
      <w:r w:rsidRPr="00AF2262">
        <w:rPr>
          <w:sz w:val="16"/>
          <w:szCs w:val="16"/>
          <w:lang w:val="es-CR"/>
        </w:rPr>
        <w:t xml:space="preserve">. </w:t>
      </w:r>
      <w:r w:rsidRPr="00AF2262">
        <w:rPr>
          <w:i/>
          <w:sz w:val="16"/>
          <w:szCs w:val="16"/>
          <w:lang w:val="es-CR"/>
        </w:rPr>
        <w:t>Caso Pacheco Teruel y otros Vs. Honduras. Fondo, Reparaciones y Costas.</w:t>
      </w:r>
      <w:r w:rsidRPr="00AF2262">
        <w:rPr>
          <w:sz w:val="16"/>
          <w:szCs w:val="16"/>
          <w:lang w:val="es-CR"/>
        </w:rPr>
        <w:t xml:space="preserve"> Sentencia de 27 de abril de 2012. Serie C No. 241.</w:t>
      </w:r>
    </w:p>
    <w:p w14:paraId="54A4AE3D" w14:textId="77777777" w:rsidR="004224C0" w:rsidRPr="00AF2262" w:rsidRDefault="004224C0" w:rsidP="00B476ED">
      <w:pPr>
        <w:pStyle w:val="Textonotapie"/>
        <w:tabs>
          <w:tab w:val="left" w:pos="567"/>
        </w:tabs>
        <w:ind w:right="-943"/>
        <w:rPr>
          <w:sz w:val="16"/>
          <w:szCs w:val="16"/>
        </w:rPr>
      </w:pPr>
    </w:p>
  </w:footnote>
  <w:footnote w:id="18">
    <w:p w14:paraId="4CBD2EC1" w14:textId="2191A5AD" w:rsidR="004224C0" w:rsidRDefault="004224C0" w:rsidP="00B476ED">
      <w:pPr>
        <w:pStyle w:val="Textonotapie"/>
        <w:ind w:right="-943"/>
        <w:rPr>
          <w:sz w:val="16"/>
          <w:szCs w:val="16"/>
          <w:lang w:val="es-CR"/>
        </w:rPr>
      </w:pPr>
      <w:r w:rsidRPr="00401835">
        <w:rPr>
          <w:rStyle w:val="Refdenotaalpie"/>
          <w:sz w:val="16"/>
        </w:rPr>
        <w:footnoteRef/>
      </w:r>
      <w:r w:rsidRPr="00401835">
        <w:rPr>
          <w:sz w:val="16"/>
        </w:rPr>
        <w:t xml:space="preserve"> </w:t>
      </w:r>
      <w:r>
        <w:tab/>
      </w:r>
      <w:r w:rsidRPr="00B03A88">
        <w:rPr>
          <w:sz w:val="16"/>
          <w:szCs w:val="16"/>
          <w:lang w:val="es-CR"/>
        </w:rPr>
        <w:t xml:space="preserve">Los mismos son: </w:t>
      </w:r>
      <w:r w:rsidRPr="003A5C19">
        <w:rPr>
          <w:sz w:val="16"/>
          <w:szCs w:val="16"/>
          <w:lang w:val="es-CR"/>
        </w:rPr>
        <w:t xml:space="preserve">Acta de diferimiento del juicio oral y público, Tribunal de Juicio Itinerante del Estado Bolívar, </w:t>
      </w:r>
      <w:r>
        <w:rPr>
          <w:sz w:val="16"/>
          <w:szCs w:val="16"/>
          <w:lang w:val="es-CR"/>
        </w:rPr>
        <w:t>de 6</w:t>
      </w:r>
      <w:r w:rsidRPr="003A5C19">
        <w:rPr>
          <w:sz w:val="16"/>
          <w:szCs w:val="16"/>
          <w:lang w:val="es-CR"/>
        </w:rPr>
        <w:t xml:space="preserve"> noviembre de 2019</w:t>
      </w:r>
      <w:r>
        <w:rPr>
          <w:sz w:val="16"/>
          <w:szCs w:val="16"/>
          <w:lang w:val="es-CR"/>
        </w:rPr>
        <w:t xml:space="preserve"> (anexo 1)</w:t>
      </w:r>
      <w:r w:rsidRPr="003A5C19">
        <w:rPr>
          <w:sz w:val="16"/>
          <w:szCs w:val="16"/>
          <w:lang w:val="es-CR"/>
        </w:rPr>
        <w:t>, y Auto acordando librar orden de captur</w:t>
      </w:r>
      <w:r>
        <w:rPr>
          <w:sz w:val="16"/>
          <w:szCs w:val="16"/>
          <w:lang w:val="es-CR"/>
        </w:rPr>
        <w:t>a</w:t>
      </w:r>
      <w:r w:rsidRPr="003A5C19">
        <w:rPr>
          <w:sz w:val="16"/>
          <w:szCs w:val="16"/>
          <w:lang w:val="es-CR"/>
        </w:rPr>
        <w:t xml:space="preserve">, Tribunal de Juicio Itinerante del Estado Bolívar, </w:t>
      </w:r>
      <w:r>
        <w:rPr>
          <w:sz w:val="16"/>
          <w:szCs w:val="16"/>
          <w:lang w:val="es-CR"/>
        </w:rPr>
        <w:t xml:space="preserve">de </w:t>
      </w:r>
      <w:r w:rsidRPr="003A5C19">
        <w:rPr>
          <w:sz w:val="16"/>
          <w:szCs w:val="16"/>
          <w:lang w:val="es-CR"/>
        </w:rPr>
        <w:t>6 de noviembre de 2019</w:t>
      </w:r>
      <w:r>
        <w:rPr>
          <w:sz w:val="16"/>
          <w:szCs w:val="16"/>
          <w:lang w:val="es-CR"/>
        </w:rPr>
        <w:t xml:space="preserve"> (anexo 3).</w:t>
      </w:r>
      <w:r w:rsidRPr="003A5C19">
        <w:rPr>
          <w:sz w:val="16"/>
          <w:szCs w:val="16"/>
          <w:lang w:val="es-CR"/>
        </w:rPr>
        <w:t xml:space="preserve"> </w:t>
      </w:r>
    </w:p>
    <w:p w14:paraId="10B77EBA" w14:textId="77777777" w:rsidR="004224C0" w:rsidRPr="003A5C19" w:rsidRDefault="004224C0" w:rsidP="00B476ED">
      <w:pPr>
        <w:pStyle w:val="Textonotapie"/>
        <w:ind w:right="-943"/>
        <w:rPr>
          <w:lang w:val="es-CR"/>
        </w:rPr>
      </w:pPr>
    </w:p>
  </w:footnote>
  <w:footnote w:id="19">
    <w:p w14:paraId="6A856C86" w14:textId="65A9D026" w:rsidR="004224C0"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Pr>
          <w:sz w:val="16"/>
          <w:szCs w:val="16"/>
          <w:lang w:val="es-CR"/>
        </w:rPr>
        <w:t>Se trata de los siguientes: Alta Comisionada de las Naciones Unidas para los Derechos Humanos, Actualización oral sobre la situación de los derechos humanos en la República Bolivariana de Venezuela, de septiembre de 2019 (anexo 2);  Comisión Interamericana de Derechos Humanos, comunicado de prensa de 4 de febrero de 2020 (anexo 4); Comité de los Derechos del Niño, Observaciones finales sobre los informes periódicos tercero a quinto combinados de la República Bolivariana de Venezuela, 13 de octubre de 2014 (anexo 5); Defensoría del Pueblo, “</w:t>
      </w:r>
      <w:r w:rsidRPr="002401B6">
        <w:rPr>
          <w:sz w:val="16"/>
          <w:szCs w:val="16"/>
          <w:lang w:val="es-CR"/>
        </w:rPr>
        <w:t>Defensor del Pueblo: Debemos trabajar articuladamente como sistema para la protección de las</w:t>
      </w:r>
      <w:r>
        <w:rPr>
          <w:sz w:val="16"/>
          <w:szCs w:val="16"/>
          <w:lang w:val="es-CR"/>
        </w:rPr>
        <w:t xml:space="preserve"> </w:t>
      </w:r>
      <w:r w:rsidRPr="002401B6">
        <w:rPr>
          <w:sz w:val="16"/>
          <w:szCs w:val="16"/>
          <w:lang w:val="es-CR"/>
        </w:rPr>
        <w:t>y los adolescentes</w:t>
      </w:r>
      <w:r>
        <w:rPr>
          <w:sz w:val="16"/>
          <w:szCs w:val="16"/>
          <w:lang w:val="es-CR"/>
        </w:rPr>
        <w:t>”</w:t>
      </w:r>
      <w:r w:rsidRPr="002401B6">
        <w:rPr>
          <w:sz w:val="16"/>
          <w:szCs w:val="16"/>
          <w:lang w:val="es-CR"/>
        </w:rPr>
        <w:t>, 30 de noviembre de 2018</w:t>
      </w:r>
      <w:r>
        <w:rPr>
          <w:sz w:val="16"/>
          <w:szCs w:val="16"/>
          <w:lang w:val="es-CR"/>
        </w:rPr>
        <w:t xml:space="preserve"> (anexo 6); OVP, “</w:t>
      </w:r>
      <w:r w:rsidRPr="00B23179">
        <w:rPr>
          <w:sz w:val="16"/>
          <w:szCs w:val="16"/>
          <w:lang w:val="es-CR"/>
        </w:rPr>
        <w:t>Cinco presos han muerto a inicio del 2020</w:t>
      </w:r>
      <w:r>
        <w:rPr>
          <w:sz w:val="16"/>
          <w:szCs w:val="16"/>
          <w:lang w:val="es-CR"/>
        </w:rPr>
        <w:t>”</w:t>
      </w:r>
      <w:r w:rsidRPr="00B23179">
        <w:rPr>
          <w:sz w:val="16"/>
          <w:szCs w:val="16"/>
          <w:lang w:val="es-CR"/>
        </w:rPr>
        <w:t>, 10 de enero de 2020</w:t>
      </w:r>
      <w:r>
        <w:rPr>
          <w:sz w:val="16"/>
          <w:szCs w:val="16"/>
          <w:lang w:val="es-CR"/>
        </w:rPr>
        <w:t xml:space="preserve"> (anexo 7); OVP, “Decapitan un preso en medio de un motín por hacinamiento”, 9 de septiembre de 2019 (anexo 8); OVP, “Hambre y enfermedades acaban con la vida de seis presos en lo que va de octubre de 2019”, 11 de octubre de 2019 (anexo 9); OVP, “</w:t>
      </w:r>
      <w:r w:rsidRPr="00B23179">
        <w:rPr>
          <w:sz w:val="16"/>
          <w:szCs w:val="16"/>
          <w:lang w:val="es-CR"/>
        </w:rPr>
        <w:t>Humberto Prado: Iris Varela con sus prácticas solo agrava la crisis penitenciaria, 10 de noviembre</w:t>
      </w:r>
      <w:r>
        <w:rPr>
          <w:sz w:val="16"/>
          <w:szCs w:val="16"/>
          <w:lang w:val="es-CR"/>
        </w:rPr>
        <w:t xml:space="preserve"> </w:t>
      </w:r>
      <w:r w:rsidRPr="00B23179">
        <w:rPr>
          <w:sz w:val="16"/>
          <w:szCs w:val="16"/>
          <w:lang w:val="es-CR"/>
        </w:rPr>
        <w:t>de 2016</w:t>
      </w:r>
      <w:r>
        <w:rPr>
          <w:sz w:val="16"/>
          <w:szCs w:val="16"/>
          <w:lang w:val="es-CR"/>
        </w:rPr>
        <w:t xml:space="preserve"> (anexo 10); OVP, “P</w:t>
      </w:r>
      <w:r w:rsidRPr="00B23179">
        <w:rPr>
          <w:sz w:val="16"/>
          <w:szCs w:val="16"/>
          <w:lang w:val="es-CR"/>
        </w:rPr>
        <w:t>alo y bollo es lo que han recibido presos de la cárcel 26 de Julio</w:t>
      </w:r>
      <w:r>
        <w:rPr>
          <w:sz w:val="16"/>
          <w:szCs w:val="16"/>
          <w:lang w:val="es-CR"/>
        </w:rPr>
        <w:t>”</w:t>
      </w:r>
      <w:r w:rsidRPr="00B23179">
        <w:rPr>
          <w:sz w:val="16"/>
          <w:szCs w:val="16"/>
          <w:lang w:val="es-CR"/>
        </w:rPr>
        <w:t>, 12 de julio</w:t>
      </w:r>
      <w:r>
        <w:rPr>
          <w:sz w:val="16"/>
          <w:szCs w:val="16"/>
          <w:lang w:val="es-CR"/>
        </w:rPr>
        <w:t xml:space="preserve"> </w:t>
      </w:r>
      <w:r w:rsidRPr="00B23179">
        <w:rPr>
          <w:sz w:val="16"/>
          <w:szCs w:val="16"/>
          <w:lang w:val="es-CR"/>
        </w:rPr>
        <w:t>de 2019</w:t>
      </w:r>
      <w:r>
        <w:rPr>
          <w:sz w:val="16"/>
          <w:szCs w:val="16"/>
          <w:lang w:val="es-CR"/>
        </w:rPr>
        <w:t xml:space="preserve"> (anexo 11); OVP, “Presos del Rodeo III: ‘</w:t>
      </w:r>
      <w:r w:rsidRPr="00FC19B4">
        <w:rPr>
          <w:sz w:val="16"/>
          <w:szCs w:val="16"/>
          <w:lang w:val="es-CR"/>
        </w:rPr>
        <w:t>Nos están matando de hambre</w:t>
      </w:r>
      <w:r>
        <w:rPr>
          <w:sz w:val="16"/>
          <w:szCs w:val="16"/>
          <w:lang w:val="es-CR"/>
        </w:rPr>
        <w:t>’”</w:t>
      </w:r>
      <w:r w:rsidRPr="00FC19B4">
        <w:rPr>
          <w:sz w:val="16"/>
          <w:szCs w:val="16"/>
          <w:lang w:val="es-CR"/>
        </w:rPr>
        <w:t>, 11 de diciembre de 2019</w:t>
      </w:r>
      <w:r>
        <w:rPr>
          <w:sz w:val="16"/>
          <w:szCs w:val="16"/>
          <w:lang w:val="es-CR"/>
        </w:rPr>
        <w:t xml:space="preserve"> (anexo 12); OVP, “</w:t>
      </w:r>
      <w:r w:rsidRPr="00FC19B4">
        <w:rPr>
          <w:sz w:val="16"/>
          <w:szCs w:val="16"/>
          <w:lang w:val="es-CR"/>
        </w:rPr>
        <w:t>Una sola comida al día reciben los presos del Centro Penitenciario de Occidente</w:t>
      </w:r>
      <w:r>
        <w:rPr>
          <w:sz w:val="16"/>
          <w:szCs w:val="16"/>
          <w:lang w:val="es-CR"/>
        </w:rPr>
        <w:t>”</w:t>
      </w:r>
      <w:r w:rsidRPr="00FC19B4">
        <w:rPr>
          <w:sz w:val="16"/>
          <w:szCs w:val="16"/>
          <w:lang w:val="es-CR"/>
        </w:rPr>
        <w:t>,</w:t>
      </w:r>
      <w:r>
        <w:rPr>
          <w:sz w:val="16"/>
          <w:szCs w:val="16"/>
          <w:lang w:val="es-CR"/>
        </w:rPr>
        <w:t xml:space="preserve"> </w:t>
      </w:r>
      <w:r w:rsidRPr="00FC19B4">
        <w:rPr>
          <w:sz w:val="16"/>
          <w:szCs w:val="16"/>
          <w:lang w:val="es-CR"/>
        </w:rPr>
        <w:t>13 de noviembre de 2013</w:t>
      </w:r>
      <w:r>
        <w:rPr>
          <w:sz w:val="16"/>
          <w:szCs w:val="16"/>
          <w:lang w:val="es-CR"/>
        </w:rPr>
        <w:t xml:space="preserve"> (anexo 13); “Principios y directrices básicos sobre el derecho de las víctimas de violaciones manifiestas de las normas internacionales de derechos humanos y de violaciones graves del derecho internacional humanitario a interponer recursos y obtener reparaciones, </w:t>
      </w:r>
      <w:r w:rsidRPr="002401B6">
        <w:rPr>
          <w:sz w:val="16"/>
          <w:szCs w:val="16"/>
          <w:lang w:val="es-CR"/>
        </w:rPr>
        <w:t>UN Doc. A/Res/60/147, Resolución aprobada por la Asamblea General de las Naciones</w:t>
      </w:r>
      <w:r>
        <w:rPr>
          <w:sz w:val="16"/>
          <w:szCs w:val="16"/>
          <w:lang w:val="es-CR"/>
        </w:rPr>
        <w:t xml:space="preserve"> </w:t>
      </w:r>
      <w:r w:rsidRPr="002401B6">
        <w:rPr>
          <w:sz w:val="16"/>
          <w:szCs w:val="16"/>
          <w:lang w:val="es-CR"/>
        </w:rPr>
        <w:t>Unidas el 16 de diciembre de 2005</w:t>
      </w:r>
      <w:r>
        <w:rPr>
          <w:sz w:val="16"/>
          <w:szCs w:val="16"/>
          <w:lang w:val="es-CR"/>
        </w:rPr>
        <w:t xml:space="preserve"> (anexo 14); P</w:t>
      </w:r>
      <w:r w:rsidRPr="00B23179">
        <w:rPr>
          <w:sz w:val="16"/>
          <w:szCs w:val="16"/>
          <w:lang w:val="es-CR"/>
        </w:rPr>
        <w:t xml:space="preserve">ROVEA, </w:t>
      </w:r>
      <w:r>
        <w:rPr>
          <w:sz w:val="16"/>
          <w:szCs w:val="16"/>
          <w:lang w:val="es-CR"/>
        </w:rPr>
        <w:t>“</w:t>
      </w:r>
      <w:r w:rsidRPr="00B23179">
        <w:rPr>
          <w:sz w:val="16"/>
          <w:szCs w:val="16"/>
          <w:lang w:val="es-CR"/>
        </w:rPr>
        <w:t>970 personas fueron víctimas de tratos y penas crueles, inhumanas y degradantes durante el 2018</w:t>
      </w:r>
      <w:r>
        <w:rPr>
          <w:sz w:val="16"/>
          <w:szCs w:val="16"/>
          <w:lang w:val="es-CR"/>
        </w:rPr>
        <w:t>”</w:t>
      </w:r>
      <w:r w:rsidRPr="00B23179">
        <w:rPr>
          <w:sz w:val="16"/>
          <w:szCs w:val="16"/>
          <w:lang w:val="es-CR"/>
        </w:rPr>
        <w:t>, 4 de junio de</w:t>
      </w:r>
      <w:r>
        <w:rPr>
          <w:sz w:val="16"/>
          <w:szCs w:val="16"/>
          <w:lang w:val="es-CR"/>
        </w:rPr>
        <w:t xml:space="preserve"> </w:t>
      </w:r>
      <w:r w:rsidRPr="00B23179">
        <w:rPr>
          <w:sz w:val="16"/>
          <w:szCs w:val="16"/>
          <w:lang w:val="es-CR"/>
        </w:rPr>
        <w:t>2019</w:t>
      </w:r>
      <w:r>
        <w:rPr>
          <w:sz w:val="16"/>
          <w:szCs w:val="16"/>
          <w:lang w:val="es-CR"/>
        </w:rPr>
        <w:t xml:space="preserve"> (anexo 15); </w:t>
      </w:r>
      <w:r w:rsidRPr="00B23179">
        <w:rPr>
          <w:sz w:val="16"/>
          <w:szCs w:val="16"/>
          <w:lang w:val="es-CR"/>
        </w:rPr>
        <w:t xml:space="preserve">REDHNNA, </w:t>
      </w:r>
      <w:r>
        <w:rPr>
          <w:sz w:val="16"/>
          <w:szCs w:val="16"/>
          <w:lang w:val="es-CR"/>
        </w:rPr>
        <w:t>“</w:t>
      </w:r>
      <w:r w:rsidRPr="00B23179">
        <w:rPr>
          <w:sz w:val="16"/>
          <w:szCs w:val="16"/>
          <w:lang w:val="es-CR"/>
        </w:rPr>
        <w:t>Situación de los derechos a: nivel de vida adecuado, salud y servicios de salud y protección ante la violencia que</w:t>
      </w:r>
      <w:r>
        <w:rPr>
          <w:sz w:val="16"/>
          <w:szCs w:val="16"/>
          <w:lang w:val="es-CR"/>
        </w:rPr>
        <w:t xml:space="preserve"> </w:t>
      </w:r>
      <w:r w:rsidRPr="00B23179">
        <w:rPr>
          <w:sz w:val="16"/>
          <w:szCs w:val="16"/>
          <w:lang w:val="es-CR"/>
        </w:rPr>
        <w:t>afecta a NNA, periodo 2012-2016</w:t>
      </w:r>
      <w:r>
        <w:rPr>
          <w:sz w:val="16"/>
          <w:szCs w:val="16"/>
          <w:lang w:val="es-CR"/>
        </w:rPr>
        <w:t xml:space="preserve">” (anexo 16); </w:t>
      </w:r>
      <w:proofErr w:type="spellStart"/>
      <w:r>
        <w:rPr>
          <w:sz w:val="16"/>
          <w:szCs w:val="16"/>
          <w:lang w:val="es-CR"/>
        </w:rPr>
        <w:t>Rousset</w:t>
      </w:r>
      <w:proofErr w:type="spellEnd"/>
      <w:r>
        <w:rPr>
          <w:sz w:val="16"/>
          <w:szCs w:val="16"/>
          <w:lang w:val="es-CR"/>
        </w:rPr>
        <w:t xml:space="preserve"> Siri, Andrés Javier, “El concepto de reparación integral en la jurisprudencia de la Corte Interamericana de Derechos Humanos, en Revista Internacional de Derechos Humanos, 2011 (anexo 17); Silva García, Fernando, “Aportaciones del sistema de reparaciones de la Corte Interamericana al Derecho Internacional de los Derechos Humanos (anexo 18), Transparencia Venezuela, “</w:t>
      </w:r>
      <w:r w:rsidRPr="0060254E">
        <w:rPr>
          <w:sz w:val="16"/>
          <w:szCs w:val="16"/>
          <w:lang w:val="es-CR"/>
        </w:rPr>
        <w:t>Informe Es Legal pero Injusto, El Acceso a la información Pública es una condición necesaria</w:t>
      </w:r>
      <w:r>
        <w:rPr>
          <w:sz w:val="16"/>
          <w:szCs w:val="16"/>
          <w:lang w:val="es-CR"/>
        </w:rPr>
        <w:t xml:space="preserve"> </w:t>
      </w:r>
      <w:r w:rsidRPr="0060254E">
        <w:rPr>
          <w:sz w:val="16"/>
          <w:szCs w:val="16"/>
          <w:lang w:val="es-CR"/>
        </w:rPr>
        <w:t>para la democracia</w:t>
      </w:r>
      <w:r>
        <w:rPr>
          <w:sz w:val="16"/>
          <w:szCs w:val="16"/>
          <w:lang w:val="es-CR"/>
        </w:rPr>
        <w:t>”</w:t>
      </w:r>
      <w:r w:rsidRPr="0060254E">
        <w:rPr>
          <w:sz w:val="16"/>
          <w:szCs w:val="16"/>
          <w:lang w:val="es-CR"/>
        </w:rPr>
        <w:t>, 2018</w:t>
      </w:r>
      <w:r>
        <w:rPr>
          <w:sz w:val="16"/>
          <w:szCs w:val="16"/>
          <w:lang w:val="es-CR"/>
        </w:rPr>
        <w:t xml:space="preserve"> (anexo 19), y Una ventana a la libertad, Trabajo especial sobre la situación de los privados de libertad en las sedes de reclusión de adolescentes en conflicto con la ley penal en Venezuela, septiembre de 2018 (anexo 20).</w:t>
      </w:r>
    </w:p>
    <w:p w14:paraId="1BA15169" w14:textId="77777777" w:rsidR="004224C0" w:rsidRPr="00AF2262" w:rsidRDefault="004224C0" w:rsidP="00B476ED">
      <w:pPr>
        <w:pStyle w:val="Textonotapie"/>
        <w:ind w:right="-943"/>
        <w:rPr>
          <w:sz w:val="16"/>
          <w:szCs w:val="16"/>
          <w:lang w:val="es-CR"/>
        </w:rPr>
      </w:pPr>
    </w:p>
  </w:footnote>
  <w:footnote w:id="20">
    <w:p w14:paraId="16BCDEDF" w14:textId="77777777" w:rsidR="004224C0" w:rsidRPr="00AF2262" w:rsidRDefault="004224C0" w:rsidP="00B476ED">
      <w:pPr>
        <w:pStyle w:val="Textonotapie"/>
        <w:ind w:right="-943"/>
        <w:rPr>
          <w:sz w:val="16"/>
          <w:szCs w:val="16"/>
        </w:rPr>
      </w:pPr>
      <w:r w:rsidRPr="00AF2262">
        <w:rPr>
          <w:rStyle w:val="Refdenotaalpie"/>
          <w:sz w:val="16"/>
          <w:szCs w:val="16"/>
        </w:rPr>
        <w:footnoteRef/>
      </w:r>
      <w:r w:rsidRPr="00AF2262">
        <w:rPr>
          <w:sz w:val="16"/>
          <w:szCs w:val="16"/>
        </w:rPr>
        <w:t xml:space="preserve"> </w:t>
      </w:r>
      <w:r w:rsidRPr="00AF2262">
        <w:rPr>
          <w:sz w:val="16"/>
          <w:szCs w:val="16"/>
        </w:rPr>
        <w:tab/>
        <w:t xml:space="preserve">De modo previo a la remisión de las declaraciones escritas, el 24 de agosto de 2020, los representantes solicitaron que las declaraciones de las víctimas y de la perita Vásquez González pudieran ser presentadas sin intervención de fedatario público, aduciendo obstáculos derivados de la pandemia. El requerimiento de los representantes fue respondido en forma favorable el 31 de agosto de 2020, por indicación de la </w:t>
      </w:r>
      <w:proofErr w:type="gramStart"/>
      <w:r w:rsidRPr="00AF2262">
        <w:rPr>
          <w:sz w:val="16"/>
          <w:szCs w:val="16"/>
        </w:rPr>
        <w:t>Presidenta</w:t>
      </w:r>
      <w:proofErr w:type="gramEnd"/>
      <w:r w:rsidRPr="00AF2262">
        <w:rPr>
          <w:sz w:val="16"/>
          <w:szCs w:val="16"/>
        </w:rPr>
        <w:t xml:space="preserve"> de la Corte. Por otra parte, el 4 de septiembre de 2020 Venezuela remitió las declaraciones de Marlon José Barreto Ríos, Ovidio Peña Varela y </w:t>
      </w:r>
      <w:proofErr w:type="spellStart"/>
      <w:r w:rsidRPr="00AF2262">
        <w:rPr>
          <w:sz w:val="16"/>
          <w:szCs w:val="16"/>
        </w:rPr>
        <w:t>Rossy</w:t>
      </w:r>
      <w:proofErr w:type="spellEnd"/>
      <w:r w:rsidRPr="00AF2262">
        <w:rPr>
          <w:sz w:val="16"/>
          <w:szCs w:val="16"/>
        </w:rPr>
        <w:t xml:space="preserve"> Mariana Mendoza sin que conste la intervención de fedatario público. Adujo que las oficinas de registro público y notarías no se encontraban prestando servicios, dado el “estado de alarma” decretado para atender la pandemia referida.</w:t>
      </w:r>
    </w:p>
    <w:p w14:paraId="66BECD8D" w14:textId="77777777" w:rsidR="004224C0" w:rsidRPr="004B7179" w:rsidRDefault="004224C0" w:rsidP="00B476ED">
      <w:pPr>
        <w:pStyle w:val="Textonotapie"/>
        <w:ind w:right="-943"/>
        <w:rPr>
          <w:sz w:val="16"/>
          <w:szCs w:val="16"/>
          <w:lang w:val="es-CR"/>
        </w:rPr>
      </w:pPr>
    </w:p>
  </w:footnote>
  <w:footnote w:id="21">
    <w:p w14:paraId="40E0916F" w14:textId="28DE301A" w:rsidR="004224C0" w:rsidRPr="00B706B7" w:rsidRDefault="004224C0" w:rsidP="00B476ED">
      <w:pPr>
        <w:pStyle w:val="Textonotapie"/>
        <w:ind w:right="-943"/>
        <w:rPr>
          <w:sz w:val="16"/>
          <w:szCs w:val="16"/>
        </w:rPr>
      </w:pPr>
      <w:r w:rsidRPr="00B706B7">
        <w:rPr>
          <w:rStyle w:val="Refdenotaalpie"/>
          <w:sz w:val="16"/>
          <w:szCs w:val="16"/>
        </w:rPr>
        <w:footnoteRef/>
      </w:r>
      <w:r w:rsidRPr="00B706B7">
        <w:rPr>
          <w:sz w:val="16"/>
          <w:szCs w:val="16"/>
        </w:rPr>
        <w:t xml:space="preserve"> </w:t>
      </w:r>
      <w:r>
        <w:rPr>
          <w:sz w:val="16"/>
          <w:szCs w:val="16"/>
        </w:rPr>
        <w:tab/>
      </w:r>
      <w:r w:rsidRPr="00B706B7">
        <w:rPr>
          <w:sz w:val="16"/>
          <w:szCs w:val="16"/>
        </w:rPr>
        <w:t xml:space="preserve">Se deja constancia de que, aunque fueron propuestas por los representantes, y se dispuso su recepción escrita por medio de la Resolución de la </w:t>
      </w:r>
      <w:proofErr w:type="gramStart"/>
      <w:r w:rsidRPr="00B706B7">
        <w:rPr>
          <w:sz w:val="16"/>
          <w:szCs w:val="16"/>
        </w:rPr>
        <w:t>Presidenta</w:t>
      </w:r>
      <w:proofErr w:type="gramEnd"/>
      <w:r w:rsidRPr="00B706B7">
        <w:rPr>
          <w:sz w:val="16"/>
          <w:szCs w:val="16"/>
        </w:rPr>
        <w:t xml:space="preserve"> de 30 de junio de 2020, la Corte no recibió las declaraciones de las víctimas Félix Enr</w:t>
      </w:r>
      <w:r>
        <w:rPr>
          <w:sz w:val="16"/>
          <w:szCs w:val="16"/>
        </w:rPr>
        <w:t>í</w:t>
      </w:r>
      <w:r w:rsidRPr="00B706B7">
        <w:rPr>
          <w:sz w:val="16"/>
          <w:szCs w:val="16"/>
        </w:rPr>
        <w:t xml:space="preserve">quez Mota, </w:t>
      </w:r>
      <w:proofErr w:type="spellStart"/>
      <w:r w:rsidRPr="00B706B7">
        <w:rPr>
          <w:sz w:val="16"/>
          <w:szCs w:val="16"/>
        </w:rPr>
        <w:t>Osmely</w:t>
      </w:r>
      <w:proofErr w:type="spellEnd"/>
      <w:r w:rsidRPr="00B706B7">
        <w:rPr>
          <w:sz w:val="16"/>
          <w:szCs w:val="16"/>
        </w:rPr>
        <w:t xml:space="preserve"> Angelina Mota, María Cristina Córdova de Molina y Hugo Arnaldo Molina.</w:t>
      </w:r>
    </w:p>
    <w:p w14:paraId="023828CB" w14:textId="77777777" w:rsidR="004224C0" w:rsidRPr="00B706B7" w:rsidRDefault="004224C0" w:rsidP="00B476ED">
      <w:pPr>
        <w:pStyle w:val="Textonotapie"/>
        <w:ind w:right="-943"/>
        <w:rPr>
          <w:lang w:val="es-CR"/>
        </w:rPr>
      </w:pPr>
    </w:p>
  </w:footnote>
  <w:footnote w:id="22">
    <w:p w14:paraId="4763EC86" w14:textId="77777777" w:rsidR="004224C0" w:rsidRPr="00AF2262" w:rsidRDefault="004224C0" w:rsidP="00B476ED">
      <w:pPr>
        <w:pStyle w:val="Textonotapie"/>
        <w:ind w:right="-943"/>
        <w:rPr>
          <w:sz w:val="16"/>
          <w:szCs w:val="16"/>
        </w:rPr>
      </w:pPr>
      <w:r w:rsidRPr="00AF2262">
        <w:rPr>
          <w:rStyle w:val="Refdenotaalpie"/>
          <w:sz w:val="16"/>
          <w:szCs w:val="16"/>
        </w:rPr>
        <w:footnoteRef/>
      </w:r>
      <w:r w:rsidRPr="00AF2262">
        <w:rPr>
          <w:sz w:val="16"/>
          <w:szCs w:val="16"/>
        </w:rPr>
        <w:tab/>
        <w:t xml:space="preserve">Si bien la Comisión, en el Informe de Fondo, incluyó un título denominado “Contexto y antecedentes”, el mismo refiere sólo a aspectos propios del INAM-San Félix y las víctimas del caso. </w:t>
      </w:r>
    </w:p>
    <w:p w14:paraId="5F75BBFA" w14:textId="77777777" w:rsidR="004224C0" w:rsidRPr="006B7FDF" w:rsidRDefault="004224C0" w:rsidP="00B476ED">
      <w:pPr>
        <w:pStyle w:val="Textonotapie"/>
        <w:ind w:right="-943"/>
        <w:rPr>
          <w:sz w:val="16"/>
          <w:szCs w:val="16"/>
          <w:lang w:val="es-CR"/>
        </w:rPr>
      </w:pPr>
      <w:r w:rsidRPr="00AF2262">
        <w:rPr>
          <w:sz w:val="16"/>
          <w:szCs w:val="16"/>
        </w:rPr>
        <w:t xml:space="preserve"> </w:t>
      </w:r>
    </w:p>
  </w:footnote>
  <w:footnote w:id="23">
    <w:p w14:paraId="42B943DB" w14:textId="77777777" w:rsidR="004224C0" w:rsidRPr="006B7FDF" w:rsidRDefault="004224C0" w:rsidP="00B476ED">
      <w:pPr>
        <w:pStyle w:val="Textonotapie"/>
        <w:ind w:right="-943"/>
        <w:rPr>
          <w:sz w:val="16"/>
          <w:szCs w:val="16"/>
          <w:lang w:val="es-CR"/>
        </w:rPr>
      </w:pPr>
      <w:r w:rsidRPr="006B7FDF">
        <w:rPr>
          <w:rStyle w:val="Refdenotaalpie"/>
          <w:sz w:val="16"/>
          <w:szCs w:val="16"/>
        </w:rPr>
        <w:footnoteRef/>
      </w:r>
      <w:r w:rsidRPr="006B7FDF">
        <w:rPr>
          <w:sz w:val="16"/>
          <w:szCs w:val="16"/>
        </w:rPr>
        <w:t xml:space="preserve"> </w:t>
      </w:r>
      <w:r w:rsidRPr="006B7FDF">
        <w:rPr>
          <w:sz w:val="16"/>
          <w:szCs w:val="16"/>
          <w:lang w:val="es-CR"/>
        </w:rPr>
        <w:t xml:space="preserve"> </w:t>
      </w:r>
      <w:r w:rsidRPr="006B7FDF">
        <w:rPr>
          <w:sz w:val="16"/>
          <w:szCs w:val="16"/>
          <w:lang w:val="es-CR"/>
        </w:rPr>
        <w:tab/>
      </w:r>
      <w:r w:rsidRPr="006B7FDF">
        <w:rPr>
          <w:i/>
          <w:sz w:val="16"/>
          <w:szCs w:val="16"/>
          <w:lang w:val="es-CR"/>
        </w:rPr>
        <w:t>Cfr.</w:t>
      </w:r>
      <w:r w:rsidRPr="006B7FDF">
        <w:rPr>
          <w:sz w:val="16"/>
          <w:szCs w:val="16"/>
          <w:lang w:val="es-CR"/>
        </w:rPr>
        <w:t xml:space="preserve"> </w:t>
      </w:r>
      <w:r w:rsidRPr="003A5C19">
        <w:rPr>
          <w:sz w:val="16"/>
          <w:szCs w:val="16"/>
          <w:lang w:val="es-CR"/>
        </w:rPr>
        <w:t>Carta de J</w:t>
      </w:r>
      <w:r>
        <w:rPr>
          <w:sz w:val="16"/>
          <w:szCs w:val="16"/>
          <w:lang w:val="es-CR"/>
        </w:rPr>
        <w:t>.</w:t>
      </w:r>
      <w:r w:rsidRPr="003A5C19">
        <w:rPr>
          <w:sz w:val="16"/>
          <w:szCs w:val="16"/>
          <w:lang w:val="es-CR"/>
        </w:rPr>
        <w:t>A</w:t>
      </w:r>
      <w:r>
        <w:rPr>
          <w:sz w:val="16"/>
          <w:szCs w:val="16"/>
          <w:lang w:val="es-CR"/>
        </w:rPr>
        <w:t>.</w:t>
      </w:r>
      <w:r w:rsidRPr="003A5C19">
        <w:rPr>
          <w:sz w:val="16"/>
          <w:szCs w:val="16"/>
          <w:lang w:val="es-CR"/>
        </w:rPr>
        <w:t xml:space="preserve">, </w:t>
      </w:r>
      <w:proofErr w:type="gramStart"/>
      <w:r w:rsidRPr="003A5C19">
        <w:rPr>
          <w:sz w:val="16"/>
          <w:szCs w:val="16"/>
          <w:lang w:val="es-CR"/>
        </w:rPr>
        <w:t>Director</w:t>
      </w:r>
      <w:proofErr w:type="gramEnd"/>
      <w:r w:rsidRPr="003A5C19">
        <w:rPr>
          <w:sz w:val="16"/>
          <w:szCs w:val="16"/>
          <w:lang w:val="es-CR"/>
        </w:rPr>
        <w:t xml:space="preserve"> de</w:t>
      </w:r>
      <w:r>
        <w:rPr>
          <w:sz w:val="16"/>
          <w:szCs w:val="16"/>
          <w:lang w:val="es-CR"/>
        </w:rPr>
        <w:t>l INAM-</w:t>
      </w:r>
      <w:r w:rsidRPr="003A5C19">
        <w:rPr>
          <w:sz w:val="16"/>
          <w:szCs w:val="16"/>
          <w:lang w:val="es-CR"/>
        </w:rPr>
        <w:t xml:space="preserve"> San Félix, a H</w:t>
      </w:r>
      <w:r>
        <w:rPr>
          <w:sz w:val="16"/>
          <w:szCs w:val="16"/>
          <w:lang w:val="es-CR"/>
        </w:rPr>
        <w:t>.</w:t>
      </w:r>
      <w:r w:rsidRPr="003A5C19">
        <w:rPr>
          <w:sz w:val="16"/>
          <w:szCs w:val="16"/>
          <w:lang w:val="es-CR"/>
        </w:rPr>
        <w:t>A</w:t>
      </w:r>
      <w:r>
        <w:rPr>
          <w:sz w:val="16"/>
          <w:szCs w:val="16"/>
          <w:lang w:val="es-CR"/>
        </w:rPr>
        <w:t>.</w:t>
      </w:r>
      <w:r w:rsidRPr="003A5C19">
        <w:rPr>
          <w:sz w:val="16"/>
          <w:szCs w:val="16"/>
          <w:lang w:val="es-CR"/>
        </w:rPr>
        <w:t>, Fiscal Octav</w:t>
      </w:r>
      <w:r>
        <w:rPr>
          <w:sz w:val="16"/>
          <w:szCs w:val="16"/>
          <w:lang w:val="es-CR"/>
        </w:rPr>
        <w:t>a</w:t>
      </w:r>
      <w:r w:rsidRPr="003A5C19">
        <w:rPr>
          <w:sz w:val="16"/>
          <w:szCs w:val="16"/>
          <w:lang w:val="es-CR"/>
        </w:rPr>
        <w:t xml:space="preserve"> de Protección</w:t>
      </w:r>
      <w:r>
        <w:rPr>
          <w:sz w:val="16"/>
          <w:szCs w:val="16"/>
          <w:lang w:val="es-CR"/>
        </w:rPr>
        <w:t>,</w:t>
      </w:r>
      <w:r w:rsidRPr="003A5C19">
        <w:rPr>
          <w:sz w:val="16"/>
          <w:szCs w:val="16"/>
          <w:lang w:val="es-CR"/>
        </w:rPr>
        <w:t xml:space="preserve"> Ministerio Público, de 17 de febrero de 2004</w:t>
      </w:r>
      <w:r>
        <w:rPr>
          <w:sz w:val="16"/>
          <w:szCs w:val="16"/>
          <w:lang w:val="es-CR"/>
        </w:rPr>
        <w:t xml:space="preserve"> (e</w:t>
      </w:r>
      <w:r w:rsidRPr="003A5C19">
        <w:rPr>
          <w:sz w:val="16"/>
          <w:szCs w:val="16"/>
          <w:lang w:val="es-CR"/>
        </w:rPr>
        <w:t xml:space="preserve">xpediente de prueba, </w:t>
      </w:r>
      <w:r>
        <w:rPr>
          <w:sz w:val="16"/>
          <w:szCs w:val="16"/>
          <w:lang w:val="es-CR"/>
        </w:rPr>
        <w:t>f. 1532)</w:t>
      </w:r>
      <w:r w:rsidRPr="00B03A88">
        <w:rPr>
          <w:sz w:val="16"/>
          <w:szCs w:val="16"/>
          <w:lang w:val="es-CR"/>
        </w:rPr>
        <w:t>.</w:t>
      </w:r>
      <w:r>
        <w:rPr>
          <w:sz w:val="16"/>
          <w:szCs w:val="16"/>
          <w:lang w:val="es-CR"/>
        </w:rPr>
        <w:t xml:space="preserve"> Se deja aclarado que en la presente Sentencia </w:t>
      </w:r>
      <w:r w:rsidRPr="004754B0">
        <w:rPr>
          <w:sz w:val="16"/>
          <w:szCs w:val="16"/>
          <w:lang w:val="es-CR"/>
        </w:rPr>
        <w:t>se señala con iniciales, o mediante referencia</w:t>
      </w:r>
      <w:r>
        <w:rPr>
          <w:sz w:val="16"/>
          <w:szCs w:val="16"/>
          <w:lang w:val="es-CR"/>
        </w:rPr>
        <w:t>s</w:t>
      </w:r>
      <w:r w:rsidRPr="004754B0">
        <w:rPr>
          <w:sz w:val="16"/>
          <w:szCs w:val="16"/>
          <w:lang w:val="es-CR"/>
        </w:rPr>
        <w:t xml:space="preserve"> a cargos que ocupaban, a personas</w:t>
      </w:r>
      <w:r>
        <w:rPr>
          <w:sz w:val="16"/>
          <w:szCs w:val="16"/>
          <w:lang w:val="es-CR"/>
        </w:rPr>
        <w:t xml:space="preserve"> </w:t>
      </w:r>
      <w:r w:rsidRPr="004754B0">
        <w:rPr>
          <w:sz w:val="16"/>
          <w:szCs w:val="16"/>
          <w:lang w:val="es-CR"/>
        </w:rPr>
        <w:t>respecto de las que no consta que hayan tenido intervención en el trámite del caso en el ámbito internacional,</w:t>
      </w:r>
      <w:r>
        <w:rPr>
          <w:sz w:val="16"/>
          <w:szCs w:val="16"/>
          <w:lang w:val="es-CR"/>
        </w:rPr>
        <w:t xml:space="preserve"> </w:t>
      </w:r>
      <w:r w:rsidRPr="004754B0">
        <w:rPr>
          <w:sz w:val="16"/>
          <w:szCs w:val="16"/>
          <w:lang w:val="es-CR"/>
        </w:rPr>
        <w:t>ante la Comisión Interamericana o la Corte Interamericana.</w:t>
      </w:r>
    </w:p>
    <w:p w14:paraId="586D00D3" w14:textId="77777777" w:rsidR="004224C0" w:rsidRPr="0072153B" w:rsidRDefault="004224C0" w:rsidP="00B476ED">
      <w:pPr>
        <w:pStyle w:val="Textonotapie"/>
        <w:ind w:right="-943"/>
        <w:rPr>
          <w:lang w:val="es-CR"/>
        </w:rPr>
      </w:pPr>
    </w:p>
  </w:footnote>
  <w:footnote w:id="24">
    <w:p w14:paraId="68C57771"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sidRPr="00AF2262">
        <w:rPr>
          <w:sz w:val="16"/>
          <w:szCs w:val="16"/>
          <w:lang w:val="es-CR"/>
        </w:rPr>
        <w:t xml:space="preserve"> </w:t>
      </w:r>
      <w:r w:rsidRPr="00AF2262">
        <w:rPr>
          <w:sz w:val="16"/>
          <w:szCs w:val="16"/>
          <w:lang w:val="es-CR"/>
        </w:rPr>
        <w:tab/>
        <w:t>Consta en la prueba una nota, remitida en 2004 a un Juez de Ejecución, en que el señor N</w:t>
      </w:r>
      <w:r>
        <w:rPr>
          <w:sz w:val="16"/>
          <w:szCs w:val="16"/>
          <w:lang w:val="es-CR"/>
        </w:rPr>
        <w:t>.</w:t>
      </w:r>
      <w:r w:rsidRPr="00AF2262">
        <w:rPr>
          <w:sz w:val="16"/>
          <w:szCs w:val="16"/>
          <w:lang w:val="es-CR"/>
        </w:rPr>
        <w:t>R</w:t>
      </w:r>
      <w:r>
        <w:rPr>
          <w:sz w:val="16"/>
          <w:szCs w:val="16"/>
          <w:lang w:val="es-CR"/>
        </w:rPr>
        <w:t>.</w:t>
      </w:r>
      <w:r w:rsidRPr="00AF2262">
        <w:rPr>
          <w:sz w:val="16"/>
          <w:szCs w:val="16"/>
          <w:lang w:val="es-CR"/>
        </w:rPr>
        <w:t>, guía del Centro, expresó que el mismo tenía sobrepoblación, “baja plantilla de personal” e infraestructura no adecuada, señalando que ello podía poner en riesgo la integridad de las personas privadas de la libertad (</w:t>
      </w:r>
      <w:r w:rsidRPr="003C748A">
        <w:rPr>
          <w:i/>
          <w:sz w:val="16"/>
          <w:szCs w:val="16"/>
          <w:lang w:val="es-CR"/>
        </w:rPr>
        <w:t>cfr.</w:t>
      </w:r>
      <w:r>
        <w:rPr>
          <w:sz w:val="16"/>
          <w:szCs w:val="16"/>
          <w:lang w:val="es-CR"/>
        </w:rPr>
        <w:t xml:space="preserve"> c</w:t>
      </w:r>
      <w:r w:rsidRPr="00AF2262">
        <w:rPr>
          <w:sz w:val="16"/>
          <w:szCs w:val="16"/>
          <w:lang w:val="es-CR"/>
        </w:rPr>
        <w:t>arta de N</w:t>
      </w:r>
      <w:r>
        <w:rPr>
          <w:sz w:val="16"/>
          <w:szCs w:val="16"/>
          <w:lang w:val="es-CR"/>
        </w:rPr>
        <w:t>.</w:t>
      </w:r>
      <w:r w:rsidRPr="00AF2262">
        <w:rPr>
          <w:sz w:val="16"/>
          <w:szCs w:val="16"/>
          <w:lang w:val="es-CR"/>
        </w:rPr>
        <w:t>R</w:t>
      </w:r>
      <w:r>
        <w:rPr>
          <w:sz w:val="16"/>
          <w:szCs w:val="16"/>
          <w:lang w:val="es-CR"/>
        </w:rPr>
        <w:t>.</w:t>
      </w:r>
      <w:r w:rsidRPr="00AF2262">
        <w:rPr>
          <w:sz w:val="16"/>
          <w:szCs w:val="16"/>
          <w:lang w:val="es-CR"/>
        </w:rPr>
        <w:t xml:space="preserve"> a R</w:t>
      </w:r>
      <w:r>
        <w:rPr>
          <w:sz w:val="16"/>
          <w:szCs w:val="16"/>
          <w:lang w:val="es-CR"/>
        </w:rPr>
        <w:t>.</w:t>
      </w:r>
      <w:r w:rsidRPr="00AF2262">
        <w:rPr>
          <w:sz w:val="16"/>
          <w:szCs w:val="16"/>
          <w:lang w:val="es-CR"/>
        </w:rPr>
        <w:t>M</w:t>
      </w:r>
      <w:r>
        <w:rPr>
          <w:sz w:val="16"/>
          <w:szCs w:val="16"/>
          <w:lang w:val="es-CR"/>
        </w:rPr>
        <w:t>.</w:t>
      </w:r>
      <w:r w:rsidRPr="00AF2262">
        <w:rPr>
          <w:sz w:val="16"/>
          <w:szCs w:val="16"/>
          <w:lang w:val="es-CR"/>
        </w:rPr>
        <w:t>, Juez temporal de Ejecución, de 10 de septiembre de 2004</w:t>
      </w:r>
      <w:r>
        <w:rPr>
          <w:sz w:val="16"/>
          <w:szCs w:val="16"/>
          <w:lang w:val="es-CR"/>
        </w:rPr>
        <w:t xml:space="preserve"> (e</w:t>
      </w:r>
      <w:r w:rsidRPr="00AF2262">
        <w:rPr>
          <w:sz w:val="16"/>
          <w:szCs w:val="16"/>
          <w:lang w:val="es-CR"/>
        </w:rPr>
        <w:t>xpediente de prueba, f, 1236)</w:t>
      </w:r>
      <w:r>
        <w:rPr>
          <w:sz w:val="16"/>
          <w:szCs w:val="16"/>
          <w:lang w:val="es-CR"/>
        </w:rPr>
        <w:t>)</w:t>
      </w:r>
      <w:r w:rsidRPr="00AF2262">
        <w:rPr>
          <w:sz w:val="16"/>
          <w:szCs w:val="16"/>
          <w:lang w:val="es-CR"/>
        </w:rPr>
        <w:t xml:space="preserve">. </w:t>
      </w:r>
    </w:p>
    <w:p w14:paraId="7A840D41" w14:textId="77777777" w:rsidR="004224C0" w:rsidRPr="00AF2262" w:rsidRDefault="004224C0" w:rsidP="00B476ED">
      <w:pPr>
        <w:pStyle w:val="Textonotapie"/>
        <w:ind w:right="-943"/>
        <w:rPr>
          <w:sz w:val="16"/>
          <w:szCs w:val="16"/>
          <w:lang w:val="es-CR"/>
        </w:rPr>
      </w:pPr>
    </w:p>
  </w:footnote>
  <w:footnote w:id="25">
    <w:p w14:paraId="36FD6356" w14:textId="5745430D"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sidRPr="00AF2262">
        <w:rPr>
          <w:sz w:val="16"/>
          <w:szCs w:val="16"/>
          <w:lang w:val="es-MX"/>
        </w:rPr>
        <w:t>Respecto a la sobrepoblación señalada, es denotativa de</w:t>
      </w:r>
      <w:r w:rsidR="007152EF">
        <w:rPr>
          <w:sz w:val="16"/>
          <w:szCs w:val="16"/>
          <w:lang w:val="es-MX"/>
        </w:rPr>
        <w:t xml:space="preserve"> </w:t>
      </w:r>
      <w:r w:rsidRPr="00AF2262">
        <w:rPr>
          <w:sz w:val="16"/>
          <w:szCs w:val="16"/>
          <w:lang w:val="es-MX"/>
        </w:rPr>
        <w:t>l</w:t>
      </w:r>
      <w:r w:rsidR="007152EF">
        <w:rPr>
          <w:sz w:val="16"/>
          <w:szCs w:val="16"/>
          <w:lang w:val="es-MX"/>
        </w:rPr>
        <w:t>a</w:t>
      </w:r>
      <w:r w:rsidRPr="00AF2262">
        <w:rPr>
          <w:sz w:val="16"/>
          <w:szCs w:val="16"/>
          <w:lang w:val="es-MX"/>
        </w:rPr>
        <w:t xml:space="preserve"> misma la situación de celda de los jóvenes que murieron en el incendio al momento de ese hecho: albergaba siete personas, dos de las cuales fueron liberadas poco antes de ese suceso</w:t>
      </w:r>
      <w:r>
        <w:rPr>
          <w:sz w:val="16"/>
          <w:szCs w:val="16"/>
          <w:lang w:val="es-MX"/>
        </w:rPr>
        <w:t xml:space="preserve"> (</w:t>
      </w:r>
      <w:r>
        <w:rPr>
          <w:i/>
          <w:sz w:val="16"/>
          <w:szCs w:val="16"/>
          <w:lang w:val="es-MX"/>
        </w:rPr>
        <w:t xml:space="preserve">infra </w:t>
      </w:r>
      <w:proofErr w:type="spellStart"/>
      <w:r>
        <w:rPr>
          <w:sz w:val="16"/>
          <w:szCs w:val="16"/>
          <w:lang w:val="es-MX"/>
        </w:rPr>
        <w:t>párrs</w:t>
      </w:r>
      <w:proofErr w:type="spellEnd"/>
      <w:r>
        <w:rPr>
          <w:sz w:val="16"/>
          <w:szCs w:val="16"/>
          <w:lang w:val="es-MX"/>
        </w:rPr>
        <w:t xml:space="preserve"> 44 y 49), pero tenía solo cuatro camas</w:t>
      </w:r>
      <w:r w:rsidRPr="00AF2262">
        <w:rPr>
          <w:sz w:val="16"/>
          <w:szCs w:val="16"/>
          <w:lang w:val="es-MX"/>
        </w:rPr>
        <w:t xml:space="preserve"> (</w:t>
      </w:r>
      <w:r w:rsidRPr="00AF2262">
        <w:rPr>
          <w:i/>
          <w:sz w:val="16"/>
          <w:szCs w:val="16"/>
          <w:lang w:val="es-MX"/>
        </w:rPr>
        <w:t>cfr.</w:t>
      </w:r>
      <w:r w:rsidRPr="00AF2262">
        <w:rPr>
          <w:strike/>
          <w:sz w:val="16"/>
          <w:szCs w:val="16"/>
          <w:lang w:val="es-MX"/>
        </w:rPr>
        <w:t xml:space="preserve"> </w:t>
      </w:r>
      <w:r w:rsidRPr="00AF2262">
        <w:rPr>
          <w:sz w:val="16"/>
          <w:szCs w:val="16"/>
          <w:lang w:val="es-CR"/>
        </w:rPr>
        <w:t xml:space="preserve">Informe del Laboratorio Criminalístico Toxicológico </w:t>
      </w:r>
      <w:r>
        <w:rPr>
          <w:sz w:val="16"/>
          <w:szCs w:val="16"/>
          <w:lang w:val="es-CR"/>
        </w:rPr>
        <w:t xml:space="preserve">de la Delegación Estatal Bolívar </w:t>
      </w:r>
      <w:r w:rsidRPr="00AF2262">
        <w:rPr>
          <w:sz w:val="16"/>
          <w:szCs w:val="16"/>
          <w:lang w:val="es-CR"/>
        </w:rPr>
        <w:t>de 1 de julio de 2005</w:t>
      </w:r>
      <w:r>
        <w:rPr>
          <w:sz w:val="16"/>
          <w:szCs w:val="16"/>
          <w:lang w:val="es-CR"/>
        </w:rPr>
        <w:t>, relacionado con el expediente H-043.797 (expediente de prueba, fs. 1261 y 1262))</w:t>
      </w:r>
      <w:r w:rsidRPr="00AF2262">
        <w:rPr>
          <w:sz w:val="16"/>
          <w:szCs w:val="16"/>
          <w:lang w:val="es-CR"/>
        </w:rPr>
        <w:t>.</w:t>
      </w:r>
    </w:p>
    <w:p w14:paraId="31D8A34C" w14:textId="77777777" w:rsidR="004224C0" w:rsidRPr="00AF2262" w:rsidRDefault="004224C0" w:rsidP="00B476ED">
      <w:pPr>
        <w:pStyle w:val="Textonotapie"/>
        <w:ind w:right="-943"/>
        <w:rPr>
          <w:sz w:val="16"/>
          <w:szCs w:val="16"/>
          <w:lang w:val="es-CR"/>
        </w:rPr>
      </w:pPr>
    </w:p>
  </w:footnote>
  <w:footnote w:id="26">
    <w:p w14:paraId="5EFD7845" w14:textId="77777777" w:rsidR="004224C0" w:rsidRDefault="004224C0" w:rsidP="00B476ED">
      <w:pPr>
        <w:pStyle w:val="Textonotapie"/>
        <w:ind w:right="-943"/>
        <w:rPr>
          <w:sz w:val="16"/>
          <w:szCs w:val="16"/>
          <w:lang w:val="es-CR"/>
        </w:rPr>
      </w:pPr>
      <w:r w:rsidRPr="00B03A88">
        <w:rPr>
          <w:rStyle w:val="Refdenotaalpie"/>
          <w:sz w:val="16"/>
          <w:szCs w:val="16"/>
        </w:rPr>
        <w:footnoteRef/>
      </w:r>
      <w:r w:rsidRPr="00B03A88">
        <w:rPr>
          <w:sz w:val="16"/>
          <w:szCs w:val="16"/>
          <w:lang w:val="es-CR"/>
        </w:rPr>
        <w:t xml:space="preserve"> </w:t>
      </w:r>
      <w:r w:rsidRPr="00B03A88">
        <w:rPr>
          <w:sz w:val="16"/>
          <w:szCs w:val="16"/>
          <w:lang w:val="es-CR"/>
        </w:rPr>
        <w:tab/>
      </w:r>
      <w:r w:rsidRPr="003A5C19">
        <w:rPr>
          <w:sz w:val="16"/>
          <w:szCs w:val="16"/>
          <w:lang w:val="es-CR"/>
        </w:rPr>
        <w:t xml:space="preserve">En cuanto a la denominación “guía” utilizada en relación con algunas personas que laboraban en el Centro, la misma surge de un listado de personal </w:t>
      </w:r>
      <w:proofErr w:type="gramStart"/>
      <w:r w:rsidRPr="003A5C19">
        <w:rPr>
          <w:sz w:val="16"/>
          <w:szCs w:val="16"/>
          <w:lang w:val="es-CR"/>
        </w:rPr>
        <w:t>del mismo</w:t>
      </w:r>
      <w:proofErr w:type="gramEnd"/>
      <w:r w:rsidRPr="003A5C19">
        <w:rPr>
          <w:sz w:val="16"/>
          <w:szCs w:val="16"/>
          <w:lang w:val="es-CR"/>
        </w:rPr>
        <w:t xml:space="preserve"> (c</w:t>
      </w:r>
      <w:r w:rsidRPr="00672805">
        <w:rPr>
          <w:i/>
          <w:sz w:val="16"/>
          <w:szCs w:val="16"/>
          <w:lang w:val="es-CR"/>
        </w:rPr>
        <w:t>fr.</w:t>
      </w:r>
      <w:r w:rsidRPr="003A5C19">
        <w:rPr>
          <w:sz w:val="16"/>
          <w:szCs w:val="16"/>
          <w:lang w:val="es-CR"/>
        </w:rPr>
        <w:t xml:space="preserve"> </w:t>
      </w:r>
      <w:r w:rsidRPr="00AF2262">
        <w:rPr>
          <w:sz w:val="16"/>
          <w:szCs w:val="16"/>
          <w:lang w:val="es-CR"/>
        </w:rPr>
        <w:t xml:space="preserve">Listado del personal del INAM-San Félix que laboró el </w:t>
      </w:r>
      <w:r>
        <w:rPr>
          <w:sz w:val="16"/>
          <w:szCs w:val="16"/>
          <w:lang w:val="es-CR"/>
        </w:rPr>
        <w:t>30 de junio de 2005 (expediente de prueba, fs. 1361 y 1362)</w:t>
      </w:r>
      <w:r w:rsidRPr="00B03A88">
        <w:rPr>
          <w:sz w:val="16"/>
          <w:szCs w:val="16"/>
          <w:lang w:val="es-CR"/>
        </w:rPr>
        <w:t xml:space="preserve">). </w:t>
      </w:r>
    </w:p>
    <w:p w14:paraId="3CFBCADB" w14:textId="77777777" w:rsidR="004224C0" w:rsidRPr="00EE1F1A" w:rsidRDefault="004224C0" w:rsidP="00B476ED">
      <w:pPr>
        <w:pStyle w:val="Textonotapie"/>
        <w:ind w:right="-943"/>
        <w:rPr>
          <w:sz w:val="16"/>
          <w:szCs w:val="16"/>
          <w:lang w:val="es-CR"/>
        </w:rPr>
      </w:pPr>
    </w:p>
  </w:footnote>
  <w:footnote w:id="27">
    <w:p w14:paraId="22A1FA98" w14:textId="77777777" w:rsidR="004224C0" w:rsidRPr="00AF2262" w:rsidRDefault="004224C0" w:rsidP="00B476ED">
      <w:pPr>
        <w:pStyle w:val="Prrafodelista"/>
        <w:spacing w:line="240" w:lineRule="auto"/>
        <w:ind w:left="0" w:right="-943"/>
        <w:rPr>
          <w:sz w:val="16"/>
          <w:szCs w:val="16"/>
          <w:lang w:val="es-MX"/>
        </w:rPr>
      </w:pPr>
      <w:r w:rsidRPr="00B03A88">
        <w:rPr>
          <w:rStyle w:val="Refdenotaalpie"/>
          <w:sz w:val="16"/>
          <w:szCs w:val="16"/>
        </w:rPr>
        <w:footnoteRef/>
      </w:r>
      <w:r w:rsidRPr="00B03A88">
        <w:rPr>
          <w:sz w:val="16"/>
          <w:szCs w:val="16"/>
        </w:rPr>
        <w:t xml:space="preserve"> </w:t>
      </w:r>
      <w:r w:rsidRPr="00B03A88">
        <w:rPr>
          <w:sz w:val="16"/>
          <w:szCs w:val="16"/>
        </w:rPr>
        <w:tab/>
      </w:r>
      <w:r w:rsidRPr="00B03A88">
        <w:rPr>
          <w:sz w:val="16"/>
          <w:szCs w:val="16"/>
          <w:lang w:val="es-MX"/>
        </w:rPr>
        <w:t xml:space="preserve">Véase Acta de Entrevista de </w:t>
      </w:r>
      <w:r w:rsidRPr="0066366C">
        <w:rPr>
          <w:sz w:val="16"/>
          <w:szCs w:val="16"/>
          <w:lang w:val="es-MX"/>
        </w:rPr>
        <w:t>B</w:t>
      </w:r>
      <w:r>
        <w:rPr>
          <w:sz w:val="16"/>
          <w:szCs w:val="16"/>
          <w:lang w:val="es-MX"/>
        </w:rPr>
        <w:t>.</w:t>
      </w:r>
      <w:r w:rsidRPr="0066366C">
        <w:rPr>
          <w:sz w:val="16"/>
          <w:szCs w:val="16"/>
          <w:lang w:val="es-MX"/>
        </w:rPr>
        <w:t>H</w:t>
      </w:r>
      <w:r>
        <w:rPr>
          <w:sz w:val="16"/>
          <w:szCs w:val="16"/>
          <w:lang w:val="es-MX"/>
        </w:rPr>
        <w:t>.</w:t>
      </w:r>
      <w:r w:rsidRPr="0066366C">
        <w:rPr>
          <w:sz w:val="16"/>
          <w:szCs w:val="16"/>
          <w:lang w:val="es-MX"/>
        </w:rPr>
        <w:t xml:space="preserve"> de 8 de julio de 2005</w:t>
      </w:r>
      <w:r>
        <w:rPr>
          <w:sz w:val="16"/>
          <w:szCs w:val="16"/>
          <w:lang w:val="es-MX"/>
        </w:rPr>
        <w:t xml:space="preserve"> (expediente de prueba, fs. 1254 a 1256)</w:t>
      </w:r>
      <w:r w:rsidRPr="00EE1F1A">
        <w:rPr>
          <w:sz w:val="16"/>
          <w:szCs w:val="16"/>
          <w:lang w:val="es-MX"/>
        </w:rPr>
        <w:t xml:space="preserve">. En relación con lo dicho, consta que </w:t>
      </w:r>
      <w:r>
        <w:rPr>
          <w:sz w:val="16"/>
          <w:szCs w:val="16"/>
          <w:lang w:val="es-MX"/>
        </w:rPr>
        <w:t>por medio de una comunicación fechada el 12 de mayo de 2004</w:t>
      </w:r>
      <w:r w:rsidRPr="00EE1F1A">
        <w:rPr>
          <w:sz w:val="16"/>
          <w:szCs w:val="16"/>
          <w:lang w:val="es-MX"/>
        </w:rPr>
        <w:t xml:space="preserve">, el entonces </w:t>
      </w:r>
      <w:proofErr w:type="gramStart"/>
      <w:r>
        <w:rPr>
          <w:sz w:val="16"/>
          <w:szCs w:val="16"/>
          <w:lang w:val="es-MX"/>
        </w:rPr>
        <w:t>D</w:t>
      </w:r>
      <w:r w:rsidRPr="00EE1F1A">
        <w:rPr>
          <w:sz w:val="16"/>
          <w:szCs w:val="16"/>
          <w:lang w:val="es-MX"/>
        </w:rPr>
        <w:t>irector</w:t>
      </w:r>
      <w:proofErr w:type="gramEnd"/>
      <w:r w:rsidRPr="00AF2262">
        <w:rPr>
          <w:sz w:val="16"/>
          <w:szCs w:val="16"/>
          <w:lang w:val="es-MX"/>
        </w:rPr>
        <w:t xml:space="preserve"> del </w:t>
      </w:r>
      <w:r>
        <w:rPr>
          <w:sz w:val="16"/>
          <w:szCs w:val="16"/>
          <w:lang w:val="es-MX"/>
        </w:rPr>
        <w:t>C</w:t>
      </w:r>
      <w:r w:rsidRPr="00AF2262">
        <w:rPr>
          <w:sz w:val="16"/>
          <w:szCs w:val="16"/>
          <w:lang w:val="es-MX"/>
        </w:rPr>
        <w:t>entro</w:t>
      </w:r>
      <w:r>
        <w:rPr>
          <w:sz w:val="16"/>
          <w:szCs w:val="16"/>
          <w:lang w:val="es-MX"/>
        </w:rPr>
        <w:t xml:space="preserve">, solicitó la </w:t>
      </w:r>
      <w:r w:rsidRPr="00AF2262">
        <w:rPr>
          <w:sz w:val="16"/>
          <w:szCs w:val="16"/>
          <w:lang w:val="es-MX"/>
        </w:rPr>
        <w:t xml:space="preserve">asignación de </w:t>
      </w:r>
      <w:r>
        <w:rPr>
          <w:sz w:val="16"/>
          <w:szCs w:val="16"/>
          <w:lang w:val="es-MX"/>
        </w:rPr>
        <w:t>personal policial femenino</w:t>
      </w:r>
      <w:r w:rsidRPr="00AF2262">
        <w:rPr>
          <w:sz w:val="16"/>
          <w:szCs w:val="16"/>
          <w:lang w:val="es-MX"/>
        </w:rPr>
        <w:t xml:space="preserve"> para poder efectuar requisas</w:t>
      </w:r>
      <w:r>
        <w:rPr>
          <w:sz w:val="16"/>
          <w:szCs w:val="16"/>
          <w:lang w:val="es-MX"/>
        </w:rPr>
        <w:t xml:space="preserve"> a madres de internos que acuden en horas de visita</w:t>
      </w:r>
      <w:r w:rsidRPr="00AF2262">
        <w:rPr>
          <w:sz w:val="16"/>
          <w:szCs w:val="16"/>
          <w:lang w:val="es-MX"/>
        </w:rPr>
        <w:t xml:space="preserve"> (</w:t>
      </w:r>
      <w:r w:rsidRPr="00AF2262">
        <w:rPr>
          <w:i/>
          <w:sz w:val="16"/>
          <w:szCs w:val="16"/>
          <w:lang w:val="es-MX"/>
        </w:rPr>
        <w:t>cfr</w:t>
      </w:r>
      <w:r w:rsidRPr="00AF2262">
        <w:rPr>
          <w:sz w:val="16"/>
          <w:szCs w:val="16"/>
          <w:lang w:val="es-MX"/>
        </w:rPr>
        <w:t xml:space="preserve">. </w:t>
      </w:r>
      <w:r>
        <w:rPr>
          <w:sz w:val="16"/>
          <w:szCs w:val="16"/>
          <w:lang w:val="es-MX"/>
        </w:rPr>
        <w:t xml:space="preserve">Oficio 294-04, </w:t>
      </w:r>
      <w:r w:rsidRPr="00AF2262">
        <w:rPr>
          <w:sz w:val="16"/>
          <w:szCs w:val="16"/>
        </w:rPr>
        <w:t xml:space="preserve">de </w:t>
      </w:r>
      <w:r>
        <w:rPr>
          <w:sz w:val="16"/>
          <w:szCs w:val="16"/>
        </w:rPr>
        <w:t>J.A.</w:t>
      </w:r>
      <w:r w:rsidRPr="00AF2262">
        <w:rPr>
          <w:sz w:val="16"/>
          <w:szCs w:val="16"/>
        </w:rPr>
        <w:t xml:space="preserve">, </w:t>
      </w:r>
      <w:r>
        <w:rPr>
          <w:sz w:val="16"/>
          <w:szCs w:val="16"/>
        </w:rPr>
        <w:t>D</w:t>
      </w:r>
      <w:r w:rsidRPr="00AF2262">
        <w:rPr>
          <w:sz w:val="16"/>
          <w:szCs w:val="16"/>
        </w:rPr>
        <w:t>irector del INAM-San Félix</w:t>
      </w:r>
      <w:r>
        <w:rPr>
          <w:sz w:val="16"/>
          <w:szCs w:val="16"/>
        </w:rPr>
        <w:t>, dirigido</w:t>
      </w:r>
      <w:r w:rsidRPr="00AF2262">
        <w:rPr>
          <w:sz w:val="16"/>
          <w:szCs w:val="16"/>
        </w:rPr>
        <w:t xml:space="preserve"> a</w:t>
      </w:r>
      <w:r>
        <w:rPr>
          <w:sz w:val="16"/>
          <w:szCs w:val="16"/>
        </w:rPr>
        <w:t>l Comisario</w:t>
      </w:r>
      <w:r w:rsidRPr="00AF2262">
        <w:rPr>
          <w:sz w:val="16"/>
          <w:szCs w:val="16"/>
        </w:rPr>
        <w:t xml:space="preserve"> </w:t>
      </w:r>
      <w:r>
        <w:rPr>
          <w:sz w:val="16"/>
          <w:szCs w:val="16"/>
        </w:rPr>
        <w:t>H.B.</w:t>
      </w:r>
      <w:r w:rsidRPr="00AF2262">
        <w:rPr>
          <w:sz w:val="16"/>
          <w:szCs w:val="16"/>
        </w:rPr>
        <w:t xml:space="preserve">, </w:t>
      </w:r>
      <w:r>
        <w:rPr>
          <w:sz w:val="16"/>
          <w:szCs w:val="16"/>
        </w:rPr>
        <w:t xml:space="preserve">de </w:t>
      </w:r>
      <w:r w:rsidRPr="00AF2262">
        <w:rPr>
          <w:sz w:val="16"/>
          <w:szCs w:val="16"/>
        </w:rPr>
        <w:t>Inspectoría Genera</w:t>
      </w:r>
      <w:r>
        <w:rPr>
          <w:sz w:val="16"/>
          <w:szCs w:val="16"/>
        </w:rPr>
        <w:t>l,</w:t>
      </w:r>
      <w:r w:rsidRPr="00AF2262">
        <w:rPr>
          <w:sz w:val="16"/>
          <w:szCs w:val="16"/>
        </w:rPr>
        <w:t xml:space="preserve"> de 12 de mayo de 2004</w:t>
      </w:r>
      <w:r>
        <w:rPr>
          <w:sz w:val="16"/>
          <w:szCs w:val="16"/>
        </w:rPr>
        <w:t xml:space="preserve"> (expediente de prueba, f. 1264))</w:t>
      </w:r>
      <w:r w:rsidRPr="00AF2262">
        <w:rPr>
          <w:sz w:val="16"/>
          <w:szCs w:val="16"/>
          <w:lang w:val="es-MX"/>
        </w:rPr>
        <w:t xml:space="preserve">. </w:t>
      </w:r>
      <w:r>
        <w:rPr>
          <w:sz w:val="16"/>
          <w:szCs w:val="16"/>
          <w:lang w:val="es-MX"/>
        </w:rPr>
        <w:t xml:space="preserve">De acuerdo a una comunicación de 19 de agosto de 2005, el requerimiento, para esa fecha, continuaba pendiente de ser satisfecho </w:t>
      </w:r>
      <w:r w:rsidRPr="00AF2262">
        <w:rPr>
          <w:sz w:val="16"/>
          <w:szCs w:val="16"/>
          <w:lang w:val="es-MX"/>
        </w:rPr>
        <w:t>(</w:t>
      </w:r>
      <w:r w:rsidRPr="003C748A">
        <w:rPr>
          <w:i/>
          <w:sz w:val="16"/>
          <w:szCs w:val="16"/>
          <w:lang w:val="es-MX"/>
        </w:rPr>
        <w:t>cfr</w:t>
      </w:r>
      <w:r w:rsidRPr="00AF2262">
        <w:rPr>
          <w:sz w:val="16"/>
          <w:szCs w:val="16"/>
          <w:lang w:val="es-MX"/>
        </w:rPr>
        <w:t>. c</w:t>
      </w:r>
      <w:proofErr w:type="spellStart"/>
      <w:r w:rsidRPr="00AF2262">
        <w:rPr>
          <w:sz w:val="16"/>
          <w:szCs w:val="16"/>
        </w:rPr>
        <w:t>arta</w:t>
      </w:r>
      <w:proofErr w:type="spellEnd"/>
      <w:r w:rsidRPr="00AF2262">
        <w:rPr>
          <w:sz w:val="16"/>
          <w:szCs w:val="16"/>
        </w:rPr>
        <w:t xml:space="preserve"> de </w:t>
      </w:r>
      <w:r>
        <w:rPr>
          <w:sz w:val="16"/>
          <w:szCs w:val="16"/>
        </w:rPr>
        <w:t>L.L.</w:t>
      </w:r>
      <w:r w:rsidRPr="00AF2262">
        <w:rPr>
          <w:sz w:val="16"/>
          <w:szCs w:val="16"/>
        </w:rPr>
        <w:t xml:space="preserve">, </w:t>
      </w:r>
      <w:proofErr w:type="gramStart"/>
      <w:r>
        <w:rPr>
          <w:sz w:val="16"/>
          <w:szCs w:val="16"/>
        </w:rPr>
        <w:t>C</w:t>
      </w:r>
      <w:r w:rsidRPr="00AF2262">
        <w:rPr>
          <w:sz w:val="16"/>
          <w:szCs w:val="16"/>
        </w:rPr>
        <w:t>omandante</w:t>
      </w:r>
      <w:proofErr w:type="gramEnd"/>
      <w:r w:rsidRPr="00AF2262">
        <w:rPr>
          <w:sz w:val="16"/>
          <w:szCs w:val="16"/>
        </w:rPr>
        <w:t xml:space="preserve"> de la Guardia Nacional a </w:t>
      </w:r>
      <w:r>
        <w:rPr>
          <w:sz w:val="16"/>
          <w:szCs w:val="16"/>
        </w:rPr>
        <w:t>F.R.</w:t>
      </w:r>
      <w:r w:rsidRPr="00AF2262">
        <w:rPr>
          <w:sz w:val="16"/>
          <w:szCs w:val="16"/>
        </w:rPr>
        <w:t xml:space="preserve">, </w:t>
      </w:r>
      <w:r>
        <w:rPr>
          <w:sz w:val="16"/>
          <w:szCs w:val="16"/>
        </w:rPr>
        <w:t>F</w:t>
      </w:r>
      <w:r w:rsidRPr="00AF2262">
        <w:rPr>
          <w:sz w:val="16"/>
          <w:szCs w:val="16"/>
        </w:rPr>
        <w:t>iscal</w:t>
      </w:r>
      <w:r>
        <w:rPr>
          <w:sz w:val="16"/>
          <w:szCs w:val="16"/>
        </w:rPr>
        <w:t xml:space="preserve"> 11 del Ministerio Público,</w:t>
      </w:r>
      <w:r w:rsidRPr="00AF2262">
        <w:rPr>
          <w:sz w:val="16"/>
          <w:szCs w:val="16"/>
        </w:rPr>
        <w:t xml:space="preserve"> de 19 de agosto de 2005</w:t>
      </w:r>
      <w:r>
        <w:rPr>
          <w:sz w:val="16"/>
          <w:szCs w:val="16"/>
        </w:rPr>
        <w:t xml:space="preserve"> (expediente de prueba, fs. 1266 a 1268))</w:t>
      </w:r>
      <w:r w:rsidRPr="00AF2262">
        <w:rPr>
          <w:sz w:val="16"/>
          <w:szCs w:val="16"/>
        </w:rPr>
        <w:t>.</w:t>
      </w:r>
      <w:r w:rsidRPr="00AF2262">
        <w:rPr>
          <w:sz w:val="16"/>
          <w:szCs w:val="16"/>
          <w:lang w:val="es-MX"/>
        </w:rPr>
        <w:t xml:space="preserve"> </w:t>
      </w:r>
    </w:p>
    <w:p w14:paraId="3B175430" w14:textId="77777777" w:rsidR="004224C0" w:rsidRPr="00AF2262" w:rsidRDefault="004224C0" w:rsidP="00B476ED">
      <w:pPr>
        <w:pStyle w:val="Textonotapie"/>
        <w:ind w:right="-943"/>
        <w:rPr>
          <w:sz w:val="16"/>
          <w:szCs w:val="16"/>
          <w:lang w:val="es-CR"/>
        </w:rPr>
      </w:pPr>
    </w:p>
  </w:footnote>
  <w:footnote w:id="28">
    <w:p w14:paraId="09058D68" w14:textId="221EE976" w:rsidR="004224C0" w:rsidRPr="00AF2262" w:rsidRDefault="004224C0" w:rsidP="00B476ED">
      <w:pPr>
        <w:pStyle w:val="Textonotapie"/>
        <w:ind w:right="-943"/>
        <w:rPr>
          <w:sz w:val="16"/>
          <w:szCs w:val="16"/>
          <w:lang w:val="es-MX"/>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Pr>
          <w:sz w:val="16"/>
          <w:szCs w:val="16"/>
          <w:lang w:val="es-CR"/>
        </w:rPr>
        <w:t xml:space="preserve">Cuerpo de Investigaciones Científicas, Penales y Criminalísticas </w:t>
      </w:r>
      <w:r>
        <w:rPr>
          <w:sz w:val="16"/>
          <w:szCs w:val="16"/>
          <w:lang w:val="es-MX"/>
        </w:rPr>
        <w:t>(</w:t>
      </w:r>
      <w:r w:rsidRPr="00AF2262">
        <w:rPr>
          <w:sz w:val="16"/>
          <w:szCs w:val="16"/>
          <w:lang w:val="es-MX"/>
        </w:rPr>
        <w:t>CICPC</w:t>
      </w:r>
      <w:r>
        <w:rPr>
          <w:sz w:val="16"/>
          <w:szCs w:val="16"/>
          <w:lang w:val="es-MX"/>
        </w:rPr>
        <w:t>). División de Siniestros. Informe técnico</w:t>
      </w:r>
      <w:r w:rsidRPr="00AF2262">
        <w:rPr>
          <w:sz w:val="16"/>
          <w:szCs w:val="16"/>
          <w:lang w:val="es-MX"/>
        </w:rPr>
        <w:t xml:space="preserve"> </w:t>
      </w:r>
      <w:r>
        <w:rPr>
          <w:sz w:val="16"/>
          <w:szCs w:val="16"/>
          <w:lang w:val="es-MX"/>
        </w:rPr>
        <w:t xml:space="preserve">No. 9700-038-293, </w:t>
      </w:r>
      <w:r w:rsidRPr="00AF2262">
        <w:rPr>
          <w:sz w:val="16"/>
          <w:szCs w:val="16"/>
          <w:lang w:val="es-MX"/>
        </w:rPr>
        <w:t>de 31 de agosto de 200</w:t>
      </w:r>
      <w:r>
        <w:rPr>
          <w:sz w:val="16"/>
          <w:szCs w:val="16"/>
          <w:lang w:val="es-MX"/>
        </w:rPr>
        <w:t>5 (expediente de prueba, fs</w:t>
      </w:r>
      <w:r w:rsidRPr="00AF2262">
        <w:rPr>
          <w:sz w:val="16"/>
          <w:szCs w:val="16"/>
          <w:lang w:val="es-MX"/>
        </w:rPr>
        <w:t>.</w:t>
      </w:r>
      <w:r>
        <w:rPr>
          <w:sz w:val="16"/>
          <w:szCs w:val="16"/>
          <w:lang w:val="es-MX"/>
        </w:rPr>
        <w:t>1286 a 1304).</w:t>
      </w:r>
      <w:r w:rsidRPr="00AF2262">
        <w:rPr>
          <w:sz w:val="16"/>
          <w:szCs w:val="16"/>
          <w:lang w:val="es-MX"/>
        </w:rPr>
        <w:t xml:space="preserve"> </w:t>
      </w:r>
    </w:p>
  </w:footnote>
  <w:footnote w:id="29">
    <w:p w14:paraId="350E8BB3" w14:textId="77777777" w:rsidR="004224C0" w:rsidRPr="00AF2262" w:rsidRDefault="004224C0" w:rsidP="00B476ED">
      <w:pPr>
        <w:pStyle w:val="Textonotapie"/>
        <w:ind w:right="-943"/>
        <w:rPr>
          <w:sz w:val="16"/>
          <w:szCs w:val="16"/>
          <w:lang w:val="es-CR"/>
        </w:rPr>
      </w:pPr>
    </w:p>
    <w:p w14:paraId="0A121F5B"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sidRPr="003C748A">
        <w:rPr>
          <w:i/>
          <w:sz w:val="16"/>
          <w:szCs w:val="16"/>
          <w:lang w:val="es-CR"/>
        </w:rPr>
        <w:t>Cfr.</w:t>
      </w:r>
      <w:r>
        <w:rPr>
          <w:sz w:val="16"/>
          <w:szCs w:val="16"/>
          <w:lang w:val="es-CR"/>
        </w:rPr>
        <w:t xml:space="preserve"> </w:t>
      </w:r>
      <w:r w:rsidRPr="00AF2262">
        <w:rPr>
          <w:sz w:val="16"/>
          <w:szCs w:val="16"/>
          <w:lang w:val="es-CR"/>
        </w:rPr>
        <w:t xml:space="preserve">Acta de entrevista de </w:t>
      </w:r>
      <w:r>
        <w:rPr>
          <w:sz w:val="16"/>
          <w:szCs w:val="16"/>
          <w:lang w:val="es-CR"/>
        </w:rPr>
        <w:t>B.H</w:t>
      </w:r>
      <w:r w:rsidRPr="00AF2262">
        <w:rPr>
          <w:sz w:val="16"/>
          <w:szCs w:val="16"/>
          <w:lang w:val="es-CR"/>
        </w:rPr>
        <w:t xml:space="preserve"> de 8 de julio de 2005.</w:t>
      </w:r>
    </w:p>
    <w:p w14:paraId="7449AAEA" w14:textId="77777777" w:rsidR="004224C0" w:rsidRPr="00AF2262" w:rsidRDefault="004224C0" w:rsidP="00B476ED">
      <w:pPr>
        <w:pStyle w:val="Textonotapie"/>
        <w:ind w:right="-943"/>
        <w:rPr>
          <w:sz w:val="16"/>
          <w:szCs w:val="16"/>
          <w:lang w:val="es-CR"/>
        </w:rPr>
      </w:pPr>
    </w:p>
  </w:footnote>
  <w:footnote w:id="30">
    <w:p w14:paraId="492ED070" w14:textId="048399C1" w:rsidR="004224C0" w:rsidRPr="00AF2262" w:rsidRDefault="004224C0" w:rsidP="00B476ED">
      <w:pPr>
        <w:pStyle w:val="Textonotapie"/>
        <w:ind w:right="-943"/>
        <w:rPr>
          <w:sz w:val="16"/>
          <w:szCs w:val="16"/>
          <w:lang w:val="es-MX"/>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sidRPr="003C748A">
        <w:rPr>
          <w:i/>
          <w:sz w:val="16"/>
          <w:szCs w:val="16"/>
          <w:lang w:val="es-CR"/>
        </w:rPr>
        <w:t>Cfr.</w:t>
      </w:r>
      <w:r>
        <w:rPr>
          <w:sz w:val="16"/>
          <w:szCs w:val="16"/>
          <w:lang w:val="es-CR"/>
        </w:rPr>
        <w:t xml:space="preserve"> Cuerpo de Investigaciones Científicas, Penales y Criminalísticas </w:t>
      </w:r>
      <w:r>
        <w:rPr>
          <w:sz w:val="16"/>
          <w:szCs w:val="16"/>
          <w:lang w:val="es-MX"/>
        </w:rPr>
        <w:t>(</w:t>
      </w:r>
      <w:r w:rsidRPr="00AF2262">
        <w:rPr>
          <w:sz w:val="16"/>
          <w:szCs w:val="16"/>
          <w:lang w:val="es-MX"/>
        </w:rPr>
        <w:t>CICPC</w:t>
      </w:r>
      <w:r>
        <w:rPr>
          <w:sz w:val="16"/>
          <w:szCs w:val="16"/>
          <w:lang w:val="es-MX"/>
        </w:rPr>
        <w:t>). División de Siniestros. Informe técnico</w:t>
      </w:r>
      <w:r w:rsidRPr="00AF2262">
        <w:rPr>
          <w:sz w:val="16"/>
          <w:szCs w:val="16"/>
          <w:lang w:val="es-MX"/>
        </w:rPr>
        <w:t xml:space="preserve"> </w:t>
      </w:r>
      <w:r>
        <w:rPr>
          <w:sz w:val="16"/>
          <w:szCs w:val="16"/>
          <w:lang w:val="es-MX"/>
        </w:rPr>
        <w:t xml:space="preserve">No. 9700-038-293, </w:t>
      </w:r>
      <w:r w:rsidRPr="00AF2262">
        <w:rPr>
          <w:sz w:val="16"/>
          <w:szCs w:val="16"/>
          <w:lang w:val="es-MX"/>
        </w:rPr>
        <w:t>de 31 de agosto de 200</w:t>
      </w:r>
      <w:r>
        <w:rPr>
          <w:sz w:val="16"/>
          <w:szCs w:val="16"/>
          <w:lang w:val="es-MX"/>
        </w:rPr>
        <w:t>5</w:t>
      </w:r>
      <w:r w:rsidRPr="00AF2262">
        <w:rPr>
          <w:sz w:val="16"/>
          <w:szCs w:val="16"/>
          <w:lang w:val="es-MX"/>
        </w:rPr>
        <w:t xml:space="preserve">. </w:t>
      </w:r>
    </w:p>
  </w:footnote>
  <w:footnote w:id="31">
    <w:p w14:paraId="23FF353A" w14:textId="77777777" w:rsidR="004224C0" w:rsidRPr="00AF2262" w:rsidRDefault="004224C0" w:rsidP="00B476ED">
      <w:pPr>
        <w:pStyle w:val="Textonotapie"/>
        <w:ind w:right="-943"/>
        <w:rPr>
          <w:sz w:val="16"/>
          <w:szCs w:val="16"/>
          <w:lang w:val="es-CR"/>
        </w:rPr>
      </w:pPr>
    </w:p>
    <w:p w14:paraId="10A9B210"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Pr>
          <w:sz w:val="16"/>
          <w:szCs w:val="16"/>
          <w:lang w:val="es-CR"/>
        </w:rPr>
        <w:t xml:space="preserve">Boletín de prensa </w:t>
      </w:r>
      <w:r w:rsidRPr="00AF2262">
        <w:rPr>
          <w:sz w:val="16"/>
          <w:szCs w:val="16"/>
          <w:lang w:val="es-CR"/>
        </w:rPr>
        <w:t>de la Asamblea Nacional</w:t>
      </w:r>
      <w:r>
        <w:rPr>
          <w:sz w:val="16"/>
          <w:szCs w:val="16"/>
          <w:lang w:val="es-CR"/>
        </w:rPr>
        <w:t xml:space="preserve"> de 17 de febrero de 2004, titulado</w:t>
      </w:r>
      <w:r w:rsidRPr="00AF2262">
        <w:rPr>
          <w:sz w:val="16"/>
          <w:szCs w:val="16"/>
          <w:lang w:val="es-CR"/>
        </w:rPr>
        <w:t xml:space="preserve"> “Informó </w:t>
      </w:r>
      <w:r>
        <w:rPr>
          <w:sz w:val="16"/>
          <w:szCs w:val="16"/>
          <w:lang w:val="es-CR"/>
        </w:rPr>
        <w:t>[P]</w:t>
      </w:r>
      <w:proofErr w:type="spellStart"/>
      <w:r w:rsidRPr="00AF2262">
        <w:rPr>
          <w:sz w:val="16"/>
          <w:szCs w:val="16"/>
          <w:lang w:val="es-CR"/>
        </w:rPr>
        <w:t>residenta</w:t>
      </w:r>
      <w:proofErr w:type="spellEnd"/>
      <w:r w:rsidRPr="00AF2262">
        <w:rPr>
          <w:sz w:val="16"/>
          <w:szCs w:val="16"/>
          <w:lang w:val="es-CR"/>
        </w:rPr>
        <w:t xml:space="preserve"> de la institución</w:t>
      </w:r>
      <w:r>
        <w:rPr>
          <w:sz w:val="16"/>
          <w:szCs w:val="16"/>
          <w:lang w:val="es-CR"/>
        </w:rPr>
        <w:t>.</w:t>
      </w:r>
      <w:r w:rsidRPr="00AF2262">
        <w:rPr>
          <w:sz w:val="16"/>
          <w:szCs w:val="16"/>
          <w:lang w:val="es-CR"/>
        </w:rPr>
        <w:t xml:space="preserve"> Jóvenes del INAM-San Félix se quemaron ellos mismos”</w:t>
      </w:r>
      <w:r>
        <w:rPr>
          <w:sz w:val="16"/>
          <w:szCs w:val="16"/>
          <w:lang w:val="es-CR"/>
        </w:rPr>
        <w:t xml:space="preserve"> (expediente de prueba, fs. 1310 a 1312)</w:t>
      </w:r>
      <w:r w:rsidRPr="00AF2262">
        <w:rPr>
          <w:sz w:val="16"/>
          <w:szCs w:val="16"/>
          <w:lang w:val="es-CR"/>
        </w:rPr>
        <w:t xml:space="preserve">.  </w:t>
      </w:r>
    </w:p>
    <w:p w14:paraId="5920C7EF" w14:textId="77777777" w:rsidR="004224C0" w:rsidRPr="00AF2262" w:rsidRDefault="004224C0" w:rsidP="00B476ED">
      <w:pPr>
        <w:pStyle w:val="Textonotapie"/>
        <w:ind w:right="-943"/>
        <w:rPr>
          <w:sz w:val="16"/>
          <w:szCs w:val="16"/>
          <w:lang w:val="es-CR"/>
        </w:rPr>
      </w:pPr>
    </w:p>
  </w:footnote>
  <w:footnote w:id="32">
    <w:p w14:paraId="59A2F789"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Informe del Consejo Nacional de Derechos del Niño y del Adolescente de ju</w:t>
      </w:r>
      <w:r>
        <w:rPr>
          <w:sz w:val="16"/>
          <w:szCs w:val="16"/>
          <w:lang w:val="es-CR"/>
        </w:rPr>
        <w:t>l</w:t>
      </w:r>
      <w:r w:rsidRPr="00AF2262">
        <w:rPr>
          <w:sz w:val="16"/>
          <w:szCs w:val="16"/>
          <w:lang w:val="es-CR"/>
        </w:rPr>
        <w:t>io de 2005</w:t>
      </w:r>
      <w:r>
        <w:rPr>
          <w:sz w:val="16"/>
          <w:szCs w:val="16"/>
          <w:lang w:val="es-CR"/>
        </w:rPr>
        <w:t xml:space="preserve"> (expediente de prueba, fs. 1270 a 1284)</w:t>
      </w:r>
      <w:r w:rsidRPr="00AF2262">
        <w:rPr>
          <w:sz w:val="16"/>
          <w:szCs w:val="16"/>
          <w:lang w:val="es-CR"/>
        </w:rPr>
        <w:t xml:space="preserve">. </w:t>
      </w:r>
    </w:p>
    <w:p w14:paraId="5BFF2932" w14:textId="77777777" w:rsidR="004224C0" w:rsidRPr="00AF2262" w:rsidRDefault="004224C0" w:rsidP="00B476ED">
      <w:pPr>
        <w:pStyle w:val="Textonotapie"/>
        <w:ind w:right="-943"/>
        <w:rPr>
          <w:sz w:val="16"/>
          <w:szCs w:val="16"/>
          <w:lang w:val="es-CR"/>
        </w:rPr>
      </w:pPr>
    </w:p>
  </w:footnote>
  <w:footnote w:id="33">
    <w:p w14:paraId="66DC489D" w14:textId="77777777" w:rsidR="004224C0" w:rsidRPr="00AF2262" w:rsidRDefault="004224C0" w:rsidP="00B476ED">
      <w:pPr>
        <w:autoSpaceDE w:val="0"/>
        <w:autoSpaceDN w:val="0"/>
        <w:spacing w:line="240" w:lineRule="auto"/>
        <w:ind w:right="-943"/>
        <w:rPr>
          <w:sz w:val="16"/>
          <w:szCs w:val="16"/>
        </w:rPr>
      </w:pPr>
      <w:r w:rsidRPr="00AF2262">
        <w:rPr>
          <w:rStyle w:val="Refdenotaalpie"/>
          <w:sz w:val="16"/>
          <w:szCs w:val="16"/>
        </w:rPr>
        <w:footnoteRef/>
      </w:r>
      <w:r w:rsidRPr="00AF2262">
        <w:rPr>
          <w:sz w:val="16"/>
          <w:szCs w:val="16"/>
        </w:rPr>
        <w:t xml:space="preserve"> </w:t>
      </w:r>
      <w:r w:rsidRPr="00AF2262">
        <w:rPr>
          <w:sz w:val="16"/>
          <w:szCs w:val="16"/>
        </w:rPr>
        <w:tab/>
      </w:r>
      <w:r w:rsidRPr="00AF2262">
        <w:rPr>
          <w:i/>
          <w:sz w:val="16"/>
          <w:szCs w:val="16"/>
        </w:rPr>
        <w:t>Cfr.</w:t>
      </w:r>
      <w:r w:rsidRPr="00AF2262">
        <w:rPr>
          <w:sz w:val="16"/>
          <w:szCs w:val="16"/>
        </w:rPr>
        <w:t xml:space="preserve"> Acta de entrevista de</w:t>
      </w:r>
      <w:r>
        <w:rPr>
          <w:sz w:val="16"/>
          <w:szCs w:val="16"/>
        </w:rPr>
        <w:t>l interno</w:t>
      </w:r>
      <w:r w:rsidRPr="00AF2262">
        <w:rPr>
          <w:sz w:val="16"/>
          <w:szCs w:val="16"/>
        </w:rPr>
        <w:t xml:space="preserve"> C</w:t>
      </w:r>
      <w:r>
        <w:rPr>
          <w:sz w:val="16"/>
          <w:szCs w:val="16"/>
        </w:rPr>
        <w:t>.</w:t>
      </w:r>
      <w:r w:rsidRPr="00AF2262">
        <w:rPr>
          <w:sz w:val="16"/>
          <w:szCs w:val="16"/>
        </w:rPr>
        <w:t>M</w:t>
      </w:r>
      <w:r>
        <w:rPr>
          <w:sz w:val="16"/>
          <w:szCs w:val="16"/>
        </w:rPr>
        <w:t>.</w:t>
      </w:r>
      <w:r w:rsidRPr="00AF2262">
        <w:rPr>
          <w:sz w:val="16"/>
          <w:szCs w:val="16"/>
        </w:rPr>
        <w:t xml:space="preserve"> </w:t>
      </w:r>
      <w:r>
        <w:rPr>
          <w:sz w:val="16"/>
          <w:szCs w:val="16"/>
        </w:rPr>
        <w:t xml:space="preserve">de </w:t>
      </w:r>
      <w:r w:rsidRPr="00AF2262">
        <w:rPr>
          <w:sz w:val="16"/>
          <w:szCs w:val="16"/>
        </w:rPr>
        <w:t>3 de agosto de 2005</w:t>
      </w:r>
      <w:r>
        <w:rPr>
          <w:sz w:val="16"/>
          <w:szCs w:val="16"/>
        </w:rPr>
        <w:t xml:space="preserve"> (expediente de prueba, fs. 1569 a 1572); Acta de c</w:t>
      </w:r>
      <w:r w:rsidRPr="00AF2262">
        <w:rPr>
          <w:sz w:val="16"/>
          <w:szCs w:val="16"/>
        </w:rPr>
        <w:t>omparecencia de</w:t>
      </w:r>
      <w:r>
        <w:rPr>
          <w:sz w:val="16"/>
          <w:szCs w:val="16"/>
        </w:rPr>
        <w:t xml:space="preserve"> la Jueza de Primera Instancia en funciones de Ejecución</w:t>
      </w:r>
      <w:r w:rsidRPr="00AF2262">
        <w:rPr>
          <w:sz w:val="16"/>
          <w:szCs w:val="16"/>
        </w:rPr>
        <w:t xml:space="preserve"> Y</w:t>
      </w:r>
      <w:r>
        <w:rPr>
          <w:sz w:val="16"/>
          <w:szCs w:val="16"/>
        </w:rPr>
        <w:t>.</w:t>
      </w:r>
      <w:r w:rsidRPr="00AF2262">
        <w:rPr>
          <w:sz w:val="16"/>
          <w:szCs w:val="16"/>
        </w:rPr>
        <w:t>V</w:t>
      </w:r>
      <w:r>
        <w:rPr>
          <w:sz w:val="16"/>
          <w:szCs w:val="16"/>
        </w:rPr>
        <w:t xml:space="preserve">. </w:t>
      </w:r>
      <w:r w:rsidRPr="003C748A">
        <w:rPr>
          <w:sz w:val="16"/>
          <w:szCs w:val="16"/>
        </w:rPr>
        <w:t>d</w:t>
      </w:r>
      <w:r>
        <w:rPr>
          <w:sz w:val="16"/>
          <w:szCs w:val="16"/>
        </w:rPr>
        <w:t>e 31 de agosto de 2005 (expediente de prueba, fs. 1564 a 1567)</w:t>
      </w:r>
      <w:r w:rsidRPr="00AF2262">
        <w:rPr>
          <w:sz w:val="16"/>
          <w:szCs w:val="16"/>
        </w:rPr>
        <w:t xml:space="preserve">, y </w:t>
      </w:r>
      <w:r>
        <w:rPr>
          <w:sz w:val="16"/>
          <w:szCs w:val="16"/>
        </w:rPr>
        <w:t xml:space="preserve">Nota DP/DDEBA-0562-05 </w:t>
      </w:r>
      <w:r w:rsidRPr="00AF2262">
        <w:rPr>
          <w:sz w:val="16"/>
          <w:szCs w:val="16"/>
        </w:rPr>
        <w:t>de</w:t>
      </w:r>
      <w:r>
        <w:rPr>
          <w:sz w:val="16"/>
          <w:szCs w:val="16"/>
        </w:rPr>
        <w:t xml:space="preserve"> la Defensora Delegada de la Defensoría del Pueblo </w:t>
      </w:r>
      <w:r w:rsidRPr="00AF2262">
        <w:rPr>
          <w:sz w:val="16"/>
          <w:szCs w:val="16"/>
        </w:rPr>
        <w:t>M</w:t>
      </w:r>
      <w:r>
        <w:rPr>
          <w:sz w:val="16"/>
          <w:szCs w:val="16"/>
        </w:rPr>
        <w:t>.</w:t>
      </w:r>
      <w:r w:rsidRPr="00AF2262">
        <w:rPr>
          <w:sz w:val="16"/>
          <w:szCs w:val="16"/>
        </w:rPr>
        <w:t>P</w:t>
      </w:r>
      <w:r>
        <w:rPr>
          <w:sz w:val="16"/>
          <w:szCs w:val="16"/>
        </w:rPr>
        <w:t>.</w:t>
      </w:r>
      <w:r w:rsidRPr="00AF2262">
        <w:rPr>
          <w:sz w:val="16"/>
          <w:szCs w:val="16"/>
        </w:rPr>
        <w:t xml:space="preserve"> a</w:t>
      </w:r>
      <w:r>
        <w:rPr>
          <w:sz w:val="16"/>
          <w:szCs w:val="16"/>
        </w:rPr>
        <w:t xml:space="preserve">l Fiscal </w:t>
      </w:r>
      <w:r w:rsidRPr="00AF2262">
        <w:rPr>
          <w:sz w:val="16"/>
          <w:szCs w:val="16"/>
        </w:rPr>
        <w:t>V</w:t>
      </w:r>
      <w:r>
        <w:rPr>
          <w:sz w:val="16"/>
          <w:szCs w:val="16"/>
        </w:rPr>
        <w:t>.</w:t>
      </w:r>
      <w:r w:rsidRPr="00AF2262">
        <w:rPr>
          <w:sz w:val="16"/>
          <w:szCs w:val="16"/>
        </w:rPr>
        <w:t>S</w:t>
      </w:r>
      <w:r>
        <w:rPr>
          <w:sz w:val="16"/>
          <w:szCs w:val="16"/>
        </w:rPr>
        <w:t>.</w:t>
      </w:r>
      <w:r w:rsidRPr="00AF2262">
        <w:rPr>
          <w:sz w:val="16"/>
          <w:szCs w:val="16"/>
        </w:rPr>
        <w:t xml:space="preserve">, </w:t>
      </w:r>
      <w:r>
        <w:rPr>
          <w:sz w:val="16"/>
          <w:szCs w:val="16"/>
        </w:rPr>
        <w:t xml:space="preserve">de 8 de julio de 2005 (expediente de prueba, fs.1573 a 1576). </w:t>
      </w:r>
    </w:p>
    <w:p w14:paraId="2BDAACFE" w14:textId="77777777" w:rsidR="004224C0" w:rsidRPr="00261AF6" w:rsidRDefault="004224C0" w:rsidP="00B476ED">
      <w:pPr>
        <w:pStyle w:val="Textonotapie"/>
        <w:ind w:right="-943"/>
        <w:rPr>
          <w:sz w:val="16"/>
          <w:szCs w:val="16"/>
          <w:lang w:val="es-CR"/>
        </w:rPr>
      </w:pPr>
    </w:p>
  </w:footnote>
  <w:footnote w:id="34">
    <w:p w14:paraId="7F2B4CB5" w14:textId="77777777" w:rsidR="004224C0" w:rsidRPr="00261AF6" w:rsidRDefault="004224C0" w:rsidP="00B476ED">
      <w:pPr>
        <w:widowControl/>
        <w:tabs>
          <w:tab w:val="left" w:pos="567"/>
          <w:tab w:val="num" w:pos="12305"/>
        </w:tabs>
        <w:autoSpaceDE w:val="0"/>
        <w:autoSpaceDN w:val="0"/>
        <w:adjustRightInd/>
        <w:spacing w:line="240" w:lineRule="auto"/>
        <w:ind w:right="-943"/>
        <w:textAlignment w:val="auto"/>
        <w:rPr>
          <w:sz w:val="16"/>
          <w:szCs w:val="16"/>
        </w:rPr>
      </w:pPr>
      <w:r w:rsidRPr="00261AF6">
        <w:rPr>
          <w:rStyle w:val="Refdenotaalpie"/>
          <w:sz w:val="16"/>
          <w:szCs w:val="16"/>
        </w:rPr>
        <w:footnoteRef/>
      </w:r>
      <w:r w:rsidRPr="00261AF6">
        <w:rPr>
          <w:sz w:val="16"/>
          <w:szCs w:val="16"/>
        </w:rPr>
        <w:t xml:space="preserve"> </w:t>
      </w:r>
      <w:r w:rsidRPr="00261AF6">
        <w:rPr>
          <w:sz w:val="16"/>
          <w:szCs w:val="16"/>
        </w:rPr>
        <w:tab/>
      </w:r>
      <w:r w:rsidRPr="00261AF6">
        <w:rPr>
          <w:sz w:val="16"/>
          <w:szCs w:val="16"/>
          <w:lang w:val="es-MX"/>
        </w:rPr>
        <w:t xml:space="preserve">Al respecto, es pertinente advertir que, de acuerdo con el artículo 641 de la </w:t>
      </w:r>
      <w:r w:rsidRPr="0000014D">
        <w:rPr>
          <w:rFonts w:eastAsiaTheme="minorHAnsi" w:cs="ArialMT"/>
          <w:sz w:val="16"/>
          <w:szCs w:val="16"/>
          <w:lang w:eastAsia="en-US"/>
        </w:rPr>
        <w:t>Ley Orgánica para la Protección del Niño y Adolescente (LOPNA)</w:t>
      </w:r>
      <w:r w:rsidRPr="00261AF6">
        <w:rPr>
          <w:sz w:val="16"/>
          <w:szCs w:val="16"/>
          <w:lang w:val="es-MX"/>
        </w:rPr>
        <w:t>: “Si el adolescente cumple años durante su internamiento, será trasladado a una institución de adultos, de los cuales estará siempre físicamente separado. Excepcionalmente, el juez podrá autorizar su permanencia en la institución de internamiento para adolescente, hasta los veintiún años, tomando en cuenta las recomendaciones del equipo técnico del establecimiento, así como el tipo de infracción cometida y las circunstancias del hecho y del autor”.</w:t>
      </w:r>
    </w:p>
    <w:p w14:paraId="3B2AC40D" w14:textId="77777777" w:rsidR="004224C0" w:rsidRPr="00261AF6" w:rsidRDefault="004224C0" w:rsidP="00B476ED">
      <w:pPr>
        <w:pStyle w:val="Textonotapie"/>
        <w:tabs>
          <w:tab w:val="left" w:pos="1390"/>
        </w:tabs>
        <w:ind w:right="-943"/>
        <w:rPr>
          <w:lang w:val="es-CR"/>
        </w:rPr>
      </w:pPr>
    </w:p>
  </w:footnote>
  <w:footnote w:id="35">
    <w:p w14:paraId="72AFE9C8" w14:textId="6BBCC29C"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Pr>
          <w:sz w:val="16"/>
          <w:szCs w:val="16"/>
          <w:lang w:val="es-CR"/>
        </w:rPr>
        <w:t xml:space="preserve">Boletín de prensa </w:t>
      </w:r>
      <w:r w:rsidRPr="00AF2262">
        <w:rPr>
          <w:sz w:val="16"/>
          <w:szCs w:val="16"/>
          <w:lang w:val="es-CR"/>
        </w:rPr>
        <w:t>de la Asamblea Nacional</w:t>
      </w:r>
      <w:r>
        <w:rPr>
          <w:sz w:val="16"/>
          <w:szCs w:val="16"/>
          <w:lang w:val="es-CR"/>
        </w:rPr>
        <w:t xml:space="preserve"> de 17 de febrero de 2004, titulado</w:t>
      </w:r>
      <w:r w:rsidRPr="00AF2262">
        <w:rPr>
          <w:sz w:val="16"/>
          <w:szCs w:val="16"/>
          <w:lang w:val="es-CR"/>
        </w:rPr>
        <w:t xml:space="preserve"> “Informó </w:t>
      </w:r>
      <w:r>
        <w:rPr>
          <w:sz w:val="16"/>
          <w:szCs w:val="16"/>
          <w:lang w:val="es-CR"/>
        </w:rPr>
        <w:t>[P]</w:t>
      </w:r>
      <w:proofErr w:type="spellStart"/>
      <w:r w:rsidRPr="00AF2262">
        <w:rPr>
          <w:sz w:val="16"/>
          <w:szCs w:val="16"/>
          <w:lang w:val="es-CR"/>
        </w:rPr>
        <w:t>residenta</w:t>
      </w:r>
      <w:proofErr w:type="spellEnd"/>
      <w:r w:rsidRPr="00AF2262">
        <w:rPr>
          <w:sz w:val="16"/>
          <w:szCs w:val="16"/>
          <w:lang w:val="es-CR"/>
        </w:rPr>
        <w:t xml:space="preserve"> de la institución</w:t>
      </w:r>
      <w:r>
        <w:rPr>
          <w:sz w:val="16"/>
          <w:szCs w:val="16"/>
          <w:lang w:val="es-CR"/>
        </w:rPr>
        <w:t>.</w:t>
      </w:r>
      <w:r w:rsidRPr="00AF2262">
        <w:rPr>
          <w:sz w:val="16"/>
          <w:szCs w:val="16"/>
          <w:lang w:val="es-CR"/>
        </w:rPr>
        <w:t xml:space="preserve"> Jóvenes del INAM-San Félix se quemaron ellos mismos”. </w:t>
      </w:r>
    </w:p>
    <w:p w14:paraId="61A88D4C" w14:textId="77777777" w:rsidR="004224C0" w:rsidRPr="00AF2262" w:rsidRDefault="004224C0" w:rsidP="00B476ED">
      <w:pPr>
        <w:pStyle w:val="Textonotapie"/>
        <w:ind w:right="-943"/>
        <w:rPr>
          <w:sz w:val="16"/>
          <w:szCs w:val="16"/>
          <w:lang w:val="es-CR"/>
        </w:rPr>
      </w:pPr>
    </w:p>
  </w:footnote>
  <w:footnote w:id="36">
    <w:p w14:paraId="1A418F54"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sidRPr="00AF2262">
        <w:rPr>
          <w:sz w:val="16"/>
          <w:szCs w:val="16"/>
        </w:rPr>
        <w:tab/>
      </w:r>
      <w:r w:rsidRPr="00AF2262">
        <w:rPr>
          <w:sz w:val="16"/>
          <w:szCs w:val="16"/>
          <w:lang w:val="es-CR"/>
        </w:rPr>
        <w:t>Acta de inspección del INAM-San Félix de 21 de abril de 2005</w:t>
      </w:r>
      <w:r>
        <w:rPr>
          <w:sz w:val="16"/>
          <w:szCs w:val="16"/>
          <w:lang w:val="es-CR"/>
        </w:rPr>
        <w:t xml:space="preserve"> (expediente de prueba, fs. 1240 a 1242)</w:t>
      </w:r>
      <w:r w:rsidRPr="00AF2262">
        <w:rPr>
          <w:sz w:val="16"/>
          <w:szCs w:val="16"/>
          <w:lang w:val="es-CR"/>
        </w:rPr>
        <w:t>.</w:t>
      </w:r>
    </w:p>
    <w:p w14:paraId="60244083" w14:textId="77777777" w:rsidR="004224C0" w:rsidRPr="00AF2262" w:rsidRDefault="004224C0" w:rsidP="00B476ED">
      <w:pPr>
        <w:pStyle w:val="Textonotapie"/>
        <w:ind w:right="-943"/>
        <w:rPr>
          <w:sz w:val="16"/>
          <w:szCs w:val="16"/>
          <w:lang w:val="es-CR"/>
        </w:rPr>
      </w:pPr>
    </w:p>
  </w:footnote>
  <w:footnote w:id="37">
    <w:p w14:paraId="69CBC7DD" w14:textId="51DBB6EE"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sidRPr="00261AF6">
        <w:rPr>
          <w:sz w:val="16"/>
          <w:szCs w:val="16"/>
          <w:lang w:val="es-MX"/>
        </w:rPr>
        <w:t xml:space="preserve">En este sentido, la Jueza </w:t>
      </w:r>
      <w:r>
        <w:rPr>
          <w:sz w:val="16"/>
          <w:szCs w:val="16"/>
          <w:lang w:val="es-MX"/>
        </w:rPr>
        <w:t>de Primera Instancia en funciones de Ejecución que tuvo intervenciones respecto a</w:t>
      </w:r>
      <w:r w:rsidRPr="00261AF6">
        <w:rPr>
          <w:sz w:val="16"/>
          <w:szCs w:val="16"/>
          <w:lang w:val="es-MX"/>
        </w:rPr>
        <w:t xml:space="preserve"> los jóvenes que murieron en el incendio indicó que tomaba en cuenta los criterios de la </w:t>
      </w:r>
      <w:r w:rsidRPr="0000014D">
        <w:rPr>
          <w:rFonts w:eastAsiaTheme="minorHAnsi" w:cs="ArialMT"/>
          <w:sz w:val="16"/>
          <w:szCs w:val="16"/>
          <w:lang w:eastAsia="en-US"/>
        </w:rPr>
        <w:t>Ley Orgánica para la Protección del Niño y Adolescente (LOPNA)</w:t>
      </w:r>
      <w:r w:rsidRPr="00261AF6">
        <w:rPr>
          <w:sz w:val="16"/>
          <w:szCs w:val="16"/>
          <w:lang w:val="es-MX"/>
        </w:rPr>
        <w:t>, una ausencia de informes negativos acerca de la conducta y el cumplimiento con el plan individual, concluyendo que, si los aspectos anteriores eran favorables, “era injusto ordenar el traslado a la cárcel en esas condiciones”</w:t>
      </w:r>
      <w:r>
        <w:rPr>
          <w:sz w:val="16"/>
          <w:szCs w:val="16"/>
          <w:lang w:val="es-MX"/>
        </w:rPr>
        <w:t xml:space="preserve"> (</w:t>
      </w:r>
      <w:r w:rsidRPr="00AF2262">
        <w:rPr>
          <w:sz w:val="16"/>
          <w:szCs w:val="16"/>
          <w:lang w:val="es-CR"/>
        </w:rPr>
        <w:t>Declaración de Y</w:t>
      </w:r>
      <w:r>
        <w:rPr>
          <w:sz w:val="16"/>
          <w:szCs w:val="16"/>
          <w:lang w:val="es-CR"/>
        </w:rPr>
        <w:t>.</w:t>
      </w:r>
      <w:r w:rsidRPr="00AF2262">
        <w:rPr>
          <w:sz w:val="16"/>
          <w:szCs w:val="16"/>
          <w:lang w:val="es-CR"/>
        </w:rPr>
        <w:t>B</w:t>
      </w:r>
      <w:r>
        <w:rPr>
          <w:sz w:val="16"/>
          <w:szCs w:val="16"/>
          <w:lang w:val="es-CR"/>
        </w:rPr>
        <w:t>.</w:t>
      </w:r>
      <w:r w:rsidRPr="00AF2262">
        <w:rPr>
          <w:sz w:val="16"/>
          <w:szCs w:val="16"/>
          <w:lang w:val="es-CR"/>
        </w:rPr>
        <w:t xml:space="preserve"> de 31 de agosto de 2005</w:t>
      </w:r>
      <w:r>
        <w:rPr>
          <w:sz w:val="16"/>
          <w:szCs w:val="16"/>
          <w:lang w:val="es-CR"/>
        </w:rPr>
        <w:t xml:space="preserve"> (expediente de prueba, fs. 1319 a 1322))</w:t>
      </w:r>
      <w:r w:rsidRPr="00AF2262">
        <w:rPr>
          <w:sz w:val="16"/>
          <w:szCs w:val="16"/>
          <w:lang w:val="es-CR"/>
        </w:rPr>
        <w:t>.</w:t>
      </w:r>
    </w:p>
    <w:p w14:paraId="49BF672A" w14:textId="77777777" w:rsidR="004224C0" w:rsidRPr="0049033D" w:rsidRDefault="004224C0" w:rsidP="0049033D">
      <w:pPr>
        <w:pStyle w:val="Textonotapie"/>
        <w:ind w:right="-943"/>
        <w:rPr>
          <w:sz w:val="16"/>
          <w:szCs w:val="16"/>
          <w:lang w:val="es-CR"/>
        </w:rPr>
      </w:pPr>
    </w:p>
  </w:footnote>
  <w:footnote w:id="38">
    <w:p w14:paraId="66134DB0" w14:textId="5C5F5F83" w:rsidR="00BD2ED8" w:rsidRPr="0049033D" w:rsidRDefault="00BD2ED8" w:rsidP="0049033D">
      <w:pPr>
        <w:pStyle w:val="Textonotapie"/>
        <w:ind w:right="-943"/>
        <w:rPr>
          <w:sz w:val="16"/>
          <w:szCs w:val="16"/>
          <w:lang w:val="es-CR"/>
        </w:rPr>
      </w:pPr>
      <w:r w:rsidRPr="0049033D">
        <w:rPr>
          <w:rStyle w:val="Refdenotaalpie"/>
          <w:sz w:val="16"/>
          <w:szCs w:val="16"/>
        </w:rPr>
        <w:footnoteRef/>
      </w:r>
      <w:r w:rsidRPr="0049033D">
        <w:rPr>
          <w:sz w:val="16"/>
          <w:szCs w:val="16"/>
        </w:rPr>
        <w:t xml:space="preserve"> </w:t>
      </w:r>
      <w:r w:rsidRPr="0049033D">
        <w:rPr>
          <w:sz w:val="16"/>
          <w:szCs w:val="16"/>
          <w:lang w:val="es-CR"/>
        </w:rPr>
        <w:t xml:space="preserve"> </w:t>
      </w:r>
      <w:r w:rsidRPr="0049033D">
        <w:rPr>
          <w:sz w:val="16"/>
          <w:szCs w:val="16"/>
          <w:lang w:val="es-CR"/>
        </w:rPr>
        <w:tab/>
        <w:t xml:space="preserve">La indicación de la cárcel de Vista Hermosa como “una de las más peligrosas de Venezuela” fue formulada, en forma literal, en el párrafo 29 del Informe de Fondo emitido por la Comisión, como parte de los aspectos fácticos del caso. </w:t>
      </w:r>
      <w:r w:rsidR="0049033D" w:rsidRPr="0049033D">
        <w:rPr>
          <w:sz w:val="16"/>
          <w:szCs w:val="16"/>
          <w:lang w:val="es-CR"/>
        </w:rPr>
        <w:t>Esto no ha sido controvertido y, c</w:t>
      </w:r>
      <w:r w:rsidRPr="0049033D">
        <w:rPr>
          <w:sz w:val="16"/>
          <w:szCs w:val="16"/>
          <w:lang w:val="es-CR"/>
        </w:rPr>
        <w:t>omo se ha indicado (</w:t>
      </w:r>
      <w:r w:rsidRPr="0049033D">
        <w:rPr>
          <w:i/>
          <w:sz w:val="16"/>
          <w:szCs w:val="16"/>
          <w:lang w:val="es-CR"/>
        </w:rPr>
        <w:t xml:space="preserve">supra </w:t>
      </w:r>
      <w:r w:rsidRPr="0049033D">
        <w:rPr>
          <w:sz w:val="16"/>
          <w:szCs w:val="16"/>
          <w:lang w:val="es-CR"/>
        </w:rPr>
        <w:t xml:space="preserve">párr. 19), Venezuela, </w:t>
      </w:r>
      <w:r w:rsidR="0049033D" w:rsidRPr="0049033D">
        <w:rPr>
          <w:sz w:val="16"/>
          <w:szCs w:val="16"/>
          <w:lang w:val="es-CR"/>
        </w:rPr>
        <w:t xml:space="preserve">ha reconocido las circunstancias fácticas enunciadas en el Informe de Fondo. </w:t>
      </w:r>
    </w:p>
    <w:p w14:paraId="51E01984" w14:textId="77777777" w:rsidR="0049033D" w:rsidRPr="00BD2ED8" w:rsidRDefault="0049033D">
      <w:pPr>
        <w:pStyle w:val="Textonotapie"/>
        <w:rPr>
          <w:lang w:val="es-CR"/>
        </w:rPr>
      </w:pPr>
    </w:p>
  </w:footnote>
  <w:footnote w:id="39">
    <w:p w14:paraId="4EE59617" w14:textId="7A51DA83"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Declaración de Y</w:t>
      </w:r>
      <w:r>
        <w:rPr>
          <w:sz w:val="16"/>
          <w:szCs w:val="16"/>
          <w:lang w:val="es-CR"/>
        </w:rPr>
        <w:t>.</w:t>
      </w:r>
      <w:r w:rsidRPr="00AF2262">
        <w:rPr>
          <w:sz w:val="16"/>
          <w:szCs w:val="16"/>
          <w:lang w:val="es-CR"/>
        </w:rPr>
        <w:t>B</w:t>
      </w:r>
      <w:r>
        <w:rPr>
          <w:sz w:val="16"/>
          <w:szCs w:val="16"/>
          <w:lang w:val="es-CR"/>
        </w:rPr>
        <w:t>.</w:t>
      </w:r>
      <w:r w:rsidRPr="00AF2262">
        <w:rPr>
          <w:sz w:val="16"/>
          <w:szCs w:val="16"/>
          <w:lang w:val="es-CR"/>
        </w:rPr>
        <w:t xml:space="preserve"> de 31 de agosto de 2005</w:t>
      </w:r>
      <w:r w:rsidR="002776D2">
        <w:rPr>
          <w:sz w:val="16"/>
          <w:szCs w:val="16"/>
          <w:lang w:val="es-CR"/>
        </w:rPr>
        <w:t>.</w:t>
      </w:r>
      <w:r w:rsidRPr="00261AF6">
        <w:rPr>
          <w:sz w:val="16"/>
          <w:szCs w:val="16"/>
          <w:lang w:val="es-CR"/>
        </w:rPr>
        <w:t xml:space="preserve"> </w:t>
      </w:r>
    </w:p>
    <w:p w14:paraId="58BBD668" w14:textId="77777777" w:rsidR="004224C0" w:rsidRPr="00AF2262" w:rsidRDefault="004224C0" w:rsidP="00B476ED">
      <w:pPr>
        <w:pStyle w:val="Textonotapie"/>
        <w:ind w:right="-943"/>
        <w:rPr>
          <w:sz w:val="16"/>
          <w:szCs w:val="16"/>
          <w:lang w:val="es-CR"/>
        </w:rPr>
      </w:pPr>
    </w:p>
  </w:footnote>
  <w:footnote w:id="40">
    <w:p w14:paraId="391D3CC2" w14:textId="77777777" w:rsidR="004224C0" w:rsidRPr="00AF2262" w:rsidRDefault="004224C0" w:rsidP="00B476ED">
      <w:pPr>
        <w:spacing w:line="240" w:lineRule="auto"/>
        <w:ind w:right="-943"/>
        <w:rPr>
          <w:b/>
          <w:bCs/>
          <w:sz w:val="16"/>
          <w:szCs w:val="16"/>
          <w:lang w:val="es-MX"/>
        </w:rPr>
      </w:pPr>
      <w:r w:rsidRPr="00AF2262">
        <w:rPr>
          <w:rStyle w:val="Refdenotaalpie"/>
          <w:sz w:val="16"/>
          <w:szCs w:val="16"/>
        </w:rPr>
        <w:footnoteRef/>
      </w:r>
      <w:r w:rsidRPr="00AF2262">
        <w:rPr>
          <w:sz w:val="16"/>
          <w:szCs w:val="16"/>
        </w:rPr>
        <w:t xml:space="preserve"> </w:t>
      </w:r>
      <w:r w:rsidRPr="00AF2262">
        <w:rPr>
          <w:sz w:val="16"/>
          <w:szCs w:val="16"/>
        </w:rPr>
        <w:tab/>
      </w:r>
      <w:r w:rsidRPr="00AF2262">
        <w:rPr>
          <w:sz w:val="16"/>
          <w:szCs w:val="16"/>
          <w:lang w:val="es-MX"/>
        </w:rPr>
        <w:t>Se deja asentado, como un antecedente fáctico, que en abril de 2005 se había dictado medida de “libertad asistida”</w:t>
      </w:r>
      <w:r>
        <w:rPr>
          <w:sz w:val="16"/>
          <w:szCs w:val="16"/>
          <w:lang w:val="es-MX"/>
        </w:rPr>
        <w:t xml:space="preserve"> en beneficio de José Mota,</w:t>
      </w:r>
      <w:r w:rsidRPr="00AF2262">
        <w:rPr>
          <w:sz w:val="16"/>
          <w:szCs w:val="16"/>
          <w:lang w:val="es-MX"/>
        </w:rPr>
        <w:t xml:space="preserve"> y que, tras una apelación, fue aprehendido para la realización de pruebas psiquiátricas, las que se realizaron el 29 de junio de 2005, el día antes del incendio</w:t>
      </w:r>
      <w:r>
        <w:rPr>
          <w:sz w:val="16"/>
          <w:szCs w:val="16"/>
          <w:lang w:val="es-MX"/>
        </w:rPr>
        <w:t>.</w:t>
      </w:r>
      <w:r w:rsidRPr="00AF2262">
        <w:rPr>
          <w:sz w:val="16"/>
          <w:szCs w:val="16"/>
          <w:lang w:val="es-MX"/>
        </w:rPr>
        <w:t xml:space="preserve"> </w:t>
      </w:r>
    </w:p>
    <w:p w14:paraId="31B0A450" w14:textId="77777777" w:rsidR="004224C0" w:rsidRPr="00AF2262" w:rsidRDefault="004224C0" w:rsidP="00B476ED">
      <w:pPr>
        <w:spacing w:line="240" w:lineRule="auto"/>
        <w:ind w:right="-943"/>
        <w:rPr>
          <w:sz w:val="16"/>
          <w:szCs w:val="16"/>
        </w:rPr>
      </w:pPr>
    </w:p>
  </w:footnote>
  <w:footnote w:id="41">
    <w:p w14:paraId="609C4FA0" w14:textId="7BEED2C9"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Pr>
          <w:i/>
          <w:sz w:val="16"/>
          <w:szCs w:val="16"/>
          <w:lang w:val="es-CR"/>
        </w:rPr>
        <w:t>C</w:t>
      </w:r>
      <w:r w:rsidRPr="00AF2262">
        <w:rPr>
          <w:i/>
          <w:sz w:val="16"/>
          <w:szCs w:val="16"/>
          <w:lang w:val="es-CR"/>
        </w:rPr>
        <w:t>fr.</w:t>
      </w:r>
      <w:r w:rsidRPr="00AF2262">
        <w:rPr>
          <w:sz w:val="16"/>
          <w:szCs w:val="16"/>
          <w:lang w:val="es-CR"/>
        </w:rPr>
        <w:t xml:space="preserve"> Listado del personal del INAM-San Félix que laboró el </w:t>
      </w:r>
      <w:r>
        <w:rPr>
          <w:sz w:val="16"/>
          <w:szCs w:val="16"/>
          <w:lang w:val="es-CR"/>
        </w:rPr>
        <w:t xml:space="preserve">30 de junio de 2005. </w:t>
      </w:r>
      <w:r w:rsidRPr="00AF2262">
        <w:rPr>
          <w:sz w:val="16"/>
          <w:szCs w:val="16"/>
          <w:lang w:val="es-MX"/>
        </w:rPr>
        <w:t>Ese día, a diferencia de otros, no se contó con apoyo policial (</w:t>
      </w:r>
      <w:r w:rsidRPr="003C748A">
        <w:rPr>
          <w:i/>
          <w:sz w:val="16"/>
          <w:szCs w:val="16"/>
          <w:lang w:val="es-MX"/>
        </w:rPr>
        <w:t>cfr.</w:t>
      </w:r>
      <w:r>
        <w:rPr>
          <w:sz w:val="16"/>
          <w:szCs w:val="16"/>
          <w:lang w:val="es-MX"/>
        </w:rPr>
        <w:t xml:space="preserve"> </w:t>
      </w:r>
      <w:r w:rsidRPr="00AF2262">
        <w:rPr>
          <w:sz w:val="16"/>
          <w:szCs w:val="16"/>
          <w:lang w:val="es-CR"/>
        </w:rPr>
        <w:t>Declaración de N</w:t>
      </w:r>
      <w:r>
        <w:rPr>
          <w:sz w:val="16"/>
          <w:szCs w:val="16"/>
          <w:lang w:val="es-CR"/>
        </w:rPr>
        <w:t>.</w:t>
      </w:r>
      <w:r w:rsidRPr="00AF2262">
        <w:rPr>
          <w:sz w:val="16"/>
          <w:szCs w:val="16"/>
          <w:lang w:val="es-CR"/>
        </w:rPr>
        <w:t>R</w:t>
      </w:r>
      <w:r>
        <w:rPr>
          <w:sz w:val="16"/>
          <w:szCs w:val="16"/>
          <w:lang w:val="es-CR"/>
        </w:rPr>
        <w:t>.</w:t>
      </w:r>
      <w:r w:rsidRPr="00AF2262">
        <w:rPr>
          <w:sz w:val="16"/>
          <w:szCs w:val="16"/>
          <w:lang w:val="es-CR"/>
        </w:rPr>
        <w:t xml:space="preserve"> de 29 de julio de 2005</w:t>
      </w:r>
      <w:r>
        <w:rPr>
          <w:sz w:val="16"/>
          <w:szCs w:val="16"/>
          <w:lang w:val="es-CR"/>
        </w:rPr>
        <w:t xml:space="preserve"> (expediente de prueba, fs. 1249 a 1252)</w:t>
      </w:r>
      <w:r w:rsidRPr="00AF2262">
        <w:rPr>
          <w:sz w:val="16"/>
          <w:szCs w:val="16"/>
          <w:lang w:val="es-CR"/>
        </w:rPr>
        <w:t xml:space="preserve">). </w:t>
      </w:r>
      <w:r>
        <w:rPr>
          <w:sz w:val="16"/>
          <w:szCs w:val="16"/>
          <w:lang w:val="es-CR"/>
        </w:rPr>
        <w:t xml:space="preserve"> </w:t>
      </w:r>
    </w:p>
    <w:p w14:paraId="67A7A0AA" w14:textId="77777777" w:rsidR="004224C0" w:rsidRPr="00AF2262" w:rsidRDefault="004224C0" w:rsidP="00B476ED">
      <w:pPr>
        <w:pStyle w:val="Textonotapie"/>
        <w:ind w:right="-943"/>
        <w:rPr>
          <w:sz w:val="16"/>
          <w:szCs w:val="16"/>
          <w:lang w:val="es-CR"/>
        </w:rPr>
      </w:pPr>
    </w:p>
  </w:footnote>
  <w:footnote w:id="42">
    <w:p w14:paraId="24CB770C" w14:textId="517E01C1" w:rsidR="004224C0" w:rsidRPr="00AF2262" w:rsidRDefault="004224C0" w:rsidP="00B476ED">
      <w:pPr>
        <w:pStyle w:val="Prrafodelista"/>
        <w:spacing w:line="240" w:lineRule="auto"/>
        <w:ind w:left="0" w:right="-943"/>
        <w:rPr>
          <w:sz w:val="16"/>
          <w:szCs w:val="16"/>
          <w:lang w:val="es-MX"/>
        </w:rPr>
      </w:pPr>
      <w:r w:rsidRPr="00AF2262">
        <w:rPr>
          <w:rStyle w:val="Refdenotaalpie"/>
          <w:sz w:val="16"/>
          <w:szCs w:val="16"/>
          <w:lang w:eastAsia="x-none"/>
        </w:rPr>
        <w:footnoteRef/>
      </w:r>
      <w:r w:rsidRPr="00AF2262">
        <w:rPr>
          <w:sz w:val="16"/>
          <w:szCs w:val="16"/>
        </w:rPr>
        <w:t xml:space="preserve"> </w:t>
      </w:r>
      <w:r w:rsidRPr="00AF2262">
        <w:rPr>
          <w:sz w:val="16"/>
          <w:szCs w:val="16"/>
        </w:rPr>
        <w:tab/>
      </w:r>
      <w:r>
        <w:rPr>
          <w:i/>
          <w:sz w:val="16"/>
          <w:szCs w:val="16"/>
        </w:rPr>
        <w:t>C</w:t>
      </w:r>
      <w:r w:rsidRPr="00AF2262">
        <w:rPr>
          <w:i/>
          <w:sz w:val="16"/>
          <w:szCs w:val="16"/>
        </w:rPr>
        <w:t>fr.</w:t>
      </w:r>
      <w:r w:rsidRPr="00AF2262">
        <w:rPr>
          <w:sz w:val="16"/>
          <w:szCs w:val="16"/>
        </w:rPr>
        <w:t xml:space="preserve"> Listado del personal del INAM-San Félix que laboró el </w:t>
      </w:r>
      <w:r>
        <w:rPr>
          <w:sz w:val="16"/>
          <w:szCs w:val="16"/>
        </w:rPr>
        <w:t>30 de junio de 2005</w:t>
      </w:r>
      <w:r w:rsidRPr="00AF2262">
        <w:rPr>
          <w:sz w:val="16"/>
          <w:szCs w:val="16"/>
        </w:rPr>
        <w:t xml:space="preserve">. </w:t>
      </w:r>
      <w:r w:rsidRPr="00AF2262">
        <w:rPr>
          <w:sz w:val="16"/>
          <w:szCs w:val="16"/>
          <w:lang w:val="es-MX"/>
        </w:rPr>
        <w:t xml:space="preserve">Pese a </w:t>
      </w:r>
      <w:r>
        <w:rPr>
          <w:sz w:val="16"/>
          <w:szCs w:val="16"/>
          <w:lang w:val="es-MX"/>
        </w:rPr>
        <w:t xml:space="preserve">la hora de salida de la asistente social que indica ese documento, </w:t>
      </w:r>
      <w:r w:rsidRPr="00AF2262">
        <w:rPr>
          <w:sz w:val="16"/>
          <w:szCs w:val="16"/>
          <w:lang w:val="es-MX"/>
        </w:rPr>
        <w:t>B</w:t>
      </w:r>
      <w:r>
        <w:rPr>
          <w:sz w:val="16"/>
          <w:szCs w:val="16"/>
          <w:lang w:val="es-MX"/>
        </w:rPr>
        <w:t>.</w:t>
      </w:r>
      <w:r w:rsidRPr="00AF2262">
        <w:rPr>
          <w:sz w:val="16"/>
          <w:szCs w:val="16"/>
          <w:lang w:val="es-MX"/>
        </w:rPr>
        <w:t>H</w:t>
      </w:r>
      <w:r>
        <w:rPr>
          <w:sz w:val="16"/>
          <w:szCs w:val="16"/>
          <w:lang w:val="es-MX"/>
        </w:rPr>
        <w:t>.</w:t>
      </w:r>
      <w:r w:rsidRPr="00AF2262">
        <w:rPr>
          <w:sz w:val="16"/>
          <w:szCs w:val="16"/>
          <w:lang w:val="es-MX"/>
        </w:rPr>
        <w:t xml:space="preserve"> se quedó después de su hora de salida</w:t>
      </w:r>
      <w:r>
        <w:rPr>
          <w:sz w:val="16"/>
          <w:szCs w:val="16"/>
          <w:lang w:val="es-MX"/>
        </w:rPr>
        <w:t>. Más adelante explicó que</w:t>
      </w:r>
      <w:r w:rsidRPr="00AF2262">
        <w:rPr>
          <w:sz w:val="16"/>
          <w:szCs w:val="16"/>
          <w:lang w:val="es-MX"/>
        </w:rPr>
        <w:t xml:space="preserve"> lo hizo “por la situación que se estaba presentando” entre los internos de las celdas 4 y 7 (</w:t>
      </w:r>
      <w:r w:rsidRPr="00AF2262">
        <w:rPr>
          <w:sz w:val="16"/>
          <w:szCs w:val="16"/>
        </w:rPr>
        <w:t>Declaración de B</w:t>
      </w:r>
      <w:r>
        <w:rPr>
          <w:sz w:val="16"/>
          <w:szCs w:val="16"/>
        </w:rPr>
        <w:t>.</w:t>
      </w:r>
      <w:r w:rsidRPr="00AF2262">
        <w:rPr>
          <w:sz w:val="16"/>
          <w:szCs w:val="16"/>
        </w:rPr>
        <w:t>H</w:t>
      </w:r>
      <w:r>
        <w:rPr>
          <w:sz w:val="16"/>
          <w:szCs w:val="16"/>
        </w:rPr>
        <w:t>.</w:t>
      </w:r>
      <w:r w:rsidRPr="00AF2262">
        <w:rPr>
          <w:sz w:val="16"/>
          <w:szCs w:val="16"/>
        </w:rPr>
        <w:t xml:space="preserve"> de 29 de julio de 2005</w:t>
      </w:r>
      <w:r>
        <w:rPr>
          <w:sz w:val="16"/>
          <w:szCs w:val="16"/>
        </w:rPr>
        <w:t xml:space="preserve"> (expediente de prueba, fs. 1389 a 1392))</w:t>
      </w:r>
      <w:r w:rsidRPr="00AF2262">
        <w:rPr>
          <w:sz w:val="16"/>
          <w:szCs w:val="16"/>
          <w:lang w:val="es-MX"/>
        </w:rPr>
        <w:t>.</w:t>
      </w:r>
      <w:r>
        <w:rPr>
          <w:sz w:val="16"/>
          <w:szCs w:val="16"/>
          <w:lang w:val="es-MX"/>
        </w:rPr>
        <w:t xml:space="preserve"> </w:t>
      </w:r>
    </w:p>
    <w:p w14:paraId="2CA2C04E" w14:textId="77777777" w:rsidR="004224C0" w:rsidRPr="00AF2262" w:rsidRDefault="004224C0" w:rsidP="00B476ED">
      <w:pPr>
        <w:pStyle w:val="Textonotapie"/>
        <w:ind w:right="-943"/>
        <w:rPr>
          <w:sz w:val="16"/>
          <w:szCs w:val="16"/>
          <w:lang w:val="es-CR"/>
        </w:rPr>
      </w:pPr>
    </w:p>
  </w:footnote>
  <w:footnote w:id="43">
    <w:p w14:paraId="7AB84BF8" w14:textId="77777777" w:rsidR="004224C0" w:rsidRPr="00313A92" w:rsidRDefault="004224C0" w:rsidP="00B476ED">
      <w:pPr>
        <w:pStyle w:val="Textonotapie"/>
        <w:ind w:right="-943"/>
        <w:rPr>
          <w:sz w:val="16"/>
          <w:szCs w:val="16"/>
          <w:lang w:val="es-CR"/>
        </w:rPr>
      </w:pPr>
      <w:r w:rsidRPr="00313A92">
        <w:rPr>
          <w:rStyle w:val="Refdenotaalpie"/>
          <w:sz w:val="16"/>
          <w:szCs w:val="16"/>
        </w:rPr>
        <w:footnoteRef/>
      </w:r>
      <w:r w:rsidRPr="00313A92">
        <w:rPr>
          <w:sz w:val="16"/>
          <w:szCs w:val="16"/>
          <w:lang w:val="es-CR"/>
        </w:rPr>
        <w:t xml:space="preserve"> </w:t>
      </w:r>
      <w:r w:rsidRPr="00313A92">
        <w:rPr>
          <w:sz w:val="16"/>
          <w:szCs w:val="16"/>
          <w:lang w:val="es-CR"/>
        </w:rPr>
        <w:tab/>
      </w:r>
      <w:r w:rsidRPr="00AF2262">
        <w:rPr>
          <w:sz w:val="16"/>
          <w:szCs w:val="16"/>
          <w:lang w:val="es-CR"/>
        </w:rPr>
        <w:t xml:space="preserve">Declaración de </w:t>
      </w:r>
      <w:r>
        <w:rPr>
          <w:sz w:val="16"/>
          <w:szCs w:val="16"/>
          <w:lang w:val="es-CR"/>
        </w:rPr>
        <w:t>J.</w:t>
      </w:r>
      <w:r w:rsidRPr="00AF2262">
        <w:rPr>
          <w:sz w:val="16"/>
          <w:szCs w:val="16"/>
          <w:lang w:val="es-CR"/>
        </w:rPr>
        <w:t>C</w:t>
      </w:r>
      <w:r>
        <w:rPr>
          <w:sz w:val="16"/>
          <w:szCs w:val="16"/>
          <w:lang w:val="es-CR"/>
        </w:rPr>
        <w:t>.</w:t>
      </w:r>
      <w:r w:rsidRPr="00AF2262">
        <w:rPr>
          <w:sz w:val="16"/>
          <w:szCs w:val="16"/>
          <w:lang w:val="es-CR"/>
        </w:rPr>
        <w:t xml:space="preserve"> de 29 de julio de 2005</w:t>
      </w:r>
      <w:r>
        <w:rPr>
          <w:sz w:val="16"/>
          <w:szCs w:val="16"/>
          <w:lang w:val="es-CR"/>
        </w:rPr>
        <w:t xml:space="preserve"> (expediente de prueba, fs. 1370 a 1373)</w:t>
      </w:r>
      <w:r w:rsidRPr="00AF2262">
        <w:rPr>
          <w:sz w:val="16"/>
          <w:szCs w:val="16"/>
          <w:lang w:val="es-CR"/>
        </w:rPr>
        <w:t>.</w:t>
      </w:r>
      <w:r>
        <w:rPr>
          <w:sz w:val="16"/>
          <w:szCs w:val="16"/>
          <w:lang w:val="es-CR"/>
        </w:rPr>
        <w:t xml:space="preserve"> </w:t>
      </w:r>
      <w:r w:rsidRPr="00313A92">
        <w:rPr>
          <w:sz w:val="16"/>
          <w:szCs w:val="16"/>
          <w:lang w:val="es-CR"/>
        </w:rPr>
        <w:t xml:space="preserve">Las personas familiares de los jóvenes </w:t>
      </w:r>
      <w:r>
        <w:rPr>
          <w:sz w:val="16"/>
          <w:szCs w:val="16"/>
          <w:lang w:val="es-CR"/>
        </w:rPr>
        <w:t xml:space="preserve">alojados en la celda 4 </w:t>
      </w:r>
      <w:r w:rsidRPr="00313A92">
        <w:rPr>
          <w:sz w:val="16"/>
          <w:szCs w:val="16"/>
          <w:lang w:val="es-CR"/>
        </w:rPr>
        <w:t>que est</w:t>
      </w:r>
      <w:r>
        <w:rPr>
          <w:sz w:val="16"/>
          <w:szCs w:val="16"/>
          <w:lang w:val="es-CR"/>
        </w:rPr>
        <w:t xml:space="preserve">uvieron </w:t>
      </w:r>
      <w:r w:rsidRPr="00313A92">
        <w:rPr>
          <w:sz w:val="16"/>
          <w:szCs w:val="16"/>
          <w:lang w:val="es-CR"/>
        </w:rPr>
        <w:t xml:space="preserve">presentes fueron </w:t>
      </w:r>
      <w:r w:rsidRPr="00313A92">
        <w:rPr>
          <w:sz w:val="16"/>
          <w:szCs w:val="16"/>
          <w:lang w:val="es-MX"/>
        </w:rPr>
        <w:t xml:space="preserve">María Cristina Córdova de Molina, Belkis Josefina Correa Ríos, Elvia </w:t>
      </w:r>
      <w:proofErr w:type="spellStart"/>
      <w:r w:rsidRPr="00313A92">
        <w:rPr>
          <w:sz w:val="16"/>
          <w:szCs w:val="16"/>
          <w:lang w:val="es-MX"/>
        </w:rPr>
        <w:t>Abarullo</w:t>
      </w:r>
      <w:proofErr w:type="spellEnd"/>
      <w:r w:rsidRPr="00313A92">
        <w:rPr>
          <w:sz w:val="16"/>
          <w:szCs w:val="16"/>
          <w:lang w:val="es-MX"/>
        </w:rPr>
        <w:t xml:space="preserve"> de Mota, </w:t>
      </w:r>
      <w:proofErr w:type="spellStart"/>
      <w:r w:rsidRPr="00313A92">
        <w:rPr>
          <w:sz w:val="16"/>
          <w:szCs w:val="16"/>
          <w:lang w:val="es-MX"/>
        </w:rPr>
        <w:t>Osmely</w:t>
      </w:r>
      <w:proofErr w:type="spellEnd"/>
      <w:r w:rsidRPr="00313A92">
        <w:rPr>
          <w:sz w:val="16"/>
          <w:szCs w:val="16"/>
          <w:lang w:val="es-MX"/>
        </w:rPr>
        <w:t xml:space="preserve"> Angelina Mota </w:t>
      </w:r>
      <w:proofErr w:type="spellStart"/>
      <w:r w:rsidRPr="00313A92">
        <w:rPr>
          <w:sz w:val="16"/>
          <w:szCs w:val="16"/>
          <w:lang w:val="es-MX"/>
        </w:rPr>
        <w:t>Abarullo</w:t>
      </w:r>
      <w:proofErr w:type="spellEnd"/>
      <w:r w:rsidRPr="00313A92">
        <w:rPr>
          <w:sz w:val="16"/>
          <w:szCs w:val="16"/>
          <w:lang w:val="es-MX"/>
        </w:rPr>
        <w:t xml:space="preserve"> y Maritza del Valle Sánchez Ávila</w:t>
      </w:r>
      <w:r w:rsidRPr="00313A92">
        <w:rPr>
          <w:sz w:val="16"/>
          <w:szCs w:val="16"/>
          <w:lang w:val="es-CR"/>
        </w:rPr>
        <w:t>.</w:t>
      </w:r>
    </w:p>
    <w:p w14:paraId="0B476EEB" w14:textId="77777777" w:rsidR="004224C0" w:rsidRPr="00AF2262" w:rsidRDefault="004224C0" w:rsidP="00B476ED">
      <w:pPr>
        <w:pStyle w:val="Textonotapie"/>
        <w:ind w:right="-943"/>
        <w:rPr>
          <w:sz w:val="16"/>
          <w:szCs w:val="16"/>
          <w:lang w:val="es-CR"/>
        </w:rPr>
      </w:pPr>
    </w:p>
  </w:footnote>
  <w:footnote w:id="44">
    <w:p w14:paraId="4E76F0BB" w14:textId="20BEAE1B"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 xml:space="preserve">Declaración de </w:t>
      </w:r>
      <w:r>
        <w:rPr>
          <w:sz w:val="16"/>
          <w:szCs w:val="16"/>
          <w:lang w:val="es-CR"/>
        </w:rPr>
        <w:t>J.</w:t>
      </w:r>
      <w:r w:rsidRPr="00AF2262">
        <w:rPr>
          <w:sz w:val="16"/>
          <w:szCs w:val="16"/>
          <w:lang w:val="es-CR"/>
        </w:rPr>
        <w:t>C</w:t>
      </w:r>
      <w:r>
        <w:rPr>
          <w:sz w:val="16"/>
          <w:szCs w:val="16"/>
          <w:lang w:val="es-CR"/>
        </w:rPr>
        <w:t>.</w:t>
      </w:r>
      <w:r w:rsidRPr="00AF2262">
        <w:rPr>
          <w:sz w:val="16"/>
          <w:szCs w:val="16"/>
          <w:lang w:val="es-CR"/>
        </w:rPr>
        <w:t xml:space="preserve"> de 29 de julio de 2005.</w:t>
      </w:r>
    </w:p>
  </w:footnote>
  <w:footnote w:id="45">
    <w:p w14:paraId="43FE1B16" w14:textId="77777777" w:rsidR="004224C0" w:rsidRPr="00AF2262" w:rsidRDefault="004224C0" w:rsidP="00B476ED">
      <w:pPr>
        <w:pStyle w:val="Textonotapie"/>
        <w:ind w:right="-943"/>
        <w:rPr>
          <w:sz w:val="16"/>
          <w:szCs w:val="16"/>
          <w:lang w:val="es-CR"/>
        </w:rPr>
      </w:pPr>
    </w:p>
    <w:p w14:paraId="0661FD14" w14:textId="1F84880C"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Declaración de N</w:t>
      </w:r>
      <w:r>
        <w:rPr>
          <w:sz w:val="16"/>
          <w:szCs w:val="16"/>
          <w:lang w:val="es-CR"/>
        </w:rPr>
        <w:t>.</w:t>
      </w:r>
      <w:r w:rsidRPr="00AF2262">
        <w:rPr>
          <w:sz w:val="16"/>
          <w:szCs w:val="16"/>
          <w:lang w:val="es-CR"/>
        </w:rPr>
        <w:t>R</w:t>
      </w:r>
      <w:r>
        <w:rPr>
          <w:sz w:val="16"/>
          <w:szCs w:val="16"/>
          <w:lang w:val="es-CR"/>
        </w:rPr>
        <w:t>.</w:t>
      </w:r>
      <w:r w:rsidRPr="00AF2262">
        <w:rPr>
          <w:sz w:val="16"/>
          <w:szCs w:val="16"/>
          <w:lang w:val="es-CR"/>
        </w:rPr>
        <w:t xml:space="preserve"> de 29 de julio de 2005</w:t>
      </w:r>
      <w:r w:rsidR="006E172A">
        <w:rPr>
          <w:sz w:val="16"/>
          <w:szCs w:val="16"/>
          <w:lang w:val="es-CR"/>
        </w:rPr>
        <w:t>.</w:t>
      </w:r>
      <w:r w:rsidRPr="00AF2262">
        <w:rPr>
          <w:sz w:val="16"/>
          <w:szCs w:val="16"/>
          <w:lang w:val="es-CR"/>
        </w:rPr>
        <w:t xml:space="preserve"> </w:t>
      </w:r>
    </w:p>
    <w:p w14:paraId="783692D2" w14:textId="77777777" w:rsidR="004224C0" w:rsidRPr="00AF2262" w:rsidRDefault="004224C0" w:rsidP="00B476ED">
      <w:pPr>
        <w:pStyle w:val="Textonotapie"/>
        <w:ind w:right="-943"/>
        <w:rPr>
          <w:sz w:val="16"/>
          <w:szCs w:val="16"/>
          <w:lang w:val="es-CR"/>
        </w:rPr>
      </w:pPr>
    </w:p>
  </w:footnote>
  <w:footnote w:id="46">
    <w:p w14:paraId="60AB8915"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Declaración de F</w:t>
      </w:r>
      <w:r>
        <w:rPr>
          <w:sz w:val="16"/>
          <w:szCs w:val="16"/>
          <w:lang w:val="es-CR"/>
        </w:rPr>
        <w:t>.</w:t>
      </w:r>
      <w:r w:rsidRPr="00AF2262">
        <w:rPr>
          <w:sz w:val="16"/>
          <w:szCs w:val="16"/>
          <w:lang w:val="es-CR"/>
        </w:rPr>
        <w:t>G</w:t>
      </w:r>
      <w:r>
        <w:rPr>
          <w:sz w:val="16"/>
          <w:szCs w:val="16"/>
          <w:lang w:val="es-CR"/>
        </w:rPr>
        <w:t>.</w:t>
      </w:r>
      <w:r w:rsidRPr="00AF2262">
        <w:rPr>
          <w:sz w:val="16"/>
          <w:szCs w:val="16"/>
          <w:lang w:val="es-CR"/>
        </w:rPr>
        <w:t xml:space="preserve"> de 8 de agosto de 2005</w:t>
      </w:r>
      <w:r>
        <w:rPr>
          <w:sz w:val="16"/>
          <w:szCs w:val="16"/>
          <w:lang w:val="es-CR"/>
        </w:rPr>
        <w:t xml:space="preserve"> (expediente de prueba, fs. 1326 a 1329)</w:t>
      </w:r>
      <w:r w:rsidRPr="00AF2262">
        <w:rPr>
          <w:sz w:val="16"/>
          <w:szCs w:val="16"/>
          <w:lang w:val="es-CR"/>
        </w:rPr>
        <w:t xml:space="preserve">. </w:t>
      </w:r>
    </w:p>
    <w:p w14:paraId="2FB6E224" w14:textId="77777777" w:rsidR="004224C0" w:rsidRPr="00AF2262" w:rsidRDefault="004224C0" w:rsidP="00B476ED">
      <w:pPr>
        <w:pStyle w:val="Textonotapie"/>
        <w:ind w:right="-943"/>
        <w:rPr>
          <w:sz w:val="16"/>
          <w:szCs w:val="16"/>
          <w:lang w:val="es-CR"/>
        </w:rPr>
      </w:pPr>
    </w:p>
  </w:footnote>
  <w:footnote w:id="47">
    <w:p w14:paraId="160E4E0E" w14:textId="630450D3" w:rsidR="004224C0" w:rsidRPr="00B3167F"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 xml:space="preserve">Declaración de </w:t>
      </w:r>
      <w:r>
        <w:rPr>
          <w:sz w:val="16"/>
          <w:szCs w:val="16"/>
          <w:lang w:val="es-CR"/>
        </w:rPr>
        <w:t>J.</w:t>
      </w:r>
      <w:r w:rsidRPr="00AF2262">
        <w:rPr>
          <w:sz w:val="16"/>
          <w:szCs w:val="16"/>
          <w:lang w:val="es-CR"/>
        </w:rPr>
        <w:t>C</w:t>
      </w:r>
      <w:r>
        <w:rPr>
          <w:sz w:val="16"/>
          <w:szCs w:val="16"/>
          <w:lang w:val="es-CR"/>
        </w:rPr>
        <w:t>.</w:t>
      </w:r>
      <w:r w:rsidRPr="00AF2262">
        <w:rPr>
          <w:sz w:val="16"/>
          <w:szCs w:val="16"/>
          <w:lang w:val="es-CR"/>
        </w:rPr>
        <w:t xml:space="preserve"> de 29 de julio de 2005.</w:t>
      </w:r>
      <w:r w:rsidRPr="00B3167F">
        <w:rPr>
          <w:sz w:val="16"/>
          <w:szCs w:val="16"/>
          <w:lang w:val="es-MX"/>
        </w:rPr>
        <w:t xml:space="preserve"> </w:t>
      </w:r>
      <w:r>
        <w:rPr>
          <w:sz w:val="16"/>
          <w:szCs w:val="16"/>
          <w:lang w:val="es-MX"/>
        </w:rPr>
        <w:t>Uno de l</w:t>
      </w:r>
      <w:r w:rsidRPr="00B3167F">
        <w:rPr>
          <w:sz w:val="16"/>
          <w:szCs w:val="16"/>
          <w:lang w:val="es-MX"/>
        </w:rPr>
        <w:t>os jóvenes de la celda 2, que fue entrevistado luego de los hechos, indic</w:t>
      </w:r>
      <w:r>
        <w:rPr>
          <w:sz w:val="16"/>
          <w:szCs w:val="16"/>
          <w:lang w:val="es-MX"/>
        </w:rPr>
        <w:t xml:space="preserve">ó </w:t>
      </w:r>
      <w:r w:rsidRPr="00B3167F">
        <w:rPr>
          <w:sz w:val="16"/>
          <w:szCs w:val="16"/>
          <w:lang w:val="es-MX"/>
        </w:rPr>
        <w:t>que querían hablar con el guía N</w:t>
      </w:r>
      <w:r>
        <w:rPr>
          <w:sz w:val="16"/>
          <w:szCs w:val="16"/>
          <w:lang w:val="es-MX"/>
        </w:rPr>
        <w:t>.</w:t>
      </w:r>
      <w:r w:rsidRPr="00B3167F">
        <w:rPr>
          <w:sz w:val="16"/>
          <w:szCs w:val="16"/>
          <w:lang w:val="es-MX"/>
        </w:rPr>
        <w:t>R</w:t>
      </w:r>
      <w:r>
        <w:rPr>
          <w:sz w:val="16"/>
          <w:szCs w:val="16"/>
          <w:lang w:val="es-MX"/>
        </w:rPr>
        <w:t>.</w:t>
      </w:r>
      <w:r w:rsidRPr="00B3167F">
        <w:rPr>
          <w:sz w:val="16"/>
          <w:szCs w:val="16"/>
          <w:lang w:val="es-MX"/>
        </w:rPr>
        <w:t xml:space="preserve">, “por lo [que] </w:t>
      </w:r>
      <w:proofErr w:type="spellStart"/>
      <w:r w:rsidRPr="00B3167F">
        <w:rPr>
          <w:sz w:val="16"/>
          <w:szCs w:val="16"/>
          <w:lang w:val="es-MX"/>
        </w:rPr>
        <w:t>sali</w:t>
      </w:r>
      <w:proofErr w:type="spellEnd"/>
      <w:r w:rsidRPr="00B3167F">
        <w:rPr>
          <w:sz w:val="16"/>
          <w:szCs w:val="16"/>
          <w:lang w:val="es-MX"/>
        </w:rPr>
        <w:t>[</w:t>
      </w:r>
      <w:proofErr w:type="spellStart"/>
      <w:r w:rsidRPr="00B3167F">
        <w:rPr>
          <w:sz w:val="16"/>
          <w:szCs w:val="16"/>
          <w:lang w:val="es-MX"/>
        </w:rPr>
        <w:t>eron</w:t>
      </w:r>
      <w:proofErr w:type="spellEnd"/>
      <w:r w:rsidRPr="00B3167F">
        <w:rPr>
          <w:sz w:val="16"/>
          <w:szCs w:val="16"/>
          <w:lang w:val="es-MX"/>
        </w:rPr>
        <w:t xml:space="preserve">] todos corriendo para la parte de afuera [e] </w:t>
      </w:r>
      <w:proofErr w:type="spellStart"/>
      <w:r w:rsidRPr="00B3167F">
        <w:rPr>
          <w:sz w:val="16"/>
          <w:szCs w:val="16"/>
          <w:lang w:val="es-MX"/>
        </w:rPr>
        <w:t>hici</w:t>
      </w:r>
      <w:proofErr w:type="spellEnd"/>
      <w:r w:rsidRPr="00B3167F">
        <w:rPr>
          <w:sz w:val="16"/>
          <w:szCs w:val="16"/>
          <w:lang w:val="es-MX"/>
        </w:rPr>
        <w:t>[</w:t>
      </w:r>
      <w:proofErr w:type="spellStart"/>
      <w:r w:rsidRPr="00B3167F">
        <w:rPr>
          <w:sz w:val="16"/>
          <w:szCs w:val="16"/>
          <w:lang w:val="es-MX"/>
        </w:rPr>
        <w:t>eron</w:t>
      </w:r>
      <w:proofErr w:type="spellEnd"/>
      <w:r w:rsidRPr="00B3167F">
        <w:rPr>
          <w:sz w:val="16"/>
          <w:szCs w:val="16"/>
          <w:lang w:val="es-MX"/>
        </w:rPr>
        <w:t>] una huelga” (</w:t>
      </w:r>
      <w:r w:rsidRPr="00B3167F">
        <w:rPr>
          <w:sz w:val="16"/>
          <w:szCs w:val="16"/>
          <w:lang w:val="es-CR"/>
        </w:rPr>
        <w:t>Entrevista a L</w:t>
      </w:r>
      <w:r>
        <w:rPr>
          <w:sz w:val="16"/>
          <w:szCs w:val="16"/>
          <w:lang w:val="es-CR"/>
        </w:rPr>
        <w:t>.</w:t>
      </w:r>
      <w:r w:rsidRPr="00B3167F">
        <w:rPr>
          <w:sz w:val="16"/>
          <w:szCs w:val="16"/>
          <w:lang w:val="es-CR"/>
        </w:rPr>
        <w:t>C</w:t>
      </w:r>
      <w:r>
        <w:rPr>
          <w:sz w:val="16"/>
          <w:szCs w:val="16"/>
          <w:lang w:val="es-CR"/>
        </w:rPr>
        <w:t>.</w:t>
      </w:r>
      <w:r w:rsidRPr="00B3167F">
        <w:rPr>
          <w:sz w:val="16"/>
          <w:szCs w:val="16"/>
          <w:lang w:val="es-CR"/>
        </w:rPr>
        <w:t xml:space="preserve"> de 9 de agosto de 2005</w:t>
      </w:r>
      <w:r>
        <w:rPr>
          <w:sz w:val="16"/>
          <w:szCs w:val="16"/>
          <w:lang w:val="es-CR"/>
        </w:rPr>
        <w:t xml:space="preserve"> (expediente de prueba, fs. 1402 a 1403))</w:t>
      </w:r>
      <w:r w:rsidRPr="00B3167F">
        <w:rPr>
          <w:sz w:val="16"/>
          <w:szCs w:val="16"/>
          <w:lang w:val="es-CR"/>
        </w:rPr>
        <w:t xml:space="preserve">. </w:t>
      </w:r>
    </w:p>
    <w:p w14:paraId="3DD533CC" w14:textId="77777777" w:rsidR="004224C0" w:rsidRPr="00AF2262" w:rsidRDefault="004224C0" w:rsidP="00B476ED">
      <w:pPr>
        <w:pStyle w:val="Textonotapie"/>
        <w:ind w:right="-943"/>
        <w:rPr>
          <w:sz w:val="16"/>
          <w:szCs w:val="16"/>
          <w:lang w:val="es-CR"/>
        </w:rPr>
      </w:pPr>
    </w:p>
  </w:footnote>
  <w:footnote w:id="48">
    <w:p w14:paraId="3730E23E" w14:textId="5AF812DB" w:rsidR="004224C0" w:rsidRPr="00AF2262" w:rsidRDefault="004224C0" w:rsidP="00B476ED">
      <w:pPr>
        <w:pStyle w:val="Prrafodelista"/>
        <w:spacing w:line="240" w:lineRule="auto"/>
        <w:ind w:left="0" w:right="-943"/>
        <w:rPr>
          <w:b/>
          <w:bCs/>
          <w:sz w:val="16"/>
          <w:szCs w:val="16"/>
          <w:lang w:val="es-MX"/>
        </w:rPr>
      </w:pPr>
      <w:r w:rsidRPr="00AF2262">
        <w:rPr>
          <w:rStyle w:val="Refdenotaalpie"/>
          <w:sz w:val="16"/>
          <w:szCs w:val="16"/>
          <w:lang w:eastAsia="x-none"/>
        </w:rPr>
        <w:footnoteRef/>
      </w:r>
      <w:r w:rsidRPr="00AF2262">
        <w:rPr>
          <w:sz w:val="16"/>
          <w:szCs w:val="16"/>
        </w:rPr>
        <w:t xml:space="preserve"> </w:t>
      </w:r>
      <w:r w:rsidRPr="00AF2262">
        <w:rPr>
          <w:sz w:val="16"/>
          <w:szCs w:val="16"/>
        </w:rPr>
        <w:tab/>
      </w:r>
      <w:r>
        <w:rPr>
          <w:sz w:val="16"/>
          <w:szCs w:val="16"/>
          <w:lang w:val="es-MX"/>
        </w:rPr>
        <w:t xml:space="preserve">C.M. </w:t>
      </w:r>
      <w:r w:rsidRPr="00AF2262">
        <w:rPr>
          <w:sz w:val="16"/>
          <w:szCs w:val="16"/>
          <w:lang w:val="es-MX"/>
        </w:rPr>
        <w:t xml:space="preserve">explicó que, si bien el guía </w:t>
      </w:r>
      <w:r>
        <w:rPr>
          <w:sz w:val="16"/>
          <w:szCs w:val="16"/>
          <w:lang w:val="es-MX"/>
        </w:rPr>
        <w:t>F.</w:t>
      </w:r>
      <w:r w:rsidRPr="00AF2262">
        <w:rPr>
          <w:sz w:val="16"/>
          <w:szCs w:val="16"/>
          <w:lang w:val="es-MX"/>
        </w:rPr>
        <w:t xml:space="preserve">G. tenía las llaves de las celdas, jóvenes de la celda 2 le quitaron al guía </w:t>
      </w:r>
      <w:r>
        <w:rPr>
          <w:sz w:val="16"/>
          <w:szCs w:val="16"/>
          <w:lang w:val="es-MX"/>
        </w:rPr>
        <w:t>J.</w:t>
      </w:r>
      <w:r w:rsidRPr="00AF2262">
        <w:rPr>
          <w:sz w:val="16"/>
          <w:szCs w:val="16"/>
          <w:lang w:val="es-MX"/>
        </w:rPr>
        <w:t>C</w:t>
      </w:r>
      <w:r>
        <w:rPr>
          <w:sz w:val="16"/>
          <w:szCs w:val="16"/>
          <w:lang w:val="es-MX"/>
        </w:rPr>
        <w:t>.</w:t>
      </w:r>
      <w:r w:rsidRPr="00AF2262">
        <w:rPr>
          <w:sz w:val="16"/>
          <w:szCs w:val="16"/>
          <w:lang w:val="es-MX"/>
        </w:rPr>
        <w:t xml:space="preserve"> una llave, pero era la del carro de éste. Luego, algunos jóvenes de la celda dos, munidos de esa llave, fueron hasta la celda 4 y amagaron con abrir la puerta. Por eso quienes estaban en la celda 4 prendieron una colchoneta. “[D]</w:t>
      </w:r>
      <w:proofErr w:type="spellStart"/>
      <w:r w:rsidRPr="00AF2262">
        <w:rPr>
          <w:sz w:val="16"/>
          <w:szCs w:val="16"/>
          <w:lang w:val="es-MX"/>
        </w:rPr>
        <w:t>espués</w:t>
      </w:r>
      <w:proofErr w:type="spellEnd"/>
      <w:r w:rsidRPr="00AF2262">
        <w:rPr>
          <w:sz w:val="16"/>
          <w:szCs w:val="16"/>
          <w:lang w:val="es-MX"/>
        </w:rPr>
        <w:t xml:space="preserve"> querían apagarla por</w:t>
      </w:r>
      <w:r>
        <w:rPr>
          <w:sz w:val="16"/>
          <w:szCs w:val="16"/>
          <w:lang w:val="es-MX"/>
        </w:rPr>
        <w:t>[q]</w:t>
      </w:r>
      <w:proofErr w:type="spellStart"/>
      <w:r w:rsidRPr="00AF2262">
        <w:rPr>
          <w:sz w:val="16"/>
          <w:szCs w:val="16"/>
          <w:lang w:val="es-MX"/>
        </w:rPr>
        <w:t>ue</w:t>
      </w:r>
      <w:proofErr w:type="spellEnd"/>
      <w:r w:rsidRPr="00AF2262">
        <w:rPr>
          <w:sz w:val="16"/>
          <w:szCs w:val="16"/>
          <w:lang w:val="es-MX"/>
        </w:rPr>
        <w:t xml:space="preserve"> las paredes agarraron candela […] y lanzaron otras colchonetas encima de las que ya estaban prendidas”</w:t>
      </w:r>
      <w:r>
        <w:rPr>
          <w:sz w:val="16"/>
          <w:szCs w:val="16"/>
          <w:lang w:val="es-MX"/>
        </w:rPr>
        <w:t xml:space="preserve"> (</w:t>
      </w:r>
      <w:r w:rsidR="002776D2">
        <w:rPr>
          <w:sz w:val="16"/>
          <w:szCs w:val="16"/>
          <w:lang w:val="es-MX"/>
        </w:rPr>
        <w:t>Acta de e</w:t>
      </w:r>
      <w:r>
        <w:rPr>
          <w:sz w:val="16"/>
          <w:szCs w:val="16"/>
          <w:lang w:val="es-MX"/>
        </w:rPr>
        <w:t>ntrevista a</w:t>
      </w:r>
      <w:r w:rsidR="002776D2">
        <w:rPr>
          <w:sz w:val="16"/>
          <w:szCs w:val="16"/>
          <w:lang w:val="es-MX"/>
        </w:rPr>
        <w:t>l interno</w:t>
      </w:r>
      <w:r>
        <w:rPr>
          <w:sz w:val="16"/>
          <w:szCs w:val="16"/>
          <w:lang w:val="es-MX"/>
        </w:rPr>
        <w:t xml:space="preserve"> C.M</w:t>
      </w:r>
      <w:r w:rsidR="006E172A">
        <w:rPr>
          <w:sz w:val="16"/>
          <w:szCs w:val="16"/>
          <w:lang w:val="es-MX"/>
        </w:rPr>
        <w:t>.</w:t>
      </w:r>
      <w:r>
        <w:rPr>
          <w:sz w:val="16"/>
          <w:szCs w:val="16"/>
          <w:lang w:val="es-MX"/>
        </w:rPr>
        <w:t xml:space="preserve"> de 3 de agosto de 2005). </w:t>
      </w:r>
    </w:p>
    <w:p w14:paraId="696422C9" w14:textId="77777777" w:rsidR="004224C0" w:rsidRPr="00AF2262" w:rsidRDefault="004224C0" w:rsidP="00B476ED">
      <w:pPr>
        <w:pStyle w:val="Prrafodelista"/>
        <w:spacing w:line="240" w:lineRule="auto"/>
        <w:ind w:left="0" w:right="-943"/>
        <w:rPr>
          <w:sz w:val="16"/>
          <w:szCs w:val="16"/>
        </w:rPr>
      </w:pPr>
    </w:p>
  </w:footnote>
  <w:footnote w:id="49">
    <w:p w14:paraId="4197770D" w14:textId="0968131F" w:rsidR="004224C0" w:rsidRPr="00AF2262" w:rsidRDefault="004224C0" w:rsidP="00B476ED">
      <w:pPr>
        <w:pStyle w:val="Textonotapie"/>
        <w:ind w:right="-943"/>
        <w:rPr>
          <w:b/>
          <w:bCs/>
          <w:sz w:val="16"/>
          <w:szCs w:val="16"/>
          <w:lang w:val="es-MX"/>
        </w:rPr>
      </w:pPr>
      <w:r w:rsidRPr="00AF2262">
        <w:rPr>
          <w:rStyle w:val="Refdenotaalpie"/>
          <w:sz w:val="16"/>
          <w:szCs w:val="16"/>
        </w:rPr>
        <w:footnoteRef/>
      </w:r>
      <w:r w:rsidRPr="00AF2262">
        <w:rPr>
          <w:sz w:val="16"/>
          <w:szCs w:val="16"/>
        </w:rPr>
        <w:t xml:space="preserve"> </w:t>
      </w:r>
      <w:r w:rsidRPr="00AF2262">
        <w:rPr>
          <w:sz w:val="16"/>
          <w:szCs w:val="16"/>
        </w:rPr>
        <w:tab/>
      </w:r>
      <w:r w:rsidRPr="003C748A">
        <w:rPr>
          <w:i/>
          <w:sz w:val="16"/>
          <w:szCs w:val="16"/>
          <w:lang w:val="es-CR"/>
        </w:rPr>
        <w:t>Cfr.</w:t>
      </w:r>
      <w:r w:rsidRPr="00AF2262">
        <w:rPr>
          <w:sz w:val="16"/>
          <w:szCs w:val="16"/>
          <w:lang w:val="es-CR"/>
        </w:rPr>
        <w:t xml:space="preserve"> </w:t>
      </w:r>
      <w:r>
        <w:rPr>
          <w:sz w:val="16"/>
          <w:szCs w:val="16"/>
          <w:lang w:val="es-CR"/>
        </w:rPr>
        <w:t xml:space="preserve">Cuerpo de Investigaciones Científicas, Penales y Criminalísticas </w:t>
      </w:r>
      <w:r>
        <w:rPr>
          <w:sz w:val="16"/>
          <w:szCs w:val="16"/>
          <w:lang w:val="es-MX"/>
        </w:rPr>
        <w:t>(</w:t>
      </w:r>
      <w:r w:rsidRPr="00AF2262">
        <w:rPr>
          <w:sz w:val="16"/>
          <w:szCs w:val="16"/>
          <w:lang w:val="es-MX"/>
        </w:rPr>
        <w:t>CICPC</w:t>
      </w:r>
      <w:r>
        <w:rPr>
          <w:sz w:val="16"/>
          <w:szCs w:val="16"/>
          <w:lang w:val="es-MX"/>
        </w:rPr>
        <w:t>). División de Siniestros. Informe técnico</w:t>
      </w:r>
      <w:r w:rsidRPr="00AF2262">
        <w:rPr>
          <w:sz w:val="16"/>
          <w:szCs w:val="16"/>
          <w:lang w:val="es-MX"/>
        </w:rPr>
        <w:t xml:space="preserve"> </w:t>
      </w:r>
      <w:r>
        <w:rPr>
          <w:sz w:val="16"/>
          <w:szCs w:val="16"/>
          <w:lang w:val="es-MX"/>
        </w:rPr>
        <w:t xml:space="preserve">No. 9700-038-293, </w:t>
      </w:r>
      <w:r w:rsidRPr="00AF2262">
        <w:rPr>
          <w:sz w:val="16"/>
          <w:szCs w:val="16"/>
          <w:lang w:val="es-MX"/>
        </w:rPr>
        <w:t>de 31 de agosto de 200</w:t>
      </w:r>
      <w:r>
        <w:rPr>
          <w:sz w:val="16"/>
          <w:szCs w:val="16"/>
          <w:lang w:val="es-MX"/>
        </w:rPr>
        <w:t>5.</w:t>
      </w:r>
      <w:r w:rsidRPr="00AF2262">
        <w:rPr>
          <w:sz w:val="16"/>
          <w:szCs w:val="16"/>
          <w:lang w:val="es-MX"/>
        </w:rPr>
        <w:t xml:space="preserve"> El </w:t>
      </w:r>
      <w:r>
        <w:rPr>
          <w:sz w:val="16"/>
          <w:szCs w:val="16"/>
          <w:lang w:val="es-MX"/>
        </w:rPr>
        <w:t>informe técnico</w:t>
      </w:r>
      <w:r w:rsidRPr="00AF2262">
        <w:rPr>
          <w:sz w:val="16"/>
          <w:szCs w:val="16"/>
          <w:lang w:val="es-MX"/>
        </w:rPr>
        <w:t xml:space="preserve"> “determinó que el</w:t>
      </w:r>
      <w:r>
        <w:rPr>
          <w:sz w:val="16"/>
          <w:szCs w:val="16"/>
          <w:lang w:val="es-MX"/>
        </w:rPr>
        <w:t xml:space="preserve"> siniestro (</w:t>
      </w:r>
      <w:r w:rsidRPr="00AF2262">
        <w:rPr>
          <w:sz w:val="16"/>
          <w:szCs w:val="16"/>
          <w:lang w:val="es-MX"/>
        </w:rPr>
        <w:t>[i</w:t>
      </w:r>
      <w:r>
        <w:rPr>
          <w:sz w:val="16"/>
          <w:szCs w:val="16"/>
          <w:lang w:val="es-MX"/>
        </w:rPr>
        <w:t>]</w:t>
      </w:r>
      <w:proofErr w:type="spellStart"/>
      <w:r w:rsidRPr="00AF2262">
        <w:rPr>
          <w:sz w:val="16"/>
          <w:szCs w:val="16"/>
          <w:lang w:val="es-MX"/>
        </w:rPr>
        <w:t>ncendio</w:t>
      </w:r>
      <w:proofErr w:type="spellEnd"/>
      <w:r>
        <w:rPr>
          <w:sz w:val="16"/>
          <w:szCs w:val="16"/>
          <w:lang w:val="es-MX"/>
        </w:rPr>
        <w:t>) […]</w:t>
      </w:r>
      <w:r w:rsidRPr="00AF2262">
        <w:rPr>
          <w:sz w:val="16"/>
          <w:szCs w:val="16"/>
          <w:lang w:val="es-MX"/>
        </w:rPr>
        <w:t xml:space="preserve"> se originó a causa de la aplicación de una</w:t>
      </w:r>
      <w:r>
        <w:rPr>
          <w:sz w:val="16"/>
          <w:szCs w:val="16"/>
          <w:lang w:val="es-MX"/>
        </w:rPr>
        <w:t xml:space="preserve"> fuente de calor externa (</w:t>
      </w:r>
      <w:r w:rsidRPr="00AF2262">
        <w:rPr>
          <w:sz w:val="16"/>
          <w:szCs w:val="16"/>
          <w:lang w:val="es-MX"/>
        </w:rPr>
        <w:t>flama abierta</w:t>
      </w:r>
      <w:r>
        <w:rPr>
          <w:sz w:val="16"/>
          <w:szCs w:val="16"/>
          <w:lang w:val="es-MX"/>
        </w:rPr>
        <w:t>)</w:t>
      </w:r>
      <w:r w:rsidRPr="00AF2262">
        <w:rPr>
          <w:sz w:val="16"/>
          <w:szCs w:val="16"/>
          <w:lang w:val="es-MX"/>
        </w:rPr>
        <w:t xml:space="preserve"> sobre los materiales combustibles</w:t>
      </w:r>
      <w:r>
        <w:rPr>
          <w:sz w:val="16"/>
          <w:szCs w:val="16"/>
          <w:lang w:val="es-MX"/>
        </w:rPr>
        <w:t xml:space="preserve"> que se encontraban dentro de la</w:t>
      </w:r>
      <w:r w:rsidRPr="00AF2262">
        <w:rPr>
          <w:sz w:val="16"/>
          <w:szCs w:val="16"/>
          <w:lang w:val="es-MX"/>
        </w:rPr>
        <w:t xml:space="preserve"> [celda 4], propagándose […] el incendio hacia las demás áreas, lo cual originó gran desprendimiento de partículas de humo y hollín”. Asimismo, estableció que no se encontró evidencia de uso de “</w:t>
      </w:r>
      <w:r>
        <w:rPr>
          <w:sz w:val="16"/>
          <w:szCs w:val="16"/>
          <w:lang w:val="es-MX"/>
        </w:rPr>
        <w:t xml:space="preserve">alguna sustancia </w:t>
      </w:r>
      <w:r w:rsidRPr="00AF2262">
        <w:rPr>
          <w:sz w:val="16"/>
          <w:szCs w:val="16"/>
          <w:lang w:val="es-MX"/>
        </w:rPr>
        <w:t>acelerante”</w:t>
      </w:r>
      <w:r>
        <w:rPr>
          <w:sz w:val="16"/>
          <w:szCs w:val="16"/>
          <w:lang w:val="es-MX"/>
        </w:rPr>
        <w:t>, y descartó que el incendio se hubiese generado por “algún fenómeno de orden eléctrico, debido a que en el lugar no existían instalaciones para fluido eléctrico”</w:t>
      </w:r>
      <w:r w:rsidRPr="00AF2262">
        <w:rPr>
          <w:sz w:val="16"/>
          <w:szCs w:val="16"/>
          <w:lang w:val="es-MX"/>
        </w:rPr>
        <w:t xml:space="preserve">. </w:t>
      </w:r>
      <w:bookmarkStart w:id="40" w:name="_Hlk36460072"/>
      <w:bookmarkEnd w:id="40"/>
      <w:r w:rsidRPr="00AF2262">
        <w:rPr>
          <w:sz w:val="16"/>
          <w:szCs w:val="16"/>
          <w:lang w:val="es-MX"/>
        </w:rPr>
        <w:t xml:space="preserve">Al respecto, la celda 4 no contaba con suministro eléctrico en su interior, </w:t>
      </w:r>
      <w:r>
        <w:rPr>
          <w:sz w:val="16"/>
          <w:szCs w:val="16"/>
          <w:lang w:val="es-MX"/>
        </w:rPr>
        <w:t xml:space="preserve">pero los internos que la habitaban </w:t>
      </w:r>
      <w:r w:rsidRPr="00AF2262">
        <w:rPr>
          <w:sz w:val="16"/>
          <w:szCs w:val="16"/>
          <w:lang w:val="es-MX"/>
        </w:rPr>
        <w:t>habían improvisado un cableado para tener electricidad dentro de la celda</w:t>
      </w:r>
      <w:r>
        <w:rPr>
          <w:sz w:val="16"/>
          <w:szCs w:val="16"/>
          <w:lang w:val="es-MX"/>
        </w:rPr>
        <w:t>.</w:t>
      </w:r>
      <w:r w:rsidRPr="00AF2262">
        <w:rPr>
          <w:sz w:val="16"/>
          <w:szCs w:val="16"/>
          <w:lang w:val="es-MX"/>
        </w:rPr>
        <w:t xml:space="preserve"> Aparentem</w:t>
      </w:r>
      <w:r w:rsidR="006D3DFC">
        <w:rPr>
          <w:sz w:val="16"/>
          <w:szCs w:val="16"/>
          <w:lang w:val="es-MX"/>
        </w:rPr>
        <w:t>ente, los internos de la celda 4</w:t>
      </w:r>
      <w:r w:rsidRPr="00AF2262">
        <w:rPr>
          <w:sz w:val="16"/>
          <w:szCs w:val="16"/>
          <w:lang w:val="es-MX"/>
        </w:rPr>
        <w:t xml:space="preserve"> encendieron las colchonetas con artefactos que habían obtenido ilícitamente a través de sus visitas, aprovechándose de la falta de seguridad del Centro (</w:t>
      </w:r>
      <w:r>
        <w:rPr>
          <w:i/>
          <w:sz w:val="16"/>
          <w:szCs w:val="16"/>
          <w:lang w:val="es-MX"/>
        </w:rPr>
        <w:t>c</w:t>
      </w:r>
      <w:r w:rsidRPr="003C748A">
        <w:rPr>
          <w:i/>
          <w:sz w:val="16"/>
          <w:szCs w:val="16"/>
          <w:lang w:val="es-MX"/>
        </w:rPr>
        <w:t>fr.</w:t>
      </w:r>
      <w:r>
        <w:rPr>
          <w:sz w:val="16"/>
          <w:szCs w:val="16"/>
          <w:lang w:val="es-MX"/>
        </w:rPr>
        <w:t xml:space="preserve"> </w:t>
      </w:r>
      <w:r w:rsidRPr="00AF2262">
        <w:rPr>
          <w:sz w:val="16"/>
          <w:szCs w:val="16"/>
          <w:lang w:val="es-CR"/>
        </w:rPr>
        <w:t>Declaración de N</w:t>
      </w:r>
      <w:r>
        <w:rPr>
          <w:sz w:val="16"/>
          <w:szCs w:val="16"/>
          <w:lang w:val="es-CR"/>
        </w:rPr>
        <w:t>.</w:t>
      </w:r>
      <w:r w:rsidRPr="00AF2262">
        <w:rPr>
          <w:sz w:val="16"/>
          <w:szCs w:val="16"/>
          <w:lang w:val="es-CR"/>
        </w:rPr>
        <w:t>R</w:t>
      </w:r>
      <w:r>
        <w:rPr>
          <w:sz w:val="16"/>
          <w:szCs w:val="16"/>
          <w:lang w:val="es-CR"/>
        </w:rPr>
        <w:t>.</w:t>
      </w:r>
      <w:r w:rsidRPr="00AF2262">
        <w:rPr>
          <w:sz w:val="16"/>
          <w:szCs w:val="16"/>
          <w:lang w:val="es-CR"/>
        </w:rPr>
        <w:t xml:space="preserve"> </w:t>
      </w:r>
      <w:r>
        <w:rPr>
          <w:sz w:val="16"/>
          <w:szCs w:val="16"/>
          <w:lang w:val="es-CR"/>
        </w:rPr>
        <w:t>d</w:t>
      </w:r>
      <w:r w:rsidRPr="00AF2262">
        <w:rPr>
          <w:sz w:val="16"/>
          <w:szCs w:val="16"/>
          <w:lang w:val="es-CR"/>
        </w:rPr>
        <w:t>e 29 de julio de 2005</w:t>
      </w:r>
      <w:r>
        <w:rPr>
          <w:sz w:val="16"/>
          <w:szCs w:val="16"/>
          <w:lang w:val="es-CR"/>
        </w:rPr>
        <w:t xml:space="preserve"> y</w:t>
      </w:r>
      <w:r w:rsidRPr="00AF2262">
        <w:rPr>
          <w:rFonts w:eastAsia="Verdana" w:cs="Verdana"/>
          <w:sz w:val="16"/>
          <w:szCs w:val="16"/>
          <w:lang w:val="es-ES" w:bidi="x-none"/>
        </w:rPr>
        <w:t xml:space="preserve"> </w:t>
      </w:r>
      <w:r w:rsidRPr="00AF2262">
        <w:rPr>
          <w:sz w:val="16"/>
          <w:szCs w:val="16"/>
          <w:lang w:val="es-CR"/>
        </w:rPr>
        <w:t>Declaración de F</w:t>
      </w:r>
      <w:r>
        <w:rPr>
          <w:sz w:val="16"/>
          <w:szCs w:val="16"/>
          <w:lang w:val="es-CR"/>
        </w:rPr>
        <w:t>.</w:t>
      </w:r>
      <w:r w:rsidRPr="00AF2262">
        <w:rPr>
          <w:sz w:val="16"/>
          <w:szCs w:val="16"/>
          <w:lang w:val="es-CR"/>
        </w:rPr>
        <w:t>G</w:t>
      </w:r>
      <w:r>
        <w:rPr>
          <w:sz w:val="16"/>
          <w:szCs w:val="16"/>
          <w:lang w:val="es-CR"/>
        </w:rPr>
        <w:t>.</w:t>
      </w:r>
      <w:r w:rsidRPr="00AF2262">
        <w:rPr>
          <w:sz w:val="16"/>
          <w:szCs w:val="16"/>
          <w:lang w:val="es-CR"/>
        </w:rPr>
        <w:t xml:space="preserve"> de 8 de agosto de 2005</w:t>
      </w:r>
      <w:r>
        <w:rPr>
          <w:sz w:val="16"/>
          <w:szCs w:val="16"/>
          <w:lang w:val="es-CR"/>
        </w:rPr>
        <w:t>)</w:t>
      </w:r>
      <w:r w:rsidRPr="00AF2262">
        <w:rPr>
          <w:sz w:val="16"/>
          <w:szCs w:val="16"/>
          <w:lang w:val="es-MX"/>
        </w:rPr>
        <w:t>. La asistente social B</w:t>
      </w:r>
      <w:r>
        <w:rPr>
          <w:sz w:val="16"/>
          <w:szCs w:val="16"/>
          <w:lang w:val="es-MX"/>
        </w:rPr>
        <w:t>.</w:t>
      </w:r>
      <w:r w:rsidRPr="00AF2262">
        <w:rPr>
          <w:sz w:val="16"/>
          <w:szCs w:val="16"/>
          <w:lang w:val="es-MX"/>
        </w:rPr>
        <w:t>H</w:t>
      </w:r>
      <w:r>
        <w:rPr>
          <w:sz w:val="16"/>
          <w:szCs w:val="16"/>
          <w:lang w:val="es-MX"/>
        </w:rPr>
        <w:t>.</w:t>
      </w:r>
      <w:r w:rsidRPr="00AF2262">
        <w:rPr>
          <w:sz w:val="16"/>
          <w:szCs w:val="16"/>
          <w:lang w:val="es-MX"/>
        </w:rPr>
        <w:t xml:space="preserve"> explicó que “cuando no está la policía, no se requisa en visita” (</w:t>
      </w:r>
      <w:r w:rsidRPr="00B03A88">
        <w:rPr>
          <w:sz w:val="16"/>
          <w:szCs w:val="16"/>
          <w:lang w:val="es-MX"/>
        </w:rPr>
        <w:t xml:space="preserve">Acta de Entrevista de </w:t>
      </w:r>
      <w:r w:rsidRPr="0066366C">
        <w:rPr>
          <w:sz w:val="16"/>
          <w:szCs w:val="16"/>
          <w:lang w:val="es-MX"/>
        </w:rPr>
        <w:t>B</w:t>
      </w:r>
      <w:r>
        <w:rPr>
          <w:sz w:val="16"/>
          <w:szCs w:val="16"/>
          <w:lang w:val="es-MX"/>
        </w:rPr>
        <w:t>.</w:t>
      </w:r>
      <w:r w:rsidRPr="0066366C">
        <w:rPr>
          <w:sz w:val="16"/>
          <w:szCs w:val="16"/>
          <w:lang w:val="es-MX"/>
        </w:rPr>
        <w:t>H</w:t>
      </w:r>
      <w:r>
        <w:rPr>
          <w:sz w:val="16"/>
          <w:szCs w:val="16"/>
          <w:lang w:val="es-MX"/>
        </w:rPr>
        <w:t>.</w:t>
      </w:r>
      <w:r w:rsidRPr="0066366C">
        <w:rPr>
          <w:sz w:val="16"/>
          <w:szCs w:val="16"/>
          <w:lang w:val="es-MX"/>
        </w:rPr>
        <w:t xml:space="preserve"> de 8 de julio de 2005</w:t>
      </w:r>
      <w:r w:rsidRPr="00AF2262">
        <w:rPr>
          <w:sz w:val="16"/>
          <w:szCs w:val="16"/>
          <w:lang w:val="es-CR"/>
        </w:rPr>
        <w:t>)</w:t>
      </w:r>
      <w:r>
        <w:rPr>
          <w:sz w:val="16"/>
          <w:szCs w:val="16"/>
          <w:lang w:val="es-CR"/>
        </w:rPr>
        <w:t>.</w:t>
      </w:r>
      <w:r w:rsidRPr="00AF2262">
        <w:rPr>
          <w:sz w:val="16"/>
          <w:szCs w:val="16"/>
          <w:lang w:val="es-MX"/>
        </w:rPr>
        <w:t xml:space="preserve"> </w:t>
      </w:r>
    </w:p>
    <w:p w14:paraId="6ABEF521" w14:textId="77777777" w:rsidR="004224C0" w:rsidRPr="00AF2262" w:rsidRDefault="004224C0" w:rsidP="00B476ED">
      <w:pPr>
        <w:pStyle w:val="Textonotapie"/>
        <w:ind w:right="-943"/>
        <w:rPr>
          <w:sz w:val="16"/>
          <w:szCs w:val="16"/>
          <w:lang w:val="es-CR"/>
        </w:rPr>
      </w:pPr>
    </w:p>
  </w:footnote>
  <w:footnote w:id="50">
    <w:p w14:paraId="3ACED0CD" w14:textId="66E14CA9"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 xml:space="preserve">Declaración de </w:t>
      </w:r>
      <w:r>
        <w:rPr>
          <w:sz w:val="16"/>
          <w:szCs w:val="16"/>
          <w:lang w:val="es-CR"/>
        </w:rPr>
        <w:t>J.</w:t>
      </w:r>
      <w:r w:rsidRPr="00AF2262">
        <w:rPr>
          <w:sz w:val="16"/>
          <w:szCs w:val="16"/>
          <w:lang w:val="es-CR"/>
        </w:rPr>
        <w:t>C</w:t>
      </w:r>
      <w:r>
        <w:rPr>
          <w:sz w:val="16"/>
          <w:szCs w:val="16"/>
          <w:lang w:val="es-CR"/>
        </w:rPr>
        <w:t>.</w:t>
      </w:r>
      <w:r w:rsidRPr="00AF2262">
        <w:rPr>
          <w:sz w:val="16"/>
          <w:szCs w:val="16"/>
          <w:lang w:val="es-CR"/>
        </w:rPr>
        <w:t xml:space="preserve"> de 29 de julio de 2005.</w:t>
      </w:r>
    </w:p>
    <w:p w14:paraId="2B2D0BD6" w14:textId="77777777" w:rsidR="004224C0" w:rsidRPr="00AF2262" w:rsidRDefault="004224C0" w:rsidP="00B476ED">
      <w:pPr>
        <w:pStyle w:val="Textonotapie"/>
        <w:ind w:right="-943"/>
        <w:rPr>
          <w:sz w:val="16"/>
          <w:szCs w:val="16"/>
          <w:lang w:val="es-CR"/>
        </w:rPr>
      </w:pPr>
    </w:p>
  </w:footnote>
  <w:footnote w:id="51">
    <w:p w14:paraId="7A2BCF87"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Acta de entrevista de C</w:t>
      </w:r>
      <w:r>
        <w:rPr>
          <w:sz w:val="16"/>
          <w:szCs w:val="16"/>
          <w:lang w:val="es-CR"/>
        </w:rPr>
        <w:t>.M.</w:t>
      </w:r>
      <w:r w:rsidRPr="00AF2262">
        <w:rPr>
          <w:sz w:val="16"/>
          <w:szCs w:val="16"/>
          <w:lang w:val="es-CR"/>
        </w:rPr>
        <w:t xml:space="preserve"> de 3 de agosto de 2005</w:t>
      </w:r>
      <w:r>
        <w:rPr>
          <w:sz w:val="16"/>
          <w:szCs w:val="16"/>
          <w:lang w:val="es-CR"/>
        </w:rPr>
        <w:t xml:space="preserve"> (expediente de prueba, fs. 1306 a 1308)</w:t>
      </w:r>
      <w:r w:rsidRPr="00AF2262">
        <w:rPr>
          <w:sz w:val="16"/>
          <w:szCs w:val="16"/>
          <w:lang w:val="es-CR"/>
        </w:rPr>
        <w:t xml:space="preserve">. </w:t>
      </w:r>
    </w:p>
    <w:p w14:paraId="7DC5767C" w14:textId="77777777" w:rsidR="004224C0" w:rsidRPr="00AF2262" w:rsidRDefault="004224C0" w:rsidP="00B476ED">
      <w:pPr>
        <w:pStyle w:val="Textonotapie"/>
        <w:ind w:right="-943"/>
        <w:rPr>
          <w:sz w:val="16"/>
          <w:szCs w:val="16"/>
          <w:lang w:val="es-CR"/>
        </w:rPr>
      </w:pPr>
    </w:p>
  </w:footnote>
  <w:footnote w:id="52">
    <w:p w14:paraId="1B5F6A69" w14:textId="3FE5CE39"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 xml:space="preserve">Declaración de </w:t>
      </w:r>
      <w:r>
        <w:rPr>
          <w:sz w:val="16"/>
          <w:szCs w:val="16"/>
          <w:lang w:val="es-CR"/>
        </w:rPr>
        <w:t>J.</w:t>
      </w:r>
      <w:r w:rsidRPr="00AF2262">
        <w:rPr>
          <w:sz w:val="16"/>
          <w:szCs w:val="16"/>
          <w:lang w:val="es-CR"/>
        </w:rPr>
        <w:t>C</w:t>
      </w:r>
      <w:r>
        <w:rPr>
          <w:sz w:val="16"/>
          <w:szCs w:val="16"/>
          <w:lang w:val="es-CR"/>
        </w:rPr>
        <w:t>.</w:t>
      </w:r>
      <w:r w:rsidRPr="00AF2262">
        <w:rPr>
          <w:sz w:val="16"/>
          <w:szCs w:val="16"/>
          <w:lang w:val="es-CR"/>
        </w:rPr>
        <w:t xml:space="preserve"> de 29 de julio de 2005</w:t>
      </w:r>
      <w:r w:rsidR="006E172A">
        <w:rPr>
          <w:sz w:val="16"/>
          <w:szCs w:val="16"/>
          <w:lang w:val="es-CR"/>
        </w:rPr>
        <w:t>.</w:t>
      </w:r>
    </w:p>
    <w:p w14:paraId="3681FF42" w14:textId="77777777" w:rsidR="004224C0" w:rsidRPr="00AF2262" w:rsidRDefault="004224C0" w:rsidP="00B476ED">
      <w:pPr>
        <w:pStyle w:val="Textonotapie"/>
        <w:ind w:right="-943"/>
        <w:rPr>
          <w:sz w:val="16"/>
          <w:szCs w:val="16"/>
          <w:lang w:val="es-CR"/>
        </w:rPr>
      </w:pPr>
    </w:p>
  </w:footnote>
  <w:footnote w:id="53">
    <w:p w14:paraId="342A5AE6" w14:textId="5AF0729C"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Declaración de N</w:t>
      </w:r>
      <w:r>
        <w:rPr>
          <w:sz w:val="16"/>
          <w:szCs w:val="16"/>
          <w:lang w:val="es-CR"/>
        </w:rPr>
        <w:t>.</w:t>
      </w:r>
      <w:r w:rsidRPr="00AF2262">
        <w:rPr>
          <w:sz w:val="16"/>
          <w:szCs w:val="16"/>
          <w:lang w:val="es-CR"/>
        </w:rPr>
        <w:t>R</w:t>
      </w:r>
      <w:r>
        <w:rPr>
          <w:sz w:val="16"/>
          <w:szCs w:val="16"/>
          <w:lang w:val="es-CR"/>
        </w:rPr>
        <w:t>.</w:t>
      </w:r>
      <w:r w:rsidRPr="00AF2262">
        <w:rPr>
          <w:sz w:val="16"/>
          <w:szCs w:val="16"/>
          <w:lang w:val="es-CR"/>
        </w:rPr>
        <w:t xml:space="preserve"> de 29 de julio de 2005.</w:t>
      </w:r>
    </w:p>
    <w:p w14:paraId="57EDEDD0" w14:textId="77777777" w:rsidR="004224C0" w:rsidRPr="00AF2262" w:rsidRDefault="004224C0" w:rsidP="00B476ED">
      <w:pPr>
        <w:pStyle w:val="Textonotapie"/>
        <w:ind w:right="-943"/>
        <w:rPr>
          <w:sz w:val="16"/>
          <w:szCs w:val="16"/>
          <w:lang w:val="es-CR"/>
        </w:rPr>
      </w:pPr>
    </w:p>
  </w:footnote>
  <w:footnote w:id="54">
    <w:p w14:paraId="5DC9309C"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Acta de reconstrucción de hechos de 31 de octubre de 2006</w:t>
      </w:r>
      <w:r>
        <w:rPr>
          <w:sz w:val="16"/>
          <w:szCs w:val="16"/>
          <w:lang w:val="es-CR"/>
        </w:rPr>
        <w:t xml:space="preserve"> (expediente de prueba, fs. 1417 a 1424)</w:t>
      </w:r>
      <w:r w:rsidRPr="00AF2262">
        <w:rPr>
          <w:sz w:val="16"/>
          <w:szCs w:val="16"/>
          <w:lang w:val="es-CR"/>
        </w:rPr>
        <w:t>.</w:t>
      </w:r>
    </w:p>
    <w:p w14:paraId="0A5AA7AB" w14:textId="77777777" w:rsidR="004224C0" w:rsidRPr="00AF2262" w:rsidRDefault="004224C0" w:rsidP="00B476ED">
      <w:pPr>
        <w:pStyle w:val="Textonotapie"/>
        <w:ind w:right="-943"/>
        <w:rPr>
          <w:sz w:val="16"/>
          <w:szCs w:val="16"/>
          <w:lang w:val="es-CR"/>
        </w:rPr>
      </w:pPr>
    </w:p>
  </w:footnote>
  <w:footnote w:id="55">
    <w:p w14:paraId="52DEFA2D"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Entrevista de C</w:t>
      </w:r>
      <w:r>
        <w:rPr>
          <w:sz w:val="16"/>
          <w:szCs w:val="16"/>
          <w:lang w:val="es-CR"/>
        </w:rPr>
        <w:t>.</w:t>
      </w:r>
      <w:r w:rsidRPr="00AF2262">
        <w:rPr>
          <w:sz w:val="16"/>
          <w:szCs w:val="16"/>
          <w:lang w:val="es-CR"/>
        </w:rPr>
        <w:t>L</w:t>
      </w:r>
      <w:r>
        <w:rPr>
          <w:sz w:val="16"/>
          <w:szCs w:val="16"/>
          <w:lang w:val="es-CR"/>
        </w:rPr>
        <w:t>.</w:t>
      </w:r>
      <w:r w:rsidRPr="00AF2262">
        <w:rPr>
          <w:sz w:val="16"/>
          <w:szCs w:val="16"/>
          <w:lang w:val="es-CR"/>
        </w:rPr>
        <w:t xml:space="preserve"> de 8 de agosto de 2005</w:t>
      </w:r>
      <w:r>
        <w:rPr>
          <w:sz w:val="16"/>
          <w:szCs w:val="16"/>
          <w:lang w:val="es-CR"/>
        </w:rPr>
        <w:t xml:space="preserve"> (expediente de prueba, fs. 1411 y 1412)</w:t>
      </w:r>
      <w:r w:rsidRPr="00AF2262">
        <w:rPr>
          <w:sz w:val="16"/>
          <w:szCs w:val="16"/>
          <w:lang w:val="es-CR"/>
        </w:rPr>
        <w:t>.</w:t>
      </w:r>
    </w:p>
    <w:p w14:paraId="4F306CE2" w14:textId="77777777" w:rsidR="004224C0" w:rsidRPr="00AF2262" w:rsidRDefault="004224C0" w:rsidP="00B476ED">
      <w:pPr>
        <w:pStyle w:val="Textonotapie"/>
        <w:ind w:right="-943"/>
        <w:rPr>
          <w:sz w:val="16"/>
          <w:szCs w:val="16"/>
          <w:lang w:val="es-CR"/>
        </w:rPr>
      </w:pPr>
    </w:p>
  </w:footnote>
  <w:footnote w:id="56">
    <w:p w14:paraId="0FCE0075"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 xml:space="preserve">Acta de entrevista de </w:t>
      </w:r>
      <w:proofErr w:type="spellStart"/>
      <w:r w:rsidRPr="003C748A">
        <w:rPr>
          <w:sz w:val="16"/>
          <w:szCs w:val="16"/>
          <w:lang w:val="es-CR"/>
        </w:rPr>
        <w:t>Osmely</w:t>
      </w:r>
      <w:proofErr w:type="spellEnd"/>
      <w:r w:rsidRPr="003C748A">
        <w:rPr>
          <w:sz w:val="16"/>
          <w:szCs w:val="16"/>
          <w:lang w:val="es-CR"/>
        </w:rPr>
        <w:t xml:space="preserve"> Mota</w:t>
      </w:r>
      <w:r w:rsidRPr="00D30A11">
        <w:rPr>
          <w:sz w:val="16"/>
          <w:szCs w:val="16"/>
          <w:lang w:val="es-CR"/>
        </w:rPr>
        <w:t xml:space="preserve"> </w:t>
      </w:r>
      <w:r w:rsidRPr="00AF2262">
        <w:rPr>
          <w:sz w:val="16"/>
          <w:szCs w:val="16"/>
          <w:lang w:val="es-CR"/>
        </w:rPr>
        <w:t>de 8 de julio de 2005</w:t>
      </w:r>
      <w:r>
        <w:rPr>
          <w:sz w:val="16"/>
          <w:szCs w:val="16"/>
          <w:lang w:val="es-CR"/>
        </w:rPr>
        <w:t xml:space="preserve"> (expediente de prueba, fs. 1384 a 1387)</w:t>
      </w:r>
      <w:r w:rsidRPr="00AF2262">
        <w:rPr>
          <w:sz w:val="16"/>
          <w:szCs w:val="16"/>
          <w:lang w:val="es-CR"/>
        </w:rPr>
        <w:t>.</w:t>
      </w:r>
    </w:p>
    <w:p w14:paraId="6CF4409F" w14:textId="77777777" w:rsidR="004224C0" w:rsidRPr="00AF2262" w:rsidRDefault="004224C0" w:rsidP="00B476ED">
      <w:pPr>
        <w:pStyle w:val="Textonotapie"/>
        <w:ind w:right="-943"/>
        <w:rPr>
          <w:sz w:val="16"/>
          <w:szCs w:val="16"/>
          <w:lang w:val="es-CR"/>
        </w:rPr>
      </w:pPr>
    </w:p>
  </w:footnote>
  <w:footnote w:id="57">
    <w:p w14:paraId="716015D6" w14:textId="77777777" w:rsidR="004224C0" w:rsidRPr="001E017C" w:rsidRDefault="004224C0" w:rsidP="00B476ED">
      <w:pPr>
        <w:pStyle w:val="Textonotapie"/>
        <w:ind w:right="-943"/>
        <w:rPr>
          <w:rFonts w:eastAsiaTheme="minorHAnsi"/>
          <w:i/>
          <w:sz w:val="16"/>
          <w:szCs w:val="16"/>
          <w:lang w:eastAsia="en-US"/>
        </w:rPr>
      </w:pPr>
      <w:r w:rsidRPr="001E017C">
        <w:rPr>
          <w:rStyle w:val="Refdenotaalpie"/>
          <w:i/>
          <w:sz w:val="16"/>
          <w:szCs w:val="16"/>
        </w:rPr>
        <w:footnoteRef/>
      </w:r>
      <w:r w:rsidRPr="001E017C">
        <w:rPr>
          <w:i/>
          <w:sz w:val="16"/>
          <w:szCs w:val="16"/>
        </w:rPr>
        <w:t xml:space="preserve"> </w:t>
      </w:r>
      <w:r w:rsidRPr="001E017C">
        <w:rPr>
          <w:i/>
          <w:sz w:val="16"/>
          <w:szCs w:val="16"/>
        </w:rPr>
        <w:tab/>
        <w:t xml:space="preserve">Cfr. </w:t>
      </w:r>
      <w:r w:rsidRPr="003C748A">
        <w:rPr>
          <w:rFonts w:eastAsiaTheme="minorHAnsi"/>
          <w:sz w:val="16"/>
          <w:szCs w:val="16"/>
          <w:lang w:eastAsia="en-US"/>
        </w:rPr>
        <w:t>Reporte de datos de despacho del Servicio Autónomo de Emergencias Bolívar 171</w:t>
      </w:r>
      <w:r>
        <w:rPr>
          <w:rFonts w:eastAsiaTheme="minorHAnsi"/>
          <w:sz w:val="16"/>
          <w:szCs w:val="16"/>
          <w:lang w:eastAsia="en-US"/>
        </w:rPr>
        <w:t xml:space="preserve"> (expediente de prueba, fs. 1699 a 1702)</w:t>
      </w:r>
      <w:r w:rsidRPr="003C748A">
        <w:rPr>
          <w:rFonts w:eastAsiaTheme="minorHAnsi"/>
          <w:sz w:val="16"/>
          <w:szCs w:val="16"/>
          <w:lang w:eastAsia="en-US"/>
        </w:rPr>
        <w:t>.</w:t>
      </w:r>
    </w:p>
    <w:p w14:paraId="0E32992C" w14:textId="77777777" w:rsidR="004224C0" w:rsidRPr="001E017C" w:rsidRDefault="004224C0" w:rsidP="00B476ED">
      <w:pPr>
        <w:pStyle w:val="Textonotapie"/>
        <w:ind w:right="-943"/>
        <w:rPr>
          <w:lang w:val="es-CR"/>
        </w:rPr>
      </w:pPr>
    </w:p>
  </w:footnote>
  <w:footnote w:id="58">
    <w:p w14:paraId="462AEC26" w14:textId="61693B14"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sidRPr="00AF2262">
        <w:rPr>
          <w:sz w:val="16"/>
          <w:szCs w:val="16"/>
          <w:lang w:val="es-MX"/>
        </w:rPr>
        <w:t xml:space="preserve">Los certificados de defunción indican que Rafael Parra Herrera, Gabriel Yáñez Sánchez y José Gregorio Mota </w:t>
      </w:r>
      <w:proofErr w:type="spellStart"/>
      <w:r w:rsidRPr="00AF2262">
        <w:rPr>
          <w:sz w:val="16"/>
          <w:szCs w:val="16"/>
          <w:lang w:val="es-MX"/>
        </w:rPr>
        <w:t>Abarullo</w:t>
      </w:r>
      <w:proofErr w:type="spellEnd"/>
      <w:r w:rsidRPr="00AF2262">
        <w:rPr>
          <w:sz w:val="16"/>
          <w:szCs w:val="16"/>
          <w:lang w:val="es-MX"/>
        </w:rPr>
        <w:t xml:space="preserve"> murieron a causa de “asfixia por sofocación” y “quemaduras de III grado”; que Cristian Molina Córdova murió a causa de “asfixia por sofocación” y “quemaduras de III grado en 65% de superficie corporal”; y que Johan Correa murió a causa de “quemaduras de III grado en 90% de superficie corporal” </w:t>
      </w:r>
      <w:r w:rsidRPr="00AF2262">
        <w:rPr>
          <w:bCs/>
          <w:sz w:val="16"/>
          <w:szCs w:val="16"/>
          <w:lang w:val="es-MX"/>
        </w:rPr>
        <w:t>(</w:t>
      </w:r>
      <w:r>
        <w:rPr>
          <w:bCs/>
          <w:i/>
          <w:sz w:val="16"/>
          <w:szCs w:val="16"/>
          <w:lang w:val="es-MX"/>
        </w:rPr>
        <w:t>c</w:t>
      </w:r>
      <w:r w:rsidRPr="00AF2262">
        <w:rPr>
          <w:bCs/>
          <w:i/>
          <w:sz w:val="16"/>
          <w:szCs w:val="16"/>
          <w:lang w:val="es-MX"/>
        </w:rPr>
        <w:t>fr.</w:t>
      </w:r>
      <w:r w:rsidRPr="00AF2262">
        <w:rPr>
          <w:bCs/>
          <w:sz w:val="16"/>
          <w:szCs w:val="16"/>
          <w:lang w:val="es-MX"/>
        </w:rPr>
        <w:t xml:space="preserve"> </w:t>
      </w:r>
      <w:r w:rsidRPr="00AF2262">
        <w:rPr>
          <w:sz w:val="16"/>
          <w:szCs w:val="16"/>
          <w:lang w:val="es-CR"/>
        </w:rPr>
        <w:t>Certificados de defunción</w:t>
      </w:r>
      <w:r>
        <w:rPr>
          <w:sz w:val="16"/>
          <w:szCs w:val="16"/>
          <w:lang w:val="es-CR"/>
        </w:rPr>
        <w:t xml:space="preserve"> (expediente de prueba, fs. 1213, 1215, 1217, 1219 y 1221))</w:t>
      </w:r>
      <w:r w:rsidRPr="00AF2262">
        <w:rPr>
          <w:sz w:val="16"/>
          <w:szCs w:val="16"/>
          <w:lang w:val="es-CR"/>
        </w:rPr>
        <w:t xml:space="preserve">. Véase también, Acta de </w:t>
      </w:r>
      <w:r>
        <w:rPr>
          <w:sz w:val="16"/>
          <w:szCs w:val="16"/>
          <w:lang w:val="es-CR"/>
        </w:rPr>
        <w:t>investigación penal de</w:t>
      </w:r>
      <w:r w:rsidRPr="00AF2262">
        <w:rPr>
          <w:sz w:val="16"/>
          <w:szCs w:val="16"/>
          <w:lang w:val="es-CR"/>
        </w:rPr>
        <w:t xml:space="preserve"> 30 de junio de 2005 (</w:t>
      </w:r>
      <w:r>
        <w:rPr>
          <w:sz w:val="16"/>
          <w:szCs w:val="16"/>
          <w:lang w:val="es-CR"/>
        </w:rPr>
        <w:t>expediente de prueba, f. 1426)</w:t>
      </w:r>
      <w:r w:rsidRPr="00AF2262">
        <w:rPr>
          <w:sz w:val="16"/>
          <w:szCs w:val="16"/>
          <w:lang w:val="es-CR"/>
        </w:rPr>
        <w:t xml:space="preserve">. </w:t>
      </w:r>
    </w:p>
    <w:p w14:paraId="77B24C5C" w14:textId="77777777" w:rsidR="004224C0" w:rsidRPr="00AF2262" w:rsidRDefault="004224C0" w:rsidP="00B476ED">
      <w:pPr>
        <w:pStyle w:val="Textonotapie"/>
        <w:ind w:right="-943"/>
        <w:rPr>
          <w:sz w:val="16"/>
          <w:szCs w:val="16"/>
          <w:lang w:val="es-CR"/>
        </w:rPr>
      </w:pPr>
    </w:p>
  </w:footnote>
  <w:footnote w:id="59">
    <w:p w14:paraId="0E286E78"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sidRPr="00F100AA">
        <w:rPr>
          <w:sz w:val="16"/>
          <w:szCs w:val="16"/>
          <w:lang w:val="es-CR"/>
        </w:rPr>
        <w:t xml:space="preserve">Según una nota de prensa, </w:t>
      </w:r>
      <w:r>
        <w:rPr>
          <w:sz w:val="16"/>
          <w:szCs w:val="16"/>
          <w:lang w:val="es-CR"/>
        </w:rPr>
        <w:t>familiares indicaron</w:t>
      </w:r>
      <w:r w:rsidRPr="00F100AA">
        <w:rPr>
          <w:sz w:val="16"/>
          <w:szCs w:val="16"/>
          <w:lang w:val="es-CR"/>
        </w:rPr>
        <w:t xml:space="preserve"> “que ahí se hi[</w:t>
      </w:r>
      <w:proofErr w:type="spellStart"/>
      <w:r w:rsidRPr="00F100AA">
        <w:rPr>
          <w:sz w:val="16"/>
          <w:szCs w:val="16"/>
          <w:lang w:val="es-CR"/>
        </w:rPr>
        <w:t>zo</w:t>
      </w:r>
      <w:proofErr w:type="spellEnd"/>
      <w:r w:rsidRPr="00F100AA">
        <w:rPr>
          <w:sz w:val="16"/>
          <w:szCs w:val="16"/>
          <w:lang w:val="es-CR"/>
        </w:rPr>
        <w:t>] todo para que los muchachos murieran, porque ellos denunciaron que ahí había corrupción de todo tipo y no hicieron nada para salvarlos</w:t>
      </w:r>
      <w:r>
        <w:rPr>
          <w:sz w:val="16"/>
          <w:szCs w:val="16"/>
          <w:lang w:val="es-CR"/>
        </w:rPr>
        <w:t>” (</w:t>
      </w:r>
      <w:r w:rsidRPr="00AF2262">
        <w:rPr>
          <w:sz w:val="16"/>
          <w:szCs w:val="16"/>
          <w:lang w:val="es-CR"/>
        </w:rPr>
        <w:t>Correo del Caroní, “Fiscalía imputa por homicidio intencional a ex directos del INAM”</w:t>
      </w:r>
      <w:r>
        <w:rPr>
          <w:sz w:val="16"/>
          <w:szCs w:val="16"/>
          <w:lang w:val="es-CR"/>
        </w:rPr>
        <w:t>,</w:t>
      </w:r>
      <w:r w:rsidRPr="00AF2262">
        <w:rPr>
          <w:sz w:val="16"/>
          <w:szCs w:val="16"/>
          <w:lang w:val="es-CR"/>
        </w:rPr>
        <w:t xml:space="preserve"> de 9 de mayo de 2006. </w:t>
      </w:r>
      <w:r>
        <w:rPr>
          <w:sz w:val="16"/>
          <w:szCs w:val="16"/>
          <w:lang w:val="es-CR"/>
        </w:rPr>
        <w:t>(expediente de prueba, f. 1359))</w:t>
      </w:r>
      <w:r w:rsidRPr="00AF2262">
        <w:rPr>
          <w:sz w:val="16"/>
          <w:szCs w:val="16"/>
          <w:lang w:val="es-CR"/>
        </w:rPr>
        <w:t xml:space="preserve">. </w:t>
      </w:r>
    </w:p>
    <w:p w14:paraId="4022AD9D" w14:textId="77777777" w:rsidR="004224C0" w:rsidRPr="00AF2262" w:rsidRDefault="004224C0" w:rsidP="00B476ED">
      <w:pPr>
        <w:pStyle w:val="Textonotapie"/>
        <w:ind w:right="-943"/>
        <w:rPr>
          <w:sz w:val="16"/>
          <w:szCs w:val="16"/>
          <w:lang w:val="es-CR"/>
        </w:rPr>
      </w:pPr>
    </w:p>
  </w:footnote>
  <w:footnote w:id="60">
    <w:p w14:paraId="0D6B2679" w14:textId="2D39F292" w:rsidR="004224C0" w:rsidRPr="00D30A11" w:rsidRDefault="004224C0" w:rsidP="00B476ED">
      <w:pPr>
        <w:pStyle w:val="Textonotapie"/>
        <w:ind w:right="-943"/>
        <w:rPr>
          <w:b/>
          <w:bCs/>
          <w:sz w:val="16"/>
          <w:szCs w:val="16"/>
          <w:lang w:val="es-MX"/>
        </w:rPr>
      </w:pPr>
      <w:r w:rsidRPr="00AF2262">
        <w:rPr>
          <w:rStyle w:val="Refdenotaalpie"/>
          <w:sz w:val="16"/>
          <w:szCs w:val="16"/>
        </w:rPr>
        <w:footnoteRef/>
      </w:r>
      <w:r w:rsidRPr="00AF2262">
        <w:rPr>
          <w:sz w:val="16"/>
          <w:szCs w:val="16"/>
        </w:rPr>
        <w:t xml:space="preserve"> </w:t>
      </w:r>
      <w:r w:rsidRPr="00AF2262">
        <w:rPr>
          <w:sz w:val="16"/>
          <w:szCs w:val="16"/>
        </w:rPr>
        <w:tab/>
      </w:r>
      <w:r w:rsidRPr="00AF2262">
        <w:rPr>
          <w:sz w:val="16"/>
          <w:szCs w:val="16"/>
          <w:lang w:val="es-MX"/>
        </w:rPr>
        <w:t>El 23 de junio de 2005 una jueza declaró que la llamaron al INAM-San Félix, porque “[</w:t>
      </w:r>
      <w:r>
        <w:rPr>
          <w:sz w:val="16"/>
          <w:szCs w:val="16"/>
          <w:lang w:val="es-MX"/>
        </w:rPr>
        <w:t>C.</w:t>
      </w:r>
      <w:r w:rsidRPr="00AF2262">
        <w:rPr>
          <w:sz w:val="16"/>
          <w:szCs w:val="16"/>
          <w:lang w:val="es-MX"/>
        </w:rPr>
        <w:t>Z.], Correa, Herrera y [</w:t>
      </w:r>
      <w:r>
        <w:rPr>
          <w:sz w:val="16"/>
          <w:szCs w:val="16"/>
          <w:lang w:val="es-MX"/>
        </w:rPr>
        <w:t>J.</w:t>
      </w:r>
      <w:r w:rsidRPr="00AF2262">
        <w:rPr>
          <w:sz w:val="16"/>
          <w:szCs w:val="16"/>
          <w:lang w:val="es-MX"/>
        </w:rPr>
        <w:t xml:space="preserve">L.]” insistían en hablar con ella. Indicó que los jóvenes denunciaron ante ella “que había representantes [legales] que los viernes […] los sábados en la noche formaban parrandas con el maestro que estuviera de guardia y que después esos padres </w:t>
      </w:r>
      <w:r>
        <w:rPr>
          <w:sz w:val="16"/>
          <w:szCs w:val="16"/>
          <w:lang w:val="es-MX"/>
        </w:rPr>
        <w:t xml:space="preserve">se </w:t>
      </w:r>
      <w:r w:rsidRPr="00AF2262">
        <w:rPr>
          <w:sz w:val="16"/>
          <w:szCs w:val="16"/>
          <w:lang w:val="es-MX"/>
        </w:rPr>
        <w:t>llevaban a sus hijos para sus casas, que en una oportunidad incluso le llevaron a uno de los internos unas botellas de aguardiente [y] que un</w:t>
      </w:r>
      <w:r>
        <w:rPr>
          <w:sz w:val="16"/>
          <w:szCs w:val="16"/>
          <w:lang w:val="es-MX"/>
        </w:rPr>
        <w:t>a</w:t>
      </w:r>
      <w:r w:rsidRPr="00AF2262">
        <w:rPr>
          <w:sz w:val="16"/>
          <w:szCs w:val="16"/>
          <w:lang w:val="es-MX"/>
        </w:rPr>
        <w:t xml:space="preserve"> vez el director </w:t>
      </w:r>
      <w:proofErr w:type="spellStart"/>
      <w:r w:rsidRPr="00AF2262">
        <w:rPr>
          <w:sz w:val="16"/>
          <w:szCs w:val="16"/>
          <w:lang w:val="es-MX"/>
        </w:rPr>
        <w:t>lle</w:t>
      </w:r>
      <w:proofErr w:type="spellEnd"/>
      <w:r w:rsidRPr="00AF2262">
        <w:rPr>
          <w:sz w:val="16"/>
          <w:szCs w:val="16"/>
          <w:lang w:val="es-MX"/>
        </w:rPr>
        <w:t>[</w:t>
      </w:r>
      <w:proofErr w:type="spellStart"/>
      <w:r w:rsidRPr="00AF2262">
        <w:rPr>
          <w:sz w:val="16"/>
          <w:szCs w:val="16"/>
          <w:lang w:val="es-MX"/>
        </w:rPr>
        <w:t>gó</w:t>
      </w:r>
      <w:proofErr w:type="spellEnd"/>
      <w:r w:rsidRPr="00AF2262">
        <w:rPr>
          <w:sz w:val="16"/>
          <w:szCs w:val="16"/>
          <w:lang w:val="es-MX"/>
        </w:rPr>
        <w:t>] borracho a realizar un</w:t>
      </w:r>
      <w:r>
        <w:rPr>
          <w:sz w:val="16"/>
          <w:szCs w:val="16"/>
          <w:lang w:val="es-MX"/>
        </w:rPr>
        <w:t>a</w:t>
      </w:r>
      <w:r w:rsidRPr="00AF2262">
        <w:rPr>
          <w:sz w:val="16"/>
          <w:szCs w:val="16"/>
          <w:lang w:val="es-MX"/>
        </w:rPr>
        <w:t xml:space="preserve"> requisa con unas personas que ellos no conocían”. También habrían denunciado la práctica de dar salidas anticipadas a los internos a cambio de pagos a los maestros (</w:t>
      </w:r>
      <w:r w:rsidRPr="003C748A">
        <w:rPr>
          <w:i/>
          <w:sz w:val="16"/>
          <w:szCs w:val="16"/>
          <w:lang w:val="es-MX"/>
        </w:rPr>
        <w:t xml:space="preserve">cfr. </w:t>
      </w:r>
      <w:r w:rsidRPr="00AF2262">
        <w:rPr>
          <w:sz w:val="16"/>
          <w:szCs w:val="16"/>
          <w:lang w:val="es-CR"/>
        </w:rPr>
        <w:t>Declaración de Y</w:t>
      </w:r>
      <w:r>
        <w:rPr>
          <w:sz w:val="16"/>
          <w:szCs w:val="16"/>
          <w:lang w:val="es-CR"/>
        </w:rPr>
        <w:t>.</w:t>
      </w:r>
      <w:r w:rsidRPr="00AF2262">
        <w:rPr>
          <w:sz w:val="16"/>
          <w:szCs w:val="16"/>
          <w:lang w:val="es-CR"/>
        </w:rPr>
        <w:t>B</w:t>
      </w:r>
      <w:r>
        <w:rPr>
          <w:sz w:val="16"/>
          <w:szCs w:val="16"/>
          <w:lang w:val="es-CR"/>
        </w:rPr>
        <w:t>.</w:t>
      </w:r>
      <w:r w:rsidRPr="00AF2262">
        <w:rPr>
          <w:sz w:val="16"/>
          <w:szCs w:val="16"/>
          <w:lang w:val="es-CR"/>
        </w:rPr>
        <w:t xml:space="preserve"> de 31 de agosto de 2005</w:t>
      </w:r>
      <w:r>
        <w:rPr>
          <w:sz w:val="16"/>
          <w:szCs w:val="16"/>
          <w:lang w:val="es-CR"/>
        </w:rPr>
        <w:t>)</w:t>
      </w:r>
      <w:r w:rsidRPr="00AF2262">
        <w:rPr>
          <w:sz w:val="16"/>
          <w:szCs w:val="16"/>
          <w:lang w:val="es-CR"/>
        </w:rPr>
        <w:t xml:space="preserve">. Véase también: </w:t>
      </w:r>
      <w:r>
        <w:rPr>
          <w:sz w:val="16"/>
          <w:szCs w:val="16"/>
          <w:lang w:val="es-CR"/>
        </w:rPr>
        <w:t>d</w:t>
      </w:r>
      <w:r w:rsidRPr="00AF2262">
        <w:rPr>
          <w:sz w:val="16"/>
          <w:szCs w:val="16"/>
          <w:lang w:val="es-CR"/>
        </w:rPr>
        <w:t>eclaración de C</w:t>
      </w:r>
      <w:r>
        <w:rPr>
          <w:sz w:val="16"/>
          <w:szCs w:val="16"/>
          <w:lang w:val="es-CR"/>
        </w:rPr>
        <w:t>.</w:t>
      </w:r>
      <w:r w:rsidRPr="00AF2262">
        <w:rPr>
          <w:sz w:val="16"/>
          <w:szCs w:val="16"/>
          <w:lang w:val="es-CR"/>
        </w:rPr>
        <w:t>Z</w:t>
      </w:r>
      <w:r>
        <w:rPr>
          <w:sz w:val="16"/>
          <w:szCs w:val="16"/>
          <w:lang w:val="es-CR"/>
        </w:rPr>
        <w:t xml:space="preserve">. </w:t>
      </w:r>
      <w:r w:rsidRPr="00AF2262">
        <w:rPr>
          <w:sz w:val="16"/>
          <w:szCs w:val="16"/>
          <w:lang w:val="es-CR"/>
        </w:rPr>
        <w:t>de 29 de julio de 2005</w:t>
      </w:r>
      <w:r>
        <w:rPr>
          <w:sz w:val="16"/>
          <w:szCs w:val="16"/>
          <w:lang w:val="es-CR"/>
        </w:rPr>
        <w:t xml:space="preserve"> (expediente de prueba, fs. 1337 a 1339)</w:t>
      </w:r>
      <w:r w:rsidRPr="00AF2262">
        <w:rPr>
          <w:sz w:val="16"/>
          <w:szCs w:val="16"/>
          <w:lang w:val="es-CR"/>
        </w:rPr>
        <w:t xml:space="preserve"> y </w:t>
      </w:r>
      <w:r>
        <w:rPr>
          <w:sz w:val="16"/>
          <w:szCs w:val="16"/>
          <w:lang w:val="es-CR"/>
        </w:rPr>
        <w:t>d</w:t>
      </w:r>
      <w:r w:rsidRPr="00AF2262">
        <w:rPr>
          <w:sz w:val="16"/>
          <w:szCs w:val="16"/>
          <w:lang w:val="es-CR"/>
        </w:rPr>
        <w:t>eclaración de J</w:t>
      </w:r>
      <w:r>
        <w:rPr>
          <w:sz w:val="16"/>
          <w:szCs w:val="16"/>
          <w:lang w:val="es-CR"/>
        </w:rPr>
        <w:t>.</w:t>
      </w:r>
      <w:r w:rsidRPr="00AF2262">
        <w:rPr>
          <w:sz w:val="16"/>
          <w:szCs w:val="16"/>
          <w:lang w:val="es-CR"/>
        </w:rPr>
        <w:t>L</w:t>
      </w:r>
      <w:r>
        <w:rPr>
          <w:sz w:val="16"/>
          <w:szCs w:val="16"/>
          <w:lang w:val="es-CR"/>
        </w:rPr>
        <w:t>.</w:t>
      </w:r>
      <w:r w:rsidRPr="00AF2262">
        <w:rPr>
          <w:sz w:val="16"/>
          <w:szCs w:val="16"/>
          <w:lang w:val="es-CR"/>
        </w:rPr>
        <w:t xml:space="preserve"> de 29 de julio de 2005</w:t>
      </w:r>
      <w:r>
        <w:rPr>
          <w:sz w:val="16"/>
          <w:szCs w:val="16"/>
          <w:lang w:val="es-CR"/>
        </w:rPr>
        <w:t xml:space="preserve"> (expediente de prueba, fs. 1341 y 1342)</w:t>
      </w:r>
      <w:r w:rsidRPr="00AF2262">
        <w:rPr>
          <w:sz w:val="16"/>
          <w:szCs w:val="16"/>
          <w:lang w:val="es-MX"/>
        </w:rPr>
        <w:t xml:space="preserve">. La jueza declaró que ella y su equipo se </w:t>
      </w:r>
      <w:r w:rsidRPr="00D30A11">
        <w:rPr>
          <w:sz w:val="16"/>
          <w:szCs w:val="16"/>
          <w:lang w:val="es-MX"/>
        </w:rPr>
        <w:t xml:space="preserve">encontraban investigando cuando sucedieron los hechos ocho días después. </w:t>
      </w:r>
    </w:p>
    <w:p w14:paraId="62AF998A" w14:textId="77777777" w:rsidR="004224C0" w:rsidRPr="00D30A11" w:rsidRDefault="004224C0" w:rsidP="00B476ED">
      <w:pPr>
        <w:pStyle w:val="Textonotapie"/>
        <w:ind w:right="-943"/>
        <w:rPr>
          <w:sz w:val="16"/>
          <w:szCs w:val="16"/>
          <w:lang w:val="es-CR"/>
        </w:rPr>
      </w:pPr>
    </w:p>
  </w:footnote>
  <w:footnote w:id="61">
    <w:p w14:paraId="05A23C12" w14:textId="77777777" w:rsidR="004224C0" w:rsidRPr="00D30A11" w:rsidRDefault="004224C0" w:rsidP="00B476ED">
      <w:pPr>
        <w:pStyle w:val="Textonotapie"/>
        <w:ind w:right="-943"/>
        <w:rPr>
          <w:sz w:val="16"/>
          <w:szCs w:val="16"/>
          <w:lang w:val="es-CR"/>
        </w:rPr>
      </w:pPr>
      <w:r w:rsidRPr="00D30A11">
        <w:rPr>
          <w:rStyle w:val="Refdenotaalpie"/>
          <w:sz w:val="16"/>
          <w:szCs w:val="16"/>
        </w:rPr>
        <w:footnoteRef/>
      </w:r>
      <w:r w:rsidRPr="00D30A11">
        <w:rPr>
          <w:sz w:val="16"/>
          <w:szCs w:val="16"/>
        </w:rPr>
        <w:t xml:space="preserve"> </w:t>
      </w:r>
      <w:r w:rsidRPr="00D30A11">
        <w:rPr>
          <w:sz w:val="16"/>
          <w:szCs w:val="16"/>
        </w:rPr>
        <w:tab/>
      </w:r>
      <w:r w:rsidRPr="00D30A11">
        <w:rPr>
          <w:i/>
          <w:sz w:val="16"/>
          <w:szCs w:val="16"/>
          <w:lang w:val="es-MX"/>
        </w:rPr>
        <w:t>Cfr</w:t>
      </w:r>
      <w:r w:rsidRPr="00D30A11">
        <w:rPr>
          <w:sz w:val="16"/>
          <w:szCs w:val="16"/>
          <w:lang w:val="es-MX"/>
        </w:rPr>
        <w:t xml:space="preserve">. Acta de Entrevista de B.H. de 8 de julio de 2005; </w:t>
      </w:r>
      <w:r w:rsidRPr="00D30A11">
        <w:rPr>
          <w:sz w:val="16"/>
          <w:szCs w:val="16"/>
        </w:rPr>
        <w:t>Declaración de B.H. de 29 de julio de 2005; D</w:t>
      </w:r>
      <w:proofErr w:type="spellStart"/>
      <w:r w:rsidRPr="00D30A11">
        <w:rPr>
          <w:sz w:val="16"/>
          <w:szCs w:val="16"/>
          <w:lang w:val="es-CR"/>
        </w:rPr>
        <w:t>eclaración</w:t>
      </w:r>
      <w:proofErr w:type="spellEnd"/>
      <w:r w:rsidRPr="00D30A11">
        <w:rPr>
          <w:sz w:val="16"/>
          <w:szCs w:val="16"/>
          <w:lang w:val="es-CR"/>
        </w:rPr>
        <w:t xml:space="preserve"> de C.Z. de 29 de julio de 2005; Declaración de J.L</w:t>
      </w:r>
      <w:r>
        <w:rPr>
          <w:sz w:val="16"/>
          <w:szCs w:val="16"/>
          <w:lang w:val="es-CR"/>
        </w:rPr>
        <w:t>.</w:t>
      </w:r>
      <w:r w:rsidRPr="00D30A11">
        <w:rPr>
          <w:sz w:val="16"/>
          <w:szCs w:val="16"/>
          <w:lang w:val="es-CR"/>
        </w:rPr>
        <w:t xml:space="preserve"> de 29 de julio de 2005; Declaración de N.R.</w:t>
      </w:r>
      <w:r w:rsidRPr="00D30A11">
        <w:rPr>
          <w:strike/>
          <w:sz w:val="16"/>
          <w:szCs w:val="16"/>
          <w:lang w:val="es-CR"/>
        </w:rPr>
        <w:t xml:space="preserve"> </w:t>
      </w:r>
      <w:r w:rsidRPr="00D30A11">
        <w:rPr>
          <w:sz w:val="16"/>
          <w:szCs w:val="16"/>
          <w:lang w:val="es-CR"/>
        </w:rPr>
        <w:t>de 29 de julio de 2005; Acta de entrevista de C.M. de 3 de agosto de 2005; Declaración de F.G. de 8 de agosto de 2005; Acta de entrevista de J.M. de 12 de agosto de 2005 (expediente de prueba, fs. 1457), y Declaración de Y.B. de 31 de agosto de 2005.</w:t>
      </w:r>
    </w:p>
    <w:p w14:paraId="3BE73876" w14:textId="77777777" w:rsidR="004224C0" w:rsidRPr="00D30A11" w:rsidRDefault="004224C0" w:rsidP="00B476ED">
      <w:pPr>
        <w:pStyle w:val="Textonotapie"/>
        <w:ind w:right="-943"/>
        <w:rPr>
          <w:sz w:val="16"/>
          <w:szCs w:val="16"/>
          <w:lang w:val="es-CR"/>
        </w:rPr>
      </w:pPr>
    </w:p>
  </w:footnote>
  <w:footnote w:id="62">
    <w:p w14:paraId="306DCA01" w14:textId="7A6785DD" w:rsidR="004224C0" w:rsidRPr="00D30A11" w:rsidRDefault="004224C0" w:rsidP="00B476ED">
      <w:pPr>
        <w:pStyle w:val="Textonotapie"/>
        <w:ind w:right="-943"/>
        <w:rPr>
          <w:sz w:val="16"/>
          <w:szCs w:val="16"/>
          <w:lang w:val="es-MX"/>
        </w:rPr>
      </w:pPr>
      <w:r w:rsidRPr="003C748A">
        <w:rPr>
          <w:rStyle w:val="Refdenotaalpie"/>
          <w:sz w:val="16"/>
          <w:szCs w:val="16"/>
        </w:rPr>
        <w:footnoteRef/>
      </w:r>
      <w:r w:rsidRPr="003C748A">
        <w:rPr>
          <w:sz w:val="16"/>
          <w:szCs w:val="16"/>
        </w:rPr>
        <w:t xml:space="preserve"> </w:t>
      </w:r>
      <w:r w:rsidRPr="003C748A">
        <w:rPr>
          <w:sz w:val="16"/>
          <w:szCs w:val="16"/>
        </w:rPr>
        <w:tab/>
      </w:r>
      <w:r w:rsidRPr="00D30A11">
        <w:rPr>
          <w:sz w:val="16"/>
          <w:szCs w:val="16"/>
          <w:lang w:val="es-CR"/>
        </w:rPr>
        <w:t xml:space="preserve">Cuerpo de Investigaciones Científicas, Penales y Criminalísticas </w:t>
      </w:r>
      <w:r w:rsidRPr="00D30A11">
        <w:rPr>
          <w:sz w:val="16"/>
          <w:szCs w:val="16"/>
          <w:lang w:val="es-MX"/>
        </w:rPr>
        <w:t>(CICPC). División de Siniestros. Informe técnico No. 9700-038-293, de 31 de agosto de 2005.</w:t>
      </w:r>
    </w:p>
    <w:p w14:paraId="7EEB589C" w14:textId="77777777" w:rsidR="004224C0" w:rsidRPr="003C748A" w:rsidRDefault="004224C0" w:rsidP="00B476ED">
      <w:pPr>
        <w:pStyle w:val="Textonotapie"/>
        <w:ind w:right="-943"/>
        <w:rPr>
          <w:sz w:val="16"/>
          <w:szCs w:val="16"/>
          <w:lang w:val="es-CR"/>
        </w:rPr>
      </w:pPr>
    </w:p>
  </w:footnote>
  <w:footnote w:id="63">
    <w:p w14:paraId="25B3471E" w14:textId="77777777" w:rsidR="004224C0" w:rsidRPr="00D30A11" w:rsidRDefault="004224C0" w:rsidP="00B476ED">
      <w:pPr>
        <w:pStyle w:val="Textonotapie"/>
        <w:ind w:right="-943"/>
        <w:rPr>
          <w:sz w:val="16"/>
          <w:szCs w:val="16"/>
          <w:lang w:val="es-CR"/>
        </w:rPr>
      </w:pPr>
      <w:r w:rsidRPr="00D30A11">
        <w:rPr>
          <w:rStyle w:val="Refdenotaalpie"/>
          <w:sz w:val="16"/>
          <w:szCs w:val="16"/>
        </w:rPr>
        <w:footnoteRef/>
      </w:r>
      <w:r w:rsidRPr="00D30A11">
        <w:rPr>
          <w:sz w:val="16"/>
          <w:szCs w:val="16"/>
          <w:lang w:val="es-CR"/>
        </w:rPr>
        <w:t xml:space="preserve"> </w:t>
      </w:r>
      <w:r w:rsidRPr="00D30A11">
        <w:rPr>
          <w:sz w:val="16"/>
          <w:szCs w:val="16"/>
          <w:lang w:val="es-CR"/>
        </w:rPr>
        <w:tab/>
      </w:r>
      <w:r>
        <w:rPr>
          <w:sz w:val="16"/>
          <w:szCs w:val="16"/>
          <w:lang w:val="es-CR"/>
        </w:rPr>
        <w:t>Cfr. P</w:t>
      </w:r>
      <w:r w:rsidRPr="00D30A11">
        <w:rPr>
          <w:sz w:val="16"/>
          <w:szCs w:val="16"/>
          <w:lang w:val="es-CR"/>
        </w:rPr>
        <w:t>etitorio de exhumación de 5 de diciembre de 2005</w:t>
      </w:r>
      <w:r>
        <w:rPr>
          <w:sz w:val="16"/>
          <w:szCs w:val="16"/>
          <w:lang w:val="es-CR"/>
        </w:rPr>
        <w:t xml:space="preserve"> (expediente de prueba, fs. 1469 a 1471)</w:t>
      </w:r>
      <w:r w:rsidRPr="00D30A11">
        <w:rPr>
          <w:sz w:val="16"/>
          <w:szCs w:val="16"/>
          <w:lang w:val="es-CR"/>
        </w:rPr>
        <w:t>.</w:t>
      </w:r>
    </w:p>
    <w:p w14:paraId="69BC19D8" w14:textId="77777777" w:rsidR="004224C0" w:rsidRPr="00AF2262" w:rsidRDefault="004224C0" w:rsidP="00B476ED">
      <w:pPr>
        <w:pStyle w:val="Textonotapie"/>
        <w:ind w:right="-943"/>
        <w:rPr>
          <w:sz w:val="16"/>
          <w:szCs w:val="16"/>
          <w:lang w:val="es-CR"/>
        </w:rPr>
      </w:pPr>
    </w:p>
  </w:footnote>
  <w:footnote w:id="64">
    <w:p w14:paraId="70386C67" w14:textId="5727E211" w:rsidR="004224C0" w:rsidRPr="004A685B" w:rsidRDefault="004224C0" w:rsidP="00B476ED">
      <w:pPr>
        <w:pStyle w:val="Textonotapie"/>
        <w:ind w:right="-943"/>
        <w:rPr>
          <w:b/>
          <w:bCs/>
          <w:sz w:val="16"/>
          <w:szCs w:val="16"/>
          <w:lang w:val="es-MX"/>
        </w:rPr>
      </w:pPr>
      <w:r w:rsidRPr="004A685B">
        <w:rPr>
          <w:rStyle w:val="Refdenotaalpie"/>
          <w:sz w:val="16"/>
          <w:szCs w:val="16"/>
        </w:rPr>
        <w:footnoteRef/>
      </w:r>
      <w:r w:rsidRPr="004A685B">
        <w:rPr>
          <w:sz w:val="16"/>
          <w:szCs w:val="16"/>
        </w:rPr>
        <w:t xml:space="preserve"> </w:t>
      </w:r>
      <w:r w:rsidRPr="004A685B">
        <w:rPr>
          <w:sz w:val="16"/>
          <w:szCs w:val="16"/>
          <w:lang w:val="es-CR"/>
        </w:rPr>
        <w:t xml:space="preserve"> </w:t>
      </w:r>
      <w:r w:rsidRPr="004A685B">
        <w:rPr>
          <w:sz w:val="16"/>
          <w:szCs w:val="16"/>
          <w:lang w:val="es-CR"/>
        </w:rPr>
        <w:tab/>
      </w:r>
      <w:r w:rsidRPr="004A685B">
        <w:rPr>
          <w:sz w:val="16"/>
          <w:szCs w:val="16"/>
          <w:lang w:val="es-MX"/>
        </w:rPr>
        <w:t xml:space="preserve">Además, las autoridades del Estado entrevistaron a las personas que asistieron a las autopsias, quienes sostuvieron que los cadáveres olían solamente a “carne quemada” </w:t>
      </w:r>
      <w:r>
        <w:rPr>
          <w:sz w:val="16"/>
          <w:szCs w:val="16"/>
          <w:lang w:val="es-MX"/>
        </w:rPr>
        <w:t>(</w:t>
      </w:r>
      <w:r w:rsidRPr="003C748A">
        <w:rPr>
          <w:i/>
          <w:sz w:val="16"/>
          <w:szCs w:val="16"/>
          <w:lang w:val="es-MX"/>
        </w:rPr>
        <w:t>cfr</w:t>
      </w:r>
      <w:r>
        <w:rPr>
          <w:sz w:val="16"/>
          <w:szCs w:val="16"/>
          <w:lang w:val="es-MX"/>
        </w:rPr>
        <w:t>. Declaración de O.R</w:t>
      </w:r>
      <w:r w:rsidR="006E172A">
        <w:rPr>
          <w:sz w:val="16"/>
          <w:szCs w:val="16"/>
          <w:lang w:val="es-MX"/>
        </w:rPr>
        <w:t>.</w:t>
      </w:r>
      <w:r>
        <w:rPr>
          <w:sz w:val="16"/>
          <w:szCs w:val="16"/>
          <w:lang w:val="es-MX"/>
        </w:rPr>
        <w:t xml:space="preserve"> de 31 de agosto de 2005 (expediente de prueba, f. 1479) y Declaración de A.L. de 31 de agosto de 2005 (expediente de prueba, f. 1481)).</w:t>
      </w:r>
    </w:p>
    <w:p w14:paraId="3FA38BB4" w14:textId="77777777" w:rsidR="004224C0" w:rsidRPr="004A685B" w:rsidRDefault="004224C0" w:rsidP="00B476ED">
      <w:pPr>
        <w:pStyle w:val="Textonotapie"/>
        <w:ind w:right="-943"/>
        <w:rPr>
          <w:lang w:val="es-CR"/>
        </w:rPr>
      </w:pPr>
    </w:p>
  </w:footnote>
  <w:footnote w:id="65">
    <w:p w14:paraId="00333B9B" w14:textId="77777777" w:rsidR="004224C0" w:rsidRPr="003C748A" w:rsidRDefault="004224C0" w:rsidP="00B476ED">
      <w:pPr>
        <w:pStyle w:val="Textonotapie"/>
        <w:ind w:right="-943"/>
        <w:rPr>
          <w:sz w:val="16"/>
          <w:szCs w:val="16"/>
          <w:lang w:val="es-CR"/>
        </w:rPr>
      </w:pPr>
      <w:r w:rsidRPr="003C748A">
        <w:rPr>
          <w:rStyle w:val="Refdenotaalpie"/>
          <w:sz w:val="16"/>
          <w:szCs w:val="16"/>
        </w:rPr>
        <w:footnoteRef/>
      </w:r>
      <w:r w:rsidRPr="003C748A">
        <w:rPr>
          <w:sz w:val="16"/>
          <w:szCs w:val="16"/>
        </w:rPr>
        <w:t xml:space="preserve"> </w:t>
      </w:r>
      <w:r w:rsidRPr="003C748A">
        <w:rPr>
          <w:sz w:val="16"/>
          <w:szCs w:val="16"/>
          <w:lang w:val="es-CR"/>
        </w:rPr>
        <w:t xml:space="preserve"> </w:t>
      </w:r>
      <w:r w:rsidRPr="003C748A">
        <w:rPr>
          <w:sz w:val="16"/>
          <w:szCs w:val="16"/>
          <w:lang w:val="es-CR"/>
        </w:rPr>
        <w:tab/>
      </w:r>
      <w:r w:rsidRPr="003C748A">
        <w:rPr>
          <w:i/>
          <w:sz w:val="16"/>
          <w:szCs w:val="16"/>
          <w:lang w:val="es-CR"/>
        </w:rPr>
        <w:t>Cfr.</w:t>
      </w:r>
      <w:r w:rsidRPr="003C748A">
        <w:rPr>
          <w:sz w:val="16"/>
          <w:szCs w:val="16"/>
          <w:lang w:val="es-CR"/>
        </w:rPr>
        <w:t xml:space="preserve"> Boletas de notificación de 6 de abril de 2006 (expediente de prueba, fs. 1494 a 1496).</w:t>
      </w:r>
    </w:p>
    <w:p w14:paraId="48825A29" w14:textId="77777777" w:rsidR="004224C0" w:rsidRPr="003C748A" w:rsidRDefault="004224C0" w:rsidP="00B476ED">
      <w:pPr>
        <w:pStyle w:val="Textonotapie"/>
        <w:ind w:right="-943"/>
        <w:rPr>
          <w:lang w:val="es-CR"/>
        </w:rPr>
      </w:pPr>
    </w:p>
  </w:footnote>
  <w:footnote w:id="66">
    <w:p w14:paraId="4BC9C138" w14:textId="77777777" w:rsidR="004224C0" w:rsidRDefault="004224C0" w:rsidP="00B476ED">
      <w:pPr>
        <w:pStyle w:val="Textonotapie"/>
        <w:ind w:right="-943"/>
        <w:rPr>
          <w:b/>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sidRPr="003C748A">
        <w:rPr>
          <w:i/>
          <w:sz w:val="16"/>
          <w:szCs w:val="16"/>
          <w:lang w:val="es-CR"/>
        </w:rPr>
        <w:t>Cfr.</w:t>
      </w:r>
      <w:r>
        <w:rPr>
          <w:sz w:val="16"/>
          <w:szCs w:val="16"/>
          <w:lang w:val="es-CR"/>
        </w:rPr>
        <w:t xml:space="preserve"> </w:t>
      </w:r>
      <w:r w:rsidRPr="00AF2262">
        <w:rPr>
          <w:sz w:val="16"/>
          <w:szCs w:val="16"/>
          <w:lang w:val="es-CR"/>
        </w:rPr>
        <w:t>Informe de reconstrucción de hechos</w:t>
      </w:r>
      <w:r>
        <w:rPr>
          <w:sz w:val="16"/>
          <w:szCs w:val="16"/>
          <w:lang w:val="es-CR"/>
        </w:rPr>
        <w:t xml:space="preserve"> (expediente de prueba, fs. 1488 a 1492)</w:t>
      </w:r>
      <w:r w:rsidRPr="00AF2262">
        <w:rPr>
          <w:sz w:val="16"/>
          <w:szCs w:val="16"/>
          <w:lang w:val="es-CR"/>
        </w:rPr>
        <w:t>.</w:t>
      </w:r>
    </w:p>
    <w:p w14:paraId="16065FE8" w14:textId="77777777" w:rsidR="004224C0" w:rsidRPr="00AF2262" w:rsidRDefault="004224C0" w:rsidP="00B476ED">
      <w:pPr>
        <w:pStyle w:val="Textonotapie"/>
        <w:ind w:right="-943"/>
        <w:rPr>
          <w:sz w:val="16"/>
          <w:szCs w:val="16"/>
          <w:lang w:val="es-CR"/>
        </w:rPr>
      </w:pPr>
    </w:p>
  </w:footnote>
  <w:footnote w:id="67">
    <w:p w14:paraId="0D9A039A"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Acusación formal y solicitud de enjuiciamiento de 29 de septiembre de 2009</w:t>
      </w:r>
      <w:r>
        <w:rPr>
          <w:sz w:val="16"/>
          <w:szCs w:val="16"/>
          <w:lang w:val="es-CR"/>
        </w:rPr>
        <w:t xml:space="preserve"> (expediente de prueba, fs. 1502 a 1505)</w:t>
      </w:r>
      <w:r w:rsidRPr="00AF2262">
        <w:rPr>
          <w:sz w:val="16"/>
          <w:szCs w:val="16"/>
          <w:lang w:val="es-CR"/>
        </w:rPr>
        <w:t xml:space="preserve">. </w:t>
      </w:r>
    </w:p>
    <w:p w14:paraId="6888E6E3" w14:textId="77777777" w:rsidR="004224C0" w:rsidRPr="00AF2262" w:rsidRDefault="004224C0" w:rsidP="00B476ED">
      <w:pPr>
        <w:pStyle w:val="Textonotapie"/>
        <w:ind w:right="-943"/>
        <w:rPr>
          <w:sz w:val="16"/>
          <w:szCs w:val="16"/>
          <w:lang w:val="es-CR"/>
        </w:rPr>
      </w:pPr>
    </w:p>
  </w:footnote>
  <w:footnote w:id="68">
    <w:p w14:paraId="670E784A" w14:textId="4914A2A4"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sidRPr="003C748A">
        <w:rPr>
          <w:i/>
          <w:sz w:val="16"/>
          <w:szCs w:val="16"/>
          <w:lang w:val="es-CR"/>
        </w:rPr>
        <w:t>Cfr.</w:t>
      </w:r>
      <w:r>
        <w:rPr>
          <w:sz w:val="16"/>
          <w:szCs w:val="16"/>
          <w:lang w:val="es-CR"/>
        </w:rPr>
        <w:t xml:space="preserve"> </w:t>
      </w:r>
      <w:r w:rsidRPr="00AF2262">
        <w:rPr>
          <w:sz w:val="16"/>
          <w:szCs w:val="16"/>
          <w:lang w:val="es-CR"/>
        </w:rPr>
        <w:t>Auto</w:t>
      </w:r>
      <w:r>
        <w:rPr>
          <w:sz w:val="16"/>
          <w:szCs w:val="16"/>
          <w:lang w:val="es-CR"/>
        </w:rPr>
        <w:t>s</w:t>
      </w:r>
      <w:r w:rsidRPr="00AF2262">
        <w:rPr>
          <w:sz w:val="16"/>
          <w:szCs w:val="16"/>
          <w:lang w:val="es-CR"/>
        </w:rPr>
        <w:t xml:space="preserve"> de diferimiento de</w:t>
      </w:r>
      <w:r>
        <w:rPr>
          <w:sz w:val="16"/>
          <w:szCs w:val="16"/>
          <w:lang w:val="es-CR"/>
        </w:rPr>
        <w:t xml:space="preserve"> 9 de junio de 2010 (expediente de prueba, f. 1509)</w:t>
      </w:r>
      <w:r w:rsidRPr="00AF2262">
        <w:rPr>
          <w:sz w:val="16"/>
          <w:szCs w:val="16"/>
          <w:lang w:val="es-CR"/>
        </w:rPr>
        <w:t xml:space="preserve"> </w:t>
      </w:r>
      <w:r>
        <w:rPr>
          <w:sz w:val="16"/>
          <w:szCs w:val="16"/>
          <w:lang w:val="es-CR"/>
        </w:rPr>
        <w:t xml:space="preserve">10 de marzo de 2011 (expediente de prueba, f. 1507); 24 de febrero de 2014 (expediente de prueba, fs. 1511 y 1512), 23 de mayo de 2014 (expediente de prueba, fs. 1513 y 1514) y 5 de agosto de 2014 (expediente de prueba, fs. 1515 y 1516); “auto acordando citar a las partes para el acto de juicio oral y público” de 10 de octubre de 2014 (expediente de prueba, f. 1517); acta de diferimiento de juicio de 29 de octubre de 2014 (expediente de prueba, f. 1518), y </w:t>
      </w:r>
      <w:r w:rsidR="006E172A">
        <w:rPr>
          <w:sz w:val="16"/>
          <w:szCs w:val="16"/>
          <w:lang w:val="es-CR"/>
        </w:rPr>
        <w:t>“</w:t>
      </w:r>
      <w:r>
        <w:rPr>
          <w:sz w:val="16"/>
          <w:szCs w:val="16"/>
          <w:lang w:val="es-CR"/>
        </w:rPr>
        <w:t>auto acordando citar a las partes para el acto de juicio oral y público” de 22 de enero de 2015 (expediente de prueba, f. 1519)</w:t>
      </w:r>
      <w:r w:rsidRPr="00AF2262">
        <w:rPr>
          <w:sz w:val="16"/>
          <w:szCs w:val="16"/>
          <w:lang w:val="es-CR"/>
        </w:rPr>
        <w:t xml:space="preserve">. Sin perjuicio de lo dicho, la Comisión Interamericana señaló en el Informe de Fondo, en el apartado referido a los hechos del caso, que recibió señalamientos que indican el diferimiento de la audiencia de juicio en no menos de 32 ocasiones desde 2008. </w:t>
      </w:r>
      <w:r w:rsidRPr="004A685B">
        <w:rPr>
          <w:sz w:val="16"/>
          <w:szCs w:val="16"/>
          <w:lang w:val="es-MX"/>
        </w:rPr>
        <w:t>De los diferimientos decretados en 2014 y 2015, consta que tres de ellos fueron debido a la falta de comparecencia de la defensa; uno por la incomparecencia del Ministerio Público y uno “porque no hubo despacho”</w:t>
      </w:r>
      <w:r w:rsidRPr="004A685B">
        <w:rPr>
          <w:sz w:val="16"/>
          <w:szCs w:val="16"/>
        </w:rPr>
        <w:t>.</w:t>
      </w:r>
    </w:p>
  </w:footnote>
  <w:footnote w:id="69">
    <w:p w14:paraId="3129A951" w14:textId="77777777" w:rsidR="004224C0" w:rsidRDefault="004224C0" w:rsidP="00B476ED">
      <w:pPr>
        <w:pStyle w:val="Textonotapie"/>
        <w:ind w:right="-943"/>
        <w:rPr>
          <w:sz w:val="16"/>
          <w:szCs w:val="16"/>
        </w:rPr>
      </w:pPr>
    </w:p>
    <w:p w14:paraId="26515AA0" w14:textId="7A9F7273"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sidRPr="00AF2262">
        <w:rPr>
          <w:sz w:val="16"/>
          <w:szCs w:val="16"/>
          <w:lang w:val="es-CR"/>
        </w:rPr>
        <w:tab/>
      </w:r>
      <w:r w:rsidRPr="008A7A61">
        <w:rPr>
          <w:i/>
          <w:sz w:val="16"/>
          <w:szCs w:val="16"/>
          <w:lang w:val="es-CR"/>
        </w:rPr>
        <w:t>Cfr.</w:t>
      </w:r>
      <w:r>
        <w:rPr>
          <w:sz w:val="16"/>
          <w:szCs w:val="16"/>
          <w:lang w:val="es-CR"/>
        </w:rPr>
        <w:t xml:space="preserve"> </w:t>
      </w:r>
      <w:r w:rsidRPr="003A5C19">
        <w:rPr>
          <w:sz w:val="16"/>
          <w:szCs w:val="16"/>
          <w:lang w:val="es-CR"/>
        </w:rPr>
        <w:t xml:space="preserve">Acta de diferimiento del juicio oral y público, Tribunal de Juicio Itinerante del Estado Bolívar, </w:t>
      </w:r>
      <w:r>
        <w:rPr>
          <w:sz w:val="16"/>
          <w:szCs w:val="16"/>
          <w:lang w:val="es-CR"/>
        </w:rPr>
        <w:t>de 6</w:t>
      </w:r>
      <w:r w:rsidRPr="003A5C19">
        <w:rPr>
          <w:sz w:val="16"/>
          <w:szCs w:val="16"/>
          <w:lang w:val="es-CR"/>
        </w:rPr>
        <w:t xml:space="preserve"> noviembre de 2019, y Auto a</w:t>
      </w:r>
      <w:r w:rsidR="006E172A">
        <w:rPr>
          <w:sz w:val="16"/>
          <w:szCs w:val="16"/>
          <w:lang w:val="es-CR"/>
        </w:rPr>
        <w:t>cordando librar orden de captura</w:t>
      </w:r>
      <w:r w:rsidR="00D66B40">
        <w:rPr>
          <w:sz w:val="16"/>
          <w:szCs w:val="16"/>
          <w:lang w:val="es-CR"/>
        </w:rPr>
        <w:t xml:space="preserve"> del</w:t>
      </w:r>
      <w:r w:rsidRPr="003A5C19">
        <w:rPr>
          <w:sz w:val="16"/>
          <w:szCs w:val="16"/>
          <w:lang w:val="es-CR"/>
        </w:rPr>
        <w:t xml:space="preserve"> Tribunal de Juicio Itinerante del Estado Bolívar, </w:t>
      </w:r>
      <w:r>
        <w:rPr>
          <w:sz w:val="16"/>
          <w:szCs w:val="16"/>
          <w:lang w:val="es-CR"/>
        </w:rPr>
        <w:t xml:space="preserve">de </w:t>
      </w:r>
      <w:r w:rsidRPr="003A5C19">
        <w:rPr>
          <w:sz w:val="16"/>
          <w:szCs w:val="16"/>
          <w:lang w:val="es-CR"/>
        </w:rPr>
        <w:t>6 de noviembre de 2019</w:t>
      </w:r>
      <w:r>
        <w:rPr>
          <w:sz w:val="16"/>
          <w:szCs w:val="16"/>
          <w:lang w:val="es-CR"/>
        </w:rPr>
        <w:t xml:space="preserve"> (expediente de fondo, fs. 393 y 395). </w:t>
      </w:r>
      <w:r w:rsidRPr="00AF2262">
        <w:rPr>
          <w:sz w:val="16"/>
          <w:szCs w:val="16"/>
          <w:lang w:val="es-CR"/>
        </w:rPr>
        <w:t xml:space="preserve">En sus alegatos finales escritos los representantes indicaron, además de lo expuesto, que “los acusados están prófugos” y que su paradero no es conocido por los representantes.  </w:t>
      </w:r>
    </w:p>
    <w:p w14:paraId="1A0E6992" w14:textId="77777777" w:rsidR="004224C0" w:rsidRPr="00AF2262" w:rsidRDefault="004224C0" w:rsidP="00B476ED">
      <w:pPr>
        <w:pStyle w:val="Textonotapie"/>
        <w:ind w:right="-943"/>
        <w:rPr>
          <w:sz w:val="16"/>
          <w:szCs w:val="16"/>
          <w:lang w:val="es-CR"/>
        </w:rPr>
      </w:pPr>
    </w:p>
  </w:footnote>
  <w:footnote w:id="70">
    <w:p w14:paraId="35F4B76B"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sidRPr="00AF2262">
        <w:rPr>
          <w:sz w:val="16"/>
          <w:szCs w:val="16"/>
          <w:lang w:val="es-CR"/>
        </w:rPr>
        <w:t xml:space="preserve"> </w:t>
      </w:r>
      <w:r w:rsidRPr="00AF2262">
        <w:rPr>
          <w:sz w:val="16"/>
          <w:szCs w:val="16"/>
          <w:lang w:val="es-CR"/>
        </w:rPr>
        <w:tab/>
        <w:t>Artículo 4.1 de la Convención Americana sobre Derechos Humanos.</w:t>
      </w:r>
    </w:p>
    <w:p w14:paraId="082D5240" w14:textId="77777777" w:rsidR="004224C0" w:rsidRPr="00AF2262" w:rsidRDefault="004224C0" w:rsidP="00B476ED">
      <w:pPr>
        <w:pStyle w:val="Textonotapie"/>
        <w:ind w:right="-943"/>
        <w:rPr>
          <w:sz w:val="16"/>
          <w:szCs w:val="16"/>
          <w:lang w:val="es-CR"/>
        </w:rPr>
      </w:pPr>
    </w:p>
  </w:footnote>
  <w:footnote w:id="71">
    <w:p w14:paraId="4DB91493"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sidRPr="00AF2262">
        <w:rPr>
          <w:sz w:val="16"/>
          <w:szCs w:val="16"/>
          <w:lang w:val="es-CR"/>
        </w:rPr>
        <w:t xml:space="preserve"> </w:t>
      </w:r>
      <w:r w:rsidRPr="00AF2262">
        <w:rPr>
          <w:sz w:val="16"/>
          <w:szCs w:val="16"/>
          <w:lang w:val="es-CR"/>
        </w:rPr>
        <w:tab/>
        <w:t>Artículos 5.1, 5.4, 5.5 y 5.6 de la Convención Americana sobre Derechos Humanos.</w:t>
      </w:r>
    </w:p>
    <w:p w14:paraId="50573580" w14:textId="77777777" w:rsidR="004224C0" w:rsidRPr="00AF2262" w:rsidRDefault="004224C0" w:rsidP="00B476ED">
      <w:pPr>
        <w:pStyle w:val="Textonotapie"/>
        <w:ind w:right="-943"/>
        <w:rPr>
          <w:sz w:val="16"/>
          <w:szCs w:val="16"/>
          <w:lang w:val="es-CR"/>
        </w:rPr>
      </w:pPr>
    </w:p>
  </w:footnote>
  <w:footnote w:id="72">
    <w:p w14:paraId="3CAC5122"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sidRPr="00AF2262">
        <w:rPr>
          <w:sz w:val="16"/>
          <w:szCs w:val="16"/>
          <w:lang w:val="es-CR"/>
        </w:rPr>
        <w:t xml:space="preserve"> </w:t>
      </w:r>
      <w:r w:rsidRPr="00AF2262">
        <w:rPr>
          <w:sz w:val="16"/>
          <w:szCs w:val="16"/>
          <w:lang w:val="es-CR"/>
        </w:rPr>
        <w:tab/>
        <w:t xml:space="preserve">Artículo 19 de la Convención Americana sobre Derechos Humanos. </w:t>
      </w:r>
    </w:p>
    <w:p w14:paraId="39B152D4" w14:textId="77777777" w:rsidR="004224C0" w:rsidRPr="00AF2262" w:rsidRDefault="004224C0" w:rsidP="00B476ED">
      <w:pPr>
        <w:pStyle w:val="Textonotapie"/>
        <w:ind w:right="-943"/>
        <w:rPr>
          <w:sz w:val="16"/>
          <w:szCs w:val="16"/>
          <w:lang w:val="es-CR"/>
        </w:rPr>
      </w:pPr>
    </w:p>
  </w:footnote>
  <w:footnote w:id="73">
    <w:p w14:paraId="62C361CF"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sidRPr="00AF2262">
        <w:rPr>
          <w:sz w:val="16"/>
          <w:szCs w:val="16"/>
          <w:lang w:val="es-CR"/>
        </w:rPr>
        <w:t xml:space="preserve"> </w:t>
      </w:r>
      <w:r w:rsidRPr="00AF2262">
        <w:rPr>
          <w:sz w:val="16"/>
          <w:szCs w:val="16"/>
          <w:lang w:val="es-CR"/>
        </w:rPr>
        <w:tab/>
        <w:t>Artículo 1.1 de la Convención Americana sobre Derechos Humanos.</w:t>
      </w:r>
    </w:p>
    <w:p w14:paraId="7C8C3762" w14:textId="77777777" w:rsidR="004224C0" w:rsidRPr="00AF2262" w:rsidRDefault="004224C0" w:rsidP="00B476ED">
      <w:pPr>
        <w:pStyle w:val="Textonotapie"/>
        <w:ind w:right="-943"/>
        <w:rPr>
          <w:sz w:val="16"/>
          <w:szCs w:val="16"/>
          <w:lang w:val="es-CR"/>
        </w:rPr>
      </w:pPr>
    </w:p>
  </w:footnote>
  <w:footnote w:id="74">
    <w:p w14:paraId="2A35AE1A" w14:textId="474ED10D"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r>
      <w:r>
        <w:rPr>
          <w:sz w:val="16"/>
          <w:szCs w:val="16"/>
          <w:lang w:val="es-CR"/>
        </w:rPr>
        <w:t xml:space="preserve">La Comisión agregó </w:t>
      </w:r>
      <w:r w:rsidRPr="00AF2262">
        <w:rPr>
          <w:sz w:val="16"/>
          <w:szCs w:val="16"/>
          <w:lang w:val="es-CR"/>
        </w:rPr>
        <w:t>señal</w:t>
      </w:r>
      <w:r>
        <w:rPr>
          <w:sz w:val="16"/>
          <w:szCs w:val="16"/>
          <w:lang w:val="es-CR"/>
        </w:rPr>
        <w:t>amientos de</w:t>
      </w:r>
      <w:r w:rsidRPr="00AF2262">
        <w:rPr>
          <w:sz w:val="16"/>
          <w:szCs w:val="16"/>
          <w:lang w:val="es-CR"/>
        </w:rPr>
        <w:t xml:space="preserve"> alegatos vertidos en el trámite </w:t>
      </w:r>
      <w:r>
        <w:rPr>
          <w:sz w:val="16"/>
          <w:szCs w:val="16"/>
          <w:lang w:val="es-CR"/>
        </w:rPr>
        <w:t xml:space="preserve">del caso </w:t>
      </w:r>
      <w:r w:rsidRPr="00AF2262">
        <w:rPr>
          <w:sz w:val="16"/>
          <w:szCs w:val="16"/>
          <w:lang w:val="es-CR"/>
        </w:rPr>
        <w:t xml:space="preserve">ante </w:t>
      </w:r>
      <w:r>
        <w:rPr>
          <w:sz w:val="16"/>
          <w:szCs w:val="16"/>
          <w:lang w:val="es-CR"/>
        </w:rPr>
        <w:t>el</w:t>
      </w:r>
      <w:r w:rsidRPr="00AF2262">
        <w:rPr>
          <w:sz w:val="16"/>
          <w:szCs w:val="16"/>
          <w:lang w:val="es-CR"/>
        </w:rPr>
        <w:t>la</w:t>
      </w:r>
      <w:r>
        <w:rPr>
          <w:sz w:val="16"/>
          <w:szCs w:val="16"/>
          <w:lang w:val="es-CR"/>
        </w:rPr>
        <w:t>,</w:t>
      </w:r>
      <w:r w:rsidRPr="00AF2262">
        <w:rPr>
          <w:sz w:val="16"/>
          <w:szCs w:val="16"/>
          <w:lang w:val="es-CR"/>
        </w:rPr>
        <w:t xml:space="preserve"> sobre la presunta inexistencia de tribunales especializados en niñez y la supuesta falta de consideración adecuada, por parte de tribunales ordinarios del Estado </w:t>
      </w:r>
      <w:r w:rsidR="00061D45" w:rsidRPr="00AF2262">
        <w:rPr>
          <w:sz w:val="16"/>
          <w:szCs w:val="16"/>
          <w:lang w:val="es-CR"/>
        </w:rPr>
        <w:t>Bolívar</w:t>
      </w:r>
      <w:r w:rsidRPr="00AF2262">
        <w:rPr>
          <w:sz w:val="16"/>
          <w:szCs w:val="16"/>
          <w:lang w:val="es-CR"/>
        </w:rPr>
        <w:t xml:space="preserve">, de la “ley interna de protección de la niñez”. Entendió que dichas referencias, no controvertidas por el Estado, “constituyeron una violación adicional al artículo 5.5 de la Convención”. </w:t>
      </w:r>
    </w:p>
  </w:footnote>
  <w:footnote w:id="75">
    <w:p w14:paraId="6864ECE4" w14:textId="77777777" w:rsidR="004224C0" w:rsidRDefault="004224C0" w:rsidP="00B476ED">
      <w:pPr>
        <w:pStyle w:val="Textonotapie"/>
        <w:ind w:right="-943"/>
        <w:rPr>
          <w:sz w:val="16"/>
          <w:szCs w:val="16"/>
        </w:rPr>
      </w:pPr>
    </w:p>
    <w:p w14:paraId="02E0D1AE"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Pr>
          <w:sz w:val="16"/>
          <w:szCs w:val="16"/>
        </w:rPr>
        <w:tab/>
      </w:r>
      <w:r w:rsidRPr="00AF2262">
        <w:rPr>
          <w:sz w:val="16"/>
          <w:szCs w:val="16"/>
          <w:lang w:val="es-CR"/>
        </w:rPr>
        <w:t>La Comisión identificó la extensión del horario de la asistente B</w:t>
      </w:r>
      <w:r>
        <w:rPr>
          <w:sz w:val="16"/>
          <w:szCs w:val="16"/>
          <w:lang w:val="es-CR"/>
        </w:rPr>
        <w:t>.</w:t>
      </w:r>
      <w:r w:rsidRPr="00AF2262">
        <w:rPr>
          <w:sz w:val="16"/>
          <w:szCs w:val="16"/>
          <w:lang w:val="es-CR"/>
        </w:rPr>
        <w:t>H</w:t>
      </w:r>
      <w:r>
        <w:rPr>
          <w:sz w:val="16"/>
          <w:szCs w:val="16"/>
          <w:lang w:val="es-CR"/>
        </w:rPr>
        <w:t>.</w:t>
      </w:r>
      <w:r w:rsidRPr="00AF2262">
        <w:rPr>
          <w:sz w:val="16"/>
          <w:szCs w:val="16"/>
          <w:lang w:val="es-CR"/>
        </w:rPr>
        <w:t xml:space="preserve"> y “el encierro de los internos de la celda […] 4 después de la hora de visita” como tales medidas. </w:t>
      </w:r>
    </w:p>
  </w:footnote>
  <w:footnote w:id="76">
    <w:p w14:paraId="05D8B471" w14:textId="77777777" w:rsidR="004224C0" w:rsidRDefault="004224C0" w:rsidP="00B476ED">
      <w:pPr>
        <w:pStyle w:val="Textonotapie"/>
        <w:ind w:right="-943"/>
        <w:rPr>
          <w:sz w:val="16"/>
          <w:szCs w:val="16"/>
        </w:rPr>
      </w:pPr>
    </w:p>
    <w:p w14:paraId="658EF751" w14:textId="77777777" w:rsidR="004224C0" w:rsidRDefault="004224C0" w:rsidP="00B476ED">
      <w:pPr>
        <w:pStyle w:val="Textonotapie"/>
        <w:ind w:right="-943"/>
        <w:rPr>
          <w:sz w:val="16"/>
          <w:szCs w:val="16"/>
        </w:rPr>
      </w:pPr>
      <w:r w:rsidRPr="00AF2262">
        <w:rPr>
          <w:rStyle w:val="Refdenotaalpie"/>
          <w:sz w:val="16"/>
          <w:szCs w:val="16"/>
        </w:rPr>
        <w:footnoteRef/>
      </w:r>
      <w:r w:rsidRPr="00AF2262">
        <w:rPr>
          <w:sz w:val="16"/>
          <w:szCs w:val="16"/>
        </w:rPr>
        <w:t xml:space="preserve"> </w:t>
      </w:r>
      <w:r>
        <w:rPr>
          <w:sz w:val="16"/>
          <w:szCs w:val="16"/>
        </w:rPr>
        <w:tab/>
      </w:r>
      <w:r w:rsidRPr="00AF2262">
        <w:rPr>
          <w:sz w:val="16"/>
          <w:szCs w:val="16"/>
        </w:rPr>
        <w:t>Los representantes también aludieron, como parte de las obligaciones estatales para la protección del derecho a la vida de personas privadas de la libertad, al establecimiento de un sistema de justicia efectivo capaz de investigar, aplicar sanciones y determinar medidas de reparación.</w:t>
      </w:r>
      <w:r w:rsidRPr="00AF2262">
        <w:rPr>
          <w:b/>
          <w:sz w:val="16"/>
          <w:szCs w:val="16"/>
        </w:rPr>
        <w:t xml:space="preserve"> </w:t>
      </w:r>
      <w:r w:rsidRPr="00AF2262">
        <w:rPr>
          <w:sz w:val="16"/>
          <w:szCs w:val="16"/>
        </w:rPr>
        <w:t>Expresaron que la falta de una investigación independiente e imparcial sobre una violación al derecho a la vida configura también esa violación, y que el Estado falló en este deber</w:t>
      </w:r>
      <w:r>
        <w:rPr>
          <w:sz w:val="16"/>
          <w:szCs w:val="16"/>
        </w:rPr>
        <w:t>.</w:t>
      </w:r>
      <w:r w:rsidRPr="00AF2262">
        <w:rPr>
          <w:sz w:val="16"/>
          <w:szCs w:val="16"/>
        </w:rPr>
        <w:t xml:space="preserve">  </w:t>
      </w:r>
    </w:p>
    <w:p w14:paraId="38B2CBF6" w14:textId="77777777" w:rsidR="004224C0" w:rsidRPr="00AF2262" w:rsidRDefault="004224C0" w:rsidP="00B476ED">
      <w:pPr>
        <w:pStyle w:val="Textonotapie"/>
        <w:ind w:right="-943"/>
        <w:rPr>
          <w:sz w:val="16"/>
          <w:szCs w:val="16"/>
          <w:lang w:val="es-CR"/>
        </w:rPr>
      </w:pPr>
    </w:p>
  </w:footnote>
  <w:footnote w:id="77">
    <w:p w14:paraId="3E477C5A" w14:textId="642EF9BB" w:rsidR="004224C0" w:rsidRDefault="004224C0" w:rsidP="00B476ED">
      <w:pPr>
        <w:pStyle w:val="Textonotapie"/>
        <w:ind w:right="-943"/>
        <w:rPr>
          <w:sz w:val="16"/>
          <w:szCs w:val="16"/>
        </w:rPr>
      </w:pPr>
      <w:r w:rsidRPr="00D66B40">
        <w:rPr>
          <w:rStyle w:val="Refdenotaalpie"/>
          <w:rFonts w:eastAsia="MS Mincho"/>
          <w:sz w:val="16"/>
          <w:szCs w:val="16"/>
        </w:rPr>
        <w:footnoteRef/>
      </w:r>
      <w:r w:rsidRPr="00D66B40">
        <w:rPr>
          <w:sz w:val="16"/>
          <w:szCs w:val="16"/>
        </w:rPr>
        <w:t xml:space="preserve"> </w:t>
      </w:r>
      <w:r w:rsidRPr="00D66B40">
        <w:rPr>
          <w:sz w:val="16"/>
          <w:szCs w:val="16"/>
        </w:rPr>
        <w:tab/>
      </w:r>
      <w:r w:rsidR="00D66B40" w:rsidRPr="00D66B40">
        <w:rPr>
          <w:i/>
          <w:sz w:val="16"/>
          <w:szCs w:val="16"/>
        </w:rPr>
        <w:t>Caso de los “Niños de la Calle” (Villagrán Morales y otros) Vs. Guatemala. Fondo</w:t>
      </w:r>
      <w:r w:rsidR="00D66B40" w:rsidRPr="00D66B40">
        <w:rPr>
          <w:sz w:val="16"/>
          <w:szCs w:val="16"/>
        </w:rPr>
        <w:t>. Sentencia de 19 de noviembre de 1999. Serie C No. 63</w:t>
      </w:r>
      <w:r w:rsidRPr="008F5A03">
        <w:rPr>
          <w:sz w:val="16"/>
          <w:szCs w:val="16"/>
        </w:rPr>
        <w:t xml:space="preserve">, párr. 194, y </w:t>
      </w:r>
      <w:r w:rsidRPr="008F5A03">
        <w:rPr>
          <w:i/>
          <w:sz w:val="16"/>
          <w:szCs w:val="16"/>
        </w:rPr>
        <w:t>Caso Guzmán Albarracín y otras Vs. Ecuador. Fondo, Reparaciones y Costas.</w:t>
      </w:r>
      <w:r w:rsidRPr="008F5A03">
        <w:rPr>
          <w:sz w:val="16"/>
          <w:szCs w:val="16"/>
        </w:rPr>
        <w:t xml:space="preserve"> Sentencia de 24 de junio de 2020. Serie C No. 405, párr. 114. </w:t>
      </w:r>
      <w:r>
        <w:rPr>
          <w:sz w:val="16"/>
          <w:szCs w:val="16"/>
        </w:rPr>
        <w:t xml:space="preserve">En el mismo sentido, </w:t>
      </w:r>
      <w:r w:rsidRPr="003C748A">
        <w:rPr>
          <w:i/>
          <w:sz w:val="16"/>
          <w:szCs w:val="16"/>
        </w:rPr>
        <w:t xml:space="preserve">Caso de los Empleados de la Fábrica de Fuegos de Santo </w:t>
      </w:r>
      <w:proofErr w:type="spellStart"/>
      <w:r w:rsidRPr="003C748A">
        <w:rPr>
          <w:i/>
          <w:sz w:val="16"/>
          <w:szCs w:val="16"/>
        </w:rPr>
        <w:t>Antônio</w:t>
      </w:r>
      <w:proofErr w:type="spellEnd"/>
      <w:r w:rsidRPr="003C748A">
        <w:rPr>
          <w:i/>
          <w:sz w:val="16"/>
          <w:szCs w:val="16"/>
        </w:rPr>
        <w:t xml:space="preserve"> de </w:t>
      </w:r>
      <w:proofErr w:type="spellStart"/>
      <w:r w:rsidRPr="003C748A">
        <w:rPr>
          <w:i/>
          <w:sz w:val="16"/>
          <w:szCs w:val="16"/>
        </w:rPr>
        <w:t>Jesus</w:t>
      </w:r>
      <w:proofErr w:type="spellEnd"/>
      <w:r w:rsidRPr="003C748A">
        <w:rPr>
          <w:i/>
          <w:sz w:val="16"/>
          <w:szCs w:val="16"/>
        </w:rPr>
        <w:t xml:space="preserve"> Vs. Brasil. Excepciones Preliminares, Fondo, Reparaciones y Costas.</w:t>
      </w:r>
      <w:r w:rsidRPr="00256488">
        <w:rPr>
          <w:sz w:val="16"/>
          <w:szCs w:val="16"/>
        </w:rPr>
        <w:t xml:space="preserve"> Sentencia de 15 de julio de 2020. Serie C No. 407</w:t>
      </w:r>
      <w:r>
        <w:rPr>
          <w:sz w:val="16"/>
          <w:szCs w:val="16"/>
        </w:rPr>
        <w:t xml:space="preserve">, párr. 178. </w:t>
      </w:r>
      <w:r w:rsidRPr="008F5A03">
        <w:rPr>
          <w:sz w:val="16"/>
          <w:szCs w:val="16"/>
        </w:rPr>
        <w:t>La Convención sobre los Derechos del Niño está en vigor desde el 2 de septiembre de 1990 y Venezuela la ratificó el día 13 siguiente.</w:t>
      </w:r>
    </w:p>
    <w:p w14:paraId="577A5652" w14:textId="77777777" w:rsidR="004224C0" w:rsidRPr="008F5A03" w:rsidRDefault="004224C0" w:rsidP="00B476ED">
      <w:pPr>
        <w:pStyle w:val="Textonotapie"/>
        <w:ind w:right="-943"/>
        <w:rPr>
          <w:lang w:val="es-CR"/>
        </w:rPr>
      </w:pPr>
    </w:p>
  </w:footnote>
  <w:footnote w:id="78">
    <w:p w14:paraId="0B4E6886" w14:textId="77777777" w:rsidR="004224C0" w:rsidRPr="00C12456" w:rsidRDefault="004224C0" w:rsidP="00B476ED">
      <w:pPr>
        <w:pStyle w:val="Textonotapie"/>
        <w:ind w:right="-943"/>
        <w:rPr>
          <w:sz w:val="16"/>
          <w:szCs w:val="16"/>
          <w:lang w:val="es-CR"/>
        </w:rPr>
      </w:pPr>
      <w:r w:rsidRPr="00C12456">
        <w:rPr>
          <w:rStyle w:val="Refdenotaalpie"/>
          <w:rFonts w:eastAsia="MS Mincho"/>
          <w:sz w:val="16"/>
          <w:szCs w:val="16"/>
        </w:rPr>
        <w:footnoteRef/>
      </w:r>
      <w:r w:rsidRPr="00C12456">
        <w:rPr>
          <w:sz w:val="16"/>
          <w:szCs w:val="16"/>
        </w:rPr>
        <w:t xml:space="preserve"> </w:t>
      </w:r>
      <w:r w:rsidRPr="00C12456">
        <w:rPr>
          <w:sz w:val="16"/>
          <w:szCs w:val="16"/>
        </w:rPr>
        <w:tab/>
      </w:r>
      <w:r w:rsidRPr="00C12456">
        <w:rPr>
          <w:i/>
          <w:sz w:val="16"/>
          <w:szCs w:val="16"/>
          <w:lang w:val="es-CR"/>
        </w:rPr>
        <w:t>Condición jurídica y derechos humanos del niño.</w:t>
      </w:r>
      <w:r w:rsidRPr="00C12456">
        <w:rPr>
          <w:sz w:val="16"/>
          <w:szCs w:val="16"/>
          <w:lang w:val="es-CR"/>
        </w:rPr>
        <w:t xml:space="preserve"> Opinión Consultiva OC-17/02 de 28 de agosto de 2002. Serie A No. 17, párr. 109. </w:t>
      </w:r>
    </w:p>
    <w:p w14:paraId="5A0CA343" w14:textId="77777777" w:rsidR="004224C0" w:rsidRPr="00C12456" w:rsidRDefault="004224C0" w:rsidP="00B476ED">
      <w:pPr>
        <w:pStyle w:val="Textonotapie"/>
        <w:ind w:right="-943"/>
        <w:rPr>
          <w:sz w:val="16"/>
          <w:szCs w:val="16"/>
          <w:lang w:val="es-CR"/>
        </w:rPr>
      </w:pPr>
    </w:p>
  </w:footnote>
  <w:footnote w:id="79">
    <w:p w14:paraId="31E01F3A" w14:textId="77777777" w:rsidR="004224C0" w:rsidRPr="00C12456" w:rsidRDefault="004224C0" w:rsidP="00B476ED">
      <w:pPr>
        <w:pStyle w:val="Prrafodelista"/>
        <w:widowControl/>
        <w:tabs>
          <w:tab w:val="left" w:pos="567"/>
        </w:tabs>
        <w:autoSpaceDE w:val="0"/>
        <w:autoSpaceDN w:val="0"/>
        <w:spacing w:line="240" w:lineRule="auto"/>
        <w:ind w:left="0" w:right="-943"/>
        <w:textAlignment w:val="auto"/>
        <w:rPr>
          <w:color w:val="000000"/>
          <w:sz w:val="16"/>
          <w:szCs w:val="16"/>
        </w:rPr>
      </w:pPr>
      <w:r w:rsidRPr="00C12456">
        <w:rPr>
          <w:rStyle w:val="Refdenotaalpie"/>
          <w:rFonts w:eastAsia="MS Mincho"/>
          <w:sz w:val="16"/>
          <w:szCs w:val="16"/>
        </w:rPr>
        <w:footnoteRef/>
      </w:r>
      <w:r w:rsidRPr="00C12456">
        <w:rPr>
          <w:sz w:val="16"/>
          <w:szCs w:val="16"/>
        </w:rPr>
        <w:t xml:space="preserve"> </w:t>
      </w:r>
      <w:r w:rsidRPr="00C12456">
        <w:rPr>
          <w:sz w:val="16"/>
          <w:szCs w:val="16"/>
        </w:rPr>
        <w:tab/>
      </w:r>
      <w:r w:rsidRPr="00C12456">
        <w:rPr>
          <w:sz w:val="16"/>
          <w:szCs w:val="16"/>
          <w:lang w:val="es-CO"/>
        </w:rPr>
        <w:t>El Comité de los Derechos del Niño ha expresado que “[s]</w:t>
      </w:r>
      <w:proofErr w:type="spellStart"/>
      <w:r w:rsidRPr="006058A6">
        <w:rPr>
          <w:color w:val="000000"/>
          <w:sz w:val="16"/>
          <w:szCs w:val="16"/>
        </w:rPr>
        <w:t>e</w:t>
      </w:r>
      <w:proofErr w:type="spellEnd"/>
      <w:r w:rsidRPr="006058A6">
        <w:rPr>
          <w:color w:val="000000"/>
          <w:sz w:val="16"/>
          <w:szCs w:val="16"/>
        </w:rPr>
        <w:t xml:space="preserve"> debe proporcionar a los niños un entorno físico y un alojamiento que les permita alcanzar los objetivos de reintegración que tiene el internamiento. Se debe prestar la debida atención a sus necesidades de privacidad, de estímulos sensoriales y de oportunidades para asociarse con sus iguales y participar en deportes, ejercicio físico, artes y actividades de </w:t>
      </w:r>
      <w:proofErr w:type="gramStart"/>
      <w:r w:rsidRPr="006058A6">
        <w:rPr>
          <w:color w:val="000000"/>
          <w:sz w:val="16"/>
          <w:szCs w:val="16"/>
        </w:rPr>
        <w:t>ocio</w:t>
      </w:r>
      <w:r w:rsidRPr="00C12456">
        <w:rPr>
          <w:color w:val="000000"/>
          <w:sz w:val="16"/>
          <w:szCs w:val="16"/>
        </w:rPr>
        <w:t>[</w:t>
      </w:r>
      <w:proofErr w:type="gramEnd"/>
      <w:r w:rsidRPr="00C12456">
        <w:rPr>
          <w:color w:val="000000"/>
          <w:sz w:val="16"/>
          <w:szCs w:val="16"/>
        </w:rPr>
        <w:t xml:space="preserve">. …] </w:t>
      </w:r>
      <w:r w:rsidRPr="006058A6">
        <w:rPr>
          <w:color w:val="000000"/>
          <w:sz w:val="16"/>
          <w:szCs w:val="16"/>
        </w:rPr>
        <w:t>Todo niño tiene derecho a una educación adaptada a sus necesidades y capacidades, también en lo que respecta a la realización de exámenes, y concebida con el fin de prepararlo para su regreso a la sociedad; además, siempre que sea posible, debe recibir formación profesional que lo prepare para</w:t>
      </w:r>
      <w:r w:rsidRPr="00C12456">
        <w:rPr>
          <w:color w:val="000000"/>
          <w:sz w:val="16"/>
          <w:szCs w:val="16"/>
        </w:rPr>
        <w:t xml:space="preserve"> ejercer un empleo en el futuro”. </w:t>
      </w:r>
      <w:r>
        <w:rPr>
          <w:color w:val="000000"/>
          <w:sz w:val="16"/>
          <w:szCs w:val="16"/>
        </w:rPr>
        <w:t>Afirmó también</w:t>
      </w:r>
      <w:r w:rsidRPr="00C12456">
        <w:rPr>
          <w:color w:val="000000"/>
          <w:sz w:val="16"/>
          <w:szCs w:val="16"/>
        </w:rPr>
        <w:t xml:space="preserve"> que “[e]</w:t>
      </w:r>
      <w:r w:rsidRPr="006369A2">
        <w:rPr>
          <w:color w:val="000000"/>
          <w:sz w:val="16"/>
          <w:szCs w:val="16"/>
        </w:rPr>
        <w:t>n las pocas situaciones en las que la privación de libertad se justifique como último recurso</w:t>
      </w:r>
      <w:r w:rsidRPr="00C12456">
        <w:rPr>
          <w:color w:val="000000"/>
          <w:sz w:val="16"/>
          <w:szCs w:val="16"/>
        </w:rPr>
        <w:t>”, los Estados deben</w:t>
      </w:r>
      <w:r w:rsidRPr="006369A2">
        <w:rPr>
          <w:color w:val="000000"/>
          <w:sz w:val="16"/>
          <w:szCs w:val="16"/>
        </w:rPr>
        <w:t xml:space="preserve"> </w:t>
      </w:r>
      <w:r>
        <w:rPr>
          <w:color w:val="000000"/>
          <w:sz w:val="16"/>
          <w:szCs w:val="16"/>
        </w:rPr>
        <w:t>“</w:t>
      </w:r>
      <w:r w:rsidRPr="006369A2">
        <w:rPr>
          <w:color w:val="000000"/>
          <w:sz w:val="16"/>
          <w:szCs w:val="16"/>
        </w:rPr>
        <w:t>garantiza</w:t>
      </w:r>
      <w:r w:rsidRPr="00C12456">
        <w:rPr>
          <w:color w:val="000000"/>
          <w:sz w:val="16"/>
          <w:szCs w:val="16"/>
        </w:rPr>
        <w:t>[r]</w:t>
      </w:r>
      <w:r w:rsidRPr="006369A2">
        <w:rPr>
          <w:color w:val="000000"/>
          <w:sz w:val="16"/>
          <w:szCs w:val="16"/>
        </w:rPr>
        <w:t xml:space="preserve"> que se aplique únicamente a niños de mayor edad y esté estrictamente limitada en el tiempo y sujeta a revisión periódica</w:t>
      </w:r>
      <w:r w:rsidRPr="00C12456">
        <w:rPr>
          <w:color w:val="000000"/>
          <w:sz w:val="16"/>
          <w:szCs w:val="16"/>
        </w:rPr>
        <w:t xml:space="preserve">” (Observación general </w:t>
      </w:r>
      <w:r>
        <w:rPr>
          <w:color w:val="000000"/>
          <w:sz w:val="16"/>
          <w:szCs w:val="16"/>
        </w:rPr>
        <w:t>24</w:t>
      </w:r>
      <w:r w:rsidRPr="00C12456">
        <w:rPr>
          <w:color w:val="000000"/>
          <w:sz w:val="16"/>
          <w:szCs w:val="16"/>
        </w:rPr>
        <w:t xml:space="preserve"> relativa a los derechos del niño en el sistema de justicia juvenil. Doc. CRC/C/GC/24. 18 de septiembre de 2019, </w:t>
      </w:r>
      <w:proofErr w:type="spellStart"/>
      <w:r w:rsidRPr="00C12456">
        <w:rPr>
          <w:color w:val="000000"/>
          <w:sz w:val="16"/>
          <w:szCs w:val="16"/>
        </w:rPr>
        <w:t>párrs</w:t>
      </w:r>
      <w:proofErr w:type="spellEnd"/>
      <w:r w:rsidRPr="00C12456">
        <w:rPr>
          <w:color w:val="000000"/>
          <w:sz w:val="16"/>
          <w:szCs w:val="16"/>
        </w:rPr>
        <w:t>. 95 y 6).</w:t>
      </w:r>
    </w:p>
    <w:p w14:paraId="7E1ABE65" w14:textId="77777777" w:rsidR="004224C0" w:rsidRPr="00AF2262" w:rsidRDefault="004224C0" w:rsidP="00B476ED">
      <w:pPr>
        <w:pStyle w:val="Textonotapie"/>
        <w:ind w:right="-943"/>
        <w:rPr>
          <w:sz w:val="16"/>
          <w:szCs w:val="16"/>
          <w:lang w:val="es-CR"/>
        </w:rPr>
      </w:pPr>
    </w:p>
  </w:footnote>
  <w:footnote w:id="80">
    <w:p w14:paraId="63073016" w14:textId="77777777" w:rsidR="004224C0" w:rsidRPr="00EA0726" w:rsidRDefault="004224C0" w:rsidP="00B476ED">
      <w:pPr>
        <w:spacing w:line="240" w:lineRule="auto"/>
        <w:ind w:right="-943"/>
        <w:rPr>
          <w:sz w:val="16"/>
          <w:szCs w:val="16"/>
          <w:lang w:val="es-GT"/>
        </w:rPr>
      </w:pPr>
      <w:r w:rsidRPr="00214148">
        <w:rPr>
          <w:rStyle w:val="Refdenotaalpie"/>
          <w:sz w:val="16"/>
          <w:szCs w:val="16"/>
        </w:rPr>
        <w:footnoteRef/>
      </w:r>
      <w:r w:rsidRPr="00214148">
        <w:rPr>
          <w:sz w:val="16"/>
          <w:szCs w:val="16"/>
        </w:rPr>
        <w:t xml:space="preserve"> </w:t>
      </w:r>
      <w:r>
        <w:tab/>
      </w:r>
      <w:r w:rsidRPr="00AF2262">
        <w:rPr>
          <w:i/>
          <w:sz w:val="16"/>
          <w:szCs w:val="16"/>
        </w:rPr>
        <w:t xml:space="preserve">Cfr. </w:t>
      </w:r>
      <w:r w:rsidRPr="00AF2262">
        <w:rPr>
          <w:i/>
          <w:sz w:val="16"/>
          <w:szCs w:val="16"/>
          <w:lang w:val="es-GT"/>
        </w:rPr>
        <w:t>Caso Mendoza y otros Vs. Argentina. Excepciones Preliminares, Fondo y Reparaciones.</w:t>
      </w:r>
      <w:r w:rsidRPr="00AF2262">
        <w:rPr>
          <w:sz w:val="16"/>
          <w:szCs w:val="16"/>
          <w:lang w:val="es-GT"/>
        </w:rPr>
        <w:t xml:space="preserve"> Sentencia de 14 de mayo </w:t>
      </w:r>
      <w:r w:rsidRPr="00EA0726">
        <w:rPr>
          <w:sz w:val="16"/>
          <w:szCs w:val="16"/>
          <w:lang w:val="es-GT"/>
        </w:rPr>
        <w:t>de 2013. Serie C No. 260,</w:t>
      </w:r>
      <w:r w:rsidRPr="00EA0726">
        <w:rPr>
          <w:i/>
          <w:sz w:val="16"/>
          <w:szCs w:val="16"/>
          <w:lang w:val="es-GT"/>
        </w:rPr>
        <w:t xml:space="preserve"> </w:t>
      </w:r>
      <w:r w:rsidRPr="00EA0726">
        <w:rPr>
          <w:sz w:val="16"/>
          <w:szCs w:val="16"/>
          <w:lang w:val="es-GT"/>
        </w:rPr>
        <w:t>párr. 1</w:t>
      </w:r>
      <w:r>
        <w:rPr>
          <w:sz w:val="16"/>
          <w:szCs w:val="16"/>
          <w:lang w:val="es-GT"/>
        </w:rPr>
        <w:t>46</w:t>
      </w:r>
      <w:r w:rsidRPr="00EA0726">
        <w:rPr>
          <w:sz w:val="16"/>
          <w:szCs w:val="16"/>
          <w:lang w:val="es-GT"/>
        </w:rPr>
        <w:t>.</w:t>
      </w:r>
    </w:p>
    <w:p w14:paraId="25CC9E86" w14:textId="77777777" w:rsidR="004224C0" w:rsidRPr="00EA0726" w:rsidRDefault="004224C0" w:rsidP="00B476ED">
      <w:pPr>
        <w:spacing w:line="240" w:lineRule="auto"/>
        <w:ind w:right="-943"/>
        <w:rPr>
          <w:sz w:val="16"/>
          <w:szCs w:val="16"/>
          <w:lang w:val="es-GT"/>
        </w:rPr>
      </w:pPr>
    </w:p>
  </w:footnote>
  <w:footnote w:id="81">
    <w:p w14:paraId="35EA4F0D" w14:textId="77777777" w:rsidR="004224C0" w:rsidRPr="00EA0726" w:rsidRDefault="004224C0" w:rsidP="00B476ED">
      <w:pPr>
        <w:pStyle w:val="Textonotapie"/>
        <w:ind w:right="-943"/>
        <w:rPr>
          <w:lang w:val="es-CR"/>
        </w:rPr>
      </w:pPr>
      <w:r w:rsidRPr="00EA0726">
        <w:rPr>
          <w:rStyle w:val="Refdenotaalpie"/>
        </w:rPr>
        <w:footnoteRef/>
      </w:r>
      <w:r w:rsidRPr="00EA0726">
        <w:t xml:space="preserve"> </w:t>
      </w:r>
      <w:r w:rsidRPr="00EA0726">
        <w:tab/>
      </w:r>
      <w:r w:rsidRPr="00EA0726">
        <w:rPr>
          <w:sz w:val="16"/>
          <w:szCs w:val="16"/>
        </w:rPr>
        <w:t>El Comité agregó que</w:t>
      </w:r>
      <w:r w:rsidRPr="00EA0726">
        <w:t xml:space="preserve"> </w:t>
      </w:r>
      <w:r w:rsidRPr="00EA0726">
        <w:rPr>
          <w:sz w:val="16"/>
          <w:szCs w:val="16"/>
        </w:rPr>
        <w:t>“[c]</w:t>
      </w:r>
      <w:proofErr w:type="spellStart"/>
      <w:r w:rsidRPr="00EA0726">
        <w:rPr>
          <w:sz w:val="16"/>
          <w:szCs w:val="16"/>
        </w:rPr>
        <w:t>uando</w:t>
      </w:r>
      <w:proofErr w:type="spellEnd"/>
      <w:r w:rsidRPr="00EA0726">
        <w:rPr>
          <w:sz w:val="16"/>
          <w:szCs w:val="16"/>
        </w:rPr>
        <w:t xml:space="preserve"> un niño cometa un delito grave, se podrá considerar la aplicación de medidas proporcionales a las circunstancias del infractor y a la gravedad del hecho, y se tomará en consideración la necesidad de seguridad pública y de sanciones” </w:t>
      </w:r>
      <w:r>
        <w:rPr>
          <w:sz w:val="16"/>
          <w:szCs w:val="16"/>
        </w:rPr>
        <w:t>(</w:t>
      </w:r>
      <w:r w:rsidRPr="00EA0726">
        <w:rPr>
          <w:color w:val="000000"/>
          <w:sz w:val="16"/>
          <w:szCs w:val="16"/>
        </w:rPr>
        <w:t>Comité de los Derechos del Niño. Observación general 24, párr. 76. En el mismo pronunciamiento, en su párrafo 71, el Comité recomendó a los Estados “</w:t>
      </w:r>
      <w:r w:rsidRPr="00EA0726">
        <w:rPr>
          <w:sz w:val="16"/>
          <w:szCs w:val="16"/>
        </w:rPr>
        <w:t>que instauren normas que permitan la eliminación de los antecedentes penales de los niños cuando alcancen la edad de 18 años, automáticamente o, en casos excepcionales, tras un examen independiente”</w:t>
      </w:r>
      <w:r>
        <w:rPr>
          <w:sz w:val="16"/>
          <w:szCs w:val="16"/>
        </w:rPr>
        <w:t>)</w:t>
      </w:r>
      <w:r w:rsidRPr="00EA0726">
        <w:rPr>
          <w:sz w:val="16"/>
          <w:szCs w:val="16"/>
        </w:rPr>
        <w:t>.</w:t>
      </w:r>
    </w:p>
  </w:footnote>
  <w:footnote w:id="82">
    <w:p w14:paraId="78E76D6D" w14:textId="77777777" w:rsidR="004224C0" w:rsidRPr="00EA0726" w:rsidRDefault="004224C0" w:rsidP="00B476ED">
      <w:pPr>
        <w:pStyle w:val="Textonotapie"/>
        <w:ind w:right="-943"/>
        <w:rPr>
          <w:sz w:val="16"/>
          <w:szCs w:val="16"/>
        </w:rPr>
      </w:pPr>
    </w:p>
    <w:p w14:paraId="615DE848" w14:textId="77777777" w:rsidR="004224C0" w:rsidRPr="00AF2262" w:rsidRDefault="004224C0" w:rsidP="00B476ED">
      <w:pPr>
        <w:pStyle w:val="Textonotapie"/>
        <w:ind w:right="-943"/>
        <w:rPr>
          <w:sz w:val="16"/>
          <w:szCs w:val="16"/>
          <w:lang w:val="es-GT"/>
        </w:rPr>
      </w:pPr>
      <w:r w:rsidRPr="00EA0726">
        <w:rPr>
          <w:rStyle w:val="Refdenotaalpie"/>
          <w:rFonts w:eastAsia="MS Mincho"/>
          <w:sz w:val="16"/>
          <w:szCs w:val="16"/>
        </w:rPr>
        <w:footnoteRef/>
      </w:r>
      <w:r w:rsidRPr="00EA0726">
        <w:rPr>
          <w:sz w:val="16"/>
          <w:szCs w:val="16"/>
        </w:rPr>
        <w:t xml:space="preserve"> </w:t>
      </w:r>
      <w:r w:rsidRPr="00EA0726">
        <w:rPr>
          <w:sz w:val="16"/>
          <w:szCs w:val="16"/>
        </w:rPr>
        <w:tab/>
        <w:t xml:space="preserve">La Corte ha examinado circunstancias en que la falta de separación “exponía a los niños a circunstancias que son altamente perjudiciales para su desarrollo y los </w:t>
      </w:r>
      <w:proofErr w:type="spellStart"/>
      <w:r w:rsidRPr="00EA0726">
        <w:rPr>
          <w:sz w:val="16"/>
          <w:szCs w:val="16"/>
        </w:rPr>
        <w:t>hac</w:t>
      </w:r>
      <w:proofErr w:type="spellEnd"/>
      <w:r w:rsidRPr="00EA0726">
        <w:rPr>
          <w:sz w:val="16"/>
          <w:szCs w:val="16"/>
        </w:rPr>
        <w:t>[</w:t>
      </w:r>
      <w:proofErr w:type="spellStart"/>
      <w:r w:rsidRPr="00EA0726">
        <w:rPr>
          <w:sz w:val="16"/>
          <w:szCs w:val="16"/>
        </w:rPr>
        <w:t>ía</w:t>
      </w:r>
      <w:proofErr w:type="spellEnd"/>
      <w:r w:rsidRPr="00EA0726">
        <w:rPr>
          <w:sz w:val="16"/>
          <w:szCs w:val="16"/>
        </w:rPr>
        <w:t>] vulnerables ante terceros que, por su calidad de adultos, pueden abusar de su superioridad”</w:t>
      </w:r>
      <w:r>
        <w:rPr>
          <w:sz w:val="16"/>
          <w:szCs w:val="16"/>
        </w:rPr>
        <w:t xml:space="preserve"> (</w:t>
      </w:r>
      <w:r w:rsidRPr="00EA0726">
        <w:rPr>
          <w:i/>
          <w:sz w:val="16"/>
          <w:szCs w:val="16"/>
        </w:rPr>
        <w:t xml:space="preserve">Caso “Instituto de </w:t>
      </w:r>
      <w:r w:rsidRPr="00EA0726">
        <w:rPr>
          <w:i/>
          <w:sz w:val="16"/>
          <w:szCs w:val="16"/>
          <w:lang w:val="es-GT"/>
        </w:rPr>
        <w:t xml:space="preserve">Reeducación del Menor” Vs. Paraguay. Excepciones Preliminares, Fondo, Reparaciones y Costas. </w:t>
      </w:r>
      <w:r w:rsidRPr="00EA0726">
        <w:rPr>
          <w:sz w:val="16"/>
          <w:szCs w:val="16"/>
          <w:lang w:val="es-GT"/>
        </w:rPr>
        <w:t>Sentencia de 2</w:t>
      </w:r>
      <w:r w:rsidRPr="00AF2262">
        <w:rPr>
          <w:sz w:val="16"/>
          <w:szCs w:val="16"/>
          <w:lang w:val="es-GT"/>
        </w:rPr>
        <w:t xml:space="preserve"> de septiembre de 2004. Serie C No. 112, párr. 175</w:t>
      </w:r>
      <w:r>
        <w:rPr>
          <w:sz w:val="16"/>
          <w:szCs w:val="16"/>
          <w:lang w:val="es-GT"/>
        </w:rPr>
        <w:t>)</w:t>
      </w:r>
      <w:r w:rsidRPr="00AF2262">
        <w:rPr>
          <w:sz w:val="16"/>
          <w:szCs w:val="16"/>
          <w:lang w:val="es-GT"/>
        </w:rPr>
        <w:t xml:space="preserve">. </w:t>
      </w:r>
    </w:p>
    <w:p w14:paraId="6AA4EB65" w14:textId="77777777" w:rsidR="004224C0" w:rsidRPr="00AF2262" w:rsidRDefault="004224C0" w:rsidP="00B476ED">
      <w:pPr>
        <w:pStyle w:val="Textonotapie"/>
        <w:ind w:right="-943"/>
        <w:rPr>
          <w:sz w:val="16"/>
          <w:szCs w:val="16"/>
          <w:lang w:val="es-CR"/>
        </w:rPr>
      </w:pPr>
    </w:p>
  </w:footnote>
  <w:footnote w:id="83">
    <w:p w14:paraId="53E76858" w14:textId="56C37B71" w:rsidR="004224C0" w:rsidRDefault="004224C0" w:rsidP="00B476ED">
      <w:pPr>
        <w:pStyle w:val="Textonotapie1"/>
        <w:ind w:right="-943"/>
        <w:jc w:val="both"/>
        <w:rPr>
          <w:rFonts w:ascii="Verdana" w:hAnsi="Verdana"/>
          <w:sz w:val="16"/>
          <w:szCs w:val="16"/>
        </w:rPr>
      </w:pPr>
      <w:r w:rsidRPr="00AF2262">
        <w:rPr>
          <w:rStyle w:val="Refdenotaalpie"/>
          <w:rFonts w:eastAsia="MS Mincho"/>
          <w:sz w:val="16"/>
          <w:szCs w:val="16"/>
        </w:rPr>
        <w:footnoteRef/>
      </w:r>
      <w:r w:rsidRPr="00AF2262">
        <w:rPr>
          <w:rFonts w:ascii="Verdana" w:hAnsi="Verdana"/>
          <w:sz w:val="16"/>
          <w:szCs w:val="16"/>
        </w:rPr>
        <w:t xml:space="preserve"> </w:t>
      </w:r>
      <w:r>
        <w:rPr>
          <w:rFonts w:ascii="Verdana" w:hAnsi="Verdana"/>
          <w:sz w:val="16"/>
          <w:szCs w:val="16"/>
        </w:rPr>
        <w:tab/>
      </w:r>
      <w:r w:rsidRPr="003C748A">
        <w:rPr>
          <w:rFonts w:ascii="Verdana" w:hAnsi="Verdana"/>
          <w:sz w:val="16"/>
          <w:szCs w:val="16"/>
        </w:rPr>
        <w:t>Así, el Comité de los Derechos del Niño ha señalado que “[t]</w:t>
      </w:r>
      <w:proofErr w:type="spellStart"/>
      <w:r w:rsidRPr="003C748A">
        <w:rPr>
          <w:rFonts w:ascii="Verdana" w:hAnsi="Verdana"/>
          <w:sz w:val="16"/>
          <w:szCs w:val="16"/>
        </w:rPr>
        <w:t>odo</w:t>
      </w:r>
      <w:proofErr w:type="spellEnd"/>
      <w:r w:rsidRPr="003C748A">
        <w:rPr>
          <w:rFonts w:ascii="Verdana" w:hAnsi="Verdana"/>
          <w:sz w:val="16"/>
          <w:szCs w:val="16"/>
        </w:rPr>
        <w:t xml:space="preserve"> niño privado de libertad estará separado de los adultos”, que “[u]n niño privado de libertad no debe ser internado en un centro o una prisión para adultos, ya que existen abundantes pruebas de que esto pone en peligro su salud y su seguridad básica, así como su capacidad futura para mantenerse al margen de la delincuencia y reintegrarse” (Comité de los Derechos del Niño, Observación General 24, párr. 92). En </w:t>
      </w:r>
      <w:r>
        <w:rPr>
          <w:rFonts w:ascii="Verdana" w:hAnsi="Verdana"/>
          <w:sz w:val="16"/>
          <w:szCs w:val="16"/>
        </w:rPr>
        <w:t>concordancia</w:t>
      </w:r>
      <w:r w:rsidRPr="003C748A">
        <w:rPr>
          <w:rFonts w:ascii="Verdana" w:hAnsi="Verdana"/>
          <w:sz w:val="16"/>
          <w:szCs w:val="16"/>
        </w:rPr>
        <w:t xml:space="preserve"> con lo señalado por el Comité, la Corte ha advertido que los Estados tienen, respecto de niños privados de libertad y, por lo tanto, bajo su custodia, la obligación de, </w:t>
      </w:r>
      <w:r w:rsidRPr="003C748A">
        <w:rPr>
          <w:rFonts w:ascii="Verdana" w:hAnsi="Verdana"/>
          <w:i/>
          <w:sz w:val="16"/>
          <w:szCs w:val="16"/>
        </w:rPr>
        <w:t xml:space="preserve">inter </w:t>
      </w:r>
      <w:proofErr w:type="spellStart"/>
      <w:r w:rsidRPr="003C748A">
        <w:rPr>
          <w:rFonts w:ascii="Verdana" w:hAnsi="Verdana"/>
          <w:i/>
          <w:sz w:val="16"/>
          <w:szCs w:val="16"/>
        </w:rPr>
        <w:t>alia</w:t>
      </w:r>
      <w:proofErr w:type="spellEnd"/>
      <w:r w:rsidRPr="003C748A">
        <w:rPr>
          <w:rFonts w:ascii="Verdana" w:hAnsi="Verdana"/>
          <w:i/>
          <w:sz w:val="16"/>
          <w:szCs w:val="16"/>
        </w:rPr>
        <w:t>,</w:t>
      </w:r>
      <w:r w:rsidRPr="003C748A">
        <w:rPr>
          <w:rFonts w:ascii="Verdana" w:hAnsi="Verdana"/>
          <w:sz w:val="16"/>
          <w:szCs w:val="16"/>
        </w:rPr>
        <w:t xml:space="preserve"> </w:t>
      </w:r>
      <w:r>
        <w:rPr>
          <w:rFonts w:ascii="Verdana" w:hAnsi="Verdana"/>
          <w:sz w:val="16"/>
          <w:szCs w:val="16"/>
        </w:rPr>
        <w:t>“</w:t>
      </w:r>
      <w:r w:rsidRPr="003C748A">
        <w:rPr>
          <w:rFonts w:ascii="Verdana" w:hAnsi="Verdana"/>
          <w:sz w:val="16"/>
          <w:szCs w:val="16"/>
        </w:rPr>
        <w:t>proveerlos de asistencia de salud y de educación, para así asegurarse de que la detención a la que los niños están sujetos no destruirá sus proyectos de vida</w:t>
      </w:r>
      <w:r>
        <w:rPr>
          <w:rFonts w:ascii="Verdana" w:hAnsi="Verdana"/>
          <w:sz w:val="16"/>
          <w:szCs w:val="16"/>
        </w:rPr>
        <w:t>”</w:t>
      </w:r>
      <w:r w:rsidRPr="003C748A">
        <w:rPr>
          <w:rFonts w:ascii="Verdana" w:hAnsi="Verdana"/>
          <w:sz w:val="16"/>
          <w:szCs w:val="16"/>
        </w:rPr>
        <w:t xml:space="preserve"> (</w:t>
      </w:r>
      <w:r w:rsidRPr="00AF2262">
        <w:rPr>
          <w:rFonts w:ascii="Verdana" w:hAnsi="Verdana"/>
          <w:i/>
          <w:sz w:val="16"/>
          <w:szCs w:val="16"/>
        </w:rPr>
        <w:t xml:space="preserve">Caso “Instituto de </w:t>
      </w:r>
      <w:r w:rsidRPr="00AF2262">
        <w:rPr>
          <w:rFonts w:ascii="Verdana" w:hAnsi="Verdana"/>
          <w:i/>
          <w:sz w:val="16"/>
          <w:szCs w:val="16"/>
          <w:lang w:val="es-GT"/>
        </w:rPr>
        <w:t>Reeducación del Menor” Vs. Paraguay</w:t>
      </w:r>
      <w:r w:rsidRPr="00AF2262">
        <w:rPr>
          <w:rFonts w:ascii="Verdana" w:hAnsi="Verdana"/>
          <w:sz w:val="16"/>
          <w:szCs w:val="16"/>
          <w:lang w:val="es-GT"/>
        </w:rPr>
        <w:t>, párr. 161</w:t>
      </w:r>
      <w:r w:rsidR="00D91B8B">
        <w:rPr>
          <w:rFonts w:ascii="Verdana" w:hAnsi="Verdana"/>
          <w:sz w:val="16"/>
          <w:szCs w:val="16"/>
          <w:lang w:val="es-GT"/>
        </w:rPr>
        <w:t>). En la decisión recién citada, en el mismo párrafo,</w:t>
      </w:r>
      <w:r>
        <w:rPr>
          <w:rFonts w:ascii="Verdana" w:hAnsi="Verdana"/>
          <w:sz w:val="16"/>
          <w:szCs w:val="16"/>
          <w:lang w:val="es-GT"/>
        </w:rPr>
        <w:t xml:space="preserve"> la Corte agregó que,</w:t>
      </w:r>
      <w:r w:rsidRPr="00AF2262">
        <w:rPr>
          <w:rFonts w:ascii="Verdana" w:hAnsi="Verdana"/>
          <w:sz w:val="16"/>
          <w:szCs w:val="16"/>
          <w:lang w:val="es-GT"/>
        </w:rPr>
        <w:t xml:space="preserve"> </w:t>
      </w:r>
      <w:r>
        <w:rPr>
          <w:rFonts w:ascii="Verdana" w:hAnsi="Verdana"/>
          <w:sz w:val="16"/>
          <w:szCs w:val="16"/>
        </w:rPr>
        <w:t>e</w:t>
      </w:r>
      <w:r w:rsidRPr="00AF2262">
        <w:rPr>
          <w:rFonts w:ascii="Verdana" w:hAnsi="Verdana"/>
          <w:sz w:val="16"/>
          <w:szCs w:val="16"/>
        </w:rPr>
        <w:t>n este sentido, la Regla 13 de las Reglas de las Naciones Unidas para la Protección de los Menores Privados de Libertad (adoptadas por la Asamblea General en su resolución 45/113 de 14 de diciembre de 1990) establece que “</w:t>
      </w:r>
      <w:r>
        <w:rPr>
          <w:rFonts w:ascii="Verdana" w:hAnsi="Verdana"/>
          <w:sz w:val="16"/>
          <w:szCs w:val="16"/>
        </w:rPr>
        <w:t>[n]</w:t>
      </w:r>
      <w:r w:rsidRPr="00AF2262">
        <w:rPr>
          <w:rFonts w:ascii="Verdana" w:hAnsi="Verdana"/>
          <w:sz w:val="16"/>
          <w:szCs w:val="16"/>
        </w:rPr>
        <w:t>o se deberá negar a los menores privados de libertad, por razón de su condición, los derechos civiles, económicos, sociales o culturales que les correspondan de conformidad con la legislación nacional o el derecho internacional y que sean compatibles con la privación de la libertad”</w:t>
      </w:r>
      <w:r w:rsidR="00D91B8B">
        <w:rPr>
          <w:rFonts w:ascii="Verdana" w:hAnsi="Verdana"/>
          <w:sz w:val="16"/>
          <w:szCs w:val="16"/>
        </w:rPr>
        <w:t>.</w:t>
      </w:r>
      <w:r w:rsidRPr="00AF2262">
        <w:rPr>
          <w:rFonts w:ascii="Verdana" w:hAnsi="Verdana"/>
          <w:sz w:val="16"/>
          <w:szCs w:val="16"/>
        </w:rPr>
        <w:t xml:space="preserve"> La Corte ya ha tenido oportunidad de advertir que “[e]n consonancia con lo dicho anteriormente”, las Reglas de Beijing disponen que</w:t>
      </w:r>
      <w:r>
        <w:rPr>
          <w:rFonts w:ascii="Verdana" w:hAnsi="Verdana"/>
          <w:sz w:val="16"/>
          <w:szCs w:val="16"/>
        </w:rPr>
        <w:t xml:space="preserve"> “[l]</w:t>
      </w:r>
      <w:r w:rsidRPr="00AF2262">
        <w:rPr>
          <w:rFonts w:ascii="Verdana" w:hAnsi="Verdana"/>
          <w:sz w:val="16"/>
          <w:szCs w:val="16"/>
        </w:rPr>
        <w:t>os menores confinados en establecimientos penitenciarios recibirán los cuidados, la protección y toda la asistencia necesaria – social, educacional, profesional, sicológica, médica y física – que puedan requerir debido a su edad, sexo y personalidad y en interés de su desarrollo sano” (</w:t>
      </w:r>
      <w:r w:rsidRPr="00AF2262">
        <w:rPr>
          <w:rFonts w:ascii="Verdana" w:hAnsi="Verdana"/>
          <w:i/>
          <w:sz w:val="16"/>
          <w:szCs w:val="16"/>
        </w:rPr>
        <w:t xml:space="preserve">Caso “Instituto de </w:t>
      </w:r>
      <w:r w:rsidRPr="00AF2262">
        <w:rPr>
          <w:rFonts w:ascii="Verdana" w:hAnsi="Verdana"/>
          <w:i/>
          <w:sz w:val="16"/>
          <w:szCs w:val="16"/>
          <w:lang w:val="es-GT"/>
        </w:rPr>
        <w:t>Reeducación del Menor” Vs. Paraguay</w:t>
      </w:r>
      <w:r w:rsidRPr="00AF2262">
        <w:rPr>
          <w:rFonts w:ascii="Verdana" w:hAnsi="Verdana"/>
          <w:sz w:val="16"/>
          <w:szCs w:val="16"/>
          <w:lang w:val="es-GT"/>
        </w:rPr>
        <w:t xml:space="preserve">, párr. 163). La Cita corresponde a la </w:t>
      </w:r>
      <w:r w:rsidRPr="00AF2262">
        <w:rPr>
          <w:rFonts w:ascii="Verdana" w:hAnsi="Verdana"/>
          <w:sz w:val="16"/>
          <w:szCs w:val="16"/>
        </w:rPr>
        <w:t xml:space="preserve">Regla 26.2 de las Reglas Mínimas de las Naciones Unidas para la Administración de la Justicia de Menores (Reglas de Beijing), adoptadas por la Asamblea General de la Organización de las Naciones Unidas en su Resolución 40/33 de 28 de noviembre de 1985. </w:t>
      </w:r>
      <w:r w:rsidRPr="00AF2262">
        <w:rPr>
          <w:rFonts w:ascii="Verdana" w:hAnsi="Verdana"/>
          <w:sz w:val="16"/>
          <w:szCs w:val="16"/>
          <w:lang w:val="es-GT"/>
        </w:rPr>
        <w:t xml:space="preserve">La Regla 26.1, en el mismo sentido, expresa que </w:t>
      </w:r>
      <w:r w:rsidRPr="00AF2262">
        <w:rPr>
          <w:rFonts w:ascii="Verdana" w:hAnsi="Verdana"/>
          <w:sz w:val="16"/>
          <w:szCs w:val="16"/>
        </w:rPr>
        <w:t>“[l]a capacitación y el tratamiento de menores confinados en establecimientos penitenciarios tienen por objeto garantizar su cuidado y protección, así como su educación y formación profesional para permitirles que desempeñen un papel constructivo y productivo en la sociedad”. Las Reglas de las Naciones Unidas para la Protección de los Menores Privados de Libertad también se refieren, en su título E (Reglas 38 a 46) a la “[e]</w:t>
      </w:r>
      <w:proofErr w:type="spellStart"/>
      <w:r w:rsidRPr="00AF2262">
        <w:rPr>
          <w:rFonts w:ascii="Verdana" w:hAnsi="Verdana"/>
          <w:sz w:val="16"/>
          <w:szCs w:val="16"/>
        </w:rPr>
        <w:t>ducación</w:t>
      </w:r>
      <w:proofErr w:type="spellEnd"/>
      <w:r w:rsidRPr="00AF2262">
        <w:rPr>
          <w:rFonts w:ascii="Verdana" w:hAnsi="Verdana"/>
          <w:sz w:val="16"/>
          <w:szCs w:val="16"/>
        </w:rPr>
        <w:t xml:space="preserve">, formación profesional y trabajo”, estableciendo pautas para el ejercicio de los derechos de los menores privados de libertad a educación y formación, así como al trabajo que “que complemente la formación profesional impartida”. </w:t>
      </w:r>
    </w:p>
    <w:p w14:paraId="6F9ACBF6" w14:textId="204BA57E" w:rsidR="004224C0" w:rsidRPr="009B13D9" w:rsidRDefault="004224C0" w:rsidP="00B476ED">
      <w:pPr>
        <w:pStyle w:val="Textonotapie1"/>
        <w:ind w:right="-943"/>
        <w:jc w:val="both"/>
        <w:rPr>
          <w:rFonts w:ascii="Verdana" w:hAnsi="Verdana"/>
          <w:sz w:val="16"/>
          <w:szCs w:val="16"/>
        </w:rPr>
      </w:pPr>
    </w:p>
  </w:footnote>
  <w:footnote w:id="84">
    <w:p w14:paraId="208F8DF6" w14:textId="2A0CFF71" w:rsidR="004224C0" w:rsidRPr="00AF2262" w:rsidRDefault="004224C0" w:rsidP="00B476ED">
      <w:pPr>
        <w:pStyle w:val="Prrafodelista"/>
        <w:tabs>
          <w:tab w:val="left" w:pos="567"/>
        </w:tabs>
        <w:spacing w:line="240" w:lineRule="auto"/>
        <w:ind w:left="0" w:right="-943"/>
        <w:rPr>
          <w:sz w:val="16"/>
          <w:szCs w:val="16"/>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00D91B8B">
        <w:rPr>
          <w:sz w:val="16"/>
          <w:szCs w:val="16"/>
        </w:rPr>
        <w:t xml:space="preserve">Comité de los Derechos del Niño. </w:t>
      </w:r>
      <w:r w:rsidRPr="002D62CD">
        <w:rPr>
          <w:color w:val="000000"/>
          <w:sz w:val="16"/>
          <w:szCs w:val="16"/>
        </w:rPr>
        <w:t xml:space="preserve">Observación general </w:t>
      </w:r>
      <w:r>
        <w:rPr>
          <w:color w:val="000000"/>
          <w:sz w:val="16"/>
          <w:szCs w:val="16"/>
        </w:rPr>
        <w:t>24</w:t>
      </w:r>
      <w:r w:rsidRPr="002D62CD">
        <w:rPr>
          <w:color w:val="000000"/>
          <w:sz w:val="16"/>
          <w:szCs w:val="16"/>
        </w:rPr>
        <w:t xml:space="preserve">, </w:t>
      </w:r>
      <w:r>
        <w:rPr>
          <w:color w:val="000000"/>
          <w:sz w:val="16"/>
          <w:szCs w:val="16"/>
        </w:rPr>
        <w:t>párr. 93</w:t>
      </w:r>
      <w:r w:rsidRPr="00AF2262">
        <w:rPr>
          <w:rFonts w:eastAsiaTheme="minorHAnsi" w:cs="TimesNewRoman"/>
          <w:sz w:val="16"/>
          <w:szCs w:val="16"/>
          <w:lang w:eastAsia="en-US"/>
        </w:rPr>
        <w:t xml:space="preserve">. </w:t>
      </w:r>
      <w:r>
        <w:rPr>
          <w:rFonts w:eastAsiaTheme="minorHAnsi" w:cs="TimesNewRoman"/>
          <w:sz w:val="16"/>
          <w:szCs w:val="16"/>
          <w:lang w:eastAsia="en-US"/>
        </w:rPr>
        <w:t xml:space="preserve">Ver también </w:t>
      </w:r>
      <w:r w:rsidRPr="00AF2262">
        <w:rPr>
          <w:sz w:val="16"/>
          <w:szCs w:val="16"/>
        </w:rPr>
        <w:t xml:space="preserve">Reglas de las Naciones Unidas para la Protección de los Menores Privados de Libertad, </w:t>
      </w:r>
      <w:r>
        <w:rPr>
          <w:sz w:val="16"/>
          <w:szCs w:val="16"/>
        </w:rPr>
        <w:t xml:space="preserve">documento que, </w:t>
      </w:r>
      <w:r w:rsidRPr="00AF2262">
        <w:rPr>
          <w:sz w:val="16"/>
          <w:szCs w:val="16"/>
        </w:rPr>
        <w:t>en su Regla 29, expresa que “[e]n todos los centros de detención, los menores deberán estar separados de los adultos a menos que pertenezcan a la misma familia. En situaciones controladas, podrá reunirse a los menores con adultos cuidadosamente seleccionados en el marco de un programa especial cuya utilidad para los menores interesados haya sido demostrada”. Las Reglas Beijing, por su parte, indican que “[l]os menores confinados en establecimientos penitenciarios se mantendrán separados de los adultos y estarán detenidos en un establecimiento separado o en una parte separada de un establecimiento en el que también estén encarcelados adultos (Regla 26.3). La</w:t>
      </w:r>
      <w:r>
        <w:rPr>
          <w:sz w:val="16"/>
          <w:szCs w:val="16"/>
        </w:rPr>
        <w:t>s</w:t>
      </w:r>
      <w:r w:rsidRPr="00AF2262">
        <w:rPr>
          <w:sz w:val="16"/>
          <w:szCs w:val="16"/>
        </w:rPr>
        <w:t xml:space="preserve"> Reglas </w:t>
      </w:r>
      <w:r>
        <w:rPr>
          <w:sz w:val="16"/>
          <w:szCs w:val="16"/>
        </w:rPr>
        <w:t xml:space="preserve">Mínimas de las Naciones Unidas para el Tratamiento de los Reclusos (Reglas Nelson </w:t>
      </w:r>
      <w:r w:rsidRPr="00AF2262">
        <w:rPr>
          <w:sz w:val="16"/>
          <w:szCs w:val="16"/>
        </w:rPr>
        <w:t>Mandela</w:t>
      </w:r>
      <w:r>
        <w:rPr>
          <w:sz w:val="16"/>
          <w:szCs w:val="16"/>
        </w:rPr>
        <w:t>), aprobadas el 17 de diciembre de 2015 (Resolución 70/175 de la Asamblea General)</w:t>
      </w:r>
      <w:r w:rsidRPr="00AF2262">
        <w:rPr>
          <w:sz w:val="16"/>
          <w:szCs w:val="16"/>
        </w:rPr>
        <w:t>,</w:t>
      </w:r>
      <w:r>
        <w:rPr>
          <w:sz w:val="16"/>
          <w:szCs w:val="16"/>
        </w:rPr>
        <w:t xml:space="preserve"> en su Regla 11,</w:t>
      </w:r>
      <w:r w:rsidRPr="00AF2262">
        <w:rPr>
          <w:sz w:val="16"/>
          <w:szCs w:val="16"/>
        </w:rPr>
        <w:t xml:space="preserve"> señala</w:t>
      </w:r>
      <w:r>
        <w:rPr>
          <w:sz w:val="16"/>
          <w:szCs w:val="16"/>
        </w:rPr>
        <w:t>n</w:t>
      </w:r>
      <w:r w:rsidRPr="00AF2262">
        <w:rPr>
          <w:sz w:val="16"/>
          <w:szCs w:val="16"/>
        </w:rPr>
        <w:t xml:space="preserve">: “Los reclusos pertenecientes a categorías distintas deberán ser alojados en establecimientos diferentes o en pabellones diferentes dentro de un mismo establecimiento, según su sexo y edad, sus antecedentes penales, los motivos de su detención y el trato que corresponda aplicarles; por consiguiente: </w:t>
      </w:r>
      <w:r>
        <w:rPr>
          <w:sz w:val="16"/>
          <w:szCs w:val="16"/>
        </w:rPr>
        <w:t>[…l]</w:t>
      </w:r>
      <w:r w:rsidRPr="00AF2262">
        <w:rPr>
          <w:sz w:val="16"/>
          <w:szCs w:val="16"/>
        </w:rPr>
        <w:t>os jóvenes estarán separados de los adultos”.</w:t>
      </w:r>
    </w:p>
  </w:footnote>
  <w:footnote w:id="85">
    <w:p w14:paraId="3E45D7EE" w14:textId="77777777" w:rsidR="004224C0" w:rsidRDefault="004224C0" w:rsidP="00B476ED">
      <w:pPr>
        <w:pStyle w:val="Textonotapie"/>
        <w:ind w:right="-943"/>
        <w:rPr>
          <w:sz w:val="16"/>
          <w:szCs w:val="16"/>
        </w:rPr>
      </w:pPr>
    </w:p>
    <w:p w14:paraId="18799CD4" w14:textId="7D1BC01A" w:rsidR="004224C0" w:rsidRPr="00AF2262" w:rsidRDefault="004224C0" w:rsidP="00B476ED">
      <w:pPr>
        <w:pStyle w:val="Textonotapie"/>
        <w:ind w:right="-943"/>
        <w:rPr>
          <w:sz w:val="16"/>
          <w:szCs w:val="16"/>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Pr="00AF2262">
        <w:rPr>
          <w:i/>
          <w:sz w:val="16"/>
          <w:szCs w:val="16"/>
        </w:rPr>
        <w:t xml:space="preserve">Asunto de los Niños y Adolescentes Privados de Libertad en el "Complexo do </w:t>
      </w:r>
      <w:proofErr w:type="spellStart"/>
      <w:r w:rsidRPr="00AF2262">
        <w:rPr>
          <w:i/>
          <w:sz w:val="16"/>
          <w:szCs w:val="16"/>
        </w:rPr>
        <w:t>Tatuapé</w:t>
      </w:r>
      <w:proofErr w:type="spellEnd"/>
      <w:r w:rsidRPr="00AF2262">
        <w:rPr>
          <w:i/>
          <w:sz w:val="16"/>
          <w:szCs w:val="16"/>
        </w:rPr>
        <w:t>” da FEBEM respecto de Brasil. Medidas Provisionales</w:t>
      </w:r>
      <w:r w:rsidRPr="00AF2262">
        <w:rPr>
          <w:sz w:val="16"/>
          <w:szCs w:val="16"/>
        </w:rPr>
        <w:t xml:space="preserve">. Resolución de la Corte Interamericana de Derechos Humanos de 30 de noviembre de 2005, Considerando 16. El texto transcripto dentro de ese </w:t>
      </w:r>
      <w:r>
        <w:rPr>
          <w:sz w:val="16"/>
          <w:szCs w:val="16"/>
        </w:rPr>
        <w:t>c</w:t>
      </w:r>
      <w:r w:rsidRPr="00AF2262">
        <w:rPr>
          <w:sz w:val="16"/>
          <w:szCs w:val="16"/>
        </w:rPr>
        <w:t>onside</w:t>
      </w:r>
      <w:r>
        <w:rPr>
          <w:sz w:val="16"/>
          <w:szCs w:val="16"/>
        </w:rPr>
        <w:t>ra</w:t>
      </w:r>
      <w:r w:rsidRPr="00AF2262">
        <w:rPr>
          <w:sz w:val="16"/>
          <w:szCs w:val="16"/>
        </w:rPr>
        <w:t xml:space="preserve">ndo corresponde a: </w:t>
      </w:r>
      <w:r w:rsidR="00D90EB7">
        <w:rPr>
          <w:sz w:val="16"/>
          <w:szCs w:val="16"/>
        </w:rPr>
        <w:t>“</w:t>
      </w:r>
      <w:r w:rsidRPr="00AF2262">
        <w:rPr>
          <w:sz w:val="16"/>
          <w:szCs w:val="16"/>
        </w:rPr>
        <w:t>Naciones Unidas. Reglas para la protección de los menores privados de libertad, adoptadas por la Asamblea General en su resolución 45/113, de 14 de diciembre de 1990</w:t>
      </w:r>
      <w:r w:rsidR="00D90EB7">
        <w:rPr>
          <w:sz w:val="16"/>
          <w:szCs w:val="16"/>
        </w:rPr>
        <w:t>,</w:t>
      </w:r>
      <w:r w:rsidRPr="00AF2262">
        <w:rPr>
          <w:sz w:val="16"/>
          <w:szCs w:val="16"/>
        </w:rPr>
        <w:t xml:space="preserve"> regla 28</w:t>
      </w:r>
      <w:r w:rsidR="00D90EB7">
        <w:rPr>
          <w:sz w:val="16"/>
          <w:szCs w:val="16"/>
        </w:rPr>
        <w:t>”</w:t>
      </w:r>
      <w:r w:rsidRPr="00AF2262">
        <w:rPr>
          <w:sz w:val="16"/>
          <w:szCs w:val="16"/>
        </w:rPr>
        <w:t>.</w:t>
      </w:r>
    </w:p>
    <w:p w14:paraId="0C8242EA" w14:textId="77777777" w:rsidR="004224C0" w:rsidRPr="00AF2262" w:rsidRDefault="004224C0" w:rsidP="00B476ED">
      <w:pPr>
        <w:pStyle w:val="Textonotapie"/>
        <w:ind w:right="-943"/>
        <w:rPr>
          <w:sz w:val="16"/>
          <w:szCs w:val="16"/>
          <w:lang w:val="es-CR"/>
        </w:rPr>
      </w:pPr>
    </w:p>
  </w:footnote>
  <w:footnote w:id="86">
    <w:p w14:paraId="7C4DD2F0" w14:textId="77777777" w:rsidR="004224C0" w:rsidRPr="00AF2262" w:rsidRDefault="004224C0" w:rsidP="00B476ED">
      <w:pPr>
        <w:pStyle w:val="Textonotapie"/>
        <w:ind w:right="-943"/>
        <w:rPr>
          <w:sz w:val="16"/>
          <w:szCs w:val="16"/>
        </w:rPr>
      </w:pPr>
      <w:r w:rsidRPr="00AF2262">
        <w:rPr>
          <w:rStyle w:val="Refdenotaalpie"/>
          <w:rFonts w:eastAsia="MS Mincho"/>
          <w:sz w:val="16"/>
          <w:szCs w:val="16"/>
        </w:rPr>
        <w:footnoteRef/>
      </w:r>
      <w:r w:rsidRPr="00AF2262">
        <w:rPr>
          <w:sz w:val="16"/>
          <w:szCs w:val="16"/>
        </w:rPr>
        <w:t xml:space="preserve"> </w:t>
      </w:r>
      <w:r w:rsidRPr="00AF2262">
        <w:rPr>
          <w:sz w:val="16"/>
          <w:szCs w:val="16"/>
          <w:lang w:val="es-CR"/>
        </w:rPr>
        <w:t xml:space="preserve"> </w:t>
      </w:r>
      <w:r w:rsidRPr="00AF2262">
        <w:rPr>
          <w:sz w:val="16"/>
          <w:szCs w:val="16"/>
          <w:lang w:val="es-CR"/>
        </w:rPr>
        <w:tab/>
        <w:t xml:space="preserve">En el mismo sentido expresado, las Reglas </w:t>
      </w:r>
      <w:r w:rsidRPr="00AF2262">
        <w:rPr>
          <w:sz w:val="16"/>
          <w:szCs w:val="16"/>
        </w:rPr>
        <w:t>de Beijing, en el tercer apartado de su artículo 3, titulado “Ampliación del ámbito de aplicación de las Reglas”, expresan que “[s]e procurará asimismo extender el alcance de los principios contenidos en las Reglas a los delincuentes adultos jóvenes”. El Comité de los derechos del Niño, por otra parte, ha admitido la posibilidad de que jóvenes adultos permanezcan privados de su libertan en instituciones para menores de edad, en la medida en que ello no contravenga el interés superior del niño (</w:t>
      </w:r>
      <w:r>
        <w:rPr>
          <w:i/>
          <w:sz w:val="16"/>
          <w:szCs w:val="16"/>
        </w:rPr>
        <w:t>supra</w:t>
      </w:r>
      <w:r w:rsidRPr="00AF2262">
        <w:rPr>
          <w:i/>
          <w:sz w:val="16"/>
          <w:szCs w:val="16"/>
        </w:rPr>
        <w:t xml:space="preserve"> </w:t>
      </w:r>
      <w:r w:rsidRPr="00AF2262">
        <w:rPr>
          <w:sz w:val="16"/>
          <w:szCs w:val="16"/>
        </w:rPr>
        <w:t xml:space="preserve">párr. </w:t>
      </w:r>
      <w:r>
        <w:rPr>
          <w:sz w:val="16"/>
          <w:szCs w:val="16"/>
        </w:rPr>
        <w:t>82</w:t>
      </w:r>
      <w:r w:rsidRPr="00AF2262">
        <w:rPr>
          <w:sz w:val="16"/>
          <w:szCs w:val="16"/>
        </w:rPr>
        <w:t>). El perito Méndez ha explicado que “diversos órganos internacionales de derechos humanos han reconocido la posibilidad –y muchas veces la necesidad – de que personas que recién han cumplido la mayoría de edad, sigan siendo tratados y considerados como menores”</w:t>
      </w:r>
      <w:r>
        <w:rPr>
          <w:b/>
          <w:sz w:val="16"/>
          <w:szCs w:val="16"/>
        </w:rPr>
        <w:t>.</w:t>
      </w:r>
    </w:p>
    <w:p w14:paraId="50A22969" w14:textId="77777777" w:rsidR="004224C0" w:rsidRPr="00AF2262" w:rsidRDefault="004224C0" w:rsidP="00B476ED">
      <w:pPr>
        <w:pStyle w:val="Textonotapie"/>
        <w:ind w:right="-943"/>
        <w:rPr>
          <w:sz w:val="16"/>
          <w:szCs w:val="16"/>
          <w:lang w:val="es-CR"/>
        </w:rPr>
      </w:pPr>
    </w:p>
  </w:footnote>
  <w:footnote w:id="87">
    <w:p w14:paraId="781B9475" w14:textId="2487FD02" w:rsidR="004224C0" w:rsidRPr="003C748A" w:rsidRDefault="004224C0" w:rsidP="00B476ED">
      <w:pPr>
        <w:pStyle w:val="Textonotapie"/>
        <w:ind w:right="-943"/>
        <w:rPr>
          <w:color w:val="000000"/>
          <w:sz w:val="16"/>
          <w:szCs w:val="16"/>
        </w:rPr>
      </w:pPr>
      <w:r w:rsidRPr="003C748A">
        <w:rPr>
          <w:rStyle w:val="Refdenotaalpie"/>
          <w:sz w:val="16"/>
          <w:szCs w:val="16"/>
        </w:rPr>
        <w:footnoteRef/>
      </w:r>
      <w:r w:rsidRPr="003C748A">
        <w:rPr>
          <w:sz w:val="16"/>
          <w:szCs w:val="16"/>
        </w:rPr>
        <w:t xml:space="preserve"> </w:t>
      </w:r>
      <w:r w:rsidRPr="003C748A">
        <w:rPr>
          <w:sz w:val="16"/>
          <w:szCs w:val="16"/>
        </w:rPr>
        <w:tab/>
      </w:r>
      <w:r w:rsidRPr="003C748A">
        <w:rPr>
          <w:color w:val="000000"/>
          <w:sz w:val="16"/>
          <w:szCs w:val="16"/>
        </w:rPr>
        <w:t xml:space="preserve">Comité de los </w:t>
      </w:r>
      <w:r w:rsidR="00D90EB7">
        <w:rPr>
          <w:color w:val="000000"/>
          <w:sz w:val="16"/>
          <w:szCs w:val="16"/>
        </w:rPr>
        <w:t>Derechos del Niño, Observación g</w:t>
      </w:r>
      <w:r w:rsidRPr="003C748A">
        <w:rPr>
          <w:color w:val="000000"/>
          <w:sz w:val="16"/>
          <w:szCs w:val="16"/>
        </w:rPr>
        <w:t>eneral 24, párr. 31. En los párrafos 32 y 35 del mismo pronunciamiento, el Comité “</w:t>
      </w:r>
      <w:proofErr w:type="spellStart"/>
      <w:r w:rsidRPr="003C748A">
        <w:rPr>
          <w:sz w:val="16"/>
          <w:szCs w:val="16"/>
        </w:rPr>
        <w:t>encomi</w:t>
      </w:r>
      <w:proofErr w:type="spellEnd"/>
      <w:r w:rsidRPr="003C748A">
        <w:rPr>
          <w:sz w:val="16"/>
          <w:szCs w:val="16"/>
        </w:rPr>
        <w:t>[</w:t>
      </w:r>
      <w:proofErr w:type="spellStart"/>
      <w:r w:rsidRPr="003C748A">
        <w:rPr>
          <w:sz w:val="16"/>
          <w:szCs w:val="16"/>
        </w:rPr>
        <w:t>ó</w:t>
      </w:r>
      <w:proofErr w:type="spellEnd"/>
      <w:r w:rsidRPr="003C748A">
        <w:rPr>
          <w:sz w:val="16"/>
          <w:szCs w:val="16"/>
        </w:rPr>
        <w:t xml:space="preserve">] a los Estados […]que </w:t>
      </w:r>
      <w:proofErr w:type="spellStart"/>
      <w:r w:rsidRPr="003C748A">
        <w:rPr>
          <w:sz w:val="16"/>
          <w:szCs w:val="16"/>
        </w:rPr>
        <w:t>permit</w:t>
      </w:r>
      <w:proofErr w:type="spellEnd"/>
      <w:r w:rsidRPr="003C748A">
        <w:rPr>
          <w:sz w:val="16"/>
          <w:szCs w:val="16"/>
        </w:rPr>
        <w:t>[a]n la aplicación del sistema de justicia juvenil a las personas de 18 años o más, ya sea como norma general o a título excepcional”, y “</w:t>
      </w:r>
      <w:proofErr w:type="spellStart"/>
      <w:r w:rsidRPr="003C748A">
        <w:rPr>
          <w:sz w:val="16"/>
          <w:szCs w:val="16"/>
        </w:rPr>
        <w:t>recom</w:t>
      </w:r>
      <w:proofErr w:type="spellEnd"/>
      <w:r w:rsidRPr="003C748A">
        <w:rPr>
          <w:sz w:val="16"/>
          <w:szCs w:val="16"/>
        </w:rPr>
        <w:t>[</w:t>
      </w:r>
      <w:proofErr w:type="spellStart"/>
      <w:r w:rsidRPr="003C748A">
        <w:rPr>
          <w:sz w:val="16"/>
          <w:szCs w:val="16"/>
        </w:rPr>
        <w:t>endó</w:t>
      </w:r>
      <w:proofErr w:type="spellEnd"/>
      <w:r w:rsidRPr="003C748A">
        <w:rPr>
          <w:sz w:val="16"/>
          <w:szCs w:val="16"/>
        </w:rPr>
        <w:t>] que los niños que cumplan 18 años antes de completar un programa de medidas extrajudiciales o bien una medida no privativa de la libertad o privativa de la libertad puedan finalizar el programa, la medida o la sentencia, y no sean enviados a centros para adultos”.</w:t>
      </w:r>
    </w:p>
    <w:p w14:paraId="551B3B3F" w14:textId="77777777" w:rsidR="004224C0" w:rsidRPr="003A5C19" w:rsidRDefault="004224C0" w:rsidP="00B476ED">
      <w:pPr>
        <w:pStyle w:val="Textonotapie"/>
        <w:ind w:right="-943"/>
        <w:rPr>
          <w:lang w:val="es-CR"/>
        </w:rPr>
      </w:pPr>
      <w:r>
        <w:rPr>
          <w:color w:val="000000"/>
          <w:sz w:val="16"/>
          <w:szCs w:val="16"/>
        </w:rPr>
        <w:t xml:space="preserve"> </w:t>
      </w:r>
    </w:p>
  </w:footnote>
  <w:footnote w:id="88">
    <w:p w14:paraId="10BCCBB6" w14:textId="53FDD984" w:rsidR="004224C0" w:rsidRPr="00AF2262" w:rsidRDefault="004224C0" w:rsidP="00B476ED">
      <w:pPr>
        <w:pStyle w:val="Textonotapie"/>
        <w:ind w:right="-943"/>
        <w:rPr>
          <w:sz w:val="16"/>
          <w:szCs w:val="16"/>
          <w:lang w:val="es-ES"/>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Pr="00AF2262">
        <w:rPr>
          <w:i/>
          <w:sz w:val="16"/>
          <w:szCs w:val="16"/>
        </w:rPr>
        <w:t xml:space="preserve">Cfr. </w:t>
      </w:r>
      <w:r w:rsidRPr="00E271AF">
        <w:rPr>
          <w:i/>
          <w:sz w:val="16"/>
          <w:szCs w:val="16"/>
        </w:rPr>
        <w:t>Caso Bulacio Vs. Argentina. Fondo, Reparaciones y Costas.</w:t>
      </w:r>
      <w:r w:rsidRPr="003C748A">
        <w:rPr>
          <w:sz w:val="16"/>
          <w:szCs w:val="16"/>
        </w:rPr>
        <w:t xml:space="preserve"> Sentencia de 18 de septiembre de 2003. Serie C No. 100</w:t>
      </w:r>
      <w:r w:rsidRPr="00AF2262">
        <w:rPr>
          <w:i/>
          <w:sz w:val="16"/>
          <w:szCs w:val="16"/>
        </w:rPr>
        <w:t xml:space="preserve">, </w:t>
      </w:r>
      <w:proofErr w:type="spellStart"/>
      <w:r w:rsidRPr="00AF2262">
        <w:rPr>
          <w:sz w:val="16"/>
          <w:szCs w:val="16"/>
        </w:rPr>
        <w:t>parrs</w:t>
      </w:r>
      <w:proofErr w:type="spellEnd"/>
      <w:r w:rsidRPr="00AF2262">
        <w:rPr>
          <w:sz w:val="16"/>
          <w:szCs w:val="16"/>
        </w:rPr>
        <w:t xml:space="preserve">. 126 y 138, y </w:t>
      </w:r>
      <w:r w:rsidRPr="00AF2262">
        <w:rPr>
          <w:i/>
          <w:sz w:val="16"/>
          <w:szCs w:val="16"/>
        </w:rPr>
        <w:t>Caso "Instituto de Reeducación del Menor" Vs. Paraguay</w:t>
      </w:r>
      <w:r w:rsidRPr="00AF2262">
        <w:rPr>
          <w:sz w:val="16"/>
          <w:szCs w:val="16"/>
        </w:rPr>
        <w:t xml:space="preserve">, párr. 151. </w:t>
      </w:r>
      <w:r>
        <w:rPr>
          <w:sz w:val="16"/>
          <w:szCs w:val="16"/>
        </w:rPr>
        <w:t xml:space="preserve">En igual sentido, </w:t>
      </w:r>
      <w:r w:rsidRPr="003C748A">
        <w:rPr>
          <w:i/>
          <w:sz w:val="16"/>
          <w:szCs w:val="16"/>
        </w:rPr>
        <w:t>Caso Montesinos Mejía Vs. Ecuador. Excepciones Preliminares, Fondo, Reparaciones y Costas.</w:t>
      </w:r>
      <w:r w:rsidRPr="00E271AF">
        <w:rPr>
          <w:sz w:val="16"/>
          <w:szCs w:val="16"/>
        </w:rPr>
        <w:t xml:space="preserve"> Sentencia de 27 de enero de 2020. Serie C No. 398</w:t>
      </w:r>
      <w:r>
        <w:rPr>
          <w:sz w:val="16"/>
          <w:szCs w:val="16"/>
        </w:rPr>
        <w:t>, párr. 150</w:t>
      </w:r>
      <w:r w:rsidRPr="00E271AF">
        <w:rPr>
          <w:sz w:val="16"/>
          <w:szCs w:val="16"/>
        </w:rPr>
        <w:t>.</w:t>
      </w:r>
      <w:r w:rsidRPr="00AF2262">
        <w:rPr>
          <w:sz w:val="16"/>
          <w:szCs w:val="16"/>
        </w:rPr>
        <w:t>Por otra parte, la Corte recuerda que el artículo 5.1 de la Convención consagra en términos generales el derecho a la integridad personal, tanto física y psíquica como moral (</w:t>
      </w:r>
      <w:r w:rsidRPr="00AF2262">
        <w:rPr>
          <w:i/>
          <w:iCs/>
          <w:sz w:val="16"/>
          <w:szCs w:val="16"/>
          <w:lang w:val="es-PR"/>
        </w:rPr>
        <w:t xml:space="preserve">Cfr. Caso Yvon </w:t>
      </w:r>
      <w:proofErr w:type="spellStart"/>
      <w:r w:rsidRPr="00AF2262">
        <w:rPr>
          <w:i/>
          <w:iCs/>
          <w:sz w:val="16"/>
          <w:szCs w:val="16"/>
          <w:lang w:val="es-PR"/>
        </w:rPr>
        <w:t>Neptune</w:t>
      </w:r>
      <w:proofErr w:type="spellEnd"/>
      <w:r w:rsidRPr="00AF2262">
        <w:rPr>
          <w:i/>
          <w:iCs/>
          <w:sz w:val="16"/>
          <w:szCs w:val="16"/>
          <w:lang w:val="es-PR"/>
        </w:rPr>
        <w:t xml:space="preserve"> Vs. Haití, Fondo, Reparaciones y Costas.</w:t>
      </w:r>
      <w:r w:rsidRPr="00AF2262">
        <w:rPr>
          <w:sz w:val="16"/>
          <w:szCs w:val="16"/>
          <w:lang w:val="es-PR"/>
        </w:rPr>
        <w:t xml:space="preserve"> Sentencia de 6 de mayo de 2008. Serie C No. 180, párr. 129, y </w:t>
      </w:r>
      <w:r w:rsidRPr="003C748A">
        <w:rPr>
          <w:i/>
          <w:sz w:val="16"/>
          <w:szCs w:val="16"/>
          <w:lang w:val="es-PR"/>
        </w:rPr>
        <w:t>Caso Guzmán Albarracín y otras Vs. Ecuador</w:t>
      </w:r>
      <w:r>
        <w:rPr>
          <w:sz w:val="16"/>
          <w:szCs w:val="16"/>
          <w:lang w:val="es-PR"/>
        </w:rPr>
        <w:t>, párr. 148.</w:t>
      </w:r>
      <w:r w:rsidRPr="00AF2262">
        <w:rPr>
          <w:sz w:val="16"/>
          <w:szCs w:val="16"/>
          <w:lang w:val="es-PR"/>
        </w:rPr>
        <w:t>), y que se trata de un derecho “</w:t>
      </w:r>
      <w:r w:rsidRPr="00AF2262">
        <w:rPr>
          <w:sz w:val="16"/>
          <w:szCs w:val="16"/>
        </w:rPr>
        <w:t xml:space="preserve">de tal importancia que la Convención Americana lo protege particularmente al establecer, </w:t>
      </w:r>
      <w:r w:rsidRPr="00AF2262">
        <w:rPr>
          <w:i/>
          <w:sz w:val="16"/>
          <w:szCs w:val="16"/>
        </w:rPr>
        <w:t xml:space="preserve">inter </w:t>
      </w:r>
      <w:proofErr w:type="spellStart"/>
      <w:r w:rsidRPr="00AF2262">
        <w:rPr>
          <w:i/>
          <w:sz w:val="16"/>
          <w:szCs w:val="16"/>
        </w:rPr>
        <w:t>alia</w:t>
      </w:r>
      <w:proofErr w:type="spellEnd"/>
      <w:r w:rsidRPr="00AF2262">
        <w:rPr>
          <w:sz w:val="16"/>
          <w:szCs w:val="16"/>
        </w:rPr>
        <w:t>, la prohibición de la tortura, los tratos crueles, inhumanos y degradantes y la imposibilidad de suspenderlo durante estados de emergencia” (</w:t>
      </w:r>
      <w:r w:rsidRPr="00AF2262">
        <w:rPr>
          <w:i/>
          <w:sz w:val="16"/>
          <w:szCs w:val="16"/>
        </w:rPr>
        <w:t>Caso "Instituto de Reeducación del Menor" Vs. Paraguay</w:t>
      </w:r>
      <w:r w:rsidRPr="00AF2262">
        <w:rPr>
          <w:sz w:val="16"/>
          <w:szCs w:val="16"/>
        </w:rPr>
        <w:t>, párr.157</w:t>
      </w:r>
      <w:r>
        <w:rPr>
          <w:sz w:val="16"/>
          <w:szCs w:val="16"/>
        </w:rPr>
        <w:t xml:space="preserve">, y </w:t>
      </w:r>
      <w:r w:rsidRPr="003C748A">
        <w:rPr>
          <w:i/>
          <w:sz w:val="16"/>
          <w:szCs w:val="16"/>
        </w:rPr>
        <w:t xml:space="preserve">Caso Vera </w:t>
      </w:r>
      <w:proofErr w:type="spellStart"/>
      <w:r w:rsidRPr="003C748A">
        <w:rPr>
          <w:i/>
          <w:sz w:val="16"/>
          <w:szCs w:val="16"/>
        </w:rPr>
        <w:t>Vera</w:t>
      </w:r>
      <w:proofErr w:type="spellEnd"/>
      <w:r w:rsidRPr="003C748A">
        <w:rPr>
          <w:i/>
          <w:sz w:val="16"/>
          <w:szCs w:val="16"/>
        </w:rPr>
        <w:t xml:space="preserve"> y otra Vs. Ecuador. Excepción Preliminar, Fondo, Reparaciones y Costas.</w:t>
      </w:r>
      <w:r w:rsidRPr="00DC6905">
        <w:rPr>
          <w:sz w:val="16"/>
          <w:szCs w:val="16"/>
        </w:rPr>
        <w:t xml:space="preserve"> Sentencia de 19 de mayo de 2011. Serie C No. 226</w:t>
      </w:r>
      <w:r>
        <w:rPr>
          <w:sz w:val="16"/>
          <w:szCs w:val="16"/>
        </w:rPr>
        <w:t>, párr. 40</w:t>
      </w:r>
      <w:r w:rsidRPr="00AF2262">
        <w:rPr>
          <w:sz w:val="16"/>
          <w:szCs w:val="16"/>
        </w:rPr>
        <w:t>). El perito Méndez manifestó que “</w:t>
      </w:r>
      <w:r>
        <w:rPr>
          <w:sz w:val="16"/>
          <w:szCs w:val="16"/>
        </w:rPr>
        <w:t>[a]</w:t>
      </w:r>
      <w:r w:rsidRPr="00AF2262">
        <w:rPr>
          <w:sz w:val="16"/>
          <w:szCs w:val="16"/>
        </w:rPr>
        <w:t xml:space="preserve">l igual que el derecho a la vida, el derecho a la integridad personal es un derecho humano fundamental y básico que permite el ejercicio del resto de los derechos humanos. Ambos constituyen mínimos indispensables para el ejercicio de cualquier actividad. En ese sentido, resulta coherente que, al igual que el derecho a la vida, el deber de proteger la integridad personal implica una obligación positiva y una negativa. Los Estados deben evitar infringir la integridad personal y, al mismo tiempo, tienen que proteger proactivamente este derecho a través de todas medidas apropiadas para garantizarlo”. </w:t>
      </w:r>
    </w:p>
    <w:p w14:paraId="35DFC734" w14:textId="77777777" w:rsidR="004224C0" w:rsidRPr="00AF2262" w:rsidRDefault="004224C0" w:rsidP="00B476ED">
      <w:pPr>
        <w:spacing w:line="240" w:lineRule="auto"/>
        <w:ind w:right="-943" w:firstLine="708"/>
        <w:rPr>
          <w:sz w:val="16"/>
          <w:szCs w:val="16"/>
        </w:rPr>
      </w:pPr>
    </w:p>
  </w:footnote>
  <w:footnote w:id="89">
    <w:p w14:paraId="64E9F7AC" w14:textId="10189672" w:rsidR="004224C0" w:rsidRPr="00AF2262" w:rsidRDefault="004224C0" w:rsidP="00B476ED">
      <w:pPr>
        <w:pStyle w:val="Textonotapie"/>
        <w:ind w:right="-943"/>
        <w:rPr>
          <w:sz w:val="16"/>
          <w:szCs w:val="16"/>
          <w:lang w:val="es-GT"/>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Pr="00AF2262">
        <w:rPr>
          <w:i/>
          <w:sz w:val="16"/>
          <w:szCs w:val="16"/>
        </w:rPr>
        <w:t>Cfr.</w:t>
      </w:r>
      <w:r w:rsidRPr="00AF2262">
        <w:rPr>
          <w:sz w:val="16"/>
          <w:szCs w:val="16"/>
        </w:rPr>
        <w:t xml:space="preserve"> </w:t>
      </w:r>
      <w:r w:rsidRPr="00AF2262">
        <w:rPr>
          <w:i/>
          <w:sz w:val="16"/>
          <w:szCs w:val="16"/>
        </w:rPr>
        <w:t xml:space="preserve">Caso “Instituto de </w:t>
      </w:r>
      <w:r w:rsidRPr="00AF2262">
        <w:rPr>
          <w:i/>
          <w:sz w:val="16"/>
          <w:szCs w:val="16"/>
          <w:lang w:val="es-GT"/>
        </w:rPr>
        <w:t xml:space="preserve">Reeducación del Menor” Vs. </w:t>
      </w:r>
      <w:r w:rsidRPr="0049033D">
        <w:rPr>
          <w:i/>
          <w:sz w:val="16"/>
          <w:szCs w:val="16"/>
          <w:lang w:val="en-GB"/>
        </w:rPr>
        <w:t>Paraguay</w:t>
      </w:r>
      <w:r w:rsidRPr="0049033D">
        <w:rPr>
          <w:sz w:val="16"/>
          <w:szCs w:val="16"/>
          <w:lang w:val="en-GB"/>
        </w:rPr>
        <w:t xml:space="preserve">, párr.155, y </w:t>
      </w:r>
      <w:r w:rsidRPr="0049033D">
        <w:rPr>
          <w:i/>
          <w:sz w:val="16"/>
          <w:szCs w:val="16"/>
          <w:lang w:val="en-GB"/>
        </w:rPr>
        <w:t xml:space="preserve">Caso Wong Ho Wing Vs. </w:t>
      </w:r>
      <w:r w:rsidRPr="003C748A">
        <w:rPr>
          <w:i/>
          <w:sz w:val="16"/>
          <w:szCs w:val="16"/>
          <w:lang w:val="es-GT"/>
        </w:rPr>
        <w:t>Perú. Excepción Preliminar, Fondo, Reparaciones y Costas.</w:t>
      </w:r>
      <w:r w:rsidRPr="00DC6905">
        <w:rPr>
          <w:sz w:val="16"/>
          <w:szCs w:val="16"/>
          <w:lang w:val="es-GT"/>
        </w:rPr>
        <w:t xml:space="preserve"> Sentencia de 30 de junio de 2015. Serie C No. 297</w:t>
      </w:r>
      <w:r>
        <w:rPr>
          <w:sz w:val="16"/>
          <w:szCs w:val="16"/>
          <w:lang w:val="es-GT"/>
        </w:rPr>
        <w:t>, párr. 294.</w:t>
      </w:r>
    </w:p>
    <w:p w14:paraId="7ECF5CE5" w14:textId="77777777" w:rsidR="004224C0" w:rsidRPr="00AF2262" w:rsidRDefault="004224C0" w:rsidP="00B476ED">
      <w:pPr>
        <w:pStyle w:val="Textonotapie"/>
        <w:ind w:right="-943"/>
        <w:rPr>
          <w:sz w:val="16"/>
          <w:szCs w:val="16"/>
          <w:lang w:val="es-CR"/>
        </w:rPr>
      </w:pPr>
    </w:p>
  </w:footnote>
  <w:footnote w:id="90">
    <w:p w14:paraId="742BAE1B" w14:textId="7DFEBF42" w:rsidR="004224C0" w:rsidRPr="00AF2262" w:rsidRDefault="004224C0" w:rsidP="00B476ED">
      <w:pPr>
        <w:spacing w:line="240" w:lineRule="auto"/>
        <w:ind w:right="-943"/>
        <w:rPr>
          <w:sz w:val="16"/>
          <w:szCs w:val="16"/>
          <w:lang w:val="es-GT"/>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Pr="00AF2262">
        <w:rPr>
          <w:i/>
          <w:sz w:val="16"/>
          <w:szCs w:val="16"/>
        </w:rPr>
        <w:t xml:space="preserve">Cfr. Caso “Instituto de </w:t>
      </w:r>
      <w:r w:rsidRPr="00AF2262">
        <w:rPr>
          <w:i/>
          <w:sz w:val="16"/>
          <w:szCs w:val="16"/>
          <w:lang w:val="es-GT"/>
        </w:rPr>
        <w:t>Reeducación del Menor” Vs. Paraguay</w:t>
      </w:r>
      <w:r w:rsidRPr="00AF2262">
        <w:rPr>
          <w:sz w:val="16"/>
          <w:szCs w:val="16"/>
          <w:lang w:val="es-GT"/>
        </w:rPr>
        <w:t xml:space="preserve">, párr. 152, y </w:t>
      </w:r>
      <w:r w:rsidRPr="003C748A">
        <w:rPr>
          <w:i/>
          <w:sz w:val="16"/>
          <w:szCs w:val="16"/>
          <w:lang w:val="es-GT"/>
        </w:rPr>
        <w:t>Caso López y otros Vs. Argentina. Excepciones Preliminares, Fondo, Reparaciones y Costas.</w:t>
      </w:r>
      <w:r w:rsidRPr="00DC6905">
        <w:rPr>
          <w:sz w:val="16"/>
          <w:szCs w:val="16"/>
          <w:lang w:val="es-GT"/>
        </w:rPr>
        <w:t xml:space="preserve"> Sentencia de 25 de noviembre de 2019. Serie C No. 396</w:t>
      </w:r>
      <w:r>
        <w:rPr>
          <w:sz w:val="16"/>
          <w:szCs w:val="16"/>
          <w:lang w:val="es-GT"/>
        </w:rPr>
        <w:t>, párr. 90</w:t>
      </w:r>
      <w:r w:rsidRPr="00AF2262">
        <w:rPr>
          <w:sz w:val="16"/>
          <w:szCs w:val="16"/>
          <w:lang w:val="es-GT"/>
        </w:rPr>
        <w:t>.</w:t>
      </w:r>
    </w:p>
  </w:footnote>
  <w:footnote w:id="91">
    <w:p w14:paraId="4AC337D2" w14:textId="77777777" w:rsidR="004224C0" w:rsidRDefault="004224C0" w:rsidP="00B476ED">
      <w:pPr>
        <w:spacing w:line="240" w:lineRule="auto"/>
        <w:ind w:right="-943"/>
        <w:rPr>
          <w:sz w:val="16"/>
          <w:szCs w:val="16"/>
        </w:rPr>
      </w:pPr>
    </w:p>
    <w:p w14:paraId="3E41506D" w14:textId="45ACD440" w:rsidR="004224C0" w:rsidRPr="00AF2262" w:rsidRDefault="004224C0" w:rsidP="00B476ED">
      <w:pPr>
        <w:spacing w:line="240" w:lineRule="auto"/>
        <w:ind w:right="-943"/>
        <w:rPr>
          <w:sz w:val="16"/>
          <w:szCs w:val="16"/>
          <w:lang w:val="es-GT"/>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Pr="00AF2262">
        <w:rPr>
          <w:i/>
          <w:sz w:val="16"/>
          <w:szCs w:val="16"/>
        </w:rPr>
        <w:t xml:space="preserve">Cfr. </w:t>
      </w:r>
      <w:r w:rsidRPr="00AF2262">
        <w:rPr>
          <w:i/>
          <w:sz w:val="16"/>
          <w:szCs w:val="16"/>
          <w:lang w:val="es-GT"/>
        </w:rPr>
        <w:t>Caso Mendoza y otros Vs. Argentina</w:t>
      </w:r>
      <w:r w:rsidRPr="00AF2262">
        <w:rPr>
          <w:sz w:val="16"/>
          <w:szCs w:val="16"/>
          <w:lang w:val="es-GT"/>
        </w:rPr>
        <w:t>,</w:t>
      </w:r>
      <w:r w:rsidRPr="00AF2262">
        <w:rPr>
          <w:i/>
          <w:sz w:val="16"/>
          <w:szCs w:val="16"/>
          <w:lang w:val="es-GT"/>
        </w:rPr>
        <w:t xml:space="preserve"> </w:t>
      </w:r>
      <w:r w:rsidRPr="00AF2262">
        <w:rPr>
          <w:sz w:val="16"/>
          <w:szCs w:val="16"/>
          <w:lang w:val="es-GT"/>
        </w:rPr>
        <w:t>párr. 188.</w:t>
      </w:r>
      <w:r>
        <w:rPr>
          <w:sz w:val="16"/>
          <w:szCs w:val="16"/>
          <w:lang w:val="es-GT"/>
        </w:rPr>
        <w:t xml:space="preserve"> Antes la Corte había expresado consideraciones en el mismo sentido: </w:t>
      </w:r>
      <w:r w:rsidRPr="00AF2262">
        <w:rPr>
          <w:i/>
          <w:sz w:val="16"/>
          <w:szCs w:val="16"/>
        </w:rPr>
        <w:t xml:space="preserve">Caso “Instituto de </w:t>
      </w:r>
      <w:r w:rsidRPr="00AF2262">
        <w:rPr>
          <w:i/>
          <w:sz w:val="16"/>
          <w:szCs w:val="16"/>
          <w:lang w:val="es-GT"/>
        </w:rPr>
        <w:t>Reeducación del Menor” Vs. Paraguay</w:t>
      </w:r>
      <w:r w:rsidRPr="00AF2262">
        <w:rPr>
          <w:sz w:val="16"/>
          <w:szCs w:val="16"/>
          <w:lang w:val="es-GT"/>
        </w:rPr>
        <w:t>, párr. 152</w:t>
      </w:r>
      <w:r>
        <w:rPr>
          <w:sz w:val="16"/>
          <w:szCs w:val="16"/>
          <w:lang w:val="es-GT"/>
        </w:rPr>
        <w:t>.</w:t>
      </w:r>
    </w:p>
  </w:footnote>
  <w:footnote w:id="92">
    <w:p w14:paraId="6AB736F8" w14:textId="77777777" w:rsidR="004224C0" w:rsidRDefault="004224C0" w:rsidP="00B476ED">
      <w:pPr>
        <w:pStyle w:val="Textonotapie"/>
        <w:ind w:right="-943"/>
        <w:rPr>
          <w:sz w:val="16"/>
          <w:szCs w:val="16"/>
        </w:rPr>
      </w:pPr>
    </w:p>
    <w:p w14:paraId="11C4ABFA" w14:textId="5BFA0BB5" w:rsidR="004224C0" w:rsidRDefault="004224C0" w:rsidP="00B476ED">
      <w:pPr>
        <w:pStyle w:val="Textonotapie"/>
        <w:ind w:right="-943"/>
        <w:rPr>
          <w:b/>
          <w:sz w:val="16"/>
          <w:szCs w:val="16"/>
          <w:lang w:val="es-CR"/>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Pr="003C748A">
        <w:rPr>
          <w:i/>
          <w:sz w:val="16"/>
          <w:szCs w:val="16"/>
        </w:rPr>
        <w:t xml:space="preserve">Cfr. Caso “Instituto de </w:t>
      </w:r>
      <w:r w:rsidRPr="003C748A">
        <w:rPr>
          <w:i/>
          <w:sz w:val="16"/>
          <w:szCs w:val="16"/>
          <w:lang w:val="es-GT"/>
        </w:rPr>
        <w:t>Reeducación del Menor” Vs. Paraguay</w:t>
      </w:r>
      <w:r w:rsidRPr="003C748A">
        <w:rPr>
          <w:sz w:val="16"/>
          <w:szCs w:val="16"/>
          <w:lang w:val="es-GT"/>
        </w:rPr>
        <w:t>, párr.159, y</w:t>
      </w:r>
      <w:r>
        <w:rPr>
          <w:sz w:val="16"/>
          <w:szCs w:val="16"/>
          <w:lang w:val="es-GT"/>
        </w:rPr>
        <w:t xml:space="preserve"> </w:t>
      </w:r>
      <w:r w:rsidRPr="003C748A">
        <w:rPr>
          <w:i/>
          <w:sz w:val="16"/>
          <w:szCs w:val="16"/>
          <w:lang w:val="es-GT"/>
        </w:rPr>
        <w:t>Caso Valenzuela Ávila Vs. Guatemala. Fondo, Reparaciones y Costas.</w:t>
      </w:r>
      <w:r w:rsidRPr="00377683">
        <w:rPr>
          <w:sz w:val="16"/>
          <w:szCs w:val="16"/>
          <w:lang w:val="es-GT"/>
        </w:rPr>
        <w:t xml:space="preserve"> Sentencia de 11 de octubre de 2019. Serie C No. 386</w:t>
      </w:r>
      <w:r>
        <w:rPr>
          <w:sz w:val="16"/>
          <w:szCs w:val="16"/>
          <w:lang w:val="es-GT"/>
        </w:rPr>
        <w:t>, párr. 203.</w:t>
      </w:r>
      <w:r w:rsidRPr="00AF2262">
        <w:rPr>
          <w:sz w:val="16"/>
          <w:szCs w:val="16"/>
          <w:lang w:val="es-GT"/>
        </w:rPr>
        <w:t xml:space="preserve"> </w:t>
      </w:r>
      <w:r w:rsidRPr="00EC601B">
        <w:rPr>
          <w:sz w:val="16"/>
          <w:szCs w:val="16"/>
          <w:lang w:val="es-GT"/>
        </w:rPr>
        <w:t>En el mismo se</w:t>
      </w:r>
      <w:r w:rsidRPr="002505FA">
        <w:rPr>
          <w:sz w:val="16"/>
          <w:szCs w:val="16"/>
          <w:lang w:val="es-GT"/>
        </w:rPr>
        <w:t xml:space="preserve">ntido, la Corte ha señalado que </w:t>
      </w:r>
      <w:r w:rsidRPr="00783CAA">
        <w:rPr>
          <w:sz w:val="16"/>
          <w:szCs w:val="16"/>
          <w:lang w:val="es-GT"/>
        </w:rPr>
        <w:t xml:space="preserve">las autoridades penitenciarias ejercen un “control total” sobre las personas privadas de la libertad, por lo que respecto de las mismas, las </w:t>
      </w:r>
      <w:r w:rsidRPr="00772CAC">
        <w:rPr>
          <w:sz w:val="16"/>
          <w:szCs w:val="16"/>
          <w:lang w:val="es-GT"/>
        </w:rPr>
        <w:t>“obligaciones generales”</w:t>
      </w:r>
      <w:r w:rsidRPr="00FB26BA">
        <w:rPr>
          <w:sz w:val="16"/>
          <w:szCs w:val="16"/>
          <w:lang w:val="es-GT"/>
        </w:rPr>
        <w:t xml:space="preserve"> estatales</w:t>
      </w:r>
      <w:r w:rsidRPr="00B706B7">
        <w:rPr>
          <w:sz w:val="16"/>
          <w:szCs w:val="16"/>
          <w:lang w:val="es-GT"/>
        </w:rPr>
        <w:t xml:space="preserve"> relativas a los derechos humanos “adquieren un matiz particular que obliga al Estado a brindar a los internos, con el objetivo de proteger y garantizar sus derechos a la vida y a la integridad personal, las condiciones mínimas compatibles con su dignidad mientras permanecen en los centros de </w:t>
      </w:r>
      <w:r>
        <w:rPr>
          <w:sz w:val="16"/>
          <w:szCs w:val="16"/>
          <w:lang w:val="es-GT"/>
        </w:rPr>
        <w:t>[</w:t>
      </w:r>
      <w:r w:rsidRPr="00B706B7">
        <w:rPr>
          <w:sz w:val="16"/>
          <w:szCs w:val="16"/>
          <w:lang w:val="es-GT"/>
        </w:rPr>
        <w:t>privación de libertad</w:t>
      </w:r>
      <w:r>
        <w:rPr>
          <w:sz w:val="16"/>
          <w:szCs w:val="16"/>
          <w:lang w:val="es-GT"/>
        </w:rPr>
        <w:t>]</w:t>
      </w:r>
      <w:r w:rsidRPr="00B706B7">
        <w:rPr>
          <w:sz w:val="16"/>
          <w:szCs w:val="16"/>
          <w:lang w:val="es-GT"/>
        </w:rPr>
        <w:t>” (</w:t>
      </w:r>
      <w:r w:rsidRPr="00B706B7">
        <w:rPr>
          <w:rFonts w:cs="Arial"/>
          <w:i/>
          <w:sz w:val="16"/>
          <w:szCs w:val="16"/>
          <w:shd w:val="clear" w:color="auto" w:fill="FFFFFF"/>
        </w:rPr>
        <w:t>Asunto de la Unidad de Internación Socioeducativa respecto de Brasil. Medidas Provisionales.</w:t>
      </w:r>
      <w:r w:rsidRPr="00B706B7">
        <w:rPr>
          <w:rFonts w:cs="Arial"/>
          <w:sz w:val="16"/>
          <w:szCs w:val="16"/>
          <w:shd w:val="clear" w:color="auto" w:fill="FFFFFF"/>
        </w:rPr>
        <w:t xml:space="preserve"> Resolución de la Corte Interamericana de Derechos Humanos de 15 de noviembre de 2017,</w:t>
      </w:r>
      <w:r w:rsidRPr="00B706B7">
        <w:rPr>
          <w:rFonts w:cs="Arial"/>
          <w:color w:val="494848"/>
          <w:sz w:val="16"/>
          <w:szCs w:val="16"/>
          <w:shd w:val="clear" w:color="auto" w:fill="FFFFFF"/>
        </w:rPr>
        <w:t xml:space="preserve"> </w:t>
      </w:r>
      <w:r w:rsidRPr="00EC601B">
        <w:rPr>
          <w:sz w:val="16"/>
          <w:szCs w:val="16"/>
          <w:lang w:val="es-GT"/>
        </w:rPr>
        <w:t xml:space="preserve">Considerando </w:t>
      </w:r>
      <w:r>
        <w:rPr>
          <w:sz w:val="16"/>
          <w:szCs w:val="16"/>
          <w:lang w:val="es-GT"/>
        </w:rPr>
        <w:t xml:space="preserve">81. En el mismo sentido: </w:t>
      </w:r>
      <w:r w:rsidRPr="003C748A">
        <w:rPr>
          <w:i/>
          <w:sz w:val="16"/>
          <w:szCs w:val="16"/>
        </w:rPr>
        <w:t>Caso Neira Alegría y otros Vs. Perú. Fondo.</w:t>
      </w:r>
      <w:r w:rsidRPr="003C748A">
        <w:rPr>
          <w:sz w:val="16"/>
          <w:szCs w:val="16"/>
        </w:rPr>
        <w:t xml:space="preserve"> Sentencia de 19 de enero de 1995. Serie C No. 20, párr. 60</w:t>
      </w:r>
      <w:r>
        <w:rPr>
          <w:sz w:val="16"/>
          <w:szCs w:val="16"/>
        </w:rPr>
        <w:t>, y</w:t>
      </w:r>
      <w:r w:rsidRPr="003C748A">
        <w:rPr>
          <w:i/>
          <w:sz w:val="16"/>
          <w:szCs w:val="16"/>
          <w:lang w:val="es-GT"/>
        </w:rPr>
        <w:t xml:space="preserve"> Asunto de la Cárcel de Urso Branco respecto de Brasil. Medidas Provisionales</w:t>
      </w:r>
      <w:r w:rsidRPr="003C748A">
        <w:rPr>
          <w:sz w:val="16"/>
          <w:szCs w:val="16"/>
          <w:lang w:val="es-GT"/>
        </w:rPr>
        <w:t>. Resolución de la Corte Interamericana de Derechos Humanos de 2 de mayo de 2008, Considerando 19</w:t>
      </w:r>
      <w:r w:rsidRPr="002505FA">
        <w:rPr>
          <w:sz w:val="16"/>
          <w:szCs w:val="16"/>
          <w:lang w:val="es-GT"/>
        </w:rPr>
        <w:t>)</w:t>
      </w:r>
      <w:r>
        <w:rPr>
          <w:sz w:val="16"/>
          <w:szCs w:val="16"/>
          <w:lang w:val="es-GT"/>
        </w:rPr>
        <w:t xml:space="preserve">. </w:t>
      </w:r>
      <w:r w:rsidRPr="00AF2262">
        <w:rPr>
          <w:sz w:val="16"/>
          <w:szCs w:val="16"/>
          <w:lang w:val="es-GT"/>
        </w:rPr>
        <w:t xml:space="preserve">El perito Méndez, al respecto, expresó, luego de reseñar diversas pautas emanadas del derecho internacional, que </w:t>
      </w:r>
      <w:r w:rsidRPr="00AF2262">
        <w:rPr>
          <w:sz w:val="16"/>
          <w:szCs w:val="16"/>
          <w:lang w:val="es-CR"/>
        </w:rPr>
        <w:t>“el Estado ocupa una posición especial de garante respecto del derecho a la vida, presupuesto de todos los demás derechos humanos y, para el caso de personas privadas de su libertad, dicha posición se maximiza, debido a la sujeción de la persona con el Estado, sus instituciones y sus agentes”. La Corte, por otra parte, comparte lo señalado en el peritaje dado en otro caso (</w:t>
      </w:r>
      <w:r w:rsidRPr="00AF2262">
        <w:rPr>
          <w:i/>
          <w:sz w:val="16"/>
          <w:szCs w:val="16"/>
          <w:lang w:val="es-CR"/>
        </w:rPr>
        <w:t xml:space="preserve">supra </w:t>
      </w:r>
      <w:r w:rsidRPr="00AF2262">
        <w:rPr>
          <w:sz w:val="16"/>
          <w:szCs w:val="16"/>
          <w:lang w:val="es-CR"/>
        </w:rPr>
        <w:t xml:space="preserve">párr. </w:t>
      </w:r>
      <w:r>
        <w:rPr>
          <w:sz w:val="16"/>
          <w:szCs w:val="16"/>
          <w:lang w:val="es-CR"/>
        </w:rPr>
        <w:t>28</w:t>
      </w:r>
      <w:r w:rsidRPr="00AF2262">
        <w:rPr>
          <w:sz w:val="16"/>
          <w:szCs w:val="16"/>
          <w:lang w:val="es-CR"/>
        </w:rPr>
        <w:t xml:space="preserve">), incorporado a este proceso como prueba documental, del señor Mario Coriolano, en el sentido de que resulta una “falsa antinomia” oponer la seguridad en establecimientos penitenciarios a las medidas dirigidas a garantizar los derechos de las personas privadas de la libertad: ambos aspectos deben ser integrados, </w:t>
      </w:r>
      <w:r>
        <w:rPr>
          <w:sz w:val="16"/>
          <w:szCs w:val="16"/>
          <w:lang w:val="es-CR"/>
        </w:rPr>
        <w:t>en tanto que</w:t>
      </w:r>
      <w:r w:rsidRPr="00AF2262">
        <w:rPr>
          <w:sz w:val="16"/>
          <w:szCs w:val="16"/>
          <w:lang w:val="es-CR"/>
        </w:rPr>
        <w:t xml:space="preserve"> “la seguridad sólo se puede procurar a partir de garantizar el trato digno de</w:t>
      </w:r>
      <w:r>
        <w:rPr>
          <w:sz w:val="16"/>
          <w:szCs w:val="16"/>
          <w:lang w:val="es-CR"/>
        </w:rPr>
        <w:t xml:space="preserve"> [</w:t>
      </w:r>
      <w:r w:rsidRPr="00AF2262">
        <w:rPr>
          <w:sz w:val="16"/>
          <w:szCs w:val="16"/>
          <w:lang w:val="es-CR"/>
        </w:rPr>
        <w:t>l</w:t>
      </w:r>
      <w:r>
        <w:rPr>
          <w:sz w:val="16"/>
          <w:szCs w:val="16"/>
          <w:lang w:val="es-CR"/>
        </w:rPr>
        <w:t>as personas]</w:t>
      </w:r>
      <w:r w:rsidRPr="00AF2262">
        <w:rPr>
          <w:sz w:val="16"/>
          <w:szCs w:val="16"/>
          <w:lang w:val="es-CR"/>
        </w:rPr>
        <w:t xml:space="preserve"> </w:t>
      </w:r>
      <w:proofErr w:type="spellStart"/>
      <w:r w:rsidRPr="00AF2262">
        <w:rPr>
          <w:sz w:val="16"/>
          <w:szCs w:val="16"/>
          <w:lang w:val="es-CR"/>
        </w:rPr>
        <w:t>detenid</w:t>
      </w:r>
      <w:proofErr w:type="spellEnd"/>
      <w:r>
        <w:rPr>
          <w:sz w:val="16"/>
          <w:szCs w:val="16"/>
          <w:lang w:val="es-CR"/>
        </w:rPr>
        <w:t>[as]</w:t>
      </w:r>
      <w:r w:rsidRPr="00AF2262">
        <w:rPr>
          <w:sz w:val="16"/>
          <w:szCs w:val="16"/>
          <w:lang w:val="es-CR"/>
        </w:rPr>
        <w:t>”.</w:t>
      </w:r>
      <w:r w:rsidRPr="00AF2262">
        <w:rPr>
          <w:b/>
          <w:sz w:val="16"/>
          <w:szCs w:val="16"/>
          <w:lang w:val="es-CR"/>
        </w:rPr>
        <w:t xml:space="preserve"> </w:t>
      </w:r>
    </w:p>
    <w:p w14:paraId="41064E2B" w14:textId="77777777" w:rsidR="004224C0" w:rsidRPr="00AF2262" w:rsidRDefault="004224C0" w:rsidP="00B476ED">
      <w:pPr>
        <w:pStyle w:val="Textonotapie"/>
        <w:ind w:right="-943"/>
        <w:rPr>
          <w:sz w:val="16"/>
          <w:szCs w:val="16"/>
          <w:lang w:val="es-GT"/>
        </w:rPr>
      </w:pPr>
    </w:p>
  </w:footnote>
  <w:footnote w:id="93">
    <w:p w14:paraId="29F191E0" w14:textId="764FE4EF" w:rsidR="004224C0" w:rsidRPr="00772CAC" w:rsidRDefault="004224C0" w:rsidP="00B476ED">
      <w:pPr>
        <w:pStyle w:val="Textonotapie"/>
        <w:ind w:right="-943"/>
        <w:rPr>
          <w:sz w:val="16"/>
          <w:szCs w:val="16"/>
          <w:lang w:val="es-BO"/>
        </w:rPr>
      </w:pPr>
      <w:r w:rsidRPr="00AF2262">
        <w:rPr>
          <w:rStyle w:val="Refdenotaalpie"/>
          <w:rFonts w:eastAsia="MS Mincho"/>
          <w:sz w:val="16"/>
          <w:szCs w:val="16"/>
        </w:rPr>
        <w:footnoteRef/>
      </w:r>
      <w:r w:rsidRPr="00AF2262">
        <w:rPr>
          <w:sz w:val="16"/>
          <w:szCs w:val="16"/>
        </w:rPr>
        <w:t xml:space="preserve"> </w:t>
      </w:r>
      <w:r w:rsidRPr="00AF2262">
        <w:rPr>
          <w:sz w:val="16"/>
          <w:szCs w:val="16"/>
        </w:rPr>
        <w:tab/>
        <w:t>Al indicarlo, refirió lo siguiente:</w:t>
      </w:r>
      <w:r w:rsidRPr="00AF2262">
        <w:rPr>
          <w:i/>
          <w:sz w:val="16"/>
          <w:szCs w:val="16"/>
        </w:rPr>
        <w:t xml:space="preserve"> </w:t>
      </w:r>
      <w:r w:rsidRPr="00AF2262">
        <w:rPr>
          <w:sz w:val="16"/>
          <w:szCs w:val="16"/>
        </w:rPr>
        <w:t xml:space="preserve">“ONU, </w:t>
      </w:r>
      <w:r w:rsidRPr="00AF2262">
        <w:rPr>
          <w:rFonts w:cs="Arial"/>
          <w:bCs/>
          <w:i/>
          <w:sz w:val="16"/>
          <w:szCs w:val="16"/>
          <w:lang w:val="es-BO"/>
        </w:rPr>
        <w:t>Reglas mínimas para el tratamiento de los reclusos</w:t>
      </w:r>
      <w:r w:rsidRPr="00AF2262">
        <w:rPr>
          <w:rFonts w:cs="Arial"/>
          <w:bCs/>
          <w:sz w:val="16"/>
          <w:szCs w:val="16"/>
          <w:lang w:val="es-BO"/>
        </w:rPr>
        <w:t xml:space="preserve">. </w:t>
      </w:r>
      <w:r w:rsidRPr="00AF2262">
        <w:rPr>
          <w:rFonts w:cs="Arial"/>
          <w:sz w:val="16"/>
          <w:szCs w:val="16"/>
          <w:lang w:val="es-BO"/>
        </w:rPr>
        <w:t>Adoptadas por el Primer Congreso de las Naciones Unidas sobre Prevención del Delito y Tratamiento del Delincuente, celebrado en Ginebra en 1955, y aprobadas por el Consejo Económico y Social en sus resoluciones 663C (XXIV) de 31 de julio de 1957 y 2076 (LXII) de 13 de mayo de 1977;</w:t>
      </w:r>
      <w:r w:rsidRPr="00AF2262">
        <w:rPr>
          <w:sz w:val="16"/>
          <w:szCs w:val="16"/>
        </w:rPr>
        <w:t xml:space="preserve"> ONU, </w:t>
      </w:r>
      <w:r w:rsidRPr="00AF2262">
        <w:rPr>
          <w:bCs/>
          <w:i/>
          <w:sz w:val="16"/>
          <w:szCs w:val="16"/>
          <w:lang w:eastAsia="es-BO"/>
        </w:rPr>
        <w:t>Conjunto de Principios para la protección de todas las personas sometidas a cualquier forma de detención o prisión.</w:t>
      </w:r>
      <w:r w:rsidRPr="00AF2262">
        <w:rPr>
          <w:sz w:val="16"/>
          <w:szCs w:val="16"/>
          <w:lang w:eastAsia="es-BO"/>
        </w:rPr>
        <w:t xml:space="preserve"> Adoptado por la Asamblea General de la ONU en su resolución 43/173, de 9 de diciembre de 1988; </w:t>
      </w:r>
      <w:r w:rsidRPr="00AF2262">
        <w:rPr>
          <w:sz w:val="16"/>
          <w:szCs w:val="16"/>
        </w:rPr>
        <w:t xml:space="preserve">ONU, </w:t>
      </w:r>
      <w:r w:rsidRPr="00AF2262">
        <w:rPr>
          <w:i/>
          <w:sz w:val="16"/>
          <w:szCs w:val="16"/>
          <w:lang w:eastAsia="es-BO"/>
        </w:rPr>
        <w:t>Reglas de las Naciones Unidas para la protección de los menores privados de libertad</w:t>
      </w:r>
      <w:r w:rsidRPr="00AF2262">
        <w:rPr>
          <w:sz w:val="16"/>
          <w:szCs w:val="16"/>
          <w:lang w:eastAsia="es-BO"/>
        </w:rPr>
        <w:t xml:space="preserve">. Adoptadas por la Asamblea General de la ONU en su resolución 45/113 de 14 de diciembre de 1990. </w:t>
      </w:r>
      <w:r w:rsidRPr="00AF2262">
        <w:rPr>
          <w:sz w:val="16"/>
          <w:szCs w:val="16"/>
          <w:lang w:val="es-ES"/>
        </w:rPr>
        <w:t xml:space="preserve">Ver también: ONU, Observación General No. 21 del Comité de Derechos Humanos. </w:t>
      </w:r>
      <w:r w:rsidRPr="00AF2262">
        <w:rPr>
          <w:sz w:val="16"/>
          <w:szCs w:val="16"/>
          <w:lang w:val="es-GT"/>
        </w:rPr>
        <w:t xml:space="preserve">10 de abril de 1992. </w:t>
      </w:r>
      <w:r w:rsidRPr="00AF2262">
        <w:rPr>
          <w:sz w:val="16"/>
          <w:szCs w:val="16"/>
          <w:lang w:val="es-BO"/>
        </w:rPr>
        <w:t xml:space="preserve">A/47/40/(SUPP), </w:t>
      </w:r>
      <w:r w:rsidRPr="00AF2262">
        <w:rPr>
          <w:i/>
          <w:sz w:val="16"/>
          <w:szCs w:val="16"/>
          <w:lang w:val="es-BO"/>
        </w:rPr>
        <w:t>Sustituye la Observación General No. 9, Trato humano de las personas privadas de libertad (Art. 10)</w:t>
      </w:r>
      <w:r w:rsidRPr="00AF2262">
        <w:rPr>
          <w:sz w:val="16"/>
          <w:szCs w:val="16"/>
          <w:lang w:val="es-BO"/>
        </w:rPr>
        <w:t xml:space="preserve">: 44° período de sesiones 1992, y CIDH, </w:t>
      </w:r>
      <w:r w:rsidRPr="00AF2262">
        <w:rPr>
          <w:i/>
          <w:sz w:val="16"/>
          <w:szCs w:val="16"/>
        </w:rPr>
        <w:t xml:space="preserve">Principios y buenas prácticas sobre la protección de las </w:t>
      </w:r>
      <w:r w:rsidRPr="002505FA">
        <w:rPr>
          <w:i/>
          <w:sz w:val="16"/>
          <w:szCs w:val="16"/>
        </w:rPr>
        <w:t>personas privadas de libertad en las Américas.</w:t>
      </w:r>
      <w:r w:rsidRPr="002505FA">
        <w:rPr>
          <w:sz w:val="16"/>
          <w:szCs w:val="16"/>
        </w:rPr>
        <w:t xml:space="preserve"> Adoptados durante el 131° Período de Ordinario de Sesiones, celebrado del 3 al 14 de marzo de 2008” (</w:t>
      </w:r>
      <w:r w:rsidRPr="00783CAA">
        <w:rPr>
          <w:i/>
          <w:sz w:val="16"/>
          <w:szCs w:val="16"/>
        </w:rPr>
        <w:t>Caso Pacheco Teruel y otros Vs. Honduras</w:t>
      </w:r>
      <w:r w:rsidRPr="00772CAC">
        <w:rPr>
          <w:sz w:val="16"/>
          <w:szCs w:val="16"/>
          <w:lang w:val="es-BO"/>
        </w:rPr>
        <w:t xml:space="preserve">, párr. 67 y nota a pie de página 60). </w:t>
      </w:r>
    </w:p>
    <w:p w14:paraId="33761871" w14:textId="77777777" w:rsidR="004224C0" w:rsidRPr="00B706B7" w:rsidRDefault="004224C0" w:rsidP="00B476ED">
      <w:pPr>
        <w:pStyle w:val="Textonotapie"/>
        <w:ind w:right="-943"/>
        <w:rPr>
          <w:b/>
          <w:sz w:val="16"/>
          <w:szCs w:val="16"/>
          <w:lang w:val="es-ES"/>
        </w:rPr>
      </w:pPr>
    </w:p>
  </w:footnote>
  <w:footnote w:id="94">
    <w:p w14:paraId="54946743" w14:textId="366387A4" w:rsidR="004224C0" w:rsidRPr="00AF2262" w:rsidRDefault="004224C0" w:rsidP="00B476ED">
      <w:pPr>
        <w:tabs>
          <w:tab w:val="left" w:pos="709"/>
        </w:tabs>
        <w:autoSpaceDE w:val="0"/>
        <w:autoSpaceDN w:val="0"/>
        <w:spacing w:line="240" w:lineRule="auto"/>
        <w:ind w:right="-943"/>
        <w:rPr>
          <w:sz w:val="16"/>
          <w:szCs w:val="16"/>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Pr="00AF2262">
        <w:rPr>
          <w:i/>
          <w:sz w:val="16"/>
          <w:szCs w:val="16"/>
        </w:rPr>
        <w:t>Cfr.</w:t>
      </w:r>
      <w:r>
        <w:rPr>
          <w:i/>
          <w:sz w:val="16"/>
          <w:szCs w:val="16"/>
        </w:rPr>
        <w:t>, mutatis mutandis,</w:t>
      </w:r>
      <w:r w:rsidRPr="00AF2262">
        <w:rPr>
          <w:i/>
          <w:sz w:val="16"/>
          <w:szCs w:val="16"/>
        </w:rPr>
        <w:t xml:space="preserve"> Caso Bulacio Vs. Argentina</w:t>
      </w:r>
      <w:r w:rsidRPr="00AF2262">
        <w:rPr>
          <w:sz w:val="16"/>
          <w:szCs w:val="16"/>
        </w:rPr>
        <w:t xml:space="preserve">, párr. 138, y </w:t>
      </w:r>
      <w:r w:rsidRPr="00AF2262">
        <w:rPr>
          <w:i/>
          <w:sz w:val="16"/>
          <w:szCs w:val="16"/>
          <w:lang w:val="es-GT"/>
        </w:rPr>
        <w:t>Caso Mendoza y otros Vs. Argentina</w:t>
      </w:r>
      <w:r w:rsidRPr="00AF2262">
        <w:rPr>
          <w:sz w:val="16"/>
          <w:szCs w:val="16"/>
          <w:lang w:val="es-GT"/>
        </w:rPr>
        <w:t>,</w:t>
      </w:r>
      <w:r w:rsidRPr="00AF2262">
        <w:rPr>
          <w:i/>
          <w:sz w:val="16"/>
          <w:szCs w:val="16"/>
          <w:lang w:val="es-GT"/>
        </w:rPr>
        <w:t xml:space="preserve"> </w:t>
      </w:r>
      <w:r w:rsidRPr="00AF2262">
        <w:rPr>
          <w:sz w:val="16"/>
          <w:szCs w:val="16"/>
          <w:lang w:val="es-GT"/>
        </w:rPr>
        <w:t xml:space="preserve">párr. 191. </w:t>
      </w:r>
    </w:p>
  </w:footnote>
  <w:footnote w:id="95">
    <w:p w14:paraId="5C4A68BA" w14:textId="77777777" w:rsidR="004224C0" w:rsidRPr="003C748A" w:rsidRDefault="004224C0" w:rsidP="00B476ED">
      <w:pPr>
        <w:tabs>
          <w:tab w:val="left" w:pos="709"/>
        </w:tabs>
        <w:autoSpaceDE w:val="0"/>
        <w:autoSpaceDN w:val="0"/>
        <w:spacing w:line="240" w:lineRule="auto"/>
        <w:ind w:right="-943"/>
        <w:rPr>
          <w:rFonts w:cs="Verdana"/>
          <w:i/>
          <w:iCs/>
          <w:sz w:val="16"/>
          <w:szCs w:val="16"/>
          <w:lang w:val="es-ES"/>
        </w:rPr>
      </w:pPr>
    </w:p>
    <w:p w14:paraId="2DA09D49" w14:textId="77777777" w:rsidR="004224C0" w:rsidRPr="003C748A" w:rsidRDefault="004224C0" w:rsidP="00B476ED">
      <w:pPr>
        <w:tabs>
          <w:tab w:val="left" w:pos="709"/>
        </w:tabs>
        <w:autoSpaceDE w:val="0"/>
        <w:autoSpaceDN w:val="0"/>
        <w:spacing w:line="240" w:lineRule="auto"/>
        <w:ind w:right="-943"/>
        <w:rPr>
          <w:sz w:val="16"/>
          <w:szCs w:val="16"/>
          <w:lang w:val="es-GT"/>
        </w:rPr>
      </w:pPr>
      <w:r w:rsidRPr="003C748A">
        <w:rPr>
          <w:rStyle w:val="Refdenotaalpie"/>
          <w:rFonts w:eastAsia="MS Mincho"/>
          <w:sz w:val="16"/>
          <w:szCs w:val="16"/>
        </w:rPr>
        <w:footnoteRef/>
      </w:r>
      <w:r w:rsidRPr="003C748A">
        <w:rPr>
          <w:rFonts w:cs="Verdana"/>
          <w:i/>
          <w:iCs/>
          <w:sz w:val="16"/>
          <w:szCs w:val="16"/>
          <w:lang w:val="es-ES"/>
        </w:rPr>
        <w:t xml:space="preserve"> </w:t>
      </w:r>
      <w:r w:rsidRPr="003C748A">
        <w:rPr>
          <w:rFonts w:cs="Verdana"/>
          <w:i/>
          <w:iCs/>
          <w:sz w:val="16"/>
          <w:szCs w:val="16"/>
          <w:lang w:val="es-ES"/>
        </w:rPr>
        <w:tab/>
        <w:t xml:space="preserve">Cfr. Caso de los Hermanos Gómez </w:t>
      </w:r>
      <w:proofErr w:type="spellStart"/>
      <w:r w:rsidRPr="003C748A">
        <w:rPr>
          <w:rFonts w:cs="Verdana"/>
          <w:i/>
          <w:iCs/>
          <w:sz w:val="16"/>
          <w:szCs w:val="16"/>
          <w:lang w:val="es-ES"/>
        </w:rPr>
        <w:t>Paquiyauri</w:t>
      </w:r>
      <w:proofErr w:type="spellEnd"/>
      <w:r w:rsidRPr="003C748A">
        <w:rPr>
          <w:rFonts w:cs="Verdana"/>
          <w:i/>
          <w:iCs/>
          <w:sz w:val="16"/>
          <w:szCs w:val="16"/>
          <w:lang w:val="es-ES"/>
        </w:rPr>
        <w:t xml:space="preserve"> Vs. Perú. Fondo, Reparaciones y Costas. </w:t>
      </w:r>
      <w:r w:rsidRPr="003C748A">
        <w:rPr>
          <w:rFonts w:cs="Verdana"/>
          <w:iCs/>
          <w:sz w:val="16"/>
          <w:szCs w:val="16"/>
          <w:lang w:val="es-ES"/>
        </w:rPr>
        <w:t xml:space="preserve">Sentencia de 8 de julio de 2004. Serie C No. 110, </w:t>
      </w:r>
      <w:proofErr w:type="spellStart"/>
      <w:r w:rsidRPr="003C748A">
        <w:rPr>
          <w:rFonts w:cs="Verdana"/>
          <w:iCs/>
          <w:sz w:val="16"/>
          <w:szCs w:val="16"/>
          <w:lang w:val="es-ES"/>
        </w:rPr>
        <w:t>párrs</w:t>
      </w:r>
      <w:proofErr w:type="spellEnd"/>
      <w:r w:rsidRPr="003C748A">
        <w:rPr>
          <w:rFonts w:cs="Verdana"/>
          <w:iCs/>
          <w:sz w:val="16"/>
          <w:szCs w:val="16"/>
          <w:lang w:val="es-ES"/>
        </w:rPr>
        <w:t>. 124, 163, 164 y 171, y</w:t>
      </w:r>
      <w:r w:rsidRPr="003C748A">
        <w:rPr>
          <w:rFonts w:cs="Verdana"/>
          <w:i/>
          <w:iCs/>
          <w:sz w:val="16"/>
          <w:szCs w:val="16"/>
          <w:lang w:val="es-ES"/>
        </w:rPr>
        <w:t xml:space="preserve"> </w:t>
      </w:r>
      <w:r w:rsidRPr="003C748A">
        <w:rPr>
          <w:rFonts w:cs="Arial"/>
          <w:i/>
          <w:sz w:val="16"/>
          <w:szCs w:val="16"/>
          <w:shd w:val="clear" w:color="auto" w:fill="FFFFFF"/>
        </w:rPr>
        <w:t>Caso Noguera y otra Vs. Paraguay. Fondo, Reparaciones y Costas.</w:t>
      </w:r>
      <w:r w:rsidRPr="003C748A">
        <w:rPr>
          <w:rFonts w:cs="Arial"/>
          <w:sz w:val="16"/>
          <w:szCs w:val="16"/>
          <w:shd w:val="clear" w:color="auto" w:fill="FFFFFF"/>
        </w:rPr>
        <w:t xml:space="preserve"> Sentencia de 9 de marzo de 2020. Serie C No. 401, párr. 68</w:t>
      </w:r>
      <w:r w:rsidRPr="003C748A">
        <w:rPr>
          <w:sz w:val="16"/>
          <w:szCs w:val="16"/>
          <w:lang w:val="es-GT"/>
        </w:rPr>
        <w:t xml:space="preserve">. </w:t>
      </w:r>
    </w:p>
    <w:p w14:paraId="05BEBAB6" w14:textId="77777777" w:rsidR="004224C0" w:rsidRPr="00AF2262" w:rsidRDefault="004224C0" w:rsidP="00B476ED">
      <w:pPr>
        <w:tabs>
          <w:tab w:val="left" w:pos="709"/>
        </w:tabs>
        <w:autoSpaceDE w:val="0"/>
        <w:autoSpaceDN w:val="0"/>
        <w:spacing w:line="240" w:lineRule="auto"/>
        <w:ind w:right="-943"/>
        <w:rPr>
          <w:rFonts w:cs="Verdana"/>
          <w:sz w:val="16"/>
          <w:szCs w:val="16"/>
          <w:lang w:val="es-ES"/>
        </w:rPr>
      </w:pPr>
    </w:p>
  </w:footnote>
  <w:footnote w:id="96">
    <w:p w14:paraId="010D8CA5" w14:textId="6F7C11BE" w:rsidR="004224C0" w:rsidRPr="00AF2262" w:rsidRDefault="004224C0" w:rsidP="00B476ED">
      <w:pPr>
        <w:pStyle w:val="Textonotapie1"/>
        <w:ind w:right="-943"/>
        <w:jc w:val="both"/>
        <w:rPr>
          <w:rFonts w:ascii="Verdana" w:hAnsi="Verdana"/>
          <w:sz w:val="16"/>
          <w:szCs w:val="16"/>
        </w:rPr>
      </w:pPr>
      <w:r w:rsidRPr="00AF2262">
        <w:rPr>
          <w:rStyle w:val="Refdenotaalpie"/>
          <w:rFonts w:eastAsia="MS Mincho"/>
          <w:sz w:val="16"/>
          <w:szCs w:val="16"/>
        </w:rPr>
        <w:footnoteRef/>
      </w:r>
      <w:r w:rsidRPr="00AF2262">
        <w:rPr>
          <w:rFonts w:ascii="Verdana" w:hAnsi="Verdana"/>
          <w:sz w:val="16"/>
          <w:szCs w:val="16"/>
        </w:rPr>
        <w:t xml:space="preserve"> </w:t>
      </w:r>
      <w:r w:rsidRPr="00AF2262">
        <w:rPr>
          <w:rFonts w:ascii="Verdana" w:hAnsi="Verdana"/>
          <w:sz w:val="16"/>
          <w:szCs w:val="16"/>
        </w:rPr>
        <w:tab/>
      </w:r>
      <w:r w:rsidRPr="00AF2262">
        <w:rPr>
          <w:rFonts w:ascii="Verdana" w:hAnsi="Verdana"/>
          <w:i/>
          <w:sz w:val="16"/>
          <w:szCs w:val="16"/>
        </w:rPr>
        <w:t xml:space="preserve">Cfr. Caso “Instituto de </w:t>
      </w:r>
      <w:r w:rsidRPr="00AF2262">
        <w:rPr>
          <w:rFonts w:ascii="Verdana" w:hAnsi="Verdana"/>
          <w:i/>
          <w:sz w:val="16"/>
          <w:szCs w:val="16"/>
          <w:lang w:val="es-GT"/>
        </w:rPr>
        <w:t>Reeducación del Menor” Vs. Paraguay</w:t>
      </w:r>
      <w:r w:rsidRPr="00AF2262">
        <w:rPr>
          <w:rFonts w:ascii="Verdana" w:hAnsi="Verdana"/>
          <w:sz w:val="16"/>
          <w:szCs w:val="16"/>
          <w:lang w:val="es-GT"/>
        </w:rPr>
        <w:t>, párr. 161</w:t>
      </w:r>
      <w:r w:rsidRPr="00AF2262">
        <w:rPr>
          <w:rFonts w:ascii="Verdana" w:hAnsi="Verdana"/>
          <w:sz w:val="16"/>
          <w:szCs w:val="16"/>
        </w:rPr>
        <w:t xml:space="preserve">. </w:t>
      </w:r>
    </w:p>
    <w:p w14:paraId="7FD95614" w14:textId="77777777" w:rsidR="004224C0" w:rsidRPr="003C748A" w:rsidRDefault="004224C0" w:rsidP="00B476ED">
      <w:pPr>
        <w:pStyle w:val="Textonotapie1"/>
        <w:ind w:right="-943"/>
        <w:jc w:val="both"/>
        <w:rPr>
          <w:rFonts w:ascii="Verdana" w:hAnsi="Verdana"/>
          <w:sz w:val="16"/>
          <w:szCs w:val="16"/>
        </w:rPr>
      </w:pPr>
    </w:p>
  </w:footnote>
  <w:footnote w:id="97">
    <w:p w14:paraId="4FC829B0" w14:textId="77777777" w:rsidR="004224C0" w:rsidRPr="003C748A" w:rsidRDefault="004224C0" w:rsidP="00B476ED">
      <w:pPr>
        <w:pStyle w:val="Textonotapie"/>
        <w:ind w:right="-943"/>
        <w:rPr>
          <w:sz w:val="16"/>
          <w:szCs w:val="16"/>
          <w:lang w:val="es-CR"/>
        </w:rPr>
      </w:pPr>
      <w:r w:rsidRPr="003C748A">
        <w:rPr>
          <w:rStyle w:val="Refdenotaalpie"/>
          <w:sz w:val="16"/>
          <w:szCs w:val="16"/>
        </w:rPr>
        <w:footnoteRef/>
      </w:r>
      <w:r w:rsidRPr="003C748A">
        <w:rPr>
          <w:sz w:val="16"/>
          <w:szCs w:val="16"/>
        </w:rPr>
        <w:t xml:space="preserve"> </w:t>
      </w:r>
      <w:r w:rsidRPr="003C748A">
        <w:rPr>
          <w:sz w:val="16"/>
          <w:szCs w:val="16"/>
        </w:rPr>
        <w:tab/>
      </w:r>
      <w:r w:rsidRPr="003C748A">
        <w:rPr>
          <w:i/>
          <w:sz w:val="16"/>
          <w:szCs w:val="16"/>
        </w:rPr>
        <w:t>Cfr.</w:t>
      </w:r>
      <w:r w:rsidRPr="003C748A">
        <w:rPr>
          <w:sz w:val="16"/>
          <w:szCs w:val="16"/>
        </w:rPr>
        <w:t xml:space="preserve"> </w:t>
      </w:r>
      <w:r w:rsidRPr="003C748A">
        <w:rPr>
          <w:i/>
          <w:sz w:val="16"/>
          <w:szCs w:val="16"/>
        </w:rPr>
        <w:t>Caso “Instituto de Reeducación del Menor” Vs. Paraguay</w:t>
      </w:r>
      <w:r w:rsidRPr="003C748A">
        <w:rPr>
          <w:sz w:val="16"/>
          <w:szCs w:val="16"/>
        </w:rPr>
        <w:t xml:space="preserve">, párr. 160, y </w:t>
      </w:r>
      <w:r w:rsidRPr="003C748A">
        <w:rPr>
          <w:rFonts w:cs="Arial"/>
          <w:i/>
          <w:sz w:val="16"/>
          <w:szCs w:val="16"/>
          <w:shd w:val="clear" w:color="auto" w:fill="FFFFFF"/>
        </w:rPr>
        <w:t>Caso Hermanos Landaeta Mejías y otros Vs. Venezuela. Excepciones Preliminares, Fondo, Reparaciones y Costas.</w:t>
      </w:r>
      <w:r w:rsidRPr="003C748A">
        <w:rPr>
          <w:rFonts w:cs="Arial"/>
          <w:sz w:val="16"/>
          <w:szCs w:val="16"/>
          <w:shd w:val="clear" w:color="auto" w:fill="FFFFFF"/>
        </w:rPr>
        <w:t xml:space="preserve"> Sentencia de 27 de agosto de 2014. Serie C No. 281</w:t>
      </w:r>
      <w:r w:rsidRPr="003C748A">
        <w:rPr>
          <w:sz w:val="16"/>
          <w:szCs w:val="16"/>
          <w:lang w:val="es-CR"/>
        </w:rPr>
        <w:t>, párr. 182.</w:t>
      </w:r>
    </w:p>
    <w:p w14:paraId="4CF42405" w14:textId="77777777" w:rsidR="004224C0" w:rsidRPr="003A5C19" w:rsidRDefault="004224C0" w:rsidP="00B476ED">
      <w:pPr>
        <w:pStyle w:val="Textonotapie"/>
        <w:ind w:right="-943"/>
        <w:rPr>
          <w:lang w:val="es-CR"/>
        </w:rPr>
      </w:pPr>
    </w:p>
  </w:footnote>
  <w:footnote w:id="98">
    <w:p w14:paraId="4D16C0E9" w14:textId="21094F78" w:rsidR="004224C0" w:rsidRPr="00054C2D" w:rsidRDefault="004224C0" w:rsidP="00B476ED">
      <w:pPr>
        <w:pStyle w:val="Textonotapie"/>
        <w:ind w:right="-943"/>
        <w:rPr>
          <w:sz w:val="16"/>
          <w:szCs w:val="16"/>
          <w:lang w:val="es-CR"/>
        </w:rPr>
      </w:pPr>
      <w:r w:rsidRPr="00054C2D">
        <w:rPr>
          <w:rStyle w:val="Refdenotaalpie"/>
          <w:sz w:val="16"/>
          <w:szCs w:val="16"/>
        </w:rPr>
        <w:footnoteRef/>
      </w:r>
      <w:r w:rsidRPr="00054C2D">
        <w:rPr>
          <w:sz w:val="16"/>
          <w:szCs w:val="16"/>
        </w:rPr>
        <w:t xml:space="preserve"> </w:t>
      </w:r>
      <w:r w:rsidRPr="00054C2D">
        <w:rPr>
          <w:sz w:val="16"/>
          <w:szCs w:val="16"/>
        </w:rPr>
        <w:tab/>
      </w:r>
      <w:r w:rsidRPr="00054C2D">
        <w:rPr>
          <w:i/>
          <w:sz w:val="16"/>
          <w:szCs w:val="16"/>
        </w:rPr>
        <w:t>Cfr.</w:t>
      </w:r>
      <w:r w:rsidRPr="00054C2D">
        <w:rPr>
          <w:sz w:val="16"/>
          <w:szCs w:val="16"/>
        </w:rPr>
        <w:t xml:space="preserve"> </w:t>
      </w:r>
      <w:r w:rsidRPr="00B03A88">
        <w:rPr>
          <w:sz w:val="16"/>
          <w:szCs w:val="16"/>
        </w:rPr>
        <w:t>e</w:t>
      </w:r>
      <w:r w:rsidRPr="003A5C19">
        <w:rPr>
          <w:sz w:val="16"/>
          <w:szCs w:val="16"/>
        </w:rPr>
        <w:t>n ese sentido,</w:t>
      </w:r>
      <w:r>
        <w:rPr>
          <w:i/>
          <w:sz w:val="16"/>
          <w:szCs w:val="16"/>
        </w:rPr>
        <w:t xml:space="preserve"> </w:t>
      </w:r>
      <w:r w:rsidRPr="00054C2D">
        <w:rPr>
          <w:i/>
          <w:sz w:val="16"/>
          <w:szCs w:val="16"/>
          <w:lang w:val="es-CR"/>
        </w:rPr>
        <w:t xml:space="preserve">Asunto de los Niños y Adolescentes Privados de Libertad en el "Complexo do </w:t>
      </w:r>
      <w:proofErr w:type="spellStart"/>
      <w:r w:rsidRPr="00054C2D">
        <w:rPr>
          <w:i/>
          <w:sz w:val="16"/>
          <w:szCs w:val="16"/>
          <w:lang w:val="es-CR"/>
        </w:rPr>
        <w:t>Tatuapé</w:t>
      </w:r>
      <w:proofErr w:type="spellEnd"/>
      <w:r w:rsidRPr="00054C2D">
        <w:rPr>
          <w:i/>
          <w:sz w:val="16"/>
          <w:szCs w:val="16"/>
          <w:lang w:val="es-CR"/>
        </w:rPr>
        <w:t>” da FEBEM respecto Brasil</w:t>
      </w:r>
      <w:r w:rsidRPr="00054C2D">
        <w:rPr>
          <w:sz w:val="16"/>
          <w:szCs w:val="16"/>
          <w:lang w:val="es-CR"/>
        </w:rPr>
        <w:t xml:space="preserve">, Considerando </w:t>
      </w:r>
      <w:r>
        <w:rPr>
          <w:sz w:val="16"/>
          <w:szCs w:val="16"/>
          <w:lang w:val="es-CR"/>
        </w:rPr>
        <w:t>12</w:t>
      </w:r>
      <w:r w:rsidRPr="00054C2D">
        <w:rPr>
          <w:sz w:val="16"/>
          <w:szCs w:val="16"/>
          <w:lang w:val="es-CR"/>
        </w:rPr>
        <w:t>.</w:t>
      </w:r>
    </w:p>
    <w:p w14:paraId="7CF39677" w14:textId="77777777" w:rsidR="004224C0" w:rsidRPr="00054C2D" w:rsidRDefault="004224C0" w:rsidP="00B476ED">
      <w:pPr>
        <w:pStyle w:val="Textonotapie"/>
        <w:ind w:right="-943"/>
        <w:rPr>
          <w:lang w:val="es-CR"/>
        </w:rPr>
      </w:pPr>
    </w:p>
  </w:footnote>
  <w:footnote w:id="99">
    <w:p w14:paraId="5346E087" w14:textId="4D151AF6" w:rsidR="00955F88" w:rsidRPr="00955F88" w:rsidRDefault="00955F88" w:rsidP="00955F88">
      <w:pPr>
        <w:pStyle w:val="Textonotapie"/>
        <w:ind w:right="-801"/>
        <w:rPr>
          <w:sz w:val="16"/>
          <w:szCs w:val="16"/>
          <w:lang w:val="es-CR"/>
        </w:rPr>
      </w:pPr>
      <w:r w:rsidRPr="00955F88">
        <w:rPr>
          <w:rStyle w:val="Refdenotaalpie"/>
          <w:sz w:val="16"/>
          <w:szCs w:val="16"/>
        </w:rPr>
        <w:footnoteRef/>
      </w:r>
      <w:r w:rsidRPr="00955F88">
        <w:rPr>
          <w:sz w:val="16"/>
          <w:szCs w:val="16"/>
        </w:rPr>
        <w:t xml:space="preserve"> </w:t>
      </w:r>
      <w:r w:rsidRPr="00955F88">
        <w:rPr>
          <w:sz w:val="16"/>
          <w:szCs w:val="16"/>
          <w:lang w:val="es-CR"/>
        </w:rPr>
        <w:t xml:space="preserve"> </w:t>
      </w:r>
      <w:r w:rsidRPr="00955F88">
        <w:rPr>
          <w:sz w:val="16"/>
          <w:szCs w:val="16"/>
          <w:lang w:val="es-CR"/>
        </w:rPr>
        <w:tab/>
        <w:t>Declaración pericial de Juan E. Méndez (expediente de prueba, fs. 7612 a 7639).</w:t>
      </w:r>
    </w:p>
    <w:p w14:paraId="7CCFEEC6" w14:textId="77777777" w:rsidR="00955F88" w:rsidRPr="00955F88" w:rsidRDefault="00955F88">
      <w:pPr>
        <w:pStyle w:val="Textonotapie"/>
        <w:rPr>
          <w:lang w:val="es-CR"/>
        </w:rPr>
      </w:pPr>
    </w:p>
  </w:footnote>
  <w:footnote w:id="100">
    <w:p w14:paraId="27E03BAF" w14:textId="6C453822" w:rsidR="004224C0" w:rsidRDefault="004224C0" w:rsidP="00B476ED">
      <w:pPr>
        <w:pStyle w:val="Textonotapie"/>
        <w:tabs>
          <w:tab w:val="left" w:pos="790"/>
        </w:tabs>
        <w:ind w:right="-943"/>
        <w:rPr>
          <w:sz w:val="16"/>
          <w:szCs w:val="16"/>
          <w:lang w:val="es-CR"/>
        </w:rPr>
      </w:pPr>
      <w:r>
        <w:rPr>
          <w:rStyle w:val="Refdenotaalpie"/>
        </w:rPr>
        <w:footnoteRef/>
      </w:r>
      <w:r>
        <w:t xml:space="preserve"> </w:t>
      </w:r>
      <w:r>
        <w:tab/>
      </w:r>
      <w:r w:rsidRPr="00054C2D">
        <w:rPr>
          <w:i/>
          <w:sz w:val="16"/>
          <w:szCs w:val="16"/>
          <w:lang w:val="es-CR"/>
        </w:rPr>
        <w:t xml:space="preserve">Asunto de los Niños y Adolescentes Privados de Libertad en el "Complexo do </w:t>
      </w:r>
      <w:proofErr w:type="spellStart"/>
      <w:r w:rsidRPr="00054C2D">
        <w:rPr>
          <w:i/>
          <w:sz w:val="16"/>
          <w:szCs w:val="16"/>
          <w:lang w:val="es-CR"/>
        </w:rPr>
        <w:t>Tatuapé</w:t>
      </w:r>
      <w:proofErr w:type="spellEnd"/>
      <w:r w:rsidRPr="00054C2D">
        <w:rPr>
          <w:i/>
          <w:sz w:val="16"/>
          <w:szCs w:val="16"/>
          <w:lang w:val="es-CR"/>
        </w:rPr>
        <w:t>” da FEBEM respecto Brasil</w:t>
      </w:r>
      <w:r w:rsidRPr="00054C2D">
        <w:rPr>
          <w:sz w:val="16"/>
          <w:szCs w:val="16"/>
          <w:lang w:val="es-CR"/>
        </w:rPr>
        <w:t>, C</w:t>
      </w:r>
      <w:r>
        <w:rPr>
          <w:sz w:val="16"/>
          <w:szCs w:val="16"/>
          <w:lang w:val="es-CR"/>
        </w:rPr>
        <w:t>onsiderando 18</w:t>
      </w:r>
      <w:r w:rsidRPr="00054C2D">
        <w:rPr>
          <w:sz w:val="16"/>
          <w:szCs w:val="16"/>
          <w:lang w:val="es-CR"/>
        </w:rPr>
        <w:t>.</w:t>
      </w:r>
    </w:p>
    <w:p w14:paraId="605E6424" w14:textId="77777777" w:rsidR="004224C0" w:rsidRPr="003A5C19" w:rsidRDefault="004224C0" w:rsidP="00B476ED">
      <w:pPr>
        <w:pStyle w:val="Textonotapie"/>
        <w:tabs>
          <w:tab w:val="left" w:pos="790"/>
        </w:tabs>
        <w:ind w:right="-943"/>
        <w:rPr>
          <w:lang w:val="es-CR"/>
        </w:rPr>
      </w:pPr>
    </w:p>
  </w:footnote>
  <w:footnote w:id="101">
    <w:p w14:paraId="2034A26E" w14:textId="7299421B" w:rsidR="004224C0" w:rsidRPr="00B706B7" w:rsidRDefault="004224C0" w:rsidP="00B476ED">
      <w:pPr>
        <w:pStyle w:val="Textonotapie"/>
        <w:ind w:right="-943"/>
        <w:rPr>
          <w:i/>
          <w:sz w:val="16"/>
          <w:szCs w:val="16"/>
          <w:lang w:val="es-ES"/>
        </w:rPr>
      </w:pPr>
      <w:r w:rsidRPr="002505FA">
        <w:rPr>
          <w:rStyle w:val="Refdenotaalpie"/>
          <w:rFonts w:eastAsia="MS Mincho"/>
          <w:sz w:val="16"/>
          <w:szCs w:val="16"/>
        </w:rPr>
        <w:footnoteRef/>
      </w:r>
      <w:r w:rsidRPr="002505FA">
        <w:rPr>
          <w:sz w:val="16"/>
          <w:szCs w:val="16"/>
        </w:rPr>
        <w:t xml:space="preserve"> </w:t>
      </w:r>
      <w:r w:rsidRPr="002505FA">
        <w:rPr>
          <w:sz w:val="16"/>
          <w:szCs w:val="16"/>
        </w:rPr>
        <w:tab/>
      </w:r>
      <w:r w:rsidRPr="002505FA">
        <w:rPr>
          <w:i/>
          <w:sz w:val="16"/>
          <w:szCs w:val="16"/>
        </w:rPr>
        <w:t xml:space="preserve">Cfr. </w:t>
      </w:r>
      <w:r w:rsidRPr="002505FA">
        <w:rPr>
          <w:bCs/>
          <w:i/>
          <w:sz w:val="16"/>
          <w:szCs w:val="16"/>
        </w:rPr>
        <w:t xml:space="preserve">Caso Tibi Vs. Ecuador. </w:t>
      </w:r>
      <w:r w:rsidRPr="00783CAA">
        <w:rPr>
          <w:i/>
          <w:sz w:val="16"/>
          <w:szCs w:val="16"/>
        </w:rPr>
        <w:t>Excepciones Preliminares, Fondo, Reparaciones y Costas</w:t>
      </w:r>
      <w:r w:rsidRPr="00783CAA">
        <w:rPr>
          <w:sz w:val="16"/>
          <w:szCs w:val="16"/>
        </w:rPr>
        <w:t>. Sentencia de 7 de septiembre de 2004. Serie C No. 114, párr.</w:t>
      </w:r>
      <w:r w:rsidRPr="00772CAC">
        <w:rPr>
          <w:sz w:val="16"/>
          <w:szCs w:val="16"/>
        </w:rPr>
        <w:t xml:space="preserve"> 150, y</w:t>
      </w:r>
      <w:r w:rsidRPr="00DE07AD">
        <w:rPr>
          <w:sz w:val="16"/>
          <w:szCs w:val="16"/>
        </w:rPr>
        <w:t xml:space="preserve"> </w:t>
      </w:r>
      <w:r w:rsidRPr="00772CAC">
        <w:rPr>
          <w:i/>
          <w:sz w:val="16"/>
          <w:szCs w:val="16"/>
        </w:rPr>
        <w:t>Caso Pacheco Teruel y otros Vs. Honduras</w:t>
      </w:r>
      <w:r w:rsidRPr="00772CAC">
        <w:rPr>
          <w:sz w:val="16"/>
          <w:szCs w:val="16"/>
        </w:rPr>
        <w:t>, párr. 67.</w:t>
      </w:r>
      <w:r>
        <w:rPr>
          <w:sz w:val="16"/>
          <w:szCs w:val="16"/>
        </w:rPr>
        <w:t xml:space="preserve"> En igual sentido, </w:t>
      </w:r>
      <w:r w:rsidRPr="003C748A">
        <w:rPr>
          <w:i/>
          <w:sz w:val="16"/>
          <w:szCs w:val="16"/>
        </w:rPr>
        <w:t>Caso Hernández Vs. Argentina. Excepción Preliminar, Fondo, Reparaciones y Costas.</w:t>
      </w:r>
      <w:r w:rsidRPr="00DE07AD">
        <w:rPr>
          <w:sz w:val="16"/>
          <w:szCs w:val="16"/>
        </w:rPr>
        <w:t xml:space="preserve"> Sentencia de 22 de noviembre de 2019. Serie C No. 395</w:t>
      </w:r>
      <w:r>
        <w:rPr>
          <w:sz w:val="16"/>
          <w:szCs w:val="16"/>
        </w:rPr>
        <w:t>, párr. 60.</w:t>
      </w:r>
    </w:p>
  </w:footnote>
  <w:footnote w:id="102">
    <w:p w14:paraId="1E481846" w14:textId="77777777" w:rsidR="004224C0" w:rsidRPr="00B706B7" w:rsidRDefault="004224C0" w:rsidP="00B476ED">
      <w:pPr>
        <w:pStyle w:val="Textonotapie"/>
        <w:ind w:right="-943"/>
        <w:rPr>
          <w:sz w:val="16"/>
          <w:szCs w:val="16"/>
        </w:rPr>
      </w:pPr>
    </w:p>
    <w:p w14:paraId="4ED805C1" w14:textId="545CD33D" w:rsidR="004224C0" w:rsidRDefault="004224C0" w:rsidP="00B476ED">
      <w:pPr>
        <w:pStyle w:val="Textonotapie"/>
        <w:ind w:right="-943"/>
        <w:rPr>
          <w:sz w:val="16"/>
          <w:szCs w:val="16"/>
        </w:rPr>
      </w:pPr>
      <w:r w:rsidRPr="002505FA">
        <w:rPr>
          <w:rStyle w:val="Refdenotaalpie"/>
          <w:rFonts w:eastAsia="MS Mincho"/>
          <w:sz w:val="16"/>
          <w:szCs w:val="16"/>
        </w:rPr>
        <w:footnoteRef/>
      </w:r>
      <w:r w:rsidRPr="002505FA">
        <w:rPr>
          <w:sz w:val="16"/>
          <w:szCs w:val="16"/>
        </w:rPr>
        <w:tab/>
      </w:r>
      <w:r w:rsidRPr="002505FA">
        <w:rPr>
          <w:i/>
          <w:sz w:val="16"/>
          <w:szCs w:val="16"/>
        </w:rPr>
        <w:t>Cfr.</w:t>
      </w:r>
      <w:r w:rsidRPr="002505FA">
        <w:rPr>
          <w:sz w:val="16"/>
          <w:szCs w:val="16"/>
        </w:rPr>
        <w:t xml:space="preserve"> </w:t>
      </w:r>
      <w:r w:rsidRPr="00783CAA">
        <w:rPr>
          <w:bCs/>
          <w:i/>
          <w:sz w:val="16"/>
          <w:szCs w:val="16"/>
        </w:rPr>
        <w:t>Caso Montero Aranguren y otros (Retén de Catia) Vs. Venezuela.</w:t>
      </w:r>
      <w:r w:rsidRPr="00783CAA">
        <w:rPr>
          <w:b/>
          <w:bCs/>
          <w:i/>
          <w:sz w:val="16"/>
          <w:szCs w:val="16"/>
        </w:rPr>
        <w:t xml:space="preserve"> </w:t>
      </w:r>
      <w:r w:rsidRPr="00783CAA">
        <w:rPr>
          <w:i/>
          <w:sz w:val="16"/>
          <w:szCs w:val="16"/>
        </w:rPr>
        <w:t xml:space="preserve">Excepción Preliminar, Fondo, Reparaciones y </w:t>
      </w:r>
      <w:r w:rsidRPr="00772CAC">
        <w:rPr>
          <w:i/>
          <w:sz w:val="16"/>
          <w:szCs w:val="16"/>
        </w:rPr>
        <w:t>Costas</w:t>
      </w:r>
      <w:r w:rsidRPr="00772CAC">
        <w:rPr>
          <w:sz w:val="16"/>
          <w:szCs w:val="16"/>
        </w:rPr>
        <w:t xml:space="preserve">. Sentencia de 5 de julio de 2006. Serie C No. 150, párr. 20, y </w:t>
      </w:r>
      <w:r w:rsidRPr="00772CAC">
        <w:rPr>
          <w:i/>
          <w:sz w:val="16"/>
          <w:szCs w:val="16"/>
        </w:rPr>
        <w:t>Caso Pacheco Teruel y otros Vs. Honduras</w:t>
      </w:r>
      <w:r w:rsidRPr="00FB26BA">
        <w:rPr>
          <w:sz w:val="16"/>
          <w:szCs w:val="16"/>
        </w:rPr>
        <w:t>, párr. 67</w:t>
      </w:r>
      <w:r>
        <w:rPr>
          <w:sz w:val="16"/>
          <w:szCs w:val="16"/>
        </w:rPr>
        <w:t>.</w:t>
      </w:r>
      <w:r w:rsidRPr="00B706B7">
        <w:rPr>
          <w:sz w:val="16"/>
          <w:szCs w:val="16"/>
        </w:rPr>
        <w:t xml:space="preserve"> </w:t>
      </w:r>
    </w:p>
    <w:p w14:paraId="50618C29" w14:textId="77777777" w:rsidR="004224C0" w:rsidRPr="002505FA" w:rsidRDefault="004224C0" w:rsidP="00B476ED">
      <w:pPr>
        <w:pStyle w:val="Textonotapie"/>
        <w:ind w:right="-943"/>
        <w:rPr>
          <w:strike/>
          <w:sz w:val="16"/>
          <w:szCs w:val="16"/>
        </w:rPr>
      </w:pPr>
    </w:p>
  </w:footnote>
  <w:footnote w:id="103">
    <w:p w14:paraId="494AF2EF" w14:textId="77777777" w:rsidR="004224C0" w:rsidRDefault="004224C0" w:rsidP="00B476ED">
      <w:pPr>
        <w:pStyle w:val="Textonotapie"/>
        <w:ind w:right="-943"/>
        <w:rPr>
          <w:sz w:val="16"/>
          <w:szCs w:val="16"/>
        </w:rPr>
      </w:pPr>
      <w:r w:rsidRPr="00B706B7">
        <w:rPr>
          <w:rStyle w:val="Refdenotaalpie"/>
          <w:rFonts w:eastAsia="MS Mincho"/>
          <w:sz w:val="16"/>
          <w:szCs w:val="16"/>
        </w:rPr>
        <w:footnoteRef/>
      </w:r>
      <w:r w:rsidRPr="00B706B7">
        <w:rPr>
          <w:sz w:val="16"/>
          <w:szCs w:val="16"/>
        </w:rPr>
        <w:t xml:space="preserve"> </w:t>
      </w:r>
      <w:r w:rsidRPr="00B706B7">
        <w:rPr>
          <w:sz w:val="16"/>
          <w:szCs w:val="16"/>
        </w:rPr>
        <w:tab/>
      </w:r>
      <w:r w:rsidRPr="00B706B7">
        <w:rPr>
          <w:i/>
          <w:sz w:val="16"/>
          <w:szCs w:val="16"/>
        </w:rPr>
        <w:t>Asunto de la Unidad de Internación Socioeducativa respecto de Brasil. Medidas Provisionales</w:t>
      </w:r>
      <w:r w:rsidRPr="00B706B7">
        <w:rPr>
          <w:sz w:val="16"/>
          <w:szCs w:val="16"/>
        </w:rPr>
        <w:t xml:space="preserve">. Resolución de la Corte Interamericana de Derechos Humanos de 15 de noviembre de 2017, Considerando 65. </w:t>
      </w:r>
    </w:p>
    <w:p w14:paraId="5B56A632" w14:textId="77777777" w:rsidR="004224C0" w:rsidRPr="00C12456" w:rsidRDefault="004224C0" w:rsidP="00B476ED">
      <w:pPr>
        <w:pStyle w:val="Textonotapie"/>
        <w:ind w:right="-943"/>
        <w:rPr>
          <w:sz w:val="16"/>
          <w:szCs w:val="16"/>
          <w:lang w:val="es-CR"/>
        </w:rPr>
      </w:pPr>
    </w:p>
  </w:footnote>
  <w:footnote w:id="104">
    <w:p w14:paraId="2632B12B" w14:textId="77777777" w:rsidR="004224C0" w:rsidRPr="00C12456" w:rsidRDefault="004224C0" w:rsidP="00B476ED">
      <w:pPr>
        <w:pStyle w:val="Textonotapie"/>
        <w:ind w:right="-943"/>
        <w:rPr>
          <w:sz w:val="16"/>
          <w:szCs w:val="16"/>
          <w:lang w:val="es-CR"/>
        </w:rPr>
      </w:pPr>
      <w:r w:rsidRPr="00C12456">
        <w:rPr>
          <w:rStyle w:val="Refdenotaalpie"/>
          <w:rFonts w:eastAsia="MS Mincho"/>
          <w:sz w:val="16"/>
          <w:szCs w:val="16"/>
        </w:rPr>
        <w:footnoteRef/>
      </w:r>
      <w:r w:rsidRPr="00C12456">
        <w:rPr>
          <w:sz w:val="16"/>
          <w:szCs w:val="16"/>
        </w:rPr>
        <w:t xml:space="preserve"> </w:t>
      </w:r>
      <w:r w:rsidRPr="00C12456">
        <w:rPr>
          <w:sz w:val="16"/>
          <w:szCs w:val="16"/>
          <w:lang w:val="es-CR"/>
        </w:rPr>
        <w:t xml:space="preserve"> </w:t>
      </w:r>
      <w:r>
        <w:rPr>
          <w:sz w:val="16"/>
          <w:szCs w:val="16"/>
          <w:lang w:val="es-CR"/>
        </w:rPr>
        <w:tab/>
      </w:r>
      <w:proofErr w:type="gramStart"/>
      <w:r w:rsidRPr="00C12456">
        <w:rPr>
          <w:sz w:val="16"/>
          <w:szCs w:val="16"/>
          <w:lang w:val="es-CR"/>
        </w:rPr>
        <w:t>De acuerdo al</w:t>
      </w:r>
      <w:proofErr w:type="gramEnd"/>
      <w:r w:rsidRPr="00C12456">
        <w:rPr>
          <w:sz w:val="16"/>
          <w:szCs w:val="16"/>
          <w:lang w:val="es-CR"/>
        </w:rPr>
        <w:t xml:space="preserve"> Instituto Latinoamericano para la Prevención del Delito y el Tratamiento del Delincuente (ILANUD), la “densidad penitenciaria” debe entenderse como la “relación numérica” entre la capacidad de una prisión o sistema penitenciario y el número de personas alojadas, que resulta de la fórmula “número de personas alojadas/ número de cupo disponibles x 100”. De acuerdo con ILANUD, siguiendo parámetros del “Comité Europeo para los Problemas Criminales”, debe considerarse “hacinamiento” o “sobrepoblación crítica” cuando ese índice es igual o suprior a 120 (</w:t>
      </w:r>
      <w:r w:rsidRPr="003C748A">
        <w:rPr>
          <w:i/>
          <w:sz w:val="16"/>
          <w:szCs w:val="16"/>
          <w:lang w:val="es-CR"/>
        </w:rPr>
        <w:t>cfr.</w:t>
      </w:r>
      <w:r>
        <w:rPr>
          <w:sz w:val="16"/>
          <w:szCs w:val="16"/>
          <w:lang w:val="es-CR"/>
        </w:rPr>
        <w:t xml:space="preserve"> ILANUD e Instituto Raoul </w:t>
      </w:r>
      <w:proofErr w:type="spellStart"/>
      <w:r>
        <w:rPr>
          <w:sz w:val="16"/>
          <w:szCs w:val="16"/>
          <w:lang w:val="es-CR"/>
        </w:rPr>
        <w:t>Wallanberg</w:t>
      </w:r>
      <w:proofErr w:type="spellEnd"/>
      <w:r>
        <w:rPr>
          <w:sz w:val="16"/>
          <w:szCs w:val="16"/>
          <w:lang w:val="es-CR"/>
        </w:rPr>
        <w:t xml:space="preserve"> de Derechos Humanos y Derecho Humanitario. “Cárcel y justicia penal en américa Latina y el Caribe: cómo implementar el modelo de derechos y obligaciones de las Naciones Unidas”. Coordinador, Elías Carranza. Siglo XXI editores, 2009, pág. 63</w:t>
      </w:r>
      <w:r w:rsidRPr="00C12456">
        <w:rPr>
          <w:sz w:val="16"/>
          <w:szCs w:val="16"/>
          <w:lang w:val="es-CR"/>
        </w:rPr>
        <w:t>)</w:t>
      </w:r>
      <w:r>
        <w:rPr>
          <w:sz w:val="16"/>
          <w:szCs w:val="16"/>
          <w:lang w:val="es-CR"/>
        </w:rPr>
        <w:t xml:space="preserve"> </w:t>
      </w:r>
      <w:r w:rsidRPr="00C12456">
        <w:rPr>
          <w:sz w:val="16"/>
          <w:szCs w:val="16"/>
          <w:lang w:val="es-CR"/>
        </w:rPr>
        <w:t xml:space="preserve">En el caso del INAM San Félix dicho índice, </w:t>
      </w:r>
      <w:proofErr w:type="gramStart"/>
      <w:r w:rsidRPr="00C12456">
        <w:rPr>
          <w:sz w:val="16"/>
          <w:szCs w:val="16"/>
          <w:lang w:val="es-CR"/>
        </w:rPr>
        <w:t>de acuerdo a</w:t>
      </w:r>
      <w:proofErr w:type="gramEnd"/>
      <w:r w:rsidRPr="00C12456">
        <w:rPr>
          <w:sz w:val="16"/>
          <w:szCs w:val="16"/>
          <w:lang w:val="es-CR"/>
        </w:rPr>
        <w:t xml:space="preserve"> las cifras expuestas, arroja un mínimo de 166,66.</w:t>
      </w:r>
    </w:p>
    <w:p w14:paraId="01C392C5" w14:textId="77777777" w:rsidR="004224C0" w:rsidRPr="00B0653E" w:rsidRDefault="004224C0" w:rsidP="00B476ED">
      <w:pPr>
        <w:pStyle w:val="Textonotapie"/>
        <w:ind w:right="-943"/>
        <w:rPr>
          <w:lang w:val="es-CR"/>
        </w:rPr>
      </w:pPr>
    </w:p>
  </w:footnote>
  <w:footnote w:id="105">
    <w:p w14:paraId="46E2425E" w14:textId="1BA3CEA0" w:rsidR="004224C0" w:rsidRDefault="004224C0" w:rsidP="00B476ED">
      <w:pPr>
        <w:pStyle w:val="Textonotapie"/>
        <w:ind w:right="-943"/>
        <w:rPr>
          <w:sz w:val="16"/>
          <w:szCs w:val="16"/>
        </w:rPr>
      </w:pPr>
      <w:r w:rsidRPr="00AF2262">
        <w:rPr>
          <w:rStyle w:val="Refdenotaalpie"/>
          <w:rFonts w:eastAsia="MS Mincho"/>
          <w:sz w:val="16"/>
          <w:szCs w:val="16"/>
        </w:rPr>
        <w:footnoteRef/>
      </w:r>
      <w:r w:rsidRPr="00AF2262">
        <w:rPr>
          <w:sz w:val="16"/>
          <w:szCs w:val="16"/>
        </w:rPr>
        <w:tab/>
        <w:t xml:space="preserve"> </w:t>
      </w:r>
      <w:r w:rsidRPr="00AF2262">
        <w:rPr>
          <w:i/>
          <w:sz w:val="16"/>
          <w:szCs w:val="16"/>
        </w:rPr>
        <w:t>Caso Pacheco Teruel y otros Vs. Honduras</w:t>
      </w:r>
      <w:r w:rsidRPr="00AF2262">
        <w:rPr>
          <w:sz w:val="16"/>
          <w:szCs w:val="16"/>
        </w:rPr>
        <w:t>, párr. 67.</w:t>
      </w:r>
    </w:p>
    <w:p w14:paraId="7118EFD5" w14:textId="77777777" w:rsidR="004224C0" w:rsidRPr="00AF2262" w:rsidRDefault="004224C0" w:rsidP="00B476ED">
      <w:pPr>
        <w:pStyle w:val="Textonotapie"/>
        <w:ind w:right="-943"/>
        <w:rPr>
          <w:strike/>
          <w:sz w:val="16"/>
          <w:szCs w:val="16"/>
          <w:lang w:val="es-BO"/>
        </w:rPr>
      </w:pPr>
    </w:p>
  </w:footnote>
  <w:footnote w:id="106">
    <w:p w14:paraId="64B5AD7F" w14:textId="414E965C" w:rsidR="004224C0" w:rsidRPr="003C748A" w:rsidRDefault="004224C0" w:rsidP="00B476ED">
      <w:pPr>
        <w:pStyle w:val="Textonotapie"/>
        <w:ind w:right="-943"/>
        <w:rPr>
          <w:rFonts w:eastAsiaTheme="minorHAnsi" w:cs="TimesNewRomanPS-ItalicMT"/>
          <w:iCs/>
          <w:sz w:val="16"/>
          <w:szCs w:val="16"/>
          <w:lang w:eastAsia="en-US"/>
        </w:rPr>
      </w:pPr>
      <w:r w:rsidRPr="003C748A">
        <w:rPr>
          <w:rStyle w:val="Refdenotaalpie"/>
          <w:rFonts w:eastAsia="MS Mincho"/>
          <w:sz w:val="16"/>
          <w:szCs w:val="16"/>
        </w:rPr>
        <w:footnoteRef/>
      </w:r>
      <w:r w:rsidRPr="003C748A">
        <w:rPr>
          <w:sz w:val="16"/>
          <w:szCs w:val="16"/>
        </w:rPr>
        <w:t xml:space="preserve"> </w:t>
      </w:r>
      <w:r w:rsidRPr="003C748A">
        <w:rPr>
          <w:sz w:val="16"/>
          <w:szCs w:val="16"/>
        </w:rPr>
        <w:tab/>
      </w:r>
      <w:r w:rsidRPr="003C748A">
        <w:rPr>
          <w:rFonts w:cs="Arial"/>
          <w:i/>
          <w:sz w:val="16"/>
          <w:szCs w:val="16"/>
          <w:shd w:val="clear" w:color="auto" w:fill="FFFFFF"/>
        </w:rPr>
        <w:t xml:space="preserve">Caso Yvon </w:t>
      </w:r>
      <w:proofErr w:type="spellStart"/>
      <w:r w:rsidRPr="003C748A">
        <w:rPr>
          <w:rFonts w:cs="Arial"/>
          <w:i/>
          <w:sz w:val="16"/>
          <w:szCs w:val="16"/>
          <w:shd w:val="clear" w:color="auto" w:fill="FFFFFF"/>
        </w:rPr>
        <w:t>Neptune</w:t>
      </w:r>
      <w:proofErr w:type="spellEnd"/>
      <w:r w:rsidRPr="003C748A">
        <w:rPr>
          <w:rFonts w:cs="Arial"/>
          <w:i/>
          <w:sz w:val="16"/>
          <w:szCs w:val="16"/>
          <w:shd w:val="clear" w:color="auto" w:fill="FFFFFF"/>
        </w:rPr>
        <w:t xml:space="preserve"> Vs. Haití</w:t>
      </w:r>
      <w:r w:rsidRPr="003C748A">
        <w:rPr>
          <w:rFonts w:cs="Arial"/>
          <w:sz w:val="16"/>
          <w:szCs w:val="16"/>
          <w:shd w:val="clear" w:color="auto" w:fill="FFFFFF"/>
        </w:rPr>
        <w:t xml:space="preserve">, párr.147, y </w:t>
      </w:r>
      <w:r w:rsidRPr="003C748A">
        <w:rPr>
          <w:rFonts w:cs="Arial"/>
          <w:i/>
          <w:sz w:val="16"/>
          <w:szCs w:val="16"/>
          <w:shd w:val="clear" w:color="auto" w:fill="FFFFFF"/>
        </w:rPr>
        <w:t>Caso J. Vs. Perú. Excepción Preliminar, Fondo, Reparaciones y Costas</w:t>
      </w:r>
      <w:r w:rsidRPr="003C748A">
        <w:rPr>
          <w:rFonts w:cs="Arial"/>
          <w:sz w:val="16"/>
          <w:szCs w:val="16"/>
          <w:shd w:val="clear" w:color="auto" w:fill="FFFFFF"/>
        </w:rPr>
        <w:t>. Sentencia de 27 de noviembre de 2013. Serie C No. 275, párr. 380</w:t>
      </w:r>
    </w:p>
    <w:p w14:paraId="28CDC95D" w14:textId="77777777" w:rsidR="004224C0" w:rsidRPr="00AF2262" w:rsidRDefault="004224C0" w:rsidP="00B476ED">
      <w:pPr>
        <w:pStyle w:val="Textonotapie"/>
        <w:ind w:right="-943"/>
        <w:rPr>
          <w:sz w:val="16"/>
          <w:szCs w:val="16"/>
          <w:lang w:val="es-CR"/>
        </w:rPr>
      </w:pPr>
    </w:p>
  </w:footnote>
  <w:footnote w:id="107">
    <w:p w14:paraId="79B2C1A9" w14:textId="77777777" w:rsidR="004224C0" w:rsidRPr="00D81F2D" w:rsidRDefault="004224C0" w:rsidP="00B476ED">
      <w:pPr>
        <w:pStyle w:val="NormalWeb"/>
        <w:spacing w:line="240" w:lineRule="auto"/>
        <w:ind w:right="-943"/>
        <w:rPr>
          <w:rFonts w:ascii="Verdana" w:hAnsi="Verdana" w:cs="Calibri"/>
          <w:color w:val="000000"/>
          <w:sz w:val="16"/>
          <w:szCs w:val="16"/>
        </w:rPr>
      </w:pPr>
      <w:r w:rsidRPr="0099668E">
        <w:rPr>
          <w:rStyle w:val="Refdenotaalpie"/>
          <w:sz w:val="16"/>
          <w:szCs w:val="16"/>
        </w:rPr>
        <w:footnoteRef/>
      </w:r>
      <w:r w:rsidRPr="0099668E">
        <w:rPr>
          <w:rFonts w:ascii="Verdana" w:hAnsi="Verdana"/>
          <w:sz w:val="16"/>
          <w:szCs w:val="16"/>
        </w:rPr>
        <w:t xml:space="preserve">  </w:t>
      </w:r>
      <w:r w:rsidRPr="0099668E">
        <w:rPr>
          <w:rFonts w:ascii="Verdana" w:hAnsi="Verdana"/>
          <w:sz w:val="16"/>
          <w:szCs w:val="16"/>
        </w:rPr>
        <w:tab/>
      </w:r>
      <w:r w:rsidRPr="00D81F2D">
        <w:rPr>
          <w:rFonts w:ascii="Verdana" w:hAnsi="Verdana"/>
          <w:sz w:val="16"/>
          <w:szCs w:val="16"/>
        </w:rPr>
        <w:t>El concepto de “institución total” hace alusión a</w:t>
      </w:r>
      <w:r w:rsidRPr="00D81F2D">
        <w:rPr>
          <w:rFonts w:ascii="Verdana" w:hAnsi="Verdana" w:cs="Calibri"/>
          <w:color w:val="000000"/>
          <w:sz w:val="16"/>
          <w:szCs w:val="16"/>
        </w:rPr>
        <w:t xml:space="preserve"> "un lugar de residencia o trabajo, donde un gran número de individuos en igual situación, aislados de la sociedad por un período apreciable de tiempo, comparten en su encierro una rutina diaria, administrada formalmente" </w:t>
      </w:r>
      <w:r>
        <w:rPr>
          <w:rFonts w:ascii="Verdana" w:hAnsi="Verdana" w:cs="Calibri"/>
          <w:color w:val="000000"/>
          <w:sz w:val="16"/>
          <w:szCs w:val="16"/>
        </w:rPr>
        <w:t>(</w:t>
      </w:r>
      <w:r w:rsidRPr="00A4194E">
        <w:rPr>
          <w:rFonts w:ascii="Verdana" w:hAnsi="Verdana" w:cs="Calibri"/>
          <w:color w:val="000000"/>
          <w:sz w:val="16"/>
          <w:szCs w:val="16"/>
        </w:rPr>
        <w:t>Goffman, Erving. "Internados: Ensayos sobre la situación social de los enfermos mentales" Amorrortu Editores, 1972</w:t>
      </w:r>
      <w:r>
        <w:rPr>
          <w:rFonts w:ascii="Verdana" w:hAnsi="Verdana" w:cs="Calibri"/>
          <w:color w:val="000000"/>
          <w:sz w:val="16"/>
          <w:szCs w:val="16"/>
        </w:rPr>
        <w:t xml:space="preserve">, </w:t>
      </w:r>
      <w:proofErr w:type="spellStart"/>
      <w:r>
        <w:rPr>
          <w:rFonts w:ascii="Verdana" w:hAnsi="Verdana" w:cs="Calibri"/>
          <w:color w:val="000000"/>
          <w:sz w:val="16"/>
          <w:szCs w:val="16"/>
        </w:rPr>
        <w:t>pág</w:t>
      </w:r>
      <w:proofErr w:type="spellEnd"/>
      <w:r w:rsidRPr="00A4194E">
        <w:rPr>
          <w:rFonts w:ascii="Verdana" w:hAnsi="Verdana" w:cs="Calibri"/>
          <w:color w:val="000000"/>
          <w:sz w:val="16"/>
          <w:szCs w:val="16"/>
        </w:rPr>
        <w:t xml:space="preserve"> 13</w:t>
      </w:r>
      <w:r>
        <w:rPr>
          <w:rFonts w:ascii="Verdana" w:hAnsi="Verdana" w:cs="Calibri"/>
          <w:color w:val="000000"/>
          <w:sz w:val="16"/>
          <w:szCs w:val="16"/>
        </w:rPr>
        <w:t>)</w:t>
      </w:r>
      <w:r w:rsidRPr="00A4194E">
        <w:rPr>
          <w:rFonts w:ascii="Verdana" w:hAnsi="Verdana" w:cs="Calibri"/>
          <w:color w:val="000000"/>
          <w:sz w:val="16"/>
          <w:szCs w:val="16"/>
        </w:rPr>
        <w:t>.</w:t>
      </w:r>
    </w:p>
    <w:p w14:paraId="59BC582B" w14:textId="77777777" w:rsidR="004224C0" w:rsidRPr="00D81F2D" w:rsidRDefault="004224C0" w:rsidP="00B476ED">
      <w:pPr>
        <w:pStyle w:val="Textonotapie"/>
        <w:ind w:right="-943"/>
        <w:rPr>
          <w:lang w:val="es-CR"/>
        </w:rPr>
      </w:pPr>
    </w:p>
  </w:footnote>
  <w:footnote w:id="108">
    <w:p w14:paraId="298F597E" w14:textId="77777777" w:rsidR="004224C0" w:rsidRPr="003C748A" w:rsidRDefault="004224C0" w:rsidP="00B476ED">
      <w:pPr>
        <w:pStyle w:val="Textonotapie"/>
        <w:ind w:right="-943"/>
        <w:rPr>
          <w:sz w:val="16"/>
          <w:szCs w:val="16"/>
          <w:lang w:val="es-CR"/>
        </w:rPr>
      </w:pPr>
      <w:r w:rsidRPr="00AF2262">
        <w:rPr>
          <w:rStyle w:val="Refdenotaalpie"/>
          <w:rFonts w:eastAsia="MS Mincho"/>
          <w:sz w:val="16"/>
          <w:szCs w:val="16"/>
        </w:rPr>
        <w:footnoteRef/>
      </w:r>
      <w:r w:rsidRPr="00AF2262">
        <w:rPr>
          <w:sz w:val="16"/>
          <w:szCs w:val="16"/>
        </w:rPr>
        <w:t xml:space="preserve"> </w:t>
      </w:r>
      <w:r>
        <w:rPr>
          <w:sz w:val="16"/>
          <w:szCs w:val="16"/>
        </w:rPr>
        <w:tab/>
      </w:r>
      <w:r w:rsidRPr="00F6333E">
        <w:rPr>
          <w:i/>
          <w:sz w:val="16"/>
          <w:szCs w:val="16"/>
          <w:lang w:val="es-CR"/>
        </w:rPr>
        <w:t>Cfr.</w:t>
      </w:r>
      <w:r w:rsidRPr="00AF2262">
        <w:rPr>
          <w:sz w:val="16"/>
          <w:szCs w:val="16"/>
          <w:lang w:val="es-CR"/>
        </w:rPr>
        <w:t xml:space="preserve"> Reglas de las Naciones Unidas para la Protección de los Menores Privados de Libertad, Reglas 28, 30, 31 y 32. La importancia de dichas reglas fue enfatizada por la perita </w:t>
      </w:r>
      <w:proofErr w:type="spellStart"/>
      <w:r w:rsidRPr="00AF2262">
        <w:rPr>
          <w:sz w:val="16"/>
          <w:szCs w:val="16"/>
          <w:lang w:val="es-CR"/>
        </w:rPr>
        <w:t>Giacomello</w:t>
      </w:r>
      <w:proofErr w:type="spellEnd"/>
      <w:r w:rsidRPr="00AF2262">
        <w:rPr>
          <w:sz w:val="16"/>
          <w:szCs w:val="16"/>
          <w:lang w:val="es-CR"/>
        </w:rPr>
        <w:t xml:space="preserve">. </w:t>
      </w:r>
      <w:r w:rsidRPr="003C748A">
        <w:rPr>
          <w:sz w:val="16"/>
          <w:szCs w:val="16"/>
          <w:lang w:val="es-CR"/>
        </w:rPr>
        <w:t xml:space="preserve">En cuanto a la mención a centros de privación “cerrados”, la Regla 30 citada los contrapone a </w:t>
      </w:r>
      <w:r>
        <w:rPr>
          <w:sz w:val="16"/>
          <w:szCs w:val="16"/>
          <w:lang w:val="es-CR"/>
        </w:rPr>
        <w:t xml:space="preserve">los </w:t>
      </w:r>
      <w:r w:rsidRPr="003C748A">
        <w:rPr>
          <w:sz w:val="16"/>
          <w:szCs w:val="16"/>
          <w:lang w:val="es-CR"/>
        </w:rPr>
        <w:t xml:space="preserve">“abiertos”, </w:t>
      </w:r>
      <w:r>
        <w:rPr>
          <w:sz w:val="16"/>
          <w:szCs w:val="16"/>
          <w:lang w:val="es-CR"/>
        </w:rPr>
        <w:t>siendo éstos,</w:t>
      </w:r>
      <w:r w:rsidRPr="003C748A">
        <w:rPr>
          <w:sz w:val="16"/>
          <w:szCs w:val="16"/>
          <w:lang w:val="es-CR"/>
        </w:rPr>
        <w:t xml:space="preserve"> conforme explica, “aquéllos donde las medidas de seguridad son escasas o nulas”. </w:t>
      </w:r>
    </w:p>
  </w:footnote>
  <w:footnote w:id="109">
    <w:p w14:paraId="7B68F184" w14:textId="77777777" w:rsidR="004224C0" w:rsidRDefault="004224C0" w:rsidP="00B476ED">
      <w:pPr>
        <w:pStyle w:val="Textonotapie"/>
        <w:ind w:right="-943"/>
        <w:rPr>
          <w:sz w:val="16"/>
          <w:szCs w:val="16"/>
        </w:rPr>
      </w:pPr>
    </w:p>
    <w:p w14:paraId="04063E62" w14:textId="78D2179E" w:rsidR="004224C0" w:rsidRPr="00AF2262" w:rsidRDefault="004224C0" w:rsidP="00B476ED">
      <w:pPr>
        <w:pStyle w:val="Textonotapie"/>
        <w:ind w:right="-943"/>
        <w:rPr>
          <w:sz w:val="16"/>
          <w:szCs w:val="16"/>
          <w:lang w:val="es-BO"/>
        </w:rPr>
      </w:pPr>
      <w:r w:rsidRPr="00AF2262">
        <w:rPr>
          <w:rStyle w:val="Refdenotaalpie"/>
          <w:rFonts w:eastAsia="MS Mincho"/>
          <w:sz w:val="16"/>
          <w:szCs w:val="16"/>
        </w:rPr>
        <w:footnoteRef/>
      </w:r>
      <w:r w:rsidRPr="00AF2262">
        <w:rPr>
          <w:sz w:val="16"/>
          <w:szCs w:val="16"/>
        </w:rPr>
        <w:t xml:space="preserve"> </w:t>
      </w:r>
      <w:r w:rsidRPr="00AF2262">
        <w:rPr>
          <w:sz w:val="16"/>
          <w:szCs w:val="16"/>
          <w:lang w:val="es-ES"/>
        </w:rPr>
        <w:tab/>
      </w:r>
      <w:r w:rsidRPr="00AF2262">
        <w:rPr>
          <w:i/>
          <w:sz w:val="16"/>
          <w:szCs w:val="16"/>
          <w:lang w:val="es-ES"/>
        </w:rPr>
        <w:t xml:space="preserve">Cfr. </w:t>
      </w:r>
      <w:r w:rsidRPr="00AF2262">
        <w:rPr>
          <w:i/>
          <w:sz w:val="16"/>
          <w:szCs w:val="16"/>
        </w:rPr>
        <w:t>Caso “Instituto de Reeducación del Menor”</w:t>
      </w:r>
      <w:r w:rsidR="00D91B8B">
        <w:rPr>
          <w:i/>
          <w:sz w:val="16"/>
          <w:szCs w:val="16"/>
        </w:rPr>
        <w:t xml:space="preserve"> Vs. Paraguay</w:t>
      </w:r>
      <w:r w:rsidRPr="00AF2262">
        <w:rPr>
          <w:i/>
          <w:sz w:val="16"/>
          <w:szCs w:val="16"/>
          <w:lang w:val="es-BO"/>
        </w:rPr>
        <w:t xml:space="preserve">, </w:t>
      </w:r>
      <w:r w:rsidRPr="00AF2262">
        <w:rPr>
          <w:sz w:val="16"/>
          <w:szCs w:val="16"/>
          <w:lang w:val="es-BO"/>
        </w:rPr>
        <w:t>párr. 178</w:t>
      </w:r>
      <w:r w:rsidRPr="00AF2262">
        <w:rPr>
          <w:sz w:val="16"/>
          <w:szCs w:val="16"/>
        </w:rPr>
        <w:t xml:space="preserve">, y </w:t>
      </w:r>
      <w:r w:rsidRPr="00AF2262">
        <w:rPr>
          <w:i/>
          <w:sz w:val="16"/>
          <w:szCs w:val="16"/>
        </w:rPr>
        <w:t>Caso Pacheco Teruel y otros Vs. Honduras</w:t>
      </w:r>
      <w:r w:rsidRPr="00AF2262">
        <w:rPr>
          <w:sz w:val="16"/>
          <w:szCs w:val="16"/>
        </w:rPr>
        <w:t>, párr. 68.</w:t>
      </w:r>
    </w:p>
  </w:footnote>
  <w:footnote w:id="110">
    <w:p w14:paraId="7E93D897" w14:textId="77777777" w:rsidR="004224C0" w:rsidRDefault="004224C0" w:rsidP="00B476ED">
      <w:pPr>
        <w:tabs>
          <w:tab w:val="left" w:pos="567"/>
        </w:tabs>
        <w:spacing w:line="240" w:lineRule="auto"/>
        <w:ind w:right="-943"/>
        <w:rPr>
          <w:sz w:val="16"/>
          <w:szCs w:val="16"/>
        </w:rPr>
      </w:pPr>
    </w:p>
    <w:p w14:paraId="08E91265" w14:textId="037BF1F3" w:rsidR="004224C0" w:rsidRPr="00AF2262" w:rsidRDefault="004224C0" w:rsidP="00B476ED">
      <w:pPr>
        <w:tabs>
          <w:tab w:val="left" w:pos="567"/>
        </w:tabs>
        <w:spacing w:line="240" w:lineRule="auto"/>
        <w:ind w:right="-943"/>
        <w:rPr>
          <w:sz w:val="16"/>
          <w:szCs w:val="16"/>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Pr="00AF2262">
        <w:rPr>
          <w:i/>
          <w:sz w:val="16"/>
          <w:szCs w:val="16"/>
        </w:rPr>
        <w:t>Cfr. Caso Pach</w:t>
      </w:r>
      <w:r w:rsidR="002776D2">
        <w:rPr>
          <w:i/>
          <w:sz w:val="16"/>
          <w:szCs w:val="16"/>
        </w:rPr>
        <w:t>eco Teruel y otros Vs. Honduras</w:t>
      </w:r>
      <w:r w:rsidRPr="00AF2262">
        <w:rPr>
          <w:sz w:val="16"/>
          <w:szCs w:val="16"/>
        </w:rPr>
        <w:t xml:space="preserve">, párr. 68. Al respecto las </w:t>
      </w:r>
      <w:r w:rsidRPr="006F1CD2">
        <w:rPr>
          <w:sz w:val="16"/>
          <w:szCs w:val="16"/>
        </w:rPr>
        <w:t>Reglas de las Naciones Unidas para la protección de los menores privados de libertad</w:t>
      </w:r>
      <w:r w:rsidRPr="00AF2262">
        <w:rPr>
          <w:i/>
          <w:sz w:val="16"/>
          <w:szCs w:val="16"/>
        </w:rPr>
        <w:t xml:space="preserve">, </w:t>
      </w:r>
      <w:r w:rsidRPr="00AF2262">
        <w:rPr>
          <w:sz w:val="16"/>
          <w:szCs w:val="16"/>
        </w:rPr>
        <w:t>en la Regla No. 32, señalan: “Deberá haber un sistema eficaz de alarma en casos de incendio, así como procedimientos establecidos y ejercicios de alerta que garanticen la seguridad de los menores. Los centros de detención no estarán situados en zonas de riesgos conocidos para la salud o donde existan otros peligros”. Mario Coriolano, en su declaración que obra como prueba documental</w:t>
      </w:r>
      <w:r>
        <w:rPr>
          <w:sz w:val="16"/>
          <w:szCs w:val="16"/>
        </w:rPr>
        <w:t xml:space="preserve"> (</w:t>
      </w:r>
      <w:r>
        <w:rPr>
          <w:i/>
          <w:sz w:val="16"/>
          <w:szCs w:val="16"/>
        </w:rPr>
        <w:t xml:space="preserve">supra </w:t>
      </w:r>
      <w:r>
        <w:rPr>
          <w:sz w:val="16"/>
          <w:szCs w:val="16"/>
        </w:rPr>
        <w:t>párr. 28)</w:t>
      </w:r>
      <w:r w:rsidRPr="00AF2262">
        <w:rPr>
          <w:sz w:val="16"/>
          <w:szCs w:val="16"/>
        </w:rPr>
        <w:t>, expresó que, en el ámbito de un establecimiento penitenciario, deben, por una parte, “prevenir[se] las situaciones que generen riesgo de incendio a partir de deficiencias […] tales como instalaciones eléctricas defectuosas, la utilización de aparatos que generen sobrecarga, el suministro de colchones o ropa de cama que no sea ign</w:t>
      </w:r>
      <w:r>
        <w:rPr>
          <w:sz w:val="16"/>
          <w:szCs w:val="16"/>
        </w:rPr>
        <w:t>í</w:t>
      </w:r>
      <w:r w:rsidRPr="00AF2262">
        <w:rPr>
          <w:sz w:val="16"/>
          <w:szCs w:val="16"/>
        </w:rPr>
        <w:t xml:space="preserve">fuga, etc. Por otra parte, el edificio deberá posibilitar la evacuación inmediata de las personas hacia un sector determinado, evitando la falsa disyuntiva de abrir celdas para salvar vidas y correr el riesgo de fuga, o evitar la fuga, pero correr el riesgo de la muerte de las personas detenidas. La organización debe establecer un marco normativo que determine el modo de proceder en casos de incendio y finalmente, se debe contar con personal capacitado para situaciones de este tipo”. </w:t>
      </w:r>
    </w:p>
    <w:p w14:paraId="707351C7" w14:textId="77777777" w:rsidR="004224C0" w:rsidRPr="00AF2262" w:rsidRDefault="004224C0" w:rsidP="00B476ED">
      <w:pPr>
        <w:pStyle w:val="Textonotapie"/>
        <w:spacing w:after="100"/>
        <w:ind w:right="-943"/>
        <w:rPr>
          <w:sz w:val="16"/>
          <w:szCs w:val="16"/>
        </w:rPr>
      </w:pPr>
    </w:p>
  </w:footnote>
  <w:footnote w:id="111">
    <w:p w14:paraId="17A8EDE9" w14:textId="24A5C07D" w:rsidR="00955F88" w:rsidRPr="00955F88" w:rsidRDefault="00955F88" w:rsidP="00955F88">
      <w:pPr>
        <w:pStyle w:val="Textonotapie"/>
        <w:ind w:right="-801"/>
        <w:rPr>
          <w:sz w:val="16"/>
          <w:szCs w:val="16"/>
          <w:lang w:val="es-CR"/>
        </w:rPr>
      </w:pPr>
      <w:r w:rsidRPr="00955F88">
        <w:rPr>
          <w:rStyle w:val="Refdenotaalpie"/>
          <w:sz w:val="16"/>
          <w:szCs w:val="16"/>
        </w:rPr>
        <w:footnoteRef/>
      </w:r>
      <w:r w:rsidRPr="00955F88">
        <w:rPr>
          <w:sz w:val="16"/>
          <w:szCs w:val="16"/>
        </w:rPr>
        <w:t xml:space="preserve"> </w:t>
      </w:r>
      <w:r w:rsidRPr="00955F88">
        <w:rPr>
          <w:sz w:val="16"/>
          <w:szCs w:val="16"/>
          <w:lang w:val="es-CR"/>
        </w:rPr>
        <w:t xml:space="preserve"> </w:t>
      </w:r>
      <w:r w:rsidRPr="00955F88">
        <w:rPr>
          <w:sz w:val="16"/>
          <w:szCs w:val="16"/>
          <w:lang w:val="es-CR"/>
        </w:rPr>
        <w:tab/>
        <w:t xml:space="preserve">Declaración pericial de Corina </w:t>
      </w:r>
      <w:proofErr w:type="spellStart"/>
      <w:r w:rsidRPr="00955F88">
        <w:rPr>
          <w:sz w:val="16"/>
          <w:szCs w:val="16"/>
          <w:lang w:val="es-CR"/>
        </w:rPr>
        <w:t>Giacomello</w:t>
      </w:r>
      <w:proofErr w:type="spellEnd"/>
      <w:r w:rsidRPr="00955F88">
        <w:rPr>
          <w:sz w:val="16"/>
          <w:szCs w:val="16"/>
          <w:lang w:val="es-CR"/>
        </w:rPr>
        <w:t xml:space="preserve"> (expediente de prueba, fs. 7471 a 7496).</w:t>
      </w:r>
    </w:p>
    <w:p w14:paraId="05D63230" w14:textId="77777777" w:rsidR="00955F88" w:rsidRPr="00955F88" w:rsidRDefault="00955F88">
      <w:pPr>
        <w:pStyle w:val="Textonotapie"/>
        <w:rPr>
          <w:lang w:val="es-CR"/>
        </w:rPr>
      </w:pPr>
    </w:p>
  </w:footnote>
  <w:footnote w:id="112">
    <w:p w14:paraId="13153C20" w14:textId="51D4DFC4" w:rsidR="004224C0" w:rsidRPr="007E339B" w:rsidRDefault="004224C0" w:rsidP="007E339B">
      <w:pPr>
        <w:pStyle w:val="Textonotapie"/>
        <w:ind w:right="-941"/>
        <w:rPr>
          <w:sz w:val="16"/>
          <w:szCs w:val="16"/>
          <w:lang w:val="es-CO"/>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Pr="00AF2262">
        <w:rPr>
          <w:i/>
          <w:sz w:val="16"/>
          <w:szCs w:val="16"/>
          <w:lang w:val="es-CO"/>
        </w:rPr>
        <w:t>Cfr. Caso M</w:t>
      </w:r>
      <w:r w:rsidRPr="00B706B7">
        <w:rPr>
          <w:i/>
          <w:sz w:val="16"/>
          <w:szCs w:val="16"/>
          <w:lang w:val="es-CO"/>
        </w:rPr>
        <w:t>endoza y otros Vs. Argentina</w:t>
      </w:r>
      <w:r w:rsidRPr="00B706B7">
        <w:rPr>
          <w:sz w:val="16"/>
          <w:szCs w:val="16"/>
          <w:lang w:val="es-CO"/>
        </w:rPr>
        <w:t xml:space="preserve">, párr. 165. En igual sentido, la perita </w:t>
      </w:r>
      <w:proofErr w:type="spellStart"/>
      <w:r w:rsidRPr="00B706B7">
        <w:rPr>
          <w:sz w:val="16"/>
          <w:szCs w:val="16"/>
          <w:lang w:val="es-CO"/>
        </w:rPr>
        <w:t>Giacomello</w:t>
      </w:r>
      <w:proofErr w:type="spellEnd"/>
      <w:r w:rsidRPr="00B706B7">
        <w:rPr>
          <w:sz w:val="16"/>
          <w:szCs w:val="16"/>
          <w:lang w:val="es-CO"/>
        </w:rPr>
        <w:t xml:space="preserve"> destacó como dos “principios fundamentales” del sistema de justicia penal para adolescentes a) el reconocimiento de </w:t>
      </w:r>
      <w:proofErr w:type="gramStart"/>
      <w:r w:rsidRPr="00B706B7">
        <w:rPr>
          <w:sz w:val="16"/>
          <w:szCs w:val="16"/>
          <w:lang w:val="es-CO"/>
        </w:rPr>
        <w:t>los mismos</w:t>
      </w:r>
      <w:proofErr w:type="gramEnd"/>
      <w:r w:rsidRPr="00B706B7">
        <w:rPr>
          <w:sz w:val="16"/>
          <w:szCs w:val="16"/>
          <w:lang w:val="es-CO"/>
        </w:rPr>
        <w:t xml:space="preserve"> como “sujetos de derechos, que deben ser respetados y tratados de una manera que promueva el sentido de responsabilidad, valor, dignidad y respeto </w:t>
      </w:r>
      <w:r w:rsidRPr="007E339B">
        <w:rPr>
          <w:sz w:val="16"/>
          <w:szCs w:val="16"/>
          <w:lang w:val="es-CO"/>
        </w:rPr>
        <w:t xml:space="preserve">para los demás”, y b) que el sistema contemple “políticas y acciones […] dirigidas no al castigo, sino a la reinserción y la reintegración social de las y los adolescentes”. </w:t>
      </w:r>
    </w:p>
    <w:p w14:paraId="30B062C8" w14:textId="77777777" w:rsidR="004224C0" w:rsidRPr="007E339B" w:rsidRDefault="004224C0" w:rsidP="007E339B">
      <w:pPr>
        <w:pStyle w:val="Textonotapie"/>
        <w:ind w:right="-941"/>
        <w:rPr>
          <w:sz w:val="16"/>
          <w:szCs w:val="16"/>
          <w:lang w:val="es-CO"/>
        </w:rPr>
      </w:pPr>
    </w:p>
  </w:footnote>
  <w:footnote w:id="113">
    <w:p w14:paraId="79CA4D3F" w14:textId="3A9C5472" w:rsidR="004224C0" w:rsidRPr="007E339B" w:rsidRDefault="004224C0" w:rsidP="007E339B">
      <w:pPr>
        <w:pStyle w:val="Textonotapie"/>
        <w:ind w:right="-941"/>
        <w:rPr>
          <w:sz w:val="16"/>
          <w:szCs w:val="16"/>
          <w:lang w:val="es-CR"/>
        </w:rPr>
      </w:pPr>
      <w:r w:rsidRPr="007E339B">
        <w:rPr>
          <w:rStyle w:val="Refdenotaalpie"/>
          <w:rFonts w:eastAsia="MS Mincho"/>
          <w:sz w:val="16"/>
          <w:szCs w:val="16"/>
        </w:rPr>
        <w:footnoteRef/>
      </w:r>
      <w:r w:rsidRPr="007E339B">
        <w:rPr>
          <w:sz w:val="16"/>
          <w:szCs w:val="16"/>
        </w:rPr>
        <w:t xml:space="preserve"> </w:t>
      </w:r>
      <w:r w:rsidRPr="007E339B">
        <w:rPr>
          <w:sz w:val="16"/>
          <w:szCs w:val="16"/>
        </w:rPr>
        <w:tab/>
      </w:r>
      <w:r w:rsidRPr="007E339B">
        <w:rPr>
          <w:i/>
          <w:sz w:val="16"/>
          <w:szCs w:val="16"/>
        </w:rPr>
        <w:t>Cfr. Caso Pacheco Teruel y otros Vs. Honduras</w:t>
      </w:r>
      <w:r w:rsidRPr="007E339B">
        <w:rPr>
          <w:sz w:val="16"/>
          <w:szCs w:val="16"/>
        </w:rPr>
        <w:t xml:space="preserve">, párr. 67. En el mismo sentido, </w:t>
      </w:r>
      <w:r w:rsidRPr="007E339B">
        <w:rPr>
          <w:i/>
          <w:sz w:val="16"/>
          <w:szCs w:val="16"/>
          <w:lang w:val="es-ES"/>
        </w:rPr>
        <w:t>Caso Montero Aranguren y otros (Retén de Catia)</w:t>
      </w:r>
      <w:r w:rsidR="00D90EB7" w:rsidRPr="007E339B">
        <w:rPr>
          <w:i/>
          <w:sz w:val="16"/>
          <w:szCs w:val="16"/>
          <w:lang w:val="es-ES"/>
        </w:rPr>
        <w:t xml:space="preserve"> Vs. Venezuela</w:t>
      </w:r>
      <w:r w:rsidRPr="007E339B">
        <w:rPr>
          <w:i/>
          <w:sz w:val="16"/>
          <w:szCs w:val="16"/>
          <w:lang w:val="es-ES"/>
        </w:rPr>
        <w:t xml:space="preserve">, </w:t>
      </w:r>
      <w:r w:rsidRPr="007E339B">
        <w:rPr>
          <w:sz w:val="16"/>
          <w:szCs w:val="16"/>
        </w:rPr>
        <w:t>párr. 146 y</w:t>
      </w:r>
    </w:p>
  </w:footnote>
  <w:footnote w:id="114">
    <w:p w14:paraId="61026BBC" w14:textId="77777777" w:rsidR="004224C0" w:rsidRPr="007E339B" w:rsidRDefault="004224C0" w:rsidP="007E339B">
      <w:pPr>
        <w:pStyle w:val="Textonotapie"/>
        <w:ind w:right="-941"/>
        <w:rPr>
          <w:sz w:val="16"/>
          <w:szCs w:val="16"/>
        </w:rPr>
      </w:pPr>
    </w:p>
    <w:p w14:paraId="34EC0342" w14:textId="124B5300" w:rsidR="004224C0" w:rsidRDefault="004224C0" w:rsidP="007E339B">
      <w:pPr>
        <w:pStyle w:val="Textonotapie"/>
        <w:ind w:right="-941"/>
        <w:rPr>
          <w:sz w:val="16"/>
          <w:szCs w:val="16"/>
        </w:rPr>
      </w:pPr>
      <w:r w:rsidRPr="007E339B">
        <w:rPr>
          <w:rStyle w:val="Refdenotaalpie"/>
          <w:rFonts w:eastAsia="MS Mincho"/>
          <w:sz w:val="16"/>
          <w:szCs w:val="16"/>
        </w:rPr>
        <w:footnoteRef/>
      </w:r>
      <w:r w:rsidRPr="007E339B">
        <w:rPr>
          <w:sz w:val="16"/>
          <w:szCs w:val="16"/>
        </w:rPr>
        <w:t xml:space="preserve"> </w:t>
      </w:r>
      <w:r w:rsidRPr="007E339B">
        <w:rPr>
          <w:sz w:val="16"/>
          <w:szCs w:val="16"/>
        </w:rPr>
        <w:tab/>
        <w:t>Las Reglas Mínimas de las Naciones Unidas para el Tratamiento de los Reclusos (Reglas Nelson Mandela)</w:t>
      </w:r>
      <w:r w:rsidRPr="007E339B">
        <w:rPr>
          <w:sz w:val="16"/>
          <w:szCs w:val="16"/>
          <w:lang w:val="es-CR"/>
        </w:rPr>
        <w:t xml:space="preserve"> expresan, como “Regla 4”, que: 1 “L</w:t>
      </w:r>
      <w:r w:rsidRPr="007E339B">
        <w:rPr>
          <w:sz w:val="16"/>
          <w:szCs w:val="16"/>
        </w:rPr>
        <w:t xml:space="preserve">os objetivos de las penas y medidas privativas de libertad son principalmente proteger a la sociedad contra el delito y reducir la reincidencia. Esos objetivos solo pueden alcanzarse si se aprovecha el período de privación de libertad para lograr, en lo posible, la reinserción de los </w:t>
      </w:r>
      <w:proofErr w:type="gramStart"/>
      <w:r w:rsidRPr="007E339B">
        <w:rPr>
          <w:sz w:val="16"/>
          <w:szCs w:val="16"/>
        </w:rPr>
        <w:t>ex reclusos</w:t>
      </w:r>
      <w:proofErr w:type="gramEnd"/>
      <w:r w:rsidRPr="007E339B">
        <w:rPr>
          <w:sz w:val="16"/>
          <w:szCs w:val="16"/>
        </w:rPr>
        <w:t xml:space="preserve"> en la sociedad tras su puesta en libertad, de modo que puedan vivir conforme a la ley y mantenerse con el producto de su trabajo. 2. Para lograr ese propósito, las administraciones penitenciarias y otras autoridades competentes deberán ofrecer educación, formación profesional y trabajo, así como otras formas de asistencia apropiadas y disponibles, incluidas las de carácter recuperativo, moral, espiritual y social y las basadas en la salud y el deporte. Todos esos programas, actividades y servicios se ofrecerán en atención a las necesidades de tratamiento individuales de los reclusos”. Las Reglas de las Naciones Unidas para la Protección de los Menores Privados de Libertad, por su parte, señalan, en su Regla 12, que, durante la privación de libertad, “[d]</w:t>
      </w:r>
      <w:proofErr w:type="spellStart"/>
      <w:r w:rsidRPr="007E339B">
        <w:rPr>
          <w:sz w:val="16"/>
          <w:szCs w:val="16"/>
        </w:rPr>
        <w:t>eberá</w:t>
      </w:r>
      <w:proofErr w:type="spellEnd"/>
      <w:r w:rsidRPr="007E339B">
        <w:rPr>
          <w:sz w:val="16"/>
          <w:szCs w:val="16"/>
        </w:rPr>
        <w:t xml:space="preserve"> garantizarse a los menores recluidos en centros el derecho a disfrutar de actividades y programas útiles que sirvan para fomentar y asegurar su sano desarrollo y su dignidad, promover su sentido de responsabilidad e infundirles actitudes y conocimientos que les ayuden a desarrollar sus posibilidades como miembros de la sociedad”.</w:t>
      </w:r>
    </w:p>
    <w:p w14:paraId="6EBBEDBB" w14:textId="77777777" w:rsidR="007E339B" w:rsidRPr="007E339B" w:rsidRDefault="007E339B" w:rsidP="007E339B">
      <w:pPr>
        <w:pStyle w:val="Textonotapie"/>
        <w:ind w:right="-941"/>
        <w:rPr>
          <w:sz w:val="16"/>
          <w:szCs w:val="16"/>
        </w:rPr>
      </w:pPr>
    </w:p>
  </w:footnote>
  <w:footnote w:id="115">
    <w:p w14:paraId="5D45CD65" w14:textId="6BFCA6B3" w:rsidR="004224C0" w:rsidRPr="002C7150" w:rsidRDefault="004224C0" w:rsidP="007E339B">
      <w:pPr>
        <w:pStyle w:val="Textonotapie"/>
        <w:ind w:right="-941"/>
        <w:rPr>
          <w:sz w:val="16"/>
          <w:szCs w:val="16"/>
          <w:lang w:val="es-CR"/>
        </w:rPr>
      </w:pPr>
      <w:r w:rsidRPr="007E339B">
        <w:rPr>
          <w:rStyle w:val="Refdenotaalpie"/>
          <w:rFonts w:eastAsia="MS Mincho"/>
          <w:sz w:val="16"/>
          <w:szCs w:val="16"/>
        </w:rPr>
        <w:footnoteRef/>
      </w:r>
      <w:r w:rsidRPr="007E339B">
        <w:rPr>
          <w:sz w:val="16"/>
          <w:szCs w:val="16"/>
        </w:rPr>
        <w:t xml:space="preserve"> </w:t>
      </w:r>
      <w:r w:rsidRPr="007E339B">
        <w:rPr>
          <w:sz w:val="16"/>
          <w:szCs w:val="16"/>
        </w:rPr>
        <w:tab/>
      </w:r>
      <w:r w:rsidRPr="007E339B">
        <w:rPr>
          <w:sz w:val="16"/>
          <w:szCs w:val="16"/>
          <w:lang w:val="es-CO"/>
        </w:rPr>
        <w:t>La Corte, en efecto, ha considerado diversas circunstancias pueden generar la vulneración a la finalidad prevista por el artículo 5.6. Así, en el caso</w:t>
      </w:r>
      <w:r w:rsidRPr="002C7150">
        <w:rPr>
          <w:sz w:val="16"/>
          <w:szCs w:val="16"/>
          <w:lang w:val="es-CO"/>
        </w:rPr>
        <w:t xml:space="preserve"> </w:t>
      </w:r>
      <w:r w:rsidRPr="002C7150">
        <w:rPr>
          <w:i/>
          <w:sz w:val="16"/>
          <w:szCs w:val="16"/>
          <w:lang w:val="es-CO"/>
        </w:rPr>
        <w:t>“Instituto de Reeducación del Menor” Vs. Paraguay</w:t>
      </w:r>
      <w:r w:rsidRPr="002C7150">
        <w:rPr>
          <w:sz w:val="16"/>
          <w:szCs w:val="16"/>
          <w:lang w:val="es-CO"/>
        </w:rPr>
        <w:t>, el Tribunal determinó una lesión a esa disposición, en perjuicio de niños, considerando diversos elementos, tales como la omisión de “</w:t>
      </w:r>
      <w:r w:rsidRPr="002C7150">
        <w:rPr>
          <w:sz w:val="16"/>
          <w:szCs w:val="16"/>
        </w:rPr>
        <w:t>medidas positivas necesarias y suficientes para garantizar […] condiciones de vida digna a todos los internos”, la falta de “medidas especiales que se requerían para los niños”,</w:t>
      </w:r>
      <w:r>
        <w:rPr>
          <w:sz w:val="16"/>
          <w:szCs w:val="16"/>
        </w:rPr>
        <w:t xml:space="preserve"> y</w:t>
      </w:r>
      <w:r w:rsidRPr="002C7150">
        <w:rPr>
          <w:sz w:val="16"/>
          <w:szCs w:val="16"/>
        </w:rPr>
        <w:t xml:space="preserve"> la restricción de derechos “que no podían ser objeto de ningún tipo de limitación o vulneración”. </w:t>
      </w:r>
      <w:r w:rsidRPr="002C7150">
        <w:rPr>
          <w:sz w:val="16"/>
          <w:szCs w:val="16"/>
          <w:lang w:val="es-CO"/>
        </w:rPr>
        <w:t xml:space="preserve">Además, en el caso </w:t>
      </w:r>
      <w:r w:rsidRPr="002C7150">
        <w:rPr>
          <w:i/>
          <w:sz w:val="16"/>
          <w:szCs w:val="16"/>
          <w:lang w:val="es-CO"/>
        </w:rPr>
        <w:t>Pacheco Teruel Vs. Honduras,</w:t>
      </w:r>
      <w:r w:rsidRPr="002C7150">
        <w:rPr>
          <w:sz w:val="16"/>
          <w:szCs w:val="16"/>
          <w:lang w:val="es-CO"/>
        </w:rPr>
        <w:t xml:space="preserve"> este Tribunal aceptó el reconocimiento de responsabilidad efectuado por el Estado respecto a la vulneración del artículo 5.6 de la Convención al no haber permitido a ciertos internos realizar actividades productivas. Estos señalamientos fueron retomados en el caso </w:t>
      </w:r>
      <w:r w:rsidRPr="002C7150">
        <w:rPr>
          <w:i/>
          <w:sz w:val="16"/>
          <w:szCs w:val="16"/>
          <w:lang w:val="es-CO"/>
        </w:rPr>
        <w:t>López y otros Vs. Argentina</w:t>
      </w:r>
      <w:r w:rsidRPr="002C7150">
        <w:rPr>
          <w:sz w:val="16"/>
          <w:szCs w:val="16"/>
          <w:lang w:val="es-CO"/>
        </w:rPr>
        <w:t xml:space="preserve">, en el cual la Corte concluyó que traslados de personas privadas de la libertad, que en el caso habían resultado “arbitrarios, inidóneos, innecesarios y desproporcionados”, menoscabaron el </w:t>
      </w:r>
      <w:r>
        <w:rPr>
          <w:sz w:val="16"/>
          <w:szCs w:val="16"/>
          <w:lang w:val="es-CO"/>
        </w:rPr>
        <w:t>artículo 5.6 citado,</w:t>
      </w:r>
      <w:r w:rsidRPr="002C7150">
        <w:rPr>
          <w:sz w:val="16"/>
          <w:szCs w:val="16"/>
          <w:lang w:val="es-CO"/>
        </w:rPr>
        <w:t xml:space="preserve"> en cuanto a la “finalidad esencial de reforma y readaptación del condenado”, entre otros derechos. (</w:t>
      </w:r>
      <w:r w:rsidRPr="002C7150">
        <w:rPr>
          <w:i/>
          <w:sz w:val="16"/>
          <w:szCs w:val="16"/>
        </w:rPr>
        <w:t xml:space="preserve">Cfr. Caso “Instituto de </w:t>
      </w:r>
      <w:r w:rsidRPr="002C7150">
        <w:rPr>
          <w:i/>
          <w:sz w:val="16"/>
          <w:szCs w:val="16"/>
          <w:lang w:val="es-GT"/>
        </w:rPr>
        <w:t>Reeducación del Menor” Vs. Paraguay</w:t>
      </w:r>
      <w:r w:rsidRPr="002C7150">
        <w:rPr>
          <w:sz w:val="16"/>
          <w:szCs w:val="16"/>
          <w:lang w:val="es-GT"/>
        </w:rPr>
        <w:t xml:space="preserve">, párr. 176; </w:t>
      </w:r>
      <w:r w:rsidRPr="002C7150">
        <w:rPr>
          <w:i/>
          <w:sz w:val="16"/>
          <w:szCs w:val="16"/>
          <w:lang w:val="es-CO"/>
        </w:rPr>
        <w:t>Caso Pacheco Teruel y otros Vs. Honduras</w:t>
      </w:r>
      <w:r w:rsidRPr="002C7150">
        <w:rPr>
          <w:sz w:val="16"/>
          <w:szCs w:val="16"/>
          <w:lang w:val="es-CO"/>
        </w:rPr>
        <w:t xml:space="preserve">, </w:t>
      </w:r>
      <w:proofErr w:type="spellStart"/>
      <w:r w:rsidRPr="002C7150">
        <w:rPr>
          <w:sz w:val="16"/>
          <w:szCs w:val="16"/>
          <w:lang w:val="es-CO"/>
        </w:rPr>
        <w:t>párrs</w:t>
      </w:r>
      <w:proofErr w:type="spellEnd"/>
      <w:r w:rsidRPr="002C7150">
        <w:rPr>
          <w:sz w:val="16"/>
          <w:szCs w:val="16"/>
          <w:lang w:val="es-CO"/>
        </w:rPr>
        <w:t xml:space="preserve">. 60 y 69, y </w:t>
      </w:r>
      <w:r w:rsidRPr="002C7150">
        <w:rPr>
          <w:i/>
          <w:sz w:val="16"/>
          <w:szCs w:val="16"/>
          <w:lang w:val="es-CO"/>
        </w:rPr>
        <w:t>Caso</w:t>
      </w:r>
      <w:r w:rsidRPr="002C7150">
        <w:rPr>
          <w:sz w:val="16"/>
          <w:szCs w:val="16"/>
          <w:lang w:val="es-CO"/>
        </w:rPr>
        <w:t xml:space="preserve"> </w:t>
      </w:r>
      <w:r w:rsidRPr="002C7150">
        <w:rPr>
          <w:i/>
          <w:sz w:val="16"/>
          <w:szCs w:val="16"/>
        </w:rPr>
        <w:t>López y otros Vs. Argentina</w:t>
      </w:r>
      <w:r w:rsidRPr="002C7150">
        <w:rPr>
          <w:sz w:val="16"/>
          <w:szCs w:val="16"/>
        </w:rPr>
        <w:t xml:space="preserve">, </w:t>
      </w:r>
      <w:proofErr w:type="spellStart"/>
      <w:r w:rsidRPr="002C7150">
        <w:rPr>
          <w:sz w:val="16"/>
          <w:szCs w:val="16"/>
        </w:rPr>
        <w:t>párrs</w:t>
      </w:r>
      <w:proofErr w:type="spellEnd"/>
      <w:r w:rsidRPr="002C7150">
        <w:rPr>
          <w:sz w:val="16"/>
          <w:szCs w:val="16"/>
        </w:rPr>
        <w:t>. 94</w:t>
      </w:r>
      <w:r>
        <w:rPr>
          <w:sz w:val="16"/>
          <w:szCs w:val="16"/>
        </w:rPr>
        <w:t>,</w:t>
      </w:r>
      <w:r w:rsidRPr="002C7150">
        <w:rPr>
          <w:sz w:val="16"/>
          <w:szCs w:val="16"/>
        </w:rPr>
        <w:t xml:space="preserve"> 95</w:t>
      </w:r>
      <w:r>
        <w:rPr>
          <w:sz w:val="16"/>
          <w:szCs w:val="16"/>
        </w:rPr>
        <w:t>, 160 y 162.</w:t>
      </w:r>
      <w:r w:rsidRPr="002C7150">
        <w:rPr>
          <w:sz w:val="16"/>
          <w:szCs w:val="16"/>
        </w:rPr>
        <w:t xml:space="preserve">) </w:t>
      </w:r>
    </w:p>
    <w:p w14:paraId="59E59466" w14:textId="77777777" w:rsidR="004224C0" w:rsidRPr="002C7150" w:rsidRDefault="004224C0" w:rsidP="00B476ED">
      <w:pPr>
        <w:pStyle w:val="Textonotapie"/>
        <w:ind w:right="-943"/>
        <w:rPr>
          <w:lang w:val="es-CR"/>
        </w:rPr>
      </w:pPr>
    </w:p>
  </w:footnote>
  <w:footnote w:id="116">
    <w:p w14:paraId="577AFECB" w14:textId="77777777" w:rsidR="004224C0" w:rsidRDefault="004224C0" w:rsidP="00B476ED">
      <w:pPr>
        <w:pStyle w:val="Textonotapie"/>
        <w:ind w:right="-943"/>
        <w:rPr>
          <w:sz w:val="16"/>
          <w:szCs w:val="16"/>
          <w:lang w:val="es-CR"/>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Pr="00AF2262">
        <w:rPr>
          <w:i/>
          <w:sz w:val="16"/>
          <w:szCs w:val="16"/>
        </w:rPr>
        <w:t>Caso Lori Berenson Mejía Vs. Perú. Fondo, Reparaciones y Costas.</w:t>
      </w:r>
      <w:r w:rsidRPr="00AF2262">
        <w:rPr>
          <w:sz w:val="16"/>
          <w:szCs w:val="16"/>
        </w:rPr>
        <w:t xml:space="preserve"> Sentencia de 25 de noviembre de 2004. Serie C No. 119, párr. 101.En el mismo sentido, </w:t>
      </w:r>
      <w:r w:rsidRPr="00AF2262">
        <w:rPr>
          <w:i/>
          <w:sz w:val="16"/>
          <w:szCs w:val="16"/>
        </w:rPr>
        <w:t xml:space="preserve">Caso García </w:t>
      </w:r>
      <w:proofErr w:type="spellStart"/>
      <w:r w:rsidRPr="00AF2262">
        <w:rPr>
          <w:i/>
          <w:sz w:val="16"/>
          <w:szCs w:val="16"/>
        </w:rPr>
        <w:t>Asto</w:t>
      </w:r>
      <w:proofErr w:type="spellEnd"/>
      <w:r w:rsidRPr="00AF2262">
        <w:rPr>
          <w:i/>
          <w:sz w:val="16"/>
          <w:szCs w:val="16"/>
        </w:rPr>
        <w:t xml:space="preserve"> y Ramírez Rojas Vs. Perú.</w:t>
      </w:r>
      <w:r w:rsidRPr="00AF2262">
        <w:rPr>
          <w:sz w:val="16"/>
          <w:szCs w:val="16"/>
        </w:rPr>
        <w:t xml:space="preserve"> Sentencia de 25 de noviembre de 2005. Serie C No. 137, párr. 223. En ambas ocasiones la Corte expresó que “[l]as autoridades judiciales deben tomar en consideración estas circunstancias al momento de aplicar o evaluar las penas establecidas”. </w:t>
      </w:r>
      <w:r>
        <w:rPr>
          <w:sz w:val="16"/>
          <w:szCs w:val="16"/>
        </w:rPr>
        <w:t xml:space="preserve">En relación con lo expuesto, la Corte considera pertinente resaltar que, como ya lo ha expresado, </w:t>
      </w:r>
      <w:r w:rsidRPr="00783CAA">
        <w:rPr>
          <w:sz w:val="16"/>
          <w:szCs w:val="16"/>
        </w:rPr>
        <w:t>“</w:t>
      </w:r>
      <w:r w:rsidRPr="00B706B7">
        <w:rPr>
          <w:sz w:val="16"/>
          <w:szCs w:val="16"/>
        </w:rPr>
        <w:t>la protección de la vida del niño y adolescente requiere que el Estado se preocupe particularmente de las circunstancias de la vida que llevará mientras se mantenga privado de libertad” (A</w:t>
      </w:r>
      <w:r w:rsidRPr="00B706B7">
        <w:rPr>
          <w:i/>
          <w:sz w:val="16"/>
          <w:szCs w:val="16"/>
        </w:rPr>
        <w:t>sunto de la Unidad de Internación Socioeducativa. Medidas Provisionales respecto de Brasil.</w:t>
      </w:r>
      <w:r w:rsidRPr="00B706B7">
        <w:rPr>
          <w:sz w:val="16"/>
          <w:szCs w:val="16"/>
        </w:rPr>
        <w:t xml:space="preserve"> Resolución de la Corte Interamericana de Derechos Humanos de 25 de febrero de 2011, Considerando 15). </w:t>
      </w:r>
      <w:r>
        <w:rPr>
          <w:sz w:val="16"/>
          <w:szCs w:val="16"/>
        </w:rPr>
        <w:t>En ese sentido, l</w:t>
      </w:r>
      <w:r w:rsidRPr="00AF2262">
        <w:rPr>
          <w:sz w:val="16"/>
          <w:szCs w:val="16"/>
        </w:rPr>
        <w:t xml:space="preserve">as Reglas de las Naciones Unidas para la Protección de los Menores Privados de Libertad, por su parte, señalan, en su Regla 12, que “[l]a privación de </w:t>
      </w:r>
      <w:r w:rsidRPr="003C748A">
        <w:rPr>
          <w:sz w:val="16"/>
          <w:szCs w:val="16"/>
        </w:rPr>
        <w:t xml:space="preserve">la libertad deberá efectuarse en condiciones y circunstancias que garanticen el respeto de los derechos humanos de los menores”. Al respecto, sin perjuicio de otros aspectos, </w:t>
      </w:r>
      <w:r w:rsidRPr="003C748A">
        <w:rPr>
          <w:sz w:val="16"/>
          <w:szCs w:val="16"/>
          <w:lang w:val="es-CR"/>
        </w:rPr>
        <w:t>“</w:t>
      </w:r>
      <w:r w:rsidRPr="003C748A">
        <w:rPr>
          <w:sz w:val="16"/>
          <w:szCs w:val="16"/>
        </w:rPr>
        <w:t>el Estado debe erradicar concretamente los riesgos de atentados contra la vida e integridad personal de los internos, tanto en sus relaciones entre sí como por parte de los agentes estatales y garantizar que el régimen disciplinario respete sus derechos humanos” (</w:t>
      </w:r>
      <w:r w:rsidRPr="003C748A">
        <w:rPr>
          <w:i/>
          <w:sz w:val="16"/>
          <w:szCs w:val="16"/>
          <w:lang w:val="es-CR"/>
        </w:rPr>
        <w:t>Asunto de la Unidad de Internación Socioeducativa respecto de Brasil. Medidas Provisionales</w:t>
      </w:r>
      <w:r w:rsidRPr="003C748A">
        <w:rPr>
          <w:sz w:val="16"/>
          <w:szCs w:val="16"/>
          <w:lang w:val="es-CR"/>
        </w:rPr>
        <w:t xml:space="preserve">. Resolución de la Corte Interamericana de Derechos Humanos de 26 de abril de 2012, Considerando 21. En igual sentido, </w:t>
      </w:r>
      <w:r w:rsidRPr="003C748A">
        <w:rPr>
          <w:i/>
          <w:sz w:val="16"/>
          <w:szCs w:val="16"/>
          <w:lang w:val="es-CR"/>
        </w:rPr>
        <w:t>Asuntos de determinados centros penitenciarios de Venezuela. Medidas Provisionales</w:t>
      </w:r>
      <w:r>
        <w:rPr>
          <w:i/>
          <w:sz w:val="16"/>
          <w:szCs w:val="16"/>
          <w:lang w:val="es-CR"/>
        </w:rPr>
        <w:t xml:space="preserve"> </w:t>
      </w:r>
      <w:r w:rsidRPr="003C748A">
        <w:rPr>
          <w:i/>
          <w:sz w:val="16"/>
          <w:szCs w:val="16"/>
          <w:lang w:val="es-CR"/>
        </w:rPr>
        <w:t>respecto de Venezuela.</w:t>
      </w:r>
      <w:r w:rsidRPr="003C748A">
        <w:rPr>
          <w:sz w:val="16"/>
          <w:szCs w:val="16"/>
          <w:lang w:val="es-CR"/>
        </w:rPr>
        <w:t xml:space="preserve"> Resolución de la Corte Interamericana de Derechos Humanos de 6 de julio de 2011, Considerando 14).</w:t>
      </w:r>
    </w:p>
    <w:p w14:paraId="248DA79C" w14:textId="77777777" w:rsidR="004224C0" w:rsidRPr="00AF2262" w:rsidRDefault="004224C0" w:rsidP="00B476ED">
      <w:pPr>
        <w:pStyle w:val="Textonotapie"/>
        <w:ind w:right="-943"/>
        <w:rPr>
          <w:sz w:val="16"/>
          <w:szCs w:val="16"/>
          <w:lang w:val="es-CR"/>
        </w:rPr>
      </w:pPr>
    </w:p>
  </w:footnote>
  <w:footnote w:id="117">
    <w:p w14:paraId="6963DACB" w14:textId="77777777" w:rsidR="004224C0" w:rsidRDefault="004224C0" w:rsidP="00B476ED">
      <w:pPr>
        <w:pStyle w:val="Textonotapie"/>
        <w:ind w:right="-943"/>
        <w:rPr>
          <w:lang w:val="es-MX"/>
        </w:rPr>
      </w:pPr>
      <w:r>
        <w:rPr>
          <w:rStyle w:val="Refdenotaalpie"/>
        </w:rPr>
        <w:footnoteRef/>
      </w:r>
      <w:r>
        <w:t xml:space="preserve"> </w:t>
      </w:r>
      <w:r>
        <w:tab/>
      </w:r>
      <w:r>
        <w:rPr>
          <w:color w:val="000000"/>
          <w:sz w:val="16"/>
          <w:szCs w:val="16"/>
        </w:rPr>
        <w:t xml:space="preserve">Comité de los Derechos del Niño, </w:t>
      </w:r>
      <w:r w:rsidRPr="00054C2D">
        <w:rPr>
          <w:color w:val="000000"/>
          <w:sz w:val="16"/>
          <w:szCs w:val="16"/>
        </w:rPr>
        <w:t>Observación general 24</w:t>
      </w:r>
      <w:r>
        <w:rPr>
          <w:color w:val="000000"/>
          <w:sz w:val="16"/>
          <w:szCs w:val="16"/>
        </w:rPr>
        <w:t>, párr. 73. También señaló el Comité, en el párrafo 19 de la misma Observación General, que “[e]</w:t>
      </w:r>
      <w:r w:rsidRPr="006C088B">
        <w:rPr>
          <w:color w:val="000000"/>
          <w:sz w:val="16"/>
          <w:szCs w:val="16"/>
        </w:rPr>
        <w:t>l sistema de justicia juvenil debe ofrecer amplias oportunidades para aplicar medidas sociales y educativas y limitar estrictamente el uso de la privación de libertad, desde el momento de la detención, a lo largo de todo el procedimiento y en la sentencia</w:t>
      </w:r>
      <w:r>
        <w:rPr>
          <w:color w:val="000000"/>
          <w:sz w:val="16"/>
          <w:szCs w:val="16"/>
        </w:rPr>
        <w:t>”</w:t>
      </w:r>
      <w:r w:rsidRPr="006C088B">
        <w:rPr>
          <w:color w:val="000000"/>
          <w:sz w:val="16"/>
          <w:szCs w:val="16"/>
        </w:rPr>
        <w:t>.</w:t>
      </w:r>
    </w:p>
    <w:p w14:paraId="36CD96C2" w14:textId="77777777" w:rsidR="004224C0" w:rsidRPr="00655FF1" w:rsidRDefault="004224C0" w:rsidP="00B476ED">
      <w:pPr>
        <w:pStyle w:val="Textonotapie"/>
        <w:ind w:right="-943"/>
      </w:pPr>
    </w:p>
  </w:footnote>
  <w:footnote w:id="118">
    <w:p w14:paraId="081D515E" w14:textId="77777777" w:rsidR="004224C0" w:rsidRPr="00655FF1" w:rsidRDefault="004224C0" w:rsidP="00B476ED">
      <w:pPr>
        <w:pStyle w:val="Textonotapie"/>
        <w:ind w:right="-943"/>
        <w:rPr>
          <w:lang w:val="es-MX"/>
        </w:rPr>
      </w:pPr>
      <w:r>
        <w:rPr>
          <w:rStyle w:val="Refdenotaalpie"/>
        </w:rPr>
        <w:footnoteRef/>
      </w:r>
      <w:r>
        <w:t xml:space="preserve"> </w:t>
      </w:r>
      <w:r>
        <w:tab/>
      </w:r>
      <w:r w:rsidRPr="003A5C19">
        <w:rPr>
          <w:i/>
          <w:color w:val="000000"/>
          <w:sz w:val="16"/>
          <w:szCs w:val="16"/>
        </w:rPr>
        <w:t>Cfr.</w:t>
      </w:r>
      <w:r>
        <w:rPr>
          <w:color w:val="000000"/>
          <w:sz w:val="16"/>
          <w:szCs w:val="16"/>
        </w:rPr>
        <w:t xml:space="preserve">, en el mismo sentido, Comité de los Derechos del Niño, </w:t>
      </w:r>
      <w:r w:rsidRPr="00054C2D">
        <w:rPr>
          <w:color w:val="000000"/>
          <w:sz w:val="16"/>
          <w:szCs w:val="16"/>
        </w:rPr>
        <w:t>Observación general 24</w:t>
      </w:r>
      <w:r>
        <w:rPr>
          <w:color w:val="000000"/>
          <w:sz w:val="16"/>
          <w:szCs w:val="16"/>
        </w:rPr>
        <w:t>, párr. 81</w:t>
      </w:r>
      <w:r>
        <w:rPr>
          <w:lang w:val="es-MX"/>
        </w:rPr>
        <w:t>.</w:t>
      </w:r>
    </w:p>
  </w:footnote>
  <w:footnote w:id="119">
    <w:p w14:paraId="67C74229" w14:textId="77777777" w:rsidR="004224C0" w:rsidRDefault="004224C0" w:rsidP="00B476ED">
      <w:pPr>
        <w:pStyle w:val="Textonotapie"/>
        <w:ind w:right="-943"/>
        <w:rPr>
          <w:sz w:val="16"/>
          <w:szCs w:val="16"/>
        </w:rPr>
      </w:pPr>
      <w:r w:rsidRPr="00AF2262">
        <w:rPr>
          <w:rStyle w:val="Refdenotaalpie"/>
          <w:rFonts w:eastAsia="MS Mincho"/>
          <w:sz w:val="16"/>
          <w:szCs w:val="16"/>
        </w:rPr>
        <w:footnoteRef/>
      </w:r>
      <w:r w:rsidRPr="00AF2262">
        <w:rPr>
          <w:sz w:val="16"/>
          <w:szCs w:val="16"/>
        </w:rPr>
        <w:t xml:space="preserve">  </w:t>
      </w:r>
      <w:r w:rsidRPr="00AF2262">
        <w:rPr>
          <w:sz w:val="16"/>
          <w:szCs w:val="16"/>
        </w:rPr>
        <w:tab/>
      </w:r>
      <w:r w:rsidRPr="00435EFD">
        <w:rPr>
          <w:i/>
          <w:sz w:val="16"/>
          <w:szCs w:val="16"/>
        </w:rPr>
        <w:t xml:space="preserve">Cfr. Caso Suárez Rosero Vs. Ecuador. Fondo. </w:t>
      </w:r>
      <w:r w:rsidRPr="00435EFD">
        <w:rPr>
          <w:sz w:val="16"/>
          <w:szCs w:val="16"/>
        </w:rPr>
        <w:t xml:space="preserve">Sentencia de 12 de noviembre de 1997. Serie C No. 35, párr. 37, y </w:t>
      </w:r>
      <w:r w:rsidRPr="00435EFD">
        <w:rPr>
          <w:i/>
          <w:sz w:val="16"/>
          <w:szCs w:val="16"/>
        </w:rPr>
        <w:t>Caso Díaz Loreto y otros Vs. Venezuela. Excepciones Preliminares, Fondo, Reparaciones y Costas</w:t>
      </w:r>
      <w:r w:rsidRPr="00435EFD">
        <w:rPr>
          <w:sz w:val="16"/>
          <w:szCs w:val="16"/>
        </w:rPr>
        <w:t>. Sentencia de 19 de nov</w:t>
      </w:r>
      <w:r>
        <w:rPr>
          <w:sz w:val="16"/>
          <w:szCs w:val="16"/>
        </w:rPr>
        <w:t>iembre de 2019. Serie C No. 392, párr. 69.</w:t>
      </w:r>
    </w:p>
    <w:p w14:paraId="624215E1" w14:textId="77777777" w:rsidR="004224C0" w:rsidRPr="00AF2262" w:rsidRDefault="004224C0" w:rsidP="00B476ED">
      <w:pPr>
        <w:pStyle w:val="Textonotapie"/>
        <w:ind w:right="-943"/>
        <w:rPr>
          <w:sz w:val="16"/>
          <w:szCs w:val="16"/>
          <w:lang w:val="es-CR"/>
        </w:rPr>
      </w:pPr>
    </w:p>
  </w:footnote>
  <w:footnote w:id="120">
    <w:p w14:paraId="1C4E43AA" w14:textId="77777777" w:rsidR="004224C0" w:rsidRPr="00435EFD" w:rsidRDefault="004224C0" w:rsidP="00B476ED">
      <w:pPr>
        <w:pStyle w:val="Textonotapie"/>
        <w:ind w:right="-943"/>
        <w:rPr>
          <w:sz w:val="16"/>
          <w:szCs w:val="16"/>
          <w:lang w:val="es-CR"/>
        </w:rPr>
      </w:pPr>
      <w:r w:rsidRPr="00435EFD">
        <w:rPr>
          <w:rStyle w:val="Refdenotaalpie"/>
          <w:sz w:val="16"/>
          <w:szCs w:val="16"/>
        </w:rPr>
        <w:footnoteRef/>
      </w:r>
      <w:r w:rsidRPr="00435EFD">
        <w:rPr>
          <w:sz w:val="16"/>
          <w:szCs w:val="16"/>
        </w:rPr>
        <w:t xml:space="preserve"> </w:t>
      </w:r>
      <w:r w:rsidRPr="00435EFD">
        <w:rPr>
          <w:sz w:val="16"/>
          <w:szCs w:val="16"/>
          <w:lang w:val="es-CR"/>
        </w:rPr>
        <w:t xml:space="preserve"> </w:t>
      </w:r>
      <w:r w:rsidRPr="00435EFD">
        <w:rPr>
          <w:sz w:val="16"/>
          <w:szCs w:val="16"/>
          <w:lang w:val="es-CR"/>
        </w:rPr>
        <w:tab/>
        <w:t>Artículo 8 de la Convención Americana sobre Derechos Humanos</w:t>
      </w:r>
    </w:p>
  </w:footnote>
  <w:footnote w:id="121">
    <w:p w14:paraId="01868BF5" w14:textId="77777777" w:rsidR="004224C0" w:rsidRPr="00435EFD" w:rsidRDefault="004224C0" w:rsidP="00B476ED">
      <w:pPr>
        <w:pStyle w:val="Textonotapie"/>
        <w:ind w:right="-943"/>
        <w:rPr>
          <w:sz w:val="16"/>
          <w:szCs w:val="16"/>
        </w:rPr>
      </w:pPr>
    </w:p>
    <w:p w14:paraId="21B3D626" w14:textId="77777777" w:rsidR="004224C0" w:rsidRPr="00435EFD" w:rsidRDefault="004224C0" w:rsidP="00B476ED">
      <w:pPr>
        <w:pStyle w:val="Textonotapie"/>
        <w:ind w:right="-943"/>
        <w:rPr>
          <w:sz w:val="16"/>
          <w:szCs w:val="16"/>
          <w:lang w:val="es-CR"/>
        </w:rPr>
      </w:pPr>
      <w:r w:rsidRPr="00435EFD">
        <w:rPr>
          <w:rStyle w:val="Refdenotaalpie"/>
          <w:sz w:val="16"/>
          <w:szCs w:val="16"/>
        </w:rPr>
        <w:footnoteRef/>
      </w:r>
      <w:r w:rsidRPr="00435EFD">
        <w:rPr>
          <w:sz w:val="16"/>
          <w:szCs w:val="16"/>
        </w:rPr>
        <w:t xml:space="preserve"> </w:t>
      </w:r>
      <w:r w:rsidRPr="00435EFD">
        <w:rPr>
          <w:sz w:val="16"/>
          <w:szCs w:val="16"/>
          <w:lang w:val="es-CR"/>
        </w:rPr>
        <w:t xml:space="preserve"> </w:t>
      </w:r>
      <w:r w:rsidRPr="00435EFD">
        <w:rPr>
          <w:sz w:val="16"/>
          <w:szCs w:val="16"/>
          <w:lang w:val="es-CR"/>
        </w:rPr>
        <w:tab/>
        <w:t>Artículo 25 de la Convención Americana sobre Derechos Humanos.</w:t>
      </w:r>
    </w:p>
    <w:p w14:paraId="0B2B46BA" w14:textId="77777777" w:rsidR="004224C0" w:rsidRPr="00AF2262" w:rsidRDefault="004224C0" w:rsidP="00B476ED">
      <w:pPr>
        <w:pStyle w:val="Textonotapie"/>
        <w:ind w:right="-943"/>
        <w:rPr>
          <w:sz w:val="16"/>
          <w:szCs w:val="16"/>
          <w:lang w:val="es-CR"/>
        </w:rPr>
      </w:pPr>
    </w:p>
  </w:footnote>
  <w:footnote w:id="122">
    <w:p w14:paraId="16450129" w14:textId="77777777"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lang w:val="es-CR"/>
        </w:rPr>
        <w:t xml:space="preserve">  </w:t>
      </w:r>
      <w:r w:rsidRPr="00AF2262">
        <w:rPr>
          <w:sz w:val="16"/>
          <w:szCs w:val="16"/>
          <w:lang w:val="es-CR"/>
        </w:rPr>
        <w:tab/>
        <w:t xml:space="preserve">Los representantes </w:t>
      </w:r>
      <w:r>
        <w:rPr>
          <w:sz w:val="16"/>
          <w:szCs w:val="16"/>
          <w:lang w:val="es-CR"/>
        </w:rPr>
        <w:t>entendieron que, respecto a la evaluación de la razonabilidad del tiempo insumido, resultaba</w:t>
      </w:r>
      <w:r w:rsidRPr="00C62E74">
        <w:rPr>
          <w:sz w:val="16"/>
          <w:szCs w:val="16"/>
          <w:lang w:val="es-CR"/>
        </w:rPr>
        <w:t xml:space="preserve"> innecesaria la determinación de complejidad del </w:t>
      </w:r>
      <w:r>
        <w:rPr>
          <w:sz w:val="16"/>
          <w:szCs w:val="16"/>
          <w:lang w:val="es-CR"/>
        </w:rPr>
        <w:t>caso.</w:t>
      </w:r>
      <w:r w:rsidRPr="00C62E74">
        <w:rPr>
          <w:sz w:val="16"/>
          <w:szCs w:val="16"/>
          <w:lang w:val="es-CR"/>
        </w:rPr>
        <w:t xml:space="preserve"> </w:t>
      </w:r>
      <w:r>
        <w:rPr>
          <w:sz w:val="16"/>
          <w:szCs w:val="16"/>
          <w:lang w:val="es-CR"/>
        </w:rPr>
        <w:t>Sostuvieron, igualmente,</w:t>
      </w:r>
      <w:r w:rsidRPr="00AF2262">
        <w:rPr>
          <w:sz w:val="16"/>
          <w:szCs w:val="16"/>
          <w:lang w:val="es-CR"/>
        </w:rPr>
        <w:t xml:space="preserve"> que</w:t>
      </w:r>
      <w:r>
        <w:rPr>
          <w:sz w:val="16"/>
          <w:szCs w:val="16"/>
          <w:lang w:val="es-CR"/>
        </w:rPr>
        <w:t xml:space="preserve"> la “complejidad de las investigaciones” se ve “aligera[da]”, pues el caso </w:t>
      </w:r>
      <w:r w:rsidRPr="00AF2262">
        <w:rPr>
          <w:sz w:val="16"/>
          <w:szCs w:val="16"/>
          <w:lang w:val="es-CR"/>
        </w:rPr>
        <w:t>se relaciona con hechos muy concretos</w:t>
      </w:r>
      <w:r>
        <w:rPr>
          <w:sz w:val="16"/>
          <w:szCs w:val="16"/>
          <w:lang w:val="es-CR"/>
        </w:rPr>
        <w:t>,</w:t>
      </w:r>
      <w:r w:rsidRPr="00AF2262">
        <w:rPr>
          <w:sz w:val="16"/>
          <w:szCs w:val="16"/>
          <w:lang w:val="es-CR"/>
        </w:rPr>
        <w:t xml:space="preserve"> ocurridos en un mismo día, en relación con un número limitado de víctimas y en un lugar que estaba bajo tutela directa del Estado venezolano. </w:t>
      </w:r>
    </w:p>
  </w:footnote>
  <w:footnote w:id="123">
    <w:p w14:paraId="704A4AD6" w14:textId="77777777" w:rsidR="004224C0" w:rsidRDefault="004224C0" w:rsidP="00B476ED">
      <w:pPr>
        <w:pStyle w:val="Textonotapie"/>
        <w:ind w:right="-943"/>
        <w:rPr>
          <w:sz w:val="16"/>
          <w:szCs w:val="16"/>
        </w:rPr>
      </w:pPr>
    </w:p>
    <w:p w14:paraId="6D25DA21" w14:textId="232C6B77" w:rsidR="004224C0" w:rsidRPr="00AF2262" w:rsidRDefault="004224C0" w:rsidP="00B476ED">
      <w:pPr>
        <w:pStyle w:val="Textonotapie"/>
        <w:ind w:right="-943"/>
        <w:rPr>
          <w:sz w:val="16"/>
          <w:szCs w:val="16"/>
        </w:rPr>
      </w:pPr>
      <w:r w:rsidRPr="00AF2262">
        <w:rPr>
          <w:rStyle w:val="Refdenotaalpie"/>
          <w:sz w:val="16"/>
          <w:szCs w:val="16"/>
        </w:rPr>
        <w:footnoteRef/>
      </w:r>
      <w:r w:rsidRPr="00AF2262">
        <w:rPr>
          <w:sz w:val="16"/>
          <w:szCs w:val="16"/>
        </w:rPr>
        <w:t xml:space="preserve"> </w:t>
      </w:r>
      <w:r w:rsidRPr="00AF2262">
        <w:rPr>
          <w:sz w:val="16"/>
          <w:szCs w:val="16"/>
        </w:rPr>
        <w:tab/>
      </w:r>
      <w:r w:rsidRPr="00AF2262">
        <w:rPr>
          <w:i/>
          <w:iCs/>
          <w:sz w:val="16"/>
          <w:szCs w:val="16"/>
        </w:rPr>
        <w:t xml:space="preserve">Cfr. </w:t>
      </w:r>
      <w:r w:rsidRPr="00F536A2">
        <w:rPr>
          <w:i/>
          <w:iCs/>
          <w:sz w:val="16"/>
          <w:szCs w:val="16"/>
        </w:rPr>
        <w:t xml:space="preserve">Caso Velásquez Rodríguez Vs. Honduras. Excepciones Preliminares. </w:t>
      </w:r>
      <w:r w:rsidRPr="003C748A">
        <w:rPr>
          <w:iCs/>
          <w:sz w:val="16"/>
          <w:szCs w:val="16"/>
        </w:rPr>
        <w:t xml:space="preserve">Sentencia de 26 de junio de 1987. Serie C No. 1, párr. 91; </w:t>
      </w:r>
      <w:r w:rsidRPr="00AF2262">
        <w:rPr>
          <w:i/>
          <w:iCs/>
          <w:sz w:val="16"/>
          <w:szCs w:val="16"/>
        </w:rPr>
        <w:t>Caso Bulacio Vs. Argentina</w:t>
      </w:r>
      <w:r w:rsidRPr="00AF2262">
        <w:rPr>
          <w:sz w:val="16"/>
          <w:szCs w:val="16"/>
        </w:rPr>
        <w:t xml:space="preserve">, párr. 114, y </w:t>
      </w:r>
      <w:r w:rsidRPr="003C748A">
        <w:rPr>
          <w:i/>
          <w:sz w:val="16"/>
          <w:szCs w:val="16"/>
        </w:rPr>
        <w:t xml:space="preserve">Caso de los Empleados de la Fábrica de Fuegos de Santo </w:t>
      </w:r>
      <w:proofErr w:type="spellStart"/>
      <w:r w:rsidRPr="003C748A">
        <w:rPr>
          <w:i/>
          <w:sz w:val="16"/>
          <w:szCs w:val="16"/>
        </w:rPr>
        <w:t>Antônio</w:t>
      </w:r>
      <w:proofErr w:type="spellEnd"/>
      <w:r w:rsidRPr="003C748A">
        <w:rPr>
          <w:i/>
          <w:sz w:val="16"/>
          <w:szCs w:val="16"/>
        </w:rPr>
        <w:t xml:space="preserve"> de </w:t>
      </w:r>
      <w:proofErr w:type="spellStart"/>
      <w:r w:rsidRPr="003C748A">
        <w:rPr>
          <w:i/>
          <w:sz w:val="16"/>
          <w:szCs w:val="16"/>
        </w:rPr>
        <w:t>Jesus</w:t>
      </w:r>
      <w:proofErr w:type="spellEnd"/>
      <w:r w:rsidRPr="003C748A">
        <w:rPr>
          <w:i/>
          <w:sz w:val="16"/>
          <w:szCs w:val="16"/>
        </w:rPr>
        <w:t xml:space="preserve"> Vs. Brasil</w:t>
      </w:r>
      <w:r>
        <w:rPr>
          <w:sz w:val="16"/>
          <w:szCs w:val="16"/>
        </w:rPr>
        <w:t>, párr. 217</w:t>
      </w:r>
      <w:r w:rsidRPr="00AF2262">
        <w:rPr>
          <w:sz w:val="16"/>
          <w:szCs w:val="16"/>
        </w:rPr>
        <w:t>.</w:t>
      </w:r>
    </w:p>
  </w:footnote>
  <w:footnote w:id="124">
    <w:p w14:paraId="602E1940" w14:textId="77777777" w:rsidR="004224C0" w:rsidRDefault="004224C0" w:rsidP="00B476ED">
      <w:pPr>
        <w:pStyle w:val="Textonotapie"/>
        <w:ind w:right="-943"/>
        <w:rPr>
          <w:sz w:val="16"/>
          <w:szCs w:val="16"/>
        </w:rPr>
      </w:pPr>
    </w:p>
    <w:p w14:paraId="638B906D" w14:textId="77C74426" w:rsidR="004224C0" w:rsidRPr="00AF2262" w:rsidRDefault="004224C0" w:rsidP="00B476ED">
      <w:pPr>
        <w:pStyle w:val="Textonotapie"/>
        <w:ind w:right="-943"/>
        <w:rPr>
          <w:spacing w:val="-2"/>
          <w:sz w:val="16"/>
          <w:szCs w:val="16"/>
          <w:lang w:val="es-VE"/>
        </w:rPr>
      </w:pPr>
      <w:r w:rsidRPr="00AF2262">
        <w:rPr>
          <w:rStyle w:val="Refdenotaalpie"/>
          <w:sz w:val="16"/>
          <w:szCs w:val="16"/>
        </w:rPr>
        <w:footnoteRef/>
      </w:r>
      <w:r w:rsidRPr="00AF2262">
        <w:rPr>
          <w:sz w:val="16"/>
          <w:szCs w:val="16"/>
        </w:rPr>
        <w:t xml:space="preserve"> </w:t>
      </w:r>
      <w:r w:rsidRPr="00AF2262">
        <w:rPr>
          <w:sz w:val="16"/>
          <w:szCs w:val="16"/>
          <w:lang w:val="es-GT"/>
        </w:rPr>
        <w:tab/>
      </w:r>
      <w:r w:rsidRPr="00AF2262">
        <w:rPr>
          <w:i/>
          <w:spacing w:val="-4"/>
          <w:sz w:val="16"/>
          <w:szCs w:val="16"/>
          <w:lang w:val="es-VE"/>
        </w:rPr>
        <w:t xml:space="preserve">Cfr. </w:t>
      </w:r>
      <w:r w:rsidRPr="00AF2262">
        <w:rPr>
          <w:rFonts w:cstheme="minorBidi"/>
          <w:i/>
          <w:sz w:val="16"/>
          <w:szCs w:val="16"/>
        </w:rPr>
        <w:t>Caso</w:t>
      </w:r>
      <w:r w:rsidRPr="00AF2262">
        <w:rPr>
          <w:rFonts w:cs="Arial"/>
          <w:spacing w:val="-4"/>
          <w:sz w:val="16"/>
          <w:szCs w:val="16"/>
        </w:rPr>
        <w:t xml:space="preserve"> </w:t>
      </w:r>
      <w:r w:rsidRPr="00AF2262">
        <w:rPr>
          <w:rFonts w:cs="Arial"/>
          <w:i/>
          <w:spacing w:val="-4"/>
          <w:sz w:val="16"/>
          <w:szCs w:val="16"/>
        </w:rPr>
        <w:t>Velásquez Rodríguez Vs. Honduras. Fondo</w:t>
      </w:r>
      <w:r w:rsidR="0066713F">
        <w:rPr>
          <w:rFonts w:cs="Arial"/>
          <w:i/>
          <w:spacing w:val="-4"/>
          <w:sz w:val="16"/>
          <w:szCs w:val="16"/>
        </w:rPr>
        <w:t>,</w:t>
      </w:r>
      <w:r w:rsidRPr="00AF2262">
        <w:rPr>
          <w:rFonts w:cs="Arial"/>
          <w:i/>
          <w:spacing w:val="-4"/>
          <w:sz w:val="16"/>
          <w:szCs w:val="16"/>
        </w:rPr>
        <w:t xml:space="preserve"> </w:t>
      </w:r>
      <w:r w:rsidRPr="00AF2262">
        <w:rPr>
          <w:rFonts w:cs="Verdana"/>
          <w:spacing w:val="-4"/>
          <w:sz w:val="16"/>
          <w:szCs w:val="16"/>
          <w:lang w:val="es-VE"/>
        </w:rPr>
        <w:t>párr. 177</w:t>
      </w:r>
      <w:r w:rsidRPr="00AF2262">
        <w:rPr>
          <w:spacing w:val="-2"/>
          <w:sz w:val="16"/>
          <w:szCs w:val="16"/>
          <w:lang w:val="es-VE"/>
        </w:rPr>
        <w:t xml:space="preserve">, </w:t>
      </w:r>
      <w:r w:rsidRPr="003C748A">
        <w:rPr>
          <w:i/>
          <w:spacing w:val="-2"/>
          <w:sz w:val="16"/>
          <w:szCs w:val="16"/>
          <w:lang w:val="es-VE"/>
        </w:rPr>
        <w:t>Caso de las Hermanas Serrano Cruz Vs. El Salvador. Fondo, Reparaciones y Costas.</w:t>
      </w:r>
      <w:r w:rsidRPr="0051141D">
        <w:rPr>
          <w:spacing w:val="-2"/>
          <w:sz w:val="16"/>
          <w:szCs w:val="16"/>
          <w:lang w:val="es-VE"/>
        </w:rPr>
        <w:t xml:space="preserve"> Sentencia de 1 de marzo de 2005. Serie C No. 120, párr. 83</w:t>
      </w:r>
      <w:r>
        <w:rPr>
          <w:spacing w:val="-2"/>
          <w:sz w:val="16"/>
          <w:szCs w:val="16"/>
          <w:lang w:val="es-VE"/>
        </w:rPr>
        <w:t xml:space="preserve">, </w:t>
      </w:r>
      <w:r w:rsidRPr="00AF2262">
        <w:rPr>
          <w:spacing w:val="-2"/>
          <w:sz w:val="16"/>
          <w:szCs w:val="16"/>
          <w:lang w:val="es-VE"/>
        </w:rPr>
        <w:t>y</w:t>
      </w:r>
      <w:r>
        <w:rPr>
          <w:spacing w:val="-2"/>
          <w:sz w:val="16"/>
          <w:szCs w:val="16"/>
          <w:lang w:val="es-VE"/>
        </w:rPr>
        <w:t xml:space="preserve"> </w:t>
      </w:r>
      <w:r w:rsidRPr="003C748A">
        <w:rPr>
          <w:i/>
          <w:sz w:val="16"/>
          <w:szCs w:val="16"/>
        </w:rPr>
        <w:t>Caso Noguera y otra Vs. Paraguay</w:t>
      </w:r>
      <w:r>
        <w:rPr>
          <w:sz w:val="16"/>
          <w:szCs w:val="16"/>
        </w:rPr>
        <w:t>, párr. 81.</w:t>
      </w:r>
    </w:p>
  </w:footnote>
  <w:footnote w:id="125">
    <w:p w14:paraId="7C30A02D" w14:textId="77777777" w:rsidR="004224C0" w:rsidRDefault="004224C0" w:rsidP="00B476ED">
      <w:pPr>
        <w:pStyle w:val="Textonotapie"/>
        <w:ind w:right="-943"/>
        <w:rPr>
          <w:sz w:val="16"/>
          <w:szCs w:val="16"/>
        </w:rPr>
      </w:pPr>
    </w:p>
    <w:p w14:paraId="707DE4D7" w14:textId="34BD413E" w:rsidR="004224C0" w:rsidRPr="00AF2262" w:rsidRDefault="004224C0" w:rsidP="00B476ED">
      <w:pPr>
        <w:pStyle w:val="Textonotapie"/>
        <w:ind w:right="-943"/>
        <w:rPr>
          <w:sz w:val="16"/>
          <w:szCs w:val="16"/>
          <w:lang w:val="es-MX"/>
        </w:rPr>
      </w:pPr>
      <w:r w:rsidRPr="00AF2262">
        <w:rPr>
          <w:rStyle w:val="Refdenotaalpie"/>
          <w:sz w:val="16"/>
          <w:szCs w:val="16"/>
        </w:rPr>
        <w:footnoteRef/>
      </w:r>
      <w:r w:rsidRPr="00AF2262">
        <w:rPr>
          <w:sz w:val="16"/>
          <w:szCs w:val="16"/>
        </w:rPr>
        <w:t xml:space="preserve"> </w:t>
      </w:r>
      <w:r w:rsidRPr="00AF2262">
        <w:rPr>
          <w:sz w:val="16"/>
          <w:szCs w:val="16"/>
          <w:lang w:val="es-MX"/>
        </w:rPr>
        <w:t xml:space="preserve">  </w:t>
      </w:r>
      <w:r w:rsidRPr="00AF2262">
        <w:rPr>
          <w:sz w:val="16"/>
          <w:szCs w:val="16"/>
          <w:lang w:val="es-MX"/>
        </w:rPr>
        <w:tab/>
      </w:r>
      <w:r w:rsidRPr="00AF2262">
        <w:rPr>
          <w:i/>
          <w:sz w:val="16"/>
          <w:szCs w:val="16"/>
        </w:rPr>
        <w:t>Cfr.</w:t>
      </w:r>
      <w:r w:rsidRPr="00AF2262">
        <w:rPr>
          <w:sz w:val="16"/>
          <w:szCs w:val="16"/>
        </w:rPr>
        <w:t xml:space="preserve"> </w:t>
      </w:r>
      <w:r w:rsidRPr="00AF2262">
        <w:rPr>
          <w:i/>
          <w:sz w:val="16"/>
          <w:szCs w:val="16"/>
        </w:rPr>
        <w:t>Caso de las Hermanas Serrano Cruz Vs. El Salvador</w:t>
      </w:r>
      <w:r w:rsidRPr="00AF2262">
        <w:rPr>
          <w:sz w:val="16"/>
          <w:szCs w:val="16"/>
        </w:rPr>
        <w:t xml:space="preserve">, </w:t>
      </w:r>
      <w:proofErr w:type="spellStart"/>
      <w:r w:rsidRPr="00AF2262">
        <w:rPr>
          <w:sz w:val="16"/>
          <w:szCs w:val="16"/>
        </w:rPr>
        <w:t>párrs</w:t>
      </w:r>
      <w:proofErr w:type="spellEnd"/>
      <w:r w:rsidRPr="00AF2262">
        <w:rPr>
          <w:sz w:val="16"/>
          <w:szCs w:val="16"/>
        </w:rPr>
        <w:t>. 88 y 105, y</w:t>
      </w:r>
      <w:r w:rsidRPr="00AF2262">
        <w:rPr>
          <w:spacing w:val="-2"/>
          <w:sz w:val="16"/>
          <w:szCs w:val="16"/>
        </w:rPr>
        <w:t xml:space="preserve"> </w:t>
      </w:r>
      <w:r w:rsidRPr="00AF2262">
        <w:rPr>
          <w:i/>
          <w:sz w:val="16"/>
          <w:szCs w:val="16"/>
        </w:rPr>
        <w:t>Caso Noguera y otra Vs. Paraguay</w:t>
      </w:r>
      <w:r w:rsidRPr="00AF2262">
        <w:rPr>
          <w:sz w:val="16"/>
          <w:szCs w:val="16"/>
        </w:rPr>
        <w:t>,</w:t>
      </w:r>
      <w:r w:rsidRPr="00AF2262">
        <w:rPr>
          <w:i/>
          <w:sz w:val="16"/>
          <w:szCs w:val="16"/>
        </w:rPr>
        <w:t xml:space="preserve"> </w:t>
      </w:r>
      <w:r w:rsidRPr="00AF2262">
        <w:rPr>
          <w:sz w:val="16"/>
          <w:szCs w:val="16"/>
        </w:rPr>
        <w:t>párr. 82</w:t>
      </w:r>
      <w:r w:rsidRPr="00AF2262">
        <w:rPr>
          <w:spacing w:val="-2"/>
          <w:sz w:val="16"/>
          <w:szCs w:val="16"/>
        </w:rPr>
        <w:t>.</w:t>
      </w:r>
    </w:p>
  </w:footnote>
  <w:footnote w:id="126">
    <w:p w14:paraId="28C10E1C" w14:textId="77777777" w:rsidR="004224C0" w:rsidRDefault="004224C0" w:rsidP="00B476ED">
      <w:pPr>
        <w:pStyle w:val="Textonotapie"/>
        <w:ind w:right="-943"/>
        <w:rPr>
          <w:sz w:val="16"/>
          <w:szCs w:val="16"/>
        </w:rPr>
      </w:pPr>
    </w:p>
    <w:p w14:paraId="11470158" w14:textId="3234733A" w:rsidR="004224C0" w:rsidRPr="00AF2262" w:rsidRDefault="004224C0" w:rsidP="00B476ED">
      <w:pPr>
        <w:pStyle w:val="Textonotapie"/>
        <w:ind w:right="-943"/>
        <w:rPr>
          <w:sz w:val="16"/>
          <w:szCs w:val="16"/>
          <w:lang w:val="es-MX"/>
        </w:rPr>
      </w:pPr>
      <w:r w:rsidRPr="00AF2262">
        <w:rPr>
          <w:rStyle w:val="Refdenotaalpie"/>
          <w:sz w:val="16"/>
          <w:szCs w:val="16"/>
        </w:rPr>
        <w:footnoteRef/>
      </w:r>
      <w:r w:rsidRPr="00AF2262">
        <w:rPr>
          <w:sz w:val="16"/>
          <w:szCs w:val="16"/>
        </w:rPr>
        <w:t xml:space="preserve">  </w:t>
      </w:r>
      <w:r w:rsidRPr="00AF2262">
        <w:rPr>
          <w:sz w:val="16"/>
          <w:szCs w:val="16"/>
        </w:rPr>
        <w:tab/>
      </w:r>
      <w:r w:rsidRPr="00AF2262">
        <w:rPr>
          <w:i/>
          <w:sz w:val="16"/>
          <w:szCs w:val="16"/>
        </w:rPr>
        <w:t>Cfr.</w:t>
      </w:r>
      <w:r w:rsidRPr="00AF2262">
        <w:rPr>
          <w:sz w:val="16"/>
          <w:szCs w:val="16"/>
        </w:rPr>
        <w:t xml:space="preserve"> </w:t>
      </w:r>
      <w:r w:rsidRPr="00AF2262">
        <w:rPr>
          <w:i/>
          <w:sz w:val="16"/>
          <w:szCs w:val="16"/>
        </w:rPr>
        <w:t xml:space="preserve">Caso Hilaire, </w:t>
      </w:r>
      <w:proofErr w:type="spellStart"/>
      <w:r w:rsidRPr="00AF2262">
        <w:rPr>
          <w:i/>
          <w:sz w:val="16"/>
          <w:szCs w:val="16"/>
        </w:rPr>
        <w:t>Constantine</w:t>
      </w:r>
      <w:proofErr w:type="spellEnd"/>
      <w:r w:rsidRPr="00AF2262">
        <w:rPr>
          <w:i/>
          <w:sz w:val="16"/>
          <w:szCs w:val="16"/>
        </w:rPr>
        <w:t xml:space="preserve"> y </w:t>
      </w:r>
      <w:proofErr w:type="spellStart"/>
      <w:r w:rsidRPr="00AF2262">
        <w:rPr>
          <w:i/>
          <w:sz w:val="16"/>
          <w:szCs w:val="16"/>
        </w:rPr>
        <w:t>Benjamin</w:t>
      </w:r>
      <w:proofErr w:type="spellEnd"/>
      <w:r w:rsidRPr="00AF2262">
        <w:rPr>
          <w:i/>
          <w:sz w:val="16"/>
          <w:szCs w:val="16"/>
        </w:rPr>
        <w:t xml:space="preserve"> y otros Vs. Trinidad y Tobago</w:t>
      </w:r>
      <w:r w:rsidRPr="00AF2262">
        <w:rPr>
          <w:sz w:val="16"/>
          <w:szCs w:val="16"/>
        </w:rPr>
        <w:t xml:space="preserve">. </w:t>
      </w:r>
      <w:r w:rsidRPr="003C748A">
        <w:rPr>
          <w:i/>
          <w:sz w:val="16"/>
          <w:szCs w:val="16"/>
        </w:rPr>
        <w:t>Fondo, Reparaciones y Costas.</w:t>
      </w:r>
      <w:r w:rsidRPr="00AF2262">
        <w:rPr>
          <w:sz w:val="16"/>
          <w:szCs w:val="16"/>
        </w:rPr>
        <w:t xml:space="preserve"> Sentencia de 21 de junio de 2002. Serie C No. 94, párr. 145, y</w:t>
      </w:r>
      <w:r w:rsidRPr="00AF2262">
        <w:rPr>
          <w:spacing w:val="-2"/>
          <w:sz w:val="16"/>
          <w:szCs w:val="16"/>
        </w:rPr>
        <w:t xml:space="preserve"> </w:t>
      </w:r>
      <w:r w:rsidRPr="00AF2262">
        <w:rPr>
          <w:i/>
          <w:sz w:val="16"/>
          <w:szCs w:val="16"/>
        </w:rPr>
        <w:t>Caso Noguera y otra Vs. Paraguay</w:t>
      </w:r>
      <w:r w:rsidRPr="00AF2262">
        <w:rPr>
          <w:sz w:val="16"/>
          <w:szCs w:val="16"/>
        </w:rPr>
        <w:t>,</w:t>
      </w:r>
      <w:r w:rsidRPr="00AF2262">
        <w:rPr>
          <w:i/>
          <w:sz w:val="16"/>
          <w:szCs w:val="16"/>
        </w:rPr>
        <w:t xml:space="preserve"> </w:t>
      </w:r>
      <w:r w:rsidRPr="00AF2262">
        <w:rPr>
          <w:sz w:val="16"/>
          <w:szCs w:val="16"/>
        </w:rPr>
        <w:t>párr. 83</w:t>
      </w:r>
      <w:r>
        <w:rPr>
          <w:spacing w:val="-2"/>
          <w:sz w:val="16"/>
          <w:szCs w:val="16"/>
        </w:rPr>
        <w:t xml:space="preserve">, y </w:t>
      </w:r>
      <w:r w:rsidRPr="003C748A">
        <w:rPr>
          <w:i/>
          <w:sz w:val="16"/>
          <w:szCs w:val="16"/>
        </w:rPr>
        <w:t xml:space="preserve">Caso de los Empleados de la Fábrica de Fuegos de Santo </w:t>
      </w:r>
      <w:proofErr w:type="spellStart"/>
      <w:r w:rsidRPr="003C748A">
        <w:rPr>
          <w:i/>
          <w:sz w:val="16"/>
          <w:szCs w:val="16"/>
        </w:rPr>
        <w:t>Antônio</w:t>
      </w:r>
      <w:proofErr w:type="spellEnd"/>
      <w:r w:rsidRPr="003C748A">
        <w:rPr>
          <w:i/>
          <w:sz w:val="16"/>
          <w:szCs w:val="16"/>
        </w:rPr>
        <w:t xml:space="preserve"> de </w:t>
      </w:r>
      <w:proofErr w:type="spellStart"/>
      <w:r w:rsidRPr="003C748A">
        <w:rPr>
          <w:i/>
          <w:sz w:val="16"/>
          <w:szCs w:val="16"/>
        </w:rPr>
        <w:t>Jesus</w:t>
      </w:r>
      <w:proofErr w:type="spellEnd"/>
      <w:r w:rsidRPr="003C748A">
        <w:rPr>
          <w:i/>
          <w:sz w:val="16"/>
          <w:szCs w:val="16"/>
        </w:rPr>
        <w:t xml:space="preserve"> Vs. Brasi</w:t>
      </w:r>
      <w:r w:rsidR="00D66B40">
        <w:rPr>
          <w:i/>
          <w:sz w:val="16"/>
          <w:szCs w:val="16"/>
        </w:rPr>
        <w:t>l</w:t>
      </w:r>
      <w:r>
        <w:rPr>
          <w:sz w:val="16"/>
          <w:szCs w:val="16"/>
        </w:rPr>
        <w:t>, párr. 222.</w:t>
      </w:r>
    </w:p>
  </w:footnote>
  <w:footnote w:id="127">
    <w:p w14:paraId="6C0B5725" w14:textId="77777777" w:rsidR="004224C0" w:rsidRDefault="004224C0" w:rsidP="00B476ED">
      <w:pPr>
        <w:pStyle w:val="Textonotapie"/>
        <w:ind w:right="-943"/>
        <w:rPr>
          <w:sz w:val="16"/>
          <w:szCs w:val="16"/>
        </w:rPr>
      </w:pPr>
    </w:p>
    <w:p w14:paraId="0A1B1FE7" w14:textId="033C1459" w:rsidR="004224C0" w:rsidRPr="00AF2262" w:rsidRDefault="004224C0" w:rsidP="00B476ED">
      <w:pPr>
        <w:pStyle w:val="Textonotapie"/>
        <w:ind w:right="-943"/>
        <w:rPr>
          <w:sz w:val="16"/>
          <w:szCs w:val="16"/>
          <w:lang w:val="es-MX"/>
        </w:rPr>
      </w:pPr>
      <w:r w:rsidRPr="00AF2262">
        <w:rPr>
          <w:rStyle w:val="Refdenotaalpie"/>
          <w:sz w:val="16"/>
          <w:szCs w:val="16"/>
        </w:rPr>
        <w:footnoteRef/>
      </w:r>
      <w:r w:rsidRPr="00AF2262">
        <w:rPr>
          <w:sz w:val="16"/>
          <w:szCs w:val="16"/>
        </w:rPr>
        <w:t xml:space="preserve"> </w:t>
      </w:r>
      <w:r w:rsidRPr="00AF2262">
        <w:rPr>
          <w:sz w:val="16"/>
          <w:szCs w:val="16"/>
          <w:lang w:val="es-MX"/>
        </w:rPr>
        <w:t xml:space="preserve"> </w:t>
      </w:r>
      <w:r w:rsidRPr="00AF2262">
        <w:rPr>
          <w:sz w:val="16"/>
          <w:szCs w:val="16"/>
          <w:lang w:val="es-MX"/>
        </w:rPr>
        <w:tab/>
      </w:r>
      <w:r w:rsidRPr="00AF2262">
        <w:rPr>
          <w:i/>
          <w:sz w:val="16"/>
          <w:szCs w:val="16"/>
        </w:rPr>
        <w:t>Cfr.</w:t>
      </w:r>
      <w:r w:rsidRPr="00AF2262">
        <w:rPr>
          <w:sz w:val="16"/>
          <w:szCs w:val="16"/>
        </w:rPr>
        <w:t xml:space="preserve"> </w:t>
      </w:r>
      <w:r w:rsidRPr="003C748A">
        <w:rPr>
          <w:i/>
          <w:sz w:val="16"/>
          <w:szCs w:val="16"/>
        </w:rPr>
        <w:t>Caso Suárez Rosero Vs. Ecuador</w:t>
      </w:r>
      <w:r>
        <w:rPr>
          <w:sz w:val="16"/>
          <w:szCs w:val="16"/>
        </w:rPr>
        <w:t>, párr. 71, y</w:t>
      </w:r>
      <w:r w:rsidRPr="00AF2262">
        <w:rPr>
          <w:spacing w:val="-2"/>
          <w:sz w:val="16"/>
          <w:szCs w:val="16"/>
        </w:rPr>
        <w:t xml:space="preserve"> </w:t>
      </w:r>
      <w:r w:rsidRPr="003C748A">
        <w:rPr>
          <w:i/>
          <w:sz w:val="16"/>
          <w:szCs w:val="16"/>
        </w:rPr>
        <w:t xml:space="preserve">Caso de los Empleados de la Fábrica de Fuegos de Santo </w:t>
      </w:r>
      <w:proofErr w:type="spellStart"/>
      <w:r w:rsidRPr="003C748A">
        <w:rPr>
          <w:i/>
          <w:sz w:val="16"/>
          <w:szCs w:val="16"/>
        </w:rPr>
        <w:t>Antônio</w:t>
      </w:r>
      <w:proofErr w:type="spellEnd"/>
      <w:r w:rsidRPr="003C748A">
        <w:rPr>
          <w:i/>
          <w:sz w:val="16"/>
          <w:szCs w:val="16"/>
        </w:rPr>
        <w:t xml:space="preserve"> de </w:t>
      </w:r>
      <w:proofErr w:type="spellStart"/>
      <w:r w:rsidRPr="003C748A">
        <w:rPr>
          <w:i/>
          <w:sz w:val="16"/>
          <w:szCs w:val="16"/>
        </w:rPr>
        <w:t>Jesus</w:t>
      </w:r>
      <w:proofErr w:type="spellEnd"/>
      <w:r w:rsidRPr="003C748A">
        <w:rPr>
          <w:i/>
          <w:sz w:val="16"/>
          <w:szCs w:val="16"/>
        </w:rPr>
        <w:t xml:space="preserve"> Vs. Brasil</w:t>
      </w:r>
      <w:r>
        <w:rPr>
          <w:sz w:val="16"/>
          <w:szCs w:val="16"/>
        </w:rPr>
        <w:t>, párr. 223.</w:t>
      </w:r>
    </w:p>
  </w:footnote>
  <w:footnote w:id="128">
    <w:p w14:paraId="4DA3A554" w14:textId="77777777" w:rsidR="004224C0" w:rsidRDefault="004224C0" w:rsidP="00B476ED">
      <w:pPr>
        <w:pStyle w:val="Textonotapie"/>
        <w:ind w:right="-943"/>
        <w:rPr>
          <w:sz w:val="16"/>
          <w:szCs w:val="16"/>
        </w:rPr>
      </w:pPr>
    </w:p>
    <w:p w14:paraId="1A0A5B23" w14:textId="77777777" w:rsidR="004224C0" w:rsidRDefault="004224C0" w:rsidP="00B476ED">
      <w:pPr>
        <w:pStyle w:val="Textonotapie"/>
        <w:ind w:right="-943"/>
        <w:rPr>
          <w:rFonts w:eastAsiaTheme="minorHAnsi" w:cs="TimesNewRomanPSMT"/>
          <w:b/>
          <w:sz w:val="16"/>
          <w:szCs w:val="16"/>
          <w:lang w:eastAsia="en-US"/>
        </w:rPr>
      </w:pPr>
      <w:r w:rsidRPr="00AF2262">
        <w:rPr>
          <w:rStyle w:val="Refdenotaalpie"/>
          <w:sz w:val="16"/>
          <w:szCs w:val="16"/>
        </w:rPr>
        <w:footnoteRef/>
      </w:r>
      <w:r w:rsidRPr="00AF2262">
        <w:rPr>
          <w:sz w:val="16"/>
          <w:szCs w:val="16"/>
        </w:rPr>
        <w:t xml:space="preserve">  </w:t>
      </w:r>
      <w:r w:rsidRPr="00AF2262">
        <w:rPr>
          <w:sz w:val="16"/>
          <w:szCs w:val="16"/>
        </w:rPr>
        <w:tab/>
      </w:r>
      <w:r w:rsidRPr="00AF2262">
        <w:rPr>
          <w:sz w:val="16"/>
          <w:szCs w:val="16"/>
          <w:lang w:val="es-CR"/>
        </w:rPr>
        <w:t xml:space="preserve">En el mismo sentido, la perita </w:t>
      </w:r>
      <w:r>
        <w:rPr>
          <w:sz w:val="16"/>
          <w:szCs w:val="16"/>
          <w:lang w:val="es-CR"/>
        </w:rPr>
        <w:t>Vásquez González</w:t>
      </w:r>
      <w:r w:rsidRPr="00AF2262">
        <w:rPr>
          <w:sz w:val="16"/>
          <w:szCs w:val="16"/>
          <w:lang w:val="es-CR"/>
        </w:rPr>
        <w:t xml:space="preserve"> entendió, en referencia a los múltiples diferimientos de la audiencia de juicio, que “</w:t>
      </w:r>
      <w:r>
        <w:rPr>
          <w:sz w:val="16"/>
          <w:szCs w:val="16"/>
          <w:lang w:val="es-CR"/>
        </w:rPr>
        <w:t>[los mismos]</w:t>
      </w:r>
      <w:r w:rsidRPr="00AF2262">
        <w:rPr>
          <w:rFonts w:eastAsiaTheme="minorHAnsi" w:cs="TimesNewRomanPSMT"/>
          <w:sz w:val="16"/>
          <w:szCs w:val="16"/>
          <w:lang w:eastAsia="en-US"/>
        </w:rPr>
        <w:t>, así como la duración de este procedimiento, que lleva</w:t>
      </w:r>
      <w:r w:rsidRPr="00AF2262">
        <w:rPr>
          <w:sz w:val="16"/>
          <w:szCs w:val="16"/>
          <w:lang w:val="es-CR"/>
        </w:rPr>
        <w:t xml:space="preserve"> </w:t>
      </w:r>
      <w:r w:rsidRPr="00AF2262">
        <w:rPr>
          <w:rFonts w:eastAsiaTheme="minorHAnsi" w:cs="TimesNewRomanPSMT"/>
          <w:sz w:val="16"/>
          <w:szCs w:val="16"/>
          <w:lang w:eastAsia="en-US"/>
        </w:rPr>
        <w:t xml:space="preserve">15 años sin visos de concluir, son absolutamente injustificados”. </w:t>
      </w:r>
    </w:p>
    <w:p w14:paraId="1A571C78" w14:textId="77777777" w:rsidR="004224C0" w:rsidRPr="00AF2262" w:rsidRDefault="004224C0" w:rsidP="00B476ED">
      <w:pPr>
        <w:pStyle w:val="Textonotapie"/>
        <w:ind w:right="-943"/>
        <w:rPr>
          <w:sz w:val="16"/>
          <w:szCs w:val="16"/>
          <w:lang w:val="es-CR"/>
        </w:rPr>
      </w:pPr>
    </w:p>
  </w:footnote>
  <w:footnote w:id="129">
    <w:p w14:paraId="168F5F6A" w14:textId="351D6073" w:rsidR="004224C0"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Pr>
          <w:sz w:val="16"/>
          <w:szCs w:val="16"/>
        </w:rPr>
        <w:tab/>
      </w:r>
      <w:r w:rsidRPr="00AF2262">
        <w:rPr>
          <w:sz w:val="16"/>
          <w:szCs w:val="16"/>
          <w:lang w:val="es-CR"/>
        </w:rPr>
        <w:t>La Comisión no determinó una violación al artículo 5 de la Convención en perjuicio de familiares de las personas fallecidas a partir del incendio sucedido el 30 de junio de 2005. No obstante,</w:t>
      </w:r>
      <w:r>
        <w:rPr>
          <w:sz w:val="16"/>
          <w:szCs w:val="16"/>
          <w:lang w:val="es-CR"/>
        </w:rPr>
        <w:t xml:space="preserve"> </w:t>
      </w:r>
      <w:r w:rsidRPr="004D531A">
        <w:rPr>
          <w:sz w:val="16"/>
          <w:szCs w:val="16"/>
          <w:lang w:val="es-CR"/>
        </w:rPr>
        <w:t>ha indicado este Tribunal, de manera reiterada en su jurisprudencia, que siempre que sea con base</w:t>
      </w:r>
      <w:r>
        <w:rPr>
          <w:sz w:val="16"/>
          <w:szCs w:val="16"/>
          <w:lang w:val="es-CR"/>
        </w:rPr>
        <w:t xml:space="preserve"> </w:t>
      </w:r>
      <w:r w:rsidRPr="004D531A">
        <w:rPr>
          <w:sz w:val="16"/>
          <w:szCs w:val="16"/>
          <w:lang w:val="es-CR"/>
        </w:rPr>
        <w:t>en el marco fáctico presentado por la Comisión, “los representantes pueden invocar derechos distintos a</w:t>
      </w:r>
      <w:r>
        <w:rPr>
          <w:sz w:val="16"/>
          <w:szCs w:val="16"/>
          <w:lang w:val="es-CR"/>
        </w:rPr>
        <w:t xml:space="preserve"> </w:t>
      </w:r>
      <w:r w:rsidRPr="004D531A">
        <w:rPr>
          <w:sz w:val="16"/>
          <w:szCs w:val="16"/>
          <w:lang w:val="es-CR"/>
        </w:rPr>
        <w:t>aquellos señalados por la Co</w:t>
      </w:r>
      <w:r>
        <w:rPr>
          <w:sz w:val="16"/>
          <w:szCs w:val="16"/>
          <w:lang w:val="es-CR"/>
        </w:rPr>
        <w:t>misión en su Informe de Fondo” (c</w:t>
      </w:r>
      <w:r w:rsidRPr="0066366C">
        <w:rPr>
          <w:i/>
          <w:sz w:val="16"/>
          <w:szCs w:val="16"/>
          <w:lang w:val="es-CR"/>
        </w:rPr>
        <w:t xml:space="preserve">fr. </w:t>
      </w:r>
      <w:r w:rsidRPr="003A5C19">
        <w:rPr>
          <w:i/>
          <w:sz w:val="16"/>
          <w:szCs w:val="16"/>
          <w:lang w:val="es-CR"/>
        </w:rPr>
        <w:t>Caso Godínez Cruz Vs. Honduras</w:t>
      </w:r>
      <w:r w:rsidRPr="0066366C">
        <w:rPr>
          <w:i/>
          <w:sz w:val="16"/>
          <w:szCs w:val="16"/>
          <w:lang w:val="es-CR"/>
        </w:rPr>
        <w:t>. Fondo.</w:t>
      </w:r>
      <w:r>
        <w:rPr>
          <w:sz w:val="16"/>
          <w:szCs w:val="16"/>
          <w:lang w:val="es-CR"/>
        </w:rPr>
        <w:t xml:space="preserve"> </w:t>
      </w:r>
      <w:r w:rsidRPr="004D531A">
        <w:rPr>
          <w:sz w:val="16"/>
          <w:szCs w:val="16"/>
          <w:lang w:val="es-CR"/>
        </w:rPr>
        <w:t>Sentencia de 20 de enero de 1989. Serie C No. 5, párr. 172, y</w:t>
      </w:r>
      <w:r>
        <w:rPr>
          <w:sz w:val="16"/>
          <w:szCs w:val="16"/>
          <w:lang w:val="es-CR"/>
        </w:rPr>
        <w:t xml:space="preserve"> </w:t>
      </w:r>
      <w:r w:rsidRPr="004D531A">
        <w:rPr>
          <w:i/>
          <w:sz w:val="16"/>
          <w:szCs w:val="16"/>
          <w:lang w:val="es-CR"/>
        </w:rPr>
        <w:t>Caso Guzmán Albarracín y otras Vs. Ecuador</w:t>
      </w:r>
      <w:r>
        <w:rPr>
          <w:sz w:val="16"/>
          <w:szCs w:val="16"/>
          <w:lang w:val="es-CR"/>
        </w:rPr>
        <w:t>, nota a pie de página 82).</w:t>
      </w:r>
    </w:p>
    <w:p w14:paraId="154C1397" w14:textId="77777777" w:rsidR="004224C0" w:rsidRPr="00AF2262" w:rsidRDefault="004224C0" w:rsidP="00B476ED">
      <w:pPr>
        <w:pStyle w:val="Textonotapie"/>
        <w:ind w:right="-943"/>
        <w:rPr>
          <w:sz w:val="16"/>
          <w:szCs w:val="16"/>
          <w:lang w:val="es-CR"/>
        </w:rPr>
      </w:pPr>
    </w:p>
  </w:footnote>
  <w:footnote w:id="130">
    <w:p w14:paraId="22985688" w14:textId="358D25E6" w:rsidR="004224C0" w:rsidRPr="00AF2262" w:rsidRDefault="004224C0" w:rsidP="00B476ED">
      <w:pPr>
        <w:pStyle w:val="Textonotapie"/>
        <w:ind w:right="-943"/>
        <w:rPr>
          <w:sz w:val="16"/>
          <w:szCs w:val="16"/>
          <w:lang w:val="es-CR"/>
        </w:rPr>
      </w:pPr>
      <w:r w:rsidRPr="00AF2262">
        <w:rPr>
          <w:rStyle w:val="Refdenotaalpie"/>
          <w:sz w:val="16"/>
          <w:szCs w:val="16"/>
        </w:rPr>
        <w:footnoteRef/>
      </w:r>
      <w:r w:rsidRPr="00AF2262">
        <w:rPr>
          <w:sz w:val="16"/>
          <w:szCs w:val="16"/>
        </w:rPr>
        <w:t xml:space="preserve"> </w:t>
      </w:r>
      <w:r w:rsidRPr="00AF2262">
        <w:rPr>
          <w:sz w:val="16"/>
          <w:szCs w:val="16"/>
        </w:rPr>
        <w:tab/>
      </w:r>
      <w:r w:rsidRPr="00AF2262">
        <w:rPr>
          <w:i/>
          <w:sz w:val="16"/>
          <w:szCs w:val="16"/>
        </w:rPr>
        <w:t>Cfr. Caso Blake Vs. Guatemala. Fondo</w:t>
      </w:r>
      <w:r w:rsidRPr="00AF2262">
        <w:rPr>
          <w:sz w:val="16"/>
          <w:szCs w:val="16"/>
        </w:rPr>
        <w:t xml:space="preserve">. Sentencia de 24 de enero de 1998. Serie C No. 36, párr. 114, y </w:t>
      </w:r>
      <w:r w:rsidRPr="00AF2262">
        <w:rPr>
          <w:i/>
          <w:sz w:val="16"/>
          <w:szCs w:val="16"/>
        </w:rPr>
        <w:t>Caso Guzmán Albarracín y otras Vs. Ecuador</w:t>
      </w:r>
      <w:r>
        <w:rPr>
          <w:sz w:val="16"/>
          <w:szCs w:val="16"/>
        </w:rPr>
        <w:t>, párr. 207</w:t>
      </w:r>
      <w:r w:rsidRPr="00AF2262">
        <w:rPr>
          <w:sz w:val="16"/>
          <w:szCs w:val="16"/>
        </w:rPr>
        <w:t xml:space="preserve">. </w:t>
      </w:r>
    </w:p>
  </w:footnote>
  <w:footnote w:id="131">
    <w:p w14:paraId="493C6E9B" w14:textId="77777777" w:rsidR="004224C0" w:rsidRDefault="004224C0" w:rsidP="00B476ED">
      <w:pPr>
        <w:pStyle w:val="Textonotapie"/>
        <w:ind w:right="-943"/>
        <w:rPr>
          <w:sz w:val="16"/>
          <w:szCs w:val="16"/>
        </w:rPr>
      </w:pPr>
    </w:p>
    <w:p w14:paraId="2E6C09ED" w14:textId="71D3C0B7" w:rsidR="004224C0" w:rsidRDefault="004224C0" w:rsidP="00B476ED">
      <w:pPr>
        <w:pStyle w:val="Textonotapie"/>
        <w:ind w:right="-943"/>
        <w:rPr>
          <w:sz w:val="16"/>
          <w:szCs w:val="16"/>
        </w:rPr>
      </w:pPr>
      <w:r w:rsidRPr="00AF2262">
        <w:rPr>
          <w:rStyle w:val="Refdenotaalpie"/>
          <w:sz w:val="16"/>
          <w:szCs w:val="16"/>
        </w:rPr>
        <w:footnoteRef/>
      </w:r>
      <w:r w:rsidRPr="00AF2262">
        <w:rPr>
          <w:sz w:val="16"/>
          <w:szCs w:val="16"/>
        </w:rPr>
        <w:t xml:space="preserve">  </w:t>
      </w:r>
      <w:r w:rsidRPr="00AF2262">
        <w:rPr>
          <w:sz w:val="16"/>
          <w:szCs w:val="16"/>
        </w:rPr>
        <w:tab/>
      </w:r>
      <w:r w:rsidRPr="00AF2262">
        <w:rPr>
          <w:i/>
          <w:sz w:val="16"/>
          <w:szCs w:val="16"/>
        </w:rPr>
        <w:t>Cfr.</w:t>
      </w:r>
      <w:r w:rsidRPr="00AF2262">
        <w:rPr>
          <w:sz w:val="16"/>
          <w:szCs w:val="16"/>
        </w:rPr>
        <w:t xml:space="preserve"> </w:t>
      </w:r>
      <w:r w:rsidRPr="00AF2262">
        <w:rPr>
          <w:i/>
          <w:sz w:val="16"/>
          <w:szCs w:val="16"/>
        </w:rPr>
        <w:t>Caso Pacheco Teruel y otros Vs. Honduras</w:t>
      </w:r>
      <w:r w:rsidRPr="00AF2262">
        <w:rPr>
          <w:sz w:val="16"/>
          <w:szCs w:val="16"/>
        </w:rPr>
        <w:t>, párr. 74.</w:t>
      </w:r>
    </w:p>
    <w:p w14:paraId="01C585DE" w14:textId="77777777" w:rsidR="004224C0" w:rsidRPr="00AF2262" w:rsidRDefault="004224C0" w:rsidP="00B476ED">
      <w:pPr>
        <w:pStyle w:val="Textonotapie"/>
        <w:ind w:right="-943"/>
        <w:rPr>
          <w:sz w:val="16"/>
          <w:szCs w:val="16"/>
          <w:lang w:val="es-CR"/>
        </w:rPr>
      </w:pPr>
    </w:p>
  </w:footnote>
  <w:footnote w:id="132">
    <w:p w14:paraId="11AD550A" w14:textId="01449EE6" w:rsidR="004224C0" w:rsidRPr="0000014D" w:rsidRDefault="004224C0" w:rsidP="00B476ED">
      <w:pPr>
        <w:pStyle w:val="Textonotapie"/>
        <w:tabs>
          <w:tab w:val="left" w:pos="540"/>
        </w:tabs>
        <w:ind w:right="-943"/>
        <w:rPr>
          <w:iCs/>
          <w:sz w:val="16"/>
          <w:szCs w:val="16"/>
        </w:rPr>
      </w:pPr>
      <w:r w:rsidRPr="0000014D">
        <w:rPr>
          <w:rStyle w:val="Refdenotaalpie"/>
          <w:rFonts w:eastAsia="MS Mincho"/>
          <w:sz w:val="16"/>
          <w:szCs w:val="16"/>
        </w:rPr>
        <w:footnoteRef/>
      </w:r>
      <w:r w:rsidRPr="0000014D">
        <w:rPr>
          <w:sz w:val="16"/>
          <w:szCs w:val="16"/>
        </w:rPr>
        <w:t xml:space="preserve"> </w:t>
      </w:r>
      <w:r w:rsidRPr="0000014D">
        <w:rPr>
          <w:sz w:val="16"/>
          <w:szCs w:val="16"/>
        </w:rPr>
        <w:tab/>
      </w:r>
      <w:r w:rsidRPr="0000014D">
        <w:rPr>
          <w:i/>
          <w:iCs/>
          <w:sz w:val="16"/>
          <w:szCs w:val="16"/>
        </w:rPr>
        <w:t>Cfr. Caso Velásquez Rodríguez Vs. Honduras. Reparaciones y Costas</w:t>
      </w:r>
      <w:r w:rsidRPr="0000014D">
        <w:rPr>
          <w:sz w:val="16"/>
          <w:szCs w:val="16"/>
        </w:rPr>
        <w:t xml:space="preserve">. Sentencia de 21 de julio de 1989. Serie C No. 7, párr. 24, y </w:t>
      </w:r>
      <w:r w:rsidRPr="0000014D">
        <w:rPr>
          <w:i/>
          <w:sz w:val="16"/>
          <w:szCs w:val="16"/>
        </w:rPr>
        <w:t xml:space="preserve">Caso Fernández Prieto y </w:t>
      </w:r>
      <w:proofErr w:type="spellStart"/>
      <w:r w:rsidRPr="0000014D">
        <w:rPr>
          <w:i/>
          <w:sz w:val="16"/>
          <w:szCs w:val="16"/>
        </w:rPr>
        <w:t>Tumbeiro</w:t>
      </w:r>
      <w:proofErr w:type="spellEnd"/>
      <w:r w:rsidRPr="0000014D">
        <w:rPr>
          <w:i/>
          <w:sz w:val="16"/>
          <w:szCs w:val="16"/>
        </w:rPr>
        <w:t xml:space="preserve"> Vs. Argentina</w:t>
      </w:r>
      <w:r w:rsidRPr="0000014D">
        <w:rPr>
          <w:sz w:val="16"/>
          <w:szCs w:val="16"/>
        </w:rPr>
        <w:t>, párr. 111</w:t>
      </w:r>
      <w:r w:rsidRPr="0000014D">
        <w:rPr>
          <w:iCs/>
          <w:sz w:val="16"/>
          <w:szCs w:val="16"/>
        </w:rPr>
        <w:t>.</w:t>
      </w:r>
    </w:p>
    <w:p w14:paraId="41A42DBD" w14:textId="77777777" w:rsidR="004224C0" w:rsidRPr="0000014D" w:rsidRDefault="004224C0" w:rsidP="00B476ED">
      <w:pPr>
        <w:pStyle w:val="Textonotapie"/>
        <w:tabs>
          <w:tab w:val="left" w:pos="540"/>
        </w:tabs>
        <w:ind w:right="-943"/>
        <w:rPr>
          <w:i/>
          <w:iCs/>
          <w:sz w:val="16"/>
          <w:szCs w:val="16"/>
          <w:lang w:val="es-CR" w:eastAsia="en-US"/>
        </w:rPr>
      </w:pPr>
    </w:p>
  </w:footnote>
  <w:footnote w:id="133">
    <w:p w14:paraId="527B729E" w14:textId="7F33351E" w:rsidR="004224C0" w:rsidRDefault="004224C0" w:rsidP="00B476ED">
      <w:pPr>
        <w:pStyle w:val="Textonotapie"/>
        <w:ind w:right="-943"/>
        <w:rPr>
          <w:sz w:val="16"/>
          <w:szCs w:val="16"/>
        </w:rPr>
      </w:pPr>
      <w:r w:rsidRPr="0000014D">
        <w:rPr>
          <w:rStyle w:val="Refdenotaalpie"/>
          <w:rFonts w:eastAsia="MS Mincho"/>
          <w:sz w:val="16"/>
          <w:szCs w:val="16"/>
        </w:rPr>
        <w:footnoteRef/>
      </w:r>
      <w:r w:rsidRPr="0000014D">
        <w:rPr>
          <w:sz w:val="16"/>
          <w:szCs w:val="16"/>
        </w:rPr>
        <w:t xml:space="preserve"> </w:t>
      </w:r>
      <w:r w:rsidRPr="0000014D">
        <w:rPr>
          <w:sz w:val="16"/>
          <w:szCs w:val="16"/>
        </w:rPr>
        <w:tab/>
        <w:t xml:space="preserve"> </w:t>
      </w:r>
      <w:r w:rsidRPr="0000014D">
        <w:rPr>
          <w:i/>
          <w:iCs/>
          <w:sz w:val="16"/>
          <w:szCs w:val="16"/>
        </w:rPr>
        <w:t>Cfr. Caso Velásquez Rodríguez Vs. Honduras. Reparaciones y Costas</w:t>
      </w:r>
      <w:r w:rsidR="006F1CD2">
        <w:rPr>
          <w:sz w:val="16"/>
          <w:szCs w:val="16"/>
        </w:rPr>
        <w:t>, párr. 24;</w:t>
      </w:r>
      <w:r w:rsidRPr="0000014D">
        <w:rPr>
          <w:sz w:val="16"/>
          <w:szCs w:val="16"/>
        </w:rPr>
        <w:t xml:space="preserve"> </w:t>
      </w:r>
      <w:r w:rsidRPr="0000014D">
        <w:rPr>
          <w:i/>
          <w:iCs/>
          <w:sz w:val="16"/>
          <w:szCs w:val="16"/>
        </w:rPr>
        <w:t xml:space="preserve">Caso Valle Ambrosio y otros Vs. Argentina, </w:t>
      </w:r>
      <w:r w:rsidRPr="0000014D">
        <w:rPr>
          <w:iCs/>
          <w:sz w:val="16"/>
          <w:szCs w:val="16"/>
        </w:rPr>
        <w:t xml:space="preserve">párr. 56, y </w:t>
      </w:r>
      <w:r w:rsidRPr="0000014D">
        <w:rPr>
          <w:i/>
          <w:sz w:val="16"/>
          <w:szCs w:val="16"/>
        </w:rPr>
        <w:t xml:space="preserve">Caso Fernández Prieto y </w:t>
      </w:r>
      <w:proofErr w:type="spellStart"/>
      <w:r w:rsidRPr="0000014D">
        <w:rPr>
          <w:i/>
          <w:sz w:val="16"/>
          <w:szCs w:val="16"/>
        </w:rPr>
        <w:t>Tumbeiro</w:t>
      </w:r>
      <w:proofErr w:type="spellEnd"/>
      <w:r w:rsidRPr="0000014D">
        <w:rPr>
          <w:i/>
          <w:sz w:val="16"/>
          <w:szCs w:val="16"/>
        </w:rPr>
        <w:t xml:space="preserve"> Vs. Argentina</w:t>
      </w:r>
      <w:r w:rsidRPr="0000014D">
        <w:rPr>
          <w:sz w:val="16"/>
          <w:szCs w:val="16"/>
        </w:rPr>
        <w:t>, párr. 112.</w:t>
      </w:r>
    </w:p>
    <w:p w14:paraId="64E8F1C3" w14:textId="77777777" w:rsidR="004224C0" w:rsidRPr="0000014D" w:rsidRDefault="004224C0" w:rsidP="00B476ED">
      <w:pPr>
        <w:pStyle w:val="Textonotapie"/>
        <w:ind w:right="-943"/>
        <w:rPr>
          <w:sz w:val="16"/>
          <w:szCs w:val="16"/>
        </w:rPr>
      </w:pPr>
    </w:p>
  </w:footnote>
  <w:footnote w:id="134">
    <w:p w14:paraId="578FA1ED" w14:textId="0A1BCEEA" w:rsidR="004224C0" w:rsidRPr="0000014D" w:rsidRDefault="004224C0" w:rsidP="00B476ED">
      <w:pPr>
        <w:pStyle w:val="Textonotapie"/>
        <w:ind w:right="-943"/>
        <w:rPr>
          <w:iCs/>
          <w:sz w:val="16"/>
          <w:szCs w:val="16"/>
        </w:rPr>
      </w:pPr>
      <w:r w:rsidRPr="0000014D">
        <w:rPr>
          <w:rStyle w:val="Refdenotaalpie"/>
          <w:rFonts w:eastAsia="MS Mincho"/>
          <w:sz w:val="16"/>
          <w:szCs w:val="16"/>
        </w:rPr>
        <w:footnoteRef/>
      </w:r>
      <w:r w:rsidRPr="0000014D">
        <w:rPr>
          <w:sz w:val="16"/>
          <w:szCs w:val="16"/>
        </w:rPr>
        <w:t xml:space="preserve"> </w:t>
      </w:r>
      <w:r w:rsidRPr="0000014D">
        <w:rPr>
          <w:sz w:val="16"/>
          <w:szCs w:val="16"/>
        </w:rPr>
        <w:tab/>
      </w:r>
      <w:r w:rsidRPr="0000014D">
        <w:rPr>
          <w:i/>
          <w:sz w:val="16"/>
          <w:szCs w:val="16"/>
        </w:rPr>
        <w:t xml:space="preserve">Cfr. Caso de la Masacre de Las Dos Erres Vs. Guatemala. Excepción Preliminar, Fondo, Reparaciones y Costas. </w:t>
      </w:r>
      <w:r w:rsidRPr="0000014D">
        <w:rPr>
          <w:sz w:val="16"/>
          <w:szCs w:val="16"/>
        </w:rPr>
        <w:t xml:space="preserve">Sentencia de 24 de noviembre de 2009. Serie C No. 211, párr. 226, y </w:t>
      </w:r>
      <w:r w:rsidRPr="0000014D">
        <w:rPr>
          <w:i/>
          <w:sz w:val="16"/>
          <w:szCs w:val="16"/>
        </w:rPr>
        <w:t xml:space="preserve">Caso Fernández Prieto y </w:t>
      </w:r>
      <w:proofErr w:type="spellStart"/>
      <w:r w:rsidRPr="0000014D">
        <w:rPr>
          <w:i/>
          <w:sz w:val="16"/>
          <w:szCs w:val="16"/>
        </w:rPr>
        <w:t>Tumbeiro</w:t>
      </w:r>
      <w:proofErr w:type="spellEnd"/>
      <w:r w:rsidRPr="0000014D">
        <w:rPr>
          <w:i/>
          <w:sz w:val="16"/>
          <w:szCs w:val="16"/>
        </w:rPr>
        <w:t xml:space="preserve"> Vs. Argentina</w:t>
      </w:r>
      <w:r w:rsidRPr="0000014D">
        <w:rPr>
          <w:sz w:val="16"/>
          <w:szCs w:val="16"/>
        </w:rPr>
        <w:t>, párr. 112</w:t>
      </w:r>
      <w:r w:rsidRPr="0000014D">
        <w:rPr>
          <w:iCs/>
          <w:sz w:val="16"/>
          <w:szCs w:val="16"/>
        </w:rPr>
        <w:t>.</w:t>
      </w:r>
    </w:p>
    <w:p w14:paraId="3C43E401" w14:textId="77777777" w:rsidR="004224C0" w:rsidRPr="0000014D" w:rsidRDefault="004224C0" w:rsidP="00B476ED">
      <w:pPr>
        <w:pStyle w:val="Textonotapie"/>
        <w:ind w:right="-943"/>
        <w:rPr>
          <w:sz w:val="16"/>
          <w:szCs w:val="16"/>
        </w:rPr>
      </w:pPr>
    </w:p>
  </w:footnote>
  <w:footnote w:id="135">
    <w:p w14:paraId="138ECB37" w14:textId="517C1E89" w:rsidR="004224C0" w:rsidRPr="0000014D" w:rsidRDefault="004224C0" w:rsidP="00B476ED">
      <w:pPr>
        <w:pStyle w:val="Textonotapie"/>
        <w:tabs>
          <w:tab w:val="left" w:pos="540"/>
        </w:tabs>
        <w:ind w:right="-943"/>
        <w:rPr>
          <w:iCs/>
          <w:sz w:val="16"/>
          <w:szCs w:val="16"/>
        </w:rPr>
      </w:pPr>
      <w:r w:rsidRPr="0000014D">
        <w:rPr>
          <w:rStyle w:val="Refdenotaalpie"/>
          <w:rFonts w:eastAsia="MS Mincho"/>
          <w:sz w:val="16"/>
          <w:szCs w:val="16"/>
        </w:rPr>
        <w:footnoteRef/>
      </w:r>
      <w:r w:rsidRPr="0000014D">
        <w:rPr>
          <w:sz w:val="16"/>
          <w:szCs w:val="16"/>
          <w:vertAlign w:val="superscript"/>
        </w:rPr>
        <w:t xml:space="preserve"> </w:t>
      </w:r>
      <w:r w:rsidRPr="0000014D">
        <w:rPr>
          <w:sz w:val="16"/>
          <w:szCs w:val="16"/>
        </w:rPr>
        <w:tab/>
      </w:r>
      <w:r w:rsidRPr="0000014D">
        <w:rPr>
          <w:i/>
          <w:iCs/>
          <w:sz w:val="16"/>
          <w:szCs w:val="16"/>
        </w:rPr>
        <w:t>Cfr. Caso Ticona Estrada y otros Vs. Bolivia. Fondo, Reparaciones y Costas.</w:t>
      </w:r>
      <w:r w:rsidRPr="0000014D">
        <w:rPr>
          <w:sz w:val="16"/>
          <w:szCs w:val="16"/>
        </w:rPr>
        <w:t xml:space="preserve"> Sentencia de 27 de noviembre de 2008. Serie C No. 191, párr. 110, y </w:t>
      </w:r>
      <w:r w:rsidRPr="0000014D">
        <w:rPr>
          <w:i/>
          <w:sz w:val="16"/>
          <w:szCs w:val="16"/>
        </w:rPr>
        <w:t xml:space="preserve">Caso Fernández Prieto y </w:t>
      </w:r>
      <w:proofErr w:type="spellStart"/>
      <w:r w:rsidRPr="0000014D">
        <w:rPr>
          <w:i/>
          <w:sz w:val="16"/>
          <w:szCs w:val="16"/>
        </w:rPr>
        <w:t>Tumbeiro</w:t>
      </w:r>
      <w:proofErr w:type="spellEnd"/>
      <w:r w:rsidRPr="0000014D">
        <w:rPr>
          <w:i/>
          <w:sz w:val="16"/>
          <w:szCs w:val="16"/>
        </w:rPr>
        <w:t xml:space="preserve"> Vs. Argentina</w:t>
      </w:r>
      <w:r w:rsidRPr="0000014D">
        <w:rPr>
          <w:sz w:val="16"/>
          <w:szCs w:val="16"/>
        </w:rPr>
        <w:t>, párr. 113</w:t>
      </w:r>
      <w:r w:rsidRPr="0000014D">
        <w:rPr>
          <w:iCs/>
          <w:sz w:val="16"/>
          <w:szCs w:val="16"/>
        </w:rPr>
        <w:t>.</w:t>
      </w:r>
    </w:p>
    <w:p w14:paraId="6816B014" w14:textId="77777777" w:rsidR="004224C0" w:rsidRPr="0000014D" w:rsidRDefault="004224C0" w:rsidP="00B476ED">
      <w:pPr>
        <w:pStyle w:val="Textonotapie"/>
        <w:tabs>
          <w:tab w:val="left" w:pos="540"/>
        </w:tabs>
        <w:ind w:right="-943"/>
        <w:rPr>
          <w:sz w:val="16"/>
          <w:szCs w:val="16"/>
        </w:rPr>
      </w:pPr>
    </w:p>
  </w:footnote>
  <w:footnote w:id="136">
    <w:p w14:paraId="496DEAD2" w14:textId="02C72A5B" w:rsidR="004224C0" w:rsidRDefault="004224C0" w:rsidP="00B476ED">
      <w:pPr>
        <w:pStyle w:val="Textonotapie"/>
        <w:ind w:right="-943"/>
        <w:rPr>
          <w:iCs/>
          <w:sz w:val="16"/>
          <w:szCs w:val="16"/>
        </w:rPr>
      </w:pPr>
      <w:r w:rsidRPr="0000014D">
        <w:rPr>
          <w:rStyle w:val="Refdenotaalpie"/>
          <w:rFonts w:eastAsia="MS Mincho"/>
          <w:sz w:val="16"/>
          <w:szCs w:val="16"/>
        </w:rPr>
        <w:footnoteRef/>
      </w:r>
      <w:r w:rsidRPr="0000014D">
        <w:rPr>
          <w:sz w:val="16"/>
          <w:szCs w:val="16"/>
        </w:rPr>
        <w:t xml:space="preserve"> </w:t>
      </w:r>
      <w:r w:rsidRPr="0000014D">
        <w:rPr>
          <w:sz w:val="16"/>
          <w:szCs w:val="16"/>
        </w:rPr>
        <w:tab/>
      </w:r>
      <w:r w:rsidRPr="0000014D">
        <w:rPr>
          <w:i/>
          <w:iCs/>
          <w:sz w:val="16"/>
          <w:szCs w:val="16"/>
        </w:rPr>
        <w:t>Cfr. Caso Velásquez Rodríguez Vs. Honduras. Reparaciones y Costas</w:t>
      </w:r>
      <w:r w:rsidRPr="0000014D">
        <w:rPr>
          <w:sz w:val="16"/>
          <w:szCs w:val="16"/>
        </w:rPr>
        <w:t xml:space="preserve">, </w:t>
      </w:r>
      <w:proofErr w:type="spellStart"/>
      <w:r w:rsidRPr="0000014D">
        <w:rPr>
          <w:sz w:val="16"/>
          <w:szCs w:val="16"/>
        </w:rPr>
        <w:t>párrs</w:t>
      </w:r>
      <w:proofErr w:type="spellEnd"/>
      <w:r w:rsidRPr="0000014D">
        <w:rPr>
          <w:sz w:val="16"/>
          <w:szCs w:val="16"/>
        </w:rPr>
        <w:t xml:space="preserve">. 25 a 27, y </w:t>
      </w:r>
      <w:r w:rsidRPr="0000014D">
        <w:rPr>
          <w:i/>
          <w:sz w:val="16"/>
          <w:szCs w:val="16"/>
        </w:rPr>
        <w:t xml:space="preserve">Caso Fernández Prieto y </w:t>
      </w:r>
      <w:proofErr w:type="spellStart"/>
      <w:r w:rsidRPr="0000014D">
        <w:rPr>
          <w:i/>
          <w:sz w:val="16"/>
          <w:szCs w:val="16"/>
        </w:rPr>
        <w:t>Tumbeiro</w:t>
      </w:r>
      <w:proofErr w:type="spellEnd"/>
      <w:r w:rsidRPr="0000014D">
        <w:rPr>
          <w:i/>
          <w:sz w:val="16"/>
          <w:szCs w:val="16"/>
        </w:rPr>
        <w:t xml:space="preserve"> Vs. Argentina</w:t>
      </w:r>
      <w:r w:rsidRPr="0000014D">
        <w:rPr>
          <w:sz w:val="16"/>
          <w:szCs w:val="16"/>
        </w:rPr>
        <w:t>, párr. 114</w:t>
      </w:r>
      <w:r w:rsidRPr="0000014D">
        <w:rPr>
          <w:iCs/>
          <w:sz w:val="16"/>
          <w:szCs w:val="16"/>
        </w:rPr>
        <w:t>.</w:t>
      </w:r>
    </w:p>
    <w:p w14:paraId="18D66849" w14:textId="77777777" w:rsidR="004224C0" w:rsidRPr="0000014D" w:rsidRDefault="004224C0" w:rsidP="00B476ED">
      <w:pPr>
        <w:pStyle w:val="Textonotapie"/>
        <w:ind w:right="-943"/>
        <w:rPr>
          <w:sz w:val="16"/>
          <w:szCs w:val="16"/>
        </w:rPr>
      </w:pPr>
    </w:p>
  </w:footnote>
  <w:footnote w:id="137">
    <w:p w14:paraId="746B84DE" w14:textId="77777777" w:rsidR="004224C0" w:rsidRPr="007F2C4B" w:rsidRDefault="004224C0" w:rsidP="00B476ED">
      <w:pPr>
        <w:pStyle w:val="Textonotapie"/>
        <w:ind w:right="-943"/>
        <w:rPr>
          <w:sz w:val="16"/>
          <w:szCs w:val="16"/>
          <w:lang w:val="es-CR"/>
        </w:rPr>
      </w:pPr>
      <w:r w:rsidRPr="007F2C4B">
        <w:rPr>
          <w:rStyle w:val="Refdenotaalpie"/>
          <w:sz w:val="16"/>
          <w:szCs w:val="16"/>
        </w:rPr>
        <w:footnoteRef/>
      </w:r>
      <w:r w:rsidRPr="007F2C4B">
        <w:rPr>
          <w:sz w:val="16"/>
          <w:szCs w:val="16"/>
        </w:rPr>
        <w:t xml:space="preserve"> </w:t>
      </w:r>
      <w:r w:rsidRPr="007F2C4B">
        <w:rPr>
          <w:sz w:val="16"/>
          <w:szCs w:val="16"/>
          <w:lang w:val="es-CR"/>
        </w:rPr>
        <w:t xml:space="preserve"> </w:t>
      </w:r>
      <w:r w:rsidRPr="007F2C4B">
        <w:rPr>
          <w:sz w:val="16"/>
          <w:szCs w:val="16"/>
          <w:lang w:val="es-CR"/>
        </w:rPr>
        <w:tab/>
      </w:r>
      <w:r w:rsidRPr="003A5C19">
        <w:rPr>
          <w:sz w:val="16"/>
          <w:szCs w:val="16"/>
          <w:lang w:val="es-CR"/>
        </w:rPr>
        <w:t>La Corte entiende que este compromiso de Venezuela abarca el deber de informar de forma oportuna a la Corte sobre la implementación efectiva de las medidas de reparación que se establecen en esta Sentencia</w:t>
      </w:r>
      <w:r w:rsidRPr="0066366C">
        <w:rPr>
          <w:sz w:val="16"/>
          <w:szCs w:val="16"/>
          <w:lang w:val="es-CR"/>
        </w:rPr>
        <w:t>.</w:t>
      </w:r>
      <w:r w:rsidRPr="007F2C4B">
        <w:rPr>
          <w:sz w:val="16"/>
          <w:szCs w:val="16"/>
          <w:lang w:val="es-CR"/>
        </w:rPr>
        <w:t xml:space="preserve"> </w:t>
      </w:r>
    </w:p>
  </w:footnote>
  <w:footnote w:id="138">
    <w:p w14:paraId="5BD53C5F" w14:textId="44FC5E06" w:rsidR="004224C0" w:rsidRPr="009B77DE" w:rsidRDefault="004224C0" w:rsidP="00B476ED">
      <w:pPr>
        <w:pStyle w:val="Textonotapie"/>
        <w:ind w:right="-943"/>
        <w:rPr>
          <w:sz w:val="16"/>
          <w:szCs w:val="16"/>
          <w:lang w:val="es-MX"/>
        </w:rPr>
      </w:pPr>
      <w:r w:rsidRPr="009B77DE">
        <w:rPr>
          <w:rStyle w:val="Refdenotaalpie"/>
          <w:rFonts w:eastAsia="MS Mincho"/>
          <w:sz w:val="16"/>
          <w:szCs w:val="16"/>
        </w:rPr>
        <w:footnoteRef/>
      </w:r>
      <w:r w:rsidRPr="009B77DE">
        <w:rPr>
          <w:sz w:val="16"/>
          <w:szCs w:val="16"/>
        </w:rPr>
        <w:t xml:space="preserve">  </w:t>
      </w:r>
      <w:r w:rsidRPr="009B77DE">
        <w:rPr>
          <w:sz w:val="16"/>
          <w:szCs w:val="16"/>
        </w:rPr>
        <w:tab/>
      </w:r>
      <w:r w:rsidRPr="009B77DE">
        <w:rPr>
          <w:i/>
          <w:sz w:val="16"/>
          <w:szCs w:val="16"/>
        </w:rPr>
        <w:t xml:space="preserve">Cfr. Caso Poblete Vilches y otros Vs. Chile. Fondo, Reparaciones y Costas. </w:t>
      </w:r>
      <w:r w:rsidRPr="009B77DE">
        <w:rPr>
          <w:iCs/>
          <w:sz w:val="16"/>
          <w:szCs w:val="16"/>
        </w:rPr>
        <w:t>Sentencia de 8 de marzo de 2018. Serie C No. 349, párr. 231,</w:t>
      </w:r>
      <w:r w:rsidRPr="009B77DE">
        <w:rPr>
          <w:i/>
          <w:sz w:val="16"/>
          <w:szCs w:val="16"/>
        </w:rPr>
        <w:t xml:space="preserve"> </w:t>
      </w:r>
      <w:r w:rsidRPr="009B77DE">
        <w:rPr>
          <w:sz w:val="16"/>
          <w:szCs w:val="16"/>
          <w:lang w:val="es-MX"/>
        </w:rPr>
        <w:t xml:space="preserve">y </w:t>
      </w:r>
      <w:r w:rsidRPr="009B77DE">
        <w:rPr>
          <w:rFonts w:cs="Arial"/>
          <w:i/>
          <w:sz w:val="16"/>
          <w:szCs w:val="16"/>
          <w:shd w:val="clear" w:color="auto" w:fill="FFFFFF"/>
        </w:rPr>
        <w:t>Caso Guzmán Albarracín y otras Vs. Ecuador</w:t>
      </w:r>
      <w:r w:rsidRPr="009B77DE">
        <w:rPr>
          <w:rFonts w:cs="Arial"/>
          <w:sz w:val="16"/>
          <w:szCs w:val="16"/>
          <w:shd w:val="clear" w:color="auto" w:fill="FFFFFF"/>
        </w:rPr>
        <w:t>, párr. 226</w:t>
      </w:r>
      <w:r w:rsidRPr="009B77DE">
        <w:rPr>
          <w:sz w:val="16"/>
          <w:szCs w:val="16"/>
          <w:lang w:val="es-MX"/>
        </w:rPr>
        <w:t>.</w:t>
      </w:r>
    </w:p>
    <w:p w14:paraId="1E79EEF1" w14:textId="77777777" w:rsidR="004224C0" w:rsidRPr="009B77DE" w:rsidRDefault="004224C0" w:rsidP="00B476ED">
      <w:pPr>
        <w:pStyle w:val="Textonotapie"/>
        <w:ind w:right="-943"/>
        <w:rPr>
          <w:sz w:val="16"/>
          <w:szCs w:val="16"/>
          <w:lang w:val="es-MX"/>
        </w:rPr>
      </w:pPr>
    </w:p>
  </w:footnote>
  <w:footnote w:id="139">
    <w:p w14:paraId="46D052A4" w14:textId="4F3671A3" w:rsidR="004224C0" w:rsidRPr="009B77DE" w:rsidRDefault="004224C0" w:rsidP="00B476ED">
      <w:pPr>
        <w:pStyle w:val="Textonotapie"/>
        <w:ind w:right="-943"/>
        <w:rPr>
          <w:sz w:val="16"/>
          <w:szCs w:val="16"/>
          <w:lang w:val="es-MX"/>
        </w:rPr>
      </w:pPr>
      <w:r w:rsidRPr="009B77DE">
        <w:rPr>
          <w:rStyle w:val="Refdenotaalpie"/>
          <w:rFonts w:eastAsia="MS Mincho"/>
          <w:sz w:val="16"/>
          <w:szCs w:val="16"/>
        </w:rPr>
        <w:footnoteRef/>
      </w:r>
      <w:r w:rsidRPr="009B77DE">
        <w:rPr>
          <w:sz w:val="16"/>
          <w:szCs w:val="16"/>
        </w:rPr>
        <w:t xml:space="preserve">  </w:t>
      </w:r>
      <w:r w:rsidRPr="009B77DE">
        <w:rPr>
          <w:sz w:val="16"/>
          <w:szCs w:val="16"/>
        </w:rPr>
        <w:tab/>
      </w:r>
      <w:r w:rsidRPr="009B77DE">
        <w:rPr>
          <w:i/>
          <w:sz w:val="16"/>
          <w:szCs w:val="16"/>
        </w:rPr>
        <w:t xml:space="preserve">Cfr. </w:t>
      </w:r>
      <w:r w:rsidRPr="009B77DE">
        <w:rPr>
          <w:rFonts w:cs="Arial"/>
          <w:i/>
          <w:sz w:val="16"/>
          <w:szCs w:val="16"/>
          <w:shd w:val="clear" w:color="auto" w:fill="FFFFFF"/>
        </w:rPr>
        <w:t>Caso de la Masacre de Las Dos Erres Vs. Guatemala</w:t>
      </w:r>
      <w:r w:rsidRPr="009B77DE">
        <w:rPr>
          <w:sz w:val="16"/>
          <w:szCs w:val="16"/>
        </w:rPr>
        <w:t>,</w:t>
      </w:r>
      <w:r w:rsidRPr="009B77DE">
        <w:rPr>
          <w:i/>
          <w:sz w:val="16"/>
          <w:szCs w:val="16"/>
        </w:rPr>
        <w:t xml:space="preserve"> </w:t>
      </w:r>
      <w:r w:rsidRPr="009B77DE">
        <w:rPr>
          <w:iCs/>
          <w:sz w:val="16"/>
          <w:szCs w:val="16"/>
        </w:rPr>
        <w:t xml:space="preserve">párr. 270, </w:t>
      </w:r>
      <w:r w:rsidRPr="009B77DE">
        <w:rPr>
          <w:sz w:val="16"/>
          <w:szCs w:val="16"/>
          <w:lang w:val="es-MX"/>
        </w:rPr>
        <w:t xml:space="preserve">y </w:t>
      </w:r>
      <w:r w:rsidRPr="009B77DE">
        <w:rPr>
          <w:rFonts w:cs="Arial"/>
          <w:i/>
          <w:sz w:val="16"/>
          <w:szCs w:val="16"/>
          <w:shd w:val="clear" w:color="auto" w:fill="FFFFFF"/>
        </w:rPr>
        <w:t>Caso Azul Rojas Marín y otra Vs. Perú. Excepciones Preliminares, Fondo, Reparaciones y Costas.</w:t>
      </w:r>
      <w:r w:rsidRPr="009B77DE">
        <w:rPr>
          <w:rFonts w:cs="Arial"/>
          <w:sz w:val="16"/>
          <w:szCs w:val="16"/>
          <w:shd w:val="clear" w:color="auto" w:fill="FFFFFF"/>
        </w:rPr>
        <w:t xml:space="preserve"> Sentencia de 12 de marzo de 2020. Serie C No. 402</w:t>
      </w:r>
      <w:r w:rsidRPr="009B77DE">
        <w:rPr>
          <w:i/>
          <w:iCs/>
          <w:sz w:val="16"/>
          <w:szCs w:val="16"/>
          <w:lang w:val="es-MX"/>
        </w:rPr>
        <w:t xml:space="preserve">, </w:t>
      </w:r>
      <w:r w:rsidRPr="009B77DE">
        <w:rPr>
          <w:sz w:val="16"/>
          <w:szCs w:val="16"/>
          <w:lang w:val="es-MX"/>
        </w:rPr>
        <w:t>párr. 236.</w:t>
      </w:r>
    </w:p>
    <w:p w14:paraId="40FF352B" w14:textId="77777777" w:rsidR="004224C0" w:rsidRPr="009B77DE" w:rsidRDefault="004224C0" w:rsidP="00B476ED">
      <w:pPr>
        <w:pStyle w:val="Textonotapie"/>
        <w:ind w:right="-943"/>
        <w:rPr>
          <w:sz w:val="16"/>
          <w:szCs w:val="16"/>
          <w:lang w:val="es-MX"/>
        </w:rPr>
      </w:pPr>
    </w:p>
  </w:footnote>
  <w:footnote w:id="140">
    <w:p w14:paraId="19A7996D" w14:textId="39492EDA" w:rsidR="004224C0" w:rsidRPr="009B77DE" w:rsidRDefault="004224C0" w:rsidP="00B476ED">
      <w:pPr>
        <w:pStyle w:val="Textonotapie"/>
        <w:ind w:right="-943"/>
        <w:rPr>
          <w:sz w:val="16"/>
          <w:szCs w:val="16"/>
          <w:lang w:val="es-MX"/>
        </w:rPr>
      </w:pPr>
      <w:r w:rsidRPr="009B77DE">
        <w:rPr>
          <w:rStyle w:val="Refdenotaalpie"/>
          <w:rFonts w:eastAsia="MS Mincho"/>
          <w:sz w:val="16"/>
          <w:szCs w:val="16"/>
        </w:rPr>
        <w:footnoteRef/>
      </w:r>
      <w:r w:rsidRPr="009B77DE">
        <w:rPr>
          <w:sz w:val="16"/>
          <w:szCs w:val="16"/>
        </w:rPr>
        <w:t xml:space="preserve"> </w:t>
      </w:r>
      <w:r w:rsidRPr="009B77DE">
        <w:rPr>
          <w:sz w:val="16"/>
          <w:szCs w:val="16"/>
          <w:lang w:val="es-MX"/>
        </w:rPr>
        <w:t xml:space="preserve"> </w:t>
      </w:r>
      <w:r w:rsidRPr="009B77DE">
        <w:rPr>
          <w:sz w:val="16"/>
          <w:szCs w:val="16"/>
          <w:lang w:val="es-MX"/>
        </w:rPr>
        <w:tab/>
      </w:r>
      <w:r w:rsidRPr="009B77DE">
        <w:rPr>
          <w:i/>
          <w:sz w:val="16"/>
          <w:szCs w:val="16"/>
          <w:lang w:val="es-MX"/>
        </w:rPr>
        <w:t xml:space="preserve">Cfr. </w:t>
      </w:r>
      <w:r w:rsidRPr="009B77DE">
        <w:rPr>
          <w:rFonts w:cs="Arial"/>
          <w:i/>
          <w:sz w:val="16"/>
          <w:szCs w:val="16"/>
          <w:shd w:val="clear" w:color="auto" w:fill="FFFFFF"/>
        </w:rPr>
        <w:t>Caso de la Masacre de Las Dos Erres Vs. Guatemala</w:t>
      </w:r>
      <w:r w:rsidRPr="009B77DE">
        <w:rPr>
          <w:sz w:val="16"/>
          <w:szCs w:val="16"/>
          <w:lang w:val="es-MX"/>
        </w:rPr>
        <w:t xml:space="preserve">, </w:t>
      </w:r>
      <w:r w:rsidRPr="009B77DE">
        <w:rPr>
          <w:iCs/>
          <w:sz w:val="16"/>
          <w:szCs w:val="16"/>
          <w:lang w:val="es-MX"/>
        </w:rPr>
        <w:t xml:space="preserve">párr. 270, </w:t>
      </w:r>
      <w:r w:rsidRPr="009B77DE">
        <w:rPr>
          <w:sz w:val="16"/>
          <w:szCs w:val="16"/>
          <w:lang w:val="es-MX"/>
        </w:rPr>
        <w:t xml:space="preserve">y </w:t>
      </w:r>
      <w:r w:rsidRPr="009B77DE">
        <w:rPr>
          <w:rFonts w:cs="Arial"/>
          <w:i/>
          <w:sz w:val="16"/>
          <w:szCs w:val="16"/>
          <w:shd w:val="clear" w:color="auto" w:fill="FFFFFF"/>
        </w:rPr>
        <w:t>Caso Guzmán Albarracín y otras Vs. Ecuador</w:t>
      </w:r>
      <w:r w:rsidRPr="009B77DE">
        <w:rPr>
          <w:rFonts w:cs="Arial"/>
          <w:sz w:val="16"/>
          <w:szCs w:val="16"/>
          <w:shd w:val="clear" w:color="auto" w:fill="FFFFFF"/>
        </w:rPr>
        <w:t>, párr. 226.</w:t>
      </w:r>
    </w:p>
    <w:p w14:paraId="4DB5A62A" w14:textId="77777777" w:rsidR="004224C0" w:rsidRPr="009B77DE" w:rsidRDefault="004224C0" w:rsidP="00B476ED">
      <w:pPr>
        <w:pStyle w:val="Textonotapie"/>
        <w:ind w:right="-943"/>
        <w:rPr>
          <w:sz w:val="16"/>
          <w:szCs w:val="16"/>
          <w:lang w:val="es-MX"/>
        </w:rPr>
      </w:pPr>
    </w:p>
  </w:footnote>
  <w:footnote w:id="141">
    <w:p w14:paraId="44035CFC" w14:textId="27CE7A06" w:rsidR="004224C0" w:rsidRPr="009B77DE" w:rsidRDefault="004224C0" w:rsidP="00B476ED">
      <w:pPr>
        <w:pStyle w:val="Textonotapie"/>
        <w:ind w:right="-943"/>
        <w:rPr>
          <w:i/>
          <w:iCs/>
          <w:sz w:val="16"/>
          <w:szCs w:val="16"/>
          <w:lang w:val="es-MX"/>
        </w:rPr>
      </w:pPr>
      <w:r w:rsidRPr="009B77DE">
        <w:rPr>
          <w:rStyle w:val="Refdenotaalpie"/>
          <w:rFonts w:eastAsia="MS Mincho"/>
          <w:sz w:val="16"/>
          <w:szCs w:val="16"/>
        </w:rPr>
        <w:footnoteRef/>
      </w:r>
      <w:r w:rsidRPr="009B77DE">
        <w:rPr>
          <w:sz w:val="16"/>
          <w:szCs w:val="16"/>
        </w:rPr>
        <w:t xml:space="preserve"> </w:t>
      </w:r>
      <w:r w:rsidRPr="009B77DE">
        <w:rPr>
          <w:sz w:val="16"/>
          <w:szCs w:val="16"/>
          <w:lang w:val="es-MX"/>
        </w:rPr>
        <w:t xml:space="preserve"> </w:t>
      </w:r>
      <w:r w:rsidRPr="009B77DE">
        <w:rPr>
          <w:sz w:val="16"/>
          <w:szCs w:val="16"/>
          <w:lang w:val="es-MX"/>
        </w:rPr>
        <w:tab/>
      </w:r>
      <w:r w:rsidRPr="009B77DE">
        <w:rPr>
          <w:i/>
          <w:sz w:val="16"/>
          <w:szCs w:val="16"/>
          <w:lang w:val="es-MX"/>
        </w:rPr>
        <w:t xml:space="preserve">Cfr. </w:t>
      </w:r>
      <w:r w:rsidRPr="009B77DE">
        <w:rPr>
          <w:rFonts w:cs="Arial"/>
          <w:i/>
          <w:sz w:val="16"/>
          <w:szCs w:val="16"/>
          <w:shd w:val="clear" w:color="auto" w:fill="FFFFFF"/>
        </w:rPr>
        <w:t>Caso Rosendo Cantú y otra Vs. México. Excepción Preliminar, Fondo, Reparaciones y Costas.</w:t>
      </w:r>
      <w:r w:rsidRPr="009B77DE">
        <w:rPr>
          <w:rFonts w:cs="Arial"/>
          <w:sz w:val="16"/>
          <w:szCs w:val="16"/>
          <w:shd w:val="clear" w:color="auto" w:fill="FFFFFF"/>
        </w:rPr>
        <w:t xml:space="preserve"> Sentencia de 31 de agosto de 2010. Serie C No. 216</w:t>
      </w:r>
      <w:r w:rsidRPr="009B77DE">
        <w:rPr>
          <w:sz w:val="16"/>
          <w:szCs w:val="16"/>
          <w:lang w:val="es-MX"/>
        </w:rPr>
        <w:t>,</w:t>
      </w:r>
      <w:r w:rsidRPr="009B77DE">
        <w:rPr>
          <w:i/>
          <w:sz w:val="16"/>
          <w:szCs w:val="16"/>
          <w:lang w:val="es-MX"/>
        </w:rPr>
        <w:t xml:space="preserve"> </w:t>
      </w:r>
      <w:r w:rsidRPr="009B77DE">
        <w:rPr>
          <w:iCs/>
          <w:sz w:val="16"/>
          <w:szCs w:val="16"/>
          <w:lang w:val="es-MX"/>
        </w:rPr>
        <w:t>párr. 253,</w:t>
      </w:r>
      <w:r w:rsidRPr="009B77DE">
        <w:rPr>
          <w:sz w:val="16"/>
          <w:szCs w:val="16"/>
          <w:lang w:val="es-MX"/>
        </w:rPr>
        <w:t xml:space="preserve"> y </w:t>
      </w:r>
      <w:r w:rsidRPr="009B77DE">
        <w:rPr>
          <w:rFonts w:cs="Arial"/>
          <w:i/>
          <w:sz w:val="16"/>
          <w:szCs w:val="16"/>
          <w:shd w:val="clear" w:color="auto" w:fill="FFFFFF"/>
        </w:rPr>
        <w:t>Caso Guzmán Albarracín y otras Vs. Ecuador</w:t>
      </w:r>
      <w:r w:rsidRPr="009B77DE">
        <w:rPr>
          <w:rFonts w:cs="Arial"/>
          <w:sz w:val="16"/>
          <w:szCs w:val="16"/>
          <w:shd w:val="clear" w:color="auto" w:fill="FFFFFF"/>
        </w:rPr>
        <w:t>, párr. 227.</w:t>
      </w:r>
    </w:p>
    <w:p w14:paraId="06F65E5A" w14:textId="77777777" w:rsidR="004224C0" w:rsidRPr="009B77DE" w:rsidRDefault="004224C0" w:rsidP="00B476ED">
      <w:pPr>
        <w:pStyle w:val="Textonotapie"/>
        <w:ind w:right="-943"/>
        <w:rPr>
          <w:sz w:val="16"/>
          <w:szCs w:val="16"/>
          <w:lang w:val="es-MX"/>
        </w:rPr>
      </w:pPr>
    </w:p>
  </w:footnote>
  <w:footnote w:id="142">
    <w:p w14:paraId="5012FFDF" w14:textId="068C5EC7" w:rsidR="004224C0" w:rsidRPr="009B77DE" w:rsidRDefault="004224C0" w:rsidP="00B476ED">
      <w:pPr>
        <w:pStyle w:val="Textonotapie"/>
        <w:tabs>
          <w:tab w:val="left" w:pos="540"/>
        </w:tabs>
        <w:ind w:right="-943"/>
        <w:rPr>
          <w:sz w:val="16"/>
          <w:szCs w:val="16"/>
          <w:lang w:val="es-MX"/>
        </w:rPr>
      </w:pPr>
      <w:r w:rsidRPr="009B77DE">
        <w:rPr>
          <w:rStyle w:val="Refdenotaalpie"/>
          <w:rFonts w:eastAsia="MS Mincho"/>
          <w:sz w:val="16"/>
          <w:szCs w:val="16"/>
          <w:lang w:val="es-ES"/>
        </w:rPr>
        <w:footnoteRef/>
      </w:r>
      <w:r w:rsidRPr="009B77DE">
        <w:rPr>
          <w:sz w:val="16"/>
          <w:szCs w:val="16"/>
          <w:lang w:val="es-ES"/>
        </w:rPr>
        <w:t xml:space="preserve"> </w:t>
      </w:r>
      <w:r w:rsidRPr="009B77DE">
        <w:rPr>
          <w:sz w:val="16"/>
          <w:szCs w:val="16"/>
          <w:lang w:val="es-ES"/>
        </w:rPr>
        <w:tab/>
      </w:r>
      <w:r w:rsidRPr="009B77DE">
        <w:rPr>
          <w:i/>
          <w:iCs/>
          <w:sz w:val="16"/>
          <w:szCs w:val="16"/>
          <w:lang w:val="es-ES"/>
        </w:rPr>
        <w:t xml:space="preserve">Cfr. Caso Cantoral Benavides Vs. Perú. Reparaciones y Costas. </w:t>
      </w:r>
      <w:r w:rsidRPr="009B77DE">
        <w:rPr>
          <w:iCs/>
          <w:sz w:val="16"/>
          <w:szCs w:val="16"/>
          <w:lang w:val="es-ES"/>
        </w:rPr>
        <w:t>Sentencia de 3 de diciembre de 2001. Serie C No. 88</w:t>
      </w:r>
      <w:r w:rsidRPr="009B77DE">
        <w:rPr>
          <w:sz w:val="16"/>
          <w:szCs w:val="16"/>
          <w:lang w:val="es-ES"/>
        </w:rPr>
        <w:t xml:space="preserve">, párr. 79, </w:t>
      </w:r>
      <w:r w:rsidRPr="009B77DE">
        <w:rPr>
          <w:sz w:val="16"/>
          <w:szCs w:val="16"/>
          <w:lang w:val="es-MX"/>
        </w:rPr>
        <w:t xml:space="preserve">y </w:t>
      </w:r>
      <w:r w:rsidRPr="009B77DE">
        <w:rPr>
          <w:rFonts w:cs="Arial"/>
          <w:i/>
          <w:sz w:val="16"/>
          <w:shd w:val="clear" w:color="auto" w:fill="FFFFFF"/>
        </w:rPr>
        <w:t>Caso Acosta Martínez y otros Vs. Argentina. Fondo, Reparaciones y Costas.</w:t>
      </w:r>
      <w:r w:rsidRPr="009B77DE">
        <w:rPr>
          <w:rFonts w:cs="Arial"/>
          <w:sz w:val="16"/>
          <w:shd w:val="clear" w:color="auto" w:fill="FFFFFF"/>
        </w:rPr>
        <w:t xml:space="preserve"> Sentencia de 31 de agosto de 2020. Serie C No. 410, párr. 114. </w:t>
      </w:r>
    </w:p>
    <w:p w14:paraId="03EEDD11" w14:textId="77777777" w:rsidR="004224C0" w:rsidRPr="0000014D" w:rsidRDefault="004224C0" w:rsidP="00B476ED">
      <w:pPr>
        <w:pStyle w:val="Textonotapie"/>
        <w:tabs>
          <w:tab w:val="left" w:pos="540"/>
        </w:tabs>
        <w:ind w:right="-943"/>
        <w:rPr>
          <w:sz w:val="16"/>
          <w:szCs w:val="16"/>
          <w:lang w:val="es-MX"/>
        </w:rPr>
      </w:pPr>
    </w:p>
  </w:footnote>
  <w:footnote w:id="143">
    <w:p w14:paraId="7DA37A7D" w14:textId="689FE788" w:rsidR="004224C0" w:rsidRPr="0000014D" w:rsidRDefault="004224C0" w:rsidP="00B476ED">
      <w:pPr>
        <w:pStyle w:val="Textonotapie"/>
        <w:ind w:right="-943"/>
        <w:rPr>
          <w:sz w:val="16"/>
          <w:szCs w:val="16"/>
          <w:lang w:val="es-CR"/>
        </w:rPr>
      </w:pPr>
      <w:r w:rsidRPr="0000014D">
        <w:rPr>
          <w:rStyle w:val="Refdenotaalpie"/>
          <w:rFonts w:eastAsia="MS Mincho"/>
          <w:sz w:val="16"/>
          <w:szCs w:val="16"/>
        </w:rPr>
        <w:footnoteRef/>
      </w:r>
      <w:r w:rsidRPr="0000014D">
        <w:rPr>
          <w:sz w:val="16"/>
          <w:szCs w:val="16"/>
        </w:rPr>
        <w:t xml:space="preserve"> </w:t>
      </w:r>
      <w:r w:rsidRPr="0000014D">
        <w:rPr>
          <w:sz w:val="16"/>
          <w:szCs w:val="16"/>
        </w:rPr>
        <w:tab/>
      </w:r>
      <w:r w:rsidRPr="0000014D">
        <w:rPr>
          <w:sz w:val="16"/>
          <w:szCs w:val="16"/>
          <w:lang w:val="es-CR"/>
        </w:rPr>
        <w:t>La Comisión mencionó “hacinamiento; uso excesivo de la prisión preventiva; deplorables condiciones de detención; violencia generalizada; falta de control efectivo por parte del Estado, y corrupción”. Expresó que, en ausencia de datos oficiales, conoce esa situación por otras fuentes y, en ese sentido, señaló que “[e]l informe sobre Venezuela de la Oficina de la Alta Comisionada de las Naciones Unidas para los Derechos Humanos publicado en 2018 da cuenta, por ejemplo, de detenciones de adolescentes en régimen de incomunicación, sin acceso a abogados o familiares durante más cuatro meses y privados de libertad con personas adultas. También destacó que organizaciones no gubernamentales han registrado</w:t>
      </w:r>
      <w:r>
        <w:rPr>
          <w:sz w:val="16"/>
          <w:szCs w:val="16"/>
          <w:lang w:val="es-CR"/>
        </w:rPr>
        <w:t xml:space="preserve"> muertes en prisiones y</w:t>
      </w:r>
      <w:r w:rsidRPr="0000014D">
        <w:rPr>
          <w:sz w:val="16"/>
          <w:szCs w:val="16"/>
          <w:lang w:val="es-CR"/>
        </w:rPr>
        <w:t xml:space="preserve"> casos de adolescentes privados de la libertad con personas adultas en comisarías, desacato por las fuerzas policiales de decisiones judiciales que ordenan la libertad de adolescentes,</w:t>
      </w:r>
      <w:r>
        <w:rPr>
          <w:sz w:val="16"/>
          <w:szCs w:val="16"/>
          <w:lang w:val="es-CR"/>
        </w:rPr>
        <w:t xml:space="preserve"> </w:t>
      </w:r>
      <w:r w:rsidRPr="0000014D">
        <w:rPr>
          <w:sz w:val="16"/>
          <w:szCs w:val="16"/>
          <w:lang w:val="es-CR"/>
        </w:rPr>
        <w:t xml:space="preserve">adolescentes sometidos a regímenes de aislamiento, adiestramiento militar y trato degradante”. </w:t>
      </w:r>
    </w:p>
    <w:p w14:paraId="039EF8C9" w14:textId="77777777" w:rsidR="004224C0" w:rsidRPr="0000014D" w:rsidRDefault="004224C0" w:rsidP="00B476ED">
      <w:pPr>
        <w:pStyle w:val="Textonotapie"/>
        <w:ind w:right="-943"/>
        <w:rPr>
          <w:sz w:val="16"/>
          <w:szCs w:val="16"/>
          <w:lang w:val="es-CR"/>
        </w:rPr>
      </w:pPr>
    </w:p>
  </w:footnote>
  <w:footnote w:id="144">
    <w:p w14:paraId="04BAF5BD" w14:textId="669F3F45" w:rsidR="004224C0" w:rsidRPr="004F7BF4" w:rsidRDefault="004224C0" w:rsidP="00B476ED">
      <w:pPr>
        <w:widowControl/>
        <w:tabs>
          <w:tab w:val="left" w:pos="567"/>
        </w:tabs>
        <w:autoSpaceDE w:val="0"/>
        <w:autoSpaceDN w:val="0"/>
        <w:spacing w:line="240" w:lineRule="auto"/>
        <w:ind w:right="-943"/>
        <w:textAlignment w:val="auto"/>
        <w:rPr>
          <w:sz w:val="16"/>
          <w:szCs w:val="16"/>
          <w:lang w:val="es-CO"/>
        </w:rPr>
      </w:pPr>
      <w:r w:rsidRPr="009A26C4">
        <w:rPr>
          <w:rStyle w:val="Refdenotaalpie"/>
          <w:sz w:val="16"/>
          <w:szCs w:val="16"/>
        </w:rPr>
        <w:footnoteRef/>
      </w:r>
      <w:r w:rsidRPr="009A26C4">
        <w:rPr>
          <w:sz w:val="16"/>
          <w:szCs w:val="16"/>
        </w:rPr>
        <w:t xml:space="preserve"> </w:t>
      </w:r>
      <w:r w:rsidRPr="009A26C4">
        <w:rPr>
          <w:sz w:val="16"/>
          <w:szCs w:val="16"/>
        </w:rPr>
        <w:tab/>
      </w:r>
      <w:r w:rsidRPr="009A26C4">
        <w:rPr>
          <w:sz w:val="16"/>
          <w:szCs w:val="16"/>
          <w:lang w:val="es-CO"/>
        </w:rPr>
        <w:t>La Comisión resaltó que, d</w:t>
      </w:r>
      <w:r w:rsidRPr="004F7BF4">
        <w:rPr>
          <w:sz w:val="16"/>
          <w:szCs w:val="16"/>
          <w:lang w:val="es-CO"/>
        </w:rPr>
        <w:t xml:space="preserve">e acuerdo </w:t>
      </w:r>
      <w:r>
        <w:rPr>
          <w:sz w:val="16"/>
          <w:szCs w:val="16"/>
          <w:lang w:val="es-CO"/>
        </w:rPr>
        <w:t>con</w:t>
      </w:r>
      <w:r w:rsidRPr="004F7BF4">
        <w:rPr>
          <w:sz w:val="16"/>
          <w:szCs w:val="16"/>
          <w:lang w:val="es-CO"/>
        </w:rPr>
        <w:t xml:space="preserve"> </w:t>
      </w:r>
      <w:r>
        <w:rPr>
          <w:sz w:val="16"/>
          <w:szCs w:val="16"/>
          <w:lang w:val="es-CO"/>
        </w:rPr>
        <w:t>e</w:t>
      </w:r>
      <w:r w:rsidRPr="004F7BF4">
        <w:rPr>
          <w:sz w:val="16"/>
          <w:szCs w:val="16"/>
          <w:lang w:val="es-CO"/>
        </w:rPr>
        <w:t xml:space="preserve">l peritaje de la señora Vásquez González, “el reglamento previsto en el artículo 79 del Código Orgánico Procesal Penal, referido a los centros de atención de adolescentes en conflicto con la ley penal, aún no ha sido adoptado”. Además, </w:t>
      </w:r>
      <w:r w:rsidRPr="009A26C4">
        <w:rPr>
          <w:sz w:val="16"/>
          <w:szCs w:val="16"/>
          <w:lang w:val="es-CO"/>
        </w:rPr>
        <w:t xml:space="preserve">señaló que la declaración pericial afirmó que </w:t>
      </w:r>
      <w:r w:rsidRPr="004F7BF4">
        <w:rPr>
          <w:sz w:val="16"/>
          <w:szCs w:val="16"/>
          <w:lang w:val="es-CO"/>
        </w:rPr>
        <w:t>“desde hace veinte años estaría pendiente la creación de las Cortes de Apelaciones del Sistema Penal de Adolescentes en todo el país”</w:t>
      </w:r>
      <w:r w:rsidRPr="009A26C4">
        <w:rPr>
          <w:sz w:val="16"/>
          <w:szCs w:val="16"/>
          <w:lang w:val="es-CO"/>
        </w:rPr>
        <w:t xml:space="preserve"> y que </w:t>
      </w:r>
      <w:r w:rsidRPr="004F7BF4">
        <w:rPr>
          <w:sz w:val="16"/>
          <w:szCs w:val="16"/>
          <w:lang w:val="es-CO"/>
        </w:rPr>
        <w:t>“[e]</w:t>
      </w:r>
      <w:r w:rsidRPr="004F7BF4">
        <w:rPr>
          <w:rFonts w:eastAsiaTheme="minorHAnsi" w:cs="Cambria"/>
          <w:sz w:val="16"/>
          <w:szCs w:val="16"/>
          <w:lang w:eastAsia="en-US"/>
        </w:rPr>
        <w:t>n relación con la Ley Orgánica para la Protección de Niños, Niñas y Adolescentes (LOPNNA)”, “no se designó un órgano rector</w:t>
      </w:r>
      <w:r w:rsidRPr="009A26C4">
        <w:rPr>
          <w:rFonts w:eastAsiaTheme="minorHAnsi" w:cs="Cambria"/>
          <w:sz w:val="16"/>
          <w:szCs w:val="16"/>
          <w:lang w:eastAsia="en-US"/>
        </w:rPr>
        <w:t>”. Notó que el peritaje expresó también que la LOPNNA</w:t>
      </w:r>
      <w:r w:rsidRPr="004F7BF4">
        <w:rPr>
          <w:rFonts w:eastAsiaTheme="minorHAnsi" w:cs="Cambria"/>
          <w:sz w:val="16"/>
          <w:szCs w:val="16"/>
          <w:lang w:eastAsia="en-US"/>
        </w:rPr>
        <w:t xml:space="preserve"> “aumentó la pena máxima de privación de libertad de adolescentes de cinco a diez años”. Por lo dicho, la Comisión consideró que “</w:t>
      </w:r>
      <w:r w:rsidRPr="004F7BF4">
        <w:rPr>
          <w:sz w:val="16"/>
          <w:szCs w:val="16"/>
          <w:lang w:val="es-CO"/>
        </w:rPr>
        <w:t>el cambio legislativo que el Estado de Venezuela destaca como positivo en su escrito de contestación, en la práctica priorizó una respuesta punitiva respecto a los y las adolescentes en contacto con la ley penal”.</w:t>
      </w:r>
    </w:p>
    <w:p w14:paraId="1372086A" w14:textId="77777777" w:rsidR="004224C0" w:rsidRPr="009A26C4" w:rsidRDefault="004224C0" w:rsidP="00B476ED">
      <w:pPr>
        <w:pStyle w:val="Textonotapie"/>
        <w:ind w:right="-943"/>
        <w:rPr>
          <w:lang w:val="es-CR"/>
        </w:rPr>
      </w:pPr>
    </w:p>
  </w:footnote>
  <w:footnote w:id="145">
    <w:p w14:paraId="18B97931" w14:textId="18576324" w:rsidR="004224C0" w:rsidRPr="004F7BF4" w:rsidRDefault="004224C0" w:rsidP="00B476ED">
      <w:pPr>
        <w:pStyle w:val="Textonotapie"/>
        <w:ind w:right="-943"/>
        <w:rPr>
          <w:lang w:val="es-CR"/>
        </w:rPr>
      </w:pPr>
      <w:r>
        <w:rPr>
          <w:rStyle w:val="Refdenotaalpie"/>
        </w:rPr>
        <w:footnoteRef/>
      </w:r>
      <w:r>
        <w:t xml:space="preserve"> </w:t>
      </w:r>
      <w:r>
        <w:tab/>
      </w:r>
      <w:r w:rsidRPr="003B5095">
        <w:rPr>
          <w:rFonts w:eastAsiaTheme="minorHAnsi"/>
          <w:sz w:val="16"/>
          <w:szCs w:val="16"/>
          <w:lang w:eastAsia="en-US"/>
        </w:rPr>
        <w:t xml:space="preserve">El detalle de lo que los representantes solicitan que se ordene al Estado es el siguiente: A) </w:t>
      </w:r>
      <w:r w:rsidRPr="004F7BF4">
        <w:rPr>
          <w:rFonts w:eastAsiaTheme="minorHAnsi"/>
          <w:sz w:val="16"/>
          <w:szCs w:val="16"/>
          <w:lang w:eastAsia="en-US"/>
        </w:rPr>
        <w:t>“Reformar el Código Orgánico Penitenciario, el Código Orgánico Procesal Penal y demás leyes concernientes al tema penitenciario a fin de que estén alineados a los estándares internacionales de protección de los derechos humanos y en particular los que rigen en materia de niños, niñas y adolescentes”. En sus alegatos finales escritos puntualizaron que solicitan la reforma al título V de la LOPPNA.</w:t>
      </w:r>
      <w:r w:rsidRPr="003B5095">
        <w:rPr>
          <w:rFonts w:eastAsiaTheme="minorHAnsi"/>
          <w:sz w:val="16"/>
          <w:szCs w:val="16"/>
          <w:lang w:eastAsia="en-US"/>
        </w:rPr>
        <w:t xml:space="preserve"> B) </w:t>
      </w:r>
      <w:r w:rsidRPr="004F7BF4">
        <w:rPr>
          <w:rFonts w:eastAsiaTheme="minorHAnsi"/>
          <w:sz w:val="16"/>
          <w:szCs w:val="16"/>
          <w:lang w:eastAsia="en-US"/>
        </w:rPr>
        <w:t>“Adaptar su marco legal en materia penitenciaria a los estándares interamericanos y demás estándares internacionales consagrados en los siguientes instrumentos, entre otros: (i) los Principios y Buenas Prácticas sobre la Protección de las Personas Privadas de Libertad en las Américas; (</w:t>
      </w:r>
      <w:proofErr w:type="spellStart"/>
      <w:r w:rsidRPr="004F7BF4">
        <w:rPr>
          <w:rFonts w:eastAsiaTheme="minorHAnsi"/>
          <w:sz w:val="16"/>
          <w:szCs w:val="16"/>
          <w:lang w:eastAsia="en-US"/>
        </w:rPr>
        <w:t>ii</w:t>
      </w:r>
      <w:proofErr w:type="spellEnd"/>
      <w:r w:rsidRPr="004F7BF4">
        <w:rPr>
          <w:rFonts w:eastAsiaTheme="minorHAnsi"/>
          <w:sz w:val="16"/>
          <w:szCs w:val="16"/>
          <w:lang w:eastAsia="en-US"/>
        </w:rPr>
        <w:t>) Reglas Mínimas de las Naciones Unidas para el Tratamiento de los Reclusos (Reglas Nelson Mandela); (</w:t>
      </w:r>
      <w:proofErr w:type="spellStart"/>
      <w:r w:rsidRPr="004F7BF4">
        <w:rPr>
          <w:rFonts w:eastAsiaTheme="minorHAnsi"/>
          <w:sz w:val="16"/>
          <w:szCs w:val="16"/>
          <w:lang w:eastAsia="en-US"/>
        </w:rPr>
        <w:t>iii</w:t>
      </w:r>
      <w:proofErr w:type="spellEnd"/>
      <w:r w:rsidRPr="004F7BF4">
        <w:rPr>
          <w:rFonts w:eastAsiaTheme="minorHAnsi"/>
          <w:sz w:val="16"/>
          <w:szCs w:val="16"/>
          <w:lang w:eastAsia="en-US"/>
        </w:rPr>
        <w:t>) los Principios Básicos para el tratamiento de los reclusos; (</w:t>
      </w:r>
      <w:proofErr w:type="spellStart"/>
      <w:r w:rsidRPr="004F7BF4">
        <w:rPr>
          <w:rFonts w:eastAsiaTheme="minorHAnsi"/>
          <w:sz w:val="16"/>
          <w:szCs w:val="16"/>
          <w:lang w:eastAsia="en-US"/>
        </w:rPr>
        <w:t>iv</w:t>
      </w:r>
      <w:proofErr w:type="spellEnd"/>
      <w:r w:rsidRPr="004F7BF4">
        <w:rPr>
          <w:rFonts w:eastAsiaTheme="minorHAnsi"/>
          <w:sz w:val="16"/>
          <w:szCs w:val="16"/>
          <w:lang w:eastAsia="en-US"/>
        </w:rPr>
        <w:t>) las Reglas de Tokio;  (v) el Conjunto de Principios para la protección de todas las personas sometidas a cualquier forma de detención o prisión; (vi) las Reglas de las Naciones Unidas para la protección de menores privados de libertad; (</w:t>
      </w:r>
      <w:proofErr w:type="spellStart"/>
      <w:r w:rsidRPr="004F7BF4">
        <w:rPr>
          <w:rFonts w:eastAsiaTheme="minorHAnsi"/>
          <w:sz w:val="16"/>
          <w:szCs w:val="16"/>
          <w:lang w:eastAsia="en-US"/>
        </w:rPr>
        <w:t>vii</w:t>
      </w:r>
      <w:proofErr w:type="spellEnd"/>
      <w:r w:rsidRPr="004F7BF4">
        <w:rPr>
          <w:rFonts w:eastAsiaTheme="minorHAnsi"/>
          <w:sz w:val="16"/>
          <w:szCs w:val="16"/>
          <w:lang w:eastAsia="en-US"/>
        </w:rPr>
        <w:t>) el Código internacional de protección contra incendios; y (</w:t>
      </w:r>
      <w:proofErr w:type="spellStart"/>
      <w:r w:rsidRPr="004F7BF4">
        <w:rPr>
          <w:rFonts w:eastAsiaTheme="minorHAnsi"/>
          <w:sz w:val="16"/>
          <w:szCs w:val="16"/>
          <w:lang w:eastAsia="en-US"/>
        </w:rPr>
        <w:t>viii</w:t>
      </w:r>
      <w:proofErr w:type="spellEnd"/>
      <w:r w:rsidRPr="004F7BF4">
        <w:rPr>
          <w:rFonts w:eastAsiaTheme="minorHAnsi"/>
          <w:sz w:val="16"/>
          <w:szCs w:val="16"/>
          <w:lang w:eastAsia="en-US"/>
        </w:rPr>
        <w:t xml:space="preserve">) el </w:t>
      </w:r>
      <w:proofErr w:type="spellStart"/>
      <w:r w:rsidRPr="004F7BF4">
        <w:rPr>
          <w:rFonts w:eastAsiaTheme="minorHAnsi"/>
          <w:i/>
          <w:iCs/>
          <w:sz w:val="16"/>
          <w:szCs w:val="16"/>
          <w:lang w:eastAsia="en-US"/>
        </w:rPr>
        <w:t>Life</w:t>
      </w:r>
      <w:proofErr w:type="spellEnd"/>
      <w:r w:rsidRPr="004F7BF4">
        <w:rPr>
          <w:rFonts w:eastAsiaTheme="minorHAnsi"/>
          <w:i/>
          <w:iCs/>
          <w:sz w:val="16"/>
          <w:szCs w:val="16"/>
          <w:lang w:eastAsia="en-US"/>
        </w:rPr>
        <w:t xml:space="preserve"> Safety </w:t>
      </w:r>
      <w:proofErr w:type="spellStart"/>
      <w:r w:rsidRPr="004F7BF4">
        <w:rPr>
          <w:rFonts w:eastAsiaTheme="minorHAnsi"/>
          <w:i/>
          <w:iCs/>
          <w:sz w:val="16"/>
          <w:szCs w:val="16"/>
          <w:lang w:eastAsia="en-US"/>
        </w:rPr>
        <w:t>Code</w:t>
      </w:r>
      <w:proofErr w:type="spellEnd"/>
      <w:r w:rsidRPr="004F7BF4">
        <w:rPr>
          <w:rFonts w:eastAsiaTheme="minorHAnsi"/>
          <w:i/>
          <w:iCs/>
          <w:sz w:val="16"/>
          <w:szCs w:val="16"/>
          <w:lang w:eastAsia="en-US"/>
        </w:rPr>
        <w:t xml:space="preserve"> NFPA-101 </w:t>
      </w:r>
      <w:r w:rsidRPr="004F7BF4">
        <w:rPr>
          <w:rFonts w:eastAsiaTheme="minorHAnsi"/>
          <w:sz w:val="16"/>
          <w:szCs w:val="16"/>
          <w:lang w:eastAsia="en-US"/>
        </w:rPr>
        <w:t>de la Asociación Nacional de Protección de Estados Unidos”.</w:t>
      </w:r>
      <w:r w:rsidRPr="003B5095">
        <w:rPr>
          <w:rFonts w:eastAsiaTheme="minorHAnsi"/>
          <w:sz w:val="16"/>
          <w:szCs w:val="16"/>
          <w:lang w:eastAsia="en-US"/>
        </w:rPr>
        <w:t xml:space="preserve"> C)</w:t>
      </w:r>
      <w:r w:rsidRPr="004F7BF4">
        <w:rPr>
          <w:rFonts w:eastAsiaTheme="minorHAnsi"/>
          <w:sz w:val="16"/>
          <w:szCs w:val="16"/>
          <w:lang w:eastAsia="en-US"/>
        </w:rPr>
        <w:t>“Adoptar políticas penitenciarias de prevención a fin de reducir al mínimo las situaciones de emergencia o riesgo en los centros de detención, incluyendo, entre otras, (i) entrenamientos para el personal de los centros de detención en cuanto a procedimientos de evacuación y primeros auxilios durante incendios y otros tipos de catástrofes; (</w:t>
      </w:r>
      <w:proofErr w:type="spellStart"/>
      <w:r w:rsidRPr="004F7BF4">
        <w:rPr>
          <w:rFonts w:eastAsiaTheme="minorHAnsi"/>
          <w:sz w:val="16"/>
          <w:szCs w:val="16"/>
          <w:lang w:eastAsia="en-US"/>
        </w:rPr>
        <w:t>ii</w:t>
      </w:r>
      <w:proofErr w:type="spellEnd"/>
      <w:r w:rsidRPr="004F7BF4">
        <w:rPr>
          <w:rFonts w:eastAsiaTheme="minorHAnsi"/>
          <w:sz w:val="16"/>
          <w:szCs w:val="16"/>
          <w:lang w:eastAsia="en-US"/>
        </w:rPr>
        <w:t>) reparación y mantenimiento de los sistemas de electricidad en los centros de detención; (</w:t>
      </w:r>
      <w:proofErr w:type="spellStart"/>
      <w:r w:rsidRPr="004F7BF4">
        <w:rPr>
          <w:rFonts w:eastAsiaTheme="minorHAnsi"/>
          <w:sz w:val="16"/>
          <w:szCs w:val="16"/>
          <w:lang w:eastAsia="en-US"/>
        </w:rPr>
        <w:t>iii</w:t>
      </w:r>
      <w:proofErr w:type="spellEnd"/>
      <w:r w:rsidRPr="004F7BF4">
        <w:rPr>
          <w:rFonts w:eastAsiaTheme="minorHAnsi"/>
          <w:sz w:val="16"/>
          <w:szCs w:val="16"/>
          <w:lang w:eastAsia="en-US"/>
        </w:rPr>
        <w:t>) implementación de sistemas de alerta temprana y detección así como extinción de incendios y otros peligros en centros de detención; (</w:t>
      </w:r>
      <w:proofErr w:type="spellStart"/>
      <w:r w:rsidRPr="004F7BF4">
        <w:rPr>
          <w:rFonts w:eastAsiaTheme="minorHAnsi"/>
          <w:sz w:val="16"/>
          <w:szCs w:val="16"/>
          <w:lang w:eastAsia="en-US"/>
        </w:rPr>
        <w:t>iv</w:t>
      </w:r>
      <w:proofErr w:type="spellEnd"/>
      <w:r w:rsidRPr="004F7BF4">
        <w:rPr>
          <w:rFonts w:eastAsiaTheme="minorHAnsi"/>
          <w:sz w:val="16"/>
          <w:szCs w:val="16"/>
          <w:lang w:eastAsia="en-US"/>
        </w:rPr>
        <w:t xml:space="preserve">) instalación de equipos adecuados para responder a emergencias en centros de detención”. </w:t>
      </w:r>
      <w:r w:rsidRPr="003B5095">
        <w:rPr>
          <w:rFonts w:eastAsiaTheme="minorHAnsi"/>
          <w:sz w:val="16"/>
          <w:szCs w:val="16"/>
          <w:lang w:eastAsia="en-US"/>
        </w:rPr>
        <w:t xml:space="preserve">D) </w:t>
      </w:r>
      <w:r w:rsidRPr="004F7BF4">
        <w:rPr>
          <w:rFonts w:eastAsiaTheme="minorHAnsi"/>
          <w:sz w:val="16"/>
          <w:szCs w:val="16"/>
          <w:lang w:eastAsia="en-US"/>
        </w:rPr>
        <w:t>“Implementar programas destinados a formar a los funcionarios públicos encargados de implementar medidas de seguridad en los centros de detención a fin de asegurar el cabal cumplimiento de los estándares internacionales de protección de las personas privadas de libertad y sus derechos humanos, en particular cuando se trata de adolescentes privados de libertad o bajo régimen de detención preventiva”.</w:t>
      </w:r>
      <w:r w:rsidRPr="003B5095">
        <w:rPr>
          <w:rFonts w:eastAsiaTheme="minorHAnsi"/>
          <w:sz w:val="16"/>
          <w:szCs w:val="16"/>
          <w:lang w:eastAsia="en-US"/>
        </w:rPr>
        <w:t xml:space="preserve"> E)</w:t>
      </w:r>
      <w:r w:rsidRPr="004F7BF4">
        <w:rPr>
          <w:rFonts w:eastAsiaTheme="minorHAnsi"/>
          <w:sz w:val="16"/>
          <w:szCs w:val="16"/>
          <w:lang w:eastAsia="en-US"/>
        </w:rPr>
        <w:t xml:space="preserve"> “Desarrollar acciones que permitan neutralizar o disminuir los efectos </w:t>
      </w:r>
      <w:proofErr w:type="spellStart"/>
      <w:r w:rsidRPr="004F7BF4">
        <w:rPr>
          <w:rFonts w:eastAsiaTheme="minorHAnsi"/>
          <w:sz w:val="16"/>
          <w:szCs w:val="16"/>
          <w:lang w:eastAsia="en-US"/>
        </w:rPr>
        <w:t>desocializadores</w:t>
      </w:r>
      <w:proofErr w:type="spellEnd"/>
      <w:r w:rsidRPr="004F7BF4">
        <w:rPr>
          <w:rFonts w:eastAsiaTheme="minorHAnsi"/>
          <w:sz w:val="16"/>
          <w:szCs w:val="16"/>
          <w:lang w:eastAsia="en-US"/>
        </w:rPr>
        <w:t xml:space="preserve"> del encierro de adolescentes evitando en la mayor medida posible la vulneración de otros derechos como la educación y la salud, y permitan el fortalecimiento de los vínculos familiares y comunitarios”.</w:t>
      </w:r>
      <w:r w:rsidRPr="003B5095">
        <w:rPr>
          <w:rFonts w:eastAsiaTheme="minorHAnsi"/>
          <w:sz w:val="16"/>
          <w:szCs w:val="16"/>
          <w:lang w:eastAsia="en-US"/>
        </w:rPr>
        <w:t xml:space="preserve"> F) </w:t>
      </w:r>
      <w:r w:rsidRPr="004F7BF4">
        <w:rPr>
          <w:rFonts w:eastAsiaTheme="minorHAnsi"/>
          <w:sz w:val="16"/>
          <w:szCs w:val="16"/>
          <w:lang w:eastAsia="en-US"/>
        </w:rPr>
        <w:t xml:space="preserve">“Publicar datos oficiales sobre la situación de las personas privadas de libertad”. </w:t>
      </w:r>
    </w:p>
    <w:p w14:paraId="1E6B067F" w14:textId="77777777" w:rsidR="004224C0" w:rsidRPr="003B5095" w:rsidRDefault="004224C0" w:rsidP="00B476ED">
      <w:pPr>
        <w:pStyle w:val="Textonotapie"/>
        <w:ind w:right="-943"/>
        <w:rPr>
          <w:lang w:val="es-CR"/>
        </w:rPr>
      </w:pPr>
    </w:p>
  </w:footnote>
  <w:footnote w:id="146">
    <w:p w14:paraId="0AE50ABC" w14:textId="6438E219" w:rsidR="004224C0" w:rsidRPr="0000014D" w:rsidRDefault="004224C0" w:rsidP="00B476ED">
      <w:pPr>
        <w:pStyle w:val="Textonotapie"/>
        <w:ind w:right="-943"/>
        <w:rPr>
          <w:sz w:val="16"/>
          <w:szCs w:val="16"/>
          <w:lang w:val="es-CR"/>
        </w:rPr>
      </w:pPr>
      <w:r w:rsidRPr="0000014D">
        <w:rPr>
          <w:rStyle w:val="Refdenotaalpie"/>
          <w:rFonts w:eastAsia="MS Mincho"/>
          <w:sz w:val="16"/>
          <w:szCs w:val="16"/>
        </w:rPr>
        <w:footnoteRef/>
      </w:r>
      <w:r w:rsidRPr="0000014D">
        <w:rPr>
          <w:sz w:val="16"/>
          <w:szCs w:val="16"/>
        </w:rPr>
        <w:t xml:space="preserve"> </w:t>
      </w:r>
      <w:r w:rsidRPr="0000014D">
        <w:rPr>
          <w:sz w:val="16"/>
          <w:szCs w:val="16"/>
        </w:rPr>
        <w:tab/>
      </w:r>
      <w:r w:rsidRPr="0000014D">
        <w:rPr>
          <w:sz w:val="16"/>
          <w:szCs w:val="16"/>
          <w:lang w:val="es-CR"/>
        </w:rPr>
        <w:t>Los representantes sostuvieron que han conocido “denuncias” que indican tratos crueles, inhumanos y degradantes y que “el ‘Nuevo Régimen Penitenciario’ vulnera […] continuamente los derechos humanos de las personas privadas de libertad que son obligadas a realizar ejercicios militares, incluyendo cantar himnos en apoyo al gobierno, son privadas de beneficios como las visitas, e incluso son sometidas al aislamiento y no se les suministran alimentos”</w:t>
      </w:r>
      <w:r>
        <w:rPr>
          <w:sz w:val="16"/>
          <w:szCs w:val="16"/>
          <w:lang w:val="es-CR"/>
        </w:rPr>
        <w:t>.</w:t>
      </w:r>
      <w:r w:rsidRPr="0000014D">
        <w:rPr>
          <w:sz w:val="16"/>
          <w:szCs w:val="16"/>
          <w:lang w:val="es-CR"/>
        </w:rPr>
        <w:t xml:space="preserve"> Afirmaron que, “[a]</w:t>
      </w:r>
      <w:proofErr w:type="spellStart"/>
      <w:r w:rsidRPr="0000014D">
        <w:rPr>
          <w:rFonts w:eastAsiaTheme="minorHAnsi"/>
          <w:sz w:val="16"/>
          <w:szCs w:val="16"/>
          <w:lang w:eastAsia="en-US"/>
        </w:rPr>
        <w:t>dicionalmente</w:t>
      </w:r>
      <w:proofErr w:type="spellEnd"/>
      <w:r w:rsidRPr="0000014D">
        <w:rPr>
          <w:rFonts w:eastAsiaTheme="minorHAnsi"/>
          <w:sz w:val="16"/>
          <w:szCs w:val="16"/>
          <w:lang w:eastAsia="en-US"/>
        </w:rPr>
        <w:t xml:space="preserve">, han reportado que los adolescentes privados de libertad no son separados de los adultos y que la privación de libertad no se utiliza como último recurso”. </w:t>
      </w:r>
    </w:p>
    <w:p w14:paraId="0FD9848C" w14:textId="77777777" w:rsidR="004224C0" w:rsidRPr="0000014D" w:rsidRDefault="004224C0" w:rsidP="00B476ED">
      <w:pPr>
        <w:pStyle w:val="Textonotapie"/>
        <w:ind w:right="-943"/>
        <w:rPr>
          <w:sz w:val="16"/>
          <w:szCs w:val="16"/>
          <w:lang w:val="es-CR"/>
        </w:rPr>
      </w:pPr>
    </w:p>
  </w:footnote>
  <w:footnote w:id="147">
    <w:p w14:paraId="26BEB5D1" w14:textId="17875CD6" w:rsidR="004224C0" w:rsidRPr="003B5095" w:rsidRDefault="004224C0" w:rsidP="00B476ED">
      <w:pPr>
        <w:pStyle w:val="Textonotapie"/>
        <w:ind w:right="-943"/>
        <w:rPr>
          <w:rFonts w:eastAsiaTheme="minorHAnsi"/>
          <w:b/>
          <w:sz w:val="16"/>
          <w:szCs w:val="16"/>
          <w:lang w:eastAsia="en-US"/>
        </w:rPr>
      </w:pPr>
      <w:r w:rsidRPr="003B5095">
        <w:rPr>
          <w:rStyle w:val="Refdenotaalpie"/>
          <w:sz w:val="16"/>
          <w:szCs w:val="16"/>
        </w:rPr>
        <w:footnoteRef/>
      </w:r>
      <w:r w:rsidRPr="003B5095">
        <w:rPr>
          <w:sz w:val="16"/>
          <w:szCs w:val="16"/>
        </w:rPr>
        <w:t xml:space="preserve"> </w:t>
      </w:r>
      <w:r w:rsidRPr="003B5095">
        <w:rPr>
          <w:sz w:val="16"/>
          <w:szCs w:val="16"/>
        </w:rPr>
        <w:tab/>
      </w:r>
      <w:r w:rsidRPr="003B5095">
        <w:rPr>
          <w:rFonts w:eastAsiaTheme="minorHAnsi"/>
          <w:sz w:val="16"/>
          <w:szCs w:val="16"/>
          <w:lang w:eastAsia="en-US"/>
        </w:rPr>
        <w:t xml:space="preserve">Además, en sus alegatos finales escritos, agregaron las solicitudes de que se ordene al Estado, i) “garantizar que los adolescentes privados de libertad estén separados de los adultos”; </w:t>
      </w:r>
      <w:proofErr w:type="spellStart"/>
      <w:r w:rsidRPr="003B5095">
        <w:rPr>
          <w:rFonts w:eastAsiaTheme="minorHAnsi"/>
          <w:sz w:val="16"/>
          <w:szCs w:val="16"/>
          <w:lang w:eastAsia="en-US"/>
        </w:rPr>
        <w:t>ii</w:t>
      </w:r>
      <w:proofErr w:type="spellEnd"/>
      <w:r w:rsidRPr="003B5095">
        <w:rPr>
          <w:rFonts w:eastAsiaTheme="minorHAnsi"/>
          <w:sz w:val="16"/>
          <w:szCs w:val="16"/>
          <w:lang w:eastAsia="en-US"/>
        </w:rPr>
        <w:t xml:space="preserve">) </w:t>
      </w:r>
      <w:r>
        <w:rPr>
          <w:rFonts w:eastAsiaTheme="minorHAnsi"/>
          <w:sz w:val="16"/>
          <w:szCs w:val="16"/>
          <w:lang w:eastAsia="en-US"/>
        </w:rPr>
        <w:t>“</w:t>
      </w:r>
      <w:r w:rsidRPr="003B5095">
        <w:rPr>
          <w:rFonts w:eastAsiaTheme="minorHAnsi"/>
          <w:sz w:val="16"/>
          <w:szCs w:val="16"/>
          <w:lang w:eastAsia="en-US"/>
        </w:rPr>
        <w:t xml:space="preserve">crear un cuerpo de vigilancia penitenciaria eminentemente de carácter civil e independiente en los centros de reclusión de adolescentes”, y </w:t>
      </w:r>
      <w:proofErr w:type="spellStart"/>
      <w:r w:rsidRPr="003B5095">
        <w:rPr>
          <w:rFonts w:eastAsiaTheme="minorHAnsi"/>
          <w:sz w:val="16"/>
          <w:szCs w:val="16"/>
          <w:lang w:eastAsia="en-US"/>
        </w:rPr>
        <w:t>iii</w:t>
      </w:r>
      <w:proofErr w:type="spellEnd"/>
      <w:r w:rsidRPr="003B5095">
        <w:rPr>
          <w:rFonts w:eastAsiaTheme="minorHAnsi"/>
          <w:sz w:val="16"/>
          <w:szCs w:val="16"/>
          <w:lang w:eastAsia="en-US"/>
        </w:rPr>
        <w:t>) “garantizar que los programas socioeducativos sean acordes a las normas internacionales, prohibiendo en particu</w:t>
      </w:r>
      <w:r w:rsidRPr="004F7BF4">
        <w:rPr>
          <w:rFonts w:eastAsiaTheme="minorHAnsi"/>
          <w:sz w:val="16"/>
          <w:szCs w:val="16"/>
          <w:lang w:eastAsia="en-US"/>
        </w:rPr>
        <w:t>lar el adiestramiento militar y el adoctrinamiento político”.</w:t>
      </w:r>
    </w:p>
    <w:p w14:paraId="7D51ED49" w14:textId="77777777" w:rsidR="004224C0" w:rsidRPr="003B5095" w:rsidRDefault="004224C0" w:rsidP="00B476ED">
      <w:pPr>
        <w:pStyle w:val="Textonotapie"/>
        <w:ind w:right="-943"/>
        <w:rPr>
          <w:sz w:val="16"/>
          <w:szCs w:val="16"/>
          <w:lang w:val="es-CR"/>
        </w:rPr>
      </w:pPr>
    </w:p>
  </w:footnote>
  <w:footnote w:id="148">
    <w:p w14:paraId="4B090BF8" w14:textId="3799617F" w:rsidR="004224C0" w:rsidRPr="0000014D" w:rsidRDefault="004224C0" w:rsidP="00B476ED">
      <w:pPr>
        <w:pStyle w:val="Textonotapie"/>
        <w:ind w:right="-943"/>
        <w:rPr>
          <w:sz w:val="16"/>
          <w:szCs w:val="16"/>
          <w:lang w:val="es-CR"/>
        </w:rPr>
      </w:pPr>
      <w:r w:rsidRPr="003B5095">
        <w:rPr>
          <w:rStyle w:val="Refdenotaalpie"/>
          <w:rFonts w:eastAsia="MS Mincho"/>
          <w:sz w:val="16"/>
          <w:szCs w:val="16"/>
        </w:rPr>
        <w:footnoteRef/>
      </w:r>
      <w:r w:rsidRPr="003B5095">
        <w:rPr>
          <w:sz w:val="16"/>
          <w:szCs w:val="16"/>
        </w:rPr>
        <w:t xml:space="preserve"> </w:t>
      </w:r>
      <w:r w:rsidRPr="003B5095">
        <w:rPr>
          <w:sz w:val="16"/>
          <w:szCs w:val="16"/>
        </w:rPr>
        <w:tab/>
      </w:r>
      <w:r w:rsidRPr="003B5095">
        <w:rPr>
          <w:sz w:val="16"/>
          <w:szCs w:val="16"/>
          <w:lang w:val="es-CR"/>
        </w:rPr>
        <w:t>En sus alegatos escritos</w:t>
      </w:r>
      <w:r w:rsidRPr="0000014D">
        <w:rPr>
          <w:sz w:val="16"/>
          <w:szCs w:val="16"/>
          <w:lang w:val="es-CR"/>
        </w:rPr>
        <w:t xml:space="preserve">, el Estado reiteró sus consideraciones al respecto, y enfatizó, haciendo alusión a señalamientos de la testigo </w:t>
      </w:r>
      <w:proofErr w:type="spellStart"/>
      <w:r w:rsidRPr="0000014D">
        <w:rPr>
          <w:sz w:val="16"/>
          <w:szCs w:val="16"/>
          <w:lang w:val="es-CR"/>
        </w:rPr>
        <w:t>Rossy</w:t>
      </w:r>
      <w:proofErr w:type="spellEnd"/>
      <w:r>
        <w:rPr>
          <w:sz w:val="16"/>
          <w:szCs w:val="16"/>
          <w:lang w:val="es-CR"/>
        </w:rPr>
        <w:t xml:space="preserve"> Mendoza</w:t>
      </w:r>
      <w:r w:rsidRPr="0000014D">
        <w:rPr>
          <w:sz w:val="16"/>
          <w:szCs w:val="16"/>
          <w:lang w:val="es-CR"/>
        </w:rPr>
        <w:t>, que “los grandes avances del Estado venezolano en materia penitenciaria, reconocido por organismos internacionales, en la actualidad se encuentran afectados de manera general por la imposición ilegal y arbitraria de [m]</w:t>
      </w:r>
      <w:proofErr w:type="spellStart"/>
      <w:r w:rsidRPr="0000014D">
        <w:rPr>
          <w:sz w:val="16"/>
          <w:szCs w:val="16"/>
          <w:lang w:val="es-CR"/>
        </w:rPr>
        <w:t>edidas</w:t>
      </w:r>
      <w:proofErr w:type="spellEnd"/>
      <w:r w:rsidRPr="0000014D">
        <w:rPr>
          <w:sz w:val="16"/>
          <w:szCs w:val="16"/>
          <w:lang w:val="es-CR"/>
        </w:rPr>
        <w:t xml:space="preserve"> [c]</w:t>
      </w:r>
      <w:proofErr w:type="spellStart"/>
      <w:r w:rsidRPr="0000014D">
        <w:rPr>
          <w:sz w:val="16"/>
          <w:szCs w:val="16"/>
          <w:lang w:val="es-CR"/>
        </w:rPr>
        <w:t>oercitivas</w:t>
      </w:r>
      <w:proofErr w:type="spellEnd"/>
      <w:r w:rsidRPr="0000014D">
        <w:rPr>
          <w:sz w:val="16"/>
          <w:szCs w:val="16"/>
          <w:lang w:val="es-CR"/>
        </w:rPr>
        <w:t xml:space="preserve"> [u]</w:t>
      </w:r>
      <w:proofErr w:type="spellStart"/>
      <w:r w:rsidRPr="0000014D">
        <w:rPr>
          <w:sz w:val="16"/>
          <w:szCs w:val="16"/>
          <w:lang w:val="es-CR"/>
        </w:rPr>
        <w:t>nilaterales</w:t>
      </w:r>
      <w:proofErr w:type="spellEnd"/>
      <w:r w:rsidRPr="0000014D">
        <w:rPr>
          <w:sz w:val="16"/>
          <w:szCs w:val="16"/>
          <w:lang w:val="es-CR"/>
        </w:rPr>
        <w:t xml:space="preserve"> que evidentemente han afectado y dificultado el acceso a medicinas, rubros alimenticios, así como también la economía venezolana, lo que se traduce en una merma de la inversión en la infraestructura de los centros penitenciarios del país”</w:t>
      </w:r>
      <w:r>
        <w:rPr>
          <w:sz w:val="16"/>
          <w:szCs w:val="16"/>
          <w:lang w:val="es-CR"/>
        </w:rPr>
        <w:t>.</w:t>
      </w:r>
    </w:p>
    <w:p w14:paraId="351D0C13" w14:textId="77777777" w:rsidR="004224C0" w:rsidRPr="0000014D" w:rsidRDefault="004224C0" w:rsidP="00B476ED">
      <w:pPr>
        <w:pStyle w:val="Textonotapie"/>
        <w:ind w:right="-943"/>
        <w:rPr>
          <w:sz w:val="16"/>
          <w:szCs w:val="16"/>
          <w:lang w:val="es-CR"/>
        </w:rPr>
      </w:pPr>
    </w:p>
  </w:footnote>
  <w:footnote w:id="149">
    <w:p w14:paraId="36650CB8" w14:textId="78477DD4" w:rsidR="004224C0" w:rsidRDefault="004224C0" w:rsidP="00B476ED">
      <w:pPr>
        <w:widowControl/>
        <w:autoSpaceDE w:val="0"/>
        <w:autoSpaceDN w:val="0"/>
        <w:spacing w:line="240" w:lineRule="auto"/>
        <w:ind w:right="-943"/>
        <w:textAlignment w:val="auto"/>
        <w:rPr>
          <w:rFonts w:eastAsiaTheme="minorHAnsi" w:cs="ArialMT"/>
          <w:b/>
          <w:sz w:val="16"/>
          <w:szCs w:val="16"/>
          <w:lang w:eastAsia="en-US"/>
        </w:rPr>
      </w:pPr>
      <w:r w:rsidRPr="0000014D">
        <w:rPr>
          <w:rStyle w:val="Refdenotaalpie"/>
          <w:rFonts w:eastAsia="MS Mincho"/>
          <w:sz w:val="16"/>
          <w:szCs w:val="16"/>
        </w:rPr>
        <w:footnoteRef/>
      </w:r>
      <w:r w:rsidRPr="0000014D">
        <w:rPr>
          <w:sz w:val="16"/>
          <w:szCs w:val="16"/>
        </w:rPr>
        <w:t xml:space="preserve"> </w:t>
      </w:r>
      <w:r>
        <w:rPr>
          <w:sz w:val="16"/>
          <w:szCs w:val="16"/>
        </w:rPr>
        <w:tab/>
      </w:r>
      <w:r w:rsidRPr="0000014D">
        <w:rPr>
          <w:sz w:val="16"/>
          <w:szCs w:val="16"/>
        </w:rPr>
        <w:t>El Estado explicó que</w:t>
      </w:r>
      <w:r>
        <w:rPr>
          <w:sz w:val="16"/>
          <w:szCs w:val="16"/>
        </w:rPr>
        <w:t>,</w:t>
      </w:r>
      <w:r w:rsidRPr="0000014D">
        <w:rPr>
          <w:sz w:val="16"/>
          <w:szCs w:val="16"/>
        </w:rPr>
        <w:t xml:space="preserve"> aunque desde el 2000, con la </w:t>
      </w:r>
      <w:proofErr w:type="gramStart"/>
      <w:r w:rsidRPr="0000014D">
        <w:rPr>
          <w:sz w:val="16"/>
          <w:szCs w:val="16"/>
        </w:rPr>
        <w:t>entrada en vigencia</w:t>
      </w:r>
      <w:proofErr w:type="gramEnd"/>
      <w:r w:rsidRPr="0000014D">
        <w:rPr>
          <w:sz w:val="16"/>
          <w:szCs w:val="16"/>
        </w:rPr>
        <w:t xml:space="preserve"> de la </w:t>
      </w:r>
      <w:r w:rsidRPr="0000014D">
        <w:rPr>
          <w:rFonts w:eastAsiaTheme="minorHAnsi" w:cs="ArialMT"/>
          <w:sz w:val="16"/>
          <w:szCs w:val="16"/>
          <w:lang w:eastAsia="en-US"/>
        </w:rPr>
        <w:t>Ley Orgánica para la Protección del Niño y Adolescente (LOPNA), había comenzado un proceso de “transformación jurídica” para adecuar las normas e instituciones correspondientes a la Convención sobre los Derechos del Niño y la Constitución, para 2005 subsistía el INAM “que tanto en su base normativa como en sus modelos de atención y prácticas institucionales contravenían” esos mandatos.</w:t>
      </w:r>
    </w:p>
    <w:p w14:paraId="5DA5C430" w14:textId="77777777" w:rsidR="004224C0" w:rsidRPr="0000014D" w:rsidRDefault="004224C0" w:rsidP="00B476ED">
      <w:pPr>
        <w:widowControl/>
        <w:autoSpaceDE w:val="0"/>
        <w:autoSpaceDN w:val="0"/>
        <w:spacing w:line="240" w:lineRule="auto"/>
        <w:ind w:right="-943"/>
        <w:textAlignment w:val="auto"/>
        <w:rPr>
          <w:sz w:val="16"/>
          <w:szCs w:val="16"/>
        </w:rPr>
      </w:pPr>
    </w:p>
  </w:footnote>
  <w:footnote w:id="150">
    <w:p w14:paraId="3B643B02" w14:textId="75A9F776" w:rsidR="004224C0" w:rsidRPr="0000014D" w:rsidRDefault="004224C0" w:rsidP="00B476ED">
      <w:pPr>
        <w:pStyle w:val="Textonotapie"/>
        <w:ind w:right="-943"/>
        <w:rPr>
          <w:sz w:val="16"/>
          <w:szCs w:val="16"/>
          <w:lang w:val="es-CR"/>
        </w:rPr>
      </w:pPr>
      <w:r w:rsidRPr="0000014D">
        <w:rPr>
          <w:rStyle w:val="Refdenotaalpie"/>
          <w:rFonts w:eastAsia="MS Mincho"/>
          <w:sz w:val="16"/>
          <w:szCs w:val="16"/>
        </w:rPr>
        <w:footnoteRef/>
      </w:r>
      <w:r w:rsidRPr="0000014D">
        <w:rPr>
          <w:sz w:val="16"/>
          <w:szCs w:val="16"/>
        </w:rPr>
        <w:t xml:space="preserve"> </w:t>
      </w:r>
      <w:r>
        <w:rPr>
          <w:sz w:val="16"/>
          <w:szCs w:val="16"/>
        </w:rPr>
        <w:tab/>
      </w:r>
      <w:r w:rsidRPr="0000014D">
        <w:rPr>
          <w:sz w:val="16"/>
          <w:szCs w:val="16"/>
          <w:lang w:val="es-CR"/>
        </w:rPr>
        <w:t>El Estado indicó que MPPSP implementa “diversos programas socioeducativos”, tales como “el Programa de Fortalecimiento Familiar; Programas Educativos enmarcados en la disciplina; Cultura, Deporte, Recreación, Producción y Asistencia Espiritual y Religiosa”, “Programa de Orquesta Sinfónica Penitenciaria a los adolescentes en Conflicto con la Ley Penal” y “Programas de producción agrícola y aprendizaje de oficios”.</w:t>
      </w:r>
    </w:p>
    <w:p w14:paraId="0F387FD7" w14:textId="77777777" w:rsidR="004224C0" w:rsidRPr="0000014D" w:rsidRDefault="004224C0" w:rsidP="00B476ED">
      <w:pPr>
        <w:pStyle w:val="Textonotapie"/>
        <w:ind w:right="-943"/>
        <w:rPr>
          <w:sz w:val="16"/>
          <w:szCs w:val="16"/>
          <w:lang w:val="es-CR"/>
        </w:rPr>
      </w:pPr>
    </w:p>
  </w:footnote>
  <w:footnote w:id="151">
    <w:p w14:paraId="058D12DB" w14:textId="77777777" w:rsidR="004224C0" w:rsidRPr="00283F57" w:rsidRDefault="004224C0" w:rsidP="00B476ED">
      <w:pPr>
        <w:pStyle w:val="Textonotapie"/>
        <w:ind w:right="-943"/>
        <w:rPr>
          <w:rFonts w:eastAsiaTheme="minorHAnsi"/>
          <w:sz w:val="16"/>
          <w:szCs w:val="16"/>
          <w:lang w:eastAsia="en-US"/>
        </w:rPr>
      </w:pPr>
      <w:r>
        <w:rPr>
          <w:rStyle w:val="Refdenotaalpie"/>
        </w:rPr>
        <w:footnoteRef/>
      </w:r>
      <w:r>
        <w:t xml:space="preserve"> </w:t>
      </w:r>
      <w:r>
        <w:tab/>
      </w:r>
      <w:r w:rsidRPr="003A5C19">
        <w:rPr>
          <w:rFonts w:eastAsiaTheme="minorHAnsi"/>
          <w:sz w:val="16"/>
          <w:szCs w:val="16"/>
          <w:lang w:eastAsia="en-US"/>
        </w:rPr>
        <w:t>Esta constatación no implica un juicio, por parte de la Corte, sobre la compatibilidad o incompatibilidad de dicho sistema con la normativa internacional pertinente en materia de derechos humanos.</w:t>
      </w:r>
      <w:r w:rsidRPr="00283F57">
        <w:rPr>
          <w:rFonts w:eastAsiaTheme="minorHAnsi"/>
          <w:sz w:val="16"/>
          <w:szCs w:val="16"/>
          <w:lang w:eastAsia="en-US"/>
        </w:rPr>
        <w:t xml:space="preserve"> </w:t>
      </w:r>
    </w:p>
    <w:p w14:paraId="1019146F" w14:textId="77777777" w:rsidR="004224C0" w:rsidRPr="00283F57" w:rsidRDefault="004224C0" w:rsidP="00B476ED">
      <w:pPr>
        <w:pStyle w:val="Textonotapie"/>
        <w:ind w:right="-943"/>
        <w:rPr>
          <w:lang w:val="es-CR"/>
        </w:rPr>
      </w:pPr>
    </w:p>
  </w:footnote>
  <w:footnote w:id="152">
    <w:p w14:paraId="2D3194A2" w14:textId="3036CCBC" w:rsidR="004224C0" w:rsidRPr="0000014D" w:rsidRDefault="004224C0" w:rsidP="00B476ED">
      <w:pPr>
        <w:widowControl/>
        <w:tabs>
          <w:tab w:val="left" w:pos="567"/>
        </w:tabs>
        <w:autoSpaceDE w:val="0"/>
        <w:autoSpaceDN w:val="0"/>
        <w:spacing w:line="240" w:lineRule="auto"/>
        <w:ind w:right="-943"/>
        <w:textAlignment w:val="auto"/>
        <w:rPr>
          <w:rFonts w:cs="Arial"/>
          <w:sz w:val="16"/>
          <w:szCs w:val="16"/>
          <w:shd w:val="clear" w:color="auto" w:fill="FFFFFF"/>
        </w:rPr>
      </w:pPr>
      <w:r w:rsidRPr="00283F57">
        <w:rPr>
          <w:rStyle w:val="Refdenotaalpie"/>
          <w:rFonts w:eastAsia="MS Mincho"/>
          <w:sz w:val="16"/>
          <w:szCs w:val="16"/>
        </w:rPr>
        <w:footnoteRef/>
      </w:r>
      <w:r w:rsidRPr="00283F57">
        <w:rPr>
          <w:sz w:val="16"/>
          <w:szCs w:val="16"/>
        </w:rPr>
        <w:t xml:space="preserve"> </w:t>
      </w:r>
      <w:r w:rsidRPr="00283F57">
        <w:rPr>
          <w:sz w:val="16"/>
          <w:szCs w:val="16"/>
        </w:rPr>
        <w:tab/>
      </w:r>
      <w:proofErr w:type="spellStart"/>
      <w:r w:rsidRPr="00283F57">
        <w:rPr>
          <w:i/>
          <w:sz w:val="16"/>
          <w:szCs w:val="16"/>
        </w:rPr>
        <w:t>Cfr</w:t>
      </w:r>
      <w:proofErr w:type="spellEnd"/>
      <w:r w:rsidRPr="00283F57">
        <w:rPr>
          <w:sz w:val="16"/>
          <w:szCs w:val="16"/>
        </w:rPr>
        <w:t xml:space="preserve">, en el mismo sentido, </w:t>
      </w:r>
      <w:r w:rsidRPr="001C5BC8">
        <w:rPr>
          <w:i/>
          <w:sz w:val="16"/>
          <w:szCs w:val="16"/>
        </w:rPr>
        <w:t>Caso Genie Lacayo Vs. Nicaragua. Excepciones Preliminares</w:t>
      </w:r>
      <w:r w:rsidRPr="00283F57">
        <w:rPr>
          <w:sz w:val="16"/>
          <w:szCs w:val="16"/>
        </w:rPr>
        <w:t xml:space="preserve">. Sentencia de 27 de enero de 1995. Serie C No. 21, párr. 50 y </w:t>
      </w:r>
      <w:r w:rsidRPr="00283F57">
        <w:rPr>
          <w:rFonts w:cs="Arial"/>
          <w:i/>
          <w:sz w:val="16"/>
          <w:szCs w:val="16"/>
          <w:shd w:val="clear" w:color="auto" w:fill="FFFFFF"/>
        </w:rPr>
        <w:t xml:space="preserve">Caso Fernández Prieto y </w:t>
      </w:r>
      <w:proofErr w:type="spellStart"/>
      <w:r w:rsidRPr="00283F57">
        <w:rPr>
          <w:rFonts w:cs="Arial"/>
          <w:i/>
          <w:sz w:val="16"/>
          <w:szCs w:val="16"/>
          <w:shd w:val="clear" w:color="auto" w:fill="FFFFFF"/>
        </w:rPr>
        <w:t>Tumbeiro</w:t>
      </w:r>
      <w:proofErr w:type="spellEnd"/>
      <w:r w:rsidRPr="00283F57">
        <w:rPr>
          <w:rFonts w:cs="Arial"/>
          <w:i/>
          <w:sz w:val="16"/>
          <w:szCs w:val="16"/>
          <w:shd w:val="clear" w:color="auto" w:fill="FFFFFF"/>
        </w:rPr>
        <w:t xml:space="preserve"> Vs. Argentina. Fondo y Reparaciones. </w:t>
      </w:r>
      <w:r w:rsidRPr="00283F57">
        <w:rPr>
          <w:rFonts w:cs="Arial"/>
          <w:sz w:val="16"/>
          <w:szCs w:val="16"/>
          <w:shd w:val="clear" w:color="auto" w:fill="FFFFFF"/>
        </w:rPr>
        <w:t xml:space="preserve">Sentencia de 1 de septiembre de 2020. Serie C No. 411, </w:t>
      </w:r>
      <w:r w:rsidRPr="0066366C">
        <w:rPr>
          <w:rFonts w:cs="Arial"/>
          <w:sz w:val="16"/>
          <w:szCs w:val="16"/>
          <w:shd w:val="clear" w:color="auto" w:fill="FFFFFF"/>
        </w:rPr>
        <w:t xml:space="preserve">párr. 123. </w:t>
      </w:r>
      <w:r w:rsidRPr="003A5C19">
        <w:rPr>
          <w:rFonts w:eastAsiaTheme="minorHAnsi"/>
          <w:sz w:val="16"/>
          <w:szCs w:val="16"/>
          <w:lang w:eastAsia="en-US"/>
        </w:rPr>
        <w:t xml:space="preserve">En forma adicional a lo ya dicho, </w:t>
      </w:r>
      <w:r w:rsidRPr="003A5C19">
        <w:rPr>
          <w:sz w:val="16"/>
          <w:szCs w:val="16"/>
          <w:lang w:val="es-ES_tradnl"/>
        </w:rPr>
        <w:t xml:space="preserve">algunas solicitudes específicas de medidas de no repetición fueron formuladas por los representantes recién en sus alegatos finales escritos </w:t>
      </w:r>
      <w:r w:rsidRPr="007F229E">
        <w:rPr>
          <w:sz w:val="16"/>
          <w:szCs w:val="16"/>
          <w:lang w:val="es-ES_tradnl"/>
        </w:rPr>
        <w:t>(</w:t>
      </w:r>
      <w:r w:rsidRPr="007F229E">
        <w:rPr>
          <w:i/>
          <w:sz w:val="16"/>
          <w:szCs w:val="16"/>
          <w:lang w:val="es-ES_tradnl"/>
        </w:rPr>
        <w:t xml:space="preserve">supra </w:t>
      </w:r>
      <w:r w:rsidRPr="007F229E">
        <w:rPr>
          <w:sz w:val="16"/>
          <w:szCs w:val="16"/>
          <w:lang w:val="es-ES_tradnl"/>
        </w:rPr>
        <w:t>nota a pie de página 1</w:t>
      </w:r>
      <w:r w:rsidR="007152EF">
        <w:rPr>
          <w:sz w:val="16"/>
          <w:szCs w:val="16"/>
          <w:lang w:val="es-ES_tradnl"/>
        </w:rPr>
        <w:t>47</w:t>
      </w:r>
      <w:r w:rsidRPr="007F229E">
        <w:rPr>
          <w:sz w:val="16"/>
          <w:szCs w:val="16"/>
          <w:lang w:val="es-ES_tradnl"/>
        </w:rPr>
        <w:t>).</w:t>
      </w:r>
      <w:r w:rsidRPr="003A5C19">
        <w:rPr>
          <w:sz w:val="16"/>
          <w:szCs w:val="16"/>
          <w:lang w:val="es-ES_tradnl"/>
        </w:rPr>
        <w:t xml:space="preserve"> Por ello, resultan extemporáneas</w:t>
      </w:r>
      <w:r w:rsidRPr="0066366C">
        <w:rPr>
          <w:sz w:val="16"/>
          <w:szCs w:val="16"/>
          <w:lang w:val="es-ES_tradnl"/>
        </w:rPr>
        <w:t>.</w:t>
      </w:r>
    </w:p>
    <w:p w14:paraId="621FC811" w14:textId="77777777" w:rsidR="004224C0" w:rsidRPr="0000014D" w:rsidRDefault="004224C0" w:rsidP="00B476ED">
      <w:pPr>
        <w:pStyle w:val="Textonotapie"/>
        <w:ind w:right="-943"/>
        <w:rPr>
          <w:sz w:val="16"/>
          <w:szCs w:val="16"/>
          <w:lang w:val="es-CR"/>
        </w:rPr>
      </w:pPr>
    </w:p>
  </w:footnote>
  <w:footnote w:id="153">
    <w:p w14:paraId="784B1D5F" w14:textId="5D620293" w:rsidR="004224C0" w:rsidRPr="00441B8F" w:rsidRDefault="004224C0" w:rsidP="00B476ED">
      <w:pPr>
        <w:pStyle w:val="Textonotapie"/>
        <w:ind w:right="-943"/>
        <w:rPr>
          <w:rFonts w:cs="Arial"/>
          <w:sz w:val="16"/>
          <w:szCs w:val="16"/>
          <w:shd w:val="clear" w:color="auto" w:fill="FFFFFF"/>
        </w:rPr>
      </w:pPr>
      <w:r w:rsidRPr="00C709E1">
        <w:rPr>
          <w:rStyle w:val="Refdenotaalpie"/>
          <w:sz w:val="16"/>
          <w:szCs w:val="16"/>
        </w:rPr>
        <w:footnoteRef/>
      </w:r>
      <w:r w:rsidRPr="00C709E1">
        <w:rPr>
          <w:sz w:val="16"/>
          <w:szCs w:val="16"/>
        </w:rPr>
        <w:t xml:space="preserve"> </w:t>
      </w:r>
      <w:r w:rsidRPr="00C709E1">
        <w:rPr>
          <w:sz w:val="16"/>
          <w:szCs w:val="16"/>
        </w:rPr>
        <w:tab/>
      </w:r>
      <w:r w:rsidRPr="00C709E1">
        <w:rPr>
          <w:i/>
          <w:sz w:val="16"/>
          <w:szCs w:val="16"/>
        </w:rPr>
        <w:t>C</w:t>
      </w:r>
      <w:r w:rsidRPr="00C709E1">
        <w:rPr>
          <w:rFonts w:cs="Arial"/>
          <w:i/>
          <w:sz w:val="16"/>
          <w:szCs w:val="16"/>
          <w:shd w:val="clear" w:color="auto" w:fill="FFFFFF"/>
        </w:rPr>
        <w:t>aso Montero Aranguren y otros (Retén de Catia) Vs. Venezuela</w:t>
      </w:r>
      <w:r w:rsidRPr="00441B8F">
        <w:rPr>
          <w:rFonts w:cs="Arial"/>
          <w:sz w:val="16"/>
          <w:szCs w:val="16"/>
          <w:shd w:val="clear" w:color="auto" w:fill="FFFFFF"/>
        </w:rPr>
        <w:t xml:space="preserve">, </w:t>
      </w:r>
      <w:proofErr w:type="spellStart"/>
      <w:r w:rsidRPr="00441B8F">
        <w:rPr>
          <w:rFonts w:cs="Arial"/>
          <w:sz w:val="16"/>
          <w:szCs w:val="16"/>
          <w:shd w:val="clear" w:color="auto" w:fill="FFFFFF"/>
        </w:rPr>
        <w:t>párrs</w:t>
      </w:r>
      <w:proofErr w:type="spellEnd"/>
      <w:r w:rsidRPr="00441B8F">
        <w:rPr>
          <w:rFonts w:cs="Arial"/>
          <w:sz w:val="16"/>
          <w:szCs w:val="16"/>
          <w:shd w:val="clear" w:color="auto" w:fill="FFFFFF"/>
        </w:rPr>
        <w:t>. 144 a 146 y 149, y puntos resolutivos 9, 10 y 11.</w:t>
      </w:r>
    </w:p>
    <w:p w14:paraId="74B2C69C" w14:textId="77777777" w:rsidR="004224C0" w:rsidRPr="00441B8F" w:rsidRDefault="004224C0" w:rsidP="00B476ED">
      <w:pPr>
        <w:pStyle w:val="Textonotapie"/>
        <w:ind w:right="-943"/>
        <w:rPr>
          <w:sz w:val="16"/>
          <w:szCs w:val="16"/>
          <w:lang w:val="es-CR"/>
        </w:rPr>
      </w:pPr>
    </w:p>
  </w:footnote>
  <w:footnote w:id="154">
    <w:p w14:paraId="097A4DAE" w14:textId="77777777" w:rsidR="004224C0" w:rsidRPr="00441B8F" w:rsidRDefault="004224C0" w:rsidP="00B476ED">
      <w:pPr>
        <w:pStyle w:val="Textonotapie"/>
        <w:ind w:right="-943"/>
        <w:rPr>
          <w:rFonts w:cs="Arial"/>
          <w:sz w:val="16"/>
          <w:szCs w:val="16"/>
          <w:shd w:val="clear" w:color="auto" w:fill="FFFFFF"/>
        </w:rPr>
      </w:pPr>
      <w:r w:rsidRPr="00441B8F">
        <w:rPr>
          <w:rStyle w:val="Refdenotaalpie"/>
          <w:sz w:val="16"/>
          <w:szCs w:val="16"/>
        </w:rPr>
        <w:footnoteRef/>
      </w:r>
      <w:r w:rsidRPr="00441B8F">
        <w:rPr>
          <w:sz w:val="16"/>
          <w:szCs w:val="16"/>
        </w:rPr>
        <w:t xml:space="preserve"> </w:t>
      </w:r>
      <w:r w:rsidRPr="00441B8F">
        <w:rPr>
          <w:sz w:val="16"/>
          <w:szCs w:val="16"/>
        </w:rPr>
        <w:tab/>
      </w:r>
      <w:proofErr w:type="spellStart"/>
      <w:r w:rsidRPr="00441B8F">
        <w:rPr>
          <w:i/>
          <w:sz w:val="16"/>
          <w:szCs w:val="16"/>
          <w:lang w:val="es-CR"/>
        </w:rPr>
        <w:t>Cfr</w:t>
      </w:r>
      <w:proofErr w:type="spellEnd"/>
      <w:r w:rsidRPr="00441B8F">
        <w:rPr>
          <w:i/>
          <w:sz w:val="16"/>
          <w:szCs w:val="16"/>
          <w:lang w:val="es-CR"/>
        </w:rPr>
        <w:t xml:space="preserve">, </w:t>
      </w:r>
      <w:r w:rsidRPr="00441B8F">
        <w:rPr>
          <w:i/>
          <w:sz w:val="16"/>
          <w:szCs w:val="16"/>
        </w:rPr>
        <w:t>C</w:t>
      </w:r>
      <w:r w:rsidRPr="00441B8F">
        <w:rPr>
          <w:rFonts w:cs="Arial"/>
          <w:i/>
          <w:sz w:val="16"/>
          <w:szCs w:val="16"/>
          <w:shd w:val="clear" w:color="auto" w:fill="FFFFFF"/>
        </w:rPr>
        <w:t xml:space="preserve">aso Montero Aranguren y otros (Retén de Catia) Vs. Venezuela, </w:t>
      </w:r>
      <w:r w:rsidRPr="00441B8F">
        <w:rPr>
          <w:rFonts w:cs="Arial"/>
          <w:sz w:val="16"/>
          <w:szCs w:val="16"/>
          <w:shd w:val="clear" w:color="auto" w:fill="FFFFFF"/>
        </w:rPr>
        <w:t>Resoluciones de la Corte de supervisión de cumplimiento de sentencia de 30 de agosto de 2011 y 20 de noviembre de 2015.</w:t>
      </w:r>
    </w:p>
    <w:p w14:paraId="3402BB31" w14:textId="77777777" w:rsidR="004224C0" w:rsidRPr="00441B8F" w:rsidRDefault="004224C0" w:rsidP="00B476ED">
      <w:pPr>
        <w:pStyle w:val="Textonotapie"/>
        <w:ind w:right="-943"/>
        <w:rPr>
          <w:lang w:val="es-CR"/>
        </w:rPr>
      </w:pPr>
    </w:p>
  </w:footnote>
  <w:footnote w:id="155">
    <w:p w14:paraId="67D41C5E" w14:textId="3E426B9E" w:rsidR="004224C0" w:rsidRPr="00C709E1" w:rsidRDefault="004224C0" w:rsidP="00B476ED">
      <w:pPr>
        <w:pStyle w:val="Textonotapie"/>
        <w:ind w:right="-943"/>
        <w:rPr>
          <w:sz w:val="16"/>
          <w:szCs w:val="16"/>
          <w:lang w:val="es-CR"/>
        </w:rPr>
      </w:pPr>
      <w:r w:rsidRPr="00C709E1">
        <w:rPr>
          <w:rStyle w:val="Refdenotaalpie"/>
          <w:sz w:val="16"/>
          <w:szCs w:val="16"/>
        </w:rPr>
        <w:footnoteRef/>
      </w:r>
      <w:r w:rsidRPr="00C709E1">
        <w:rPr>
          <w:sz w:val="16"/>
          <w:szCs w:val="16"/>
        </w:rPr>
        <w:t xml:space="preserve"> </w:t>
      </w:r>
      <w:r w:rsidRPr="00C709E1">
        <w:rPr>
          <w:sz w:val="16"/>
          <w:szCs w:val="16"/>
        </w:rPr>
        <w:tab/>
      </w:r>
      <w:r w:rsidRPr="00C709E1">
        <w:rPr>
          <w:rFonts w:eastAsiaTheme="minorHAnsi"/>
          <w:sz w:val="16"/>
          <w:szCs w:val="16"/>
          <w:lang w:eastAsia="en-US"/>
        </w:rPr>
        <w:t>El testigo expresó que, actualmente, el centro Monseñor Juan José Bernal: a) cuenta con personal que recibe capacitación para emergencias médicas, naturales, por motines, e incendios, entre otras; b) cuenta con una política para situaciones de emergencias; c) tiene salidas de emergencia; d) no presenta sobrepoblación, ya que el cupo es para 62 personas privadas de libertad y hay 42 (que incluye procesados y condenados, adolescentes y jóvenes adultos); e) tiene un personal de 34 personas. También señaló que, al menos desde el 26 de julio de 2011, no se ha reportado ningún incendio en el Centro.</w:t>
      </w:r>
    </w:p>
  </w:footnote>
  <w:footnote w:id="156">
    <w:p w14:paraId="4F512C9F" w14:textId="3EBB926C" w:rsidR="004224C0" w:rsidRPr="005C3C54" w:rsidRDefault="004224C0" w:rsidP="00B476ED">
      <w:pPr>
        <w:pStyle w:val="Textonotapie"/>
        <w:ind w:right="-943"/>
        <w:rPr>
          <w:b/>
          <w:sz w:val="16"/>
          <w:szCs w:val="16"/>
          <w:lang w:val="es-CO"/>
        </w:rPr>
      </w:pPr>
      <w:r w:rsidRPr="005C3C54">
        <w:rPr>
          <w:rStyle w:val="Refdenotaalpie"/>
          <w:sz w:val="16"/>
          <w:szCs w:val="16"/>
        </w:rPr>
        <w:footnoteRef/>
      </w:r>
      <w:r w:rsidRPr="005C3C54">
        <w:rPr>
          <w:sz w:val="16"/>
          <w:szCs w:val="16"/>
        </w:rPr>
        <w:t xml:space="preserve"> </w:t>
      </w:r>
      <w:r>
        <w:rPr>
          <w:sz w:val="16"/>
          <w:szCs w:val="16"/>
        </w:rPr>
        <w:tab/>
      </w:r>
      <w:r w:rsidRPr="005C3C54">
        <w:rPr>
          <w:sz w:val="16"/>
          <w:szCs w:val="16"/>
        </w:rPr>
        <w:t>Sin perjuicio de lo anterior, entendieron que la indemnización por daño material debe considerar la pérdida de ingresos de las víctimas y el daño emergente “</w:t>
      </w:r>
      <w:r w:rsidRPr="005C3C54">
        <w:rPr>
          <w:sz w:val="16"/>
          <w:szCs w:val="16"/>
          <w:lang w:val="es-CO"/>
        </w:rPr>
        <w:t>que corresponde a los daños directos y consecuentes como gastos médicos y funerarios”. En cuanto al daño inmaterial, manifestaron que “corresponde a los sufrimientos y aflicciones causados a las [v]</w:t>
      </w:r>
      <w:proofErr w:type="spellStart"/>
      <w:r w:rsidRPr="005C3C54">
        <w:rPr>
          <w:sz w:val="16"/>
          <w:szCs w:val="16"/>
          <w:lang w:val="es-CO"/>
        </w:rPr>
        <w:t>íctimas</w:t>
      </w:r>
      <w:proofErr w:type="spellEnd"/>
      <w:r w:rsidRPr="005C3C54">
        <w:rPr>
          <w:sz w:val="16"/>
          <w:szCs w:val="16"/>
          <w:lang w:val="es-CO"/>
        </w:rPr>
        <w:t xml:space="preserve"> y sus familiares”.</w:t>
      </w:r>
      <w:r w:rsidRPr="005C3C54">
        <w:rPr>
          <w:b/>
          <w:sz w:val="16"/>
          <w:szCs w:val="16"/>
          <w:lang w:val="es-CO"/>
        </w:rPr>
        <w:t xml:space="preserve"> </w:t>
      </w:r>
      <w:r w:rsidRPr="005C3C54">
        <w:rPr>
          <w:sz w:val="16"/>
          <w:szCs w:val="16"/>
          <w:lang w:val="es-CO"/>
        </w:rPr>
        <w:t>Aunque solicitaron la fijación de montos “en equidad”, en sus alegatos finales escritos los representantes señalaron determinados “montos indicativos”.</w:t>
      </w:r>
    </w:p>
    <w:p w14:paraId="7829ADDE" w14:textId="77777777" w:rsidR="004224C0" w:rsidRPr="005C3C54" w:rsidRDefault="004224C0" w:rsidP="00B476ED">
      <w:pPr>
        <w:pStyle w:val="Textonotapie"/>
        <w:ind w:right="-943"/>
        <w:rPr>
          <w:lang w:val="es-CR"/>
        </w:rPr>
      </w:pPr>
    </w:p>
  </w:footnote>
  <w:footnote w:id="157">
    <w:p w14:paraId="7200233E" w14:textId="3468A2C5" w:rsidR="004224C0" w:rsidRDefault="004224C0" w:rsidP="00B476ED">
      <w:pPr>
        <w:pStyle w:val="NormalWeb"/>
        <w:tabs>
          <w:tab w:val="left" w:pos="567"/>
        </w:tabs>
        <w:spacing w:line="240" w:lineRule="auto"/>
        <w:ind w:right="-943"/>
        <w:rPr>
          <w:rFonts w:ascii="Verdana" w:hAnsi="Verdana"/>
          <w:sz w:val="16"/>
          <w:szCs w:val="16"/>
        </w:rPr>
      </w:pPr>
      <w:r w:rsidRPr="0000014D">
        <w:rPr>
          <w:rStyle w:val="Refdenotaalpie"/>
          <w:rFonts w:eastAsia="MS Mincho"/>
          <w:sz w:val="16"/>
          <w:szCs w:val="16"/>
        </w:rPr>
        <w:footnoteRef/>
      </w:r>
      <w:r w:rsidRPr="0000014D">
        <w:rPr>
          <w:rFonts w:ascii="Verdana" w:hAnsi="Verdana"/>
          <w:sz w:val="16"/>
          <w:szCs w:val="16"/>
        </w:rPr>
        <w:t xml:space="preserve"> </w:t>
      </w:r>
      <w:r w:rsidRPr="0000014D">
        <w:rPr>
          <w:rFonts w:ascii="Verdana" w:hAnsi="Verdana"/>
          <w:sz w:val="16"/>
          <w:szCs w:val="16"/>
        </w:rPr>
        <w:tab/>
      </w:r>
      <w:r w:rsidRPr="0000014D">
        <w:rPr>
          <w:rFonts w:ascii="Verdana" w:hAnsi="Verdana"/>
          <w:i/>
          <w:iCs/>
          <w:sz w:val="16"/>
          <w:szCs w:val="16"/>
        </w:rPr>
        <w:t xml:space="preserve">Cfr. Caso </w:t>
      </w:r>
      <w:proofErr w:type="spellStart"/>
      <w:r w:rsidRPr="0000014D">
        <w:rPr>
          <w:rFonts w:ascii="Verdana" w:hAnsi="Verdana"/>
          <w:i/>
          <w:iCs/>
          <w:sz w:val="16"/>
          <w:szCs w:val="16"/>
        </w:rPr>
        <w:t>Bámaca</w:t>
      </w:r>
      <w:proofErr w:type="spellEnd"/>
      <w:r w:rsidRPr="0000014D">
        <w:rPr>
          <w:rFonts w:ascii="Verdana" w:hAnsi="Verdana"/>
          <w:i/>
          <w:iCs/>
          <w:sz w:val="16"/>
          <w:szCs w:val="16"/>
        </w:rPr>
        <w:t xml:space="preserve"> </w:t>
      </w:r>
      <w:proofErr w:type="spellStart"/>
      <w:r w:rsidRPr="0000014D">
        <w:rPr>
          <w:rFonts w:ascii="Verdana" w:hAnsi="Verdana"/>
          <w:i/>
          <w:iCs/>
          <w:sz w:val="16"/>
          <w:szCs w:val="16"/>
        </w:rPr>
        <w:t>Velásquez</w:t>
      </w:r>
      <w:proofErr w:type="spellEnd"/>
      <w:r w:rsidRPr="0000014D">
        <w:rPr>
          <w:rFonts w:ascii="Verdana" w:hAnsi="Verdana"/>
          <w:i/>
          <w:iCs/>
          <w:sz w:val="16"/>
          <w:szCs w:val="16"/>
        </w:rPr>
        <w:t xml:space="preserve"> Vs. Guatemala. Reparaciones y Costas</w:t>
      </w:r>
      <w:r w:rsidRPr="0000014D">
        <w:rPr>
          <w:rFonts w:ascii="Verdana" w:hAnsi="Verdana"/>
          <w:sz w:val="16"/>
          <w:szCs w:val="16"/>
        </w:rPr>
        <w:t xml:space="preserve">. Sentencia de 22 de febrero de 2002. Serie C No. 91, </w:t>
      </w:r>
      <w:proofErr w:type="spellStart"/>
      <w:r w:rsidRPr="0000014D">
        <w:rPr>
          <w:rFonts w:ascii="Verdana" w:hAnsi="Verdana"/>
          <w:sz w:val="16"/>
          <w:szCs w:val="16"/>
        </w:rPr>
        <w:t>párr</w:t>
      </w:r>
      <w:proofErr w:type="spellEnd"/>
      <w:r w:rsidRPr="0000014D">
        <w:rPr>
          <w:rFonts w:ascii="Verdana" w:hAnsi="Verdana"/>
          <w:sz w:val="16"/>
          <w:szCs w:val="16"/>
        </w:rPr>
        <w:t xml:space="preserve">. 43, </w:t>
      </w:r>
      <w:r w:rsidRPr="00AB0723">
        <w:rPr>
          <w:rFonts w:ascii="Verdana" w:hAnsi="Verdana"/>
          <w:sz w:val="16"/>
          <w:szCs w:val="16"/>
        </w:rPr>
        <w:t>y</w:t>
      </w:r>
      <w:r w:rsidRPr="005705FA">
        <w:rPr>
          <w:rFonts w:ascii="Verdana" w:hAnsi="Verdana"/>
          <w:i/>
          <w:sz w:val="16"/>
          <w:szCs w:val="16"/>
        </w:rPr>
        <w:t xml:space="preserve"> </w:t>
      </w:r>
      <w:r w:rsidRPr="005705FA">
        <w:rPr>
          <w:rFonts w:ascii="Verdana" w:hAnsi="Verdana" w:cs="Arial"/>
          <w:i/>
          <w:sz w:val="16"/>
          <w:szCs w:val="16"/>
          <w:shd w:val="clear" w:color="auto" w:fill="FFFFFF"/>
        </w:rPr>
        <w:t xml:space="preserve">Caso Fernández Prieto y </w:t>
      </w:r>
      <w:proofErr w:type="spellStart"/>
      <w:r w:rsidRPr="005705FA">
        <w:rPr>
          <w:rFonts w:ascii="Verdana" w:hAnsi="Verdana" w:cs="Arial"/>
          <w:i/>
          <w:sz w:val="16"/>
          <w:szCs w:val="16"/>
          <w:shd w:val="clear" w:color="auto" w:fill="FFFFFF"/>
        </w:rPr>
        <w:t>Tumbeiro</w:t>
      </w:r>
      <w:proofErr w:type="spellEnd"/>
      <w:r w:rsidRPr="005705FA">
        <w:rPr>
          <w:rFonts w:ascii="Verdana" w:hAnsi="Verdana" w:cs="Arial"/>
          <w:i/>
          <w:sz w:val="16"/>
          <w:szCs w:val="16"/>
          <w:shd w:val="clear" w:color="auto" w:fill="FFFFFF"/>
        </w:rPr>
        <w:t xml:space="preserve"> Vs. Argentina</w:t>
      </w:r>
      <w:r w:rsidRPr="005705FA">
        <w:rPr>
          <w:rFonts w:ascii="Verdana" w:hAnsi="Verdana" w:cs="Arial"/>
          <w:sz w:val="16"/>
          <w:szCs w:val="16"/>
          <w:shd w:val="clear" w:color="auto" w:fill="FFFFFF"/>
        </w:rPr>
        <w:t>, párr. 132</w:t>
      </w:r>
      <w:r w:rsidRPr="00AB0723">
        <w:rPr>
          <w:rFonts w:ascii="Verdana" w:hAnsi="Verdana"/>
          <w:sz w:val="16"/>
          <w:szCs w:val="16"/>
        </w:rPr>
        <w:t xml:space="preserve">. </w:t>
      </w:r>
    </w:p>
    <w:p w14:paraId="0A54FCA2" w14:textId="77777777" w:rsidR="004224C0" w:rsidRPr="0000014D" w:rsidRDefault="004224C0" w:rsidP="00B476ED">
      <w:pPr>
        <w:pStyle w:val="NormalWeb"/>
        <w:tabs>
          <w:tab w:val="left" w:pos="567"/>
        </w:tabs>
        <w:spacing w:line="240" w:lineRule="auto"/>
        <w:ind w:right="-943"/>
        <w:rPr>
          <w:rFonts w:ascii="Verdana" w:hAnsi="Verdana"/>
          <w:sz w:val="16"/>
          <w:szCs w:val="16"/>
        </w:rPr>
      </w:pPr>
    </w:p>
  </w:footnote>
  <w:footnote w:id="158">
    <w:p w14:paraId="796C971C" w14:textId="32D03930" w:rsidR="004224C0" w:rsidRPr="0000014D" w:rsidRDefault="004224C0" w:rsidP="00B476ED">
      <w:pPr>
        <w:pStyle w:val="NormalWeb"/>
        <w:tabs>
          <w:tab w:val="left" w:pos="567"/>
        </w:tabs>
        <w:spacing w:line="240" w:lineRule="auto"/>
        <w:ind w:right="-943"/>
        <w:rPr>
          <w:rFonts w:ascii="Verdana" w:hAnsi="Verdana"/>
          <w:sz w:val="16"/>
          <w:szCs w:val="16"/>
        </w:rPr>
      </w:pPr>
      <w:r w:rsidRPr="0000014D">
        <w:rPr>
          <w:rStyle w:val="Refdenotaalpie"/>
          <w:rFonts w:eastAsia="MS Mincho"/>
          <w:spacing w:val="-4"/>
          <w:sz w:val="16"/>
          <w:szCs w:val="16"/>
        </w:rPr>
        <w:footnoteRef/>
      </w:r>
      <w:r w:rsidRPr="0000014D">
        <w:rPr>
          <w:rFonts w:ascii="Verdana" w:hAnsi="Verdana"/>
          <w:spacing w:val="-4"/>
          <w:sz w:val="16"/>
          <w:szCs w:val="16"/>
        </w:rPr>
        <w:t xml:space="preserve"> </w:t>
      </w:r>
      <w:r w:rsidRPr="0000014D">
        <w:rPr>
          <w:rFonts w:ascii="Verdana" w:hAnsi="Verdana"/>
          <w:spacing w:val="-4"/>
          <w:sz w:val="16"/>
          <w:szCs w:val="16"/>
        </w:rPr>
        <w:tab/>
      </w:r>
      <w:r w:rsidRPr="0000014D">
        <w:rPr>
          <w:rFonts w:ascii="Verdana" w:hAnsi="Verdana"/>
          <w:i/>
          <w:spacing w:val="-4"/>
          <w:sz w:val="16"/>
          <w:szCs w:val="16"/>
        </w:rPr>
        <w:t xml:space="preserve">Cfr. Caso de los “Niños de la Calle” (Villagrán Morales y otros) Vs. Guatemala. Reparaciones y Costas. Sentencia de 26 de mayo de 2001. </w:t>
      </w:r>
      <w:r w:rsidRPr="0000014D">
        <w:rPr>
          <w:rFonts w:ascii="Verdana" w:hAnsi="Verdana"/>
          <w:iCs/>
          <w:spacing w:val="-4"/>
          <w:sz w:val="16"/>
          <w:szCs w:val="16"/>
        </w:rPr>
        <w:t>Serie C No. 77, párr. 84, y</w:t>
      </w:r>
      <w:r w:rsidRPr="0000014D">
        <w:rPr>
          <w:rFonts w:ascii="Verdana" w:hAnsi="Verdana"/>
          <w:i/>
          <w:spacing w:val="-4"/>
          <w:sz w:val="16"/>
          <w:szCs w:val="16"/>
        </w:rPr>
        <w:t xml:space="preserve"> </w:t>
      </w:r>
      <w:r w:rsidRPr="00A00219">
        <w:rPr>
          <w:rFonts w:ascii="Verdana" w:hAnsi="Verdana" w:cs="Arial"/>
          <w:i/>
          <w:sz w:val="16"/>
          <w:szCs w:val="16"/>
          <w:shd w:val="clear" w:color="auto" w:fill="FFFFFF"/>
        </w:rPr>
        <w:t xml:space="preserve">Caso Fernández Prieto y </w:t>
      </w:r>
      <w:proofErr w:type="spellStart"/>
      <w:r w:rsidRPr="00A00219">
        <w:rPr>
          <w:rFonts w:ascii="Verdana" w:hAnsi="Verdana" w:cs="Arial"/>
          <w:i/>
          <w:sz w:val="16"/>
          <w:szCs w:val="16"/>
          <w:shd w:val="clear" w:color="auto" w:fill="FFFFFF"/>
        </w:rPr>
        <w:t>Tumbeiro</w:t>
      </w:r>
      <w:proofErr w:type="spellEnd"/>
      <w:r w:rsidRPr="00A00219">
        <w:rPr>
          <w:rFonts w:ascii="Verdana" w:hAnsi="Verdana" w:cs="Arial"/>
          <w:i/>
          <w:sz w:val="16"/>
          <w:szCs w:val="16"/>
          <w:shd w:val="clear" w:color="auto" w:fill="FFFFFF"/>
        </w:rPr>
        <w:t xml:space="preserve"> Vs. Argentina</w:t>
      </w:r>
      <w:r w:rsidRPr="00A00219">
        <w:rPr>
          <w:rFonts w:ascii="Verdana" w:hAnsi="Verdana" w:cs="Arial"/>
          <w:sz w:val="16"/>
          <w:szCs w:val="16"/>
          <w:shd w:val="clear" w:color="auto" w:fill="FFFFFF"/>
        </w:rPr>
        <w:t xml:space="preserve">, párr. </w:t>
      </w:r>
      <w:r>
        <w:rPr>
          <w:rFonts w:ascii="Verdana" w:hAnsi="Verdana" w:cs="Arial"/>
          <w:sz w:val="16"/>
          <w:szCs w:val="16"/>
          <w:shd w:val="clear" w:color="auto" w:fill="FFFFFF"/>
        </w:rPr>
        <w:t>137</w:t>
      </w:r>
      <w:r w:rsidRPr="00A00219">
        <w:rPr>
          <w:rFonts w:ascii="Verdana" w:hAnsi="Verdana"/>
          <w:sz w:val="16"/>
          <w:szCs w:val="16"/>
        </w:rPr>
        <w:t xml:space="preserve">. </w:t>
      </w:r>
    </w:p>
  </w:footnote>
  <w:footnote w:id="159">
    <w:p w14:paraId="55EDF938" w14:textId="11257D01" w:rsidR="004224C0" w:rsidRDefault="004224C0" w:rsidP="00B476ED">
      <w:pPr>
        <w:pStyle w:val="NormalWeb"/>
        <w:tabs>
          <w:tab w:val="left" w:pos="567"/>
        </w:tabs>
        <w:spacing w:line="240" w:lineRule="auto"/>
        <w:ind w:right="-943"/>
        <w:rPr>
          <w:rFonts w:ascii="Verdana" w:hAnsi="Verdana"/>
          <w:sz w:val="16"/>
          <w:szCs w:val="16"/>
        </w:rPr>
      </w:pPr>
      <w:r w:rsidRPr="0000014D">
        <w:rPr>
          <w:rStyle w:val="Refdenotaalpie"/>
          <w:sz w:val="16"/>
          <w:szCs w:val="16"/>
          <w:lang w:val="es-ES"/>
        </w:rPr>
        <w:footnoteRef/>
      </w:r>
      <w:r w:rsidRPr="0000014D">
        <w:rPr>
          <w:rFonts w:ascii="Verdana" w:hAnsi="Verdana"/>
          <w:sz w:val="16"/>
          <w:szCs w:val="16"/>
          <w:lang w:val="es-ES"/>
        </w:rPr>
        <w:t xml:space="preserve"> </w:t>
      </w:r>
      <w:r w:rsidRPr="0000014D">
        <w:rPr>
          <w:rFonts w:ascii="Verdana" w:hAnsi="Verdana"/>
          <w:sz w:val="16"/>
          <w:szCs w:val="16"/>
          <w:lang w:val="es-ES"/>
        </w:rPr>
        <w:tab/>
      </w:r>
      <w:r w:rsidRPr="0000014D">
        <w:rPr>
          <w:rFonts w:ascii="Verdana" w:hAnsi="Verdana"/>
          <w:i/>
          <w:sz w:val="16"/>
          <w:szCs w:val="16"/>
          <w:lang w:val="es-ES"/>
        </w:rPr>
        <w:t xml:space="preserve">Cfr. Caso Garrido y Baigorria Vs. Argentina. Reparaciones y Costas. </w:t>
      </w:r>
      <w:r w:rsidRPr="0000014D">
        <w:rPr>
          <w:rFonts w:ascii="Verdana" w:hAnsi="Verdana"/>
          <w:iCs/>
          <w:sz w:val="16"/>
          <w:szCs w:val="16"/>
          <w:lang w:val="es-ES"/>
        </w:rPr>
        <w:t xml:space="preserve">Sentencia de 27 de agosto de 1998. Serie C No. 39, párr. 82, y </w:t>
      </w:r>
      <w:r w:rsidRPr="002A6CE2">
        <w:rPr>
          <w:rFonts w:ascii="Verdana" w:hAnsi="Verdana" w:cs="Arial"/>
          <w:i/>
          <w:sz w:val="16"/>
          <w:szCs w:val="16"/>
          <w:shd w:val="clear" w:color="auto" w:fill="FFFFFF"/>
        </w:rPr>
        <w:t>Caso Acosta Martínez y otros Vs. Argentina</w:t>
      </w:r>
      <w:r w:rsidRPr="002A6CE2">
        <w:rPr>
          <w:rFonts w:ascii="Verdana" w:hAnsi="Verdana" w:cs="Arial"/>
          <w:sz w:val="16"/>
          <w:szCs w:val="16"/>
          <w:shd w:val="clear" w:color="auto" w:fill="FFFFFF"/>
        </w:rPr>
        <w:t>, párr. 145</w:t>
      </w:r>
      <w:r w:rsidRPr="00DB1082">
        <w:rPr>
          <w:rFonts w:ascii="Verdana" w:hAnsi="Verdana"/>
          <w:sz w:val="16"/>
          <w:szCs w:val="16"/>
        </w:rPr>
        <w:t>.</w:t>
      </w:r>
    </w:p>
    <w:p w14:paraId="257EB07D" w14:textId="77777777" w:rsidR="004224C0" w:rsidRPr="0000014D" w:rsidRDefault="004224C0" w:rsidP="00B476ED">
      <w:pPr>
        <w:pStyle w:val="NormalWeb"/>
        <w:tabs>
          <w:tab w:val="left" w:pos="567"/>
        </w:tabs>
        <w:spacing w:line="240" w:lineRule="auto"/>
        <w:ind w:right="-943"/>
        <w:rPr>
          <w:rFonts w:ascii="Verdana" w:hAnsi="Verdana"/>
          <w:sz w:val="16"/>
          <w:szCs w:val="16"/>
        </w:rPr>
      </w:pPr>
    </w:p>
  </w:footnote>
  <w:footnote w:id="160">
    <w:p w14:paraId="08456868" w14:textId="787F7440" w:rsidR="004224C0" w:rsidRDefault="004224C0" w:rsidP="00B476ED">
      <w:pPr>
        <w:pStyle w:val="NormalWeb"/>
        <w:tabs>
          <w:tab w:val="left" w:pos="567"/>
        </w:tabs>
        <w:spacing w:line="240" w:lineRule="auto"/>
        <w:ind w:right="-943"/>
        <w:rPr>
          <w:rFonts w:ascii="Verdana" w:hAnsi="Verdana"/>
          <w:sz w:val="16"/>
          <w:szCs w:val="16"/>
        </w:rPr>
      </w:pPr>
      <w:r w:rsidRPr="0000014D">
        <w:rPr>
          <w:rStyle w:val="Refdenotaalpie"/>
          <w:sz w:val="16"/>
          <w:szCs w:val="16"/>
          <w:lang w:val="es-ES"/>
        </w:rPr>
        <w:footnoteRef/>
      </w:r>
      <w:r w:rsidRPr="0000014D">
        <w:rPr>
          <w:rFonts w:ascii="Verdana" w:hAnsi="Verdana"/>
          <w:sz w:val="16"/>
          <w:szCs w:val="16"/>
          <w:lang w:val="es-ES"/>
        </w:rPr>
        <w:t xml:space="preserve"> </w:t>
      </w:r>
      <w:r w:rsidRPr="0000014D">
        <w:rPr>
          <w:rFonts w:ascii="Verdana" w:hAnsi="Verdana"/>
          <w:sz w:val="16"/>
          <w:szCs w:val="16"/>
          <w:lang w:val="es-ES"/>
        </w:rPr>
        <w:tab/>
      </w:r>
      <w:r w:rsidRPr="0000014D">
        <w:rPr>
          <w:rFonts w:ascii="Verdana" w:hAnsi="Verdana"/>
          <w:i/>
          <w:sz w:val="16"/>
          <w:szCs w:val="16"/>
          <w:lang w:val="es-ES"/>
        </w:rPr>
        <w:t>Cfr. Caso Garrido y Baigorria Vs. Argentina</w:t>
      </w:r>
      <w:r w:rsidRPr="0000014D">
        <w:rPr>
          <w:rFonts w:ascii="Verdana" w:hAnsi="Verdana"/>
          <w:sz w:val="16"/>
          <w:szCs w:val="16"/>
          <w:lang w:val="es-ES"/>
        </w:rPr>
        <w:t xml:space="preserve">, </w:t>
      </w:r>
      <w:r w:rsidRPr="0000014D">
        <w:rPr>
          <w:rFonts w:ascii="Verdana" w:hAnsi="Verdana"/>
          <w:iCs/>
          <w:sz w:val="16"/>
          <w:szCs w:val="16"/>
          <w:lang w:val="es-ES"/>
        </w:rPr>
        <w:t>párr. 82, y</w:t>
      </w:r>
      <w:r w:rsidRPr="0000014D">
        <w:rPr>
          <w:rFonts w:ascii="Verdana" w:hAnsi="Verdana"/>
          <w:i/>
          <w:sz w:val="16"/>
          <w:szCs w:val="16"/>
          <w:lang w:val="es-ES"/>
        </w:rPr>
        <w:t xml:space="preserve"> </w:t>
      </w:r>
      <w:r w:rsidRPr="00A00219">
        <w:rPr>
          <w:rFonts w:ascii="Verdana" w:hAnsi="Verdana" w:cs="Arial"/>
          <w:i/>
          <w:sz w:val="16"/>
          <w:szCs w:val="16"/>
          <w:shd w:val="clear" w:color="auto" w:fill="FFFFFF"/>
        </w:rPr>
        <w:t>Caso Acosta Martínez y otros Vs. Argentina</w:t>
      </w:r>
      <w:r w:rsidRPr="00A00219">
        <w:rPr>
          <w:rFonts w:ascii="Verdana" w:hAnsi="Verdana" w:cs="Arial"/>
          <w:sz w:val="16"/>
          <w:szCs w:val="16"/>
          <w:shd w:val="clear" w:color="auto" w:fill="FFFFFF"/>
        </w:rPr>
        <w:t>, párr. 145</w:t>
      </w:r>
      <w:r w:rsidRPr="00A00219">
        <w:rPr>
          <w:rFonts w:ascii="Verdana" w:hAnsi="Verdana"/>
          <w:sz w:val="16"/>
          <w:szCs w:val="16"/>
        </w:rPr>
        <w:t>.</w:t>
      </w:r>
    </w:p>
    <w:p w14:paraId="69C30BB6" w14:textId="77777777" w:rsidR="004224C0" w:rsidRPr="0000014D" w:rsidRDefault="004224C0" w:rsidP="00B476ED">
      <w:pPr>
        <w:pStyle w:val="NormalWeb"/>
        <w:tabs>
          <w:tab w:val="left" w:pos="567"/>
        </w:tabs>
        <w:spacing w:line="240" w:lineRule="auto"/>
        <w:ind w:right="-943"/>
        <w:rPr>
          <w:rFonts w:ascii="Verdana" w:hAnsi="Verdana"/>
          <w:sz w:val="16"/>
          <w:szCs w:val="16"/>
        </w:rPr>
      </w:pPr>
    </w:p>
  </w:footnote>
  <w:footnote w:id="161">
    <w:p w14:paraId="7AA52C37" w14:textId="2C425DA3" w:rsidR="004224C0" w:rsidRDefault="004224C0" w:rsidP="00B476ED">
      <w:pPr>
        <w:pStyle w:val="Textonotapie"/>
        <w:tabs>
          <w:tab w:val="left" w:pos="426"/>
        </w:tabs>
        <w:ind w:right="-943"/>
        <w:rPr>
          <w:sz w:val="16"/>
          <w:szCs w:val="16"/>
        </w:rPr>
      </w:pPr>
      <w:r w:rsidRPr="0000014D">
        <w:rPr>
          <w:rStyle w:val="Refdenotaalpie"/>
          <w:sz w:val="16"/>
          <w:szCs w:val="16"/>
        </w:rPr>
        <w:footnoteRef/>
      </w:r>
      <w:r w:rsidRPr="0000014D">
        <w:rPr>
          <w:sz w:val="16"/>
          <w:szCs w:val="16"/>
        </w:rPr>
        <w:t xml:space="preserve"> </w:t>
      </w:r>
      <w:r w:rsidRPr="0000014D">
        <w:rPr>
          <w:sz w:val="16"/>
          <w:szCs w:val="16"/>
        </w:rPr>
        <w:tab/>
      </w:r>
      <w:r w:rsidRPr="0000014D">
        <w:rPr>
          <w:sz w:val="16"/>
          <w:szCs w:val="16"/>
        </w:rPr>
        <w:tab/>
      </w:r>
      <w:r w:rsidRPr="0000014D">
        <w:rPr>
          <w:i/>
          <w:sz w:val="16"/>
          <w:szCs w:val="16"/>
        </w:rPr>
        <w:t xml:space="preserve">Cfr. Caso Ibsen Cárdenas e Ibsen Peña Vs. Bolivia. Fondo, Reparaciones y Costas. </w:t>
      </w:r>
      <w:r w:rsidRPr="0000014D">
        <w:rPr>
          <w:iCs/>
          <w:sz w:val="16"/>
          <w:szCs w:val="16"/>
        </w:rPr>
        <w:t xml:space="preserve">Sentencia de 1 de septiembre de 2010. Serie C No. 217, párr. 29, y </w:t>
      </w:r>
      <w:r w:rsidRPr="00A00219">
        <w:rPr>
          <w:rFonts w:cs="Arial"/>
          <w:i/>
          <w:sz w:val="16"/>
          <w:szCs w:val="16"/>
          <w:shd w:val="clear" w:color="auto" w:fill="FFFFFF"/>
        </w:rPr>
        <w:t>Caso Acosta Martínez y otros Vs. Argentina</w:t>
      </w:r>
      <w:r w:rsidRPr="00A00219">
        <w:rPr>
          <w:rFonts w:cs="Arial"/>
          <w:sz w:val="16"/>
          <w:szCs w:val="16"/>
          <w:shd w:val="clear" w:color="auto" w:fill="FFFFFF"/>
        </w:rPr>
        <w:t xml:space="preserve">, párr. </w:t>
      </w:r>
      <w:r>
        <w:rPr>
          <w:rFonts w:cs="Arial"/>
          <w:sz w:val="16"/>
          <w:szCs w:val="16"/>
          <w:shd w:val="clear" w:color="auto" w:fill="FFFFFF"/>
        </w:rPr>
        <w:t>146.</w:t>
      </w:r>
    </w:p>
    <w:p w14:paraId="2D9E37C9" w14:textId="77777777" w:rsidR="004224C0" w:rsidRPr="0000014D" w:rsidRDefault="004224C0" w:rsidP="00B476ED">
      <w:pPr>
        <w:pStyle w:val="Textonotapie"/>
        <w:tabs>
          <w:tab w:val="left" w:pos="426"/>
        </w:tabs>
        <w:ind w:right="-943"/>
        <w:rPr>
          <w:sz w:val="16"/>
          <w:szCs w:val="16"/>
          <w:lang w:val="es-ES"/>
        </w:rPr>
      </w:pPr>
    </w:p>
  </w:footnote>
  <w:footnote w:id="162">
    <w:p w14:paraId="6E1566AA" w14:textId="55A52916" w:rsidR="004224C0" w:rsidRDefault="004224C0" w:rsidP="00B476ED">
      <w:pPr>
        <w:pStyle w:val="Textonotapie"/>
        <w:ind w:right="-943"/>
        <w:rPr>
          <w:sz w:val="16"/>
          <w:szCs w:val="16"/>
        </w:rPr>
      </w:pPr>
      <w:r w:rsidRPr="0000014D">
        <w:rPr>
          <w:rStyle w:val="Refdenotaalpie"/>
          <w:rFonts w:eastAsia="MS Mincho"/>
          <w:sz w:val="16"/>
          <w:szCs w:val="16"/>
        </w:rPr>
        <w:footnoteRef/>
      </w:r>
      <w:r w:rsidRPr="0000014D">
        <w:rPr>
          <w:sz w:val="16"/>
          <w:szCs w:val="16"/>
        </w:rPr>
        <w:t xml:space="preserve"> </w:t>
      </w:r>
      <w:r w:rsidRPr="0000014D">
        <w:rPr>
          <w:sz w:val="16"/>
          <w:szCs w:val="16"/>
        </w:rPr>
        <w:tab/>
      </w:r>
      <w:r w:rsidRPr="0000014D">
        <w:rPr>
          <w:i/>
          <w:sz w:val="16"/>
          <w:szCs w:val="16"/>
        </w:rPr>
        <w:t xml:space="preserve">Caso Mota </w:t>
      </w:r>
      <w:proofErr w:type="spellStart"/>
      <w:r w:rsidRPr="0000014D">
        <w:rPr>
          <w:i/>
          <w:sz w:val="16"/>
          <w:szCs w:val="16"/>
        </w:rPr>
        <w:t>Abarullo</w:t>
      </w:r>
      <w:proofErr w:type="spellEnd"/>
      <w:r w:rsidRPr="0000014D">
        <w:rPr>
          <w:i/>
          <w:sz w:val="16"/>
          <w:szCs w:val="16"/>
        </w:rPr>
        <w:t xml:space="preserve"> y otros Vs. Venezuela. </w:t>
      </w:r>
      <w:r w:rsidRPr="0000014D">
        <w:rPr>
          <w:sz w:val="16"/>
          <w:szCs w:val="16"/>
        </w:rPr>
        <w:t xml:space="preserve">Resolución de la </w:t>
      </w:r>
      <w:proofErr w:type="gramStart"/>
      <w:r w:rsidRPr="0000014D">
        <w:rPr>
          <w:sz w:val="16"/>
          <w:szCs w:val="16"/>
        </w:rPr>
        <w:t>Presidenta</w:t>
      </w:r>
      <w:proofErr w:type="gramEnd"/>
      <w:r w:rsidRPr="0000014D">
        <w:rPr>
          <w:sz w:val="16"/>
          <w:szCs w:val="16"/>
        </w:rPr>
        <w:t xml:space="preserve"> de la Corte de 30 de junio de 2020, Visto 5.</w:t>
      </w:r>
    </w:p>
    <w:p w14:paraId="3C2619D1" w14:textId="77777777" w:rsidR="004224C0" w:rsidRPr="0000014D" w:rsidRDefault="004224C0" w:rsidP="00B476ED">
      <w:pPr>
        <w:pStyle w:val="Textonotapie"/>
        <w:ind w:right="-943"/>
        <w:rPr>
          <w:sz w:val="16"/>
          <w:szCs w:val="16"/>
          <w:lang w:val="es-CR"/>
        </w:rPr>
      </w:pPr>
    </w:p>
  </w:footnote>
  <w:footnote w:id="163">
    <w:p w14:paraId="034B9226" w14:textId="11251FE3" w:rsidR="004224C0" w:rsidRDefault="004224C0" w:rsidP="00B476ED">
      <w:pPr>
        <w:pStyle w:val="Textonotapie"/>
        <w:ind w:right="-943"/>
        <w:rPr>
          <w:sz w:val="16"/>
          <w:szCs w:val="16"/>
        </w:rPr>
      </w:pPr>
      <w:r w:rsidRPr="0000014D">
        <w:rPr>
          <w:rStyle w:val="Refdenotaalpie"/>
          <w:rFonts w:eastAsia="MS Mincho"/>
          <w:sz w:val="16"/>
          <w:szCs w:val="16"/>
        </w:rPr>
        <w:footnoteRef/>
      </w:r>
      <w:r w:rsidRPr="0000014D">
        <w:rPr>
          <w:sz w:val="16"/>
          <w:szCs w:val="16"/>
        </w:rPr>
        <w:t xml:space="preserve"> </w:t>
      </w:r>
      <w:r w:rsidRPr="0000014D">
        <w:rPr>
          <w:sz w:val="16"/>
          <w:szCs w:val="16"/>
        </w:rPr>
        <w:tab/>
      </w:r>
      <w:r w:rsidRPr="0000014D">
        <w:rPr>
          <w:i/>
          <w:sz w:val="16"/>
          <w:szCs w:val="16"/>
        </w:rPr>
        <w:t xml:space="preserve">Caso Mota </w:t>
      </w:r>
      <w:proofErr w:type="spellStart"/>
      <w:r w:rsidRPr="0000014D">
        <w:rPr>
          <w:i/>
          <w:sz w:val="16"/>
          <w:szCs w:val="16"/>
        </w:rPr>
        <w:t>Abarullo</w:t>
      </w:r>
      <w:proofErr w:type="spellEnd"/>
      <w:r w:rsidRPr="0000014D">
        <w:rPr>
          <w:i/>
          <w:sz w:val="16"/>
          <w:szCs w:val="16"/>
        </w:rPr>
        <w:t xml:space="preserve"> y otros Vs. Venezuela. </w:t>
      </w:r>
      <w:r w:rsidRPr="0000014D">
        <w:rPr>
          <w:sz w:val="16"/>
          <w:szCs w:val="16"/>
        </w:rPr>
        <w:t xml:space="preserve">Resolución de la </w:t>
      </w:r>
      <w:proofErr w:type="gramStart"/>
      <w:r w:rsidRPr="0000014D">
        <w:rPr>
          <w:sz w:val="16"/>
          <w:szCs w:val="16"/>
        </w:rPr>
        <w:t>Presidenta</w:t>
      </w:r>
      <w:proofErr w:type="gramEnd"/>
      <w:r w:rsidRPr="0000014D">
        <w:rPr>
          <w:sz w:val="16"/>
          <w:szCs w:val="16"/>
        </w:rPr>
        <w:t xml:space="preserve"> de la Corte de 30 de junio de 2020, Considerando 24</w:t>
      </w:r>
      <w:r>
        <w:rPr>
          <w:sz w:val="16"/>
          <w:szCs w:val="16"/>
        </w:rPr>
        <w:t>.</w:t>
      </w:r>
      <w:r w:rsidRPr="0000014D">
        <w:rPr>
          <w:sz w:val="16"/>
          <w:szCs w:val="16"/>
        </w:rPr>
        <w:t xml:space="preserve"> Los puntos resolutivos </w:t>
      </w:r>
      <w:r>
        <w:rPr>
          <w:sz w:val="16"/>
          <w:szCs w:val="16"/>
        </w:rPr>
        <w:t>10</w:t>
      </w:r>
      <w:r w:rsidRPr="0000014D">
        <w:rPr>
          <w:sz w:val="16"/>
          <w:szCs w:val="16"/>
        </w:rPr>
        <w:t xml:space="preserve"> y 1</w:t>
      </w:r>
      <w:r>
        <w:rPr>
          <w:sz w:val="16"/>
          <w:szCs w:val="16"/>
        </w:rPr>
        <w:t>1</w:t>
      </w:r>
      <w:r w:rsidRPr="0000014D">
        <w:rPr>
          <w:sz w:val="16"/>
          <w:szCs w:val="16"/>
        </w:rPr>
        <w:t xml:space="preserve"> de la Resolución, además, expresaron: “Declarar procedente la aplicación del Fondo de Asistencia Legal de </w:t>
      </w:r>
      <w:proofErr w:type="spellStart"/>
      <w:r w:rsidRPr="0000014D">
        <w:rPr>
          <w:sz w:val="16"/>
          <w:szCs w:val="16"/>
        </w:rPr>
        <w:t>Victimas</w:t>
      </w:r>
      <w:proofErr w:type="spellEnd"/>
      <w:r w:rsidRPr="0000014D">
        <w:rPr>
          <w:sz w:val="16"/>
          <w:szCs w:val="16"/>
        </w:rPr>
        <w:t xml:space="preserve"> de la Corte Interamericana en los términos dispuestos en los Considerandos 23 a 26 de esta Resolución” y [r]</w:t>
      </w:r>
      <w:proofErr w:type="spellStart"/>
      <w:r w:rsidRPr="0000014D">
        <w:rPr>
          <w:sz w:val="16"/>
          <w:szCs w:val="16"/>
        </w:rPr>
        <w:t>equerir</w:t>
      </w:r>
      <w:proofErr w:type="spellEnd"/>
      <w:r w:rsidRPr="0000014D">
        <w:rPr>
          <w:sz w:val="16"/>
          <w:szCs w:val="16"/>
        </w:rPr>
        <w:t xml:space="preserve"> a los representantes que, a más tardar junto con sus alegatos finales escritos, que deben ser presentados en la fecha señalada en el punto resolutivo 9, presenten los comprobantes que acrediten debidamente los gastos razonables efectuados, de acuerdo a lo indicado en el Considerando 24 de la presente Resolución.</w:t>
      </w:r>
      <w:r w:rsidRPr="009A2B21">
        <w:rPr>
          <w:sz w:val="16"/>
          <w:szCs w:val="16"/>
        </w:rPr>
        <w:t xml:space="preserve"> </w:t>
      </w:r>
      <w:r>
        <w:rPr>
          <w:sz w:val="16"/>
          <w:szCs w:val="16"/>
        </w:rPr>
        <w:t>E</w:t>
      </w:r>
      <w:r w:rsidRPr="001559A7">
        <w:rPr>
          <w:sz w:val="16"/>
          <w:szCs w:val="16"/>
        </w:rPr>
        <w:t>l reintegro de los gastos se efectuar[</w:t>
      </w:r>
      <w:proofErr w:type="spellStart"/>
      <w:r w:rsidRPr="001559A7">
        <w:rPr>
          <w:sz w:val="16"/>
          <w:szCs w:val="16"/>
        </w:rPr>
        <w:t>ía</w:t>
      </w:r>
      <w:proofErr w:type="spellEnd"/>
      <w:r w:rsidRPr="001559A7">
        <w:rPr>
          <w:sz w:val="16"/>
          <w:szCs w:val="16"/>
        </w:rPr>
        <w:t>] luego de la recepción de los comprobantes correspondientes</w:t>
      </w:r>
      <w:r w:rsidRPr="0000014D">
        <w:rPr>
          <w:sz w:val="16"/>
          <w:szCs w:val="16"/>
        </w:rPr>
        <w:t>” Los puntos resolutivos señalados no fueron alterados por la Resolución de la Corte de 24 de agosto de 2020 (</w:t>
      </w:r>
      <w:r w:rsidRPr="0000014D">
        <w:rPr>
          <w:i/>
          <w:sz w:val="16"/>
          <w:szCs w:val="16"/>
        </w:rPr>
        <w:t xml:space="preserve">supra </w:t>
      </w:r>
      <w:r w:rsidRPr="0000014D">
        <w:rPr>
          <w:sz w:val="16"/>
          <w:szCs w:val="16"/>
        </w:rPr>
        <w:t xml:space="preserve">párr. </w:t>
      </w:r>
      <w:r>
        <w:rPr>
          <w:sz w:val="16"/>
          <w:szCs w:val="16"/>
        </w:rPr>
        <w:t>9</w:t>
      </w:r>
      <w:r w:rsidRPr="0000014D">
        <w:rPr>
          <w:sz w:val="16"/>
          <w:szCs w:val="16"/>
        </w:rPr>
        <w:t>).</w:t>
      </w:r>
      <w:r w:rsidRPr="009A2B21">
        <w:rPr>
          <w:sz w:val="16"/>
          <w:szCs w:val="16"/>
        </w:rPr>
        <w:t xml:space="preserve"> </w:t>
      </w:r>
      <w:r w:rsidRPr="001559A7">
        <w:rPr>
          <w:sz w:val="16"/>
          <w:szCs w:val="16"/>
        </w:rPr>
        <w:t xml:space="preserve"> </w:t>
      </w:r>
    </w:p>
    <w:p w14:paraId="053279ED" w14:textId="77777777" w:rsidR="004224C0" w:rsidRPr="001559A7" w:rsidRDefault="004224C0" w:rsidP="00B476ED">
      <w:pPr>
        <w:pStyle w:val="Textonotapie"/>
        <w:ind w:right="-943"/>
        <w:rPr>
          <w:lang w:val="es-C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6B66"/>
    <w:multiLevelType w:val="hybridMultilevel"/>
    <w:tmpl w:val="4926C9EA"/>
    <w:lvl w:ilvl="0" w:tplc="4E2A0C4C">
      <w:start w:val="1"/>
      <w:numFmt w:val="decimal"/>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AD669772">
      <w:start w:val="1"/>
      <w:numFmt w:val="decimal"/>
      <w:lvlText w:val="%4."/>
      <w:lvlJc w:val="left"/>
      <w:pPr>
        <w:ind w:left="2880" w:hanging="360"/>
      </w:pPr>
      <w:rPr>
        <w:b w:val="0"/>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76C5F42"/>
    <w:multiLevelType w:val="hybridMultilevel"/>
    <w:tmpl w:val="0C2AEC58"/>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6322F81"/>
    <w:multiLevelType w:val="hybridMultilevel"/>
    <w:tmpl w:val="46A0E484"/>
    <w:lvl w:ilvl="0" w:tplc="61B61ECE">
      <w:start w:val="91"/>
      <w:numFmt w:val="decimal"/>
      <w:lvlText w:val="%1."/>
      <w:lvlJc w:val="left"/>
      <w:pPr>
        <w:ind w:left="6172" w:hanging="360"/>
      </w:pPr>
      <w:rPr>
        <w:rFonts w:ascii="Verdana" w:hAnsi="Verdana" w:hint="default"/>
        <w:b w:val="0"/>
        <w:i w:val="0"/>
        <w:strike w:val="0"/>
        <w:sz w:val="20"/>
        <w:szCs w:val="20"/>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1310CCC"/>
    <w:multiLevelType w:val="hybridMultilevel"/>
    <w:tmpl w:val="0FB2A09A"/>
    <w:lvl w:ilvl="0" w:tplc="B770F89C">
      <w:start w:val="25"/>
      <w:numFmt w:val="bullet"/>
      <w:lvlText w:val="-"/>
      <w:lvlJc w:val="left"/>
      <w:pPr>
        <w:ind w:left="720" w:hanging="360"/>
      </w:pPr>
      <w:rPr>
        <w:rFonts w:ascii="Verdana" w:eastAsia="Times New Roman"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22B7607"/>
    <w:multiLevelType w:val="hybridMultilevel"/>
    <w:tmpl w:val="4AEE22E0"/>
    <w:lvl w:ilvl="0" w:tplc="8FE617E6">
      <w:start w:val="1"/>
      <w:numFmt w:val="lowerLetter"/>
      <w:lvlText w:val="%1)"/>
      <w:lvlJc w:val="left"/>
      <w:pPr>
        <w:ind w:left="644"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5" w15:restartNumberingAfterBreak="0">
    <w:nsid w:val="23B928AC"/>
    <w:multiLevelType w:val="hybridMultilevel"/>
    <w:tmpl w:val="2D8CB086"/>
    <w:lvl w:ilvl="0" w:tplc="2768033A">
      <w:start w:val="110"/>
      <w:numFmt w:val="decimal"/>
      <w:lvlText w:val="%1."/>
      <w:lvlJc w:val="left"/>
      <w:pPr>
        <w:ind w:left="7305" w:hanging="825"/>
      </w:pPr>
      <w:rPr>
        <w:rFonts w:ascii="Verdana" w:eastAsia="Verdana" w:hAnsi="Verdana" w:cs="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C6144C9"/>
    <w:multiLevelType w:val="hybridMultilevel"/>
    <w:tmpl w:val="CFF0C922"/>
    <w:lvl w:ilvl="0" w:tplc="AAD2F022">
      <w:start w:val="1"/>
      <w:numFmt w:val="decimal"/>
      <w:pStyle w:val="PrrafodeSentencia"/>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F4767F3"/>
    <w:multiLevelType w:val="hybridMultilevel"/>
    <w:tmpl w:val="C45809BC"/>
    <w:lvl w:ilvl="0" w:tplc="EE1A0456">
      <w:start w:val="1"/>
      <w:numFmt w:val="decimal"/>
      <w:pStyle w:val="Estilo5"/>
      <w:lvlText w:val="%1."/>
      <w:lvlJc w:val="left"/>
      <w:pPr>
        <w:ind w:left="450" w:hanging="360"/>
      </w:pPr>
      <w:rPr>
        <w:rFonts w:ascii="Verdana" w:hAnsi="Verdana" w:hint="default"/>
        <w:b w:val="0"/>
        <w:i w:val="0"/>
        <w:strike w:val="0"/>
        <w:color w:val="auto"/>
        <w:sz w:val="20"/>
        <w:szCs w:val="20"/>
        <w:lang w:val="es-MX"/>
      </w:rPr>
    </w:lvl>
    <w:lvl w:ilvl="1" w:tplc="3CA86E32">
      <w:start w:val="1"/>
      <w:numFmt w:val="lowerLetter"/>
      <w:lvlText w:val="%2)"/>
      <w:lvlJc w:val="left"/>
      <w:pPr>
        <w:ind w:left="1620" w:hanging="360"/>
      </w:pPr>
      <w:rPr>
        <w:rFonts w:ascii="Verdana" w:hAnsi="Verdana" w:cs="Times New Roman" w:hint="default"/>
        <w:b w:val="0"/>
        <w:i w:val="0"/>
        <w:caps w:val="0"/>
        <w:strike w:val="0"/>
        <w:dstrike w:val="0"/>
        <w:vanish w:val="0"/>
        <w:color w:val="auto"/>
        <w:sz w:val="20"/>
        <w:vertAlign w:val="baseline"/>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rFonts w:hint="default"/>
        <w:b w:val="0"/>
        <w:i w:val="0"/>
      </w:rPr>
    </w:lvl>
    <w:lvl w:ilvl="5" w:tplc="726C26BC">
      <w:start w:val="1"/>
      <w:numFmt w:val="lowerRoman"/>
      <w:pStyle w:val="Estilo8"/>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5EC5C34"/>
    <w:multiLevelType w:val="hybridMultilevel"/>
    <w:tmpl w:val="8AA2E410"/>
    <w:lvl w:ilvl="0" w:tplc="ABF8E334">
      <w:start w:val="1"/>
      <w:numFmt w:val="decimal"/>
      <w:lvlText w:val="%1."/>
      <w:lvlJc w:val="left"/>
      <w:pPr>
        <w:ind w:left="644" w:hanging="360"/>
      </w:pPr>
      <w:rPr>
        <w:rFonts w:ascii="Verdana" w:hAnsi="Verdana" w:hint="default"/>
        <w:b w:val="0"/>
        <w:i w:val="0"/>
        <w:color w:val="auto"/>
      </w:rPr>
    </w:lvl>
    <w:lvl w:ilvl="1" w:tplc="C23AC0AA">
      <w:start w:val="1"/>
      <w:numFmt w:val="lowerLetter"/>
      <w:lvlText w:val="%2)"/>
      <w:lvlJc w:val="left"/>
      <w:pPr>
        <w:ind w:left="1080" w:hanging="360"/>
      </w:pPr>
      <w:rPr>
        <w:rFonts w:hint="default"/>
        <w:i/>
      </w:rPr>
    </w:lvl>
    <w:lvl w:ilvl="2" w:tplc="0409001B" w:tentative="1">
      <w:start w:val="1"/>
      <w:numFmt w:val="lowerRoman"/>
      <w:lvlText w:val="%3."/>
      <w:lvlJc w:val="right"/>
      <w:pPr>
        <w:ind w:left="1800" w:hanging="180"/>
      </w:pPr>
    </w:lvl>
    <w:lvl w:ilvl="3" w:tplc="140A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A7656C"/>
    <w:multiLevelType w:val="hybridMultilevel"/>
    <w:tmpl w:val="FE50DD7A"/>
    <w:lvl w:ilvl="0" w:tplc="3BD24E3A">
      <w:start w:val="1"/>
      <w:numFmt w:val="decimal"/>
      <w:lvlText w:val="A.%1."/>
      <w:lvlJc w:val="left"/>
      <w:pPr>
        <w:ind w:left="1353" w:hanging="360"/>
      </w:pPr>
      <w:rPr>
        <w:rFonts w:hint="default"/>
        <w:b/>
        <w:i w:val="0"/>
      </w:rPr>
    </w:lvl>
    <w:lvl w:ilvl="1" w:tplc="B1BE33EE">
      <w:start w:val="1"/>
      <w:numFmt w:val="lowerRoman"/>
      <w:lvlText w:val="%2."/>
      <w:lvlJc w:val="left"/>
      <w:pPr>
        <w:ind w:left="786" w:hanging="360"/>
      </w:pPr>
      <w:rPr>
        <w:rFonts w:ascii="Verdana" w:eastAsia="Batang" w:hAnsi="Verdana" w:cstheme="minorBidi"/>
      </w:rPr>
    </w:lvl>
    <w:lvl w:ilvl="2" w:tplc="0409001B">
      <w:start w:val="1"/>
      <w:numFmt w:val="lowerRoman"/>
      <w:lvlText w:val="%3."/>
      <w:lvlJc w:val="right"/>
      <w:pPr>
        <w:ind w:left="1876" w:hanging="180"/>
      </w:pPr>
    </w:lvl>
    <w:lvl w:ilvl="3" w:tplc="48BA8498">
      <w:start w:val="1"/>
      <w:numFmt w:val="decimal"/>
      <w:lvlText w:val="%4."/>
      <w:lvlJc w:val="left"/>
      <w:pPr>
        <w:ind w:left="2596" w:hanging="360"/>
      </w:pPr>
      <w:rPr>
        <w:rFonts w:ascii="Verdana" w:hAnsi="Verdana" w:hint="default"/>
        <w:b w:val="0"/>
        <w:bCs w:val="0"/>
        <w:i w:val="0"/>
        <w:sz w:val="20"/>
        <w:szCs w:val="20"/>
      </w:r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0" w15:restartNumberingAfterBreak="0">
    <w:nsid w:val="37E80248"/>
    <w:multiLevelType w:val="hybridMultilevel"/>
    <w:tmpl w:val="647EAF28"/>
    <w:lvl w:ilvl="0" w:tplc="F9BC4110">
      <w:start w:val="79"/>
      <w:numFmt w:val="decimal"/>
      <w:lvlText w:val="%1."/>
      <w:lvlJc w:val="left"/>
      <w:pPr>
        <w:ind w:left="1387" w:hanging="825"/>
      </w:pPr>
      <w:rPr>
        <w:rFonts w:ascii="Verdana" w:eastAsia="Verdana" w:hAnsi="Verdana" w:cs="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88215D9"/>
    <w:multiLevelType w:val="hybridMultilevel"/>
    <w:tmpl w:val="51163360"/>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3BA44C05"/>
    <w:multiLevelType w:val="hybridMultilevel"/>
    <w:tmpl w:val="23FCDE72"/>
    <w:styleLink w:val="ImportedStyle1"/>
    <w:lvl w:ilvl="0" w:tplc="663461B6">
      <w:start w:val="1"/>
      <w:numFmt w:val="decimal"/>
      <w:lvlText w:val="%1."/>
      <w:lvlJc w:val="left"/>
      <w:pPr>
        <w:ind w:left="540" w:hanging="54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E480D8">
      <w:start w:val="1"/>
      <w:numFmt w:val="lowerLetter"/>
      <w:lvlText w:val="%2."/>
      <w:lvlJc w:val="left"/>
      <w:pPr>
        <w:ind w:left="7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5AE274">
      <w:start w:val="1"/>
      <w:numFmt w:val="lowerRoman"/>
      <w:lvlText w:val="%3."/>
      <w:lvlJc w:val="left"/>
      <w:pPr>
        <w:tabs>
          <w:tab w:val="left" w:pos="540"/>
        </w:tabs>
        <w:ind w:left="144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FA0C22">
      <w:start w:val="1"/>
      <w:numFmt w:val="decimal"/>
      <w:lvlText w:val="%4."/>
      <w:lvlJc w:val="left"/>
      <w:pPr>
        <w:tabs>
          <w:tab w:val="left" w:pos="540"/>
        </w:tabs>
        <w:ind w:left="216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A430CE">
      <w:start w:val="1"/>
      <w:numFmt w:val="lowerLetter"/>
      <w:lvlText w:val="%5."/>
      <w:lvlJc w:val="left"/>
      <w:pPr>
        <w:tabs>
          <w:tab w:val="left" w:pos="540"/>
        </w:tabs>
        <w:ind w:left="288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348524">
      <w:start w:val="1"/>
      <w:numFmt w:val="lowerRoman"/>
      <w:lvlText w:val="%6."/>
      <w:lvlJc w:val="left"/>
      <w:pPr>
        <w:tabs>
          <w:tab w:val="left" w:pos="540"/>
        </w:tabs>
        <w:ind w:left="360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03F70">
      <w:start w:val="1"/>
      <w:numFmt w:val="decimal"/>
      <w:lvlText w:val="%7."/>
      <w:lvlJc w:val="left"/>
      <w:pPr>
        <w:tabs>
          <w:tab w:val="left" w:pos="540"/>
        </w:tabs>
        <w:ind w:left="432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8CE436">
      <w:start w:val="1"/>
      <w:numFmt w:val="lowerLetter"/>
      <w:lvlText w:val="%8."/>
      <w:lvlJc w:val="left"/>
      <w:pPr>
        <w:tabs>
          <w:tab w:val="left" w:pos="540"/>
        </w:tabs>
        <w:ind w:left="5040" w:hanging="72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BE8C4A">
      <w:start w:val="1"/>
      <w:numFmt w:val="lowerRoman"/>
      <w:lvlText w:val="%9."/>
      <w:lvlJc w:val="left"/>
      <w:pPr>
        <w:tabs>
          <w:tab w:val="left" w:pos="540"/>
        </w:tabs>
        <w:ind w:left="5760" w:hanging="682"/>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4C57DB2"/>
    <w:multiLevelType w:val="hybridMultilevel"/>
    <w:tmpl w:val="CDEAFF1A"/>
    <w:lvl w:ilvl="0" w:tplc="3334E13C">
      <w:start w:val="1"/>
      <w:numFmt w:val="lowerLetter"/>
      <w:lvlText w:val="%1)"/>
      <w:lvlJc w:val="left"/>
      <w:pPr>
        <w:ind w:left="720" w:hanging="360"/>
      </w:pPr>
      <w:rPr>
        <w:rFonts w:ascii="Verdana" w:eastAsiaTheme="minorHAnsi" w:hAnsi="Verdana" w:cs="ArialMT" w:hint="default"/>
        <w:b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45B86124"/>
    <w:multiLevelType w:val="hybridMultilevel"/>
    <w:tmpl w:val="6A8E63AE"/>
    <w:lvl w:ilvl="0" w:tplc="7CC299C8">
      <w:start w:val="1"/>
      <w:numFmt w:val="decimal"/>
      <w:lvlText w:val="%1."/>
      <w:lvlJc w:val="left"/>
      <w:pPr>
        <w:ind w:left="928" w:hanging="360"/>
      </w:pPr>
      <w:rPr>
        <w:rFonts w:ascii="Verdana" w:hAnsi="Verdana" w:hint="default"/>
        <w:b w:val="0"/>
        <w:i w:val="0"/>
        <w:sz w:val="20"/>
        <w:szCs w:val="20"/>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5" w15:restartNumberingAfterBreak="0">
    <w:nsid w:val="4A5A34C0"/>
    <w:multiLevelType w:val="hybridMultilevel"/>
    <w:tmpl w:val="066CDB42"/>
    <w:lvl w:ilvl="0" w:tplc="DDC2E462">
      <w:start w:val="1"/>
      <w:numFmt w:val="upperLetter"/>
      <w:pStyle w:val="Ttulo2"/>
      <w:lvlText w:val="%1."/>
      <w:lvlJc w:val="left"/>
      <w:pPr>
        <w:ind w:left="1147" w:hanging="585"/>
      </w:pPr>
      <w:rPr>
        <w:rFonts w:hint="default"/>
      </w:rPr>
    </w:lvl>
    <w:lvl w:ilvl="1" w:tplc="140A0019" w:tentative="1">
      <w:start w:val="1"/>
      <w:numFmt w:val="lowerLetter"/>
      <w:lvlText w:val="%2."/>
      <w:lvlJc w:val="left"/>
      <w:pPr>
        <w:ind w:left="1642" w:hanging="360"/>
      </w:pPr>
    </w:lvl>
    <w:lvl w:ilvl="2" w:tplc="140A001B" w:tentative="1">
      <w:start w:val="1"/>
      <w:numFmt w:val="lowerRoman"/>
      <w:lvlText w:val="%3."/>
      <w:lvlJc w:val="right"/>
      <w:pPr>
        <w:ind w:left="2362" w:hanging="180"/>
      </w:pPr>
    </w:lvl>
    <w:lvl w:ilvl="3" w:tplc="140A000F" w:tentative="1">
      <w:start w:val="1"/>
      <w:numFmt w:val="decimal"/>
      <w:lvlText w:val="%4."/>
      <w:lvlJc w:val="left"/>
      <w:pPr>
        <w:ind w:left="3082" w:hanging="360"/>
      </w:pPr>
    </w:lvl>
    <w:lvl w:ilvl="4" w:tplc="140A0019" w:tentative="1">
      <w:start w:val="1"/>
      <w:numFmt w:val="lowerLetter"/>
      <w:lvlText w:val="%5."/>
      <w:lvlJc w:val="left"/>
      <w:pPr>
        <w:ind w:left="3802" w:hanging="360"/>
      </w:pPr>
    </w:lvl>
    <w:lvl w:ilvl="5" w:tplc="140A001B" w:tentative="1">
      <w:start w:val="1"/>
      <w:numFmt w:val="lowerRoman"/>
      <w:lvlText w:val="%6."/>
      <w:lvlJc w:val="right"/>
      <w:pPr>
        <w:ind w:left="4522" w:hanging="180"/>
      </w:pPr>
    </w:lvl>
    <w:lvl w:ilvl="6" w:tplc="140A000F" w:tentative="1">
      <w:start w:val="1"/>
      <w:numFmt w:val="decimal"/>
      <w:lvlText w:val="%7."/>
      <w:lvlJc w:val="left"/>
      <w:pPr>
        <w:ind w:left="5242" w:hanging="360"/>
      </w:pPr>
    </w:lvl>
    <w:lvl w:ilvl="7" w:tplc="140A0019" w:tentative="1">
      <w:start w:val="1"/>
      <w:numFmt w:val="lowerLetter"/>
      <w:lvlText w:val="%8."/>
      <w:lvlJc w:val="left"/>
      <w:pPr>
        <w:ind w:left="5962" w:hanging="360"/>
      </w:pPr>
    </w:lvl>
    <w:lvl w:ilvl="8" w:tplc="140A001B" w:tentative="1">
      <w:start w:val="1"/>
      <w:numFmt w:val="lowerRoman"/>
      <w:lvlText w:val="%9."/>
      <w:lvlJc w:val="right"/>
      <w:pPr>
        <w:ind w:left="6682" w:hanging="180"/>
      </w:pPr>
    </w:lvl>
  </w:abstractNum>
  <w:abstractNum w:abstractNumId="16" w15:restartNumberingAfterBreak="0">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981B1D"/>
    <w:multiLevelType w:val="hybridMultilevel"/>
    <w:tmpl w:val="BBEA83D4"/>
    <w:lvl w:ilvl="0" w:tplc="FDD8D2F4">
      <w:start w:val="57"/>
      <w:numFmt w:val="decimal"/>
      <w:lvlText w:val="%1."/>
      <w:lvlJc w:val="left"/>
      <w:pPr>
        <w:ind w:left="720" w:hanging="360"/>
      </w:pPr>
      <w:rPr>
        <w:rFonts w:eastAsia="MS Mincho" w:hint="default"/>
        <w:i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E83C3DA"/>
    <w:multiLevelType w:val="multilevel"/>
    <w:tmpl w:val="73A0269E"/>
    <w:lvl w:ilvl="0">
      <w:start w:val="1"/>
      <w:numFmt w:val="decimal"/>
      <w:lvlText w:val="%1."/>
      <w:lvlJc w:val="left"/>
      <w:pPr>
        <w:ind w:left="0" w:firstLine="0"/>
      </w:pPr>
      <w:rPr>
        <w:rFonts w:hint="default"/>
        <w:b w:val="0"/>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601B331F"/>
    <w:multiLevelType w:val="hybridMultilevel"/>
    <w:tmpl w:val="F5066E52"/>
    <w:lvl w:ilvl="0" w:tplc="CD3C2E5A">
      <w:start w:val="129"/>
      <w:numFmt w:val="decimal"/>
      <w:lvlText w:val="%1."/>
      <w:lvlJc w:val="left"/>
      <w:pPr>
        <w:ind w:left="1387" w:hanging="825"/>
      </w:pPr>
      <w:rPr>
        <w:rFonts w:ascii="Verdana" w:eastAsia="Verdana" w:hAnsi="Verdana" w:cs="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5386761"/>
    <w:multiLevelType w:val="hybridMultilevel"/>
    <w:tmpl w:val="90488CCA"/>
    <w:lvl w:ilvl="0" w:tplc="B5ECB66A">
      <w:start w:val="2"/>
      <w:numFmt w:val="upp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97A4C22"/>
    <w:multiLevelType w:val="hybridMultilevel"/>
    <w:tmpl w:val="E33E83B2"/>
    <w:lvl w:ilvl="0" w:tplc="6290B50A">
      <w:start w:val="2"/>
      <w:numFmt w:val="decimal"/>
      <w:lvlText w:val="%1."/>
      <w:lvlJc w:val="left"/>
      <w:pPr>
        <w:ind w:left="684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9CB51A0"/>
    <w:multiLevelType w:val="hybridMultilevel"/>
    <w:tmpl w:val="F050E1E0"/>
    <w:lvl w:ilvl="0" w:tplc="E892CDDE">
      <w:start w:val="1"/>
      <w:numFmt w:val="decimal"/>
      <w:lvlText w:val="%1."/>
      <w:lvlJc w:val="left"/>
      <w:pPr>
        <w:ind w:left="1440" w:hanging="360"/>
      </w:pPr>
      <w:rPr>
        <w:b w:val="0"/>
        <w:i w:val="0"/>
        <w:sz w:val="20"/>
        <w:szCs w:val="20"/>
        <w:lang w:val="es-ES"/>
      </w:rPr>
    </w:lvl>
    <w:lvl w:ilvl="1" w:tplc="8C5895FA">
      <w:start w:val="1"/>
      <w:numFmt w:val="lowerLetter"/>
      <w:lvlText w:val="%2."/>
      <w:lvlJc w:val="left"/>
      <w:pPr>
        <w:ind w:left="2160" w:hanging="360"/>
      </w:pPr>
      <w:rPr>
        <w:b w:val="0"/>
      </w:r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705A6F5C"/>
    <w:multiLevelType w:val="hybridMultilevel"/>
    <w:tmpl w:val="554EE8C4"/>
    <w:lvl w:ilvl="0" w:tplc="6722D962">
      <w:start w:val="1"/>
      <w:numFmt w:val="decimal"/>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1FF163A"/>
    <w:multiLevelType w:val="hybridMultilevel"/>
    <w:tmpl w:val="9520565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3846A56"/>
    <w:multiLevelType w:val="hybridMultilevel"/>
    <w:tmpl w:val="481E1D38"/>
    <w:lvl w:ilvl="0" w:tplc="904C4D60">
      <w:start w:val="128"/>
      <w:numFmt w:val="decimal"/>
      <w:lvlText w:val="%1."/>
      <w:lvlJc w:val="left"/>
      <w:pPr>
        <w:ind w:left="1387" w:hanging="825"/>
      </w:pPr>
      <w:rPr>
        <w:rFonts w:ascii="Verdana" w:eastAsia="Verdana" w:hAnsi="Verdana" w:cs="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3944884"/>
    <w:multiLevelType w:val="hybridMultilevel"/>
    <w:tmpl w:val="C972A0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4647BBF"/>
    <w:multiLevelType w:val="hybridMultilevel"/>
    <w:tmpl w:val="445878D0"/>
    <w:lvl w:ilvl="0" w:tplc="2C122F96">
      <w:start w:val="113"/>
      <w:numFmt w:val="decimal"/>
      <w:lvlText w:val="%1."/>
      <w:lvlJc w:val="left"/>
      <w:pPr>
        <w:ind w:left="1387" w:hanging="825"/>
      </w:pPr>
      <w:rPr>
        <w:rFonts w:ascii="Verdana" w:eastAsia="Verdana" w:hAnsi="Verdana" w:cs="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6753A80"/>
    <w:multiLevelType w:val="hybridMultilevel"/>
    <w:tmpl w:val="D0A6F9AA"/>
    <w:lvl w:ilvl="0" w:tplc="B37AF7BC">
      <w:start w:val="1"/>
      <w:numFmt w:val="decimal"/>
      <w:lvlText w:val="%1."/>
      <w:lvlJc w:val="left"/>
      <w:pPr>
        <w:ind w:left="0" w:firstLine="0"/>
      </w:pPr>
      <w:rPr>
        <w:rFonts w:ascii="Verdana" w:hAnsi="Verdana" w:hint="default"/>
        <w:b w:val="0"/>
        <w:i w:val="0"/>
        <w:sz w:val="20"/>
        <w:szCs w:val="20"/>
      </w:rPr>
    </w:lvl>
    <w:lvl w:ilvl="1" w:tplc="080A0019">
      <w:start w:val="1"/>
      <w:numFmt w:val="lowerLetter"/>
      <w:lvlText w:val="%2."/>
      <w:lvlJc w:val="left"/>
      <w:pPr>
        <w:ind w:left="1298" w:hanging="360"/>
      </w:pPr>
      <w:rPr>
        <w:rFonts w:hint="default"/>
      </w:rPr>
    </w:lvl>
    <w:lvl w:ilvl="2" w:tplc="080A001B">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29" w15:restartNumberingAfterBreak="0">
    <w:nsid w:val="79354707"/>
    <w:multiLevelType w:val="hybridMultilevel"/>
    <w:tmpl w:val="3E14D708"/>
    <w:lvl w:ilvl="0" w:tplc="EB68A0D2">
      <w:start w:val="1"/>
      <w:numFmt w:val="decimal"/>
      <w:lvlText w:val="%1."/>
      <w:lvlJc w:val="left"/>
      <w:pPr>
        <w:ind w:left="7305" w:hanging="825"/>
      </w:pPr>
      <w:rPr>
        <w:rFonts w:ascii="Verdana" w:eastAsia="Verdana" w:hAnsi="Verdana" w:cs="Verdana" w:hint="default"/>
        <w:b w:val="0"/>
        <w:i w:val="0"/>
        <w:strike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0" w15:restartNumberingAfterBreak="0">
    <w:nsid w:val="7CE64D32"/>
    <w:multiLevelType w:val="hybridMultilevel"/>
    <w:tmpl w:val="F05C7C3A"/>
    <w:lvl w:ilvl="0" w:tplc="268290B2">
      <w:start w:val="1"/>
      <w:numFmt w:val="decimal"/>
      <w:lvlText w:val="%1."/>
      <w:lvlJc w:val="left"/>
      <w:pPr>
        <w:tabs>
          <w:tab w:val="num" w:pos="1607"/>
        </w:tabs>
      </w:pPr>
      <w:rPr>
        <w:rFonts w:ascii="Verdana" w:eastAsia="Times New Roman" w:hAnsi="Verdana" w:cs="Times New Roman"/>
        <w:b w:val="0"/>
        <w:i w:val="0"/>
        <w:strike w:val="0"/>
        <w:color w:val="auto"/>
        <w:sz w:val="20"/>
        <w:lang w:val="es-CR"/>
      </w:rPr>
    </w:lvl>
    <w:lvl w:ilvl="1" w:tplc="04090019">
      <w:start w:val="1"/>
      <w:numFmt w:val="lowerLetter"/>
      <w:lvlText w:val="%2)"/>
      <w:lvlJc w:val="left"/>
      <w:pPr>
        <w:tabs>
          <w:tab w:val="num" w:pos="1080"/>
        </w:tabs>
        <w:ind w:left="1080" w:hanging="360"/>
      </w:pPr>
      <w:rPr>
        <w:rFont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9"/>
  </w:num>
  <w:num w:numId="2">
    <w:abstractNumId w:val="1"/>
  </w:num>
  <w:num w:numId="3">
    <w:abstractNumId w:val="15"/>
  </w:num>
  <w:num w:numId="4">
    <w:abstractNumId w:val="15"/>
    <w:lvlOverride w:ilvl="0">
      <w:startOverride w:val="1"/>
    </w:lvlOverride>
  </w:num>
  <w:num w:numId="5">
    <w:abstractNumId w:val="20"/>
  </w:num>
  <w:num w:numId="6">
    <w:abstractNumId w:val="6"/>
  </w:num>
  <w:num w:numId="7">
    <w:abstractNumId w:val="0"/>
    <w:lvlOverride w:ilvl="0">
      <w:startOverride w:val="1"/>
    </w:lvlOverride>
    <w:lvlOverride w:ilvl="1">
      <w:startOverride w:val="2"/>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
  </w:num>
  <w:num w:numId="11">
    <w:abstractNumId w:val="26"/>
  </w:num>
  <w:num w:numId="12">
    <w:abstractNumId w:val="21"/>
  </w:num>
  <w:num w:numId="13">
    <w:abstractNumId w:val="25"/>
  </w:num>
  <w:num w:numId="14">
    <w:abstractNumId w:val="15"/>
    <w:lvlOverride w:ilvl="0">
      <w:startOverride w:val="2"/>
    </w:lvlOverride>
  </w:num>
  <w:num w:numId="15">
    <w:abstractNumId w:val="16"/>
  </w:num>
  <w:num w:numId="16">
    <w:abstractNumId w:val="12"/>
  </w:num>
  <w:num w:numId="17">
    <w:abstractNumId w:val="7"/>
  </w:num>
  <w:num w:numId="18">
    <w:abstractNumId w:val="9"/>
  </w:num>
  <w:num w:numId="19">
    <w:abstractNumId w:val="8"/>
  </w:num>
  <w:num w:numId="20">
    <w:abstractNumId w:val="0"/>
  </w:num>
  <w:num w:numId="21">
    <w:abstractNumId w:val="23"/>
  </w:num>
  <w:num w:numId="22">
    <w:abstractNumId w:val="14"/>
  </w:num>
  <w:num w:numId="23">
    <w:abstractNumId w:val="18"/>
  </w:num>
  <w:num w:numId="24">
    <w:abstractNumId w:val="24"/>
  </w:num>
  <w:num w:numId="25">
    <w:abstractNumId w:val="22"/>
  </w:num>
  <w:num w:numId="26">
    <w:abstractNumId w:val="2"/>
  </w:num>
  <w:num w:numId="27">
    <w:abstractNumId w:val="28"/>
  </w:num>
  <w:num w:numId="28">
    <w:abstractNumId w:val="3"/>
  </w:num>
  <w:num w:numId="29">
    <w:abstractNumId w:val="30"/>
  </w:num>
  <w:num w:numId="30">
    <w:abstractNumId w:val="17"/>
  </w:num>
  <w:num w:numId="31">
    <w:abstractNumId w:val="10"/>
  </w:num>
  <w:num w:numId="32">
    <w:abstractNumId w:val="11"/>
  </w:num>
  <w:num w:numId="33">
    <w:abstractNumId w:val="5"/>
  </w:num>
  <w:num w:numId="34">
    <w:abstractNumId w:val="27"/>
  </w:num>
  <w:num w:numId="35">
    <w:abstractNumId w:val="19"/>
  </w:num>
  <w:num w:numId="36">
    <w:abstractNumId w:val="15"/>
    <w:lvlOverride w:ilvl="0">
      <w:startOverride w:val="1"/>
    </w:lvlOverride>
  </w:num>
  <w:num w:numId="37">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89C"/>
    <w:rsid w:val="0000398B"/>
    <w:rsid w:val="00014609"/>
    <w:rsid w:val="000153A1"/>
    <w:rsid w:val="000305F3"/>
    <w:rsid w:val="0004272A"/>
    <w:rsid w:val="000432E5"/>
    <w:rsid w:val="00061D45"/>
    <w:rsid w:val="00063212"/>
    <w:rsid w:val="00086F00"/>
    <w:rsid w:val="000A01F4"/>
    <w:rsid w:val="000A4473"/>
    <w:rsid w:val="000A4BE4"/>
    <w:rsid w:val="000A59A9"/>
    <w:rsid w:val="000E11C0"/>
    <w:rsid w:val="000F6D51"/>
    <w:rsid w:val="00105793"/>
    <w:rsid w:val="001254A1"/>
    <w:rsid w:val="00134AC3"/>
    <w:rsid w:val="00174BD9"/>
    <w:rsid w:val="00181B0C"/>
    <w:rsid w:val="001A3132"/>
    <w:rsid w:val="001B5EAF"/>
    <w:rsid w:val="001B7D3C"/>
    <w:rsid w:val="001C5BC8"/>
    <w:rsid w:val="001E764D"/>
    <w:rsid w:val="00212E52"/>
    <w:rsid w:val="00223A6F"/>
    <w:rsid w:val="002246C2"/>
    <w:rsid w:val="002416B5"/>
    <w:rsid w:val="0024736C"/>
    <w:rsid w:val="00264B6F"/>
    <w:rsid w:val="002776D2"/>
    <w:rsid w:val="002954DB"/>
    <w:rsid w:val="002A1039"/>
    <w:rsid w:val="002A479E"/>
    <w:rsid w:val="002A6CE2"/>
    <w:rsid w:val="002E6C1A"/>
    <w:rsid w:val="002F56B2"/>
    <w:rsid w:val="00325154"/>
    <w:rsid w:val="003459E2"/>
    <w:rsid w:val="00351099"/>
    <w:rsid w:val="0035723E"/>
    <w:rsid w:val="003667C0"/>
    <w:rsid w:val="003A200F"/>
    <w:rsid w:val="003A7468"/>
    <w:rsid w:val="003B0C08"/>
    <w:rsid w:val="00401448"/>
    <w:rsid w:val="00401835"/>
    <w:rsid w:val="00405074"/>
    <w:rsid w:val="00414B95"/>
    <w:rsid w:val="00416074"/>
    <w:rsid w:val="004224C0"/>
    <w:rsid w:val="0049033D"/>
    <w:rsid w:val="00490832"/>
    <w:rsid w:val="00494920"/>
    <w:rsid w:val="004A1C09"/>
    <w:rsid w:val="004B053D"/>
    <w:rsid w:val="004C740D"/>
    <w:rsid w:val="004E714F"/>
    <w:rsid w:val="00532222"/>
    <w:rsid w:val="0053690C"/>
    <w:rsid w:val="0055529F"/>
    <w:rsid w:val="005552A5"/>
    <w:rsid w:val="005705FA"/>
    <w:rsid w:val="0059604B"/>
    <w:rsid w:val="005D70B9"/>
    <w:rsid w:val="005E3CB2"/>
    <w:rsid w:val="00620184"/>
    <w:rsid w:val="00627B2A"/>
    <w:rsid w:val="00636572"/>
    <w:rsid w:val="0066713F"/>
    <w:rsid w:val="00672EC4"/>
    <w:rsid w:val="006C7B11"/>
    <w:rsid w:val="006D3DFC"/>
    <w:rsid w:val="006E172A"/>
    <w:rsid w:val="006E50F2"/>
    <w:rsid w:val="006E6ECE"/>
    <w:rsid w:val="006F1CD2"/>
    <w:rsid w:val="00700B9F"/>
    <w:rsid w:val="007152EF"/>
    <w:rsid w:val="007230EB"/>
    <w:rsid w:val="00730CAB"/>
    <w:rsid w:val="007435DD"/>
    <w:rsid w:val="0075041D"/>
    <w:rsid w:val="0076667E"/>
    <w:rsid w:val="0077020F"/>
    <w:rsid w:val="007739DF"/>
    <w:rsid w:val="0078225A"/>
    <w:rsid w:val="007A09FB"/>
    <w:rsid w:val="007A4020"/>
    <w:rsid w:val="007C3C09"/>
    <w:rsid w:val="007E339B"/>
    <w:rsid w:val="007E7CE1"/>
    <w:rsid w:val="007F0B55"/>
    <w:rsid w:val="007F229E"/>
    <w:rsid w:val="00807593"/>
    <w:rsid w:val="0081148E"/>
    <w:rsid w:val="00854F1E"/>
    <w:rsid w:val="00873952"/>
    <w:rsid w:val="008D53DF"/>
    <w:rsid w:val="008E0076"/>
    <w:rsid w:val="008E4FC2"/>
    <w:rsid w:val="008E524E"/>
    <w:rsid w:val="008F5EC2"/>
    <w:rsid w:val="00915403"/>
    <w:rsid w:val="0092242E"/>
    <w:rsid w:val="009246B8"/>
    <w:rsid w:val="00955F88"/>
    <w:rsid w:val="0097249E"/>
    <w:rsid w:val="00975967"/>
    <w:rsid w:val="0099426F"/>
    <w:rsid w:val="009A2B21"/>
    <w:rsid w:val="009B03A7"/>
    <w:rsid w:val="009B2429"/>
    <w:rsid w:val="009B77DE"/>
    <w:rsid w:val="009E4C37"/>
    <w:rsid w:val="009E6EFD"/>
    <w:rsid w:val="009F4FD2"/>
    <w:rsid w:val="009F505D"/>
    <w:rsid w:val="00A072F7"/>
    <w:rsid w:val="00A10DCE"/>
    <w:rsid w:val="00A259E6"/>
    <w:rsid w:val="00A4739A"/>
    <w:rsid w:val="00A61759"/>
    <w:rsid w:val="00A63498"/>
    <w:rsid w:val="00A6483E"/>
    <w:rsid w:val="00A82504"/>
    <w:rsid w:val="00A932D4"/>
    <w:rsid w:val="00AB0723"/>
    <w:rsid w:val="00AB5845"/>
    <w:rsid w:val="00AC749F"/>
    <w:rsid w:val="00AE2D43"/>
    <w:rsid w:val="00AF445C"/>
    <w:rsid w:val="00AF7DEE"/>
    <w:rsid w:val="00B3053D"/>
    <w:rsid w:val="00B35251"/>
    <w:rsid w:val="00B373C4"/>
    <w:rsid w:val="00B4379B"/>
    <w:rsid w:val="00B476ED"/>
    <w:rsid w:val="00B519C1"/>
    <w:rsid w:val="00B61BEE"/>
    <w:rsid w:val="00B74607"/>
    <w:rsid w:val="00B900C8"/>
    <w:rsid w:val="00B90F9E"/>
    <w:rsid w:val="00B91E5B"/>
    <w:rsid w:val="00B93019"/>
    <w:rsid w:val="00B94859"/>
    <w:rsid w:val="00BD2ED8"/>
    <w:rsid w:val="00C34EAE"/>
    <w:rsid w:val="00C371A1"/>
    <w:rsid w:val="00C4456E"/>
    <w:rsid w:val="00C5289C"/>
    <w:rsid w:val="00C630B6"/>
    <w:rsid w:val="00C641CA"/>
    <w:rsid w:val="00C655BE"/>
    <w:rsid w:val="00C730FC"/>
    <w:rsid w:val="00C96779"/>
    <w:rsid w:val="00CC1265"/>
    <w:rsid w:val="00CC213D"/>
    <w:rsid w:val="00CE19C7"/>
    <w:rsid w:val="00D10690"/>
    <w:rsid w:val="00D22B7B"/>
    <w:rsid w:val="00D42448"/>
    <w:rsid w:val="00D44B69"/>
    <w:rsid w:val="00D47AFE"/>
    <w:rsid w:val="00D64766"/>
    <w:rsid w:val="00D66B40"/>
    <w:rsid w:val="00D81A51"/>
    <w:rsid w:val="00D90EB7"/>
    <w:rsid w:val="00D91B8B"/>
    <w:rsid w:val="00DA2F85"/>
    <w:rsid w:val="00DB1082"/>
    <w:rsid w:val="00DC13A7"/>
    <w:rsid w:val="00DD5486"/>
    <w:rsid w:val="00DE4DAE"/>
    <w:rsid w:val="00DE621F"/>
    <w:rsid w:val="00DF65DC"/>
    <w:rsid w:val="00DF77DD"/>
    <w:rsid w:val="00E13373"/>
    <w:rsid w:val="00E36A3B"/>
    <w:rsid w:val="00E4788E"/>
    <w:rsid w:val="00E62F98"/>
    <w:rsid w:val="00E878BA"/>
    <w:rsid w:val="00EB0A38"/>
    <w:rsid w:val="00EB10A3"/>
    <w:rsid w:val="00F43338"/>
    <w:rsid w:val="00F62CCA"/>
    <w:rsid w:val="00F718C7"/>
    <w:rsid w:val="00F73036"/>
    <w:rsid w:val="00F92294"/>
    <w:rsid w:val="00F944BA"/>
    <w:rsid w:val="00FA0634"/>
    <w:rsid w:val="00FC2D9E"/>
    <w:rsid w:val="00FC4840"/>
    <w:rsid w:val="00FE2BC5"/>
    <w:rsid w:val="00FE6A0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0972C"/>
  <w15:chartTrackingRefBased/>
  <w15:docId w15:val="{42A9BAE3-AE45-4C45-A917-36E7F05E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89C"/>
    <w:pPr>
      <w:widowControl w:val="0"/>
      <w:adjustRightInd w:val="0"/>
      <w:spacing w:after="0" w:line="360" w:lineRule="atLeast"/>
      <w:jc w:val="both"/>
      <w:textAlignment w:val="baseline"/>
    </w:pPr>
    <w:rPr>
      <w:rFonts w:ascii="Verdana" w:eastAsia="Times New Roman" w:hAnsi="Verdana" w:cs="Times New Roman"/>
      <w:sz w:val="24"/>
      <w:szCs w:val="24"/>
      <w:lang w:eastAsia="es-CR"/>
    </w:rPr>
  </w:style>
  <w:style w:type="paragraph" w:styleId="Ttulo1">
    <w:name w:val="heading 1"/>
    <w:basedOn w:val="Normal"/>
    <w:next w:val="Normal"/>
    <w:link w:val="Ttulo1Car"/>
    <w:uiPriority w:val="9"/>
    <w:qFormat/>
    <w:rsid w:val="00C5289C"/>
    <w:pPr>
      <w:keepNext/>
      <w:keepLines/>
      <w:tabs>
        <w:tab w:val="left" w:pos="851"/>
      </w:tabs>
      <w:spacing w:before="240" w:after="240" w:line="240" w:lineRule="auto"/>
      <w:jc w:val="center"/>
      <w:outlineLvl w:val="0"/>
    </w:pPr>
    <w:rPr>
      <w:rFonts w:cs="Verdana"/>
      <w:b/>
      <w:bCs/>
      <w:caps/>
      <w:noProof/>
      <w:snapToGrid w:val="0"/>
      <w:sz w:val="20"/>
      <w:szCs w:val="20"/>
      <w:lang w:val="es-MX" w:eastAsia="es-ES"/>
    </w:rPr>
  </w:style>
  <w:style w:type="paragraph" w:styleId="Ttulo2">
    <w:name w:val="heading 2"/>
    <w:basedOn w:val="Normal"/>
    <w:next w:val="Normal"/>
    <w:link w:val="Ttulo2Car"/>
    <w:uiPriority w:val="9"/>
    <w:unhideWhenUsed/>
    <w:qFormat/>
    <w:rsid w:val="00C5289C"/>
    <w:pPr>
      <w:keepNext/>
      <w:keepLines/>
      <w:numPr>
        <w:numId w:val="3"/>
      </w:numPr>
      <w:tabs>
        <w:tab w:val="left" w:pos="1134"/>
      </w:tabs>
      <w:spacing w:before="240" w:after="240" w:line="240" w:lineRule="auto"/>
      <w:outlineLvl w:val="1"/>
    </w:pPr>
    <w:rPr>
      <w:rFonts w:eastAsia="MS Mincho"/>
      <w:b/>
      <w:bCs/>
      <w:i/>
      <w:sz w:val="20"/>
      <w:szCs w:val="20"/>
    </w:rPr>
  </w:style>
  <w:style w:type="paragraph" w:styleId="Ttulo3">
    <w:name w:val="heading 3"/>
    <w:basedOn w:val="Ttulo2"/>
    <w:next w:val="Normal"/>
    <w:link w:val="Ttulo3Car"/>
    <w:uiPriority w:val="9"/>
    <w:unhideWhenUsed/>
    <w:qFormat/>
    <w:rsid w:val="00C5289C"/>
    <w:pPr>
      <w:outlineLvl w:val="2"/>
    </w:pPr>
    <w:rPr>
      <w:b w:val="0"/>
    </w:rPr>
  </w:style>
  <w:style w:type="paragraph" w:styleId="Ttulo4">
    <w:name w:val="heading 4"/>
    <w:basedOn w:val="Normal"/>
    <w:next w:val="Normal"/>
    <w:link w:val="Ttulo4Car"/>
    <w:uiPriority w:val="9"/>
    <w:unhideWhenUsed/>
    <w:qFormat/>
    <w:rsid w:val="00D47AFE"/>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D47AFE"/>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Ttulo5"/>
    <w:next w:val="Normal"/>
    <w:link w:val="Ttulo6Car"/>
    <w:uiPriority w:val="9"/>
    <w:unhideWhenUsed/>
    <w:qFormat/>
    <w:rsid w:val="00D47AFE"/>
    <w:pPr>
      <w:keepNext w:val="0"/>
      <w:keepLines w:val="0"/>
      <w:widowControl/>
      <w:tabs>
        <w:tab w:val="num" w:pos="3600"/>
      </w:tabs>
      <w:adjustRightInd/>
      <w:spacing w:before="0" w:line="240" w:lineRule="auto"/>
      <w:ind w:left="3600" w:hanging="360"/>
      <w:textAlignment w:val="auto"/>
      <w:outlineLvl w:val="5"/>
    </w:pPr>
    <w:rPr>
      <w:rFonts w:ascii="Verdana" w:eastAsia="Times New Roman" w:hAnsi="Verdana" w:cs="Times New Roman"/>
      <w:color w:val="auto"/>
      <w:spacing w:val="-2"/>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289C"/>
    <w:rPr>
      <w:rFonts w:ascii="Verdana" w:eastAsia="Times New Roman" w:hAnsi="Verdana" w:cs="Verdana"/>
      <w:b/>
      <w:bCs/>
      <w:caps/>
      <w:noProof/>
      <w:snapToGrid w:val="0"/>
      <w:sz w:val="20"/>
      <w:szCs w:val="20"/>
      <w:lang w:val="es-MX" w:eastAsia="es-ES"/>
    </w:rPr>
  </w:style>
  <w:style w:type="character" w:customStyle="1" w:styleId="Ttulo2Car">
    <w:name w:val="Título 2 Car"/>
    <w:basedOn w:val="Fuentedeprrafopredeter"/>
    <w:link w:val="Ttulo2"/>
    <w:uiPriority w:val="9"/>
    <w:rsid w:val="00C5289C"/>
    <w:rPr>
      <w:rFonts w:ascii="Verdana" w:eastAsia="MS Mincho" w:hAnsi="Verdana" w:cs="Times New Roman"/>
      <w:b/>
      <w:bCs/>
      <w:i/>
      <w:sz w:val="20"/>
      <w:szCs w:val="20"/>
      <w:lang w:eastAsia="es-CR"/>
    </w:rPr>
  </w:style>
  <w:style w:type="character" w:customStyle="1" w:styleId="Ttulo3Car">
    <w:name w:val="Título 3 Car"/>
    <w:basedOn w:val="Fuentedeprrafopredeter"/>
    <w:link w:val="Ttulo3"/>
    <w:uiPriority w:val="9"/>
    <w:rsid w:val="00C5289C"/>
    <w:rPr>
      <w:rFonts w:ascii="Verdana" w:eastAsia="MS Mincho" w:hAnsi="Verdana" w:cs="Times New Roman"/>
      <w:bCs/>
      <w:i/>
      <w:sz w:val="20"/>
      <w:szCs w:val="20"/>
      <w:lang w:eastAsia="es-CR"/>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link w:val="4GChar"/>
    <w:uiPriority w:val="99"/>
    <w:qFormat/>
    <w:rsid w:val="00C5289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qFormat/>
    <w:rsid w:val="00C5289C"/>
    <w:pPr>
      <w:spacing w:line="240" w:lineRule="auto"/>
    </w:pPr>
    <w:rPr>
      <w:sz w:val="20"/>
      <w:szCs w:val="20"/>
      <w:lang w:val="es-ES_tradnl"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C5289C"/>
    <w:rPr>
      <w:rFonts w:ascii="Verdana" w:eastAsia="Times New Roman" w:hAnsi="Verdana" w:cs="Times New Roman"/>
      <w:sz w:val="20"/>
      <w:szCs w:val="20"/>
      <w:lang w:val="es-ES_tradnl" w:eastAsia="x-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5289C"/>
    <w:pPr>
      <w:widowControl/>
      <w:adjustRightInd/>
      <w:spacing w:line="240" w:lineRule="auto"/>
      <w:textAlignment w:val="auto"/>
    </w:pPr>
    <w:rPr>
      <w:rFonts w:asciiTheme="minorHAnsi" w:eastAsiaTheme="minorHAnsi" w:hAnsiTheme="minorHAnsi" w:cstheme="minorBidi"/>
      <w:sz w:val="22"/>
      <w:szCs w:val="22"/>
      <w:vertAlign w:val="superscript"/>
      <w:lang w:eastAsia="en-US"/>
    </w:rPr>
  </w:style>
  <w:style w:type="paragraph" w:styleId="Prrafodelista">
    <w:name w:val="List Paragraph"/>
    <w:aliases w:val="List Paragraph2,Lista vistosa - Énfasis 11,Párrafo de lista1,Footnote,List Paragraph1,Colorful List - Accent 11,Parrafos,Subtle Emphasis1,Footnote1,List Paragraph11"/>
    <w:basedOn w:val="Normal"/>
    <w:link w:val="PrrafodelistaCar"/>
    <w:uiPriority w:val="99"/>
    <w:qFormat/>
    <w:rsid w:val="00C5289C"/>
    <w:pPr>
      <w:ind w:left="708"/>
    </w:pPr>
  </w:style>
  <w:style w:type="character" w:customStyle="1" w:styleId="PrrafodelistaCar">
    <w:name w:val="Párrafo de lista Car"/>
    <w:aliases w:val="List Paragraph2 Car,Lista vistosa - Énfasis 11 Car,Párrafo de lista1 Car,Footnote Car,List Paragraph1 Car,Colorful List - Accent 11 Car,Parrafos Car,Subtle Emphasis1 Car,Footnote1 Car,List Paragraph11 Car"/>
    <w:basedOn w:val="Fuentedeprrafopredeter"/>
    <w:link w:val="Prrafodelista"/>
    <w:uiPriority w:val="99"/>
    <w:rsid w:val="00C5289C"/>
    <w:rPr>
      <w:rFonts w:ascii="Verdana" w:eastAsia="Times New Roman" w:hAnsi="Verdana" w:cs="Times New Roman"/>
      <w:sz w:val="24"/>
      <w:szCs w:val="24"/>
      <w:lang w:eastAsia="es-CR"/>
    </w:rPr>
  </w:style>
  <w:style w:type="character" w:styleId="Textoennegrita">
    <w:name w:val="Strong"/>
    <w:aliases w:val="Heading 2.1"/>
    <w:basedOn w:val="Fuentedeprrafopredeter"/>
    <w:uiPriority w:val="22"/>
    <w:qFormat/>
    <w:rsid w:val="00C5289C"/>
    <w:rPr>
      <w:b/>
      <w:bCs/>
    </w:rPr>
  </w:style>
  <w:style w:type="character" w:styleId="Hipervnculo">
    <w:name w:val="Hyperlink"/>
    <w:basedOn w:val="Fuentedeprrafopredeter"/>
    <w:uiPriority w:val="99"/>
    <w:unhideWhenUsed/>
    <w:rsid w:val="00C5289C"/>
    <w:rPr>
      <w:color w:val="0563C1" w:themeColor="hyperlink"/>
      <w:u w:val="single"/>
    </w:rPr>
  </w:style>
  <w:style w:type="paragraph" w:styleId="NormalWeb">
    <w:name w:val="Normal (Web)"/>
    <w:basedOn w:val="Normal"/>
    <w:uiPriority w:val="99"/>
    <w:unhideWhenUsed/>
    <w:rsid w:val="00C5289C"/>
    <w:rPr>
      <w:rFonts w:ascii="Times New Roman" w:hAnsi="Times New Roman"/>
    </w:rPr>
  </w:style>
  <w:style w:type="paragraph" w:customStyle="1" w:styleId="PrrafodeSentencia">
    <w:name w:val="*. Párrafo de Sentencia"/>
    <w:basedOn w:val="Normal"/>
    <w:link w:val="PrrafodeSentenciaChar"/>
    <w:qFormat/>
    <w:rsid w:val="00C5289C"/>
    <w:pPr>
      <w:widowControl/>
      <w:numPr>
        <w:numId w:val="6"/>
      </w:numPr>
      <w:tabs>
        <w:tab w:val="left" w:pos="567"/>
      </w:tabs>
      <w:adjustRightInd/>
      <w:spacing w:line="240" w:lineRule="auto"/>
      <w:textAlignment w:val="auto"/>
    </w:pPr>
    <w:rPr>
      <w:rFonts w:eastAsia="Batang"/>
      <w:sz w:val="20"/>
      <w:szCs w:val="20"/>
      <w:lang w:val="es-ES_tradnl" w:eastAsia="es-MX"/>
    </w:rPr>
  </w:style>
  <w:style w:type="character" w:customStyle="1" w:styleId="PrrafodeSentenciaChar">
    <w:name w:val="*. Párrafo de Sentencia Char"/>
    <w:link w:val="PrrafodeSentencia"/>
    <w:rsid w:val="00C5289C"/>
    <w:rPr>
      <w:rFonts w:ascii="Verdana" w:eastAsia="Batang" w:hAnsi="Verdana" w:cs="Times New Roman"/>
      <w:sz w:val="20"/>
      <w:szCs w:val="20"/>
      <w:lang w:val="es-ES_tradnl" w:eastAsia="es-MX"/>
    </w:rPr>
  </w:style>
  <w:style w:type="paragraph" w:styleId="Encabezado">
    <w:name w:val="header"/>
    <w:basedOn w:val="Normal"/>
    <w:link w:val="EncabezadoCar"/>
    <w:uiPriority w:val="99"/>
    <w:unhideWhenUsed/>
    <w:rsid w:val="00C5289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5289C"/>
    <w:rPr>
      <w:rFonts w:ascii="Verdana" w:eastAsia="Times New Roman" w:hAnsi="Verdana" w:cs="Times New Roman"/>
      <w:sz w:val="24"/>
      <w:szCs w:val="24"/>
      <w:lang w:eastAsia="es-CR"/>
    </w:rPr>
  </w:style>
  <w:style w:type="paragraph" w:styleId="Piedepgina">
    <w:name w:val="footer"/>
    <w:basedOn w:val="Normal"/>
    <w:link w:val="PiedepginaCar"/>
    <w:uiPriority w:val="99"/>
    <w:unhideWhenUsed/>
    <w:rsid w:val="00C5289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5289C"/>
    <w:rPr>
      <w:rFonts w:ascii="Verdana" w:eastAsia="Times New Roman" w:hAnsi="Verdana" w:cs="Times New Roman"/>
      <w:sz w:val="24"/>
      <w:szCs w:val="24"/>
      <w:lang w:eastAsia="es-CR"/>
    </w:rPr>
  </w:style>
  <w:style w:type="character" w:styleId="Nmerodelnea">
    <w:name w:val="line number"/>
    <w:basedOn w:val="Fuentedeprrafopredeter"/>
    <w:uiPriority w:val="99"/>
    <w:unhideWhenUsed/>
    <w:rsid w:val="00C5289C"/>
  </w:style>
  <w:style w:type="paragraph" w:styleId="Textodeglobo">
    <w:name w:val="Balloon Text"/>
    <w:basedOn w:val="Normal"/>
    <w:link w:val="TextodegloboCar"/>
    <w:uiPriority w:val="99"/>
    <w:semiHidden/>
    <w:unhideWhenUsed/>
    <w:rsid w:val="00DE621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E621F"/>
    <w:rPr>
      <w:rFonts w:ascii="Segoe UI" w:eastAsia="Times New Roman" w:hAnsi="Segoe UI" w:cs="Segoe UI"/>
      <w:sz w:val="18"/>
      <w:szCs w:val="18"/>
      <w:lang w:eastAsia="es-CR"/>
    </w:rPr>
  </w:style>
  <w:style w:type="character" w:styleId="Refdecomentario">
    <w:name w:val="annotation reference"/>
    <w:basedOn w:val="Fuentedeprrafopredeter"/>
    <w:uiPriority w:val="99"/>
    <w:unhideWhenUsed/>
    <w:rsid w:val="00FE2BC5"/>
    <w:rPr>
      <w:sz w:val="16"/>
      <w:szCs w:val="16"/>
    </w:rPr>
  </w:style>
  <w:style w:type="paragraph" w:styleId="Textocomentario">
    <w:name w:val="annotation text"/>
    <w:basedOn w:val="Normal"/>
    <w:link w:val="TextocomentarioCar"/>
    <w:uiPriority w:val="99"/>
    <w:semiHidden/>
    <w:unhideWhenUsed/>
    <w:rsid w:val="00FE2BC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E2BC5"/>
    <w:rPr>
      <w:rFonts w:ascii="Verdana" w:eastAsia="Times New Roman" w:hAnsi="Verdana" w:cs="Times New Roman"/>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FE2BC5"/>
    <w:rPr>
      <w:b/>
      <w:bCs/>
    </w:rPr>
  </w:style>
  <w:style w:type="character" w:customStyle="1" w:styleId="AsuntodelcomentarioCar">
    <w:name w:val="Asunto del comentario Car"/>
    <w:basedOn w:val="TextocomentarioCar"/>
    <w:link w:val="Asuntodelcomentario"/>
    <w:uiPriority w:val="99"/>
    <w:semiHidden/>
    <w:rsid w:val="00FE2BC5"/>
    <w:rPr>
      <w:rFonts w:ascii="Verdana" w:eastAsia="Times New Roman" w:hAnsi="Verdana" w:cs="Times New Roman"/>
      <w:b/>
      <w:bCs/>
      <w:sz w:val="20"/>
      <w:szCs w:val="20"/>
      <w:lang w:eastAsia="es-CR"/>
    </w:rPr>
  </w:style>
  <w:style w:type="paragraph" w:styleId="TDC1">
    <w:name w:val="toc 1"/>
    <w:basedOn w:val="Normal"/>
    <w:next w:val="Normal"/>
    <w:autoRedefine/>
    <w:uiPriority w:val="39"/>
    <w:unhideWhenUsed/>
    <w:rsid w:val="00DC13A7"/>
    <w:pPr>
      <w:spacing w:before="120" w:after="120"/>
      <w:jc w:val="left"/>
    </w:pPr>
    <w:rPr>
      <w:rFonts w:asciiTheme="minorHAnsi" w:hAnsiTheme="minorHAnsi" w:cstheme="minorHAnsi"/>
      <w:b/>
      <w:bCs/>
      <w:caps/>
      <w:sz w:val="20"/>
      <w:szCs w:val="20"/>
    </w:rPr>
  </w:style>
  <w:style w:type="paragraph" w:styleId="TDC2">
    <w:name w:val="toc 2"/>
    <w:basedOn w:val="Normal"/>
    <w:next w:val="Normal"/>
    <w:autoRedefine/>
    <w:uiPriority w:val="39"/>
    <w:unhideWhenUsed/>
    <w:rsid w:val="00DC13A7"/>
    <w:pPr>
      <w:ind w:left="240"/>
      <w:jc w:val="left"/>
    </w:pPr>
    <w:rPr>
      <w:rFonts w:asciiTheme="minorHAnsi" w:hAnsiTheme="minorHAnsi" w:cstheme="minorHAnsi"/>
      <w:smallCaps/>
      <w:sz w:val="20"/>
      <w:szCs w:val="20"/>
    </w:rPr>
  </w:style>
  <w:style w:type="paragraph" w:styleId="TDC3">
    <w:name w:val="toc 3"/>
    <w:basedOn w:val="Normal"/>
    <w:next w:val="Normal"/>
    <w:autoRedefine/>
    <w:uiPriority w:val="39"/>
    <w:unhideWhenUsed/>
    <w:rsid w:val="00DC13A7"/>
    <w:pPr>
      <w:ind w:left="480"/>
      <w:jc w:val="left"/>
    </w:pPr>
    <w:rPr>
      <w:rFonts w:asciiTheme="minorHAnsi" w:hAnsiTheme="minorHAnsi" w:cstheme="minorHAnsi"/>
      <w:i/>
      <w:iCs/>
      <w:sz w:val="20"/>
      <w:szCs w:val="20"/>
    </w:rPr>
  </w:style>
  <w:style w:type="character" w:customStyle="1" w:styleId="Ttulo4Car">
    <w:name w:val="Título 4 Car"/>
    <w:basedOn w:val="Fuentedeprrafopredeter"/>
    <w:link w:val="Ttulo4"/>
    <w:uiPriority w:val="9"/>
    <w:rsid w:val="00D47AFE"/>
    <w:rPr>
      <w:rFonts w:asciiTheme="majorHAnsi" w:eastAsiaTheme="majorEastAsia" w:hAnsiTheme="majorHAnsi" w:cstheme="majorBidi"/>
      <w:i/>
      <w:iCs/>
      <w:color w:val="2E74B5" w:themeColor="accent1" w:themeShade="BF"/>
      <w:sz w:val="24"/>
      <w:szCs w:val="24"/>
      <w:lang w:eastAsia="es-CR"/>
    </w:rPr>
  </w:style>
  <w:style w:type="character" w:customStyle="1" w:styleId="Ttulo5Car">
    <w:name w:val="Título 5 Car"/>
    <w:basedOn w:val="Fuentedeprrafopredeter"/>
    <w:link w:val="Ttulo5"/>
    <w:uiPriority w:val="9"/>
    <w:semiHidden/>
    <w:rsid w:val="00D47AFE"/>
    <w:rPr>
      <w:rFonts w:asciiTheme="majorHAnsi" w:eastAsiaTheme="majorEastAsia" w:hAnsiTheme="majorHAnsi" w:cstheme="majorBidi"/>
      <w:color w:val="1F4D78" w:themeColor="accent1" w:themeShade="7F"/>
      <w:sz w:val="24"/>
      <w:szCs w:val="24"/>
      <w:lang w:eastAsia="es-CR"/>
    </w:rPr>
  </w:style>
  <w:style w:type="character" w:customStyle="1" w:styleId="Ttulo6Car">
    <w:name w:val="Título 6 Car"/>
    <w:basedOn w:val="Fuentedeprrafopredeter"/>
    <w:link w:val="Ttulo6"/>
    <w:uiPriority w:val="9"/>
    <w:rsid w:val="00D47AFE"/>
    <w:rPr>
      <w:rFonts w:ascii="Verdana" w:eastAsia="Times New Roman" w:hAnsi="Verdana" w:cs="Times New Roman"/>
      <w:spacing w:val="-2"/>
      <w:sz w:val="20"/>
      <w:szCs w:val="20"/>
      <w:lang w:val="es-ES_tradnl" w:eastAsia="es-CR"/>
    </w:rPr>
  </w:style>
  <w:style w:type="character" w:customStyle="1" w:styleId="apple-converted-space">
    <w:name w:val="apple-converted-space"/>
    <w:basedOn w:val="Fuentedeprrafopredeter"/>
    <w:rsid w:val="00D47AFE"/>
  </w:style>
  <w:style w:type="paragraph" w:styleId="TtuloTDC">
    <w:name w:val="TOC Heading"/>
    <w:basedOn w:val="Ttulo1"/>
    <w:next w:val="Normal"/>
    <w:uiPriority w:val="39"/>
    <w:unhideWhenUsed/>
    <w:qFormat/>
    <w:rsid w:val="00D47AFE"/>
    <w:pPr>
      <w:widowControl/>
      <w:adjustRightInd/>
      <w:spacing w:line="276" w:lineRule="auto"/>
      <w:jc w:val="left"/>
      <w:textAlignment w:val="auto"/>
      <w:outlineLvl w:val="9"/>
    </w:pPr>
    <w:rPr>
      <w:lang w:val="en-US" w:eastAsia="ja-JP"/>
    </w:rPr>
  </w:style>
  <w:style w:type="table" w:styleId="Tablaconcuadrcula">
    <w:name w:val="Table Grid"/>
    <w:basedOn w:val="Tablanormal"/>
    <w:uiPriority w:val="59"/>
    <w:rsid w:val="00D47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inlista"/>
    <w:uiPriority w:val="99"/>
    <w:semiHidden/>
    <w:unhideWhenUsed/>
    <w:rsid w:val="00D47AFE"/>
  </w:style>
  <w:style w:type="character" w:customStyle="1" w:styleId="ListParagraphChar1">
    <w:name w:val="List Paragraph Char1"/>
    <w:aliases w:val="List Paragraph2 Char1,Lista vistosa - Énfasis 11 Char1,Párrafo de lista1 Char1,Footnote Char1,List Paragraph1 Char1"/>
    <w:basedOn w:val="Fuentedeprrafopredeter"/>
    <w:uiPriority w:val="34"/>
    <w:rsid w:val="00D47AFE"/>
    <w:rPr>
      <w:rFonts w:ascii="Verdana" w:eastAsia="Times New Roman" w:hAnsi="Verdana" w:cs="Times New Roman"/>
      <w:sz w:val="24"/>
      <w:szCs w:val="24"/>
      <w:lang w:eastAsia="es-CR"/>
    </w:rPr>
  </w:style>
  <w:style w:type="paragraph" w:customStyle="1" w:styleId="Default">
    <w:name w:val="Default"/>
    <w:rsid w:val="00D47AFE"/>
    <w:pPr>
      <w:autoSpaceDE w:val="0"/>
      <w:autoSpaceDN w:val="0"/>
      <w:adjustRightInd w:val="0"/>
      <w:spacing w:after="0" w:line="240" w:lineRule="auto"/>
    </w:pPr>
    <w:rPr>
      <w:rFonts w:ascii="Verdana" w:hAnsi="Verdana" w:cs="Verdana"/>
      <w:color w:val="000000"/>
      <w:sz w:val="24"/>
      <w:szCs w:val="24"/>
    </w:rPr>
  </w:style>
  <w:style w:type="character" w:customStyle="1" w:styleId="shorttext">
    <w:name w:val="shorttext"/>
    <w:basedOn w:val="Fuentedeprrafopredeter"/>
    <w:rsid w:val="00D47AFE"/>
  </w:style>
  <w:style w:type="paragraph" w:customStyle="1" w:styleId="Estilo4">
    <w:name w:val="Estilo4"/>
    <w:basedOn w:val="Prrafodelista"/>
    <w:qFormat/>
    <w:rsid w:val="00D47AFE"/>
    <w:pPr>
      <w:widowControl/>
      <w:numPr>
        <w:ilvl w:val="1"/>
        <w:numId w:val="15"/>
      </w:numPr>
      <w:adjustRightInd/>
      <w:spacing w:after="120" w:line="240" w:lineRule="auto"/>
      <w:ind w:left="0" w:firstLine="357"/>
      <w:textAlignment w:val="auto"/>
    </w:pPr>
    <w:rPr>
      <w:spacing w:val="-2"/>
      <w:sz w:val="20"/>
      <w:szCs w:val="20"/>
      <w:lang w:eastAsia="en-US"/>
    </w:rPr>
  </w:style>
  <w:style w:type="paragraph" w:customStyle="1" w:styleId="Numberedparagraphs">
    <w:name w:val="Numbered paragraphs"/>
    <w:basedOn w:val="Normal"/>
    <w:link w:val="NumberedparagraphsCar"/>
    <w:qFormat/>
    <w:rsid w:val="00D47AFE"/>
    <w:pPr>
      <w:widowControl/>
      <w:adjustRightInd/>
      <w:spacing w:after="200" w:line="240" w:lineRule="auto"/>
      <w:textAlignment w:val="auto"/>
    </w:pPr>
    <w:rPr>
      <w:rFonts w:eastAsia="MS Mincho"/>
      <w:color w:val="000000"/>
      <w:sz w:val="20"/>
      <w:szCs w:val="20"/>
      <w:lang w:val="es-ES_tradnl" w:eastAsia="en-US"/>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qFormat/>
    <w:rsid w:val="00D47AFE"/>
    <w:rPr>
      <w:sz w:val="20"/>
      <w:szCs w:val="20"/>
    </w:rPr>
  </w:style>
  <w:style w:type="character" w:customStyle="1" w:styleId="column">
    <w:name w:val="column"/>
    <w:basedOn w:val="Fuentedeprrafopredeter"/>
    <w:rsid w:val="00D47AFE"/>
  </w:style>
  <w:style w:type="character" w:customStyle="1" w:styleId="summarytext">
    <w:name w:val="summarytext"/>
    <w:basedOn w:val="Fuentedeprrafopredeter"/>
    <w:rsid w:val="00D47AFE"/>
  </w:style>
  <w:style w:type="character" w:customStyle="1" w:styleId="textcolumn">
    <w:name w:val="textcolumn"/>
    <w:basedOn w:val="Fuentedeprrafopredeter"/>
    <w:rsid w:val="00D47AFE"/>
  </w:style>
  <w:style w:type="character" w:customStyle="1" w:styleId="more">
    <w:name w:val="more"/>
    <w:basedOn w:val="Fuentedeprrafopredeter"/>
    <w:rsid w:val="00D47AFE"/>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D47AFE"/>
    <w:pPr>
      <w:widowControl/>
      <w:adjustRightInd/>
      <w:spacing w:after="160" w:line="240" w:lineRule="exact"/>
      <w:jc w:val="left"/>
      <w:textAlignment w:val="auto"/>
    </w:pPr>
    <w:rPr>
      <w:rFonts w:eastAsiaTheme="minorHAnsi" w:cstheme="minorBidi"/>
      <w:sz w:val="20"/>
      <w:szCs w:val="20"/>
      <w:vertAlign w:val="superscript"/>
      <w:lang w:eastAsia="en-US"/>
    </w:rPr>
  </w:style>
  <w:style w:type="paragraph" w:styleId="Sinespaciado">
    <w:name w:val="No Spacing"/>
    <w:link w:val="SinespaciadoCar"/>
    <w:uiPriority w:val="1"/>
    <w:qFormat/>
    <w:rsid w:val="00D47AFE"/>
    <w:pPr>
      <w:spacing w:after="0" w:line="240" w:lineRule="auto"/>
    </w:pPr>
  </w:style>
  <w:style w:type="character" w:customStyle="1" w:styleId="SinespaciadoCar">
    <w:name w:val="Sin espaciado Car"/>
    <w:basedOn w:val="Fuentedeprrafopredeter"/>
    <w:link w:val="Sinespaciado"/>
    <w:uiPriority w:val="1"/>
    <w:rsid w:val="00D47AFE"/>
  </w:style>
  <w:style w:type="paragraph" w:styleId="Textoindependiente3">
    <w:name w:val="Body Text 3"/>
    <w:basedOn w:val="Normal"/>
    <w:link w:val="Textoindependiente3Car"/>
    <w:rsid w:val="00D47AFE"/>
    <w:pPr>
      <w:widowControl/>
      <w:adjustRightInd/>
      <w:spacing w:after="120" w:line="240" w:lineRule="auto"/>
      <w:jc w:val="left"/>
      <w:textAlignment w:val="auto"/>
    </w:pPr>
    <w:rPr>
      <w:rFonts w:ascii="Times New Roman" w:hAnsi="Times New Roman"/>
      <w:sz w:val="16"/>
      <w:szCs w:val="16"/>
      <w:lang w:val="es-ES_tradnl" w:eastAsia="es-ES"/>
    </w:rPr>
  </w:style>
  <w:style w:type="character" w:customStyle="1" w:styleId="Textoindependiente3Car">
    <w:name w:val="Texto independiente 3 Car"/>
    <w:basedOn w:val="Fuentedeprrafopredeter"/>
    <w:link w:val="Textoindependiente3"/>
    <w:rsid w:val="00D47AFE"/>
    <w:rPr>
      <w:rFonts w:ascii="Times New Roman" w:eastAsia="Times New Roman" w:hAnsi="Times New Roman" w:cs="Times New Roman"/>
      <w:sz w:val="16"/>
      <w:szCs w:val="16"/>
      <w:lang w:val="es-ES_tradnl" w:eastAsia="es-ES"/>
    </w:rPr>
  </w:style>
  <w:style w:type="paragraph" w:styleId="Sangra2detindependiente">
    <w:name w:val="Body Text Indent 2"/>
    <w:basedOn w:val="Normal"/>
    <w:link w:val="Sangra2detindependienteCar"/>
    <w:uiPriority w:val="99"/>
    <w:semiHidden/>
    <w:unhideWhenUsed/>
    <w:rsid w:val="00D47AFE"/>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D47AFE"/>
    <w:rPr>
      <w:rFonts w:ascii="Verdana" w:eastAsia="Times New Roman" w:hAnsi="Verdana" w:cs="Times New Roman"/>
      <w:sz w:val="24"/>
      <w:szCs w:val="24"/>
      <w:lang w:eastAsia="es-CR"/>
    </w:rPr>
  </w:style>
  <w:style w:type="paragraph" w:customStyle="1" w:styleId="Normal1">
    <w:name w:val="Normal1"/>
    <w:rsid w:val="00D47AFE"/>
    <w:pPr>
      <w:widowControl w:val="0"/>
      <w:spacing w:after="0" w:line="240" w:lineRule="auto"/>
    </w:pPr>
    <w:rPr>
      <w:rFonts w:ascii="Times New Roman" w:eastAsia="Times New Roman" w:hAnsi="Times New Roman" w:cs="Times New Roman"/>
      <w:sz w:val="24"/>
      <w:szCs w:val="24"/>
    </w:rPr>
  </w:style>
  <w:style w:type="paragraph" w:styleId="Textodebloque">
    <w:name w:val="Block Text"/>
    <w:basedOn w:val="Normal"/>
    <w:rsid w:val="00D47AFE"/>
    <w:pPr>
      <w:widowControl/>
      <w:tabs>
        <w:tab w:val="left" w:pos="720"/>
      </w:tabs>
      <w:adjustRightInd/>
      <w:spacing w:line="240" w:lineRule="auto"/>
      <w:ind w:left="720" w:right="720"/>
      <w:textAlignment w:val="auto"/>
    </w:pPr>
    <w:rPr>
      <w:rFonts w:ascii="Garamond" w:hAnsi="Garamond"/>
      <w:sz w:val="22"/>
      <w:szCs w:val="20"/>
      <w:lang w:val="en-GB" w:eastAsia="en-US"/>
    </w:rPr>
  </w:style>
  <w:style w:type="table" w:customStyle="1" w:styleId="GridTable5Dark-Accent11">
    <w:name w:val="Grid Table 5 Dark - Accent 11"/>
    <w:basedOn w:val="Tablanormal"/>
    <w:uiPriority w:val="50"/>
    <w:rsid w:val="00D47AFE"/>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UnresolvedMention1">
    <w:name w:val="Unresolved Mention1"/>
    <w:basedOn w:val="Fuentedeprrafopredeter"/>
    <w:uiPriority w:val="99"/>
    <w:semiHidden/>
    <w:unhideWhenUsed/>
    <w:rsid w:val="00D47AFE"/>
    <w:rPr>
      <w:color w:val="605E5C"/>
      <w:shd w:val="clear" w:color="auto" w:fill="E1DFDD"/>
    </w:rPr>
  </w:style>
  <w:style w:type="character" w:customStyle="1" w:styleId="highlight">
    <w:name w:val="highlight"/>
    <w:basedOn w:val="Fuentedeprrafopredeter"/>
    <w:rsid w:val="00D47AFE"/>
  </w:style>
  <w:style w:type="paragraph" w:customStyle="1" w:styleId="Prrafodelista2">
    <w:name w:val="Párrafo de lista2"/>
    <w:basedOn w:val="Normal"/>
    <w:uiPriority w:val="99"/>
    <w:rsid w:val="00D47AFE"/>
    <w:pPr>
      <w:widowControl/>
      <w:adjustRightInd/>
      <w:spacing w:line="240" w:lineRule="auto"/>
      <w:ind w:left="720"/>
      <w:jc w:val="left"/>
      <w:textAlignment w:val="auto"/>
    </w:pPr>
    <w:rPr>
      <w:rFonts w:eastAsia="MS Mincho"/>
      <w:sz w:val="20"/>
      <w:szCs w:val="20"/>
      <w:lang w:val="es-ES_tradnl" w:eastAsia="en-US"/>
    </w:rPr>
  </w:style>
  <w:style w:type="paragraph" w:customStyle="1" w:styleId="Estilo1">
    <w:name w:val="Estilo1"/>
    <w:basedOn w:val="Normal"/>
    <w:link w:val="Estilo1Car"/>
    <w:qFormat/>
    <w:rsid w:val="00D47AFE"/>
    <w:pPr>
      <w:widowControl/>
      <w:adjustRightInd/>
      <w:spacing w:after="120" w:line="240" w:lineRule="auto"/>
      <w:ind w:left="2018" w:right="6" w:hanging="180"/>
      <w:textAlignment w:val="auto"/>
    </w:pPr>
    <w:rPr>
      <w:rFonts w:eastAsia="Batang" w:cs="Times"/>
      <w:i/>
      <w:sz w:val="20"/>
      <w:lang w:val="es-ES_tradnl" w:eastAsia="en-US"/>
    </w:rPr>
  </w:style>
  <w:style w:type="character" w:customStyle="1" w:styleId="Estilo1Car">
    <w:name w:val="Estilo1 Car"/>
    <w:basedOn w:val="Fuentedeprrafopredeter"/>
    <w:link w:val="Estilo1"/>
    <w:rsid w:val="00D47AFE"/>
    <w:rPr>
      <w:rFonts w:ascii="Verdana" w:eastAsia="Batang" w:hAnsi="Verdana" w:cs="Times"/>
      <w:i/>
      <w:sz w:val="20"/>
      <w:szCs w:val="24"/>
      <w:lang w:val="es-ES_tradnl"/>
    </w:rPr>
  </w:style>
  <w:style w:type="numbering" w:customStyle="1" w:styleId="ImportedStyle1">
    <w:name w:val="Imported Style 1"/>
    <w:rsid w:val="00D47AFE"/>
    <w:pPr>
      <w:numPr>
        <w:numId w:val="16"/>
      </w:numPr>
    </w:pPr>
  </w:style>
  <w:style w:type="paragraph" w:customStyle="1" w:styleId="Estilo3">
    <w:name w:val="Estilo3"/>
    <w:basedOn w:val="Prrafodelista"/>
    <w:qFormat/>
    <w:rsid w:val="00D47AFE"/>
    <w:pPr>
      <w:widowControl/>
      <w:numPr>
        <w:ilvl w:val="4"/>
        <w:numId w:val="17"/>
      </w:numPr>
      <w:adjustRightInd/>
      <w:spacing w:after="120" w:line="216" w:lineRule="auto"/>
      <w:ind w:right="17"/>
      <w:textAlignment w:val="auto"/>
    </w:pPr>
    <w:rPr>
      <w:rFonts w:eastAsia="Calibri"/>
      <w:spacing w:val="-2"/>
      <w:sz w:val="20"/>
      <w:szCs w:val="20"/>
      <w:lang w:val="es-MX" w:eastAsia="x-none"/>
    </w:rPr>
  </w:style>
  <w:style w:type="paragraph" w:customStyle="1" w:styleId="Estilo5">
    <w:name w:val="Estilo5"/>
    <w:basedOn w:val="Prrafodelista"/>
    <w:link w:val="Estilo5Car"/>
    <w:qFormat/>
    <w:rsid w:val="00D47AFE"/>
    <w:pPr>
      <w:widowControl/>
      <w:numPr>
        <w:numId w:val="17"/>
      </w:numPr>
      <w:adjustRightInd/>
      <w:spacing w:after="120" w:line="216" w:lineRule="auto"/>
      <w:ind w:left="0" w:right="18" w:firstLine="0"/>
      <w:textAlignment w:val="auto"/>
    </w:pPr>
    <w:rPr>
      <w:rFonts w:eastAsia="Calibri"/>
      <w:spacing w:val="-2"/>
      <w:sz w:val="20"/>
      <w:szCs w:val="20"/>
      <w:lang w:val="es-MX" w:eastAsia="x-none"/>
    </w:rPr>
  </w:style>
  <w:style w:type="character" w:customStyle="1" w:styleId="Estilo5Car">
    <w:name w:val="Estilo5 Car"/>
    <w:link w:val="Estilo5"/>
    <w:rsid w:val="00D47AFE"/>
    <w:rPr>
      <w:rFonts w:ascii="Verdana" w:eastAsia="Calibri" w:hAnsi="Verdana" w:cs="Times New Roman"/>
      <w:spacing w:val="-2"/>
      <w:sz w:val="20"/>
      <w:szCs w:val="20"/>
      <w:lang w:val="es-MX" w:eastAsia="x-none"/>
    </w:rPr>
  </w:style>
  <w:style w:type="paragraph" w:customStyle="1" w:styleId="Estilo8">
    <w:name w:val="Estilo8"/>
    <w:basedOn w:val="Estilo3"/>
    <w:qFormat/>
    <w:rsid w:val="00D47AFE"/>
    <w:pPr>
      <w:numPr>
        <w:ilvl w:val="5"/>
      </w:numPr>
      <w:ind w:left="1080" w:hanging="358"/>
    </w:pPr>
  </w:style>
  <w:style w:type="table" w:styleId="Tablaconcuadrcula5oscura-nfasis1">
    <w:name w:val="Grid Table 5 Dark Accent 1"/>
    <w:basedOn w:val="Tablanormal"/>
    <w:uiPriority w:val="50"/>
    <w:rsid w:val="00D47AFE"/>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extonotaalfinal">
    <w:name w:val="endnote text"/>
    <w:basedOn w:val="Normal"/>
    <w:link w:val="TextonotaalfinalCar"/>
    <w:uiPriority w:val="99"/>
    <w:semiHidden/>
    <w:unhideWhenUsed/>
    <w:rsid w:val="00D47AFE"/>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D47AFE"/>
    <w:rPr>
      <w:rFonts w:ascii="Verdana" w:eastAsia="Times New Roman" w:hAnsi="Verdana" w:cs="Times New Roman"/>
      <w:sz w:val="20"/>
      <w:szCs w:val="20"/>
      <w:lang w:eastAsia="es-CR"/>
    </w:rPr>
  </w:style>
  <w:style w:type="character" w:styleId="Refdenotaalfinal">
    <w:name w:val="endnote reference"/>
    <w:basedOn w:val="Fuentedeprrafopredeter"/>
    <w:uiPriority w:val="99"/>
    <w:semiHidden/>
    <w:unhideWhenUsed/>
    <w:rsid w:val="00D47AFE"/>
    <w:rPr>
      <w:vertAlign w:val="superscript"/>
    </w:rPr>
  </w:style>
  <w:style w:type="paragraph" w:styleId="Revisin">
    <w:name w:val="Revision"/>
    <w:hidden/>
    <w:uiPriority w:val="99"/>
    <w:semiHidden/>
    <w:rsid w:val="00D47AFE"/>
    <w:pPr>
      <w:spacing w:after="0" w:line="240" w:lineRule="auto"/>
    </w:pPr>
    <w:rPr>
      <w:rFonts w:ascii="Verdana" w:eastAsia="Times New Roman" w:hAnsi="Verdana" w:cs="Times New Roman"/>
      <w:sz w:val="24"/>
      <w:szCs w:val="24"/>
      <w:lang w:eastAsia="es-CR"/>
    </w:rPr>
  </w:style>
  <w:style w:type="paragraph" w:styleId="Textoindependiente">
    <w:name w:val="Body Text"/>
    <w:basedOn w:val="Normal"/>
    <w:link w:val="TextoindependienteCar"/>
    <w:uiPriority w:val="99"/>
    <w:semiHidden/>
    <w:unhideWhenUsed/>
    <w:rsid w:val="00D47AFE"/>
    <w:pPr>
      <w:spacing w:after="120"/>
    </w:pPr>
  </w:style>
  <w:style w:type="character" w:customStyle="1" w:styleId="TextoindependienteCar">
    <w:name w:val="Texto independiente Car"/>
    <w:basedOn w:val="Fuentedeprrafopredeter"/>
    <w:link w:val="Textoindependiente"/>
    <w:uiPriority w:val="99"/>
    <w:semiHidden/>
    <w:rsid w:val="00D47AFE"/>
    <w:rPr>
      <w:rFonts w:ascii="Verdana" w:eastAsia="Times New Roman" w:hAnsi="Verdana" w:cs="Times New Roman"/>
      <w:sz w:val="24"/>
      <w:szCs w:val="24"/>
      <w:lang w:eastAsia="es-CR"/>
    </w:rPr>
  </w:style>
  <w:style w:type="character" w:customStyle="1" w:styleId="titart">
    <w:name w:val="titart"/>
    <w:basedOn w:val="Fuentedeprrafopredeter"/>
    <w:rsid w:val="00D47AFE"/>
  </w:style>
  <w:style w:type="character" w:customStyle="1" w:styleId="Mencinsinresolver1">
    <w:name w:val="Mención sin resolver1"/>
    <w:basedOn w:val="Fuentedeprrafopredeter"/>
    <w:uiPriority w:val="99"/>
    <w:semiHidden/>
    <w:unhideWhenUsed/>
    <w:rsid w:val="00D47AFE"/>
    <w:rPr>
      <w:color w:val="605E5C"/>
      <w:shd w:val="clear" w:color="auto" w:fill="E1DFDD"/>
    </w:rPr>
  </w:style>
  <w:style w:type="character" w:styleId="Hipervnculovisitado">
    <w:name w:val="FollowedHyperlink"/>
    <w:basedOn w:val="Fuentedeprrafopredeter"/>
    <w:uiPriority w:val="99"/>
    <w:semiHidden/>
    <w:unhideWhenUsed/>
    <w:rsid w:val="00D47AFE"/>
    <w:rPr>
      <w:color w:val="954F72" w:themeColor="followedHyperlink"/>
      <w:u w:val="single"/>
    </w:rPr>
  </w:style>
  <w:style w:type="character" w:customStyle="1" w:styleId="NumberedparagraphsCar">
    <w:name w:val="Numbered paragraphs Car"/>
    <w:basedOn w:val="Fuentedeprrafopredeter"/>
    <w:link w:val="Numberedparagraphs"/>
    <w:rsid w:val="00D47AFE"/>
    <w:rPr>
      <w:rFonts w:ascii="Verdana" w:eastAsia="MS Mincho" w:hAnsi="Verdana" w:cs="Times New Roman"/>
      <w:color w:val="000000"/>
      <w:sz w:val="20"/>
      <w:szCs w:val="20"/>
      <w:lang w:val="es-ES_tradnl"/>
    </w:rPr>
  </w:style>
  <w:style w:type="paragraph" w:customStyle="1" w:styleId="Textonotapie1">
    <w:name w:val="Texto nota pie1"/>
    <w:basedOn w:val="Normal"/>
    <w:semiHidden/>
    <w:rsid w:val="00D47AFE"/>
    <w:pPr>
      <w:widowControl/>
      <w:adjustRightInd/>
      <w:spacing w:line="240" w:lineRule="auto"/>
      <w:jc w:val="left"/>
      <w:textAlignment w:val="auto"/>
    </w:pPr>
    <w:rPr>
      <w:rFonts w:ascii="Times New Roman" w:hAnsi="Times New Roman"/>
      <w:sz w:val="20"/>
      <w:szCs w:val="20"/>
      <w:lang w:val="es-ES_tradnl" w:eastAsia="es-ES"/>
    </w:rPr>
  </w:style>
  <w:style w:type="paragraph" w:customStyle="1" w:styleId="Textoindependiente21">
    <w:name w:val="Texto independiente 21"/>
    <w:basedOn w:val="Normal"/>
    <w:rsid w:val="00D47AFE"/>
    <w:pPr>
      <w:widowControl/>
      <w:adjustRightInd/>
      <w:textAlignment w:val="auto"/>
    </w:pPr>
    <w:rPr>
      <w:sz w:val="20"/>
      <w:szCs w:val="20"/>
      <w:lang w:val="es-ES_tradnl" w:eastAsia="es-ES"/>
    </w:rPr>
  </w:style>
  <w:style w:type="paragraph" w:styleId="Sangra3detindependiente">
    <w:name w:val="Body Text Indent 3"/>
    <w:basedOn w:val="Normal"/>
    <w:link w:val="Sangra3detindependienteCar"/>
    <w:uiPriority w:val="99"/>
    <w:semiHidden/>
    <w:unhideWhenUsed/>
    <w:rsid w:val="00D47AF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D47AFE"/>
    <w:rPr>
      <w:rFonts w:ascii="Verdana" w:eastAsia="Times New Roman" w:hAnsi="Verdana" w:cs="Times New Roman"/>
      <w:sz w:val="16"/>
      <w:szCs w:val="16"/>
      <w:lang w:eastAsia="es-CR"/>
    </w:rPr>
  </w:style>
  <w:style w:type="character" w:styleId="nfasis">
    <w:name w:val="Emphasis"/>
    <w:basedOn w:val="Fuentedeprrafopredeter"/>
    <w:qFormat/>
    <w:rsid w:val="00D47AFE"/>
    <w:rPr>
      <w:i/>
      <w:iCs/>
    </w:rPr>
  </w:style>
  <w:style w:type="character" w:customStyle="1" w:styleId="Smbolodenotaalpie">
    <w:name w:val="Símbolo de nota al pie"/>
    <w:rsid w:val="00D47AFE"/>
    <w:rPr>
      <w:rFonts w:cs="Times New Roman"/>
      <w:szCs w:val="20"/>
      <w:vertAlign w:val="superscript"/>
    </w:rPr>
  </w:style>
  <w:style w:type="paragraph" w:styleId="Textoindependiente2">
    <w:name w:val="Body Text 2"/>
    <w:basedOn w:val="Normal"/>
    <w:link w:val="Textoindependiente2Car"/>
    <w:uiPriority w:val="99"/>
    <w:semiHidden/>
    <w:unhideWhenUsed/>
    <w:rsid w:val="00D47AFE"/>
    <w:pPr>
      <w:spacing w:after="120" w:line="480" w:lineRule="auto"/>
    </w:pPr>
  </w:style>
  <w:style w:type="character" w:customStyle="1" w:styleId="Textoindependiente2Car">
    <w:name w:val="Texto independiente 2 Car"/>
    <w:basedOn w:val="Fuentedeprrafopredeter"/>
    <w:link w:val="Textoindependiente2"/>
    <w:uiPriority w:val="99"/>
    <w:semiHidden/>
    <w:rsid w:val="00D47AFE"/>
    <w:rPr>
      <w:rFonts w:ascii="Verdana" w:eastAsia="Times New Roman" w:hAnsi="Verdana" w:cs="Times New Roman"/>
      <w:sz w:val="24"/>
      <w:szCs w:val="24"/>
      <w:lang w:eastAsia="es-CR"/>
    </w:rPr>
  </w:style>
  <w:style w:type="paragraph" w:styleId="TDC4">
    <w:name w:val="toc 4"/>
    <w:basedOn w:val="Normal"/>
    <w:next w:val="Normal"/>
    <w:autoRedefine/>
    <w:uiPriority w:val="39"/>
    <w:unhideWhenUsed/>
    <w:rsid w:val="004224C0"/>
    <w:pPr>
      <w:ind w:left="720"/>
      <w:jc w:val="left"/>
    </w:pPr>
    <w:rPr>
      <w:rFonts w:asciiTheme="minorHAnsi" w:hAnsiTheme="minorHAnsi" w:cstheme="minorHAnsi"/>
      <w:sz w:val="18"/>
      <w:szCs w:val="18"/>
    </w:rPr>
  </w:style>
  <w:style w:type="paragraph" w:styleId="TDC5">
    <w:name w:val="toc 5"/>
    <w:basedOn w:val="Normal"/>
    <w:next w:val="Normal"/>
    <w:autoRedefine/>
    <w:uiPriority w:val="39"/>
    <w:unhideWhenUsed/>
    <w:rsid w:val="004224C0"/>
    <w:pPr>
      <w:ind w:left="960"/>
      <w:jc w:val="left"/>
    </w:pPr>
    <w:rPr>
      <w:rFonts w:asciiTheme="minorHAnsi" w:hAnsiTheme="minorHAnsi" w:cstheme="minorHAnsi"/>
      <w:sz w:val="18"/>
      <w:szCs w:val="18"/>
    </w:rPr>
  </w:style>
  <w:style w:type="paragraph" w:styleId="TDC6">
    <w:name w:val="toc 6"/>
    <w:basedOn w:val="Normal"/>
    <w:next w:val="Normal"/>
    <w:autoRedefine/>
    <w:uiPriority w:val="39"/>
    <w:unhideWhenUsed/>
    <w:rsid w:val="004224C0"/>
    <w:pPr>
      <w:ind w:left="120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4224C0"/>
    <w:pPr>
      <w:ind w:left="144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4224C0"/>
    <w:pPr>
      <w:ind w:left="168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4224C0"/>
    <w:pPr>
      <w:ind w:left="192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22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comunicados/cp_28_2020.pdf" TargetMode="External"/><Relationship Id="rId2" Type="http://schemas.openxmlformats.org/officeDocument/2006/relationships/hyperlink" Target="http://www.corteidh.or.cr/docs/comunicados/cp_18_2020.pdf" TargetMode="External"/><Relationship Id="rId1" Type="http://schemas.openxmlformats.org/officeDocument/2006/relationships/hyperlink" Target="http://www.corteidh.or.cr/docs/asuntos/motaabarulloyotros_30_06_20.pdf" TargetMode="External"/><Relationship Id="rId4" Type="http://schemas.openxmlformats.org/officeDocument/2006/relationships/hyperlink" Target="http://www.corteidh.or.cr/docs/asuntos/motaabarulloyotros_24_08_2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770E7-0E9A-4773-9A64-9522D9B6A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20194</Words>
  <Characters>111073</Characters>
  <Application>Microsoft Office Word</Application>
  <DocSecurity>0</DocSecurity>
  <Lines>925</Lines>
  <Paragraphs>262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2020-12-11T22:34:00Z</cp:lastPrinted>
  <dcterms:created xsi:type="dcterms:W3CDTF">2020-12-21T17:00:00Z</dcterms:created>
  <dcterms:modified xsi:type="dcterms:W3CDTF">2020-12-21T17:00:00Z</dcterms:modified>
</cp:coreProperties>
</file>