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D4F8C" w14:textId="0B9B91EC" w:rsidR="00764E6F" w:rsidRDefault="00764E6F" w:rsidP="0097483A">
      <w:pPr>
        <w:suppressLineNumbers/>
        <w:spacing w:before="120" w:after="240" w:line="240" w:lineRule="auto"/>
        <w:jc w:val="center"/>
        <w:rPr>
          <w:rFonts w:ascii="Verdana" w:hAnsi="Verdana" w:cs="Verdana"/>
          <w:b/>
          <w:bCs/>
          <w:sz w:val="20"/>
          <w:szCs w:val="20"/>
          <w:lang w:val="es-ES"/>
        </w:rPr>
      </w:pPr>
    </w:p>
    <w:p w14:paraId="15486A5B" w14:textId="77777777" w:rsidR="00E163F0" w:rsidRDefault="00E163F0" w:rsidP="0097483A">
      <w:pPr>
        <w:suppressLineNumbers/>
        <w:spacing w:before="120" w:after="240" w:line="240" w:lineRule="auto"/>
        <w:jc w:val="center"/>
        <w:rPr>
          <w:rFonts w:ascii="Verdana" w:hAnsi="Verdana" w:cs="Verdana"/>
          <w:b/>
          <w:bCs/>
          <w:sz w:val="20"/>
          <w:szCs w:val="20"/>
          <w:lang w:val="es-ES"/>
        </w:rPr>
      </w:pPr>
    </w:p>
    <w:p w14:paraId="0AFDF736" w14:textId="77777777" w:rsidR="00E163F0" w:rsidRDefault="00E163F0" w:rsidP="0097483A">
      <w:pPr>
        <w:suppressLineNumbers/>
        <w:spacing w:before="120" w:after="240" w:line="240" w:lineRule="auto"/>
        <w:jc w:val="center"/>
        <w:rPr>
          <w:rFonts w:ascii="Verdana" w:hAnsi="Verdana" w:cs="Verdana"/>
          <w:b/>
          <w:bCs/>
          <w:sz w:val="20"/>
          <w:szCs w:val="20"/>
          <w:lang w:val="es-ES"/>
        </w:rPr>
      </w:pPr>
    </w:p>
    <w:p w14:paraId="706F3E92" w14:textId="77777777" w:rsidR="00E163F0" w:rsidRDefault="00E163F0" w:rsidP="0097483A">
      <w:pPr>
        <w:suppressLineNumbers/>
        <w:spacing w:before="120" w:after="240" w:line="240" w:lineRule="auto"/>
        <w:jc w:val="center"/>
        <w:rPr>
          <w:rFonts w:ascii="Verdana" w:hAnsi="Verdana" w:cs="Verdana"/>
          <w:b/>
          <w:bCs/>
          <w:sz w:val="20"/>
          <w:szCs w:val="20"/>
          <w:lang w:val="es-ES"/>
        </w:rPr>
      </w:pPr>
    </w:p>
    <w:p w14:paraId="043B96C2" w14:textId="76E5FEDC" w:rsidR="00764E6F" w:rsidRPr="00FF18D7" w:rsidRDefault="00764E6F" w:rsidP="0097483A">
      <w:pPr>
        <w:suppressLineNumbers/>
        <w:spacing w:before="120" w:after="240" w:line="240" w:lineRule="auto"/>
        <w:jc w:val="center"/>
        <w:rPr>
          <w:rFonts w:ascii="Verdana" w:hAnsi="Verdana" w:cs="Verdana"/>
          <w:b/>
          <w:bCs/>
          <w:sz w:val="20"/>
          <w:szCs w:val="20"/>
          <w:lang w:val="es-ES"/>
        </w:rPr>
      </w:pPr>
      <w:r w:rsidRPr="00FF18D7">
        <w:rPr>
          <w:rFonts w:ascii="Verdana" w:hAnsi="Verdana" w:cs="Verdana"/>
          <w:b/>
          <w:bCs/>
          <w:sz w:val="20"/>
          <w:szCs w:val="20"/>
          <w:lang w:val="es-ES"/>
        </w:rPr>
        <w:t>RESOLUCIÓN DE LA</w:t>
      </w:r>
    </w:p>
    <w:p w14:paraId="787C947F" w14:textId="77777777" w:rsidR="00604647" w:rsidRDefault="00764E6F" w:rsidP="0097483A">
      <w:pPr>
        <w:suppressLineNumbers/>
        <w:spacing w:before="120" w:after="240" w:line="240" w:lineRule="auto"/>
        <w:jc w:val="center"/>
        <w:rPr>
          <w:rFonts w:ascii="Verdana" w:hAnsi="Verdana"/>
          <w:b/>
          <w:sz w:val="20"/>
          <w:szCs w:val="20"/>
        </w:rPr>
      </w:pPr>
      <w:r w:rsidRPr="00FF18D7">
        <w:rPr>
          <w:rFonts w:ascii="Verdana" w:hAnsi="Verdana" w:cs="Verdana"/>
          <w:b/>
          <w:bCs/>
          <w:sz w:val="20"/>
          <w:szCs w:val="20"/>
          <w:lang w:val="es-ES"/>
        </w:rPr>
        <w:t xml:space="preserve">CORTE </w:t>
      </w:r>
      <w:r w:rsidRPr="001838E4">
        <w:rPr>
          <w:rFonts w:ascii="Verdana" w:hAnsi="Verdana" w:cs="Verdana"/>
          <w:b/>
          <w:bCs/>
          <w:sz w:val="20"/>
          <w:szCs w:val="20"/>
          <w:lang w:val="es-ES"/>
        </w:rPr>
        <w:t>INTERAMERICANA DE DERECHOS HUMANOS</w:t>
      </w:r>
      <w:r w:rsidR="00604647" w:rsidRPr="00395069">
        <w:rPr>
          <w:rStyle w:val="Refdenotaalpie"/>
          <w:rFonts w:cs="Arial"/>
          <w:b/>
          <w:bCs/>
          <w:color w:val="000000"/>
          <w:spacing w:val="-4"/>
        </w:rPr>
        <w:footnoteReference w:customMarkFollows="1" w:id="1"/>
        <w:t>*</w:t>
      </w:r>
    </w:p>
    <w:p w14:paraId="7D13546F" w14:textId="77777777" w:rsidR="00764E6F" w:rsidRPr="00604647" w:rsidRDefault="00764E6F" w:rsidP="0097483A">
      <w:pPr>
        <w:suppressLineNumbers/>
        <w:spacing w:before="120" w:after="240" w:line="240" w:lineRule="auto"/>
        <w:jc w:val="center"/>
        <w:rPr>
          <w:rFonts w:ascii="Verdana" w:hAnsi="Verdana" w:cs="Verdana"/>
          <w:b/>
          <w:bCs/>
          <w:sz w:val="20"/>
          <w:szCs w:val="20"/>
        </w:rPr>
      </w:pPr>
    </w:p>
    <w:p w14:paraId="699B1CDC" w14:textId="6159CD4B" w:rsidR="00764E6F" w:rsidRPr="00FF18D7" w:rsidRDefault="00E163F0" w:rsidP="0097483A">
      <w:pPr>
        <w:suppressLineNumbers/>
        <w:spacing w:before="120" w:after="240" w:line="240" w:lineRule="auto"/>
        <w:jc w:val="center"/>
        <w:rPr>
          <w:rFonts w:ascii="Verdana" w:eastAsia="Calibri" w:hAnsi="Verdana" w:cs="Times New Roman"/>
          <w:b/>
          <w:smallCaps/>
          <w:sz w:val="20"/>
          <w:szCs w:val="20"/>
          <w:lang w:val="es-ES"/>
        </w:rPr>
      </w:pPr>
      <w:r>
        <w:rPr>
          <w:rFonts w:ascii="Verdana" w:eastAsia="Calibri" w:hAnsi="Verdana" w:cs="Times New Roman"/>
          <w:b/>
          <w:smallCaps/>
          <w:sz w:val="20"/>
          <w:szCs w:val="20"/>
          <w:lang w:val="es-ES"/>
        </w:rPr>
        <w:t>DE 18</w:t>
      </w:r>
      <w:r w:rsidR="00764E6F" w:rsidRPr="001838E4">
        <w:rPr>
          <w:rFonts w:ascii="Verdana" w:eastAsia="Calibri" w:hAnsi="Verdana" w:cs="Times New Roman"/>
          <w:b/>
          <w:smallCaps/>
          <w:sz w:val="20"/>
          <w:szCs w:val="20"/>
          <w:lang w:val="es-ES"/>
        </w:rPr>
        <w:t xml:space="preserve"> DE NOVIEMBRE </w:t>
      </w:r>
      <w:r w:rsidR="00764E6F">
        <w:rPr>
          <w:rFonts w:ascii="Verdana" w:eastAsia="Calibri" w:hAnsi="Verdana" w:cs="Times New Roman"/>
          <w:b/>
          <w:smallCaps/>
          <w:sz w:val="20"/>
          <w:szCs w:val="20"/>
          <w:lang w:val="es-ES"/>
        </w:rPr>
        <w:t>DE 2020</w:t>
      </w:r>
    </w:p>
    <w:p w14:paraId="7EAF0B8B" w14:textId="77777777" w:rsidR="00764E6F" w:rsidRPr="00FF18D7" w:rsidRDefault="00764E6F" w:rsidP="0097483A">
      <w:pPr>
        <w:suppressLineNumbers/>
        <w:spacing w:before="120" w:after="240" w:line="240" w:lineRule="auto"/>
        <w:jc w:val="center"/>
        <w:rPr>
          <w:rFonts w:ascii="Verdana" w:eastAsia="Calibri" w:hAnsi="Verdana" w:cs="Times New Roman"/>
          <w:b/>
          <w:i/>
          <w:smallCaps/>
          <w:sz w:val="20"/>
          <w:szCs w:val="20"/>
          <w:lang w:val="es-ES"/>
        </w:rPr>
      </w:pPr>
      <w:r>
        <w:rPr>
          <w:rFonts w:ascii="Verdana" w:eastAsia="Calibri" w:hAnsi="Verdana" w:cs="Times New Roman"/>
          <w:b/>
          <w:i/>
          <w:smallCaps/>
          <w:sz w:val="20"/>
          <w:szCs w:val="20"/>
          <w:lang w:val="es-ES"/>
        </w:rPr>
        <w:t>CASO GRANIER Y OTROS (RADIO CARACAS TELEVISIÓN) VS. VENEZUELA</w:t>
      </w:r>
    </w:p>
    <w:p w14:paraId="1C5ADBB8" w14:textId="77777777" w:rsidR="00764E6F" w:rsidRPr="00FF18D7" w:rsidRDefault="00764E6F" w:rsidP="0097483A">
      <w:pPr>
        <w:suppressLineNumbers/>
        <w:spacing w:before="120" w:after="240" w:line="240" w:lineRule="auto"/>
        <w:jc w:val="center"/>
        <w:rPr>
          <w:rFonts w:ascii="Verdana" w:hAnsi="Verdana" w:cs="Verdana"/>
          <w:b/>
          <w:bCs/>
          <w:sz w:val="20"/>
          <w:szCs w:val="20"/>
          <w:lang w:val="es-ES"/>
        </w:rPr>
      </w:pPr>
      <w:r w:rsidRPr="00FF18D7">
        <w:rPr>
          <w:rFonts w:ascii="Verdana" w:hAnsi="Verdana" w:cs="Verdana"/>
          <w:b/>
          <w:bCs/>
          <w:sz w:val="20"/>
          <w:szCs w:val="20"/>
          <w:lang w:val="es-ES"/>
        </w:rPr>
        <w:t>SUPERVISIÓ</w:t>
      </w:r>
      <w:r>
        <w:rPr>
          <w:rFonts w:ascii="Verdana" w:hAnsi="Verdana" w:cs="Verdana"/>
          <w:b/>
          <w:bCs/>
          <w:sz w:val="20"/>
          <w:szCs w:val="20"/>
          <w:lang w:val="es-ES"/>
        </w:rPr>
        <w:t>N DE CUMPLIMIENTO DE SENTENCIA</w:t>
      </w:r>
    </w:p>
    <w:p w14:paraId="64ABDE02" w14:textId="77777777" w:rsidR="00764E6F" w:rsidRPr="008C4888" w:rsidRDefault="00764E6F" w:rsidP="0097483A">
      <w:pPr>
        <w:suppressLineNumbers/>
        <w:spacing w:before="120" w:after="240" w:line="240" w:lineRule="auto"/>
        <w:jc w:val="center"/>
        <w:rPr>
          <w:rFonts w:ascii="Verdana" w:hAnsi="Verdana" w:cs="Verdana"/>
          <w:b/>
          <w:bCs/>
          <w:color w:val="00B050"/>
          <w:sz w:val="2"/>
          <w:szCs w:val="2"/>
          <w:lang w:val="es-ES"/>
        </w:rPr>
      </w:pPr>
    </w:p>
    <w:p w14:paraId="3070ED76" w14:textId="77777777" w:rsidR="00764E6F" w:rsidRDefault="00764E6F" w:rsidP="0097483A">
      <w:pPr>
        <w:suppressLineNumbers/>
        <w:spacing w:before="120" w:after="240" w:line="240" w:lineRule="auto"/>
        <w:jc w:val="both"/>
        <w:rPr>
          <w:rFonts w:ascii="Verdana" w:hAnsi="Verdana"/>
          <w:b/>
          <w:smallCaps/>
          <w:sz w:val="20"/>
          <w:szCs w:val="20"/>
        </w:rPr>
      </w:pPr>
    </w:p>
    <w:p w14:paraId="77528F92" w14:textId="77777777" w:rsidR="00764E6F" w:rsidRPr="00477E6F" w:rsidRDefault="00764E6F" w:rsidP="0097483A">
      <w:pPr>
        <w:suppressLineNumbers/>
        <w:spacing w:before="120" w:after="240" w:line="240" w:lineRule="auto"/>
        <w:jc w:val="both"/>
        <w:rPr>
          <w:rFonts w:ascii="Verdana" w:hAnsi="Verdana"/>
          <w:b/>
          <w:smallCaps/>
          <w:sz w:val="20"/>
          <w:szCs w:val="20"/>
        </w:rPr>
      </w:pPr>
      <w:r w:rsidRPr="00477E6F">
        <w:rPr>
          <w:rFonts w:ascii="Verdana" w:hAnsi="Verdana"/>
          <w:b/>
          <w:smallCaps/>
          <w:sz w:val="20"/>
          <w:szCs w:val="20"/>
        </w:rPr>
        <w:t xml:space="preserve">VISTO: </w:t>
      </w:r>
    </w:p>
    <w:p w14:paraId="355ACDB9" w14:textId="7B9C6783" w:rsidR="00764E6F" w:rsidRPr="00477E6F" w:rsidRDefault="00764E6F" w:rsidP="0097483A">
      <w:pPr>
        <w:pStyle w:val="Prrafodelista"/>
        <w:numPr>
          <w:ilvl w:val="0"/>
          <w:numId w:val="1"/>
        </w:numPr>
        <w:suppressLineNumbers/>
        <w:spacing w:before="120" w:after="240" w:line="240" w:lineRule="auto"/>
        <w:ind w:left="0" w:firstLine="0"/>
        <w:contextualSpacing w:val="0"/>
        <w:jc w:val="both"/>
        <w:rPr>
          <w:rFonts w:ascii="Verdana" w:hAnsi="Verdana"/>
          <w:sz w:val="20"/>
          <w:szCs w:val="20"/>
          <w:lang w:val="es-MX"/>
        </w:rPr>
      </w:pPr>
      <w:r w:rsidRPr="00477E6F">
        <w:rPr>
          <w:rFonts w:ascii="Verdana" w:hAnsi="Verdana" w:cs="Arial"/>
          <w:sz w:val="20"/>
          <w:szCs w:val="20"/>
        </w:rPr>
        <w:t xml:space="preserve">La Sentencia de excepciones preliminares, fondo, reparaciones y costas (en adelante, “la Sentencia”) emitida por la </w:t>
      </w:r>
      <w:r w:rsidRPr="00477E6F">
        <w:rPr>
          <w:rFonts w:ascii="Verdana" w:hAnsi="Verdana"/>
          <w:sz w:val="20"/>
          <w:szCs w:val="20"/>
        </w:rPr>
        <w:t>Corte</w:t>
      </w:r>
      <w:r w:rsidRPr="00477E6F">
        <w:rPr>
          <w:rFonts w:ascii="Verdana" w:hAnsi="Verdana" w:cs="Arial"/>
          <w:sz w:val="20"/>
          <w:szCs w:val="20"/>
        </w:rPr>
        <w:t xml:space="preserve"> Interamericana de Derechos Humanos (en adelante “la Corte” o “el Tribunal”) el 22 de junio de 2015</w:t>
      </w:r>
      <w:r w:rsidRPr="00477E6F">
        <w:rPr>
          <w:rStyle w:val="Refdenotaalpie"/>
          <w:rFonts w:ascii="Verdana" w:hAnsi="Verdana" w:cs="Arial"/>
          <w:sz w:val="20"/>
          <w:szCs w:val="20"/>
        </w:rPr>
        <w:footnoteReference w:id="2"/>
      </w:r>
      <w:r w:rsidRPr="00477E6F">
        <w:rPr>
          <w:rFonts w:ascii="Verdana" w:hAnsi="Verdana" w:cs="Arial"/>
          <w:i/>
          <w:sz w:val="20"/>
          <w:szCs w:val="20"/>
        </w:rPr>
        <w:t xml:space="preserve">. </w:t>
      </w:r>
      <w:r w:rsidRPr="00477E6F">
        <w:rPr>
          <w:rFonts w:ascii="Verdana" w:hAnsi="Verdana" w:cs="Arial"/>
          <w:sz w:val="20"/>
          <w:szCs w:val="20"/>
        </w:rPr>
        <w:t xml:space="preserve">La Corte declaró la responsabilidad internacional de la República Bolivariana de Venezuela </w:t>
      </w:r>
      <w:r w:rsidR="00BB5B9D">
        <w:rPr>
          <w:rFonts w:ascii="Verdana" w:hAnsi="Verdana" w:cs="Arial"/>
          <w:sz w:val="20"/>
          <w:szCs w:val="20"/>
        </w:rPr>
        <w:t xml:space="preserve"> </w:t>
      </w:r>
      <w:r w:rsidRPr="00477E6F">
        <w:rPr>
          <w:rFonts w:ascii="Verdana" w:hAnsi="Verdana" w:cs="Arial"/>
          <w:sz w:val="20"/>
          <w:szCs w:val="20"/>
        </w:rPr>
        <w:t>(en adelante “el Estado” o “Venezuela”) por la violación a ciertos derechos, como consecuencia del cierre del canal de televisión “Radio Caracas Televisión” (en adelante</w:t>
      </w:r>
      <w:r w:rsidR="00110E09" w:rsidRPr="00477E6F">
        <w:rPr>
          <w:rFonts w:ascii="Verdana" w:hAnsi="Verdana" w:cs="Arial"/>
          <w:sz w:val="20"/>
          <w:szCs w:val="20"/>
        </w:rPr>
        <w:t xml:space="preserve"> también</w:t>
      </w:r>
      <w:r w:rsidRPr="00477E6F">
        <w:rPr>
          <w:rFonts w:ascii="Verdana" w:hAnsi="Verdana" w:cs="Arial"/>
          <w:sz w:val="20"/>
          <w:szCs w:val="20"/>
        </w:rPr>
        <w:t xml:space="preserve"> “RCTV”) ocurrido el 27 de mayo de 2007</w:t>
      </w:r>
      <w:r w:rsidRPr="00477E6F">
        <w:rPr>
          <w:rStyle w:val="Refdenotaalpie"/>
          <w:rFonts w:ascii="Verdana" w:hAnsi="Verdana" w:cs="Arial"/>
          <w:sz w:val="20"/>
          <w:szCs w:val="20"/>
        </w:rPr>
        <w:footnoteReference w:id="3"/>
      </w:r>
      <w:r w:rsidRPr="00477E6F">
        <w:rPr>
          <w:rFonts w:ascii="Verdana" w:hAnsi="Verdana" w:cs="Arial"/>
          <w:sz w:val="20"/>
          <w:szCs w:val="20"/>
        </w:rPr>
        <w:t>, a raíz de la decisión del Estado de reservarse la porción de espectro radioeléctrico que anteriormente le había sido dada en concesión al referido canal para su operación y uso y, por tanto, impedir la participación en los procedimientos administrativos a un medio de comunicación que expresaba voces críticas contra el gobierno del entonces Presidente Hugo Chávez</w:t>
      </w:r>
      <w:r w:rsidRPr="00477E6F">
        <w:rPr>
          <w:rStyle w:val="Refdenotaalpie"/>
          <w:rFonts w:ascii="Verdana" w:hAnsi="Verdana" w:cs="Arial"/>
          <w:sz w:val="20"/>
          <w:szCs w:val="20"/>
        </w:rPr>
        <w:footnoteReference w:id="4"/>
      </w:r>
      <w:r w:rsidRPr="00477E6F">
        <w:rPr>
          <w:rFonts w:ascii="Verdana" w:hAnsi="Verdana" w:cs="Arial"/>
          <w:sz w:val="20"/>
          <w:szCs w:val="20"/>
        </w:rPr>
        <w:t xml:space="preserve">. En particular, este Tribunal declaró la </w:t>
      </w:r>
      <w:r w:rsidRPr="00477E6F">
        <w:rPr>
          <w:rFonts w:ascii="Verdana" w:hAnsi="Verdana" w:cs="Arial"/>
          <w:sz w:val="20"/>
          <w:szCs w:val="20"/>
        </w:rPr>
        <w:lastRenderedPageBreak/>
        <w:t xml:space="preserve">violación del derecho a la libertad de pensamiento y expresión porque se configuró una restricción indirecta al ejercicio del mismo, en perjuicio de Marcel Granier, Peter </w:t>
      </w:r>
      <w:proofErr w:type="spellStart"/>
      <w:r w:rsidRPr="00477E6F">
        <w:rPr>
          <w:rFonts w:ascii="Verdana" w:hAnsi="Verdana" w:cs="Arial"/>
          <w:sz w:val="20"/>
          <w:szCs w:val="20"/>
        </w:rPr>
        <w:t>Bottome</w:t>
      </w:r>
      <w:proofErr w:type="spellEnd"/>
      <w:r w:rsidRPr="00477E6F">
        <w:rPr>
          <w:rFonts w:ascii="Verdana" w:hAnsi="Verdana" w:cs="Arial"/>
          <w:sz w:val="20"/>
          <w:szCs w:val="20"/>
        </w:rPr>
        <w:t xml:space="preserve">, Jaime </w:t>
      </w:r>
      <w:proofErr w:type="spellStart"/>
      <w:r w:rsidRPr="00477E6F">
        <w:rPr>
          <w:rFonts w:ascii="Verdana" w:hAnsi="Verdana" w:cs="Arial"/>
          <w:sz w:val="20"/>
          <w:szCs w:val="20"/>
        </w:rPr>
        <w:t>Nestares</w:t>
      </w:r>
      <w:proofErr w:type="spellEnd"/>
      <w:r w:rsidRPr="00477E6F">
        <w:rPr>
          <w:rFonts w:ascii="Verdana" w:hAnsi="Verdana" w:cs="Arial"/>
          <w:sz w:val="20"/>
          <w:szCs w:val="20"/>
        </w:rPr>
        <w:t xml:space="preserve">, Inés Bacalao, Eladio Lárez, Eduardo </w:t>
      </w:r>
      <w:proofErr w:type="spellStart"/>
      <w:r w:rsidRPr="00477E6F">
        <w:rPr>
          <w:rFonts w:ascii="Verdana" w:hAnsi="Verdana" w:cs="Arial"/>
          <w:sz w:val="20"/>
          <w:szCs w:val="20"/>
        </w:rPr>
        <w:t>Sapene</w:t>
      </w:r>
      <w:proofErr w:type="spellEnd"/>
      <w:r w:rsidRPr="00477E6F">
        <w:rPr>
          <w:rFonts w:ascii="Verdana" w:hAnsi="Verdana" w:cs="Arial"/>
          <w:sz w:val="20"/>
          <w:szCs w:val="20"/>
        </w:rPr>
        <w:t xml:space="preserve">, Daniela </w:t>
      </w:r>
      <w:proofErr w:type="spellStart"/>
      <w:r w:rsidRPr="00477E6F">
        <w:rPr>
          <w:rFonts w:ascii="Verdana" w:hAnsi="Verdana" w:cs="Arial"/>
          <w:sz w:val="20"/>
          <w:szCs w:val="20"/>
        </w:rPr>
        <w:t>Bergami</w:t>
      </w:r>
      <w:proofErr w:type="spellEnd"/>
      <w:r w:rsidRPr="00477E6F">
        <w:rPr>
          <w:rFonts w:ascii="Verdana" w:hAnsi="Verdana" w:cs="Arial"/>
          <w:sz w:val="20"/>
          <w:szCs w:val="20"/>
        </w:rPr>
        <w:t>, Miguel Ángel Rodríguez, Soraya Castellano, María Arriaga y Larissa Patiño. Dicha violación fue declarada en relación con el deber de no discriminación, en perjuicio de las personas señaladas. Además, la Corte encontró violados los derechos a un debido proceso, al plazo razonable y a ser oído, en perjuicio de</w:t>
      </w:r>
      <w:r w:rsidR="000D34E0" w:rsidRPr="00477E6F">
        <w:rPr>
          <w:rFonts w:ascii="Verdana" w:hAnsi="Verdana" w:cs="Arial"/>
          <w:sz w:val="20"/>
          <w:szCs w:val="20"/>
        </w:rPr>
        <w:t xml:space="preserve"> las referidas personas y </w:t>
      </w:r>
      <w:r w:rsidR="0055243E">
        <w:rPr>
          <w:rFonts w:ascii="Verdana" w:hAnsi="Verdana" w:cs="Arial"/>
          <w:sz w:val="20"/>
          <w:szCs w:val="20"/>
        </w:rPr>
        <w:t xml:space="preserve">de </w:t>
      </w:r>
      <w:r w:rsidRPr="00477E6F">
        <w:rPr>
          <w:rFonts w:ascii="Verdana" w:hAnsi="Verdana" w:cs="Arial"/>
          <w:sz w:val="20"/>
          <w:szCs w:val="20"/>
        </w:rPr>
        <w:t xml:space="preserve">Jean </w:t>
      </w:r>
      <w:proofErr w:type="spellStart"/>
      <w:r w:rsidRPr="00477E6F">
        <w:rPr>
          <w:rFonts w:ascii="Verdana" w:hAnsi="Verdana" w:cs="Arial"/>
          <w:sz w:val="20"/>
          <w:szCs w:val="20"/>
        </w:rPr>
        <w:t>Nestares</w:t>
      </w:r>
      <w:proofErr w:type="spellEnd"/>
      <w:r w:rsidRPr="00477E6F">
        <w:rPr>
          <w:rFonts w:ascii="Verdana" w:hAnsi="Verdana" w:cs="Arial"/>
          <w:sz w:val="20"/>
          <w:szCs w:val="20"/>
        </w:rPr>
        <w:t xml:space="preserve">, Fernando </w:t>
      </w:r>
      <w:proofErr w:type="spellStart"/>
      <w:r w:rsidRPr="00477E6F">
        <w:rPr>
          <w:rFonts w:ascii="Verdana" w:hAnsi="Verdana" w:cs="Arial"/>
          <w:sz w:val="20"/>
          <w:szCs w:val="20"/>
        </w:rPr>
        <w:t>Nestares</w:t>
      </w:r>
      <w:proofErr w:type="spellEnd"/>
      <w:r w:rsidRPr="00477E6F">
        <w:rPr>
          <w:rFonts w:ascii="Verdana" w:hAnsi="Verdana" w:cs="Arial"/>
          <w:sz w:val="20"/>
          <w:szCs w:val="20"/>
        </w:rPr>
        <w:t>, Alicia Phelps de Tovar, Francisco</w:t>
      </w:r>
      <w:r w:rsidR="000D34E0" w:rsidRPr="00477E6F">
        <w:rPr>
          <w:rFonts w:ascii="Verdana" w:hAnsi="Verdana" w:cs="Arial"/>
          <w:sz w:val="20"/>
          <w:szCs w:val="20"/>
        </w:rPr>
        <w:t xml:space="preserve"> J. </w:t>
      </w:r>
      <w:r w:rsidRPr="00477E6F">
        <w:rPr>
          <w:rFonts w:ascii="Verdana" w:hAnsi="Verdana" w:cs="Arial"/>
          <w:sz w:val="20"/>
          <w:szCs w:val="20"/>
        </w:rPr>
        <w:t xml:space="preserve"> </w:t>
      </w:r>
      <w:proofErr w:type="spellStart"/>
      <w:r w:rsidRPr="00477E6F">
        <w:rPr>
          <w:rFonts w:ascii="Verdana" w:hAnsi="Verdana" w:cs="Arial"/>
          <w:sz w:val="20"/>
          <w:szCs w:val="20"/>
        </w:rPr>
        <w:t>Nestares</w:t>
      </w:r>
      <w:proofErr w:type="spellEnd"/>
      <w:r w:rsidRPr="00477E6F">
        <w:rPr>
          <w:rFonts w:ascii="Verdana" w:hAnsi="Verdana" w:cs="Arial"/>
          <w:sz w:val="20"/>
          <w:szCs w:val="20"/>
        </w:rPr>
        <w:t xml:space="preserve">, Edgardo Mosca, </w:t>
      </w:r>
      <w:proofErr w:type="spellStart"/>
      <w:r w:rsidRPr="00477E6F">
        <w:rPr>
          <w:rFonts w:ascii="Verdana" w:hAnsi="Verdana" w:cs="Arial"/>
          <w:sz w:val="20"/>
          <w:szCs w:val="20"/>
        </w:rPr>
        <w:t>Anani</w:t>
      </w:r>
      <w:proofErr w:type="spellEnd"/>
      <w:r w:rsidRPr="00477E6F">
        <w:rPr>
          <w:rFonts w:ascii="Verdana" w:hAnsi="Verdana" w:cs="Arial"/>
          <w:sz w:val="20"/>
          <w:szCs w:val="20"/>
        </w:rPr>
        <w:t xml:space="preserve"> Hernández,</w:t>
      </w:r>
      <w:r w:rsidR="000D34E0" w:rsidRPr="00477E6F">
        <w:rPr>
          <w:rFonts w:ascii="Verdana" w:hAnsi="Verdana" w:cs="Arial"/>
          <w:sz w:val="20"/>
          <w:szCs w:val="20"/>
        </w:rPr>
        <w:t xml:space="preserve"> José Simón Escalona, </w:t>
      </w:r>
      <w:proofErr w:type="spellStart"/>
      <w:r w:rsidR="000D34E0" w:rsidRPr="00477E6F">
        <w:rPr>
          <w:rFonts w:ascii="Verdana" w:hAnsi="Verdana" w:cs="Arial"/>
          <w:sz w:val="20"/>
          <w:szCs w:val="20"/>
        </w:rPr>
        <w:t>Odila</w:t>
      </w:r>
      <w:proofErr w:type="spellEnd"/>
      <w:r w:rsidR="000D34E0" w:rsidRPr="00477E6F">
        <w:rPr>
          <w:rFonts w:ascii="Verdana" w:hAnsi="Verdana" w:cs="Arial"/>
          <w:sz w:val="20"/>
          <w:szCs w:val="20"/>
        </w:rPr>
        <w:t xml:space="preserve"> </w:t>
      </w:r>
      <w:proofErr w:type="spellStart"/>
      <w:r w:rsidR="000D34E0" w:rsidRPr="00477E6F">
        <w:rPr>
          <w:rFonts w:ascii="Verdana" w:hAnsi="Verdana" w:cs="Arial"/>
          <w:sz w:val="20"/>
          <w:szCs w:val="20"/>
        </w:rPr>
        <w:t>Rubi</w:t>
      </w:r>
      <w:r w:rsidRPr="00477E6F">
        <w:rPr>
          <w:rFonts w:ascii="Verdana" w:hAnsi="Verdana" w:cs="Arial"/>
          <w:sz w:val="20"/>
          <w:szCs w:val="20"/>
        </w:rPr>
        <w:t>n</w:t>
      </w:r>
      <w:proofErr w:type="spellEnd"/>
      <w:r w:rsidRPr="00477E6F">
        <w:rPr>
          <w:rFonts w:ascii="Verdana" w:hAnsi="Verdana" w:cs="Arial"/>
          <w:sz w:val="20"/>
          <w:szCs w:val="20"/>
        </w:rPr>
        <w:t xml:space="preserve">, Oswaldo Quintana e Isabel Valero. Las víctimas de este caso eran propietarios de las empresas que, a su vez, son propietarias de las acciones de RCTV o </w:t>
      </w:r>
      <w:r w:rsidR="0055243E">
        <w:rPr>
          <w:rFonts w:ascii="Verdana" w:hAnsi="Verdana" w:cs="Arial"/>
          <w:sz w:val="20"/>
          <w:szCs w:val="20"/>
        </w:rPr>
        <w:t xml:space="preserve">personas </w:t>
      </w:r>
      <w:r w:rsidRPr="00477E6F">
        <w:rPr>
          <w:rFonts w:ascii="Verdana" w:hAnsi="Verdana" w:cs="Arial"/>
          <w:sz w:val="20"/>
          <w:szCs w:val="20"/>
        </w:rPr>
        <w:t>que ejercían diferentes funciones al interior de dicho canal. Además de indicar que la Sentencia emitida en el presente caso constituye por sí misma una forma de reparación, la Corte ordenó al Estado determinadas medidas de reparación (</w:t>
      </w:r>
      <w:r w:rsidRPr="00477E6F">
        <w:rPr>
          <w:rFonts w:ascii="Verdana" w:hAnsi="Verdana" w:cs="Arial"/>
          <w:i/>
          <w:sz w:val="20"/>
          <w:szCs w:val="20"/>
        </w:rPr>
        <w:t xml:space="preserve">infra </w:t>
      </w:r>
      <w:r w:rsidRPr="00477E6F">
        <w:rPr>
          <w:rFonts w:ascii="Verdana" w:hAnsi="Verdana" w:cs="Arial"/>
          <w:sz w:val="20"/>
          <w:szCs w:val="20"/>
        </w:rPr>
        <w:t xml:space="preserve">Considerando 1). </w:t>
      </w:r>
    </w:p>
    <w:p w14:paraId="77930B72" w14:textId="0E539BD7" w:rsidR="00764E6F" w:rsidRPr="00E7078D" w:rsidRDefault="00764E6F" w:rsidP="0097483A">
      <w:pPr>
        <w:pStyle w:val="Prrafodelista"/>
        <w:numPr>
          <w:ilvl w:val="0"/>
          <w:numId w:val="1"/>
        </w:numPr>
        <w:suppressLineNumbers/>
        <w:spacing w:before="120" w:after="240" w:line="240" w:lineRule="auto"/>
        <w:ind w:left="0" w:firstLine="0"/>
        <w:contextualSpacing w:val="0"/>
        <w:jc w:val="both"/>
        <w:rPr>
          <w:rFonts w:ascii="Verdana" w:hAnsi="Verdana"/>
          <w:i/>
          <w:sz w:val="20"/>
          <w:szCs w:val="20"/>
        </w:rPr>
      </w:pPr>
      <w:r w:rsidRPr="00E7078D">
        <w:rPr>
          <w:rFonts w:ascii="Verdana" w:hAnsi="Verdana"/>
          <w:sz w:val="20"/>
          <w:szCs w:val="20"/>
        </w:rPr>
        <w:t>El es</w:t>
      </w:r>
      <w:r>
        <w:rPr>
          <w:rFonts w:ascii="Verdana" w:hAnsi="Verdana"/>
          <w:sz w:val="20"/>
          <w:szCs w:val="20"/>
        </w:rPr>
        <w:t>crito de 8</w:t>
      </w:r>
      <w:r w:rsidRPr="00E7078D">
        <w:rPr>
          <w:rFonts w:ascii="Verdana" w:hAnsi="Verdana"/>
          <w:sz w:val="20"/>
          <w:szCs w:val="20"/>
        </w:rPr>
        <w:t xml:space="preserve"> de octubre de 201</w:t>
      </w:r>
      <w:r>
        <w:rPr>
          <w:rFonts w:ascii="Verdana" w:hAnsi="Verdana"/>
          <w:sz w:val="20"/>
          <w:szCs w:val="20"/>
        </w:rPr>
        <w:t>5</w:t>
      </w:r>
      <w:r w:rsidRPr="00E7078D">
        <w:rPr>
          <w:rFonts w:ascii="Verdana" w:hAnsi="Verdana"/>
          <w:sz w:val="20"/>
          <w:szCs w:val="20"/>
        </w:rPr>
        <w:t xml:space="preserve"> </w:t>
      </w:r>
      <w:r>
        <w:rPr>
          <w:rFonts w:ascii="Verdana" w:hAnsi="Verdana"/>
          <w:sz w:val="20"/>
          <w:szCs w:val="20"/>
        </w:rPr>
        <w:t>remitido</w:t>
      </w:r>
      <w:r w:rsidRPr="00E7078D">
        <w:rPr>
          <w:rFonts w:ascii="Verdana" w:hAnsi="Verdana"/>
          <w:sz w:val="20"/>
          <w:szCs w:val="20"/>
        </w:rPr>
        <w:t xml:space="preserve"> por los representantes </w:t>
      </w:r>
      <w:r>
        <w:rPr>
          <w:rFonts w:ascii="Verdana" w:hAnsi="Verdana"/>
          <w:sz w:val="20"/>
          <w:szCs w:val="20"/>
        </w:rPr>
        <w:t>de las víctimas (en adelante “los representantes”)</w:t>
      </w:r>
      <w:r w:rsidRPr="00E7078D">
        <w:rPr>
          <w:rStyle w:val="Refdenotaalpie"/>
          <w:rFonts w:ascii="Verdana" w:hAnsi="Verdana"/>
          <w:sz w:val="20"/>
          <w:szCs w:val="20"/>
        </w:rPr>
        <w:footnoteReference w:id="5"/>
      </w:r>
      <w:r w:rsidRPr="00E7078D">
        <w:rPr>
          <w:rFonts w:ascii="Verdana" w:hAnsi="Verdana"/>
          <w:i/>
          <w:sz w:val="20"/>
          <w:szCs w:val="20"/>
        </w:rPr>
        <w:t>,</w:t>
      </w:r>
      <w:r w:rsidRPr="007C28DD">
        <w:rPr>
          <w:rFonts w:ascii="Verdana" w:hAnsi="Verdana"/>
          <w:sz w:val="20"/>
          <w:szCs w:val="20"/>
        </w:rPr>
        <w:t xml:space="preserve"> mediante</w:t>
      </w:r>
      <w:r>
        <w:rPr>
          <w:rFonts w:ascii="Verdana" w:hAnsi="Verdana"/>
          <w:sz w:val="20"/>
          <w:szCs w:val="20"/>
        </w:rPr>
        <w:t xml:space="preserve"> el cual se refirieron a “la decisión de la Sala Constitucional del Tribunal Supremo de Justicia de Venezuela de […] 10 de septiembre de 2015”, por medio de la cual se </w:t>
      </w:r>
      <w:r w:rsidRPr="00E7078D">
        <w:rPr>
          <w:rFonts w:ascii="Verdana" w:hAnsi="Verdana" w:cs="Arial"/>
          <w:sz w:val="20"/>
          <w:szCs w:val="20"/>
          <w:lang w:val="es-MX"/>
        </w:rPr>
        <w:t>declaró “inejecutable” la Sentencia emitida por la Corte Interamericana en el presente c</w:t>
      </w:r>
      <w:r>
        <w:rPr>
          <w:rFonts w:ascii="Verdana" w:hAnsi="Verdana" w:cs="Arial"/>
          <w:sz w:val="20"/>
          <w:szCs w:val="20"/>
          <w:lang w:val="es-MX"/>
        </w:rPr>
        <w:t xml:space="preserve">aso, </w:t>
      </w:r>
      <w:r w:rsidR="00C121F3">
        <w:rPr>
          <w:rFonts w:ascii="Verdana" w:hAnsi="Verdana" w:cs="Arial"/>
          <w:sz w:val="20"/>
          <w:szCs w:val="20"/>
          <w:lang w:val="es-MX"/>
        </w:rPr>
        <w:t xml:space="preserve">así como </w:t>
      </w:r>
      <w:r w:rsidRPr="00E7078D">
        <w:rPr>
          <w:rFonts w:ascii="Verdana" w:hAnsi="Verdana" w:cs="Arial"/>
          <w:sz w:val="20"/>
          <w:szCs w:val="20"/>
          <w:lang w:val="es-MX"/>
        </w:rPr>
        <w:t>presentaron observaciones respecto</w:t>
      </w:r>
      <w:r>
        <w:rPr>
          <w:rFonts w:ascii="Verdana" w:hAnsi="Verdana" w:cs="Arial"/>
          <w:sz w:val="20"/>
          <w:szCs w:val="20"/>
          <w:lang w:val="es-MX"/>
        </w:rPr>
        <w:t xml:space="preserve"> del “desacato e incumplimiento del Estado”, </w:t>
      </w:r>
      <w:r w:rsidRPr="00B4375D">
        <w:rPr>
          <w:rFonts w:ascii="Verdana" w:hAnsi="Verdana" w:cs="Arial"/>
          <w:sz w:val="20"/>
          <w:szCs w:val="20"/>
          <w:lang w:val="es-MX"/>
        </w:rPr>
        <w:t>y solicitaron a la Corte que aplique el artículo 65 de la Convención Americana sobre Derechos Humanos en el presente caso.</w:t>
      </w:r>
      <w:r w:rsidRPr="00E7078D">
        <w:rPr>
          <w:rFonts w:ascii="Verdana" w:hAnsi="Verdana" w:cs="Arial"/>
          <w:sz w:val="20"/>
          <w:szCs w:val="20"/>
          <w:lang w:val="es-MX"/>
        </w:rPr>
        <w:t xml:space="preserve"> </w:t>
      </w:r>
    </w:p>
    <w:p w14:paraId="5F2AFB10" w14:textId="687D29BD" w:rsidR="00764E6F" w:rsidRPr="00903BA3" w:rsidRDefault="00764E6F" w:rsidP="0097483A">
      <w:pPr>
        <w:pStyle w:val="Prrafodelista"/>
        <w:numPr>
          <w:ilvl w:val="0"/>
          <w:numId w:val="1"/>
        </w:numPr>
        <w:suppressLineNumbers/>
        <w:spacing w:before="120" w:after="240" w:line="240" w:lineRule="auto"/>
        <w:ind w:left="0" w:firstLine="0"/>
        <w:contextualSpacing w:val="0"/>
        <w:jc w:val="both"/>
        <w:rPr>
          <w:rFonts w:ascii="Verdana" w:hAnsi="Verdana"/>
          <w:sz w:val="20"/>
          <w:szCs w:val="20"/>
        </w:rPr>
      </w:pPr>
      <w:r w:rsidRPr="003D7403">
        <w:rPr>
          <w:rFonts w:ascii="Verdana" w:hAnsi="Verdana"/>
          <w:sz w:val="20"/>
          <w:szCs w:val="20"/>
        </w:rPr>
        <w:t>La nota de la Secretaría de la Corte</w:t>
      </w:r>
      <w:r>
        <w:rPr>
          <w:rFonts w:ascii="Verdana" w:hAnsi="Verdana"/>
          <w:sz w:val="20"/>
          <w:szCs w:val="20"/>
        </w:rPr>
        <w:t xml:space="preserve"> (en adelante “la Secretaría”) de 23 de octubre de 2015</w:t>
      </w:r>
      <w:r w:rsidRPr="003D7403">
        <w:rPr>
          <w:rFonts w:ascii="Verdana" w:hAnsi="Verdana"/>
          <w:sz w:val="20"/>
          <w:szCs w:val="20"/>
        </w:rPr>
        <w:t>, mediante la cual, siguiendo instrucciones de</w:t>
      </w:r>
      <w:r>
        <w:rPr>
          <w:rFonts w:ascii="Verdana" w:hAnsi="Verdana"/>
          <w:sz w:val="20"/>
          <w:szCs w:val="20"/>
        </w:rPr>
        <w:t xml:space="preserve"> </w:t>
      </w:r>
      <w:r w:rsidRPr="003D7403">
        <w:rPr>
          <w:rFonts w:ascii="Verdana" w:hAnsi="Verdana"/>
          <w:sz w:val="20"/>
          <w:szCs w:val="20"/>
        </w:rPr>
        <w:t>l</w:t>
      </w:r>
      <w:r>
        <w:rPr>
          <w:rFonts w:ascii="Verdana" w:hAnsi="Verdana"/>
          <w:sz w:val="20"/>
          <w:szCs w:val="20"/>
        </w:rPr>
        <w:t>a Presidencia</w:t>
      </w:r>
      <w:r w:rsidRPr="003D7403">
        <w:rPr>
          <w:rFonts w:ascii="Verdana" w:hAnsi="Verdana"/>
          <w:sz w:val="20"/>
          <w:szCs w:val="20"/>
        </w:rPr>
        <w:t xml:space="preserve"> del Tribunal, </w:t>
      </w:r>
      <w:r>
        <w:rPr>
          <w:rFonts w:ascii="Verdana" w:hAnsi="Verdana"/>
          <w:sz w:val="20"/>
          <w:szCs w:val="20"/>
        </w:rPr>
        <w:t xml:space="preserve">se otorgó a Venezuela y a la Comisión Interamericana de Derechos Humanos (en adelante “la Comisión Interamericana” o “la Comisión”) un plazo de dos semanas para que, en caso de estimarlo pertinente, presentaran observaciones </w:t>
      </w:r>
      <w:r w:rsidRPr="00FF18D7">
        <w:rPr>
          <w:rFonts w:ascii="Verdana" w:hAnsi="Verdana" w:cs="Arial"/>
          <w:sz w:val="20"/>
          <w:szCs w:val="20"/>
          <w:lang w:val="es-MX"/>
        </w:rPr>
        <w:t xml:space="preserve">al </w:t>
      </w:r>
      <w:r>
        <w:rPr>
          <w:rFonts w:ascii="Verdana" w:hAnsi="Verdana" w:cs="Arial"/>
          <w:sz w:val="20"/>
          <w:szCs w:val="20"/>
          <w:lang w:val="es-MX"/>
        </w:rPr>
        <w:t xml:space="preserve">referido </w:t>
      </w:r>
      <w:r w:rsidRPr="00FF18D7">
        <w:rPr>
          <w:rFonts w:ascii="Verdana" w:hAnsi="Verdana" w:cs="Arial"/>
          <w:sz w:val="20"/>
          <w:szCs w:val="20"/>
          <w:lang w:val="es-MX"/>
        </w:rPr>
        <w:t>esc</w:t>
      </w:r>
      <w:r>
        <w:rPr>
          <w:rFonts w:ascii="Verdana" w:hAnsi="Verdana" w:cs="Arial"/>
          <w:sz w:val="20"/>
          <w:szCs w:val="20"/>
          <w:lang w:val="es-MX"/>
        </w:rPr>
        <w:t xml:space="preserve">rito de los representantes </w:t>
      </w:r>
      <w:r w:rsidRPr="00FF18D7">
        <w:rPr>
          <w:rFonts w:ascii="Verdana" w:hAnsi="Verdana" w:cs="Arial"/>
          <w:sz w:val="20"/>
          <w:szCs w:val="20"/>
          <w:lang w:val="es-MX"/>
        </w:rPr>
        <w:t>(</w:t>
      </w:r>
      <w:r w:rsidRPr="003D7403">
        <w:rPr>
          <w:rFonts w:ascii="Verdana" w:hAnsi="Verdana" w:cs="Arial"/>
          <w:i/>
          <w:sz w:val="20"/>
          <w:szCs w:val="20"/>
          <w:lang w:val="es-MX"/>
        </w:rPr>
        <w:t>supra</w:t>
      </w:r>
      <w:r w:rsidRPr="00FF18D7">
        <w:rPr>
          <w:rFonts w:ascii="Verdana" w:hAnsi="Verdana" w:cs="Arial"/>
          <w:sz w:val="20"/>
          <w:szCs w:val="20"/>
          <w:lang w:val="es-MX"/>
        </w:rPr>
        <w:t xml:space="preserve"> Visto </w:t>
      </w:r>
      <w:r>
        <w:rPr>
          <w:rFonts w:ascii="Verdana" w:hAnsi="Verdana" w:cs="Arial"/>
          <w:sz w:val="20"/>
          <w:szCs w:val="20"/>
          <w:lang w:val="es-MX"/>
        </w:rPr>
        <w:t>2</w:t>
      </w:r>
      <w:r w:rsidRPr="00FF18D7">
        <w:rPr>
          <w:rFonts w:ascii="Verdana" w:hAnsi="Verdana" w:cs="Arial"/>
          <w:sz w:val="20"/>
          <w:szCs w:val="20"/>
          <w:lang w:val="es-MX"/>
        </w:rPr>
        <w:t>)</w:t>
      </w:r>
      <w:r>
        <w:rPr>
          <w:rFonts w:ascii="Verdana" w:hAnsi="Verdana" w:cs="Arial"/>
          <w:sz w:val="20"/>
          <w:szCs w:val="20"/>
          <w:lang w:val="es-MX"/>
        </w:rPr>
        <w:t xml:space="preserve">. </w:t>
      </w:r>
    </w:p>
    <w:p w14:paraId="0EEE8F53" w14:textId="322EEDDE" w:rsidR="00764E6F" w:rsidRPr="00161F8C" w:rsidRDefault="00764E6F" w:rsidP="0097483A">
      <w:pPr>
        <w:pStyle w:val="Prrafodelista"/>
        <w:numPr>
          <w:ilvl w:val="0"/>
          <w:numId w:val="1"/>
        </w:numPr>
        <w:suppressLineNumbers/>
        <w:spacing w:before="120" w:after="240" w:line="240" w:lineRule="auto"/>
        <w:ind w:left="0" w:firstLine="0"/>
        <w:contextualSpacing w:val="0"/>
        <w:jc w:val="both"/>
        <w:rPr>
          <w:rFonts w:ascii="Verdana" w:hAnsi="Verdana"/>
          <w:i/>
          <w:sz w:val="20"/>
          <w:szCs w:val="20"/>
        </w:rPr>
      </w:pPr>
      <w:r>
        <w:rPr>
          <w:rFonts w:ascii="Verdana" w:hAnsi="Verdana"/>
          <w:sz w:val="20"/>
          <w:szCs w:val="20"/>
        </w:rPr>
        <w:t xml:space="preserve">El escrito </w:t>
      </w:r>
      <w:r w:rsidR="008002C5">
        <w:rPr>
          <w:rFonts w:ascii="Verdana" w:hAnsi="Verdana"/>
          <w:sz w:val="20"/>
          <w:szCs w:val="20"/>
        </w:rPr>
        <w:t xml:space="preserve">de </w:t>
      </w:r>
      <w:r>
        <w:rPr>
          <w:rFonts w:ascii="Verdana" w:hAnsi="Verdana"/>
          <w:sz w:val="20"/>
          <w:szCs w:val="20"/>
        </w:rPr>
        <w:t xml:space="preserve">observaciones </w:t>
      </w:r>
      <w:r w:rsidR="008002C5">
        <w:rPr>
          <w:rFonts w:ascii="Verdana" w:hAnsi="Verdana"/>
          <w:sz w:val="20"/>
          <w:szCs w:val="20"/>
        </w:rPr>
        <w:t>presentado por la Comisión</w:t>
      </w:r>
      <w:r w:rsidR="008002C5" w:rsidRPr="00161F8C">
        <w:rPr>
          <w:rFonts w:ascii="Verdana" w:hAnsi="Verdana"/>
          <w:sz w:val="20"/>
          <w:szCs w:val="20"/>
          <w:lang w:val="es-MX"/>
        </w:rPr>
        <w:t xml:space="preserve"> </w:t>
      </w:r>
      <w:r w:rsidR="008002C5" w:rsidRPr="00FF18D7">
        <w:rPr>
          <w:rFonts w:ascii="Verdana" w:hAnsi="Verdana"/>
          <w:sz w:val="20"/>
          <w:szCs w:val="20"/>
          <w:lang w:val="es-MX"/>
        </w:rPr>
        <w:t>Interamericana</w:t>
      </w:r>
      <w:r w:rsidR="008002C5">
        <w:rPr>
          <w:rFonts w:ascii="Verdana" w:hAnsi="Verdana"/>
          <w:sz w:val="20"/>
          <w:szCs w:val="20"/>
        </w:rPr>
        <w:t xml:space="preserve"> el</w:t>
      </w:r>
      <w:r>
        <w:rPr>
          <w:rFonts w:ascii="Verdana" w:hAnsi="Verdana"/>
          <w:sz w:val="20"/>
          <w:szCs w:val="20"/>
        </w:rPr>
        <w:t xml:space="preserve"> 4 de noviembre de 2015</w:t>
      </w:r>
      <w:r>
        <w:rPr>
          <w:rFonts w:ascii="Verdana" w:hAnsi="Verdana"/>
          <w:sz w:val="20"/>
          <w:szCs w:val="20"/>
          <w:lang w:val="es-MX"/>
        </w:rPr>
        <w:t xml:space="preserve">. </w:t>
      </w:r>
    </w:p>
    <w:p w14:paraId="70FD15F3" w14:textId="21E53BD8" w:rsidR="00764E6F" w:rsidRPr="00B42204" w:rsidRDefault="00764E6F" w:rsidP="0097483A">
      <w:pPr>
        <w:pStyle w:val="Prrafodelista"/>
        <w:numPr>
          <w:ilvl w:val="0"/>
          <w:numId w:val="1"/>
        </w:numPr>
        <w:suppressLineNumbers/>
        <w:spacing w:before="120" w:after="240" w:line="240" w:lineRule="auto"/>
        <w:ind w:left="0" w:firstLine="0"/>
        <w:contextualSpacing w:val="0"/>
        <w:jc w:val="both"/>
        <w:rPr>
          <w:rFonts w:ascii="Verdana" w:hAnsi="Verdana"/>
          <w:i/>
          <w:sz w:val="20"/>
          <w:szCs w:val="20"/>
        </w:rPr>
      </w:pPr>
      <w:r w:rsidRPr="00723726">
        <w:rPr>
          <w:rFonts w:ascii="Verdana" w:hAnsi="Verdana" w:cs="Arial"/>
          <w:sz w:val="20"/>
          <w:szCs w:val="20"/>
          <w:lang w:val="es-MX"/>
        </w:rPr>
        <w:t xml:space="preserve">El escrito </w:t>
      </w:r>
      <w:r w:rsidR="0055243E" w:rsidRPr="00723726">
        <w:rPr>
          <w:rFonts w:ascii="Verdana" w:hAnsi="Verdana" w:cs="Arial"/>
          <w:sz w:val="20"/>
          <w:szCs w:val="20"/>
          <w:lang w:val="es-MX"/>
        </w:rPr>
        <w:t xml:space="preserve">con fecha </w:t>
      </w:r>
      <w:r w:rsidR="00C121F3" w:rsidRPr="00723726">
        <w:rPr>
          <w:rFonts w:ascii="Verdana" w:hAnsi="Verdana" w:cs="Arial"/>
          <w:sz w:val="20"/>
          <w:szCs w:val="20"/>
          <w:lang w:val="es-MX"/>
        </w:rPr>
        <w:t>de 11 de septiembre de 2015, recibido e</w:t>
      </w:r>
      <w:r w:rsidR="00C121F3" w:rsidRPr="0055243E">
        <w:rPr>
          <w:rFonts w:ascii="Verdana" w:hAnsi="Verdana" w:cs="Arial"/>
          <w:sz w:val="20"/>
          <w:szCs w:val="20"/>
          <w:lang w:val="es-MX"/>
        </w:rPr>
        <w:t>l</w:t>
      </w:r>
      <w:r>
        <w:rPr>
          <w:rFonts w:ascii="Verdana" w:hAnsi="Verdana" w:cs="Arial"/>
          <w:sz w:val="20"/>
          <w:szCs w:val="20"/>
          <w:lang w:val="es-MX"/>
        </w:rPr>
        <w:t xml:space="preserve"> 14 de marzo de 2016</w:t>
      </w:r>
      <w:r w:rsidR="00C121F3">
        <w:rPr>
          <w:rFonts w:ascii="Verdana" w:hAnsi="Verdana" w:cs="Arial"/>
          <w:sz w:val="20"/>
          <w:szCs w:val="20"/>
          <w:lang w:val="es-MX"/>
        </w:rPr>
        <w:t xml:space="preserve"> en la Secretaría</w:t>
      </w:r>
      <w:r w:rsidRPr="00FF18D7">
        <w:rPr>
          <w:rFonts w:ascii="Verdana" w:hAnsi="Verdana" w:cs="Arial"/>
          <w:sz w:val="20"/>
          <w:szCs w:val="20"/>
          <w:lang w:val="es-MX"/>
        </w:rPr>
        <w:t>, mediante el cual la Presidenta de la Sala Constitucional del Tribunal Supremo de Justicia de Venezuela se dirigió al</w:t>
      </w:r>
      <w:r w:rsidRPr="00764E6F">
        <w:rPr>
          <w:rFonts w:ascii="Verdana" w:hAnsi="Verdana" w:cs="Arial"/>
          <w:color w:val="FF0000"/>
          <w:sz w:val="20"/>
          <w:szCs w:val="20"/>
          <w:lang w:val="es-MX"/>
        </w:rPr>
        <w:t xml:space="preserve"> </w:t>
      </w:r>
      <w:r w:rsidRPr="001B52EC">
        <w:rPr>
          <w:rFonts w:ascii="Verdana" w:hAnsi="Verdana" w:cs="Arial"/>
          <w:sz w:val="20"/>
          <w:szCs w:val="20"/>
          <w:lang w:val="es-MX"/>
        </w:rPr>
        <w:t>entonces</w:t>
      </w:r>
      <w:r w:rsidRPr="00764E6F">
        <w:rPr>
          <w:rFonts w:ascii="Verdana" w:hAnsi="Verdana" w:cs="Arial"/>
          <w:color w:val="FF0000"/>
          <w:sz w:val="20"/>
          <w:szCs w:val="20"/>
          <w:lang w:val="es-MX"/>
        </w:rPr>
        <w:t xml:space="preserve"> </w:t>
      </w:r>
      <w:r w:rsidRPr="00FF18D7">
        <w:rPr>
          <w:rFonts w:ascii="Verdana" w:hAnsi="Verdana" w:cs="Arial"/>
          <w:sz w:val="20"/>
          <w:szCs w:val="20"/>
          <w:lang w:val="es-MX"/>
        </w:rPr>
        <w:t xml:space="preserve">Presidente de la Corte Interamericana “a fin de remitirle copia certificada de la [referida] decisión” dictada en relación con la Sentencia del caso </w:t>
      </w:r>
      <w:r>
        <w:rPr>
          <w:rFonts w:ascii="Verdana" w:hAnsi="Verdana" w:cs="Arial"/>
          <w:i/>
          <w:sz w:val="20"/>
          <w:szCs w:val="20"/>
          <w:lang w:val="es-MX"/>
        </w:rPr>
        <w:t>Granier y otros (Radio Caracas Televisión)</w:t>
      </w:r>
      <w:r w:rsidRPr="00FF18D7">
        <w:rPr>
          <w:rFonts w:ascii="Verdana" w:hAnsi="Verdana" w:cs="Arial"/>
          <w:i/>
          <w:sz w:val="20"/>
          <w:szCs w:val="20"/>
          <w:lang w:val="es-MX"/>
        </w:rPr>
        <w:t xml:space="preserve"> </w:t>
      </w:r>
      <w:r w:rsidRPr="00FF18D7">
        <w:rPr>
          <w:rFonts w:ascii="Verdana" w:hAnsi="Verdana" w:cs="Arial"/>
          <w:sz w:val="20"/>
          <w:szCs w:val="20"/>
          <w:lang w:val="es-MX"/>
        </w:rPr>
        <w:t>(</w:t>
      </w:r>
      <w:r w:rsidRPr="00FF18D7">
        <w:rPr>
          <w:rFonts w:ascii="Verdana" w:hAnsi="Verdana" w:cs="Arial"/>
          <w:i/>
          <w:sz w:val="20"/>
          <w:szCs w:val="20"/>
          <w:lang w:val="es-MX"/>
        </w:rPr>
        <w:t>supra</w:t>
      </w:r>
      <w:r w:rsidRPr="00FF18D7">
        <w:rPr>
          <w:rFonts w:ascii="Verdana" w:hAnsi="Verdana" w:cs="Arial"/>
          <w:sz w:val="20"/>
          <w:szCs w:val="20"/>
          <w:lang w:val="es-MX"/>
        </w:rPr>
        <w:t xml:space="preserve"> Visto </w:t>
      </w:r>
      <w:r>
        <w:rPr>
          <w:rFonts w:ascii="Verdana" w:hAnsi="Verdana" w:cs="Arial"/>
          <w:sz w:val="20"/>
          <w:szCs w:val="20"/>
          <w:lang w:val="es-MX"/>
        </w:rPr>
        <w:t>2</w:t>
      </w:r>
      <w:r w:rsidRPr="00FF18D7">
        <w:rPr>
          <w:rFonts w:ascii="Verdana" w:hAnsi="Verdana" w:cs="Arial"/>
          <w:sz w:val="20"/>
          <w:szCs w:val="20"/>
          <w:lang w:val="es-MX"/>
        </w:rPr>
        <w:t xml:space="preserve">). </w:t>
      </w:r>
    </w:p>
    <w:p w14:paraId="38401153" w14:textId="65058E44" w:rsidR="00764E6F" w:rsidRPr="003E73E6" w:rsidRDefault="00764E6F" w:rsidP="0097483A">
      <w:pPr>
        <w:pStyle w:val="Prrafodelista"/>
        <w:numPr>
          <w:ilvl w:val="0"/>
          <w:numId w:val="1"/>
        </w:numPr>
        <w:suppressLineNumbers/>
        <w:spacing w:before="120" w:after="240" w:line="240" w:lineRule="auto"/>
        <w:ind w:left="0" w:firstLine="0"/>
        <w:contextualSpacing w:val="0"/>
        <w:jc w:val="both"/>
        <w:rPr>
          <w:rFonts w:ascii="Verdana" w:hAnsi="Verdana"/>
          <w:i/>
          <w:sz w:val="20"/>
          <w:szCs w:val="20"/>
        </w:rPr>
      </w:pPr>
      <w:r w:rsidRPr="00470769">
        <w:rPr>
          <w:rFonts w:ascii="Verdana" w:hAnsi="Verdana" w:cs="Arial"/>
          <w:sz w:val="20"/>
          <w:szCs w:val="20"/>
          <w:lang w:val="es-MX"/>
        </w:rPr>
        <w:t>La nota de la Secretaría de 28 de marzo de 2016, mediante la cual se acusó recibo del escrito presentado por la Presidenta de la Sala Constitucional del Tribunal Supremo de Justicia de Venezuela (</w:t>
      </w:r>
      <w:r w:rsidRPr="00470769">
        <w:rPr>
          <w:rFonts w:ascii="Verdana" w:hAnsi="Verdana" w:cs="Arial"/>
          <w:i/>
          <w:sz w:val="20"/>
          <w:szCs w:val="20"/>
          <w:lang w:val="es-MX"/>
        </w:rPr>
        <w:t>supra</w:t>
      </w:r>
      <w:r w:rsidRPr="00470769">
        <w:rPr>
          <w:rFonts w:ascii="Verdana" w:hAnsi="Verdana" w:cs="Arial"/>
          <w:sz w:val="20"/>
          <w:szCs w:val="20"/>
          <w:lang w:val="es-MX"/>
        </w:rPr>
        <w:t xml:space="preserve"> Visto 5)</w:t>
      </w:r>
      <w:r>
        <w:rPr>
          <w:rFonts w:ascii="Verdana" w:hAnsi="Verdana" w:cs="Arial"/>
          <w:sz w:val="20"/>
          <w:szCs w:val="20"/>
          <w:lang w:val="es-MX"/>
        </w:rPr>
        <w:t xml:space="preserve">, y se transmitió a las partes del presente caso. </w:t>
      </w:r>
    </w:p>
    <w:p w14:paraId="7509029F" w14:textId="00D6C3C1" w:rsidR="00C273E6" w:rsidRPr="00C273E6" w:rsidRDefault="003E73E6" w:rsidP="0097483A">
      <w:pPr>
        <w:pStyle w:val="Prrafodelista"/>
        <w:numPr>
          <w:ilvl w:val="0"/>
          <w:numId w:val="1"/>
        </w:numPr>
        <w:suppressLineNumbers/>
        <w:spacing w:before="120" w:after="240" w:line="240" w:lineRule="auto"/>
        <w:ind w:left="0" w:firstLine="0"/>
        <w:contextualSpacing w:val="0"/>
        <w:jc w:val="both"/>
        <w:rPr>
          <w:rFonts w:ascii="Verdana" w:hAnsi="Verdana"/>
          <w:i/>
          <w:sz w:val="20"/>
          <w:szCs w:val="20"/>
        </w:rPr>
      </w:pPr>
      <w:r w:rsidRPr="00022B30">
        <w:rPr>
          <w:rFonts w:ascii="Verdana" w:hAnsi="Verdana" w:cs="Arial"/>
          <w:sz w:val="20"/>
          <w:szCs w:val="20"/>
        </w:rPr>
        <w:t>La nota de la Secretaría de</w:t>
      </w:r>
      <w:r w:rsidRPr="00022B30">
        <w:rPr>
          <w:rFonts w:ascii="Verdana" w:hAnsi="Verdana" w:cs="Arial"/>
          <w:b/>
          <w:sz w:val="20"/>
          <w:szCs w:val="20"/>
        </w:rPr>
        <w:t xml:space="preserve"> </w:t>
      </w:r>
      <w:r w:rsidRPr="00022B30">
        <w:rPr>
          <w:rFonts w:ascii="Verdana" w:hAnsi="Verdana"/>
          <w:sz w:val="20"/>
          <w:szCs w:val="20"/>
        </w:rPr>
        <w:t>22 de diciembre de 2017, mediante la cual, siguiendo instrucciones de</w:t>
      </w:r>
      <w:r>
        <w:rPr>
          <w:rFonts w:ascii="Verdana" w:hAnsi="Verdana"/>
          <w:sz w:val="20"/>
          <w:szCs w:val="20"/>
        </w:rPr>
        <w:t xml:space="preserve"> </w:t>
      </w:r>
      <w:r w:rsidRPr="00022B30">
        <w:rPr>
          <w:rFonts w:ascii="Verdana" w:hAnsi="Verdana"/>
          <w:sz w:val="20"/>
          <w:szCs w:val="20"/>
        </w:rPr>
        <w:t>l</w:t>
      </w:r>
      <w:r>
        <w:rPr>
          <w:rFonts w:ascii="Verdana" w:hAnsi="Verdana"/>
          <w:sz w:val="20"/>
          <w:szCs w:val="20"/>
        </w:rPr>
        <w:t>a</w:t>
      </w:r>
      <w:r w:rsidRPr="00022B30">
        <w:rPr>
          <w:rFonts w:ascii="Verdana" w:hAnsi="Verdana"/>
          <w:sz w:val="20"/>
          <w:szCs w:val="20"/>
        </w:rPr>
        <w:t xml:space="preserve"> Presiden</w:t>
      </w:r>
      <w:r>
        <w:rPr>
          <w:rFonts w:ascii="Verdana" w:hAnsi="Verdana"/>
          <w:sz w:val="20"/>
          <w:szCs w:val="20"/>
        </w:rPr>
        <w:t>cia</w:t>
      </w:r>
      <w:r w:rsidRPr="00022B30">
        <w:rPr>
          <w:rFonts w:ascii="Verdana" w:hAnsi="Verdana"/>
          <w:sz w:val="20"/>
          <w:szCs w:val="20"/>
        </w:rPr>
        <w:t xml:space="preserve"> del Tribunal, se recordó al Estado que el “plazo de un año </w:t>
      </w:r>
      <w:r w:rsidRPr="00022B30">
        <w:rPr>
          <w:rFonts w:ascii="Verdana" w:hAnsi="Verdana"/>
          <w:sz w:val="20"/>
          <w:szCs w:val="20"/>
        </w:rPr>
        <w:lastRenderedPageBreak/>
        <w:t xml:space="preserve">contado a partir de la notificación de [la </w:t>
      </w:r>
      <w:r w:rsidR="00C273E6">
        <w:rPr>
          <w:rFonts w:ascii="Verdana" w:hAnsi="Verdana"/>
          <w:sz w:val="20"/>
          <w:szCs w:val="20"/>
        </w:rPr>
        <w:t>Sentencia</w:t>
      </w:r>
      <w:r w:rsidRPr="00022B30">
        <w:rPr>
          <w:rFonts w:ascii="Verdana" w:hAnsi="Verdana"/>
          <w:sz w:val="20"/>
          <w:szCs w:val="20"/>
        </w:rPr>
        <w:t xml:space="preserve">]” para “rendir </w:t>
      </w:r>
      <w:r w:rsidR="00C273E6">
        <w:rPr>
          <w:rFonts w:ascii="Verdana" w:hAnsi="Verdana"/>
          <w:sz w:val="20"/>
          <w:szCs w:val="20"/>
        </w:rPr>
        <w:t>[…]</w:t>
      </w:r>
      <w:r w:rsidRPr="00022B30">
        <w:rPr>
          <w:rFonts w:ascii="Verdana" w:hAnsi="Verdana"/>
          <w:sz w:val="20"/>
          <w:szCs w:val="20"/>
        </w:rPr>
        <w:t xml:space="preserve"> un informe […] sobre las medidas adoptadas para cumplir con la misma” venció el 7 de septiembre de 2016, sin que lo hubiere presentado. </w:t>
      </w:r>
    </w:p>
    <w:p w14:paraId="59D382CA" w14:textId="5D8A6EAE" w:rsidR="003E73E6" w:rsidRPr="008F2FD6" w:rsidRDefault="003E73E6" w:rsidP="0097483A">
      <w:pPr>
        <w:pStyle w:val="Prrafodelista"/>
        <w:numPr>
          <w:ilvl w:val="0"/>
          <w:numId w:val="1"/>
        </w:numPr>
        <w:suppressLineNumbers/>
        <w:spacing w:before="120" w:after="240" w:line="240" w:lineRule="auto"/>
        <w:ind w:left="0" w:firstLine="0"/>
        <w:contextualSpacing w:val="0"/>
        <w:jc w:val="both"/>
        <w:rPr>
          <w:rFonts w:ascii="Verdana" w:hAnsi="Verdana"/>
          <w:i/>
          <w:sz w:val="20"/>
          <w:szCs w:val="20"/>
        </w:rPr>
      </w:pPr>
      <w:r w:rsidRPr="00022B30">
        <w:rPr>
          <w:rFonts w:ascii="Verdana" w:hAnsi="Verdana" w:cs="Arial"/>
          <w:sz w:val="20"/>
          <w:szCs w:val="20"/>
        </w:rPr>
        <w:t>La nota de la Secretaría de</w:t>
      </w:r>
      <w:r w:rsidRPr="00022B30">
        <w:rPr>
          <w:rFonts w:ascii="Verdana" w:hAnsi="Verdana" w:cs="Arial"/>
          <w:b/>
          <w:sz w:val="20"/>
          <w:szCs w:val="20"/>
        </w:rPr>
        <w:t xml:space="preserve"> </w:t>
      </w:r>
      <w:r w:rsidRPr="00022B30">
        <w:rPr>
          <w:rFonts w:ascii="Verdana" w:hAnsi="Verdana"/>
          <w:sz w:val="20"/>
          <w:szCs w:val="20"/>
        </w:rPr>
        <w:t xml:space="preserve">21 de diciembre de 2018, </w:t>
      </w:r>
      <w:r w:rsidRPr="00022B30">
        <w:rPr>
          <w:rFonts w:ascii="Verdana" w:hAnsi="Verdana" w:cs="Arial"/>
          <w:sz w:val="20"/>
          <w:lang w:val="es-MX"/>
        </w:rPr>
        <w:t>mediante la cual, siguiendo instrucciones de</w:t>
      </w:r>
      <w:r>
        <w:rPr>
          <w:rFonts w:ascii="Verdana" w:hAnsi="Verdana" w:cs="Arial"/>
          <w:sz w:val="20"/>
          <w:lang w:val="es-MX"/>
        </w:rPr>
        <w:t xml:space="preserve"> </w:t>
      </w:r>
      <w:r w:rsidRPr="00022B30">
        <w:rPr>
          <w:rFonts w:ascii="Verdana" w:hAnsi="Verdana" w:cs="Arial"/>
          <w:sz w:val="20"/>
          <w:lang w:val="es-MX"/>
        </w:rPr>
        <w:t>l</w:t>
      </w:r>
      <w:r>
        <w:rPr>
          <w:rFonts w:ascii="Verdana" w:hAnsi="Verdana" w:cs="Arial"/>
          <w:sz w:val="20"/>
          <w:lang w:val="es-MX"/>
        </w:rPr>
        <w:t>a</w:t>
      </w:r>
      <w:r w:rsidRPr="00022B30">
        <w:rPr>
          <w:rFonts w:ascii="Verdana" w:hAnsi="Verdana" w:cs="Arial"/>
          <w:sz w:val="20"/>
          <w:lang w:val="es-MX"/>
        </w:rPr>
        <w:t xml:space="preserve"> Presiden</w:t>
      </w:r>
      <w:r>
        <w:rPr>
          <w:rFonts w:ascii="Verdana" w:hAnsi="Verdana" w:cs="Arial"/>
          <w:sz w:val="20"/>
          <w:lang w:val="es-MX"/>
        </w:rPr>
        <w:t xml:space="preserve">cia </w:t>
      </w:r>
      <w:r w:rsidRPr="00022B30">
        <w:rPr>
          <w:rFonts w:ascii="Verdana" w:hAnsi="Verdana" w:cs="Arial"/>
          <w:sz w:val="20"/>
          <w:lang w:val="es-MX"/>
        </w:rPr>
        <w:t>del Tribunal</w:t>
      </w:r>
      <w:r>
        <w:rPr>
          <w:rFonts w:ascii="Verdana" w:hAnsi="Verdana" w:cs="Arial"/>
          <w:sz w:val="20"/>
          <w:lang w:val="es-MX"/>
        </w:rPr>
        <w:t>,</w:t>
      </w:r>
      <w:r w:rsidRPr="00022B30">
        <w:rPr>
          <w:rFonts w:ascii="Verdana" w:hAnsi="Verdana" w:cs="Arial"/>
          <w:sz w:val="20"/>
          <w:lang w:val="es-MX"/>
        </w:rPr>
        <w:t xml:space="preserve"> </w:t>
      </w:r>
      <w:r w:rsidRPr="00022B30">
        <w:rPr>
          <w:rFonts w:ascii="Verdana" w:hAnsi="Verdana"/>
          <w:sz w:val="20"/>
        </w:rPr>
        <w:t xml:space="preserve">se reiteró al Estado lo indicado en </w:t>
      </w:r>
      <w:r>
        <w:rPr>
          <w:rFonts w:ascii="Verdana" w:hAnsi="Verdana"/>
          <w:sz w:val="20"/>
        </w:rPr>
        <w:t>la</w:t>
      </w:r>
      <w:r w:rsidRPr="00022B30">
        <w:rPr>
          <w:rFonts w:ascii="Verdana" w:hAnsi="Verdana"/>
          <w:sz w:val="20"/>
        </w:rPr>
        <w:t xml:space="preserve"> nota de</w:t>
      </w:r>
      <w:r>
        <w:rPr>
          <w:rFonts w:ascii="Verdana" w:hAnsi="Verdana"/>
          <w:sz w:val="20"/>
        </w:rPr>
        <w:t xml:space="preserve"> </w:t>
      </w:r>
      <w:r w:rsidRPr="00022B30">
        <w:rPr>
          <w:rFonts w:ascii="Verdana" w:hAnsi="Verdana"/>
          <w:sz w:val="20"/>
        </w:rPr>
        <w:t>Secretaría de 22 de diciembre de 2017 (s</w:t>
      </w:r>
      <w:r w:rsidRPr="00022B30">
        <w:rPr>
          <w:rFonts w:ascii="Verdana" w:hAnsi="Verdana"/>
          <w:i/>
          <w:sz w:val="20"/>
        </w:rPr>
        <w:t xml:space="preserve">upra </w:t>
      </w:r>
      <w:r w:rsidRPr="00022B30">
        <w:rPr>
          <w:rFonts w:ascii="Verdana" w:hAnsi="Verdana"/>
          <w:sz w:val="20"/>
        </w:rPr>
        <w:t xml:space="preserve">Visto 7). </w:t>
      </w:r>
    </w:p>
    <w:p w14:paraId="0E6A1A1B" w14:textId="6BE5E18A" w:rsidR="003E73E6" w:rsidRDefault="008F2FD6" w:rsidP="0097483A">
      <w:pPr>
        <w:pStyle w:val="Prrafodelista"/>
        <w:numPr>
          <w:ilvl w:val="0"/>
          <w:numId w:val="1"/>
        </w:numPr>
        <w:suppressLineNumbers/>
        <w:spacing w:before="120" w:after="240" w:line="240" w:lineRule="auto"/>
        <w:ind w:left="0" w:firstLine="0"/>
        <w:contextualSpacing w:val="0"/>
        <w:jc w:val="both"/>
        <w:rPr>
          <w:rFonts w:ascii="Verdana" w:hAnsi="Verdana"/>
          <w:sz w:val="20"/>
        </w:rPr>
      </w:pPr>
      <w:r w:rsidRPr="008F2FD6">
        <w:rPr>
          <w:rFonts w:ascii="Verdana" w:hAnsi="Verdana" w:cs="Arial"/>
          <w:sz w:val="20"/>
          <w:szCs w:val="20"/>
          <w:lang w:val="es-MX"/>
        </w:rPr>
        <w:t>La nota de la Secretaría de 20 de diciembre de 2019, mediante la cual, siguiendo instrucciones de la Presid</w:t>
      </w:r>
      <w:r w:rsidR="0091778F">
        <w:rPr>
          <w:rFonts w:ascii="Verdana" w:hAnsi="Verdana" w:cs="Arial"/>
          <w:sz w:val="20"/>
          <w:szCs w:val="20"/>
          <w:lang w:val="es-MX"/>
        </w:rPr>
        <w:t xml:space="preserve">encia del Tribunal, se reiteró </w:t>
      </w:r>
      <w:r w:rsidRPr="008F2FD6">
        <w:rPr>
          <w:rFonts w:ascii="Verdana" w:hAnsi="Verdana" w:cs="Arial"/>
          <w:sz w:val="20"/>
          <w:szCs w:val="20"/>
          <w:lang w:val="es-MX"/>
        </w:rPr>
        <w:t>al Estado lo indicado en la</w:t>
      </w:r>
      <w:r w:rsidR="00D83E79">
        <w:rPr>
          <w:rFonts w:ascii="Verdana" w:hAnsi="Verdana" w:cs="Arial"/>
          <w:sz w:val="20"/>
          <w:szCs w:val="20"/>
          <w:lang w:val="es-MX"/>
        </w:rPr>
        <w:t>s</w:t>
      </w:r>
      <w:r w:rsidRPr="008F2FD6">
        <w:rPr>
          <w:rFonts w:ascii="Verdana" w:hAnsi="Verdana" w:cs="Arial"/>
          <w:sz w:val="20"/>
          <w:szCs w:val="20"/>
          <w:lang w:val="es-MX"/>
        </w:rPr>
        <w:t xml:space="preserve"> nota</w:t>
      </w:r>
      <w:r w:rsidR="00D83E79">
        <w:rPr>
          <w:rFonts w:ascii="Verdana" w:hAnsi="Verdana" w:cs="Arial"/>
          <w:sz w:val="20"/>
          <w:szCs w:val="20"/>
          <w:lang w:val="es-MX"/>
        </w:rPr>
        <w:t>s</w:t>
      </w:r>
      <w:r w:rsidRPr="008F2FD6">
        <w:rPr>
          <w:rFonts w:ascii="Verdana" w:hAnsi="Verdana" w:cs="Arial"/>
          <w:sz w:val="20"/>
          <w:szCs w:val="20"/>
          <w:lang w:val="es-MX"/>
        </w:rPr>
        <w:t xml:space="preserve"> de Secretaría de 2017 </w:t>
      </w:r>
      <w:r w:rsidR="00D83E79">
        <w:rPr>
          <w:rFonts w:ascii="Verdana" w:hAnsi="Verdana" w:cs="Arial"/>
          <w:sz w:val="20"/>
          <w:szCs w:val="20"/>
          <w:lang w:val="es-MX"/>
        </w:rPr>
        <w:t xml:space="preserve">y 2018 </w:t>
      </w:r>
      <w:r w:rsidRPr="008F2FD6">
        <w:rPr>
          <w:rFonts w:ascii="Verdana" w:hAnsi="Verdana" w:cs="Arial"/>
          <w:sz w:val="20"/>
          <w:szCs w:val="20"/>
          <w:lang w:val="es-MX"/>
        </w:rPr>
        <w:t>(</w:t>
      </w:r>
      <w:r w:rsidRPr="008F2FD6">
        <w:rPr>
          <w:rFonts w:ascii="Verdana" w:hAnsi="Verdana" w:cs="Arial"/>
          <w:i/>
          <w:sz w:val="20"/>
          <w:szCs w:val="20"/>
          <w:lang w:val="es-MX"/>
        </w:rPr>
        <w:t>supra</w:t>
      </w:r>
      <w:r w:rsidRPr="008F2FD6">
        <w:rPr>
          <w:rFonts w:ascii="Verdana" w:hAnsi="Verdana" w:cs="Arial"/>
          <w:sz w:val="20"/>
          <w:szCs w:val="20"/>
          <w:lang w:val="es-MX"/>
        </w:rPr>
        <w:t xml:space="preserve"> Visto</w:t>
      </w:r>
      <w:r w:rsidR="0091778F">
        <w:rPr>
          <w:rFonts w:ascii="Verdana" w:hAnsi="Verdana" w:cs="Arial"/>
          <w:sz w:val="20"/>
          <w:szCs w:val="20"/>
          <w:lang w:val="es-MX"/>
        </w:rPr>
        <w:t>s</w:t>
      </w:r>
      <w:r w:rsidRPr="008F2FD6">
        <w:rPr>
          <w:rFonts w:ascii="Verdana" w:hAnsi="Verdana" w:cs="Arial"/>
          <w:sz w:val="20"/>
          <w:szCs w:val="20"/>
          <w:lang w:val="es-MX"/>
        </w:rPr>
        <w:t xml:space="preserve"> 7</w:t>
      </w:r>
      <w:r w:rsidR="0091778F">
        <w:rPr>
          <w:rFonts w:ascii="Verdana" w:hAnsi="Verdana" w:cs="Arial"/>
          <w:sz w:val="20"/>
          <w:szCs w:val="20"/>
          <w:lang w:val="es-MX"/>
        </w:rPr>
        <w:t xml:space="preserve"> y 8</w:t>
      </w:r>
      <w:r w:rsidRPr="008F2FD6">
        <w:rPr>
          <w:rFonts w:ascii="Verdana" w:hAnsi="Verdana" w:cs="Arial"/>
          <w:sz w:val="20"/>
          <w:szCs w:val="20"/>
          <w:lang w:val="es-MX"/>
        </w:rPr>
        <w:t>)</w:t>
      </w:r>
      <w:r w:rsidR="0091778F">
        <w:rPr>
          <w:rFonts w:ascii="Verdana" w:hAnsi="Verdana" w:cs="Arial"/>
          <w:sz w:val="20"/>
          <w:szCs w:val="20"/>
          <w:lang w:val="es-MX"/>
        </w:rPr>
        <w:t xml:space="preserve">. Además, se dejó constando </w:t>
      </w:r>
      <w:r w:rsidR="00D83E79" w:rsidRPr="0091778F">
        <w:rPr>
          <w:rFonts w:ascii="Verdana" w:hAnsi="Verdana"/>
          <w:sz w:val="20"/>
        </w:rPr>
        <w:t xml:space="preserve">que, </w:t>
      </w:r>
      <w:r w:rsidR="0091778F">
        <w:rPr>
          <w:rFonts w:ascii="Verdana" w:hAnsi="Verdana"/>
          <w:sz w:val="20"/>
        </w:rPr>
        <w:t>“</w:t>
      </w:r>
      <w:r w:rsidR="00D83E79" w:rsidRPr="0091778F">
        <w:rPr>
          <w:rFonts w:ascii="Verdana" w:hAnsi="Verdana"/>
          <w:sz w:val="20"/>
        </w:rPr>
        <w:t>durante los más de cuatro años en que este caso ha estado en etapa de supervisión de cumplimiento, los únicos escritos que ha recibido este Tribunal guardan relación con la remisión de la decisión dictada por la Sala Constitucional del Tribunal Supremo de Justicia</w:t>
      </w:r>
      <w:r w:rsidR="0091778F">
        <w:rPr>
          <w:rFonts w:ascii="Verdana" w:hAnsi="Verdana"/>
          <w:sz w:val="20"/>
        </w:rPr>
        <w:t>”, los cuales “</w:t>
      </w:r>
      <w:r w:rsidR="00D83E79" w:rsidRPr="0091778F">
        <w:rPr>
          <w:rFonts w:ascii="Verdana" w:hAnsi="Verdana"/>
          <w:sz w:val="20"/>
        </w:rPr>
        <w:t>fueron presentados por los representantes de las víctimas y por la Presidenta de la Sala Constitucional de la Corte Suprema de Justicia</w:t>
      </w:r>
      <w:r w:rsidR="0091778F">
        <w:rPr>
          <w:rFonts w:ascii="Verdana" w:hAnsi="Verdana"/>
          <w:sz w:val="20"/>
        </w:rPr>
        <w:t>”</w:t>
      </w:r>
      <w:r w:rsidR="00D83E79" w:rsidRPr="0091778F">
        <w:rPr>
          <w:rFonts w:ascii="Verdana" w:hAnsi="Verdana"/>
          <w:sz w:val="20"/>
        </w:rPr>
        <w:t>.</w:t>
      </w:r>
      <w:r w:rsidR="0091778F">
        <w:rPr>
          <w:rFonts w:ascii="Verdana" w:hAnsi="Verdana"/>
          <w:sz w:val="20"/>
        </w:rPr>
        <w:t xml:space="preserve"> Asimismo, se hizo</w:t>
      </w:r>
      <w:r w:rsidR="00D83E79" w:rsidRPr="0091778F">
        <w:rPr>
          <w:rFonts w:ascii="Verdana" w:hAnsi="Verdana"/>
          <w:sz w:val="20"/>
        </w:rPr>
        <w:t xml:space="preserve"> constar que </w:t>
      </w:r>
      <w:r w:rsidR="0091778F">
        <w:rPr>
          <w:rFonts w:ascii="Verdana" w:hAnsi="Verdana"/>
          <w:sz w:val="20"/>
        </w:rPr>
        <w:t>“</w:t>
      </w:r>
      <w:r w:rsidR="00D83E79" w:rsidRPr="0091778F">
        <w:rPr>
          <w:rFonts w:ascii="Verdana" w:hAnsi="Verdana"/>
          <w:sz w:val="20"/>
        </w:rPr>
        <w:t xml:space="preserve">el Agente designado por Venezuela para representarla en este proceso internacional no se ha referido a la mencionada sentencia interna, a pesar de los </w:t>
      </w:r>
      <w:r w:rsidR="0091778F" w:rsidRPr="0091778F">
        <w:rPr>
          <w:rFonts w:ascii="Verdana" w:hAnsi="Verdana"/>
          <w:sz w:val="20"/>
        </w:rPr>
        <w:t>múltiples</w:t>
      </w:r>
      <w:r w:rsidR="00D83E79" w:rsidRPr="0091778F">
        <w:rPr>
          <w:rFonts w:ascii="Verdana" w:hAnsi="Verdana"/>
          <w:sz w:val="20"/>
        </w:rPr>
        <w:t xml:space="preserve"> requerimientos</w:t>
      </w:r>
      <w:r w:rsidR="005B6812">
        <w:rPr>
          <w:rFonts w:ascii="Verdana" w:hAnsi="Verdana"/>
          <w:sz w:val="20"/>
        </w:rPr>
        <w:t>”</w:t>
      </w:r>
      <w:r w:rsidR="00D83E79" w:rsidRPr="0091778F">
        <w:rPr>
          <w:rFonts w:ascii="Verdana" w:hAnsi="Verdana"/>
          <w:sz w:val="20"/>
        </w:rPr>
        <w:t xml:space="preserve"> </w:t>
      </w:r>
      <w:r w:rsidR="005B6812">
        <w:rPr>
          <w:rFonts w:ascii="Verdana" w:hAnsi="Verdana"/>
          <w:sz w:val="20"/>
        </w:rPr>
        <w:t xml:space="preserve">y se </w:t>
      </w:r>
      <w:r w:rsidR="00846208">
        <w:rPr>
          <w:rFonts w:ascii="Verdana" w:hAnsi="Verdana"/>
          <w:sz w:val="20"/>
        </w:rPr>
        <w:t xml:space="preserve">le </w:t>
      </w:r>
      <w:r w:rsidR="005B6812">
        <w:rPr>
          <w:rFonts w:ascii="Verdana" w:hAnsi="Verdana"/>
          <w:sz w:val="20"/>
        </w:rPr>
        <w:t>solicitó</w:t>
      </w:r>
      <w:r w:rsidR="00D83E79" w:rsidRPr="0091778F">
        <w:rPr>
          <w:rFonts w:ascii="Verdana" w:hAnsi="Verdana"/>
          <w:sz w:val="20"/>
        </w:rPr>
        <w:t xml:space="preserve"> al Estado que, a má</w:t>
      </w:r>
      <w:r w:rsidR="005B6812">
        <w:rPr>
          <w:rFonts w:ascii="Verdana" w:hAnsi="Verdana"/>
          <w:sz w:val="20"/>
        </w:rPr>
        <w:t>s tardar el 3 de febrero de 2020</w:t>
      </w:r>
      <w:r w:rsidR="00D83E79" w:rsidRPr="0091778F">
        <w:rPr>
          <w:rFonts w:ascii="Verdana" w:hAnsi="Verdana"/>
          <w:sz w:val="20"/>
        </w:rPr>
        <w:t>, se refi</w:t>
      </w:r>
      <w:r w:rsidR="005B6812">
        <w:rPr>
          <w:rFonts w:ascii="Verdana" w:hAnsi="Verdana"/>
          <w:sz w:val="20"/>
        </w:rPr>
        <w:t>ri</w:t>
      </w:r>
      <w:r w:rsidR="00D83E79" w:rsidRPr="0091778F">
        <w:rPr>
          <w:rFonts w:ascii="Verdana" w:hAnsi="Verdana"/>
          <w:sz w:val="20"/>
        </w:rPr>
        <w:t>era al respecto.</w:t>
      </w:r>
    </w:p>
    <w:p w14:paraId="0F22C2E3" w14:textId="77777777" w:rsidR="00960D02" w:rsidRPr="0091778F" w:rsidRDefault="00960D02" w:rsidP="0097483A">
      <w:pPr>
        <w:pStyle w:val="Prrafodelista"/>
        <w:suppressLineNumbers/>
        <w:spacing w:before="120" w:after="240" w:line="240" w:lineRule="auto"/>
        <w:ind w:left="0"/>
        <w:contextualSpacing w:val="0"/>
        <w:jc w:val="both"/>
        <w:rPr>
          <w:rFonts w:ascii="Verdana" w:hAnsi="Verdana"/>
          <w:sz w:val="20"/>
        </w:rPr>
      </w:pPr>
    </w:p>
    <w:p w14:paraId="177823F3" w14:textId="77777777" w:rsidR="00764E6F" w:rsidRDefault="00764E6F" w:rsidP="0097483A">
      <w:pPr>
        <w:suppressLineNumbers/>
        <w:spacing w:before="120" w:after="240" w:line="240" w:lineRule="auto"/>
        <w:jc w:val="both"/>
        <w:rPr>
          <w:rFonts w:ascii="Verdana" w:hAnsi="Verdana"/>
          <w:b/>
          <w:sz w:val="20"/>
          <w:szCs w:val="20"/>
        </w:rPr>
      </w:pPr>
      <w:r w:rsidRPr="00D93E8F">
        <w:rPr>
          <w:rFonts w:ascii="Verdana" w:hAnsi="Verdana"/>
          <w:b/>
          <w:sz w:val="20"/>
          <w:szCs w:val="20"/>
        </w:rPr>
        <w:t>CONSIDERANDO QUE:</w:t>
      </w:r>
    </w:p>
    <w:p w14:paraId="41246A89" w14:textId="25CA92FD" w:rsidR="002524A6" w:rsidRDefault="00764E6F" w:rsidP="0097483A">
      <w:pPr>
        <w:pStyle w:val="Prrafodelista"/>
        <w:numPr>
          <w:ilvl w:val="0"/>
          <w:numId w:val="2"/>
        </w:numPr>
        <w:suppressLineNumbers/>
        <w:spacing w:before="120" w:after="240" w:line="240" w:lineRule="auto"/>
        <w:ind w:left="0" w:firstLine="0"/>
        <w:contextualSpacing w:val="0"/>
        <w:jc w:val="both"/>
        <w:rPr>
          <w:rFonts w:ascii="Verdana" w:hAnsi="Verdana"/>
          <w:sz w:val="20"/>
          <w:szCs w:val="20"/>
          <w:lang w:val="es-MX"/>
        </w:rPr>
      </w:pPr>
      <w:r w:rsidRPr="00D93E8F">
        <w:rPr>
          <w:rFonts w:ascii="Verdana" w:hAnsi="Verdana"/>
          <w:sz w:val="20"/>
          <w:szCs w:val="20"/>
          <w:lang w:val="es-ES"/>
        </w:rPr>
        <w:t>En el ejercicio de su función jurisdiccional de supervisar el cumplimiento de sus decisiones</w:t>
      </w:r>
      <w:r w:rsidRPr="00D93E8F">
        <w:rPr>
          <w:rFonts w:ascii="Verdana" w:hAnsi="Verdana"/>
          <w:sz w:val="20"/>
          <w:szCs w:val="20"/>
          <w:vertAlign w:val="superscript"/>
        </w:rPr>
        <w:footnoteReference w:id="6"/>
      </w:r>
      <w:r w:rsidRPr="00D93E8F">
        <w:rPr>
          <w:rFonts w:ascii="Verdana" w:hAnsi="Verdana"/>
          <w:sz w:val="20"/>
          <w:szCs w:val="20"/>
          <w:lang w:val="es-ES"/>
        </w:rPr>
        <w:t xml:space="preserve"> la Corte ha venido </w:t>
      </w:r>
      <w:r>
        <w:rPr>
          <w:rFonts w:ascii="Verdana" w:hAnsi="Verdana"/>
          <w:sz w:val="20"/>
          <w:szCs w:val="20"/>
          <w:lang w:val="es-ES"/>
        </w:rPr>
        <w:t>considerando la ejecución de la Sentencia</w:t>
      </w:r>
      <w:r w:rsidRPr="00D93E8F">
        <w:rPr>
          <w:rFonts w:ascii="Verdana" w:hAnsi="Verdana"/>
          <w:sz w:val="20"/>
          <w:szCs w:val="20"/>
          <w:lang w:val="es-ES"/>
        </w:rPr>
        <w:t xml:space="preserve"> emitida </w:t>
      </w:r>
      <w:r w:rsidRPr="00D93E8F">
        <w:rPr>
          <w:rFonts w:ascii="Verdana" w:hAnsi="Verdana"/>
          <w:sz w:val="20"/>
          <w:szCs w:val="20"/>
          <w:lang w:val="es-MX"/>
        </w:rPr>
        <w:t xml:space="preserve">en </w:t>
      </w:r>
      <w:r>
        <w:rPr>
          <w:rFonts w:ascii="Verdana" w:hAnsi="Verdana"/>
          <w:sz w:val="20"/>
          <w:szCs w:val="20"/>
          <w:lang w:val="es-MX"/>
        </w:rPr>
        <w:t xml:space="preserve">el </w:t>
      </w:r>
      <w:r w:rsidRPr="00AE736B">
        <w:rPr>
          <w:rFonts w:ascii="Verdana" w:hAnsi="Verdana"/>
          <w:sz w:val="20"/>
          <w:szCs w:val="20"/>
          <w:lang w:val="es-MX"/>
        </w:rPr>
        <w:t>presente caso</w:t>
      </w:r>
      <w:r w:rsidRPr="00AE736B">
        <w:rPr>
          <w:rFonts w:ascii="Verdana" w:hAnsi="Verdana"/>
          <w:i/>
          <w:sz w:val="20"/>
          <w:szCs w:val="20"/>
          <w:lang w:val="es-MX"/>
        </w:rPr>
        <w:t xml:space="preserve"> </w:t>
      </w:r>
      <w:r w:rsidR="00E267C9">
        <w:rPr>
          <w:rFonts w:ascii="Verdana" w:hAnsi="Verdana"/>
          <w:sz w:val="20"/>
          <w:szCs w:val="20"/>
          <w:lang w:val="es-MX"/>
        </w:rPr>
        <w:t>en junio</w:t>
      </w:r>
      <w:r w:rsidRPr="00B4375D">
        <w:rPr>
          <w:rFonts w:ascii="Verdana" w:hAnsi="Verdana"/>
          <w:sz w:val="20"/>
          <w:szCs w:val="20"/>
          <w:lang w:val="es-MX"/>
        </w:rPr>
        <w:t xml:space="preserve"> 2015</w:t>
      </w:r>
      <w:r>
        <w:rPr>
          <w:rFonts w:ascii="Verdana" w:hAnsi="Verdana"/>
          <w:i/>
          <w:sz w:val="20"/>
          <w:szCs w:val="20"/>
          <w:lang w:val="es-MX"/>
        </w:rPr>
        <w:t xml:space="preserve"> </w:t>
      </w:r>
      <w:r w:rsidRPr="00AE736B">
        <w:rPr>
          <w:rFonts w:ascii="Verdana" w:hAnsi="Verdana"/>
          <w:sz w:val="20"/>
          <w:szCs w:val="20"/>
          <w:lang w:val="es-MX"/>
        </w:rPr>
        <w:t>(</w:t>
      </w:r>
      <w:r w:rsidRPr="00AE736B">
        <w:rPr>
          <w:rFonts w:ascii="Verdana" w:hAnsi="Verdana"/>
          <w:i/>
          <w:sz w:val="20"/>
          <w:szCs w:val="20"/>
          <w:lang w:val="es-MX"/>
        </w:rPr>
        <w:t>supra</w:t>
      </w:r>
      <w:r w:rsidRPr="00AE736B">
        <w:rPr>
          <w:rFonts w:ascii="Verdana" w:hAnsi="Verdana"/>
          <w:sz w:val="20"/>
          <w:szCs w:val="20"/>
          <w:lang w:val="es-MX"/>
        </w:rPr>
        <w:t xml:space="preserve"> </w:t>
      </w:r>
      <w:r w:rsidRPr="007332E0">
        <w:rPr>
          <w:rFonts w:ascii="Verdana" w:hAnsi="Verdana"/>
          <w:sz w:val="20"/>
          <w:szCs w:val="20"/>
          <w:lang w:val="es-MX"/>
        </w:rPr>
        <w:t xml:space="preserve">Visto 1). </w:t>
      </w:r>
      <w:bookmarkStart w:id="0" w:name="_Ref434335375"/>
      <w:r w:rsidRPr="007332E0">
        <w:rPr>
          <w:rFonts w:ascii="Verdana" w:hAnsi="Verdana"/>
          <w:sz w:val="20"/>
          <w:szCs w:val="20"/>
          <w:lang w:val="es-MX"/>
        </w:rPr>
        <w:t>En la Sentencia se ordenaron medidas de restitución relacionadas con la concesión de</w:t>
      </w:r>
      <w:r w:rsidR="00110E09" w:rsidRPr="007332E0">
        <w:rPr>
          <w:rFonts w:ascii="Verdana" w:hAnsi="Verdana" w:cs="Arial"/>
          <w:sz w:val="20"/>
          <w:szCs w:val="20"/>
        </w:rPr>
        <w:t xml:space="preserve"> “Radio Caracas Televisión”</w:t>
      </w:r>
      <w:r w:rsidRPr="007332E0">
        <w:rPr>
          <w:rFonts w:ascii="Verdana" w:hAnsi="Verdana"/>
          <w:sz w:val="20"/>
          <w:szCs w:val="20"/>
          <w:lang w:val="es-MX"/>
        </w:rPr>
        <w:t xml:space="preserve"> </w:t>
      </w:r>
      <w:r w:rsidR="00110E09" w:rsidRPr="007332E0">
        <w:rPr>
          <w:rFonts w:ascii="Verdana" w:hAnsi="Verdana"/>
          <w:sz w:val="20"/>
          <w:szCs w:val="20"/>
          <w:lang w:val="es-MX"/>
        </w:rPr>
        <w:t>y</w:t>
      </w:r>
      <w:r w:rsidRPr="007332E0">
        <w:rPr>
          <w:rFonts w:ascii="Verdana" w:hAnsi="Verdana"/>
          <w:sz w:val="20"/>
          <w:szCs w:val="20"/>
          <w:lang w:val="es-MX"/>
        </w:rPr>
        <w:t xml:space="preserve"> la frecuencia del espectro radioeléctrico del canal que utilizaba dicho medio de comunicación</w:t>
      </w:r>
      <w:r w:rsidRPr="007332E0">
        <w:rPr>
          <w:rStyle w:val="Refdenotaalpie"/>
          <w:rFonts w:ascii="Verdana" w:hAnsi="Verdana"/>
          <w:sz w:val="20"/>
          <w:szCs w:val="20"/>
          <w:lang w:val="es-MX"/>
        </w:rPr>
        <w:footnoteReference w:id="7"/>
      </w:r>
      <w:r w:rsidRPr="007332E0">
        <w:rPr>
          <w:rFonts w:ascii="Verdana" w:hAnsi="Verdana"/>
          <w:sz w:val="20"/>
          <w:szCs w:val="20"/>
          <w:lang w:val="es-MX"/>
        </w:rPr>
        <w:t>, medidas de satisfacción relativas a la publicación y difusión de la Sentencia y de su resumen oficial</w:t>
      </w:r>
      <w:r w:rsidRPr="007332E0">
        <w:rPr>
          <w:rStyle w:val="Refdenotaalpie"/>
          <w:rFonts w:ascii="Verdana" w:hAnsi="Verdana"/>
          <w:sz w:val="20"/>
          <w:szCs w:val="20"/>
          <w:lang w:val="es-MX"/>
        </w:rPr>
        <w:footnoteReference w:id="8"/>
      </w:r>
      <w:r w:rsidRPr="007332E0">
        <w:rPr>
          <w:rFonts w:ascii="Verdana" w:hAnsi="Verdana"/>
          <w:sz w:val="20"/>
          <w:szCs w:val="20"/>
          <w:lang w:val="es-MX"/>
        </w:rPr>
        <w:t>, y garantías de no repetición a fin de garantizar que todos los futuros procesos de asignación y renovación de frecuencias de radio y televisión sean conducidos de manera abierta, independiente y transparente</w:t>
      </w:r>
      <w:r w:rsidRPr="007332E0">
        <w:rPr>
          <w:rStyle w:val="Refdenotaalpie"/>
          <w:rFonts w:ascii="Verdana" w:hAnsi="Verdana"/>
          <w:sz w:val="20"/>
          <w:szCs w:val="20"/>
          <w:lang w:val="es-MX"/>
        </w:rPr>
        <w:footnoteReference w:id="9"/>
      </w:r>
      <w:r w:rsidRPr="007332E0">
        <w:rPr>
          <w:rFonts w:ascii="Verdana" w:hAnsi="Verdana"/>
          <w:sz w:val="20"/>
          <w:szCs w:val="20"/>
          <w:lang w:val="es-MX"/>
        </w:rPr>
        <w:t>. También se ordenó al Estado el pago de las cantidades establecidas en la Sentencia por concepto de indemnizaciones por daño material e inmaterial y por reintegro de costas y gastos</w:t>
      </w:r>
      <w:r w:rsidRPr="007332E0">
        <w:rPr>
          <w:rStyle w:val="Refdenotaalpie"/>
          <w:rFonts w:ascii="Verdana" w:hAnsi="Verdana"/>
          <w:sz w:val="20"/>
          <w:szCs w:val="20"/>
          <w:lang w:val="es-MX"/>
        </w:rPr>
        <w:footnoteReference w:id="10"/>
      </w:r>
      <w:r w:rsidRPr="007332E0">
        <w:rPr>
          <w:rFonts w:ascii="Verdana" w:hAnsi="Verdana"/>
          <w:sz w:val="20"/>
          <w:szCs w:val="20"/>
          <w:lang w:val="es-MX"/>
        </w:rPr>
        <w:t>.</w:t>
      </w:r>
      <w:r w:rsidRPr="00AE736B">
        <w:rPr>
          <w:rFonts w:ascii="Verdana" w:hAnsi="Verdana"/>
          <w:sz w:val="20"/>
          <w:szCs w:val="20"/>
          <w:lang w:val="es-MX"/>
        </w:rPr>
        <w:t xml:space="preserve"> Además, se dispuso que Venezuela debía rendir a este Tribunal un informe sobre el cumplimiento de las mencionadas medidas de reparación, dentro del plazo de un año, contado a partir de la notificación de la Sentencia</w:t>
      </w:r>
      <w:r w:rsidRPr="00AE736B">
        <w:rPr>
          <w:rStyle w:val="Refdenotaalpie"/>
          <w:rFonts w:ascii="Verdana" w:hAnsi="Verdana"/>
          <w:sz w:val="20"/>
          <w:szCs w:val="20"/>
          <w:lang w:val="es-MX"/>
        </w:rPr>
        <w:footnoteReference w:id="11"/>
      </w:r>
      <w:r w:rsidRPr="00AE736B">
        <w:rPr>
          <w:rFonts w:ascii="Verdana" w:hAnsi="Verdana"/>
          <w:sz w:val="20"/>
          <w:szCs w:val="20"/>
          <w:lang w:val="es-MX"/>
        </w:rPr>
        <w:t>.</w:t>
      </w:r>
      <w:r w:rsidR="00DA4CF1">
        <w:rPr>
          <w:rFonts w:ascii="Verdana" w:hAnsi="Verdana"/>
          <w:sz w:val="20"/>
          <w:szCs w:val="20"/>
          <w:lang w:val="es-MX"/>
        </w:rPr>
        <w:t xml:space="preserve"> </w:t>
      </w:r>
    </w:p>
    <w:p w14:paraId="1C131B69" w14:textId="53505A9D" w:rsidR="009F2CD5" w:rsidRPr="00E267C9" w:rsidRDefault="00DA4CF1" w:rsidP="0097483A">
      <w:pPr>
        <w:pStyle w:val="Prrafodelista"/>
        <w:numPr>
          <w:ilvl w:val="0"/>
          <w:numId w:val="2"/>
        </w:numPr>
        <w:suppressLineNumbers/>
        <w:spacing w:before="120" w:after="240" w:line="240" w:lineRule="auto"/>
        <w:ind w:left="0" w:firstLine="0"/>
        <w:contextualSpacing w:val="0"/>
        <w:jc w:val="both"/>
        <w:rPr>
          <w:rFonts w:ascii="Verdana" w:hAnsi="Verdana"/>
          <w:sz w:val="20"/>
          <w:szCs w:val="20"/>
        </w:rPr>
      </w:pPr>
      <w:r>
        <w:rPr>
          <w:rFonts w:ascii="Verdana" w:hAnsi="Verdana"/>
          <w:sz w:val="20"/>
          <w:szCs w:val="20"/>
          <w:lang w:val="es-MX"/>
        </w:rPr>
        <w:lastRenderedPageBreak/>
        <w:t xml:space="preserve">Venezuela no presentó el informe requerido </w:t>
      </w:r>
      <w:r w:rsidR="002524A6">
        <w:rPr>
          <w:rFonts w:ascii="Verdana" w:hAnsi="Verdana"/>
          <w:sz w:val="20"/>
          <w:szCs w:val="20"/>
          <w:lang w:val="es-MX"/>
        </w:rPr>
        <w:t xml:space="preserve">en la Sentencia </w:t>
      </w:r>
      <w:r w:rsidR="00FA4D14">
        <w:rPr>
          <w:rFonts w:ascii="Verdana" w:hAnsi="Verdana"/>
          <w:sz w:val="20"/>
          <w:szCs w:val="20"/>
          <w:lang w:val="es-MX"/>
        </w:rPr>
        <w:t xml:space="preserve">de 2015 </w:t>
      </w:r>
      <w:r>
        <w:rPr>
          <w:rFonts w:ascii="Verdana" w:hAnsi="Verdana"/>
          <w:sz w:val="20"/>
          <w:szCs w:val="20"/>
          <w:lang w:val="es-MX"/>
        </w:rPr>
        <w:t>sobre</w:t>
      </w:r>
      <w:r w:rsidR="002524A6">
        <w:rPr>
          <w:rFonts w:ascii="Verdana" w:hAnsi="Verdana"/>
          <w:sz w:val="20"/>
          <w:szCs w:val="20"/>
          <w:lang w:val="es-MX"/>
        </w:rPr>
        <w:t xml:space="preserve"> el cumplimiento de las referidas reparaciones, cuyo plazo de presentación venció hace cuatro años y dos meses</w:t>
      </w:r>
      <w:r>
        <w:rPr>
          <w:rFonts w:ascii="Verdana" w:hAnsi="Verdana"/>
          <w:sz w:val="20"/>
          <w:szCs w:val="20"/>
          <w:lang w:val="es-MX"/>
        </w:rPr>
        <w:t>.</w:t>
      </w:r>
      <w:r w:rsidR="002524A6">
        <w:rPr>
          <w:rFonts w:ascii="Verdana" w:hAnsi="Verdana"/>
          <w:sz w:val="20"/>
          <w:szCs w:val="20"/>
          <w:lang w:val="es-MX"/>
        </w:rPr>
        <w:t xml:space="preserve"> A pesar de los múltiples requerimientos realizados por la Presidencia del Tribunal (</w:t>
      </w:r>
      <w:r w:rsidR="002524A6" w:rsidRPr="002524A6">
        <w:rPr>
          <w:rFonts w:ascii="Verdana" w:hAnsi="Verdana"/>
          <w:i/>
          <w:sz w:val="20"/>
          <w:szCs w:val="20"/>
          <w:lang w:val="es-MX"/>
        </w:rPr>
        <w:t>supra</w:t>
      </w:r>
      <w:r w:rsidR="002524A6">
        <w:rPr>
          <w:rFonts w:ascii="Verdana" w:hAnsi="Verdana"/>
          <w:sz w:val="20"/>
          <w:szCs w:val="20"/>
          <w:lang w:val="es-MX"/>
        </w:rPr>
        <w:t xml:space="preserve"> Vistos 3, 7, 8 y 9), el Estado no ha remitido escrito alguno en la etapa de </w:t>
      </w:r>
      <w:r w:rsidR="00FA4D14">
        <w:rPr>
          <w:rFonts w:ascii="Verdana" w:hAnsi="Verdana"/>
          <w:sz w:val="20"/>
          <w:szCs w:val="20"/>
          <w:lang w:val="es-MX"/>
        </w:rPr>
        <w:t xml:space="preserve">supervisión de </w:t>
      </w:r>
      <w:r w:rsidR="002524A6">
        <w:rPr>
          <w:rFonts w:ascii="Verdana" w:hAnsi="Verdana"/>
          <w:sz w:val="20"/>
          <w:szCs w:val="20"/>
          <w:lang w:val="es-MX"/>
        </w:rPr>
        <w:t xml:space="preserve">cumplimiento de sentencia. </w:t>
      </w:r>
      <w:r w:rsidR="00E267C9">
        <w:rPr>
          <w:rFonts w:ascii="Verdana" w:hAnsi="Verdana"/>
          <w:sz w:val="20"/>
          <w:szCs w:val="20"/>
          <w:lang w:val="es-MX"/>
        </w:rPr>
        <w:t xml:space="preserve">Aunado a ello, tanto los representantes de las víctimas como la Presidenta de la </w:t>
      </w:r>
      <w:r w:rsidR="009F2CD5" w:rsidRPr="00E267C9">
        <w:rPr>
          <w:rFonts w:ascii="Verdana" w:hAnsi="Verdana"/>
          <w:sz w:val="20"/>
          <w:szCs w:val="20"/>
        </w:rPr>
        <w:t xml:space="preserve">Sala Constitucional del Tribunal Supremo de Justicia de Venezuela </w:t>
      </w:r>
      <w:r w:rsidR="00E267C9">
        <w:rPr>
          <w:rFonts w:ascii="Verdana" w:hAnsi="Verdana"/>
          <w:sz w:val="20"/>
          <w:szCs w:val="20"/>
        </w:rPr>
        <w:t>comunicaron a este tribunal internacional sobre la decisión emitida por ese tribunal interno en septiembre de 2015</w:t>
      </w:r>
      <w:r w:rsidR="009F2CD5" w:rsidRPr="00E267C9">
        <w:rPr>
          <w:rFonts w:ascii="Verdana" w:hAnsi="Verdana"/>
          <w:sz w:val="20"/>
          <w:szCs w:val="20"/>
        </w:rPr>
        <w:t xml:space="preserve">, por medio de la cual se </w:t>
      </w:r>
      <w:r w:rsidR="009F2CD5" w:rsidRPr="00E267C9">
        <w:rPr>
          <w:rFonts w:ascii="Verdana" w:hAnsi="Verdana" w:cs="Arial"/>
          <w:sz w:val="20"/>
          <w:szCs w:val="20"/>
          <w:lang w:val="es-MX"/>
        </w:rPr>
        <w:t xml:space="preserve">declaró “inejecutable” la Sentencia emitida por la Corte Interamericana en el presente caso. </w:t>
      </w:r>
      <w:r w:rsidR="00E267C9">
        <w:rPr>
          <w:rFonts w:ascii="Verdana" w:hAnsi="Verdana" w:cs="Arial"/>
          <w:sz w:val="20"/>
          <w:szCs w:val="20"/>
          <w:lang w:val="es-MX"/>
        </w:rPr>
        <w:t xml:space="preserve">Ante ello, el Agente del Estado en el presente </w:t>
      </w:r>
      <w:r w:rsidR="00FA4D14">
        <w:rPr>
          <w:rFonts w:ascii="Verdana" w:hAnsi="Verdana" w:cs="Arial"/>
          <w:sz w:val="20"/>
          <w:szCs w:val="20"/>
          <w:lang w:val="es-MX"/>
        </w:rPr>
        <w:t>proceso internacional</w:t>
      </w:r>
      <w:r w:rsidR="00E267C9">
        <w:rPr>
          <w:rFonts w:ascii="Verdana" w:hAnsi="Verdana" w:cs="Arial"/>
          <w:sz w:val="20"/>
          <w:szCs w:val="20"/>
          <w:lang w:val="es-MX"/>
        </w:rPr>
        <w:t xml:space="preserve"> no ha remitido comunicación u observación alguna, a pesar de los requerimientos efectuados (</w:t>
      </w:r>
      <w:r w:rsidR="00E267C9" w:rsidRPr="00E267C9">
        <w:rPr>
          <w:rFonts w:ascii="Verdana" w:hAnsi="Verdana" w:cs="Arial"/>
          <w:i/>
          <w:sz w:val="20"/>
          <w:szCs w:val="20"/>
          <w:lang w:val="es-MX"/>
        </w:rPr>
        <w:t>supra</w:t>
      </w:r>
      <w:r w:rsidR="00E267C9">
        <w:rPr>
          <w:rFonts w:ascii="Verdana" w:hAnsi="Verdana" w:cs="Arial"/>
          <w:sz w:val="20"/>
          <w:szCs w:val="20"/>
          <w:lang w:val="es-MX"/>
        </w:rPr>
        <w:t xml:space="preserve"> Vistos 3 y 9). </w:t>
      </w:r>
    </w:p>
    <w:p w14:paraId="10E57969" w14:textId="77777777" w:rsidR="00487F21" w:rsidRPr="003C2AB0" w:rsidRDefault="00487F21" w:rsidP="0097483A">
      <w:pPr>
        <w:pStyle w:val="Prrafodelista"/>
        <w:suppressLineNumbers/>
        <w:spacing w:before="120" w:after="240" w:line="240" w:lineRule="auto"/>
        <w:ind w:left="0"/>
        <w:jc w:val="both"/>
        <w:rPr>
          <w:rFonts w:ascii="Verdana" w:hAnsi="Verdana"/>
          <w:sz w:val="20"/>
          <w:szCs w:val="20"/>
        </w:rPr>
      </w:pPr>
    </w:p>
    <w:p w14:paraId="73B82B5D" w14:textId="39FCF1C2" w:rsidR="008C532C" w:rsidRPr="00723726" w:rsidRDefault="00E267C9" w:rsidP="0097483A">
      <w:pPr>
        <w:pStyle w:val="Prrafodelista"/>
        <w:numPr>
          <w:ilvl w:val="0"/>
          <w:numId w:val="2"/>
        </w:numPr>
        <w:suppressLineNumbers/>
        <w:autoSpaceDE w:val="0"/>
        <w:autoSpaceDN w:val="0"/>
        <w:adjustRightInd w:val="0"/>
        <w:spacing w:before="120" w:after="240" w:line="240" w:lineRule="auto"/>
        <w:ind w:left="0" w:firstLine="0"/>
        <w:jc w:val="both"/>
        <w:rPr>
          <w:rFonts w:ascii="Verdana" w:hAnsi="Verdana"/>
          <w:sz w:val="20"/>
          <w:szCs w:val="20"/>
        </w:rPr>
      </w:pPr>
      <w:r w:rsidRPr="008C532C">
        <w:rPr>
          <w:rFonts w:ascii="Verdana" w:hAnsi="Verdana" w:cs="Arial"/>
          <w:sz w:val="20"/>
          <w:szCs w:val="20"/>
        </w:rPr>
        <w:t>El Estado</w:t>
      </w:r>
      <w:r w:rsidR="001F795A" w:rsidRPr="008C532C">
        <w:rPr>
          <w:rFonts w:ascii="Verdana" w:hAnsi="Verdana" w:cs="Arial"/>
          <w:sz w:val="20"/>
          <w:szCs w:val="20"/>
        </w:rPr>
        <w:t xml:space="preserve">, con su silencio, no ha contradicho lo sostenido por </w:t>
      </w:r>
      <w:r w:rsidRPr="008C532C">
        <w:rPr>
          <w:rFonts w:ascii="Verdana" w:hAnsi="Verdana" w:cs="Arial"/>
          <w:sz w:val="20"/>
          <w:szCs w:val="20"/>
        </w:rPr>
        <w:t xml:space="preserve">los representantes de las víctimas y la Comisión Interamericana </w:t>
      </w:r>
      <w:r w:rsidR="001F795A" w:rsidRPr="008C532C">
        <w:rPr>
          <w:rFonts w:ascii="Verdana" w:hAnsi="Verdana" w:cs="Arial"/>
          <w:sz w:val="20"/>
          <w:szCs w:val="20"/>
        </w:rPr>
        <w:t>respecto a</w:t>
      </w:r>
      <w:r w:rsidR="00D967EE" w:rsidRPr="008C532C">
        <w:rPr>
          <w:rFonts w:ascii="Verdana" w:hAnsi="Verdana" w:cs="Arial"/>
          <w:sz w:val="20"/>
          <w:szCs w:val="20"/>
        </w:rPr>
        <w:t>l incumplimiento y desacato de la Sentencia generado por la mencionada decisión judicial interna. L</w:t>
      </w:r>
      <w:r w:rsidR="00487F21" w:rsidRPr="008C532C">
        <w:rPr>
          <w:rFonts w:ascii="Verdana" w:hAnsi="Verdana" w:cs="Arial"/>
          <w:sz w:val="20"/>
          <w:szCs w:val="20"/>
        </w:rPr>
        <w:t xml:space="preserve">os representantes de las víctimas </w:t>
      </w:r>
      <w:r w:rsidR="00487F21" w:rsidRPr="008C532C">
        <w:rPr>
          <w:rFonts w:ascii="Verdana" w:hAnsi="Verdana"/>
          <w:sz w:val="20"/>
          <w:szCs w:val="20"/>
        </w:rPr>
        <w:t xml:space="preserve">alegaron que “[e]l cumplimiento de </w:t>
      </w:r>
      <w:proofErr w:type="gramStart"/>
      <w:r w:rsidR="00487F21" w:rsidRPr="008C532C">
        <w:rPr>
          <w:rFonts w:ascii="Verdana" w:hAnsi="Verdana"/>
          <w:sz w:val="20"/>
          <w:szCs w:val="20"/>
        </w:rPr>
        <w:t>la[</w:t>
      </w:r>
      <w:proofErr w:type="gramEnd"/>
      <w:r w:rsidR="00487F21" w:rsidRPr="008C532C">
        <w:rPr>
          <w:rFonts w:ascii="Verdana" w:hAnsi="Verdana"/>
          <w:sz w:val="20"/>
          <w:szCs w:val="20"/>
        </w:rPr>
        <w:t>s reparaciones ordenadas en la] Sentencia de la Corte Interamericana en el presente caso se hace, en la práctica, imposible por los demás órganos del Estado debido a que la Sala Constitucional […] la ha declarado inejecutable”. Según los representantes, ello “hace inviable que cualquier autoridad adopte medidas para la ejecución de la misma” ya que al contravenir lo dispuesto por dicha Sala las autoridades se expondrían a sa</w:t>
      </w:r>
      <w:r w:rsidR="00846208" w:rsidRPr="008C532C">
        <w:rPr>
          <w:rFonts w:ascii="Verdana" w:hAnsi="Verdana"/>
          <w:sz w:val="20"/>
          <w:szCs w:val="20"/>
        </w:rPr>
        <w:t>nciones penales a nivel interno</w:t>
      </w:r>
      <w:r w:rsidR="00487F21" w:rsidRPr="008C532C">
        <w:rPr>
          <w:rFonts w:ascii="Verdana" w:hAnsi="Verdana" w:cs="Arial"/>
          <w:sz w:val="16"/>
          <w:szCs w:val="16"/>
          <w:lang w:val="es-MX"/>
        </w:rPr>
        <w:t>.</w:t>
      </w:r>
      <w:r w:rsidR="00D967EE" w:rsidRPr="008C532C">
        <w:rPr>
          <w:rFonts w:ascii="Verdana" w:hAnsi="Verdana" w:cs="Arial"/>
          <w:sz w:val="20"/>
          <w:szCs w:val="20"/>
          <w:lang w:val="es-MX"/>
        </w:rPr>
        <w:t xml:space="preserve"> Solicitaron a la Corte que</w:t>
      </w:r>
      <w:r w:rsidR="00487F21" w:rsidRPr="008C532C">
        <w:rPr>
          <w:rFonts w:ascii="Verdana" w:hAnsi="Verdana" w:cs="Arial"/>
          <w:sz w:val="20"/>
          <w:szCs w:val="20"/>
          <w:lang w:val="es-MX"/>
        </w:rPr>
        <w:t xml:space="preserve"> declare que Venezuela “ha incurrido en un incumplimiento sustancial a lo ordenado en la Sentencia” y </w:t>
      </w:r>
      <w:r w:rsidR="00FA4D14" w:rsidRPr="008C532C">
        <w:rPr>
          <w:rFonts w:ascii="Verdana" w:hAnsi="Verdana" w:cs="Arial"/>
          <w:sz w:val="20"/>
          <w:szCs w:val="20"/>
          <w:lang w:val="es-MX"/>
        </w:rPr>
        <w:t xml:space="preserve">que </w:t>
      </w:r>
      <w:r w:rsidR="00487F21" w:rsidRPr="008C532C">
        <w:rPr>
          <w:rFonts w:ascii="Verdana" w:hAnsi="Verdana" w:cs="Arial"/>
          <w:sz w:val="20"/>
          <w:szCs w:val="20"/>
          <w:lang w:val="es-MX"/>
        </w:rPr>
        <w:t>“aplique el artículo 65 de la Convención”</w:t>
      </w:r>
      <w:r w:rsidR="00487F21" w:rsidRPr="008C532C">
        <w:rPr>
          <w:rStyle w:val="Refdenotaalpie"/>
          <w:rFonts w:ascii="Verdana" w:hAnsi="Verdana" w:cs="Arial"/>
          <w:sz w:val="20"/>
          <w:szCs w:val="20"/>
          <w:lang w:val="es-MX"/>
        </w:rPr>
        <w:t xml:space="preserve"> </w:t>
      </w:r>
      <w:r w:rsidR="00487F21">
        <w:rPr>
          <w:rStyle w:val="Refdenotaalpie"/>
          <w:rFonts w:ascii="Verdana" w:hAnsi="Verdana" w:cs="Arial"/>
          <w:sz w:val="20"/>
          <w:szCs w:val="20"/>
          <w:lang w:val="es-MX"/>
        </w:rPr>
        <w:footnoteReference w:id="12"/>
      </w:r>
      <w:r w:rsidR="00487F21" w:rsidRPr="008C532C">
        <w:rPr>
          <w:rFonts w:ascii="Verdana" w:hAnsi="Verdana" w:cs="Arial"/>
          <w:sz w:val="20"/>
          <w:szCs w:val="20"/>
          <w:lang w:val="es-MX"/>
        </w:rPr>
        <w:t xml:space="preserve">. </w:t>
      </w:r>
      <w:r w:rsidR="00487F21" w:rsidRPr="008C532C">
        <w:rPr>
          <w:rFonts w:ascii="Verdana" w:hAnsi="Verdana"/>
          <w:sz w:val="20"/>
          <w:szCs w:val="20"/>
          <w:lang w:val="es-MX"/>
        </w:rPr>
        <w:t xml:space="preserve"> </w:t>
      </w:r>
      <w:r w:rsidR="008C532C" w:rsidRPr="00723726">
        <w:rPr>
          <w:rFonts w:ascii="Verdana" w:hAnsi="Verdana"/>
          <w:sz w:val="20"/>
          <w:szCs w:val="20"/>
        </w:rPr>
        <w:t>Por su parte, la Comisión sostuvo que la decisión de la Sala Constitucional de Venezuela “</w:t>
      </w:r>
      <w:r w:rsidR="008C532C" w:rsidRPr="00723726">
        <w:rPr>
          <w:rFonts w:ascii="Verdana" w:eastAsiaTheme="minorHAnsi" w:hAnsi="Verdana" w:cs="Arial"/>
          <w:color w:val="191919"/>
          <w:sz w:val="20"/>
          <w:szCs w:val="20"/>
          <w:lang w:eastAsia="en-US"/>
        </w:rPr>
        <w:t xml:space="preserve">constituye un acto de evidente desacato de la obligatoriedad de </w:t>
      </w:r>
      <w:r w:rsidR="008C532C" w:rsidRPr="00723726">
        <w:rPr>
          <w:rFonts w:ascii="Verdana" w:eastAsiaTheme="minorHAnsi" w:hAnsi="Verdana" w:cs="Arial"/>
          <w:color w:val="060606"/>
          <w:sz w:val="20"/>
          <w:szCs w:val="20"/>
          <w:lang w:eastAsia="en-US"/>
        </w:rPr>
        <w:t xml:space="preserve">la </w:t>
      </w:r>
      <w:r w:rsidR="008C532C" w:rsidRPr="00723726">
        <w:rPr>
          <w:rFonts w:ascii="Verdana" w:eastAsiaTheme="minorHAnsi" w:hAnsi="Verdana" w:cs="Arial"/>
          <w:color w:val="191919"/>
          <w:sz w:val="20"/>
          <w:szCs w:val="20"/>
          <w:lang w:eastAsia="en-US"/>
        </w:rPr>
        <w:t xml:space="preserve">Sentencia dictada por </w:t>
      </w:r>
      <w:r w:rsidR="008C532C" w:rsidRPr="00723726">
        <w:rPr>
          <w:rFonts w:ascii="Verdana" w:eastAsiaTheme="minorHAnsi" w:hAnsi="Verdana" w:cs="Arial"/>
          <w:color w:val="060606"/>
          <w:sz w:val="20"/>
          <w:szCs w:val="20"/>
          <w:lang w:eastAsia="en-US"/>
        </w:rPr>
        <w:t xml:space="preserve">la </w:t>
      </w:r>
      <w:r w:rsidR="008C532C" w:rsidRPr="00723726">
        <w:rPr>
          <w:rFonts w:ascii="Verdana" w:eastAsiaTheme="minorHAnsi" w:hAnsi="Verdana" w:cs="Arial"/>
          <w:color w:val="191919"/>
          <w:sz w:val="20"/>
          <w:szCs w:val="20"/>
          <w:lang w:eastAsia="en-US"/>
        </w:rPr>
        <w:t xml:space="preserve">Corte </w:t>
      </w:r>
      <w:proofErr w:type="spellStart"/>
      <w:r w:rsidR="008C532C" w:rsidRPr="00723726">
        <w:rPr>
          <w:rFonts w:ascii="Verdana" w:eastAsiaTheme="minorHAnsi" w:hAnsi="Verdana" w:cs="Arial"/>
          <w:color w:val="060606"/>
          <w:sz w:val="20"/>
          <w:szCs w:val="20"/>
          <w:lang w:eastAsia="en-US"/>
        </w:rPr>
        <w:t>lnteramericana</w:t>
      </w:r>
      <w:proofErr w:type="spellEnd"/>
      <w:r w:rsidR="008C532C" w:rsidRPr="00723726">
        <w:rPr>
          <w:rFonts w:ascii="Verdana" w:eastAsiaTheme="minorHAnsi" w:hAnsi="Verdana" w:cs="Arial"/>
          <w:color w:val="373737"/>
          <w:sz w:val="20"/>
          <w:szCs w:val="20"/>
          <w:lang w:eastAsia="en-US"/>
        </w:rPr>
        <w:t xml:space="preserve">, </w:t>
      </w:r>
      <w:r w:rsidR="008C532C" w:rsidRPr="00723726">
        <w:rPr>
          <w:rFonts w:ascii="Verdana" w:eastAsiaTheme="minorHAnsi" w:hAnsi="Verdana" w:cs="Arial"/>
          <w:color w:val="191919"/>
          <w:sz w:val="20"/>
          <w:szCs w:val="20"/>
          <w:lang w:eastAsia="en-US"/>
        </w:rPr>
        <w:t xml:space="preserve">contrario al principio </w:t>
      </w:r>
      <w:r w:rsidR="008C532C" w:rsidRPr="00723726">
        <w:rPr>
          <w:rFonts w:ascii="Verdana" w:eastAsiaTheme="minorHAnsi" w:hAnsi="Verdana" w:cs="Arial"/>
          <w:color w:val="060606"/>
          <w:sz w:val="20"/>
          <w:szCs w:val="20"/>
          <w:lang w:eastAsia="en-US"/>
        </w:rPr>
        <w:t xml:space="preserve">internacional </w:t>
      </w:r>
      <w:r w:rsidR="008C532C" w:rsidRPr="00723726">
        <w:rPr>
          <w:rFonts w:ascii="Verdana" w:eastAsiaTheme="minorHAnsi" w:hAnsi="Verdana" w:cs="Arial"/>
          <w:color w:val="191919"/>
          <w:sz w:val="20"/>
          <w:szCs w:val="20"/>
          <w:lang w:eastAsia="en-US"/>
        </w:rPr>
        <w:t>de acatar las obligaciones de buena fe”</w:t>
      </w:r>
      <w:r w:rsidR="008C532C" w:rsidRPr="00723726">
        <w:rPr>
          <w:rFonts w:ascii="Verdana" w:eastAsiaTheme="minorHAnsi" w:hAnsi="Verdana" w:cs="Arial"/>
          <w:color w:val="515151"/>
          <w:sz w:val="20"/>
          <w:szCs w:val="20"/>
          <w:lang w:eastAsia="en-US"/>
        </w:rPr>
        <w:t>.</w:t>
      </w:r>
    </w:p>
    <w:p w14:paraId="65AD64C1" w14:textId="02EEA923" w:rsidR="00451325" w:rsidRDefault="00451325" w:rsidP="0097483A">
      <w:pPr>
        <w:pStyle w:val="Prrafodelista"/>
        <w:suppressLineNumbers/>
        <w:spacing w:before="120" w:after="240" w:line="240" w:lineRule="auto"/>
        <w:ind w:left="0"/>
        <w:jc w:val="both"/>
        <w:rPr>
          <w:rFonts w:ascii="Verdana" w:hAnsi="Verdana"/>
          <w:sz w:val="20"/>
          <w:szCs w:val="20"/>
        </w:rPr>
      </w:pPr>
    </w:p>
    <w:p w14:paraId="47FF3E11" w14:textId="77777777" w:rsidR="00451325" w:rsidRDefault="00451325" w:rsidP="0097483A">
      <w:pPr>
        <w:pStyle w:val="Prrafodelista"/>
        <w:numPr>
          <w:ilvl w:val="0"/>
          <w:numId w:val="2"/>
        </w:numPr>
        <w:suppressLineNumbers/>
        <w:spacing w:before="120" w:after="240" w:line="240" w:lineRule="auto"/>
        <w:ind w:left="0" w:firstLine="0"/>
        <w:jc w:val="both"/>
        <w:rPr>
          <w:rFonts w:ascii="Verdana" w:hAnsi="Verdana"/>
          <w:sz w:val="20"/>
          <w:szCs w:val="20"/>
        </w:rPr>
      </w:pPr>
      <w:r>
        <w:rPr>
          <w:rFonts w:ascii="Verdana" w:hAnsi="Verdana"/>
          <w:sz w:val="20"/>
        </w:rPr>
        <w:t>Este Tribunal ha resaltado que la obligación de cumplir lo dispuesto en sus decisiones corresponde a un principio básico del derecho de los tratados y, en general del Derecho Internacional, sobre la responsabilidad internacional del Estado, respaldado por la jurisprudencia internacional, según el cual los Estados deben cumplir sus obligaciones convencionales internacionales de buena fe (</w:t>
      </w:r>
      <w:r>
        <w:rPr>
          <w:rFonts w:ascii="Verdana" w:hAnsi="Verdana"/>
          <w:i/>
          <w:sz w:val="20"/>
        </w:rPr>
        <w:t xml:space="preserve">pacta sunt </w:t>
      </w:r>
      <w:proofErr w:type="spellStart"/>
      <w:r>
        <w:rPr>
          <w:rFonts w:ascii="Verdana" w:hAnsi="Verdana"/>
          <w:i/>
          <w:sz w:val="20"/>
        </w:rPr>
        <w:t>servanda</w:t>
      </w:r>
      <w:proofErr w:type="spellEnd"/>
      <w:r>
        <w:rPr>
          <w:rFonts w:ascii="Verdana" w:hAnsi="Verdana"/>
          <w:sz w:val="20"/>
        </w:rPr>
        <w:t>) y no pueden por razones de orden interno dejar de asumir la responsabilidad internacional ya establecida</w:t>
      </w:r>
      <w:r>
        <w:rPr>
          <w:rStyle w:val="Refdenotaalpie"/>
          <w:rFonts w:ascii="Verdana" w:hAnsi="Verdana"/>
          <w:sz w:val="20"/>
        </w:rPr>
        <w:footnoteReference w:id="13"/>
      </w:r>
      <w:r>
        <w:rPr>
          <w:rFonts w:ascii="Verdana" w:hAnsi="Verdana"/>
          <w:sz w:val="20"/>
        </w:rPr>
        <w:t xml:space="preserve">. </w:t>
      </w:r>
    </w:p>
    <w:p w14:paraId="7AF82E6B" w14:textId="4209EBF8" w:rsidR="00451325" w:rsidRPr="00451325" w:rsidRDefault="00451325" w:rsidP="0097483A">
      <w:pPr>
        <w:pStyle w:val="Prrafodelista"/>
        <w:suppressLineNumbers/>
        <w:spacing w:before="120" w:after="240" w:line="240" w:lineRule="auto"/>
        <w:ind w:left="0"/>
        <w:rPr>
          <w:rFonts w:ascii="Verdana" w:hAnsi="Verdana"/>
          <w:sz w:val="20"/>
          <w:szCs w:val="20"/>
        </w:rPr>
      </w:pPr>
      <w:bookmarkStart w:id="1" w:name="_Ref4599711"/>
    </w:p>
    <w:p w14:paraId="143A5F1A" w14:textId="43662BA0" w:rsidR="00451325" w:rsidRPr="00451325" w:rsidRDefault="00451325" w:rsidP="0097483A">
      <w:pPr>
        <w:pStyle w:val="Prrafodelista"/>
        <w:numPr>
          <w:ilvl w:val="0"/>
          <w:numId w:val="2"/>
        </w:numPr>
        <w:suppressLineNumbers/>
        <w:spacing w:before="120" w:after="240" w:line="240" w:lineRule="auto"/>
        <w:ind w:left="0" w:firstLine="0"/>
        <w:jc w:val="both"/>
        <w:rPr>
          <w:rFonts w:ascii="Verdana" w:hAnsi="Verdana"/>
          <w:sz w:val="20"/>
          <w:szCs w:val="20"/>
        </w:rPr>
      </w:pPr>
      <w:r>
        <w:rPr>
          <w:rFonts w:ascii="Verdana" w:hAnsi="Verdana"/>
          <w:sz w:val="20"/>
          <w:szCs w:val="20"/>
        </w:rPr>
        <w:t xml:space="preserve">En el Sistema Interamericano de Protección de los Derechos Humanos, el artículo 68.1 de la Convención Americana establece la obligación de los Estados Partes de cumplir las decisiones de la Corte Interamericana. Al respecto, dicha norma dispone que: “[l]os Estados Partes en la Convención se comprometen a cumplir la decisión de la Corte en </w:t>
      </w:r>
      <w:r>
        <w:rPr>
          <w:rFonts w:ascii="Verdana" w:hAnsi="Verdana"/>
          <w:sz w:val="20"/>
          <w:szCs w:val="20"/>
        </w:rPr>
        <w:lastRenderedPageBreak/>
        <w:t>todo caso en que sean partes”. Esta obligación incluye el deber del Estado de informar sobre las medidas adoptadas para cumplir cada uno de los puntos ordenados por el Tribunal, lo cual es fundamental para evaluar el estado de cumplimiento de la Sentencia en su conjunto</w:t>
      </w:r>
      <w:r>
        <w:rPr>
          <w:rStyle w:val="Refdenotaalpie"/>
          <w:rFonts w:ascii="Verdana" w:hAnsi="Verdana"/>
          <w:sz w:val="20"/>
          <w:szCs w:val="20"/>
        </w:rPr>
        <w:footnoteReference w:id="14"/>
      </w:r>
      <w:r>
        <w:rPr>
          <w:rFonts w:ascii="Verdana" w:hAnsi="Verdana"/>
          <w:sz w:val="20"/>
          <w:szCs w:val="20"/>
        </w:rPr>
        <w:t xml:space="preserve">. </w:t>
      </w:r>
      <w:r>
        <w:rPr>
          <w:rFonts w:ascii="Verdana" w:eastAsia="Times New Roman" w:hAnsi="Verdana"/>
          <w:sz w:val="20"/>
          <w:szCs w:val="20"/>
          <w:shd w:val="clear" w:color="auto" w:fill="FFFFFF"/>
        </w:rPr>
        <w:t>Al efecto, cabe tener presente, además, que, según el artículo 67 de la Convención Americana, “[e]</w:t>
      </w:r>
      <w:r>
        <w:rPr>
          <w:rFonts w:ascii="Verdana" w:eastAsia="Calibri" w:hAnsi="Verdana" w:cs="Tahoma"/>
          <w:sz w:val="20"/>
          <w:szCs w:val="20"/>
          <w:lang w:val="es-CL"/>
        </w:rPr>
        <w:t xml:space="preserve">l fallo de la Corte será definitivo e inapelable”, de manera que, </w:t>
      </w:r>
      <w:r>
        <w:rPr>
          <w:rFonts w:ascii="Verdana" w:eastAsia="Times New Roman" w:hAnsi="Verdana"/>
          <w:sz w:val="20"/>
          <w:szCs w:val="20"/>
          <w:shd w:val="clear" w:color="auto" w:fill="FFFFFF"/>
        </w:rPr>
        <w:t>una</w:t>
      </w:r>
      <w:r>
        <w:rPr>
          <w:rFonts w:ascii="Verdana" w:eastAsia="Times New Roman" w:hAnsi="Verdana"/>
          <w:sz w:val="20"/>
          <w:szCs w:val="20"/>
          <w:lang w:val="es-CO"/>
        </w:rPr>
        <w:t xml:space="preserve"> vez que este Tribunal dicta sentencia, ella produce los efectos de cosa juzgada</w:t>
      </w:r>
      <w:r>
        <w:rPr>
          <w:rFonts w:ascii="Verdana" w:eastAsia="Times New Roman" w:hAnsi="Verdana"/>
          <w:sz w:val="20"/>
          <w:szCs w:val="20"/>
        </w:rPr>
        <w:t xml:space="preserve"> internacional y</w:t>
      </w:r>
      <w:r>
        <w:rPr>
          <w:rFonts w:ascii="Verdana" w:eastAsia="Times New Roman" w:hAnsi="Verdana"/>
          <w:sz w:val="20"/>
          <w:szCs w:val="20"/>
          <w:shd w:val="clear" w:color="auto" w:fill="FFFFFF"/>
        </w:rPr>
        <w:t xml:space="preserve"> debe ser prontamente cumplida por el Estado en forma íntegra</w:t>
      </w:r>
      <w:r>
        <w:rPr>
          <w:rStyle w:val="Refdenotaalpie"/>
          <w:rFonts w:ascii="Verdana" w:eastAsia="Times New Roman" w:hAnsi="Verdana"/>
          <w:sz w:val="20"/>
          <w:szCs w:val="20"/>
          <w:shd w:val="clear" w:color="auto" w:fill="FFFFFF"/>
        </w:rPr>
        <w:footnoteReference w:id="15"/>
      </w:r>
      <w:r>
        <w:rPr>
          <w:rFonts w:ascii="Verdana" w:eastAsia="Times New Roman" w:hAnsi="Verdana"/>
          <w:sz w:val="20"/>
          <w:szCs w:val="20"/>
          <w:shd w:val="clear" w:color="auto" w:fill="FFFFFF"/>
        </w:rPr>
        <w:t>.</w:t>
      </w:r>
      <w:bookmarkStart w:id="2" w:name="_Ref5008049"/>
      <w:bookmarkEnd w:id="1"/>
    </w:p>
    <w:p w14:paraId="1A42B668" w14:textId="77777777" w:rsidR="00451325" w:rsidRPr="00451325" w:rsidRDefault="00451325" w:rsidP="0097483A">
      <w:pPr>
        <w:pStyle w:val="Prrafodelista"/>
        <w:suppressLineNumbers/>
        <w:spacing w:before="120" w:after="240" w:line="240" w:lineRule="auto"/>
        <w:ind w:left="0"/>
        <w:rPr>
          <w:rFonts w:ascii="Verdana" w:hAnsi="Verdana"/>
          <w:sz w:val="20"/>
          <w:szCs w:val="20"/>
        </w:rPr>
      </w:pPr>
    </w:p>
    <w:p w14:paraId="1E5F2AE9" w14:textId="28475569" w:rsidR="00451325" w:rsidRDefault="00451325" w:rsidP="0097483A">
      <w:pPr>
        <w:pStyle w:val="Prrafodelista"/>
        <w:numPr>
          <w:ilvl w:val="0"/>
          <w:numId w:val="2"/>
        </w:numPr>
        <w:suppressLineNumbers/>
        <w:spacing w:before="120" w:after="240" w:line="240" w:lineRule="auto"/>
        <w:ind w:left="0" w:firstLine="0"/>
        <w:jc w:val="both"/>
        <w:rPr>
          <w:rFonts w:ascii="Verdana" w:hAnsi="Verdana"/>
          <w:sz w:val="20"/>
          <w:szCs w:val="20"/>
        </w:rPr>
      </w:pPr>
      <w:r>
        <w:rPr>
          <w:rFonts w:ascii="Verdana" w:eastAsia="Times New Roman" w:hAnsi="Verdana"/>
          <w:color w:val="000000"/>
          <w:sz w:val="20"/>
          <w:szCs w:val="20"/>
          <w:lang w:val="es-CO"/>
        </w:rPr>
        <w:t xml:space="preserve">Los Estados Partes de la Convención Americana tienen la obligación convencional de implementar tanto a nivel internacional como interno y </w:t>
      </w:r>
      <w:r>
        <w:rPr>
          <w:rFonts w:ascii="Verdana" w:eastAsia="Times New Roman" w:hAnsi="Verdana"/>
          <w:color w:val="000000"/>
          <w:sz w:val="20"/>
          <w:szCs w:val="20"/>
        </w:rPr>
        <w:t xml:space="preserve">de forma pronta e íntegra, lo </w:t>
      </w:r>
      <w:r>
        <w:rPr>
          <w:rFonts w:ascii="Verdana" w:eastAsia="Times New Roman" w:hAnsi="Verdana"/>
          <w:color w:val="000000"/>
          <w:sz w:val="20"/>
          <w:szCs w:val="20"/>
          <w:lang w:val="es-CO"/>
        </w:rPr>
        <w:t>dispuesto por el Tribunal en las Sentencias que a ellos conciernan, obligación que, como lo señala el derecho internacional consuetudinario y lo ha recordado la Corte, vincula a todos los poderes y órganos estatales</w:t>
      </w:r>
      <w:bookmarkStart w:id="3" w:name="_Ref4597608"/>
      <w:r>
        <w:rPr>
          <w:rFonts w:ascii="Verdana" w:hAnsi="Verdana" w:cs="Verdana"/>
          <w:sz w:val="20"/>
          <w:szCs w:val="20"/>
          <w:vertAlign w:val="superscript"/>
        </w:rPr>
        <w:footnoteReference w:id="16"/>
      </w:r>
      <w:bookmarkEnd w:id="3"/>
      <w:r>
        <w:rPr>
          <w:rFonts w:ascii="Verdana" w:eastAsia="Times New Roman" w:hAnsi="Verdana"/>
          <w:color w:val="000000"/>
          <w:sz w:val="20"/>
          <w:szCs w:val="20"/>
        </w:rPr>
        <w:t>. E</w:t>
      </w:r>
      <w:r>
        <w:rPr>
          <w:rFonts w:ascii="Verdana" w:hAnsi="Verdana" w:cs="Times-Roman"/>
          <w:sz w:val="20"/>
          <w:lang w:bidi="en-US"/>
        </w:rPr>
        <w:t>s decir, que todos los poderes del Estado (Ejecutivo, Legislativo, Judicial, u otras ramas del poder público) y otras autoridades públicas o estatales, de cualquier nivel, incluyendo a los más altos tribunales de justicia de los mismos, tienen el deber de cumplir de buena fe con el derecho internacional</w:t>
      </w:r>
      <w:bookmarkStart w:id="4" w:name="_Ref4597833"/>
      <w:r>
        <w:rPr>
          <w:rStyle w:val="Refdenotaalpie"/>
          <w:rFonts w:ascii="Verdana" w:hAnsi="Verdana" w:cs="Times-Roman"/>
          <w:sz w:val="20"/>
          <w:lang w:bidi="en-US"/>
        </w:rPr>
        <w:footnoteReference w:id="17"/>
      </w:r>
      <w:bookmarkEnd w:id="4"/>
      <w:r>
        <w:rPr>
          <w:rFonts w:ascii="Verdana" w:hAnsi="Verdana" w:cs="Times-Roman"/>
          <w:sz w:val="20"/>
          <w:lang w:bidi="en-US"/>
        </w:rPr>
        <w:t xml:space="preserve">. </w:t>
      </w:r>
      <w:r>
        <w:rPr>
          <w:rFonts w:ascii="Verdana" w:eastAsia="Times New Roman" w:hAnsi="Verdana"/>
          <w:color w:val="000000"/>
          <w:sz w:val="20"/>
          <w:szCs w:val="20"/>
        </w:rPr>
        <w:t>De no cumplirse, el Estado incurre en un ilícito internacional</w:t>
      </w:r>
      <w:r>
        <w:rPr>
          <w:rStyle w:val="Refdenotaalpie"/>
          <w:rFonts w:ascii="Verdana" w:eastAsia="Times New Roman" w:hAnsi="Verdana"/>
          <w:sz w:val="20"/>
        </w:rPr>
        <w:footnoteReference w:id="18"/>
      </w:r>
      <w:r>
        <w:rPr>
          <w:rFonts w:ascii="Verdana" w:eastAsia="Times New Roman" w:hAnsi="Verdana"/>
          <w:color w:val="000000"/>
          <w:sz w:val="20"/>
          <w:szCs w:val="20"/>
          <w:lang w:val="pl-PL"/>
        </w:rPr>
        <w:t xml:space="preserve">. </w:t>
      </w:r>
      <w:r>
        <w:rPr>
          <w:rFonts w:ascii="Verdana" w:hAnsi="Verdana"/>
          <w:sz w:val="20"/>
          <w:szCs w:val="20"/>
          <w:lang w:val="pl-PL"/>
        </w:rPr>
        <w:t xml:space="preserve">La falta de </w:t>
      </w:r>
      <w:r>
        <w:rPr>
          <w:rFonts w:ascii="Verdana" w:hAnsi="Verdana"/>
          <w:sz w:val="20"/>
          <w:szCs w:val="20"/>
        </w:rPr>
        <w:t>ejecución de las reparaciones en el ámbito interno implica la negación al derecho de acceso a la justicia internacional</w:t>
      </w:r>
      <w:r>
        <w:rPr>
          <w:rStyle w:val="Refdenotaalpie"/>
          <w:rFonts w:ascii="Verdana" w:hAnsi="Verdana"/>
          <w:sz w:val="20"/>
          <w:szCs w:val="20"/>
        </w:rPr>
        <w:footnoteReference w:id="19"/>
      </w:r>
      <w:r>
        <w:rPr>
          <w:rFonts w:ascii="Verdana" w:hAnsi="Verdana"/>
          <w:sz w:val="20"/>
          <w:szCs w:val="20"/>
        </w:rPr>
        <w:t>.</w:t>
      </w:r>
      <w:bookmarkStart w:id="5" w:name="_Ref5007657"/>
      <w:bookmarkEnd w:id="2"/>
    </w:p>
    <w:p w14:paraId="53A46DC4" w14:textId="77777777" w:rsidR="00451325" w:rsidRDefault="00451325" w:rsidP="0097483A">
      <w:pPr>
        <w:pStyle w:val="Prrafodelista"/>
        <w:suppressLineNumbers/>
        <w:spacing w:before="120" w:after="240" w:line="240" w:lineRule="auto"/>
        <w:ind w:left="0"/>
        <w:jc w:val="both"/>
        <w:rPr>
          <w:rFonts w:ascii="Verdana" w:hAnsi="Verdana"/>
          <w:sz w:val="20"/>
          <w:szCs w:val="20"/>
        </w:rPr>
      </w:pPr>
    </w:p>
    <w:p w14:paraId="43FDE48B" w14:textId="77777777" w:rsidR="00451325" w:rsidRPr="007332E0" w:rsidRDefault="00451325" w:rsidP="0097483A">
      <w:pPr>
        <w:pStyle w:val="Prrafodelista"/>
        <w:numPr>
          <w:ilvl w:val="0"/>
          <w:numId w:val="2"/>
        </w:numPr>
        <w:suppressLineNumbers/>
        <w:spacing w:before="120" w:after="240" w:line="240" w:lineRule="auto"/>
        <w:ind w:left="0" w:firstLine="0"/>
        <w:jc w:val="both"/>
        <w:rPr>
          <w:rFonts w:ascii="Verdana" w:hAnsi="Verdana"/>
          <w:sz w:val="20"/>
          <w:szCs w:val="20"/>
        </w:rPr>
      </w:pPr>
      <w:r w:rsidRPr="007332E0">
        <w:rPr>
          <w:rFonts w:ascii="Verdana" w:hAnsi="Verdana"/>
          <w:sz w:val="20"/>
        </w:rPr>
        <w:t>En lo concerniente al cumplimiento de las sentencias de la Corte, l</w:t>
      </w:r>
      <w:r w:rsidRPr="007332E0">
        <w:rPr>
          <w:rFonts w:ascii="Verdana" w:hAnsi="Verdana" w:cs="Times-Roman"/>
          <w:sz w:val="20"/>
          <w:lang w:bidi="en-US"/>
        </w:rPr>
        <w:t>os Estados Partes en la Convención no pueden invocar disposiciones del derecho constitucional u otros aspectos del derecho interno para justificar una falta de cumplimiento de las obligaciones contenidas en dicho tratado</w:t>
      </w:r>
      <w:r w:rsidRPr="007332E0">
        <w:rPr>
          <w:rFonts w:ascii="Verdana" w:hAnsi="Verdana"/>
          <w:vertAlign w:val="superscript"/>
        </w:rPr>
        <w:footnoteReference w:id="20"/>
      </w:r>
      <w:r w:rsidRPr="007332E0">
        <w:rPr>
          <w:rFonts w:ascii="Verdana" w:hAnsi="Verdana" w:cs="Times-Roman"/>
          <w:sz w:val="20"/>
          <w:lang w:bidi="en-US"/>
        </w:rPr>
        <w:t xml:space="preserve">. </w:t>
      </w:r>
      <w:bookmarkEnd w:id="5"/>
    </w:p>
    <w:p w14:paraId="2298185C" w14:textId="344F1B30" w:rsidR="00DF2C4E" w:rsidRDefault="00DF2C4E" w:rsidP="0097483A">
      <w:pPr>
        <w:pStyle w:val="Prrafodelista"/>
        <w:suppressLineNumbers/>
        <w:spacing w:before="120" w:after="240" w:line="240" w:lineRule="auto"/>
        <w:ind w:left="0"/>
        <w:jc w:val="both"/>
        <w:rPr>
          <w:rFonts w:ascii="Verdana" w:hAnsi="Verdana"/>
          <w:sz w:val="20"/>
          <w:szCs w:val="20"/>
        </w:rPr>
      </w:pPr>
    </w:p>
    <w:p w14:paraId="715E502B" w14:textId="2041A994" w:rsidR="00451325" w:rsidRPr="00451325" w:rsidRDefault="00451325" w:rsidP="0097483A">
      <w:pPr>
        <w:pStyle w:val="Prrafodelista"/>
        <w:numPr>
          <w:ilvl w:val="0"/>
          <w:numId w:val="2"/>
        </w:numPr>
        <w:suppressLineNumbers/>
        <w:spacing w:before="120" w:after="240" w:line="240" w:lineRule="auto"/>
        <w:ind w:left="0" w:firstLine="0"/>
        <w:jc w:val="both"/>
        <w:rPr>
          <w:rFonts w:ascii="Verdana" w:hAnsi="Verdana"/>
          <w:sz w:val="20"/>
          <w:szCs w:val="20"/>
        </w:rPr>
      </w:pPr>
      <w:r>
        <w:rPr>
          <w:rFonts w:ascii="Verdana" w:hAnsi="Verdana"/>
          <w:sz w:val="20"/>
          <w:szCs w:val="20"/>
        </w:rPr>
        <w:t xml:space="preserve">En el </w:t>
      </w:r>
      <w:r w:rsidR="00DA4CF1">
        <w:rPr>
          <w:rFonts w:ascii="Verdana" w:hAnsi="Verdana"/>
          <w:sz w:val="20"/>
          <w:szCs w:val="20"/>
        </w:rPr>
        <w:t>presente caso</w:t>
      </w:r>
      <w:r>
        <w:rPr>
          <w:rFonts w:ascii="Verdana" w:hAnsi="Verdana"/>
          <w:sz w:val="20"/>
          <w:szCs w:val="20"/>
        </w:rPr>
        <w:t>, la falta de presentación d</w:t>
      </w:r>
      <w:r>
        <w:rPr>
          <w:rFonts w:ascii="Verdana" w:hAnsi="Verdana" w:cs="Arial"/>
          <w:sz w:val="20"/>
          <w:szCs w:val="20"/>
        </w:rPr>
        <w:t>el primer informe de cumplimiento</w:t>
      </w:r>
      <w:r w:rsidR="00FA4D14">
        <w:rPr>
          <w:rFonts w:ascii="Verdana" w:hAnsi="Verdana" w:cs="Arial"/>
          <w:sz w:val="20"/>
          <w:szCs w:val="20"/>
        </w:rPr>
        <w:t xml:space="preserve"> de la Sentencia</w:t>
      </w:r>
      <w:r>
        <w:rPr>
          <w:rFonts w:ascii="Verdana" w:hAnsi="Verdana" w:cs="Arial"/>
          <w:sz w:val="20"/>
          <w:szCs w:val="20"/>
        </w:rPr>
        <w:t>, habiendo transcurrido un prolongado tiempo desde el vencimiento del plazo dispuesto en el Fallo para su presentación, sumado a la falta de presentación de las observaciones requeridas (</w:t>
      </w:r>
      <w:r>
        <w:rPr>
          <w:rFonts w:ascii="Verdana" w:hAnsi="Verdana" w:cs="Arial"/>
          <w:i/>
          <w:sz w:val="20"/>
          <w:szCs w:val="20"/>
        </w:rPr>
        <w:t xml:space="preserve">supra </w:t>
      </w:r>
      <w:r>
        <w:rPr>
          <w:rFonts w:ascii="Verdana" w:hAnsi="Verdana" w:cs="Arial"/>
          <w:sz w:val="20"/>
          <w:szCs w:val="20"/>
        </w:rPr>
        <w:t xml:space="preserve">Vistos </w:t>
      </w:r>
      <w:r w:rsidR="006C47E7">
        <w:rPr>
          <w:rFonts w:ascii="Verdana" w:hAnsi="Verdana" w:cs="Arial"/>
          <w:sz w:val="20"/>
          <w:szCs w:val="20"/>
        </w:rPr>
        <w:t>3, 7, 8 y 9</w:t>
      </w:r>
      <w:r>
        <w:rPr>
          <w:rFonts w:ascii="Verdana" w:hAnsi="Verdana" w:cs="Arial"/>
          <w:sz w:val="20"/>
          <w:szCs w:val="20"/>
        </w:rPr>
        <w:t xml:space="preserve"> y Considerando </w:t>
      </w:r>
      <w:r w:rsidR="00293E57">
        <w:rPr>
          <w:rFonts w:ascii="Verdana" w:hAnsi="Verdana" w:cs="Arial"/>
          <w:sz w:val="20"/>
          <w:szCs w:val="20"/>
        </w:rPr>
        <w:t>2</w:t>
      </w:r>
      <w:r>
        <w:rPr>
          <w:rFonts w:ascii="Verdana" w:hAnsi="Verdana" w:cs="Arial"/>
          <w:sz w:val="20"/>
          <w:szCs w:val="20"/>
        </w:rPr>
        <w:t>), configuran un incumplimiento grave por parte de Venezuela de la obligación de informar al Tribunal. La Corte reitera que la inactividad de un Estado ante una jurisdicción internacional de derechos humanos es contraria al objeto, fin y espíritu de la Convención Americana</w:t>
      </w:r>
      <w:bookmarkStart w:id="6" w:name="_Ref5033051"/>
      <w:r>
        <w:rPr>
          <w:rStyle w:val="Refdenotaalpie"/>
          <w:rFonts w:ascii="Verdana" w:hAnsi="Verdana"/>
          <w:sz w:val="20"/>
          <w:szCs w:val="20"/>
        </w:rPr>
        <w:footnoteReference w:id="21"/>
      </w:r>
      <w:bookmarkEnd w:id="6"/>
      <w:r>
        <w:rPr>
          <w:rFonts w:ascii="Verdana" w:hAnsi="Verdana" w:cs="Arial"/>
          <w:sz w:val="20"/>
          <w:szCs w:val="20"/>
        </w:rPr>
        <w:t>.</w:t>
      </w:r>
    </w:p>
    <w:p w14:paraId="25AE803F" w14:textId="77777777" w:rsidR="00451325" w:rsidRDefault="00451325" w:rsidP="0097483A">
      <w:pPr>
        <w:pStyle w:val="Prrafodelista"/>
        <w:suppressLineNumbers/>
        <w:spacing w:before="120" w:after="240" w:line="240" w:lineRule="auto"/>
        <w:ind w:left="0"/>
        <w:jc w:val="both"/>
        <w:rPr>
          <w:rFonts w:ascii="Verdana" w:hAnsi="Verdana"/>
          <w:sz w:val="20"/>
          <w:szCs w:val="20"/>
        </w:rPr>
      </w:pPr>
    </w:p>
    <w:p w14:paraId="4A3663C7" w14:textId="4D51130B" w:rsidR="00451325" w:rsidRDefault="00451325" w:rsidP="0097483A">
      <w:pPr>
        <w:pStyle w:val="Prrafodelista"/>
        <w:numPr>
          <w:ilvl w:val="0"/>
          <w:numId w:val="2"/>
        </w:numPr>
        <w:suppressLineNumbers/>
        <w:spacing w:before="120" w:after="240" w:line="240" w:lineRule="auto"/>
        <w:ind w:left="0" w:firstLine="0"/>
        <w:jc w:val="both"/>
        <w:rPr>
          <w:rFonts w:ascii="Verdana" w:hAnsi="Verdana"/>
          <w:sz w:val="20"/>
          <w:szCs w:val="20"/>
        </w:rPr>
      </w:pPr>
      <w:r>
        <w:rPr>
          <w:rFonts w:ascii="Verdana" w:hAnsi="Verdana"/>
          <w:sz w:val="20"/>
          <w:szCs w:val="20"/>
        </w:rPr>
        <w:t xml:space="preserve">En este sentido, en la etapa de supervisión de cumplimiento de Sentencia de otros </w:t>
      </w:r>
      <w:r w:rsidRPr="007332E0">
        <w:rPr>
          <w:rFonts w:ascii="Verdana" w:hAnsi="Verdana"/>
          <w:sz w:val="20"/>
          <w:szCs w:val="20"/>
        </w:rPr>
        <w:t>casos</w:t>
      </w:r>
      <w:r w:rsidRPr="007332E0">
        <w:rPr>
          <w:rStyle w:val="Refdenotaalpie"/>
          <w:rFonts w:ascii="Verdana" w:hAnsi="Verdana"/>
          <w:sz w:val="20"/>
          <w:szCs w:val="20"/>
        </w:rPr>
        <w:footnoteReference w:id="22"/>
      </w:r>
      <w:r w:rsidRPr="007332E0">
        <w:rPr>
          <w:rFonts w:ascii="Verdana" w:hAnsi="Verdana"/>
          <w:sz w:val="20"/>
          <w:szCs w:val="20"/>
        </w:rPr>
        <w:t>, la Corte</w:t>
      </w:r>
      <w:r>
        <w:rPr>
          <w:rFonts w:ascii="Verdana" w:hAnsi="Verdana"/>
          <w:sz w:val="20"/>
          <w:szCs w:val="20"/>
        </w:rPr>
        <w:t xml:space="preserve"> ha establecido que la falta del Estado a su deber de informar constituye un incumplimiento de las obligaciones convencionales establecidas en los artículos 67 y 68.1 de la Convención Americana (</w:t>
      </w:r>
      <w:r>
        <w:rPr>
          <w:rFonts w:ascii="Verdana" w:hAnsi="Verdana"/>
          <w:i/>
          <w:sz w:val="20"/>
          <w:szCs w:val="20"/>
        </w:rPr>
        <w:t>supra</w:t>
      </w:r>
      <w:r w:rsidR="00F833D1">
        <w:rPr>
          <w:rFonts w:ascii="Verdana" w:hAnsi="Verdana"/>
          <w:sz w:val="20"/>
          <w:szCs w:val="20"/>
        </w:rPr>
        <w:t xml:space="preserve"> Considerando</w:t>
      </w:r>
      <w:r w:rsidR="00561FCD">
        <w:rPr>
          <w:rFonts w:ascii="Verdana" w:hAnsi="Verdana"/>
          <w:sz w:val="20"/>
          <w:szCs w:val="20"/>
        </w:rPr>
        <w:t>s</w:t>
      </w:r>
      <w:r>
        <w:rPr>
          <w:rFonts w:ascii="Verdana" w:hAnsi="Verdana"/>
          <w:sz w:val="20"/>
          <w:szCs w:val="20"/>
        </w:rPr>
        <w:t xml:space="preserve"> </w:t>
      </w:r>
      <w:r w:rsidR="00F833D1">
        <w:rPr>
          <w:rFonts w:ascii="Verdana" w:hAnsi="Verdana"/>
          <w:sz w:val="20"/>
          <w:szCs w:val="20"/>
        </w:rPr>
        <w:t>5</w:t>
      </w:r>
      <w:r w:rsidR="00561FCD">
        <w:rPr>
          <w:rFonts w:ascii="Verdana" w:hAnsi="Verdana"/>
          <w:sz w:val="20"/>
          <w:szCs w:val="20"/>
        </w:rPr>
        <w:t xml:space="preserve"> y 8</w:t>
      </w:r>
      <w:r>
        <w:rPr>
          <w:rFonts w:ascii="Verdana" w:hAnsi="Verdana"/>
          <w:sz w:val="20"/>
          <w:szCs w:val="20"/>
        </w:rPr>
        <w:t>).</w:t>
      </w:r>
    </w:p>
    <w:p w14:paraId="154D4FDC" w14:textId="77777777" w:rsidR="00451325" w:rsidRPr="00451325" w:rsidRDefault="00451325" w:rsidP="0097483A">
      <w:pPr>
        <w:pStyle w:val="Prrafodelista"/>
        <w:suppressLineNumbers/>
        <w:spacing w:before="120" w:after="240" w:line="240" w:lineRule="auto"/>
        <w:ind w:left="0"/>
        <w:rPr>
          <w:rFonts w:ascii="Verdana" w:hAnsi="Verdana"/>
          <w:sz w:val="20"/>
          <w:szCs w:val="20"/>
        </w:rPr>
      </w:pPr>
    </w:p>
    <w:p w14:paraId="239EA156" w14:textId="21BD9B34" w:rsidR="00451325" w:rsidRDefault="00451325" w:rsidP="0097483A">
      <w:pPr>
        <w:pStyle w:val="Prrafodelista"/>
        <w:numPr>
          <w:ilvl w:val="0"/>
          <w:numId w:val="2"/>
        </w:numPr>
        <w:suppressLineNumbers/>
        <w:spacing w:before="120" w:after="240" w:line="240" w:lineRule="auto"/>
        <w:ind w:left="0" w:firstLine="0"/>
        <w:jc w:val="both"/>
        <w:rPr>
          <w:rFonts w:ascii="Verdana" w:hAnsi="Verdana"/>
          <w:sz w:val="20"/>
          <w:szCs w:val="20"/>
        </w:rPr>
      </w:pPr>
      <w:r>
        <w:rPr>
          <w:rFonts w:ascii="Verdana" w:hAnsi="Verdana"/>
          <w:sz w:val="20"/>
          <w:szCs w:val="20"/>
        </w:rPr>
        <w:t>Teniendo en cuenta dicho incumplimiento del Estado, la Corte no tiene elementos que le permitan sostener que Venezuela haya adoptado medidas orientadas a dar cumplimiento a las reparaciones ordenadas en la Sentencia de este caso, a pesar del tiempo transcurrido desde la emisión de la misma (</w:t>
      </w:r>
      <w:r>
        <w:rPr>
          <w:rFonts w:ascii="Verdana" w:hAnsi="Verdana"/>
          <w:i/>
          <w:sz w:val="20"/>
          <w:szCs w:val="20"/>
        </w:rPr>
        <w:t xml:space="preserve">supra </w:t>
      </w:r>
      <w:r>
        <w:rPr>
          <w:rFonts w:ascii="Verdana" w:hAnsi="Verdana"/>
          <w:sz w:val="20"/>
          <w:szCs w:val="20"/>
        </w:rPr>
        <w:t xml:space="preserve">Considerando </w:t>
      </w:r>
      <w:r w:rsidR="00561FCD">
        <w:rPr>
          <w:rFonts w:ascii="Verdana" w:hAnsi="Verdana"/>
          <w:sz w:val="20"/>
          <w:szCs w:val="20"/>
        </w:rPr>
        <w:t>2</w:t>
      </w:r>
      <w:r>
        <w:rPr>
          <w:rFonts w:ascii="Verdana" w:hAnsi="Verdana"/>
          <w:sz w:val="20"/>
          <w:szCs w:val="20"/>
        </w:rPr>
        <w:t>).</w:t>
      </w:r>
      <w:r>
        <w:rPr>
          <w:rFonts w:ascii="Verdana" w:hAnsi="Verdana"/>
          <w:color w:val="E5B8B7"/>
          <w:sz w:val="20"/>
          <w:szCs w:val="20"/>
        </w:rPr>
        <w:t xml:space="preserve"> </w:t>
      </w:r>
      <w:r w:rsidR="00FA73DA">
        <w:rPr>
          <w:rFonts w:ascii="Verdana" w:hAnsi="Verdana"/>
          <w:sz w:val="20"/>
          <w:szCs w:val="20"/>
        </w:rPr>
        <w:t>Además, los</w:t>
      </w:r>
      <w:r>
        <w:rPr>
          <w:rFonts w:ascii="Verdana" w:hAnsi="Verdana"/>
          <w:sz w:val="20"/>
          <w:szCs w:val="20"/>
        </w:rPr>
        <w:t xml:space="preserve"> escrito</w:t>
      </w:r>
      <w:r w:rsidR="00FA73DA">
        <w:rPr>
          <w:rFonts w:ascii="Verdana" w:hAnsi="Verdana"/>
          <w:sz w:val="20"/>
          <w:szCs w:val="20"/>
        </w:rPr>
        <w:t>s</w:t>
      </w:r>
      <w:r>
        <w:rPr>
          <w:rFonts w:ascii="Verdana" w:hAnsi="Verdana"/>
          <w:sz w:val="20"/>
          <w:szCs w:val="20"/>
        </w:rPr>
        <w:t xml:space="preserve"> presentado</w:t>
      </w:r>
      <w:r w:rsidR="00FA73DA">
        <w:rPr>
          <w:rFonts w:ascii="Verdana" w:hAnsi="Verdana"/>
          <w:sz w:val="20"/>
          <w:szCs w:val="20"/>
        </w:rPr>
        <w:t>s</w:t>
      </w:r>
      <w:r>
        <w:rPr>
          <w:rFonts w:ascii="Verdana" w:hAnsi="Verdana"/>
          <w:sz w:val="20"/>
          <w:szCs w:val="20"/>
        </w:rPr>
        <w:t xml:space="preserve"> por los representantes de las víctimas y la Comisión Interamericana dan cuenta del incumplimiento de las reparaciones, y consideran como causa del mismo la emisión de una sentencia interna que declara “inejecutable” la Sentencia de este Tribunal internacional (</w:t>
      </w:r>
      <w:r>
        <w:rPr>
          <w:rFonts w:ascii="Verdana" w:hAnsi="Verdana"/>
          <w:i/>
          <w:sz w:val="20"/>
          <w:szCs w:val="20"/>
        </w:rPr>
        <w:t>supra</w:t>
      </w:r>
      <w:r>
        <w:rPr>
          <w:rFonts w:ascii="Verdana" w:hAnsi="Verdana"/>
          <w:sz w:val="20"/>
          <w:szCs w:val="20"/>
        </w:rPr>
        <w:t xml:space="preserve"> </w:t>
      </w:r>
      <w:r w:rsidR="001F795A">
        <w:rPr>
          <w:rFonts w:ascii="Verdana" w:hAnsi="Verdana"/>
          <w:sz w:val="20"/>
          <w:szCs w:val="20"/>
        </w:rPr>
        <w:t xml:space="preserve">Vistos 2 y 4 y </w:t>
      </w:r>
      <w:r>
        <w:rPr>
          <w:rFonts w:ascii="Verdana" w:hAnsi="Verdana"/>
          <w:sz w:val="20"/>
          <w:szCs w:val="20"/>
        </w:rPr>
        <w:t>Con</w:t>
      </w:r>
      <w:r w:rsidR="001F795A">
        <w:rPr>
          <w:rFonts w:ascii="Verdana" w:hAnsi="Verdana"/>
          <w:sz w:val="20"/>
          <w:szCs w:val="20"/>
        </w:rPr>
        <w:t>siderandos 2 y 3</w:t>
      </w:r>
      <w:r>
        <w:rPr>
          <w:rFonts w:ascii="Verdana" w:hAnsi="Verdana"/>
          <w:sz w:val="20"/>
          <w:szCs w:val="20"/>
        </w:rPr>
        <w:t>).</w:t>
      </w:r>
    </w:p>
    <w:p w14:paraId="3691E717" w14:textId="77777777" w:rsidR="00451325" w:rsidRPr="00451325" w:rsidRDefault="00451325" w:rsidP="0097483A">
      <w:pPr>
        <w:pStyle w:val="Prrafodelista"/>
        <w:suppressLineNumbers/>
        <w:spacing w:before="120" w:after="240" w:line="240" w:lineRule="auto"/>
        <w:ind w:left="0"/>
        <w:rPr>
          <w:rFonts w:ascii="Verdana" w:hAnsi="Verdana"/>
          <w:sz w:val="20"/>
          <w:szCs w:val="20"/>
        </w:rPr>
      </w:pPr>
    </w:p>
    <w:p w14:paraId="1DC8C72A" w14:textId="1C69B3A9" w:rsidR="001F795A" w:rsidRPr="00AE7477" w:rsidRDefault="00451325" w:rsidP="0097483A">
      <w:pPr>
        <w:pStyle w:val="Prrafodelista"/>
        <w:numPr>
          <w:ilvl w:val="0"/>
          <w:numId w:val="2"/>
        </w:numPr>
        <w:suppressLineNumbers/>
        <w:spacing w:before="120" w:after="240" w:line="240" w:lineRule="auto"/>
        <w:ind w:left="0" w:firstLine="0"/>
        <w:jc w:val="both"/>
        <w:rPr>
          <w:rFonts w:ascii="Verdana" w:hAnsi="Verdana"/>
          <w:sz w:val="20"/>
          <w:szCs w:val="20"/>
        </w:rPr>
      </w:pPr>
      <w:r w:rsidRPr="00AE7477">
        <w:rPr>
          <w:rFonts w:ascii="Verdana" w:hAnsi="Verdana"/>
          <w:sz w:val="20"/>
          <w:szCs w:val="20"/>
          <w:lang w:val="es-MX"/>
        </w:rPr>
        <w:t xml:space="preserve">Los incumplimientos constatados por este Tribunal del deber de informar y de </w:t>
      </w:r>
      <w:r w:rsidR="004D1423" w:rsidRPr="00AE7477">
        <w:rPr>
          <w:rFonts w:ascii="Verdana" w:hAnsi="Verdana"/>
          <w:sz w:val="20"/>
          <w:szCs w:val="20"/>
          <w:lang w:val="es-MX"/>
        </w:rPr>
        <w:t xml:space="preserve">cumplir con </w:t>
      </w:r>
      <w:r w:rsidRPr="00AE7477">
        <w:rPr>
          <w:rFonts w:ascii="Verdana" w:hAnsi="Verdana"/>
          <w:sz w:val="20"/>
          <w:szCs w:val="20"/>
          <w:lang w:val="es-MX"/>
        </w:rPr>
        <w:t xml:space="preserve">las </w:t>
      </w:r>
      <w:r w:rsidR="001F795A" w:rsidRPr="00AE7477">
        <w:rPr>
          <w:rFonts w:ascii="Verdana" w:hAnsi="Verdana"/>
          <w:sz w:val="20"/>
          <w:szCs w:val="20"/>
          <w:lang w:val="es-MX"/>
        </w:rPr>
        <w:t xml:space="preserve">reparaciones </w:t>
      </w:r>
      <w:r w:rsidRPr="00AE7477">
        <w:rPr>
          <w:rFonts w:ascii="Verdana" w:hAnsi="Verdana"/>
          <w:sz w:val="20"/>
          <w:szCs w:val="20"/>
          <w:lang w:val="es-MX"/>
        </w:rPr>
        <w:t xml:space="preserve">dispuestas </w:t>
      </w:r>
      <w:r w:rsidR="004D1423" w:rsidRPr="00AE7477">
        <w:rPr>
          <w:rFonts w:ascii="Verdana" w:hAnsi="Verdana"/>
          <w:sz w:val="20"/>
          <w:szCs w:val="20"/>
          <w:lang w:val="es-MX"/>
        </w:rPr>
        <w:t xml:space="preserve">en la Sentencia </w:t>
      </w:r>
      <w:r w:rsidRPr="00AE7477">
        <w:rPr>
          <w:rFonts w:ascii="Verdana" w:hAnsi="Verdana"/>
          <w:sz w:val="20"/>
          <w:szCs w:val="20"/>
          <w:lang w:val="es-MX"/>
        </w:rPr>
        <w:t>resultan particularmente graves puesto que coincide</w:t>
      </w:r>
      <w:r w:rsidR="001F795A" w:rsidRPr="00AE7477">
        <w:rPr>
          <w:rFonts w:ascii="Verdana" w:hAnsi="Verdana"/>
          <w:sz w:val="20"/>
          <w:szCs w:val="20"/>
          <w:lang w:val="es-MX"/>
        </w:rPr>
        <w:t>n</w:t>
      </w:r>
      <w:r w:rsidRPr="00AE7477">
        <w:rPr>
          <w:rFonts w:ascii="Verdana" w:hAnsi="Verdana"/>
          <w:sz w:val="20"/>
          <w:szCs w:val="20"/>
          <w:lang w:val="es-MX"/>
        </w:rPr>
        <w:t xml:space="preserve"> cronológicamente con la emisión de la decisión de 10 de septiembre de 2015 de la Sala Constitucional </w:t>
      </w:r>
      <w:r w:rsidRPr="00AE7477">
        <w:rPr>
          <w:rFonts w:ascii="Verdana" w:hAnsi="Verdana" w:cs="Arial"/>
          <w:sz w:val="20"/>
          <w:szCs w:val="20"/>
          <w:lang w:val="es-ES"/>
        </w:rPr>
        <w:t xml:space="preserve">del Tribunal Supremo de Justicia de Venezuela </w:t>
      </w:r>
      <w:r w:rsidRPr="00AE7477">
        <w:rPr>
          <w:rFonts w:ascii="Verdana" w:hAnsi="Verdana"/>
          <w:sz w:val="20"/>
          <w:szCs w:val="20"/>
          <w:lang w:val="es-MX"/>
        </w:rPr>
        <w:t>que declaró “inejecutable” la Sentencia de la Corte (</w:t>
      </w:r>
      <w:r w:rsidRPr="00AE7477">
        <w:rPr>
          <w:rFonts w:ascii="Verdana" w:hAnsi="Verdana"/>
          <w:i/>
          <w:sz w:val="20"/>
          <w:szCs w:val="20"/>
          <w:lang w:val="es-MX"/>
        </w:rPr>
        <w:t>supra</w:t>
      </w:r>
      <w:r w:rsidR="00561FCD" w:rsidRPr="00AE7477">
        <w:rPr>
          <w:rFonts w:ascii="Verdana" w:hAnsi="Verdana"/>
          <w:sz w:val="20"/>
          <w:szCs w:val="20"/>
          <w:lang w:val="es-MX"/>
        </w:rPr>
        <w:t xml:space="preserve"> Considerando 2</w:t>
      </w:r>
      <w:r w:rsidR="00AE7477" w:rsidRPr="00AE7477">
        <w:rPr>
          <w:rFonts w:ascii="Verdana" w:hAnsi="Verdana"/>
          <w:sz w:val="20"/>
          <w:szCs w:val="20"/>
          <w:lang w:val="es-MX"/>
        </w:rPr>
        <w:t>)</w:t>
      </w:r>
      <w:bookmarkStart w:id="7" w:name="_Ref4680849"/>
      <w:r w:rsidR="00AE7477">
        <w:rPr>
          <w:rFonts w:ascii="Verdana" w:hAnsi="Verdana"/>
          <w:sz w:val="20"/>
          <w:szCs w:val="20"/>
          <w:lang w:val="es-MX"/>
        </w:rPr>
        <w:t>.</w:t>
      </w:r>
    </w:p>
    <w:p w14:paraId="1E1E2780" w14:textId="3E754903" w:rsidR="00AE7477" w:rsidRPr="00AE7477" w:rsidRDefault="00AE7477" w:rsidP="0097483A">
      <w:pPr>
        <w:pStyle w:val="Prrafodelista"/>
        <w:suppressLineNumbers/>
        <w:spacing w:before="120" w:after="240" w:line="240" w:lineRule="auto"/>
        <w:ind w:left="0"/>
        <w:jc w:val="both"/>
        <w:rPr>
          <w:rFonts w:ascii="Verdana" w:hAnsi="Verdana"/>
          <w:sz w:val="20"/>
          <w:szCs w:val="20"/>
        </w:rPr>
      </w:pPr>
    </w:p>
    <w:p w14:paraId="0BCEB6BA" w14:textId="5BECD9B9" w:rsidR="00392281" w:rsidRDefault="00FA73DA" w:rsidP="0097483A">
      <w:pPr>
        <w:pStyle w:val="Prrafodelista"/>
        <w:numPr>
          <w:ilvl w:val="0"/>
          <w:numId w:val="2"/>
        </w:numPr>
        <w:suppressLineNumbers/>
        <w:spacing w:before="120" w:after="240" w:line="240" w:lineRule="auto"/>
        <w:ind w:left="0" w:firstLine="0"/>
        <w:contextualSpacing w:val="0"/>
        <w:jc w:val="both"/>
        <w:rPr>
          <w:rFonts w:ascii="Verdana" w:hAnsi="Verdana" w:cs="Arial"/>
          <w:sz w:val="20"/>
          <w:szCs w:val="20"/>
          <w:lang w:val="es-ES"/>
        </w:rPr>
      </w:pPr>
      <w:r w:rsidRPr="00392281">
        <w:rPr>
          <w:rFonts w:ascii="Verdana" w:hAnsi="Verdana" w:cs="Arial"/>
          <w:sz w:val="20"/>
          <w:szCs w:val="20"/>
          <w:lang w:val="es-ES"/>
        </w:rPr>
        <w:t xml:space="preserve">Este Tribunal estima pertinente </w:t>
      </w:r>
      <w:r w:rsidR="00B710D0">
        <w:rPr>
          <w:rFonts w:ascii="Verdana" w:hAnsi="Verdana" w:cs="Arial"/>
          <w:sz w:val="20"/>
          <w:szCs w:val="20"/>
          <w:lang w:val="es-ES"/>
        </w:rPr>
        <w:t xml:space="preserve">recordar </w:t>
      </w:r>
      <w:r w:rsidR="00392281">
        <w:rPr>
          <w:rFonts w:ascii="Verdana" w:hAnsi="Verdana" w:cs="Arial"/>
          <w:sz w:val="20"/>
          <w:szCs w:val="20"/>
          <w:lang w:val="es-ES"/>
        </w:rPr>
        <w:t xml:space="preserve">lo sucedido respecto al cumplimiento de las Sentencias en el </w:t>
      </w:r>
      <w:r w:rsidRPr="00392281">
        <w:rPr>
          <w:rFonts w:ascii="Verdana" w:hAnsi="Verdana" w:cs="Arial"/>
          <w:sz w:val="20"/>
          <w:szCs w:val="20"/>
          <w:lang w:val="es-ES"/>
        </w:rPr>
        <w:t xml:space="preserve">caso </w:t>
      </w:r>
      <w:proofErr w:type="spellStart"/>
      <w:r w:rsidRPr="00392281">
        <w:rPr>
          <w:rFonts w:ascii="Verdana" w:hAnsi="Verdana" w:cs="Arial"/>
          <w:i/>
          <w:sz w:val="20"/>
          <w:szCs w:val="20"/>
          <w:lang w:val="es-ES"/>
        </w:rPr>
        <w:t>Apitz</w:t>
      </w:r>
      <w:proofErr w:type="spellEnd"/>
      <w:r w:rsidRPr="00392281">
        <w:rPr>
          <w:rFonts w:ascii="Verdana" w:hAnsi="Verdana" w:cs="Arial"/>
          <w:i/>
          <w:sz w:val="20"/>
          <w:szCs w:val="20"/>
          <w:lang w:val="es-ES"/>
        </w:rPr>
        <w:t xml:space="preserve"> Barbera y otros</w:t>
      </w:r>
      <w:r w:rsidRPr="00392281">
        <w:rPr>
          <w:rFonts w:ascii="Verdana" w:hAnsi="Verdana" w:cs="Arial"/>
          <w:sz w:val="20"/>
          <w:szCs w:val="20"/>
          <w:lang w:val="es-ES"/>
        </w:rPr>
        <w:t xml:space="preserve"> y en el caso </w:t>
      </w:r>
      <w:r w:rsidRPr="00392281">
        <w:rPr>
          <w:rFonts w:ascii="Verdana" w:hAnsi="Verdana" w:cs="Arial"/>
          <w:i/>
          <w:sz w:val="20"/>
          <w:szCs w:val="20"/>
          <w:lang w:val="es-ES"/>
        </w:rPr>
        <w:t>López Mendoza</w:t>
      </w:r>
      <w:r w:rsidRPr="00392281">
        <w:rPr>
          <w:rFonts w:ascii="Verdana" w:hAnsi="Verdana" w:cs="Arial"/>
          <w:sz w:val="20"/>
          <w:szCs w:val="20"/>
          <w:lang w:val="es-ES"/>
        </w:rPr>
        <w:t xml:space="preserve">, </w:t>
      </w:r>
      <w:r w:rsidRPr="0015615B">
        <w:rPr>
          <w:rFonts w:ascii="Verdana" w:hAnsi="Verdana" w:cs="Arial"/>
          <w:sz w:val="20"/>
          <w:szCs w:val="20"/>
          <w:lang w:val="es-ES"/>
        </w:rPr>
        <w:t xml:space="preserve">ambos contra Venezuela, en los cuales la Sala Constitucional del Tribunal Supremo de Justicia de Venezuela </w:t>
      </w:r>
      <w:r w:rsidR="00392281">
        <w:rPr>
          <w:rFonts w:ascii="Verdana" w:hAnsi="Verdana" w:cs="Arial"/>
          <w:sz w:val="20"/>
          <w:szCs w:val="20"/>
          <w:lang w:val="es-ES"/>
        </w:rPr>
        <w:t xml:space="preserve">también </w:t>
      </w:r>
      <w:r w:rsidRPr="0015615B">
        <w:rPr>
          <w:rFonts w:ascii="Verdana" w:hAnsi="Verdana" w:cs="Arial"/>
          <w:sz w:val="20"/>
          <w:szCs w:val="20"/>
          <w:lang w:val="es-ES"/>
        </w:rPr>
        <w:t>emitió</w:t>
      </w:r>
      <w:r w:rsidR="00B710D0">
        <w:rPr>
          <w:rFonts w:ascii="Verdana" w:hAnsi="Verdana" w:cs="Arial"/>
          <w:sz w:val="20"/>
          <w:szCs w:val="20"/>
          <w:lang w:val="es-ES"/>
        </w:rPr>
        <w:t xml:space="preserve"> </w:t>
      </w:r>
      <w:r w:rsidRPr="0015615B">
        <w:rPr>
          <w:rFonts w:ascii="Verdana" w:hAnsi="Verdana" w:cs="Arial"/>
          <w:sz w:val="20"/>
          <w:szCs w:val="20"/>
          <w:lang w:val="es-ES"/>
        </w:rPr>
        <w:t>decisiones mediante las cuales declaró “inejecutables” las Sentencias emitidas por la Corte Interamericana en esos casos.</w:t>
      </w:r>
      <w:r w:rsidR="00392281" w:rsidRPr="00392281">
        <w:rPr>
          <w:rFonts w:ascii="Verdana" w:hAnsi="Verdana" w:cs="Arial"/>
          <w:sz w:val="20"/>
          <w:szCs w:val="20"/>
          <w:lang w:val="es-ES"/>
        </w:rPr>
        <w:t xml:space="preserve"> </w:t>
      </w:r>
      <w:r w:rsidR="00392281">
        <w:rPr>
          <w:rFonts w:ascii="Verdana" w:hAnsi="Verdana" w:cs="Arial"/>
          <w:sz w:val="20"/>
          <w:szCs w:val="20"/>
          <w:lang w:val="es-ES"/>
        </w:rPr>
        <w:t>En las Resoluciones de supervisión de esos casos</w:t>
      </w:r>
      <w:r w:rsidR="00866698">
        <w:rPr>
          <w:rFonts w:ascii="Verdana" w:hAnsi="Verdana" w:cs="Arial"/>
          <w:sz w:val="20"/>
          <w:szCs w:val="20"/>
          <w:lang w:val="es-ES"/>
        </w:rPr>
        <w:t>,</w:t>
      </w:r>
      <w:r w:rsidR="00392281">
        <w:rPr>
          <w:rFonts w:ascii="Verdana" w:hAnsi="Verdana" w:cs="Arial"/>
          <w:sz w:val="20"/>
          <w:szCs w:val="20"/>
          <w:lang w:val="es-ES"/>
        </w:rPr>
        <w:t xml:space="preserve"> </w:t>
      </w:r>
      <w:r w:rsidR="00B710D0">
        <w:rPr>
          <w:rFonts w:ascii="Verdana" w:hAnsi="Verdana" w:cs="Arial"/>
          <w:sz w:val="20"/>
          <w:szCs w:val="20"/>
          <w:lang w:val="es-ES"/>
        </w:rPr>
        <w:t xml:space="preserve">dictadas </w:t>
      </w:r>
      <w:r w:rsidR="00392281">
        <w:rPr>
          <w:rFonts w:ascii="Verdana" w:hAnsi="Verdana" w:cs="Arial"/>
          <w:sz w:val="20"/>
          <w:szCs w:val="20"/>
          <w:lang w:val="es-ES"/>
        </w:rPr>
        <w:t>en los años 2012 y 2015, esta Corte fue contundente en indicar que “Venezuela</w:t>
      </w:r>
      <w:r w:rsidR="00392281" w:rsidRPr="00994F2B">
        <w:rPr>
          <w:rFonts w:ascii="Verdana" w:hAnsi="Verdana" w:cs="Arial"/>
          <w:sz w:val="20"/>
          <w:szCs w:val="20"/>
          <w:lang w:val="es-ES"/>
        </w:rPr>
        <w:t xml:space="preserve"> no puede </w:t>
      </w:r>
      <w:r w:rsidR="00392281">
        <w:rPr>
          <w:rFonts w:ascii="Verdana" w:hAnsi="Verdana" w:cs="Arial"/>
          <w:sz w:val="20"/>
          <w:szCs w:val="20"/>
          <w:lang w:val="es-ES"/>
        </w:rPr>
        <w:t>justificar el incumplimiento de la Sentencia</w:t>
      </w:r>
      <w:r w:rsidR="00392281" w:rsidRPr="00994F2B">
        <w:rPr>
          <w:rFonts w:ascii="Verdana" w:hAnsi="Verdana" w:cs="Arial"/>
          <w:sz w:val="20"/>
          <w:szCs w:val="20"/>
          <w:lang w:val="es-ES"/>
        </w:rPr>
        <w:t xml:space="preserve"> </w:t>
      </w:r>
      <w:r w:rsidR="00392281">
        <w:rPr>
          <w:rFonts w:ascii="Verdana" w:hAnsi="Verdana" w:cs="Arial"/>
          <w:sz w:val="20"/>
          <w:szCs w:val="20"/>
          <w:lang w:val="es-ES"/>
        </w:rPr>
        <w:t xml:space="preserve">en </w:t>
      </w:r>
      <w:r w:rsidR="00392281" w:rsidRPr="00994F2B">
        <w:rPr>
          <w:rFonts w:ascii="Verdana" w:hAnsi="Verdana" w:cs="Arial"/>
          <w:sz w:val="20"/>
          <w:szCs w:val="20"/>
          <w:lang w:val="es-ES"/>
        </w:rPr>
        <w:t>una decisión de un tribunal interno</w:t>
      </w:r>
      <w:r w:rsidR="00392281">
        <w:rPr>
          <w:rFonts w:ascii="Verdana" w:hAnsi="Verdana" w:cs="Arial"/>
          <w:sz w:val="20"/>
          <w:szCs w:val="20"/>
          <w:lang w:val="es-ES"/>
        </w:rPr>
        <w:t xml:space="preserve"> que desacate lo ordenado en la misma</w:t>
      </w:r>
      <w:r w:rsidR="00392281" w:rsidRPr="00994F2B">
        <w:rPr>
          <w:rFonts w:ascii="Verdana" w:hAnsi="Verdana" w:cs="Arial"/>
          <w:sz w:val="20"/>
          <w:szCs w:val="20"/>
          <w:lang w:val="es-ES"/>
        </w:rPr>
        <w:t>, aun cuando sea el tribunal de más alta jerarquía en el ordenamiento jurídico nacional</w:t>
      </w:r>
      <w:r w:rsidR="00392281">
        <w:rPr>
          <w:rFonts w:ascii="Verdana" w:hAnsi="Verdana" w:cs="Arial"/>
          <w:sz w:val="20"/>
          <w:szCs w:val="20"/>
          <w:lang w:val="es-ES"/>
        </w:rPr>
        <w:t>”</w:t>
      </w:r>
      <w:r w:rsidR="00392281" w:rsidRPr="00994F2B">
        <w:rPr>
          <w:rFonts w:ascii="Verdana" w:hAnsi="Verdana" w:cs="Arial"/>
          <w:sz w:val="20"/>
          <w:szCs w:val="20"/>
          <w:lang w:val="es-ES"/>
        </w:rPr>
        <w:t>.</w:t>
      </w:r>
      <w:r w:rsidRPr="0015615B">
        <w:rPr>
          <w:rFonts w:ascii="Verdana" w:hAnsi="Verdana" w:cs="Arial"/>
          <w:sz w:val="20"/>
          <w:szCs w:val="20"/>
          <w:lang w:val="es-ES"/>
        </w:rPr>
        <w:t xml:space="preserve"> </w:t>
      </w:r>
      <w:r w:rsidR="00392281">
        <w:rPr>
          <w:rFonts w:ascii="Verdana" w:hAnsi="Verdana" w:cs="Arial"/>
          <w:sz w:val="20"/>
          <w:szCs w:val="20"/>
          <w:lang w:val="es-ES"/>
        </w:rPr>
        <w:t>Asimismo, esta Corte sostuvo que</w:t>
      </w:r>
    </w:p>
    <w:p w14:paraId="1444A403" w14:textId="77777777" w:rsidR="00392281" w:rsidRPr="00392281" w:rsidRDefault="00392281" w:rsidP="0097483A">
      <w:pPr>
        <w:pStyle w:val="Prrafodelista"/>
        <w:suppressLineNumbers/>
        <w:spacing w:before="120" w:after="240" w:line="240" w:lineRule="auto"/>
        <w:rPr>
          <w:rFonts w:ascii="Verdana" w:hAnsi="Verdana" w:cs="Arial"/>
          <w:sz w:val="20"/>
          <w:szCs w:val="20"/>
          <w:lang w:val="es-ES"/>
        </w:rPr>
      </w:pPr>
    </w:p>
    <w:p w14:paraId="238DDEC6" w14:textId="22A1D708" w:rsidR="00392281" w:rsidRDefault="00392281" w:rsidP="00014BCC">
      <w:pPr>
        <w:pStyle w:val="Prrafodelista"/>
        <w:suppressLineNumbers/>
        <w:spacing w:before="120" w:after="240" w:line="240" w:lineRule="auto"/>
        <w:ind w:left="567" w:right="616"/>
        <w:contextualSpacing w:val="0"/>
        <w:jc w:val="both"/>
        <w:rPr>
          <w:rFonts w:ascii="Verdana" w:hAnsi="Verdana" w:cs="Arial"/>
          <w:sz w:val="20"/>
          <w:szCs w:val="20"/>
          <w:lang w:val="es-ES"/>
        </w:rPr>
      </w:pPr>
      <w:r w:rsidRPr="00392281">
        <w:rPr>
          <w:rFonts w:ascii="Verdana" w:hAnsi="Verdana" w:cs="Arial"/>
          <w:sz w:val="16"/>
          <w:szCs w:val="16"/>
          <w:lang w:val="es-ES"/>
        </w:rPr>
        <w:t>el incumplimiento manifiesto expresado por medio de la decisión del Tribunal Supremo de Justicia impide el efecto útil de la Convención y su aplicación en el caso concreto por su intérprete último. Del mismo modo, desconoce el principio de cosa juzgada internacional sobre una materia que ya ha sido decidida, y deja sin efecto y hace ilusorio el derecho al acceso a la justicia interamericana de las víctimas de violaciones de derechos humanos, lo cual perpetúa en el tiempo las violaciones de derechos humanos que fueron constatadas en la Sentencia. Por tanto, conforme al Derecho Internacional que ha sido democrática y soberanamente aceptado por el Estado venezolano</w:t>
      </w:r>
      <w:r w:rsidRPr="00392281">
        <w:rPr>
          <w:rStyle w:val="Refdenotaalpie"/>
          <w:rFonts w:ascii="Verdana" w:hAnsi="Verdana" w:cs="Arial"/>
          <w:sz w:val="16"/>
          <w:szCs w:val="16"/>
          <w:lang w:val="es-ES"/>
        </w:rPr>
        <w:footnoteReference w:id="23"/>
      </w:r>
      <w:r w:rsidRPr="00392281">
        <w:rPr>
          <w:rFonts w:ascii="Verdana" w:hAnsi="Verdana" w:cs="Arial"/>
          <w:sz w:val="16"/>
          <w:szCs w:val="16"/>
          <w:lang w:val="es-ES"/>
        </w:rPr>
        <w:t>, es inaceptable, que una vez que la Corte Interamericana haya emitido una Sentencia, el derecho interno o sus autoridades pretendan dejarla sin efectos</w:t>
      </w:r>
      <w:r w:rsidRPr="00392281">
        <w:rPr>
          <w:rStyle w:val="Refdenotaalpie"/>
          <w:rFonts w:ascii="Verdana" w:hAnsi="Verdana" w:cs="Arial"/>
          <w:sz w:val="16"/>
          <w:szCs w:val="16"/>
          <w:lang w:val="es-ES"/>
        </w:rPr>
        <w:footnoteReference w:id="24"/>
      </w:r>
      <w:r w:rsidRPr="00392281">
        <w:rPr>
          <w:rFonts w:ascii="Verdana" w:hAnsi="Verdana" w:cs="Arial"/>
          <w:sz w:val="16"/>
          <w:szCs w:val="16"/>
          <w:lang w:val="es-ES"/>
        </w:rPr>
        <w:t>.</w:t>
      </w:r>
    </w:p>
    <w:p w14:paraId="0A6F010A" w14:textId="4CC97937" w:rsidR="00F30660" w:rsidRPr="003211C5" w:rsidRDefault="00704CCF" w:rsidP="0097483A">
      <w:pPr>
        <w:pStyle w:val="Prrafodelista"/>
        <w:numPr>
          <w:ilvl w:val="0"/>
          <w:numId w:val="2"/>
        </w:numPr>
        <w:suppressLineNumbers/>
        <w:spacing w:before="120" w:after="240" w:line="240" w:lineRule="auto"/>
        <w:ind w:left="0" w:firstLine="0"/>
        <w:contextualSpacing w:val="0"/>
        <w:jc w:val="both"/>
        <w:rPr>
          <w:rFonts w:ascii="Verdana" w:hAnsi="Verdana" w:cs="Arial"/>
          <w:sz w:val="20"/>
          <w:szCs w:val="20"/>
          <w:lang w:val="es-ES"/>
        </w:rPr>
      </w:pPr>
      <w:r w:rsidRPr="003211C5">
        <w:rPr>
          <w:rFonts w:ascii="Verdana" w:hAnsi="Verdana" w:cs="Arial"/>
          <w:sz w:val="20"/>
          <w:szCs w:val="20"/>
          <w:lang w:val="es-ES"/>
        </w:rPr>
        <w:lastRenderedPageBreak/>
        <w:t xml:space="preserve">En esos dos casos, la Corte </w:t>
      </w:r>
      <w:r w:rsidR="00FA73DA" w:rsidRPr="003211C5">
        <w:rPr>
          <w:rFonts w:ascii="Verdana" w:hAnsi="Verdana" w:cs="Arial"/>
          <w:sz w:val="20"/>
          <w:szCs w:val="20"/>
          <w:lang w:val="es-ES"/>
        </w:rPr>
        <w:t>resolvió</w:t>
      </w:r>
      <w:r w:rsidRPr="003211C5">
        <w:rPr>
          <w:rFonts w:ascii="Verdana" w:hAnsi="Verdana" w:cs="Arial"/>
          <w:sz w:val="20"/>
          <w:szCs w:val="20"/>
          <w:lang w:val="es-ES"/>
        </w:rPr>
        <w:t xml:space="preserve">, en el 2012 y </w:t>
      </w:r>
      <w:r w:rsidR="006E0C20" w:rsidRPr="003211C5">
        <w:rPr>
          <w:rFonts w:ascii="Verdana" w:hAnsi="Verdana" w:cs="Arial"/>
          <w:sz w:val="20"/>
          <w:szCs w:val="20"/>
          <w:lang w:val="es-ES"/>
        </w:rPr>
        <w:t xml:space="preserve">el </w:t>
      </w:r>
      <w:r w:rsidRPr="003211C5">
        <w:rPr>
          <w:rFonts w:ascii="Verdana" w:hAnsi="Verdana" w:cs="Arial"/>
          <w:sz w:val="20"/>
          <w:szCs w:val="20"/>
          <w:lang w:val="es-ES"/>
        </w:rPr>
        <w:t>2015,</w:t>
      </w:r>
      <w:r w:rsidR="00FA73DA" w:rsidRPr="003211C5">
        <w:rPr>
          <w:rFonts w:ascii="Verdana" w:hAnsi="Verdana" w:cs="Arial"/>
          <w:sz w:val="20"/>
          <w:szCs w:val="20"/>
          <w:lang w:val="es-ES"/>
        </w:rPr>
        <w:t xml:space="preserve"> </w:t>
      </w:r>
      <w:r w:rsidRPr="003211C5">
        <w:rPr>
          <w:rFonts w:ascii="Verdana" w:hAnsi="Verdana"/>
          <w:sz w:val="20"/>
          <w:szCs w:val="20"/>
          <w:lang w:val="es-MX"/>
        </w:rPr>
        <w:t>dar aplicación a lo dispuesto en los artículos 65 de la Convención Americana</w:t>
      </w:r>
      <w:r w:rsidRPr="003211C5">
        <w:rPr>
          <w:rStyle w:val="Refdenotaalpie"/>
          <w:rFonts w:ascii="Verdana" w:hAnsi="Verdana"/>
          <w:sz w:val="20"/>
          <w:szCs w:val="20"/>
          <w:lang w:val="es-MX"/>
        </w:rPr>
        <w:footnoteReference w:id="25"/>
      </w:r>
      <w:r w:rsidRPr="003211C5">
        <w:rPr>
          <w:rFonts w:ascii="Verdana" w:hAnsi="Verdana"/>
          <w:sz w:val="20"/>
          <w:szCs w:val="20"/>
          <w:lang w:val="es-MX"/>
        </w:rPr>
        <w:t xml:space="preserve"> y 30 de su Estatuto</w:t>
      </w:r>
      <w:r w:rsidRPr="003211C5">
        <w:rPr>
          <w:rStyle w:val="Refdenotaalpie"/>
          <w:rFonts w:ascii="Verdana" w:hAnsi="Verdana"/>
          <w:sz w:val="20"/>
          <w:szCs w:val="20"/>
          <w:lang w:val="es-MX"/>
        </w:rPr>
        <w:footnoteReference w:id="26"/>
      </w:r>
      <w:r w:rsidRPr="003211C5">
        <w:rPr>
          <w:rFonts w:ascii="Verdana" w:hAnsi="Verdana"/>
          <w:sz w:val="20"/>
          <w:szCs w:val="20"/>
          <w:lang w:val="es-MX"/>
        </w:rPr>
        <w:t xml:space="preserve">, </w:t>
      </w:r>
      <w:r w:rsidRPr="003211C5">
        <w:rPr>
          <w:rFonts w:ascii="Verdana" w:hAnsi="Verdana" w:cs="Arial"/>
          <w:sz w:val="20"/>
          <w:szCs w:val="20"/>
          <w:lang w:val="es-ES"/>
        </w:rPr>
        <w:t>de manera que</w:t>
      </w:r>
      <w:r w:rsidR="00866698">
        <w:rPr>
          <w:rFonts w:ascii="Verdana" w:hAnsi="Verdana" w:cs="Arial"/>
          <w:sz w:val="20"/>
          <w:szCs w:val="20"/>
          <w:lang w:val="es-ES"/>
        </w:rPr>
        <w:t>,</w:t>
      </w:r>
      <w:r w:rsidRPr="003211C5">
        <w:rPr>
          <w:rFonts w:ascii="Verdana" w:hAnsi="Verdana" w:cs="Arial"/>
          <w:sz w:val="20"/>
          <w:szCs w:val="20"/>
          <w:lang w:val="es-ES"/>
        </w:rPr>
        <w:t xml:space="preserve"> en los correspondientes Informes Anuales de labores presentados a la Asamblea General de la Organización de los Estados Americanos, comunicó el incumplimiento de Venezuela de sus obligaciones de ejecutar las reparaciones ordenadas en esas Sentencias, así como de informar sobre las medidas adoptadas para ese fin. La Corte también aplicó los </w:t>
      </w:r>
      <w:r w:rsidR="00F30660" w:rsidRPr="003211C5">
        <w:rPr>
          <w:rFonts w:ascii="Verdana" w:hAnsi="Verdana" w:cs="Arial"/>
          <w:sz w:val="20"/>
          <w:szCs w:val="20"/>
          <w:lang w:val="es-ES"/>
        </w:rPr>
        <w:t xml:space="preserve">referidos </w:t>
      </w:r>
      <w:r w:rsidRPr="003211C5">
        <w:rPr>
          <w:rFonts w:ascii="Verdana" w:hAnsi="Verdana" w:cs="Arial"/>
          <w:sz w:val="20"/>
          <w:szCs w:val="20"/>
          <w:lang w:val="es-ES"/>
        </w:rPr>
        <w:t xml:space="preserve">artículos </w:t>
      </w:r>
      <w:r w:rsidR="00F30660" w:rsidRPr="003211C5">
        <w:rPr>
          <w:rFonts w:ascii="Verdana" w:hAnsi="Verdana"/>
          <w:sz w:val="20"/>
          <w:szCs w:val="20"/>
          <w:lang w:val="es-MX"/>
        </w:rPr>
        <w:t>65 de la Convención</w:t>
      </w:r>
      <w:r w:rsidRPr="003211C5">
        <w:rPr>
          <w:rFonts w:ascii="Verdana" w:hAnsi="Verdana"/>
          <w:sz w:val="20"/>
          <w:szCs w:val="20"/>
          <w:lang w:val="es-MX"/>
        </w:rPr>
        <w:t xml:space="preserve"> y 30 de su Estatuto en </w:t>
      </w:r>
      <w:r w:rsidR="006A5A96" w:rsidRPr="003211C5">
        <w:rPr>
          <w:rFonts w:ascii="Verdana" w:hAnsi="Verdana"/>
          <w:sz w:val="20"/>
          <w:szCs w:val="20"/>
          <w:lang w:val="es-MX"/>
        </w:rPr>
        <w:t>otros diez</w:t>
      </w:r>
      <w:r w:rsidRPr="003211C5">
        <w:rPr>
          <w:rFonts w:ascii="Verdana" w:hAnsi="Verdana"/>
          <w:sz w:val="20"/>
          <w:szCs w:val="20"/>
          <w:lang w:val="es-MX"/>
        </w:rPr>
        <w:t xml:space="preserve"> casos contra Venezuela</w:t>
      </w:r>
      <w:r w:rsidR="00F30660" w:rsidRPr="003211C5">
        <w:rPr>
          <w:rStyle w:val="Refdenotaalpie"/>
          <w:rFonts w:ascii="Verdana" w:hAnsi="Verdana"/>
          <w:sz w:val="20"/>
          <w:szCs w:val="20"/>
          <w:lang w:val="es-MX"/>
        </w:rPr>
        <w:footnoteReference w:id="27"/>
      </w:r>
      <w:r w:rsidRPr="003211C5">
        <w:rPr>
          <w:rFonts w:ascii="Verdana" w:hAnsi="Verdana"/>
          <w:sz w:val="20"/>
          <w:szCs w:val="20"/>
          <w:lang w:val="es-MX"/>
        </w:rPr>
        <w:t>, mediante Resoluciones de</w:t>
      </w:r>
      <w:r w:rsidR="00866698">
        <w:rPr>
          <w:rFonts w:ascii="Verdana" w:hAnsi="Verdana"/>
          <w:sz w:val="20"/>
          <w:szCs w:val="20"/>
          <w:lang w:val="es-MX"/>
        </w:rPr>
        <w:t xml:space="preserve"> </w:t>
      </w:r>
      <w:r w:rsidR="00B710D0">
        <w:rPr>
          <w:rFonts w:ascii="Verdana" w:hAnsi="Verdana"/>
          <w:sz w:val="20"/>
          <w:szCs w:val="20"/>
          <w:lang w:val="es-MX"/>
        </w:rPr>
        <w:t>s</w:t>
      </w:r>
      <w:r w:rsidR="00866698">
        <w:rPr>
          <w:rFonts w:ascii="Verdana" w:hAnsi="Verdana"/>
          <w:sz w:val="20"/>
          <w:szCs w:val="20"/>
          <w:lang w:val="es-MX"/>
        </w:rPr>
        <w:t>upervisión de</w:t>
      </w:r>
      <w:r w:rsidRPr="003211C5">
        <w:rPr>
          <w:rFonts w:ascii="Verdana" w:hAnsi="Verdana"/>
          <w:sz w:val="20"/>
          <w:szCs w:val="20"/>
          <w:lang w:val="es-MX"/>
        </w:rPr>
        <w:t xml:space="preserve"> 2015 y 2019, y los incluyó en sus Informes Anuales de labores. </w:t>
      </w:r>
      <w:r w:rsidR="006E0C20" w:rsidRPr="003211C5">
        <w:rPr>
          <w:rFonts w:ascii="Verdana" w:hAnsi="Verdana"/>
          <w:sz w:val="20"/>
          <w:szCs w:val="20"/>
          <w:lang w:val="es-MX"/>
        </w:rPr>
        <w:t>Para arribar a tal decisión en</w:t>
      </w:r>
      <w:r w:rsidR="00F30660" w:rsidRPr="003211C5">
        <w:rPr>
          <w:rFonts w:ascii="Verdana" w:hAnsi="Verdana"/>
          <w:sz w:val="20"/>
          <w:szCs w:val="20"/>
          <w:lang w:val="es-MX"/>
        </w:rPr>
        <w:t xml:space="preserve"> esos </w:t>
      </w:r>
      <w:r w:rsidR="006E0C20" w:rsidRPr="003211C5">
        <w:rPr>
          <w:rFonts w:ascii="Verdana" w:hAnsi="Verdana"/>
          <w:sz w:val="20"/>
          <w:szCs w:val="20"/>
          <w:lang w:val="es-MX"/>
        </w:rPr>
        <w:t xml:space="preserve">diez </w:t>
      </w:r>
      <w:r w:rsidR="00F30660" w:rsidRPr="003211C5">
        <w:rPr>
          <w:rFonts w:ascii="Verdana" w:hAnsi="Verdana"/>
          <w:sz w:val="20"/>
          <w:szCs w:val="20"/>
          <w:lang w:val="es-MX"/>
        </w:rPr>
        <w:t>casos</w:t>
      </w:r>
      <w:r w:rsidR="006E0C20" w:rsidRPr="003211C5">
        <w:rPr>
          <w:rFonts w:ascii="Verdana" w:hAnsi="Verdana"/>
          <w:sz w:val="20"/>
          <w:szCs w:val="20"/>
          <w:lang w:val="es-MX"/>
        </w:rPr>
        <w:t xml:space="preserve">, </w:t>
      </w:r>
      <w:r w:rsidR="003211C5" w:rsidRPr="003211C5">
        <w:rPr>
          <w:rFonts w:ascii="Verdana" w:hAnsi="Verdana"/>
          <w:sz w:val="20"/>
          <w:szCs w:val="20"/>
          <w:lang w:val="es-MX"/>
        </w:rPr>
        <w:t xml:space="preserve">la Corte </w:t>
      </w:r>
      <w:r w:rsidR="00B13329" w:rsidRPr="003211C5">
        <w:rPr>
          <w:rFonts w:ascii="Verdana" w:hAnsi="Verdana"/>
          <w:sz w:val="20"/>
          <w:szCs w:val="20"/>
          <w:lang w:val="es-MX"/>
        </w:rPr>
        <w:t xml:space="preserve">valoró </w:t>
      </w:r>
      <w:r w:rsidR="003211C5" w:rsidRPr="003211C5">
        <w:rPr>
          <w:rFonts w:ascii="Verdana" w:hAnsi="Verdana"/>
          <w:sz w:val="20"/>
          <w:szCs w:val="20"/>
          <w:lang w:val="es-MX"/>
        </w:rPr>
        <w:t xml:space="preserve">la gravedad de </w:t>
      </w:r>
      <w:r w:rsidR="00B13329" w:rsidRPr="003211C5">
        <w:rPr>
          <w:rFonts w:ascii="Verdana" w:hAnsi="Verdana"/>
          <w:sz w:val="20"/>
          <w:szCs w:val="20"/>
          <w:lang w:val="es-MX"/>
        </w:rPr>
        <w:t>l</w:t>
      </w:r>
      <w:r w:rsidR="00F30660" w:rsidRPr="003211C5">
        <w:rPr>
          <w:rFonts w:ascii="Verdana" w:hAnsi="Verdana"/>
          <w:sz w:val="20"/>
          <w:szCs w:val="20"/>
        </w:rPr>
        <w:t xml:space="preserve">os incumplimientos del deber de informar </w:t>
      </w:r>
      <w:r w:rsidR="00B13329" w:rsidRPr="003211C5">
        <w:rPr>
          <w:rFonts w:ascii="Verdana" w:hAnsi="Verdana"/>
          <w:sz w:val="20"/>
          <w:szCs w:val="20"/>
        </w:rPr>
        <w:t xml:space="preserve">por prolongados tiempos </w:t>
      </w:r>
      <w:r w:rsidR="00F30660" w:rsidRPr="003211C5">
        <w:rPr>
          <w:rFonts w:ascii="Verdana" w:hAnsi="Verdana"/>
          <w:sz w:val="20"/>
          <w:szCs w:val="20"/>
        </w:rPr>
        <w:t xml:space="preserve">y de la obligación de ejecutar las medidas pendientes dispuestas por la Corte, </w:t>
      </w:r>
      <w:r w:rsidR="00B13329" w:rsidRPr="003211C5">
        <w:rPr>
          <w:rFonts w:ascii="Verdana" w:hAnsi="Verdana"/>
          <w:sz w:val="20"/>
          <w:szCs w:val="20"/>
        </w:rPr>
        <w:t>y también sostuvo que “</w:t>
      </w:r>
      <w:r w:rsidR="00F30660" w:rsidRPr="003211C5">
        <w:rPr>
          <w:rFonts w:ascii="Verdana" w:hAnsi="Verdana"/>
          <w:sz w:val="20"/>
          <w:szCs w:val="20"/>
        </w:rPr>
        <w:t>ello pareciera ser una posición generalizada de Venezuela con respecto a estos casos en etapa de supervisión de cumplimiento ante la Corte, fundamentalmente a partir del 2010</w:t>
      </w:r>
      <w:r w:rsidR="00B13329" w:rsidRPr="003211C5">
        <w:rPr>
          <w:rFonts w:ascii="Verdana" w:hAnsi="Verdana"/>
          <w:sz w:val="20"/>
          <w:szCs w:val="20"/>
        </w:rPr>
        <w:t>”</w:t>
      </w:r>
      <w:r w:rsidR="00054F6C" w:rsidRPr="003211C5">
        <w:rPr>
          <w:rStyle w:val="Refdenotaalpie"/>
          <w:rFonts w:ascii="Verdana" w:hAnsi="Verdana"/>
          <w:sz w:val="20"/>
          <w:szCs w:val="20"/>
        </w:rPr>
        <w:footnoteReference w:id="28"/>
      </w:r>
      <w:r w:rsidR="00F30660" w:rsidRPr="003211C5">
        <w:rPr>
          <w:rFonts w:ascii="Verdana" w:hAnsi="Verdana"/>
          <w:sz w:val="20"/>
          <w:szCs w:val="20"/>
        </w:rPr>
        <w:t>.</w:t>
      </w:r>
      <w:r w:rsidR="006C00C8">
        <w:rPr>
          <w:rFonts w:ascii="Verdana" w:hAnsi="Verdana"/>
          <w:sz w:val="20"/>
          <w:szCs w:val="20"/>
        </w:rPr>
        <w:t xml:space="preserve"> </w:t>
      </w:r>
    </w:p>
    <w:p w14:paraId="7596CF31" w14:textId="65FF8841" w:rsidR="00451325" w:rsidRPr="008C304F" w:rsidRDefault="00451325" w:rsidP="0097483A">
      <w:pPr>
        <w:pStyle w:val="Prrafodelista"/>
        <w:numPr>
          <w:ilvl w:val="0"/>
          <w:numId w:val="2"/>
        </w:numPr>
        <w:suppressLineNumbers/>
        <w:spacing w:before="120" w:after="240" w:line="240" w:lineRule="auto"/>
        <w:ind w:left="0" w:firstLine="0"/>
        <w:jc w:val="both"/>
        <w:rPr>
          <w:rFonts w:ascii="Verdana" w:hAnsi="Verdana"/>
          <w:sz w:val="20"/>
          <w:szCs w:val="20"/>
        </w:rPr>
      </w:pPr>
      <w:r>
        <w:rPr>
          <w:rFonts w:ascii="Verdana" w:hAnsi="Verdana" w:cs="Arial"/>
          <w:sz w:val="20"/>
          <w:szCs w:val="20"/>
          <w:lang w:val="es-ES"/>
        </w:rPr>
        <w:t>L</w:t>
      </w:r>
      <w:r w:rsidR="00682D07">
        <w:rPr>
          <w:rFonts w:ascii="Verdana" w:hAnsi="Verdana" w:cs="Arial"/>
          <w:sz w:val="20"/>
          <w:szCs w:val="20"/>
          <w:lang w:val="es-ES"/>
        </w:rPr>
        <w:t>a Corte considera que los</w:t>
      </w:r>
      <w:r>
        <w:rPr>
          <w:rFonts w:ascii="Verdana" w:hAnsi="Verdana" w:cs="Arial"/>
          <w:sz w:val="20"/>
          <w:szCs w:val="20"/>
          <w:lang w:val="es-ES"/>
        </w:rPr>
        <w:t xml:space="preserve"> incumplimientos por parte de Venezuela </w:t>
      </w:r>
      <w:r w:rsidR="00682D07">
        <w:rPr>
          <w:rFonts w:ascii="Verdana" w:hAnsi="Verdana" w:cs="Arial"/>
          <w:sz w:val="20"/>
          <w:szCs w:val="20"/>
          <w:lang w:val="es-ES"/>
        </w:rPr>
        <w:t>constatados en el presente caso (</w:t>
      </w:r>
      <w:r w:rsidR="00682D07" w:rsidRPr="00682D07">
        <w:rPr>
          <w:rFonts w:ascii="Verdana" w:hAnsi="Verdana" w:cs="Arial"/>
          <w:i/>
          <w:sz w:val="20"/>
          <w:szCs w:val="20"/>
          <w:lang w:val="es-ES"/>
        </w:rPr>
        <w:t>supra</w:t>
      </w:r>
      <w:r w:rsidR="00682D07">
        <w:rPr>
          <w:rFonts w:ascii="Verdana" w:hAnsi="Verdana" w:cs="Arial"/>
          <w:sz w:val="20"/>
          <w:szCs w:val="20"/>
          <w:lang w:val="es-ES"/>
        </w:rPr>
        <w:t xml:space="preserve"> Considerandos</w:t>
      </w:r>
      <w:r w:rsidR="00866698">
        <w:rPr>
          <w:rFonts w:ascii="Verdana" w:hAnsi="Verdana" w:cs="Arial"/>
          <w:sz w:val="20"/>
          <w:szCs w:val="20"/>
          <w:lang w:val="es-ES"/>
        </w:rPr>
        <w:t xml:space="preserve"> 8 y 11</w:t>
      </w:r>
      <w:r w:rsidR="00682D07">
        <w:rPr>
          <w:rFonts w:ascii="Verdana" w:hAnsi="Verdana" w:cs="Arial"/>
          <w:sz w:val="20"/>
          <w:szCs w:val="20"/>
          <w:lang w:val="es-ES"/>
        </w:rPr>
        <w:t xml:space="preserve"> ) </w:t>
      </w:r>
      <w:r>
        <w:rPr>
          <w:rFonts w:ascii="Verdana" w:hAnsi="Verdana" w:cs="Arial"/>
          <w:sz w:val="20"/>
          <w:szCs w:val="20"/>
          <w:lang w:val="es-ES"/>
        </w:rPr>
        <w:t>constituyen un desconocimiento de las obligaciones emanadas de la Sentencia dictada por el Tribunal y de los compromisos convencionales del Estado</w:t>
      </w:r>
      <w:r w:rsidR="00A942F9">
        <w:rPr>
          <w:rStyle w:val="Refdenotaalpie"/>
          <w:rFonts w:ascii="Verdana" w:hAnsi="Verdana" w:cs="Arial"/>
          <w:sz w:val="20"/>
          <w:szCs w:val="20"/>
          <w:lang w:val="es-ES"/>
        </w:rPr>
        <w:footnoteReference w:id="29"/>
      </w:r>
      <w:r>
        <w:rPr>
          <w:rFonts w:ascii="Verdana" w:hAnsi="Verdana" w:cs="Arial"/>
          <w:sz w:val="20"/>
          <w:szCs w:val="20"/>
          <w:lang w:val="es-ES"/>
        </w:rPr>
        <w:t xml:space="preserve">, impiden la reparación de las víctimas y propician que violaciones a los derechos humanos iguales a las declaradas en los Fallos continúen repitiéndose, despojando el efecto útil </w:t>
      </w:r>
      <w:r>
        <w:rPr>
          <w:rFonts w:ascii="Verdana" w:hAnsi="Verdana" w:cs="Arial"/>
          <w:i/>
          <w:sz w:val="20"/>
          <w:szCs w:val="20"/>
          <w:lang w:val="es-ES"/>
        </w:rPr>
        <w:t>(</w:t>
      </w:r>
      <w:proofErr w:type="spellStart"/>
      <w:r>
        <w:rPr>
          <w:rFonts w:ascii="Verdana" w:hAnsi="Verdana" w:cs="Arial"/>
          <w:i/>
          <w:sz w:val="20"/>
          <w:szCs w:val="20"/>
          <w:lang w:val="es-ES"/>
        </w:rPr>
        <w:t>effet</w:t>
      </w:r>
      <w:proofErr w:type="spellEnd"/>
      <w:r>
        <w:rPr>
          <w:rFonts w:ascii="Verdana" w:hAnsi="Verdana" w:cs="Arial"/>
          <w:i/>
          <w:sz w:val="20"/>
          <w:szCs w:val="20"/>
          <w:lang w:val="es-ES"/>
        </w:rPr>
        <w:t xml:space="preserve"> </w:t>
      </w:r>
      <w:proofErr w:type="spellStart"/>
      <w:r>
        <w:rPr>
          <w:rFonts w:ascii="Verdana" w:hAnsi="Verdana" w:cs="Arial"/>
          <w:i/>
          <w:sz w:val="20"/>
          <w:szCs w:val="20"/>
          <w:lang w:val="es-ES"/>
        </w:rPr>
        <w:t>utile</w:t>
      </w:r>
      <w:proofErr w:type="spellEnd"/>
      <w:r>
        <w:rPr>
          <w:rFonts w:ascii="Verdana" w:hAnsi="Verdana" w:cs="Arial"/>
          <w:i/>
          <w:sz w:val="20"/>
          <w:szCs w:val="20"/>
          <w:lang w:val="es-ES"/>
        </w:rPr>
        <w:t>)</w:t>
      </w:r>
      <w:r>
        <w:rPr>
          <w:rFonts w:ascii="Verdana" w:hAnsi="Verdana" w:cs="Arial"/>
          <w:sz w:val="20"/>
          <w:szCs w:val="20"/>
          <w:lang w:val="es-ES"/>
        </w:rPr>
        <w:t xml:space="preserve"> de la Convención en los referidos casos</w:t>
      </w:r>
      <w:r>
        <w:rPr>
          <w:rStyle w:val="Refdenotaalpie"/>
          <w:rFonts w:ascii="Verdana" w:hAnsi="Verdana" w:cs="Arial"/>
          <w:sz w:val="20"/>
          <w:szCs w:val="20"/>
          <w:lang w:val="es-ES"/>
        </w:rPr>
        <w:footnoteReference w:id="30"/>
      </w:r>
      <w:r>
        <w:rPr>
          <w:rFonts w:ascii="Verdana" w:hAnsi="Verdana" w:cs="Arial"/>
          <w:sz w:val="20"/>
          <w:szCs w:val="20"/>
          <w:lang w:val="es-ES"/>
        </w:rPr>
        <w:t>.</w:t>
      </w:r>
      <w:bookmarkEnd w:id="7"/>
      <w:r>
        <w:rPr>
          <w:rFonts w:ascii="Verdana" w:hAnsi="Verdana" w:cs="Arial"/>
          <w:sz w:val="20"/>
          <w:szCs w:val="20"/>
          <w:lang w:val="es-ES"/>
        </w:rPr>
        <w:t xml:space="preserve"> </w:t>
      </w:r>
    </w:p>
    <w:p w14:paraId="204075D0" w14:textId="77777777" w:rsidR="008C304F" w:rsidRPr="008C304F" w:rsidRDefault="008C304F" w:rsidP="0097483A">
      <w:pPr>
        <w:pStyle w:val="Prrafodelista"/>
        <w:suppressLineNumbers/>
        <w:spacing w:before="120" w:after="240" w:line="240" w:lineRule="auto"/>
        <w:ind w:left="0"/>
        <w:rPr>
          <w:rFonts w:ascii="Verdana" w:hAnsi="Verdana"/>
          <w:sz w:val="20"/>
          <w:szCs w:val="20"/>
        </w:rPr>
      </w:pPr>
    </w:p>
    <w:p w14:paraId="224A8797" w14:textId="1BC99C91" w:rsidR="008C304F" w:rsidRPr="001D1008" w:rsidRDefault="00907B7A" w:rsidP="0097483A">
      <w:pPr>
        <w:pStyle w:val="Prrafodelista"/>
        <w:numPr>
          <w:ilvl w:val="0"/>
          <w:numId w:val="2"/>
        </w:numPr>
        <w:suppressLineNumbers/>
        <w:spacing w:before="120" w:after="240" w:line="240" w:lineRule="auto"/>
        <w:ind w:left="0" w:firstLine="0"/>
        <w:jc w:val="both"/>
        <w:rPr>
          <w:rFonts w:ascii="Verdana" w:hAnsi="Verdana"/>
          <w:sz w:val="18"/>
          <w:szCs w:val="20"/>
        </w:rPr>
      </w:pPr>
      <w:r w:rsidRPr="00907B7A">
        <w:rPr>
          <w:rFonts w:ascii="Verdana" w:hAnsi="Verdana"/>
          <w:sz w:val="20"/>
        </w:rPr>
        <w:t>En consecuencia, c</w:t>
      </w:r>
      <w:r w:rsidR="008C304F" w:rsidRPr="00907B7A">
        <w:rPr>
          <w:rFonts w:ascii="Verdana" w:hAnsi="Verdana"/>
          <w:sz w:val="20"/>
        </w:rPr>
        <w:t xml:space="preserve">on base en la situación constatada en el presente caso, el Tribunal considera necesario dar aplicación a lo dispuesto en los artículos 65 de la Convención Americana y 30 de su Estatuto, de manera que en el Informe Anual de labores del 2020, que someterá a la consideración de la Asamblea General de la Organización de los Estados Americanos, incorporará la presente Resolución, </w:t>
      </w:r>
      <w:r w:rsidR="0085231D" w:rsidRPr="0085231D">
        <w:rPr>
          <w:rFonts w:ascii="Verdana" w:hAnsi="Verdana"/>
          <w:sz w:val="20"/>
        </w:rPr>
        <w:t xml:space="preserve">indicando el incumplimiento de Venezuela de sus obligaciones de informar sobre las medidas adoptadas para ejecutar las reparaciones ordenadas en la Sentencia, así como de darles cumplimiento. </w:t>
      </w:r>
      <w:r w:rsidR="008C304F" w:rsidRPr="00907B7A">
        <w:rPr>
          <w:rFonts w:ascii="Verdana" w:hAnsi="Verdana"/>
          <w:sz w:val="20"/>
        </w:rPr>
        <w:t xml:space="preserve">Ante esta situación los Estados Americanos han dispuesto un sistema de garantía colectiva en donde todos los Estados Parte deben realizar todos los esfuerzos </w:t>
      </w:r>
      <w:r w:rsidR="008C304F" w:rsidRPr="00907B7A">
        <w:rPr>
          <w:rFonts w:ascii="Verdana" w:hAnsi="Verdana"/>
          <w:sz w:val="20"/>
        </w:rPr>
        <w:lastRenderedPageBreak/>
        <w:t>para que no haya un evidente abandono por parte de los Estados de su obligación de cumplir y acatar las Sentencias de la Corte</w:t>
      </w:r>
      <w:r w:rsidR="008C304F" w:rsidRPr="00907B7A">
        <w:rPr>
          <w:rStyle w:val="Refdenotaalpie"/>
          <w:rFonts w:ascii="Verdana" w:hAnsi="Verdana"/>
          <w:sz w:val="20"/>
        </w:rPr>
        <w:footnoteReference w:id="31"/>
      </w:r>
      <w:r w:rsidR="008C304F" w:rsidRPr="00907B7A">
        <w:rPr>
          <w:rFonts w:ascii="Verdana" w:hAnsi="Verdana"/>
          <w:sz w:val="20"/>
        </w:rPr>
        <w:t>.</w:t>
      </w:r>
    </w:p>
    <w:p w14:paraId="5F2F6EAE" w14:textId="3F9E39F8" w:rsidR="001D1008" w:rsidRDefault="001D1008" w:rsidP="0097483A">
      <w:pPr>
        <w:pStyle w:val="Prrafodelista"/>
        <w:suppressLineNumbers/>
        <w:spacing w:before="120" w:after="240" w:line="240" w:lineRule="auto"/>
        <w:ind w:left="0"/>
        <w:jc w:val="both"/>
        <w:rPr>
          <w:rFonts w:ascii="Verdana" w:hAnsi="Verdana"/>
          <w:sz w:val="18"/>
          <w:szCs w:val="20"/>
        </w:rPr>
      </w:pPr>
    </w:p>
    <w:p w14:paraId="34178F3F" w14:textId="77777777" w:rsidR="0085231D" w:rsidRDefault="0085231D" w:rsidP="0097483A">
      <w:pPr>
        <w:pStyle w:val="Prrafodelista"/>
        <w:numPr>
          <w:ilvl w:val="0"/>
          <w:numId w:val="2"/>
        </w:numPr>
        <w:suppressLineNumbers/>
        <w:spacing w:before="120" w:after="240" w:line="240" w:lineRule="auto"/>
        <w:ind w:left="0" w:firstLine="0"/>
        <w:contextualSpacing w:val="0"/>
        <w:jc w:val="both"/>
        <w:rPr>
          <w:rFonts w:ascii="Verdana" w:hAnsi="Verdana"/>
          <w:sz w:val="20"/>
          <w:lang w:val="es-ES"/>
        </w:rPr>
      </w:pPr>
      <w:r w:rsidRPr="009A72DC">
        <w:rPr>
          <w:rFonts w:ascii="Verdana" w:hAnsi="Verdana"/>
          <w:spacing w:val="-3"/>
          <w:sz w:val="20"/>
          <w:lang w:val="es-CO"/>
        </w:rPr>
        <w:t xml:space="preserve">Este Tribunal ha señalado que la Convención Americana, así como los demás tratados de derechos </w:t>
      </w:r>
      <w:r w:rsidRPr="009A72DC">
        <w:rPr>
          <w:rFonts w:ascii="Verdana" w:hAnsi="Verdana"/>
          <w:sz w:val="20"/>
        </w:rPr>
        <w:t>humanos</w:t>
      </w:r>
      <w:r w:rsidRPr="009A72DC">
        <w:rPr>
          <w:rFonts w:ascii="Verdana" w:hAnsi="Verdana"/>
          <w:spacing w:val="-3"/>
          <w:sz w:val="20"/>
          <w:lang w:val="es-CO"/>
        </w:rPr>
        <w:t>, se aplican de conformidad con la noción de garantía colectiva y tienen una naturaleza especial, que los diferencian de los demás tratados, los cuales reglamentan intereses recíprocos entre los Estados Partes</w:t>
      </w:r>
      <w:r w:rsidRPr="009A72DC">
        <w:rPr>
          <w:rStyle w:val="Refdenotaalpie"/>
          <w:rFonts w:ascii="Verdana" w:hAnsi="Verdana"/>
          <w:spacing w:val="-3"/>
          <w:sz w:val="20"/>
        </w:rPr>
        <w:footnoteReference w:id="32"/>
      </w:r>
      <w:r w:rsidRPr="009A72DC">
        <w:rPr>
          <w:rFonts w:ascii="Verdana" w:hAnsi="Verdana"/>
          <w:spacing w:val="-3"/>
          <w:sz w:val="20"/>
          <w:lang w:val="es-CO"/>
        </w:rPr>
        <w:t xml:space="preserve">. Dicha noción de </w:t>
      </w:r>
      <w:r w:rsidRPr="009A72DC">
        <w:rPr>
          <w:rFonts w:ascii="Verdana" w:hAnsi="Verdana"/>
          <w:sz w:val="20"/>
          <w:lang w:val="es-CO"/>
        </w:rPr>
        <w:t xml:space="preserve">garantía colectiva se encuentra estrechamente relacionada con el efecto útil de las Sentencias de la Corte Interamericana, por cuanto </w:t>
      </w:r>
      <w:r w:rsidRPr="009A72DC">
        <w:rPr>
          <w:rFonts w:ascii="Verdana" w:hAnsi="Verdana"/>
          <w:sz w:val="20"/>
          <w:lang w:val="es-ES"/>
        </w:rPr>
        <w:t>la Convención Americana consagra un sistema que constituye un verdadero orden público regional, cuyo mantenimiento es de interés de todos y cada uno de los Estados Partes</w:t>
      </w:r>
      <w:r w:rsidRPr="009A72DC">
        <w:rPr>
          <w:rStyle w:val="Refdenotaalpie"/>
          <w:rFonts w:ascii="Verdana" w:hAnsi="Verdana"/>
          <w:sz w:val="20"/>
          <w:lang w:val="es-ES"/>
        </w:rPr>
        <w:footnoteReference w:id="33"/>
      </w:r>
      <w:r w:rsidRPr="009A72DC">
        <w:rPr>
          <w:rFonts w:ascii="Verdana" w:hAnsi="Verdana"/>
          <w:sz w:val="20"/>
          <w:lang w:val="es-ES"/>
        </w:rPr>
        <w:t>. El interés de los Estados signatarios es el mantenimiento del sistema de protección de los derechos humanos que ellos mismos han creado, y si un Estado viola su obligación de acatar lo resuelto por el único órgano jurisdiccional sobre la materia se está quebrantando el compromiso asumido hacia los otros Estados de cumplir con las sentencias de la Corte</w:t>
      </w:r>
      <w:r w:rsidRPr="009A72DC">
        <w:rPr>
          <w:rStyle w:val="Refdenotaalpie"/>
          <w:rFonts w:ascii="Verdana" w:hAnsi="Verdana"/>
          <w:sz w:val="20"/>
          <w:lang w:val="es-ES"/>
        </w:rPr>
        <w:footnoteReference w:id="34"/>
      </w:r>
      <w:r w:rsidRPr="009A72DC">
        <w:rPr>
          <w:rFonts w:ascii="Verdana" w:hAnsi="Verdana"/>
          <w:sz w:val="20"/>
          <w:lang w:val="es-ES"/>
        </w:rPr>
        <w:t>. Por tanto, la labor de la Asamblea General de la Organización de los Estados Americanos, cuando se le presenta un incumplimiento manifiesto por parte de uno de los Estados de una Sentencia emitida por la Corte Interamericana, es precisamente la de proteger el efecto útil de la Convención Americana y evitar que la justicia interamericana se torne ilusoria al quedar al arbitrio de las decisiones internas de un Estado</w:t>
      </w:r>
      <w:r w:rsidRPr="009A72DC">
        <w:rPr>
          <w:rStyle w:val="Refdenotaalpie"/>
          <w:rFonts w:ascii="Verdana" w:hAnsi="Verdana"/>
          <w:sz w:val="20"/>
          <w:lang w:val="es-ES"/>
        </w:rPr>
        <w:footnoteReference w:id="35"/>
      </w:r>
      <w:r w:rsidRPr="009A72DC">
        <w:rPr>
          <w:rFonts w:ascii="Verdana" w:hAnsi="Verdana"/>
          <w:sz w:val="20"/>
          <w:lang w:val="es-ES"/>
        </w:rPr>
        <w:t>.</w:t>
      </w:r>
    </w:p>
    <w:p w14:paraId="62822961" w14:textId="77777777" w:rsidR="009B2BCB" w:rsidRPr="009B2BCB" w:rsidRDefault="009B2BCB" w:rsidP="0097483A">
      <w:pPr>
        <w:pStyle w:val="Prrafodelista"/>
        <w:suppressLineNumbers/>
        <w:spacing w:before="120" w:after="240" w:line="240" w:lineRule="auto"/>
        <w:ind w:left="0"/>
        <w:jc w:val="both"/>
        <w:rPr>
          <w:rFonts w:ascii="Verdana" w:hAnsi="Verdana"/>
          <w:sz w:val="18"/>
          <w:szCs w:val="20"/>
        </w:rPr>
      </w:pPr>
    </w:p>
    <w:p w14:paraId="121951B3" w14:textId="76F22AF4" w:rsidR="001D1008" w:rsidRPr="00AC62F1" w:rsidRDefault="001D1008" w:rsidP="0097483A">
      <w:pPr>
        <w:pStyle w:val="Prrafodelista"/>
        <w:numPr>
          <w:ilvl w:val="0"/>
          <w:numId w:val="2"/>
        </w:numPr>
        <w:suppressLineNumbers/>
        <w:spacing w:before="120" w:after="360" w:line="240" w:lineRule="auto"/>
        <w:ind w:left="0" w:firstLine="0"/>
        <w:contextualSpacing w:val="0"/>
        <w:jc w:val="both"/>
        <w:rPr>
          <w:rFonts w:ascii="Verdana" w:hAnsi="Verdana"/>
          <w:sz w:val="18"/>
          <w:szCs w:val="18"/>
          <w:lang w:val="es-MX"/>
        </w:rPr>
      </w:pPr>
      <w:r w:rsidRPr="00AC62F1">
        <w:rPr>
          <w:rFonts w:ascii="Verdana" w:hAnsi="Verdana"/>
          <w:sz w:val="20"/>
          <w:lang w:val="es-CO"/>
        </w:rPr>
        <w:t>Una vez que ha determinado la aplicación de los referidos artículos (</w:t>
      </w:r>
      <w:r w:rsidRPr="00AC62F1">
        <w:rPr>
          <w:rFonts w:ascii="Verdana" w:hAnsi="Verdana"/>
          <w:i/>
          <w:sz w:val="20"/>
          <w:lang w:val="es-CO"/>
        </w:rPr>
        <w:t xml:space="preserve">supra </w:t>
      </w:r>
      <w:r w:rsidRPr="00AC62F1">
        <w:rPr>
          <w:rFonts w:ascii="Verdana" w:hAnsi="Verdana"/>
          <w:sz w:val="20"/>
          <w:lang w:val="es-CO"/>
        </w:rPr>
        <w:t xml:space="preserve">Considerando </w:t>
      </w:r>
      <w:r w:rsidR="00B710D0">
        <w:rPr>
          <w:rFonts w:ascii="Verdana" w:hAnsi="Verdana"/>
          <w:sz w:val="20"/>
          <w:lang w:val="es-CO"/>
        </w:rPr>
        <w:t>15</w:t>
      </w:r>
      <w:r w:rsidRPr="00AC62F1">
        <w:rPr>
          <w:rFonts w:ascii="Verdana" w:hAnsi="Verdana"/>
          <w:sz w:val="20"/>
          <w:lang w:val="es-CO"/>
        </w:rPr>
        <w:t xml:space="preserve">) en casos de incumplimiento de sus Sentencias, y así lo haya informado mediante su Informe Anual para la consideración de la Asamblea </w:t>
      </w:r>
      <w:r w:rsidRPr="00AC62F1">
        <w:rPr>
          <w:rFonts w:ascii="Verdana" w:hAnsi="Verdana"/>
          <w:spacing w:val="-3"/>
          <w:sz w:val="20"/>
          <w:lang w:val="es-CO"/>
        </w:rPr>
        <w:t>General</w:t>
      </w:r>
      <w:r w:rsidRPr="00AC62F1">
        <w:rPr>
          <w:rFonts w:ascii="Verdana" w:hAnsi="Verdana"/>
          <w:sz w:val="20"/>
          <w:lang w:val="es-CO"/>
        </w:rPr>
        <w:t xml:space="preserve"> de la Organización de los Estados Americanos, la Corte continuará incluyendo dicho incumplimiento cada año, al presentar su informe Anual, a menos que el Estado acredite que está adoptando las medidas necesarias para cumplir con las reparaciones ordenadas en la Sentencia, o que los representantes de la</w:t>
      </w:r>
      <w:r w:rsidR="00377CA6">
        <w:rPr>
          <w:rFonts w:ascii="Verdana" w:hAnsi="Verdana"/>
          <w:sz w:val="20"/>
          <w:lang w:val="es-CO"/>
        </w:rPr>
        <w:t>s</w:t>
      </w:r>
      <w:r>
        <w:rPr>
          <w:rFonts w:ascii="Verdana" w:hAnsi="Verdana"/>
          <w:sz w:val="20"/>
          <w:lang w:val="es-CO"/>
        </w:rPr>
        <w:t xml:space="preserve"> víctima</w:t>
      </w:r>
      <w:r w:rsidR="00377CA6">
        <w:rPr>
          <w:rFonts w:ascii="Verdana" w:hAnsi="Verdana"/>
          <w:sz w:val="20"/>
          <w:lang w:val="es-CO"/>
        </w:rPr>
        <w:t>s</w:t>
      </w:r>
      <w:r w:rsidRPr="00AC62F1">
        <w:rPr>
          <w:rFonts w:ascii="Verdana" w:hAnsi="Verdana"/>
          <w:sz w:val="20"/>
          <w:lang w:val="es-CO"/>
        </w:rPr>
        <w:t xml:space="preserve"> o la Comisión acompañen información sobre la implementación y cumplimiento de los puntos de la Sentencia que requiera ser valorada por este Tribunal</w:t>
      </w:r>
      <w:r w:rsidRPr="00AC62F1">
        <w:rPr>
          <w:rStyle w:val="Refdenotaalpie"/>
          <w:rFonts w:ascii="Verdana" w:hAnsi="Verdana"/>
          <w:sz w:val="20"/>
          <w:lang w:val="es-CO"/>
        </w:rPr>
        <w:footnoteReference w:id="36"/>
      </w:r>
      <w:r w:rsidRPr="00AC62F1">
        <w:rPr>
          <w:rFonts w:ascii="Verdana" w:hAnsi="Verdana"/>
          <w:sz w:val="20"/>
          <w:lang w:val="es-CO"/>
        </w:rPr>
        <w:t xml:space="preserve">. </w:t>
      </w:r>
    </w:p>
    <w:bookmarkEnd w:id="0"/>
    <w:p w14:paraId="331F7C75" w14:textId="77777777" w:rsidR="00764E6F" w:rsidRDefault="00764E6F" w:rsidP="0097483A">
      <w:pPr>
        <w:suppressLineNumbers/>
        <w:spacing w:before="120" w:after="360" w:line="240" w:lineRule="auto"/>
        <w:jc w:val="both"/>
        <w:rPr>
          <w:rFonts w:ascii="Verdana" w:hAnsi="Verdana"/>
          <w:b/>
          <w:sz w:val="20"/>
          <w:lang w:val="es-MX"/>
        </w:rPr>
      </w:pPr>
      <w:r>
        <w:rPr>
          <w:rFonts w:ascii="Verdana" w:hAnsi="Verdana"/>
          <w:b/>
          <w:sz w:val="20"/>
          <w:lang w:val="es-MX"/>
        </w:rPr>
        <w:t>POR TANTO</w:t>
      </w:r>
    </w:p>
    <w:p w14:paraId="5CC62538" w14:textId="77777777" w:rsidR="00764E6F" w:rsidRDefault="00764E6F" w:rsidP="0097483A">
      <w:pPr>
        <w:suppressLineNumbers/>
        <w:spacing w:before="120" w:after="360" w:line="240" w:lineRule="auto"/>
        <w:jc w:val="both"/>
        <w:rPr>
          <w:rFonts w:ascii="Verdana" w:hAnsi="Verdana"/>
          <w:b/>
          <w:sz w:val="20"/>
          <w:lang w:val="es-MX"/>
        </w:rPr>
      </w:pPr>
      <w:r>
        <w:rPr>
          <w:rFonts w:ascii="Verdana" w:hAnsi="Verdana"/>
          <w:b/>
          <w:sz w:val="20"/>
          <w:lang w:val="es-MX"/>
        </w:rPr>
        <w:t>LA CORTE INTERAMERICANA DE DERECHOS HUMANOS,</w:t>
      </w:r>
    </w:p>
    <w:p w14:paraId="388EB973" w14:textId="39B5FCC0" w:rsidR="00764E6F" w:rsidRDefault="00764E6F" w:rsidP="0097483A">
      <w:pPr>
        <w:pStyle w:val="Prrafodelista"/>
        <w:suppressLineNumbers/>
        <w:spacing w:before="120" w:after="360" w:line="240" w:lineRule="auto"/>
        <w:ind w:left="0"/>
        <w:contextualSpacing w:val="0"/>
        <w:jc w:val="both"/>
        <w:rPr>
          <w:rFonts w:ascii="Verdana" w:hAnsi="Verdana"/>
          <w:sz w:val="20"/>
          <w:lang w:val="es-MX"/>
        </w:rPr>
      </w:pPr>
      <w:r>
        <w:rPr>
          <w:rFonts w:ascii="Verdana" w:hAnsi="Verdana"/>
          <w:sz w:val="20"/>
          <w:lang w:val="es-MX"/>
        </w:rPr>
        <w:t>En el ejercicio de sus atribuciones de supervisión del cumplimiento de sus decisiones, de conformidad con los artículos 33, 62.1, 62.3, 65, 67 y 68.1 de la Convención Americana sobre Derechos Humanos, 24 y 30 del Estatuto y 31.2 y 69 de su Reglamento</w:t>
      </w:r>
      <w:r w:rsidRPr="0082778F">
        <w:rPr>
          <w:rFonts w:ascii="Verdana" w:hAnsi="Verdana"/>
          <w:sz w:val="20"/>
          <w:lang w:val="es-MX"/>
        </w:rPr>
        <w:t>,</w:t>
      </w:r>
      <w:r>
        <w:rPr>
          <w:rFonts w:ascii="Verdana" w:hAnsi="Verdana"/>
          <w:sz w:val="20"/>
          <w:lang w:val="es-MX"/>
        </w:rPr>
        <w:t xml:space="preserve"> </w:t>
      </w:r>
    </w:p>
    <w:p w14:paraId="37F176CC" w14:textId="77777777" w:rsidR="00764E6F" w:rsidRPr="006D715B" w:rsidRDefault="00764E6F" w:rsidP="0097483A">
      <w:pPr>
        <w:suppressLineNumbers/>
        <w:spacing w:before="120" w:after="360" w:line="240" w:lineRule="auto"/>
        <w:jc w:val="both"/>
        <w:rPr>
          <w:rFonts w:ascii="Verdana" w:hAnsi="Verdana"/>
          <w:b/>
          <w:sz w:val="20"/>
          <w:szCs w:val="20"/>
          <w:lang w:val="es-MX"/>
        </w:rPr>
      </w:pPr>
      <w:r w:rsidRPr="006D715B">
        <w:rPr>
          <w:rFonts w:ascii="Verdana" w:hAnsi="Verdana"/>
          <w:b/>
          <w:sz w:val="20"/>
          <w:szCs w:val="20"/>
          <w:lang w:val="es-MX"/>
        </w:rPr>
        <w:lastRenderedPageBreak/>
        <w:t>DECLARA QUE:</w:t>
      </w:r>
    </w:p>
    <w:p w14:paraId="45674B4C" w14:textId="6C2ADFDE" w:rsidR="00764E6F" w:rsidRPr="001D1008" w:rsidRDefault="00764E6F" w:rsidP="0097483A">
      <w:pPr>
        <w:numPr>
          <w:ilvl w:val="0"/>
          <w:numId w:val="3"/>
        </w:numPr>
        <w:suppressLineNumbers/>
        <w:spacing w:before="120" w:after="360" w:line="240" w:lineRule="auto"/>
        <w:ind w:left="0" w:firstLine="0"/>
        <w:jc w:val="both"/>
        <w:rPr>
          <w:rFonts w:ascii="Verdana" w:hAnsi="Verdana"/>
          <w:sz w:val="20"/>
          <w:szCs w:val="20"/>
          <w:lang w:val="es-MX"/>
        </w:rPr>
      </w:pPr>
      <w:r w:rsidRPr="004C011D">
        <w:rPr>
          <w:rFonts w:ascii="Verdana" w:hAnsi="Verdana"/>
          <w:sz w:val="20"/>
        </w:rPr>
        <w:t xml:space="preserve">El Estado ha incumplido su deber de informar sobre la ejecución de la </w:t>
      </w:r>
      <w:r w:rsidRPr="004C011D">
        <w:rPr>
          <w:rFonts w:ascii="Verdana" w:hAnsi="Verdana"/>
          <w:sz w:val="20"/>
          <w:szCs w:val="20"/>
          <w:lang w:val="es-MX"/>
        </w:rPr>
        <w:t>Sentencia emitida el</w:t>
      </w:r>
      <w:r w:rsidRPr="004C011D">
        <w:rPr>
          <w:rFonts w:ascii="Verdana" w:hAnsi="Verdana"/>
          <w:i/>
          <w:sz w:val="20"/>
          <w:szCs w:val="20"/>
          <w:lang w:val="es-MX"/>
        </w:rPr>
        <w:t xml:space="preserve"> </w:t>
      </w:r>
      <w:r>
        <w:rPr>
          <w:rFonts w:ascii="Verdana" w:hAnsi="Verdana"/>
          <w:sz w:val="20"/>
          <w:szCs w:val="20"/>
          <w:lang w:val="es-MX"/>
        </w:rPr>
        <w:t>22</w:t>
      </w:r>
      <w:r w:rsidRPr="004C011D">
        <w:rPr>
          <w:rFonts w:ascii="Verdana" w:hAnsi="Verdana"/>
          <w:sz w:val="20"/>
          <w:szCs w:val="20"/>
          <w:lang w:val="es-MX"/>
        </w:rPr>
        <w:t xml:space="preserve"> de </w:t>
      </w:r>
      <w:r>
        <w:rPr>
          <w:rFonts w:ascii="Verdana" w:hAnsi="Verdana"/>
          <w:sz w:val="20"/>
          <w:szCs w:val="20"/>
          <w:lang w:val="es-MX"/>
        </w:rPr>
        <w:t>junio</w:t>
      </w:r>
      <w:r w:rsidRPr="004C011D">
        <w:rPr>
          <w:rFonts w:ascii="Verdana" w:hAnsi="Verdana"/>
          <w:sz w:val="20"/>
          <w:szCs w:val="20"/>
          <w:lang w:val="es-MX"/>
        </w:rPr>
        <w:t xml:space="preserve"> de 201</w:t>
      </w:r>
      <w:r>
        <w:rPr>
          <w:rFonts w:ascii="Verdana" w:hAnsi="Verdana"/>
          <w:sz w:val="20"/>
          <w:szCs w:val="20"/>
          <w:lang w:val="es-MX"/>
        </w:rPr>
        <w:t>5</w:t>
      </w:r>
      <w:r w:rsidRPr="004C011D">
        <w:rPr>
          <w:rFonts w:ascii="Verdana" w:hAnsi="Verdana"/>
          <w:sz w:val="20"/>
          <w:szCs w:val="20"/>
          <w:lang w:val="es-MX"/>
        </w:rPr>
        <w:t xml:space="preserve"> en el caso</w:t>
      </w:r>
      <w:r w:rsidRPr="004C011D">
        <w:rPr>
          <w:rFonts w:ascii="Verdana" w:hAnsi="Verdana"/>
          <w:i/>
          <w:sz w:val="20"/>
          <w:szCs w:val="20"/>
          <w:lang w:val="es-MX"/>
        </w:rPr>
        <w:t xml:space="preserve"> </w:t>
      </w:r>
      <w:r>
        <w:rPr>
          <w:rFonts w:ascii="Verdana" w:hAnsi="Verdana"/>
          <w:i/>
          <w:sz w:val="20"/>
          <w:szCs w:val="20"/>
          <w:lang w:val="es-MX"/>
        </w:rPr>
        <w:t>Granier y otros</w:t>
      </w:r>
      <w:r w:rsidR="001D1008">
        <w:rPr>
          <w:rFonts w:ascii="Verdana" w:hAnsi="Verdana"/>
          <w:i/>
          <w:sz w:val="20"/>
          <w:szCs w:val="20"/>
          <w:lang w:val="es-MX"/>
        </w:rPr>
        <w:t xml:space="preserve">, </w:t>
      </w:r>
      <w:r w:rsidR="001D1008" w:rsidRPr="001D1008">
        <w:rPr>
          <w:rFonts w:ascii="Verdana" w:hAnsi="Verdana"/>
          <w:sz w:val="20"/>
          <w:szCs w:val="20"/>
          <w:lang w:val="es-MX"/>
        </w:rPr>
        <w:t xml:space="preserve">en los términos expuestos en la </w:t>
      </w:r>
      <w:r w:rsidR="0085231D">
        <w:rPr>
          <w:rFonts w:ascii="Verdana" w:hAnsi="Verdana"/>
          <w:sz w:val="20"/>
          <w:szCs w:val="20"/>
          <w:lang w:val="es-MX"/>
        </w:rPr>
        <w:t xml:space="preserve">parte considerativa de la </w:t>
      </w:r>
      <w:r w:rsidR="001D1008" w:rsidRPr="001D1008">
        <w:rPr>
          <w:rFonts w:ascii="Verdana" w:hAnsi="Verdana"/>
          <w:sz w:val="20"/>
          <w:szCs w:val="20"/>
          <w:lang w:val="es-MX"/>
        </w:rPr>
        <w:t>presente Resolución</w:t>
      </w:r>
      <w:r w:rsidRPr="001D1008">
        <w:rPr>
          <w:rFonts w:ascii="Verdana" w:hAnsi="Verdana"/>
          <w:sz w:val="20"/>
        </w:rPr>
        <w:t xml:space="preserve">. </w:t>
      </w:r>
    </w:p>
    <w:p w14:paraId="26C07EA0" w14:textId="2DF03E55" w:rsidR="00764E6F" w:rsidRPr="0085231D" w:rsidRDefault="0085231D" w:rsidP="0097483A">
      <w:pPr>
        <w:numPr>
          <w:ilvl w:val="0"/>
          <w:numId w:val="3"/>
        </w:numPr>
        <w:suppressLineNumbers/>
        <w:spacing w:before="120" w:after="360" w:line="240" w:lineRule="auto"/>
        <w:ind w:left="0" w:firstLine="0"/>
        <w:jc w:val="both"/>
        <w:rPr>
          <w:rFonts w:ascii="Verdana" w:hAnsi="Verdana"/>
          <w:sz w:val="20"/>
          <w:szCs w:val="20"/>
          <w:lang w:val="es-MX"/>
        </w:rPr>
      </w:pPr>
      <w:r w:rsidRPr="0085231D">
        <w:rPr>
          <w:rFonts w:ascii="Verdana" w:hAnsi="Verdana"/>
          <w:sz w:val="20"/>
          <w:szCs w:val="20"/>
        </w:rPr>
        <w:t>El Estado no ha dado cumplimiento a l</w:t>
      </w:r>
      <w:r>
        <w:rPr>
          <w:rFonts w:ascii="Verdana" w:hAnsi="Verdana"/>
          <w:sz w:val="20"/>
          <w:szCs w:val="20"/>
        </w:rPr>
        <w:t>as reparaciones ordenadas en la Sentencia</w:t>
      </w:r>
      <w:r w:rsidR="009B2BCB">
        <w:rPr>
          <w:rFonts w:ascii="Verdana" w:hAnsi="Verdana"/>
          <w:sz w:val="20"/>
          <w:szCs w:val="20"/>
        </w:rPr>
        <w:t xml:space="preserve"> </w:t>
      </w:r>
      <w:r w:rsidR="00764E6F" w:rsidRPr="0085231D">
        <w:rPr>
          <w:rFonts w:ascii="Verdana" w:hAnsi="Verdana"/>
          <w:sz w:val="20"/>
          <w:szCs w:val="20"/>
          <w:lang w:val="es-MX"/>
        </w:rPr>
        <w:t>del presente caso:</w:t>
      </w:r>
    </w:p>
    <w:p w14:paraId="41C675B3" w14:textId="5091D995" w:rsidR="00764E6F" w:rsidRPr="003746CD" w:rsidRDefault="00764E6F" w:rsidP="0097483A">
      <w:pPr>
        <w:pStyle w:val="Prrafodelista"/>
        <w:numPr>
          <w:ilvl w:val="0"/>
          <w:numId w:val="4"/>
        </w:numPr>
        <w:suppressLineNumbers/>
        <w:spacing w:before="120" w:after="360" w:line="240" w:lineRule="auto"/>
        <w:ind w:left="567" w:firstLine="0"/>
        <w:contextualSpacing w:val="0"/>
        <w:jc w:val="both"/>
        <w:rPr>
          <w:rFonts w:ascii="Verdana" w:hAnsi="Verdana"/>
          <w:sz w:val="20"/>
          <w:szCs w:val="20"/>
          <w:lang w:val="es-MX"/>
        </w:rPr>
      </w:pPr>
      <w:r w:rsidRPr="003746CD">
        <w:rPr>
          <w:rFonts w:ascii="Verdana" w:hAnsi="Verdana"/>
          <w:sz w:val="20"/>
          <w:szCs w:val="20"/>
          <w:lang w:val="es-MX"/>
        </w:rPr>
        <w:t xml:space="preserve">restablecer la concesión de la frecuencia del espectro radioeléctrico correspondiente al canal 2 de televisión […] y devolver los bienes objeto de medidas cautelares </w:t>
      </w:r>
      <w:r w:rsidRPr="003746CD">
        <w:rPr>
          <w:rFonts w:ascii="Verdana" w:hAnsi="Verdana"/>
          <w:i/>
          <w:sz w:val="20"/>
          <w:szCs w:val="20"/>
          <w:lang w:val="es-MX"/>
        </w:rPr>
        <w:t>(punto dispositivo décimo quinto de la Sentencia);</w:t>
      </w:r>
    </w:p>
    <w:p w14:paraId="759E28FE" w14:textId="7E6FEB29" w:rsidR="00764E6F" w:rsidRPr="003746CD" w:rsidRDefault="00764E6F" w:rsidP="0097483A">
      <w:pPr>
        <w:pStyle w:val="Prrafodelista"/>
        <w:numPr>
          <w:ilvl w:val="0"/>
          <w:numId w:val="4"/>
        </w:numPr>
        <w:suppressLineNumbers/>
        <w:spacing w:before="120" w:after="360" w:line="240" w:lineRule="auto"/>
        <w:ind w:left="567" w:firstLine="0"/>
        <w:contextualSpacing w:val="0"/>
        <w:jc w:val="both"/>
        <w:rPr>
          <w:rFonts w:ascii="Verdana" w:hAnsi="Verdana"/>
          <w:sz w:val="20"/>
          <w:szCs w:val="20"/>
          <w:lang w:val="es-MX"/>
        </w:rPr>
      </w:pPr>
      <w:r w:rsidRPr="003746CD">
        <w:rPr>
          <w:rFonts w:ascii="Verdana" w:hAnsi="Verdana"/>
          <w:sz w:val="20"/>
          <w:szCs w:val="20"/>
          <w:lang w:val="es-MX"/>
        </w:rPr>
        <w:t xml:space="preserve">[u]na vez se efectúe el restablecimiento de la concesión a RCTV, […] deberá en un plazo razonable ordenar la apertura de un proceso abierto, independiente y transparente para el otorgamiento de la frecuencia del espectro radioeléctrico correspondiente al canal 2 de televisión, siguiendo para tal efecto el procedimiento establecido en la LOTEL o la normativa interna vigente para tales efectos </w:t>
      </w:r>
      <w:r w:rsidRPr="003746CD">
        <w:rPr>
          <w:rFonts w:ascii="Verdana" w:hAnsi="Verdana"/>
          <w:i/>
          <w:sz w:val="20"/>
          <w:szCs w:val="20"/>
          <w:lang w:val="es-MX"/>
        </w:rPr>
        <w:t>(punto dispositivo décimo sexto de la Sentencia);</w:t>
      </w:r>
    </w:p>
    <w:p w14:paraId="4F9797BA" w14:textId="45C81525" w:rsidR="00764E6F" w:rsidRPr="003746CD" w:rsidRDefault="00764E6F" w:rsidP="0097483A">
      <w:pPr>
        <w:pStyle w:val="Prrafodelista"/>
        <w:numPr>
          <w:ilvl w:val="0"/>
          <w:numId w:val="4"/>
        </w:numPr>
        <w:suppressLineNumbers/>
        <w:spacing w:before="120" w:after="360" w:line="240" w:lineRule="auto"/>
        <w:ind w:left="567" w:firstLine="0"/>
        <w:contextualSpacing w:val="0"/>
        <w:jc w:val="both"/>
        <w:rPr>
          <w:rFonts w:ascii="Verdana" w:hAnsi="Verdana"/>
          <w:sz w:val="20"/>
          <w:szCs w:val="20"/>
          <w:lang w:val="es-MX"/>
        </w:rPr>
      </w:pPr>
      <w:r w:rsidRPr="003746CD">
        <w:rPr>
          <w:rFonts w:ascii="Verdana" w:hAnsi="Verdana"/>
          <w:sz w:val="20"/>
          <w:szCs w:val="20"/>
          <w:lang w:val="es-MX"/>
        </w:rPr>
        <w:t xml:space="preserve">realizar las publicaciones </w:t>
      </w:r>
      <w:r w:rsidR="00106C76">
        <w:rPr>
          <w:rFonts w:ascii="Verdana" w:hAnsi="Verdana"/>
          <w:sz w:val="20"/>
          <w:szCs w:val="20"/>
          <w:lang w:val="es-MX"/>
        </w:rPr>
        <w:t xml:space="preserve">de la Sentencia </w:t>
      </w:r>
      <w:r w:rsidR="003746CD" w:rsidRPr="003746CD">
        <w:rPr>
          <w:rFonts w:ascii="Verdana" w:hAnsi="Verdana"/>
          <w:sz w:val="20"/>
          <w:szCs w:val="20"/>
          <w:lang w:val="es-MX"/>
        </w:rPr>
        <w:t xml:space="preserve">indicadas en </w:t>
      </w:r>
      <w:r w:rsidR="00106C76">
        <w:rPr>
          <w:rFonts w:ascii="Verdana" w:hAnsi="Verdana"/>
          <w:sz w:val="20"/>
          <w:szCs w:val="20"/>
          <w:lang w:val="es-MX"/>
        </w:rPr>
        <w:t xml:space="preserve">la misma </w:t>
      </w:r>
      <w:r w:rsidRPr="003746CD">
        <w:rPr>
          <w:rFonts w:ascii="Verdana" w:hAnsi="Verdana"/>
          <w:i/>
          <w:sz w:val="20"/>
          <w:szCs w:val="20"/>
          <w:lang w:val="es-MX"/>
        </w:rPr>
        <w:t>(punto dispositivo décimo séptimo de la Sentencia);</w:t>
      </w:r>
    </w:p>
    <w:p w14:paraId="05A4935D" w14:textId="767C920E" w:rsidR="00764E6F" w:rsidRPr="003746CD" w:rsidRDefault="00764E6F" w:rsidP="0097483A">
      <w:pPr>
        <w:pStyle w:val="Prrafodelista"/>
        <w:numPr>
          <w:ilvl w:val="0"/>
          <w:numId w:val="4"/>
        </w:numPr>
        <w:suppressLineNumbers/>
        <w:spacing w:before="120" w:after="360" w:line="240" w:lineRule="auto"/>
        <w:ind w:left="567" w:firstLine="0"/>
        <w:contextualSpacing w:val="0"/>
        <w:jc w:val="both"/>
        <w:rPr>
          <w:rFonts w:ascii="Verdana" w:hAnsi="Verdana"/>
          <w:sz w:val="20"/>
          <w:szCs w:val="20"/>
          <w:lang w:val="es-MX"/>
        </w:rPr>
      </w:pPr>
      <w:r w:rsidRPr="003746CD">
        <w:rPr>
          <w:rFonts w:ascii="Verdana" w:hAnsi="Verdana"/>
          <w:sz w:val="20"/>
          <w:szCs w:val="20"/>
          <w:lang w:val="es-MX"/>
        </w:rPr>
        <w:t xml:space="preserve">tomar las medidas necesarias a fin de garantizar que todos los futuros procesos de asignación y renovación de frecuencias de radio y televisión que se lleven a cabo, sean conducidos de manera abierta, independiente y transparente </w:t>
      </w:r>
      <w:r w:rsidRPr="003746CD">
        <w:rPr>
          <w:rFonts w:ascii="Verdana" w:hAnsi="Verdana"/>
          <w:i/>
          <w:sz w:val="20"/>
          <w:szCs w:val="20"/>
          <w:lang w:val="es-MX"/>
        </w:rPr>
        <w:t>(punto dispositivo décimo octavo de la Sentencia), y</w:t>
      </w:r>
    </w:p>
    <w:p w14:paraId="15B613A1" w14:textId="39AB5852" w:rsidR="00764E6F" w:rsidRPr="003746CD" w:rsidRDefault="00764E6F" w:rsidP="0097483A">
      <w:pPr>
        <w:pStyle w:val="Prrafodelista"/>
        <w:numPr>
          <w:ilvl w:val="0"/>
          <w:numId w:val="4"/>
        </w:numPr>
        <w:suppressLineNumbers/>
        <w:spacing w:before="120" w:after="360" w:line="240" w:lineRule="auto"/>
        <w:ind w:left="567" w:firstLine="0"/>
        <w:contextualSpacing w:val="0"/>
        <w:jc w:val="both"/>
        <w:rPr>
          <w:rFonts w:ascii="Verdana" w:hAnsi="Verdana"/>
          <w:sz w:val="20"/>
          <w:szCs w:val="20"/>
          <w:lang w:val="es-MX"/>
        </w:rPr>
      </w:pPr>
      <w:r w:rsidRPr="003746CD">
        <w:rPr>
          <w:rFonts w:ascii="Verdana" w:hAnsi="Verdana"/>
          <w:sz w:val="20"/>
          <w:szCs w:val="20"/>
          <w:lang w:val="es-MX"/>
        </w:rPr>
        <w:t>pagar las cantidades fijadas en la Sentencia por</w:t>
      </w:r>
      <w:r w:rsidR="00E70C9D" w:rsidRPr="003746CD">
        <w:rPr>
          <w:rFonts w:ascii="Verdana" w:hAnsi="Verdana"/>
          <w:sz w:val="20"/>
          <w:szCs w:val="20"/>
          <w:lang w:val="es-MX"/>
        </w:rPr>
        <w:t xml:space="preserve"> concepto de indemnizaciones de</w:t>
      </w:r>
      <w:r w:rsidRPr="003746CD">
        <w:rPr>
          <w:rFonts w:ascii="Verdana" w:hAnsi="Verdana"/>
          <w:sz w:val="20"/>
          <w:szCs w:val="20"/>
          <w:lang w:val="es-MX"/>
        </w:rPr>
        <w:t xml:space="preserve"> daño</w:t>
      </w:r>
      <w:r w:rsidR="00E70C9D" w:rsidRPr="003746CD">
        <w:rPr>
          <w:rFonts w:ascii="Verdana" w:hAnsi="Verdana"/>
          <w:sz w:val="20"/>
          <w:szCs w:val="20"/>
          <w:lang w:val="es-MX"/>
        </w:rPr>
        <w:t>s</w:t>
      </w:r>
      <w:r w:rsidRPr="003746CD">
        <w:rPr>
          <w:rFonts w:ascii="Verdana" w:hAnsi="Verdana"/>
          <w:sz w:val="20"/>
          <w:szCs w:val="20"/>
          <w:lang w:val="es-MX"/>
        </w:rPr>
        <w:t xml:space="preserve"> material e inmaterial, y por reintegro de costas y gastos </w:t>
      </w:r>
      <w:r w:rsidRPr="003746CD">
        <w:rPr>
          <w:rFonts w:ascii="Verdana" w:hAnsi="Verdana"/>
          <w:i/>
          <w:sz w:val="20"/>
          <w:szCs w:val="20"/>
          <w:lang w:val="es-MX"/>
        </w:rPr>
        <w:t>(punto dispositivo décimo noveno de la Sentencia).</w:t>
      </w:r>
    </w:p>
    <w:p w14:paraId="16B4C6D1" w14:textId="47DF8B3B" w:rsidR="00764E6F" w:rsidRPr="00D73AF3" w:rsidRDefault="00764E6F" w:rsidP="0097483A">
      <w:pPr>
        <w:suppressLineNumbers/>
        <w:spacing w:before="120" w:after="360" w:line="240" w:lineRule="auto"/>
        <w:jc w:val="both"/>
        <w:rPr>
          <w:rFonts w:ascii="Verdana" w:hAnsi="Verdana"/>
          <w:b/>
          <w:sz w:val="20"/>
          <w:szCs w:val="20"/>
          <w:lang w:val="es-ES"/>
        </w:rPr>
      </w:pPr>
      <w:r w:rsidRPr="00D73AF3">
        <w:rPr>
          <w:rFonts w:ascii="Verdana" w:hAnsi="Verdana"/>
          <w:b/>
          <w:sz w:val="20"/>
          <w:szCs w:val="20"/>
          <w:lang w:val="es-ES"/>
        </w:rPr>
        <w:t>Y RESUELVE:</w:t>
      </w:r>
    </w:p>
    <w:p w14:paraId="1EC4D7FB" w14:textId="47C4E0F6" w:rsidR="00E70C9D" w:rsidRDefault="00764E6F" w:rsidP="0097483A">
      <w:pPr>
        <w:suppressLineNumbers/>
        <w:spacing w:before="120" w:after="360" w:line="240" w:lineRule="auto"/>
        <w:jc w:val="both"/>
        <w:rPr>
          <w:rFonts w:ascii="Verdana" w:hAnsi="Verdana"/>
          <w:sz w:val="20"/>
          <w:szCs w:val="20"/>
          <w:lang w:val="es-ES"/>
        </w:rPr>
      </w:pPr>
      <w:r>
        <w:rPr>
          <w:rFonts w:ascii="Verdana" w:hAnsi="Verdana"/>
          <w:sz w:val="20"/>
          <w:szCs w:val="20"/>
          <w:lang w:val="es-ES"/>
        </w:rPr>
        <w:t>3.</w:t>
      </w:r>
      <w:r>
        <w:rPr>
          <w:rFonts w:ascii="Verdana" w:hAnsi="Verdana"/>
          <w:sz w:val="20"/>
          <w:szCs w:val="20"/>
          <w:lang w:val="es-ES"/>
        </w:rPr>
        <w:tab/>
      </w:r>
      <w:r w:rsidR="00E70C9D" w:rsidRPr="00E70C9D">
        <w:rPr>
          <w:rFonts w:ascii="Verdana" w:hAnsi="Verdana"/>
          <w:sz w:val="20"/>
          <w:szCs w:val="20"/>
          <w:lang w:val="es-ES"/>
        </w:rPr>
        <w:t>Expresar su preocupación por el incumplimiento estatal del deber de infor</w:t>
      </w:r>
      <w:r w:rsidR="00E70C9D">
        <w:rPr>
          <w:rFonts w:ascii="Verdana" w:hAnsi="Verdana"/>
          <w:sz w:val="20"/>
          <w:szCs w:val="20"/>
          <w:lang w:val="es-ES"/>
        </w:rPr>
        <w:t>mar sobre el cumplimiento de la Sentencia</w:t>
      </w:r>
      <w:r w:rsidR="00E70C9D" w:rsidRPr="00E70C9D">
        <w:rPr>
          <w:rFonts w:ascii="Verdana" w:hAnsi="Verdana"/>
          <w:sz w:val="20"/>
          <w:szCs w:val="20"/>
          <w:lang w:val="es-ES"/>
        </w:rPr>
        <w:t xml:space="preserve"> y por </w:t>
      </w:r>
      <w:r w:rsidR="009B2BCB">
        <w:rPr>
          <w:rFonts w:ascii="Verdana" w:hAnsi="Verdana"/>
          <w:sz w:val="20"/>
          <w:szCs w:val="20"/>
          <w:lang w:val="es-ES"/>
        </w:rPr>
        <w:t>el in</w:t>
      </w:r>
      <w:r w:rsidR="00E70C9D" w:rsidRPr="00E70C9D">
        <w:rPr>
          <w:rFonts w:ascii="Verdana" w:hAnsi="Verdana"/>
          <w:sz w:val="20"/>
          <w:szCs w:val="20"/>
          <w:lang w:val="es-ES"/>
        </w:rPr>
        <w:t>cumplimiento de l</w:t>
      </w:r>
      <w:r w:rsidR="00E70C9D">
        <w:rPr>
          <w:rFonts w:ascii="Verdana" w:hAnsi="Verdana"/>
          <w:sz w:val="20"/>
          <w:szCs w:val="20"/>
          <w:lang w:val="es-ES"/>
        </w:rPr>
        <w:t>as reparaciones ordenadas en la</w:t>
      </w:r>
      <w:r w:rsidR="00E70C9D" w:rsidRPr="00E70C9D">
        <w:rPr>
          <w:rFonts w:ascii="Verdana" w:hAnsi="Verdana"/>
          <w:sz w:val="20"/>
          <w:szCs w:val="20"/>
          <w:lang w:val="es-ES"/>
        </w:rPr>
        <w:t xml:space="preserve"> mis</w:t>
      </w:r>
      <w:r w:rsidR="00E70C9D">
        <w:rPr>
          <w:rFonts w:ascii="Verdana" w:hAnsi="Verdana"/>
          <w:sz w:val="20"/>
          <w:szCs w:val="20"/>
          <w:lang w:val="es-ES"/>
        </w:rPr>
        <w:t>ma</w:t>
      </w:r>
      <w:r w:rsidR="00E70C9D" w:rsidRPr="00E70C9D">
        <w:rPr>
          <w:rFonts w:ascii="Verdana" w:hAnsi="Verdana"/>
          <w:sz w:val="20"/>
          <w:szCs w:val="20"/>
          <w:lang w:val="es-ES"/>
        </w:rPr>
        <w:t>.</w:t>
      </w:r>
    </w:p>
    <w:p w14:paraId="303BF041" w14:textId="5F3DFB2E" w:rsidR="00764E6F" w:rsidRDefault="00E70C9D" w:rsidP="0097483A">
      <w:pPr>
        <w:suppressLineNumbers/>
        <w:spacing w:before="120" w:after="360" w:line="240" w:lineRule="auto"/>
        <w:jc w:val="both"/>
        <w:rPr>
          <w:rFonts w:ascii="Verdana" w:hAnsi="Verdana"/>
          <w:sz w:val="20"/>
          <w:szCs w:val="20"/>
          <w:lang w:val="es-ES"/>
        </w:rPr>
      </w:pPr>
      <w:r>
        <w:rPr>
          <w:rFonts w:ascii="Verdana" w:hAnsi="Verdana"/>
          <w:sz w:val="20"/>
          <w:szCs w:val="20"/>
          <w:lang w:val="es-ES"/>
        </w:rPr>
        <w:t>4.</w:t>
      </w:r>
      <w:r>
        <w:rPr>
          <w:rFonts w:ascii="Verdana" w:hAnsi="Verdana"/>
          <w:sz w:val="20"/>
          <w:szCs w:val="20"/>
          <w:lang w:val="es-ES"/>
        </w:rPr>
        <w:tab/>
      </w:r>
      <w:r w:rsidR="00764E6F" w:rsidRPr="00E870B6">
        <w:rPr>
          <w:rFonts w:ascii="Verdana" w:hAnsi="Verdana"/>
          <w:sz w:val="20"/>
          <w:szCs w:val="20"/>
          <w:lang w:val="es-ES"/>
        </w:rPr>
        <w:t>Mantener abierto el procedimiento de supervisión de cumplimiento respecto de todas las medidas de reparación ordenadas en la Sentencia</w:t>
      </w:r>
      <w:r w:rsidR="00764E6F">
        <w:rPr>
          <w:rFonts w:ascii="Verdana" w:hAnsi="Verdana"/>
          <w:sz w:val="20"/>
          <w:szCs w:val="20"/>
          <w:lang w:val="es-ES"/>
        </w:rPr>
        <w:t>.</w:t>
      </w:r>
    </w:p>
    <w:p w14:paraId="067CCD86" w14:textId="390ECD94" w:rsidR="00764E6F" w:rsidRDefault="00E70C9D" w:rsidP="0097483A">
      <w:pPr>
        <w:suppressLineNumbers/>
        <w:spacing w:before="120" w:after="360" w:line="240" w:lineRule="auto"/>
        <w:jc w:val="both"/>
        <w:rPr>
          <w:rFonts w:ascii="Verdana" w:hAnsi="Verdana"/>
          <w:sz w:val="20"/>
        </w:rPr>
      </w:pPr>
      <w:r>
        <w:rPr>
          <w:rFonts w:ascii="Verdana" w:hAnsi="Verdana"/>
          <w:sz w:val="20"/>
          <w:lang w:val="es-ES"/>
        </w:rPr>
        <w:t>5</w:t>
      </w:r>
      <w:r w:rsidR="00764E6F">
        <w:rPr>
          <w:rFonts w:ascii="Verdana" w:hAnsi="Verdana"/>
          <w:sz w:val="20"/>
          <w:lang w:val="es-ES"/>
        </w:rPr>
        <w:t>.</w:t>
      </w:r>
      <w:r w:rsidR="00764E6F">
        <w:rPr>
          <w:rFonts w:ascii="Verdana" w:hAnsi="Verdana"/>
          <w:sz w:val="20"/>
          <w:lang w:val="es-ES"/>
        </w:rPr>
        <w:tab/>
      </w:r>
      <w:r w:rsidR="00764E6F" w:rsidRPr="00D73AF3">
        <w:rPr>
          <w:rFonts w:ascii="Verdana" w:hAnsi="Verdana"/>
          <w:sz w:val="20"/>
        </w:rPr>
        <w:t xml:space="preserve">Disponer que Venezuela adopte, en definitiva y a la mayor brevedad posible, las medidas que sean necesarias para dar efectivo y pronto cumplimiento a las reparaciones ordenadas en la Sentencia dictada en </w:t>
      </w:r>
      <w:r w:rsidR="00764E6F">
        <w:rPr>
          <w:rFonts w:ascii="Verdana" w:hAnsi="Verdana"/>
          <w:sz w:val="20"/>
        </w:rPr>
        <w:t>el</w:t>
      </w:r>
      <w:r w:rsidR="00764E6F" w:rsidRPr="00D73AF3">
        <w:rPr>
          <w:rFonts w:ascii="Verdana" w:hAnsi="Verdana"/>
          <w:sz w:val="20"/>
        </w:rPr>
        <w:t xml:space="preserve"> caso </w:t>
      </w:r>
      <w:r w:rsidR="00764E6F">
        <w:rPr>
          <w:rFonts w:ascii="Verdana" w:hAnsi="Verdana"/>
          <w:i/>
          <w:sz w:val="20"/>
          <w:lang w:val="es-MX"/>
        </w:rPr>
        <w:t>Granier y otros</w:t>
      </w:r>
      <w:r w:rsidR="00764E6F" w:rsidRPr="00D73AF3">
        <w:rPr>
          <w:rFonts w:ascii="Verdana" w:hAnsi="Verdana"/>
          <w:sz w:val="20"/>
        </w:rPr>
        <w:t>, de acuerdo con lo considerado en la presente Resolución, y con lo estipulado en el artículo 68.1 de la Convención Americana sobre Derechos Humanos.</w:t>
      </w:r>
      <w:r w:rsidR="00764E6F">
        <w:rPr>
          <w:rFonts w:ascii="Verdana" w:hAnsi="Verdana"/>
          <w:sz w:val="20"/>
        </w:rPr>
        <w:t xml:space="preserve"> </w:t>
      </w:r>
    </w:p>
    <w:p w14:paraId="1E9C8F7A" w14:textId="322279E8" w:rsidR="009B2BCB" w:rsidRPr="009B2BCB" w:rsidRDefault="00E70C9D" w:rsidP="0097483A">
      <w:pPr>
        <w:suppressLineNumbers/>
        <w:spacing w:before="120" w:after="360" w:line="240" w:lineRule="auto"/>
        <w:jc w:val="both"/>
        <w:rPr>
          <w:rFonts w:ascii="Verdana" w:hAnsi="Verdana"/>
          <w:sz w:val="20"/>
          <w:lang w:val="es-ES"/>
        </w:rPr>
      </w:pPr>
      <w:r>
        <w:rPr>
          <w:rFonts w:ascii="Verdana" w:hAnsi="Verdana"/>
          <w:sz w:val="20"/>
        </w:rPr>
        <w:lastRenderedPageBreak/>
        <w:t>6</w:t>
      </w:r>
      <w:r w:rsidR="00764E6F">
        <w:rPr>
          <w:rFonts w:ascii="Verdana" w:hAnsi="Verdana"/>
          <w:sz w:val="20"/>
        </w:rPr>
        <w:t xml:space="preserve">. </w:t>
      </w:r>
      <w:r w:rsidR="00764E6F">
        <w:rPr>
          <w:rFonts w:ascii="Verdana" w:hAnsi="Verdana"/>
          <w:sz w:val="20"/>
        </w:rPr>
        <w:tab/>
      </w:r>
      <w:r w:rsidR="00764E6F" w:rsidRPr="00D73AF3">
        <w:rPr>
          <w:rFonts w:ascii="Verdana" w:hAnsi="Verdana"/>
          <w:sz w:val="20"/>
          <w:lang w:val="es-CL"/>
        </w:rPr>
        <w:t>Incorporar en el próximo Informe Anual de la Corte Interamericana de Derechos Humanos lo decidido en la presente Resolución con el fin de</w:t>
      </w:r>
      <w:r w:rsidR="00764E6F" w:rsidRPr="00D73AF3">
        <w:rPr>
          <w:rFonts w:ascii="Verdana" w:hAnsi="Verdana"/>
          <w:b/>
          <w:sz w:val="20"/>
          <w:lang w:val="es-CL"/>
        </w:rPr>
        <w:t xml:space="preserve"> </w:t>
      </w:r>
      <w:r w:rsidR="00764E6F" w:rsidRPr="00D73AF3">
        <w:rPr>
          <w:rFonts w:ascii="Verdana" w:hAnsi="Verdana"/>
          <w:sz w:val="20"/>
        </w:rPr>
        <w:t xml:space="preserve">informar a la Asamblea General de la Organización de los Estados Americanos, en aplicación del artículo 65 de la Convención Americana sobre Derechos Humanos, sobre el incumplimiento por parte del Estado de Venezuela de sus obligaciones señaladas en los puntos resolutivos </w:t>
      </w:r>
      <w:r w:rsidR="00764E6F">
        <w:rPr>
          <w:rFonts w:ascii="Verdana" w:hAnsi="Verdana"/>
          <w:sz w:val="20"/>
        </w:rPr>
        <w:t xml:space="preserve">1 y 2 </w:t>
      </w:r>
      <w:r w:rsidR="00764E6F" w:rsidRPr="00D73AF3">
        <w:rPr>
          <w:rFonts w:ascii="Verdana" w:hAnsi="Verdana"/>
          <w:sz w:val="20"/>
        </w:rPr>
        <w:t>de la presente Resolución</w:t>
      </w:r>
      <w:r w:rsidR="009B2BCB">
        <w:rPr>
          <w:rFonts w:ascii="Verdana" w:hAnsi="Verdana"/>
          <w:sz w:val="20"/>
        </w:rPr>
        <w:t xml:space="preserve">. </w:t>
      </w:r>
    </w:p>
    <w:p w14:paraId="52312170" w14:textId="6705A6DB" w:rsidR="00263FD5" w:rsidRDefault="00E70C9D" w:rsidP="0097483A">
      <w:pPr>
        <w:suppressLineNumbers/>
        <w:spacing w:before="120" w:after="360" w:line="240" w:lineRule="auto"/>
        <w:jc w:val="both"/>
        <w:rPr>
          <w:rFonts w:ascii="Verdana" w:hAnsi="Verdana"/>
          <w:sz w:val="20"/>
        </w:rPr>
      </w:pPr>
      <w:r>
        <w:rPr>
          <w:rFonts w:ascii="Verdana" w:hAnsi="Verdana"/>
          <w:sz w:val="20"/>
        </w:rPr>
        <w:t>7</w:t>
      </w:r>
      <w:r w:rsidR="00764E6F">
        <w:rPr>
          <w:rFonts w:ascii="Verdana" w:hAnsi="Verdana"/>
          <w:sz w:val="20"/>
        </w:rPr>
        <w:t>.</w:t>
      </w:r>
      <w:r w:rsidR="00764E6F">
        <w:rPr>
          <w:rFonts w:ascii="Verdana" w:hAnsi="Verdana"/>
          <w:sz w:val="20"/>
        </w:rPr>
        <w:tab/>
      </w:r>
      <w:r w:rsidR="00764E6F" w:rsidRPr="00D73AF3">
        <w:rPr>
          <w:rFonts w:ascii="Verdana" w:hAnsi="Verdana"/>
          <w:sz w:val="20"/>
        </w:rPr>
        <w:t>Disponer que la Secretaría de la Corte notifique la presente Resolución al Estado, a los representantes de la</w:t>
      </w:r>
      <w:r w:rsidR="00377CA6">
        <w:rPr>
          <w:rFonts w:ascii="Verdana" w:hAnsi="Verdana"/>
          <w:sz w:val="20"/>
        </w:rPr>
        <w:t>s</w:t>
      </w:r>
      <w:r w:rsidR="00764E6F" w:rsidRPr="00D73AF3">
        <w:rPr>
          <w:rFonts w:ascii="Verdana" w:hAnsi="Verdana"/>
          <w:sz w:val="20"/>
        </w:rPr>
        <w:t xml:space="preserve"> víctima</w:t>
      </w:r>
      <w:r w:rsidR="00377CA6">
        <w:rPr>
          <w:rFonts w:ascii="Verdana" w:hAnsi="Verdana"/>
          <w:sz w:val="20"/>
        </w:rPr>
        <w:t>s</w:t>
      </w:r>
      <w:r w:rsidR="00764E6F" w:rsidRPr="00D73AF3">
        <w:rPr>
          <w:rFonts w:ascii="Verdana" w:hAnsi="Verdana"/>
          <w:sz w:val="20"/>
        </w:rPr>
        <w:t xml:space="preserve"> y a la Comisión Inte</w:t>
      </w:r>
      <w:r w:rsidR="00764E6F">
        <w:rPr>
          <w:rFonts w:ascii="Verdana" w:hAnsi="Verdana"/>
          <w:sz w:val="20"/>
        </w:rPr>
        <w:t>ramericana de Derechos Humanos.</w:t>
      </w:r>
    </w:p>
    <w:p w14:paraId="4E0203B9" w14:textId="2F9099BD" w:rsidR="003C2AB0" w:rsidRPr="008D6226" w:rsidRDefault="003C2AB0" w:rsidP="003C2AB0">
      <w:pPr>
        <w:tabs>
          <w:tab w:val="left" w:pos="4215"/>
        </w:tabs>
        <w:spacing w:line="240" w:lineRule="auto"/>
        <w:jc w:val="both"/>
        <w:rPr>
          <w:rFonts w:ascii="Verdana" w:eastAsia="Times" w:hAnsi="Verdana" w:cs="Verdana"/>
          <w:b/>
          <w:bCs/>
          <w:sz w:val="20"/>
          <w:szCs w:val="20"/>
          <w:lang w:val="es-ES_tradnl"/>
        </w:rPr>
      </w:pPr>
      <w:r w:rsidRPr="008D6226">
        <w:rPr>
          <w:rFonts w:ascii="Verdana" w:eastAsia="Times" w:hAnsi="Verdana" w:cs="Courier New"/>
          <w:sz w:val="20"/>
          <w:szCs w:val="20"/>
          <w:lang w:val="es-ES_tradnl"/>
        </w:rPr>
        <w:t>Corte IDH.</w:t>
      </w:r>
      <w:r w:rsidRPr="00353F04">
        <w:t xml:space="preserve"> </w:t>
      </w:r>
      <w:r w:rsidRPr="00353F04">
        <w:rPr>
          <w:rFonts w:ascii="Verdana" w:eastAsia="Times" w:hAnsi="Verdana" w:cs="Courier New"/>
          <w:i/>
          <w:sz w:val="20"/>
          <w:szCs w:val="20"/>
          <w:lang w:val="es-ES_tradnl"/>
        </w:rPr>
        <w:t>Caso Granier y otros (Radio Caracas Televisión) Vs. Venezuela</w:t>
      </w:r>
      <w:r w:rsidRPr="008D6226">
        <w:rPr>
          <w:rFonts w:ascii="Verdana" w:eastAsia="Times" w:hAnsi="Verdana"/>
          <w:i/>
          <w:sz w:val="20"/>
          <w:szCs w:val="20"/>
          <w:lang w:val="es-ES_tradnl"/>
        </w:rPr>
        <w:t>.</w:t>
      </w:r>
      <w:r w:rsidRPr="008D6226">
        <w:rPr>
          <w:rFonts w:ascii="Verdana" w:eastAsia="Times" w:hAnsi="Verdana" w:cs="Arial"/>
          <w:i/>
          <w:sz w:val="20"/>
          <w:szCs w:val="20"/>
          <w:lang w:val="es-ES_tradnl"/>
        </w:rPr>
        <w:t xml:space="preserve"> </w:t>
      </w:r>
      <w:r>
        <w:rPr>
          <w:rFonts w:ascii="Verdana" w:eastAsia="Times" w:hAnsi="Verdana"/>
          <w:sz w:val="20"/>
          <w:szCs w:val="20"/>
          <w:lang w:val="es-ES_tradnl"/>
        </w:rPr>
        <w:t>Supervisión de c</w:t>
      </w:r>
      <w:r w:rsidRPr="008D6226">
        <w:rPr>
          <w:rFonts w:ascii="Verdana" w:eastAsia="Times" w:hAnsi="Verdana"/>
          <w:sz w:val="20"/>
          <w:szCs w:val="20"/>
          <w:lang w:val="es-ES_tradnl"/>
        </w:rPr>
        <w:t xml:space="preserve">umplimiento de sentencia. Resolución de la Corte Interamericana de Derechos Humanos de </w:t>
      </w:r>
      <w:r>
        <w:rPr>
          <w:rFonts w:ascii="Verdana" w:eastAsia="Times" w:hAnsi="Verdana"/>
          <w:sz w:val="20"/>
          <w:szCs w:val="20"/>
          <w:lang w:val="es-ES_tradnl"/>
        </w:rPr>
        <w:t>18</w:t>
      </w:r>
      <w:r w:rsidRPr="008D6226">
        <w:rPr>
          <w:rFonts w:ascii="Verdana" w:eastAsia="Times" w:hAnsi="Verdana"/>
          <w:sz w:val="20"/>
          <w:szCs w:val="20"/>
          <w:lang w:val="es-ES_tradnl"/>
        </w:rPr>
        <w:t xml:space="preserve"> de noviembre de 2020. Resolución adoptada en San José de Costa Rica por medio de sesión virtual.</w:t>
      </w:r>
    </w:p>
    <w:p w14:paraId="3E559D4F" w14:textId="77777777" w:rsidR="003C2AB0" w:rsidRDefault="003C2AB0" w:rsidP="003C2AB0">
      <w:pPr>
        <w:snapToGrid w:val="0"/>
        <w:spacing w:after="0" w:line="240" w:lineRule="auto"/>
        <w:jc w:val="center"/>
        <w:rPr>
          <w:rFonts w:ascii="Verdana" w:hAnsi="Verdana"/>
          <w:sz w:val="20"/>
          <w:szCs w:val="20"/>
          <w:lang w:val="pt-BR"/>
        </w:rPr>
      </w:pPr>
    </w:p>
    <w:p w14:paraId="65D39AE2" w14:textId="77777777" w:rsidR="003C2AB0" w:rsidRDefault="003C2AB0" w:rsidP="003C2AB0">
      <w:pPr>
        <w:snapToGrid w:val="0"/>
        <w:spacing w:after="0" w:line="240" w:lineRule="auto"/>
        <w:jc w:val="center"/>
        <w:rPr>
          <w:rFonts w:ascii="Verdana" w:hAnsi="Verdana"/>
          <w:sz w:val="20"/>
          <w:szCs w:val="20"/>
          <w:lang w:val="pt-BR"/>
        </w:rPr>
      </w:pPr>
    </w:p>
    <w:p w14:paraId="01E9AB71" w14:textId="77777777" w:rsidR="003C2AB0" w:rsidRDefault="003C2AB0" w:rsidP="003C2AB0">
      <w:pPr>
        <w:snapToGrid w:val="0"/>
        <w:spacing w:after="0" w:line="240" w:lineRule="auto"/>
        <w:jc w:val="center"/>
        <w:rPr>
          <w:rFonts w:ascii="Verdana" w:hAnsi="Verdana"/>
          <w:sz w:val="20"/>
          <w:szCs w:val="20"/>
          <w:lang w:val="pt-BR"/>
        </w:rPr>
      </w:pPr>
    </w:p>
    <w:p w14:paraId="7C62D1A2" w14:textId="7C3F9DAB" w:rsidR="003C2AB0" w:rsidRPr="008D6226" w:rsidRDefault="003C2AB0" w:rsidP="003C2AB0">
      <w:pPr>
        <w:snapToGrid w:val="0"/>
        <w:spacing w:after="0" w:line="240" w:lineRule="auto"/>
        <w:jc w:val="center"/>
        <w:rPr>
          <w:rFonts w:ascii="Verdana" w:hAnsi="Verdana"/>
          <w:sz w:val="20"/>
          <w:szCs w:val="20"/>
          <w:lang w:val="pt-BR"/>
        </w:rPr>
      </w:pPr>
      <w:r w:rsidRPr="008D6226">
        <w:rPr>
          <w:rFonts w:ascii="Verdana" w:hAnsi="Verdana"/>
          <w:sz w:val="20"/>
          <w:szCs w:val="20"/>
          <w:lang w:val="pt-BR"/>
        </w:rPr>
        <w:t>Elizabeth Odio Benito</w:t>
      </w:r>
    </w:p>
    <w:p w14:paraId="76112DE9" w14:textId="5966C1CC" w:rsidR="003C2AB0" w:rsidRPr="008D6226" w:rsidRDefault="003C2AB0" w:rsidP="003C2AB0">
      <w:pPr>
        <w:snapToGrid w:val="0"/>
        <w:spacing w:after="0" w:line="240" w:lineRule="auto"/>
        <w:jc w:val="center"/>
        <w:rPr>
          <w:rFonts w:ascii="Verdana" w:hAnsi="Verdana"/>
          <w:sz w:val="20"/>
          <w:szCs w:val="20"/>
          <w:lang w:val="pt-BR"/>
        </w:rPr>
      </w:pPr>
      <w:r w:rsidRPr="008D6226">
        <w:rPr>
          <w:rFonts w:ascii="Verdana" w:hAnsi="Verdana"/>
          <w:sz w:val="20"/>
          <w:szCs w:val="20"/>
          <w:lang w:val="pt-BR"/>
        </w:rPr>
        <w:t>Presidenta</w:t>
      </w:r>
    </w:p>
    <w:p w14:paraId="0A1B4F35" w14:textId="77777777" w:rsidR="003C2AB0" w:rsidRPr="008D6226" w:rsidRDefault="003C2AB0" w:rsidP="003C2AB0">
      <w:pPr>
        <w:snapToGrid w:val="0"/>
        <w:spacing w:after="0" w:line="240" w:lineRule="auto"/>
        <w:jc w:val="both"/>
        <w:rPr>
          <w:rFonts w:ascii="Verdana" w:hAnsi="Verdana"/>
          <w:sz w:val="20"/>
          <w:szCs w:val="20"/>
          <w:lang w:val="pt-BR"/>
        </w:rPr>
      </w:pPr>
    </w:p>
    <w:p w14:paraId="54BA5B8D" w14:textId="77777777" w:rsidR="003C2AB0" w:rsidRPr="008D6226" w:rsidRDefault="003C2AB0" w:rsidP="003C2AB0">
      <w:pPr>
        <w:snapToGrid w:val="0"/>
        <w:spacing w:after="0" w:line="240" w:lineRule="auto"/>
        <w:jc w:val="both"/>
        <w:rPr>
          <w:rFonts w:ascii="Verdana" w:hAnsi="Verdana"/>
          <w:sz w:val="20"/>
          <w:szCs w:val="20"/>
          <w:lang w:val="pt-BR"/>
        </w:rPr>
      </w:pPr>
    </w:p>
    <w:p w14:paraId="0C570C03" w14:textId="77777777" w:rsidR="003C2AB0" w:rsidRPr="008D6226" w:rsidRDefault="003C2AB0" w:rsidP="003C2AB0">
      <w:pPr>
        <w:snapToGrid w:val="0"/>
        <w:spacing w:after="0" w:line="240" w:lineRule="auto"/>
        <w:jc w:val="both"/>
        <w:rPr>
          <w:rFonts w:ascii="Verdana" w:hAnsi="Verdana"/>
          <w:sz w:val="20"/>
          <w:szCs w:val="20"/>
          <w:lang w:val="pt-BR"/>
        </w:rPr>
      </w:pPr>
    </w:p>
    <w:p w14:paraId="02749620" w14:textId="77777777" w:rsidR="003C2AB0" w:rsidRPr="008D6226" w:rsidRDefault="003C2AB0" w:rsidP="003C2AB0">
      <w:pPr>
        <w:snapToGrid w:val="0"/>
        <w:spacing w:after="0" w:line="240" w:lineRule="auto"/>
        <w:jc w:val="both"/>
        <w:rPr>
          <w:rFonts w:ascii="Verdana" w:hAnsi="Verdana"/>
          <w:sz w:val="20"/>
          <w:szCs w:val="20"/>
          <w:lang w:val="pt-BR"/>
        </w:rPr>
      </w:pPr>
      <w:r w:rsidRPr="008D6226">
        <w:rPr>
          <w:rFonts w:ascii="Verdana" w:hAnsi="Verdana"/>
          <w:sz w:val="20"/>
          <w:szCs w:val="20"/>
          <w:lang w:val="pt-BR"/>
        </w:rPr>
        <w:t xml:space="preserve">L. </w:t>
      </w:r>
      <w:proofErr w:type="spellStart"/>
      <w:r w:rsidRPr="008D6226">
        <w:rPr>
          <w:rFonts w:ascii="Verdana" w:hAnsi="Verdana"/>
          <w:sz w:val="20"/>
          <w:szCs w:val="20"/>
          <w:lang w:val="pt-BR"/>
        </w:rPr>
        <w:t>Patricio</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Pazmiño</w:t>
      </w:r>
      <w:proofErr w:type="spellEnd"/>
      <w:r w:rsidRPr="008D6226">
        <w:rPr>
          <w:rFonts w:ascii="Verdana" w:hAnsi="Verdana"/>
          <w:sz w:val="20"/>
          <w:szCs w:val="20"/>
          <w:lang w:val="pt-BR"/>
        </w:rPr>
        <w:t xml:space="preserve">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sidRPr="008D6226">
        <w:rPr>
          <w:rFonts w:ascii="Verdana" w:eastAsia="Times" w:hAnsi="Verdana"/>
          <w:sz w:val="20"/>
          <w:szCs w:val="20"/>
          <w:lang w:val="pt-BR"/>
        </w:rPr>
        <w:t xml:space="preserve">Humberto </w:t>
      </w:r>
      <w:proofErr w:type="spellStart"/>
      <w:r w:rsidRPr="008D6226">
        <w:rPr>
          <w:rFonts w:ascii="Verdana" w:eastAsia="Times" w:hAnsi="Verdana"/>
          <w:sz w:val="20"/>
          <w:szCs w:val="20"/>
          <w:lang w:val="pt-BR"/>
        </w:rPr>
        <w:t>Antonio</w:t>
      </w:r>
      <w:proofErr w:type="spellEnd"/>
      <w:r w:rsidRPr="008D6226">
        <w:rPr>
          <w:rFonts w:ascii="Verdana" w:eastAsia="Times" w:hAnsi="Verdana"/>
          <w:sz w:val="20"/>
          <w:szCs w:val="20"/>
          <w:lang w:val="pt-BR"/>
        </w:rPr>
        <w:t xml:space="preserve"> </w:t>
      </w:r>
      <w:proofErr w:type="spellStart"/>
      <w:r w:rsidRPr="008D6226">
        <w:rPr>
          <w:rFonts w:ascii="Verdana" w:eastAsia="Times" w:hAnsi="Verdana"/>
          <w:sz w:val="20"/>
          <w:szCs w:val="20"/>
          <w:lang w:val="pt-BR"/>
        </w:rPr>
        <w:t>Sierra</w:t>
      </w:r>
      <w:proofErr w:type="spellEnd"/>
      <w:r w:rsidRPr="008D6226">
        <w:rPr>
          <w:rFonts w:ascii="Verdana" w:eastAsia="Times" w:hAnsi="Verdana"/>
          <w:sz w:val="20"/>
          <w:szCs w:val="20"/>
          <w:lang w:val="pt-BR"/>
        </w:rPr>
        <w:t xml:space="preserve"> Porto</w:t>
      </w:r>
      <w:r w:rsidRPr="008D6226">
        <w:rPr>
          <w:rFonts w:ascii="Verdana" w:hAnsi="Verdana"/>
          <w:sz w:val="20"/>
          <w:szCs w:val="20"/>
          <w:lang w:val="pt-BR"/>
        </w:rPr>
        <w:t xml:space="preserve">         </w:t>
      </w:r>
    </w:p>
    <w:p w14:paraId="2EC5EC5C" w14:textId="77777777" w:rsidR="003C2AB0" w:rsidRPr="008D6226" w:rsidRDefault="003C2AB0" w:rsidP="003C2AB0">
      <w:pPr>
        <w:snapToGrid w:val="0"/>
        <w:spacing w:after="0" w:line="240" w:lineRule="auto"/>
        <w:jc w:val="both"/>
        <w:rPr>
          <w:rFonts w:ascii="Verdana" w:hAnsi="Verdana"/>
          <w:sz w:val="20"/>
          <w:szCs w:val="20"/>
          <w:lang w:val="pt-BR"/>
        </w:rPr>
      </w:pPr>
    </w:p>
    <w:p w14:paraId="7A0949AE" w14:textId="77777777" w:rsidR="003C2AB0" w:rsidRPr="008D6226" w:rsidRDefault="003C2AB0" w:rsidP="003C2AB0">
      <w:pPr>
        <w:snapToGrid w:val="0"/>
        <w:spacing w:after="0" w:line="240" w:lineRule="auto"/>
        <w:jc w:val="both"/>
        <w:rPr>
          <w:rFonts w:ascii="Verdana" w:hAnsi="Verdana"/>
          <w:sz w:val="20"/>
          <w:szCs w:val="20"/>
          <w:lang w:val="pt-BR"/>
        </w:rPr>
      </w:pPr>
    </w:p>
    <w:p w14:paraId="515C8442" w14:textId="77777777" w:rsidR="003C2AB0" w:rsidRPr="008D6226" w:rsidRDefault="003C2AB0" w:rsidP="003C2AB0">
      <w:pPr>
        <w:snapToGrid w:val="0"/>
        <w:spacing w:after="0" w:line="240" w:lineRule="auto"/>
        <w:jc w:val="both"/>
        <w:rPr>
          <w:rFonts w:ascii="Verdana" w:hAnsi="Verdana"/>
          <w:sz w:val="20"/>
          <w:szCs w:val="20"/>
          <w:lang w:val="pt-BR"/>
        </w:rPr>
      </w:pPr>
    </w:p>
    <w:p w14:paraId="654AAEF7" w14:textId="77777777" w:rsidR="003C2AB0" w:rsidRPr="008D6226" w:rsidRDefault="003C2AB0" w:rsidP="003C2AB0">
      <w:pPr>
        <w:snapToGrid w:val="0"/>
        <w:spacing w:after="0" w:line="240" w:lineRule="auto"/>
        <w:jc w:val="both"/>
        <w:rPr>
          <w:rFonts w:ascii="Verdana" w:hAnsi="Verdana"/>
          <w:sz w:val="20"/>
          <w:szCs w:val="20"/>
          <w:lang w:val="pt-BR"/>
        </w:rPr>
      </w:pPr>
      <w:r w:rsidRPr="008D6226">
        <w:rPr>
          <w:rFonts w:ascii="Verdana" w:hAnsi="Verdana"/>
          <w:sz w:val="20"/>
          <w:szCs w:val="20"/>
          <w:lang w:val="pt-BR"/>
        </w:rPr>
        <w:t xml:space="preserve">Eduardo Ferrer </w:t>
      </w:r>
      <w:proofErr w:type="spellStart"/>
      <w:r w:rsidRPr="008D6226">
        <w:rPr>
          <w:rFonts w:ascii="Verdana" w:hAnsi="Verdana"/>
          <w:sz w:val="20"/>
          <w:szCs w:val="20"/>
          <w:lang w:val="pt-BR"/>
        </w:rPr>
        <w:t>Mac-Gregor</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Poisot</w:t>
      </w:r>
      <w:proofErr w:type="spellEnd"/>
      <w:r w:rsidRPr="008B1697">
        <w:rPr>
          <w:rFonts w:ascii="Verdana" w:hAnsi="Verdana"/>
          <w:sz w:val="20"/>
          <w:szCs w:val="20"/>
          <w:lang w:val="pt-BR"/>
        </w:rPr>
        <w:t xml:space="preserve"> </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sidRPr="008D6226">
        <w:rPr>
          <w:rFonts w:ascii="Verdana" w:hAnsi="Verdana"/>
          <w:sz w:val="20"/>
          <w:szCs w:val="20"/>
          <w:lang w:val="pt-BR"/>
        </w:rPr>
        <w:t xml:space="preserve">Eugenio </w:t>
      </w:r>
      <w:proofErr w:type="spellStart"/>
      <w:r w:rsidRPr="008D6226">
        <w:rPr>
          <w:rFonts w:ascii="Verdana" w:hAnsi="Verdana"/>
          <w:sz w:val="20"/>
          <w:szCs w:val="20"/>
          <w:lang w:val="pt-BR"/>
        </w:rPr>
        <w:t>Raúl</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Zaffaroni</w:t>
      </w:r>
      <w:proofErr w:type="spellEnd"/>
    </w:p>
    <w:p w14:paraId="097D150E" w14:textId="77777777" w:rsidR="003C2AB0" w:rsidRPr="008D6226" w:rsidRDefault="003C2AB0" w:rsidP="003C2AB0">
      <w:pPr>
        <w:snapToGrid w:val="0"/>
        <w:spacing w:after="0" w:line="240" w:lineRule="auto"/>
        <w:jc w:val="both"/>
        <w:rPr>
          <w:rFonts w:ascii="Verdana" w:hAnsi="Verdana"/>
          <w:sz w:val="20"/>
          <w:szCs w:val="20"/>
          <w:lang w:val="pt-BR"/>
        </w:rPr>
      </w:pPr>
    </w:p>
    <w:p w14:paraId="1E9D792E" w14:textId="77777777" w:rsidR="003C2AB0" w:rsidRPr="008D6226" w:rsidRDefault="003C2AB0" w:rsidP="003C2AB0">
      <w:pPr>
        <w:snapToGrid w:val="0"/>
        <w:spacing w:after="0" w:line="240" w:lineRule="auto"/>
        <w:jc w:val="both"/>
        <w:rPr>
          <w:rFonts w:ascii="Verdana" w:hAnsi="Verdana"/>
          <w:sz w:val="20"/>
          <w:szCs w:val="20"/>
          <w:lang w:val="pt-BR"/>
        </w:rPr>
      </w:pPr>
    </w:p>
    <w:p w14:paraId="1A3E8AF1" w14:textId="77777777" w:rsidR="003C2AB0" w:rsidRPr="008D6226" w:rsidRDefault="003C2AB0" w:rsidP="003C2AB0">
      <w:pPr>
        <w:snapToGrid w:val="0"/>
        <w:spacing w:after="0" w:line="240" w:lineRule="auto"/>
        <w:jc w:val="both"/>
        <w:rPr>
          <w:rFonts w:ascii="Verdana" w:hAnsi="Verdana"/>
          <w:sz w:val="20"/>
          <w:szCs w:val="20"/>
          <w:lang w:val="pt-BR"/>
        </w:rPr>
      </w:pPr>
    </w:p>
    <w:p w14:paraId="6C64FFFD" w14:textId="660C43E9" w:rsidR="003C2AB0" w:rsidRPr="008D6226" w:rsidRDefault="003C2AB0" w:rsidP="006503D7">
      <w:pPr>
        <w:snapToGrid w:val="0"/>
        <w:spacing w:after="0" w:line="240" w:lineRule="auto"/>
        <w:jc w:val="center"/>
        <w:rPr>
          <w:rFonts w:ascii="Verdana" w:hAnsi="Verdana"/>
          <w:sz w:val="20"/>
          <w:szCs w:val="20"/>
          <w:lang w:val="pt-BR"/>
        </w:rPr>
      </w:pPr>
      <w:r w:rsidRPr="008D6226">
        <w:rPr>
          <w:rFonts w:ascii="Verdana" w:hAnsi="Verdana"/>
          <w:sz w:val="20"/>
          <w:szCs w:val="20"/>
          <w:lang w:val="pt-BR"/>
        </w:rPr>
        <w:t xml:space="preserve">Ricardo C. Pérez </w:t>
      </w:r>
      <w:proofErr w:type="spellStart"/>
      <w:r w:rsidRPr="008D6226">
        <w:rPr>
          <w:rFonts w:ascii="Verdana" w:hAnsi="Verdana"/>
          <w:sz w:val="20"/>
          <w:szCs w:val="20"/>
          <w:lang w:val="pt-BR"/>
        </w:rPr>
        <w:t>Manrique</w:t>
      </w:r>
      <w:proofErr w:type="spellEnd"/>
    </w:p>
    <w:p w14:paraId="79BD6ED7" w14:textId="77777777" w:rsidR="003C2AB0" w:rsidRPr="008D6226" w:rsidRDefault="003C2AB0" w:rsidP="003C2AB0">
      <w:pPr>
        <w:snapToGrid w:val="0"/>
        <w:spacing w:after="0" w:line="240" w:lineRule="auto"/>
        <w:jc w:val="both"/>
        <w:rPr>
          <w:rFonts w:ascii="Verdana" w:hAnsi="Verdana"/>
          <w:sz w:val="20"/>
          <w:szCs w:val="20"/>
          <w:lang w:val="pt-BR"/>
        </w:rPr>
      </w:pPr>
    </w:p>
    <w:p w14:paraId="31E15D16" w14:textId="77777777" w:rsidR="003C2AB0" w:rsidRPr="008D6226" w:rsidRDefault="003C2AB0" w:rsidP="003C2AB0">
      <w:pPr>
        <w:snapToGrid w:val="0"/>
        <w:spacing w:after="0" w:line="240" w:lineRule="auto"/>
        <w:jc w:val="both"/>
        <w:rPr>
          <w:rFonts w:ascii="Verdana" w:eastAsia="Times" w:hAnsi="Verdana"/>
          <w:sz w:val="20"/>
          <w:szCs w:val="20"/>
          <w:lang w:val="pt-BR"/>
        </w:rPr>
      </w:pPr>
    </w:p>
    <w:p w14:paraId="2DBCE744" w14:textId="77777777" w:rsidR="003C2AB0" w:rsidRPr="008D6226" w:rsidRDefault="003C2AB0" w:rsidP="003C2AB0">
      <w:pPr>
        <w:snapToGrid w:val="0"/>
        <w:spacing w:after="0" w:line="240" w:lineRule="auto"/>
        <w:jc w:val="both"/>
        <w:rPr>
          <w:rFonts w:ascii="Verdana" w:eastAsia="Times" w:hAnsi="Verdana"/>
          <w:sz w:val="20"/>
          <w:szCs w:val="20"/>
          <w:lang w:val="pt-BR"/>
        </w:rPr>
      </w:pPr>
    </w:p>
    <w:p w14:paraId="4300E01D" w14:textId="77777777" w:rsidR="003C2AB0" w:rsidRPr="008D6226" w:rsidRDefault="003C2AB0" w:rsidP="003C2AB0">
      <w:pPr>
        <w:snapToGrid w:val="0"/>
        <w:spacing w:after="0" w:line="240" w:lineRule="auto"/>
        <w:jc w:val="both"/>
        <w:rPr>
          <w:rFonts w:ascii="Verdana" w:eastAsia="Times" w:hAnsi="Verdana"/>
          <w:sz w:val="20"/>
          <w:szCs w:val="20"/>
          <w:lang w:val="pt-BR"/>
        </w:rPr>
      </w:pPr>
    </w:p>
    <w:p w14:paraId="13A28C28" w14:textId="77777777" w:rsidR="003C2AB0" w:rsidRPr="008D6226" w:rsidRDefault="003C2AB0" w:rsidP="003C2AB0">
      <w:pPr>
        <w:snapToGrid w:val="0"/>
        <w:spacing w:after="0" w:line="240" w:lineRule="auto"/>
        <w:jc w:val="center"/>
        <w:rPr>
          <w:rFonts w:ascii="Verdana" w:eastAsia="Times" w:hAnsi="Verdana"/>
          <w:sz w:val="20"/>
          <w:szCs w:val="20"/>
          <w:lang w:val="pt-BR"/>
        </w:rPr>
      </w:pPr>
      <w:r w:rsidRPr="008D6226">
        <w:rPr>
          <w:rFonts w:ascii="Verdana" w:eastAsia="Times" w:hAnsi="Verdana"/>
          <w:sz w:val="20"/>
          <w:szCs w:val="20"/>
          <w:lang w:val="pt-BR"/>
        </w:rPr>
        <w:t xml:space="preserve">Pablo Saavedra </w:t>
      </w:r>
      <w:proofErr w:type="spellStart"/>
      <w:r w:rsidRPr="008D6226">
        <w:rPr>
          <w:rFonts w:ascii="Verdana" w:eastAsia="Times" w:hAnsi="Verdana"/>
          <w:sz w:val="20"/>
          <w:szCs w:val="20"/>
          <w:lang w:val="pt-BR"/>
        </w:rPr>
        <w:t>Alessandri</w:t>
      </w:r>
      <w:proofErr w:type="spellEnd"/>
    </w:p>
    <w:p w14:paraId="5DE7A948" w14:textId="77777777" w:rsidR="003C2AB0" w:rsidRPr="008D6226" w:rsidRDefault="003C2AB0" w:rsidP="003C2AB0">
      <w:pPr>
        <w:snapToGrid w:val="0"/>
        <w:spacing w:after="0" w:line="240" w:lineRule="auto"/>
        <w:jc w:val="center"/>
        <w:rPr>
          <w:rFonts w:ascii="Verdana" w:eastAsia="Times" w:hAnsi="Verdana"/>
          <w:sz w:val="20"/>
          <w:szCs w:val="20"/>
          <w:lang w:val="pt-BR"/>
        </w:rPr>
      </w:pPr>
      <w:r w:rsidRPr="008D6226">
        <w:rPr>
          <w:rFonts w:ascii="Verdana" w:eastAsia="Times" w:hAnsi="Verdana"/>
          <w:sz w:val="20"/>
          <w:szCs w:val="20"/>
          <w:lang w:val="pt-BR"/>
        </w:rPr>
        <w:t>Secretario</w:t>
      </w:r>
    </w:p>
    <w:p w14:paraId="1B560554" w14:textId="77777777" w:rsidR="003C2AB0" w:rsidRPr="008D6226" w:rsidRDefault="003C2AB0" w:rsidP="003C2AB0">
      <w:pPr>
        <w:snapToGrid w:val="0"/>
        <w:spacing w:after="0" w:line="240" w:lineRule="auto"/>
        <w:jc w:val="both"/>
        <w:rPr>
          <w:rFonts w:ascii="Verdana" w:eastAsia="Times" w:hAnsi="Verdana"/>
          <w:sz w:val="20"/>
          <w:szCs w:val="20"/>
          <w:lang w:val="pt-BR"/>
        </w:rPr>
      </w:pPr>
    </w:p>
    <w:p w14:paraId="4E1716A5" w14:textId="77777777" w:rsidR="003C2AB0" w:rsidRPr="008D6226" w:rsidRDefault="003C2AB0" w:rsidP="003C2AB0">
      <w:pPr>
        <w:snapToGrid w:val="0"/>
        <w:spacing w:after="0" w:line="240" w:lineRule="auto"/>
        <w:jc w:val="both"/>
        <w:rPr>
          <w:rFonts w:ascii="Verdana" w:eastAsia="Times" w:hAnsi="Verdana"/>
          <w:sz w:val="20"/>
          <w:szCs w:val="20"/>
          <w:lang w:val="pt-BR"/>
        </w:rPr>
      </w:pPr>
      <w:proofErr w:type="spellStart"/>
      <w:r w:rsidRPr="008D6226">
        <w:rPr>
          <w:rFonts w:ascii="Verdana" w:eastAsia="Times" w:hAnsi="Verdana"/>
          <w:sz w:val="20"/>
          <w:szCs w:val="20"/>
          <w:lang w:val="pt-BR"/>
        </w:rPr>
        <w:t>Comuníquese</w:t>
      </w:r>
      <w:proofErr w:type="spellEnd"/>
      <w:r w:rsidRPr="008D6226">
        <w:rPr>
          <w:rFonts w:ascii="Verdana" w:eastAsia="Times" w:hAnsi="Verdana"/>
          <w:sz w:val="20"/>
          <w:szCs w:val="20"/>
          <w:lang w:val="pt-BR"/>
        </w:rPr>
        <w:t xml:space="preserve"> y </w:t>
      </w:r>
      <w:proofErr w:type="spellStart"/>
      <w:r w:rsidRPr="008D6226">
        <w:rPr>
          <w:rFonts w:ascii="Verdana" w:eastAsia="Times" w:hAnsi="Verdana"/>
          <w:sz w:val="20"/>
          <w:szCs w:val="20"/>
          <w:lang w:val="pt-BR"/>
        </w:rPr>
        <w:t>ejecútese</w:t>
      </w:r>
      <w:proofErr w:type="spellEnd"/>
      <w:r w:rsidRPr="008D6226">
        <w:rPr>
          <w:rFonts w:ascii="Verdana" w:eastAsia="Times" w:hAnsi="Verdana"/>
          <w:sz w:val="20"/>
          <w:szCs w:val="20"/>
          <w:lang w:val="pt-BR"/>
        </w:rPr>
        <w:t>,</w:t>
      </w:r>
    </w:p>
    <w:p w14:paraId="66CC9B72" w14:textId="749BCDCA" w:rsidR="003C2AB0" w:rsidRPr="006503D7" w:rsidRDefault="003C2AB0" w:rsidP="003C2AB0">
      <w:pPr>
        <w:snapToGrid w:val="0"/>
        <w:spacing w:after="0" w:line="240" w:lineRule="auto"/>
        <w:jc w:val="both"/>
        <w:rPr>
          <w:rFonts w:ascii="Verdana" w:eastAsia="Times" w:hAnsi="Verdana"/>
          <w:sz w:val="20"/>
          <w:szCs w:val="20"/>
          <w:lang w:val="pt-BR"/>
        </w:rPr>
      </w:pPr>
    </w:p>
    <w:p w14:paraId="5B5CBEA9" w14:textId="77777777" w:rsidR="003C2AB0" w:rsidRPr="008D6226" w:rsidRDefault="003C2AB0" w:rsidP="003C2AB0">
      <w:pPr>
        <w:snapToGrid w:val="0"/>
        <w:spacing w:after="0" w:line="240" w:lineRule="auto"/>
        <w:jc w:val="both"/>
        <w:rPr>
          <w:rFonts w:ascii="Verdana" w:eastAsia="Times" w:hAnsi="Verdana"/>
          <w:sz w:val="20"/>
          <w:szCs w:val="20"/>
          <w:lang w:val="pt-BR"/>
        </w:rPr>
      </w:pPr>
    </w:p>
    <w:p w14:paraId="100B5195" w14:textId="1A02B30E" w:rsidR="003C2AB0" w:rsidRPr="008D6226" w:rsidRDefault="003C2AB0" w:rsidP="003C2AB0">
      <w:pPr>
        <w:snapToGrid w:val="0"/>
        <w:spacing w:after="0" w:line="240" w:lineRule="auto"/>
        <w:jc w:val="both"/>
        <w:rPr>
          <w:rFonts w:ascii="Verdana" w:eastAsia="Times" w:hAnsi="Verdana"/>
          <w:sz w:val="20"/>
          <w:szCs w:val="20"/>
          <w:lang w:val="pt-BR"/>
        </w:rPr>
      </w:pPr>
    </w:p>
    <w:p w14:paraId="1D458218" w14:textId="77777777" w:rsidR="003C2AB0" w:rsidRPr="008D6226" w:rsidRDefault="003C2AB0" w:rsidP="003C2AB0">
      <w:pPr>
        <w:snapToGrid w:val="0"/>
        <w:spacing w:after="0" w:line="240" w:lineRule="auto"/>
        <w:ind w:left="4248" w:firstLine="708"/>
        <w:jc w:val="center"/>
        <w:rPr>
          <w:rFonts w:ascii="Verdana" w:eastAsia="Times" w:hAnsi="Verdana"/>
          <w:sz w:val="20"/>
          <w:szCs w:val="20"/>
          <w:lang w:val="es-CO"/>
        </w:rPr>
      </w:pPr>
      <w:r w:rsidRPr="008D6226">
        <w:rPr>
          <w:rFonts w:ascii="Verdana" w:eastAsia="Times" w:hAnsi="Verdana"/>
          <w:sz w:val="20"/>
          <w:szCs w:val="20"/>
          <w:lang w:val="pt-BR"/>
        </w:rPr>
        <w:t>Elizabeth Odio Benito</w:t>
      </w:r>
    </w:p>
    <w:p w14:paraId="0E9C98B5" w14:textId="77777777" w:rsidR="003C2AB0" w:rsidRPr="008D6226" w:rsidRDefault="003C2AB0" w:rsidP="003C2AB0">
      <w:pPr>
        <w:snapToGrid w:val="0"/>
        <w:spacing w:after="0" w:line="240" w:lineRule="auto"/>
        <w:ind w:left="4248" w:firstLine="708"/>
        <w:jc w:val="center"/>
        <w:rPr>
          <w:rFonts w:ascii="Verdana" w:eastAsia="Times" w:hAnsi="Verdana"/>
          <w:sz w:val="20"/>
          <w:szCs w:val="20"/>
          <w:lang w:val="pt-BR"/>
        </w:rPr>
      </w:pPr>
      <w:r w:rsidRPr="008D6226">
        <w:rPr>
          <w:rFonts w:ascii="Verdana" w:eastAsia="Times" w:hAnsi="Verdana"/>
          <w:sz w:val="20"/>
          <w:szCs w:val="20"/>
          <w:lang w:val="pt-BR"/>
        </w:rPr>
        <w:t>Presidenta</w:t>
      </w:r>
    </w:p>
    <w:p w14:paraId="289AFDE5" w14:textId="77777777" w:rsidR="003C2AB0" w:rsidRPr="008D6226" w:rsidRDefault="003C2AB0" w:rsidP="003C2AB0">
      <w:pPr>
        <w:snapToGrid w:val="0"/>
        <w:spacing w:after="0" w:line="240" w:lineRule="auto"/>
        <w:jc w:val="both"/>
        <w:rPr>
          <w:rFonts w:ascii="Verdana" w:eastAsia="Times" w:hAnsi="Verdana"/>
          <w:sz w:val="20"/>
          <w:szCs w:val="20"/>
          <w:lang w:val="pt-BR"/>
        </w:rPr>
      </w:pPr>
    </w:p>
    <w:p w14:paraId="5D0AFF20" w14:textId="77777777" w:rsidR="003C2AB0" w:rsidRPr="008D6226" w:rsidRDefault="003C2AB0" w:rsidP="003C2AB0">
      <w:pPr>
        <w:snapToGrid w:val="0"/>
        <w:spacing w:after="0" w:line="240" w:lineRule="auto"/>
        <w:jc w:val="both"/>
        <w:rPr>
          <w:rFonts w:ascii="Verdana" w:eastAsia="Times" w:hAnsi="Verdana"/>
          <w:sz w:val="20"/>
          <w:szCs w:val="20"/>
          <w:lang w:val="pt-BR"/>
        </w:rPr>
      </w:pPr>
    </w:p>
    <w:p w14:paraId="09EA4CAA" w14:textId="77777777" w:rsidR="003C2AB0" w:rsidRPr="008D6226" w:rsidRDefault="003C2AB0" w:rsidP="003C2AB0">
      <w:pPr>
        <w:snapToGrid w:val="0"/>
        <w:spacing w:after="0" w:line="240" w:lineRule="auto"/>
        <w:jc w:val="both"/>
        <w:rPr>
          <w:rFonts w:ascii="Verdana" w:eastAsia="Times" w:hAnsi="Verdana"/>
          <w:sz w:val="20"/>
          <w:szCs w:val="20"/>
          <w:lang w:val="pt-BR"/>
        </w:rPr>
      </w:pPr>
    </w:p>
    <w:p w14:paraId="7C8BC7A8" w14:textId="77777777" w:rsidR="003C2AB0" w:rsidRPr="008D6226" w:rsidRDefault="003C2AB0" w:rsidP="003C2AB0">
      <w:pPr>
        <w:snapToGrid w:val="0"/>
        <w:spacing w:after="0" w:line="240" w:lineRule="auto"/>
        <w:jc w:val="both"/>
        <w:rPr>
          <w:rFonts w:ascii="Verdana" w:eastAsia="Times" w:hAnsi="Verdana"/>
          <w:sz w:val="20"/>
          <w:szCs w:val="20"/>
          <w:lang w:val="pt-BR"/>
        </w:rPr>
      </w:pPr>
    </w:p>
    <w:p w14:paraId="19777730" w14:textId="77777777" w:rsidR="003C2AB0" w:rsidRPr="008D6226" w:rsidRDefault="003C2AB0" w:rsidP="003C2AB0">
      <w:pPr>
        <w:snapToGrid w:val="0"/>
        <w:spacing w:after="0" w:line="240" w:lineRule="auto"/>
        <w:jc w:val="both"/>
        <w:rPr>
          <w:rFonts w:ascii="Verdana" w:eastAsia="Times" w:hAnsi="Verdana"/>
          <w:sz w:val="20"/>
          <w:szCs w:val="20"/>
          <w:lang w:val="es-ES"/>
        </w:rPr>
      </w:pPr>
      <w:r w:rsidRPr="008D6226">
        <w:rPr>
          <w:rFonts w:ascii="Verdana" w:eastAsia="Times" w:hAnsi="Verdana"/>
          <w:sz w:val="20"/>
          <w:szCs w:val="20"/>
          <w:lang w:val="es-ES"/>
        </w:rPr>
        <w:t>Pablo Saavedra Alessandri</w:t>
      </w:r>
    </w:p>
    <w:p w14:paraId="1E6CC659" w14:textId="76109134" w:rsidR="003C2AB0" w:rsidRPr="00576330" w:rsidRDefault="003C2AB0" w:rsidP="00576330">
      <w:pPr>
        <w:snapToGrid w:val="0"/>
        <w:spacing w:after="0" w:line="240" w:lineRule="auto"/>
        <w:rPr>
          <w:lang w:val="es-419"/>
        </w:rPr>
      </w:pPr>
      <w:r w:rsidRPr="008D6226">
        <w:rPr>
          <w:rFonts w:ascii="Verdana" w:eastAsia="Times" w:hAnsi="Verdana"/>
          <w:sz w:val="20"/>
          <w:szCs w:val="20"/>
          <w:lang w:val="es-ES"/>
        </w:rPr>
        <w:tab/>
      </w:r>
      <w:r w:rsidRPr="008D6226">
        <w:rPr>
          <w:rFonts w:ascii="Verdana" w:eastAsia="Times" w:hAnsi="Verdana"/>
          <w:sz w:val="20"/>
          <w:szCs w:val="20"/>
        </w:rPr>
        <w:t>Secretario</w:t>
      </w:r>
    </w:p>
    <w:sectPr w:rsidR="003C2AB0" w:rsidRPr="00576330" w:rsidSect="003C2AB0">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3B7B5" w14:textId="77777777" w:rsidR="000771D8" w:rsidRDefault="000771D8" w:rsidP="00764E6F">
      <w:pPr>
        <w:spacing w:after="0" w:line="240" w:lineRule="auto"/>
      </w:pPr>
      <w:r>
        <w:separator/>
      </w:r>
    </w:p>
  </w:endnote>
  <w:endnote w:type="continuationSeparator" w:id="0">
    <w:p w14:paraId="21F73B57" w14:textId="77777777" w:rsidR="000771D8" w:rsidRDefault="000771D8" w:rsidP="00764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20"/>
        <w:szCs w:val="20"/>
      </w:rPr>
      <w:id w:val="378906616"/>
      <w:docPartObj>
        <w:docPartGallery w:val="Page Numbers (Bottom of Page)"/>
        <w:docPartUnique/>
      </w:docPartObj>
    </w:sdtPr>
    <w:sdtEndPr/>
    <w:sdtContent>
      <w:p w14:paraId="0CDA1FC8" w14:textId="0D4F130F" w:rsidR="00B60485" w:rsidRPr="00B60485" w:rsidRDefault="00B60485">
        <w:pPr>
          <w:pStyle w:val="Piedepgina"/>
          <w:jc w:val="center"/>
          <w:rPr>
            <w:rFonts w:ascii="Verdana" w:hAnsi="Verdana"/>
            <w:sz w:val="20"/>
            <w:szCs w:val="20"/>
          </w:rPr>
        </w:pPr>
        <w:r w:rsidRPr="00B60485">
          <w:rPr>
            <w:rFonts w:ascii="Verdana" w:hAnsi="Verdana"/>
            <w:sz w:val="20"/>
            <w:szCs w:val="20"/>
          </w:rPr>
          <w:fldChar w:fldCharType="begin"/>
        </w:r>
        <w:r w:rsidRPr="00B60485">
          <w:rPr>
            <w:rFonts w:ascii="Verdana" w:hAnsi="Verdana"/>
            <w:sz w:val="20"/>
            <w:szCs w:val="20"/>
          </w:rPr>
          <w:instrText>PAGE   \* MERGEFORMAT</w:instrText>
        </w:r>
        <w:r w:rsidRPr="00B60485">
          <w:rPr>
            <w:rFonts w:ascii="Verdana" w:hAnsi="Verdana"/>
            <w:sz w:val="20"/>
            <w:szCs w:val="20"/>
          </w:rPr>
          <w:fldChar w:fldCharType="separate"/>
        </w:r>
        <w:r w:rsidR="006503D7" w:rsidRPr="006503D7">
          <w:rPr>
            <w:rFonts w:ascii="Verdana" w:hAnsi="Verdana"/>
            <w:noProof/>
            <w:sz w:val="20"/>
            <w:szCs w:val="20"/>
            <w:lang w:val="es-ES"/>
          </w:rPr>
          <w:t>10</w:t>
        </w:r>
        <w:r w:rsidRPr="00B60485">
          <w:rPr>
            <w:rFonts w:ascii="Verdana" w:hAnsi="Verdana"/>
            <w:sz w:val="20"/>
            <w:szCs w:val="20"/>
          </w:rPr>
          <w:fldChar w:fldCharType="end"/>
        </w:r>
      </w:p>
    </w:sdtContent>
  </w:sdt>
  <w:p w14:paraId="5F599131" w14:textId="77777777" w:rsidR="00B60485" w:rsidRPr="00B60485" w:rsidRDefault="00B60485">
    <w:pPr>
      <w:pStyle w:val="Piedepgina"/>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66821F" w14:textId="77777777" w:rsidR="000771D8" w:rsidRDefault="000771D8" w:rsidP="00764E6F">
      <w:pPr>
        <w:spacing w:after="0" w:line="240" w:lineRule="auto"/>
      </w:pPr>
      <w:r>
        <w:separator/>
      </w:r>
    </w:p>
  </w:footnote>
  <w:footnote w:type="continuationSeparator" w:id="0">
    <w:p w14:paraId="6A8AE2CE" w14:textId="77777777" w:rsidR="000771D8" w:rsidRDefault="000771D8" w:rsidP="00764E6F">
      <w:pPr>
        <w:spacing w:after="0" w:line="240" w:lineRule="auto"/>
      </w:pPr>
      <w:r>
        <w:continuationSeparator/>
      </w:r>
    </w:p>
  </w:footnote>
  <w:footnote w:id="1">
    <w:p w14:paraId="5E59CD3D" w14:textId="67ABE3B8" w:rsidR="00604647" w:rsidRPr="0073299B" w:rsidRDefault="00604647" w:rsidP="00E163F0">
      <w:pPr>
        <w:pStyle w:val="Textonotapie"/>
        <w:jc w:val="both"/>
        <w:rPr>
          <w:rFonts w:ascii="Verdana" w:eastAsia="Times New Roman" w:hAnsi="Verdana"/>
          <w:color w:val="000000"/>
          <w:sz w:val="16"/>
          <w:szCs w:val="16"/>
          <w:lang w:val="es-AR"/>
        </w:rPr>
      </w:pPr>
      <w:r w:rsidRPr="00D419D5">
        <w:rPr>
          <w:rStyle w:val="Refdenotaalpie"/>
          <w:szCs w:val="16"/>
          <w:lang w:val="es-AR"/>
        </w:rPr>
        <w:t>*</w:t>
      </w:r>
      <w:r w:rsidRPr="00D419D5">
        <w:rPr>
          <w:rFonts w:ascii="Verdana" w:hAnsi="Verdana"/>
          <w:sz w:val="16"/>
          <w:szCs w:val="16"/>
          <w:lang w:val="es-AR"/>
        </w:rPr>
        <w:tab/>
      </w:r>
      <w:r w:rsidRPr="00D419D5">
        <w:rPr>
          <w:rFonts w:ascii="Verdana" w:eastAsia="Times New Roman" w:hAnsi="Verdana"/>
          <w:color w:val="000000"/>
          <w:sz w:val="16"/>
          <w:szCs w:val="16"/>
          <w:lang w:val="es-AR"/>
        </w:rPr>
        <w:t xml:space="preserve">Debido a las circunstancias excepcionales ocasionadas por la pandemia COVID-19, esta Resolución fue </w:t>
      </w:r>
      <w:r w:rsidRPr="00D419D5">
        <w:rPr>
          <w:rFonts w:ascii="Verdana" w:hAnsi="Verdana"/>
          <w:sz w:val="16"/>
          <w:szCs w:val="16"/>
        </w:rPr>
        <w:t>deliberada</w:t>
      </w:r>
      <w:r w:rsidRPr="00D419D5">
        <w:rPr>
          <w:rFonts w:ascii="Verdana" w:eastAsia="Times New Roman" w:hAnsi="Verdana"/>
          <w:color w:val="000000"/>
          <w:sz w:val="16"/>
          <w:szCs w:val="16"/>
          <w:lang w:val="es-AR"/>
        </w:rPr>
        <w:t xml:space="preserve"> y aprobada durante el 13</w:t>
      </w:r>
      <w:r>
        <w:rPr>
          <w:rFonts w:ascii="Verdana" w:eastAsia="Times New Roman" w:hAnsi="Verdana"/>
          <w:color w:val="000000"/>
          <w:sz w:val="16"/>
          <w:szCs w:val="16"/>
          <w:lang w:val="es-AR"/>
        </w:rPr>
        <w:t>8</w:t>
      </w:r>
      <w:r w:rsidRPr="00D419D5">
        <w:rPr>
          <w:rFonts w:ascii="Verdana" w:eastAsia="Times New Roman" w:hAnsi="Verdana"/>
          <w:color w:val="000000"/>
          <w:sz w:val="16"/>
          <w:szCs w:val="16"/>
          <w:lang w:val="es-AR"/>
        </w:rPr>
        <w:t xml:space="preserve"> Período Ordinario de Sesiones, el cual se llevó a cabo de forma no presencial utilizando medios tecnológicos de conformidad con lo establecido en el Reglamento de la Corte.</w:t>
      </w:r>
      <w:r w:rsidR="00E163F0" w:rsidRPr="00E163F0">
        <w:rPr>
          <w:rFonts w:ascii="Verdana" w:hAnsi="Verdana"/>
          <w:sz w:val="16"/>
          <w:szCs w:val="16"/>
          <w:lang w:val="es-AR"/>
        </w:rPr>
        <w:t xml:space="preserve"> El Juez Eduardo Vio Grossi no participó en la deliberación y firma de la presente Resolución por</w:t>
      </w:r>
      <w:r w:rsidR="00E163F0">
        <w:rPr>
          <w:rFonts w:ascii="Verdana" w:hAnsi="Verdana"/>
          <w:sz w:val="16"/>
          <w:szCs w:val="16"/>
          <w:lang w:val="es-AR"/>
        </w:rPr>
        <w:t xml:space="preserve"> </w:t>
      </w:r>
      <w:r w:rsidR="00E163F0" w:rsidRPr="00E163F0">
        <w:rPr>
          <w:rFonts w:ascii="Verdana" w:hAnsi="Verdana"/>
          <w:sz w:val="16"/>
          <w:szCs w:val="16"/>
          <w:lang w:val="es-AR"/>
        </w:rPr>
        <w:t>razones de fuerza mayor.</w:t>
      </w:r>
    </w:p>
  </w:footnote>
  <w:footnote w:id="2">
    <w:p w14:paraId="3142229C" w14:textId="40389046" w:rsidR="00764E6F" w:rsidRPr="00FA73DA" w:rsidRDefault="00764E6F" w:rsidP="00FA73DA">
      <w:pPr>
        <w:spacing w:after="0" w:line="240" w:lineRule="auto"/>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rPr>
        <w:t>Cfr. Caso Granier y otros (Radio Caracas Televisión) Vs. Venezuela. Excepciones Preliminares, Fondo, Reparaciones y Costas.</w:t>
      </w:r>
      <w:r w:rsidRPr="00FA73DA">
        <w:rPr>
          <w:rFonts w:ascii="Verdana" w:hAnsi="Verdana"/>
          <w:sz w:val="16"/>
          <w:szCs w:val="16"/>
        </w:rPr>
        <w:t xml:space="preserve"> Sentencia de 22 de junio de 2015. Serie C No. 293. </w:t>
      </w:r>
      <w:r w:rsidRPr="00FA73DA">
        <w:rPr>
          <w:rFonts w:ascii="Verdana" w:eastAsia="Times New Roman" w:hAnsi="Verdana" w:cs="Times New Roman"/>
          <w:bCs/>
          <w:color w:val="000000"/>
          <w:sz w:val="16"/>
          <w:szCs w:val="16"/>
        </w:rPr>
        <w:t xml:space="preserve">El texto íntegro de la Sentencia se encuentra disponible en: </w:t>
      </w:r>
      <w:hyperlink r:id="rId1" w:history="1">
        <w:r w:rsidRPr="00FA73DA">
          <w:rPr>
            <w:rStyle w:val="Hipervnculo"/>
            <w:rFonts w:ascii="Verdana" w:eastAsia="Times New Roman" w:hAnsi="Verdana" w:cs="Times New Roman"/>
            <w:bCs/>
            <w:sz w:val="16"/>
            <w:szCs w:val="16"/>
          </w:rPr>
          <w:t>http://www.corteidh.or.cr/docs/casos/articulos/seriec_293_esp.pdf</w:t>
        </w:r>
      </w:hyperlink>
      <w:r w:rsidR="004F1626">
        <w:rPr>
          <w:rStyle w:val="Hipervnculo"/>
          <w:rFonts w:ascii="Verdana" w:eastAsia="Times New Roman" w:hAnsi="Verdana" w:cs="Times New Roman"/>
          <w:bCs/>
          <w:sz w:val="16"/>
          <w:szCs w:val="16"/>
        </w:rPr>
        <w:t>.</w:t>
      </w:r>
      <w:r w:rsidRPr="00FA73DA">
        <w:rPr>
          <w:rFonts w:ascii="Verdana" w:eastAsia="Times New Roman" w:hAnsi="Verdana" w:cs="Times New Roman"/>
          <w:bCs/>
          <w:color w:val="000000"/>
          <w:sz w:val="16"/>
          <w:szCs w:val="16"/>
        </w:rPr>
        <w:t xml:space="preserve"> </w:t>
      </w:r>
      <w:r w:rsidR="002524A6">
        <w:rPr>
          <w:rFonts w:ascii="Verdana" w:eastAsia="Times New Roman" w:hAnsi="Verdana" w:cs="Times New Roman"/>
          <w:bCs/>
          <w:color w:val="000000"/>
          <w:sz w:val="16"/>
          <w:szCs w:val="16"/>
        </w:rPr>
        <w:t xml:space="preserve">La Sentencia fue notificada el </w:t>
      </w:r>
      <w:r w:rsidRPr="00FA73DA">
        <w:rPr>
          <w:rFonts w:ascii="Verdana" w:eastAsia="Times New Roman" w:hAnsi="Verdana" w:cs="Times New Roman"/>
          <w:bCs/>
          <w:color w:val="000000"/>
          <w:sz w:val="16"/>
          <w:szCs w:val="16"/>
        </w:rPr>
        <w:t>7 de septiembre de 2015.</w:t>
      </w:r>
    </w:p>
  </w:footnote>
  <w:footnote w:id="3">
    <w:p w14:paraId="51368C0B" w14:textId="77777777" w:rsidR="00764E6F" w:rsidRPr="00FA73DA" w:rsidRDefault="00764E6F" w:rsidP="00FA73DA">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t xml:space="preserve">RCTV operaba como una estación de televisión abierta con cobertura nacional en Venezuela desde 1953 en que le fue entregada una concesión. Antes de su salida del aire, era el canal de televisión con cobertura nacional que tenía la más alta sintonía en todos los sectores de la población venezolana. </w:t>
      </w:r>
      <w:r w:rsidRPr="00FA73DA">
        <w:rPr>
          <w:rFonts w:ascii="Verdana" w:hAnsi="Verdana"/>
          <w:i/>
          <w:sz w:val="16"/>
          <w:szCs w:val="16"/>
        </w:rPr>
        <w:t xml:space="preserve">Cfr. Caso Granier y otros, supra </w:t>
      </w:r>
      <w:r w:rsidRPr="00FA73DA">
        <w:rPr>
          <w:rFonts w:ascii="Verdana" w:hAnsi="Verdana"/>
          <w:sz w:val="16"/>
          <w:szCs w:val="16"/>
        </w:rPr>
        <w:t xml:space="preserve">nota 1, </w:t>
      </w:r>
      <w:proofErr w:type="spellStart"/>
      <w:r w:rsidRPr="00FA73DA">
        <w:rPr>
          <w:rFonts w:ascii="Verdana" w:hAnsi="Verdana"/>
          <w:sz w:val="16"/>
          <w:szCs w:val="16"/>
        </w:rPr>
        <w:t>párrs</w:t>
      </w:r>
      <w:proofErr w:type="spellEnd"/>
      <w:r w:rsidRPr="00FA73DA">
        <w:rPr>
          <w:rFonts w:ascii="Verdana" w:hAnsi="Verdana"/>
          <w:sz w:val="16"/>
          <w:szCs w:val="16"/>
        </w:rPr>
        <w:t>. 62 y 68.</w:t>
      </w:r>
    </w:p>
  </w:footnote>
  <w:footnote w:id="4">
    <w:p w14:paraId="34A765E0" w14:textId="1562A5FA" w:rsidR="00764E6F" w:rsidRPr="00FA73DA" w:rsidRDefault="00764E6F" w:rsidP="00FA73DA">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t xml:space="preserve">La Corte concluyó que los hechos del presente caso se enmarcaron en un contexto de tensión posterior al golpe de Estado ocurrido en abril de 2002 y al comportamiento que los medios de comunicación habrían tenido durante estos días, lo cual generó polarización política que se manifestó mediante una notoria tendencia a la radicalización de las posturas de los sectores involucrados. En este contexto, la Corte consideró probados en el presente caso “el ‘ambiente de intimidación’ generado por las declaraciones de altas autoridades contra medios de comunicación independientes” y “un discurso proveniente de sectores oficialistas de descrédito profesional contra los periodistas”. Además, tuvo por probado que desde el año 2002 funcionarios del Estado venezolano, entre ellos el Presidente </w:t>
      </w:r>
      <w:r w:rsidR="00A913E0">
        <w:rPr>
          <w:rFonts w:ascii="Verdana" w:hAnsi="Verdana"/>
          <w:sz w:val="16"/>
          <w:szCs w:val="16"/>
        </w:rPr>
        <w:t>de la República</w:t>
      </w:r>
      <w:r w:rsidRPr="00FA73DA">
        <w:rPr>
          <w:rFonts w:ascii="Verdana" w:hAnsi="Verdana"/>
          <w:sz w:val="16"/>
          <w:szCs w:val="16"/>
        </w:rPr>
        <w:t>, realizaron distintas declaraciones respecto a que no serían renovadas las concesiones a algunos medios de comunicación social en Venezuela, y que a partir de diciembre de 2006 anunciaron la decisión oficial de no renovar la concesión a RCTV.</w:t>
      </w:r>
      <w:r w:rsidRPr="00FA73DA">
        <w:rPr>
          <w:rFonts w:ascii="Verdana" w:hAnsi="Verdana"/>
          <w:i/>
          <w:sz w:val="16"/>
          <w:szCs w:val="16"/>
        </w:rPr>
        <w:t xml:space="preserve"> Cfr. Caso Granier y otros, supra </w:t>
      </w:r>
      <w:r w:rsidRPr="00FA73DA">
        <w:rPr>
          <w:rFonts w:ascii="Verdana" w:hAnsi="Verdana"/>
          <w:sz w:val="16"/>
          <w:szCs w:val="16"/>
        </w:rPr>
        <w:t xml:space="preserve">nota 1, </w:t>
      </w:r>
      <w:proofErr w:type="spellStart"/>
      <w:r w:rsidRPr="00FA73DA">
        <w:rPr>
          <w:rFonts w:ascii="Verdana" w:hAnsi="Verdana"/>
          <w:sz w:val="16"/>
          <w:szCs w:val="16"/>
        </w:rPr>
        <w:t>párrs</w:t>
      </w:r>
      <w:proofErr w:type="spellEnd"/>
      <w:r w:rsidRPr="00FA73DA">
        <w:rPr>
          <w:rFonts w:ascii="Verdana" w:hAnsi="Verdana"/>
          <w:sz w:val="16"/>
          <w:szCs w:val="16"/>
        </w:rPr>
        <w:t xml:space="preserve">. 61, y 75 a 80. </w:t>
      </w:r>
    </w:p>
  </w:footnote>
  <w:footnote w:id="5">
    <w:p w14:paraId="14FC2116" w14:textId="77777777" w:rsidR="00764E6F" w:rsidRPr="00FA73DA" w:rsidRDefault="00764E6F" w:rsidP="00FA73DA">
      <w:pPr>
        <w:pStyle w:val="Textonotapie"/>
        <w:ind w:right="113"/>
        <w:jc w:val="both"/>
        <w:rPr>
          <w:rFonts w:ascii="Verdana" w:hAnsi="Verdana"/>
          <w:sz w:val="16"/>
          <w:szCs w:val="16"/>
        </w:rPr>
      </w:pPr>
      <w:r w:rsidRPr="00FA73DA">
        <w:rPr>
          <w:rFonts w:ascii="Verdana" w:hAnsi="Verdana"/>
          <w:sz w:val="16"/>
          <w:szCs w:val="16"/>
          <w:vertAlign w:val="superscript"/>
        </w:rPr>
        <w:footnoteRef/>
      </w:r>
      <w:r w:rsidRPr="00FA73DA">
        <w:rPr>
          <w:rFonts w:ascii="Verdana" w:hAnsi="Verdana"/>
          <w:sz w:val="16"/>
          <w:szCs w:val="16"/>
        </w:rPr>
        <w:t xml:space="preserve"> </w:t>
      </w:r>
      <w:r w:rsidRPr="00FA73DA">
        <w:rPr>
          <w:rFonts w:ascii="Verdana" w:hAnsi="Verdana"/>
          <w:sz w:val="16"/>
          <w:szCs w:val="16"/>
        </w:rPr>
        <w:tab/>
        <w:t xml:space="preserve">Los señores Pedro </w:t>
      </w:r>
      <w:proofErr w:type="spellStart"/>
      <w:r w:rsidRPr="00FA73DA">
        <w:rPr>
          <w:rFonts w:ascii="Verdana" w:hAnsi="Verdana"/>
          <w:sz w:val="16"/>
          <w:szCs w:val="16"/>
        </w:rPr>
        <w:t>Nikken</w:t>
      </w:r>
      <w:proofErr w:type="spellEnd"/>
      <w:r w:rsidRPr="00FA73DA">
        <w:rPr>
          <w:rFonts w:ascii="Verdana" w:hAnsi="Verdana"/>
          <w:sz w:val="16"/>
          <w:szCs w:val="16"/>
        </w:rPr>
        <w:t xml:space="preserve"> y Carlos Ayala </w:t>
      </w:r>
      <w:proofErr w:type="spellStart"/>
      <w:r w:rsidRPr="00FA73DA">
        <w:rPr>
          <w:rFonts w:ascii="Verdana" w:hAnsi="Verdana"/>
          <w:sz w:val="16"/>
          <w:szCs w:val="16"/>
        </w:rPr>
        <w:t>Corao</w:t>
      </w:r>
      <w:proofErr w:type="spellEnd"/>
      <w:r w:rsidRPr="00FA73DA">
        <w:rPr>
          <w:rFonts w:ascii="Verdana" w:hAnsi="Verdana"/>
          <w:sz w:val="16"/>
          <w:szCs w:val="16"/>
        </w:rPr>
        <w:t>.</w:t>
      </w:r>
    </w:p>
  </w:footnote>
  <w:footnote w:id="6">
    <w:p w14:paraId="278E133F" w14:textId="77777777" w:rsidR="00764E6F" w:rsidRPr="00FA73DA" w:rsidRDefault="00764E6F" w:rsidP="00FA73DA">
      <w:pPr>
        <w:pStyle w:val="Textonotapie"/>
        <w:ind w:right="113"/>
        <w:jc w:val="both"/>
        <w:rPr>
          <w:rFonts w:ascii="Verdana" w:hAnsi="Verdana"/>
          <w:sz w:val="16"/>
          <w:szCs w:val="16"/>
          <w:lang w:val="es-CR"/>
        </w:rPr>
      </w:pPr>
      <w:r w:rsidRPr="00FA73DA">
        <w:rPr>
          <w:rStyle w:val="Refdenotaalpie"/>
          <w:rFonts w:ascii="Verdana" w:hAnsi="Verdana"/>
          <w:sz w:val="16"/>
          <w:szCs w:val="16"/>
        </w:rPr>
        <w:footnoteRef/>
      </w:r>
      <w:r w:rsidRPr="00FA73DA">
        <w:rPr>
          <w:rFonts w:ascii="Verdana" w:hAnsi="Verdana"/>
          <w:sz w:val="16"/>
          <w:szCs w:val="16"/>
          <w:lang w:val="es-CR"/>
        </w:rPr>
        <w:t xml:space="preserve"> </w:t>
      </w:r>
      <w:r w:rsidRPr="00FA73DA">
        <w:rPr>
          <w:rFonts w:ascii="Verdana" w:hAnsi="Verdana"/>
          <w:sz w:val="16"/>
          <w:szCs w:val="16"/>
          <w:lang w:val="es-CR"/>
        </w:rPr>
        <w:tab/>
        <w:t xml:space="preserve">Facultad que además </w:t>
      </w:r>
      <w:r w:rsidRPr="00FA73DA">
        <w:rPr>
          <w:rFonts w:ascii="Verdana" w:hAnsi="Verdana"/>
          <w:sz w:val="16"/>
          <w:szCs w:val="16"/>
          <w:lang w:val="es-ES"/>
        </w:rPr>
        <w:t xml:space="preserve">se desprende de lo dispuesto en los artículos 33, 62.1, 62.3, 65 y 68.1 de la Convención Americana y </w:t>
      </w:r>
      <w:r w:rsidRPr="00FA73DA">
        <w:rPr>
          <w:rFonts w:ascii="Verdana" w:hAnsi="Verdana"/>
          <w:sz w:val="16"/>
          <w:szCs w:val="16"/>
          <w:lang w:val="es-CR"/>
        </w:rPr>
        <w:t>30 de su Estatuto y se encuentra regulada en el artículo 69 de su Reglamento.</w:t>
      </w:r>
    </w:p>
  </w:footnote>
  <w:footnote w:id="7">
    <w:p w14:paraId="108531F4" w14:textId="77777777" w:rsidR="00764E6F" w:rsidRPr="00FA73DA" w:rsidRDefault="00764E6F" w:rsidP="00FA73DA">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t xml:space="preserve">La Corte dispuso en el punto resolutivo décimo quinto de la Sentencia que “[e]l Estado deberá reestablecer la concesión de la frecuencia del espectro radioeléctrico correspondiente al canal 2 de televisión, conforme al párrafo 380 de la […] Sentencia y [que] deberá devolver los bienes objeto de las medidas cautelares, en los términos del párrafo 318 de la […] Sentencia”. En el punto resolutivo décimo sexto dispuso además que “[u]na vez se efectúe el restablecimiento de la concesión a RCTV, el Estado deberá, en un plazo razonable, ordenar la apertura de un proceso abierto, independiente y transparente para el otorgamiento de la frecuencia del espectro radioeléctrico correspondiente al canal 2 de televisión, siguiendo para tal efecto el procedimiento establecido en la [Ley Orgánica de Telecomunicaciones] y la normativa interna vigente para tales efectos, en los términos del párrafo 382 de la […] Sentencia”. </w:t>
      </w:r>
    </w:p>
  </w:footnote>
  <w:footnote w:id="8">
    <w:p w14:paraId="60DA1DDA" w14:textId="77777777" w:rsidR="00764E6F" w:rsidRPr="00FA73DA" w:rsidRDefault="00764E6F" w:rsidP="00FA73DA">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t>Punto resolutivo décimo séptimo y párrafo 386 de la Sentencia.</w:t>
      </w:r>
    </w:p>
  </w:footnote>
  <w:footnote w:id="9">
    <w:p w14:paraId="2AB82796" w14:textId="77777777" w:rsidR="00764E6F" w:rsidRPr="00FA73DA" w:rsidRDefault="00764E6F" w:rsidP="00FA73DA">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t>Punto resolutivo décimo octavo y párrafo 394 de la Sentencia.</w:t>
      </w:r>
    </w:p>
  </w:footnote>
  <w:footnote w:id="10">
    <w:p w14:paraId="75D374D7" w14:textId="77777777" w:rsidR="00764E6F" w:rsidRPr="00FA73DA" w:rsidRDefault="00764E6F" w:rsidP="00FA73DA">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t>Punto resolutivo décimo noveno y párrafos 403, 404 y 410 de la Sentencia.</w:t>
      </w:r>
    </w:p>
  </w:footnote>
  <w:footnote w:id="11">
    <w:p w14:paraId="4C3643A8" w14:textId="77777777" w:rsidR="00764E6F" w:rsidRPr="00FA73DA" w:rsidRDefault="00764E6F" w:rsidP="00FA73DA">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t>Punto resolutivo vigésimo de la Sentencia.</w:t>
      </w:r>
    </w:p>
  </w:footnote>
  <w:footnote w:id="12">
    <w:p w14:paraId="48A67A0D" w14:textId="77777777" w:rsidR="00487F21" w:rsidRPr="00FA73DA" w:rsidRDefault="00487F21" w:rsidP="00FA73DA">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t xml:space="preserve">En particular solicitaron que declare que “1. El Estado venezolano en virtud de la Sentencia de la Sala Constitucional […] ha incurrido en un incumplimiento sustancial a lo ordenado en la Sentencia [de la Corte Interamericana]; 2. Inste al Estado venezolano a dar cumplimiento inmediato e incondicional a lo dispuesto en la Sentencia […]; 3. Aplique el artículo 65 de la Convención Americana […]; 4. Mantenga abierto el procedimiento sobre la supervisión del cumplimiento de la Sentencia en el presente caso […]”. </w:t>
      </w:r>
    </w:p>
  </w:footnote>
  <w:footnote w:id="13">
    <w:p w14:paraId="35977666" w14:textId="2AE3EDC0" w:rsidR="00451325" w:rsidRPr="00FA73DA" w:rsidRDefault="00451325" w:rsidP="00FA73DA">
      <w:pPr>
        <w:pStyle w:val="Textonotapie"/>
        <w:tabs>
          <w:tab w:val="left" w:pos="426"/>
          <w:tab w:val="left" w:pos="567"/>
        </w:tabs>
        <w:ind w:right="113"/>
        <w:jc w:val="both"/>
        <w:rPr>
          <w:rFonts w:ascii="Verdana" w:hAnsi="Verdana"/>
          <w:sz w:val="16"/>
          <w:szCs w:val="16"/>
          <w:lang w:val="es-CR"/>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lang w:val="es-CR"/>
        </w:rPr>
        <w:tab/>
      </w:r>
      <w:r w:rsidRPr="00FA73DA">
        <w:rPr>
          <w:rFonts w:ascii="Verdana" w:hAnsi="Verdana"/>
          <w:i/>
          <w:sz w:val="16"/>
          <w:szCs w:val="16"/>
        </w:rPr>
        <w:t>Cfr.</w:t>
      </w:r>
      <w:r w:rsidRPr="00FA73DA">
        <w:rPr>
          <w:rFonts w:ascii="Verdana" w:hAnsi="Verdana"/>
          <w:sz w:val="16"/>
          <w:szCs w:val="16"/>
        </w:rPr>
        <w:t xml:space="preserve"> Artículo 26 de la Convención de Viena sobre el Derecho de los Tratados; Responsabilidad internacional por expedición y aplicación de leyes violatorias de la Convención (arts. 1 y 2 Convención Americana sobre Derechos Humanos). Opinión Consultiva OC-14/94 de 9 de diciembre de 1994. Serie A No. 14, párr. 35; </w:t>
      </w:r>
      <w:r w:rsidRPr="00FA73DA">
        <w:rPr>
          <w:rFonts w:ascii="Verdana" w:hAnsi="Verdana"/>
          <w:i/>
          <w:sz w:val="16"/>
          <w:szCs w:val="16"/>
        </w:rPr>
        <w:t xml:space="preserve">Caso Castillo </w:t>
      </w:r>
      <w:proofErr w:type="spellStart"/>
      <w:r w:rsidRPr="00FA73DA">
        <w:rPr>
          <w:rFonts w:ascii="Verdana" w:hAnsi="Verdana"/>
          <w:i/>
          <w:sz w:val="16"/>
          <w:szCs w:val="16"/>
        </w:rPr>
        <w:t>Petruzzi</w:t>
      </w:r>
      <w:proofErr w:type="spellEnd"/>
      <w:r w:rsidRPr="00FA73DA">
        <w:rPr>
          <w:rFonts w:ascii="Verdana" w:hAnsi="Verdana"/>
          <w:i/>
          <w:sz w:val="16"/>
          <w:szCs w:val="16"/>
        </w:rPr>
        <w:t xml:space="preserve"> y otros Vs. Perú. Supervisión de Cumplimiento de Sentencia.</w:t>
      </w:r>
      <w:r w:rsidRPr="00FA73DA">
        <w:rPr>
          <w:rFonts w:ascii="Verdana" w:hAnsi="Verdana"/>
          <w:sz w:val="16"/>
          <w:szCs w:val="16"/>
        </w:rPr>
        <w:t xml:space="preserve"> Resolución de la Corte Interamericana de Derechos Humanos de 17 de no</w:t>
      </w:r>
      <w:r w:rsidR="00577DDA" w:rsidRPr="00FA73DA">
        <w:rPr>
          <w:rFonts w:ascii="Verdana" w:hAnsi="Verdana"/>
          <w:sz w:val="16"/>
          <w:szCs w:val="16"/>
        </w:rPr>
        <w:t xml:space="preserve">viembre de 1999, Considerando 4, </w:t>
      </w:r>
      <w:r w:rsidR="00577DDA" w:rsidRPr="00FA73DA">
        <w:rPr>
          <w:rStyle w:val="Textoennegrita"/>
          <w:rFonts w:ascii="Verdana" w:hAnsi="Verdana"/>
          <w:b w:val="0"/>
          <w:i/>
          <w:color w:val="000000"/>
          <w:sz w:val="16"/>
          <w:szCs w:val="16"/>
          <w:shd w:val="clear" w:color="auto" w:fill="FFFFFF"/>
        </w:rPr>
        <w:t xml:space="preserve">Caso de las Niñas </w:t>
      </w:r>
      <w:proofErr w:type="spellStart"/>
      <w:r w:rsidR="00577DDA" w:rsidRPr="00FA73DA">
        <w:rPr>
          <w:rStyle w:val="Textoennegrita"/>
          <w:rFonts w:ascii="Verdana" w:hAnsi="Verdana"/>
          <w:b w:val="0"/>
          <w:i/>
          <w:color w:val="000000"/>
          <w:sz w:val="16"/>
          <w:szCs w:val="16"/>
          <w:shd w:val="clear" w:color="auto" w:fill="FFFFFF"/>
        </w:rPr>
        <w:t>Yean</w:t>
      </w:r>
      <w:proofErr w:type="spellEnd"/>
      <w:r w:rsidR="00577DDA" w:rsidRPr="00FA73DA">
        <w:rPr>
          <w:rStyle w:val="Textoennegrita"/>
          <w:rFonts w:ascii="Verdana" w:hAnsi="Verdana"/>
          <w:b w:val="0"/>
          <w:i/>
          <w:color w:val="000000"/>
          <w:sz w:val="16"/>
          <w:szCs w:val="16"/>
          <w:shd w:val="clear" w:color="auto" w:fill="FFFFFF"/>
        </w:rPr>
        <w:t xml:space="preserve"> y </w:t>
      </w:r>
      <w:proofErr w:type="spellStart"/>
      <w:r w:rsidR="00577DDA" w:rsidRPr="00FA73DA">
        <w:rPr>
          <w:rStyle w:val="Textoennegrita"/>
          <w:rFonts w:ascii="Verdana" w:hAnsi="Verdana"/>
          <w:b w:val="0"/>
          <w:i/>
          <w:color w:val="000000"/>
          <w:sz w:val="16"/>
          <w:szCs w:val="16"/>
          <w:shd w:val="clear" w:color="auto" w:fill="FFFFFF"/>
        </w:rPr>
        <w:t>Bosico</w:t>
      </w:r>
      <w:proofErr w:type="spellEnd"/>
      <w:r w:rsidR="00577DDA" w:rsidRPr="00FA73DA">
        <w:rPr>
          <w:rStyle w:val="Textoennegrita"/>
          <w:rFonts w:ascii="Verdana" w:hAnsi="Verdana"/>
          <w:b w:val="0"/>
          <w:i/>
          <w:color w:val="000000"/>
          <w:sz w:val="16"/>
          <w:szCs w:val="16"/>
          <w:shd w:val="clear" w:color="auto" w:fill="FFFFFF"/>
        </w:rPr>
        <w:t xml:space="preserve"> y Caso de Personas dominicanas y haitianas expulsadas Vs. República Dominicana. </w:t>
      </w:r>
      <w:r w:rsidRPr="00FA73DA">
        <w:rPr>
          <w:rStyle w:val="Textoennegrita"/>
          <w:rFonts w:ascii="Verdana" w:hAnsi="Verdana"/>
          <w:b w:val="0"/>
          <w:i/>
          <w:color w:val="000000"/>
          <w:sz w:val="16"/>
          <w:szCs w:val="16"/>
          <w:shd w:val="clear" w:color="auto" w:fill="FFFFFF"/>
        </w:rPr>
        <w:t xml:space="preserve"> Supervisión de Cumplimiento de Sentencia.</w:t>
      </w:r>
      <w:r w:rsidRPr="00FA73DA">
        <w:rPr>
          <w:rStyle w:val="Textoennegrita"/>
          <w:rFonts w:ascii="Verdana" w:hAnsi="Verdana"/>
          <w:b w:val="0"/>
          <w:color w:val="000000"/>
          <w:sz w:val="16"/>
          <w:szCs w:val="16"/>
          <w:shd w:val="clear" w:color="auto" w:fill="FFFFFF"/>
        </w:rPr>
        <w:t xml:space="preserve"> Resolución de la Corte Interamericana de Derechos Humanos de </w:t>
      </w:r>
      <w:r w:rsidR="00577DDA" w:rsidRPr="00FA73DA">
        <w:rPr>
          <w:rStyle w:val="Textoennegrita"/>
          <w:rFonts w:ascii="Verdana" w:hAnsi="Verdana"/>
          <w:b w:val="0"/>
          <w:color w:val="000000"/>
          <w:sz w:val="16"/>
          <w:szCs w:val="16"/>
          <w:shd w:val="clear" w:color="auto" w:fill="FFFFFF"/>
        </w:rPr>
        <w:t xml:space="preserve">12 </w:t>
      </w:r>
      <w:r w:rsidRPr="00FA73DA">
        <w:rPr>
          <w:rStyle w:val="Textoennegrita"/>
          <w:rFonts w:ascii="Verdana" w:hAnsi="Verdana"/>
          <w:b w:val="0"/>
          <w:color w:val="000000"/>
          <w:sz w:val="16"/>
          <w:szCs w:val="16"/>
          <w:shd w:val="clear" w:color="auto" w:fill="FFFFFF"/>
        </w:rPr>
        <w:t xml:space="preserve">de </w:t>
      </w:r>
      <w:r w:rsidR="00577DDA" w:rsidRPr="00FA73DA">
        <w:rPr>
          <w:rStyle w:val="Textoennegrita"/>
          <w:rFonts w:ascii="Verdana" w:hAnsi="Verdana"/>
          <w:b w:val="0"/>
          <w:color w:val="000000"/>
          <w:sz w:val="16"/>
          <w:szCs w:val="16"/>
          <w:shd w:val="clear" w:color="auto" w:fill="FFFFFF"/>
        </w:rPr>
        <w:t>marzo</w:t>
      </w:r>
      <w:r w:rsidRPr="00FA73DA">
        <w:rPr>
          <w:rStyle w:val="Textoennegrita"/>
          <w:rFonts w:ascii="Verdana" w:hAnsi="Verdana"/>
          <w:b w:val="0"/>
          <w:color w:val="000000"/>
          <w:sz w:val="16"/>
          <w:szCs w:val="16"/>
          <w:shd w:val="clear" w:color="auto" w:fill="FFFFFF"/>
        </w:rPr>
        <w:t xml:space="preserve"> de 201</w:t>
      </w:r>
      <w:r w:rsidR="00577DDA" w:rsidRPr="00FA73DA">
        <w:rPr>
          <w:rStyle w:val="Textoennegrita"/>
          <w:rFonts w:ascii="Verdana" w:hAnsi="Verdana"/>
          <w:b w:val="0"/>
          <w:color w:val="000000"/>
          <w:sz w:val="16"/>
          <w:szCs w:val="16"/>
          <w:shd w:val="clear" w:color="auto" w:fill="FFFFFF"/>
        </w:rPr>
        <w:t>9, Considerando 18</w:t>
      </w:r>
      <w:r w:rsidRPr="00FA73DA">
        <w:rPr>
          <w:rStyle w:val="Textoennegrita"/>
          <w:rFonts w:ascii="Verdana" w:hAnsi="Verdana"/>
          <w:b w:val="0"/>
          <w:color w:val="000000"/>
          <w:sz w:val="16"/>
          <w:szCs w:val="16"/>
          <w:shd w:val="clear" w:color="auto" w:fill="FFFFFF"/>
        </w:rPr>
        <w:t>.</w:t>
      </w:r>
    </w:p>
  </w:footnote>
  <w:footnote w:id="14">
    <w:p w14:paraId="33D2D70B" w14:textId="03F32857" w:rsidR="00451325" w:rsidRPr="00FA73DA" w:rsidRDefault="00451325" w:rsidP="00FA73DA">
      <w:pPr>
        <w:pStyle w:val="Textonotapie"/>
        <w:tabs>
          <w:tab w:val="left" w:pos="426"/>
        </w:tabs>
        <w:ind w:right="113"/>
        <w:jc w:val="both"/>
        <w:rPr>
          <w:rFonts w:ascii="Verdana" w:hAnsi="Verdana"/>
          <w:sz w:val="16"/>
          <w:szCs w:val="16"/>
          <w:lang w:val="es-CR"/>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rPr>
        <w:t>Cfr. Caso Cinco Pensionistas Vs. Perú.</w:t>
      </w:r>
      <w:r w:rsidRPr="00FA73DA">
        <w:rPr>
          <w:rFonts w:ascii="Verdana" w:hAnsi="Verdana"/>
          <w:sz w:val="16"/>
          <w:szCs w:val="16"/>
        </w:rPr>
        <w:t xml:space="preserve"> </w:t>
      </w:r>
      <w:r w:rsidRPr="00723726">
        <w:rPr>
          <w:rFonts w:ascii="Verdana" w:hAnsi="Verdana"/>
          <w:i/>
          <w:sz w:val="16"/>
          <w:szCs w:val="16"/>
        </w:rPr>
        <w:t>Supervisión de Cumplimiento de Sentencia.</w:t>
      </w:r>
      <w:r w:rsidRPr="00FA73DA">
        <w:rPr>
          <w:rFonts w:ascii="Verdana" w:hAnsi="Verdana"/>
          <w:sz w:val="16"/>
          <w:szCs w:val="16"/>
        </w:rPr>
        <w:t xml:space="preserve"> Resolución de la Corte de 17 de noviembre de 2004, Considerando 5, y </w:t>
      </w:r>
      <w:r w:rsidR="00577DDA" w:rsidRPr="00FA73DA">
        <w:rPr>
          <w:rStyle w:val="Textoennegrita"/>
          <w:rFonts w:ascii="Verdana" w:hAnsi="Verdana"/>
          <w:b w:val="0"/>
          <w:i/>
          <w:color w:val="000000"/>
          <w:sz w:val="16"/>
          <w:szCs w:val="16"/>
          <w:shd w:val="clear" w:color="auto" w:fill="FFFFFF"/>
        </w:rPr>
        <w:t>Caso Uzcátegui y otros Vs. Venezuela. Supervisión de Cumplimiento de Sentencia</w:t>
      </w:r>
      <w:r w:rsidR="00577DDA" w:rsidRPr="00FA73DA">
        <w:rPr>
          <w:rStyle w:val="Textoennegrita"/>
          <w:rFonts w:ascii="Verdana" w:hAnsi="Verdana"/>
          <w:b w:val="0"/>
          <w:color w:val="000000"/>
          <w:sz w:val="16"/>
          <w:szCs w:val="16"/>
          <w:shd w:val="clear" w:color="auto" w:fill="FFFFFF"/>
        </w:rPr>
        <w:t>. Resolución de la Corte Interamericana de Derechos Humanos de 22 de noviembre de 2019, Considerando 5</w:t>
      </w:r>
      <w:r w:rsidRPr="00FA73DA">
        <w:rPr>
          <w:rStyle w:val="Textoennegrita"/>
          <w:rFonts w:ascii="Verdana" w:hAnsi="Verdana"/>
          <w:b w:val="0"/>
          <w:color w:val="000000"/>
          <w:sz w:val="16"/>
          <w:szCs w:val="16"/>
          <w:shd w:val="clear" w:color="auto" w:fill="FFFFFF"/>
        </w:rPr>
        <w:t>.</w:t>
      </w:r>
      <w:r w:rsidRPr="00FA73DA">
        <w:rPr>
          <w:rStyle w:val="Textoennegrita"/>
          <w:rFonts w:ascii="Verdana" w:hAnsi="Verdana"/>
          <w:b w:val="0"/>
          <w:i/>
          <w:color w:val="000000"/>
          <w:sz w:val="16"/>
          <w:szCs w:val="16"/>
          <w:shd w:val="clear" w:color="auto" w:fill="FFFFFF"/>
        </w:rPr>
        <w:t xml:space="preserve"> </w:t>
      </w:r>
    </w:p>
  </w:footnote>
  <w:footnote w:id="15">
    <w:p w14:paraId="3A9081A9" w14:textId="5BDFD0AF" w:rsidR="00451325" w:rsidRPr="00FA73DA" w:rsidRDefault="00451325" w:rsidP="00FA73DA">
      <w:pPr>
        <w:pStyle w:val="Textonotapie"/>
        <w:tabs>
          <w:tab w:val="left" w:pos="426"/>
        </w:tabs>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lang w:val="it-IT"/>
        </w:rPr>
        <w:t xml:space="preserve"> </w:t>
      </w:r>
      <w:r w:rsidRPr="00FA73DA">
        <w:rPr>
          <w:rFonts w:ascii="Verdana" w:hAnsi="Verdana"/>
          <w:sz w:val="16"/>
          <w:szCs w:val="16"/>
          <w:lang w:val="it-IT"/>
        </w:rPr>
        <w:tab/>
      </w:r>
      <w:r w:rsidRPr="00FA73DA">
        <w:rPr>
          <w:rFonts w:ascii="Verdana" w:hAnsi="Verdana"/>
          <w:i/>
          <w:sz w:val="16"/>
          <w:szCs w:val="16"/>
          <w:lang w:val="it-IT"/>
        </w:rPr>
        <w:t xml:space="preserve">Cfr. Caso Gelman Vs. </w:t>
      </w:r>
      <w:r w:rsidRPr="00FA73DA">
        <w:rPr>
          <w:rFonts w:ascii="Verdana" w:hAnsi="Verdana"/>
          <w:i/>
          <w:sz w:val="16"/>
          <w:szCs w:val="16"/>
        </w:rPr>
        <w:t>Uruguay. Supervisión de Cumplimiento de Sentencia.</w:t>
      </w:r>
      <w:r w:rsidRPr="00FA73DA">
        <w:rPr>
          <w:rFonts w:ascii="Verdana" w:hAnsi="Verdana"/>
          <w:sz w:val="16"/>
          <w:szCs w:val="16"/>
        </w:rPr>
        <w:t xml:space="preserve"> Resolución de la Corte Interamericana de Derechos Humanos de 20 de marzo de 2013, Considerandos 61 y 68, y </w:t>
      </w:r>
      <w:r w:rsidR="00C043D9" w:rsidRPr="00FA73DA">
        <w:rPr>
          <w:rStyle w:val="Textoennegrita"/>
          <w:rFonts w:ascii="Verdana" w:hAnsi="Verdana"/>
          <w:b w:val="0"/>
          <w:i/>
          <w:color w:val="000000"/>
          <w:sz w:val="16"/>
          <w:szCs w:val="16"/>
          <w:shd w:val="clear" w:color="auto" w:fill="FFFFFF"/>
        </w:rPr>
        <w:t xml:space="preserve">Caso </w:t>
      </w:r>
      <w:r w:rsidR="006B1FF2" w:rsidRPr="00FA73DA">
        <w:rPr>
          <w:rStyle w:val="Textoennegrita"/>
          <w:rFonts w:ascii="Verdana" w:hAnsi="Verdana"/>
          <w:b w:val="0"/>
          <w:i/>
          <w:color w:val="000000"/>
          <w:sz w:val="16"/>
          <w:szCs w:val="16"/>
          <w:shd w:val="clear" w:color="auto" w:fill="FFFFFF"/>
        </w:rPr>
        <w:t xml:space="preserve">González Medina y familiares Vs. República Dominicana. Supervisión de Cumplimiento de Sentencia. </w:t>
      </w:r>
      <w:r w:rsidR="006B1FF2" w:rsidRPr="00FA73DA">
        <w:rPr>
          <w:rStyle w:val="Textoennegrita"/>
          <w:rFonts w:ascii="Verdana" w:hAnsi="Verdana"/>
          <w:b w:val="0"/>
          <w:color w:val="000000"/>
          <w:sz w:val="16"/>
          <w:szCs w:val="16"/>
          <w:shd w:val="clear" w:color="auto" w:fill="FFFFFF"/>
        </w:rPr>
        <w:t xml:space="preserve">Resolución de la Corte Interamericana de Derechos Humanos de 22 de noviembre de 2019, Considerando 12. </w:t>
      </w:r>
    </w:p>
  </w:footnote>
  <w:footnote w:id="16">
    <w:p w14:paraId="54CB00DE" w14:textId="405AE8CB" w:rsidR="00451325" w:rsidRPr="00FA73DA" w:rsidRDefault="00451325" w:rsidP="00FA73DA">
      <w:pPr>
        <w:pStyle w:val="Textonotapie"/>
        <w:tabs>
          <w:tab w:val="left" w:pos="426"/>
          <w:tab w:val="left" w:pos="709"/>
        </w:tabs>
        <w:ind w:right="113"/>
        <w:jc w:val="both"/>
        <w:rPr>
          <w:rFonts w:ascii="Verdana" w:hAnsi="Verdana"/>
          <w:color w:val="000000"/>
          <w:sz w:val="16"/>
          <w:szCs w:val="16"/>
          <w:lang w:val="es-CR"/>
        </w:rPr>
      </w:pPr>
      <w:r w:rsidRPr="00FA73DA">
        <w:rPr>
          <w:rStyle w:val="Refdenotaalpie"/>
          <w:rFonts w:ascii="Verdana" w:hAnsi="Verdana"/>
          <w:sz w:val="16"/>
          <w:szCs w:val="16"/>
        </w:rPr>
        <w:footnoteRef/>
      </w:r>
      <w:r w:rsidRPr="00FA73DA">
        <w:rPr>
          <w:rFonts w:ascii="Verdana" w:hAnsi="Verdana"/>
          <w:sz w:val="16"/>
          <w:szCs w:val="16"/>
          <w:lang w:val="es-CR"/>
        </w:rPr>
        <w:t xml:space="preserve"> </w:t>
      </w:r>
      <w:r w:rsidRPr="00FA73DA">
        <w:rPr>
          <w:rFonts w:ascii="Verdana" w:hAnsi="Verdana"/>
          <w:sz w:val="16"/>
          <w:szCs w:val="16"/>
          <w:lang w:val="es-CR"/>
        </w:rPr>
        <w:tab/>
      </w:r>
      <w:r w:rsidRPr="00FA73DA">
        <w:rPr>
          <w:rFonts w:ascii="Verdana" w:hAnsi="Verdana"/>
          <w:i/>
          <w:sz w:val="16"/>
          <w:szCs w:val="16"/>
          <w:lang w:val="es-MX"/>
        </w:rPr>
        <w:t xml:space="preserve">Cfr. Caso Castillo </w:t>
      </w:r>
      <w:proofErr w:type="spellStart"/>
      <w:r w:rsidRPr="00FA73DA">
        <w:rPr>
          <w:rFonts w:ascii="Verdana" w:hAnsi="Verdana"/>
          <w:i/>
          <w:sz w:val="16"/>
          <w:szCs w:val="16"/>
          <w:lang w:val="es-MX"/>
        </w:rPr>
        <w:t>Petruzzi</w:t>
      </w:r>
      <w:proofErr w:type="spellEnd"/>
      <w:r w:rsidRPr="00FA73DA">
        <w:rPr>
          <w:rFonts w:ascii="Verdana" w:hAnsi="Verdana"/>
          <w:i/>
          <w:sz w:val="16"/>
          <w:szCs w:val="16"/>
          <w:lang w:val="es-MX"/>
        </w:rPr>
        <w:t xml:space="preserve"> y otros Vs. Perú, </w:t>
      </w:r>
      <w:r w:rsidRPr="00FA73DA">
        <w:rPr>
          <w:rStyle w:val="Textoennegrita"/>
          <w:rFonts w:ascii="Verdana" w:hAnsi="Verdana"/>
          <w:b w:val="0"/>
          <w:i/>
          <w:color w:val="000000"/>
          <w:sz w:val="16"/>
          <w:szCs w:val="16"/>
          <w:shd w:val="clear" w:color="auto" w:fill="FFFFFF"/>
        </w:rPr>
        <w:t xml:space="preserve">supra </w:t>
      </w:r>
      <w:r w:rsidRPr="00FA73DA">
        <w:rPr>
          <w:rStyle w:val="Textoennegrita"/>
          <w:rFonts w:ascii="Verdana" w:hAnsi="Verdana"/>
          <w:b w:val="0"/>
          <w:color w:val="000000"/>
          <w:sz w:val="16"/>
          <w:szCs w:val="16"/>
          <w:shd w:val="clear" w:color="auto" w:fill="FFFFFF"/>
        </w:rPr>
        <w:t xml:space="preserve">nota </w:t>
      </w:r>
      <w:r w:rsidR="00C043D9" w:rsidRPr="00FA73DA">
        <w:rPr>
          <w:rStyle w:val="Textoennegrita"/>
          <w:rFonts w:ascii="Verdana" w:hAnsi="Verdana"/>
          <w:b w:val="0"/>
          <w:color w:val="000000"/>
          <w:sz w:val="16"/>
          <w:szCs w:val="16"/>
          <w:shd w:val="clear" w:color="auto" w:fill="FFFFFF"/>
        </w:rPr>
        <w:t>1</w:t>
      </w:r>
      <w:r w:rsidR="008B7CDB">
        <w:rPr>
          <w:rStyle w:val="Textoennegrita"/>
          <w:rFonts w:ascii="Verdana" w:hAnsi="Verdana"/>
          <w:b w:val="0"/>
          <w:color w:val="000000"/>
          <w:sz w:val="16"/>
          <w:szCs w:val="16"/>
          <w:shd w:val="clear" w:color="auto" w:fill="FFFFFF"/>
        </w:rPr>
        <w:t>2</w:t>
      </w:r>
      <w:r w:rsidRPr="00FA73DA">
        <w:rPr>
          <w:rFonts w:ascii="Verdana" w:hAnsi="Verdana"/>
          <w:sz w:val="16"/>
          <w:szCs w:val="16"/>
          <w:lang w:val="es-MX"/>
        </w:rPr>
        <w:t>, Considerando 3, y</w:t>
      </w:r>
      <w:r w:rsidRPr="00FA73DA">
        <w:rPr>
          <w:rFonts w:ascii="Verdana" w:hAnsi="Verdana"/>
          <w:sz w:val="16"/>
          <w:szCs w:val="16"/>
          <w:lang w:val="es-AR"/>
        </w:rPr>
        <w:t xml:space="preserve"> </w:t>
      </w:r>
      <w:r w:rsidR="00C043D9" w:rsidRPr="00FA73DA">
        <w:rPr>
          <w:rStyle w:val="Textoennegrita"/>
          <w:rFonts w:ascii="Verdana" w:hAnsi="Verdana"/>
          <w:b w:val="0"/>
          <w:i/>
          <w:color w:val="000000"/>
          <w:sz w:val="16"/>
          <w:szCs w:val="16"/>
          <w:shd w:val="clear" w:color="auto" w:fill="FFFFFF"/>
        </w:rPr>
        <w:t xml:space="preserve">Caso de las Niñas </w:t>
      </w:r>
      <w:proofErr w:type="spellStart"/>
      <w:r w:rsidR="00C043D9" w:rsidRPr="00FA73DA">
        <w:rPr>
          <w:rStyle w:val="Textoennegrita"/>
          <w:rFonts w:ascii="Verdana" w:hAnsi="Verdana"/>
          <w:b w:val="0"/>
          <w:i/>
          <w:color w:val="000000"/>
          <w:sz w:val="16"/>
          <w:szCs w:val="16"/>
          <w:shd w:val="clear" w:color="auto" w:fill="FFFFFF"/>
        </w:rPr>
        <w:t>Yean</w:t>
      </w:r>
      <w:proofErr w:type="spellEnd"/>
      <w:r w:rsidR="00C043D9" w:rsidRPr="00FA73DA">
        <w:rPr>
          <w:rStyle w:val="Textoennegrita"/>
          <w:rFonts w:ascii="Verdana" w:hAnsi="Verdana"/>
          <w:b w:val="0"/>
          <w:i/>
          <w:color w:val="000000"/>
          <w:sz w:val="16"/>
          <w:szCs w:val="16"/>
          <w:shd w:val="clear" w:color="auto" w:fill="FFFFFF"/>
        </w:rPr>
        <w:t xml:space="preserve"> y </w:t>
      </w:r>
      <w:proofErr w:type="spellStart"/>
      <w:r w:rsidR="00C043D9" w:rsidRPr="00FA73DA">
        <w:rPr>
          <w:rStyle w:val="Textoennegrita"/>
          <w:rFonts w:ascii="Verdana" w:hAnsi="Verdana"/>
          <w:b w:val="0"/>
          <w:i/>
          <w:color w:val="000000"/>
          <w:sz w:val="16"/>
          <w:szCs w:val="16"/>
          <w:shd w:val="clear" w:color="auto" w:fill="FFFFFF"/>
        </w:rPr>
        <w:t>Bosico</w:t>
      </w:r>
      <w:proofErr w:type="spellEnd"/>
      <w:r w:rsidR="00C043D9" w:rsidRPr="00FA73DA">
        <w:rPr>
          <w:rStyle w:val="Textoennegrita"/>
          <w:rFonts w:ascii="Verdana" w:hAnsi="Verdana"/>
          <w:b w:val="0"/>
          <w:i/>
          <w:color w:val="000000"/>
          <w:sz w:val="16"/>
          <w:szCs w:val="16"/>
          <w:shd w:val="clear" w:color="auto" w:fill="FFFFFF"/>
        </w:rPr>
        <w:t xml:space="preserve"> y Caso de Personas dominicanas y haitianas expulsadas Vs. República Dominicana, supra </w:t>
      </w:r>
      <w:r w:rsidR="008B7CDB">
        <w:rPr>
          <w:rStyle w:val="Textoennegrita"/>
          <w:rFonts w:ascii="Verdana" w:hAnsi="Verdana"/>
          <w:b w:val="0"/>
          <w:color w:val="000000"/>
          <w:sz w:val="16"/>
          <w:szCs w:val="16"/>
          <w:shd w:val="clear" w:color="auto" w:fill="FFFFFF"/>
        </w:rPr>
        <w:t>nota 12</w:t>
      </w:r>
      <w:r w:rsidR="00C043D9" w:rsidRPr="00FA73DA">
        <w:rPr>
          <w:rStyle w:val="Textoennegrita"/>
          <w:rFonts w:ascii="Verdana" w:hAnsi="Verdana"/>
          <w:b w:val="0"/>
          <w:color w:val="000000"/>
          <w:sz w:val="16"/>
          <w:szCs w:val="16"/>
          <w:shd w:val="clear" w:color="auto" w:fill="FFFFFF"/>
        </w:rPr>
        <w:t>, Considerando 21</w:t>
      </w:r>
      <w:r w:rsidRPr="00FA73DA">
        <w:rPr>
          <w:rStyle w:val="Textoennegrita"/>
          <w:rFonts w:ascii="Verdana" w:hAnsi="Verdana"/>
          <w:b w:val="0"/>
          <w:color w:val="000000"/>
          <w:sz w:val="16"/>
          <w:szCs w:val="16"/>
          <w:shd w:val="clear" w:color="auto" w:fill="FFFFFF"/>
        </w:rPr>
        <w:t>.</w:t>
      </w:r>
    </w:p>
  </w:footnote>
  <w:footnote w:id="17">
    <w:p w14:paraId="0AED21A3" w14:textId="19C1C828" w:rsidR="00451325" w:rsidRPr="00FA73DA" w:rsidRDefault="00451325" w:rsidP="00FA73DA">
      <w:pPr>
        <w:pStyle w:val="Textonotapie"/>
        <w:tabs>
          <w:tab w:val="left" w:pos="426"/>
        </w:tabs>
        <w:ind w:right="113"/>
        <w:jc w:val="both"/>
        <w:rPr>
          <w:rFonts w:ascii="Verdana" w:hAnsi="Verdana"/>
          <w:sz w:val="16"/>
          <w:szCs w:val="16"/>
          <w:lang w:val="es-CR"/>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lang w:val="es-CR"/>
        </w:rPr>
        <w:tab/>
      </w:r>
      <w:r w:rsidRPr="00FA73DA">
        <w:rPr>
          <w:rFonts w:ascii="Verdana" w:hAnsi="Verdana"/>
          <w:i/>
          <w:sz w:val="16"/>
          <w:szCs w:val="16"/>
          <w:lang w:val="es-CR"/>
        </w:rPr>
        <w:t xml:space="preserve">Cfr. Caso Gelman Vs. Uruguay, </w:t>
      </w:r>
      <w:r w:rsidR="00C043D9" w:rsidRPr="00FA73DA">
        <w:rPr>
          <w:rFonts w:ascii="Verdana" w:hAnsi="Verdana"/>
          <w:i/>
          <w:sz w:val="16"/>
          <w:szCs w:val="16"/>
          <w:lang w:val="es-CR"/>
        </w:rPr>
        <w:t xml:space="preserve">supra </w:t>
      </w:r>
      <w:r w:rsidR="008B7CDB">
        <w:rPr>
          <w:rFonts w:ascii="Verdana" w:hAnsi="Verdana"/>
          <w:sz w:val="16"/>
          <w:szCs w:val="16"/>
          <w:lang w:val="es-CR"/>
        </w:rPr>
        <w:t>nota 14</w:t>
      </w:r>
      <w:r w:rsidR="00C043D9" w:rsidRPr="00FA73DA">
        <w:rPr>
          <w:rFonts w:ascii="Verdana" w:hAnsi="Verdana"/>
          <w:sz w:val="16"/>
          <w:szCs w:val="16"/>
          <w:lang w:val="es-CR"/>
        </w:rPr>
        <w:t>,</w:t>
      </w:r>
      <w:r w:rsidR="00C043D9" w:rsidRPr="00FA73DA">
        <w:rPr>
          <w:rFonts w:ascii="Verdana" w:hAnsi="Verdana"/>
          <w:i/>
          <w:sz w:val="16"/>
          <w:szCs w:val="16"/>
          <w:lang w:val="es-CR"/>
        </w:rPr>
        <w:t xml:space="preserve"> </w:t>
      </w:r>
      <w:r w:rsidRPr="00FA73DA">
        <w:rPr>
          <w:rFonts w:ascii="Verdana" w:hAnsi="Verdana"/>
          <w:color w:val="000000"/>
          <w:sz w:val="16"/>
          <w:szCs w:val="16"/>
          <w:lang w:val="es-ES"/>
        </w:rPr>
        <w:t xml:space="preserve">Considerando 59, y </w:t>
      </w:r>
      <w:r w:rsidR="00C043D9" w:rsidRPr="00FA73DA">
        <w:rPr>
          <w:rStyle w:val="Textoennegrita"/>
          <w:rFonts w:ascii="Verdana" w:hAnsi="Verdana"/>
          <w:b w:val="0"/>
          <w:i/>
          <w:color w:val="000000"/>
          <w:sz w:val="16"/>
          <w:szCs w:val="16"/>
          <w:shd w:val="clear" w:color="auto" w:fill="FFFFFF"/>
        </w:rPr>
        <w:t xml:space="preserve">Caso de las Niñas </w:t>
      </w:r>
      <w:proofErr w:type="spellStart"/>
      <w:r w:rsidR="00C043D9" w:rsidRPr="00FA73DA">
        <w:rPr>
          <w:rStyle w:val="Textoennegrita"/>
          <w:rFonts w:ascii="Verdana" w:hAnsi="Verdana"/>
          <w:b w:val="0"/>
          <w:i/>
          <w:color w:val="000000"/>
          <w:sz w:val="16"/>
          <w:szCs w:val="16"/>
          <w:shd w:val="clear" w:color="auto" w:fill="FFFFFF"/>
        </w:rPr>
        <w:t>Yean</w:t>
      </w:r>
      <w:proofErr w:type="spellEnd"/>
      <w:r w:rsidR="00C043D9" w:rsidRPr="00FA73DA">
        <w:rPr>
          <w:rStyle w:val="Textoennegrita"/>
          <w:rFonts w:ascii="Verdana" w:hAnsi="Verdana"/>
          <w:b w:val="0"/>
          <w:i/>
          <w:color w:val="000000"/>
          <w:sz w:val="16"/>
          <w:szCs w:val="16"/>
          <w:shd w:val="clear" w:color="auto" w:fill="FFFFFF"/>
        </w:rPr>
        <w:t xml:space="preserve"> y </w:t>
      </w:r>
      <w:proofErr w:type="spellStart"/>
      <w:r w:rsidR="00C043D9" w:rsidRPr="00FA73DA">
        <w:rPr>
          <w:rStyle w:val="Textoennegrita"/>
          <w:rFonts w:ascii="Verdana" w:hAnsi="Verdana"/>
          <w:b w:val="0"/>
          <w:i/>
          <w:color w:val="000000"/>
          <w:sz w:val="16"/>
          <w:szCs w:val="16"/>
          <w:shd w:val="clear" w:color="auto" w:fill="FFFFFF"/>
        </w:rPr>
        <w:t>Bosico</w:t>
      </w:r>
      <w:proofErr w:type="spellEnd"/>
      <w:r w:rsidR="00C043D9" w:rsidRPr="00FA73DA">
        <w:rPr>
          <w:rStyle w:val="Textoennegrita"/>
          <w:rFonts w:ascii="Verdana" w:hAnsi="Verdana"/>
          <w:b w:val="0"/>
          <w:i/>
          <w:color w:val="000000"/>
          <w:sz w:val="16"/>
          <w:szCs w:val="16"/>
          <w:shd w:val="clear" w:color="auto" w:fill="FFFFFF"/>
        </w:rPr>
        <w:t xml:space="preserve"> y Caso de Personas dominicanas y haitianas expulsadas Vs. República Dominicana, supra </w:t>
      </w:r>
      <w:r w:rsidR="00C043D9" w:rsidRPr="00FA73DA">
        <w:rPr>
          <w:rStyle w:val="Textoennegrita"/>
          <w:rFonts w:ascii="Verdana" w:hAnsi="Verdana"/>
          <w:b w:val="0"/>
          <w:color w:val="000000"/>
          <w:sz w:val="16"/>
          <w:szCs w:val="16"/>
          <w:shd w:val="clear" w:color="auto" w:fill="FFFFFF"/>
        </w:rPr>
        <w:t>nota 1</w:t>
      </w:r>
      <w:r w:rsidR="008B7CDB">
        <w:rPr>
          <w:rStyle w:val="Textoennegrita"/>
          <w:rFonts w:ascii="Verdana" w:hAnsi="Verdana"/>
          <w:b w:val="0"/>
          <w:color w:val="000000"/>
          <w:sz w:val="16"/>
          <w:szCs w:val="16"/>
          <w:shd w:val="clear" w:color="auto" w:fill="FFFFFF"/>
        </w:rPr>
        <w:t>2</w:t>
      </w:r>
      <w:r w:rsidRPr="00FA73DA">
        <w:rPr>
          <w:rStyle w:val="Textoennegrita"/>
          <w:rFonts w:ascii="Verdana" w:hAnsi="Verdana"/>
          <w:b w:val="0"/>
          <w:color w:val="000000"/>
          <w:sz w:val="16"/>
          <w:szCs w:val="16"/>
          <w:shd w:val="clear" w:color="auto" w:fill="FFFFFF"/>
        </w:rPr>
        <w:t>, Considerando 2</w:t>
      </w:r>
      <w:r w:rsidR="00C043D9" w:rsidRPr="00FA73DA">
        <w:rPr>
          <w:rStyle w:val="Textoennegrita"/>
          <w:rFonts w:ascii="Verdana" w:hAnsi="Verdana"/>
          <w:b w:val="0"/>
          <w:color w:val="000000"/>
          <w:sz w:val="16"/>
          <w:szCs w:val="16"/>
          <w:shd w:val="clear" w:color="auto" w:fill="FFFFFF"/>
        </w:rPr>
        <w:t>1</w:t>
      </w:r>
      <w:r w:rsidRPr="00FA73DA">
        <w:rPr>
          <w:rStyle w:val="Textoennegrita"/>
          <w:rFonts w:ascii="Verdana" w:hAnsi="Verdana"/>
          <w:b w:val="0"/>
          <w:color w:val="000000"/>
          <w:sz w:val="16"/>
          <w:szCs w:val="16"/>
          <w:shd w:val="clear" w:color="auto" w:fill="FFFFFF"/>
        </w:rPr>
        <w:t>.</w:t>
      </w:r>
    </w:p>
  </w:footnote>
  <w:footnote w:id="18">
    <w:p w14:paraId="46302DA6" w14:textId="17D042F7" w:rsidR="00451325" w:rsidRPr="00FA73DA" w:rsidRDefault="00451325" w:rsidP="00FA73DA">
      <w:pPr>
        <w:pStyle w:val="Textonotapie"/>
        <w:tabs>
          <w:tab w:val="left" w:pos="426"/>
        </w:tabs>
        <w:ind w:right="113"/>
        <w:jc w:val="both"/>
        <w:rPr>
          <w:rFonts w:ascii="Verdana" w:hAnsi="Verdana"/>
          <w:sz w:val="16"/>
          <w:szCs w:val="16"/>
          <w:lang w:val="es-CR"/>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lang w:val="es-CR"/>
        </w:rPr>
        <w:tab/>
      </w:r>
      <w:r w:rsidRPr="007332E0">
        <w:rPr>
          <w:rFonts w:ascii="Verdana" w:hAnsi="Verdana"/>
          <w:i/>
          <w:sz w:val="16"/>
          <w:szCs w:val="16"/>
        </w:rPr>
        <w:t xml:space="preserve">Cfr. Caso Castillo </w:t>
      </w:r>
      <w:proofErr w:type="spellStart"/>
      <w:r w:rsidRPr="007332E0">
        <w:rPr>
          <w:rFonts w:ascii="Verdana" w:hAnsi="Verdana"/>
          <w:i/>
          <w:sz w:val="16"/>
          <w:szCs w:val="16"/>
        </w:rPr>
        <w:t>Petruzzi</w:t>
      </w:r>
      <w:proofErr w:type="spellEnd"/>
      <w:r w:rsidRPr="007332E0">
        <w:rPr>
          <w:rFonts w:ascii="Verdana" w:hAnsi="Verdana"/>
          <w:i/>
          <w:sz w:val="16"/>
          <w:szCs w:val="16"/>
        </w:rPr>
        <w:t xml:space="preserve"> y otros Vs. Perú</w:t>
      </w:r>
      <w:r w:rsidRPr="007332E0">
        <w:rPr>
          <w:rFonts w:ascii="Verdana" w:hAnsi="Verdana"/>
          <w:sz w:val="16"/>
          <w:szCs w:val="16"/>
        </w:rPr>
        <w:t>,</w:t>
      </w:r>
      <w:r w:rsidRPr="007332E0">
        <w:rPr>
          <w:rFonts w:ascii="Verdana" w:hAnsi="Verdana"/>
          <w:sz w:val="16"/>
          <w:szCs w:val="16"/>
          <w:lang w:val="es-CR"/>
        </w:rPr>
        <w:t xml:space="preserve"> </w:t>
      </w:r>
      <w:r w:rsidR="00C043D9" w:rsidRPr="007332E0">
        <w:rPr>
          <w:rFonts w:ascii="Verdana" w:hAnsi="Verdana"/>
          <w:i/>
          <w:sz w:val="16"/>
          <w:szCs w:val="16"/>
          <w:lang w:val="es-CR"/>
        </w:rPr>
        <w:t>supra</w:t>
      </w:r>
      <w:r w:rsidR="00C043D9" w:rsidRPr="007332E0">
        <w:rPr>
          <w:rFonts w:ascii="Verdana" w:hAnsi="Verdana"/>
          <w:sz w:val="16"/>
          <w:szCs w:val="16"/>
          <w:lang w:val="es-CR"/>
        </w:rPr>
        <w:t xml:space="preserve"> nota 1</w:t>
      </w:r>
      <w:r w:rsidR="008B7CDB" w:rsidRPr="007332E0">
        <w:rPr>
          <w:rFonts w:ascii="Verdana" w:hAnsi="Verdana"/>
          <w:sz w:val="16"/>
          <w:szCs w:val="16"/>
          <w:lang w:val="es-CR"/>
        </w:rPr>
        <w:t>2</w:t>
      </w:r>
      <w:r w:rsidR="00C043D9" w:rsidRPr="007332E0">
        <w:rPr>
          <w:rFonts w:ascii="Verdana" w:hAnsi="Verdana"/>
          <w:sz w:val="16"/>
          <w:szCs w:val="16"/>
          <w:lang w:val="es-CR"/>
        </w:rPr>
        <w:t xml:space="preserve">, </w:t>
      </w:r>
      <w:r w:rsidRPr="007332E0">
        <w:rPr>
          <w:rFonts w:ascii="Verdana" w:hAnsi="Verdana"/>
          <w:sz w:val="16"/>
          <w:szCs w:val="16"/>
          <w:lang w:val="es-CR"/>
        </w:rPr>
        <w:t xml:space="preserve">Considerando 3, y </w:t>
      </w:r>
      <w:r w:rsidR="00C043D9" w:rsidRPr="007332E0">
        <w:rPr>
          <w:rStyle w:val="Textoennegrita"/>
          <w:rFonts w:ascii="Verdana" w:hAnsi="Verdana"/>
          <w:b w:val="0"/>
          <w:i/>
          <w:color w:val="000000"/>
          <w:sz w:val="16"/>
          <w:szCs w:val="16"/>
          <w:shd w:val="clear" w:color="auto" w:fill="FFFFFF"/>
        </w:rPr>
        <w:t xml:space="preserve">Caso </w:t>
      </w:r>
      <w:proofErr w:type="spellStart"/>
      <w:r w:rsidR="004F4573" w:rsidRPr="007332E0">
        <w:rPr>
          <w:rStyle w:val="Textoennegrita"/>
          <w:rFonts w:ascii="Verdana" w:hAnsi="Verdana"/>
          <w:b w:val="0"/>
          <w:i/>
          <w:color w:val="000000"/>
          <w:sz w:val="16"/>
          <w:szCs w:val="16"/>
          <w:shd w:val="clear" w:color="auto" w:fill="FFFFFF"/>
        </w:rPr>
        <w:t>Fleury</w:t>
      </w:r>
      <w:proofErr w:type="spellEnd"/>
      <w:r w:rsidR="004F4573" w:rsidRPr="007332E0">
        <w:rPr>
          <w:rStyle w:val="Textoennegrita"/>
          <w:rFonts w:ascii="Verdana" w:hAnsi="Verdana"/>
          <w:b w:val="0"/>
          <w:i/>
          <w:color w:val="000000"/>
          <w:sz w:val="16"/>
          <w:szCs w:val="16"/>
          <w:shd w:val="clear" w:color="auto" w:fill="FFFFFF"/>
        </w:rPr>
        <w:t xml:space="preserve"> y otros Vs. Haití. Supervisión de Cumplimiento de Sentencia. </w:t>
      </w:r>
      <w:r w:rsidR="004F4573" w:rsidRPr="007332E0">
        <w:rPr>
          <w:rStyle w:val="Textoennegrita"/>
          <w:rFonts w:ascii="Verdana" w:hAnsi="Verdana"/>
          <w:b w:val="0"/>
          <w:color w:val="000000"/>
          <w:sz w:val="16"/>
          <w:szCs w:val="16"/>
          <w:shd w:val="clear" w:color="auto" w:fill="FFFFFF"/>
        </w:rPr>
        <w:t>Resolución de 22 de noviembre de 2019, considerando 6.</w:t>
      </w:r>
    </w:p>
  </w:footnote>
  <w:footnote w:id="19">
    <w:p w14:paraId="4154256D" w14:textId="18CA3830" w:rsidR="00451325" w:rsidRPr="00FA73DA" w:rsidRDefault="00451325" w:rsidP="00FA73DA">
      <w:pPr>
        <w:pStyle w:val="Textonotapie"/>
        <w:tabs>
          <w:tab w:val="left" w:pos="426"/>
        </w:tabs>
        <w:ind w:right="113"/>
        <w:jc w:val="both"/>
        <w:rPr>
          <w:rFonts w:ascii="Verdana" w:hAnsi="Verdana"/>
          <w:sz w:val="16"/>
          <w:szCs w:val="16"/>
          <w:lang w:val="es-CR"/>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lang w:val="es-MX"/>
        </w:rPr>
        <w:t>Cfr. Caso</w:t>
      </w:r>
      <w:r w:rsidRPr="00FA73DA">
        <w:rPr>
          <w:rFonts w:ascii="Verdana" w:eastAsia="MS Mincho" w:hAnsi="Verdana"/>
          <w:sz w:val="16"/>
          <w:szCs w:val="16"/>
          <w:lang w:val="es-CR"/>
        </w:rPr>
        <w:t xml:space="preserve"> </w:t>
      </w:r>
      <w:r w:rsidRPr="00FA73DA">
        <w:rPr>
          <w:rFonts w:ascii="Verdana" w:hAnsi="Verdana"/>
          <w:i/>
          <w:sz w:val="16"/>
          <w:szCs w:val="16"/>
          <w:lang w:val="es-CR"/>
        </w:rPr>
        <w:t xml:space="preserve">Baena Ricardo y otros Vs. Panamá. Competencia. </w:t>
      </w:r>
      <w:r w:rsidRPr="00FA73DA">
        <w:rPr>
          <w:rFonts w:ascii="Verdana" w:hAnsi="Verdana"/>
          <w:sz w:val="16"/>
          <w:szCs w:val="16"/>
          <w:lang w:val="es-CR"/>
        </w:rPr>
        <w:t>Sentencia de 28 de noviembre de 2003. Serie C No. 104, párr. 83, y</w:t>
      </w:r>
      <w:r w:rsidRPr="00FA73DA">
        <w:rPr>
          <w:rFonts w:ascii="Verdana" w:hAnsi="Verdana"/>
          <w:i/>
          <w:sz w:val="16"/>
          <w:szCs w:val="16"/>
          <w:lang w:val="es-CR"/>
        </w:rPr>
        <w:t xml:space="preserve"> </w:t>
      </w:r>
      <w:r w:rsidR="00C043D9" w:rsidRPr="00FA73DA">
        <w:rPr>
          <w:rStyle w:val="Textoennegrita"/>
          <w:rFonts w:ascii="Verdana" w:hAnsi="Verdana"/>
          <w:b w:val="0"/>
          <w:i/>
          <w:color w:val="000000"/>
          <w:sz w:val="16"/>
          <w:szCs w:val="16"/>
          <w:shd w:val="clear" w:color="auto" w:fill="FFFFFF"/>
        </w:rPr>
        <w:t xml:space="preserve">Caso de las Niñas </w:t>
      </w:r>
      <w:proofErr w:type="spellStart"/>
      <w:r w:rsidR="00C043D9" w:rsidRPr="00FA73DA">
        <w:rPr>
          <w:rStyle w:val="Textoennegrita"/>
          <w:rFonts w:ascii="Verdana" w:hAnsi="Verdana"/>
          <w:b w:val="0"/>
          <w:i/>
          <w:color w:val="000000"/>
          <w:sz w:val="16"/>
          <w:szCs w:val="16"/>
          <w:shd w:val="clear" w:color="auto" w:fill="FFFFFF"/>
        </w:rPr>
        <w:t>Yean</w:t>
      </w:r>
      <w:proofErr w:type="spellEnd"/>
      <w:r w:rsidR="00C043D9" w:rsidRPr="00FA73DA">
        <w:rPr>
          <w:rStyle w:val="Textoennegrita"/>
          <w:rFonts w:ascii="Verdana" w:hAnsi="Verdana"/>
          <w:b w:val="0"/>
          <w:i/>
          <w:color w:val="000000"/>
          <w:sz w:val="16"/>
          <w:szCs w:val="16"/>
          <w:shd w:val="clear" w:color="auto" w:fill="FFFFFF"/>
        </w:rPr>
        <w:t xml:space="preserve"> y </w:t>
      </w:r>
      <w:proofErr w:type="spellStart"/>
      <w:r w:rsidR="00C043D9" w:rsidRPr="00FA73DA">
        <w:rPr>
          <w:rStyle w:val="Textoennegrita"/>
          <w:rFonts w:ascii="Verdana" w:hAnsi="Verdana"/>
          <w:b w:val="0"/>
          <w:i/>
          <w:color w:val="000000"/>
          <w:sz w:val="16"/>
          <w:szCs w:val="16"/>
          <w:shd w:val="clear" w:color="auto" w:fill="FFFFFF"/>
        </w:rPr>
        <w:t>Bosico</w:t>
      </w:r>
      <w:proofErr w:type="spellEnd"/>
      <w:r w:rsidR="00C043D9" w:rsidRPr="00FA73DA">
        <w:rPr>
          <w:rStyle w:val="Textoennegrita"/>
          <w:rFonts w:ascii="Verdana" w:hAnsi="Verdana"/>
          <w:b w:val="0"/>
          <w:i/>
          <w:color w:val="000000"/>
          <w:sz w:val="16"/>
          <w:szCs w:val="16"/>
          <w:shd w:val="clear" w:color="auto" w:fill="FFFFFF"/>
        </w:rPr>
        <w:t xml:space="preserve"> y Caso de Personas dominicanas y haitianas expulsadas Vs. República Dominicana, supra </w:t>
      </w:r>
      <w:r w:rsidR="00C043D9" w:rsidRPr="00FA73DA">
        <w:rPr>
          <w:rStyle w:val="Textoennegrita"/>
          <w:rFonts w:ascii="Verdana" w:hAnsi="Verdana"/>
          <w:b w:val="0"/>
          <w:color w:val="000000"/>
          <w:sz w:val="16"/>
          <w:szCs w:val="16"/>
          <w:shd w:val="clear" w:color="auto" w:fill="FFFFFF"/>
        </w:rPr>
        <w:t>nota 1</w:t>
      </w:r>
      <w:r w:rsidR="008B7CDB">
        <w:rPr>
          <w:rStyle w:val="Textoennegrita"/>
          <w:rFonts w:ascii="Verdana" w:hAnsi="Verdana"/>
          <w:b w:val="0"/>
          <w:color w:val="000000"/>
          <w:sz w:val="16"/>
          <w:szCs w:val="16"/>
          <w:shd w:val="clear" w:color="auto" w:fill="FFFFFF"/>
        </w:rPr>
        <w:t>2</w:t>
      </w:r>
      <w:r w:rsidR="00C043D9" w:rsidRPr="00FA73DA">
        <w:rPr>
          <w:rStyle w:val="Textoennegrita"/>
          <w:rFonts w:ascii="Verdana" w:hAnsi="Verdana"/>
          <w:b w:val="0"/>
          <w:color w:val="000000"/>
          <w:sz w:val="16"/>
          <w:szCs w:val="16"/>
          <w:shd w:val="clear" w:color="auto" w:fill="FFFFFF"/>
        </w:rPr>
        <w:t>, Considerando 21.</w:t>
      </w:r>
    </w:p>
  </w:footnote>
  <w:footnote w:id="20">
    <w:p w14:paraId="542CA48F" w14:textId="7EFC9CA5" w:rsidR="00451325" w:rsidRPr="00FA73DA" w:rsidRDefault="00451325" w:rsidP="00FA73DA">
      <w:pPr>
        <w:pStyle w:val="Textoindependiente2"/>
        <w:tabs>
          <w:tab w:val="left" w:pos="0"/>
          <w:tab w:val="left" w:pos="426"/>
        </w:tabs>
        <w:ind w:right="113"/>
        <w:rPr>
          <w:sz w:val="16"/>
          <w:szCs w:val="16"/>
        </w:rPr>
      </w:pPr>
      <w:r w:rsidRPr="00FA73DA">
        <w:rPr>
          <w:rStyle w:val="Refdenotaalpie"/>
          <w:sz w:val="16"/>
          <w:szCs w:val="16"/>
        </w:rPr>
        <w:footnoteRef/>
      </w:r>
      <w:r w:rsidRPr="00FA73DA">
        <w:rPr>
          <w:sz w:val="16"/>
          <w:szCs w:val="16"/>
        </w:rPr>
        <w:tab/>
      </w:r>
      <w:r w:rsidRPr="007332E0">
        <w:rPr>
          <w:i/>
          <w:sz w:val="16"/>
          <w:szCs w:val="16"/>
          <w:lang w:val="es-CR"/>
        </w:rPr>
        <w:t xml:space="preserve">Cfr. </w:t>
      </w:r>
      <w:r w:rsidRPr="007332E0">
        <w:rPr>
          <w:i/>
          <w:sz w:val="16"/>
          <w:szCs w:val="16"/>
        </w:rPr>
        <w:t xml:space="preserve">Caso </w:t>
      </w:r>
      <w:proofErr w:type="spellStart"/>
      <w:r w:rsidRPr="007332E0">
        <w:rPr>
          <w:i/>
          <w:sz w:val="16"/>
          <w:szCs w:val="16"/>
        </w:rPr>
        <w:t>Ivcher</w:t>
      </w:r>
      <w:proofErr w:type="spellEnd"/>
      <w:r w:rsidRPr="007332E0">
        <w:rPr>
          <w:i/>
          <w:sz w:val="16"/>
          <w:szCs w:val="16"/>
        </w:rPr>
        <w:t xml:space="preserve"> </w:t>
      </w:r>
      <w:proofErr w:type="spellStart"/>
      <w:r w:rsidRPr="007332E0">
        <w:rPr>
          <w:i/>
          <w:sz w:val="16"/>
          <w:szCs w:val="16"/>
        </w:rPr>
        <w:t>Bronstein</w:t>
      </w:r>
      <w:proofErr w:type="spellEnd"/>
      <w:r w:rsidRPr="007332E0">
        <w:rPr>
          <w:i/>
          <w:sz w:val="16"/>
          <w:szCs w:val="16"/>
        </w:rPr>
        <w:t xml:space="preserve"> Vs. Perú. Competencia.</w:t>
      </w:r>
      <w:r w:rsidRPr="007332E0">
        <w:rPr>
          <w:sz w:val="16"/>
          <w:szCs w:val="16"/>
        </w:rPr>
        <w:t xml:space="preserve"> Sentencia de 24 de septiembre de 1999. Serie C No. 54, párr. 3</w:t>
      </w:r>
      <w:r w:rsidR="007332E0" w:rsidRPr="007332E0">
        <w:rPr>
          <w:sz w:val="16"/>
          <w:szCs w:val="16"/>
        </w:rPr>
        <w:t>6</w:t>
      </w:r>
      <w:r w:rsidRPr="007332E0">
        <w:rPr>
          <w:sz w:val="16"/>
          <w:szCs w:val="16"/>
        </w:rPr>
        <w:t xml:space="preserve">, </w:t>
      </w:r>
      <w:r w:rsidRPr="007332E0">
        <w:rPr>
          <w:color w:val="000000"/>
          <w:sz w:val="16"/>
          <w:szCs w:val="16"/>
          <w:lang w:val="es-ES"/>
        </w:rPr>
        <w:t xml:space="preserve">y </w:t>
      </w:r>
      <w:r w:rsidRPr="007332E0">
        <w:rPr>
          <w:i/>
          <w:color w:val="000000"/>
          <w:sz w:val="16"/>
          <w:szCs w:val="16"/>
          <w:lang w:val="es-ES"/>
        </w:rPr>
        <w:t xml:space="preserve">Caso </w:t>
      </w:r>
      <w:r w:rsidR="006B1FF2" w:rsidRPr="007332E0">
        <w:rPr>
          <w:i/>
          <w:color w:val="000000"/>
          <w:sz w:val="16"/>
          <w:szCs w:val="16"/>
          <w:lang w:val="es-ES"/>
        </w:rPr>
        <w:t xml:space="preserve">Acosta y otros </w:t>
      </w:r>
      <w:r w:rsidRPr="007332E0">
        <w:rPr>
          <w:i/>
          <w:color w:val="000000"/>
          <w:sz w:val="16"/>
          <w:szCs w:val="16"/>
          <w:lang w:val="es-ES"/>
        </w:rPr>
        <w:t xml:space="preserve">Vs. </w:t>
      </w:r>
      <w:r w:rsidR="006B1FF2" w:rsidRPr="007332E0">
        <w:rPr>
          <w:i/>
          <w:color w:val="000000"/>
          <w:sz w:val="16"/>
          <w:szCs w:val="16"/>
          <w:lang w:val="es-ES"/>
        </w:rPr>
        <w:t>Nicaragua.</w:t>
      </w:r>
      <w:r w:rsidRPr="007332E0">
        <w:rPr>
          <w:i/>
          <w:color w:val="000000"/>
          <w:sz w:val="16"/>
          <w:szCs w:val="16"/>
          <w:lang w:val="es-ES"/>
        </w:rPr>
        <w:t xml:space="preserve"> Supervisión de Cumplimiento de Sentencia. </w:t>
      </w:r>
      <w:r w:rsidRPr="007332E0">
        <w:rPr>
          <w:color w:val="000000"/>
          <w:sz w:val="16"/>
          <w:szCs w:val="16"/>
          <w:lang w:val="es-ES"/>
        </w:rPr>
        <w:t>Resolución de la Corte Interamericana</w:t>
      </w:r>
      <w:r w:rsidRPr="00EB5552">
        <w:rPr>
          <w:color w:val="000000"/>
          <w:sz w:val="16"/>
          <w:szCs w:val="16"/>
          <w:lang w:val="es-ES"/>
        </w:rPr>
        <w:t xml:space="preserve"> de Derechos Humanos de 2</w:t>
      </w:r>
      <w:r w:rsidR="006B1FF2" w:rsidRPr="00EB5552">
        <w:rPr>
          <w:color w:val="000000"/>
          <w:sz w:val="16"/>
          <w:szCs w:val="16"/>
          <w:lang w:val="es-ES"/>
        </w:rPr>
        <w:t>2 de noviembre de 2019</w:t>
      </w:r>
      <w:r w:rsidRPr="00EB5552">
        <w:rPr>
          <w:color w:val="000000"/>
          <w:sz w:val="16"/>
          <w:szCs w:val="16"/>
          <w:lang w:val="es-ES"/>
        </w:rPr>
        <w:t>, Considerando 1</w:t>
      </w:r>
      <w:r w:rsidR="006B1FF2" w:rsidRPr="00EB5552">
        <w:rPr>
          <w:color w:val="000000"/>
          <w:sz w:val="16"/>
          <w:szCs w:val="16"/>
          <w:lang w:val="es-ES"/>
        </w:rPr>
        <w:t>8</w:t>
      </w:r>
      <w:r w:rsidRPr="00EB5552">
        <w:rPr>
          <w:sz w:val="16"/>
          <w:szCs w:val="16"/>
          <w:lang w:val="es-CR"/>
        </w:rPr>
        <w:t>.</w:t>
      </w:r>
      <w:r w:rsidRPr="00FA73DA">
        <w:rPr>
          <w:sz w:val="16"/>
          <w:szCs w:val="16"/>
          <w:lang w:val="es-CR"/>
        </w:rPr>
        <w:t xml:space="preserve"> </w:t>
      </w:r>
    </w:p>
  </w:footnote>
  <w:footnote w:id="21">
    <w:p w14:paraId="4FB1D33F" w14:textId="36BDC9A8" w:rsidR="00451325" w:rsidRPr="001F795A" w:rsidRDefault="00451325" w:rsidP="00FA73DA">
      <w:pPr>
        <w:pStyle w:val="Textonotapie"/>
        <w:tabs>
          <w:tab w:val="left" w:pos="426"/>
        </w:tabs>
        <w:ind w:right="113"/>
        <w:jc w:val="both"/>
        <w:rPr>
          <w:rFonts w:ascii="Verdana" w:hAnsi="Verdana"/>
          <w:sz w:val="16"/>
          <w:szCs w:val="16"/>
          <w:lang w:val="es-AR"/>
        </w:rPr>
      </w:pPr>
      <w:r w:rsidRPr="001F795A">
        <w:rPr>
          <w:rStyle w:val="Refdenotaalpie"/>
          <w:rFonts w:ascii="Verdana" w:hAnsi="Verdana"/>
          <w:sz w:val="16"/>
          <w:szCs w:val="16"/>
        </w:rPr>
        <w:footnoteRef/>
      </w:r>
      <w:r w:rsidRPr="001F795A">
        <w:rPr>
          <w:rFonts w:ascii="Verdana" w:hAnsi="Verdana"/>
          <w:sz w:val="16"/>
          <w:szCs w:val="16"/>
        </w:rPr>
        <w:t xml:space="preserve"> </w:t>
      </w:r>
      <w:r w:rsidRPr="001F795A">
        <w:rPr>
          <w:rFonts w:ascii="Verdana" w:hAnsi="Verdana"/>
          <w:sz w:val="16"/>
          <w:szCs w:val="16"/>
        </w:rPr>
        <w:tab/>
      </w:r>
      <w:r w:rsidRPr="001F795A">
        <w:rPr>
          <w:rFonts w:ascii="Verdana" w:hAnsi="Verdana"/>
          <w:i/>
          <w:sz w:val="16"/>
          <w:szCs w:val="16"/>
        </w:rPr>
        <w:t xml:space="preserve">Cfr. Caso </w:t>
      </w:r>
      <w:proofErr w:type="spellStart"/>
      <w:r w:rsidRPr="001F795A">
        <w:rPr>
          <w:rFonts w:ascii="Verdana" w:hAnsi="Verdana"/>
          <w:i/>
          <w:sz w:val="16"/>
          <w:szCs w:val="16"/>
        </w:rPr>
        <w:t>Caesar</w:t>
      </w:r>
      <w:proofErr w:type="spellEnd"/>
      <w:r w:rsidRPr="001F795A">
        <w:rPr>
          <w:rFonts w:ascii="Verdana" w:hAnsi="Verdana"/>
          <w:i/>
          <w:sz w:val="16"/>
          <w:szCs w:val="16"/>
        </w:rPr>
        <w:t xml:space="preserve"> Vs. Trinidad y Tobago. Fondo, Reparaciones y Costas.</w:t>
      </w:r>
      <w:r w:rsidRPr="001F795A">
        <w:rPr>
          <w:rFonts w:ascii="Verdana" w:hAnsi="Verdana"/>
          <w:sz w:val="16"/>
          <w:szCs w:val="16"/>
        </w:rPr>
        <w:t xml:space="preserve"> Sentencia de 11 de marzo de </w:t>
      </w:r>
      <w:r w:rsidR="00FA4D14" w:rsidRPr="001F795A">
        <w:rPr>
          <w:rFonts w:ascii="Verdana" w:hAnsi="Verdana"/>
          <w:sz w:val="16"/>
          <w:szCs w:val="16"/>
        </w:rPr>
        <w:t xml:space="preserve">2005. Serie C No. 123, párr. 38; </w:t>
      </w:r>
      <w:r w:rsidR="00FA4D14" w:rsidRPr="00F30660">
        <w:rPr>
          <w:rFonts w:ascii="Verdana" w:hAnsi="Verdana"/>
          <w:i/>
          <w:sz w:val="16"/>
          <w:szCs w:val="16"/>
        </w:rPr>
        <w:t xml:space="preserve">Casos El Amparo, Blanco Romero y otros, Montero Aranguren y otros, Barreto Leiva y </w:t>
      </w:r>
      <w:proofErr w:type="spellStart"/>
      <w:r w:rsidR="00FA4D14" w:rsidRPr="00F30660">
        <w:rPr>
          <w:rFonts w:ascii="Verdana" w:hAnsi="Verdana"/>
          <w:i/>
          <w:sz w:val="16"/>
          <w:szCs w:val="16"/>
        </w:rPr>
        <w:t>Usón</w:t>
      </w:r>
      <w:proofErr w:type="spellEnd"/>
      <w:r w:rsidR="00FA4D14" w:rsidRPr="00F30660">
        <w:rPr>
          <w:rFonts w:ascii="Verdana" w:hAnsi="Verdana"/>
          <w:i/>
          <w:sz w:val="16"/>
          <w:szCs w:val="16"/>
        </w:rPr>
        <w:t xml:space="preserve"> Ramírez Vs. Venezuela. Supervisión de cumplimiento de sentencias.</w:t>
      </w:r>
      <w:r w:rsidR="00FA4D14" w:rsidRPr="001F795A">
        <w:rPr>
          <w:rFonts w:ascii="Verdana" w:hAnsi="Verdana"/>
          <w:sz w:val="16"/>
          <w:szCs w:val="16"/>
        </w:rPr>
        <w:t xml:space="preserve"> Resolución de la Corte Interamericana de Derechos Humanos de 20 de noviembre de 2015, Considerando </w:t>
      </w:r>
      <w:r w:rsidR="006C47E7">
        <w:rPr>
          <w:rFonts w:ascii="Verdana" w:hAnsi="Verdana"/>
          <w:sz w:val="16"/>
          <w:szCs w:val="16"/>
        </w:rPr>
        <w:t>7</w:t>
      </w:r>
      <w:r w:rsidR="001F795A" w:rsidRPr="001F795A">
        <w:rPr>
          <w:rFonts w:ascii="Verdana" w:hAnsi="Verdana"/>
          <w:sz w:val="16"/>
          <w:szCs w:val="16"/>
        </w:rPr>
        <w:t xml:space="preserve">, </w:t>
      </w:r>
      <w:r w:rsidRPr="001F795A">
        <w:rPr>
          <w:rFonts w:ascii="Verdana" w:hAnsi="Verdana"/>
          <w:sz w:val="16"/>
          <w:szCs w:val="16"/>
        </w:rPr>
        <w:t>y</w:t>
      </w:r>
      <w:r w:rsidRPr="001F795A">
        <w:rPr>
          <w:rFonts w:ascii="Verdana" w:hAnsi="Verdana"/>
          <w:sz w:val="16"/>
          <w:szCs w:val="16"/>
          <w:lang w:val="es-AR"/>
        </w:rPr>
        <w:t xml:space="preserve"> </w:t>
      </w:r>
      <w:r w:rsidRPr="001F795A">
        <w:rPr>
          <w:rStyle w:val="Textoennegrita"/>
          <w:rFonts w:ascii="Verdana" w:hAnsi="Verdana"/>
          <w:b w:val="0"/>
          <w:i/>
          <w:color w:val="000000"/>
          <w:sz w:val="16"/>
          <w:szCs w:val="16"/>
          <w:shd w:val="clear" w:color="auto" w:fill="FFFFFF"/>
        </w:rPr>
        <w:t xml:space="preserve">Caso </w:t>
      </w:r>
      <w:r w:rsidR="00DF2C4E" w:rsidRPr="001F795A">
        <w:rPr>
          <w:rStyle w:val="Textoennegrita"/>
          <w:rFonts w:ascii="Verdana" w:hAnsi="Verdana"/>
          <w:b w:val="0"/>
          <w:i/>
          <w:color w:val="000000"/>
          <w:sz w:val="16"/>
          <w:szCs w:val="16"/>
          <w:shd w:val="clear" w:color="auto" w:fill="FFFFFF"/>
        </w:rPr>
        <w:t>Díaz Peña</w:t>
      </w:r>
      <w:r w:rsidRPr="001F795A">
        <w:rPr>
          <w:rStyle w:val="Textoennegrita"/>
          <w:rFonts w:ascii="Verdana" w:hAnsi="Verdana"/>
          <w:b w:val="0"/>
          <w:i/>
          <w:color w:val="000000"/>
          <w:sz w:val="16"/>
          <w:szCs w:val="16"/>
          <w:shd w:val="clear" w:color="auto" w:fill="FFFFFF"/>
        </w:rPr>
        <w:t xml:space="preserve"> y Caso </w:t>
      </w:r>
      <w:r w:rsidR="00DF2C4E" w:rsidRPr="001F795A">
        <w:rPr>
          <w:rStyle w:val="Textoennegrita"/>
          <w:rFonts w:ascii="Verdana" w:hAnsi="Verdana"/>
          <w:b w:val="0"/>
          <w:i/>
          <w:color w:val="000000"/>
          <w:sz w:val="16"/>
          <w:szCs w:val="16"/>
          <w:shd w:val="clear" w:color="auto" w:fill="FFFFFF"/>
        </w:rPr>
        <w:t>Uzcátegui y otros Vs. Venezuela</w:t>
      </w:r>
      <w:r w:rsidRPr="001F795A">
        <w:rPr>
          <w:rStyle w:val="Textoennegrita"/>
          <w:rFonts w:ascii="Verdana" w:hAnsi="Verdana"/>
          <w:b w:val="0"/>
          <w:i/>
          <w:color w:val="000000"/>
          <w:sz w:val="16"/>
          <w:szCs w:val="16"/>
          <w:shd w:val="clear" w:color="auto" w:fill="FFFFFF"/>
        </w:rPr>
        <w:t>. Supervisión de Cumplimiento de Sentencias</w:t>
      </w:r>
      <w:r w:rsidRPr="001F795A">
        <w:rPr>
          <w:rStyle w:val="Textoennegrita"/>
          <w:rFonts w:ascii="Verdana" w:hAnsi="Verdana"/>
          <w:b w:val="0"/>
          <w:color w:val="000000"/>
          <w:sz w:val="16"/>
          <w:szCs w:val="16"/>
          <w:shd w:val="clear" w:color="auto" w:fill="FFFFFF"/>
        </w:rPr>
        <w:t>. Resolución de la Corte Interam</w:t>
      </w:r>
      <w:r w:rsidR="00DF2C4E" w:rsidRPr="001F795A">
        <w:rPr>
          <w:rStyle w:val="Textoennegrita"/>
          <w:rFonts w:ascii="Verdana" w:hAnsi="Verdana"/>
          <w:b w:val="0"/>
          <w:color w:val="000000"/>
          <w:sz w:val="16"/>
          <w:szCs w:val="16"/>
          <w:shd w:val="clear" w:color="auto" w:fill="FFFFFF"/>
        </w:rPr>
        <w:t>ericana de Derechos Humanos de 22</w:t>
      </w:r>
      <w:r w:rsidRPr="001F795A">
        <w:rPr>
          <w:rStyle w:val="Textoennegrita"/>
          <w:rFonts w:ascii="Verdana" w:hAnsi="Verdana"/>
          <w:b w:val="0"/>
          <w:color w:val="000000"/>
          <w:sz w:val="16"/>
          <w:szCs w:val="16"/>
          <w:shd w:val="clear" w:color="auto" w:fill="FFFFFF"/>
        </w:rPr>
        <w:t xml:space="preserve"> de </w:t>
      </w:r>
      <w:r w:rsidR="00DF2C4E" w:rsidRPr="001F795A">
        <w:rPr>
          <w:rStyle w:val="Textoennegrita"/>
          <w:rFonts w:ascii="Verdana" w:hAnsi="Verdana"/>
          <w:b w:val="0"/>
          <w:color w:val="000000"/>
          <w:sz w:val="16"/>
          <w:szCs w:val="16"/>
          <w:shd w:val="clear" w:color="auto" w:fill="FFFFFF"/>
        </w:rPr>
        <w:t>noviembre de 2019, Considerando 7.</w:t>
      </w:r>
    </w:p>
  </w:footnote>
  <w:footnote w:id="22">
    <w:p w14:paraId="7401F4CC" w14:textId="258C60DF" w:rsidR="00451325" w:rsidRPr="00FA73DA" w:rsidRDefault="00451325" w:rsidP="00FA73DA">
      <w:pPr>
        <w:pStyle w:val="Textonotapie"/>
        <w:tabs>
          <w:tab w:val="left" w:pos="426"/>
          <w:tab w:val="left" w:pos="567"/>
        </w:tabs>
        <w:ind w:right="113"/>
        <w:jc w:val="both"/>
        <w:rPr>
          <w:rFonts w:ascii="Verdana" w:hAnsi="Verdana"/>
          <w:sz w:val="16"/>
          <w:szCs w:val="16"/>
          <w:lang w:val="es-CR"/>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lang w:val="es-CR"/>
        </w:rPr>
        <w:t>Cfr</w:t>
      </w:r>
      <w:r w:rsidRPr="007332E0">
        <w:rPr>
          <w:rFonts w:ascii="Verdana" w:hAnsi="Verdana"/>
          <w:i/>
          <w:sz w:val="16"/>
          <w:szCs w:val="16"/>
          <w:lang w:val="es-CR"/>
        </w:rPr>
        <w:t>.</w:t>
      </w:r>
      <w:r w:rsidRPr="007332E0">
        <w:rPr>
          <w:rFonts w:ascii="Verdana" w:hAnsi="Verdana"/>
          <w:sz w:val="16"/>
          <w:szCs w:val="16"/>
          <w:lang w:val="es-CR"/>
        </w:rPr>
        <w:t xml:space="preserve"> </w:t>
      </w:r>
      <w:r w:rsidRPr="007332E0">
        <w:rPr>
          <w:rFonts w:ascii="Verdana" w:hAnsi="Verdana"/>
          <w:i/>
          <w:sz w:val="16"/>
          <w:szCs w:val="16"/>
          <w:lang w:val="es-CR"/>
        </w:rPr>
        <w:t xml:space="preserve">Caso </w:t>
      </w:r>
      <w:proofErr w:type="spellStart"/>
      <w:r w:rsidRPr="007332E0">
        <w:rPr>
          <w:rFonts w:ascii="Verdana" w:hAnsi="Verdana"/>
          <w:i/>
          <w:sz w:val="16"/>
          <w:szCs w:val="16"/>
          <w:lang w:val="es-CR"/>
        </w:rPr>
        <w:t>Caesar</w:t>
      </w:r>
      <w:proofErr w:type="spellEnd"/>
      <w:r w:rsidRPr="007332E0">
        <w:rPr>
          <w:rFonts w:ascii="Verdana" w:hAnsi="Verdana"/>
          <w:i/>
          <w:sz w:val="16"/>
          <w:szCs w:val="16"/>
          <w:lang w:val="es-CR"/>
        </w:rPr>
        <w:t xml:space="preserve"> Vs. Trinidad y Tobago. Supervisión de Cumplimiento de Sentencia.</w:t>
      </w:r>
      <w:r w:rsidRPr="007332E0">
        <w:rPr>
          <w:rFonts w:ascii="Verdana" w:hAnsi="Verdana"/>
          <w:sz w:val="16"/>
          <w:szCs w:val="16"/>
          <w:lang w:val="es-CR"/>
        </w:rPr>
        <w:t xml:space="preserve"> Resolución de la Corte Interamericana de Derechos Humanos de 21 de noviembre de 2007, Considerando 11,</w:t>
      </w:r>
      <w:r w:rsidRPr="00FA73DA">
        <w:rPr>
          <w:rFonts w:ascii="Verdana" w:hAnsi="Verdana"/>
          <w:sz w:val="16"/>
          <w:szCs w:val="16"/>
          <w:lang w:val="es-CR"/>
        </w:rPr>
        <w:t xml:space="preserve"> y </w:t>
      </w:r>
      <w:r w:rsidRPr="00FA73DA">
        <w:rPr>
          <w:rFonts w:ascii="Verdana" w:hAnsi="Verdana"/>
          <w:bCs/>
          <w:i/>
          <w:sz w:val="16"/>
          <w:szCs w:val="16"/>
          <w:lang w:val="es-CR"/>
        </w:rPr>
        <w:t>Caso</w:t>
      </w:r>
      <w:r w:rsidR="00862277" w:rsidRPr="00FA73DA">
        <w:rPr>
          <w:rFonts w:ascii="Verdana" w:hAnsi="Verdana"/>
          <w:bCs/>
          <w:i/>
          <w:sz w:val="16"/>
          <w:szCs w:val="16"/>
          <w:lang w:val="es-CR"/>
        </w:rPr>
        <w:t xml:space="preserve">s Díaz Peña, y Uzcátegui y otros. Supervisión de Cumplimiento de Sentencias, supra </w:t>
      </w:r>
      <w:r w:rsidR="00862277" w:rsidRPr="00FA73DA">
        <w:rPr>
          <w:rFonts w:ascii="Verdana" w:hAnsi="Verdana"/>
          <w:bCs/>
          <w:sz w:val="16"/>
          <w:szCs w:val="16"/>
          <w:lang w:val="es-CR"/>
        </w:rPr>
        <w:t>nota 2</w:t>
      </w:r>
      <w:r w:rsidR="00146AC3">
        <w:rPr>
          <w:rFonts w:ascii="Verdana" w:hAnsi="Verdana"/>
          <w:bCs/>
          <w:sz w:val="16"/>
          <w:szCs w:val="16"/>
          <w:lang w:val="es-CR"/>
        </w:rPr>
        <w:t>0</w:t>
      </w:r>
      <w:r w:rsidR="00862277" w:rsidRPr="00FA73DA">
        <w:rPr>
          <w:rFonts w:ascii="Verdana" w:hAnsi="Verdana"/>
          <w:bCs/>
          <w:sz w:val="16"/>
          <w:szCs w:val="16"/>
          <w:lang w:val="es-CR"/>
        </w:rPr>
        <w:t>, Considerando 8.</w:t>
      </w:r>
      <w:r w:rsidR="00862277" w:rsidRPr="00FA73DA">
        <w:rPr>
          <w:rFonts w:ascii="Verdana" w:hAnsi="Verdana"/>
          <w:bCs/>
          <w:i/>
          <w:sz w:val="16"/>
          <w:szCs w:val="16"/>
          <w:lang w:val="es-CR"/>
        </w:rPr>
        <w:t xml:space="preserve"> </w:t>
      </w:r>
    </w:p>
  </w:footnote>
  <w:footnote w:id="23">
    <w:p w14:paraId="2B89F86D" w14:textId="6BB18946" w:rsidR="00392281" w:rsidRPr="00D80E65" w:rsidRDefault="00392281" w:rsidP="00704CCF">
      <w:pPr>
        <w:pStyle w:val="Textonotapie"/>
        <w:ind w:right="49"/>
        <w:jc w:val="both"/>
        <w:rPr>
          <w:rFonts w:ascii="Verdana" w:hAnsi="Verdana"/>
          <w:sz w:val="16"/>
          <w:szCs w:val="16"/>
        </w:rPr>
      </w:pPr>
      <w:r w:rsidRPr="00D80E65">
        <w:rPr>
          <w:rStyle w:val="Refdenotaalpie"/>
          <w:rFonts w:ascii="Verdana" w:hAnsi="Verdana"/>
          <w:sz w:val="16"/>
          <w:szCs w:val="16"/>
        </w:rPr>
        <w:footnoteRef/>
      </w:r>
      <w:r w:rsidR="00F833D1">
        <w:rPr>
          <w:rFonts w:ascii="Verdana" w:hAnsi="Verdana"/>
          <w:sz w:val="16"/>
          <w:szCs w:val="16"/>
        </w:rPr>
        <w:t xml:space="preserve"> </w:t>
      </w:r>
      <w:r w:rsidR="00F833D1">
        <w:rPr>
          <w:rFonts w:ascii="Verdana" w:hAnsi="Verdana"/>
          <w:sz w:val="16"/>
          <w:szCs w:val="16"/>
        </w:rPr>
        <w:tab/>
      </w:r>
      <w:r w:rsidRPr="00D80E65">
        <w:rPr>
          <w:rFonts w:ascii="Verdana" w:hAnsi="Verdana"/>
          <w:sz w:val="16"/>
          <w:szCs w:val="16"/>
        </w:rPr>
        <w:t xml:space="preserve">La Corte toma nota de la denuncia de la Convención Americana presentada por Venezuela, de conformidad con el artículo 78 de dicha Convención. </w:t>
      </w:r>
      <w:r w:rsidRPr="00D80E65">
        <w:rPr>
          <w:rFonts w:ascii="Verdana" w:hAnsi="Verdana"/>
          <w:i/>
          <w:sz w:val="16"/>
          <w:szCs w:val="16"/>
        </w:rPr>
        <w:t>Cfr.</w:t>
      </w:r>
      <w:r w:rsidRPr="00D80E65">
        <w:rPr>
          <w:rFonts w:ascii="Verdana" w:hAnsi="Verdana"/>
          <w:sz w:val="16"/>
          <w:szCs w:val="16"/>
        </w:rPr>
        <w:t xml:space="preserve"> Nota de la Secretaría General de la OEA No. OEA/2.2/81/12 de 11 de septiembre de 2012. Esta denuncia no tiene efectos sobre el presente caso.</w:t>
      </w:r>
    </w:p>
  </w:footnote>
  <w:footnote w:id="24">
    <w:p w14:paraId="22B42ABF" w14:textId="10D1083D" w:rsidR="00392281" w:rsidRPr="00D80E65" w:rsidRDefault="00392281" w:rsidP="00392281">
      <w:pPr>
        <w:pStyle w:val="Textonotapie"/>
        <w:jc w:val="both"/>
        <w:rPr>
          <w:rFonts w:ascii="Verdana" w:hAnsi="Verdana"/>
          <w:sz w:val="16"/>
          <w:szCs w:val="16"/>
        </w:rPr>
      </w:pPr>
      <w:r w:rsidRPr="00D80E65">
        <w:rPr>
          <w:rStyle w:val="Refdenotaalpie"/>
          <w:rFonts w:ascii="Verdana" w:hAnsi="Verdana"/>
          <w:sz w:val="16"/>
          <w:szCs w:val="16"/>
        </w:rPr>
        <w:footnoteRef/>
      </w:r>
      <w:r w:rsidRPr="00D80E65">
        <w:rPr>
          <w:rFonts w:ascii="Verdana" w:hAnsi="Verdana"/>
          <w:sz w:val="16"/>
          <w:szCs w:val="16"/>
        </w:rPr>
        <w:t xml:space="preserve"> </w:t>
      </w:r>
      <w:r w:rsidRPr="00D80E65">
        <w:rPr>
          <w:rFonts w:ascii="Verdana" w:hAnsi="Verdana"/>
          <w:sz w:val="16"/>
          <w:szCs w:val="16"/>
        </w:rPr>
        <w:tab/>
      </w:r>
      <w:r w:rsidR="00146AC3" w:rsidRPr="00146AC3">
        <w:rPr>
          <w:rFonts w:ascii="Verdana" w:hAnsi="Verdana"/>
          <w:i/>
          <w:sz w:val="16"/>
          <w:szCs w:val="16"/>
        </w:rPr>
        <w:t xml:space="preserve">Cfr. </w:t>
      </w:r>
      <w:r w:rsidRPr="00392281">
        <w:rPr>
          <w:rFonts w:ascii="Verdana" w:hAnsi="Verdana"/>
          <w:i/>
          <w:sz w:val="16"/>
          <w:szCs w:val="16"/>
          <w:lang w:val="es-CR"/>
        </w:rPr>
        <w:t xml:space="preserve">Caso </w:t>
      </w:r>
      <w:r>
        <w:rPr>
          <w:rFonts w:ascii="Verdana" w:hAnsi="Verdana"/>
          <w:i/>
          <w:sz w:val="16"/>
          <w:szCs w:val="16"/>
          <w:lang w:val="es-CR"/>
        </w:rPr>
        <w:t>Ló</w:t>
      </w:r>
      <w:r w:rsidRPr="00392281">
        <w:rPr>
          <w:rFonts w:ascii="Verdana" w:hAnsi="Verdana"/>
          <w:i/>
          <w:sz w:val="16"/>
          <w:szCs w:val="16"/>
          <w:lang w:val="es-CR"/>
        </w:rPr>
        <w:t xml:space="preserve">pez Mendoza Vs. </w:t>
      </w:r>
      <w:r w:rsidRPr="00392281">
        <w:rPr>
          <w:rStyle w:val="Textoennegrita"/>
          <w:rFonts w:ascii="Verdana" w:hAnsi="Verdana"/>
          <w:b w:val="0"/>
          <w:i/>
          <w:color w:val="000000"/>
          <w:sz w:val="16"/>
          <w:szCs w:val="16"/>
          <w:shd w:val="clear" w:color="auto" w:fill="FFFFFF"/>
        </w:rPr>
        <w:t>Venezuela.</w:t>
      </w:r>
      <w:r w:rsidRPr="001F795A">
        <w:rPr>
          <w:rStyle w:val="Textoennegrita"/>
          <w:rFonts w:ascii="Verdana" w:hAnsi="Verdana"/>
          <w:b w:val="0"/>
          <w:i/>
          <w:color w:val="000000"/>
          <w:sz w:val="16"/>
          <w:szCs w:val="16"/>
          <w:shd w:val="clear" w:color="auto" w:fill="FFFFFF"/>
        </w:rPr>
        <w:t xml:space="preserve"> Supervisi</w:t>
      </w:r>
      <w:r>
        <w:rPr>
          <w:rStyle w:val="Textoennegrita"/>
          <w:rFonts w:ascii="Verdana" w:hAnsi="Verdana"/>
          <w:b w:val="0"/>
          <w:i/>
          <w:color w:val="000000"/>
          <w:sz w:val="16"/>
          <w:szCs w:val="16"/>
          <w:shd w:val="clear" w:color="auto" w:fill="FFFFFF"/>
        </w:rPr>
        <w:t>ón de Cumplimiento de Sentencia</w:t>
      </w:r>
      <w:r w:rsidRPr="001F795A">
        <w:rPr>
          <w:rStyle w:val="Textoennegrita"/>
          <w:rFonts w:ascii="Verdana" w:hAnsi="Verdana"/>
          <w:b w:val="0"/>
          <w:color w:val="000000"/>
          <w:sz w:val="16"/>
          <w:szCs w:val="16"/>
          <w:shd w:val="clear" w:color="auto" w:fill="FFFFFF"/>
        </w:rPr>
        <w:t>. Resolución de la Corte Interam</w:t>
      </w:r>
      <w:r>
        <w:rPr>
          <w:rStyle w:val="Textoennegrita"/>
          <w:rFonts w:ascii="Verdana" w:hAnsi="Verdana"/>
          <w:b w:val="0"/>
          <w:color w:val="000000"/>
          <w:sz w:val="16"/>
          <w:szCs w:val="16"/>
          <w:shd w:val="clear" w:color="auto" w:fill="FFFFFF"/>
        </w:rPr>
        <w:t xml:space="preserve">ericana de Derechos Humanos de </w:t>
      </w:r>
      <w:r>
        <w:rPr>
          <w:rFonts w:ascii="Verdana" w:hAnsi="Verdana"/>
          <w:sz w:val="16"/>
          <w:szCs w:val="16"/>
          <w:lang w:val="es-CR"/>
        </w:rPr>
        <w:t xml:space="preserve">20 de noviembre de 2015, Considerando 11, y </w:t>
      </w:r>
      <w:r w:rsidRPr="00392281">
        <w:rPr>
          <w:rStyle w:val="Textoennegrita"/>
          <w:rFonts w:ascii="Verdana" w:hAnsi="Verdana"/>
          <w:b w:val="0"/>
          <w:i/>
          <w:color w:val="000000"/>
          <w:sz w:val="16"/>
          <w:szCs w:val="16"/>
          <w:shd w:val="clear" w:color="auto" w:fill="FFFFFF"/>
        </w:rPr>
        <w:t xml:space="preserve">Caso </w:t>
      </w:r>
      <w:proofErr w:type="spellStart"/>
      <w:r w:rsidRPr="00392281">
        <w:rPr>
          <w:rStyle w:val="Textoennegrita"/>
          <w:rFonts w:ascii="Verdana" w:hAnsi="Verdana"/>
          <w:b w:val="0"/>
          <w:i/>
          <w:color w:val="000000"/>
          <w:sz w:val="16"/>
          <w:szCs w:val="16"/>
          <w:shd w:val="clear" w:color="auto" w:fill="FFFFFF"/>
        </w:rPr>
        <w:t>Apitz</w:t>
      </w:r>
      <w:proofErr w:type="spellEnd"/>
      <w:r w:rsidRPr="00392281">
        <w:rPr>
          <w:rStyle w:val="Textoennegrita"/>
          <w:rFonts w:ascii="Verdana" w:hAnsi="Verdana"/>
          <w:b w:val="0"/>
          <w:i/>
          <w:color w:val="000000"/>
          <w:sz w:val="16"/>
          <w:szCs w:val="16"/>
          <w:shd w:val="clear" w:color="auto" w:fill="FFFFFF"/>
        </w:rPr>
        <w:t xml:space="preserve"> Barbera y Otros</w:t>
      </w:r>
      <w:r w:rsidR="00146AC3">
        <w:rPr>
          <w:rStyle w:val="Textoennegrita"/>
          <w:rFonts w:ascii="Verdana" w:hAnsi="Verdana"/>
          <w:b w:val="0"/>
          <w:i/>
          <w:color w:val="000000"/>
          <w:sz w:val="16"/>
          <w:szCs w:val="16"/>
          <w:shd w:val="clear" w:color="auto" w:fill="FFFFFF"/>
        </w:rPr>
        <w:t xml:space="preserve"> (“Corte Primera de lo Contencioso Administrativo”) Vs. Venezuela. Supervisión de Cumplimiento de Sentencia. </w:t>
      </w:r>
      <w:r w:rsidR="00146AC3" w:rsidRPr="00146AC3">
        <w:rPr>
          <w:rStyle w:val="Textoennegrita"/>
          <w:rFonts w:ascii="Verdana" w:hAnsi="Verdana"/>
          <w:b w:val="0"/>
          <w:color w:val="000000"/>
          <w:sz w:val="16"/>
          <w:szCs w:val="16"/>
          <w:shd w:val="clear" w:color="auto" w:fill="FFFFFF"/>
        </w:rPr>
        <w:t>Resolución de la Corte Interamericana de Derechos Humanos de 23 de noviembre de 2012</w:t>
      </w:r>
      <w:r w:rsidRPr="00146AC3">
        <w:rPr>
          <w:rStyle w:val="Textoennegrita"/>
          <w:rFonts w:ascii="Verdana" w:hAnsi="Verdana"/>
          <w:b w:val="0"/>
          <w:color w:val="000000"/>
          <w:sz w:val="16"/>
          <w:szCs w:val="16"/>
          <w:shd w:val="clear" w:color="auto" w:fill="FFFFFF"/>
        </w:rPr>
        <w:t>,</w:t>
      </w:r>
      <w:r w:rsidRPr="00D80E65">
        <w:rPr>
          <w:rFonts w:ascii="Verdana" w:hAnsi="Verdana"/>
          <w:b/>
          <w:sz w:val="16"/>
          <w:szCs w:val="16"/>
          <w:lang w:val="es-CR"/>
        </w:rPr>
        <w:t xml:space="preserve"> </w:t>
      </w:r>
      <w:r w:rsidRPr="00D80E65">
        <w:rPr>
          <w:rFonts w:ascii="Verdana" w:hAnsi="Verdana"/>
          <w:sz w:val="16"/>
          <w:szCs w:val="16"/>
          <w:lang w:val="es-CR"/>
        </w:rPr>
        <w:t>Considerando 39.</w:t>
      </w:r>
      <w:r>
        <w:rPr>
          <w:rFonts w:ascii="Verdana" w:hAnsi="Verdana"/>
          <w:sz w:val="16"/>
          <w:szCs w:val="16"/>
          <w:lang w:val="es-CR"/>
        </w:rPr>
        <w:t xml:space="preserve"> </w:t>
      </w:r>
    </w:p>
  </w:footnote>
  <w:footnote w:id="25">
    <w:p w14:paraId="7099F8CF" w14:textId="77777777" w:rsidR="00704CCF" w:rsidRPr="00D80E65" w:rsidRDefault="00704CCF" w:rsidP="00F76489">
      <w:pPr>
        <w:pStyle w:val="Sangradetindependiente"/>
        <w:tabs>
          <w:tab w:val="left" w:pos="567"/>
          <w:tab w:val="left" w:pos="8280"/>
        </w:tabs>
        <w:spacing w:afterLines="20" w:after="48"/>
        <w:ind w:right="-93"/>
        <w:rPr>
          <w:rFonts w:ascii="Verdana" w:hAnsi="Verdana"/>
          <w:sz w:val="16"/>
          <w:szCs w:val="16"/>
        </w:rPr>
      </w:pPr>
      <w:r w:rsidRPr="00D80E65">
        <w:rPr>
          <w:rStyle w:val="Refdenotaalpie"/>
          <w:rFonts w:ascii="Verdana" w:eastAsia="Times" w:hAnsi="Verdana"/>
          <w:sz w:val="16"/>
          <w:szCs w:val="16"/>
        </w:rPr>
        <w:footnoteRef/>
      </w:r>
      <w:r w:rsidRPr="00D80E65">
        <w:rPr>
          <w:rFonts w:ascii="Verdana" w:hAnsi="Verdana"/>
          <w:sz w:val="16"/>
          <w:szCs w:val="16"/>
        </w:rPr>
        <w:t xml:space="preserve"> </w:t>
      </w:r>
      <w:r w:rsidRPr="00D80E65">
        <w:rPr>
          <w:rFonts w:ascii="Verdana" w:hAnsi="Verdana"/>
          <w:sz w:val="16"/>
          <w:szCs w:val="16"/>
        </w:rPr>
        <w:tab/>
        <w:t xml:space="preserve"> “La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w:t>
      </w:r>
    </w:p>
  </w:footnote>
  <w:footnote w:id="26">
    <w:p w14:paraId="5DEAFE3B" w14:textId="77777777" w:rsidR="00704CCF" w:rsidRPr="00D80E65" w:rsidRDefault="00704CCF" w:rsidP="00F76489">
      <w:pPr>
        <w:pStyle w:val="Textonotapie"/>
        <w:tabs>
          <w:tab w:val="left" w:pos="567"/>
        </w:tabs>
        <w:ind w:right="-93"/>
        <w:jc w:val="both"/>
        <w:rPr>
          <w:rFonts w:ascii="Verdana" w:hAnsi="Verdana"/>
          <w:sz w:val="16"/>
          <w:szCs w:val="16"/>
        </w:rPr>
      </w:pPr>
      <w:r w:rsidRPr="00D80E65">
        <w:rPr>
          <w:rStyle w:val="Refdenotaalpie"/>
          <w:rFonts w:ascii="Verdana" w:hAnsi="Verdana"/>
          <w:sz w:val="16"/>
          <w:szCs w:val="16"/>
        </w:rPr>
        <w:footnoteRef/>
      </w:r>
      <w:r w:rsidRPr="00D80E65">
        <w:rPr>
          <w:rFonts w:ascii="Verdana" w:hAnsi="Verdana"/>
          <w:sz w:val="16"/>
          <w:szCs w:val="16"/>
        </w:rPr>
        <w:t xml:space="preserve"> </w:t>
      </w:r>
      <w:r w:rsidRPr="00D80E65">
        <w:rPr>
          <w:rFonts w:ascii="Verdana" w:hAnsi="Verdana"/>
          <w:sz w:val="16"/>
          <w:szCs w:val="16"/>
        </w:rPr>
        <w:tab/>
        <w:t>“</w:t>
      </w:r>
      <w:r w:rsidRPr="00D80E65">
        <w:rPr>
          <w:rFonts w:ascii="Verdana" w:hAnsi="Verdana"/>
          <w:color w:val="000000"/>
          <w:sz w:val="16"/>
          <w:szCs w:val="16"/>
          <w:lang w:val="es-CO"/>
        </w:rPr>
        <w:t>La Corte someterá a la Asamblea General de la OEA, en cada período ordinario de sesiones, un informe de su labor en el año anterior. Señalará los casos en que un Estado no haya dado cumplimiento a sus fallos. Podrá también someter a la Asamblea General de la OEA proposiciones o recomendaciones para el mejoramiento del sistema interamericano de derechos humanos, en lo relacionado con el trabajo de la Corte”.</w:t>
      </w:r>
    </w:p>
  </w:footnote>
  <w:footnote w:id="27">
    <w:p w14:paraId="53EC8A7A" w14:textId="44BA89B1" w:rsidR="00F30660" w:rsidRPr="0073700F" w:rsidRDefault="00F30660" w:rsidP="00F30660">
      <w:pPr>
        <w:pStyle w:val="Textonotapie"/>
        <w:jc w:val="both"/>
        <w:rPr>
          <w:rFonts w:ascii="Verdana" w:hAnsi="Verdana"/>
          <w:sz w:val="16"/>
          <w:szCs w:val="16"/>
        </w:rPr>
      </w:pPr>
      <w:r w:rsidRPr="00F30660">
        <w:rPr>
          <w:rStyle w:val="Refdenotaalpie"/>
          <w:rFonts w:ascii="Verdana" w:hAnsi="Verdana"/>
          <w:sz w:val="16"/>
          <w:szCs w:val="16"/>
        </w:rPr>
        <w:footnoteRef/>
      </w:r>
      <w:r w:rsidRPr="00F30660">
        <w:rPr>
          <w:rFonts w:ascii="Verdana" w:hAnsi="Verdana"/>
          <w:sz w:val="16"/>
          <w:szCs w:val="16"/>
        </w:rPr>
        <w:t xml:space="preserve"> </w:t>
      </w:r>
      <w:r w:rsidRPr="00F30660">
        <w:rPr>
          <w:rFonts w:ascii="Verdana" w:hAnsi="Verdana"/>
          <w:sz w:val="16"/>
          <w:szCs w:val="16"/>
          <w:lang w:val="es-ES"/>
        </w:rPr>
        <w:tab/>
      </w:r>
      <w:r w:rsidRPr="00866698">
        <w:rPr>
          <w:rFonts w:ascii="Verdana" w:hAnsi="Verdana"/>
          <w:i/>
          <w:sz w:val="16"/>
          <w:szCs w:val="16"/>
          <w:lang w:val="es-ES"/>
        </w:rPr>
        <w:t>Caso Díaz Peña y caso Uzc</w:t>
      </w:r>
      <w:r w:rsidR="00866698" w:rsidRPr="00866698">
        <w:rPr>
          <w:rFonts w:ascii="Verdana" w:hAnsi="Verdana"/>
          <w:i/>
          <w:sz w:val="16"/>
          <w:szCs w:val="16"/>
          <w:lang w:val="es-ES"/>
        </w:rPr>
        <w:t>á</w:t>
      </w:r>
      <w:r w:rsidRPr="00866698">
        <w:rPr>
          <w:rFonts w:ascii="Verdana" w:hAnsi="Verdana"/>
          <w:i/>
          <w:sz w:val="16"/>
          <w:szCs w:val="16"/>
          <w:lang w:val="es-ES"/>
        </w:rPr>
        <w:t xml:space="preserve">tegui Vs. Venezuela. </w:t>
      </w:r>
      <w:r w:rsidRPr="00723726">
        <w:rPr>
          <w:rFonts w:ascii="Verdana" w:hAnsi="Verdana"/>
          <w:i/>
          <w:sz w:val="16"/>
          <w:szCs w:val="16"/>
        </w:rPr>
        <w:t>Supervisió</w:t>
      </w:r>
      <w:r w:rsidR="0073700F" w:rsidRPr="00723726">
        <w:rPr>
          <w:rFonts w:ascii="Verdana" w:hAnsi="Verdana"/>
          <w:i/>
          <w:sz w:val="16"/>
          <w:szCs w:val="16"/>
        </w:rPr>
        <w:t>n de cumplimiento de sentencias</w:t>
      </w:r>
      <w:r w:rsidR="0073700F" w:rsidRPr="00866698">
        <w:rPr>
          <w:rFonts w:ascii="Verdana" w:hAnsi="Verdana"/>
          <w:sz w:val="16"/>
          <w:szCs w:val="16"/>
        </w:rPr>
        <w:t>,</w:t>
      </w:r>
      <w:r w:rsidR="0073700F" w:rsidRPr="00866698">
        <w:rPr>
          <w:rFonts w:ascii="Verdana" w:hAnsi="Verdana"/>
          <w:i/>
          <w:sz w:val="16"/>
          <w:szCs w:val="16"/>
        </w:rPr>
        <w:t xml:space="preserve"> supra </w:t>
      </w:r>
      <w:r w:rsidR="0073700F" w:rsidRPr="00866698">
        <w:rPr>
          <w:rFonts w:ascii="Verdana" w:hAnsi="Verdana"/>
          <w:sz w:val="16"/>
          <w:szCs w:val="16"/>
        </w:rPr>
        <w:t>nota 20</w:t>
      </w:r>
      <w:r w:rsidR="00B13329" w:rsidRPr="00866698">
        <w:rPr>
          <w:rFonts w:ascii="Verdana" w:hAnsi="Verdana"/>
          <w:sz w:val="16"/>
          <w:szCs w:val="16"/>
          <w:lang w:val="es-ES"/>
        </w:rPr>
        <w:t xml:space="preserve">, </w:t>
      </w:r>
      <w:r w:rsidR="0073700F" w:rsidRPr="00866698">
        <w:rPr>
          <w:rFonts w:ascii="Verdana" w:hAnsi="Verdana"/>
          <w:sz w:val="16"/>
          <w:szCs w:val="16"/>
          <w:lang w:val="es-ES"/>
        </w:rPr>
        <w:t>Considerando 11</w:t>
      </w:r>
      <w:r w:rsidRPr="00866698">
        <w:rPr>
          <w:rFonts w:ascii="Verdana" w:hAnsi="Verdana"/>
          <w:sz w:val="16"/>
          <w:szCs w:val="16"/>
          <w:lang w:val="es-ES"/>
        </w:rPr>
        <w:t xml:space="preserve">; </w:t>
      </w:r>
      <w:r w:rsidRPr="00866698">
        <w:rPr>
          <w:rFonts w:ascii="Verdana" w:hAnsi="Verdana"/>
          <w:i/>
          <w:sz w:val="16"/>
          <w:szCs w:val="16"/>
        </w:rPr>
        <w:t xml:space="preserve">Casos El Amparo, Blanco Romero y otros, Montero Aranguren y otros, Barreto Leiva y </w:t>
      </w:r>
      <w:proofErr w:type="spellStart"/>
      <w:r w:rsidRPr="00866698">
        <w:rPr>
          <w:rFonts w:ascii="Verdana" w:hAnsi="Verdana"/>
          <w:i/>
          <w:sz w:val="16"/>
          <w:szCs w:val="16"/>
        </w:rPr>
        <w:t>Usón</w:t>
      </w:r>
      <w:proofErr w:type="spellEnd"/>
      <w:r w:rsidRPr="00866698">
        <w:rPr>
          <w:rFonts w:ascii="Verdana" w:hAnsi="Verdana"/>
          <w:i/>
          <w:sz w:val="16"/>
          <w:szCs w:val="16"/>
        </w:rPr>
        <w:t xml:space="preserve"> Ramírez Vs. Venezuela. Supervisión de cumplimiento de sentencias.</w:t>
      </w:r>
      <w:r w:rsidRPr="00866698">
        <w:rPr>
          <w:rFonts w:ascii="Verdana" w:hAnsi="Verdana"/>
          <w:sz w:val="16"/>
          <w:szCs w:val="16"/>
        </w:rPr>
        <w:t xml:space="preserve"> Resolución de la Corte Interamericana de Derechos Hum</w:t>
      </w:r>
      <w:r w:rsidR="00054F6C" w:rsidRPr="00866698">
        <w:rPr>
          <w:rFonts w:ascii="Verdana" w:hAnsi="Verdana"/>
          <w:sz w:val="16"/>
          <w:szCs w:val="16"/>
        </w:rPr>
        <w:t>anos de 20 de noviembre de 2015</w:t>
      </w:r>
      <w:r w:rsidR="00866698" w:rsidRPr="00866698">
        <w:rPr>
          <w:rFonts w:ascii="Verdana" w:hAnsi="Verdana"/>
          <w:sz w:val="16"/>
          <w:szCs w:val="16"/>
        </w:rPr>
        <w:t>, Considerando 13;</w:t>
      </w:r>
      <w:r w:rsidR="00054F6C" w:rsidRPr="00866698">
        <w:rPr>
          <w:rFonts w:ascii="Verdana" w:hAnsi="Verdana"/>
          <w:sz w:val="16"/>
          <w:szCs w:val="16"/>
        </w:rPr>
        <w:t xml:space="preserve"> </w:t>
      </w:r>
      <w:r w:rsidR="00B710D0">
        <w:rPr>
          <w:rFonts w:ascii="Verdana" w:hAnsi="Verdana"/>
          <w:sz w:val="16"/>
          <w:szCs w:val="16"/>
        </w:rPr>
        <w:t xml:space="preserve">y </w:t>
      </w:r>
      <w:r w:rsidR="00054F6C" w:rsidRPr="00866698">
        <w:rPr>
          <w:rFonts w:ascii="Verdana" w:hAnsi="Verdana"/>
          <w:i/>
          <w:sz w:val="16"/>
          <w:szCs w:val="16"/>
        </w:rPr>
        <w:t>Casos Ríos y otros, Perozo y otros y Reverón Trujillo Vs. Venezuela</w:t>
      </w:r>
      <w:r w:rsidR="00054F6C" w:rsidRPr="00866698">
        <w:rPr>
          <w:rFonts w:ascii="Verdana" w:hAnsi="Verdana"/>
          <w:sz w:val="16"/>
          <w:szCs w:val="16"/>
        </w:rPr>
        <w:t>, Resolución de la Corte Interamericana de Derechos Humanos de 20 de noviembre de 2015, Considerando 1</w:t>
      </w:r>
      <w:r w:rsidR="00866698" w:rsidRPr="00866698">
        <w:rPr>
          <w:rFonts w:ascii="Verdana" w:hAnsi="Verdana"/>
          <w:sz w:val="16"/>
          <w:szCs w:val="16"/>
        </w:rPr>
        <w:t>2</w:t>
      </w:r>
      <w:r w:rsidR="00054F6C" w:rsidRPr="00866698">
        <w:rPr>
          <w:rFonts w:ascii="Verdana" w:hAnsi="Verdana"/>
          <w:sz w:val="16"/>
          <w:szCs w:val="16"/>
        </w:rPr>
        <w:t>.</w:t>
      </w:r>
      <w:r w:rsidR="00054F6C">
        <w:t xml:space="preserve"> </w:t>
      </w:r>
    </w:p>
  </w:footnote>
  <w:footnote w:id="28">
    <w:p w14:paraId="29B6AA9E" w14:textId="04BC30E3" w:rsidR="00054F6C" w:rsidRPr="00054F6C" w:rsidRDefault="00054F6C" w:rsidP="00054F6C">
      <w:pPr>
        <w:pStyle w:val="Textonotapie"/>
        <w:jc w:val="both"/>
        <w:rPr>
          <w:rFonts w:ascii="Verdana" w:hAnsi="Verdana"/>
          <w:sz w:val="16"/>
          <w:szCs w:val="16"/>
          <w:lang w:val="es-ES"/>
        </w:rPr>
      </w:pPr>
      <w:r w:rsidRPr="00054F6C">
        <w:rPr>
          <w:rStyle w:val="Refdenotaalpie"/>
          <w:rFonts w:ascii="Verdana" w:hAnsi="Verdana"/>
          <w:sz w:val="16"/>
          <w:szCs w:val="16"/>
        </w:rPr>
        <w:footnoteRef/>
      </w:r>
      <w:r w:rsidRPr="00054F6C">
        <w:rPr>
          <w:rFonts w:ascii="Verdana" w:hAnsi="Verdana"/>
          <w:sz w:val="16"/>
          <w:szCs w:val="16"/>
        </w:rPr>
        <w:t xml:space="preserve"> </w:t>
      </w:r>
      <w:r w:rsidRPr="00054F6C">
        <w:rPr>
          <w:rFonts w:ascii="Verdana" w:hAnsi="Verdana"/>
          <w:sz w:val="16"/>
          <w:szCs w:val="16"/>
        </w:rPr>
        <w:tab/>
      </w:r>
      <w:r w:rsidRPr="00054F6C">
        <w:rPr>
          <w:rFonts w:ascii="Verdana" w:hAnsi="Verdana"/>
          <w:i/>
          <w:sz w:val="16"/>
          <w:szCs w:val="16"/>
        </w:rPr>
        <w:t xml:space="preserve">Casos El Amparo, Blanco Romero y otros, Montero Aranguren y otros, Barreto Leiva y </w:t>
      </w:r>
      <w:proofErr w:type="spellStart"/>
      <w:r w:rsidRPr="00054F6C">
        <w:rPr>
          <w:rFonts w:ascii="Verdana" w:hAnsi="Verdana"/>
          <w:i/>
          <w:sz w:val="16"/>
          <w:szCs w:val="16"/>
        </w:rPr>
        <w:t>Usón</w:t>
      </w:r>
      <w:proofErr w:type="spellEnd"/>
      <w:r w:rsidRPr="00054F6C">
        <w:rPr>
          <w:rFonts w:ascii="Verdana" w:hAnsi="Verdana"/>
          <w:i/>
          <w:sz w:val="16"/>
          <w:szCs w:val="16"/>
        </w:rPr>
        <w:t xml:space="preserve"> Ramírez Vs. Venezuela. Supervisió</w:t>
      </w:r>
      <w:r w:rsidR="00866698">
        <w:rPr>
          <w:rFonts w:ascii="Verdana" w:hAnsi="Verdana"/>
          <w:i/>
          <w:sz w:val="16"/>
          <w:szCs w:val="16"/>
        </w:rPr>
        <w:t>n de cumplimiento de sentencias</w:t>
      </w:r>
      <w:r w:rsidR="00866698" w:rsidRPr="00866698">
        <w:rPr>
          <w:rFonts w:ascii="Verdana" w:hAnsi="Verdana"/>
          <w:i/>
          <w:sz w:val="16"/>
          <w:szCs w:val="16"/>
        </w:rPr>
        <w:t>,</w:t>
      </w:r>
      <w:r w:rsidRPr="00866698">
        <w:rPr>
          <w:rFonts w:ascii="Verdana" w:hAnsi="Verdana"/>
          <w:i/>
          <w:sz w:val="16"/>
          <w:szCs w:val="16"/>
        </w:rPr>
        <w:t xml:space="preserve"> </w:t>
      </w:r>
      <w:r w:rsidR="00866698" w:rsidRPr="00866698">
        <w:rPr>
          <w:rFonts w:ascii="Verdana" w:hAnsi="Verdana"/>
          <w:i/>
          <w:sz w:val="16"/>
          <w:szCs w:val="16"/>
        </w:rPr>
        <w:t>supra</w:t>
      </w:r>
      <w:r w:rsidR="00866698">
        <w:rPr>
          <w:rFonts w:ascii="Verdana" w:hAnsi="Verdana"/>
          <w:sz w:val="16"/>
          <w:szCs w:val="16"/>
        </w:rPr>
        <w:t xml:space="preserve"> nota 26, </w:t>
      </w:r>
      <w:r w:rsidRPr="00054F6C">
        <w:rPr>
          <w:rFonts w:ascii="Verdana" w:hAnsi="Verdana"/>
          <w:sz w:val="16"/>
          <w:szCs w:val="16"/>
        </w:rPr>
        <w:t>Considerando 11</w:t>
      </w:r>
      <w:r w:rsidR="00866698">
        <w:rPr>
          <w:rFonts w:ascii="Verdana" w:hAnsi="Verdana"/>
          <w:sz w:val="16"/>
          <w:szCs w:val="16"/>
        </w:rPr>
        <w:t>.</w:t>
      </w:r>
    </w:p>
  </w:footnote>
  <w:footnote w:id="29">
    <w:p w14:paraId="6E02CF69" w14:textId="69EC1988" w:rsidR="00A942F9" w:rsidRPr="00A942F9" w:rsidRDefault="00A942F9" w:rsidP="00A942F9">
      <w:pPr>
        <w:pStyle w:val="Textonotapie"/>
        <w:jc w:val="both"/>
        <w:rPr>
          <w:rFonts w:ascii="Verdana" w:hAnsi="Verdana"/>
          <w:sz w:val="16"/>
          <w:szCs w:val="16"/>
          <w:lang w:val="es-ES"/>
        </w:rPr>
      </w:pPr>
      <w:r w:rsidRPr="00A942F9">
        <w:rPr>
          <w:rStyle w:val="Refdenotaalpie"/>
          <w:rFonts w:ascii="Verdana" w:hAnsi="Verdana"/>
          <w:sz w:val="16"/>
          <w:szCs w:val="16"/>
        </w:rPr>
        <w:footnoteRef/>
      </w:r>
      <w:r w:rsidRPr="00A942F9">
        <w:rPr>
          <w:rFonts w:ascii="Verdana" w:hAnsi="Verdana"/>
          <w:sz w:val="16"/>
          <w:szCs w:val="16"/>
        </w:rPr>
        <w:t xml:space="preserve"> </w:t>
      </w:r>
      <w:r w:rsidRPr="00A942F9">
        <w:rPr>
          <w:rFonts w:ascii="Verdana" w:hAnsi="Verdana"/>
          <w:sz w:val="16"/>
          <w:szCs w:val="16"/>
          <w:lang w:val="es-ES"/>
        </w:rPr>
        <w:tab/>
      </w:r>
      <w:r w:rsidRPr="00A942F9">
        <w:rPr>
          <w:rFonts w:ascii="Verdana" w:hAnsi="Verdana"/>
          <w:sz w:val="16"/>
          <w:szCs w:val="16"/>
        </w:rPr>
        <w:t xml:space="preserve">La denuncia de la Convención Americana presentada por Venezuela, de conformidad con el artículo 78 de dicha Convención, no tiene efectos sobre el presente caso. </w:t>
      </w:r>
      <w:r w:rsidRPr="00866698">
        <w:rPr>
          <w:rFonts w:ascii="Verdana" w:hAnsi="Verdana"/>
          <w:i/>
          <w:sz w:val="16"/>
          <w:szCs w:val="16"/>
        </w:rPr>
        <w:t>Cfr.</w:t>
      </w:r>
      <w:r w:rsidRPr="00A942F9">
        <w:rPr>
          <w:rFonts w:ascii="Verdana" w:hAnsi="Verdana"/>
          <w:sz w:val="16"/>
          <w:szCs w:val="16"/>
        </w:rPr>
        <w:t xml:space="preserve"> Nota de la Secretaría General de la OEA No. OEA/2.2/81/12 de 11 de septiembre de 2012. </w:t>
      </w:r>
    </w:p>
  </w:footnote>
  <w:footnote w:id="30">
    <w:p w14:paraId="0A1918F2" w14:textId="02E30CD0" w:rsidR="00451325" w:rsidRPr="00FA73DA" w:rsidRDefault="00451325" w:rsidP="00FA73DA">
      <w:pPr>
        <w:pStyle w:val="Textonotapie"/>
        <w:tabs>
          <w:tab w:val="left" w:pos="426"/>
        </w:tabs>
        <w:ind w:right="113"/>
        <w:jc w:val="both"/>
        <w:rPr>
          <w:rFonts w:ascii="Verdana" w:hAnsi="Verdana"/>
          <w:sz w:val="16"/>
          <w:szCs w:val="16"/>
          <w:lang w:val="es-AR"/>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lang w:val="es-CR"/>
        </w:rPr>
        <w:tab/>
      </w:r>
      <w:r w:rsidRPr="00FA73DA">
        <w:rPr>
          <w:rFonts w:ascii="Verdana" w:hAnsi="Verdana"/>
          <w:sz w:val="16"/>
          <w:szCs w:val="16"/>
          <w:lang w:val="es-CR"/>
        </w:rPr>
        <w:tab/>
      </w:r>
      <w:r w:rsidRPr="00FA73DA">
        <w:rPr>
          <w:rFonts w:ascii="Verdana" w:hAnsi="Verdana" w:cs="Verdana"/>
          <w:bCs/>
          <w:i/>
          <w:sz w:val="16"/>
          <w:szCs w:val="16"/>
        </w:rPr>
        <w:t>Cfr.</w:t>
      </w:r>
      <w:r w:rsidRPr="00FA73DA">
        <w:rPr>
          <w:rFonts w:ascii="Verdana" w:hAnsi="Verdana" w:cs="Verdana"/>
          <w:bCs/>
          <w:sz w:val="16"/>
          <w:szCs w:val="16"/>
        </w:rPr>
        <w:t xml:space="preserve"> </w:t>
      </w:r>
      <w:r w:rsidRPr="00FA73DA">
        <w:rPr>
          <w:rFonts w:ascii="Verdana" w:hAnsi="Verdana"/>
          <w:i/>
          <w:sz w:val="16"/>
          <w:szCs w:val="16"/>
        </w:rPr>
        <w:t>Caso YATAMA Vs. Nicaragua. Supervisión de Cumplimiento de Sentencia.</w:t>
      </w:r>
      <w:r w:rsidRPr="00FA73DA">
        <w:rPr>
          <w:rFonts w:ascii="Verdana" w:hAnsi="Verdana"/>
          <w:sz w:val="16"/>
          <w:szCs w:val="16"/>
        </w:rPr>
        <w:t xml:space="preserve"> Resolución de la Corte Interamericana de Derechos Humanos de 22 de agosto de 2013, Considerando 15; </w:t>
      </w:r>
      <w:r w:rsidRPr="00FA73DA">
        <w:rPr>
          <w:rStyle w:val="Textoennegrita"/>
          <w:rFonts w:ascii="Verdana" w:hAnsi="Verdana"/>
          <w:b w:val="0"/>
          <w:i/>
          <w:color w:val="000000"/>
          <w:sz w:val="16"/>
          <w:szCs w:val="16"/>
          <w:shd w:val="clear" w:color="auto" w:fill="FFFFFF"/>
        </w:rPr>
        <w:t xml:space="preserve">Casos El Amparo, Blanco Romero y otros, Montero Aranguren y otros, Barreto Leiva y </w:t>
      </w:r>
      <w:proofErr w:type="spellStart"/>
      <w:r w:rsidRPr="00FA73DA">
        <w:rPr>
          <w:rStyle w:val="Textoennegrita"/>
          <w:rFonts w:ascii="Verdana" w:hAnsi="Verdana"/>
          <w:b w:val="0"/>
          <w:i/>
          <w:color w:val="000000"/>
          <w:sz w:val="16"/>
          <w:szCs w:val="16"/>
          <w:shd w:val="clear" w:color="auto" w:fill="FFFFFF"/>
        </w:rPr>
        <w:t>Usón</w:t>
      </w:r>
      <w:proofErr w:type="spellEnd"/>
      <w:r w:rsidRPr="00FA73DA">
        <w:rPr>
          <w:rStyle w:val="Textoennegrita"/>
          <w:rFonts w:ascii="Verdana" w:hAnsi="Verdana"/>
          <w:b w:val="0"/>
          <w:i/>
          <w:color w:val="000000"/>
          <w:sz w:val="16"/>
          <w:szCs w:val="16"/>
          <w:shd w:val="clear" w:color="auto" w:fill="FFFFFF"/>
        </w:rPr>
        <w:t xml:space="preserve"> Ramírez Vs. Venezuela. Supervisión de Cumplimiento de Sentencia</w:t>
      </w:r>
      <w:r w:rsidR="00866698">
        <w:rPr>
          <w:rStyle w:val="Textoennegrita"/>
          <w:rFonts w:ascii="Verdana" w:hAnsi="Verdana"/>
          <w:b w:val="0"/>
          <w:i/>
          <w:color w:val="000000"/>
          <w:sz w:val="16"/>
          <w:szCs w:val="16"/>
          <w:shd w:val="clear" w:color="auto" w:fill="FFFFFF"/>
        </w:rPr>
        <w:t xml:space="preserve">, </w:t>
      </w:r>
      <w:r w:rsidR="00866698" w:rsidRPr="00866698">
        <w:rPr>
          <w:rStyle w:val="Textoennegrita"/>
          <w:rFonts w:ascii="Verdana" w:hAnsi="Verdana"/>
          <w:b w:val="0"/>
          <w:i/>
          <w:color w:val="000000"/>
          <w:sz w:val="16"/>
          <w:szCs w:val="16"/>
          <w:shd w:val="clear" w:color="auto" w:fill="FFFFFF"/>
        </w:rPr>
        <w:t>supra</w:t>
      </w:r>
      <w:r w:rsidR="00866698">
        <w:rPr>
          <w:rStyle w:val="Textoennegrita"/>
          <w:rFonts w:ascii="Verdana" w:hAnsi="Verdana"/>
          <w:b w:val="0"/>
          <w:color w:val="000000"/>
          <w:sz w:val="16"/>
          <w:szCs w:val="16"/>
          <w:shd w:val="clear" w:color="auto" w:fill="FFFFFF"/>
        </w:rPr>
        <w:t xml:space="preserve"> nota 26, </w:t>
      </w:r>
      <w:r w:rsidRPr="00FA73DA">
        <w:rPr>
          <w:rStyle w:val="Textoennegrita"/>
          <w:rFonts w:ascii="Verdana" w:hAnsi="Verdana"/>
          <w:b w:val="0"/>
          <w:color w:val="000000"/>
          <w:sz w:val="16"/>
          <w:szCs w:val="16"/>
          <w:shd w:val="clear" w:color="auto" w:fill="FFFFFF"/>
        </w:rPr>
        <w:t>Considerando 12,</w:t>
      </w:r>
      <w:r w:rsidRPr="00FA73DA">
        <w:rPr>
          <w:rFonts w:ascii="Verdana" w:hAnsi="Verdana"/>
          <w:sz w:val="16"/>
          <w:szCs w:val="16"/>
        </w:rPr>
        <w:t xml:space="preserve"> y</w:t>
      </w:r>
      <w:r w:rsidRPr="00FA73DA">
        <w:rPr>
          <w:rStyle w:val="Textoennegrita"/>
          <w:rFonts w:ascii="Verdana" w:hAnsi="Verdana"/>
          <w:b w:val="0"/>
          <w:i/>
          <w:color w:val="000000"/>
          <w:sz w:val="16"/>
          <w:szCs w:val="16"/>
          <w:shd w:val="clear" w:color="auto" w:fill="FFFFFF"/>
        </w:rPr>
        <w:t xml:space="preserve"> Caso </w:t>
      </w:r>
      <w:proofErr w:type="spellStart"/>
      <w:r w:rsidR="009944A9" w:rsidRPr="00FA73DA">
        <w:rPr>
          <w:rStyle w:val="Textoennegrita"/>
          <w:rFonts w:ascii="Verdana" w:hAnsi="Verdana"/>
          <w:b w:val="0"/>
          <w:i/>
          <w:color w:val="000000"/>
          <w:sz w:val="16"/>
          <w:szCs w:val="16"/>
          <w:shd w:val="clear" w:color="auto" w:fill="FFFFFF"/>
        </w:rPr>
        <w:t>Nadege</w:t>
      </w:r>
      <w:proofErr w:type="spellEnd"/>
      <w:r w:rsidR="009944A9" w:rsidRPr="00FA73DA">
        <w:rPr>
          <w:rStyle w:val="Textoennegrita"/>
          <w:rFonts w:ascii="Verdana" w:hAnsi="Verdana"/>
          <w:b w:val="0"/>
          <w:i/>
          <w:color w:val="000000"/>
          <w:sz w:val="16"/>
          <w:szCs w:val="16"/>
          <w:shd w:val="clear" w:color="auto" w:fill="FFFFFF"/>
        </w:rPr>
        <w:t xml:space="preserve"> </w:t>
      </w:r>
      <w:proofErr w:type="spellStart"/>
      <w:r w:rsidR="009944A9" w:rsidRPr="00FA73DA">
        <w:rPr>
          <w:rStyle w:val="Textoennegrita"/>
          <w:rFonts w:ascii="Verdana" w:hAnsi="Verdana"/>
          <w:b w:val="0"/>
          <w:i/>
          <w:color w:val="000000"/>
          <w:sz w:val="16"/>
          <w:szCs w:val="16"/>
          <w:shd w:val="clear" w:color="auto" w:fill="FFFFFF"/>
        </w:rPr>
        <w:t>Dorzema</w:t>
      </w:r>
      <w:proofErr w:type="spellEnd"/>
      <w:r w:rsidR="009944A9" w:rsidRPr="00FA73DA">
        <w:rPr>
          <w:rStyle w:val="Textoennegrita"/>
          <w:rFonts w:ascii="Verdana" w:hAnsi="Verdana"/>
          <w:b w:val="0"/>
          <w:i/>
          <w:color w:val="000000"/>
          <w:sz w:val="16"/>
          <w:szCs w:val="16"/>
          <w:shd w:val="clear" w:color="auto" w:fill="FFFFFF"/>
        </w:rPr>
        <w:t xml:space="preserve"> y otros Vs. República Dominicana</w:t>
      </w:r>
      <w:r w:rsidRPr="00FA73DA">
        <w:rPr>
          <w:rStyle w:val="Textoennegrita"/>
          <w:rFonts w:ascii="Verdana" w:hAnsi="Verdana"/>
          <w:b w:val="0"/>
          <w:color w:val="000000"/>
          <w:sz w:val="16"/>
          <w:szCs w:val="16"/>
          <w:shd w:val="clear" w:color="auto" w:fill="FFFFFF"/>
        </w:rPr>
        <w:t>.</w:t>
      </w:r>
      <w:r w:rsidR="009944A9" w:rsidRPr="00FA73DA">
        <w:rPr>
          <w:rStyle w:val="Textoennegrita"/>
          <w:rFonts w:ascii="Verdana" w:hAnsi="Verdana"/>
          <w:b w:val="0"/>
          <w:color w:val="000000"/>
          <w:sz w:val="16"/>
          <w:szCs w:val="16"/>
          <w:shd w:val="clear" w:color="auto" w:fill="FFFFFF"/>
        </w:rPr>
        <w:t xml:space="preserve"> </w:t>
      </w:r>
      <w:r w:rsidR="009944A9" w:rsidRPr="00FA73DA">
        <w:rPr>
          <w:rStyle w:val="Textoennegrita"/>
          <w:rFonts w:ascii="Verdana" w:hAnsi="Verdana"/>
          <w:b w:val="0"/>
          <w:i/>
          <w:color w:val="000000"/>
          <w:sz w:val="16"/>
          <w:szCs w:val="16"/>
          <w:shd w:val="clear" w:color="auto" w:fill="FFFFFF"/>
        </w:rPr>
        <w:t>Supervisión de Cumplimiento de Sentencia.</w:t>
      </w:r>
      <w:r w:rsidR="009944A9" w:rsidRPr="00FA73DA">
        <w:rPr>
          <w:rStyle w:val="Textoennegrita"/>
          <w:rFonts w:ascii="Verdana" w:hAnsi="Verdana"/>
          <w:b w:val="0"/>
          <w:color w:val="000000"/>
          <w:sz w:val="16"/>
          <w:szCs w:val="16"/>
          <w:shd w:val="clear" w:color="auto" w:fill="FFFFFF"/>
        </w:rPr>
        <w:t xml:space="preserve"> Resolución de la Corte Interamericana de Derechos Human</w:t>
      </w:r>
      <w:r w:rsidR="00862277" w:rsidRPr="00FA73DA">
        <w:rPr>
          <w:rStyle w:val="Textoennegrita"/>
          <w:rFonts w:ascii="Verdana" w:hAnsi="Verdana"/>
          <w:b w:val="0"/>
          <w:color w:val="000000"/>
          <w:sz w:val="16"/>
          <w:szCs w:val="16"/>
          <w:shd w:val="clear" w:color="auto" w:fill="FFFFFF"/>
        </w:rPr>
        <w:t>os de 22 d</w:t>
      </w:r>
      <w:r w:rsidR="009944A9" w:rsidRPr="00FA73DA">
        <w:rPr>
          <w:rStyle w:val="Textoennegrita"/>
          <w:rFonts w:ascii="Verdana" w:hAnsi="Verdana"/>
          <w:b w:val="0"/>
          <w:color w:val="000000"/>
          <w:sz w:val="16"/>
          <w:szCs w:val="16"/>
          <w:shd w:val="clear" w:color="auto" w:fill="FFFFFF"/>
        </w:rPr>
        <w:t>e</w:t>
      </w:r>
      <w:r w:rsidR="00862277" w:rsidRPr="00FA73DA">
        <w:rPr>
          <w:rStyle w:val="Textoennegrita"/>
          <w:rFonts w:ascii="Verdana" w:hAnsi="Verdana"/>
          <w:b w:val="0"/>
          <w:color w:val="000000"/>
          <w:sz w:val="16"/>
          <w:szCs w:val="16"/>
          <w:shd w:val="clear" w:color="auto" w:fill="FFFFFF"/>
        </w:rPr>
        <w:t xml:space="preserve"> </w:t>
      </w:r>
      <w:r w:rsidR="009944A9" w:rsidRPr="00FA73DA">
        <w:rPr>
          <w:rStyle w:val="Textoennegrita"/>
          <w:rFonts w:ascii="Verdana" w:hAnsi="Verdana"/>
          <w:b w:val="0"/>
          <w:color w:val="000000"/>
          <w:sz w:val="16"/>
          <w:szCs w:val="16"/>
          <w:shd w:val="clear" w:color="auto" w:fill="FFFFFF"/>
        </w:rPr>
        <w:t xml:space="preserve">noviembre de 2019, Considerando 12. </w:t>
      </w:r>
    </w:p>
  </w:footnote>
  <w:footnote w:id="31">
    <w:p w14:paraId="2612643F" w14:textId="7DACED3F" w:rsidR="008C304F" w:rsidRPr="009E6F0E" w:rsidRDefault="008C304F" w:rsidP="00FA73DA">
      <w:pPr>
        <w:pStyle w:val="Textonotapie"/>
        <w:ind w:right="113"/>
        <w:jc w:val="both"/>
        <w:rPr>
          <w:rFonts w:ascii="Verdana" w:hAnsi="Verdana"/>
          <w:i/>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rPr>
        <w:t>Cfr.</w:t>
      </w:r>
      <w:r w:rsidRPr="00FA73DA">
        <w:rPr>
          <w:rFonts w:ascii="Verdana" w:hAnsi="Verdana"/>
          <w:sz w:val="16"/>
          <w:szCs w:val="16"/>
        </w:rPr>
        <w:t xml:space="preserve"> </w:t>
      </w:r>
      <w:r w:rsidRPr="009E6F0E">
        <w:rPr>
          <w:rFonts w:ascii="Verdana" w:hAnsi="Verdana"/>
          <w:i/>
          <w:sz w:val="16"/>
          <w:szCs w:val="16"/>
        </w:rPr>
        <w:t xml:space="preserve">Caso </w:t>
      </w:r>
      <w:proofErr w:type="spellStart"/>
      <w:r w:rsidRPr="009E6F0E">
        <w:rPr>
          <w:rFonts w:ascii="Verdana" w:hAnsi="Verdana"/>
          <w:i/>
          <w:sz w:val="16"/>
          <w:szCs w:val="16"/>
        </w:rPr>
        <w:t>Apitz</w:t>
      </w:r>
      <w:proofErr w:type="spellEnd"/>
      <w:r w:rsidRPr="009E6F0E">
        <w:rPr>
          <w:rFonts w:ascii="Verdana" w:hAnsi="Verdana"/>
          <w:i/>
          <w:sz w:val="16"/>
          <w:szCs w:val="16"/>
        </w:rPr>
        <w:t xml:space="preserve"> Barbera y Otros ("Corte Primera de lo Contencioso Administrativo") Vs. Venezuela.</w:t>
      </w:r>
    </w:p>
    <w:p w14:paraId="56B0147D" w14:textId="77D144C1" w:rsidR="008C304F" w:rsidRPr="00FA73DA" w:rsidRDefault="008C304F" w:rsidP="00FA73DA">
      <w:pPr>
        <w:pStyle w:val="Textonotapie"/>
        <w:ind w:right="113"/>
        <w:jc w:val="both"/>
        <w:rPr>
          <w:rFonts w:ascii="Verdana" w:hAnsi="Verdana"/>
          <w:sz w:val="16"/>
          <w:szCs w:val="16"/>
          <w:lang w:val="es-MX"/>
        </w:rPr>
      </w:pPr>
      <w:r w:rsidRPr="009E6F0E">
        <w:rPr>
          <w:rFonts w:ascii="Verdana" w:hAnsi="Verdana"/>
          <w:i/>
          <w:sz w:val="16"/>
          <w:szCs w:val="16"/>
        </w:rPr>
        <w:t>Supervisión de Cumplimiento de Sentencia</w:t>
      </w:r>
      <w:r w:rsidR="009E6F0E" w:rsidRPr="009E6F0E">
        <w:rPr>
          <w:rFonts w:ascii="Verdana" w:hAnsi="Verdana"/>
          <w:i/>
          <w:sz w:val="16"/>
          <w:szCs w:val="16"/>
        </w:rPr>
        <w:t xml:space="preserve">, supra </w:t>
      </w:r>
      <w:r w:rsidR="009E6F0E">
        <w:rPr>
          <w:rFonts w:ascii="Verdana" w:hAnsi="Verdana"/>
          <w:sz w:val="16"/>
          <w:szCs w:val="16"/>
        </w:rPr>
        <w:t xml:space="preserve">nota 23, </w:t>
      </w:r>
      <w:r w:rsidRPr="00FA73DA">
        <w:rPr>
          <w:rFonts w:ascii="Verdana" w:hAnsi="Verdana"/>
          <w:sz w:val="16"/>
          <w:szCs w:val="16"/>
        </w:rPr>
        <w:t xml:space="preserve">Considerando 45, y </w:t>
      </w:r>
      <w:r w:rsidR="003B6C1B" w:rsidRPr="00FA73DA">
        <w:rPr>
          <w:rStyle w:val="Textoennegrita"/>
          <w:rFonts w:ascii="Verdana" w:hAnsi="Verdana"/>
          <w:b w:val="0"/>
          <w:i/>
          <w:color w:val="000000"/>
          <w:sz w:val="16"/>
          <w:szCs w:val="16"/>
          <w:shd w:val="clear" w:color="auto" w:fill="FFFFFF"/>
        </w:rPr>
        <w:t>Caso Díaz Peña y Caso Uzcátegui y otros Vs. Venezuela. Supervisión de Cumplimiento de Sentencias</w:t>
      </w:r>
      <w:r w:rsidR="00577DDA" w:rsidRPr="00FA73DA">
        <w:rPr>
          <w:rStyle w:val="Textoennegrita"/>
          <w:rFonts w:ascii="Verdana" w:hAnsi="Verdana"/>
          <w:b w:val="0"/>
          <w:color w:val="000000"/>
          <w:sz w:val="16"/>
          <w:szCs w:val="16"/>
          <w:shd w:val="clear" w:color="auto" w:fill="FFFFFF"/>
        </w:rPr>
        <w:t xml:space="preserve">, </w:t>
      </w:r>
      <w:r w:rsidR="00577DDA" w:rsidRPr="00FA73DA">
        <w:rPr>
          <w:rStyle w:val="Textoennegrita"/>
          <w:rFonts w:ascii="Verdana" w:hAnsi="Verdana"/>
          <w:b w:val="0"/>
          <w:i/>
          <w:color w:val="000000"/>
          <w:sz w:val="16"/>
          <w:szCs w:val="16"/>
          <w:shd w:val="clear" w:color="auto" w:fill="FFFFFF"/>
        </w:rPr>
        <w:t>supra</w:t>
      </w:r>
      <w:r w:rsidR="00577DDA" w:rsidRPr="00FA73DA">
        <w:rPr>
          <w:rStyle w:val="Textoennegrita"/>
          <w:rFonts w:ascii="Verdana" w:hAnsi="Verdana"/>
          <w:b w:val="0"/>
          <w:color w:val="000000"/>
          <w:sz w:val="16"/>
          <w:szCs w:val="16"/>
          <w:shd w:val="clear" w:color="auto" w:fill="FFFFFF"/>
        </w:rPr>
        <w:t xml:space="preserve"> nota </w:t>
      </w:r>
      <w:r w:rsidR="009E6F0E">
        <w:rPr>
          <w:rStyle w:val="Textoennegrita"/>
          <w:rFonts w:ascii="Verdana" w:hAnsi="Verdana"/>
          <w:b w:val="0"/>
          <w:color w:val="000000"/>
          <w:sz w:val="16"/>
          <w:szCs w:val="16"/>
          <w:shd w:val="clear" w:color="auto" w:fill="FFFFFF"/>
        </w:rPr>
        <w:t>20</w:t>
      </w:r>
      <w:r w:rsidR="00577DDA" w:rsidRPr="00FA73DA">
        <w:rPr>
          <w:rStyle w:val="Textoennegrita"/>
          <w:rFonts w:ascii="Verdana" w:hAnsi="Verdana"/>
          <w:b w:val="0"/>
          <w:color w:val="000000"/>
          <w:sz w:val="16"/>
          <w:szCs w:val="16"/>
          <w:shd w:val="clear" w:color="auto" w:fill="FFFFFF"/>
        </w:rPr>
        <w:t xml:space="preserve">, </w:t>
      </w:r>
      <w:r w:rsidR="003B6C1B" w:rsidRPr="00FA73DA">
        <w:rPr>
          <w:rStyle w:val="Textoennegrita"/>
          <w:rFonts w:ascii="Verdana" w:hAnsi="Verdana"/>
          <w:b w:val="0"/>
          <w:color w:val="000000"/>
          <w:sz w:val="16"/>
          <w:szCs w:val="16"/>
          <w:shd w:val="clear" w:color="auto" w:fill="FFFFFF"/>
        </w:rPr>
        <w:t>Considerando 11</w:t>
      </w:r>
      <w:r w:rsidRPr="00FA73DA">
        <w:rPr>
          <w:rFonts w:ascii="Verdana" w:hAnsi="Verdana"/>
          <w:sz w:val="16"/>
          <w:szCs w:val="16"/>
        </w:rPr>
        <w:t>.</w:t>
      </w:r>
    </w:p>
  </w:footnote>
  <w:footnote w:id="32">
    <w:p w14:paraId="06DF3005" w14:textId="1B382F10" w:rsidR="0085231D" w:rsidRPr="00FA73DA" w:rsidRDefault="0085231D" w:rsidP="0085231D">
      <w:pPr>
        <w:pStyle w:val="Textonotapie"/>
        <w:ind w:right="113"/>
        <w:jc w:val="both"/>
        <w:rPr>
          <w:rFonts w:ascii="Verdana" w:hAnsi="Verdana"/>
          <w:sz w:val="16"/>
          <w:szCs w:val="16"/>
          <w:lang w:val="es-CO"/>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lang w:val="es-ES"/>
        </w:rPr>
        <w:t>Cfr</w:t>
      </w:r>
      <w:r w:rsidRPr="00FA73DA">
        <w:rPr>
          <w:rFonts w:ascii="Verdana" w:hAnsi="Verdana"/>
          <w:sz w:val="16"/>
          <w:szCs w:val="16"/>
          <w:lang w:val="es-ES"/>
        </w:rPr>
        <w:t xml:space="preserve">. </w:t>
      </w:r>
      <w:r w:rsidRPr="00FA73DA">
        <w:rPr>
          <w:rFonts w:ascii="Verdana" w:hAnsi="Verdana"/>
          <w:i/>
          <w:sz w:val="16"/>
          <w:szCs w:val="16"/>
          <w:lang w:val="es-ES"/>
        </w:rPr>
        <w:t>Caso Baena Ricardo y otros Vs. Panamá</w:t>
      </w:r>
      <w:r w:rsidRPr="00FA73DA">
        <w:rPr>
          <w:rFonts w:ascii="Verdana" w:hAnsi="Verdana"/>
          <w:sz w:val="16"/>
          <w:szCs w:val="16"/>
          <w:lang w:val="es-ES"/>
        </w:rPr>
        <w:t xml:space="preserve">. </w:t>
      </w:r>
      <w:r w:rsidRPr="00FA73DA">
        <w:rPr>
          <w:rFonts w:ascii="Verdana" w:hAnsi="Verdana"/>
          <w:i/>
          <w:sz w:val="16"/>
          <w:szCs w:val="16"/>
          <w:lang w:val="es-ES"/>
        </w:rPr>
        <w:t>Competencia,</w:t>
      </w:r>
      <w:r w:rsidRPr="00FA73DA">
        <w:rPr>
          <w:rFonts w:ascii="Verdana" w:hAnsi="Verdana"/>
          <w:sz w:val="16"/>
          <w:szCs w:val="16"/>
          <w:lang w:val="es-ES"/>
        </w:rPr>
        <w:t xml:space="preserve"> </w:t>
      </w:r>
      <w:r w:rsidRPr="00FA73DA">
        <w:rPr>
          <w:rFonts w:ascii="Verdana" w:hAnsi="Verdana"/>
          <w:sz w:val="16"/>
          <w:szCs w:val="16"/>
        </w:rPr>
        <w:t xml:space="preserve">párr. 96, y </w:t>
      </w:r>
      <w:r w:rsidRPr="00FA73DA">
        <w:rPr>
          <w:rFonts w:ascii="Verdana" w:hAnsi="Verdana"/>
          <w:i/>
          <w:sz w:val="16"/>
          <w:szCs w:val="16"/>
        </w:rPr>
        <w:t>Cfr.</w:t>
      </w:r>
      <w:r w:rsidRPr="00FA73DA">
        <w:rPr>
          <w:rFonts w:ascii="Verdana" w:hAnsi="Verdana"/>
          <w:sz w:val="16"/>
          <w:szCs w:val="16"/>
        </w:rPr>
        <w:t xml:space="preserve"> </w:t>
      </w:r>
      <w:r w:rsidRPr="00FA73DA">
        <w:rPr>
          <w:rStyle w:val="Textoennegrita"/>
          <w:rFonts w:ascii="Verdana" w:hAnsi="Verdana"/>
          <w:b w:val="0"/>
          <w:i/>
          <w:color w:val="000000"/>
          <w:sz w:val="16"/>
          <w:szCs w:val="16"/>
          <w:shd w:val="clear" w:color="auto" w:fill="FFFFFF"/>
        </w:rPr>
        <w:t xml:space="preserve">Caso </w:t>
      </w:r>
      <w:proofErr w:type="spellStart"/>
      <w:r w:rsidRPr="00FA73DA">
        <w:rPr>
          <w:rStyle w:val="Textoennegrita"/>
          <w:rFonts w:ascii="Verdana" w:hAnsi="Verdana"/>
          <w:b w:val="0"/>
          <w:i/>
          <w:color w:val="000000"/>
          <w:sz w:val="16"/>
          <w:szCs w:val="16"/>
          <w:shd w:val="clear" w:color="auto" w:fill="FFFFFF"/>
        </w:rPr>
        <w:t>Apitz</w:t>
      </w:r>
      <w:proofErr w:type="spellEnd"/>
      <w:r w:rsidRPr="00FA73DA">
        <w:rPr>
          <w:rStyle w:val="Textoennegrita"/>
          <w:rFonts w:ascii="Verdana" w:hAnsi="Verdana"/>
          <w:b w:val="0"/>
          <w:i/>
          <w:color w:val="000000"/>
          <w:sz w:val="16"/>
          <w:szCs w:val="16"/>
          <w:shd w:val="clear" w:color="auto" w:fill="FFFFFF"/>
        </w:rPr>
        <w:t xml:space="preserve"> Barbera y Otros,</w:t>
      </w:r>
      <w:r w:rsidRPr="00FA73DA">
        <w:rPr>
          <w:rStyle w:val="Textoennegrita"/>
          <w:rFonts w:ascii="Verdana" w:hAnsi="Verdana"/>
          <w:b w:val="0"/>
          <w:color w:val="000000"/>
          <w:sz w:val="16"/>
          <w:szCs w:val="16"/>
          <w:shd w:val="clear" w:color="auto" w:fill="FFFFFF"/>
        </w:rPr>
        <w:t xml:space="preserve"> </w:t>
      </w:r>
      <w:r w:rsidRPr="00FA73DA">
        <w:rPr>
          <w:rStyle w:val="Textoennegrita"/>
          <w:rFonts w:ascii="Verdana" w:hAnsi="Verdana"/>
          <w:b w:val="0"/>
          <w:i/>
          <w:color w:val="000000"/>
          <w:sz w:val="16"/>
          <w:szCs w:val="16"/>
          <w:shd w:val="clear" w:color="auto" w:fill="FFFFFF"/>
        </w:rPr>
        <w:t>supra</w:t>
      </w:r>
      <w:r w:rsidR="001D52E8">
        <w:rPr>
          <w:rStyle w:val="Textoennegrita"/>
          <w:rFonts w:ascii="Verdana" w:hAnsi="Verdana"/>
          <w:b w:val="0"/>
          <w:i/>
          <w:color w:val="000000"/>
          <w:sz w:val="16"/>
          <w:szCs w:val="16"/>
          <w:shd w:val="clear" w:color="auto" w:fill="FFFFFF"/>
        </w:rPr>
        <w:t xml:space="preserve"> </w:t>
      </w:r>
      <w:r w:rsidR="001D52E8" w:rsidRPr="001D52E8">
        <w:rPr>
          <w:rStyle w:val="Textoennegrita"/>
          <w:rFonts w:ascii="Verdana" w:hAnsi="Verdana"/>
          <w:b w:val="0"/>
          <w:color w:val="000000"/>
          <w:sz w:val="16"/>
          <w:szCs w:val="16"/>
          <w:shd w:val="clear" w:color="auto" w:fill="FFFFFF"/>
        </w:rPr>
        <w:t>nota 23</w:t>
      </w:r>
      <w:r w:rsidRPr="00FA73DA">
        <w:rPr>
          <w:rStyle w:val="Textoennegrita"/>
          <w:rFonts w:ascii="Verdana" w:hAnsi="Verdana"/>
          <w:b w:val="0"/>
          <w:i/>
          <w:color w:val="000000"/>
          <w:sz w:val="16"/>
          <w:szCs w:val="16"/>
          <w:shd w:val="clear" w:color="auto" w:fill="FFFFFF"/>
        </w:rPr>
        <w:t>,</w:t>
      </w:r>
      <w:r w:rsidRPr="00FA73DA">
        <w:rPr>
          <w:rStyle w:val="Textoennegrita"/>
          <w:rFonts w:ascii="Verdana" w:hAnsi="Verdana"/>
          <w:b w:val="0"/>
          <w:color w:val="000000"/>
          <w:sz w:val="16"/>
          <w:szCs w:val="16"/>
          <w:shd w:val="clear" w:color="auto" w:fill="FFFFFF"/>
        </w:rPr>
        <w:t xml:space="preserve"> Considerando 4</w:t>
      </w:r>
      <w:r w:rsidR="007364C8">
        <w:rPr>
          <w:rStyle w:val="Textoennegrita"/>
          <w:rFonts w:ascii="Verdana" w:hAnsi="Verdana"/>
          <w:b w:val="0"/>
          <w:color w:val="000000"/>
          <w:sz w:val="16"/>
          <w:szCs w:val="16"/>
          <w:shd w:val="clear" w:color="auto" w:fill="FFFFFF"/>
        </w:rPr>
        <w:t>7</w:t>
      </w:r>
      <w:r w:rsidRPr="00FA73DA">
        <w:rPr>
          <w:rStyle w:val="Textoennegrita"/>
          <w:rFonts w:ascii="Verdana" w:hAnsi="Verdana"/>
          <w:b w:val="0"/>
          <w:color w:val="000000"/>
          <w:sz w:val="16"/>
          <w:szCs w:val="16"/>
          <w:shd w:val="clear" w:color="auto" w:fill="FFFFFF"/>
        </w:rPr>
        <w:t>.</w:t>
      </w:r>
    </w:p>
  </w:footnote>
  <w:footnote w:id="33">
    <w:p w14:paraId="3B41D1E9" w14:textId="6BB5532B" w:rsidR="0085231D" w:rsidRPr="00FA73DA" w:rsidRDefault="0085231D" w:rsidP="0085231D">
      <w:pPr>
        <w:pStyle w:val="Textonotapie"/>
        <w:ind w:right="113"/>
        <w:jc w:val="both"/>
        <w:rPr>
          <w:rFonts w:ascii="Verdana" w:hAnsi="Verdana"/>
          <w:sz w:val="16"/>
          <w:szCs w:val="16"/>
          <w:lang w:val="es-CO"/>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rPr>
        <w:t>Cfr.</w:t>
      </w:r>
      <w:r w:rsidRPr="00FA73DA">
        <w:rPr>
          <w:rFonts w:ascii="Verdana" w:hAnsi="Verdana"/>
          <w:sz w:val="16"/>
          <w:szCs w:val="16"/>
        </w:rPr>
        <w:t xml:space="preserve"> </w:t>
      </w:r>
      <w:r w:rsidRPr="00FA73DA">
        <w:rPr>
          <w:rStyle w:val="Textoennegrita"/>
          <w:rFonts w:ascii="Verdana" w:hAnsi="Verdana"/>
          <w:b w:val="0"/>
          <w:i/>
          <w:color w:val="000000"/>
          <w:sz w:val="16"/>
          <w:szCs w:val="16"/>
          <w:shd w:val="clear" w:color="auto" w:fill="FFFFFF"/>
        </w:rPr>
        <w:t xml:space="preserve">Caso </w:t>
      </w:r>
      <w:proofErr w:type="spellStart"/>
      <w:r w:rsidRPr="00FA73DA">
        <w:rPr>
          <w:rStyle w:val="Textoennegrita"/>
          <w:rFonts w:ascii="Verdana" w:hAnsi="Verdana"/>
          <w:b w:val="0"/>
          <w:i/>
          <w:color w:val="000000"/>
          <w:sz w:val="16"/>
          <w:szCs w:val="16"/>
          <w:shd w:val="clear" w:color="auto" w:fill="FFFFFF"/>
        </w:rPr>
        <w:t>Apitz</w:t>
      </w:r>
      <w:proofErr w:type="spellEnd"/>
      <w:r w:rsidRPr="00FA73DA">
        <w:rPr>
          <w:rStyle w:val="Textoennegrita"/>
          <w:rFonts w:ascii="Verdana" w:hAnsi="Verdana"/>
          <w:b w:val="0"/>
          <w:i/>
          <w:color w:val="000000"/>
          <w:sz w:val="16"/>
          <w:szCs w:val="16"/>
          <w:shd w:val="clear" w:color="auto" w:fill="FFFFFF"/>
        </w:rPr>
        <w:t xml:space="preserve"> Barbera y Otros, supra</w:t>
      </w:r>
      <w:r w:rsidR="001D52E8">
        <w:rPr>
          <w:rStyle w:val="Textoennegrita"/>
          <w:rFonts w:ascii="Verdana" w:hAnsi="Verdana"/>
          <w:b w:val="0"/>
          <w:i/>
          <w:color w:val="000000"/>
          <w:sz w:val="16"/>
          <w:szCs w:val="16"/>
          <w:shd w:val="clear" w:color="auto" w:fill="FFFFFF"/>
        </w:rPr>
        <w:t xml:space="preserve"> </w:t>
      </w:r>
      <w:r w:rsidR="001D52E8" w:rsidRPr="001D52E8">
        <w:rPr>
          <w:rStyle w:val="Textoennegrita"/>
          <w:rFonts w:ascii="Verdana" w:hAnsi="Verdana"/>
          <w:b w:val="0"/>
          <w:color w:val="000000"/>
          <w:sz w:val="16"/>
          <w:szCs w:val="16"/>
          <w:shd w:val="clear" w:color="auto" w:fill="FFFFFF"/>
        </w:rPr>
        <w:t>nota 23</w:t>
      </w:r>
      <w:r w:rsidRPr="00FA73DA">
        <w:rPr>
          <w:rStyle w:val="Textoennegrita"/>
          <w:rFonts w:ascii="Verdana" w:hAnsi="Verdana"/>
          <w:b w:val="0"/>
          <w:i/>
          <w:color w:val="000000"/>
          <w:sz w:val="16"/>
          <w:szCs w:val="16"/>
          <w:shd w:val="clear" w:color="auto" w:fill="FFFFFF"/>
        </w:rPr>
        <w:t>,</w:t>
      </w:r>
      <w:r w:rsidR="003746CD">
        <w:rPr>
          <w:rStyle w:val="Textoennegrita"/>
          <w:rFonts w:ascii="Verdana" w:hAnsi="Verdana"/>
          <w:b w:val="0"/>
          <w:color w:val="000000"/>
          <w:sz w:val="16"/>
          <w:szCs w:val="16"/>
          <w:shd w:val="clear" w:color="auto" w:fill="FFFFFF"/>
        </w:rPr>
        <w:t xml:space="preserve"> Considerando 47</w:t>
      </w:r>
      <w:r w:rsidRPr="00FA73DA">
        <w:rPr>
          <w:rStyle w:val="Textoennegrita"/>
          <w:rFonts w:ascii="Verdana" w:hAnsi="Verdana"/>
          <w:b w:val="0"/>
          <w:color w:val="000000"/>
          <w:sz w:val="16"/>
          <w:szCs w:val="16"/>
          <w:shd w:val="clear" w:color="auto" w:fill="FFFFFF"/>
        </w:rPr>
        <w:t>.</w:t>
      </w:r>
    </w:p>
  </w:footnote>
  <w:footnote w:id="34">
    <w:p w14:paraId="671EA3EB" w14:textId="478D1F49" w:rsidR="0085231D" w:rsidRPr="00FA73DA" w:rsidRDefault="0085231D" w:rsidP="0085231D">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rPr>
        <w:t>Cfr.</w:t>
      </w:r>
      <w:r w:rsidRPr="00FA73DA">
        <w:rPr>
          <w:rFonts w:ascii="Verdana" w:hAnsi="Verdana"/>
          <w:sz w:val="16"/>
          <w:szCs w:val="16"/>
        </w:rPr>
        <w:t xml:space="preserve"> </w:t>
      </w:r>
      <w:r w:rsidRPr="00FA73DA">
        <w:rPr>
          <w:rStyle w:val="Textoennegrita"/>
          <w:rFonts w:ascii="Verdana" w:hAnsi="Verdana"/>
          <w:b w:val="0"/>
          <w:i/>
          <w:color w:val="000000"/>
          <w:sz w:val="16"/>
          <w:szCs w:val="16"/>
          <w:shd w:val="clear" w:color="auto" w:fill="FFFFFF"/>
        </w:rPr>
        <w:t xml:space="preserve">Caso </w:t>
      </w:r>
      <w:proofErr w:type="spellStart"/>
      <w:r w:rsidRPr="00FA73DA">
        <w:rPr>
          <w:rStyle w:val="Textoennegrita"/>
          <w:rFonts w:ascii="Verdana" w:hAnsi="Verdana"/>
          <w:b w:val="0"/>
          <w:i/>
          <w:color w:val="000000"/>
          <w:sz w:val="16"/>
          <w:szCs w:val="16"/>
          <w:shd w:val="clear" w:color="auto" w:fill="FFFFFF"/>
        </w:rPr>
        <w:t>Apitz</w:t>
      </w:r>
      <w:proofErr w:type="spellEnd"/>
      <w:r w:rsidRPr="00FA73DA">
        <w:rPr>
          <w:rStyle w:val="Textoennegrita"/>
          <w:rFonts w:ascii="Verdana" w:hAnsi="Verdana"/>
          <w:b w:val="0"/>
          <w:i/>
          <w:color w:val="000000"/>
          <w:sz w:val="16"/>
          <w:szCs w:val="16"/>
          <w:shd w:val="clear" w:color="auto" w:fill="FFFFFF"/>
        </w:rPr>
        <w:t xml:space="preserve"> Barbera y Otros, supra</w:t>
      </w:r>
      <w:r w:rsidR="001D52E8">
        <w:rPr>
          <w:rStyle w:val="Textoennegrita"/>
          <w:rFonts w:ascii="Verdana" w:hAnsi="Verdana"/>
          <w:b w:val="0"/>
          <w:i/>
          <w:color w:val="000000"/>
          <w:sz w:val="16"/>
          <w:szCs w:val="16"/>
          <w:shd w:val="clear" w:color="auto" w:fill="FFFFFF"/>
        </w:rPr>
        <w:t xml:space="preserve"> </w:t>
      </w:r>
      <w:r w:rsidR="001D52E8" w:rsidRPr="001D52E8">
        <w:rPr>
          <w:rStyle w:val="Textoennegrita"/>
          <w:rFonts w:ascii="Verdana" w:hAnsi="Verdana"/>
          <w:b w:val="0"/>
          <w:color w:val="000000"/>
          <w:sz w:val="16"/>
          <w:szCs w:val="16"/>
          <w:shd w:val="clear" w:color="auto" w:fill="FFFFFF"/>
        </w:rPr>
        <w:t>nota 23</w:t>
      </w:r>
      <w:r w:rsidRPr="00FA73DA">
        <w:rPr>
          <w:rStyle w:val="Textoennegrita"/>
          <w:rFonts w:ascii="Verdana" w:hAnsi="Verdana"/>
          <w:b w:val="0"/>
          <w:i/>
          <w:color w:val="000000"/>
          <w:sz w:val="16"/>
          <w:szCs w:val="16"/>
          <w:shd w:val="clear" w:color="auto" w:fill="FFFFFF"/>
        </w:rPr>
        <w:t>,</w:t>
      </w:r>
      <w:r w:rsidRPr="00FA73DA">
        <w:rPr>
          <w:rStyle w:val="Textoennegrita"/>
          <w:rFonts w:ascii="Verdana" w:hAnsi="Verdana"/>
          <w:b w:val="0"/>
          <w:color w:val="000000"/>
          <w:sz w:val="16"/>
          <w:szCs w:val="16"/>
          <w:shd w:val="clear" w:color="auto" w:fill="FFFFFF"/>
        </w:rPr>
        <w:t xml:space="preserve"> Considerando 4</w:t>
      </w:r>
      <w:r w:rsidR="003746CD">
        <w:rPr>
          <w:rStyle w:val="Textoennegrita"/>
          <w:rFonts w:ascii="Verdana" w:hAnsi="Verdana"/>
          <w:b w:val="0"/>
          <w:color w:val="000000"/>
          <w:sz w:val="16"/>
          <w:szCs w:val="16"/>
          <w:shd w:val="clear" w:color="auto" w:fill="FFFFFF"/>
        </w:rPr>
        <w:t>7</w:t>
      </w:r>
      <w:r w:rsidRPr="00FA73DA">
        <w:rPr>
          <w:rStyle w:val="Textoennegrita"/>
          <w:rFonts w:ascii="Verdana" w:hAnsi="Verdana"/>
          <w:b w:val="0"/>
          <w:color w:val="000000"/>
          <w:sz w:val="16"/>
          <w:szCs w:val="16"/>
          <w:shd w:val="clear" w:color="auto" w:fill="FFFFFF"/>
        </w:rPr>
        <w:t>.</w:t>
      </w:r>
    </w:p>
  </w:footnote>
  <w:footnote w:id="35">
    <w:p w14:paraId="1D836B21" w14:textId="56622E83" w:rsidR="0085231D" w:rsidRPr="00FA73DA" w:rsidRDefault="0085231D" w:rsidP="0085231D">
      <w:pPr>
        <w:pStyle w:val="Textonotapie"/>
        <w:ind w:right="113"/>
        <w:jc w:val="both"/>
        <w:rPr>
          <w:rFonts w:ascii="Verdana" w:hAnsi="Verdana"/>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rPr>
        <w:t>Cfr.</w:t>
      </w:r>
      <w:r w:rsidRPr="00FA73DA">
        <w:rPr>
          <w:rFonts w:ascii="Verdana" w:hAnsi="Verdana"/>
          <w:sz w:val="16"/>
          <w:szCs w:val="16"/>
        </w:rPr>
        <w:t xml:space="preserve"> </w:t>
      </w:r>
      <w:r w:rsidRPr="00FA73DA">
        <w:rPr>
          <w:rStyle w:val="Textoennegrita"/>
          <w:rFonts w:ascii="Verdana" w:hAnsi="Verdana"/>
          <w:b w:val="0"/>
          <w:i/>
          <w:color w:val="000000"/>
          <w:sz w:val="16"/>
          <w:szCs w:val="16"/>
          <w:shd w:val="clear" w:color="auto" w:fill="FFFFFF"/>
        </w:rPr>
        <w:t xml:space="preserve">Caso </w:t>
      </w:r>
      <w:proofErr w:type="spellStart"/>
      <w:r w:rsidRPr="00FA73DA">
        <w:rPr>
          <w:rStyle w:val="Textoennegrita"/>
          <w:rFonts w:ascii="Verdana" w:hAnsi="Verdana"/>
          <w:b w:val="0"/>
          <w:i/>
          <w:color w:val="000000"/>
          <w:sz w:val="16"/>
          <w:szCs w:val="16"/>
          <w:shd w:val="clear" w:color="auto" w:fill="FFFFFF"/>
        </w:rPr>
        <w:t>Apitz</w:t>
      </w:r>
      <w:proofErr w:type="spellEnd"/>
      <w:r w:rsidRPr="00FA73DA">
        <w:rPr>
          <w:rStyle w:val="Textoennegrita"/>
          <w:rFonts w:ascii="Verdana" w:hAnsi="Verdana"/>
          <w:b w:val="0"/>
          <w:i/>
          <w:color w:val="000000"/>
          <w:sz w:val="16"/>
          <w:szCs w:val="16"/>
          <w:shd w:val="clear" w:color="auto" w:fill="FFFFFF"/>
        </w:rPr>
        <w:t xml:space="preserve"> Barbera y Otros, supra</w:t>
      </w:r>
      <w:r w:rsidR="001D52E8">
        <w:rPr>
          <w:rStyle w:val="Textoennegrita"/>
          <w:rFonts w:ascii="Verdana" w:hAnsi="Verdana"/>
          <w:b w:val="0"/>
          <w:i/>
          <w:color w:val="000000"/>
          <w:sz w:val="16"/>
          <w:szCs w:val="16"/>
          <w:shd w:val="clear" w:color="auto" w:fill="FFFFFF"/>
        </w:rPr>
        <w:t xml:space="preserve"> </w:t>
      </w:r>
      <w:r w:rsidR="001D52E8" w:rsidRPr="001D52E8">
        <w:rPr>
          <w:rStyle w:val="Textoennegrita"/>
          <w:rFonts w:ascii="Verdana" w:hAnsi="Verdana"/>
          <w:b w:val="0"/>
          <w:color w:val="000000"/>
          <w:sz w:val="16"/>
          <w:szCs w:val="16"/>
          <w:shd w:val="clear" w:color="auto" w:fill="FFFFFF"/>
        </w:rPr>
        <w:t>nota 23</w:t>
      </w:r>
      <w:r w:rsidRPr="00FA73DA">
        <w:rPr>
          <w:rStyle w:val="Textoennegrita"/>
          <w:rFonts w:ascii="Verdana" w:hAnsi="Verdana"/>
          <w:b w:val="0"/>
          <w:i/>
          <w:color w:val="000000"/>
          <w:sz w:val="16"/>
          <w:szCs w:val="16"/>
          <w:shd w:val="clear" w:color="auto" w:fill="FFFFFF"/>
        </w:rPr>
        <w:t>,</w:t>
      </w:r>
      <w:r w:rsidRPr="00FA73DA">
        <w:rPr>
          <w:rStyle w:val="Textoennegrita"/>
          <w:rFonts w:ascii="Verdana" w:hAnsi="Verdana"/>
          <w:b w:val="0"/>
          <w:color w:val="000000"/>
          <w:sz w:val="16"/>
          <w:szCs w:val="16"/>
          <w:shd w:val="clear" w:color="auto" w:fill="FFFFFF"/>
        </w:rPr>
        <w:t xml:space="preserve"> Considerando 4</w:t>
      </w:r>
      <w:r w:rsidR="003746CD">
        <w:rPr>
          <w:rStyle w:val="Textoennegrita"/>
          <w:rFonts w:ascii="Verdana" w:hAnsi="Verdana"/>
          <w:b w:val="0"/>
          <w:color w:val="000000"/>
          <w:sz w:val="16"/>
          <w:szCs w:val="16"/>
          <w:shd w:val="clear" w:color="auto" w:fill="FFFFFF"/>
        </w:rPr>
        <w:t>7</w:t>
      </w:r>
      <w:r w:rsidRPr="00FA73DA">
        <w:rPr>
          <w:rStyle w:val="Textoennegrita"/>
          <w:rFonts w:ascii="Verdana" w:hAnsi="Verdana"/>
          <w:b w:val="0"/>
          <w:color w:val="000000"/>
          <w:sz w:val="16"/>
          <w:szCs w:val="16"/>
          <w:shd w:val="clear" w:color="auto" w:fill="FFFFFF"/>
        </w:rPr>
        <w:t>.</w:t>
      </w:r>
    </w:p>
  </w:footnote>
  <w:footnote w:id="36">
    <w:p w14:paraId="705FF081" w14:textId="0327200C" w:rsidR="001D1008" w:rsidRPr="00FA73DA" w:rsidRDefault="001D1008" w:rsidP="00FA73DA">
      <w:pPr>
        <w:pStyle w:val="Textonotapie"/>
        <w:ind w:right="113"/>
        <w:jc w:val="both"/>
        <w:rPr>
          <w:rFonts w:ascii="Verdana" w:hAnsi="Verdana"/>
          <w:i/>
          <w:sz w:val="16"/>
          <w:szCs w:val="16"/>
        </w:rPr>
      </w:pPr>
      <w:r w:rsidRPr="00FA73DA">
        <w:rPr>
          <w:rStyle w:val="Refdenotaalpie"/>
          <w:rFonts w:ascii="Verdana" w:hAnsi="Verdana"/>
          <w:sz w:val="16"/>
          <w:szCs w:val="16"/>
        </w:rPr>
        <w:footnoteRef/>
      </w:r>
      <w:r w:rsidRPr="00FA73DA">
        <w:rPr>
          <w:rFonts w:ascii="Verdana" w:hAnsi="Verdana"/>
          <w:sz w:val="16"/>
          <w:szCs w:val="16"/>
        </w:rPr>
        <w:t xml:space="preserve"> </w:t>
      </w:r>
      <w:r w:rsidRPr="00FA73DA">
        <w:rPr>
          <w:rFonts w:ascii="Verdana" w:hAnsi="Verdana"/>
          <w:sz w:val="16"/>
          <w:szCs w:val="16"/>
        </w:rPr>
        <w:tab/>
      </w:r>
      <w:r w:rsidRPr="00FA73DA">
        <w:rPr>
          <w:rFonts w:ascii="Verdana" w:hAnsi="Verdana"/>
          <w:i/>
          <w:sz w:val="16"/>
          <w:szCs w:val="16"/>
        </w:rPr>
        <w:t>Cfr.</w:t>
      </w:r>
      <w:r w:rsidRPr="00FA73DA">
        <w:rPr>
          <w:rFonts w:ascii="Verdana" w:hAnsi="Verdana"/>
          <w:sz w:val="16"/>
          <w:szCs w:val="16"/>
        </w:rPr>
        <w:t xml:space="preserve"> </w:t>
      </w:r>
      <w:r w:rsidRPr="00FA73DA">
        <w:rPr>
          <w:rStyle w:val="Textoennegrita"/>
          <w:rFonts w:ascii="Verdana" w:hAnsi="Verdana"/>
          <w:b w:val="0"/>
          <w:i/>
          <w:color w:val="000000"/>
          <w:sz w:val="16"/>
          <w:szCs w:val="16"/>
          <w:shd w:val="clear" w:color="auto" w:fill="FFFFFF"/>
        </w:rPr>
        <w:t xml:space="preserve">Caso </w:t>
      </w:r>
      <w:proofErr w:type="spellStart"/>
      <w:r w:rsidRPr="00FA73DA">
        <w:rPr>
          <w:rStyle w:val="Textoennegrita"/>
          <w:rFonts w:ascii="Verdana" w:hAnsi="Verdana"/>
          <w:b w:val="0"/>
          <w:i/>
          <w:color w:val="000000"/>
          <w:sz w:val="16"/>
          <w:szCs w:val="16"/>
          <w:shd w:val="clear" w:color="auto" w:fill="FFFFFF"/>
        </w:rPr>
        <w:t>Apitz</w:t>
      </w:r>
      <w:proofErr w:type="spellEnd"/>
      <w:r w:rsidRPr="00FA73DA">
        <w:rPr>
          <w:rStyle w:val="Textoennegrita"/>
          <w:rFonts w:ascii="Verdana" w:hAnsi="Verdana"/>
          <w:b w:val="0"/>
          <w:i/>
          <w:color w:val="000000"/>
          <w:sz w:val="16"/>
          <w:szCs w:val="16"/>
          <w:shd w:val="clear" w:color="auto" w:fill="FFFFFF"/>
        </w:rPr>
        <w:t xml:space="preserve"> Barbera y Otros, supra</w:t>
      </w:r>
      <w:r w:rsidR="001D52E8">
        <w:rPr>
          <w:rStyle w:val="Textoennegrita"/>
          <w:rFonts w:ascii="Verdana" w:hAnsi="Verdana"/>
          <w:b w:val="0"/>
          <w:i/>
          <w:color w:val="000000"/>
          <w:sz w:val="16"/>
          <w:szCs w:val="16"/>
          <w:shd w:val="clear" w:color="auto" w:fill="FFFFFF"/>
        </w:rPr>
        <w:t xml:space="preserve"> </w:t>
      </w:r>
      <w:r w:rsidR="001D52E8" w:rsidRPr="001D52E8">
        <w:rPr>
          <w:rStyle w:val="Textoennegrita"/>
          <w:rFonts w:ascii="Verdana" w:hAnsi="Verdana"/>
          <w:b w:val="0"/>
          <w:color w:val="000000"/>
          <w:sz w:val="16"/>
          <w:szCs w:val="16"/>
          <w:shd w:val="clear" w:color="auto" w:fill="FFFFFF"/>
        </w:rPr>
        <w:t>nota 23</w:t>
      </w:r>
      <w:r w:rsidRPr="00FA73DA">
        <w:rPr>
          <w:rStyle w:val="Textoennegrita"/>
          <w:rFonts w:ascii="Verdana" w:hAnsi="Verdana"/>
          <w:b w:val="0"/>
          <w:i/>
          <w:color w:val="000000"/>
          <w:sz w:val="16"/>
          <w:szCs w:val="16"/>
          <w:shd w:val="clear" w:color="auto" w:fill="FFFFFF"/>
        </w:rPr>
        <w:t>,</w:t>
      </w:r>
      <w:r w:rsidRPr="00FA73DA">
        <w:rPr>
          <w:rStyle w:val="Textoennegrita"/>
          <w:rFonts w:ascii="Verdana" w:hAnsi="Verdana"/>
          <w:b w:val="0"/>
          <w:color w:val="000000"/>
          <w:sz w:val="16"/>
          <w:szCs w:val="16"/>
          <w:shd w:val="clear" w:color="auto" w:fill="FFFFFF"/>
        </w:rPr>
        <w:t xml:space="preserve"> Considerando 48</w:t>
      </w:r>
      <w:r w:rsidR="00703231">
        <w:rPr>
          <w:rStyle w:val="Textoennegrita"/>
          <w:rFonts w:ascii="Verdana" w:hAnsi="Verdana"/>
          <w:b w:val="0"/>
          <w:color w:val="000000"/>
          <w:sz w:val="16"/>
          <w:szCs w:val="16"/>
          <w:shd w:val="clear" w:color="auto" w:fill="FFFFFF"/>
        </w:rPr>
        <w:t xml:space="preserve">, y </w:t>
      </w:r>
      <w:r w:rsidR="00703231" w:rsidRPr="00FA73DA">
        <w:rPr>
          <w:rStyle w:val="Textoennegrita"/>
          <w:rFonts w:ascii="Verdana" w:hAnsi="Verdana"/>
          <w:b w:val="0"/>
          <w:i/>
          <w:color w:val="000000"/>
          <w:sz w:val="16"/>
          <w:szCs w:val="16"/>
          <w:shd w:val="clear" w:color="auto" w:fill="FFFFFF"/>
        </w:rPr>
        <w:t>Caso Díaz Peña y Caso Uzcátegui y otros Vs. Venezuela. Supervisión de Cumplimiento de Sentencias</w:t>
      </w:r>
      <w:r w:rsidR="00703231" w:rsidRPr="00FA73DA">
        <w:rPr>
          <w:rStyle w:val="Textoennegrita"/>
          <w:rFonts w:ascii="Verdana" w:hAnsi="Verdana"/>
          <w:b w:val="0"/>
          <w:color w:val="000000"/>
          <w:sz w:val="16"/>
          <w:szCs w:val="16"/>
          <w:shd w:val="clear" w:color="auto" w:fill="FFFFFF"/>
        </w:rPr>
        <w:t xml:space="preserve">, </w:t>
      </w:r>
      <w:r w:rsidR="00703231" w:rsidRPr="00FA73DA">
        <w:rPr>
          <w:rStyle w:val="Textoennegrita"/>
          <w:rFonts w:ascii="Verdana" w:hAnsi="Verdana"/>
          <w:b w:val="0"/>
          <w:i/>
          <w:color w:val="000000"/>
          <w:sz w:val="16"/>
          <w:szCs w:val="16"/>
          <w:shd w:val="clear" w:color="auto" w:fill="FFFFFF"/>
        </w:rPr>
        <w:t>supra</w:t>
      </w:r>
      <w:r w:rsidR="00703231" w:rsidRPr="00FA73DA">
        <w:rPr>
          <w:rStyle w:val="Textoennegrita"/>
          <w:rFonts w:ascii="Verdana" w:hAnsi="Verdana"/>
          <w:b w:val="0"/>
          <w:color w:val="000000"/>
          <w:sz w:val="16"/>
          <w:szCs w:val="16"/>
          <w:shd w:val="clear" w:color="auto" w:fill="FFFFFF"/>
        </w:rPr>
        <w:t xml:space="preserve"> nota </w:t>
      </w:r>
      <w:r w:rsidR="00703231">
        <w:rPr>
          <w:rStyle w:val="Textoennegrita"/>
          <w:rFonts w:ascii="Verdana" w:hAnsi="Verdana"/>
          <w:b w:val="0"/>
          <w:color w:val="000000"/>
          <w:sz w:val="16"/>
          <w:szCs w:val="16"/>
          <w:shd w:val="clear" w:color="auto" w:fill="FFFFFF"/>
        </w:rPr>
        <w:t>20</w:t>
      </w:r>
      <w:r w:rsidR="00703231" w:rsidRPr="00FA73DA">
        <w:rPr>
          <w:rStyle w:val="Textoennegrita"/>
          <w:rFonts w:ascii="Verdana" w:hAnsi="Verdana"/>
          <w:b w:val="0"/>
          <w:color w:val="000000"/>
          <w:sz w:val="16"/>
          <w:szCs w:val="16"/>
          <w:shd w:val="clear" w:color="auto" w:fill="FFFFFF"/>
        </w:rPr>
        <w:t xml:space="preserve">, </w:t>
      </w:r>
      <w:r w:rsidR="00703231">
        <w:rPr>
          <w:rStyle w:val="Textoennegrita"/>
          <w:rFonts w:ascii="Verdana" w:hAnsi="Verdana"/>
          <w:b w:val="0"/>
          <w:color w:val="000000"/>
          <w:sz w:val="16"/>
          <w:szCs w:val="16"/>
          <w:shd w:val="clear" w:color="auto" w:fill="FFFFFF"/>
        </w:rPr>
        <w:t>Considerando 13</w:t>
      </w:r>
      <w:r w:rsidRPr="00FA73DA">
        <w:rPr>
          <w:rStyle w:val="Textoennegrita"/>
          <w:rFonts w:ascii="Verdana" w:hAnsi="Verdana"/>
          <w:b w:val="0"/>
          <w:color w:val="000000"/>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C9978" w14:textId="77777777" w:rsidR="00764E6F" w:rsidRDefault="00764E6F" w:rsidP="00AC0795">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A2AE6"/>
    <w:multiLevelType w:val="multilevel"/>
    <w:tmpl w:val="86806766"/>
    <w:lvl w:ilvl="0">
      <w:start w:val="1"/>
      <w:numFmt w:val="decimal"/>
      <w:lvlText w:val="%1."/>
      <w:lvlJc w:val="left"/>
      <w:pPr>
        <w:ind w:left="720" w:hanging="360"/>
      </w:pPr>
      <w:rPr>
        <w:rFonts w:hint="default"/>
      </w:rPr>
    </w:lvl>
    <w:lvl w:ilvl="1">
      <w:start w:val="2"/>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2040" w:hanging="144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940" w:hanging="2160"/>
      </w:pPr>
      <w:rPr>
        <w:rFonts w:hint="default"/>
      </w:rPr>
    </w:lvl>
    <w:lvl w:ilvl="8">
      <w:start w:val="1"/>
      <w:numFmt w:val="decimal"/>
      <w:isLgl/>
      <w:lvlText w:val="%1.%2.%3.%4.%5.%6.%7.%8.%9."/>
      <w:lvlJc w:val="left"/>
      <w:pPr>
        <w:ind w:left="3000" w:hanging="2160"/>
      </w:pPr>
      <w:rPr>
        <w:rFonts w:hint="default"/>
      </w:rPr>
    </w:lvl>
  </w:abstractNum>
  <w:abstractNum w:abstractNumId="1" w15:restartNumberingAfterBreak="0">
    <w:nsid w:val="121F6407"/>
    <w:multiLevelType w:val="hybridMultilevel"/>
    <w:tmpl w:val="EC88B9D6"/>
    <w:lvl w:ilvl="0" w:tplc="2AF2118E">
      <w:start w:val="1"/>
      <w:numFmt w:val="upperLetter"/>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31455EC8"/>
    <w:multiLevelType w:val="hybridMultilevel"/>
    <w:tmpl w:val="62DC1766"/>
    <w:lvl w:ilvl="0" w:tplc="12EE721A">
      <w:start w:val="1"/>
      <w:numFmt w:val="decimal"/>
      <w:lvlText w:val="%1."/>
      <w:lvlJc w:val="left"/>
      <w:pPr>
        <w:ind w:left="720" w:hanging="360"/>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E6A4F2C"/>
    <w:multiLevelType w:val="hybridMultilevel"/>
    <w:tmpl w:val="3F50315C"/>
    <w:lvl w:ilvl="0" w:tplc="F7062178">
      <w:start w:val="1"/>
      <w:numFmt w:val="decimal"/>
      <w:lvlText w:val="%1."/>
      <w:lvlJc w:val="left"/>
      <w:pPr>
        <w:ind w:left="1065" w:hanging="705"/>
      </w:pPr>
      <w:rPr>
        <w:rFonts w:hint="default"/>
        <w:b w:val="0"/>
        <w:i w:val="0"/>
        <w:strike w:val="0"/>
        <w:color w:val="auto"/>
        <w:sz w:val="20"/>
        <w:szCs w:val="20"/>
        <w:lang w:val="es-C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DC284E"/>
    <w:multiLevelType w:val="hybridMultilevel"/>
    <w:tmpl w:val="89920CAE"/>
    <w:lvl w:ilvl="0" w:tplc="9900014C">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943B5A"/>
    <w:multiLevelType w:val="hybridMultilevel"/>
    <w:tmpl w:val="746264E2"/>
    <w:lvl w:ilvl="0" w:tplc="E6ACD8FA">
      <w:start w:val="1"/>
      <w:numFmt w:val="upperLetter"/>
      <w:lvlText w:val="%1)"/>
      <w:lvlJc w:val="left"/>
      <w:pPr>
        <w:ind w:left="720" w:hanging="360"/>
      </w:pPr>
      <w:rPr>
        <w:rFonts w:eastAsia="Times"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7E0C75B7"/>
    <w:multiLevelType w:val="hybridMultilevel"/>
    <w:tmpl w:val="85020A0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6"/>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A8"/>
    <w:rsid w:val="00014BCC"/>
    <w:rsid w:val="00033340"/>
    <w:rsid w:val="00054F6C"/>
    <w:rsid w:val="000771D8"/>
    <w:rsid w:val="000D34E0"/>
    <w:rsid w:val="00106C76"/>
    <w:rsid w:val="00110E09"/>
    <w:rsid w:val="00146AC3"/>
    <w:rsid w:val="001B52EC"/>
    <w:rsid w:val="001D1008"/>
    <w:rsid w:val="001D41B4"/>
    <w:rsid w:val="001D52E8"/>
    <w:rsid w:val="001E0153"/>
    <w:rsid w:val="001F0DEA"/>
    <w:rsid w:val="001F795A"/>
    <w:rsid w:val="002524A6"/>
    <w:rsid w:val="00263FD5"/>
    <w:rsid w:val="00274300"/>
    <w:rsid w:val="00293E57"/>
    <w:rsid w:val="002A18CF"/>
    <w:rsid w:val="003211C5"/>
    <w:rsid w:val="003746CD"/>
    <w:rsid w:val="00377CA6"/>
    <w:rsid w:val="00392281"/>
    <w:rsid w:val="003B6C1B"/>
    <w:rsid w:val="003C0FDB"/>
    <w:rsid w:val="003C2AB0"/>
    <w:rsid w:val="003E73E6"/>
    <w:rsid w:val="00451325"/>
    <w:rsid w:val="00451E3E"/>
    <w:rsid w:val="00477E6F"/>
    <w:rsid w:val="00487F21"/>
    <w:rsid w:val="0049777A"/>
    <w:rsid w:val="004B3F4D"/>
    <w:rsid w:val="004C1FAE"/>
    <w:rsid w:val="004D1423"/>
    <w:rsid w:val="004F1626"/>
    <w:rsid w:val="004F4573"/>
    <w:rsid w:val="00510C51"/>
    <w:rsid w:val="00546979"/>
    <w:rsid w:val="0055243E"/>
    <w:rsid w:val="00561FCD"/>
    <w:rsid w:val="00576330"/>
    <w:rsid w:val="00577DDA"/>
    <w:rsid w:val="005B6812"/>
    <w:rsid w:val="005C3D27"/>
    <w:rsid w:val="00604647"/>
    <w:rsid w:val="00612F8F"/>
    <w:rsid w:val="006503D7"/>
    <w:rsid w:val="00670232"/>
    <w:rsid w:val="00682D07"/>
    <w:rsid w:val="006A5A96"/>
    <w:rsid w:val="006B1FF2"/>
    <w:rsid w:val="006C00C8"/>
    <w:rsid w:val="006C47E7"/>
    <w:rsid w:val="006E0C20"/>
    <w:rsid w:val="00703231"/>
    <w:rsid w:val="00704CCF"/>
    <w:rsid w:val="00723726"/>
    <w:rsid w:val="007262A8"/>
    <w:rsid w:val="007332E0"/>
    <w:rsid w:val="007364C8"/>
    <w:rsid w:val="0073700F"/>
    <w:rsid w:val="0075509B"/>
    <w:rsid w:val="00764E6F"/>
    <w:rsid w:val="008002C5"/>
    <w:rsid w:val="00823737"/>
    <w:rsid w:val="00846208"/>
    <w:rsid w:val="0085231D"/>
    <w:rsid w:val="00862277"/>
    <w:rsid w:val="00866698"/>
    <w:rsid w:val="008B7CDB"/>
    <w:rsid w:val="008C304F"/>
    <w:rsid w:val="008C532C"/>
    <w:rsid w:val="008D1901"/>
    <w:rsid w:val="008F246B"/>
    <w:rsid w:val="008F2FD6"/>
    <w:rsid w:val="00907B7A"/>
    <w:rsid w:val="0091778F"/>
    <w:rsid w:val="00960D02"/>
    <w:rsid w:val="00967D95"/>
    <w:rsid w:val="0097483A"/>
    <w:rsid w:val="009944A9"/>
    <w:rsid w:val="009B2BCB"/>
    <w:rsid w:val="009E6F0E"/>
    <w:rsid w:val="009F2CD5"/>
    <w:rsid w:val="00A2259A"/>
    <w:rsid w:val="00A46818"/>
    <w:rsid w:val="00A50D15"/>
    <w:rsid w:val="00A913E0"/>
    <w:rsid w:val="00A942F9"/>
    <w:rsid w:val="00AC0795"/>
    <w:rsid w:val="00AC1FBE"/>
    <w:rsid w:val="00AE28EB"/>
    <w:rsid w:val="00AE7477"/>
    <w:rsid w:val="00B13329"/>
    <w:rsid w:val="00B27A21"/>
    <w:rsid w:val="00B5666A"/>
    <w:rsid w:val="00B60485"/>
    <w:rsid w:val="00B6706D"/>
    <w:rsid w:val="00B710D0"/>
    <w:rsid w:val="00BB5B9D"/>
    <w:rsid w:val="00C043D9"/>
    <w:rsid w:val="00C11228"/>
    <w:rsid w:val="00C121F3"/>
    <w:rsid w:val="00C273E6"/>
    <w:rsid w:val="00C27D7E"/>
    <w:rsid w:val="00C546E8"/>
    <w:rsid w:val="00C567AD"/>
    <w:rsid w:val="00C9594D"/>
    <w:rsid w:val="00D357DB"/>
    <w:rsid w:val="00D83E79"/>
    <w:rsid w:val="00D967EE"/>
    <w:rsid w:val="00DA4CF1"/>
    <w:rsid w:val="00DA6DAF"/>
    <w:rsid w:val="00DF2C4E"/>
    <w:rsid w:val="00E163F0"/>
    <w:rsid w:val="00E2581D"/>
    <w:rsid w:val="00E267C9"/>
    <w:rsid w:val="00E70C9D"/>
    <w:rsid w:val="00E715CD"/>
    <w:rsid w:val="00EA3626"/>
    <w:rsid w:val="00EB5552"/>
    <w:rsid w:val="00ED6592"/>
    <w:rsid w:val="00EE7DC4"/>
    <w:rsid w:val="00F16DED"/>
    <w:rsid w:val="00F30660"/>
    <w:rsid w:val="00F63408"/>
    <w:rsid w:val="00F74313"/>
    <w:rsid w:val="00F76489"/>
    <w:rsid w:val="00F833D1"/>
    <w:rsid w:val="00FA4D14"/>
    <w:rsid w:val="00FA73DA"/>
    <w:rsid w:val="00FC00D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57A9B"/>
  <w15:docId w15:val="{C975486D-3CCD-47A9-947C-BCE8F0FD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E6F"/>
    <w:pPr>
      <w:spacing w:after="200" w:line="276" w:lineRule="auto"/>
    </w:pPr>
    <w:rPr>
      <w:rFonts w:eastAsiaTheme="minorEastAsia"/>
      <w:lang w:eastAsia="es-CR"/>
    </w:rPr>
  </w:style>
  <w:style w:type="paragraph" w:styleId="Ttulo1">
    <w:name w:val="heading 1"/>
    <w:basedOn w:val="Normal"/>
    <w:next w:val="Normal"/>
    <w:link w:val="Ttulo1Car"/>
    <w:uiPriority w:val="9"/>
    <w:qFormat/>
    <w:rsid w:val="00E715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qFormat/>
    <w:rsid w:val="00764E6F"/>
    <w:rPr>
      <w:vertAlign w:val="superscript"/>
    </w:rPr>
  </w:style>
  <w:style w:type="paragraph" w:styleId="Prrafodelista">
    <w:name w:val="List Paragraph"/>
    <w:aliases w:val="Footnote,Párrafo de lista1,Cuadrícula media 1 - Énfasis 21"/>
    <w:basedOn w:val="Normal"/>
    <w:link w:val="PrrafodelistaCar"/>
    <w:uiPriority w:val="34"/>
    <w:qFormat/>
    <w:rsid w:val="00764E6F"/>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qFormat/>
    <w:rsid w:val="00764E6F"/>
    <w:pPr>
      <w:spacing w:after="0" w:line="240" w:lineRule="auto"/>
    </w:pPr>
    <w:rPr>
      <w:rFonts w:ascii="Times" w:eastAsia="Times" w:hAnsi="Times" w:cs="Times New Roman"/>
      <w:sz w:val="24"/>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qFormat/>
    <w:rsid w:val="00764E6F"/>
    <w:rPr>
      <w:rFonts w:ascii="Times" w:eastAsia="Times" w:hAnsi="Times" w:cs="Times New Roman"/>
      <w:sz w:val="24"/>
      <w:szCs w:val="20"/>
      <w:lang w:val="es-ES_tradnl" w:eastAsia="es-CR"/>
    </w:rPr>
  </w:style>
  <w:style w:type="character" w:customStyle="1" w:styleId="PrrafodelistaCar">
    <w:name w:val="Párrafo de lista Car"/>
    <w:aliases w:val="Footnote Car,Párrafo de lista1 Car,Cuadrícula media 1 - Énfasis 21 Car"/>
    <w:link w:val="Prrafodelista"/>
    <w:uiPriority w:val="34"/>
    <w:rsid w:val="00764E6F"/>
    <w:rPr>
      <w:rFonts w:eastAsiaTheme="minorEastAsia"/>
      <w:lang w:eastAsia="es-CR"/>
    </w:rPr>
  </w:style>
  <w:style w:type="character" w:styleId="Hipervnculo">
    <w:name w:val="Hyperlink"/>
    <w:basedOn w:val="Fuentedeprrafopredeter"/>
    <w:uiPriority w:val="99"/>
    <w:unhideWhenUsed/>
    <w:rsid w:val="00764E6F"/>
    <w:rPr>
      <w:color w:val="0563C1" w:themeColor="hyperlink"/>
      <w:u w:val="single"/>
    </w:rPr>
  </w:style>
  <w:style w:type="paragraph" w:styleId="Encabezado">
    <w:name w:val="header"/>
    <w:basedOn w:val="Normal"/>
    <w:link w:val="EncabezadoCar"/>
    <w:uiPriority w:val="99"/>
    <w:unhideWhenUsed/>
    <w:rsid w:val="00764E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4E6F"/>
    <w:rPr>
      <w:rFonts w:eastAsiaTheme="minorEastAsia"/>
      <w:lang w:eastAsia="es-CR"/>
    </w:rPr>
  </w:style>
  <w:style w:type="paragraph" w:styleId="Piedepgina">
    <w:name w:val="footer"/>
    <w:basedOn w:val="Normal"/>
    <w:link w:val="PiedepginaCar"/>
    <w:uiPriority w:val="99"/>
    <w:unhideWhenUsed/>
    <w:rsid w:val="00764E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4E6F"/>
    <w:rPr>
      <w:rFonts w:eastAsiaTheme="minorEastAsia"/>
      <w:lang w:eastAsia="es-CR"/>
    </w:rPr>
  </w:style>
  <w:style w:type="character" w:styleId="Textoennegrita">
    <w:name w:val="Strong"/>
    <w:basedOn w:val="Fuentedeprrafopredeter"/>
    <w:uiPriority w:val="22"/>
    <w:qFormat/>
    <w:rsid w:val="00764E6F"/>
    <w:rPr>
      <w:b/>
      <w:bCs/>
    </w:rPr>
  </w:style>
  <w:style w:type="paragraph" w:customStyle="1" w:styleId="Sangradetindependiente">
    <w:name w:val="SangrÌa de t. independiente"/>
    <w:basedOn w:val="Normal"/>
    <w:rsid w:val="00764E6F"/>
    <w:pPr>
      <w:spacing w:after="0" w:line="240" w:lineRule="auto"/>
      <w:ind w:right="12"/>
      <w:jc w:val="both"/>
    </w:pPr>
    <w:rPr>
      <w:rFonts w:ascii="Garamond" w:eastAsia="Times New Roman" w:hAnsi="Garamond" w:cs="Times New Roman"/>
      <w:sz w:val="20"/>
      <w:szCs w:val="20"/>
      <w:lang w:val="es-ES_tradnl" w:eastAsia="es-ES"/>
    </w:rPr>
  </w:style>
  <w:style w:type="character" w:styleId="Refdecomentario">
    <w:name w:val="annotation reference"/>
    <w:basedOn w:val="Fuentedeprrafopredeter"/>
    <w:uiPriority w:val="99"/>
    <w:semiHidden/>
    <w:unhideWhenUsed/>
    <w:rsid w:val="008F2FD6"/>
    <w:rPr>
      <w:sz w:val="16"/>
      <w:szCs w:val="16"/>
    </w:rPr>
  </w:style>
  <w:style w:type="paragraph" w:styleId="Textocomentario">
    <w:name w:val="annotation text"/>
    <w:basedOn w:val="Normal"/>
    <w:link w:val="TextocomentarioCar"/>
    <w:uiPriority w:val="99"/>
    <w:semiHidden/>
    <w:unhideWhenUsed/>
    <w:rsid w:val="008F2FD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2FD6"/>
    <w:rPr>
      <w:rFonts w:eastAsiaTheme="minorEastAsia"/>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8F2FD6"/>
    <w:rPr>
      <w:b/>
      <w:bCs/>
    </w:rPr>
  </w:style>
  <w:style w:type="character" w:customStyle="1" w:styleId="AsuntodelcomentarioCar">
    <w:name w:val="Asunto del comentario Car"/>
    <w:basedOn w:val="TextocomentarioCar"/>
    <w:link w:val="Asuntodelcomentario"/>
    <w:uiPriority w:val="99"/>
    <w:semiHidden/>
    <w:rsid w:val="008F2FD6"/>
    <w:rPr>
      <w:rFonts w:eastAsiaTheme="minorEastAsia"/>
      <w:b/>
      <w:bCs/>
      <w:sz w:val="20"/>
      <w:szCs w:val="20"/>
      <w:lang w:eastAsia="es-CR"/>
    </w:rPr>
  </w:style>
  <w:style w:type="paragraph" w:styleId="Textodeglobo">
    <w:name w:val="Balloon Text"/>
    <w:basedOn w:val="Normal"/>
    <w:link w:val="TextodegloboCar"/>
    <w:uiPriority w:val="99"/>
    <w:semiHidden/>
    <w:unhideWhenUsed/>
    <w:rsid w:val="008F2F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2FD6"/>
    <w:rPr>
      <w:rFonts w:ascii="Segoe UI" w:eastAsiaTheme="minorEastAsia" w:hAnsi="Segoe UI" w:cs="Segoe UI"/>
      <w:sz w:val="18"/>
      <w:szCs w:val="18"/>
      <w:lang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9F2CD5"/>
    <w:pPr>
      <w:spacing w:after="0" w:line="240" w:lineRule="auto"/>
      <w:jc w:val="both"/>
    </w:pPr>
    <w:rPr>
      <w:rFonts w:eastAsiaTheme="minorHAnsi"/>
      <w:vertAlign w:val="superscript"/>
      <w:lang w:eastAsia="en-US"/>
    </w:rPr>
  </w:style>
  <w:style w:type="paragraph" w:styleId="Textoindependiente2">
    <w:name w:val="Body Text 2"/>
    <w:basedOn w:val="Normal"/>
    <w:link w:val="Textoindependiente2Car"/>
    <w:semiHidden/>
    <w:unhideWhenUsed/>
    <w:rsid w:val="00451325"/>
    <w:pPr>
      <w:spacing w:after="0" w:line="240" w:lineRule="auto"/>
      <w:jc w:val="both"/>
    </w:pPr>
    <w:rPr>
      <w:rFonts w:ascii="Verdana" w:eastAsia="Times" w:hAnsi="Verdana" w:cs="Times New Roman"/>
      <w:sz w:val="20"/>
      <w:szCs w:val="20"/>
      <w:lang w:val="es-ES_tradnl"/>
    </w:rPr>
  </w:style>
  <w:style w:type="character" w:customStyle="1" w:styleId="Textoindependiente2Car">
    <w:name w:val="Texto independiente 2 Car"/>
    <w:basedOn w:val="Fuentedeprrafopredeter"/>
    <w:link w:val="Textoindependiente2"/>
    <w:semiHidden/>
    <w:rsid w:val="00451325"/>
    <w:rPr>
      <w:rFonts w:ascii="Verdana" w:eastAsia="Times" w:hAnsi="Verdana" w:cs="Times New Roman"/>
      <w:sz w:val="20"/>
      <w:szCs w:val="20"/>
      <w:lang w:val="es-ES_tradnl" w:eastAsia="es-CR"/>
    </w:rPr>
  </w:style>
  <w:style w:type="character" w:customStyle="1" w:styleId="Ttulo1Car">
    <w:name w:val="Título 1 Car"/>
    <w:basedOn w:val="Fuentedeprrafopredeter"/>
    <w:link w:val="Ttulo1"/>
    <w:uiPriority w:val="9"/>
    <w:rsid w:val="00E715CD"/>
    <w:rPr>
      <w:rFonts w:asciiTheme="majorHAnsi" w:eastAsiaTheme="majorEastAsia" w:hAnsiTheme="majorHAnsi" w:cstheme="majorBidi"/>
      <w:color w:val="2E74B5" w:themeColor="accent1" w:themeShade="BF"/>
      <w:sz w:val="32"/>
      <w:szCs w:val="32"/>
      <w:lang w:eastAsia="es-CR"/>
    </w:rPr>
  </w:style>
  <w:style w:type="paragraph" w:styleId="TtuloTDC">
    <w:name w:val="TOC Heading"/>
    <w:basedOn w:val="Ttulo1"/>
    <w:next w:val="Normal"/>
    <w:uiPriority w:val="39"/>
    <w:unhideWhenUsed/>
    <w:qFormat/>
    <w:rsid w:val="00E715CD"/>
    <w:pPr>
      <w:spacing w:line="259" w:lineRule="auto"/>
      <w:outlineLvl w:val="9"/>
    </w:pPr>
  </w:style>
  <w:style w:type="paragraph" w:styleId="TDC1">
    <w:name w:val="toc 1"/>
    <w:basedOn w:val="Normal"/>
    <w:next w:val="Normal"/>
    <w:autoRedefine/>
    <w:uiPriority w:val="39"/>
    <w:unhideWhenUsed/>
    <w:rsid w:val="00E715CD"/>
    <w:pPr>
      <w:spacing w:after="100"/>
    </w:pPr>
  </w:style>
  <w:style w:type="character" w:styleId="Nmerodelnea">
    <w:name w:val="line number"/>
    <w:basedOn w:val="Fuentedeprrafopredeter"/>
    <w:uiPriority w:val="99"/>
    <w:semiHidden/>
    <w:unhideWhenUsed/>
    <w:rsid w:val="00546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041662">
      <w:bodyDiv w:val="1"/>
      <w:marLeft w:val="0"/>
      <w:marRight w:val="0"/>
      <w:marTop w:val="0"/>
      <w:marBottom w:val="0"/>
      <w:divBdr>
        <w:top w:val="none" w:sz="0" w:space="0" w:color="auto"/>
        <w:left w:val="none" w:sz="0" w:space="0" w:color="auto"/>
        <w:bottom w:val="none" w:sz="0" w:space="0" w:color="auto"/>
        <w:right w:val="none" w:sz="0" w:space="0" w:color="auto"/>
      </w:divBdr>
    </w:div>
    <w:div w:id="307632884">
      <w:bodyDiv w:val="1"/>
      <w:marLeft w:val="0"/>
      <w:marRight w:val="0"/>
      <w:marTop w:val="0"/>
      <w:marBottom w:val="0"/>
      <w:divBdr>
        <w:top w:val="none" w:sz="0" w:space="0" w:color="auto"/>
        <w:left w:val="none" w:sz="0" w:space="0" w:color="auto"/>
        <w:bottom w:val="none" w:sz="0" w:space="0" w:color="auto"/>
        <w:right w:val="none" w:sz="0" w:space="0" w:color="auto"/>
      </w:divBdr>
    </w:div>
    <w:div w:id="1372995731">
      <w:bodyDiv w:val="1"/>
      <w:marLeft w:val="0"/>
      <w:marRight w:val="0"/>
      <w:marTop w:val="0"/>
      <w:marBottom w:val="0"/>
      <w:divBdr>
        <w:top w:val="none" w:sz="0" w:space="0" w:color="auto"/>
        <w:left w:val="none" w:sz="0" w:space="0" w:color="auto"/>
        <w:bottom w:val="none" w:sz="0" w:space="0" w:color="auto"/>
        <w:right w:val="none" w:sz="0" w:space="0" w:color="auto"/>
      </w:divBdr>
    </w:div>
    <w:div w:id="1394813272">
      <w:bodyDiv w:val="1"/>
      <w:marLeft w:val="0"/>
      <w:marRight w:val="0"/>
      <w:marTop w:val="0"/>
      <w:marBottom w:val="0"/>
      <w:divBdr>
        <w:top w:val="none" w:sz="0" w:space="0" w:color="auto"/>
        <w:left w:val="none" w:sz="0" w:space="0" w:color="auto"/>
        <w:bottom w:val="none" w:sz="0" w:space="0" w:color="auto"/>
        <w:right w:val="none" w:sz="0" w:space="0" w:color="auto"/>
      </w:divBdr>
    </w:div>
    <w:div w:id="1402563656">
      <w:bodyDiv w:val="1"/>
      <w:marLeft w:val="0"/>
      <w:marRight w:val="0"/>
      <w:marTop w:val="0"/>
      <w:marBottom w:val="0"/>
      <w:divBdr>
        <w:top w:val="none" w:sz="0" w:space="0" w:color="auto"/>
        <w:left w:val="none" w:sz="0" w:space="0" w:color="auto"/>
        <w:bottom w:val="none" w:sz="0" w:space="0" w:color="auto"/>
        <w:right w:val="none" w:sz="0" w:space="0" w:color="auto"/>
      </w:divBdr>
    </w:div>
    <w:div w:id="1479566756">
      <w:bodyDiv w:val="1"/>
      <w:marLeft w:val="0"/>
      <w:marRight w:val="0"/>
      <w:marTop w:val="0"/>
      <w:marBottom w:val="0"/>
      <w:divBdr>
        <w:top w:val="none" w:sz="0" w:space="0" w:color="auto"/>
        <w:left w:val="none" w:sz="0" w:space="0" w:color="auto"/>
        <w:bottom w:val="none" w:sz="0" w:space="0" w:color="auto"/>
        <w:right w:val="none" w:sz="0" w:space="0" w:color="auto"/>
      </w:divBdr>
    </w:div>
    <w:div w:id="161914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293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04D6A-B662-4588-8183-CB224F744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3669</Words>
  <Characters>20180</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2020-12-18T14:48:00Z</cp:lastPrinted>
  <dcterms:created xsi:type="dcterms:W3CDTF">2020-12-21T17:12:00Z</dcterms:created>
  <dcterms:modified xsi:type="dcterms:W3CDTF">2020-12-21T17:12:00Z</dcterms:modified>
</cp:coreProperties>
</file>