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A9833" w14:textId="77777777" w:rsidR="00C13528" w:rsidRPr="00AA627A" w:rsidRDefault="00C13528" w:rsidP="00AA627A">
      <w:pPr>
        <w:widowControl w:val="0"/>
        <w:ind w:left="1416" w:hanging="1416"/>
        <w:rPr>
          <w:rFonts w:eastAsia="Calibri" w:cs="Calibri"/>
          <w:b/>
        </w:rPr>
      </w:pPr>
      <w:bookmarkStart w:id="0" w:name="_Hlk41077341"/>
    </w:p>
    <w:p w14:paraId="3EBDD0AB" w14:textId="77777777" w:rsidR="00C13528" w:rsidRPr="00AA627A" w:rsidRDefault="00C13528" w:rsidP="00AA627A">
      <w:pPr>
        <w:widowControl w:val="0"/>
        <w:ind w:left="1416" w:hanging="1416"/>
        <w:rPr>
          <w:rFonts w:eastAsia="Calibri" w:cs="Calibri"/>
          <w:b/>
        </w:rPr>
      </w:pPr>
    </w:p>
    <w:p w14:paraId="12FAF894" w14:textId="77777777" w:rsidR="00C13528" w:rsidRPr="00AA627A" w:rsidRDefault="00C13528" w:rsidP="00AA627A">
      <w:pPr>
        <w:widowControl w:val="0"/>
        <w:rPr>
          <w:rFonts w:eastAsia="Calibri" w:cs="Calibri"/>
          <w:b/>
        </w:rPr>
      </w:pPr>
    </w:p>
    <w:p w14:paraId="411F120B" w14:textId="77777777" w:rsidR="00C13528" w:rsidRPr="00AA627A" w:rsidRDefault="00C13528" w:rsidP="00AA627A">
      <w:pPr>
        <w:widowControl w:val="0"/>
        <w:rPr>
          <w:rFonts w:eastAsia="Calibri" w:cs="Calibri"/>
          <w:b/>
        </w:rPr>
      </w:pPr>
    </w:p>
    <w:p w14:paraId="60040663" w14:textId="77777777" w:rsidR="00C13528" w:rsidRPr="00AA627A" w:rsidRDefault="00C13528" w:rsidP="00AA627A">
      <w:pPr>
        <w:widowControl w:val="0"/>
        <w:jc w:val="center"/>
        <w:rPr>
          <w:rFonts w:eastAsia="Calibri" w:cs="Calibri"/>
          <w:b/>
        </w:rPr>
      </w:pPr>
    </w:p>
    <w:p w14:paraId="1575EE5E" w14:textId="77777777" w:rsidR="00C13528" w:rsidRPr="00AA627A" w:rsidRDefault="00C13528" w:rsidP="00AA627A">
      <w:pPr>
        <w:widowControl w:val="0"/>
        <w:jc w:val="center"/>
        <w:rPr>
          <w:rFonts w:eastAsia="Calibri" w:cs="Calibri"/>
          <w:b/>
        </w:rPr>
      </w:pPr>
    </w:p>
    <w:p w14:paraId="68463CED" w14:textId="77777777" w:rsidR="00CA6FB1" w:rsidRPr="00995557" w:rsidRDefault="00CA6FB1" w:rsidP="00AA627A">
      <w:pPr>
        <w:widowControl w:val="0"/>
        <w:jc w:val="center"/>
        <w:rPr>
          <w:b/>
        </w:rPr>
      </w:pPr>
      <w:r w:rsidRPr="00995557">
        <w:rPr>
          <w:b/>
        </w:rPr>
        <w:t>CORTE INTERAMERICANA DE DERECHOS HUMANOS</w:t>
      </w:r>
    </w:p>
    <w:p w14:paraId="699C3373" w14:textId="77777777" w:rsidR="00CA6FB1" w:rsidRPr="00995557" w:rsidRDefault="00CA6FB1" w:rsidP="00AA627A">
      <w:pPr>
        <w:widowControl w:val="0"/>
        <w:jc w:val="center"/>
        <w:rPr>
          <w:b/>
          <w:bCs/>
        </w:rPr>
      </w:pPr>
    </w:p>
    <w:p w14:paraId="286EBD70" w14:textId="77777777" w:rsidR="00CA6FB1" w:rsidRPr="00995557" w:rsidRDefault="00CA6FB1" w:rsidP="00AA627A">
      <w:pPr>
        <w:widowControl w:val="0"/>
        <w:jc w:val="center"/>
        <w:rPr>
          <w:b/>
          <w:bCs/>
        </w:rPr>
      </w:pPr>
      <w:r w:rsidRPr="00995557">
        <w:rPr>
          <w:b/>
          <w:bCs/>
        </w:rPr>
        <w:t xml:space="preserve">CASO </w:t>
      </w:r>
      <w:r w:rsidR="00C13528" w:rsidRPr="00995557">
        <w:rPr>
          <w:b/>
          <w:bCs/>
        </w:rPr>
        <w:t xml:space="preserve">OLIVARES MUÑOZ Y OTROS </w:t>
      </w:r>
      <w:r w:rsidR="00C13528" w:rsidRPr="00995557">
        <w:rPr>
          <w:b/>
          <w:bCs/>
          <w:i/>
        </w:rPr>
        <w:t>VS.</w:t>
      </w:r>
      <w:r w:rsidR="00C13528" w:rsidRPr="00995557">
        <w:rPr>
          <w:b/>
          <w:bCs/>
        </w:rPr>
        <w:t xml:space="preserve"> VENEZUELA</w:t>
      </w:r>
    </w:p>
    <w:p w14:paraId="3B66326D" w14:textId="77777777" w:rsidR="00CA6FB1" w:rsidRPr="00995557" w:rsidRDefault="00CA6FB1" w:rsidP="00AA627A">
      <w:pPr>
        <w:widowControl w:val="0"/>
        <w:jc w:val="center"/>
        <w:rPr>
          <w:b/>
        </w:rPr>
      </w:pPr>
    </w:p>
    <w:p w14:paraId="5AA9570A" w14:textId="77777777" w:rsidR="00CA6FB1" w:rsidRPr="00995557" w:rsidRDefault="00CA6FB1" w:rsidP="00AA627A">
      <w:pPr>
        <w:widowControl w:val="0"/>
        <w:jc w:val="center"/>
        <w:rPr>
          <w:b/>
        </w:rPr>
      </w:pPr>
      <w:bookmarkStart w:id="1" w:name="_Toc424833992"/>
      <w:bookmarkStart w:id="2" w:name="_Toc424834593"/>
      <w:bookmarkStart w:id="3" w:name="_Toc424834676"/>
      <w:bookmarkStart w:id="4" w:name="_Toc424834743"/>
      <w:r w:rsidRPr="00995557">
        <w:rPr>
          <w:b/>
        </w:rPr>
        <w:t xml:space="preserve">SENTENCIA DE </w:t>
      </w:r>
      <w:r w:rsidR="004C192E" w:rsidRPr="00995557">
        <w:rPr>
          <w:b/>
        </w:rPr>
        <w:t>10</w:t>
      </w:r>
      <w:r w:rsidRPr="00995557">
        <w:rPr>
          <w:b/>
        </w:rPr>
        <w:t xml:space="preserve"> DE </w:t>
      </w:r>
      <w:r w:rsidR="004C192E" w:rsidRPr="00995557">
        <w:rPr>
          <w:b/>
        </w:rPr>
        <w:t>NOVIEMBRE</w:t>
      </w:r>
      <w:r w:rsidRPr="00995557">
        <w:rPr>
          <w:b/>
        </w:rPr>
        <w:t xml:space="preserve"> DE </w:t>
      </w:r>
      <w:bookmarkEnd w:id="1"/>
      <w:bookmarkEnd w:id="2"/>
      <w:bookmarkEnd w:id="3"/>
      <w:bookmarkEnd w:id="4"/>
      <w:r w:rsidR="00D05680" w:rsidRPr="00995557">
        <w:rPr>
          <w:b/>
        </w:rPr>
        <w:t>2020</w:t>
      </w:r>
    </w:p>
    <w:p w14:paraId="2D7CF380" w14:textId="77777777" w:rsidR="00CA6FB1" w:rsidRPr="00995557" w:rsidRDefault="00CA6FB1" w:rsidP="00AA627A">
      <w:pPr>
        <w:widowControl w:val="0"/>
        <w:jc w:val="center"/>
      </w:pPr>
    </w:p>
    <w:p w14:paraId="2D963950" w14:textId="77777777" w:rsidR="00CA6FB1" w:rsidRPr="00995557" w:rsidRDefault="00BF6098" w:rsidP="00AA627A">
      <w:pPr>
        <w:widowControl w:val="0"/>
        <w:jc w:val="center"/>
        <w:rPr>
          <w:b/>
        </w:rPr>
      </w:pPr>
      <w:bookmarkStart w:id="5" w:name="_Toc424833993"/>
      <w:bookmarkStart w:id="6" w:name="_Toc424834594"/>
      <w:bookmarkStart w:id="7" w:name="_Toc424834677"/>
      <w:bookmarkStart w:id="8" w:name="_Toc424834744"/>
      <w:r w:rsidRPr="00995557">
        <w:rPr>
          <w:b/>
        </w:rPr>
        <w:t>(</w:t>
      </w:r>
      <w:r w:rsidR="00CA6FB1" w:rsidRPr="00995557">
        <w:rPr>
          <w:b/>
          <w:i/>
        </w:rPr>
        <w:t>Fondo, Reparaciones y Costas</w:t>
      </w:r>
      <w:r w:rsidR="00CA6FB1" w:rsidRPr="00995557">
        <w:rPr>
          <w:b/>
        </w:rPr>
        <w:t>)</w:t>
      </w:r>
      <w:bookmarkEnd w:id="5"/>
      <w:bookmarkEnd w:id="6"/>
      <w:bookmarkEnd w:id="7"/>
      <w:bookmarkEnd w:id="8"/>
    </w:p>
    <w:p w14:paraId="7721744C" w14:textId="77777777" w:rsidR="00C13528" w:rsidRPr="00995557" w:rsidRDefault="00C13528" w:rsidP="00AA627A">
      <w:pPr>
        <w:widowControl w:val="0"/>
        <w:tabs>
          <w:tab w:val="left" w:pos="3819"/>
        </w:tabs>
        <w:rPr>
          <w:rFonts w:eastAsia="Calibri"/>
        </w:rPr>
      </w:pPr>
    </w:p>
    <w:p w14:paraId="59777754" w14:textId="77777777" w:rsidR="00C13528" w:rsidRPr="00995557" w:rsidRDefault="00C13528" w:rsidP="00AA627A">
      <w:pPr>
        <w:widowControl w:val="0"/>
        <w:rPr>
          <w:rFonts w:eastAsia="Calibri"/>
        </w:rPr>
      </w:pPr>
    </w:p>
    <w:p w14:paraId="5729A4C3" w14:textId="77777777" w:rsidR="00CD0AA7" w:rsidRPr="00995557" w:rsidRDefault="00CD0AA7" w:rsidP="00AA627A">
      <w:pPr>
        <w:widowControl w:val="0"/>
        <w:tabs>
          <w:tab w:val="left" w:pos="567"/>
          <w:tab w:val="left" w:pos="720"/>
        </w:tabs>
        <w:adjustRightInd w:val="0"/>
        <w:ind w:left="567" w:hanging="567"/>
        <w:jc w:val="both"/>
        <w:textAlignment w:val="baseline"/>
        <w:rPr>
          <w:rFonts w:cs="Verdana"/>
          <w:i/>
          <w:iCs/>
          <w:lang w:eastAsia="es-CR"/>
        </w:rPr>
      </w:pPr>
      <w:r w:rsidRPr="00995557">
        <w:rPr>
          <w:rFonts w:cs="Verdana"/>
          <w:lang w:eastAsia="es-CR"/>
        </w:rPr>
        <w:t>En el caso</w:t>
      </w:r>
      <w:r w:rsidRPr="00995557">
        <w:rPr>
          <w:rFonts w:cs="Verdana"/>
          <w:i/>
          <w:iCs/>
          <w:lang w:eastAsia="es-CR"/>
        </w:rPr>
        <w:t xml:space="preserve"> </w:t>
      </w:r>
      <w:r w:rsidR="00C13528" w:rsidRPr="00995557">
        <w:rPr>
          <w:rFonts w:cs="Verdana"/>
          <w:i/>
          <w:iCs/>
          <w:lang w:eastAsia="es-CR"/>
        </w:rPr>
        <w:t>Olivares Muñoz y otros Vs. Venezuela</w:t>
      </w:r>
      <w:r w:rsidRPr="00995557">
        <w:rPr>
          <w:rFonts w:cs="Verdana"/>
          <w:i/>
          <w:iCs/>
          <w:lang w:eastAsia="es-CR"/>
        </w:rPr>
        <w:t xml:space="preserve">, </w:t>
      </w:r>
    </w:p>
    <w:p w14:paraId="73A29F1C" w14:textId="77777777" w:rsidR="00C13528" w:rsidRPr="00995557" w:rsidRDefault="00C13528" w:rsidP="00AA627A">
      <w:pPr>
        <w:widowControl w:val="0"/>
        <w:tabs>
          <w:tab w:val="left" w:pos="567"/>
          <w:tab w:val="left" w:pos="720"/>
        </w:tabs>
        <w:adjustRightInd w:val="0"/>
        <w:ind w:left="567" w:hanging="567"/>
        <w:jc w:val="both"/>
        <w:textAlignment w:val="baseline"/>
        <w:rPr>
          <w:rFonts w:cs="Verdana"/>
          <w:i/>
          <w:iCs/>
          <w:lang w:eastAsia="es-CR"/>
        </w:rPr>
      </w:pPr>
    </w:p>
    <w:p w14:paraId="40BEDFF2" w14:textId="77777777" w:rsidR="00CD0AA7" w:rsidRPr="00995557" w:rsidRDefault="00CD0AA7" w:rsidP="00AA627A">
      <w:pPr>
        <w:widowControl w:val="0"/>
        <w:tabs>
          <w:tab w:val="left" w:pos="567"/>
          <w:tab w:val="left" w:pos="720"/>
        </w:tabs>
        <w:adjustRightInd w:val="0"/>
        <w:jc w:val="both"/>
        <w:textAlignment w:val="baseline"/>
        <w:rPr>
          <w:rFonts w:cs="Verdana"/>
          <w:lang w:eastAsia="es-CR"/>
        </w:rPr>
      </w:pPr>
      <w:r w:rsidRPr="00995557">
        <w:rPr>
          <w:rFonts w:cs="Verdana"/>
          <w:lang w:eastAsia="es-CR"/>
        </w:rPr>
        <w:t xml:space="preserve">la Corte Interamericana de Derechos Humanos (en adelante </w:t>
      </w:r>
      <w:r w:rsidR="00E23DEE" w:rsidRPr="00995557">
        <w:rPr>
          <w:rFonts w:cs="Verdana"/>
          <w:lang w:eastAsia="es-CR"/>
        </w:rPr>
        <w:t xml:space="preserve">también </w:t>
      </w:r>
      <w:r w:rsidRPr="00995557">
        <w:rPr>
          <w:rFonts w:cs="Verdana"/>
          <w:lang w:eastAsia="es-CR"/>
        </w:rPr>
        <w:t>“la Corte Interamericana”, “la Corte” o “e</w:t>
      </w:r>
      <w:r w:rsidR="00256336" w:rsidRPr="00995557">
        <w:rPr>
          <w:rFonts w:cs="Verdana"/>
          <w:lang w:eastAsia="es-CR"/>
        </w:rPr>
        <w:t>l</w:t>
      </w:r>
      <w:r w:rsidRPr="00995557">
        <w:rPr>
          <w:rFonts w:cs="Verdana"/>
          <w:lang w:eastAsia="es-CR"/>
        </w:rPr>
        <w:t xml:space="preserve"> Tribunal”), integrada por los siguientes jueces:</w:t>
      </w:r>
    </w:p>
    <w:p w14:paraId="75A21A9B" w14:textId="77777777" w:rsidR="00CD0AA7" w:rsidRPr="00995557" w:rsidRDefault="00CD0AA7" w:rsidP="00AA627A">
      <w:pPr>
        <w:pStyle w:val="PrrafodeSentencia"/>
        <w:widowControl w:val="0"/>
        <w:numPr>
          <w:ilvl w:val="0"/>
          <w:numId w:val="0"/>
        </w:numPr>
        <w:tabs>
          <w:tab w:val="left" w:pos="720"/>
        </w:tabs>
        <w:adjustRightInd w:val="0"/>
        <w:textAlignment w:val="baseline"/>
        <w:rPr>
          <w:rFonts w:eastAsia="MS Mincho" w:cs="Verdana"/>
          <w:spacing w:val="0"/>
          <w:szCs w:val="20"/>
          <w:lang w:eastAsia="es-CR"/>
        </w:rPr>
      </w:pPr>
    </w:p>
    <w:p w14:paraId="66E3A863" w14:textId="77777777" w:rsidR="00A113F9" w:rsidRPr="00995557" w:rsidRDefault="00A113F9" w:rsidP="00AA627A">
      <w:pPr>
        <w:pStyle w:val="citaindirecta"/>
        <w:widowControl w:val="0"/>
        <w:tabs>
          <w:tab w:val="left" w:pos="567"/>
          <w:tab w:val="left" w:pos="851"/>
        </w:tabs>
        <w:ind w:left="0" w:right="-174"/>
        <w:rPr>
          <w:lang w:val="pt-BR"/>
        </w:rPr>
      </w:pPr>
      <w:r w:rsidRPr="00995557">
        <w:rPr>
          <w:rFonts w:cs="Verdana"/>
          <w:lang w:val="pt-BR"/>
        </w:rPr>
        <w:t xml:space="preserve">Elizabeth Odio Benito, </w:t>
      </w:r>
      <w:r w:rsidR="00C13528" w:rsidRPr="00995557">
        <w:rPr>
          <w:lang w:val="pt-BR"/>
        </w:rPr>
        <w:t>Presidenta</w:t>
      </w:r>
      <w:r w:rsidR="00E965D5" w:rsidRPr="00995557">
        <w:rPr>
          <w:lang w:val="pt-BR"/>
        </w:rPr>
        <w:t>;</w:t>
      </w:r>
    </w:p>
    <w:p w14:paraId="46BFD660" w14:textId="77777777" w:rsidR="00A113F9" w:rsidRPr="00995557" w:rsidRDefault="005E697D" w:rsidP="00AA627A">
      <w:pPr>
        <w:widowControl w:val="0"/>
        <w:tabs>
          <w:tab w:val="left" w:pos="567"/>
          <w:tab w:val="left" w:pos="720"/>
          <w:tab w:val="left" w:pos="851"/>
        </w:tabs>
        <w:ind w:right="-174"/>
        <w:jc w:val="both"/>
        <w:rPr>
          <w:rFonts w:cs="Verdana"/>
          <w:lang w:val="pt-BR"/>
        </w:rPr>
      </w:pPr>
      <w:r w:rsidRPr="00995557">
        <w:rPr>
          <w:rFonts w:cs="Verdana"/>
          <w:lang w:val="pt-BR"/>
        </w:rPr>
        <w:t xml:space="preserve">L. </w:t>
      </w:r>
      <w:r w:rsidR="00A113F9" w:rsidRPr="00995557">
        <w:rPr>
          <w:rFonts w:cs="Verdana"/>
          <w:lang w:val="pt-BR"/>
        </w:rPr>
        <w:t>Patricio Pazmiño Freire, Vicepresidente;</w:t>
      </w:r>
    </w:p>
    <w:p w14:paraId="488FF6BE" w14:textId="77777777" w:rsidR="00CD0AA7" w:rsidRPr="00995557" w:rsidRDefault="00CD0AA7" w:rsidP="00AA627A">
      <w:pPr>
        <w:pStyle w:val="citaindirecta"/>
        <w:widowControl w:val="0"/>
        <w:tabs>
          <w:tab w:val="left" w:pos="567"/>
          <w:tab w:val="left" w:pos="851"/>
        </w:tabs>
        <w:ind w:left="0" w:right="-174"/>
        <w:rPr>
          <w:lang w:val="pt-BR"/>
        </w:rPr>
      </w:pPr>
      <w:r w:rsidRPr="00995557">
        <w:rPr>
          <w:lang w:val="pt-BR"/>
        </w:rPr>
        <w:t>Eduardo Vio Grossi,</w:t>
      </w:r>
      <w:r w:rsidRPr="00995557">
        <w:rPr>
          <w:rFonts w:cs="Verdana"/>
          <w:lang w:val="pt-BR"/>
        </w:rPr>
        <w:t xml:space="preserve"> </w:t>
      </w:r>
      <w:r w:rsidR="00A113F9" w:rsidRPr="00995557">
        <w:rPr>
          <w:rFonts w:cs="Verdana"/>
          <w:lang w:val="pt-BR"/>
        </w:rPr>
        <w:t>Juez</w:t>
      </w:r>
      <w:r w:rsidRPr="00995557">
        <w:rPr>
          <w:rFonts w:cs="Verdana"/>
          <w:lang w:val="pt-BR"/>
        </w:rPr>
        <w:t>;</w:t>
      </w:r>
    </w:p>
    <w:p w14:paraId="55F9B701" w14:textId="77777777" w:rsidR="00F07320" w:rsidRPr="00995557" w:rsidRDefault="00F07320" w:rsidP="00AA627A">
      <w:pPr>
        <w:pStyle w:val="citaindirecta"/>
        <w:widowControl w:val="0"/>
        <w:tabs>
          <w:tab w:val="left" w:pos="567"/>
          <w:tab w:val="left" w:pos="851"/>
          <w:tab w:val="left" w:pos="7213"/>
        </w:tabs>
        <w:ind w:left="0" w:right="-174"/>
        <w:rPr>
          <w:lang w:val="pt-BR"/>
        </w:rPr>
      </w:pPr>
      <w:r w:rsidRPr="00995557">
        <w:rPr>
          <w:lang w:val="pt-BR"/>
        </w:rPr>
        <w:t>Humberto Antonio Sierra Porto, Juez;</w:t>
      </w:r>
    </w:p>
    <w:p w14:paraId="67EE955A" w14:textId="77777777" w:rsidR="00CD0AA7" w:rsidRPr="00995557" w:rsidRDefault="00394347" w:rsidP="00AA627A">
      <w:pPr>
        <w:pStyle w:val="citaindirecta"/>
        <w:widowControl w:val="0"/>
        <w:tabs>
          <w:tab w:val="left" w:pos="567"/>
          <w:tab w:val="left" w:pos="851"/>
          <w:tab w:val="left" w:pos="7213"/>
        </w:tabs>
        <w:ind w:left="0" w:right="-174"/>
        <w:rPr>
          <w:lang w:val="pt-BR"/>
        </w:rPr>
      </w:pPr>
      <w:r w:rsidRPr="00995557">
        <w:rPr>
          <w:lang w:val="pt-BR"/>
        </w:rPr>
        <w:t>Eduardo Ferrer Mac-Gregor Poisot, Juez</w:t>
      </w:r>
      <w:r w:rsidR="00F07320" w:rsidRPr="00995557">
        <w:rPr>
          <w:lang w:val="pt-BR"/>
        </w:rPr>
        <w:t>;</w:t>
      </w:r>
    </w:p>
    <w:p w14:paraId="46E47E6D" w14:textId="77777777" w:rsidR="00394347" w:rsidRPr="00995557" w:rsidRDefault="00394347" w:rsidP="00AA627A">
      <w:pPr>
        <w:pStyle w:val="citaindirecta"/>
        <w:widowControl w:val="0"/>
        <w:tabs>
          <w:tab w:val="left" w:pos="567"/>
          <w:tab w:val="left" w:pos="851"/>
          <w:tab w:val="left" w:pos="7213"/>
        </w:tabs>
        <w:ind w:left="0" w:right="-174"/>
        <w:rPr>
          <w:lang w:val="es-CR"/>
        </w:rPr>
      </w:pPr>
      <w:r w:rsidRPr="00995557">
        <w:rPr>
          <w:lang w:val="es-CR"/>
        </w:rPr>
        <w:t>Eugenio Raúl Zaffaroni, Juez</w:t>
      </w:r>
      <w:r w:rsidRPr="00995557">
        <w:rPr>
          <w:lang w:val="pt-BR"/>
        </w:rPr>
        <w:t xml:space="preserve">, </w:t>
      </w:r>
      <w:r w:rsidRPr="00995557">
        <w:rPr>
          <w:lang w:val="es-CR"/>
        </w:rPr>
        <w:t>y</w:t>
      </w:r>
    </w:p>
    <w:p w14:paraId="46D3088B" w14:textId="77777777" w:rsidR="00CD0AA7" w:rsidRPr="00995557" w:rsidRDefault="00CD0AA7" w:rsidP="00AA627A">
      <w:pPr>
        <w:widowControl w:val="0"/>
        <w:tabs>
          <w:tab w:val="left" w:pos="567"/>
          <w:tab w:val="left" w:pos="720"/>
          <w:tab w:val="left" w:pos="851"/>
        </w:tabs>
        <w:ind w:right="-174"/>
        <w:jc w:val="both"/>
        <w:rPr>
          <w:rFonts w:cs="Verdana"/>
          <w:lang w:val="pt-BR"/>
        </w:rPr>
      </w:pPr>
      <w:r w:rsidRPr="00995557">
        <w:rPr>
          <w:lang w:val="pt-BR"/>
        </w:rPr>
        <w:t>Ricardo Pérez Manrique, Juez</w:t>
      </w:r>
      <w:r w:rsidR="00E979B5" w:rsidRPr="00995557">
        <w:rPr>
          <w:lang w:val="pt-BR"/>
        </w:rPr>
        <w:t>,</w:t>
      </w:r>
    </w:p>
    <w:p w14:paraId="28FB9A62" w14:textId="77777777" w:rsidR="00CD0AA7" w:rsidRPr="00995557" w:rsidRDefault="00CD0AA7" w:rsidP="00AA627A">
      <w:pPr>
        <w:widowControl w:val="0"/>
        <w:tabs>
          <w:tab w:val="left" w:pos="567"/>
          <w:tab w:val="left" w:pos="720"/>
        </w:tabs>
        <w:adjustRightInd w:val="0"/>
        <w:jc w:val="both"/>
        <w:textAlignment w:val="baseline"/>
        <w:rPr>
          <w:rFonts w:cs="Verdana"/>
          <w:lang w:val="pt-BR" w:eastAsia="es-CR"/>
        </w:rPr>
      </w:pPr>
    </w:p>
    <w:p w14:paraId="575E6BEE" w14:textId="36A0A0C8" w:rsidR="00CD0AA7" w:rsidRPr="00995557" w:rsidRDefault="00CD0AA7" w:rsidP="00AA627A">
      <w:pPr>
        <w:pStyle w:val="PrrafodeSentencia"/>
        <w:widowControl w:val="0"/>
        <w:numPr>
          <w:ilvl w:val="0"/>
          <w:numId w:val="0"/>
        </w:numPr>
        <w:tabs>
          <w:tab w:val="left" w:pos="720"/>
        </w:tabs>
        <w:adjustRightInd w:val="0"/>
        <w:textAlignment w:val="baseline"/>
        <w:rPr>
          <w:rFonts w:eastAsia="MS Mincho" w:cs="Verdana"/>
          <w:spacing w:val="0"/>
          <w:szCs w:val="20"/>
          <w:lang w:eastAsia="es-CR"/>
        </w:rPr>
      </w:pPr>
      <w:r w:rsidRPr="00995557">
        <w:rPr>
          <w:rFonts w:eastAsia="MS Mincho" w:cs="Verdana"/>
          <w:spacing w:val="0"/>
          <w:szCs w:val="20"/>
          <w:lang w:eastAsia="es-CR"/>
        </w:rPr>
        <w:t>presente</w:t>
      </w:r>
      <w:r w:rsidR="006B02FE" w:rsidRPr="00995557">
        <w:rPr>
          <w:rFonts w:eastAsia="MS Mincho" w:cs="Verdana"/>
          <w:spacing w:val="0"/>
          <w:szCs w:val="20"/>
          <w:lang w:eastAsia="es-CR"/>
        </w:rPr>
        <w:t>s</w:t>
      </w:r>
      <w:r w:rsidR="009E63E7" w:rsidRPr="00995557">
        <w:rPr>
          <w:rFonts w:eastAsia="MS Mincho" w:cs="Verdana"/>
          <w:spacing w:val="0"/>
          <w:szCs w:val="20"/>
          <w:lang w:eastAsia="es-CR"/>
        </w:rPr>
        <w:t>,</w:t>
      </w:r>
      <w:r w:rsidRPr="00995557">
        <w:rPr>
          <w:rFonts w:eastAsia="MS Mincho" w:cs="Verdana"/>
          <w:spacing w:val="0"/>
          <w:szCs w:val="20"/>
          <w:lang w:eastAsia="es-CR"/>
        </w:rPr>
        <w:t xml:space="preserve"> además,</w:t>
      </w:r>
    </w:p>
    <w:p w14:paraId="5C5F6A7E" w14:textId="77777777" w:rsidR="00CD0AA7" w:rsidRPr="00995557" w:rsidRDefault="00CD0AA7" w:rsidP="00AA627A">
      <w:pPr>
        <w:widowControl w:val="0"/>
        <w:tabs>
          <w:tab w:val="left" w:pos="567"/>
          <w:tab w:val="left" w:pos="720"/>
        </w:tabs>
        <w:adjustRightInd w:val="0"/>
        <w:jc w:val="both"/>
        <w:textAlignment w:val="baseline"/>
        <w:rPr>
          <w:rFonts w:cs="Verdana"/>
          <w:lang w:eastAsia="es-CR"/>
        </w:rPr>
      </w:pPr>
    </w:p>
    <w:p w14:paraId="5385463A" w14:textId="22AA2AB2" w:rsidR="00CD0AA7" w:rsidRPr="00995557" w:rsidRDefault="00CD0AA7" w:rsidP="00AA627A">
      <w:pPr>
        <w:widowControl w:val="0"/>
        <w:tabs>
          <w:tab w:val="left" w:pos="567"/>
          <w:tab w:val="left" w:pos="720"/>
        </w:tabs>
        <w:adjustRightInd w:val="0"/>
        <w:jc w:val="both"/>
        <w:textAlignment w:val="baseline"/>
        <w:rPr>
          <w:rFonts w:cs="Verdana"/>
          <w:lang w:eastAsia="es-CR"/>
        </w:rPr>
      </w:pPr>
      <w:r w:rsidRPr="00995557">
        <w:rPr>
          <w:rFonts w:cs="Verdana"/>
          <w:lang w:eastAsia="es-CR"/>
        </w:rPr>
        <w:t xml:space="preserve">Pablo Saavedra Alessandri, </w:t>
      </w:r>
      <w:proofErr w:type="gramStart"/>
      <w:r w:rsidRPr="00995557">
        <w:rPr>
          <w:rFonts w:cs="Verdana"/>
          <w:lang w:eastAsia="es-CR"/>
        </w:rPr>
        <w:t>Secretario</w:t>
      </w:r>
      <w:proofErr w:type="gramEnd"/>
      <w:r w:rsidRPr="00995557">
        <w:rPr>
          <w:rFonts w:cs="Verdana"/>
          <w:lang w:eastAsia="es-CR"/>
        </w:rPr>
        <w:t xml:space="preserve">, </w:t>
      </w:r>
      <w:r w:rsidR="000B30AA" w:rsidRPr="00995557">
        <w:rPr>
          <w:rFonts w:cs="Verdana"/>
          <w:lang w:eastAsia="es-CR"/>
        </w:rPr>
        <w:t>y</w:t>
      </w:r>
    </w:p>
    <w:p w14:paraId="3AE412D6" w14:textId="77777777" w:rsidR="006B02FE" w:rsidRPr="00995557" w:rsidRDefault="006B02FE" w:rsidP="00AA627A">
      <w:pPr>
        <w:widowControl w:val="0"/>
        <w:tabs>
          <w:tab w:val="left" w:pos="567"/>
          <w:tab w:val="left" w:pos="720"/>
        </w:tabs>
        <w:adjustRightInd w:val="0"/>
        <w:jc w:val="both"/>
        <w:textAlignment w:val="baseline"/>
        <w:rPr>
          <w:rFonts w:cs="Verdana"/>
          <w:lang w:eastAsia="es-CR"/>
        </w:rPr>
      </w:pPr>
      <w:r w:rsidRPr="00995557">
        <w:rPr>
          <w:rFonts w:cs="Verdana"/>
          <w:lang w:eastAsia="es-CR"/>
        </w:rPr>
        <w:t xml:space="preserve">Romina </w:t>
      </w:r>
      <w:r w:rsidR="009D1022" w:rsidRPr="00995557">
        <w:rPr>
          <w:rFonts w:cs="Verdana"/>
          <w:lang w:eastAsia="es-CR"/>
        </w:rPr>
        <w:t xml:space="preserve">I. </w:t>
      </w:r>
      <w:r w:rsidRPr="00995557">
        <w:rPr>
          <w:rFonts w:cs="Verdana"/>
          <w:lang w:eastAsia="es-CR"/>
        </w:rPr>
        <w:t>Sijniensky, Secretaria Adjunta,</w:t>
      </w:r>
    </w:p>
    <w:p w14:paraId="5AB36791" w14:textId="77777777" w:rsidR="00CD0AA7" w:rsidRPr="00995557" w:rsidRDefault="00CD0AA7" w:rsidP="00AA627A">
      <w:pPr>
        <w:widowControl w:val="0"/>
        <w:tabs>
          <w:tab w:val="left" w:pos="567"/>
          <w:tab w:val="left" w:pos="720"/>
        </w:tabs>
        <w:adjustRightInd w:val="0"/>
        <w:jc w:val="both"/>
        <w:textAlignment w:val="baseline"/>
        <w:rPr>
          <w:rFonts w:cs="Verdana"/>
          <w:lang w:eastAsia="es-CR"/>
        </w:rPr>
      </w:pPr>
    </w:p>
    <w:p w14:paraId="2F991EFC" w14:textId="77777777" w:rsidR="00CD0AA7" w:rsidRPr="00995557" w:rsidRDefault="00CD0AA7" w:rsidP="00AA627A">
      <w:pPr>
        <w:pStyle w:val="Textoindependiente1"/>
        <w:tabs>
          <w:tab w:val="left" w:pos="567"/>
          <w:tab w:val="left" w:pos="720"/>
        </w:tabs>
        <w:adjustRightInd w:val="0"/>
        <w:textAlignment w:val="baseline"/>
        <w:rPr>
          <w:rFonts w:ascii="Verdana" w:hAnsi="Verdana" w:cs="Verdana"/>
          <w:lang w:val="es-CR" w:eastAsia="es-CR"/>
        </w:rPr>
      </w:pPr>
      <w:r w:rsidRPr="00995557">
        <w:rPr>
          <w:rFonts w:ascii="Verdana" w:hAnsi="Verdana" w:cs="Verdana"/>
          <w:lang w:val="es-CR" w:eastAsia="es-CR"/>
        </w:rPr>
        <w:t xml:space="preserve">de conformidad con los artículos 62.3 y 63.1 de la Convención Americana sobre Derechos Humanos (en adelante </w:t>
      </w:r>
      <w:r w:rsidR="009643BD" w:rsidRPr="00995557">
        <w:rPr>
          <w:rFonts w:ascii="Verdana" w:hAnsi="Verdana" w:cs="Verdana"/>
          <w:lang w:val="es-CR" w:eastAsia="es-CR"/>
        </w:rPr>
        <w:t xml:space="preserve">también </w:t>
      </w:r>
      <w:r w:rsidRPr="00995557">
        <w:rPr>
          <w:rFonts w:ascii="Verdana" w:hAnsi="Verdana" w:cs="Verdana"/>
          <w:lang w:val="es-CR" w:eastAsia="es-CR"/>
        </w:rPr>
        <w:t xml:space="preserve">“la Convención Americana” o “la Convención”) </w:t>
      </w:r>
      <w:r w:rsidR="00C13528" w:rsidRPr="00995557">
        <w:rPr>
          <w:rFonts w:ascii="Verdana" w:hAnsi="Verdana" w:cs="Verdana"/>
          <w:lang w:val="es-CR" w:eastAsia="es-CR"/>
        </w:rPr>
        <w:t xml:space="preserve">y con los artículos 31, 32, </w:t>
      </w:r>
      <w:r w:rsidRPr="00995557">
        <w:rPr>
          <w:rFonts w:ascii="Verdana" w:hAnsi="Verdana" w:cs="Verdana"/>
          <w:lang w:val="es-CR" w:eastAsia="es-CR"/>
        </w:rPr>
        <w:t>65 y 67 del Reglamento de la Corte (en adelante</w:t>
      </w:r>
      <w:r w:rsidR="009643BD" w:rsidRPr="00995557">
        <w:rPr>
          <w:rFonts w:ascii="Verdana" w:hAnsi="Verdana" w:cs="Verdana"/>
          <w:lang w:val="es-CR" w:eastAsia="es-CR"/>
        </w:rPr>
        <w:t xml:space="preserve"> también</w:t>
      </w:r>
      <w:r w:rsidRPr="00995557">
        <w:rPr>
          <w:rFonts w:ascii="Verdana" w:hAnsi="Verdana" w:cs="Verdana"/>
          <w:lang w:val="es-CR" w:eastAsia="es-CR"/>
        </w:rPr>
        <w:t xml:space="preserve"> “el Reglamento” o “Reglamento de la Corte”), dicta la presente Sentencia que se estructura en el siguiente orden:</w:t>
      </w:r>
    </w:p>
    <w:p w14:paraId="2046864F"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4C9B5998"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7EC8EE56"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7D6C5C70" w14:textId="77777777" w:rsidR="008B42AF" w:rsidRPr="00995557" w:rsidRDefault="008B42AF" w:rsidP="00AA627A">
      <w:pPr>
        <w:pStyle w:val="Textoindependiente1"/>
        <w:tabs>
          <w:tab w:val="left" w:pos="567"/>
          <w:tab w:val="left" w:pos="720"/>
        </w:tabs>
        <w:adjustRightInd w:val="0"/>
        <w:textAlignment w:val="baseline"/>
        <w:rPr>
          <w:rFonts w:ascii="Verdana" w:hAnsi="Verdana" w:cs="Verdana"/>
          <w:lang w:val="es-CR" w:eastAsia="es-CR"/>
        </w:rPr>
      </w:pPr>
    </w:p>
    <w:p w14:paraId="412336FD"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7F015CF3"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7257DCB2"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2FBA93C6"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23C3D731"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2B23387C"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013AC40B"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467F890D"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25B99443" w14:textId="77777777" w:rsidR="000937BA" w:rsidRPr="00995557" w:rsidRDefault="000937BA" w:rsidP="00AA627A">
      <w:pPr>
        <w:pStyle w:val="Textoindependiente1"/>
        <w:tabs>
          <w:tab w:val="left" w:pos="567"/>
          <w:tab w:val="left" w:pos="720"/>
        </w:tabs>
        <w:adjustRightInd w:val="0"/>
        <w:textAlignment w:val="baseline"/>
        <w:rPr>
          <w:rFonts w:ascii="Verdana" w:hAnsi="Verdana" w:cs="Verdana"/>
          <w:lang w:val="es-CR" w:eastAsia="es-CR"/>
        </w:rPr>
      </w:pPr>
    </w:p>
    <w:p w14:paraId="5B7999CB" w14:textId="77777777" w:rsidR="000937BA" w:rsidRPr="00995557" w:rsidRDefault="000937BA" w:rsidP="00AA627A">
      <w:pPr>
        <w:pStyle w:val="Textoindependiente1"/>
        <w:tabs>
          <w:tab w:val="left" w:pos="567"/>
          <w:tab w:val="left" w:pos="720"/>
        </w:tabs>
        <w:adjustRightInd w:val="0"/>
        <w:textAlignment w:val="baseline"/>
        <w:rPr>
          <w:rFonts w:ascii="Verdana" w:hAnsi="Verdana" w:cs="Verdana"/>
          <w:lang w:val="es-CR" w:eastAsia="es-CR"/>
        </w:rPr>
      </w:pPr>
    </w:p>
    <w:p w14:paraId="630DD736"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p w14:paraId="250623FC" w14:textId="77777777" w:rsidR="00C13528" w:rsidRPr="00995557" w:rsidRDefault="00C13528" w:rsidP="00AA627A">
      <w:pPr>
        <w:pStyle w:val="Textoindependiente1"/>
        <w:tabs>
          <w:tab w:val="left" w:pos="567"/>
          <w:tab w:val="left" w:pos="720"/>
        </w:tabs>
        <w:adjustRightInd w:val="0"/>
        <w:textAlignment w:val="baseline"/>
        <w:rPr>
          <w:rFonts w:ascii="Verdana" w:hAnsi="Verdana" w:cs="Verdana"/>
          <w:lang w:val="es-CR" w:eastAsia="es-CR"/>
        </w:rPr>
      </w:pPr>
    </w:p>
    <w:bookmarkStart w:id="9" w:name="_Hlk41077590" w:displacedByCustomXml="next"/>
    <w:bookmarkStart w:id="10" w:name="_Toc4402698" w:displacedByCustomXml="next"/>
    <w:bookmarkStart w:id="11" w:name="_Toc4402937" w:displacedByCustomXml="next"/>
    <w:bookmarkStart w:id="12" w:name="_Toc9511429" w:displacedByCustomXml="next"/>
    <w:bookmarkStart w:id="13" w:name="_Toc32394130" w:displacedByCustomXml="next"/>
    <w:sdt>
      <w:sdtPr>
        <w:rPr>
          <w:rFonts w:ascii="Verdana" w:eastAsia="MS Mincho" w:hAnsi="Verdana" w:cs="Times New Roman"/>
          <w:color w:val="auto"/>
          <w:sz w:val="20"/>
          <w:szCs w:val="20"/>
          <w:lang w:val="es-GT" w:eastAsia="es-GT"/>
        </w:rPr>
        <w:id w:val="-2039503175"/>
        <w:docPartObj>
          <w:docPartGallery w:val="Table of Contents"/>
          <w:docPartUnique/>
        </w:docPartObj>
      </w:sdtPr>
      <w:sdtEndPr>
        <w:rPr>
          <w:rFonts w:eastAsiaTheme="minorHAnsi"/>
          <w:b/>
          <w:bCs/>
          <w:noProof/>
          <w:lang w:val="es-CR" w:eastAsia="en-US"/>
        </w:rPr>
      </w:sdtEndPr>
      <w:sdtContent>
        <w:sdt>
          <w:sdtPr>
            <w:rPr>
              <w:rFonts w:ascii="Verdana" w:eastAsia="MS Mincho" w:hAnsi="Verdana" w:cs="Times New Roman"/>
              <w:color w:val="auto"/>
              <w:sz w:val="20"/>
              <w:szCs w:val="20"/>
              <w:lang w:val="es-GT" w:eastAsia="es-GT"/>
            </w:rPr>
            <w:id w:val="-545442990"/>
            <w:docPartObj>
              <w:docPartGallery w:val="Table of Contents"/>
              <w:docPartUnique/>
            </w:docPartObj>
          </w:sdtPr>
          <w:sdtEndPr>
            <w:rPr>
              <w:rFonts w:eastAsiaTheme="minorHAnsi"/>
              <w:b/>
              <w:bCs/>
              <w:noProof/>
              <w:lang w:val="es-CR" w:eastAsia="en-US"/>
            </w:rPr>
          </w:sdtEndPr>
          <w:sdtContent>
            <w:p w14:paraId="779F4D90" w14:textId="77777777" w:rsidR="002627F2" w:rsidRPr="00995557" w:rsidRDefault="002627F2" w:rsidP="00AA627A">
              <w:pPr>
                <w:pStyle w:val="TtuloTDC"/>
                <w:keepNext w:val="0"/>
                <w:keepLines w:val="0"/>
                <w:widowControl w:val="0"/>
                <w:tabs>
                  <w:tab w:val="left" w:pos="426"/>
                </w:tabs>
                <w:spacing w:before="80" w:after="80" w:line="240" w:lineRule="auto"/>
                <w:jc w:val="center"/>
                <w:rPr>
                  <w:rFonts w:ascii="Verdana" w:hAnsi="Verdana"/>
                  <w:b/>
                  <w:color w:val="auto"/>
                  <w:sz w:val="20"/>
                  <w:szCs w:val="20"/>
                  <w:lang w:val="es-CR"/>
                </w:rPr>
              </w:pPr>
              <w:r w:rsidRPr="00995557">
                <w:rPr>
                  <w:rFonts w:ascii="Verdana" w:hAnsi="Verdana"/>
                  <w:b/>
                  <w:color w:val="auto"/>
                  <w:sz w:val="20"/>
                  <w:szCs w:val="20"/>
                  <w:lang w:val="es-CR"/>
                </w:rPr>
                <w:t>TABLA DE CONTENIDO</w:t>
              </w:r>
            </w:p>
            <w:p w14:paraId="356F9768" w14:textId="77777777" w:rsidR="002627F2" w:rsidRPr="00995557" w:rsidRDefault="002627F2" w:rsidP="00AA627A">
              <w:pPr>
                <w:widowControl w:val="0"/>
                <w:spacing w:before="80" w:after="80"/>
              </w:pPr>
            </w:p>
            <w:p w14:paraId="17694BE5" w14:textId="33C10ACC" w:rsidR="000812F9" w:rsidRPr="00995557" w:rsidRDefault="002627F2" w:rsidP="00AA627A">
              <w:pPr>
                <w:pStyle w:val="TDC1"/>
                <w:spacing w:before="80" w:after="80"/>
                <w:rPr>
                  <w:rFonts w:eastAsiaTheme="minorEastAsia" w:cstheme="minorBidi"/>
                  <w:b w:val="0"/>
                  <w:bCs w:val="0"/>
                  <w:lang w:eastAsia="es-ES_tradnl"/>
                </w:rPr>
              </w:pPr>
              <w:r w:rsidRPr="00995557">
                <w:fldChar w:fldCharType="begin"/>
              </w:r>
              <w:r w:rsidRPr="00995557">
                <w:instrText xml:space="preserve"> TOC \o "1-3" \h \z \u </w:instrText>
              </w:r>
              <w:r w:rsidRPr="00995557">
                <w:fldChar w:fldCharType="separate"/>
              </w:r>
              <w:hyperlink w:anchor="_Toc58399099" w:history="1">
                <w:r w:rsidR="000812F9" w:rsidRPr="00995557">
                  <w:rPr>
                    <w:rStyle w:val="Hipervnculo"/>
                  </w:rPr>
                  <w:t>I</w:t>
                </w:r>
                <w:r w:rsidR="000812F9" w:rsidRPr="00995557">
                  <w:rPr>
                    <w:webHidden/>
                  </w:rPr>
                  <w:tab/>
                </w:r>
              </w:hyperlink>
              <w:hyperlink w:anchor="_Toc58399100" w:history="1">
                <w:r w:rsidR="000812F9" w:rsidRPr="00995557">
                  <w:rPr>
                    <w:rStyle w:val="Hipervnculo"/>
                  </w:rPr>
                  <w:t>INTRODUCCIÓN DE LA CAUSA Y OBJETO DE LA CONTROVERSIA</w:t>
                </w:r>
                <w:r w:rsidR="000812F9" w:rsidRPr="00995557">
                  <w:rPr>
                    <w:webHidden/>
                  </w:rPr>
                  <w:tab/>
                </w:r>
                <w:r w:rsidR="000812F9" w:rsidRPr="00995557">
                  <w:rPr>
                    <w:webHidden/>
                  </w:rPr>
                  <w:fldChar w:fldCharType="begin"/>
                </w:r>
                <w:r w:rsidR="000812F9" w:rsidRPr="00995557">
                  <w:rPr>
                    <w:webHidden/>
                  </w:rPr>
                  <w:instrText xml:space="preserve"> PAGEREF _Toc58399100 \h </w:instrText>
                </w:r>
                <w:r w:rsidR="000812F9" w:rsidRPr="00995557">
                  <w:rPr>
                    <w:webHidden/>
                  </w:rPr>
                </w:r>
                <w:r w:rsidR="000812F9" w:rsidRPr="00995557">
                  <w:rPr>
                    <w:webHidden/>
                  </w:rPr>
                  <w:fldChar w:fldCharType="separate"/>
                </w:r>
                <w:r w:rsidR="00EA7129">
                  <w:rPr>
                    <w:webHidden/>
                  </w:rPr>
                  <w:t>4</w:t>
                </w:r>
                <w:r w:rsidR="000812F9" w:rsidRPr="00995557">
                  <w:rPr>
                    <w:webHidden/>
                  </w:rPr>
                  <w:fldChar w:fldCharType="end"/>
                </w:r>
              </w:hyperlink>
            </w:p>
            <w:p w14:paraId="3D9145D7" w14:textId="70604757" w:rsidR="000812F9" w:rsidRPr="00995557" w:rsidRDefault="008E78EF" w:rsidP="00AA627A">
              <w:pPr>
                <w:pStyle w:val="TDC1"/>
                <w:spacing w:before="80" w:after="80"/>
                <w:rPr>
                  <w:rFonts w:eastAsiaTheme="minorEastAsia" w:cstheme="minorBidi"/>
                  <w:b w:val="0"/>
                  <w:bCs w:val="0"/>
                  <w:lang w:eastAsia="es-ES_tradnl"/>
                </w:rPr>
              </w:pPr>
              <w:hyperlink w:anchor="_Toc58399101" w:history="1">
                <w:r w:rsidR="000812F9" w:rsidRPr="00995557">
                  <w:rPr>
                    <w:rStyle w:val="Hipervnculo"/>
                  </w:rPr>
                  <w:t xml:space="preserve">II </w:t>
                </w:r>
                <w:r w:rsidR="0034605B" w:rsidRPr="00995557">
                  <w:rPr>
                    <w:rStyle w:val="Hipervnculo"/>
                  </w:rPr>
                  <w:tab/>
                </w:r>
                <w:r w:rsidR="000812F9" w:rsidRPr="00995557">
                  <w:rPr>
                    <w:rStyle w:val="Hipervnculo"/>
                  </w:rPr>
                  <w:t>PROCEDIMIENTO ANTE LA CORTE</w:t>
                </w:r>
                <w:r w:rsidR="000812F9" w:rsidRPr="00995557">
                  <w:rPr>
                    <w:webHidden/>
                  </w:rPr>
                  <w:tab/>
                </w:r>
                <w:r w:rsidR="000812F9" w:rsidRPr="00995557">
                  <w:rPr>
                    <w:webHidden/>
                  </w:rPr>
                  <w:fldChar w:fldCharType="begin"/>
                </w:r>
                <w:r w:rsidR="000812F9" w:rsidRPr="00995557">
                  <w:rPr>
                    <w:webHidden/>
                  </w:rPr>
                  <w:instrText xml:space="preserve"> PAGEREF _Toc58399101 \h </w:instrText>
                </w:r>
                <w:r w:rsidR="000812F9" w:rsidRPr="00995557">
                  <w:rPr>
                    <w:webHidden/>
                  </w:rPr>
                </w:r>
                <w:r w:rsidR="000812F9" w:rsidRPr="00995557">
                  <w:rPr>
                    <w:webHidden/>
                  </w:rPr>
                  <w:fldChar w:fldCharType="separate"/>
                </w:r>
                <w:r w:rsidR="00EA7129">
                  <w:rPr>
                    <w:webHidden/>
                  </w:rPr>
                  <w:t>5</w:t>
                </w:r>
                <w:r w:rsidR="000812F9" w:rsidRPr="00995557">
                  <w:rPr>
                    <w:webHidden/>
                  </w:rPr>
                  <w:fldChar w:fldCharType="end"/>
                </w:r>
              </w:hyperlink>
            </w:p>
            <w:p w14:paraId="0931250C" w14:textId="3131843B" w:rsidR="000812F9" w:rsidRPr="00995557" w:rsidRDefault="008E78EF" w:rsidP="00AA627A">
              <w:pPr>
                <w:pStyle w:val="TDC1"/>
                <w:spacing w:before="80" w:after="80"/>
                <w:rPr>
                  <w:rFonts w:eastAsiaTheme="minorEastAsia" w:cstheme="minorBidi"/>
                  <w:b w:val="0"/>
                  <w:bCs w:val="0"/>
                  <w:lang w:eastAsia="es-ES_tradnl"/>
                </w:rPr>
              </w:pPr>
              <w:hyperlink w:anchor="_Toc58399102" w:history="1">
                <w:r w:rsidR="000812F9" w:rsidRPr="00995557">
                  <w:rPr>
                    <w:rStyle w:val="Hipervnculo"/>
                  </w:rPr>
                  <w:t xml:space="preserve">III </w:t>
                </w:r>
                <w:r w:rsidR="0034605B" w:rsidRPr="00995557">
                  <w:rPr>
                    <w:rStyle w:val="Hipervnculo"/>
                  </w:rPr>
                  <w:tab/>
                </w:r>
                <w:r w:rsidR="000812F9" w:rsidRPr="00995557">
                  <w:rPr>
                    <w:rStyle w:val="Hipervnculo"/>
                  </w:rPr>
                  <w:t>COMPETENCIA</w:t>
                </w:r>
                <w:r w:rsidR="000812F9" w:rsidRPr="00995557">
                  <w:rPr>
                    <w:webHidden/>
                  </w:rPr>
                  <w:tab/>
                </w:r>
                <w:r w:rsidR="007B7134" w:rsidRPr="00995557">
                  <w:rPr>
                    <w:webHidden/>
                  </w:rPr>
                  <w:t>8</w:t>
                </w:r>
              </w:hyperlink>
            </w:p>
            <w:p w14:paraId="3D66EBF7" w14:textId="19E89BB9" w:rsidR="000812F9" w:rsidRPr="00995557" w:rsidRDefault="008E78EF" w:rsidP="00AA627A">
              <w:pPr>
                <w:pStyle w:val="TDC1"/>
                <w:spacing w:before="80" w:after="80"/>
                <w:rPr>
                  <w:rFonts w:eastAsiaTheme="minorEastAsia" w:cstheme="minorBidi"/>
                  <w:b w:val="0"/>
                  <w:bCs w:val="0"/>
                  <w:lang w:eastAsia="es-ES_tradnl"/>
                </w:rPr>
              </w:pPr>
              <w:hyperlink w:anchor="_Toc58399103" w:history="1">
                <w:r w:rsidR="000812F9" w:rsidRPr="00995557">
                  <w:rPr>
                    <w:rStyle w:val="Hipervnculo"/>
                    <w:rFonts w:cs="Verdana"/>
                    <w:caps/>
                    <w:snapToGrid w:val="0"/>
                  </w:rPr>
                  <w:t xml:space="preserve">IV </w:t>
                </w:r>
                <w:r w:rsidR="0034605B" w:rsidRPr="00995557">
                  <w:rPr>
                    <w:rStyle w:val="Hipervnculo"/>
                    <w:rFonts w:cs="Verdana"/>
                    <w:caps/>
                    <w:snapToGrid w:val="0"/>
                  </w:rPr>
                  <w:tab/>
                </w:r>
                <w:r w:rsidR="000812F9" w:rsidRPr="00995557">
                  <w:rPr>
                    <w:rStyle w:val="Hipervnculo"/>
                    <w:rFonts w:cs="Verdana"/>
                    <w:caps/>
                    <w:snapToGrid w:val="0"/>
                  </w:rPr>
                  <w:t>CONSIDERACIONES PREVIAS</w:t>
                </w:r>
                <w:r w:rsidR="000812F9" w:rsidRPr="00995557">
                  <w:rPr>
                    <w:webHidden/>
                  </w:rPr>
                  <w:tab/>
                </w:r>
                <w:r w:rsidR="000812F9" w:rsidRPr="00995557">
                  <w:rPr>
                    <w:webHidden/>
                  </w:rPr>
                  <w:fldChar w:fldCharType="begin"/>
                </w:r>
                <w:r w:rsidR="000812F9" w:rsidRPr="00995557">
                  <w:rPr>
                    <w:webHidden/>
                  </w:rPr>
                  <w:instrText xml:space="preserve"> PAGEREF _Toc58399103 \h </w:instrText>
                </w:r>
                <w:r w:rsidR="000812F9" w:rsidRPr="00995557">
                  <w:rPr>
                    <w:webHidden/>
                  </w:rPr>
                </w:r>
                <w:r w:rsidR="000812F9" w:rsidRPr="00995557">
                  <w:rPr>
                    <w:webHidden/>
                  </w:rPr>
                  <w:fldChar w:fldCharType="separate"/>
                </w:r>
                <w:r w:rsidR="00EA7129">
                  <w:rPr>
                    <w:webHidden/>
                  </w:rPr>
                  <w:t>8</w:t>
                </w:r>
                <w:r w:rsidR="000812F9" w:rsidRPr="00995557">
                  <w:rPr>
                    <w:webHidden/>
                  </w:rPr>
                  <w:fldChar w:fldCharType="end"/>
                </w:r>
              </w:hyperlink>
            </w:p>
            <w:p w14:paraId="693EC001" w14:textId="074C62E3" w:rsidR="000812F9" w:rsidRPr="00995557" w:rsidRDefault="008E78EF" w:rsidP="00AA627A">
              <w:pPr>
                <w:pStyle w:val="TDC1"/>
                <w:spacing w:before="80" w:after="80"/>
                <w:rPr>
                  <w:rFonts w:eastAsiaTheme="minorEastAsia" w:cstheme="minorBidi"/>
                  <w:b w:val="0"/>
                  <w:bCs w:val="0"/>
                  <w:lang w:eastAsia="es-ES_tradnl"/>
                </w:rPr>
              </w:pPr>
              <w:hyperlink w:anchor="_Toc58399104" w:history="1">
                <w:r w:rsidR="000812F9" w:rsidRPr="00995557">
                  <w:rPr>
                    <w:rStyle w:val="Hipervnculo"/>
                    <w:rFonts w:cs="Verdana"/>
                    <w:caps/>
                    <w:snapToGrid w:val="0"/>
                  </w:rPr>
                  <w:t>V</w:t>
                </w:r>
                <w:r w:rsidR="000812F9" w:rsidRPr="00995557">
                  <w:rPr>
                    <w:webHidden/>
                  </w:rPr>
                  <w:tab/>
                </w:r>
              </w:hyperlink>
              <w:hyperlink w:anchor="_Toc58399105" w:history="1">
                <w:r w:rsidR="000812F9" w:rsidRPr="00995557">
                  <w:rPr>
                    <w:rStyle w:val="Hipervnculo"/>
                    <w:rFonts w:cs="Verdana"/>
                    <w:caps/>
                    <w:snapToGrid w:val="0"/>
                  </w:rPr>
                  <w:t>RECONOCIMIENTO DE RESPONSABILIDAD INTERNACIONAL</w:t>
                </w:r>
                <w:r w:rsidR="000812F9" w:rsidRPr="00995557">
                  <w:rPr>
                    <w:webHidden/>
                  </w:rPr>
                  <w:tab/>
                </w:r>
                <w:r w:rsidR="007B7134" w:rsidRPr="00995557">
                  <w:rPr>
                    <w:webHidden/>
                  </w:rPr>
                  <w:t>10</w:t>
                </w:r>
              </w:hyperlink>
            </w:p>
            <w:p w14:paraId="2758C29A" w14:textId="156EC024" w:rsidR="000812F9" w:rsidRPr="00995557" w:rsidRDefault="008E78EF" w:rsidP="00AA627A">
              <w:pPr>
                <w:pStyle w:val="TDC2"/>
                <w:rPr>
                  <w:rFonts w:eastAsiaTheme="minorEastAsia" w:cstheme="minorBidi"/>
                  <w:lang w:eastAsia="es-ES_tradnl"/>
                </w:rPr>
              </w:pPr>
              <w:hyperlink w:anchor="_Toc58399106" w:history="1">
                <w:r w:rsidR="000812F9" w:rsidRPr="00995557">
                  <w:rPr>
                    <w:rStyle w:val="Hipervnculo"/>
                    <w:b w:val="0"/>
                    <w:color w:val="auto"/>
                  </w:rPr>
                  <w:t>A. Reconocimiento de responsabilidad del Estado y observaciones de la Comisión y de los representantes</w:t>
                </w:r>
                <w:r w:rsidR="000812F9" w:rsidRPr="00995557">
                  <w:rPr>
                    <w:webHidden/>
                  </w:rPr>
                  <w:tab/>
                </w:r>
                <w:r w:rsidR="007B7134" w:rsidRPr="00995557">
                  <w:rPr>
                    <w:b w:val="0"/>
                    <w:webHidden/>
                  </w:rPr>
                  <w:t>10</w:t>
                </w:r>
              </w:hyperlink>
            </w:p>
            <w:p w14:paraId="132E586D" w14:textId="349DA451" w:rsidR="000812F9" w:rsidRPr="00995557" w:rsidRDefault="008E78EF" w:rsidP="00AA627A">
              <w:pPr>
                <w:pStyle w:val="TDC2"/>
                <w:rPr>
                  <w:rFonts w:eastAsiaTheme="minorEastAsia" w:cstheme="minorBidi"/>
                  <w:lang w:eastAsia="es-ES_tradnl"/>
                </w:rPr>
              </w:pPr>
              <w:hyperlink w:anchor="_Toc58399107" w:history="1">
                <w:r w:rsidR="000812F9" w:rsidRPr="00995557">
                  <w:rPr>
                    <w:rStyle w:val="Hipervnculo"/>
                    <w:b w:val="0"/>
                    <w:color w:val="auto"/>
                  </w:rPr>
                  <w:t>B. Consideraciones de la Corte</w:t>
                </w:r>
                <w:r w:rsidR="000812F9" w:rsidRPr="00995557">
                  <w:rPr>
                    <w:webHidden/>
                  </w:rPr>
                  <w:tab/>
                </w:r>
                <w:r w:rsidR="000812F9" w:rsidRPr="00995557">
                  <w:rPr>
                    <w:b w:val="0"/>
                    <w:webHidden/>
                  </w:rPr>
                  <w:fldChar w:fldCharType="begin"/>
                </w:r>
                <w:r w:rsidR="000812F9" w:rsidRPr="00995557">
                  <w:rPr>
                    <w:b w:val="0"/>
                    <w:webHidden/>
                  </w:rPr>
                  <w:instrText xml:space="preserve"> PAGEREF _Toc58399107 \h </w:instrText>
                </w:r>
                <w:r w:rsidR="000812F9" w:rsidRPr="00995557">
                  <w:rPr>
                    <w:b w:val="0"/>
                    <w:webHidden/>
                  </w:rPr>
                </w:r>
                <w:r w:rsidR="000812F9" w:rsidRPr="00995557">
                  <w:rPr>
                    <w:b w:val="0"/>
                    <w:webHidden/>
                  </w:rPr>
                  <w:fldChar w:fldCharType="separate"/>
                </w:r>
                <w:r w:rsidR="00EA7129">
                  <w:rPr>
                    <w:b w:val="0"/>
                    <w:webHidden/>
                  </w:rPr>
                  <w:t>11</w:t>
                </w:r>
                <w:r w:rsidR="000812F9" w:rsidRPr="00995557">
                  <w:rPr>
                    <w:b w:val="0"/>
                    <w:webHidden/>
                  </w:rPr>
                  <w:fldChar w:fldCharType="end"/>
                </w:r>
              </w:hyperlink>
            </w:p>
            <w:p w14:paraId="74031633" w14:textId="37AF4293" w:rsidR="000812F9" w:rsidRPr="00995557" w:rsidRDefault="008E78EF" w:rsidP="00AA627A">
              <w:pPr>
                <w:pStyle w:val="TDC2"/>
                <w:rPr>
                  <w:rFonts w:eastAsiaTheme="minorEastAsia" w:cstheme="minorBidi"/>
                  <w:lang w:eastAsia="es-ES_tradnl"/>
                </w:rPr>
              </w:pPr>
              <w:hyperlink w:anchor="_Toc58399108" w:history="1">
                <w:r w:rsidR="000812F9" w:rsidRPr="00995557">
                  <w:rPr>
                    <w:rStyle w:val="Hipervnculo"/>
                    <w:b w:val="0"/>
                  </w:rPr>
                  <w:t>B.1. En cuanto a los hechos</w:t>
                </w:r>
                <w:r w:rsidR="000812F9" w:rsidRPr="00995557">
                  <w:rPr>
                    <w:webHidden/>
                  </w:rPr>
                  <w:tab/>
                </w:r>
                <w:r w:rsidR="000812F9" w:rsidRPr="00995557">
                  <w:rPr>
                    <w:b w:val="0"/>
                    <w:webHidden/>
                  </w:rPr>
                  <w:fldChar w:fldCharType="begin"/>
                </w:r>
                <w:r w:rsidR="000812F9" w:rsidRPr="00995557">
                  <w:rPr>
                    <w:b w:val="0"/>
                    <w:webHidden/>
                  </w:rPr>
                  <w:instrText xml:space="preserve"> PAGEREF _Toc58399108 \h </w:instrText>
                </w:r>
                <w:r w:rsidR="000812F9" w:rsidRPr="00995557">
                  <w:rPr>
                    <w:b w:val="0"/>
                    <w:webHidden/>
                  </w:rPr>
                </w:r>
                <w:r w:rsidR="000812F9" w:rsidRPr="00995557">
                  <w:rPr>
                    <w:b w:val="0"/>
                    <w:webHidden/>
                  </w:rPr>
                  <w:fldChar w:fldCharType="separate"/>
                </w:r>
                <w:r w:rsidR="00EA7129">
                  <w:rPr>
                    <w:b w:val="0"/>
                    <w:webHidden/>
                  </w:rPr>
                  <w:t>11</w:t>
                </w:r>
                <w:r w:rsidR="000812F9" w:rsidRPr="00995557">
                  <w:rPr>
                    <w:b w:val="0"/>
                    <w:webHidden/>
                  </w:rPr>
                  <w:fldChar w:fldCharType="end"/>
                </w:r>
              </w:hyperlink>
            </w:p>
            <w:p w14:paraId="3577A31B" w14:textId="652B452E" w:rsidR="000812F9" w:rsidRPr="00995557" w:rsidRDefault="008E78EF" w:rsidP="00AA627A">
              <w:pPr>
                <w:pStyle w:val="TDC2"/>
                <w:rPr>
                  <w:rFonts w:eastAsiaTheme="minorEastAsia" w:cstheme="minorBidi"/>
                  <w:lang w:eastAsia="es-ES_tradnl"/>
                </w:rPr>
              </w:pPr>
              <w:hyperlink w:anchor="_Toc58399109" w:history="1">
                <w:r w:rsidR="000812F9" w:rsidRPr="00995557">
                  <w:rPr>
                    <w:rStyle w:val="Hipervnculo"/>
                    <w:b w:val="0"/>
                    <w:color w:val="auto"/>
                  </w:rPr>
                  <w:t>B.2. En cuanto a las pretensiones de derecho</w:t>
                </w:r>
                <w:r w:rsidR="000812F9" w:rsidRPr="00995557">
                  <w:rPr>
                    <w:webHidden/>
                  </w:rPr>
                  <w:tab/>
                </w:r>
                <w:r w:rsidR="007B7134" w:rsidRPr="00995557">
                  <w:rPr>
                    <w:b w:val="0"/>
                    <w:webHidden/>
                  </w:rPr>
                  <w:t>12</w:t>
                </w:r>
              </w:hyperlink>
            </w:p>
            <w:p w14:paraId="49B910F5" w14:textId="7AC53600" w:rsidR="000812F9" w:rsidRPr="00995557" w:rsidRDefault="008E78EF" w:rsidP="00AA627A">
              <w:pPr>
                <w:pStyle w:val="TDC2"/>
                <w:rPr>
                  <w:rFonts w:eastAsiaTheme="minorEastAsia" w:cstheme="minorBidi"/>
                  <w:lang w:eastAsia="es-ES_tradnl"/>
                </w:rPr>
              </w:pPr>
              <w:hyperlink w:anchor="_Toc58399110" w:history="1">
                <w:r w:rsidR="000812F9" w:rsidRPr="00995557">
                  <w:rPr>
                    <w:rStyle w:val="Hipervnculo"/>
                    <w:b w:val="0"/>
                  </w:rPr>
                  <w:t>B.3. En cuanto a las reparaciones</w:t>
                </w:r>
                <w:r w:rsidR="000812F9" w:rsidRPr="00995557">
                  <w:rPr>
                    <w:webHidden/>
                  </w:rPr>
                  <w:tab/>
                </w:r>
                <w:r w:rsidR="000812F9" w:rsidRPr="00995557">
                  <w:rPr>
                    <w:b w:val="0"/>
                    <w:webHidden/>
                  </w:rPr>
                  <w:fldChar w:fldCharType="begin"/>
                </w:r>
                <w:r w:rsidR="000812F9" w:rsidRPr="00995557">
                  <w:rPr>
                    <w:b w:val="0"/>
                    <w:webHidden/>
                  </w:rPr>
                  <w:instrText xml:space="preserve"> PAGEREF _Toc58399110 \h </w:instrText>
                </w:r>
                <w:r w:rsidR="000812F9" w:rsidRPr="00995557">
                  <w:rPr>
                    <w:b w:val="0"/>
                    <w:webHidden/>
                  </w:rPr>
                </w:r>
                <w:r w:rsidR="000812F9" w:rsidRPr="00995557">
                  <w:rPr>
                    <w:b w:val="0"/>
                    <w:webHidden/>
                  </w:rPr>
                  <w:fldChar w:fldCharType="separate"/>
                </w:r>
                <w:r w:rsidR="00EA7129">
                  <w:rPr>
                    <w:b w:val="0"/>
                    <w:webHidden/>
                  </w:rPr>
                  <w:t>12</w:t>
                </w:r>
                <w:r w:rsidR="000812F9" w:rsidRPr="00995557">
                  <w:rPr>
                    <w:b w:val="0"/>
                    <w:webHidden/>
                  </w:rPr>
                  <w:fldChar w:fldCharType="end"/>
                </w:r>
              </w:hyperlink>
            </w:p>
            <w:p w14:paraId="5BCC7226" w14:textId="21E540D9" w:rsidR="000812F9" w:rsidRPr="00995557" w:rsidRDefault="008E78EF" w:rsidP="00AA627A">
              <w:pPr>
                <w:pStyle w:val="TDC2"/>
                <w:rPr>
                  <w:rFonts w:eastAsiaTheme="minorEastAsia" w:cstheme="minorBidi"/>
                  <w:lang w:eastAsia="es-ES_tradnl"/>
                </w:rPr>
              </w:pPr>
              <w:hyperlink w:anchor="_Toc58399111" w:history="1">
                <w:r w:rsidR="000812F9" w:rsidRPr="00995557">
                  <w:rPr>
                    <w:rStyle w:val="Hipervnculo"/>
                    <w:b w:val="0"/>
                  </w:rPr>
                  <w:t>B.4. Valoración del alcance del reconocimiento de responsabilidad</w:t>
                </w:r>
                <w:r w:rsidR="000812F9" w:rsidRPr="00995557">
                  <w:rPr>
                    <w:webHidden/>
                  </w:rPr>
                  <w:tab/>
                </w:r>
                <w:r w:rsidR="000812F9" w:rsidRPr="00995557">
                  <w:rPr>
                    <w:b w:val="0"/>
                    <w:webHidden/>
                  </w:rPr>
                  <w:fldChar w:fldCharType="begin"/>
                </w:r>
                <w:r w:rsidR="000812F9" w:rsidRPr="00995557">
                  <w:rPr>
                    <w:b w:val="0"/>
                    <w:webHidden/>
                  </w:rPr>
                  <w:instrText xml:space="preserve"> PAGEREF _Toc58399111 \h </w:instrText>
                </w:r>
                <w:r w:rsidR="000812F9" w:rsidRPr="00995557">
                  <w:rPr>
                    <w:b w:val="0"/>
                    <w:webHidden/>
                  </w:rPr>
                </w:r>
                <w:r w:rsidR="000812F9" w:rsidRPr="00995557">
                  <w:rPr>
                    <w:b w:val="0"/>
                    <w:webHidden/>
                  </w:rPr>
                  <w:fldChar w:fldCharType="separate"/>
                </w:r>
                <w:r w:rsidR="00EA7129">
                  <w:rPr>
                    <w:b w:val="0"/>
                    <w:webHidden/>
                  </w:rPr>
                  <w:t>12</w:t>
                </w:r>
                <w:r w:rsidR="000812F9" w:rsidRPr="00995557">
                  <w:rPr>
                    <w:b w:val="0"/>
                    <w:webHidden/>
                  </w:rPr>
                  <w:fldChar w:fldCharType="end"/>
                </w:r>
              </w:hyperlink>
            </w:p>
            <w:p w14:paraId="4D441244" w14:textId="5048A706" w:rsidR="000812F9" w:rsidRPr="00995557" w:rsidRDefault="008E78EF" w:rsidP="00AA627A">
              <w:pPr>
                <w:pStyle w:val="TDC1"/>
                <w:spacing w:before="80" w:after="80"/>
                <w:rPr>
                  <w:rFonts w:eastAsiaTheme="minorEastAsia" w:cstheme="minorBidi"/>
                  <w:b w:val="0"/>
                  <w:bCs w:val="0"/>
                  <w:lang w:eastAsia="es-ES_tradnl"/>
                </w:rPr>
              </w:pPr>
              <w:hyperlink w:anchor="_Toc58399112" w:history="1">
                <w:r w:rsidR="000812F9" w:rsidRPr="00995557">
                  <w:rPr>
                    <w:rStyle w:val="Hipervnculo"/>
                  </w:rPr>
                  <w:t xml:space="preserve">VI </w:t>
                </w:r>
                <w:r w:rsidR="0034605B" w:rsidRPr="00995557">
                  <w:rPr>
                    <w:rStyle w:val="Hipervnculo"/>
                  </w:rPr>
                  <w:tab/>
                </w:r>
                <w:r w:rsidR="000812F9" w:rsidRPr="00995557">
                  <w:rPr>
                    <w:rStyle w:val="Hipervnculo"/>
                  </w:rPr>
                  <w:t>PRUEBA</w:t>
                </w:r>
                <w:r w:rsidR="000812F9" w:rsidRPr="00995557">
                  <w:rPr>
                    <w:webHidden/>
                  </w:rPr>
                  <w:t xml:space="preserve">                                                                                                                  </w:t>
                </w:r>
                <w:r w:rsidR="000812F9" w:rsidRPr="00995557">
                  <w:rPr>
                    <w:webHidden/>
                  </w:rPr>
                  <w:fldChar w:fldCharType="begin"/>
                </w:r>
                <w:r w:rsidR="000812F9" w:rsidRPr="00995557">
                  <w:rPr>
                    <w:webHidden/>
                  </w:rPr>
                  <w:instrText xml:space="preserve"> PAGEREF _Toc58399112 \h </w:instrText>
                </w:r>
                <w:r w:rsidR="000812F9" w:rsidRPr="00995557">
                  <w:rPr>
                    <w:webHidden/>
                  </w:rPr>
                </w:r>
                <w:r w:rsidR="000812F9" w:rsidRPr="00995557">
                  <w:rPr>
                    <w:webHidden/>
                  </w:rPr>
                  <w:fldChar w:fldCharType="separate"/>
                </w:r>
                <w:r w:rsidR="00EA7129">
                  <w:rPr>
                    <w:webHidden/>
                  </w:rPr>
                  <w:t>13</w:t>
                </w:r>
                <w:r w:rsidR="000812F9" w:rsidRPr="00995557">
                  <w:rPr>
                    <w:webHidden/>
                  </w:rPr>
                  <w:fldChar w:fldCharType="end"/>
                </w:r>
              </w:hyperlink>
            </w:p>
            <w:p w14:paraId="477D9B36" w14:textId="3E8674A1" w:rsidR="000812F9" w:rsidRPr="00995557" w:rsidRDefault="008E78EF" w:rsidP="00AA627A">
              <w:pPr>
                <w:pStyle w:val="TDC2"/>
                <w:rPr>
                  <w:rFonts w:eastAsiaTheme="minorEastAsia" w:cstheme="minorBidi"/>
                  <w:b w:val="0"/>
                  <w:lang w:eastAsia="es-ES_tradnl"/>
                </w:rPr>
              </w:pPr>
              <w:hyperlink w:anchor="_Toc58399113" w:history="1">
                <w:r w:rsidR="000812F9" w:rsidRPr="00995557">
                  <w:rPr>
                    <w:rStyle w:val="Hipervnculo"/>
                    <w:b w:val="0"/>
                  </w:rPr>
                  <w:t>A. Admisibilidad de la prueba documental</w:t>
                </w:r>
                <w:r w:rsidR="000812F9" w:rsidRPr="00995557">
                  <w:rPr>
                    <w:b w:val="0"/>
                    <w:webHidden/>
                  </w:rPr>
                  <w:tab/>
                </w:r>
                <w:r w:rsidR="000812F9" w:rsidRPr="00995557">
                  <w:rPr>
                    <w:b w:val="0"/>
                    <w:webHidden/>
                  </w:rPr>
                  <w:fldChar w:fldCharType="begin"/>
                </w:r>
                <w:r w:rsidR="000812F9" w:rsidRPr="00995557">
                  <w:rPr>
                    <w:b w:val="0"/>
                    <w:webHidden/>
                  </w:rPr>
                  <w:instrText xml:space="preserve"> PAGEREF _Toc58399113 \h </w:instrText>
                </w:r>
                <w:r w:rsidR="000812F9" w:rsidRPr="00995557">
                  <w:rPr>
                    <w:b w:val="0"/>
                    <w:webHidden/>
                  </w:rPr>
                </w:r>
                <w:r w:rsidR="000812F9" w:rsidRPr="00995557">
                  <w:rPr>
                    <w:b w:val="0"/>
                    <w:webHidden/>
                  </w:rPr>
                  <w:fldChar w:fldCharType="separate"/>
                </w:r>
                <w:r w:rsidR="00EA7129">
                  <w:rPr>
                    <w:b w:val="0"/>
                    <w:webHidden/>
                  </w:rPr>
                  <w:t>13</w:t>
                </w:r>
                <w:r w:rsidR="000812F9" w:rsidRPr="00995557">
                  <w:rPr>
                    <w:b w:val="0"/>
                    <w:webHidden/>
                  </w:rPr>
                  <w:fldChar w:fldCharType="end"/>
                </w:r>
              </w:hyperlink>
            </w:p>
            <w:p w14:paraId="38B83EA9" w14:textId="588C3435" w:rsidR="000812F9" w:rsidRPr="00995557" w:rsidRDefault="008E78EF" w:rsidP="00AA627A">
              <w:pPr>
                <w:pStyle w:val="TDC2"/>
                <w:rPr>
                  <w:rFonts w:eastAsiaTheme="minorEastAsia" w:cstheme="minorBidi"/>
                  <w:lang w:eastAsia="es-ES_tradnl"/>
                </w:rPr>
              </w:pPr>
              <w:hyperlink w:anchor="_Toc58399114" w:history="1">
                <w:r w:rsidR="000812F9" w:rsidRPr="00995557">
                  <w:rPr>
                    <w:rStyle w:val="Hipervnculo"/>
                    <w:b w:val="0"/>
                  </w:rPr>
                  <w:t>B. Admisibilidad de la prueba testimonial y pericial</w:t>
                </w:r>
                <w:r w:rsidR="000812F9" w:rsidRPr="00995557">
                  <w:rPr>
                    <w:webHidden/>
                  </w:rPr>
                  <w:tab/>
                </w:r>
                <w:r w:rsidR="000812F9" w:rsidRPr="00995557">
                  <w:rPr>
                    <w:b w:val="0"/>
                    <w:webHidden/>
                  </w:rPr>
                  <w:fldChar w:fldCharType="begin"/>
                </w:r>
                <w:r w:rsidR="000812F9" w:rsidRPr="00995557">
                  <w:rPr>
                    <w:b w:val="0"/>
                    <w:webHidden/>
                  </w:rPr>
                  <w:instrText xml:space="preserve"> PAGEREF _Toc58399114 \h </w:instrText>
                </w:r>
                <w:r w:rsidR="000812F9" w:rsidRPr="00995557">
                  <w:rPr>
                    <w:b w:val="0"/>
                    <w:webHidden/>
                  </w:rPr>
                </w:r>
                <w:r w:rsidR="000812F9" w:rsidRPr="00995557">
                  <w:rPr>
                    <w:b w:val="0"/>
                    <w:webHidden/>
                  </w:rPr>
                  <w:fldChar w:fldCharType="separate"/>
                </w:r>
                <w:r w:rsidR="00EA7129">
                  <w:rPr>
                    <w:b w:val="0"/>
                    <w:webHidden/>
                  </w:rPr>
                  <w:t>13</w:t>
                </w:r>
                <w:r w:rsidR="000812F9" w:rsidRPr="00995557">
                  <w:rPr>
                    <w:b w:val="0"/>
                    <w:webHidden/>
                  </w:rPr>
                  <w:fldChar w:fldCharType="end"/>
                </w:r>
              </w:hyperlink>
            </w:p>
            <w:p w14:paraId="0F489D48" w14:textId="584A894B" w:rsidR="000812F9" w:rsidRPr="00995557" w:rsidRDefault="008E78EF" w:rsidP="00AA627A">
              <w:pPr>
                <w:pStyle w:val="TDC1"/>
                <w:spacing w:before="80" w:after="80"/>
                <w:rPr>
                  <w:rFonts w:eastAsiaTheme="minorEastAsia" w:cstheme="minorBidi"/>
                  <w:b w:val="0"/>
                  <w:bCs w:val="0"/>
                  <w:lang w:eastAsia="es-ES_tradnl"/>
                </w:rPr>
              </w:pPr>
              <w:hyperlink w:anchor="_Toc58399115" w:history="1">
                <w:r w:rsidR="000812F9" w:rsidRPr="00995557">
                  <w:rPr>
                    <w:rStyle w:val="Hipervnculo"/>
                  </w:rPr>
                  <w:t>VII HECHOS</w:t>
                </w:r>
                <w:r w:rsidR="000812F9" w:rsidRPr="00995557">
                  <w:rPr>
                    <w:webHidden/>
                  </w:rPr>
                  <w:tab/>
                </w:r>
                <w:r w:rsidR="007B7134" w:rsidRPr="00995557">
                  <w:rPr>
                    <w:webHidden/>
                  </w:rPr>
                  <w:t>14</w:t>
                </w:r>
              </w:hyperlink>
            </w:p>
            <w:p w14:paraId="6FC69C5C" w14:textId="5F8057A0" w:rsidR="000812F9" w:rsidRPr="00995557" w:rsidRDefault="008E78EF" w:rsidP="00AA627A">
              <w:pPr>
                <w:pStyle w:val="TDC2"/>
                <w:rPr>
                  <w:rFonts w:eastAsiaTheme="minorEastAsia" w:cstheme="minorBidi"/>
                  <w:lang w:eastAsia="es-ES_tradnl"/>
                </w:rPr>
              </w:pPr>
              <w:hyperlink w:anchor="_Toc58399116" w:history="1">
                <w:r w:rsidR="000812F9" w:rsidRPr="00995557">
                  <w:rPr>
                    <w:rStyle w:val="Hipervnculo"/>
                    <w:b w:val="0"/>
                  </w:rPr>
                  <w:t>A. La cárcel de Vista Hermosa y los días previos al 10 de noviembre de 2003</w:t>
                </w:r>
                <w:r w:rsidR="000812F9" w:rsidRPr="00995557">
                  <w:rPr>
                    <w:webHidden/>
                  </w:rPr>
                  <w:tab/>
                </w:r>
                <w:r w:rsidR="000812F9" w:rsidRPr="00995557">
                  <w:rPr>
                    <w:b w:val="0"/>
                    <w:webHidden/>
                  </w:rPr>
                  <w:fldChar w:fldCharType="begin"/>
                </w:r>
                <w:r w:rsidR="000812F9" w:rsidRPr="00995557">
                  <w:rPr>
                    <w:b w:val="0"/>
                    <w:webHidden/>
                  </w:rPr>
                  <w:instrText xml:space="preserve"> PAGEREF _Toc58399116 \h </w:instrText>
                </w:r>
                <w:r w:rsidR="000812F9" w:rsidRPr="00995557">
                  <w:rPr>
                    <w:b w:val="0"/>
                    <w:webHidden/>
                  </w:rPr>
                </w:r>
                <w:r w:rsidR="000812F9" w:rsidRPr="00995557">
                  <w:rPr>
                    <w:b w:val="0"/>
                    <w:webHidden/>
                  </w:rPr>
                  <w:fldChar w:fldCharType="separate"/>
                </w:r>
                <w:r w:rsidR="00EA7129">
                  <w:rPr>
                    <w:b w:val="0"/>
                    <w:webHidden/>
                  </w:rPr>
                  <w:t>14</w:t>
                </w:r>
                <w:r w:rsidR="000812F9" w:rsidRPr="00995557">
                  <w:rPr>
                    <w:b w:val="0"/>
                    <w:webHidden/>
                  </w:rPr>
                  <w:fldChar w:fldCharType="end"/>
                </w:r>
              </w:hyperlink>
            </w:p>
            <w:p w14:paraId="31696105" w14:textId="1775E248" w:rsidR="000812F9" w:rsidRPr="00995557" w:rsidRDefault="008E78EF" w:rsidP="00AA627A">
              <w:pPr>
                <w:pStyle w:val="TDC2"/>
                <w:rPr>
                  <w:rFonts w:eastAsiaTheme="minorEastAsia" w:cstheme="minorBidi"/>
                  <w:lang w:eastAsia="es-ES_tradnl"/>
                </w:rPr>
              </w:pPr>
              <w:hyperlink w:anchor="_Toc58399117" w:history="1">
                <w:r w:rsidR="000812F9" w:rsidRPr="00995557">
                  <w:rPr>
                    <w:rStyle w:val="Hipervnculo"/>
                    <w:b w:val="0"/>
                  </w:rPr>
                  <w:t>B. Operativo efectuado por la Guardia Nacional el 10 de noviembre de 2003</w:t>
                </w:r>
                <w:r w:rsidR="000812F9" w:rsidRPr="00995557">
                  <w:rPr>
                    <w:webHidden/>
                  </w:rPr>
                  <w:tab/>
                </w:r>
                <w:r w:rsidR="000812F9" w:rsidRPr="00995557">
                  <w:rPr>
                    <w:b w:val="0"/>
                    <w:webHidden/>
                  </w:rPr>
                  <w:fldChar w:fldCharType="begin"/>
                </w:r>
                <w:r w:rsidR="000812F9" w:rsidRPr="00995557">
                  <w:rPr>
                    <w:b w:val="0"/>
                    <w:webHidden/>
                  </w:rPr>
                  <w:instrText xml:space="preserve"> PAGEREF _Toc58399117 \h </w:instrText>
                </w:r>
                <w:r w:rsidR="000812F9" w:rsidRPr="00995557">
                  <w:rPr>
                    <w:b w:val="0"/>
                    <w:webHidden/>
                  </w:rPr>
                </w:r>
                <w:r w:rsidR="000812F9" w:rsidRPr="00995557">
                  <w:rPr>
                    <w:b w:val="0"/>
                    <w:webHidden/>
                  </w:rPr>
                  <w:fldChar w:fldCharType="separate"/>
                </w:r>
                <w:r w:rsidR="00EA7129">
                  <w:rPr>
                    <w:b w:val="0"/>
                    <w:webHidden/>
                  </w:rPr>
                  <w:t>15</w:t>
                </w:r>
                <w:r w:rsidR="000812F9" w:rsidRPr="00995557">
                  <w:rPr>
                    <w:b w:val="0"/>
                    <w:webHidden/>
                  </w:rPr>
                  <w:fldChar w:fldCharType="end"/>
                </w:r>
              </w:hyperlink>
            </w:p>
            <w:p w14:paraId="32BBD05D" w14:textId="7FA6FEE7" w:rsidR="000812F9" w:rsidRPr="00995557" w:rsidRDefault="008E78EF" w:rsidP="00AA627A">
              <w:pPr>
                <w:pStyle w:val="TDC2"/>
                <w:rPr>
                  <w:rFonts w:eastAsiaTheme="minorEastAsia" w:cstheme="minorBidi"/>
                  <w:lang w:eastAsia="es-ES_tradnl"/>
                </w:rPr>
              </w:pPr>
              <w:hyperlink w:anchor="_Toc58399118" w:history="1">
                <w:r w:rsidR="000812F9" w:rsidRPr="00995557">
                  <w:rPr>
                    <w:rStyle w:val="Hipervnculo"/>
                    <w:b w:val="0"/>
                  </w:rPr>
                  <w:t>B.1. Personas privadas de libertad fallecidas y lesionadas</w:t>
                </w:r>
                <w:r w:rsidR="000812F9" w:rsidRPr="00995557">
                  <w:rPr>
                    <w:webHidden/>
                  </w:rPr>
                  <w:tab/>
                </w:r>
                <w:r w:rsidR="000812F9" w:rsidRPr="00995557">
                  <w:rPr>
                    <w:b w:val="0"/>
                    <w:webHidden/>
                  </w:rPr>
                  <w:fldChar w:fldCharType="begin"/>
                </w:r>
                <w:r w:rsidR="000812F9" w:rsidRPr="00995557">
                  <w:rPr>
                    <w:b w:val="0"/>
                    <w:webHidden/>
                  </w:rPr>
                  <w:instrText xml:space="preserve"> PAGEREF _Toc58399118 \h </w:instrText>
                </w:r>
                <w:r w:rsidR="000812F9" w:rsidRPr="00995557">
                  <w:rPr>
                    <w:b w:val="0"/>
                    <w:webHidden/>
                  </w:rPr>
                </w:r>
                <w:r w:rsidR="000812F9" w:rsidRPr="00995557">
                  <w:rPr>
                    <w:b w:val="0"/>
                    <w:webHidden/>
                  </w:rPr>
                  <w:fldChar w:fldCharType="separate"/>
                </w:r>
                <w:r w:rsidR="00EA7129">
                  <w:rPr>
                    <w:b w:val="0"/>
                    <w:webHidden/>
                  </w:rPr>
                  <w:t>16</w:t>
                </w:r>
                <w:r w:rsidR="000812F9" w:rsidRPr="00995557">
                  <w:rPr>
                    <w:b w:val="0"/>
                    <w:webHidden/>
                  </w:rPr>
                  <w:fldChar w:fldCharType="end"/>
                </w:r>
              </w:hyperlink>
            </w:p>
            <w:p w14:paraId="6A354790" w14:textId="0F3F3000" w:rsidR="000812F9" w:rsidRPr="00995557" w:rsidRDefault="008E78EF" w:rsidP="00AA627A">
              <w:pPr>
                <w:pStyle w:val="TDC2"/>
                <w:rPr>
                  <w:rFonts w:eastAsiaTheme="minorEastAsia" w:cstheme="minorBidi"/>
                  <w:lang w:eastAsia="es-ES_tradnl"/>
                </w:rPr>
              </w:pPr>
              <w:hyperlink w:anchor="_Toc58399119" w:history="1">
                <w:r w:rsidR="000812F9" w:rsidRPr="00995557">
                  <w:rPr>
                    <w:rStyle w:val="Hipervnculo"/>
                    <w:b w:val="0"/>
                  </w:rPr>
                  <w:t>C. Investigación y proceso judicial ante la jurisdicción interna</w:t>
                </w:r>
                <w:r w:rsidR="000812F9" w:rsidRPr="00995557">
                  <w:rPr>
                    <w:webHidden/>
                  </w:rPr>
                  <w:tab/>
                </w:r>
                <w:r w:rsidR="000812F9" w:rsidRPr="00995557">
                  <w:rPr>
                    <w:b w:val="0"/>
                    <w:webHidden/>
                  </w:rPr>
                  <w:fldChar w:fldCharType="begin"/>
                </w:r>
                <w:r w:rsidR="000812F9" w:rsidRPr="00995557">
                  <w:rPr>
                    <w:b w:val="0"/>
                    <w:webHidden/>
                  </w:rPr>
                  <w:instrText xml:space="preserve"> PAGEREF _Toc58399119 \h </w:instrText>
                </w:r>
                <w:r w:rsidR="000812F9" w:rsidRPr="00995557">
                  <w:rPr>
                    <w:b w:val="0"/>
                    <w:webHidden/>
                  </w:rPr>
                </w:r>
                <w:r w:rsidR="000812F9" w:rsidRPr="00995557">
                  <w:rPr>
                    <w:b w:val="0"/>
                    <w:webHidden/>
                  </w:rPr>
                  <w:fldChar w:fldCharType="separate"/>
                </w:r>
                <w:r w:rsidR="00EA7129">
                  <w:rPr>
                    <w:b w:val="0"/>
                    <w:webHidden/>
                  </w:rPr>
                  <w:t>17</w:t>
                </w:r>
                <w:r w:rsidR="000812F9" w:rsidRPr="00995557">
                  <w:rPr>
                    <w:b w:val="0"/>
                    <w:webHidden/>
                  </w:rPr>
                  <w:fldChar w:fldCharType="end"/>
                </w:r>
              </w:hyperlink>
            </w:p>
            <w:p w14:paraId="19075FF8" w14:textId="3FBCB81B" w:rsidR="000812F9" w:rsidRPr="00995557" w:rsidRDefault="008E78EF" w:rsidP="00AA627A">
              <w:pPr>
                <w:pStyle w:val="TDC2"/>
                <w:rPr>
                  <w:rFonts w:eastAsiaTheme="minorEastAsia" w:cstheme="minorBidi"/>
                  <w:lang w:eastAsia="es-ES_tradnl"/>
                </w:rPr>
              </w:pPr>
              <w:hyperlink w:anchor="_Toc58399120" w:history="1">
                <w:r w:rsidR="000812F9" w:rsidRPr="00995557">
                  <w:rPr>
                    <w:rStyle w:val="Hipervnculo"/>
                    <w:b w:val="0"/>
                  </w:rPr>
                  <w:t>C.1. Investigación de los hechos</w:t>
                </w:r>
                <w:r w:rsidR="000812F9" w:rsidRPr="00995557">
                  <w:rPr>
                    <w:webHidden/>
                  </w:rPr>
                  <w:tab/>
                </w:r>
                <w:r w:rsidR="000812F9" w:rsidRPr="00995557">
                  <w:rPr>
                    <w:b w:val="0"/>
                    <w:webHidden/>
                  </w:rPr>
                  <w:fldChar w:fldCharType="begin"/>
                </w:r>
                <w:r w:rsidR="000812F9" w:rsidRPr="00995557">
                  <w:rPr>
                    <w:b w:val="0"/>
                    <w:webHidden/>
                  </w:rPr>
                  <w:instrText xml:space="preserve"> PAGEREF _Toc58399120 \h </w:instrText>
                </w:r>
                <w:r w:rsidR="000812F9" w:rsidRPr="00995557">
                  <w:rPr>
                    <w:b w:val="0"/>
                    <w:webHidden/>
                  </w:rPr>
                </w:r>
                <w:r w:rsidR="000812F9" w:rsidRPr="00995557">
                  <w:rPr>
                    <w:b w:val="0"/>
                    <w:webHidden/>
                  </w:rPr>
                  <w:fldChar w:fldCharType="separate"/>
                </w:r>
                <w:r w:rsidR="00EA7129">
                  <w:rPr>
                    <w:b w:val="0"/>
                    <w:webHidden/>
                  </w:rPr>
                  <w:t>17</w:t>
                </w:r>
                <w:r w:rsidR="000812F9" w:rsidRPr="00995557">
                  <w:rPr>
                    <w:b w:val="0"/>
                    <w:webHidden/>
                  </w:rPr>
                  <w:fldChar w:fldCharType="end"/>
                </w:r>
              </w:hyperlink>
            </w:p>
            <w:p w14:paraId="4AF95BD9" w14:textId="18B301D5" w:rsidR="000812F9" w:rsidRPr="00995557" w:rsidRDefault="008E78EF" w:rsidP="00AA627A">
              <w:pPr>
                <w:pStyle w:val="TDC2"/>
                <w:rPr>
                  <w:rFonts w:eastAsiaTheme="minorEastAsia" w:cstheme="minorBidi"/>
                  <w:lang w:eastAsia="es-ES_tradnl"/>
                </w:rPr>
              </w:pPr>
              <w:hyperlink w:anchor="_Toc58399121" w:history="1">
                <w:r w:rsidR="000812F9" w:rsidRPr="00995557">
                  <w:rPr>
                    <w:rStyle w:val="Hipervnculo"/>
                    <w:b w:val="0"/>
                  </w:rPr>
                  <w:t>C.2. Autopsias y exhumaciones de los cadáveres</w:t>
                </w:r>
                <w:r w:rsidR="000812F9" w:rsidRPr="00995557">
                  <w:rPr>
                    <w:webHidden/>
                  </w:rPr>
                  <w:tab/>
                </w:r>
                <w:r w:rsidR="000812F9" w:rsidRPr="00995557">
                  <w:rPr>
                    <w:b w:val="0"/>
                    <w:webHidden/>
                  </w:rPr>
                  <w:fldChar w:fldCharType="begin"/>
                </w:r>
                <w:r w:rsidR="000812F9" w:rsidRPr="00995557">
                  <w:rPr>
                    <w:b w:val="0"/>
                    <w:webHidden/>
                  </w:rPr>
                  <w:instrText xml:space="preserve"> PAGEREF _Toc58399121 \h </w:instrText>
                </w:r>
                <w:r w:rsidR="000812F9" w:rsidRPr="00995557">
                  <w:rPr>
                    <w:b w:val="0"/>
                    <w:webHidden/>
                  </w:rPr>
                </w:r>
                <w:r w:rsidR="000812F9" w:rsidRPr="00995557">
                  <w:rPr>
                    <w:b w:val="0"/>
                    <w:webHidden/>
                  </w:rPr>
                  <w:fldChar w:fldCharType="separate"/>
                </w:r>
                <w:r w:rsidR="00EA7129">
                  <w:rPr>
                    <w:b w:val="0"/>
                    <w:webHidden/>
                  </w:rPr>
                  <w:t>17</w:t>
                </w:r>
                <w:r w:rsidR="000812F9" w:rsidRPr="00995557">
                  <w:rPr>
                    <w:b w:val="0"/>
                    <w:webHidden/>
                  </w:rPr>
                  <w:fldChar w:fldCharType="end"/>
                </w:r>
              </w:hyperlink>
            </w:p>
            <w:p w14:paraId="5B457ADB" w14:textId="1ABCF3AD" w:rsidR="000812F9" w:rsidRPr="00995557" w:rsidRDefault="008E78EF" w:rsidP="00AA627A">
              <w:pPr>
                <w:pStyle w:val="TDC2"/>
                <w:rPr>
                  <w:rFonts w:eastAsiaTheme="minorEastAsia" w:cstheme="minorBidi"/>
                  <w:lang w:eastAsia="es-ES_tradnl"/>
                </w:rPr>
              </w:pPr>
              <w:hyperlink w:anchor="_Toc58399122" w:history="1">
                <w:r w:rsidR="000812F9" w:rsidRPr="00995557">
                  <w:rPr>
                    <w:rStyle w:val="Hipervnculo"/>
                    <w:b w:val="0"/>
                  </w:rPr>
                  <w:t>C.3. Proceso judicial</w:t>
                </w:r>
                <w:r w:rsidR="000812F9" w:rsidRPr="00995557">
                  <w:rPr>
                    <w:webHidden/>
                  </w:rPr>
                  <w:tab/>
                </w:r>
                <w:r w:rsidR="007B7134" w:rsidRPr="00995557">
                  <w:rPr>
                    <w:b w:val="0"/>
                    <w:webHidden/>
                  </w:rPr>
                  <w:t>20</w:t>
                </w:r>
              </w:hyperlink>
            </w:p>
            <w:p w14:paraId="13871A66" w14:textId="690B0518" w:rsidR="000812F9" w:rsidRPr="00995557" w:rsidRDefault="008E78EF" w:rsidP="00AA627A">
              <w:pPr>
                <w:pStyle w:val="TDC1"/>
                <w:spacing w:before="80" w:after="80"/>
                <w:rPr>
                  <w:rFonts w:eastAsiaTheme="minorEastAsia" w:cstheme="minorBidi"/>
                  <w:b w:val="0"/>
                  <w:bCs w:val="0"/>
                  <w:lang w:eastAsia="es-ES_tradnl"/>
                </w:rPr>
              </w:pPr>
              <w:hyperlink w:anchor="_Toc58399123" w:history="1">
                <w:r w:rsidR="000812F9" w:rsidRPr="00995557">
                  <w:rPr>
                    <w:rStyle w:val="Hipervnculo"/>
                  </w:rPr>
                  <w:t>VIII FONDO</w:t>
                </w:r>
                <w:r w:rsidR="000812F9" w:rsidRPr="00995557">
                  <w:rPr>
                    <w:webHidden/>
                  </w:rPr>
                  <w:tab/>
                </w:r>
                <w:r w:rsidR="000812F9" w:rsidRPr="00995557">
                  <w:rPr>
                    <w:webHidden/>
                  </w:rPr>
                  <w:fldChar w:fldCharType="begin"/>
                </w:r>
                <w:r w:rsidR="000812F9" w:rsidRPr="00995557">
                  <w:rPr>
                    <w:webHidden/>
                  </w:rPr>
                  <w:instrText xml:space="preserve"> PAGEREF _Toc58399123 \h </w:instrText>
                </w:r>
                <w:r w:rsidR="000812F9" w:rsidRPr="00995557">
                  <w:rPr>
                    <w:webHidden/>
                  </w:rPr>
                </w:r>
                <w:r w:rsidR="000812F9" w:rsidRPr="00995557">
                  <w:rPr>
                    <w:webHidden/>
                  </w:rPr>
                  <w:fldChar w:fldCharType="separate"/>
                </w:r>
                <w:r w:rsidR="00EA7129">
                  <w:rPr>
                    <w:webHidden/>
                  </w:rPr>
                  <w:t>23</w:t>
                </w:r>
                <w:r w:rsidR="000812F9" w:rsidRPr="00995557">
                  <w:rPr>
                    <w:webHidden/>
                  </w:rPr>
                  <w:fldChar w:fldCharType="end"/>
                </w:r>
              </w:hyperlink>
            </w:p>
            <w:p w14:paraId="410C71AD" w14:textId="3B3C95A5" w:rsidR="000812F9" w:rsidRPr="00995557" w:rsidRDefault="008E78EF" w:rsidP="00AA627A">
              <w:pPr>
                <w:pStyle w:val="TDC1"/>
                <w:spacing w:before="80" w:after="80"/>
                <w:rPr>
                  <w:rFonts w:eastAsiaTheme="minorEastAsia" w:cstheme="minorBidi"/>
                  <w:b w:val="0"/>
                  <w:bCs w:val="0"/>
                  <w:lang w:eastAsia="es-ES_tradnl"/>
                </w:rPr>
              </w:pPr>
              <w:hyperlink w:anchor="_Toc58399124" w:history="1">
                <w:r w:rsidR="000812F9" w:rsidRPr="00995557">
                  <w:rPr>
                    <w:rStyle w:val="Hipervnculo"/>
                  </w:rPr>
                  <w:t xml:space="preserve">VIII.1 DERECHOS A LA VIDA Y A LA INTEGRIDAD PERSONAL, </w:t>
                </w:r>
                <w:r w:rsidR="00503519" w:rsidRPr="00995557">
                  <w:t>EN RELACIÓN CON LAS OBLIGACIONES DE RESPETAR Y GARANTIZAR LOS DERECHOS Y DE</w:t>
                </w:r>
                <w:r w:rsidR="00503519" w:rsidRPr="00995557">
                  <w:rPr>
                    <w:rStyle w:val="Hipervnculo"/>
                  </w:rPr>
                  <w:t xml:space="preserve"> </w:t>
                </w:r>
                <w:r w:rsidR="000812F9" w:rsidRPr="00995557">
                  <w:rPr>
                    <w:rStyle w:val="Hipervnculo"/>
                  </w:rPr>
                  <w:t>ADOPTAR DISPOSICIONES DE DERECHO INTERNO</w:t>
                </w:r>
                <w:r w:rsidR="000812F9" w:rsidRPr="00995557">
                  <w:rPr>
                    <w:webHidden/>
                  </w:rPr>
                  <w:tab/>
                </w:r>
                <w:r w:rsidR="000812F9" w:rsidRPr="00995557">
                  <w:rPr>
                    <w:webHidden/>
                  </w:rPr>
                  <w:fldChar w:fldCharType="begin"/>
                </w:r>
                <w:r w:rsidR="000812F9" w:rsidRPr="00995557">
                  <w:rPr>
                    <w:webHidden/>
                  </w:rPr>
                  <w:instrText xml:space="preserve"> PAGEREF _Toc58399124 \h </w:instrText>
                </w:r>
                <w:r w:rsidR="000812F9" w:rsidRPr="00995557">
                  <w:rPr>
                    <w:webHidden/>
                  </w:rPr>
                </w:r>
                <w:r w:rsidR="000812F9" w:rsidRPr="00995557">
                  <w:rPr>
                    <w:webHidden/>
                  </w:rPr>
                  <w:fldChar w:fldCharType="separate"/>
                </w:r>
                <w:r w:rsidR="00EA7129">
                  <w:rPr>
                    <w:webHidden/>
                  </w:rPr>
                  <w:t>23</w:t>
                </w:r>
                <w:r w:rsidR="000812F9" w:rsidRPr="00995557">
                  <w:rPr>
                    <w:webHidden/>
                  </w:rPr>
                  <w:fldChar w:fldCharType="end"/>
                </w:r>
              </w:hyperlink>
            </w:p>
            <w:p w14:paraId="1571E3A6" w14:textId="70E22919" w:rsidR="000812F9" w:rsidRPr="00995557" w:rsidRDefault="008E78EF" w:rsidP="00AA627A">
              <w:pPr>
                <w:pStyle w:val="TDC2"/>
                <w:rPr>
                  <w:rFonts w:eastAsiaTheme="minorEastAsia" w:cstheme="minorBidi"/>
                  <w:lang w:eastAsia="es-ES_tradnl"/>
                </w:rPr>
              </w:pPr>
              <w:hyperlink w:anchor="_Toc58399125" w:history="1">
                <w:r w:rsidR="000812F9" w:rsidRPr="00995557">
                  <w:rPr>
                    <w:rStyle w:val="Hipervnculo"/>
                    <w:b w:val="0"/>
                  </w:rPr>
                  <w:t>A.</w:t>
                </w:r>
                <w:r w:rsidR="0034605B" w:rsidRPr="00995557">
                  <w:rPr>
                    <w:rFonts w:eastAsiaTheme="minorEastAsia" w:cstheme="minorBidi"/>
                    <w:b w:val="0"/>
                    <w:lang w:eastAsia="es-ES_tradnl"/>
                  </w:rPr>
                  <w:t xml:space="preserve"> </w:t>
                </w:r>
                <w:r w:rsidR="000812F9" w:rsidRPr="00995557">
                  <w:rPr>
                    <w:rStyle w:val="Hipervnculo"/>
                    <w:b w:val="0"/>
                  </w:rPr>
                  <w:t>Alegatos de las partes y de la Comisión</w:t>
                </w:r>
                <w:r w:rsidR="000812F9" w:rsidRPr="00995557">
                  <w:rPr>
                    <w:webHidden/>
                  </w:rPr>
                  <w:tab/>
                </w:r>
                <w:r w:rsidR="000812F9" w:rsidRPr="00995557">
                  <w:rPr>
                    <w:b w:val="0"/>
                    <w:webHidden/>
                  </w:rPr>
                  <w:fldChar w:fldCharType="begin"/>
                </w:r>
                <w:r w:rsidR="000812F9" w:rsidRPr="00995557">
                  <w:rPr>
                    <w:b w:val="0"/>
                    <w:webHidden/>
                  </w:rPr>
                  <w:instrText xml:space="preserve"> PAGEREF _Toc58399125 \h </w:instrText>
                </w:r>
                <w:r w:rsidR="000812F9" w:rsidRPr="00995557">
                  <w:rPr>
                    <w:b w:val="0"/>
                    <w:webHidden/>
                  </w:rPr>
                </w:r>
                <w:r w:rsidR="000812F9" w:rsidRPr="00995557">
                  <w:rPr>
                    <w:b w:val="0"/>
                    <w:webHidden/>
                  </w:rPr>
                  <w:fldChar w:fldCharType="separate"/>
                </w:r>
                <w:r w:rsidR="00EA7129">
                  <w:rPr>
                    <w:b w:val="0"/>
                    <w:webHidden/>
                  </w:rPr>
                  <w:t>23</w:t>
                </w:r>
                <w:r w:rsidR="000812F9" w:rsidRPr="00995557">
                  <w:rPr>
                    <w:b w:val="0"/>
                    <w:webHidden/>
                  </w:rPr>
                  <w:fldChar w:fldCharType="end"/>
                </w:r>
              </w:hyperlink>
            </w:p>
            <w:p w14:paraId="7A3E7582" w14:textId="18E929B0" w:rsidR="0034605B" w:rsidRPr="00995557" w:rsidRDefault="008E78EF" w:rsidP="00AA627A">
              <w:pPr>
                <w:pStyle w:val="TDC2"/>
              </w:pPr>
              <w:hyperlink w:anchor="_Toc58399126" w:history="1">
                <w:r w:rsidR="0034605B" w:rsidRPr="00995557">
                  <w:rPr>
                    <w:rStyle w:val="Hipervnculo"/>
                    <w:b w:val="0"/>
                  </w:rPr>
                  <w:t>B.</w:t>
                </w:r>
                <w:r w:rsidR="0034605B" w:rsidRPr="00995557">
                  <w:rPr>
                    <w:rFonts w:eastAsiaTheme="minorEastAsia" w:cstheme="minorBidi"/>
                    <w:b w:val="0"/>
                    <w:lang w:eastAsia="es-ES_tradnl"/>
                  </w:rPr>
                  <w:t xml:space="preserve"> </w:t>
                </w:r>
                <w:r w:rsidR="000812F9" w:rsidRPr="00995557">
                  <w:rPr>
                    <w:rStyle w:val="Hipervnculo"/>
                    <w:b w:val="0"/>
                  </w:rPr>
                  <w:t>Consideraciones de la Corte</w:t>
                </w:r>
                <w:r w:rsidR="000812F9" w:rsidRPr="00995557">
                  <w:rPr>
                    <w:webHidden/>
                  </w:rPr>
                  <w:tab/>
                </w:r>
                <w:r w:rsidR="000812F9" w:rsidRPr="00995557">
                  <w:rPr>
                    <w:b w:val="0"/>
                    <w:webHidden/>
                  </w:rPr>
                  <w:fldChar w:fldCharType="begin"/>
                </w:r>
                <w:r w:rsidR="000812F9" w:rsidRPr="00995557">
                  <w:rPr>
                    <w:b w:val="0"/>
                    <w:webHidden/>
                  </w:rPr>
                  <w:instrText xml:space="preserve"> PAGEREF _Toc58399126 \h </w:instrText>
                </w:r>
                <w:r w:rsidR="000812F9" w:rsidRPr="00995557">
                  <w:rPr>
                    <w:b w:val="0"/>
                    <w:webHidden/>
                  </w:rPr>
                </w:r>
                <w:r w:rsidR="000812F9" w:rsidRPr="00995557">
                  <w:rPr>
                    <w:b w:val="0"/>
                    <w:webHidden/>
                  </w:rPr>
                  <w:fldChar w:fldCharType="separate"/>
                </w:r>
                <w:r w:rsidR="00EA7129">
                  <w:rPr>
                    <w:b w:val="0"/>
                    <w:webHidden/>
                  </w:rPr>
                  <w:t>24</w:t>
                </w:r>
                <w:r w:rsidR="000812F9" w:rsidRPr="00995557">
                  <w:rPr>
                    <w:b w:val="0"/>
                    <w:webHidden/>
                  </w:rPr>
                  <w:fldChar w:fldCharType="end"/>
                </w:r>
              </w:hyperlink>
            </w:p>
            <w:p w14:paraId="4F02A00A" w14:textId="02852981" w:rsidR="0034605B" w:rsidRPr="00995557" w:rsidRDefault="0034605B" w:rsidP="00AA627A">
              <w:pPr>
                <w:pStyle w:val="TDC2"/>
              </w:pPr>
              <w:r w:rsidRPr="00995557">
                <w:rPr>
                  <w:b w:val="0"/>
                </w:rPr>
                <w:t>B.1. La responsabilidad del Estado por las muertes y lesiones ocasionadas a personas privadas de libertad en la cárcel de Vista Hermosa</w:t>
              </w:r>
              <w:r w:rsidR="00BD5B2F" w:rsidRPr="00995557">
                <w:rPr>
                  <w:b w:val="0"/>
                </w:rPr>
                <w:t xml:space="preserve">              </w:t>
              </w:r>
              <w:r w:rsidR="005B7DB7" w:rsidRPr="00995557">
                <w:rPr>
                  <w:b w:val="0"/>
                </w:rPr>
                <w:t xml:space="preserve">  </w:t>
              </w:r>
              <w:r w:rsidR="005B7DB7" w:rsidRPr="00995557">
                <w:t xml:space="preserve">                             </w:t>
              </w:r>
              <w:r w:rsidR="0055118B" w:rsidRPr="00995557">
                <w:tab/>
              </w:r>
              <w:r w:rsidR="00BD5B2F" w:rsidRPr="00995557">
                <w:rPr>
                  <w:b w:val="0"/>
                </w:rPr>
                <w:t>25</w:t>
              </w:r>
            </w:p>
            <w:p w14:paraId="5662CCC6" w14:textId="0E73EC50" w:rsidR="000812F9" w:rsidRPr="00995557" w:rsidRDefault="008E78EF" w:rsidP="00AA627A">
              <w:pPr>
                <w:pStyle w:val="TDC1"/>
                <w:spacing w:before="80" w:after="80"/>
                <w:rPr>
                  <w:rFonts w:eastAsiaTheme="minorEastAsia" w:cstheme="minorBidi"/>
                  <w:b w:val="0"/>
                  <w:bCs w:val="0"/>
                  <w:lang w:eastAsia="es-ES_tradnl"/>
                </w:rPr>
              </w:pPr>
              <w:hyperlink w:anchor="_Toc58399127" w:history="1">
                <w:r w:rsidR="000812F9" w:rsidRPr="00995557">
                  <w:rPr>
                    <w:rStyle w:val="Hipervnculo"/>
                  </w:rPr>
                  <w:t>VIII.2 DERECHOS A LAS GARANTÍAS JUDICIA</w:t>
                </w:r>
                <w:r w:rsidR="00503519" w:rsidRPr="00995557">
                  <w:rPr>
                    <w:rStyle w:val="Hipervnculo"/>
                  </w:rPr>
                  <w:t>LES Y A LA PROTECCIÓN JUDICIAL, EN RELACIÓN CON LAS OBLIGACIONES DE RESPETAR Y GARANTIZAR LOS DERECHOS</w:t>
                </w:r>
                <w:r w:rsidR="0033399D" w:rsidRPr="00995557">
                  <w:rPr>
                    <w:rStyle w:val="Hipervnculo"/>
                  </w:rPr>
                  <w:t xml:space="preserve"> Y</w:t>
                </w:r>
                <w:r w:rsidR="000812F9" w:rsidRPr="00995557">
                  <w:rPr>
                    <w:rStyle w:val="Hipervnculo"/>
                  </w:rPr>
                  <w:t xml:space="preserve"> DE INVESTIGAR POSIBLES ACTOS DE TORTURA</w:t>
                </w:r>
                <w:r w:rsidR="000812F9" w:rsidRPr="00995557">
                  <w:rPr>
                    <w:webHidden/>
                  </w:rPr>
                  <w:tab/>
                </w:r>
                <w:r w:rsidR="000812F9" w:rsidRPr="00995557">
                  <w:rPr>
                    <w:webHidden/>
                  </w:rPr>
                  <w:fldChar w:fldCharType="begin"/>
                </w:r>
                <w:r w:rsidR="000812F9" w:rsidRPr="00995557">
                  <w:rPr>
                    <w:webHidden/>
                  </w:rPr>
                  <w:instrText xml:space="preserve"> PAGEREF _Toc58399127 \h </w:instrText>
                </w:r>
                <w:r w:rsidR="000812F9" w:rsidRPr="00995557">
                  <w:rPr>
                    <w:webHidden/>
                  </w:rPr>
                </w:r>
                <w:r w:rsidR="000812F9" w:rsidRPr="00995557">
                  <w:rPr>
                    <w:webHidden/>
                  </w:rPr>
                  <w:fldChar w:fldCharType="separate"/>
                </w:r>
                <w:r w:rsidR="00EA7129">
                  <w:rPr>
                    <w:webHidden/>
                  </w:rPr>
                  <w:t>32</w:t>
                </w:r>
                <w:r w:rsidR="000812F9" w:rsidRPr="00995557">
                  <w:rPr>
                    <w:webHidden/>
                  </w:rPr>
                  <w:fldChar w:fldCharType="end"/>
                </w:r>
              </w:hyperlink>
            </w:p>
            <w:p w14:paraId="2756993B" w14:textId="20069578" w:rsidR="000812F9" w:rsidRPr="00995557" w:rsidRDefault="008E78EF" w:rsidP="00AA627A">
              <w:pPr>
                <w:pStyle w:val="TDC2"/>
                <w:rPr>
                  <w:rFonts w:eastAsiaTheme="minorEastAsia" w:cstheme="minorBidi"/>
                  <w:lang w:eastAsia="es-ES_tradnl"/>
                </w:rPr>
              </w:pPr>
              <w:hyperlink w:anchor="_Toc58399128" w:history="1">
                <w:r w:rsidR="000812F9" w:rsidRPr="00995557">
                  <w:rPr>
                    <w:rStyle w:val="Hipervnculo"/>
                    <w:b w:val="0"/>
                  </w:rPr>
                  <w:t>A.</w:t>
                </w:r>
                <w:r w:rsidR="0034605B" w:rsidRPr="00995557">
                  <w:rPr>
                    <w:rFonts w:eastAsiaTheme="minorEastAsia" w:cstheme="minorBidi"/>
                    <w:b w:val="0"/>
                    <w:lang w:eastAsia="es-ES_tradnl"/>
                  </w:rPr>
                  <w:t xml:space="preserve"> </w:t>
                </w:r>
                <w:r w:rsidR="000812F9" w:rsidRPr="00995557">
                  <w:rPr>
                    <w:rStyle w:val="Hipervnculo"/>
                    <w:b w:val="0"/>
                  </w:rPr>
                  <w:t>Alegatos de las partes y de la Comisión</w:t>
                </w:r>
                <w:r w:rsidR="000812F9" w:rsidRPr="00995557">
                  <w:rPr>
                    <w:webHidden/>
                  </w:rPr>
                  <w:tab/>
                </w:r>
                <w:r w:rsidR="000812F9" w:rsidRPr="00995557">
                  <w:rPr>
                    <w:b w:val="0"/>
                    <w:webHidden/>
                  </w:rPr>
                  <w:fldChar w:fldCharType="begin"/>
                </w:r>
                <w:r w:rsidR="000812F9" w:rsidRPr="00995557">
                  <w:rPr>
                    <w:b w:val="0"/>
                    <w:webHidden/>
                  </w:rPr>
                  <w:instrText xml:space="preserve"> PAGEREF _Toc58399128 \h </w:instrText>
                </w:r>
                <w:r w:rsidR="000812F9" w:rsidRPr="00995557">
                  <w:rPr>
                    <w:b w:val="0"/>
                    <w:webHidden/>
                  </w:rPr>
                </w:r>
                <w:r w:rsidR="000812F9" w:rsidRPr="00995557">
                  <w:rPr>
                    <w:b w:val="0"/>
                    <w:webHidden/>
                  </w:rPr>
                  <w:fldChar w:fldCharType="separate"/>
                </w:r>
                <w:r w:rsidR="00EA7129">
                  <w:rPr>
                    <w:b w:val="0"/>
                    <w:webHidden/>
                  </w:rPr>
                  <w:t>32</w:t>
                </w:r>
                <w:r w:rsidR="000812F9" w:rsidRPr="00995557">
                  <w:rPr>
                    <w:b w:val="0"/>
                    <w:webHidden/>
                  </w:rPr>
                  <w:fldChar w:fldCharType="end"/>
                </w:r>
              </w:hyperlink>
            </w:p>
            <w:p w14:paraId="5E4469E4" w14:textId="3385843B" w:rsidR="006764C3" w:rsidRPr="00995557" w:rsidRDefault="008E78EF" w:rsidP="00AA627A">
              <w:pPr>
                <w:pStyle w:val="TDC2"/>
                <w:rPr>
                  <w:rFonts w:eastAsiaTheme="minorEastAsia" w:cstheme="minorBidi"/>
                  <w:lang w:eastAsia="es-ES_tradnl"/>
                </w:rPr>
              </w:pPr>
              <w:hyperlink w:anchor="_Toc58399129" w:history="1">
                <w:r w:rsidR="000812F9" w:rsidRPr="00995557">
                  <w:rPr>
                    <w:rStyle w:val="Hipervnculo"/>
                    <w:b w:val="0"/>
                  </w:rPr>
                  <w:t>B.</w:t>
                </w:r>
                <w:r w:rsidR="0034605B" w:rsidRPr="00995557">
                  <w:rPr>
                    <w:rFonts w:eastAsiaTheme="minorEastAsia" w:cstheme="minorBidi"/>
                    <w:b w:val="0"/>
                    <w:lang w:eastAsia="es-ES_tradnl"/>
                  </w:rPr>
                  <w:t xml:space="preserve"> </w:t>
                </w:r>
                <w:r w:rsidR="000812F9" w:rsidRPr="00995557">
                  <w:rPr>
                    <w:rStyle w:val="Hipervnculo"/>
                    <w:b w:val="0"/>
                  </w:rPr>
                  <w:t>Consideraciones de la Corte</w:t>
                </w:r>
                <w:r w:rsidR="000812F9" w:rsidRPr="00995557">
                  <w:rPr>
                    <w:webHidden/>
                  </w:rPr>
                  <w:tab/>
                </w:r>
                <w:r w:rsidR="000812F9" w:rsidRPr="00995557">
                  <w:rPr>
                    <w:b w:val="0"/>
                    <w:webHidden/>
                  </w:rPr>
                  <w:fldChar w:fldCharType="begin"/>
                </w:r>
                <w:r w:rsidR="000812F9" w:rsidRPr="00995557">
                  <w:rPr>
                    <w:b w:val="0"/>
                    <w:webHidden/>
                  </w:rPr>
                  <w:instrText xml:space="preserve"> PAGEREF _Toc58399129 \h </w:instrText>
                </w:r>
                <w:r w:rsidR="000812F9" w:rsidRPr="00995557">
                  <w:rPr>
                    <w:b w:val="0"/>
                    <w:webHidden/>
                  </w:rPr>
                </w:r>
                <w:r w:rsidR="000812F9" w:rsidRPr="00995557">
                  <w:rPr>
                    <w:b w:val="0"/>
                    <w:webHidden/>
                  </w:rPr>
                  <w:fldChar w:fldCharType="separate"/>
                </w:r>
                <w:r w:rsidR="00EA7129">
                  <w:rPr>
                    <w:b w:val="0"/>
                    <w:webHidden/>
                  </w:rPr>
                  <w:t>33</w:t>
                </w:r>
                <w:r w:rsidR="000812F9" w:rsidRPr="00995557">
                  <w:rPr>
                    <w:b w:val="0"/>
                    <w:webHidden/>
                  </w:rPr>
                  <w:fldChar w:fldCharType="end"/>
                </w:r>
              </w:hyperlink>
            </w:p>
            <w:p w14:paraId="0DEADA54" w14:textId="5983A415" w:rsidR="006764C3" w:rsidRPr="00995557" w:rsidRDefault="006764C3" w:rsidP="00AA627A">
              <w:pPr>
                <w:pStyle w:val="TDC2"/>
              </w:pPr>
              <w:r w:rsidRPr="00995557">
                <w:rPr>
                  <w:b w:val="0"/>
                </w:rPr>
                <w:t>B.1. Debida diligencia y plazo razonable</w:t>
              </w:r>
              <w:r w:rsidR="0055118B" w:rsidRPr="00995557">
                <w:rPr>
                  <w:b w:val="0"/>
                </w:rPr>
                <w:tab/>
              </w:r>
              <w:r w:rsidR="00BD5B2F" w:rsidRPr="00995557">
                <w:t xml:space="preserve">                                                                      </w:t>
              </w:r>
              <w:r w:rsidR="00BD5B2F" w:rsidRPr="00995557">
                <w:rPr>
                  <w:b w:val="0"/>
                </w:rPr>
                <w:t>3</w:t>
              </w:r>
              <w:r w:rsidR="007B7134" w:rsidRPr="00995557">
                <w:rPr>
                  <w:b w:val="0"/>
                </w:rPr>
                <w:t>3</w:t>
              </w:r>
            </w:p>
            <w:p w14:paraId="4F9820F6" w14:textId="5D0B3FA2" w:rsidR="006764C3" w:rsidRPr="00995557" w:rsidRDefault="006764C3" w:rsidP="00AA627A">
              <w:pPr>
                <w:pStyle w:val="TDC2"/>
                <w:rPr>
                  <w:strike/>
                </w:rPr>
              </w:pPr>
              <w:r w:rsidRPr="00995557">
                <w:rPr>
                  <w:b w:val="0"/>
                </w:rPr>
                <w:t>B.2. Obligación de investigar posibles actos de tortura</w:t>
              </w:r>
              <w:r w:rsidR="00BD5B2F" w:rsidRPr="00995557">
                <w:rPr>
                  <w:b w:val="0"/>
                </w:rPr>
                <w:t xml:space="preserve">                                                    37</w:t>
              </w:r>
            </w:p>
            <w:p w14:paraId="5426B26E" w14:textId="36EDCF22" w:rsidR="006764C3" w:rsidRPr="00995557" w:rsidRDefault="006764C3" w:rsidP="00AA627A">
              <w:pPr>
                <w:spacing w:before="80" w:after="80"/>
                <w:jc w:val="both"/>
                <w:rPr>
                  <w:b/>
                  <w:bCs/>
                </w:rPr>
              </w:pPr>
              <w:r w:rsidRPr="00995557">
                <w:rPr>
                  <w:b/>
                  <w:bCs/>
                </w:rPr>
                <w:lastRenderedPageBreak/>
                <w:t>VIII.3 DERECHO A LA INTEGRIDAD PERSONAL DE LOS FAMILIARES DE LAS VÍCTIMAS FALLECIDAS</w:t>
              </w:r>
              <w:r w:rsidR="0033399D" w:rsidRPr="00995557">
                <w:rPr>
                  <w:b/>
                  <w:bCs/>
                </w:rPr>
                <w:t>,</w:t>
              </w:r>
              <w:r w:rsidR="00503519" w:rsidRPr="00995557">
                <w:rPr>
                  <w:b/>
                  <w:bCs/>
                </w:rPr>
                <w:t xml:space="preserve"> EN RELACIÓN CON LAS OBLIGACIONES DE RESPETAR Y GARANTIZAR LOS DERECHOS</w:t>
              </w:r>
              <w:r w:rsidR="00BD5B2F" w:rsidRPr="00995557">
                <w:rPr>
                  <w:b/>
                  <w:bCs/>
                </w:rPr>
                <w:t xml:space="preserve">                                                                                               38</w:t>
              </w:r>
            </w:p>
            <w:p w14:paraId="4547F2DC" w14:textId="2D4D972E" w:rsidR="006764C3" w:rsidRPr="00995557" w:rsidRDefault="008E78EF" w:rsidP="00AA627A">
              <w:pPr>
                <w:pStyle w:val="TDC2"/>
                <w:rPr>
                  <w:rFonts w:eastAsiaTheme="minorEastAsia" w:cstheme="minorBidi"/>
                  <w:lang w:eastAsia="es-ES_tradnl"/>
                </w:rPr>
              </w:pPr>
              <w:hyperlink w:anchor="_Toc58399128" w:history="1">
                <w:r w:rsidR="006764C3" w:rsidRPr="00995557">
                  <w:rPr>
                    <w:rStyle w:val="Hipervnculo"/>
                    <w:b w:val="0"/>
                  </w:rPr>
                  <w:t>A.</w:t>
                </w:r>
                <w:r w:rsidR="006764C3" w:rsidRPr="00995557">
                  <w:rPr>
                    <w:rFonts w:eastAsiaTheme="minorEastAsia" w:cstheme="minorBidi"/>
                    <w:b w:val="0"/>
                    <w:lang w:eastAsia="es-ES_tradnl"/>
                  </w:rPr>
                  <w:t xml:space="preserve"> </w:t>
                </w:r>
                <w:r w:rsidR="006764C3" w:rsidRPr="00995557">
                  <w:rPr>
                    <w:rStyle w:val="Hipervnculo"/>
                    <w:b w:val="0"/>
                  </w:rPr>
                  <w:t>Alegatos de las partes y de la Comisión</w:t>
                </w:r>
                <w:r w:rsidR="006764C3" w:rsidRPr="00995557">
                  <w:rPr>
                    <w:webHidden/>
                  </w:rPr>
                  <w:tab/>
                </w:r>
                <w:r w:rsidR="006764C3" w:rsidRPr="00995557">
                  <w:rPr>
                    <w:b w:val="0"/>
                    <w:webHidden/>
                  </w:rPr>
                  <w:fldChar w:fldCharType="begin"/>
                </w:r>
                <w:r w:rsidR="006764C3" w:rsidRPr="00995557">
                  <w:rPr>
                    <w:b w:val="0"/>
                    <w:webHidden/>
                  </w:rPr>
                  <w:instrText xml:space="preserve"> PAGEREF _Toc58399128 \h </w:instrText>
                </w:r>
                <w:r w:rsidR="006764C3" w:rsidRPr="00995557">
                  <w:rPr>
                    <w:b w:val="0"/>
                    <w:webHidden/>
                  </w:rPr>
                </w:r>
                <w:r w:rsidR="006764C3" w:rsidRPr="00995557">
                  <w:rPr>
                    <w:b w:val="0"/>
                    <w:webHidden/>
                  </w:rPr>
                  <w:fldChar w:fldCharType="separate"/>
                </w:r>
                <w:r w:rsidR="00EA7129">
                  <w:rPr>
                    <w:b w:val="0"/>
                    <w:webHidden/>
                  </w:rPr>
                  <w:t>32</w:t>
                </w:r>
                <w:r w:rsidR="006764C3" w:rsidRPr="00995557">
                  <w:rPr>
                    <w:b w:val="0"/>
                    <w:webHidden/>
                  </w:rPr>
                  <w:fldChar w:fldCharType="end"/>
                </w:r>
              </w:hyperlink>
            </w:p>
            <w:p w14:paraId="743CBB3C" w14:textId="6078C3F5" w:rsidR="006764C3" w:rsidRPr="00995557" w:rsidRDefault="008E78EF" w:rsidP="00AA627A">
              <w:pPr>
                <w:pStyle w:val="TDC2"/>
                <w:rPr>
                  <w:rFonts w:eastAsiaTheme="minorEastAsia" w:cstheme="minorBidi"/>
                  <w:lang w:eastAsia="es-ES_tradnl"/>
                </w:rPr>
              </w:pPr>
              <w:hyperlink w:anchor="_Toc58399129" w:history="1">
                <w:r w:rsidR="006764C3" w:rsidRPr="00995557">
                  <w:rPr>
                    <w:rStyle w:val="Hipervnculo"/>
                    <w:b w:val="0"/>
                  </w:rPr>
                  <w:t>B.</w:t>
                </w:r>
                <w:r w:rsidR="006764C3" w:rsidRPr="00995557">
                  <w:rPr>
                    <w:rFonts w:eastAsiaTheme="minorEastAsia" w:cstheme="minorBidi"/>
                    <w:b w:val="0"/>
                    <w:lang w:eastAsia="es-ES_tradnl"/>
                  </w:rPr>
                  <w:t xml:space="preserve"> </w:t>
                </w:r>
                <w:r w:rsidR="006764C3" w:rsidRPr="00995557">
                  <w:rPr>
                    <w:rStyle w:val="Hipervnculo"/>
                    <w:b w:val="0"/>
                  </w:rPr>
                  <w:t>Consideraciones de la Corte</w:t>
                </w:r>
                <w:r w:rsidR="006764C3" w:rsidRPr="00995557">
                  <w:rPr>
                    <w:webHidden/>
                  </w:rPr>
                  <w:tab/>
                </w:r>
                <w:r w:rsidR="006764C3" w:rsidRPr="00995557">
                  <w:rPr>
                    <w:b w:val="0"/>
                    <w:webHidden/>
                  </w:rPr>
                  <w:fldChar w:fldCharType="begin"/>
                </w:r>
                <w:r w:rsidR="006764C3" w:rsidRPr="00995557">
                  <w:rPr>
                    <w:b w:val="0"/>
                    <w:webHidden/>
                  </w:rPr>
                  <w:instrText xml:space="preserve"> PAGEREF _Toc58399129 \h </w:instrText>
                </w:r>
                <w:r w:rsidR="006764C3" w:rsidRPr="00995557">
                  <w:rPr>
                    <w:b w:val="0"/>
                    <w:webHidden/>
                  </w:rPr>
                </w:r>
                <w:r w:rsidR="006764C3" w:rsidRPr="00995557">
                  <w:rPr>
                    <w:b w:val="0"/>
                    <w:webHidden/>
                  </w:rPr>
                  <w:fldChar w:fldCharType="separate"/>
                </w:r>
                <w:r w:rsidR="00EA7129">
                  <w:rPr>
                    <w:b w:val="0"/>
                    <w:webHidden/>
                  </w:rPr>
                  <w:t>33</w:t>
                </w:r>
                <w:r w:rsidR="006764C3" w:rsidRPr="00995557">
                  <w:rPr>
                    <w:b w:val="0"/>
                    <w:webHidden/>
                  </w:rPr>
                  <w:fldChar w:fldCharType="end"/>
                </w:r>
              </w:hyperlink>
            </w:p>
            <w:p w14:paraId="62A39555" w14:textId="3D0E675B" w:rsidR="000812F9" w:rsidRPr="00995557" w:rsidRDefault="008E78EF" w:rsidP="00AA627A">
              <w:pPr>
                <w:pStyle w:val="TDC1"/>
                <w:spacing w:before="80" w:after="80"/>
                <w:rPr>
                  <w:rFonts w:eastAsiaTheme="minorEastAsia" w:cstheme="minorBidi"/>
                  <w:b w:val="0"/>
                  <w:bCs w:val="0"/>
                  <w:lang w:eastAsia="es-ES_tradnl"/>
                </w:rPr>
              </w:pPr>
              <w:hyperlink w:anchor="_Toc58399131" w:history="1">
                <w:r w:rsidR="000812F9" w:rsidRPr="00995557">
                  <w:rPr>
                    <w:rStyle w:val="Hipervnculo"/>
                    <w:lang w:eastAsia="es-MX"/>
                  </w:rPr>
                  <w:t>IX REPARACIONES</w:t>
                </w:r>
                <w:r w:rsidR="000812F9" w:rsidRPr="00995557">
                  <w:rPr>
                    <w:webHidden/>
                  </w:rPr>
                  <w:tab/>
                </w:r>
                <w:r w:rsidR="000812F9" w:rsidRPr="00995557">
                  <w:rPr>
                    <w:webHidden/>
                  </w:rPr>
                  <w:fldChar w:fldCharType="begin"/>
                </w:r>
                <w:r w:rsidR="000812F9" w:rsidRPr="00995557">
                  <w:rPr>
                    <w:webHidden/>
                  </w:rPr>
                  <w:instrText xml:space="preserve"> PAGEREF _Toc58399131 \h </w:instrText>
                </w:r>
                <w:r w:rsidR="000812F9" w:rsidRPr="00995557">
                  <w:rPr>
                    <w:webHidden/>
                  </w:rPr>
                </w:r>
                <w:r w:rsidR="000812F9" w:rsidRPr="00995557">
                  <w:rPr>
                    <w:webHidden/>
                  </w:rPr>
                  <w:fldChar w:fldCharType="separate"/>
                </w:r>
                <w:r w:rsidR="00EA7129">
                  <w:rPr>
                    <w:webHidden/>
                  </w:rPr>
                  <w:t>39</w:t>
                </w:r>
                <w:r w:rsidR="000812F9" w:rsidRPr="00995557">
                  <w:rPr>
                    <w:webHidden/>
                  </w:rPr>
                  <w:fldChar w:fldCharType="end"/>
                </w:r>
              </w:hyperlink>
            </w:p>
            <w:p w14:paraId="38A4BB77" w14:textId="706F4A5B" w:rsidR="000812F9" w:rsidRPr="00995557" w:rsidRDefault="008E78EF" w:rsidP="00AA627A">
              <w:pPr>
                <w:pStyle w:val="TDC2"/>
                <w:rPr>
                  <w:rFonts w:eastAsiaTheme="minorEastAsia" w:cstheme="minorBidi"/>
                  <w:lang w:eastAsia="es-ES_tradnl"/>
                </w:rPr>
              </w:pPr>
              <w:hyperlink w:anchor="_Toc58399132" w:history="1">
                <w:r w:rsidR="000812F9" w:rsidRPr="00995557">
                  <w:rPr>
                    <w:rStyle w:val="Hipervnculo"/>
                    <w:b w:val="0"/>
                  </w:rPr>
                  <w:t>A.</w:t>
                </w:r>
                <w:r w:rsidR="0034605B" w:rsidRPr="00995557">
                  <w:rPr>
                    <w:rFonts w:eastAsiaTheme="minorEastAsia" w:cstheme="minorBidi"/>
                    <w:b w:val="0"/>
                    <w:lang w:eastAsia="es-ES_tradnl"/>
                  </w:rPr>
                  <w:t xml:space="preserve"> </w:t>
                </w:r>
                <w:r w:rsidR="000812F9" w:rsidRPr="00995557">
                  <w:rPr>
                    <w:rStyle w:val="Hipervnculo"/>
                    <w:b w:val="0"/>
                  </w:rPr>
                  <w:t>Parte lesionada</w:t>
                </w:r>
                <w:r w:rsidR="000812F9" w:rsidRPr="00995557">
                  <w:rPr>
                    <w:webHidden/>
                  </w:rPr>
                  <w:tab/>
                </w:r>
                <w:r w:rsidR="007B7134" w:rsidRPr="00995557">
                  <w:rPr>
                    <w:b w:val="0"/>
                    <w:webHidden/>
                  </w:rPr>
                  <w:t>40</w:t>
                </w:r>
              </w:hyperlink>
            </w:p>
            <w:p w14:paraId="22B8990D" w14:textId="7A760037" w:rsidR="000812F9" w:rsidRPr="00995557" w:rsidRDefault="008E78EF" w:rsidP="00AA627A">
              <w:pPr>
                <w:pStyle w:val="TDC2"/>
                <w:rPr>
                  <w:rFonts w:eastAsiaTheme="minorEastAsia" w:cstheme="minorBidi"/>
                  <w:lang w:eastAsia="es-ES_tradnl"/>
                </w:rPr>
              </w:pPr>
              <w:hyperlink w:anchor="_Toc58399133" w:history="1">
                <w:r w:rsidR="000812F9" w:rsidRPr="00995557">
                  <w:rPr>
                    <w:rStyle w:val="Hipervnculo"/>
                    <w:b w:val="0"/>
                  </w:rPr>
                  <w:t>B.</w:t>
                </w:r>
                <w:r w:rsidR="0034605B" w:rsidRPr="00995557">
                  <w:rPr>
                    <w:rFonts w:eastAsiaTheme="minorEastAsia" w:cstheme="minorBidi"/>
                    <w:b w:val="0"/>
                    <w:lang w:eastAsia="es-ES_tradnl"/>
                  </w:rPr>
                  <w:t xml:space="preserve"> </w:t>
                </w:r>
                <w:r w:rsidR="000812F9" w:rsidRPr="00995557">
                  <w:rPr>
                    <w:rStyle w:val="Hipervnculo"/>
                    <w:b w:val="0"/>
                  </w:rPr>
                  <w:t>Obligación de investigar</w:t>
                </w:r>
                <w:r w:rsidR="000812F9" w:rsidRPr="00995557">
                  <w:rPr>
                    <w:webHidden/>
                  </w:rPr>
                  <w:tab/>
                </w:r>
                <w:r w:rsidR="007B7134" w:rsidRPr="00995557">
                  <w:rPr>
                    <w:b w:val="0"/>
                    <w:webHidden/>
                  </w:rPr>
                  <w:t>40</w:t>
                </w:r>
              </w:hyperlink>
            </w:p>
            <w:p w14:paraId="1ED452E1" w14:textId="4AFDF1D8" w:rsidR="000812F9" w:rsidRPr="00995557" w:rsidRDefault="008E78EF" w:rsidP="00AA627A">
              <w:pPr>
                <w:pStyle w:val="TDC2"/>
                <w:rPr>
                  <w:rFonts w:eastAsiaTheme="minorEastAsia" w:cstheme="minorBidi"/>
                  <w:lang w:eastAsia="es-ES_tradnl"/>
                </w:rPr>
              </w:pPr>
              <w:hyperlink w:anchor="_Toc58399134" w:history="1">
                <w:r w:rsidR="000812F9" w:rsidRPr="00995557">
                  <w:rPr>
                    <w:rStyle w:val="Hipervnculo"/>
                    <w:b w:val="0"/>
                  </w:rPr>
                  <w:t>C.</w:t>
                </w:r>
                <w:r w:rsidR="0034605B" w:rsidRPr="00995557">
                  <w:rPr>
                    <w:rFonts w:eastAsiaTheme="minorEastAsia" w:cstheme="minorBidi"/>
                    <w:b w:val="0"/>
                    <w:lang w:eastAsia="es-ES_tradnl"/>
                  </w:rPr>
                  <w:t xml:space="preserve"> </w:t>
                </w:r>
                <w:r w:rsidR="000812F9" w:rsidRPr="00995557">
                  <w:rPr>
                    <w:rStyle w:val="Hipervnculo"/>
                    <w:b w:val="0"/>
                  </w:rPr>
                  <w:t>Medidas de rehabilitación</w:t>
                </w:r>
                <w:r w:rsidR="000812F9" w:rsidRPr="00995557">
                  <w:rPr>
                    <w:webHidden/>
                  </w:rPr>
                  <w:tab/>
                </w:r>
                <w:r w:rsidR="000812F9" w:rsidRPr="00995557">
                  <w:rPr>
                    <w:b w:val="0"/>
                    <w:webHidden/>
                  </w:rPr>
                  <w:fldChar w:fldCharType="begin"/>
                </w:r>
                <w:r w:rsidR="000812F9" w:rsidRPr="00995557">
                  <w:rPr>
                    <w:b w:val="0"/>
                    <w:webHidden/>
                  </w:rPr>
                  <w:instrText xml:space="preserve"> PAGEREF _Toc58399134 \h </w:instrText>
                </w:r>
                <w:r w:rsidR="000812F9" w:rsidRPr="00995557">
                  <w:rPr>
                    <w:b w:val="0"/>
                    <w:webHidden/>
                  </w:rPr>
                </w:r>
                <w:r w:rsidR="000812F9" w:rsidRPr="00995557">
                  <w:rPr>
                    <w:b w:val="0"/>
                    <w:webHidden/>
                  </w:rPr>
                  <w:fldChar w:fldCharType="separate"/>
                </w:r>
                <w:r w:rsidR="00EA7129">
                  <w:rPr>
                    <w:b w:val="0"/>
                    <w:webHidden/>
                  </w:rPr>
                  <w:t>41</w:t>
                </w:r>
                <w:r w:rsidR="000812F9" w:rsidRPr="00995557">
                  <w:rPr>
                    <w:b w:val="0"/>
                    <w:webHidden/>
                  </w:rPr>
                  <w:fldChar w:fldCharType="end"/>
                </w:r>
              </w:hyperlink>
            </w:p>
            <w:p w14:paraId="2FBEB2FE" w14:textId="59C99487" w:rsidR="006764C3" w:rsidRPr="00995557" w:rsidRDefault="008E78EF" w:rsidP="00AA627A">
              <w:pPr>
                <w:pStyle w:val="TDC2"/>
              </w:pPr>
              <w:hyperlink w:anchor="_Toc58399135" w:history="1">
                <w:r w:rsidR="000812F9" w:rsidRPr="00995557">
                  <w:rPr>
                    <w:rStyle w:val="Hipervnculo"/>
                    <w:b w:val="0"/>
                  </w:rPr>
                  <w:t>D.</w:t>
                </w:r>
                <w:r w:rsidR="0034605B" w:rsidRPr="00995557">
                  <w:rPr>
                    <w:rFonts w:eastAsiaTheme="minorEastAsia" w:cstheme="minorBidi"/>
                    <w:b w:val="0"/>
                    <w:lang w:eastAsia="es-ES_tradnl"/>
                  </w:rPr>
                  <w:t xml:space="preserve"> </w:t>
                </w:r>
                <w:r w:rsidR="000812F9" w:rsidRPr="00995557">
                  <w:rPr>
                    <w:rStyle w:val="Hipervnculo"/>
                    <w:b w:val="0"/>
                  </w:rPr>
                  <w:t>Medidas de satisfacción</w:t>
                </w:r>
                <w:r w:rsidR="000812F9" w:rsidRPr="00995557">
                  <w:rPr>
                    <w:webHidden/>
                  </w:rPr>
                  <w:tab/>
                </w:r>
                <w:r w:rsidR="000812F9" w:rsidRPr="00995557">
                  <w:rPr>
                    <w:b w:val="0"/>
                    <w:webHidden/>
                  </w:rPr>
                  <w:fldChar w:fldCharType="begin"/>
                </w:r>
                <w:r w:rsidR="000812F9" w:rsidRPr="00995557">
                  <w:rPr>
                    <w:b w:val="0"/>
                    <w:webHidden/>
                  </w:rPr>
                  <w:instrText xml:space="preserve"> PAGEREF _Toc58399135 \h </w:instrText>
                </w:r>
                <w:r w:rsidR="000812F9" w:rsidRPr="00995557">
                  <w:rPr>
                    <w:b w:val="0"/>
                    <w:webHidden/>
                  </w:rPr>
                </w:r>
                <w:r w:rsidR="000812F9" w:rsidRPr="00995557">
                  <w:rPr>
                    <w:b w:val="0"/>
                    <w:webHidden/>
                  </w:rPr>
                  <w:fldChar w:fldCharType="separate"/>
                </w:r>
                <w:r w:rsidR="00EA7129">
                  <w:rPr>
                    <w:b w:val="0"/>
                    <w:webHidden/>
                  </w:rPr>
                  <w:t>43</w:t>
                </w:r>
                <w:r w:rsidR="000812F9" w:rsidRPr="00995557">
                  <w:rPr>
                    <w:b w:val="0"/>
                    <w:webHidden/>
                  </w:rPr>
                  <w:fldChar w:fldCharType="end"/>
                </w:r>
              </w:hyperlink>
            </w:p>
            <w:p w14:paraId="6F2C3C17" w14:textId="35D9ADF5" w:rsidR="006764C3" w:rsidRPr="00995557" w:rsidRDefault="006764C3" w:rsidP="00AA627A">
              <w:pPr>
                <w:pStyle w:val="TDC2"/>
              </w:pPr>
              <w:r w:rsidRPr="00995557">
                <w:rPr>
                  <w:b w:val="0"/>
                </w:rPr>
                <w:t>D.1. Publicación de la sentencia</w:t>
              </w:r>
              <w:r w:rsidR="00BD5B2F" w:rsidRPr="00995557">
                <w:t xml:space="preserve">                                                                                     </w:t>
              </w:r>
              <w:r w:rsidR="00BD5B2F" w:rsidRPr="00995557">
                <w:rPr>
                  <w:b w:val="0"/>
                </w:rPr>
                <w:t>4</w:t>
              </w:r>
              <w:r w:rsidR="007B7134" w:rsidRPr="00995557">
                <w:rPr>
                  <w:b w:val="0"/>
                </w:rPr>
                <w:t>3</w:t>
              </w:r>
            </w:p>
            <w:p w14:paraId="357BCDA3" w14:textId="5D698418" w:rsidR="006764C3" w:rsidRPr="00995557" w:rsidRDefault="006764C3" w:rsidP="00AA627A">
              <w:pPr>
                <w:pStyle w:val="TDC2"/>
              </w:pPr>
              <w:r w:rsidRPr="00995557">
                <w:rPr>
                  <w:b w:val="0"/>
                </w:rPr>
                <w:t>D.2. Acto público de reconocimiento de responsabilidad internacional</w:t>
              </w:r>
              <w:r w:rsidR="0055118B" w:rsidRPr="00995557">
                <w:tab/>
              </w:r>
              <w:r w:rsidR="005B7DB7" w:rsidRPr="00995557">
                <w:t xml:space="preserve">                       </w:t>
              </w:r>
              <w:r w:rsidR="00BD5B2F" w:rsidRPr="00995557">
                <w:rPr>
                  <w:b w:val="0"/>
                </w:rPr>
                <w:t>4</w:t>
              </w:r>
              <w:r w:rsidR="007B7134" w:rsidRPr="00995557">
                <w:rPr>
                  <w:b w:val="0"/>
                </w:rPr>
                <w:t>3</w:t>
              </w:r>
            </w:p>
            <w:p w14:paraId="0323645F" w14:textId="1FD90390" w:rsidR="000812F9" w:rsidRPr="00995557" w:rsidRDefault="008E78EF" w:rsidP="00AA627A">
              <w:pPr>
                <w:pStyle w:val="TDC2"/>
                <w:rPr>
                  <w:rFonts w:eastAsiaTheme="minorEastAsia" w:cstheme="minorBidi"/>
                  <w:lang w:eastAsia="es-ES_tradnl"/>
                </w:rPr>
              </w:pPr>
              <w:hyperlink w:anchor="_Toc58399136" w:history="1">
                <w:r w:rsidR="000812F9" w:rsidRPr="00995557">
                  <w:rPr>
                    <w:rStyle w:val="Hipervnculo"/>
                    <w:b w:val="0"/>
                  </w:rPr>
                  <w:t>E.</w:t>
                </w:r>
                <w:r w:rsidR="0034605B" w:rsidRPr="00995557">
                  <w:rPr>
                    <w:rFonts w:eastAsiaTheme="minorEastAsia" w:cstheme="minorBidi"/>
                    <w:b w:val="0"/>
                    <w:lang w:eastAsia="es-ES_tradnl"/>
                  </w:rPr>
                  <w:t xml:space="preserve"> </w:t>
                </w:r>
                <w:r w:rsidR="000812F9" w:rsidRPr="00995557">
                  <w:rPr>
                    <w:rStyle w:val="Hipervnculo"/>
                    <w:b w:val="0"/>
                  </w:rPr>
                  <w:t>Garantías de no repetición</w:t>
                </w:r>
                <w:r w:rsidR="000812F9" w:rsidRPr="00995557">
                  <w:rPr>
                    <w:webHidden/>
                  </w:rPr>
                  <w:tab/>
                </w:r>
                <w:r w:rsidR="000812F9" w:rsidRPr="00995557">
                  <w:rPr>
                    <w:b w:val="0"/>
                    <w:webHidden/>
                  </w:rPr>
                  <w:fldChar w:fldCharType="begin"/>
                </w:r>
                <w:r w:rsidR="000812F9" w:rsidRPr="00995557">
                  <w:rPr>
                    <w:b w:val="0"/>
                    <w:webHidden/>
                  </w:rPr>
                  <w:instrText xml:space="preserve"> PAGEREF _Toc58399136 \h </w:instrText>
                </w:r>
                <w:r w:rsidR="000812F9" w:rsidRPr="00995557">
                  <w:rPr>
                    <w:b w:val="0"/>
                    <w:webHidden/>
                  </w:rPr>
                </w:r>
                <w:r w:rsidR="000812F9" w:rsidRPr="00995557">
                  <w:rPr>
                    <w:b w:val="0"/>
                    <w:webHidden/>
                  </w:rPr>
                  <w:fldChar w:fldCharType="separate"/>
                </w:r>
                <w:r w:rsidR="00EA7129">
                  <w:rPr>
                    <w:b w:val="0"/>
                    <w:webHidden/>
                  </w:rPr>
                  <w:t>44</w:t>
                </w:r>
                <w:r w:rsidR="000812F9" w:rsidRPr="00995557">
                  <w:rPr>
                    <w:b w:val="0"/>
                    <w:webHidden/>
                  </w:rPr>
                  <w:fldChar w:fldCharType="end"/>
                </w:r>
              </w:hyperlink>
            </w:p>
            <w:p w14:paraId="7FCE3BAB" w14:textId="07FEC0CB" w:rsidR="000812F9" w:rsidRPr="00995557" w:rsidRDefault="008E78EF" w:rsidP="00AA627A">
              <w:pPr>
                <w:pStyle w:val="TDC2"/>
                <w:rPr>
                  <w:rFonts w:eastAsiaTheme="minorEastAsia" w:cstheme="minorBidi"/>
                  <w:lang w:eastAsia="es-ES_tradnl"/>
                </w:rPr>
              </w:pPr>
              <w:hyperlink w:anchor="_Toc58399137" w:history="1">
                <w:r w:rsidR="000812F9" w:rsidRPr="00995557">
                  <w:rPr>
                    <w:rStyle w:val="Hipervnculo"/>
                    <w:b w:val="0"/>
                  </w:rPr>
                  <w:t>F.</w:t>
                </w:r>
                <w:r w:rsidR="0034605B" w:rsidRPr="00995557">
                  <w:rPr>
                    <w:rFonts w:eastAsiaTheme="minorEastAsia" w:cstheme="minorBidi"/>
                    <w:b w:val="0"/>
                    <w:lang w:eastAsia="es-ES_tradnl"/>
                  </w:rPr>
                  <w:t xml:space="preserve"> </w:t>
                </w:r>
                <w:r w:rsidR="000812F9" w:rsidRPr="00995557">
                  <w:rPr>
                    <w:rStyle w:val="Hipervnculo"/>
                    <w:b w:val="0"/>
                  </w:rPr>
                  <w:t>Otras medidas solicitadas</w:t>
                </w:r>
                <w:r w:rsidR="000812F9" w:rsidRPr="00995557">
                  <w:rPr>
                    <w:webHidden/>
                  </w:rPr>
                  <w:tab/>
                </w:r>
                <w:r w:rsidR="000812F9" w:rsidRPr="00995557">
                  <w:rPr>
                    <w:b w:val="0"/>
                    <w:webHidden/>
                  </w:rPr>
                  <w:fldChar w:fldCharType="begin"/>
                </w:r>
                <w:r w:rsidR="000812F9" w:rsidRPr="00995557">
                  <w:rPr>
                    <w:b w:val="0"/>
                    <w:webHidden/>
                  </w:rPr>
                  <w:instrText xml:space="preserve"> PAGEREF _Toc58399137 \h </w:instrText>
                </w:r>
                <w:r w:rsidR="000812F9" w:rsidRPr="00995557">
                  <w:rPr>
                    <w:b w:val="0"/>
                    <w:webHidden/>
                  </w:rPr>
                </w:r>
                <w:r w:rsidR="000812F9" w:rsidRPr="00995557">
                  <w:rPr>
                    <w:b w:val="0"/>
                    <w:webHidden/>
                  </w:rPr>
                  <w:fldChar w:fldCharType="separate"/>
                </w:r>
                <w:r w:rsidR="00EA7129">
                  <w:rPr>
                    <w:b w:val="0"/>
                    <w:webHidden/>
                  </w:rPr>
                  <w:t>47</w:t>
                </w:r>
                <w:r w:rsidR="000812F9" w:rsidRPr="00995557">
                  <w:rPr>
                    <w:b w:val="0"/>
                    <w:webHidden/>
                  </w:rPr>
                  <w:fldChar w:fldCharType="end"/>
                </w:r>
              </w:hyperlink>
            </w:p>
            <w:p w14:paraId="634E330E" w14:textId="7AB6E408" w:rsidR="006764C3" w:rsidRPr="00995557" w:rsidRDefault="008E78EF" w:rsidP="00AA627A">
              <w:pPr>
                <w:pStyle w:val="TDC2"/>
              </w:pPr>
              <w:hyperlink w:anchor="_Toc58399138" w:history="1">
                <w:r w:rsidR="000812F9" w:rsidRPr="00995557">
                  <w:rPr>
                    <w:rStyle w:val="Hipervnculo"/>
                    <w:b w:val="0"/>
                  </w:rPr>
                  <w:t>G.</w:t>
                </w:r>
                <w:r w:rsidR="0034605B" w:rsidRPr="00995557">
                  <w:rPr>
                    <w:rFonts w:eastAsiaTheme="minorEastAsia" w:cstheme="minorBidi"/>
                    <w:b w:val="0"/>
                    <w:lang w:eastAsia="es-ES_tradnl"/>
                  </w:rPr>
                  <w:t xml:space="preserve"> </w:t>
                </w:r>
                <w:r w:rsidR="000812F9" w:rsidRPr="00995557">
                  <w:rPr>
                    <w:rStyle w:val="Hipervnculo"/>
                    <w:b w:val="0"/>
                  </w:rPr>
                  <w:t>Indemnizaciones compensatorias</w:t>
                </w:r>
                <w:r w:rsidR="000812F9" w:rsidRPr="00995557">
                  <w:rPr>
                    <w:webHidden/>
                  </w:rPr>
                  <w:tab/>
                </w:r>
                <w:r w:rsidR="000812F9" w:rsidRPr="00995557">
                  <w:rPr>
                    <w:b w:val="0"/>
                    <w:webHidden/>
                  </w:rPr>
                  <w:fldChar w:fldCharType="begin"/>
                </w:r>
                <w:r w:rsidR="000812F9" w:rsidRPr="00995557">
                  <w:rPr>
                    <w:b w:val="0"/>
                    <w:webHidden/>
                  </w:rPr>
                  <w:instrText xml:space="preserve"> PAGEREF _Toc58399138 \h </w:instrText>
                </w:r>
                <w:r w:rsidR="000812F9" w:rsidRPr="00995557">
                  <w:rPr>
                    <w:b w:val="0"/>
                    <w:webHidden/>
                  </w:rPr>
                </w:r>
                <w:r w:rsidR="000812F9" w:rsidRPr="00995557">
                  <w:rPr>
                    <w:b w:val="0"/>
                    <w:webHidden/>
                  </w:rPr>
                  <w:fldChar w:fldCharType="separate"/>
                </w:r>
                <w:r w:rsidR="00EA7129">
                  <w:rPr>
                    <w:b w:val="0"/>
                    <w:webHidden/>
                  </w:rPr>
                  <w:t>47</w:t>
                </w:r>
                <w:r w:rsidR="000812F9" w:rsidRPr="00995557">
                  <w:rPr>
                    <w:b w:val="0"/>
                    <w:webHidden/>
                  </w:rPr>
                  <w:fldChar w:fldCharType="end"/>
                </w:r>
              </w:hyperlink>
            </w:p>
            <w:p w14:paraId="78CF7C1F" w14:textId="2FFC7CDF" w:rsidR="006764C3" w:rsidRPr="00995557" w:rsidRDefault="006764C3" w:rsidP="00AA627A">
              <w:pPr>
                <w:pStyle w:val="TDC2"/>
              </w:pPr>
              <w:r w:rsidRPr="00995557">
                <w:rPr>
                  <w:b w:val="0"/>
                </w:rPr>
                <w:t>G.1. Daño material</w:t>
              </w:r>
              <w:r w:rsidR="00BD5B2F" w:rsidRPr="00995557">
                <w:t xml:space="preserve">                                                                                                        </w:t>
              </w:r>
              <w:r w:rsidR="00BD5B2F" w:rsidRPr="00995557">
                <w:rPr>
                  <w:b w:val="0"/>
                </w:rPr>
                <w:t>4</w:t>
              </w:r>
              <w:r w:rsidR="007B7134" w:rsidRPr="00995557">
                <w:rPr>
                  <w:b w:val="0"/>
                </w:rPr>
                <w:t>7</w:t>
              </w:r>
            </w:p>
            <w:p w14:paraId="048A6859" w14:textId="18B73C89" w:rsidR="006764C3" w:rsidRPr="00995557" w:rsidRDefault="006764C3" w:rsidP="00AA627A">
              <w:pPr>
                <w:pStyle w:val="TDC2"/>
              </w:pPr>
              <w:r w:rsidRPr="00995557">
                <w:rPr>
                  <w:b w:val="0"/>
                </w:rPr>
                <w:t>G.2. Daño inmaterial</w:t>
              </w:r>
              <w:r w:rsidR="00BD5B2F" w:rsidRPr="00995557">
                <w:t xml:space="preserve">                                                                                                     </w:t>
              </w:r>
              <w:r w:rsidR="00BD5B2F" w:rsidRPr="00995557">
                <w:rPr>
                  <w:b w:val="0"/>
                </w:rPr>
                <w:t>4</w:t>
              </w:r>
              <w:r w:rsidR="007B7134" w:rsidRPr="00995557">
                <w:rPr>
                  <w:b w:val="0"/>
                </w:rPr>
                <w:t>9</w:t>
              </w:r>
            </w:p>
            <w:p w14:paraId="5134E4A8" w14:textId="2F1D0B7B" w:rsidR="000812F9" w:rsidRPr="00995557" w:rsidRDefault="008E78EF" w:rsidP="00AA627A">
              <w:pPr>
                <w:pStyle w:val="TDC2"/>
                <w:rPr>
                  <w:rFonts w:eastAsiaTheme="minorEastAsia" w:cstheme="minorBidi"/>
                  <w:lang w:eastAsia="es-ES_tradnl"/>
                </w:rPr>
              </w:pPr>
              <w:hyperlink w:anchor="_Toc58399139" w:history="1">
                <w:r w:rsidR="000812F9" w:rsidRPr="00995557">
                  <w:rPr>
                    <w:rStyle w:val="Hipervnculo"/>
                    <w:b w:val="0"/>
                  </w:rPr>
                  <w:t>H.</w:t>
                </w:r>
                <w:r w:rsidR="0034605B" w:rsidRPr="00995557">
                  <w:rPr>
                    <w:rFonts w:eastAsiaTheme="minorEastAsia" w:cstheme="minorBidi"/>
                    <w:b w:val="0"/>
                    <w:lang w:eastAsia="es-ES_tradnl"/>
                  </w:rPr>
                  <w:t xml:space="preserve"> </w:t>
                </w:r>
                <w:r w:rsidR="000812F9" w:rsidRPr="00995557">
                  <w:rPr>
                    <w:rStyle w:val="Hipervnculo"/>
                    <w:b w:val="0"/>
                  </w:rPr>
                  <w:t>Costas y gastos</w:t>
                </w:r>
                <w:r w:rsidR="000812F9" w:rsidRPr="00995557">
                  <w:rPr>
                    <w:webHidden/>
                  </w:rPr>
                  <w:tab/>
                </w:r>
                <w:r w:rsidR="007B7134" w:rsidRPr="00995557">
                  <w:rPr>
                    <w:b w:val="0"/>
                    <w:webHidden/>
                  </w:rPr>
                  <w:t>50</w:t>
                </w:r>
              </w:hyperlink>
            </w:p>
            <w:p w14:paraId="7534E954" w14:textId="05E3D87E" w:rsidR="000812F9" w:rsidRPr="00995557" w:rsidRDefault="008E78EF" w:rsidP="00AA627A">
              <w:pPr>
                <w:pStyle w:val="TDC2"/>
                <w:rPr>
                  <w:rFonts w:eastAsiaTheme="minorEastAsia" w:cstheme="minorBidi"/>
                  <w:lang w:eastAsia="es-ES_tradnl"/>
                </w:rPr>
              </w:pPr>
              <w:hyperlink w:anchor="_Toc58399140" w:history="1">
                <w:r w:rsidR="000812F9" w:rsidRPr="00995557">
                  <w:rPr>
                    <w:rStyle w:val="Hipervnculo"/>
                    <w:b w:val="0"/>
                  </w:rPr>
                  <w:t>I.</w:t>
                </w:r>
                <w:r w:rsidR="0034605B" w:rsidRPr="00995557">
                  <w:rPr>
                    <w:rFonts w:eastAsiaTheme="minorEastAsia" w:cstheme="minorBidi"/>
                    <w:b w:val="0"/>
                    <w:lang w:eastAsia="es-ES_tradnl"/>
                  </w:rPr>
                  <w:t xml:space="preserve"> </w:t>
                </w:r>
                <w:r w:rsidR="000812F9" w:rsidRPr="00995557">
                  <w:rPr>
                    <w:rStyle w:val="Hipervnculo"/>
                    <w:b w:val="0"/>
                  </w:rPr>
                  <w:t>Reintegro de los gastos al Fondo de Asistencia Legal de Víctimas</w:t>
                </w:r>
                <w:r w:rsidR="000812F9" w:rsidRPr="00995557">
                  <w:rPr>
                    <w:webHidden/>
                  </w:rPr>
                  <w:tab/>
                </w:r>
                <w:r w:rsidR="000812F9" w:rsidRPr="00995557">
                  <w:rPr>
                    <w:b w:val="0"/>
                    <w:webHidden/>
                  </w:rPr>
                  <w:fldChar w:fldCharType="begin"/>
                </w:r>
                <w:r w:rsidR="000812F9" w:rsidRPr="00995557">
                  <w:rPr>
                    <w:b w:val="0"/>
                    <w:webHidden/>
                  </w:rPr>
                  <w:instrText xml:space="preserve"> PAGEREF _Toc58399140 \h </w:instrText>
                </w:r>
                <w:r w:rsidR="000812F9" w:rsidRPr="00995557">
                  <w:rPr>
                    <w:b w:val="0"/>
                    <w:webHidden/>
                  </w:rPr>
                </w:r>
                <w:r w:rsidR="000812F9" w:rsidRPr="00995557">
                  <w:rPr>
                    <w:b w:val="0"/>
                    <w:webHidden/>
                  </w:rPr>
                  <w:fldChar w:fldCharType="separate"/>
                </w:r>
                <w:r w:rsidR="00EA7129">
                  <w:rPr>
                    <w:b w:val="0"/>
                    <w:webHidden/>
                  </w:rPr>
                  <w:t>51</w:t>
                </w:r>
                <w:r w:rsidR="000812F9" w:rsidRPr="00995557">
                  <w:rPr>
                    <w:b w:val="0"/>
                    <w:webHidden/>
                  </w:rPr>
                  <w:fldChar w:fldCharType="end"/>
                </w:r>
              </w:hyperlink>
            </w:p>
            <w:p w14:paraId="09E835BA" w14:textId="24B97A09" w:rsidR="000812F9" w:rsidRPr="00995557" w:rsidRDefault="008E78EF" w:rsidP="00AA627A">
              <w:pPr>
                <w:pStyle w:val="TDC2"/>
                <w:rPr>
                  <w:rFonts w:eastAsiaTheme="minorEastAsia" w:cstheme="minorBidi"/>
                  <w:lang w:eastAsia="es-ES_tradnl"/>
                </w:rPr>
              </w:pPr>
              <w:hyperlink w:anchor="_Toc58399141" w:history="1">
                <w:r w:rsidR="000812F9" w:rsidRPr="00995557">
                  <w:rPr>
                    <w:rStyle w:val="Hipervnculo"/>
                    <w:b w:val="0"/>
                  </w:rPr>
                  <w:t>J.</w:t>
                </w:r>
                <w:r w:rsidR="0034605B" w:rsidRPr="00995557">
                  <w:rPr>
                    <w:rFonts w:eastAsiaTheme="minorEastAsia" w:cstheme="minorBidi"/>
                    <w:b w:val="0"/>
                    <w:lang w:eastAsia="es-ES_tradnl"/>
                  </w:rPr>
                  <w:t xml:space="preserve"> </w:t>
                </w:r>
                <w:r w:rsidR="000812F9" w:rsidRPr="00995557">
                  <w:rPr>
                    <w:rStyle w:val="Hipervnculo"/>
                    <w:b w:val="0"/>
                  </w:rPr>
                  <w:t>Modalidad de cumplimiento de los pagos ordenados</w:t>
                </w:r>
                <w:r w:rsidR="000812F9" w:rsidRPr="00995557">
                  <w:rPr>
                    <w:webHidden/>
                  </w:rPr>
                  <w:tab/>
                </w:r>
                <w:r w:rsidR="000812F9" w:rsidRPr="00995557">
                  <w:rPr>
                    <w:b w:val="0"/>
                    <w:webHidden/>
                  </w:rPr>
                  <w:fldChar w:fldCharType="begin"/>
                </w:r>
                <w:r w:rsidR="000812F9" w:rsidRPr="00995557">
                  <w:rPr>
                    <w:b w:val="0"/>
                    <w:webHidden/>
                  </w:rPr>
                  <w:instrText xml:space="preserve"> PAGEREF _Toc58399141 \h </w:instrText>
                </w:r>
                <w:r w:rsidR="000812F9" w:rsidRPr="00995557">
                  <w:rPr>
                    <w:b w:val="0"/>
                    <w:webHidden/>
                  </w:rPr>
                </w:r>
                <w:r w:rsidR="000812F9" w:rsidRPr="00995557">
                  <w:rPr>
                    <w:b w:val="0"/>
                    <w:webHidden/>
                  </w:rPr>
                  <w:fldChar w:fldCharType="separate"/>
                </w:r>
                <w:r w:rsidR="00EA7129">
                  <w:rPr>
                    <w:b w:val="0"/>
                    <w:webHidden/>
                  </w:rPr>
                  <w:t>53</w:t>
                </w:r>
                <w:r w:rsidR="000812F9" w:rsidRPr="00995557">
                  <w:rPr>
                    <w:b w:val="0"/>
                    <w:webHidden/>
                  </w:rPr>
                  <w:fldChar w:fldCharType="end"/>
                </w:r>
              </w:hyperlink>
            </w:p>
            <w:p w14:paraId="418C10F6" w14:textId="523F9A38" w:rsidR="000812F9" w:rsidRPr="00995557" w:rsidRDefault="008E78EF" w:rsidP="00AA627A">
              <w:pPr>
                <w:pStyle w:val="TDC1"/>
                <w:spacing w:before="80" w:after="80"/>
                <w:rPr>
                  <w:rFonts w:eastAsiaTheme="minorEastAsia" w:cstheme="minorBidi"/>
                  <w:b w:val="0"/>
                  <w:bCs w:val="0"/>
                  <w:lang w:eastAsia="es-ES_tradnl"/>
                </w:rPr>
              </w:pPr>
              <w:hyperlink w:anchor="_Toc58399142" w:history="1">
                <w:r w:rsidR="000812F9" w:rsidRPr="00995557">
                  <w:rPr>
                    <w:rStyle w:val="Hipervnculo"/>
                    <w:rFonts w:eastAsia="Times New Roman" w:cs="Times New Roman"/>
                    <w:lang w:eastAsia="es-ES" w:bidi="es-ES"/>
                  </w:rPr>
                  <w:t>X</w:t>
                </w:r>
                <w:r w:rsidR="000812F9" w:rsidRPr="00995557">
                  <w:rPr>
                    <w:webHidden/>
                  </w:rPr>
                  <w:tab/>
                </w:r>
              </w:hyperlink>
              <w:hyperlink w:anchor="_Toc58399143" w:history="1">
                <w:r w:rsidR="000812F9" w:rsidRPr="00995557">
                  <w:rPr>
                    <w:rStyle w:val="Hipervnculo"/>
                    <w:rFonts w:eastAsia="Times New Roman" w:cs="Times New Roman"/>
                    <w:lang w:eastAsia="es-ES" w:bidi="es-ES"/>
                  </w:rPr>
                  <w:t>PUNTOS RESOLUTIVOS</w:t>
                </w:r>
                <w:r w:rsidR="000812F9" w:rsidRPr="00995557">
                  <w:rPr>
                    <w:webHidden/>
                  </w:rPr>
                  <w:tab/>
                </w:r>
                <w:r w:rsidR="000812F9" w:rsidRPr="00995557">
                  <w:rPr>
                    <w:webHidden/>
                  </w:rPr>
                  <w:fldChar w:fldCharType="begin"/>
                </w:r>
                <w:r w:rsidR="000812F9" w:rsidRPr="00995557">
                  <w:rPr>
                    <w:webHidden/>
                  </w:rPr>
                  <w:instrText xml:space="preserve"> PAGEREF _Toc58399143 \h </w:instrText>
                </w:r>
                <w:r w:rsidR="000812F9" w:rsidRPr="00995557">
                  <w:rPr>
                    <w:webHidden/>
                  </w:rPr>
                </w:r>
                <w:r w:rsidR="000812F9" w:rsidRPr="00995557">
                  <w:rPr>
                    <w:webHidden/>
                  </w:rPr>
                  <w:fldChar w:fldCharType="separate"/>
                </w:r>
                <w:r w:rsidR="00EA7129">
                  <w:rPr>
                    <w:webHidden/>
                  </w:rPr>
                  <w:t>53</w:t>
                </w:r>
                <w:r w:rsidR="000812F9" w:rsidRPr="00995557">
                  <w:rPr>
                    <w:webHidden/>
                  </w:rPr>
                  <w:fldChar w:fldCharType="end"/>
                </w:r>
              </w:hyperlink>
            </w:p>
            <w:p w14:paraId="5D2D1C48" w14:textId="537936CB" w:rsidR="00D41F3C" w:rsidRPr="00995557" w:rsidRDefault="002627F2" w:rsidP="00AA627A">
              <w:pPr>
                <w:widowControl w:val="0"/>
                <w:tabs>
                  <w:tab w:val="left" w:pos="1276"/>
                </w:tabs>
                <w:spacing w:before="80" w:after="80"/>
                <w:rPr>
                  <w:b/>
                  <w:bCs/>
                  <w:noProof/>
                </w:rPr>
              </w:pPr>
              <w:r w:rsidRPr="00995557">
                <w:rPr>
                  <w:b/>
                  <w:bCs/>
                  <w:noProof/>
                </w:rPr>
                <w:fldChar w:fldCharType="end"/>
              </w:r>
            </w:p>
          </w:sdtContent>
        </w:sdt>
      </w:sdtContent>
    </w:sdt>
    <w:bookmarkEnd w:id="9" w:displacedByCustomXml="prev"/>
    <w:p w14:paraId="26A2E102" w14:textId="77777777" w:rsidR="002662F3" w:rsidRPr="00995557" w:rsidRDefault="002662F3" w:rsidP="00AA627A">
      <w:pPr>
        <w:widowControl w:val="0"/>
      </w:pPr>
    </w:p>
    <w:p w14:paraId="519EBDF3" w14:textId="77777777" w:rsidR="00744529" w:rsidRPr="00995557" w:rsidRDefault="00744529" w:rsidP="00AA627A">
      <w:pPr>
        <w:pStyle w:val="Ttulo1"/>
        <w:keepNext w:val="0"/>
        <w:keepLines w:val="0"/>
        <w:widowControl w:val="0"/>
        <w:spacing w:before="0" w:after="0"/>
      </w:pPr>
      <w:r w:rsidRPr="00995557">
        <w:br/>
      </w:r>
    </w:p>
    <w:p w14:paraId="51EA0445" w14:textId="77777777" w:rsidR="00744529" w:rsidRPr="00995557" w:rsidRDefault="00744529" w:rsidP="00AA627A">
      <w:pPr>
        <w:pStyle w:val="Ttulo1"/>
        <w:keepNext w:val="0"/>
        <w:keepLines w:val="0"/>
        <w:widowControl w:val="0"/>
        <w:spacing w:before="0" w:after="0"/>
      </w:pPr>
    </w:p>
    <w:p w14:paraId="19B2A19C" w14:textId="77777777" w:rsidR="00744529" w:rsidRPr="00995557" w:rsidRDefault="00744529" w:rsidP="00AA627A">
      <w:pPr>
        <w:pStyle w:val="Ttulo1"/>
        <w:keepNext w:val="0"/>
        <w:keepLines w:val="0"/>
        <w:widowControl w:val="0"/>
        <w:spacing w:before="0" w:after="0"/>
      </w:pPr>
    </w:p>
    <w:p w14:paraId="74EEAFA4" w14:textId="77777777" w:rsidR="00744529" w:rsidRPr="00995557" w:rsidRDefault="00744529" w:rsidP="00AA627A">
      <w:pPr>
        <w:pStyle w:val="Ttulo1"/>
        <w:keepNext w:val="0"/>
        <w:keepLines w:val="0"/>
        <w:widowControl w:val="0"/>
        <w:spacing w:before="0" w:after="0"/>
      </w:pPr>
    </w:p>
    <w:p w14:paraId="03D51BD8" w14:textId="77777777" w:rsidR="00744529" w:rsidRPr="00995557" w:rsidRDefault="00744529" w:rsidP="00AA627A">
      <w:pPr>
        <w:pStyle w:val="Ttulo1"/>
        <w:keepNext w:val="0"/>
        <w:keepLines w:val="0"/>
        <w:widowControl w:val="0"/>
        <w:spacing w:before="0" w:after="0"/>
      </w:pPr>
    </w:p>
    <w:p w14:paraId="2199EB49" w14:textId="77777777" w:rsidR="00744529" w:rsidRPr="00995557" w:rsidRDefault="00744529" w:rsidP="00AA627A">
      <w:pPr>
        <w:pStyle w:val="Ttulo1"/>
        <w:keepNext w:val="0"/>
        <w:keepLines w:val="0"/>
        <w:widowControl w:val="0"/>
        <w:spacing w:before="0" w:after="0"/>
      </w:pPr>
    </w:p>
    <w:p w14:paraId="28E423BE" w14:textId="77777777" w:rsidR="00744529" w:rsidRPr="00995557" w:rsidRDefault="00744529" w:rsidP="00AA627A">
      <w:pPr>
        <w:pStyle w:val="Ttulo1"/>
        <w:keepNext w:val="0"/>
        <w:keepLines w:val="0"/>
        <w:widowControl w:val="0"/>
        <w:spacing w:before="0" w:after="0"/>
      </w:pPr>
    </w:p>
    <w:p w14:paraId="533BE9CB" w14:textId="77777777" w:rsidR="00744529" w:rsidRPr="00995557" w:rsidRDefault="00744529" w:rsidP="00AA627A">
      <w:pPr>
        <w:pStyle w:val="Ttulo1"/>
        <w:keepNext w:val="0"/>
        <w:keepLines w:val="0"/>
        <w:widowControl w:val="0"/>
        <w:spacing w:before="0" w:after="0"/>
      </w:pPr>
    </w:p>
    <w:p w14:paraId="3C84EC4F" w14:textId="77777777" w:rsidR="00744529" w:rsidRPr="00995557" w:rsidRDefault="00744529" w:rsidP="00AA627A">
      <w:pPr>
        <w:pStyle w:val="Ttulo1"/>
        <w:keepNext w:val="0"/>
        <w:keepLines w:val="0"/>
        <w:widowControl w:val="0"/>
        <w:spacing w:before="0" w:after="0"/>
      </w:pPr>
    </w:p>
    <w:p w14:paraId="526A6B30" w14:textId="77777777" w:rsidR="00744529" w:rsidRPr="00995557" w:rsidRDefault="00744529" w:rsidP="00AA627A">
      <w:pPr>
        <w:pStyle w:val="Ttulo1"/>
        <w:keepNext w:val="0"/>
        <w:keepLines w:val="0"/>
        <w:widowControl w:val="0"/>
        <w:spacing w:before="0" w:after="0"/>
      </w:pPr>
    </w:p>
    <w:p w14:paraId="579EFE22" w14:textId="77777777" w:rsidR="00744529" w:rsidRPr="00995557" w:rsidRDefault="00744529" w:rsidP="00AA627A">
      <w:pPr>
        <w:pStyle w:val="Ttulo1"/>
        <w:keepNext w:val="0"/>
        <w:keepLines w:val="0"/>
        <w:widowControl w:val="0"/>
        <w:spacing w:before="0" w:after="0"/>
      </w:pPr>
    </w:p>
    <w:p w14:paraId="09883532" w14:textId="77777777" w:rsidR="00744529" w:rsidRPr="00995557" w:rsidRDefault="00744529" w:rsidP="00AA627A">
      <w:pPr>
        <w:pStyle w:val="Ttulo1"/>
        <w:keepNext w:val="0"/>
        <w:keepLines w:val="0"/>
        <w:widowControl w:val="0"/>
        <w:spacing w:before="0" w:after="0"/>
      </w:pPr>
    </w:p>
    <w:p w14:paraId="496D86A5" w14:textId="77777777" w:rsidR="00744529" w:rsidRPr="00995557" w:rsidRDefault="00744529" w:rsidP="00AA627A">
      <w:pPr>
        <w:pStyle w:val="Ttulo1"/>
        <w:keepNext w:val="0"/>
        <w:keepLines w:val="0"/>
        <w:widowControl w:val="0"/>
        <w:spacing w:before="0" w:after="0"/>
      </w:pPr>
    </w:p>
    <w:p w14:paraId="09D34CB9" w14:textId="77777777" w:rsidR="00744529" w:rsidRPr="00995557" w:rsidRDefault="00744529" w:rsidP="00AA627A">
      <w:pPr>
        <w:pStyle w:val="Ttulo1"/>
        <w:keepNext w:val="0"/>
        <w:keepLines w:val="0"/>
        <w:widowControl w:val="0"/>
        <w:spacing w:before="0" w:after="0"/>
      </w:pPr>
    </w:p>
    <w:p w14:paraId="0A331473" w14:textId="77777777" w:rsidR="00744529" w:rsidRPr="00995557" w:rsidRDefault="00744529" w:rsidP="00AA627A">
      <w:pPr>
        <w:pStyle w:val="Ttulo1"/>
        <w:keepNext w:val="0"/>
        <w:keepLines w:val="0"/>
        <w:widowControl w:val="0"/>
        <w:spacing w:before="0" w:after="0"/>
      </w:pPr>
    </w:p>
    <w:p w14:paraId="64A43EF1" w14:textId="77777777" w:rsidR="00744529" w:rsidRPr="00995557" w:rsidRDefault="00744529" w:rsidP="00AA627A">
      <w:pPr>
        <w:pStyle w:val="Ttulo1"/>
        <w:keepNext w:val="0"/>
        <w:keepLines w:val="0"/>
        <w:widowControl w:val="0"/>
        <w:spacing w:before="0" w:after="0"/>
      </w:pPr>
    </w:p>
    <w:p w14:paraId="0C0F821D" w14:textId="77777777" w:rsidR="00744529" w:rsidRPr="00995557" w:rsidRDefault="00744529" w:rsidP="00AA627A">
      <w:pPr>
        <w:pStyle w:val="Ttulo1"/>
        <w:keepNext w:val="0"/>
        <w:keepLines w:val="0"/>
        <w:widowControl w:val="0"/>
        <w:spacing w:before="0" w:after="0"/>
      </w:pPr>
    </w:p>
    <w:p w14:paraId="49FF4EDA" w14:textId="77777777" w:rsidR="00744529" w:rsidRPr="00995557" w:rsidRDefault="00744529" w:rsidP="00AA627A">
      <w:pPr>
        <w:pStyle w:val="Ttulo1"/>
        <w:keepNext w:val="0"/>
        <w:keepLines w:val="0"/>
        <w:widowControl w:val="0"/>
        <w:spacing w:before="0" w:after="0"/>
      </w:pPr>
    </w:p>
    <w:p w14:paraId="6280E380" w14:textId="77777777" w:rsidR="00744529" w:rsidRPr="00995557" w:rsidRDefault="00744529" w:rsidP="00AA627A">
      <w:pPr>
        <w:pStyle w:val="Ttulo1"/>
        <w:keepNext w:val="0"/>
        <w:keepLines w:val="0"/>
        <w:widowControl w:val="0"/>
        <w:spacing w:before="0" w:after="0"/>
      </w:pPr>
    </w:p>
    <w:p w14:paraId="05A48B55" w14:textId="77777777" w:rsidR="00744529" w:rsidRPr="00995557" w:rsidRDefault="00744529" w:rsidP="00AA627A">
      <w:pPr>
        <w:pStyle w:val="Ttulo1"/>
        <w:keepNext w:val="0"/>
        <w:keepLines w:val="0"/>
        <w:widowControl w:val="0"/>
        <w:spacing w:before="0" w:after="0"/>
      </w:pPr>
    </w:p>
    <w:p w14:paraId="1481E997" w14:textId="77777777" w:rsidR="00744529" w:rsidRPr="00995557" w:rsidRDefault="00744529" w:rsidP="00AA627A">
      <w:pPr>
        <w:pStyle w:val="Ttulo1"/>
        <w:keepNext w:val="0"/>
        <w:keepLines w:val="0"/>
        <w:widowControl w:val="0"/>
        <w:spacing w:before="0" w:after="0"/>
      </w:pPr>
    </w:p>
    <w:p w14:paraId="56EAF1B0" w14:textId="77777777" w:rsidR="00744529" w:rsidRPr="00995557" w:rsidRDefault="00744529" w:rsidP="00AA627A">
      <w:pPr>
        <w:pStyle w:val="Ttulo1"/>
        <w:keepNext w:val="0"/>
        <w:keepLines w:val="0"/>
        <w:widowControl w:val="0"/>
        <w:spacing w:before="0" w:after="0"/>
      </w:pPr>
    </w:p>
    <w:p w14:paraId="49601E02" w14:textId="77777777" w:rsidR="002662F3" w:rsidRPr="00995557" w:rsidRDefault="002662F3" w:rsidP="00AA627A">
      <w:pPr>
        <w:pStyle w:val="Ttulo1"/>
        <w:keepNext w:val="0"/>
        <w:keepLines w:val="0"/>
        <w:widowControl w:val="0"/>
        <w:spacing w:before="0" w:after="0"/>
      </w:pPr>
      <w:bookmarkStart w:id="14" w:name="_Toc53741431"/>
      <w:bookmarkStart w:id="15" w:name="_Toc58399099"/>
      <w:r w:rsidRPr="00995557">
        <w:lastRenderedPageBreak/>
        <w:t>I</w:t>
      </w:r>
      <w:bookmarkEnd w:id="14"/>
      <w:bookmarkEnd w:id="15"/>
    </w:p>
    <w:p w14:paraId="076C0B85" w14:textId="77777777" w:rsidR="00A738F4" w:rsidRPr="00995557" w:rsidRDefault="00A113F9" w:rsidP="00AA627A">
      <w:pPr>
        <w:pStyle w:val="Ttulo1"/>
        <w:keepNext w:val="0"/>
        <w:keepLines w:val="0"/>
        <w:widowControl w:val="0"/>
        <w:spacing w:before="0" w:after="0"/>
      </w:pPr>
      <w:bookmarkStart w:id="16" w:name="_Toc53741432"/>
      <w:bookmarkStart w:id="17" w:name="_Toc58399100"/>
      <w:r w:rsidRPr="00995557">
        <w:t>INTRODUCCIÓN DE LA CAUSA Y OBJETO DE LA CONTROVERSIA</w:t>
      </w:r>
      <w:bookmarkEnd w:id="13"/>
      <w:bookmarkEnd w:id="12"/>
      <w:bookmarkEnd w:id="11"/>
      <w:bookmarkEnd w:id="10"/>
      <w:bookmarkEnd w:id="16"/>
      <w:bookmarkEnd w:id="17"/>
    </w:p>
    <w:p w14:paraId="5702AA28" w14:textId="77777777" w:rsidR="00F56EE4" w:rsidRPr="00995557" w:rsidRDefault="00F56EE4" w:rsidP="00AA627A">
      <w:pPr>
        <w:pStyle w:val="Prrafodelista"/>
        <w:widowControl w:val="0"/>
        <w:tabs>
          <w:tab w:val="left" w:pos="567"/>
        </w:tabs>
        <w:ind w:left="0"/>
        <w:contextualSpacing w:val="0"/>
        <w:jc w:val="both"/>
      </w:pPr>
    </w:p>
    <w:p w14:paraId="1C46AD41" w14:textId="0C26DC62" w:rsidR="006F13DD" w:rsidRPr="00995557" w:rsidRDefault="00A738F4" w:rsidP="00AA627A">
      <w:pPr>
        <w:pStyle w:val="Prrafodelista"/>
        <w:widowControl w:val="0"/>
        <w:numPr>
          <w:ilvl w:val="0"/>
          <w:numId w:val="2"/>
        </w:numPr>
        <w:tabs>
          <w:tab w:val="left" w:pos="567"/>
        </w:tabs>
        <w:ind w:left="0" w:firstLine="0"/>
        <w:contextualSpacing w:val="0"/>
        <w:jc w:val="both"/>
      </w:pPr>
      <w:r w:rsidRPr="00995557">
        <w:rPr>
          <w:i/>
        </w:rPr>
        <w:t>El caso sometido a la Corte.</w:t>
      </w:r>
      <w:r w:rsidR="00E562BE" w:rsidRPr="00995557">
        <w:rPr>
          <w:i/>
        </w:rPr>
        <w:t xml:space="preserve"> </w:t>
      </w:r>
      <w:r w:rsidR="00A6113E" w:rsidRPr="00995557">
        <w:t>–</w:t>
      </w:r>
      <w:r w:rsidR="00A113F9" w:rsidRPr="00995557">
        <w:rPr>
          <w:i/>
        </w:rPr>
        <w:t xml:space="preserve"> </w:t>
      </w:r>
      <w:r w:rsidRPr="00995557">
        <w:t xml:space="preserve">El </w:t>
      </w:r>
      <w:r w:rsidR="002D2A96" w:rsidRPr="00995557">
        <w:t>1</w:t>
      </w:r>
      <w:r w:rsidRPr="00995557">
        <w:t xml:space="preserve"> de </w:t>
      </w:r>
      <w:r w:rsidR="002D2A96" w:rsidRPr="00995557">
        <w:t>abril</w:t>
      </w:r>
      <w:r w:rsidRPr="00995557">
        <w:t xml:space="preserve"> de 201</w:t>
      </w:r>
      <w:r w:rsidR="002D2A96" w:rsidRPr="00995557">
        <w:t>9</w:t>
      </w:r>
      <w:r w:rsidRPr="00995557">
        <w:t xml:space="preserve"> la Comisión Interamericana de Derechos Humanos (en adelante</w:t>
      </w:r>
      <w:r w:rsidR="00E23DEE" w:rsidRPr="00995557">
        <w:t xml:space="preserve"> también</w:t>
      </w:r>
      <w:r w:rsidRPr="00995557">
        <w:t xml:space="preserve"> “</w:t>
      </w:r>
      <w:r w:rsidR="00F56EE4" w:rsidRPr="00995557">
        <w:t>l</w:t>
      </w:r>
      <w:r w:rsidRPr="00995557">
        <w:t xml:space="preserve">a Comisión Interamericana” o “la Comisión”) sometió a la jurisdicción de la Corte el caso </w:t>
      </w:r>
      <w:r w:rsidR="002D2A96" w:rsidRPr="00995557">
        <w:t xml:space="preserve">“Orlando Edgardo Olivares Muñoz y </w:t>
      </w:r>
      <w:r w:rsidR="00CF00AA" w:rsidRPr="00995557">
        <w:t>o</w:t>
      </w:r>
      <w:r w:rsidR="002D2A96" w:rsidRPr="00995557">
        <w:t xml:space="preserve">tros (Muertes en la Cárcel de Vista Hermosa)” contra la República Bolivariana de Venezuela </w:t>
      </w:r>
      <w:r w:rsidRPr="00995557">
        <w:t xml:space="preserve">(en adelante </w:t>
      </w:r>
      <w:r w:rsidR="00E23DEE" w:rsidRPr="00995557">
        <w:t xml:space="preserve">también </w:t>
      </w:r>
      <w:r w:rsidR="00CB67D6" w:rsidRPr="00995557">
        <w:t xml:space="preserve">“el Estado de Venezuela”, “el Estado venezolano”, </w:t>
      </w:r>
      <w:r w:rsidRPr="00995557">
        <w:t>“el Estado” o “</w:t>
      </w:r>
      <w:r w:rsidR="002D2A96" w:rsidRPr="00995557">
        <w:t>Venezuela</w:t>
      </w:r>
      <w:r w:rsidRPr="00995557">
        <w:t xml:space="preserve">”). </w:t>
      </w:r>
      <w:r w:rsidR="002D2A96" w:rsidRPr="00995557">
        <w:t>De acuerdo con lo indicado por la</w:t>
      </w:r>
      <w:r w:rsidR="00162F3A" w:rsidRPr="00995557">
        <w:t xml:space="preserve"> Comisión</w:t>
      </w:r>
      <w:r w:rsidR="002D2A96" w:rsidRPr="00995557">
        <w:t xml:space="preserve">, el caso se relaciona con la responsabilidad internacional del Estado </w:t>
      </w:r>
      <w:r w:rsidR="00F56EE4" w:rsidRPr="00995557">
        <w:t>v</w:t>
      </w:r>
      <w:r w:rsidR="002D2A96" w:rsidRPr="00995557">
        <w:t>enez</w:t>
      </w:r>
      <w:r w:rsidR="00F56EE4" w:rsidRPr="00995557">
        <w:t>o</w:t>
      </w:r>
      <w:r w:rsidR="002D2A96" w:rsidRPr="00995557">
        <w:t>la</w:t>
      </w:r>
      <w:r w:rsidR="00F56EE4" w:rsidRPr="00995557">
        <w:t>no</w:t>
      </w:r>
      <w:r w:rsidR="002D2A96" w:rsidRPr="00995557">
        <w:t xml:space="preserve"> por las</w:t>
      </w:r>
      <w:r w:rsidR="00D44524" w:rsidRPr="00995557">
        <w:t xml:space="preserve"> alegadas</w:t>
      </w:r>
      <w:r w:rsidR="002D2A96" w:rsidRPr="00995557">
        <w:t xml:space="preserve"> ejecuciones extrajudiciales de Orlando Edgardo Olivares Muñoz, Joel </w:t>
      </w:r>
      <w:r w:rsidR="00A655AF" w:rsidRPr="00995557">
        <w:t>Ronaldy</w:t>
      </w:r>
      <w:r w:rsidR="002D2A96" w:rsidRPr="00995557">
        <w:t xml:space="preserve"> Reyes Nava</w:t>
      </w:r>
      <w:r w:rsidR="0014050C" w:rsidRPr="00995557">
        <w:rPr>
          <w:rStyle w:val="Refdenotaalpie"/>
        </w:rPr>
        <w:footnoteReference w:id="1"/>
      </w:r>
      <w:r w:rsidR="002D2A96" w:rsidRPr="00995557">
        <w:t>, Orangel José Figueroa, Héctor Javier Muñoz Valerio</w:t>
      </w:r>
      <w:r w:rsidR="00CF7E9C" w:rsidRPr="00995557">
        <w:rPr>
          <w:rStyle w:val="Refdenotaalpie"/>
        </w:rPr>
        <w:footnoteReference w:id="2"/>
      </w:r>
      <w:r w:rsidR="002D2A96" w:rsidRPr="00995557">
        <w:t>, Pedro Ramón López Chaurán</w:t>
      </w:r>
      <w:r w:rsidR="00CF7E9C" w:rsidRPr="00995557">
        <w:rPr>
          <w:rStyle w:val="Refdenotaalpie"/>
        </w:rPr>
        <w:footnoteReference w:id="3"/>
      </w:r>
      <w:r w:rsidR="002D2A96" w:rsidRPr="00995557">
        <w:t>, José Gregorio Bolívar Corro y Richard Alex</w:t>
      </w:r>
      <w:r w:rsidR="007D2FA1" w:rsidRPr="00995557">
        <w:t xml:space="preserve">is Núñez Palma, </w:t>
      </w:r>
      <w:r w:rsidR="0030347B" w:rsidRPr="00995557">
        <w:t>personas privadas de libertad</w:t>
      </w:r>
      <w:r w:rsidR="007D2FA1" w:rsidRPr="00995557">
        <w:t xml:space="preserve"> en </w:t>
      </w:r>
      <w:r w:rsidR="004F4051" w:rsidRPr="00995557">
        <w:t xml:space="preserve">el Internado Judicial de Ciudad Bolívar, conocido como cárcel de Vista Hermosa, ubicado en </w:t>
      </w:r>
      <w:r w:rsidR="002D2A96" w:rsidRPr="00995557">
        <w:t>Ciudad Bolívar, Estado Bolívar</w:t>
      </w:r>
      <w:r w:rsidR="000B30AA" w:rsidRPr="00995557">
        <w:t>.</w:t>
      </w:r>
      <w:r w:rsidR="004770F9" w:rsidRPr="00995557">
        <w:t xml:space="preserve"> </w:t>
      </w:r>
      <w:r w:rsidR="000B30AA" w:rsidRPr="00995557">
        <w:t>D</w:t>
      </w:r>
      <w:r w:rsidR="00B20A97" w:rsidRPr="00995557">
        <w:t>ichas ejecuciones habrían sido cometidas por miembros de la Guardia Nacional</w:t>
      </w:r>
      <w:r w:rsidR="00DA32D5" w:rsidRPr="00995557">
        <w:t xml:space="preserve"> Bolivariana (en adelante</w:t>
      </w:r>
      <w:r w:rsidR="009643BD" w:rsidRPr="00995557">
        <w:t xml:space="preserve"> </w:t>
      </w:r>
      <w:r w:rsidR="00DA32D5" w:rsidRPr="00995557">
        <w:t>“</w:t>
      </w:r>
      <w:r w:rsidR="00B96EB0" w:rsidRPr="00995557">
        <w:t xml:space="preserve">la </w:t>
      </w:r>
      <w:r w:rsidR="00DA32D5" w:rsidRPr="00995557">
        <w:t>Guardia Nacional”)</w:t>
      </w:r>
      <w:r w:rsidR="00B20A97" w:rsidRPr="00995557">
        <w:t xml:space="preserve"> en un operativo realizado en </w:t>
      </w:r>
      <w:r w:rsidR="00325E48" w:rsidRPr="00995557">
        <w:t>dicha</w:t>
      </w:r>
      <w:r w:rsidR="00B20A97" w:rsidRPr="00995557">
        <w:t xml:space="preserve"> cárcel el 10 de noviembre de 2003, en el que también habrían resultado heridos otros 27 internos</w:t>
      </w:r>
      <w:r w:rsidR="003C3E3A" w:rsidRPr="00995557">
        <w:rPr>
          <w:rStyle w:val="Refdenotaalpie"/>
        </w:rPr>
        <w:footnoteReference w:id="4"/>
      </w:r>
      <w:r w:rsidR="00B20A97" w:rsidRPr="00995557">
        <w:t xml:space="preserve">. </w:t>
      </w:r>
      <w:r w:rsidR="0035617B" w:rsidRPr="00995557">
        <w:t>Según</w:t>
      </w:r>
      <w:r w:rsidR="00DA04B9" w:rsidRPr="00995557">
        <w:t xml:space="preserve"> l</w:t>
      </w:r>
      <w:r w:rsidR="00B20A97" w:rsidRPr="00995557">
        <w:t>a Comisión</w:t>
      </w:r>
      <w:r w:rsidR="00DA04B9" w:rsidRPr="00995557">
        <w:t>,</w:t>
      </w:r>
      <w:r w:rsidR="00B20A97" w:rsidRPr="00995557">
        <w:t xml:space="preserve"> el Estado no ha brindado una explicación satisfactoria sobre las muertes y lesiones cometidas contra personas bajo su custodia, </w:t>
      </w:r>
      <w:r w:rsidR="00D44524" w:rsidRPr="00995557">
        <w:t>a la vez</w:t>
      </w:r>
      <w:r w:rsidR="00B20A97" w:rsidRPr="00995557">
        <w:t xml:space="preserve"> que existen múltiples indicios que, en su conjunto y dada la falta de esclarecimiento adecuado de los hechos, permit</w:t>
      </w:r>
      <w:r w:rsidR="00C706D0" w:rsidRPr="00995557">
        <w:t>irían</w:t>
      </w:r>
      <w:r w:rsidR="00B20A97" w:rsidRPr="00995557">
        <w:t xml:space="preserve"> concluir “que el uso de la fuerza fue ilegítimo, innecesario y desproporcionado”.</w:t>
      </w:r>
      <w:r w:rsidR="00F56EE4" w:rsidRPr="00995557">
        <w:t xml:space="preserve"> </w:t>
      </w:r>
      <w:r w:rsidR="00805502" w:rsidRPr="00995557">
        <w:t xml:space="preserve">Asimismo, </w:t>
      </w:r>
      <w:r w:rsidR="00B20A97" w:rsidRPr="00995557">
        <w:t xml:space="preserve">alegó que </w:t>
      </w:r>
      <w:r w:rsidR="00805502" w:rsidRPr="00995557">
        <w:t xml:space="preserve">la investigación de los hechos </w:t>
      </w:r>
      <w:r w:rsidR="00FE5448" w:rsidRPr="00995557">
        <w:t>no fue exhaustiva, que las autopsias practicadas no cumplieron los estándares internacionales aplicables, que no fue analizado el contexto de las muertes y que la averiguación de lo ocurrido continúa pendiente y, por ende, no se ha llevado a cabo en un plazo razonable. Por último, la Comisión s</w:t>
      </w:r>
      <w:r w:rsidR="00D56308" w:rsidRPr="00995557">
        <w:t>eñaló que los familiares de las</w:t>
      </w:r>
      <w:r w:rsidR="00C706D0" w:rsidRPr="00995557">
        <w:t xml:space="preserve"> presuntas</w:t>
      </w:r>
      <w:r w:rsidR="00D56308" w:rsidRPr="00995557">
        <w:t xml:space="preserve"> </w:t>
      </w:r>
      <w:r w:rsidR="00FE5448" w:rsidRPr="00995557">
        <w:t xml:space="preserve">víctimas ejecutadas </w:t>
      </w:r>
      <w:r w:rsidR="00D44524" w:rsidRPr="00995557">
        <w:t>resultaron</w:t>
      </w:r>
      <w:r w:rsidR="00FE5448" w:rsidRPr="00995557">
        <w:t xml:space="preserve"> afectados “por el sufrimiento y angustia ocasionad[os] por la pérdida de sus seres queridos </w:t>
      </w:r>
      <w:r w:rsidR="00696E85" w:rsidRPr="00995557">
        <w:t>en las circunstancias descritas, así como la ausencia de verdad y justicia”</w:t>
      </w:r>
      <w:r w:rsidR="00E562BE" w:rsidRPr="00995557">
        <w:rPr>
          <w:rStyle w:val="Refdenotaalpie"/>
        </w:rPr>
        <w:footnoteReference w:id="5"/>
      </w:r>
      <w:r w:rsidR="00696E85" w:rsidRPr="00995557">
        <w:t>.</w:t>
      </w:r>
    </w:p>
    <w:p w14:paraId="5E715F98" w14:textId="77777777" w:rsidR="00F56EE4" w:rsidRPr="00995557" w:rsidRDefault="00F56EE4" w:rsidP="00AA627A">
      <w:pPr>
        <w:pStyle w:val="Prrafodelista"/>
        <w:widowControl w:val="0"/>
        <w:tabs>
          <w:tab w:val="left" w:pos="567"/>
        </w:tabs>
        <w:ind w:left="0"/>
        <w:contextualSpacing w:val="0"/>
        <w:jc w:val="both"/>
      </w:pPr>
    </w:p>
    <w:p w14:paraId="3E6D20E9" w14:textId="77777777" w:rsidR="00E76D89" w:rsidRPr="00995557" w:rsidRDefault="00E76D89" w:rsidP="00AA627A">
      <w:pPr>
        <w:pStyle w:val="Prrafodelista"/>
        <w:widowControl w:val="0"/>
        <w:numPr>
          <w:ilvl w:val="0"/>
          <w:numId w:val="2"/>
        </w:numPr>
        <w:ind w:left="567" w:hanging="567"/>
        <w:contextualSpacing w:val="0"/>
      </w:pPr>
      <w:r w:rsidRPr="00995557">
        <w:rPr>
          <w:i/>
        </w:rPr>
        <w:t>Trámite ante la Comisión</w:t>
      </w:r>
      <w:r w:rsidRPr="00995557">
        <w:t xml:space="preserve">. – El trámite ante la Comisión fue el siguiente: </w:t>
      </w:r>
    </w:p>
    <w:p w14:paraId="7B946A8D" w14:textId="77777777" w:rsidR="00F56EE4" w:rsidRPr="00995557" w:rsidRDefault="00F56EE4" w:rsidP="00AA627A">
      <w:pPr>
        <w:widowControl w:val="0"/>
      </w:pPr>
    </w:p>
    <w:p w14:paraId="07C8903F" w14:textId="7DCE035E" w:rsidR="00B50BBD" w:rsidRPr="00995557" w:rsidRDefault="00E76D89" w:rsidP="00AA627A">
      <w:pPr>
        <w:pStyle w:val="Prrafodelista"/>
        <w:widowControl w:val="0"/>
        <w:numPr>
          <w:ilvl w:val="1"/>
          <w:numId w:val="2"/>
        </w:numPr>
        <w:ind w:left="1077" w:hanging="357"/>
        <w:contextualSpacing w:val="0"/>
        <w:jc w:val="both"/>
      </w:pPr>
      <w:r w:rsidRPr="00995557">
        <w:rPr>
          <w:i/>
        </w:rPr>
        <w:t>Petición.</w:t>
      </w:r>
      <w:r w:rsidRPr="00995557">
        <w:t xml:space="preserve"> </w:t>
      </w:r>
      <w:r w:rsidR="00873646" w:rsidRPr="00995557">
        <w:t>–</w:t>
      </w:r>
      <w:r w:rsidRPr="00995557">
        <w:t xml:space="preserve"> </w:t>
      </w:r>
      <w:r w:rsidR="00873646" w:rsidRPr="00995557">
        <w:t xml:space="preserve">El </w:t>
      </w:r>
      <w:r w:rsidR="00E562BE" w:rsidRPr="00995557">
        <w:t xml:space="preserve">16 de octubre de 2007 </w:t>
      </w:r>
      <w:bookmarkStart w:id="18" w:name="_Hlk38315652"/>
      <w:r w:rsidR="00E562BE" w:rsidRPr="00995557">
        <w:t xml:space="preserve">el Observatorio Venezolano de Prisiones </w:t>
      </w:r>
      <w:bookmarkEnd w:id="18"/>
      <w:r w:rsidR="00E562BE" w:rsidRPr="00995557">
        <w:t>presentó</w:t>
      </w:r>
      <w:r w:rsidR="00FB449C" w:rsidRPr="00995557">
        <w:t xml:space="preserve"> la petición </w:t>
      </w:r>
      <w:r w:rsidR="0080605B" w:rsidRPr="00995557">
        <w:t>inicial.</w:t>
      </w:r>
    </w:p>
    <w:p w14:paraId="34527F74" w14:textId="77777777" w:rsidR="00F56EE4" w:rsidRPr="00995557" w:rsidRDefault="00F56EE4" w:rsidP="00AA627A">
      <w:pPr>
        <w:pStyle w:val="Prrafodelista"/>
        <w:widowControl w:val="0"/>
        <w:tabs>
          <w:tab w:val="left" w:pos="1134"/>
        </w:tabs>
        <w:ind w:left="1077"/>
        <w:contextualSpacing w:val="0"/>
        <w:jc w:val="both"/>
      </w:pPr>
    </w:p>
    <w:p w14:paraId="5BF05251" w14:textId="25BBCBD3" w:rsidR="00E230B1" w:rsidRPr="00995557" w:rsidRDefault="00B50BBD" w:rsidP="00AA627A">
      <w:pPr>
        <w:pStyle w:val="Prrafodelista"/>
        <w:widowControl w:val="0"/>
        <w:numPr>
          <w:ilvl w:val="1"/>
          <w:numId w:val="2"/>
        </w:numPr>
        <w:ind w:left="1077" w:hanging="357"/>
        <w:contextualSpacing w:val="0"/>
        <w:jc w:val="both"/>
      </w:pPr>
      <w:r w:rsidRPr="00995557">
        <w:rPr>
          <w:i/>
        </w:rPr>
        <w:t>Informe de Admisibilidad.</w:t>
      </w:r>
      <w:r w:rsidRPr="00995557">
        <w:t xml:space="preserve"> – El </w:t>
      </w:r>
      <w:r w:rsidR="00E562BE" w:rsidRPr="00995557">
        <w:t>23 de marzo de 2011</w:t>
      </w:r>
      <w:r w:rsidRPr="00995557">
        <w:t xml:space="preserve"> la Comisión aprobó el Informe de Admisibilidad</w:t>
      </w:r>
      <w:r w:rsidR="00E562BE" w:rsidRPr="00995557">
        <w:t xml:space="preserve"> No. 14/11</w:t>
      </w:r>
      <w:r w:rsidR="0088185F" w:rsidRPr="00995557">
        <w:t>, en el que concluyó</w:t>
      </w:r>
      <w:r w:rsidR="00960B1F" w:rsidRPr="00995557">
        <w:t xml:space="preserve"> que la petición era admisible.</w:t>
      </w:r>
    </w:p>
    <w:p w14:paraId="2D92CAB7" w14:textId="77777777" w:rsidR="00F56EE4" w:rsidRPr="00995557" w:rsidRDefault="00F56EE4" w:rsidP="00AA627A">
      <w:pPr>
        <w:pStyle w:val="Prrafodelista"/>
        <w:widowControl w:val="0"/>
        <w:ind w:left="1077"/>
        <w:contextualSpacing w:val="0"/>
        <w:jc w:val="both"/>
      </w:pPr>
    </w:p>
    <w:p w14:paraId="7377876C" w14:textId="3F18C9D7" w:rsidR="00E230B1" w:rsidRPr="00995557" w:rsidRDefault="00C41BB2" w:rsidP="00AA627A">
      <w:pPr>
        <w:pStyle w:val="Prrafodelista"/>
        <w:widowControl w:val="0"/>
        <w:numPr>
          <w:ilvl w:val="1"/>
          <w:numId w:val="2"/>
        </w:numPr>
        <w:ind w:left="1077" w:hanging="357"/>
        <w:contextualSpacing w:val="0"/>
        <w:jc w:val="both"/>
      </w:pPr>
      <w:r w:rsidRPr="00995557">
        <w:rPr>
          <w:i/>
        </w:rPr>
        <w:t xml:space="preserve">Informe de </w:t>
      </w:r>
      <w:r w:rsidR="00A113F9" w:rsidRPr="00995557">
        <w:rPr>
          <w:i/>
        </w:rPr>
        <w:t>F</w:t>
      </w:r>
      <w:r w:rsidRPr="00995557">
        <w:rPr>
          <w:i/>
        </w:rPr>
        <w:t>ondo</w:t>
      </w:r>
      <w:r w:rsidRPr="00995557">
        <w:t xml:space="preserve">. </w:t>
      </w:r>
      <w:r w:rsidR="00E04E6D" w:rsidRPr="00995557">
        <w:t>–</w:t>
      </w:r>
      <w:r w:rsidRPr="00995557">
        <w:t xml:space="preserve"> </w:t>
      </w:r>
      <w:r w:rsidR="00E04E6D" w:rsidRPr="00995557">
        <w:t xml:space="preserve">El </w:t>
      </w:r>
      <w:r w:rsidR="003C3E3A" w:rsidRPr="00995557">
        <w:t>5 de octubre</w:t>
      </w:r>
      <w:r w:rsidR="00E230B1" w:rsidRPr="00995557">
        <w:t xml:space="preserve"> de 2018 la Comisión aprobó el </w:t>
      </w:r>
      <w:r w:rsidR="0088185F" w:rsidRPr="00995557">
        <w:t>I</w:t>
      </w:r>
      <w:r w:rsidR="00E230B1" w:rsidRPr="00995557">
        <w:t xml:space="preserve">nforme de </w:t>
      </w:r>
      <w:r w:rsidR="0088185F" w:rsidRPr="00995557">
        <w:t>F</w:t>
      </w:r>
      <w:r w:rsidR="00E230B1" w:rsidRPr="00995557">
        <w:t xml:space="preserve">ondo No. </w:t>
      </w:r>
      <w:r w:rsidR="003C3E3A" w:rsidRPr="00995557">
        <w:t>119</w:t>
      </w:r>
      <w:r w:rsidR="00E230B1" w:rsidRPr="00995557">
        <w:t>/18</w:t>
      </w:r>
      <w:r w:rsidR="003D656D" w:rsidRPr="00995557">
        <w:t xml:space="preserve"> (en adelante</w:t>
      </w:r>
      <w:r w:rsidR="00B559B9" w:rsidRPr="00995557">
        <w:t xml:space="preserve"> </w:t>
      </w:r>
      <w:r w:rsidR="003D656D" w:rsidRPr="00995557">
        <w:t>“Informe de Fondo” o “</w:t>
      </w:r>
      <w:bookmarkStart w:id="19" w:name="_Hlk44606365"/>
      <w:r w:rsidR="003D656D" w:rsidRPr="00995557">
        <w:t>Informe No. 119/18</w:t>
      </w:r>
      <w:bookmarkEnd w:id="19"/>
      <w:r w:rsidR="003D656D" w:rsidRPr="00995557">
        <w:t>”)</w:t>
      </w:r>
      <w:r w:rsidR="00E230B1" w:rsidRPr="00995557">
        <w:t>, en el cual llegó a una serie de conclusiones</w:t>
      </w:r>
      <w:r w:rsidR="00E230B1" w:rsidRPr="00995557">
        <w:rPr>
          <w:rStyle w:val="Refdenotaalpie"/>
        </w:rPr>
        <w:footnoteReference w:id="6"/>
      </w:r>
      <w:r w:rsidR="00E230B1" w:rsidRPr="00995557">
        <w:t xml:space="preserve"> y formuló varias recomendaciones al Estado.</w:t>
      </w:r>
    </w:p>
    <w:p w14:paraId="4B933C3C" w14:textId="77777777" w:rsidR="00F56EE4" w:rsidRPr="00995557" w:rsidRDefault="00F56EE4" w:rsidP="00AA627A">
      <w:pPr>
        <w:widowControl w:val="0"/>
        <w:jc w:val="both"/>
      </w:pPr>
    </w:p>
    <w:p w14:paraId="6A7AA954" w14:textId="204CD85B" w:rsidR="00F839FE" w:rsidRPr="00995557" w:rsidRDefault="00E230B1" w:rsidP="00AA627A">
      <w:pPr>
        <w:pStyle w:val="Prrafodelista"/>
        <w:widowControl w:val="0"/>
        <w:numPr>
          <w:ilvl w:val="0"/>
          <w:numId w:val="2"/>
        </w:numPr>
        <w:tabs>
          <w:tab w:val="left" w:pos="567"/>
        </w:tabs>
        <w:ind w:left="0" w:firstLine="0"/>
        <w:jc w:val="both"/>
      </w:pPr>
      <w:r w:rsidRPr="00995557">
        <w:rPr>
          <w:i/>
        </w:rPr>
        <w:t>Notificación al Estado.</w:t>
      </w:r>
      <w:r w:rsidRPr="00995557">
        <w:t xml:space="preserve"> – El </w:t>
      </w:r>
      <w:r w:rsidR="0088185F" w:rsidRPr="00995557">
        <w:t>I</w:t>
      </w:r>
      <w:r w:rsidRPr="00995557">
        <w:t>nforme de Fondo fue notificado al Estado</w:t>
      </w:r>
      <w:r w:rsidR="00F839FE" w:rsidRPr="00995557">
        <w:t xml:space="preserve"> mediante comunicación de 1 de noviembre de 2018</w:t>
      </w:r>
      <w:r w:rsidRPr="00995557">
        <w:t>,</w:t>
      </w:r>
      <w:r w:rsidR="00DB1547" w:rsidRPr="00995557">
        <w:t xml:space="preserve"> </w:t>
      </w:r>
      <w:r w:rsidR="0029772F" w:rsidRPr="00995557">
        <w:t>oportunidad en la que</w:t>
      </w:r>
      <w:r w:rsidR="00DB1547" w:rsidRPr="00995557">
        <w:t xml:space="preserve"> la Comisión </w:t>
      </w:r>
      <w:r w:rsidR="0029772F" w:rsidRPr="00995557">
        <w:t>le otorgó</w:t>
      </w:r>
      <w:r w:rsidRPr="00995557">
        <w:t xml:space="preserve"> </w:t>
      </w:r>
      <w:r w:rsidR="00F839FE" w:rsidRPr="00995557">
        <w:t>el plazo de dos meses para que informara sobre el cumplimento de las recomendaciones</w:t>
      </w:r>
      <w:r w:rsidRPr="00995557">
        <w:t xml:space="preserve">. </w:t>
      </w:r>
      <w:r w:rsidR="003D0F36" w:rsidRPr="00995557">
        <w:t xml:space="preserve">El Estado de </w:t>
      </w:r>
      <w:r w:rsidR="00F839FE" w:rsidRPr="00995557">
        <w:t xml:space="preserve">Venezuela, por su parte, presentó </w:t>
      </w:r>
      <w:r w:rsidR="006F274D" w:rsidRPr="00995557">
        <w:t xml:space="preserve">un </w:t>
      </w:r>
      <w:r w:rsidR="00F839FE" w:rsidRPr="00995557">
        <w:t>escrito en el que indicó que se encontraba en conversaciones con los representantes para realizar una reunión de trabajo a efecto de abordar el cumplimiento de las recomendaciones contenidas en el Informe de Fondo; ante ello, la Comisión concedió la prórroga de dos meses solicitada por el Estado. Según informó la Comisión, a partir de la prórroga concedida, el Estado no remitió información acerca del cumplimiento de las recomendacio</w:t>
      </w:r>
      <w:r w:rsidR="0080605B" w:rsidRPr="00995557">
        <w:t>nes ni solicitó nueva prórroga.</w:t>
      </w:r>
    </w:p>
    <w:p w14:paraId="7EBEEC0E" w14:textId="77777777" w:rsidR="00F839FE" w:rsidRPr="00995557" w:rsidRDefault="00F839FE" w:rsidP="00AA627A">
      <w:pPr>
        <w:widowControl w:val="0"/>
        <w:tabs>
          <w:tab w:val="left" w:pos="567"/>
        </w:tabs>
        <w:ind w:left="284"/>
        <w:jc w:val="both"/>
      </w:pPr>
    </w:p>
    <w:p w14:paraId="7D72CE8B" w14:textId="614895BD" w:rsidR="00226410" w:rsidRPr="00995557" w:rsidRDefault="00554F2F" w:rsidP="00AA627A">
      <w:pPr>
        <w:pStyle w:val="Prrafodelista"/>
        <w:widowControl w:val="0"/>
        <w:numPr>
          <w:ilvl w:val="0"/>
          <w:numId w:val="2"/>
        </w:numPr>
        <w:tabs>
          <w:tab w:val="left" w:pos="567"/>
        </w:tabs>
        <w:ind w:left="0" w:firstLine="0"/>
        <w:jc w:val="both"/>
      </w:pPr>
      <w:r w:rsidRPr="00995557">
        <w:rPr>
          <w:i/>
        </w:rPr>
        <w:t>Sometimiento a la Corte</w:t>
      </w:r>
      <w:r w:rsidRPr="00995557">
        <w:t xml:space="preserve">. – El </w:t>
      </w:r>
      <w:r w:rsidR="00F839FE" w:rsidRPr="00995557">
        <w:t>1</w:t>
      </w:r>
      <w:r w:rsidRPr="00995557">
        <w:t xml:space="preserve"> de </w:t>
      </w:r>
      <w:r w:rsidR="00F839FE" w:rsidRPr="00995557">
        <w:t>abril de 2019</w:t>
      </w:r>
      <w:r w:rsidRPr="00995557">
        <w:t xml:space="preserve"> la Comisión sometió el presente caso a la Corte</w:t>
      </w:r>
      <w:r w:rsidR="003D656D" w:rsidRPr="00995557">
        <w:t>, según indicó,</w:t>
      </w:r>
      <w:r w:rsidRPr="00995557">
        <w:t xml:space="preserve"> </w:t>
      </w:r>
      <w:r w:rsidR="00603777" w:rsidRPr="00995557">
        <w:t>“</w:t>
      </w:r>
      <w:r w:rsidR="00F839FE" w:rsidRPr="00995557">
        <w:t xml:space="preserve">ante </w:t>
      </w:r>
      <w:r w:rsidR="00603777" w:rsidRPr="00995557">
        <w:t>la necesidad de obtención de justicia</w:t>
      </w:r>
      <w:r w:rsidR="003D656D" w:rsidRPr="00995557">
        <w:t xml:space="preserve"> y reparación</w:t>
      </w:r>
      <w:r w:rsidR="00603777" w:rsidRPr="00995557">
        <w:t xml:space="preserve"> </w:t>
      </w:r>
      <w:r w:rsidR="0088185F" w:rsidRPr="00995557">
        <w:t>para las víctimas”</w:t>
      </w:r>
      <w:r w:rsidR="0088185F" w:rsidRPr="00995557">
        <w:rPr>
          <w:rStyle w:val="Refdenotaalpie"/>
        </w:rPr>
        <w:footnoteReference w:id="7"/>
      </w:r>
      <w:r w:rsidR="0080605B" w:rsidRPr="00995557">
        <w:t>.</w:t>
      </w:r>
      <w:r w:rsidR="00B26AB3" w:rsidRPr="00995557">
        <w:rPr>
          <w:b/>
        </w:rPr>
        <w:t xml:space="preserve"> </w:t>
      </w:r>
      <w:r w:rsidR="00B26AB3" w:rsidRPr="00995557">
        <w:rPr>
          <w:rFonts w:eastAsia="Verdana" w:cs="Verdana"/>
          <w:lang w:val="es-ES"/>
        </w:rPr>
        <w:t>Este Tribunal nota</w:t>
      </w:r>
      <w:r w:rsidR="0003723C" w:rsidRPr="00995557">
        <w:rPr>
          <w:rFonts w:eastAsia="Verdana" w:cs="Verdana"/>
          <w:lang w:val="es-ES"/>
        </w:rPr>
        <w:t>, con preocupación,</w:t>
      </w:r>
      <w:r w:rsidR="00B26AB3" w:rsidRPr="00995557">
        <w:rPr>
          <w:rFonts w:eastAsia="Verdana" w:cs="Verdana"/>
          <w:lang w:val="es-ES"/>
        </w:rPr>
        <w:t xml:space="preserve"> que entre la presentación de la petición inicial ante la Comisión y el sometimiento del caso ante la Corte</w:t>
      </w:r>
      <w:r w:rsidR="004770F9" w:rsidRPr="00995557">
        <w:rPr>
          <w:rFonts w:eastAsia="Verdana" w:cs="Verdana"/>
          <w:lang w:val="es-ES"/>
        </w:rPr>
        <w:t xml:space="preserve"> transcurrieron</w:t>
      </w:r>
      <w:r w:rsidR="00B26AB3" w:rsidRPr="00995557">
        <w:rPr>
          <w:rFonts w:eastAsia="Verdana" w:cs="Verdana"/>
          <w:lang w:val="es-ES"/>
        </w:rPr>
        <w:t xml:space="preserve"> </w:t>
      </w:r>
      <w:r w:rsidR="00A6113E" w:rsidRPr="00995557">
        <w:rPr>
          <w:rFonts w:eastAsia="Verdana" w:cs="Verdana"/>
          <w:lang w:val="es-ES"/>
        </w:rPr>
        <w:t>11</w:t>
      </w:r>
      <w:r w:rsidR="00B26AB3" w:rsidRPr="00995557">
        <w:rPr>
          <w:rFonts w:eastAsia="Verdana" w:cs="Verdana"/>
          <w:lang w:val="es-ES"/>
        </w:rPr>
        <w:t xml:space="preserve"> años y cinco meses.</w:t>
      </w:r>
    </w:p>
    <w:p w14:paraId="386A9545" w14:textId="77777777" w:rsidR="002E6EEF" w:rsidRPr="00995557" w:rsidRDefault="002E6EEF" w:rsidP="00AA627A">
      <w:pPr>
        <w:pStyle w:val="Prrafodelista"/>
        <w:widowControl w:val="0"/>
        <w:ind w:left="567"/>
        <w:jc w:val="both"/>
      </w:pPr>
    </w:p>
    <w:p w14:paraId="6BED4BC2" w14:textId="243DD644" w:rsidR="00900494" w:rsidRPr="00995557" w:rsidRDefault="002E6EEF" w:rsidP="00AA627A">
      <w:pPr>
        <w:pStyle w:val="Prrafodelista"/>
        <w:widowControl w:val="0"/>
        <w:numPr>
          <w:ilvl w:val="0"/>
          <w:numId w:val="2"/>
        </w:numPr>
        <w:tabs>
          <w:tab w:val="left" w:pos="567"/>
        </w:tabs>
        <w:ind w:left="0" w:firstLine="0"/>
        <w:jc w:val="both"/>
      </w:pPr>
      <w:r w:rsidRPr="00995557">
        <w:rPr>
          <w:i/>
        </w:rPr>
        <w:t>Solicitudes de la Comisión.</w:t>
      </w:r>
      <w:r w:rsidRPr="00995557">
        <w:t xml:space="preserve"> </w:t>
      </w:r>
      <w:r w:rsidR="00515F27" w:rsidRPr="00995557">
        <w:t>–</w:t>
      </w:r>
      <w:r w:rsidRPr="00995557">
        <w:t xml:space="preserve"> </w:t>
      </w:r>
      <w:r w:rsidR="00D26270" w:rsidRPr="00995557">
        <w:t>Con base en lo anterior, la Comisión solicitó a este Tribunal que concluyera y declarara la responsabilidad internacional de</w:t>
      </w:r>
      <w:r w:rsidR="006B1FE9" w:rsidRPr="00995557">
        <w:t xml:space="preserve"> Venezuela </w:t>
      </w:r>
      <w:r w:rsidR="00D26270" w:rsidRPr="00995557">
        <w:t xml:space="preserve">por las violaciones contenidas en </w:t>
      </w:r>
      <w:r w:rsidR="00772890" w:rsidRPr="00995557">
        <w:t>el</w:t>
      </w:r>
      <w:r w:rsidR="00D26270" w:rsidRPr="00995557">
        <w:t xml:space="preserve"> Informe </w:t>
      </w:r>
      <w:r w:rsidR="006B1FE9" w:rsidRPr="00995557">
        <w:t>No. 119/18</w:t>
      </w:r>
      <w:r w:rsidR="00D26270" w:rsidRPr="00995557">
        <w:t xml:space="preserve"> y se ordenara al Estado, como medidas de reparación, </w:t>
      </w:r>
      <w:r w:rsidR="0079495C" w:rsidRPr="00995557">
        <w:t xml:space="preserve">las </w:t>
      </w:r>
      <w:r w:rsidR="003D656D" w:rsidRPr="00995557">
        <w:t>incluidas en dicho informe.</w:t>
      </w:r>
    </w:p>
    <w:p w14:paraId="09804D90" w14:textId="77777777" w:rsidR="000B3A64" w:rsidRPr="00995557" w:rsidRDefault="000B3A64" w:rsidP="00AA627A">
      <w:pPr>
        <w:pStyle w:val="Ttulo1"/>
        <w:keepNext w:val="0"/>
        <w:keepLines w:val="0"/>
        <w:widowControl w:val="0"/>
        <w:spacing w:before="0" w:after="0"/>
      </w:pPr>
      <w:bookmarkStart w:id="21" w:name="_Toc32394131"/>
    </w:p>
    <w:p w14:paraId="1A2C3900" w14:textId="77777777" w:rsidR="00900494" w:rsidRPr="00995557" w:rsidRDefault="00900494" w:rsidP="00AA627A">
      <w:pPr>
        <w:pStyle w:val="Ttulo1"/>
        <w:keepNext w:val="0"/>
        <w:keepLines w:val="0"/>
        <w:widowControl w:val="0"/>
        <w:spacing w:before="0" w:after="0"/>
      </w:pPr>
      <w:bookmarkStart w:id="22" w:name="_Toc53741433"/>
      <w:bookmarkStart w:id="23" w:name="_Toc58399101"/>
      <w:r w:rsidRPr="00995557">
        <w:t>II</w:t>
      </w:r>
      <w:r w:rsidR="008A33EC" w:rsidRPr="00995557">
        <w:br/>
      </w:r>
      <w:r w:rsidRPr="00995557">
        <w:t>PROCE</w:t>
      </w:r>
      <w:r w:rsidR="00AE3FDE" w:rsidRPr="00995557">
        <w:t>D</w:t>
      </w:r>
      <w:r w:rsidRPr="00995557">
        <w:t>IMIENTO ANTE LA CORTE</w:t>
      </w:r>
      <w:bookmarkEnd w:id="21"/>
      <w:bookmarkEnd w:id="22"/>
      <w:bookmarkEnd w:id="23"/>
    </w:p>
    <w:p w14:paraId="2D936482" w14:textId="77777777" w:rsidR="000B3A64" w:rsidRPr="00995557" w:rsidRDefault="000B3A64" w:rsidP="00AA627A">
      <w:pPr>
        <w:widowControl w:val="0"/>
      </w:pPr>
    </w:p>
    <w:p w14:paraId="0A8388DA" w14:textId="6BC80E2F" w:rsidR="00DA0BDA" w:rsidRPr="00995557" w:rsidRDefault="009A6B1C" w:rsidP="00BE7225">
      <w:pPr>
        <w:pStyle w:val="Prrafodelista"/>
        <w:widowControl w:val="0"/>
        <w:numPr>
          <w:ilvl w:val="0"/>
          <w:numId w:val="2"/>
        </w:numPr>
        <w:tabs>
          <w:tab w:val="left" w:pos="567"/>
        </w:tabs>
        <w:ind w:left="0" w:firstLine="0"/>
        <w:contextualSpacing w:val="0"/>
        <w:jc w:val="both"/>
      </w:pPr>
      <w:r w:rsidRPr="00995557">
        <w:rPr>
          <w:i/>
        </w:rPr>
        <w:t>Notificación al Estado y</w:t>
      </w:r>
      <w:r w:rsidR="0088185F" w:rsidRPr="00995557">
        <w:rPr>
          <w:i/>
        </w:rPr>
        <w:t xml:space="preserve"> a</w:t>
      </w:r>
      <w:r w:rsidRPr="00995557">
        <w:rPr>
          <w:i/>
        </w:rPr>
        <w:t xml:space="preserve"> l</w:t>
      </w:r>
      <w:r w:rsidR="000B3A64" w:rsidRPr="00995557">
        <w:rPr>
          <w:i/>
        </w:rPr>
        <w:t>o</w:t>
      </w:r>
      <w:r w:rsidRPr="00995557">
        <w:rPr>
          <w:i/>
        </w:rPr>
        <w:t>s representantes.</w:t>
      </w:r>
      <w:r w:rsidRPr="00995557">
        <w:t xml:space="preserve"> </w:t>
      </w:r>
      <w:r w:rsidR="00DA0BDA" w:rsidRPr="00995557">
        <w:t>–</w:t>
      </w:r>
      <w:r w:rsidRPr="00995557">
        <w:t xml:space="preserve"> </w:t>
      </w:r>
      <w:r w:rsidR="00E80F57" w:rsidRPr="00995557">
        <w:t>El sometimiento del caso</w:t>
      </w:r>
      <w:r w:rsidR="00F8547B" w:rsidRPr="00995557">
        <w:t xml:space="preserve"> fue notificado al Estado y a lo</w:t>
      </w:r>
      <w:r w:rsidR="00E80F57" w:rsidRPr="00995557">
        <w:t>s representantes de las presuntas víctimas</w:t>
      </w:r>
      <w:r w:rsidR="00BE7225" w:rsidRPr="00995557">
        <w:t xml:space="preserve"> mediante comunicaciones de</w:t>
      </w:r>
      <w:r w:rsidR="0088185F" w:rsidRPr="00995557">
        <w:t xml:space="preserve"> </w:t>
      </w:r>
      <w:r w:rsidR="00087940" w:rsidRPr="00995557">
        <w:t>28 de junio</w:t>
      </w:r>
      <w:r w:rsidR="00F8547B" w:rsidRPr="00995557">
        <w:t xml:space="preserve"> de 2019</w:t>
      </w:r>
      <w:r w:rsidR="00507F9C" w:rsidRPr="00995557">
        <w:t>.</w:t>
      </w:r>
    </w:p>
    <w:p w14:paraId="7325BA74" w14:textId="77777777" w:rsidR="00C25AFF" w:rsidRPr="00995557" w:rsidRDefault="00C25AFF" w:rsidP="00AA627A">
      <w:pPr>
        <w:pStyle w:val="Prrafodelista"/>
        <w:widowControl w:val="0"/>
        <w:tabs>
          <w:tab w:val="left" w:pos="567"/>
        </w:tabs>
        <w:ind w:left="0"/>
        <w:contextualSpacing w:val="0"/>
        <w:jc w:val="both"/>
      </w:pPr>
    </w:p>
    <w:p w14:paraId="096EFB3D" w14:textId="2450CE50" w:rsidR="00926276" w:rsidRPr="00995557" w:rsidRDefault="00DA0BDA" w:rsidP="00AA627A">
      <w:pPr>
        <w:pStyle w:val="Prrafodelista"/>
        <w:widowControl w:val="0"/>
        <w:numPr>
          <w:ilvl w:val="0"/>
          <w:numId w:val="2"/>
        </w:numPr>
        <w:tabs>
          <w:tab w:val="left" w:pos="567"/>
        </w:tabs>
        <w:ind w:left="0" w:firstLine="0"/>
        <w:contextualSpacing w:val="0"/>
        <w:jc w:val="both"/>
      </w:pPr>
      <w:r w:rsidRPr="00995557">
        <w:rPr>
          <w:i/>
        </w:rPr>
        <w:t>Escrito de solicitudes, argumentos y pruebas.</w:t>
      </w:r>
      <w:r w:rsidRPr="00995557">
        <w:t xml:space="preserve"> – </w:t>
      </w:r>
      <w:r w:rsidR="00A362B9" w:rsidRPr="00995557">
        <w:t xml:space="preserve">El </w:t>
      </w:r>
      <w:r w:rsidR="00B16232" w:rsidRPr="00995557">
        <w:t>7 de octubre de 2019 el Observatorio Venezolano de Prisiones</w:t>
      </w:r>
      <w:r w:rsidR="00A362B9" w:rsidRPr="00995557">
        <w:t xml:space="preserve"> </w:t>
      </w:r>
      <w:r w:rsidR="00A362B9" w:rsidRPr="00995557">
        <w:rPr>
          <w:lang w:val="es-CO"/>
        </w:rPr>
        <w:t>(en adelante “l</w:t>
      </w:r>
      <w:r w:rsidR="00B16232" w:rsidRPr="00995557">
        <w:rPr>
          <w:lang w:val="es-CO"/>
        </w:rPr>
        <w:t>o</w:t>
      </w:r>
      <w:r w:rsidR="00A362B9" w:rsidRPr="00995557">
        <w:rPr>
          <w:lang w:val="es-CO"/>
        </w:rPr>
        <w:t>s representantes”)</w:t>
      </w:r>
      <w:r w:rsidR="00020635" w:rsidRPr="00995557">
        <w:rPr>
          <w:rStyle w:val="Refdenotaalpie"/>
          <w:lang w:val="es-CO"/>
        </w:rPr>
        <w:footnoteReference w:id="8"/>
      </w:r>
      <w:r w:rsidR="00A362B9" w:rsidRPr="00995557">
        <w:rPr>
          <w:lang w:val="es-CO"/>
        </w:rPr>
        <w:t xml:space="preserve"> present</w:t>
      </w:r>
      <w:r w:rsidR="0084276E" w:rsidRPr="00995557">
        <w:rPr>
          <w:lang w:val="es-CO"/>
        </w:rPr>
        <w:t>ó</w:t>
      </w:r>
      <w:r w:rsidR="00A362B9" w:rsidRPr="00995557">
        <w:rPr>
          <w:lang w:val="es-CO"/>
        </w:rPr>
        <w:t xml:space="preserve"> su escrito de solicitudes, argumentos </w:t>
      </w:r>
      <w:r w:rsidR="000A7C3B" w:rsidRPr="00995557">
        <w:rPr>
          <w:lang w:val="es-CO"/>
        </w:rPr>
        <w:t xml:space="preserve">y pruebas (en adelante “escrito de solicitudes y argumentos”), conforme a los </w:t>
      </w:r>
      <w:r w:rsidR="000A7C3B" w:rsidRPr="00995557">
        <w:rPr>
          <w:lang w:val="es-CO"/>
        </w:rPr>
        <w:lastRenderedPageBreak/>
        <w:t>artículos 25 y 40 del Reglamento de la Corte. L</w:t>
      </w:r>
      <w:r w:rsidR="006F6D92" w:rsidRPr="00995557">
        <w:rPr>
          <w:lang w:val="es-CO"/>
        </w:rPr>
        <w:t>o</w:t>
      </w:r>
      <w:r w:rsidR="000A7C3B" w:rsidRPr="00995557">
        <w:rPr>
          <w:lang w:val="es-CO"/>
        </w:rPr>
        <w:t xml:space="preserve">s representantes </w:t>
      </w:r>
      <w:r w:rsidR="00174BE9" w:rsidRPr="00995557">
        <w:rPr>
          <w:lang w:val="es-CO"/>
        </w:rPr>
        <w:t>coincidieron</w:t>
      </w:r>
      <w:r w:rsidR="00926276" w:rsidRPr="00995557">
        <w:rPr>
          <w:lang w:val="es-CO"/>
        </w:rPr>
        <w:t xml:space="preserve"> sustancialmente con los</w:t>
      </w:r>
      <w:r w:rsidR="004D694B" w:rsidRPr="00995557">
        <w:rPr>
          <w:lang w:val="es-CO"/>
        </w:rPr>
        <w:t xml:space="preserve"> </w:t>
      </w:r>
      <w:r w:rsidR="000A7C3B" w:rsidRPr="00995557">
        <w:rPr>
          <w:lang w:val="es-CO"/>
        </w:rPr>
        <w:t>alega</w:t>
      </w:r>
      <w:r w:rsidR="00926276" w:rsidRPr="00995557">
        <w:rPr>
          <w:lang w:val="es-CO"/>
        </w:rPr>
        <w:t>t</w:t>
      </w:r>
      <w:r w:rsidR="000A7C3B" w:rsidRPr="00995557">
        <w:rPr>
          <w:lang w:val="es-CO"/>
        </w:rPr>
        <w:t>o</w:t>
      </w:r>
      <w:r w:rsidR="00926276" w:rsidRPr="00995557">
        <w:rPr>
          <w:lang w:val="es-CO"/>
        </w:rPr>
        <w:t>s</w:t>
      </w:r>
      <w:r w:rsidR="000A7C3B" w:rsidRPr="00995557">
        <w:rPr>
          <w:lang w:val="es-CO"/>
        </w:rPr>
        <w:t xml:space="preserve"> </w:t>
      </w:r>
      <w:r w:rsidR="00926276" w:rsidRPr="00995557">
        <w:rPr>
          <w:lang w:val="es-CO"/>
        </w:rPr>
        <w:t>de</w:t>
      </w:r>
      <w:r w:rsidR="000A7C3B" w:rsidRPr="00995557">
        <w:rPr>
          <w:lang w:val="es-CO"/>
        </w:rPr>
        <w:t xml:space="preserve"> la Comisión</w:t>
      </w:r>
      <w:r w:rsidR="006F6D92" w:rsidRPr="00995557">
        <w:rPr>
          <w:lang w:val="es-CO"/>
        </w:rPr>
        <w:t xml:space="preserve"> y, adicionalmente, solicitaron que se declara</w:t>
      </w:r>
      <w:r w:rsidR="00951E1E" w:rsidRPr="00995557">
        <w:rPr>
          <w:lang w:val="es-CO"/>
        </w:rPr>
        <w:t>ra</w:t>
      </w:r>
      <w:r w:rsidR="006F6D92" w:rsidRPr="00995557">
        <w:rPr>
          <w:lang w:val="es-CO"/>
        </w:rPr>
        <w:t xml:space="preserve"> la responsabilidad del Estado por la violación </w:t>
      </w:r>
      <w:r w:rsidR="006F6D92" w:rsidRPr="00995557">
        <w:t xml:space="preserve">de los artículos </w:t>
      </w:r>
      <w:r w:rsidR="006F6D92" w:rsidRPr="00995557">
        <w:rPr>
          <w:rFonts w:cs="Arial"/>
        </w:rPr>
        <w:t>6, 7 y 8 de la Convención Interamericana para Prevenir y Sancionar la Tortura</w:t>
      </w:r>
      <w:r w:rsidR="006F6D92" w:rsidRPr="00995557">
        <w:t xml:space="preserve"> (en adelante</w:t>
      </w:r>
      <w:r w:rsidR="00AA627A" w:rsidRPr="00995557">
        <w:t xml:space="preserve"> también</w:t>
      </w:r>
      <w:r w:rsidR="006F6D92" w:rsidRPr="00995557">
        <w:t xml:space="preserve"> “CIPST”)</w:t>
      </w:r>
      <w:r w:rsidR="006F6D92" w:rsidRPr="00995557">
        <w:rPr>
          <w:rFonts w:cs="Arial"/>
        </w:rPr>
        <w:t xml:space="preserve">, en perjuicio de las presuntas víctimas fallecidas y las personas heridas, así como la violación </w:t>
      </w:r>
      <w:r w:rsidR="006F6D92" w:rsidRPr="00995557">
        <w:t>de los artículos 8.1 y 25 de la Convención, en relación con los artículos 1, 6 y 8 de la CIPST, en perjuicio de las personas heridas “y sus familiar</w:t>
      </w:r>
      <w:r w:rsidR="00951E1E" w:rsidRPr="00995557">
        <w:t>e</w:t>
      </w:r>
      <w:r w:rsidR="006F6D92" w:rsidRPr="00995557">
        <w:t>s”</w:t>
      </w:r>
      <w:r w:rsidR="00951E1E" w:rsidRPr="00995557">
        <w:t>.</w:t>
      </w:r>
      <w:r w:rsidR="006F6D92" w:rsidRPr="00995557">
        <w:t xml:space="preserve"> </w:t>
      </w:r>
      <w:r w:rsidR="003C1010" w:rsidRPr="00995557">
        <w:t xml:space="preserve">Para el efecto, argumentaron que los hechos </w:t>
      </w:r>
      <w:r w:rsidR="00E43232" w:rsidRPr="00995557">
        <w:t>acaecidos</w:t>
      </w:r>
      <w:r w:rsidR="00E965D5" w:rsidRPr="00995557">
        <w:t xml:space="preserve"> d</w:t>
      </w:r>
      <w:r w:rsidR="003C1010" w:rsidRPr="00995557">
        <w:t xml:space="preserve">emuestran la responsabilidad del Estado por </w:t>
      </w:r>
      <w:r w:rsidR="00A6113E" w:rsidRPr="00995557">
        <w:t xml:space="preserve">supuestos </w:t>
      </w:r>
      <w:r w:rsidR="003C1010" w:rsidRPr="00995557">
        <w:t>actos de tortura cometidos contra las personas fallecidas y heridas</w:t>
      </w:r>
      <w:r w:rsidR="0088185F" w:rsidRPr="00995557">
        <w:rPr>
          <w:lang w:val="es-CO"/>
        </w:rPr>
        <w:t>.</w:t>
      </w:r>
      <w:r w:rsidR="00926276" w:rsidRPr="00995557">
        <w:t xml:space="preserve"> Asimismo, solicitaron que se ordenara al Estado adoptar diversas medidas de reparación y el reintegro de determinadas costas y gastos.</w:t>
      </w:r>
    </w:p>
    <w:p w14:paraId="01A919D2" w14:textId="77777777" w:rsidR="000B3A64" w:rsidRPr="00995557" w:rsidRDefault="000B3A64" w:rsidP="00AA627A">
      <w:pPr>
        <w:pStyle w:val="Prrafodelista"/>
        <w:widowControl w:val="0"/>
        <w:tabs>
          <w:tab w:val="left" w:pos="567"/>
        </w:tabs>
        <w:ind w:left="0"/>
        <w:contextualSpacing w:val="0"/>
        <w:jc w:val="both"/>
      </w:pPr>
    </w:p>
    <w:p w14:paraId="4F504BC7" w14:textId="7756A688" w:rsidR="00DA0BDA" w:rsidRPr="00995557" w:rsidRDefault="00DA0BDA" w:rsidP="00AA627A">
      <w:pPr>
        <w:pStyle w:val="Prrafodelista"/>
        <w:widowControl w:val="0"/>
        <w:numPr>
          <w:ilvl w:val="0"/>
          <w:numId w:val="2"/>
        </w:numPr>
        <w:tabs>
          <w:tab w:val="left" w:pos="567"/>
        </w:tabs>
        <w:ind w:left="0" w:firstLine="0"/>
        <w:contextualSpacing w:val="0"/>
        <w:jc w:val="both"/>
      </w:pPr>
      <w:r w:rsidRPr="00995557">
        <w:rPr>
          <w:i/>
        </w:rPr>
        <w:t>Escrito de contestación.</w:t>
      </w:r>
      <w:r w:rsidRPr="00995557">
        <w:t xml:space="preserve"> – </w:t>
      </w:r>
      <w:r w:rsidR="000A7C3B" w:rsidRPr="00995557">
        <w:t xml:space="preserve">El </w:t>
      </w:r>
      <w:r w:rsidR="00201433" w:rsidRPr="00995557">
        <w:t>26 de diciembre</w:t>
      </w:r>
      <w:r w:rsidR="000A7C3B" w:rsidRPr="00995557">
        <w:t xml:space="preserve"> de 2019 el Estado presentó ante la Corte su escrito de contestación</w:t>
      </w:r>
      <w:r w:rsidR="00DA59BF" w:rsidRPr="00995557">
        <w:t xml:space="preserve"> al sometimiento del caso </w:t>
      </w:r>
      <w:r w:rsidR="00960B1F" w:rsidRPr="00995557">
        <w:t>e Informe de Fondo de la Comisión Interamericana y al escrito de solicitudes</w:t>
      </w:r>
      <w:r w:rsidR="000B3A64" w:rsidRPr="00995557">
        <w:t xml:space="preserve"> y</w:t>
      </w:r>
      <w:r w:rsidR="00960B1F" w:rsidRPr="00995557">
        <w:t xml:space="preserve"> argumentos de los representantes (en adelante “escrito de contestación”)</w:t>
      </w:r>
      <w:r w:rsidR="00960B1F" w:rsidRPr="00995557">
        <w:rPr>
          <w:rStyle w:val="Refdenotaalpie"/>
        </w:rPr>
        <w:footnoteReference w:id="9"/>
      </w:r>
      <w:r w:rsidR="00960B1F" w:rsidRPr="00995557">
        <w:t xml:space="preserve">. En dicho escrito el Estado reconoció “su responsabilidad </w:t>
      </w:r>
      <w:r w:rsidR="00F41911" w:rsidRPr="00995557">
        <w:t xml:space="preserve">internacional </w:t>
      </w:r>
      <w:r w:rsidR="00ED4E85" w:rsidRPr="00995557">
        <w:rPr>
          <w:rFonts w:cs="Arial"/>
        </w:rPr>
        <w:t xml:space="preserve">[…] </w:t>
      </w:r>
      <w:r w:rsidR="005E448F" w:rsidRPr="00995557">
        <w:t>en los términos y condiciones establecidos en el Informe de Fondo”.</w:t>
      </w:r>
    </w:p>
    <w:p w14:paraId="5677FDDD" w14:textId="77777777" w:rsidR="000B3A64" w:rsidRPr="00995557" w:rsidRDefault="000B3A64" w:rsidP="00AA627A">
      <w:pPr>
        <w:pStyle w:val="Prrafodelista"/>
        <w:widowControl w:val="0"/>
        <w:tabs>
          <w:tab w:val="left" w:pos="567"/>
        </w:tabs>
        <w:ind w:left="0"/>
        <w:contextualSpacing w:val="0"/>
        <w:jc w:val="both"/>
      </w:pPr>
    </w:p>
    <w:p w14:paraId="5452F428" w14:textId="34C18F63" w:rsidR="00D23522" w:rsidRPr="00995557" w:rsidRDefault="00D23522" w:rsidP="00AA627A">
      <w:pPr>
        <w:pStyle w:val="Prrafodelista"/>
        <w:widowControl w:val="0"/>
        <w:numPr>
          <w:ilvl w:val="0"/>
          <w:numId w:val="2"/>
        </w:numPr>
        <w:tabs>
          <w:tab w:val="left" w:pos="567"/>
        </w:tabs>
        <w:ind w:left="0" w:firstLine="0"/>
        <w:contextualSpacing w:val="0"/>
        <w:jc w:val="both"/>
      </w:pPr>
      <w:r w:rsidRPr="00995557">
        <w:rPr>
          <w:i/>
        </w:rPr>
        <w:t xml:space="preserve">Observaciones al reconocimiento de responsabilidad. </w:t>
      </w:r>
      <w:r w:rsidRPr="00995557">
        <w:t>– El 30 de enero de 2020 los representantes y la Comisión presentaron sus respectivos escritos con observaciones al reconocimiento de responsabilidad realizado por el Estado.</w:t>
      </w:r>
    </w:p>
    <w:p w14:paraId="0D6D7974" w14:textId="77777777" w:rsidR="0003723C" w:rsidRPr="00995557" w:rsidRDefault="0003723C" w:rsidP="00AA627A">
      <w:pPr>
        <w:pStyle w:val="Prrafodelista"/>
        <w:widowControl w:val="0"/>
        <w:tabs>
          <w:tab w:val="left" w:pos="567"/>
        </w:tabs>
        <w:ind w:left="0" w:right="4"/>
        <w:contextualSpacing w:val="0"/>
        <w:jc w:val="both"/>
      </w:pPr>
    </w:p>
    <w:p w14:paraId="3BD8FF3A" w14:textId="446E0259" w:rsidR="005E3F5F" w:rsidRPr="00995557" w:rsidRDefault="00DA0BDA" w:rsidP="00AA627A">
      <w:pPr>
        <w:pStyle w:val="Prrafodelista"/>
        <w:widowControl w:val="0"/>
        <w:numPr>
          <w:ilvl w:val="0"/>
          <w:numId w:val="2"/>
        </w:numPr>
        <w:tabs>
          <w:tab w:val="left" w:pos="567"/>
        </w:tabs>
        <w:ind w:left="0" w:right="4" w:firstLine="0"/>
        <w:contextualSpacing w:val="0"/>
        <w:jc w:val="both"/>
      </w:pPr>
      <w:r w:rsidRPr="00995557">
        <w:rPr>
          <w:i/>
        </w:rPr>
        <w:t xml:space="preserve">Audiencia </w:t>
      </w:r>
      <w:r w:rsidR="00CA0925" w:rsidRPr="00995557">
        <w:rPr>
          <w:i/>
        </w:rPr>
        <w:t>Pública.</w:t>
      </w:r>
      <w:r w:rsidR="00CA0925" w:rsidRPr="00995557">
        <w:t xml:space="preserve"> – </w:t>
      </w:r>
      <w:r w:rsidR="0070322C" w:rsidRPr="00995557">
        <w:t>Mediante Resolución de</w:t>
      </w:r>
      <w:r w:rsidR="00CA0925" w:rsidRPr="00995557">
        <w:t xml:space="preserve"> </w:t>
      </w:r>
      <w:bookmarkStart w:id="24" w:name="_Hlk38316312"/>
      <w:r w:rsidR="00502C7E" w:rsidRPr="00995557">
        <w:t>21 de febrero de 2020</w:t>
      </w:r>
      <w:r w:rsidR="0070322C" w:rsidRPr="00995557">
        <w:rPr>
          <w:rStyle w:val="Refdenotaalpie"/>
        </w:rPr>
        <w:footnoteReference w:id="10"/>
      </w:r>
      <w:r w:rsidR="0070322C" w:rsidRPr="00995557">
        <w:t>,</w:t>
      </w:r>
      <w:r w:rsidR="00CA0925" w:rsidRPr="00995557">
        <w:t xml:space="preserve"> </w:t>
      </w:r>
      <w:r w:rsidR="00502C7E" w:rsidRPr="00995557">
        <w:t>la</w:t>
      </w:r>
      <w:r w:rsidR="0070322C" w:rsidRPr="00995557">
        <w:t xml:space="preserve"> </w:t>
      </w:r>
      <w:proofErr w:type="gramStart"/>
      <w:r w:rsidR="0070322C" w:rsidRPr="00995557">
        <w:t>Presidenta</w:t>
      </w:r>
      <w:proofErr w:type="gramEnd"/>
      <w:r w:rsidR="0094630B" w:rsidRPr="00995557">
        <w:t xml:space="preserve"> de la Corte (en adelante</w:t>
      </w:r>
      <w:r w:rsidR="009643BD" w:rsidRPr="00995557">
        <w:t xml:space="preserve"> también</w:t>
      </w:r>
      <w:r w:rsidR="0094630B" w:rsidRPr="00995557">
        <w:t xml:space="preserve"> “la Presidenta”)</w:t>
      </w:r>
      <w:r w:rsidR="00863759" w:rsidRPr="00995557">
        <w:t xml:space="preserve"> </w:t>
      </w:r>
      <w:r w:rsidR="0070322C" w:rsidRPr="00995557">
        <w:t xml:space="preserve">convocó </w:t>
      </w:r>
      <w:r w:rsidR="0080605B" w:rsidRPr="00995557">
        <w:t>a las partes y</w:t>
      </w:r>
      <w:r w:rsidR="0070322C" w:rsidRPr="00995557">
        <w:t xml:space="preserve"> a la Comisión a una audiencia pública</w:t>
      </w:r>
      <w:r w:rsidR="00D56308" w:rsidRPr="00995557">
        <w:t>, programada para el 16 de marzo de 2020,</w:t>
      </w:r>
      <w:r w:rsidR="0070322C" w:rsidRPr="00995557">
        <w:t xml:space="preserve"> </w:t>
      </w:r>
      <w:r w:rsidR="0080605B" w:rsidRPr="00995557">
        <w:t>a efecto de</w:t>
      </w:r>
      <w:r w:rsidR="0070322C" w:rsidRPr="00995557">
        <w:t xml:space="preserve"> recibir sus alegatos y observaciones finales orales sobre el fondo y eventuales reparaciones y costas, así como para recibir las declaraciones de una </w:t>
      </w:r>
      <w:r w:rsidR="003E5594" w:rsidRPr="00995557">
        <w:t xml:space="preserve">de las </w:t>
      </w:r>
      <w:r w:rsidR="0070322C" w:rsidRPr="00995557">
        <w:t>presunta</w:t>
      </w:r>
      <w:r w:rsidR="003E5594" w:rsidRPr="00995557">
        <w:t>s</w:t>
      </w:r>
      <w:r w:rsidR="0070322C" w:rsidRPr="00995557">
        <w:t xml:space="preserve"> víctima</w:t>
      </w:r>
      <w:r w:rsidR="003E5594" w:rsidRPr="00995557">
        <w:t>s</w:t>
      </w:r>
      <w:r w:rsidR="0070322C" w:rsidRPr="00995557">
        <w:t>, una testigo propuesta por los representantes y una perita propuesta por el Estado.</w:t>
      </w:r>
      <w:bookmarkEnd w:id="24"/>
      <w:r w:rsidR="0070322C" w:rsidRPr="00995557">
        <w:rPr>
          <w:b/>
          <w:lang w:val="es-CO"/>
        </w:rPr>
        <w:t xml:space="preserve"> </w:t>
      </w:r>
      <w:r w:rsidR="00F41911" w:rsidRPr="00995557">
        <w:rPr>
          <w:lang w:val="es-CO"/>
        </w:rPr>
        <w:t>M</w:t>
      </w:r>
      <w:r w:rsidR="005C00A6" w:rsidRPr="00995557">
        <w:rPr>
          <w:lang w:val="es-CO"/>
        </w:rPr>
        <w:t xml:space="preserve">ediante </w:t>
      </w:r>
      <w:r w:rsidR="005C00A6" w:rsidRPr="00995557">
        <w:t xml:space="preserve">comunicaciones de 11 de marzo de 2020, la Secretaría de la Corte informó </w:t>
      </w:r>
      <w:r w:rsidR="00F41911" w:rsidRPr="00995557">
        <w:t>a las partes</w:t>
      </w:r>
      <w:r w:rsidR="005C00A6" w:rsidRPr="00995557">
        <w:t xml:space="preserve"> y a la </w:t>
      </w:r>
      <w:r w:rsidR="005C00A6" w:rsidRPr="00995557">
        <w:rPr>
          <w:rFonts w:cs="Verdana"/>
        </w:rPr>
        <w:t xml:space="preserve">Comisión </w:t>
      </w:r>
      <w:r w:rsidR="005C00A6" w:rsidRPr="00995557">
        <w:t xml:space="preserve">que, en virtud de </w:t>
      </w:r>
      <w:r w:rsidR="005C00A6" w:rsidRPr="00995557">
        <w:rPr>
          <w:lang w:eastAsia="es-CR"/>
        </w:rPr>
        <w:t>la Declaración de Pandemia por la propagación del Coronavirus efectuada el mismo día por la Organización Mundial de la Salud y en atención a los “Lineamientos Sanitarios Nacionales para la Vigilancia de la Infección por Coronavirus” dictados por el Ministerio de Salud Pública de Costa Rica, la Presidenta decidió suspender las audiencias públicas programadas para la semana del 16 al 20 de marzo de 2020.</w:t>
      </w:r>
      <w:r w:rsidR="005C00A6" w:rsidRPr="00995557">
        <w:rPr>
          <w:b/>
          <w:color w:val="FF0000"/>
          <w:lang w:val="es-CO"/>
        </w:rPr>
        <w:t xml:space="preserve"> </w:t>
      </w:r>
      <w:r w:rsidR="00F41911" w:rsidRPr="00995557">
        <w:rPr>
          <w:lang w:eastAsia="es-CR"/>
        </w:rPr>
        <w:t>Por su parte</w:t>
      </w:r>
      <w:r w:rsidR="005C00A6" w:rsidRPr="00995557">
        <w:rPr>
          <w:lang w:eastAsia="es-CR"/>
        </w:rPr>
        <w:t xml:space="preserve">, </w:t>
      </w:r>
      <w:r w:rsidR="005C00A6" w:rsidRPr="00995557">
        <w:rPr>
          <w:bCs/>
          <w:lang w:val="es-CO"/>
        </w:rPr>
        <w:t xml:space="preserve">mediante Resolución de </w:t>
      </w:r>
      <w:r w:rsidR="00D80E14" w:rsidRPr="00995557">
        <w:rPr>
          <w:bCs/>
          <w:lang w:val="es-CO"/>
        </w:rPr>
        <w:t>30</w:t>
      </w:r>
      <w:r w:rsidR="005C00A6" w:rsidRPr="00995557">
        <w:rPr>
          <w:bCs/>
          <w:lang w:val="es-CO"/>
        </w:rPr>
        <w:t xml:space="preserve"> de </w:t>
      </w:r>
      <w:r w:rsidR="00D80E14" w:rsidRPr="00995557">
        <w:rPr>
          <w:bCs/>
          <w:lang w:val="es-CO"/>
        </w:rPr>
        <w:t>junio</w:t>
      </w:r>
      <w:r w:rsidR="005C00A6" w:rsidRPr="00995557">
        <w:rPr>
          <w:bCs/>
          <w:lang w:val="es-CO"/>
        </w:rPr>
        <w:t xml:space="preserve"> de 2020</w:t>
      </w:r>
      <w:r w:rsidR="0094630B" w:rsidRPr="00995557">
        <w:rPr>
          <w:rStyle w:val="Refdenotaalpie"/>
        </w:rPr>
        <w:footnoteReference w:id="11"/>
      </w:r>
      <w:r w:rsidR="005C00A6" w:rsidRPr="00995557">
        <w:rPr>
          <w:bCs/>
          <w:lang w:val="es-CO"/>
        </w:rPr>
        <w:t xml:space="preserve">, la Presidenta, en consulta con el Pleno y en atención a la </w:t>
      </w:r>
      <w:r w:rsidR="005C00A6" w:rsidRPr="00995557">
        <w:t xml:space="preserve">situación originada a causa de la </w:t>
      </w:r>
      <w:r w:rsidR="0094630B" w:rsidRPr="00995557">
        <w:t xml:space="preserve">referida </w:t>
      </w:r>
      <w:r w:rsidR="005C00A6" w:rsidRPr="00995557">
        <w:t xml:space="preserve">pandemia, cuyos efectos determinaban impedimentos notorios e insuperables para llevar a cabo la audiencia pública inicialmente convocada, decidió proseguir el trámite del caso, para lo cual modificó la modalidad de las declaraciones admitidas en la citada Resolución de 21 de febrero de 2020 para ser recibidas en </w:t>
      </w:r>
      <w:r w:rsidR="00DC64CB" w:rsidRPr="00995557">
        <w:t>forma presencial</w:t>
      </w:r>
      <w:r w:rsidR="005C00A6" w:rsidRPr="00995557">
        <w:t xml:space="preserve">, </w:t>
      </w:r>
      <w:bookmarkStart w:id="25" w:name="_Hlk43915775"/>
      <w:r w:rsidR="005C00A6" w:rsidRPr="00995557">
        <w:t>en el sentido que debían se</w:t>
      </w:r>
      <w:r w:rsidR="00D57F93" w:rsidRPr="00995557">
        <w:t>r</w:t>
      </w:r>
      <w:r w:rsidR="005C00A6" w:rsidRPr="00995557">
        <w:t xml:space="preserve"> rendidas, en la medida de lo posible, ante </w:t>
      </w:r>
      <w:r w:rsidR="005C00A6" w:rsidRPr="00995557">
        <w:rPr>
          <w:rFonts w:eastAsia="Times New Roman"/>
        </w:rPr>
        <w:t>fedatario público (</w:t>
      </w:r>
      <w:r w:rsidR="005C00A6" w:rsidRPr="00995557">
        <w:rPr>
          <w:rFonts w:eastAsia="Times New Roman"/>
          <w:i/>
        </w:rPr>
        <w:t>affidávit</w:t>
      </w:r>
      <w:r w:rsidR="005C00A6" w:rsidRPr="00995557">
        <w:rPr>
          <w:rFonts w:eastAsia="Times New Roman"/>
        </w:rPr>
        <w:t>)</w:t>
      </w:r>
      <w:bookmarkEnd w:id="25"/>
      <w:r w:rsidR="005C00A6" w:rsidRPr="00995557">
        <w:rPr>
          <w:rFonts w:eastAsia="Times New Roman"/>
        </w:rPr>
        <w:t>.</w:t>
      </w:r>
      <w:r w:rsidR="005E3F5F" w:rsidRPr="00995557">
        <w:rPr>
          <w:b/>
          <w:lang w:val="es-CO"/>
        </w:rPr>
        <w:t xml:space="preserve"> </w:t>
      </w:r>
      <w:r w:rsidR="005E3F5F" w:rsidRPr="00995557">
        <w:rPr>
          <w:lang w:val="es-CO"/>
        </w:rPr>
        <w:t>Por último, mediante Resolución de la Corte de 29 de julio de 2020</w:t>
      </w:r>
      <w:r w:rsidR="00C3381E" w:rsidRPr="00995557">
        <w:rPr>
          <w:rStyle w:val="Refdenotaalpie"/>
        </w:rPr>
        <w:footnoteReference w:id="12"/>
      </w:r>
      <w:r w:rsidR="005E3F5F" w:rsidRPr="00995557">
        <w:rPr>
          <w:lang w:val="es-CO"/>
        </w:rPr>
        <w:t>, se declaró procedente la solicitud de reconsideración presentada por l</w:t>
      </w:r>
      <w:r w:rsidR="00DA36AF" w:rsidRPr="00995557">
        <w:rPr>
          <w:lang w:val="es-CO"/>
        </w:rPr>
        <w:t>os representantes, en el</w:t>
      </w:r>
      <w:r w:rsidR="00DA36AF" w:rsidRPr="00995557">
        <w:t xml:space="preserve"> sentido</w:t>
      </w:r>
      <w:r w:rsidR="005E3F5F" w:rsidRPr="00995557">
        <w:rPr>
          <w:lang w:val="es-CO"/>
        </w:rPr>
        <w:t xml:space="preserve"> q</w:t>
      </w:r>
      <w:r w:rsidR="005E3F5F" w:rsidRPr="00995557">
        <w:t xml:space="preserve">ue la declaración de la </w:t>
      </w:r>
      <w:r w:rsidR="005E3F5F" w:rsidRPr="00995557">
        <w:lastRenderedPageBreak/>
        <w:t>señora Lorenza Josefina Pérez de Olivares</w:t>
      </w:r>
      <w:r w:rsidR="0080605B" w:rsidRPr="00995557">
        <w:t xml:space="preserve"> sería</w:t>
      </w:r>
      <w:r w:rsidR="005E3F5F" w:rsidRPr="00995557">
        <w:t xml:space="preserve"> recibida en forma oral ante el Pleno de la Corte mediante videoconferencia.</w:t>
      </w:r>
      <w:r w:rsidR="005E3F5F" w:rsidRPr="00995557">
        <w:rPr>
          <w:b/>
          <w:lang w:val="es-CO"/>
        </w:rPr>
        <w:t xml:space="preserve"> </w:t>
      </w:r>
      <w:r w:rsidR="005E3F5F" w:rsidRPr="00995557">
        <w:rPr>
          <w:lang w:val="es-CO"/>
        </w:rPr>
        <w:t xml:space="preserve">La </w:t>
      </w:r>
      <w:r w:rsidR="00C3381E" w:rsidRPr="00995557">
        <w:rPr>
          <w:lang w:val="es-CO"/>
        </w:rPr>
        <w:t xml:space="preserve">referida </w:t>
      </w:r>
      <w:r w:rsidR="005E3F5F" w:rsidRPr="00995557">
        <w:rPr>
          <w:lang w:val="es-CO"/>
        </w:rPr>
        <w:t xml:space="preserve">diligencia se desarrolló el 24 de agosto de 2020, </w:t>
      </w:r>
      <w:r w:rsidR="005E3F5F" w:rsidRPr="00995557">
        <w:t>durante el 136</w:t>
      </w:r>
      <w:r w:rsidR="00C3381E" w:rsidRPr="00995557">
        <w:t xml:space="preserve"> Período Ordinario de Sesiones.</w:t>
      </w:r>
    </w:p>
    <w:p w14:paraId="0EC434BB" w14:textId="77777777" w:rsidR="0003723C" w:rsidRPr="00995557" w:rsidRDefault="0003723C" w:rsidP="00AA627A">
      <w:pPr>
        <w:pStyle w:val="Prrafodelista"/>
        <w:rPr>
          <w:color w:val="FF0000"/>
        </w:rPr>
      </w:pPr>
    </w:p>
    <w:p w14:paraId="1827A98D" w14:textId="2928E6F6" w:rsidR="0003723C" w:rsidRPr="00995557" w:rsidRDefault="0003723C" w:rsidP="00AA627A">
      <w:pPr>
        <w:pStyle w:val="Prrafodelista"/>
        <w:widowControl w:val="0"/>
        <w:numPr>
          <w:ilvl w:val="0"/>
          <w:numId w:val="2"/>
        </w:numPr>
        <w:tabs>
          <w:tab w:val="left" w:pos="567"/>
        </w:tabs>
        <w:ind w:left="0" w:firstLine="0"/>
        <w:contextualSpacing w:val="0"/>
        <w:jc w:val="both"/>
      </w:pPr>
      <w:r w:rsidRPr="00995557">
        <w:rPr>
          <w:i/>
        </w:rPr>
        <w:t>Amicus curiae</w:t>
      </w:r>
      <w:r w:rsidRPr="00995557">
        <w:t>.</w:t>
      </w:r>
      <w:r w:rsidR="00A6113E" w:rsidRPr="00995557">
        <w:t xml:space="preserve"> –</w:t>
      </w:r>
      <w:r w:rsidRPr="00995557">
        <w:t xml:space="preserve"> El Tribunal recibió un escrito en calidad de </w:t>
      </w:r>
      <w:r w:rsidRPr="00995557">
        <w:rPr>
          <w:i/>
        </w:rPr>
        <w:t>amicus curiae</w:t>
      </w:r>
      <w:r w:rsidRPr="00995557">
        <w:t xml:space="preserve"> presentado por el Grupo de Prisiones de la Universidad de los Andes</w:t>
      </w:r>
      <w:r w:rsidRPr="00995557">
        <w:rPr>
          <w:rStyle w:val="Refdenotaalpie"/>
        </w:rPr>
        <w:footnoteReference w:id="13"/>
      </w:r>
      <w:r w:rsidRPr="00995557">
        <w:t>.</w:t>
      </w:r>
    </w:p>
    <w:p w14:paraId="44A041DE" w14:textId="77777777" w:rsidR="000B3A64" w:rsidRPr="00995557" w:rsidRDefault="000B3A64" w:rsidP="00AA627A">
      <w:pPr>
        <w:pStyle w:val="Prrafodelista"/>
        <w:widowControl w:val="0"/>
        <w:tabs>
          <w:tab w:val="left" w:pos="567"/>
        </w:tabs>
        <w:ind w:left="0"/>
        <w:contextualSpacing w:val="0"/>
        <w:jc w:val="both"/>
      </w:pPr>
    </w:p>
    <w:p w14:paraId="530BAB9A" w14:textId="0A19FE3C" w:rsidR="001E44E8" w:rsidRPr="00995557" w:rsidRDefault="001E44E8" w:rsidP="00AA627A">
      <w:pPr>
        <w:pStyle w:val="Numberedparagraphs"/>
        <w:widowControl w:val="0"/>
        <w:numPr>
          <w:ilvl w:val="0"/>
          <w:numId w:val="2"/>
        </w:numPr>
        <w:tabs>
          <w:tab w:val="left" w:pos="567"/>
        </w:tabs>
        <w:autoSpaceDE w:val="0"/>
        <w:autoSpaceDN w:val="0"/>
        <w:adjustRightInd w:val="0"/>
        <w:ind w:left="0" w:firstLine="0"/>
        <w:rPr>
          <w:color w:val="auto"/>
          <w:lang w:val="es-CR"/>
        </w:rPr>
      </w:pPr>
      <w:r w:rsidRPr="00995557">
        <w:rPr>
          <w:i/>
          <w:lang w:val="es-CR"/>
        </w:rPr>
        <w:t>Prueba para mejor resolver</w:t>
      </w:r>
      <w:r w:rsidRPr="00995557">
        <w:rPr>
          <w:lang w:val="es-CR"/>
        </w:rPr>
        <w:t xml:space="preserve">. – </w:t>
      </w:r>
      <w:r w:rsidRPr="00995557">
        <w:t xml:space="preserve">El 27 de agosto de 2020, con base en el artículo 58.b) del Reglamento de la Corte, la </w:t>
      </w:r>
      <w:proofErr w:type="gramStart"/>
      <w:r w:rsidRPr="00995557">
        <w:t>Presidenta</w:t>
      </w:r>
      <w:proofErr w:type="gramEnd"/>
      <w:r w:rsidRPr="00995557">
        <w:t xml:space="preserve"> requirió al Estado que remitiera el </w:t>
      </w:r>
      <w:r w:rsidRPr="00995557">
        <w:rPr>
          <w:rFonts w:cs="Verdana"/>
          <w:lang w:val="es-CR"/>
        </w:rPr>
        <w:t>expediente completo del caso en sede interna.</w:t>
      </w:r>
      <w:r w:rsidRPr="00995557">
        <w:rPr>
          <w:b/>
          <w:lang w:val="es-CO"/>
        </w:rPr>
        <w:t xml:space="preserve"> </w:t>
      </w:r>
      <w:r w:rsidRPr="00995557">
        <w:rPr>
          <w:lang w:val="es-CO"/>
        </w:rPr>
        <w:t xml:space="preserve">El Estado, mediante comunicación de 2 de septiembre de 2020, indicó, </w:t>
      </w:r>
      <w:r w:rsidRPr="00995557">
        <w:rPr>
          <w:i/>
          <w:lang w:val="es-CO"/>
        </w:rPr>
        <w:t>inter alia</w:t>
      </w:r>
      <w:r w:rsidR="00D97AF4" w:rsidRPr="00995557">
        <w:rPr>
          <w:lang w:val="es-CO"/>
        </w:rPr>
        <w:t xml:space="preserve">, que </w:t>
      </w:r>
      <w:r w:rsidRPr="00995557">
        <w:rPr>
          <w:lang w:val="es-CO"/>
        </w:rPr>
        <w:t xml:space="preserve">las medidas </w:t>
      </w:r>
      <w:r w:rsidRPr="00995557">
        <w:rPr>
          <w:rFonts w:cs="Arial"/>
          <w:lang w:val="es-CR"/>
        </w:rPr>
        <w:t>adoptadas para hacer fr</w:t>
      </w:r>
      <w:r w:rsidR="00D97AF4" w:rsidRPr="00995557">
        <w:rPr>
          <w:rFonts w:cs="Arial"/>
          <w:lang w:val="es-CR"/>
        </w:rPr>
        <w:t>ente a la pandemia del COVID-19</w:t>
      </w:r>
      <w:r w:rsidRPr="00995557">
        <w:rPr>
          <w:rFonts w:cs="Arial"/>
          <w:lang w:val="es-CR"/>
        </w:rPr>
        <w:t xml:space="preserve"> hacían “materialmente imposible remitir la documentación requerida”, y que, en virtud del reconocimiento de responsabilidad, “la referida prueba resulta</w:t>
      </w:r>
      <w:r w:rsidRPr="00995557">
        <w:rPr>
          <w:lang w:val="es-CO"/>
        </w:rPr>
        <w:t>[ba]</w:t>
      </w:r>
      <w:r w:rsidRPr="00995557">
        <w:rPr>
          <w:b/>
          <w:lang w:val="es-CO"/>
        </w:rPr>
        <w:t xml:space="preserve"> </w:t>
      </w:r>
      <w:r w:rsidRPr="00995557">
        <w:rPr>
          <w:rFonts w:cs="Arial"/>
          <w:lang w:val="es-CR"/>
        </w:rPr>
        <w:t>innecesaria”, por lo que solicitó reconsiderar el requerimiento efectuado.</w:t>
      </w:r>
      <w:r w:rsidRPr="00995557">
        <w:rPr>
          <w:b/>
          <w:lang w:val="es-CO"/>
        </w:rPr>
        <w:t xml:space="preserve"> </w:t>
      </w:r>
      <w:r w:rsidRPr="00995557">
        <w:rPr>
          <w:lang w:val="es-CO"/>
        </w:rPr>
        <w:t xml:space="preserve">Por su parte, mediante comunicación de 16 de septiembre de 2020, la Secretaría de la Corte, con instrucciones de la </w:t>
      </w:r>
      <w:proofErr w:type="gramStart"/>
      <w:r w:rsidRPr="00995557">
        <w:rPr>
          <w:lang w:val="es-CO"/>
        </w:rPr>
        <w:t>Presidenta</w:t>
      </w:r>
      <w:proofErr w:type="gramEnd"/>
      <w:r w:rsidRPr="00995557">
        <w:rPr>
          <w:lang w:val="es-CO"/>
        </w:rPr>
        <w:t>, reiteró el requerimiento efectuado “por estimarse prueba pertinente y necesaria, de conformidad con las facultades que el […] Reglamento de la Corte confiere al Tribunal en esta materia”.</w:t>
      </w:r>
      <w:r w:rsidRPr="00995557">
        <w:rPr>
          <w:b/>
          <w:lang w:val="es-CO"/>
        </w:rPr>
        <w:t xml:space="preserve"> </w:t>
      </w:r>
      <w:r w:rsidRPr="00995557">
        <w:rPr>
          <w:lang w:val="es-CO"/>
        </w:rPr>
        <w:t>El Estado no remitió la prueba requerida</w:t>
      </w:r>
      <w:r w:rsidR="00142716" w:rsidRPr="00995557">
        <w:rPr>
          <w:color w:val="auto"/>
          <w:lang w:val="es-CR"/>
        </w:rPr>
        <w:t xml:space="preserve">; ante ello, </w:t>
      </w:r>
      <w:r w:rsidR="00142716" w:rsidRPr="00995557">
        <w:rPr>
          <w:color w:val="auto"/>
        </w:rPr>
        <w:t>la Corte recuerda que las partes deben allegar todos los elementos probatorios requeridos a fin de que el Tribunal cuente con el mayor número de elementos de juicio para conocer los hechos y motivar sus resoluciones</w:t>
      </w:r>
      <w:r w:rsidR="00142716" w:rsidRPr="00995557">
        <w:rPr>
          <w:rStyle w:val="Refdenotaalpie"/>
          <w:color w:val="auto"/>
        </w:rPr>
        <w:footnoteReference w:id="14"/>
      </w:r>
      <w:r w:rsidR="00142716" w:rsidRPr="00995557">
        <w:rPr>
          <w:color w:val="auto"/>
        </w:rPr>
        <w:t>. En los procesos sobre violaciones de derechos humanos este deber recae de manera particular sobre el Estado, quien tiene la obligación de allegar al Tribunal las pruebas que solo puedan obtenerse con su cooperación</w:t>
      </w:r>
      <w:r w:rsidR="00142716" w:rsidRPr="00995557">
        <w:rPr>
          <w:rStyle w:val="Refdenotaalpie"/>
          <w:color w:val="auto"/>
        </w:rPr>
        <w:footnoteReference w:id="15"/>
      </w:r>
      <w:r w:rsidR="00142716" w:rsidRPr="00995557">
        <w:rPr>
          <w:color w:val="auto"/>
        </w:rPr>
        <w:t>. Por consiguiente, la Corte estimará</w:t>
      </w:r>
      <w:r w:rsidR="00D97AF4" w:rsidRPr="00995557">
        <w:rPr>
          <w:color w:val="auto"/>
        </w:rPr>
        <w:t xml:space="preserve"> en esta Sentencia </w:t>
      </w:r>
      <w:r w:rsidR="00142716" w:rsidRPr="00995557">
        <w:rPr>
          <w:color w:val="auto"/>
        </w:rPr>
        <w:t>las consecuencias de la omisión del Estado.</w:t>
      </w:r>
    </w:p>
    <w:p w14:paraId="01C31781" w14:textId="77777777" w:rsidR="001E44E8" w:rsidRPr="00995557" w:rsidRDefault="001E44E8" w:rsidP="00AA627A">
      <w:pPr>
        <w:pStyle w:val="Prrafodelista"/>
        <w:rPr>
          <w:i/>
        </w:rPr>
      </w:pPr>
    </w:p>
    <w:p w14:paraId="3D65F246" w14:textId="77777777" w:rsidR="0080605B" w:rsidRPr="00995557" w:rsidRDefault="00DA0BDA" w:rsidP="00AA627A">
      <w:pPr>
        <w:pStyle w:val="Prrafodelista"/>
        <w:widowControl w:val="0"/>
        <w:numPr>
          <w:ilvl w:val="0"/>
          <w:numId w:val="2"/>
        </w:numPr>
        <w:tabs>
          <w:tab w:val="left" w:pos="567"/>
        </w:tabs>
        <w:ind w:left="0" w:firstLine="0"/>
        <w:contextualSpacing w:val="0"/>
        <w:jc w:val="both"/>
      </w:pPr>
      <w:r w:rsidRPr="00995557">
        <w:rPr>
          <w:i/>
        </w:rPr>
        <w:t>Alegatos y</w:t>
      </w:r>
      <w:r w:rsidR="00882706" w:rsidRPr="00995557">
        <w:rPr>
          <w:i/>
        </w:rPr>
        <w:t xml:space="preserve"> observaciones finales</w:t>
      </w:r>
      <w:r w:rsidR="00223772" w:rsidRPr="00995557">
        <w:t>.</w:t>
      </w:r>
      <w:r w:rsidR="00747F6D" w:rsidRPr="00995557">
        <w:t xml:space="preserve"> – </w:t>
      </w:r>
      <w:r w:rsidR="00970B63" w:rsidRPr="00995557">
        <w:t xml:space="preserve">El </w:t>
      </w:r>
      <w:r w:rsidR="00533A16" w:rsidRPr="00995557">
        <w:t>7</w:t>
      </w:r>
      <w:r w:rsidR="00A064C0" w:rsidRPr="00995557">
        <w:t xml:space="preserve"> de </w:t>
      </w:r>
      <w:r w:rsidR="00533A16" w:rsidRPr="00995557">
        <w:t>octubre</w:t>
      </w:r>
      <w:r w:rsidR="00A064C0" w:rsidRPr="00995557">
        <w:t xml:space="preserve"> de 2020</w:t>
      </w:r>
      <w:r w:rsidR="00747F6D" w:rsidRPr="00995557">
        <w:t xml:space="preserve"> el Estado</w:t>
      </w:r>
      <w:r w:rsidR="00970B63" w:rsidRPr="00995557">
        <w:t>,</w:t>
      </w:r>
      <w:r w:rsidR="00747F6D" w:rsidRPr="00995557">
        <w:t xml:space="preserve"> l</w:t>
      </w:r>
      <w:r w:rsidR="0094630B" w:rsidRPr="00995557">
        <w:t>o</w:t>
      </w:r>
      <w:r w:rsidR="00747F6D" w:rsidRPr="00995557">
        <w:t>s representantes</w:t>
      </w:r>
      <w:r w:rsidR="00970B63" w:rsidRPr="00995557">
        <w:t xml:space="preserve"> y la Comisión</w:t>
      </w:r>
      <w:r w:rsidR="00747F6D" w:rsidRPr="00995557">
        <w:t>, remitieron</w:t>
      </w:r>
      <w:r w:rsidR="00970B63" w:rsidRPr="00995557">
        <w:t>, respectivamente, sus</w:t>
      </w:r>
      <w:r w:rsidR="00747F6D" w:rsidRPr="00995557">
        <w:t xml:space="preserve"> </w:t>
      </w:r>
      <w:proofErr w:type="gramStart"/>
      <w:r w:rsidR="00747F6D" w:rsidRPr="00995557">
        <w:t xml:space="preserve">alegatos finales </w:t>
      </w:r>
      <w:r w:rsidR="00970B63" w:rsidRPr="00995557">
        <w:t>y sus observaciones finales</w:t>
      </w:r>
      <w:proofErr w:type="gramEnd"/>
      <w:r w:rsidR="00970B63" w:rsidRPr="00995557">
        <w:t xml:space="preserve"> escritas.</w:t>
      </w:r>
      <w:r w:rsidR="00533A16" w:rsidRPr="00995557">
        <w:rPr>
          <w:lang w:val="es-CO"/>
        </w:rPr>
        <w:t xml:space="preserve"> P</w:t>
      </w:r>
      <w:r w:rsidR="00C5304E" w:rsidRPr="00995557">
        <w:rPr>
          <w:lang w:val="es-CO"/>
        </w:rPr>
        <w:t>or su parte</w:t>
      </w:r>
      <w:r w:rsidR="00533A16" w:rsidRPr="00995557">
        <w:rPr>
          <w:lang w:val="es-CO"/>
        </w:rPr>
        <w:t>, los representantes remitieron anexos juntamente con sus alegatos finales escritos.</w:t>
      </w:r>
    </w:p>
    <w:p w14:paraId="2CA4BFA7" w14:textId="77777777" w:rsidR="0080605B" w:rsidRPr="00995557" w:rsidRDefault="0080605B" w:rsidP="00AA627A">
      <w:pPr>
        <w:pStyle w:val="Prrafodelista"/>
        <w:rPr>
          <w:rFonts w:eastAsia="Verdana" w:cs="Verdana"/>
          <w:i/>
          <w:lang w:val="es-ES"/>
        </w:rPr>
      </w:pPr>
    </w:p>
    <w:p w14:paraId="5E5BC439" w14:textId="35145BF6" w:rsidR="00A6113E" w:rsidRPr="00995557" w:rsidRDefault="00A6113E" w:rsidP="00AA627A">
      <w:pPr>
        <w:pStyle w:val="Prrafodelista"/>
        <w:widowControl w:val="0"/>
        <w:numPr>
          <w:ilvl w:val="0"/>
          <w:numId w:val="2"/>
        </w:numPr>
        <w:tabs>
          <w:tab w:val="left" w:pos="567"/>
        </w:tabs>
        <w:ind w:left="0" w:firstLine="0"/>
        <w:contextualSpacing w:val="0"/>
        <w:jc w:val="both"/>
      </w:pPr>
      <w:r w:rsidRPr="00995557">
        <w:rPr>
          <w:rFonts w:eastAsia="Verdana" w:cs="Verdana"/>
          <w:i/>
          <w:lang w:val="es-ES"/>
        </w:rPr>
        <w:t xml:space="preserve">Observaciones a los anexos a los alegatos finales. </w:t>
      </w:r>
      <w:r w:rsidRPr="00995557">
        <w:rPr>
          <w:rFonts w:eastAsia="Verdana" w:cs="Verdana"/>
          <w:lang w:val="es-ES"/>
        </w:rPr>
        <w:t xml:space="preserve">– </w:t>
      </w:r>
      <w:r w:rsidRPr="00995557">
        <w:t>El 27 de octubre de 2020 la Comisión presentó un escrito por medio del cual señaló no tener observaciones a los anexos presentados junto con los alegatos finales escritos de los representantes. Por su parte, el Estado no presentó observaciones a los anexos a los alegatos finales escritos de los representantes.</w:t>
      </w:r>
    </w:p>
    <w:p w14:paraId="17A163DD" w14:textId="77777777" w:rsidR="00882706" w:rsidRPr="00995557" w:rsidRDefault="00882706" w:rsidP="00AA627A">
      <w:pPr>
        <w:pStyle w:val="Prrafodelista"/>
        <w:widowControl w:val="0"/>
        <w:tabs>
          <w:tab w:val="left" w:pos="567"/>
        </w:tabs>
        <w:ind w:left="0"/>
        <w:contextualSpacing w:val="0"/>
        <w:jc w:val="both"/>
      </w:pPr>
    </w:p>
    <w:p w14:paraId="2580C325" w14:textId="268315CA" w:rsidR="00243157" w:rsidRPr="00995557" w:rsidRDefault="00243157" w:rsidP="00AA627A">
      <w:pPr>
        <w:pStyle w:val="Prrafodelista"/>
        <w:widowControl w:val="0"/>
        <w:numPr>
          <w:ilvl w:val="0"/>
          <w:numId w:val="2"/>
        </w:numPr>
        <w:tabs>
          <w:tab w:val="left" w:pos="567"/>
        </w:tabs>
        <w:ind w:left="0" w:firstLine="0"/>
        <w:contextualSpacing w:val="0"/>
        <w:jc w:val="both"/>
      </w:pPr>
      <w:r w:rsidRPr="00995557">
        <w:t xml:space="preserve">La Corte deliberó la presente Sentencia, por medio de una sesión virtual, </w:t>
      </w:r>
      <w:r w:rsidR="004C192E" w:rsidRPr="00995557">
        <w:t>el 10</w:t>
      </w:r>
      <w:r w:rsidRPr="00995557">
        <w:t xml:space="preserve"> de </w:t>
      </w:r>
      <w:r w:rsidR="007930D5" w:rsidRPr="00995557">
        <w:t>noviembre</w:t>
      </w:r>
      <w:r w:rsidRPr="00995557">
        <w:t xml:space="preserve"> de 2020</w:t>
      </w:r>
      <w:r w:rsidR="00AB4CE5" w:rsidRPr="00995557">
        <w:rPr>
          <w:rStyle w:val="Refdenotaalpie"/>
          <w:lang w:val="es-ES"/>
        </w:rPr>
        <w:footnoteReference w:id="16"/>
      </w:r>
      <w:r w:rsidRPr="00995557">
        <w:t>.</w:t>
      </w:r>
    </w:p>
    <w:p w14:paraId="3F143BFF" w14:textId="77777777" w:rsidR="00253C3B" w:rsidRPr="00995557" w:rsidRDefault="00253C3B" w:rsidP="00253C3B">
      <w:pPr>
        <w:pStyle w:val="Prrafodelista"/>
      </w:pPr>
    </w:p>
    <w:p w14:paraId="0DE7A866" w14:textId="77777777" w:rsidR="00253C3B" w:rsidRPr="00995557" w:rsidRDefault="00253C3B" w:rsidP="00253C3B">
      <w:pPr>
        <w:widowControl w:val="0"/>
        <w:tabs>
          <w:tab w:val="left" w:pos="567"/>
        </w:tabs>
        <w:jc w:val="both"/>
      </w:pPr>
    </w:p>
    <w:p w14:paraId="622E018E" w14:textId="2BC57ECC" w:rsidR="00A56C11" w:rsidRPr="00995557" w:rsidRDefault="00A56C11" w:rsidP="00A56C11">
      <w:pPr>
        <w:pStyle w:val="Prrafodelista"/>
        <w:widowControl w:val="0"/>
        <w:tabs>
          <w:tab w:val="left" w:pos="567"/>
        </w:tabs>
        <w:ind w:left="0"/>
        <w:contextualSpacing w:val="0"/>
        <w:jc w:val="both"/>
      </w:pPr>
    </w:p>
    <w:p w14:paraId="26061F2E" w14:textId="77777777" w:rsidR="00F21A57" w:rsidRPr="00995557" w:rsidRDefault="00F21A57" w:rsidP="00AA627A">
      <w:pPr>
        <w:pStyle w:val="Ttulo1"/>
        <w:keepNext w:val="0"/>
        <w:keepLines w:val="0"/>
        <w:widowControl w:val="0"/>
        <w:spacing w:before="0" w:after="0"/>
      </w:pPr>
      <w:bookmarkStart w:id="26" w:name="_Toc32394132"/>
      <w:bookmarkStart w:id="27" w:name="_Toc53741434"/>
      <w:bookmarkStart w:id="28" w:name="_Toc58399102"/>
      <w:r w:rsidRPr="00995557">
        <w:lastRenderedPageBreak/>
        <w:t>III</w:t>
      </w:r>
      <w:r w:rsidR="008A33EC" w:rsidRPr="00995557">
        <w:br/>
      </w:r>
      <w:r w:rsidRPr="00995557">
        <w:t>COMPETENCIA</w:t>
      </w:r>
      <w:bookmarkEnd w:id="26"/>
      <w:bookmarkEnd w:id="27"/>
      <w:bookmarkEnd w:id="28"/>
    </w:p>
    <w:p w14:paraId="53E70033" w14:textId="77777777" w:rsidR="009F0B5A" w:rsidRPr="00995557" w:rsidRDefault="009F0B5A" w:rsidP="00AA627A">
      <w:pPr>
        <w:pStyle w:val="Prrafodelista"/>
        <w:widowControl w:val="0"/>
        <w:tabs>
          <w:tab w:val="left" w:pos="567"/>
        </w:tabs>
        <w:ind w:left="0"/>
        <w:jc w:val="both"/>
      </w:pPr>
    </w:p>
    <w:p w14:paraId="6A996B8C" w14:textId="050FB446" w:rsidR="005927CC" w:rsidRPr="00995557" w:rsidRDefault="00FD62C1" w:rsidP="00AA627A">
      <w:pPr>
        <w:pStyle w:val="Prrafodelista"/>
        <w:widowControl w:val="0"/>
        <w:numPr>
          <w:ilvl w:val="0"/>
          <w:numId w:val="2"/>
        </w:numPr>
        <w:tabs>
          <w:tab w:val="left" w:pos="567"/>
        </w:tabs>
        <w:ind w:left="0" w:firstLine="0"/>
        <w:jc w:val="both"/>
      </w:pPr>
      <w:r w:rsidRPr="00995557">
        <w:t xml:space="preserve">Venezuela </w:t>
      </w:r>
      <w:r w:rsidR="003C7837" w:rsidRPr="00995557">
        <w:t>fue</w:t>
      </w:r>
      <w:r w:rsidRPr="00995557">
        <w:t xml:space="preserve"> Estado Parte de la Convención Americana desde el 9 de agosto de 1977 y reconoció la competencia contenciosa de la Corte el 24 de junio de 1981. Por su parte, el 10 de septiembre de 2012 el Estado denunció la Convención Americana. La denuncia se hizo efectiva el 10 de septiembre de 2013. </w:t>
      </w:r>
      <w:r w:rsidR="003C7837" w:rsidRPr="00995557">
        <w:t>De acuerdo con el artículo 78.2 de la Convención, la Corte es competente para conocer el presente caso, tomando en cuenta que los hechos analizados tuvieron origen con anterioridad al momento en que la denuncia de la Convención puede producir efectos.</w:t>
      </w:r>
    </w:p>
    <w:p w14:paraId="1ABFC7B5" w14:textId="77777777" w:rsidR="008E760D" w:rsidRPr="00995557" w:rsidRDefault="00136209" w:rsidP="00AA627A">
      <w:pPr>
        <w:widowControl w:val="0"/>
        <w:tabs>
          <w:tab w:val="left" w:pos="851"/>
        </w:tabs>
        <w:jc w:val="center"/>
        <w:outlineLvl w:val="0"/>
        <w:rPr>
          <w:rFonts w:cs="Verdana"/>
          <w:b/>
          <w:bCs/>
          <w:caps/>
          <w:snapToGrid w:val="0"/>
        </w:rPr>
      </w:pPr>
      <w:bookmarkStart w:id="29" w:name="_Toc375062713"/>
      <w:bookmarkStart w:id="30" w:name="_Toc375140863"/>
      <w:bookmarkStart w:id="31" w:name="_Toc375504822"/>
      <w:bookmarkStart w:id="32" w:name="_Toc375560896"/>
      <w:bookmarkStart w:id="33" w:name="_Toc428369979"/>
      <w:bookmarkStart w:id="34" w:name="_Toc459158095"/>
      <w:bookmarkStart w:id="35" w:name="_Toc401931881"/>
      <w:bookmarkStart w:id="36" w:name="_Toc470180035"/>
      <w:bookmarkStart w:id="37" w:name="_Toc495658648"/>
      <w:bookmarkStart w:id="38" w:name="_Toc530132451"/>
      <w:bookmarkStart w:id="39" w:name="_Toc53741435"/>
      <w:bookmarkStart w:id="40" w:name="_Toc58399103"/>
      <w:r w:rsidRPr="00995557">
        <w:rPr>
          <w:rFonts w:cs="Verdana"/>
          <w:b/>
          <w:bCs/>
          <w:caps/>
          <w:snapToGrid w:val="0"/>
        </w:rPr>
        <w:t>IV</w:t>
      </w:r>
      <w:r w:rsidRPr="00995557">
        <w:rPr>
          <w:rFonts w:cs="Verdana"/>
          <w:b/>
          <w:bCs/>
          <w:caps/>
          <w:snapToGrid w:val="0"/>
        </w:rPr>
        <w:br/>
      </w:r>
      <w:bookmarkEnd w:id="29"/>
      <w:bookmarkEnd w:id="30"/>
      <w:bookmarkEnd w:id="31"/>
      <w:bookmarkEnd w:id="32"/>
      <w:bookmarkEnd w:id="33"/>
      <w:bookmarkEnd w:id="34"/>
      <w:bookmarkEnd w:id="35"/>
      <w:bookmarkEnd w:id="36"/>
      <w:bookmarkEnd w:id="37"/>
      <w:bookmarkEnd w:id="38"/>
      <w:r w:rsidR="00096D2B" w:rsidRPr="00995557">
        <w:rPr>
          <w:rFonts w:cs="Verdana"/>
          <w:b/>
          <w:bCs/>
          <w:caps/>
          <w:snapToGrid w:val="0"/>
        </w:rPr>
        <w:t>C</w:t>
      </w:r>
      <w:r w:rsidR="00327B8F" w:rsidRPr="00995557">
        <w:rPr>
          <w:rFonts w:cs="Verdana"/>
          <w:b/>
          <w:bCs/>
          <w:caps/>
          <w:snapToGrid w:val="0"/>
        </w:rPr>
        <w:t>ONSIDERACIONES</w:t>
      </w:r>
      <w:r w:rsidR="00096D2B" w:rsidRPr="00995557">
        <w:rPr>
          <w:rFonts w:cs="Verdana"/>
          <w:b/>
          <w:bCs/>
          <w:caps/>
          <w:snapToGrid w:val="0"/>
        </w:rPr>
        <w:t xml:space="preserve"> PREVIAS</w:t>
      </w:r>
      <w:bookmarkEnd w:id="39"/>
      <w:bookmarkEnd w:id="40"/>
    </w:p>
    <w:p w14:paraId="4A5D292B" w14:textId="77777777" w:rsidR="008E760D" w:rsidRPr="00995557" w:rsidRDefault="008E760D" w:rsidP="00AA627A">
      <w:pPr>
        <w:pStyle w:val="Prrafodelista"/>
        <w:widowControl w:val="0"/>
        <w:ind w:left="0"/>
        <w:jc w:val="both"/>
      </w:pPr>
      <w:bookmarkStart w:id="41" w:name="_Toc32394134"/>
    </w:p>
    <w:p w14:paraId="73013C39" w14:textId="77777777" w:rsidR="00625A7C" w:rsidRPr="00995557" w:rsidRDefault="00DE0BA1" w:rsidP="00AA627A">
      <w:pPr>
        <w:pStyle w:val="Prrafodelista"/>
        <w:widowControl w:val="0"/>
        <w:numPr>
          <w:ilvl w:val="0"/>
          <w:numId w:val="2"/>
        </w:numPr>
        <w:tabs>
          <w:tab w:val="left" w:pos="567"/>
        </w:tabs>
        <w:ind w:left="0" w:firstLine="0"/>
        <w:jc w:val="both"/>
      </w:pPr>
      <w:r w:rsidRPr="00995557">
        <w:t>Como cuestión previa, la Corte estima</w:t>
      </w:r>
      <w:r w:rsidR="00625A7C" w:rsidRPr="00995557">
        <w:t xml:space="preserve"> necesario pronunciarse acerca de la determinación de las presuntas víctimas.</w:t>
      </w:r>
    </w:p>
    <w:p w14:paraId="11703C3D" w14:textId="77777777" w:rsidR="00625A7C" w:rsidRPr="00995557" w:rsidRDefault="00625A7C" w:rsidP="00AA627A">
      <w:pPr>
        <w:pStyle w:val="Prrafodelista"/>
        <w:widowControl w:val="0"/>
        <w:tabs>
          <w:tab w:val="left" w:pos="567"/>
        </w:tabs>
        <w:ind w:left="0"/>
        <w:jc w:val="both"/>
      </w:pPr>
    </w:p>
    <w:p w14:paraId="19C3A86F" w14:textId="5D9EE52A" w:rsidR="007B4E49" w:rsidRPr="00995557" w:rsidRDefault="00E310A8" w:rsidP="00AA627A">
      <w:pPr>
        <w:pStyle w:val="Prrafodelista"/>
        <w:widowControl w:val="0"/>
        <w:numPr>
          <w:ilvl w:val="0"/>
          <w:numId w:val="2"/>
        </w:numPr>
        <w:tabs>
          <w:tab w:val="left" w:pos="567"/>
        </w:tabs>
        <w:ind w:left="0" w:firstLine="0"/>
        <w:jc w:val="both"/>
      </w:pPr>
      <w:r w:rsidRPr="00995557">
        <w:t>L</w:t>
      </w:r>
      <w:r w:rsidR="00625A7C" w:rsidRPr="00995557">
        <w:t xml:space="preserve">os </w:t>
      </w:r>
      <w:r w:rsidR="00625A7C" w:rsidRPr="00995557">
        <w:rPr>
          <w:b/>
          <w:bCs/>
          <w:i/>
          <w:iCs/>
        </w:rPr>
        <w:t>representantes</w:t>
      </w:r>
      <w:r w:rsidR="00625A7C" w:rsidRPr="00995557">
        <w:t xml:space="preserve">, en el escrito de solicitudes y argumentos, </w:t>
      </w:r>
      <w:proofErr w:type="gramStart"/>
      <w:r w:rsidR="00625A7C" w:rsidRPr="00995557">
        <w:t>hicieron mención de</w:t>
      </w:r>
      <w:proofErr w:type="gramEnd"/>
      <w:r w:rsidR="00625A7C" w:rsidRPr="00995557">
        <w:t xml:space="preserve"> un conjunto de supuestas víctimas que no corresponde en su</w:t>
      </w:r>
      <w:r w:rsidR="00A41CCF" w:rsidRPr="00995557">
        <w:t xml:space="preserve"> totalidad con la </w:t>
      </w:r>
      <w:r w:rsidR="003C7837" w:rsidRPr="00995557">
        <w:t xml:space="preserve">determinación </w:t>
      </w:r>
      <w:r w:rsidR="00625A7C" w:rsidRPr="00995557">
        <w:t xml:space="preserve">efectuada por la Comisión en </w:t>
      </w:r>
      <w:r w:rsidR="00D17824" w:rsidRPr="00995557">
        <w:t>el</w:t>
      </w:r>
      <w:r w:rsidR="00625A7C" w:rsidRPr="00995557">
        <w:t xml:space="preserve"> Informe </w:t>
      </w:r>
      <w:r w:rsidR="00D17824" w:rsidRPr="00995557">
        <w:t>No. 119/18</w:t>
      </w:r>
      <w:r w:rsidR="00625A7C" w:rsidRPr="00995557">
        <w:t xml:space="preserve">. En efecto, respecto de las supuestas víctimas heridas, los representantes se refirieron a </w:t>
      </w:r>
      <w:r w:rsidR="00D97AF4" w:rsidRPr="00995557">
        <w:t>31</w:t>
      </w:r>
      <w:r w:rsidR="003C7837" w:rsidRPr="00995557">
        <w:t xml:space="preserve"> presuntas</w:t>
      </w:r>
      <w:r w:rsidR="00625A7C" w:rsidRPr="00995557">
        <w:t xml:space="preserve"> víctimas</w:t>
      </w:r>
      <w:r w:rsidR="0029772F" w:rsidRPr="00995557">
        <w:rPr>
          <w:rStyle w:val="Refdenotaalpie"/>
          <w:rFonts w:cs="Arial"/>
        </w:rPr>
        <w:footnoteReference w:id="17"/>
      </w:r>
      <w:r w:rsidR="00625A7C" w:rsidRPr="00995557">
        <w:t>, mientras que la Comisión señaló, en su Informe de Fondo, que son</w:t>
      </w:r>
      <w:r w:rsidR="00327B8F" w:rsidRPr="00995557">
        <w:t>, en total,</w:t>
      </w:r>
      <w:r w:rsidR="00625A7C" w:rsidRPr="00995557">
        <w:t xml:space="preserve"> </w:t>
      </w:r>
      <w:r w:rsidR="00D97AF4" w:rsidRPr="00995557">
        <w:t>27</w:t>
      </w:r>
      <w:r w:rsidR="00625A7C" w:rsidRPr="00995557">
        <w:t xml:space="preserve"> </w:t>
      </w:r>
      <w:r w:rsidR="003C7837" w:rsidRPr="00995557">
        <w:t xml:space="preserve">presuntas </w:t>
      </w:r>
      <w:r w:rsidR="00625A7C" w:rsidRPr="00995557">
        <w:t>víctimas</w:t>
      </w:r>
      <w:r w:rsidR="00BB323D" w:rsidRPr="00995557">
        <w:rPr>
          <w:rStyle w:val="Refdenotaalpie"/>
        </w:rPr>
        <w:footnoteReference w:id="18"/>
      </w:r>
      <w:r w:rsidR="00625A7C" w:rsidRPr="00995557">
        <w:t>.</w:t>
      </w:r>
      <w:r w:rsidR="008C4910" w:rsidRPr="00995557">
        <w:rPr>
          <w:rFonts w:cs="Arial"/>
          <w:b/>
        </w:rPr>
        <w:t xml:space="preserve"> </w:t>
      </w:r>
      <w:r w:rsidR="007B4E49" w:rsidRPr="00995557">
        <w:t xml:space="preserve">De igual forma, </w:t>
      </w:r>
      <w:proofErr w:type="gramStart"/>
      <w:r w:rsidR="00625A7C" w:rsidRPr="00995557">
        <w:t>hicieron mención de</w:t>
      </w:r>
      <w:proofErr w:type="gramEnd"/>
      <w:r w:rsidR="00625A7C" w:rsidRPr="00995557">
        <w:t xml:space="preserve"> un conjunto de supuestas víctimas, familiares de las personas fallecidas, que tampoco corresponde en su totalidad con la determinación realizada por la Comisión en su Informe de Fondo</w:t>
      </w:r>
      <w:r w:rsidR="00436D8D" w:rsidRPr="00995557">
        <w:t xml:space="preserve">, en tanto agregaron seis </w:t>
      </w:r>
      <w:r w:rsidR="003C7837" w:rsidRPr="00995557">
        <w:t>personas</w:t>
      </w:r>
      <w:r w:rsidR="00436D8D" w:rsidRPr="00995557">
        <w:t xml:space="preserve"> más</w:t>
      </w:r>
      <w:r w:rsidR="00F41911" w:rsidRPr="00995557">
        <w:rPr>
          <w:rStyle w:val="Refdenotaalpie"/>
        </w:rPr>
        <w:footnoteReference w:id="19"/>
      </w:r>
      <w:r w:rsidR="00625A7C" w:rsidRPr="00995557">
        <w:t>.</w:t>
      </w:r>
    </w:p>
    <w:p w14:paraId="02216D9D" w14:textId="77777777" w:rsidR="00752406" w:rsidRPr="00995557" w:rsidRDefault="00752406" w:rsidP="00AA627A">
      <w:pPr>
        <w:pStyle w:val="Prrafodelista"/>
        <w:widowControl w:val="0"/>
      </w:pPr>
    </w:p>
    <w:p w14:paraId="5776D7DB" w14:textId="7FE0FE5E" w:rsidR="00EE0489" w:rsidRPr="00995557" w:rsidRDefault="00752406" w:rsidP="00AA627A">
      <w:pPr>
        <w:pStyle w:val="Prrafodelista"/>
        <w:widowControl w:val="0"/>
        <w:numPr>
          <w:ilvl w:val="0"/>
          <w:numId w:val="2"/>
        </w:numPr>
        <w:tabs>
          <w:tab w:val="left" w:pos="567"/>
        </w:tabs>
        <w:ind w:left="0" w:firstLine="0"/>
        <w:jc w:val="both"/>
      </w:pPr>
      <w:r w:rsidRPr="00995557">
        <w:t xml:space="preserve">La </w:t>
      </w:r>
      <w:r w:rsidRPr="00995557">
        <w:rPr>
          <w:b/>
          <w:i/>
        </w:rPr>
        <w:t>Comisión</w:t>
      </w:r>
      <w:r w:rsidR="00EA5867" w:rsidRPr="00995557">
        <w:t xml:space="preserve">, </w:t>
      </w:r>
      <w:r w:rsidR="00E310A8" w:rsidRPr="00995557">
        <w:rPr>
          <w:rFonts w:cs="Arial"/>
        </w:rPr>
        <w:t xml:space="preserve">en lo que atañe a las cuatro personas agregadas en el escrito de solicitudes y argumentos como supuestas víctimas </w:t>
      </w:r>
      <w:r w:rsidR="00C26E64" w:rsidRPr="00995557">
        <w:rPr>
          <w:rFonts w:cs="Arial"/>
        </w:rPr>
        <w:t>heridas</w:t>
      </w:r>
      <w:r w:rsidR="00E310A8" w:rsidRPr="00995557">
        <w:t>, exp</w:t>
      </w:r>
      <w:r w:rsidR="00174BE9" w:rsidRPr="00995557">
        <w:t>r</w:t>
      </w:r>
      <w:r w:rsidR="00E310A8" w:rsidRPr="00995557">
        <w:t xml:space="preserve">esamente señaló en </w:t>
      </w:r>
      <w:r w:rsidR="003C7837" w:rsidRPr="00995557">
        <w:t>el Informe de Fondo</w:t>
      </w:r>
      <w:r w:rsidR="00E310A8" w:rsidRPr="00995557">
        <w:t xml:space="preserve"> que no existen indicios de que hubieran sido heridas durante la consumación de los hechos.</w:t>
      </w:r>
      <w:r w:rsidR="00EA5867" w:rsidRPr="00995557">
        <w:t xml:space="preserve"> Por su parte, e</w:t>
      </w:r>
      <w:r w:rsidR="00EE0489" w:rsidRPr="00995557">
        <w:t xml:space="preserve">l </w:t>
      </w:r>
      <w:r w:rsidR="00EE0489" w:rsidRPr="00995557">
        <w:rPr>
          <w:b/>
          <w:i/>
        </w:rPr>
        <w:t>Estado</w:t>
      </w:r>
      <w:r w:rsidR="00EE0489" w:rsidRPr="00995557">
        <w:t xml:space="preserve"> no present</w:t>
      </w:r>
      <w:r w:rsidR="00EA5867" w:rsidRPr="00995557">
        <w:t>ó</w:t>
      </w:r>
      <w:r w:rsidR="00EE0489" w:rsidRPr="00995557">
        <w:t xml:space="preserve"> observaciones al respecto.</w:t>
      </w:r>
    </w:p>
    <w:p w14:paraId="0543D2C4" w14:textId="77777777" w:rsidR="007B4E49" w:rsidRPr="00995557" w:rsidRDefault="007B4E49" w:rsidP="00AA627A">
      <w:pPr>
        <w:pStyle w:val="Prrafodelista"/>
        <w:widowControl w:val="0"/>
        <w:tabs>
          <w:tab w:val="left" w:pos="567"/>
        </w:tabs>
        <w:rPr>
          <w:rFonts w:eastAsia="Verdana" w:cs="Verdana"/>
        </w:rPr>
      </w:pPr>
    </w:p>
    <w:p w14:paraId="15F96A65" w14:textId="2D976A8D" w:rsidR="00375C0C" w:rsidRPr="00995557" w:rsidRDefault="00C26E64" w:rsidP="00AA627A">
      <w:pPr>
        <w:pStyle w:val="Prrafodelista"/>
        <w:widowControl w:val="0"/>
        <w:numPr>
          <w:ilvl w:val="0"/>
          <w:numId w:val="2"/>
        </w:numPr>
        <w:tabs>
          <w:tab w:val="left" w:pos="567"/>
        </w:tabs>
        <w:ind w:left="0" w:firstLine="0"/>
        <w:jc w:val="both"/>
      </w:pPr>
      <w:r w:rsidRPr="00995557">
        <w:rPr>
          <w:rFonts w:eastAsia="Verdana" w:cs="Verdana"/>
        </w:rPr>
        <w:t>L</w:t>
      </w:r>
      <w:r w:rsidR="00625A7C" w:rsidRPr="00995557">
        <w:rPr>
          <w:rFonts w:eastAsia="Verdana" w:cs="Verdana"/>
        </w:rPr>
        <w:t xml:space="preserve">a Corte </w:t>
      </w:r>
      <w:r w:rsidRPr="00995557">
        <w:rPr>
          <w:rFonts w:eastAsia="Verdana" w:cs="Verdana"/>
        </w:rPr>
        <w:t>recuerda</w:t>
      </w:r>
      <w:r w:rsidR="00625A7C" w:rsidRPr="00995557">
        <w:rPr>
          <w:rFonts w:eastAsia="Verdana" w:cs="Verdana"/>
        </w:rPr>
        <w:t xml:space="preserve"> que</w:t>
      </w:r>
      <w:r w:rsidR="0091545A" w:rsidRPr="00995557">
        <w:rPr>
          <w:rFonts w:eastAsia="Verdana" w:cs="Verdana"/>
        </w:rPr>
        <w:t xml:space="preserve"> de conformidad con el </w:t>
      </w:r>
      <w:r w:rsidR="00625A7C" w:rsidRPr="00995557">
        <w:rPr>
          <w:rFonts w:eastAsia="Batang"/>
        </w:rPr>
        <w:t>artículo 35.1 de</w:t>
      </w:r>
      <w:r w:rsidR="0091545A" w:rsidRPr="00995557">
        <w:rPr>
          <w:rFonts w:eastAsia="Batang"/>
        </w:rPr>
        <w:t>l</w:t>
      </w:r>
      <w:r w:rsidR="00625A7C" w:rsidRPr="00995557">
        <w:rPr>
          <w:rFonts w:eastAsia="Batang"/>
        </w:rPr>
        <w:t xml:space="preserve"> Reglamento</w:t>
      </w:r>
      <w:r w:rsidR="0091545A" w:rsidRPr="00995557">
        <w:rPr>
          <w:rFonts w:eastAsia="Batang"/>
        </w:rPr>
        <w:t>,</w:t>
      </w:r>
      <w:r w:rsidR="00625A7C" w:rsidRPr="00995557">
        <w:rPr>
          <w:rFonts w:eastAsia="Batang"/>
        </w:rPr>
        <w:t xml:space="preserve"> el caso será sometido </w:t>
      </w:r>
      <w:r w:rsidR="0091545A" w:rsidRPr="00995557">
        <w:rPr>
          <w:rFonts w:eastAsia="Batang"/>
        </w:rPr>
        <w:t>a su jurisdic</w:t>
      </w:r>
      <w:r w:rsidR="00174BE9" w:rsidRPr="00995557">
        <w:rPr>
          <w:rFonts w:eastAsia="Batang"/>
        </w:rPr>
        <w:t>c</w:t>
      </w:r>
      <w:r w:rsidR="0091545A" w:rsidRPr="00995557">
        <w:rPr>
          <w:rFonts w:eastAsia="Batang"/>
        </w:rPr>
        <w:t xml:space="preserve">ión </w:t>
      </w:r>
      <w:r w:rsidR="00625A7C" w:rsidRPr="00995557">
        <w:rPr>
          <w:rFonts w:eastAsia="Batang"/>
        </w:rPr>
        <w:t xml:space="preserve">mediante la presentación del Informe de Fondo, </w:t>
      </w:r>
      <w:r w:rsidR="0091545A" w:rsidRPr="00995557">
        <w:rPr>
          <w:rFonts w:eastAsia="Batang"/>
        </w:rPr>
        <w:t xml:space="preserve">el cual </w:t>
      </w:r>
      <w:r w:rsidR="00625A7C" w:rsidRPr="00995557">
        <w:rPr>
          <w:rFonts w:eastAsia="Batang"/>
        </w:rPr>
        <w:t>deberá contener la identificación de las presuntas víctimas</w:t>
      </w:r>
      <w:r w:rsidR="003C7837" w:rsidRPr="00995557">
        <w:rPr>
          <w:rFonts w:eastAsia="Batang"/>
        </w:rPr>
        <w:t>.</w:t>
      </w:r>
      <w:r w:rsidR="0091545A" w:rsidRPr="00995557">
        <w:rPr>
          <w:rFonts w:eastAsia="Batang"/>
        </w:rPr>
        <w:t xml:space="preserve"> </w:t>
      </w:r>
      <w:r w:rsidR="003C7837" w:rsidRPr="00995557">
        <w:rPr>
          <w:rFonts w:eastAsia="Batang"/>
        </w:rPr>
        <w:t>P</w:t>
      </w:r>
      <w:r w:rsidR="0091545A" w:rsidRPr="00995557">
        <w:rPr>
          <w:rFonts w:eastAsia="Batang"/>
        </w:rPr>
        <w:t>or consiguiente, c</w:t>
      </w:r>
      <w:r w:rsidR="00625A7C" w:rsidRPr="00995557">
        <w:rPr>
          <w:rFonts w:eastAsia="Batang"/>
        </w:rPr>
        <w:t>orresponde a la Comisión identificar con precisión</w:t>
      </w:r>
      <w:r w:rsidR="00625A7C" w:rsidRPr="00995557">
        <w:t xml:space="preserve"> y en la debida oportunidad procesal a las presuntas víctimas</w:t>
      </w:r>
      <w:r w:rsidR="0091545A" w:rsidRPr="00995557">
        <w:rPr>
          <w:rStyle w:val="Refdenotaalpie"/>
          <w:rFonts w:eastAsia="Batang" w:cs="Times"/>
          <w:noProof/>
          <w:lang w:eastAsia="es-ES"/>
        </w:rPr>
        <w:footnoteReference w:id="20"/>
      </w:r>
      <w:r w:rsidR="00625A7C" w:rsidRPr="00995557">
        <w:t>, salvo en las</w:t>
      </w:r>
      <w:r w:rsidR="00625A7C" w:rsidRPr="00995557">
        <w:rPr>
          <w:rFonts w:eastAsia="Batang"/>
        </w:rPr>
        <w:t xml:space="preserve"> circunstancias excepcionales </w:t>
      </w:r>
      <w:r w:rsidR="0091545A" w:rsidRPr="00995557">
        <w:rPr>
          <w:rFonts w:eastAsia="Batang"/>
        </w:rPr>
        <w:t>previstas</w:t>
      </w:r>
      <w:r w:rsidR="00625A7C" w:rsidRPr="00995557">
        <w:rPr>
          <w:rFonts w:eastAsia="Batang"/>
        </w:rPr>
        <w:t xml:space="preserve"> en el artículo 35.2 del</w:t>
      </w:r>
      <w:r w:rsidR="0091545A" w:rsidRPr="00995557">
        <w:rPr>
          <w:rFonts w:eastAsia="Batang"/>
        </w:rPr>
        <w:t xml:space="preserve"> referido</w:t>
      </w:r>
      <w:r w:rsidR="00625A7C" w:rsidRPr="00995557">
        <w:rPr>
          <w:rFonts w:eastAsia="Batang"/>
        </w:rPr>
        <w:t xml:space="preserve"> Reglamento</w:t>
      </w:r>
      <w:r w:rsidR="00EF3B84" w:rsidRPr="00995557">
        <w:rPr>
          <w:rFonts w:eastAsia="Batang"/>
        </w:rPr>
        <w:t xml:space="preserve">, de acuerdo con el cual, </w:t>
      </w:r>
      <w:r w:rsidR="00EF3B84" w:rsidRPr="00995557">
        <w:t>cuando se justifique que no fue posible identificar a alguna o algunas presuntas víctimas, por tratarse de casos de violaciones masivas o colectivas, el Tribunal decidirá oportunamente si las considera o no como tales, de acuer</w:t>
      </w:r>
      <w:r w:rsidR="00EA5867" w:rsidRPr="00995557">
        <w:t>d</w:t>
      </w:r>
      <w:r w:rsidR="00EF3B84" w:rsidRPr="00995557">
        <w:t>o con la naturaleza de la violación</w:t>
      </w:r>
      <w:r w:rsidR="0091545A" w:rsidRPr="00995557">
        <w:rPr>
          <w:rStyle w:val="Refdenotaalpie"/>
          <w:rFonts w:eastAsia="Batang"/>
        </w:rPr>
        <w:footnoteReference w:id="21"/>
      </w:r>
      <w:r w:rsidR="00EF3B84" w:rsidRPr="00995557">
        <w:t>.</w:t>
      </w:r>
    </w:p>
    <w:p w14:paraId="1C735938" w14:textId="77777777" w:rsidR="00375C0C" w:rsidRPr="00995557" w:rsidRDefault="00375C0C" w:rsidP="00AA627A">
      <w:pPr>
        <w:pStyle w:val="Prrafodelista"/>
        <w:rPr>
          <w:color w:val="FF0000"/>
          <w:lang w:val="es-ES" w:eastAsia="es-ES"/>
        </w:rPr>
      </w:pPr>
    </w:p>
    <w:p w14:paraId="1032797C" w14:textId="77777777" w:rsidR="008920D4" w:rsidRPr="00995557" w:rsidRDefault="00EB4E44" w:rsidP="00AA627A">
      <w:pPr>
        <w:pStyle w:val="Prrafodelista"/>
        <w:widowControl w:val="0"/>
        <w:numPr>
          <w:ilvl w:val="0"/>
          <w:numId w:val="2"/>
        </w:numPr>
        <w:tabs>
          <w:tab w:val="left" w:pos="567"/>
        </w:tabs>
        <w:ind w:left="0" w:firstLine="0"/>
        <w:jc w:val="both"/>
      </w:pPr>
      <w:r w:rsidRPr="00995557">
        <w:rPr>
          <w:lang w:val="es-ES" w:eastAsia="es-ES"/>
        </w:rPr>
        <w:t xml:space="preserve">De esta forma, </w:t>
      </w:r>
      <w:r w:rsidR="008920D4" w:rsidRPr="00995557">
        <w:rPr>
          <w:lang w:val="es-ES"/>
        </w:rPr>
        <w:t>la Corte ha evaluado la aplicación del artículo 35.2 en relación con las características particulares de cada caso y lo ha aplicado ante dificultades para identificar o contactar a todas las presuntas víctimas. Esto ha ocurrido, por ejemplo, debido a la presencia de un conflicto armado</w:t>
      </w:r>
      <w:r w:rsidR="008920D4" w:rsidRPr="00995557">
        <w:rPr>
          <w:vertAlign w:val="superscript"/>
          <w:lang w:val="es-ES"/>
        </w:rPr>
        <w:footnoteReference w:id="22"/>
      </w:r>
      <w:r w:rsidR="008920D4" w:rsidRPr="00995557">
        <w:rPr>
          <w:lang w:val="es-ES"/>
        </w:rPr>
        <w:t>, al desplazamiento forzado</w:t>
      </w:r>
      <w:r w:rsidR="008920D4" w:rsidRPr="00995557">
        <w:rPr>
          <w:vertAlign w:val="superscript"/>
          <w:lang w:val="es-ES"/>
        </w:rPr>
        <w:footnoteReference w:id="23"/>
      </w:r>
      <w:r w:rsidR="008920D4" w:rsidRPr="00995557">
        <w:rPr>
          <w:lang w:val="es-ES"/>
        </w:rPr>
        <w:t xml:space="preserve"> o al asesinato masivo de familias, la quema de sus cuerpos y la ausencia de registros o certificados que pudieran identificarlas</w:t>
      </w:r>
      <w:r w:rsidR="008920D4" w:rsidRPr="00995557">
        <w:rPr>
          <w:vertAlign w:val="superscript"/>
          <w:lang w:val="es-ES"/>
        </w:rPr>
        <w:footnoteReference w:id="24"/>
      </w:r>
      <w:r w:rsidR="008920D4" w:rsidRPr="00995557">
        <w:rPr>
          <w:lang w:val="es-ES"/>
        </w:rPr>
        <w:t>, o en casos en que familias enteras han sido desaparecidas, por lo que no había nadie que pudiera hablar por ellos</w:t>
      </w:r>
      <w:r w:rsidR="008920D4" w:rsidRPr="00995557">
        <w:rPr>
          <w:vertAlign w:val="superscript"/>
          <w:lang w:val="es-ES"/>
        </w:rPr>
        <w:footnoteReference w:id="25"/>
      </w:r>
      <w:r w:rsidR="008920D4" w:rsidRPr="00995557">
        <w:rPr>
          <w:lang w:val="es-ES"/>
        </w:rPr>
        <w:t>. También</w:t>
      </w:r>
      <w:r w:rsidR="003E6DC8" w:rsidRPr="00995557">
        <w:rPr>
          <w:lang w:val="es-ES"/>
        </w:rPr>
        <w:t>,</w:t>
      </w:r>
      <w:r w:rsidR="008920D4" w:rsidRPr="00995557">
        <w:rPr>
          <w:lang w:val="es-ES"/>
        </w:rPr>
        <w:t xml:space="preserve"> ha tomado en cuenta la dificultad de acceder al área donde ocurrieron los hechos</w:t>
      </w:r>
      <w:r w:rsidR="008920D4" w:rsidRPr="00995557">
        <w:rPr>
          <w:vertAlign w:val="superscript"/>
          <w:lang w:val="es-ES"/>
        </w:rPr>
        <w:footnoteReference w:id="26"/>
      </w:r>
      <w:r w:rsidR="008920D4" w:rsidRPr="00995557">
        <w:rPr>
          <w:lang w:val="es-ES"/>
        </w:rPr>
        <w:t>, la falta de registros respecto de los habitantes del lugar</w:t>
      </w:r>
      <w:r w:rsidR="008920D4" w:rsidRPr="00995557">
        <w:rPr>
          <w:vertAlign w:val="superscript"/>
          <w:lang w:val="es-ES"/>
        </w:rPr>
        <w:footnoteReference w:id="27"/>
      </w:r>
      <w:r w:rsidR="008920D4" w:rsidRPr="00995557">
        <w:rPr>
          <w:lang w:val="es-ES"/>
        </w:rPr>
        <w:t xml:space="preserve"> y el transcurso del tiempo</w:t>
      </w:r>
      <w:r w:rsidR="008920D4" w:rsidRPr="00995557">
        <w:rPr>
          <w:vertAlign w:val="superscript"/>
          <w:lang w:val="es-ES"/>
        </w:rPr>
        <w:footnoteReference w:id="28"/>
      </w:r>
      <w:r w:rsidR="008920D4" w:rsidRPr="00995557">
        <w:rPr>
          <w:lang w:val="es-ES"/>
        </w:rPr>
        <w:t>, así como características particulares de las presuntas víctimas del caso, por ejemplo, cuando estas han conformado clanes familiares con nombres y apellidos similares</w:t>
      </w:r>
      <w:r w:rsidR="008920D4" w:rsidRPr="00995557">
        <w:rPr>
          <w:vertAlign w:val="superscript"/>
          <w:lang w:val="es-ES"/>
        </w:rPr>
        <w:footnoteReference w:id="29"/>
      </w:r>
      <w:r w:rsidR="008920D4" w:rsidRPr="00995557">
        <w:rPr>
          <w:lang w:val="es-ES"/>
        </w:rPr>
        <w:t>, al tratarse de migrantes</w:t>
      </w:r>
      <w:r w:rsidR="008920D4" w:rsidRPr="00995557">
        <w:rPr>
          <w:vertAlign w:val="superscript"/>
          <w:lang w:val="es-ES"/>
        </w:rPr>
        <w:footnoteReference w:id="30"/>
      </w:r>
      <w:r w:rsidR="008920D4" w:rsidRPr="00995557">
        <w:rPr>
          <w:lang w:val="es-ES"/>
        </w:rPr>
        <w:t xml:space="preserve"> o de comunidades nómadas cuya estructura social ancestral involucra la dinámica de fusionarse en nuevas comunidades y separarse para crear otras</w:t>
      </w:r>
      <w:r w:rsidR="008920D4" w:rsidRPr="00995557">
        <w:rPr>
          <w:vertAlign w:val="superscript"/>
          <w:lang w:val="es-ES"/>
        </w:rPr>
        <w:footnoteReference w:id="31"/>
      </w:r>
      <w:r w:rsidR="008920D4" w:rsidRPr="00995557">
        <w:rPr>
          <w:lang w:val="es-ES"/>
        </w:rPr>
        <w:t xml:space="preserve">. </w:t>
      </w:r>
      <w:r w:rsidR="00C26E64" w:rsidRPr="00995557">
        <w:rPr>
          <w:lang w:val="es-ES"/>
        </w:rPr>
        <w:t>De igual forma</w:t>
      </w:r>
      <w:r w:rsidR="008920D4" w:rsidRPr="00995557">
        <w:rPr>
          <w:lang w:val="es-ES"/>
        </w:rPr>
        <w:t>, ha considerado la conducta del Estado, por ejemplo, cuando existen alegatos de que la falta de investigación contribuyó a la incompleta identificación de las presuntas víctimas</w:t>
      </w:r>
      <w:r w:rsidR="008920D4" w:rsidRPr="00995557">
        <w:rPr>
          <w:vertAlign w:val="superscript"/>
          <w:lang w:val="es-ES"/>
        </w:rPr>
        <w:footnoteReference w:id="32"/>
      </w:r>
      <w:r w:rsidR="008920D4" w:rsidRPr="00995557">
        <w:rPr>
          <w:lang w:val="es-ES"/>
        </w:rPr>
        <w:t xml:space="preserve"> y en un caso de esclavitud</w:t>
      </w:r>
      <w:r w:rsidR="00375C0C" w:rsidRPr="00995557">
        <w:rPr>
          <w:rStyle w:val="Refdenotaalpie"/>
          <w:rFonts w:cs="Times"/>
          <w:lang w:val="es-ES" w:eastAsia="es-ES"/>
        </w:rPr>
        <w:footnoteReference w:id="33"/>
      </w:r>
      <w:r w:rsidR="00375C0C" w:rsidRPr="00995557">
        <w:rPr>
          <w:lang w:val="es-ES" w:eastAsia="es-ES"/>
        </w:rPr>
        <w:t>.</w:t>
      </w:r>
    </w:p>
    <w:p w14:paraId="7B6B501A" w14:textId="77777777" w:rsidR="008920D4" w:rsidRPr="00995557" w:rsidRDefault="008920D4" w:rsidP="00AA627A">
      <w:pPr>
        <w:pStyle w:val="PrrafodeSentencia"/>
        <w:numPr>
          <w:ilvl w:val="0"/>
          <w:numId w:val="0"/>
        </w:numPr>
        <w:rPr>
          <w:color w:val="FF0000"/>
          <w:spacing w:val="0"/>
          <w:szCs w:val="20"/>
          <w:lang w:val="es-ES"/>
        </w:rPr>
      </w:pPr>
    </w:p>
    <w:p w14:paraId="5EECEF47" w14:textId="2F6CB1B2" w:rsidR="008416A0" w:rsidRPr="00995557" w:rsidRDefault="007B4E49" w:rsidP="00AA627A">
      <w:pPr>
        <w:pStyle w:val="Prrafodelista"/>
        <w:widowControl w:val="0"/>
        <w:numPr>
          <w:ilvl w:val="0"/>
          <w:numId w:val="2"/>
        </w:numPr>
        <w:tabs>
          <w:tab w:val="left" w:pos="567"/>
        </w:tabs>
        <w:ind w:left="0" w:firstLine="0"/>
        <w:jc w:val="both"/>
      </w:pPr>
      <w:r w:rsidRPr="00995557">
        <w:rPr>
          <w:rFonts w:eastAsia="Verdana" w:cs="Verdana"/>
        </w:rPr>
        <w:t>En el caso bajo análisis</w:t>
      </w:r>
      <w:r w:rsidR="00792D23" w:rsidRPr="00995557">
        <w:rPr>
          <w:rFonts w:eastAsia="Verdana" w:cs="Verdana"/>
        </w:rPr>
        <w:t xml:space="preserve">, tomando como base los precedentes en los que el Tribunal se ha pronunciado al respecto, </w:t>
      </w:r>
      <w:r w:rsidR="00792D23" w:rsidRPr="00995557">
        <w:t xml:space="preserve">se concluye que </w:t>
      </w:r>
      <w:r w:rsidRPr="00995557">
        <w:rPr>
          <w:rFonts w:eastAsia="Verdana" w:cs="Verdana"/>
        </w:rPr>
        <w:t>no concurre</w:t>
      </w:r>
      <w:r w:rsidR="00436D8D" w:rsidRPr="00995557">
        <w:rPr>
          <w:rFonts w:eastAsia="Verdana" w:cs="Verdana"/>
        </w:rPr>
        <w:t xml:space="preserve"> ni fue argumentada</w:t>
      </w:r>
      <w:r w:rsidRPr="00995557">
        <w:rPr>
          <w:rFonts w:eastAsia="Verdana" w:cs="Verdana"/>
        </w:rPr>
        <w:t xml:space="preserve"> alguna de las excepciones que recoge el citado artículo 35.2 del Reglamento de la Corte, por lo que no es viable la pretensión de los representantes en cuanto a incluir otras </w:t>
      </w:r>
      <w:r w:rsidR="003C7837" w:rsidRPr="00995557">
        <w:rPr>
          <w:rFonts w:eastAsia="Verdana" w:cs="Verdana"/>
        </w:rPr>
        <w:t xml:space="preserve">presuntas </w:t>
      </w:r>
      <w:r w:rsidRPr="00995557">
        <w:rPr>
          <w:rFonts w:eastAsia="Verdana" w:cs="Verdana"/>
        </w:rPr>
        <w:t>víctimas distintas a las identificadas en el Informe de Fondo.</w:t>
      </w:r>
      <w:bookmarkEnd w:id="41"/>
      <w:r w:rsidRPr="00995557">
        <w:rPr>
          <w:rFonts w:eastAsia="Verdana" w:cs="Verdana"/>
        </w:rPr>
        <w:t xml:space="preserve"> En defini</w:t>
      </w:r>
      <w:r w:rsidR="002B26C0" w:rsidRPr="00995557">
        <w:rPr>
          <w:rFonts w:eastAsia="Verdana" w:cs="Verdana"/>
        </w:rPr>
        <w:t xml:space="preserve">tiva, la Corte considerará como </w:t>
      </w:r>
      <w:r w:rsidRPr="00995557">
        <w:rPr>
          <w:rFonts w:eastAsia="Verdana" w:cs="Verdana"/>
        </w:rPr>
        <w:t xml:space="preserve">presuntas víctimas </w:t>
      </w:r>
      <w:r w:rsidR="00EE0489" w:rsidRPr="00995557">
        <w:rPr>
          <w:rFonts w:eastAsia="Verdana" w:cs="Verdana"/>
        </w:rPr>
        <w:t xml:space="preserve">únicamente a </w:t>
      </w:r>
      <w:r w:rsidRPr="00995557">
        <w:rPr>
          <w:rFonts w:eastAsia="Verdana" w:cs="Verdana"/>
        </w:rPr>
        <w:t>aquellas personas cuyo</w:t>
      </w:r>
      <w:r w:rsidR="00436D8D" w:rsidRPr="00995557">
        <w:rPr>
          <w:rFonts w:eastAsia="Verdana" w:cs="Verdana"/>
        </w:rPr>
        <w:t>s</w:t>
      </w:r>
      <w:r w:rsidRPr="00995557">
        <w:rPr>
          <w:rFonts w:eastAsia="Verdana" w:cs="Verdana"/>
        </w:rPr>
        <w:t xml:space="preserve"> nombre</w:t>
      </w:r>
      <w:r w:rsidR="00436D8D" w:rsidRPr="00995557">
        <w:rPr>
          <w:rFonts w:eastAsia="Verdana" w:cs="Verdana"/>
        </w:rPr>
        <w:t>s</w:t>
      </w:r>
      <w:r w:rsidRPr="00995557">
        <w:rPr>
          <w:rFonts w:eastAsia="Verdana" w:cs="Verdana"/>
        </w:rPr>
        <w:t xml:space="preserve"> ha</w:t>
      </w:r>
      <w:r w:rsidR="00436D8D" w:rsidRPr="00995557">
        <w:rPr>
          <w:rFonts w:eastAsia="Verdana" w:cs="Verdana"/>
        </w:rPr>
        <w:t>yan</w:t>
      </w:r>
      <w:r w:rsidRPr="00995557">
        <w:rPr>
          <w:rFonts w:eastAsia="Verdana" w:cs="Verdana"/>
        </w:rPr>
        <w:t xml:space="preserve"> sido expresamente incluido</w:t>
      </w:r>
      <w:r w:rsidR="00436D8D" w:rsidRPr="00995557">
        <w:rPr>
          <w:rFonts w:eastAsia="Verdana" w:cs="Verdana"/>
        </w:rPr>
        <w:t>s</w:t>
      </w:r>
      <w:r w:rsidR="002B26C0" w:rsidRPr="00995557">
        <w:rPr>
          <w:rFonts w:eastAsia="Verdana" w:cs="Verdana"/>
        </w:rPr>
        <w:t xml:space="preserve"> </w:t>
      </w:r>
      <w:r w:rsidRPr="00995557">
        <w:rPr>
          <w:rFonts w:eastAsia="Verdana" w:cs="Verdana"/>
        </w:rPr>
        <w:t xml:space="preserve">en el Informe </w:t>
      </w:r>
      <w:r w:rsidR="00C26E64" w:rsidRPr="00995557">
        <w:rPr>
          <w:rFonts w:eastAsia="Verdana" w:cs="Verdana"/>
        </w:rPr>
        <w:t xml:space="preserve">No. </w:t>
      </w:r>
      <w:r w:rsidR="00C26E64" w:rsidRPr="00995557">
        <w:t>119/18</w:t>
      </w:r>
      <w:r w:rsidRPr="00995557">
        <w:rPr>
          <w:rFonts w:eastAsia="Verdana" w:cs="Verdana"/>
        </w:rPr>
        <w:t>.</w:t>
      </w:r>
    </w:p>
    <w:p w14:paraId="42A45E1F" w14:textId="77777777" w:rsidR="00DE0BA1" w:rsidRPr="00995557" w:rsidRDefault="00DE0BA1" w:rsidP="00AA627A">
      <w:pPr>
        <w:pStyle w:val="Prrafodelista"/>
      </w:pPr>
    </w:p>
    <w:p w14:paraId="36BB913F" w14:textId="77777777" w:rsidR="00DE0BA1" w:rsidRPr="00995557" w:rsidRDefault="00DE0BA1" w:rsidP="00AA627A">
      <w:pPr>
        <w:widowControl w:val="0"/>
        <w:tabs>
          <w:tab w:val="left" w:pos="851"/>
        </w:tabs>
        <w:jc w:val="center"/>
        <w:outlineLvl w:val="0"/>
        <w:rPr>
          <w:rFonts w:cs="Verdana"/>
          <w:b/>
          <w:bCs/>
          <w:caps/>
          <w:snapToGrid w:val="0"/>
        </w:rPr>
      </w:pPr>
      <w:bookmarkStart w:id="42" w:name="_Toc53741436"/>
      <w:bookmarkStart w:id="43" w:name="_Toc58399104"/>
      <w:bookmarkStart w:id="44" w:name="_Toc32394143"/>
      <w:r w:rsidRPr="00995557">
        <w:rPr>
          <w:rFonts w:cs="Verdana"/>
          <w:b/>
          <w:bCs/>
          <w:caps/>
          <w:snapToGrid w:val="0"/>
        </w:rPr>
        <w:lastRenderedPageBreak/>
        <w:t>V</w:t>
      </w:r>
      <w:bookmarkEnd w:id="42"/>
      <w:bookmarkEnd w:id="43"/>
    </w:p>
    <w:p w14:paraId="54BFEA63" w14:textId="77777777" w:rsidR="00DE0BA1" w:rsidRPr="00995557" w:rsidRDefault="00DE0BA1" w:rsidP="00AA627A">
      <w:pPr>
        <w:widowControl w:val="0"/>
        <w:tabs>
          <w:tab w:val="left" w:pos="851"/>
        </w:tabs>
        <w:jc w:val="center"/>
        <w:outlineLvl w:val="0"/>
        <w:rPr>
          <w:rFonts w:cs="Verdana"/>
          <w:b/>
          <w:bCs/>
          <w:caps/>
          <w:snapToGrid w:val="0"/>
        </w:rPr>
      </w:pPr>
      <w:bookmarkStart w:id="45" w:name="_Toc53741437"/>
      <w:bookmarkStart w:id="46" w:name="_Toc58399105"/>
      <w:r w:rsidRPr="00995557">
        <w:rPr>
          <w:rFonts w:cs="Verdana"/>
          <w:b/>
          <w:bCs/>
          <w:caps/>
          <w:snapToGrid w:val="0"/>
        </w:rPr>
        <w:t>RECONOCIMIENTO DE RESPONSABILIDAD INTERNACIONAL</w:t>
      </w:r>
      <w:bookmarkEnd w:id="45"/>
      <w:bookmarkEnd w:id="46"/>
    </w:p>
    <w:p w14:paraId="618FC343" w14:textId="77777777" w:rsidR="00DE0BA1" w:rsidRPr="00995557" w:rsidRDefault="00DE0BA1" w:rsidP="00AA627A">
      <w:pPr>
        <w:pStyle w:val="Prrafodelista"/>
        <w:widowControl w:val="0"/>
        <w:ind w:left="644"/>
      </w:pPr>
    </w:p>
    <w:p w14:paraId="6342BF5F" w14:textId="77777777" w:rsidR="00DE0BA1" w:rsidRPr="00995557" w:rsidRDefault="00DE0BA1" w:rsidP="00AA627A">
      <w:pPr>
        <w:pStyle w:val="Prrafodelista"/>
        <w:widowControl w:val="0"/>
        <w:tabs>
          <w:tab w:val="left" w:pos="1134"/>
        </w:tabs>
        <w:ind w:left="567"/>
        <w:jc w:val="both"/>
        <w:outlineLvl w:val="1"/>
        <w:rPr>
          <w:b/>
          <w:bCs/>
          <w:i/>
        </w:rPr>
      </w:pPr>
      <w:bookmarkStart w:id="47" w:name="_Toc495658649"/>
      <w:bookmarkStart w:id="48" w:name="_Toc530132452"/>
      <w:bookmarkStart w:id="49" w:name="_Toc53741438"/>
      <w:bookmarkStart w:id="50" w:name="_Toc58399106"/>
      <w:r w:rsidRPr="00995557">
        <w:rPr>
          <w:b/>
          <w:bCs/>
          <w:i/>
        </w:rPr>
        <w:t>A. Reconocimiento de responsabilidad del Estado y observaciones de la Comisión y de los representantes</w:t>
      </w:r>
      <w:bookmarkEnd w:id="47"/>
      <w:bookmarkEnd w:id="48"/>
      <w:bookmarkEnd w:id="49"/>
      <w:bookmarkEnd w:id="50"/>
    </w:p>
    <w:p w14:paraId="12B49E25" w14:textId="77777777" w:rsidR="00DE0BA1" w:rsidRPr="00995557" w:rsidRDefault="00DE0BA1" w:rsidP="00AA627A">
      <w:pPr>
        <w:pStyle w:val="Prrafodelista"/>
        <w:widowControl w:val="0"/>
        <w:tabs>
          <w:tab w:val="left" w:pos="567"/>
        </w:tabs>
        <w:ind w:left="0"/>
        <w:jc w:val="both"/>
      </w:pPr>
    </w:p>
    <w:p w14:paraId="3623A3DE" w14:textId="2164AE80" w:rsidR="00DE0BA1" w:rsidRPr="00995557" w:rsidRDefault="00DE0BA1" w:rsidP="00AA627A">
      <w:pPr>
        <w:pStyle w:val="Prrafodelista"/>
        <w:widowControl w:val="0"/>
        <w:numPr>
          <w:ilvl w:val="0"/>
          <w:numId w:val="2"/>
        </w:numPr>
        <w:tabs>
          <w:tab w:val="left" w:pos="567"/>
        </w:tabs>
        <w:ind w:left="0" w:firstLine="0"/>
        <w:jc w:val="both"/>
      </w:pPr>
      <w:bookmarkStart w:id="51" w:name="_Toc32394133"/>
      <w:r w:rsidRPr="00995557">
        <w:rPr>
          <w:rFonts w:cs="Arial"/>
        </w:rPr>
        <w:t xml:space="preserve">El </w:t>
      </w:r>
      <w:r w:rsidRPr="00995557">
        <w:rPr>
          <w:rFonts w:cs="Arial"/>
          <w:b/>
          <w:i/>
        </w:rPr>
        <w:t>Estado</w:t>
      </w:r>
      <w:r w:rsidRPr="00995557">
        <w:rPr>
          <w:rFonts w:cs="Arial"/>
        </w:rPr>
        <w:t xml:space="preserve">, en el escrito de </w:t>
      </w:r>
      <w:r w:rsidR="00174BE9" w:rsidRPr="00995557">
        <w:rPr>
          <w:rFonts w:cs="Arial"/>
        </w:rPr>
        <w:t>contestación</w:t>
      </w:r>
      <w:r w:rsidRPr="00995557">
        <w:rPr>
          <w:rFonts w:cs="Arial"/>
        </w:rPr>
        <w:t>,</w:t>
      </w:r>
      <w:r w:rsidRPr="00995557">
        <w:rPr>
          <w:rFonts w:cs="Arial"/>
          <w:b/>
          <w:i/>
        </w:rPr>
        <w:t xml:space="preserve"> </w:t>
      </w:r>
      <w:r w:rsidRPr="00995557">
        <w:rPr>
          <w:rFonts w:cs="Arial"/>
        </w:rPr>
        <w:t>reconoció su responsabilidad internacio</w:t>
      </w:r>
      <w:r w:rsidR="004A70A0" w:rsidRPr="00995557">
        <w:rPr>
          <w:rFonts w:cs="Arial"/>
        </w:rPr>
        <w:t>nal en los términos siguientes:</w:t>
      </w:r>
    </w:p>
    <w:p w14:paraId="10525EDB" w14:textId="77777777" w:rsidR="00DE0BA1" w:rsidRPr="00995557" w:rsidRDefault="00DE0BA1" w:rsidP="00AA627A">
      <w:pPr>
        <w:pStyle w:val="Prrafodelista"/>
        <w:widowControl w:val="0"/>
        <w:tabs>
          <w:tab w:val="left" w:pos="567"/>
          <w:tab w:val="num" w:pos="12305"/>
        </w:tabs>
        <w:adjustRightInd w:val="0"/>
        <w:ind w:left="644"/>
        <w:jc w:val="both"/>
        <w:textAlignment w:val="baseline"/>
        <w:rPr>
          <w:rFonts w:eastAsia="Calibri" w:cs="Verdana"/>
          <w:snapToGrid w:val="0"/>
          <w:lang w:eastAsia="es-ES"/>
        </w:rPr>
      </w:pPr>
    </w:p>
    <w:p w14:paraId="430DBDEB" w14:textId="77777777" w:rsidR="00DE0BA1" w:rsidRPr="00995557" w:rsidRDefault="00DE0BA1" w:rsidP="00AA627A">
      <w:pPr>
        <w:pStyle w:val="Prrafodelista"/>
        <w:widowControl w:val="0"/>
        <w:tabs>
          <w:tab w:val="left" w:pos="567"/>
          <w:tab w:val="left" w:pos="8789"/>
        </w:tabs>
        <w:ind w:left="284" w:right="335"/>
        <w:jc w:val="both"/>
        <w:rPr>
          <w:rFonts w:eastAsia="Calibri" w:cs="Verdana"/>
          <w:b/>
          <w:snapToGrid w:val="0"/>
          <w:lang w:eastAsia="es-ES"/>
        </w:rPr>
      </w:pPr>
      <w:r w:rsidRPr="00995557">
        <w:rPr>
          <w:sz w:val="16"/>
        </w:rPr>
        <w:t>El Estado venezolano manifiesta […] que reconoce su responsabilidad internacional en el presente procedimiento por la vulneración del derecho a la vida e integridad personal, establecidos en los artículos 4.1, 5.1, 5.2, 8.1 y 25.1 de la Convención Americana sobre Derechos Humanos, en relación con las obligaciones previstas en sus artículos 1.1 y 2, en perjuicio de los señores Orlando Edgardo Olivares Muñoz y otros, en los términos y condiciones establecidos en el Informe de Fondo […].</w:t>
      </w:r>
    </w:p>
    <w:p w14:paraId="013BA95B" w14:textId="77777777" w:rsidR="00DE0BA1" w:rsidRPr="00995557" w:rsidRDefault="00DE0BA1" w:rsidP="00AA627A">
      <w:pPr>
        <w:pStyle w:val="Prrafodelista"/>
        <w:widowControl w:val="0"/>
        <w:tabs>
          <w:tab w:val="left" w:pos="567"/>
        </w:tabs>
        <w:ind w:left="0"/>
        <w:jc w:val="both"/>
      </w:pPr>
    </w:p>
    <w:p w14:paraId="68DCB863" w14:textId="1490E16C"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cs="Arial"/>
        </w:rPr>
      </w:pPr>
      <w:r w:rsidRPr="00995557">
        <w:rPr>
          <w:rFonts w:cs="Arial"/>
        </w:rPr>
        <w:t>En cuanto a las reparaciones, el Estado</w:t>
      </w:r>
      <w:r w:rsidRPr="00995557">
        <w:rPr>
          <w:rFonts w:cs="Arial"/>
          <w:b/>
          <w:i/>
        </w:rPr>
        <w:t xml:space="preserve"> </w:t>
      </w:r>
      <w:r w:rsidRPr="00995557">
        <w:rPr>
          <w:rFonts w:cs="Arial"/>
        </w:rPr>
        <w:t>indicó que se compromete a cumplir con las medidas que correspondan, en atención a la jurisprudencia de la Corte y los criterios seguidos en casos similares.</w:t>
      </w:r>
      <w:r w:rsidRPr="00995557">
        <w:rPr>
          <w:b/>
        </w:rPr>
        <w:t xml:space="preserve"> </w:t>
      </w:r>
      <w:r w:rsidRPr="00995557">
        <w:t xml:space="preserve">Respecto de las garantías de no repetición, </w:t>
      </w:r>
      <w:r w:rsidRPr="00995557">
        <w:rPr>
          <w:rFonts w:cs="Arial"/>
        </w:rPr>
        <w:t xml:space="preserve">señaló que, desde que ocurrieron los hechos “ha venido y continúa adoptando un conjunto de medidas legislativas, administrativas y educativas que garantizan que sucesos como [el ocurrido] no vuelvan a repetirse tanto en [el] </w:t>
      </w:r>
      <w:r w:rsidR="00BD7C39" w:rsidRPr="00995557">
        <w:rPr>
          <w:rFonts w:cs="Arial"/>
        </w:rPr>
        <w:t>[</w:t>
      </w:r>
      <w:r w:rsidRPr="00995557">
        <w:rPr>
          <w:rFonts w:cs="Arial"/>
        </w:rPr>
        <w:t>c</w:t>
      </w:r>
      <w:r w:rsidR="00BD7C39" w:rsidRPr="00995557">
        <w:rPr>
          <w:rFonts w:cs="Arial"/>
        </w:rPr>
        <w:t>]</w:t>
      </w:r>
      <w:r w:rsidRPr="00995557">
        <w:rPr>
          <w:rFonts w:cs="Arial"/>
        </w:rPr>
        <w:t xml:space="preserve">entro de </w:t>
      </w:r>
      <w:r w:rsidR="00BD7C39" w:rsidRPr="00995557">
        <w:rPr>
          <w:rFonts w:cs="Arial"/>
        </w:rPr>
        <w:t>[</w:t>
      </w:r>
      <w:r w:rsidRPr="00995557">
        <w:rPr>
          <w:rFonts w:cs="Arial"/>
        </w:rPr>
        <w:t>p</w:t>
      </w:r>
      <w:r w:rsidR="00BD7C39" w:rsidRPr="00995557">
        <w:rPr>
          <w:rFonts w:cs="Arial"/>
        </w:rPr>
        <w:t>]</w:t>
      </w:r>
      <w:r w:rsidRPr="00995557">
        <w:rPr>
          <w:rFonts w:cs="Arial"/>
        </w:rPr>
        <w:t xml:space="preserve">rivación de </w:t>
      </w:r>
      <w:r w:rsidR="00BD7C39" w:rsidRPr="00995557">
        <w:rPr>
          <w:rFonts w:cs="Arial"/>
        </w:rPr>
        <w:t>[</w:t>
      </w:r>
      <w:r w:rsidRPr="00995557">
        <w:rPr>
          <w:rFonts w:cs="Arial"/>
        </w:rPr>
        <w:t>l</w:t>
      </w:r>
      <w:r w:rsidR="00BD7C39" w:rsidRPr="00995557">
        <w:rPr>
          <w:rFonts w:cs="Arial"/>
        </w:rPr>
        <w:t>]</w:t>
      </w:r>
      <w:r w:rsidRPr="00995557">
        <w:rPr>
          <w:rFonts w:cs="Arial"/>
        </w:rPr>
        <w:t>ibertad de Vista Hermosa, como en todos los demás”.</w:t>
      </w:r>
      <w:r w:rsidRPr="00995557">
        <w:rPr>
          <w:b/>
        </w:rPr>
        <w:t xml:space="preserve"> </w:t>
      </w:r>
      <w:r w:rsidRPr="00995557">
        <w:t>En cuanto a la obligación de investigar, argumentó que</w:t>
      </w:r>
      <w:r w:rsidR="003C7837" w:rsidRPr="00995557">
        <w:t>,</w:t>
      </w:r>
      <w:r w:rsidRPr="00995557">
        <w:t xml:space="preserve"> al existir resolución judicial firme que absolvió a los acusados por los hechos del presente caso, resulta inviable volver a juzgarlos en observancia del principio </w:t>
      </w:r>
      <w:r w:rsidRPr="00995557">
        <w:rPr>
          <w:i/>
        </w:rPr>
        <w:t>non bis in idem</w:t>
      </w:r>
      <w:r w:rsidRPr="00995557">
        <w:t>.</w:t>
      </w:r>
    </w:p>
    <w:p w14:paraId="769A8DDF" w14:textId="77777777" w:rsidR="00DE0BA1" w:rsidRPr="00995557" w:rsidRDefault="00DE0BA1" w:rsidP="00AA627A">
      <w:pPr>
        <w:widowControl w:val="0"/>
        <w:rPr>
          <w:rFonts w:cs="Arial"/>
        </w:rPr>
      </w:pPr>
    </w:p>
    <w:p w14:paraId="22419C80" w14:textId="6594698E"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cs="Arial"/>
        </w:rPr>
      </w:pPr>
      <w:r w:rsidRPr="00995557">
        <w:rPr>
          <w:rFonts w:cs="Arial"/>
        </w:rPr>
        <w:t xml:space="preserve">Los </w:t>
      </w:r>
      <w:r w:rsidRPr="00995557">
        <w:rPr>
          <w:rFonts w:cs="Arial"/>
          <w:b/>
          <w:i/>
        </w:rPr>
        <w:t>representantes</w:t>
      </w:r>
      <w:r w:rsidRPr="00995557">
        <w:rPr>
          <w:rFonts w:cs="Arial"/>
        </w:rPr>
        <w:t xml:space="preserve"> señalaron que valora</w:t>
      </w:r>
      <w:r w:rsidR="003C7837" w:rsidRPr="00995557">
        <w:rPr>
          <w:rFonts w:cs="Arial"/>
        </w:rPr>
        <w:t>ba</w:t>
      </w:r>
      <w:r w:rsidRPr="00995557">
        <w:rPr>
          <w:rFonts w:cs="Arial"/>
        </w:rPr>
        <w:t>n el reconocimiento de responsabilidad expresado por el Estado, al ser un acto que genera plenos efectos jurídicos, cuyo alcance d</w:t>
      </w:r>
      <w:r w:rsidR="003C7837" w:rsidRPr="00995557">
        <w:rPr>
          <w:rFonts w:cs="Arial"/>
        </w:rPr>
        <w:t>ebe ser dilucidado por la Corte.</w:t>
      </w:r>
      <w:r w:rsidRPr="00995557">
        <w:rPr>
          <w:rFonts w:cs="Arial"/>
        </w:rPr>
        <w:t xml:space="preserve"> </w:t>
      </w:r>
      <w:r w:rsidR="003C7837" w:rsidRPr="00995557">
        <w:rPr>
          <w:rFonts w:cs="Arial"/>
        </w:rPr>
        <w:t>N</w:t>
      </w:r>
      <w:r w:rsidRPr="00995557">
        <w:rPr>
          <w:rFonts w:cs="Arial"/>
        </w:rPr>
        <w:t>o obstante, indicaron que el reconocimiento es “ambiguo y carece de claridad suficiente para cesar la controversia sobre ciertos asuntos de fondo”. Expresaron que “lo que es claro es que el reconocimiento internacional, tal como ha sido formulado por el Estado […] se circunscribe al escrito de sometimiento del caso que presentó la Comisión”, por lo que no incluiría los hechos vertidos en el Informe de Fondo, sino solo algunas consecuencias jurídicas y violaciones a derechos determinadas por la Comisión.</w:t>
      </w:r>
      <w:r w:rsidRPr="00995557">
        <w:rPr>
          <w:b/>
        </w:rPr>
        <w:t xml:space="preserve"> </w:t>
      </w:r>
      <w:r w:rsidRPr="00995557">
        <w:rPr>
          <w:rFonts w:cs="Arial"/>
        </w:rPr>
        <w:t>Manifestaron que “[e]l facilismo procesal con el que actúa el Estado de s</w:t>
      </w:r>
      <w:r w:rsidR="00BD7C39" w:rsidRPr="00995557">
        <w:rPr>
          <w:rFonts w:cs="Arial"/>
        </w:rPr>
        <w:t>[</w:t>
      </w:r>
      <w:r w:rsidRPr="00995557">
        <w:rPr>
          <w:rFonts w:cs="Arial"/>
        </w:rPr>
        <w:t>o</w:t>
      </w:r>
      <w:r w:rsidR="00BD7C39" w:rsidRPr="00995557">
        <w:rPr>
          <w:rFonts w:cs="Arial"/>
        </w:rPr>
        <w:t>]</w:t>
      </w:r>
      <w:r w:rsidRPr="00995557">
        <w:rPr>
          <w:rFonts w:cs="Arial"/>
        </w:rPr>
        <w:t>lo referirse a algunos derechos de la Convención Americana que han sido determinados como violados, no es coherente con el fin del procedimiento internacional ante el Tribunal, dado que parte de la justicia es determinar los hechos y la verdad de lo acontecido”.</w:t>
      </w:r>
      <w:r w:rsidRPr="00995557">
        <w:rPr>
          <w:b/>
        </w:rPr>
        <w:t xml:space="preserve"> </w:t>
      </w:r>
      <w:r w:rsidRPr="00995557">
        <w:t xml:space="preserve">Agregaron que el reconocimiento no se refiere a los </w:t>
      </w:r>
      <w:r w:rsidR="003C7837" w:rsidRPr="00995557">
        <w:t xml:space="preserve">argumentos relativos a los </w:t>
      </w:r>
      <w:r w:rsidRPr="00995557">
        <w:t>hechos de tortura y a la falta del deber de investigar tales actos, los que</w:t>
      </w:r>
      <w:r w:rsidR="003C7837" w:rsidRPr="00995557">
        <w:t>, según su cri</w:t>
      </w:r>
      <w:r w:rsidR="00696183" w:rsidRPr="00995557">
        <w:t>t</w:t>
      </w:r>
      <w:r w:rsidR="003C7837" w:rsidRPr="00995557">
        <w:t>erio,</w:t>
      </w:r>
      <w:r w:rsidRPr="00995557">
        <w:t xml:space="preserve"> constituyen violaciones que no pueden ser subsumidas en el reconocimiento de vulneración de los artículos 5.1 y 5.2 de la Convención. </w:t>
      </w:r>
      <w:r w:rsidRPr="00995557">
        <w:rPr>
          <w:rFonts w:cs="Arial"/>
        </w:rPr>
        <w:t>Señalaron que subsiste la controversia sobre los alegatos de tortura, respecto de lo cual no incluyó conclusiones la Comisión, por lo que la Corte debe determinar y resolver tales alegatos, los que se fundamentan en el marco fáctico contenido en el Informe de Fondo.</w:t>
      </w:r>
    </w:p>
    <w:p w14:paraId="4A1D90F9" w14:textId="77777777" w:rsidR="00DE0BA1" w:rsidRPr="00995557" w:rsidRDefault="00DE0BA1" w:rsidP="00AA627A">
      <w:pPr>
        <w:pStyle w:val="Prrafodelista"/>
        <w:widowControl w:val="0"/>
        <w:rPr>
          <w:rFonts w:cs="Arial"/>
        </w:rPr>
      </w:pPr>
    </w:p>
    <w:p w14:paraId="6B4F7C51" w14:textId="3222C7C3"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cs="Arial"/>
        </w:rPr>
      </w:pPr>
      <w:r w:rsidRPr="00995557">
        <w:rPr>
          <w:rFonts w:cs="Arial"/>
        </w:rPr>
        <w:t>Agregaron que la medida de reparación consistente en la obligación de investigar configura un asunto de debate ante lo aducido por el Estado.</w:t>
      </w:r>
      <w:r w:rsidRPr="00995557">
        <w:rPr>
          <w:b/>
        </w:rPr>
        <w:t xml:space="preserve"> </w:t>
      </w:r>
      <w:r w:rsidRPr="00995557">
        <w:rPr>
          <w:rFonts w:cs="Arial"/>
        </w:rPr>
        <w:t xml:space="preserve">Solicitaron que se desestime el reconocimiento efectuado por el Estado y que se continúe el procedimiento </w:t>
      </w:r>
      <w:proofErr w:type="gramStart"/>
      <w:r w:rsidRPr="00995557">
        <w:rPr>
          <w:rFonts w:cs="Arial"/>
        </w:rPr>
        <w:t>de acuerd</w:t>
      </w:r>
      <w:r w:rsidR="00503519" w:rsidRPr="00995557">
        <w:rPr>
          <w:rFonts w:cs="Arial"/>
        </w:rPr>
        <w:t>o a</w:t>
      </w:r>
      <w:proofErr w:type="gramEnd"/>
      <w:r w:rsidR="00503519" w:rsidRPr="00995557">
        <w:rPr>
          <w:rFonts w:cs="Arial"/>
        </w:rPr>
        <w:t xml:space="preserve"> las normas correspondientes.</w:t>
      </w:r>
      <w:r w:rsidRPr="00995557">
        <w:rPr>
          <w:rFonts w:cs="Arial"/>
        </w:rPr>
        <w:t xml:space="preserve"> </w:t>
      </w:r>
      <w:r w:rsidR="00503519" w:rsidRPr="00995557">
        <w:rPr>
          <w:rFonts w:cs="Arial"/>
        </w:rPr>
        <w:t>A</w:t>
      </w:r>
      <w:r w:rsidRPr="00995557">
        <w:rPr>
          <w:rFonts w:cs="Arial"/>
        </w:rPr>
        <w:t>simismo, indicaron que, en caso de ser admitido el reconocimiento, será necesario que la Corte precise el alcance de sus efectos jurídicos y determine lo pertinente respecto de los alegatos de tortura y el deber de investigar tales actos.</w:t>
      </w:r>
    </w:p>
    <w:p w14:paraId="636123CA" w14:textId="77777777" w:rsidR="00DE0BA1" w:rsidRPr="00995557" w:rsidRDefault="00DE0BA1" w:rsidP="00AA627A">
      <w:pPr>
        <w:widowControl w:val="0"/>
        <w:rPr>
          <w:rFonts w:cs="Arial"/>
        </w:rPr>
      </w:pPr>
    </w:p>
    <w:p w14:paraId="20A6D9AC" w14:textId="6AF7B3B0"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cs="Arial"/>
        </w:rPr>
      </w:pPr>
      <w:r w:rsidRPr="00995557">
        <w:rPr>
          <w:rFonts w:cs="Arial"/>
        </w:rPr>
        <w:t xml:space="preserve">La </w:t>
      </w:r>
      <w:r w:rsidRPr="00995557">
        <w:rPr>
          <w:rFonts w:cs="Arial"/>
          <w:b/>
          <w:i/>
        </w:rPr>
        <w:t>Comisión</w:t>
      </w:r>
      <w:r w:rsidRPr="00995557">
        <w:rPr>
          <w:rFonts w:cs="Arial"/>
        </w:rPr>
        <w:t xml:space="preserve"> manifestó valorar positivamente el reconocimiento por parte del Estado, en tanto contribuye al desarrollo del proceso internacional y a la dignificación de las víctimas.</w:t>
      </w:r>
      <w:r w:rsidRPr="00995557">
        <w:rPr>
          <w:b/>
        </w:rPr>
        <w:t xml:space="preserve"> </w:t>
      </w:r>
      <w:r w:rsidRPr="00995557">
        <w:t xml:space="preserve">Indicó que, al tratarse de un reconocimiento de responsabilidad de la totalidad de las </w:t>
      </w:r>
      <w:r w:rsidRPr="00995557">
        <w:lastRenderedPageBreak/>
        <w:t xml:space="preserve">violaciones declaradas en el Informe de Fondo, ello implica una aceptación de los hechos del caso, por lo que solicitó que se tengan por comprobados y sean incluidos en la sentencia de fondo, </w:t>
      </w:r>
      <w:proofErr w:type="gramStart"/>
      <w:r w:rsidRPr="00995557">
        <w:t>en razón de</w:t>
      </w:r>
      <w:proofErr w:type="gramEnd"/>
      <w:r w:rsidRPr="00995557">
        <w:t xml:space="preserve"> la importancia que el establecimiento de la verdad oficial de lo acontecido tiene para las víctimas y sus familiares.</w:t>
      </w:r>
    </w:p>
    <w:p w14:paraId="3BF9546E" w14:textId="77777777" w:rsidR="00DE0BA1" w:rsidRPr="00995557" w:rsidRDefault="00DE0BA1" w:rsidP="00AA627A">
      <w:pPr>
        <w:pStyle w:val="Prrafodelista"/>
        <w:widowControl w:val="0"/>
        <w:rPr>
          <w:rFonts w:cs="Arial"/>
        </w:rPr>
      </w:pPr>
    </w:p>
    <w:p w14:paraId="6728DB99" w14:textId="7F787087"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cs="Arial"/>
        </w:rPr>
      </w:pPr>
      <w:r w:rsidRPr="00995557">
        <w:rPr>
          <w:rFonts w:cs="Arial"/>
        </w:rPr>
        <w:t>En cuanto a los argumentos expresados por el Estado respecto de la obligación de investigar,</w:t>
      </w:r>
      <w:r w:rsidRPr="00995557">
        <w:t xml:space="preserve"> indicó que si bien el principio </w:t>
      </w:r>
      <w:r w:rsidRPr="00995557">
        <w:rPr>
          <w:i/>
        </w:rPr>
        <w:t>ne bis in idem</w:t>
      </w:r>
      <w:r w:rsidRPr="00995557">
        <w:t xml:space="preserve"> configura un derecho humano reconocido en el artículo 8.4 de la Convención, la Corte ha afirmado que no se trata de un derecho absoluto, por lo que no resulta aplicable cuando el procedimiento en sede interna no fue instruido de conformidad con las debidas garantías procesales.</w:t>
      </w:r>
      <w:r w:rsidRPr="00995557">
        <w:rPr>
          <w:b/>
        </w:rPr>
        <w:t xml:space="preserve"> </w:t>
      </w:r>
      <w:r w:rsidRPr="00995557">
        <w:rPr>
          <w:rFonts w:cs="Arial"/>
        </w:rPr>
        <w:t>Con relación a las garantías de no repetición, argumentó que, si bien valora positivamente las medidas legislativas y administrativas adoptadas para cumplir las recomendaciones formuladas, a efecto de concluir en su total cumplimiento es necesario evaluar, con base en la prueba pericial y documental que se rinda, que en la práctica dichas medidas se está</w:t>
      </w:r>
      <w:r w:rsidR="00E61873" w:rsidRPr="00995557">
        <w:rPr>
          <w:rFonts w:cs="Arial"/>
        </w:rPr>
        <w:t>n implementando y son efectivas.</w:t>
      </w:r>
      <w:r w:rsidRPr="00995557">
        <w:rPr>
          <w:b/>
        </w:rPr>
        <w:t xml:space="preserve"> </w:t>
      </w:r>
      <w:r w:rsidRPr="00995557">
        <w:rPr>
          <w:rFonts w:cs="Arial"/>
        </w:rPr>
        <w:t>Solicitó que la Corte determine los efectos jurídicos del reconocimiento de responsabilidad efectuado por el Estado.</w:t>
      </w:r>
    </w:p>
    <w:p w14:paraId="257D5C0B" w14:textId="77777777" w:rsidR="00DE0BA1" w:rsidRPr="00995557" w:rsidRDefault="00DE0BA1" w:rsidP="00AA627A">
      <w:pPr>
        <w:widowControl w:val="0"/>
        <w:autoSpaceDE w:val="0"/>
        <w:autoSpaceDN w:val="0"/>
        <w:adjustRightInd w:val="0"/>
        <w:jc w:val="both"/>
        <w:rPr>
          <w:rFonts w:cs="Arial"/>
          <w:b/>
          <w:color w:val="FF0000"/>
        </w:rPr>
      </w:pPr>
    </w:p>
    <w:p w14:paraId="5540D535" w14:textId="77777777" w:rsidR="00DE0BA1" w:rsidRPr="00995557" w:rsidRDefault="00DE0BA1" w:rsidP="00AA627A">
      <w:pPr>
        <w:pStyle w:val="Prrafodelista"/>
        <w:widowControl w:val="0"/>
        <w:tabs>
          <w:tab w:val="left" w:pos="1134"/>
        </w:tabs>
        <w:ind w:left="567"/>
        <w:outlineLvl w:val="1"/>
        <w:rPr>
          <w:b/>
          <w:bCs/>
          <w:i/>
        </w:rPr>
      </w:pPr>
      <w:bookmarkStart w:id="52" w:name="_Toc495658650"/>
      <w:bookmarkStart w:id="53" w:name="_Toc530132453"/>
      <w:bookmarkStart w:id="54" w:name="_Toc53741439"/>
      <w:bookmarkStart w:id="55" w:name="_Toc58399107"/>
      <w:r w:rsidRPr="00995557">
        <w:rPr>
          <w:b/>
          <w:bCs/>
          <w:i/>
        </w:rPr>
        <w:t>B. Consideraciones de la Corte</w:t>
      </w:r>
      <w:bookmarkEnd w:id="52"/>
      <w:bookmarkEnd w:id="53"/>
      <w:bookmarkEnd w:id="54"/>
      <w:bookmarkEnd w:id="55"/>
    </w:p>
    <w:p w14:paraId="33402979" w14:textId="77777777" w:rsidR="00DE0BA1" w:rsidRPr="00995557" w:rsidRDefault="00DE0BA1" w:rsidP="00AA627A">
      <w:pPr>
        <w:widowControl w:val="0"/>
        <w:rPr>
          <w:rFonts w:cs="Arial"/>
        </w:rPr>
      </w:pPr>
    </w:p>
    <w:p w14:paraId="3F83CAEB" w14:textId="77777777"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cs="Arial"/>
        </w:rPr>
      </w:pPr>
      <w:r w:rsidRPr="00995557">
        <w:rPr>
          <w:rFonts w:eastAsia="Calibri" w:cs="Verdana"/>
          <w:snapToGrid w:val="0"/>
          <w:lang w:eastAsia="es-ES"/>
        </w:rPr>
        <w:t xml:space="preserve">La Corte destaca la buena voluntad del Estado, expresada en este caso en su reconocimiento de </w:t>
      </w:r>
      <w:r w:rsidRPr="00995557">
        <w:rPr>
          <w:rFonts w:eastAsia="Calibri" w:cs="Arial"/>
        </w:rPr>
        <w:t>responsabilidad</w:t>
      </w:r>
      <w:r w:rsidRPr="00995557">
        <w:t>. N</w:t>
      </w:r>
      <w:r w:rsidRPr="00995557">
        <w:rPr>
          <w:rFonts w:eastAsia="Calibri" w:cs="Verdana"/>
          <w:snapToGrid w:val="0"/>
          <w:lang w:eastAsia="es-ES"/>
        </w:rPr>
        <w:t>o obstante, de conformidad con los artículos 62 y 64 del Reglamento, y en ejercicio de sus poderes de tutela judicial internacional de derechos humanos, cuestión de orden público internacional que trasciende la voluntad de las partes, incumbe al Tribunal velar por que los actos de reconocimiento resulten aceptables para los fines que busca cumplir el Sistema Interamericano</w:t>
      </w:r>
      <w:r w:rsidRPr="00995557">
        <w:rPr>
          <w:rStyle w:val="Refdenotaalpie"/>
          <w:rFonts w:eastAsia="Calibri" w:cs="Verdana"/>
          <w:snapToGrid w:val="0"/>
          <w:lang w:eastAsia="es-ES"/>
        </w:rPr>
        <w:footnoteReference w:id="34"/>
      </w:r>
      <w:r w:rsidRPr="00995557">
        <w:rPr>
          <w:rFonts w:eastAsia="Calibri" w:cs="Verdana"/>
          <w:snapToGrid w:val="0"/>
          <w:lang w:eastAsia="es-ES"/>
        </w:rPr>
        <w:t xml:space="preserve">. Cabe agregar que en </w:t>
      </w:r>
      <w:r w:rsidRPr="00995557">
        <w:rPr>
          <w:lang w:val="es-AR"/>
        </w:rPr>
        <w:t>esta tarea la Corte no se limita a constatar, registrar o tomar nota del reconocimiento efectuado o sus condiciones formales, sino que los debe confrontar con la naturaleza y gravedad de las violaciones alegadas, las exigencias e interés de la justicia, las circunstancias particulares del caso concreto, y la actitud y posición de las partes</w:t>
      </w:r>
      <w:r w:rsidRPr="00995557">
        <w:rPr>
          <w:vertAlign w:val="superscript"/>
          <w:lang w:val="es-AR"/>
        </w:rPr>
        <w:footnoteReference w:id="35"/>
      </w:r>
      <w:r w:rsidRPr="00995557">
        <w:rPr>
          <w:lang w:val="es-AR"/>
        </w:rPr>
        <w:t>, de manera tal que pueda precisar, en cuanto sea posible y en el ejercicio de su competencia, la verdad judicial de lo acontecido</w:t>
      </w:r>
      <w:r w:rsidRPr="00995557">
        <w:rPr>
          <w:vertAlign w:val="superscript"/>
          <w:lang w:val="es-AR"/>
        </w:rPr>
        <w:footnoteReference w:id="36"/>
      </w:r>
      <w:r w:rsidRPr="00995557">
        <w:rPr>
          <w:lang w:val="es-AR"/>
        </w:rPr>
        <w:t xml:space="preserve">. </w:t>
      </w:r>
      <w:r w:rsidRPr="00995557">
        <w:rPr>
          <w:rFonts w:eastAsia="Calibri" w:cs="Verdana"/>
          <w:snapToGrid w:val="0"/>
          <w:lang w:eastAsia="es-ES"/>
        </w:rPr>
        <w:t>Con base en lo anterior</w:t>
      </w:r>
      <w:r w:rsidRPr="00995557">
        <w:rPr>
          <w:rFonts w:eastAsia="Times" w:cs="Verdana"/>
          <w:snapToGrid w:val="0"/>
          <w:lang w:eastAsia="es-ES"/>
        </w:rPr>
        <w:t>, el Tribunal analizará la situación planteada en el caso concreto.</w:t>
      </w:r>
    </w:p>
    <w:p w14:paraId="3E0C698B" w14:textId="77777777" w:rsidR="00DE0BA1" w:rsidRPr="00995557" w:rsidRDefault="00DE0BA1" w:rsidP="00AA627A">
      <w:pPr>
        <w:pStyle w:val="Prrafodelista"/>
        <w:widowControl w:val="0"/>
        <w:tabs>
          <w:tab w:val="left" w:pos="567"/>
        </w:tabs>
        <w:autoSpaceDE w:val="0"/>
        <w:autoSpaceDN w:val="0"/>
        <w:adjustRightInd w:val="0"/>
        <w:ind w:left="0"/>
        <w:jc w:val="both"/>
        <w:rPr>
          <w:rFonts w:eastAsia="Times" w:cs="Verdana"/>
          <w:snapToGrid w:val="0"/>
          <w:lang w:eastAsia="es-ES"/>
        </w:rPr>
      </w:pPr>
    </w:p>
    <w:p w14:paraId="7D39E0F8" w14:textId="77777777" w:rsidR="00DE0BA1" w:rsidRPr="00995557" w:rsidRDefault="00DE0BA1" w:rsidP="00AA627A">
      <w:pPr>
        <w:pStyle w:val="Ttulo2"/>
        <w:widowControl w:val="0"/>
        <w:numPr>
          <w:ilvl w:val="0"/>
          <w:numId w:val="0"/>
        </w:numPr>
        <w:tabs>
          <w:tab w:val="clear" w:pos="1134"/>
          <w:tab w:val="left" w:pos="1418"/>
          <w:tab w:val="left" w:pos="1843"/>
        </w:tabs>
        <w:spacing w:before="0" w:after="0"/>
        <w:ind w:left="1418" w:hanging="567"/>
        <w:rPr>
          <w:b w:val="0"/>
        </w:rPr>
      </w:pPr>
      <w:bookmarkStart w:id="58" w:name="_Toc53741440"/>
      <w:bookmarkStart w:id="59" w:name="_Toc58399108"/>
      <w:r w:rsidRPr="00995557">
        <w:rPr>
          <w:b w:val="0"/>
        </w:rPr>
        <w:t>B.1. En cuanto a los hechos</w:t>
      </w:r>
      <w:bookmarkEnd w:id="58"/>
      <w:bookmarkEnd w:id="59"/>
    </w:p>
    <w:p w14:paraId="30788461" w14:textId="77777777" w:rsidR="00DE0BA1" w:rsidRPr="00995557" w:rsidRDefault="00DE0BA1" w:rsidP="00AA627A">
      <w:pPr>
        <w:widowControl w:val="0"/>
      </w:pPr>
    </w:p>
    <w:p w14:paraId="1A7B4180" w14:textId="77777777"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cs="Arial"/>
        </w:rPr>
      </w:pPr>
      <w:r w:rsidRPr="00995557">
        <w:rPr>
          <w:rFonts w:eastAsia="Calibri" w:cs="Verdana"/>
          <w:snapToGrid w:val="0"/>
          <w:lang w:eastAsia="es-ES"/>
        </w:rPr>
        <w:t>En el presente caso, el Estado efectuó su reconocimiento de responsabilidad internacional en torno a la vulneración de los derechos reconocidos en los artículos 4.1, 5.1, 5.2, 8.1 y 25.1 de la Convención Americana, en relación con los artículos 1.1 y 2 del mismo tratado.</w:t>
      </w:r>
    </w:p>
    <w:p w14:paraId="058C9130" w14:textId="77777777" w:rsidR="00DE0BA1" w:rsidRPr="00995557" w:rsidRDefault="00DE0BA1" w:rsidP="00AA627A">
      <w:pPr>
        <w:pStyle w:val="Prrafodelista"/>
        <w:widowControl w:val="0"/>
        <w:tabs>
          <w:tab w:val="left" w:pos="567"/>
        </w:tabs>
        <w:autoSpaceDE w:val="0"/>
        <w:autoSpaceDN w:val="0"/>
        <w:adjustRightInd w:val="0"/>
        <w:ind w:left="0"/>
        <w:jc w:val="both"/>
        <w:rPr>
          <w:rFonts w:cs="Arial"/>
        </w:rPr>
      </w:pPr>
    </w:p>
    <w:p w14:paraId="7CAA8F10" w14:textId="77777777"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eastAsia="Calibri" w:cs="Verdana"/>
          <w:snapToGrid w:val="0"/>
          <w:lang w:eastAsia="es-ES"/>
        </w:rPr>
      </w:pPr>
      <w:r w:rsidRPr="00995557">
        <w:rPr>
          <w:rFonts w:cs="Arial"/>
        </w:rPr>
        <w:t>A ese respecto, en virtud de la manifestación realizada por Venezuela, quien reconoce su responsabilidad internacional “en los términos y condiciones establecidos en el Informe de Fondo</w:t>
      </w:r>
      <w:r w:rsidRPr="00995557">
        <w:rPr>
          <w:rFonts w:eastAsia="Calibri" w:cs="Verdana"/>
          <w:snapToGrid w:val="0"/>
          <w:lang w:eastAsia="es-ES"/>
        </w:rPr>
        <w:t xml:space="preserve">”, la Corte entiende que </w:t>
      </w:r>
      <w:r w:rsidRPr="00995557">
        <w:rPr>
          <w:rFonts w:cs="Arial"/>
        </w:rPr>
        <w:t>el Estado, al haberse allanado a la totalidad de las violaciones de derechos alegadas por la Comisión en el Informe No. 119/18, ha reconocido, a su vez, la totalidad de los hechos contenidos en dicho Informe que dieron lugar a tales violaciones</w:t>
      </w:r>
      <w:r w:rsidRPr="00995557">
        <w:rPr>
          <w:rStyle w:val="Refdenotaalpie"/>
          <w:rFonts w:cs="Arial"/>
        </w:rPr>
        <w:footnoteReference w:id="37"/>
      </w:r>
      <w:r w:rsidRPr="00995557">
        <w:rPr>
          <w:rFonts w:cs="Arial"/>
        </w:rPr>
        <w:t>.</w:t>
      </w:r>
    </w:p>
    <w:p w14:paraId="363F5498" w14:textId="77777777" w:rsidR="00DE0BA1" w:rsidRPr="00995557" w:rsidRDefault="00DE0BA1" w:rsidP="00AA627A">
      <w:pPr>
        <w:pStyle w:val="Prrafodelista"/>
        <w:widowControl w:val="0"/>
        <w:rPr>
          <w:rFonts w:cs="Arial"/>
        </w:rPr>
      </w:pPr>
    </w:p>
    <w:p w14:paraId="369D27C2" w14:textId="77777777" w:rsidR="00DE0BA1" w:rsidRPr="00995557" w:rsidRDefault="00DE0BA1" w:rsidP="00AA627A">
      <w:pPr>
        <w:pStyle w:val="Ttulo2"/>
        <w:widowControl w:val="0"/>
        <w:numPr>
          <w:ilvl w:val="0"/>
          <w:numId w:val="0"/>
        </w:numPr>
        <w:tabs>
          <w:tab w:val="clear" w:pos="1134"/>
          <w:tab w:val="left" w:pos="1418"/>
          <w:tab w:val="left" w:pos="1843"/>
        </w:tabs>
        <w:spacing w:before="0" w:after="0"/>
        <w:ind w:left="1418" w:hanging="567"/>
        <w:rPr>
          <w:b w:val="0"/>
        </w:rPr>
      </w:pPr>
      <w:bookmarkStart w:id="60" w:name="_Toc53741441"/>
      <w:bookmarkStart w:id="61" w:name="_Toc58399109"/>
      <w:r w:rsidRPr="00995557">
        <w:rPr>
          <w:b w:val="0"/>
        </w:rPr>
        <w:t>B.2. En cuanto a las pretensiones de derecho</w:t>
      </w:r>
      <w:bookmarkEnd w:id="60"/>
      <w:bookmarkEnd w:id="61"/>
    </w:p>
    <w:p w14:paraId="460AFD77" w14:textId="77777777" w:rsidR="00DE0BA1" w:rsidRPr="00995557" w:rsidRDefault="00DE0BA1" w:rsidP="00AA627A">
      <w:pPr>
        <w:widowControl w:val="0"/>
      </w:pPr>
    </w:p>
    <w:p w14:paraId="2EAA9CB7" w14:textId="777D8887"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eastAsia="Calibri" w:cs="Verdana"/>
          <w:snapToGrid w:val="0"/>
          <w:lang w:eastAsia="es-ES"/>
        </w:rPr>
      </w:pPr>
      <w:r w:rsidRPr="00995557">
        <w:rPr>
          <w:rFonts w:eastAsia="Calibri" w:cs="Verdana"/>
          <w:snapToGrid w:val="0"/>
          <w:lang w:eastAsia="es-ES"/>
        </w:rPr>
        <w:t xml:space="preserve">A partir del reconocimiento realizado por el Estado, la Corte considera </w:t>
      </w:r>
      <w:r w:rsidRPr="00995557">
        <w:t xml:space="preserve">que ha cesado la controversia en cuanto a la responsabilidad internacional por las violaciones siguientes: a) de los derechos a la vida y a la integridad personal reconocidos en los artículos </w:t>
      </w:r>
      <w:r w:rsidRPr="00995557">
        <w:rPr>
          <w:rFonts w:eastAsia="Calibri" w:cs="Verdana"/>
          <w:snapToGrid w:val="0"/>
          <w:lang w:eastAsia="es-ES"/>
        </w:rPr>
        <w:t>4.1, 5.1 y 5.2, de la Convención, en relación con los artículos 1.1 y 2 del mismo instrumento, en perjuicio de las personas fallecidas y heridas en el operativo realizado por la Guardia Nacional en la cárcel de Vista Hermosa el 10 de noviembre de 2003; b) de los derechos a las garantías judiciales y a la protección judicial reconocidos en los artículos 8.1 y 25</w:t>
      </w:r>
      <w:r w:rsidR="00434F28" w:rsidRPr="00995557">
        <w:rPr>
          <w:rFonts w:eastAsia="Calibri" w:cs="Verdana"/>
          <w:snapToGrid w:val="0"/>
          <w:lang w:eastAsia="es-ES"/>
        </w:rPr>
        <w:t>.1</w:t>
      </w:r>
      <w:r w:rsidRPr="00995557">
        <w:rPr>
          <w:rFonts w:eastAsia="Calibri" w:cs="Verdana"/>
          <w:snapToGrid w:val="0"/>
          <w:lang w:eastAsia="es-ES"/>
        </w:rPr>
        <w:t xml:space="preserve"> de la Convención, en relación con el artículo 1.1 del mismo tratado, en perjuicio de las personas que resultaron heridas y los familiares de los fallecidos, identificados en el Informe de Fondo, por la falta de debida diligencia en la </w:t>
      </w:r>
      <w:r w:rsidR="00174BE9" w:rsidRPr="00995557">
        <w:rPr>
          <w:rFonts w:eastAsia="Calibri" w:cs="Verdana"/>
          <w:snapToGrid w:val="0"/>
          <w:lang w:eastAsia="es-ES"/>
        </w:rPr>
        <w:t>investigación</w:t>
      </w:r>
      <w:r w:rsidRPr="00995557">
        <w:rPr>
          <w:rFonts w:eastAsia="Calibri" w:cs="Verdana"/>
          <w:snapToGrid w:val="0"/>
          <w:lang w:eastAsia="es-ES"/>
        </w:rPr>
        <w:t xml:space="preserve"> de los hechos y porque la averiguación de estos no se ha llevado a cabo en un plazo razonable, y c) del derecho a la integridad personal reconocido en el artículo 5.1 de la Convención, en relación con el artículo 1.1 del mismo instrumento, en perjuicio de los familiares de las personas fallecidas, por el sufrimiento y angustia producidos por la pérdida de sus seres queridos y la falta de esclarecimiento de los hechos.</w:t>
      </w:r>
    </w:p>
    <w:p w14:paraId="624AF431" w14:textId="77777777" w:rsidR="00DE0BA1" w:rsidRPr="00995557" w:rsidRDefault="00DE0BA1" w:rsidP="00AA627A">
      <w:pPr>
        <w:pStyle w:val="Prrafodelista"/>
        <w:widowControl w:val="0"/>
        <w:tabs>
          <w:tab w:val="left" w:pos="567"/>
        </w:tabs>
        <w:autoSpaceDE w:val="0"/>
        <w:autoSpaceDN w:val="0"/>
        <w:adjustRightInd w:val="0"/>
        <w:ind w:left="0"/>
        <w:jc w:val="both"/>
        <w:rPr>
          <w:rFonts w:eastAsia="Calibri" w:cs="Verdana"/>
          <w:snapToGrid w:val="0"/>
          <w:lang w:eastAsia="es-ES"/>
        </w:rPr>
      </w:pPr>
    </w:p>
    <w:p w14:paraId="7086E23A" w14:textId="77777777"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eastAsia="Calibri" w:cs="Verdana"/>
          <w:snapToGrid w:val="0"/>
          <w:lang w:eastAsia="es-ES"/>
        </w:rPr>
      </w:pPr>
      <w:r w:rsidRPr="00995557">
        <w:rPr>
          <w:rFonts w:eastAsia="Calibri" w:cs="Verdana"/>
          <w:snapToGrid w:val="0"/>
          <w:lang w:eastAsia="es-ES"/>
        </w:rPr>
        <w:t>Por consiguiente, el reconocimiento de responsabilidad efectuado por el Estado produce plenos efectos jurídicos de acuerdo con los artículos 62 y 64 del Reglamento de la Corte, anteriormente citados.</w:t>
      </w:r>
    </w:p>
    <w:p w14:paraId="01A1B087" w14:textId="77777777" w:rsidR="00DE0BA1" w:rsidRPr="00995557" w:rsidRDefault="00DE0BA1" w:rsidP="00AA627A">
      <w:pPr>
        <w:pStyle w:val="Prrafodelista"/>
        <w:widowControl w:val="0"/>
        <w:tabs>
          <w:tab w:val="left" w:pos="567"/>
        </w:tabs>
        <w:autoSpaceDE w:val="0"/>
        <w:autoSpaceDN w:val="0"/>
        <w:adjustRightInd w:val="0"/>
        <w:ind w:left="0"/>
        <w:jc w:val="both"/>
        <w:rPr>
          <w:rFonts w:cs="Arial"/>
        </w:rPr>
      </w:pPr>
    </w:p>
    <w:p w14:paraId="32FDDC6C" w14:textId="77777777"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pPr>
      <w:r w:rsidRPr="00995557">
        <w:t xml:space="preserve">Ahora bien, </w:t>
      </w:r>
      <w:bookmarkStart w:id="62" w:name="_Hlk38317406"/>
      <w:r w:rsidRPr="00995557">
        <w:rPr>
          <w:rFonts w:cs="Arial"/>
        </w:rPr>
        <w:t>los representantes cuestionaron que el Estado no se haya pronunciado en cuanto a los alegatos relacionados con los actos de tortura que, conforme a lo argumentado en su escrito de solicitudes y argumentos, se habrían consumado, así como a la falta del deber de investigar tales actos, los que, según indicaron, no podrían ser subsumidos en el reconocimiento de vulneración de los artículos 5.1 y 5.2 de la Convención.</w:t>
      </w:r>
    </w:p>
    <w:p w14:paraId="4FFDE99C" w14:textId="77777777" w:rsidR="00DE0BA1" w:rsidRPr="00995557" w:rsidRDefault="00DE0BA1" w:rsidP="00AA627A">
      <w:pPr>
        <w:pStyle w:val="Prrafodelista"/>
        <w:widowControl w:val="0"/>
        <w:rPr>
          <w:rFonts w:cs="Arial"/>
        </w:rPr>
      </w:pPr>
    </w:p>
    <w:p w14:paraId="5AF7EADC" w14:textId="7C7BB842"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cs="Arial"/>
        </w:rPr>
      </w:pPr>
      <w:r w:rsidRPr="00995557">
        <w:rPr>
          <w:rFonts w:cs="Arial"/>
        </w:rPr>
        <w:t xml:space="preserve">En tal sentido, </w:t>
      </w:r>
      <w:r w:rsidR="001E44E8" w:rsidRPr="00995557">
        <w:rPr>
          <w:rFonts w:cs="Arial"/>
        </w:rPr>
        <w:t xml:space="preserve">la Corte advierte que </w:t>
      </w:r>
      <w:r w:rsidRPr="00995557">
        <w:rPr>
          <w:rFonts w:cs="Arial"/>
        </w:rPr>
        <w:t xml:space="preserve">el reconocimiento de responsabilidad estatal, al limitarse a las pretensiones de derecho contenidas en el Informe de Fondo, no abarca las alegadas violaciones de los artículos 6, 7 y 8 de la </w:t>
      </w:r>
      <w:r w:rsidRPr="00995557">
        <w:t>CIPST, formuladas por los representantes</w:t>
      </w:r>
      <w:r w:rsidRPr="00995557">
        <w:rPr>
          <w:rFonts w:cs="Arial"/>
        </w:rPr>
        <w:t xml:space="preserve">, por los supuestos actos de tortura que se habrían cometido contra las </w:t>
      </w:r>
      <w:r w:rsidR="00503519" w:rsidRPr="00995557">
        <w:rPr>
          <w:rFonts w:cs="Arial"/>
        </w:rPr>
        <w:t>personas</w:t>
      </w:r>
      <w:r w:rsidRPr="00995557">
        <w:rPr>
          <w:rFonts w:cs="Arial"/>
        </w:rPr>
        <w:t xml:space="preserve"> fallecidas y las personas heridas, así como la alegada violación </w:t>
      </w:r>
      <w:r w:rsidRPr="00995557">
        <w:t xml:space="preserve">de los artículos 8.1 y 25 de la Convención, en relación con los artículos 1, 6 y 8 de la CIPST, en perjuicio de las personas heridas y los familiares de los fallecidos, por la omisión de investigar los referidos actos de tortura. De esa cuenta, </w:t>
      </w:r>
      <w:r w:rsidRPr="00995557">
        <w:rPr>
          <w:rFonts w:cs="Arial"/>
        </w:rPr>
        <w:t>subsiste la controversia respecto de estas específicas pretensiones de derecho.</w:t>
      </w:r>
    </w:p>
    <w:p w14:paraId="73F9F2B4" w14:textId="77777777" w:rsidR="00DE0BA1" w:rsidRPr="00995557" w:rsidRDefault="00DE0BA1" w:rsidP="00AA627A">
      <w:pPr>
        <w:pStyle w:val="Prrafodelista"/>
        <w:widowControl w:val="0"/>
        <w:rPr>
          <w:rFonts w:cs="Arial"/>
        </w:rPr>
      </w:pPr>
    </w:p>
    <w:p w14:paraId="56E0DC19" w14:textId="77777777" w:rsidR="00DE0BA1" w:rsidRPr="00995557" w:rsidRDefault="00DE0BA1" w:rsidP="00AA627A">
      <w:pPr>
        <w:pStyle w:val="Ttulo2"/>
        <w:widowControl w:val="0"/>
        <w:numPr>
          <w:ilvl w:val="0"/>
          <w:numId w:val="0"/>
        </w:numPr>
        <w:tabs>
          <w:tab w:val="clear" w:pos="1134"/>
          <w:tab w:val="left" w:pos="1418"/>
          <w:tab w:val="left" w:pos="1843"/>
        </w:tabs>
        <w:spacing w:before="0" w:after="0"/>
        <w:ind w:left="1418" w:hanging="567"/>
        <w:rPr>
          <w:b w:val="0"/>
        </w:rPr>
      </w:pPr>
      <w:bookmarkStart w:id="63" w:name="_Toc53741442"/>
      <w:bookmarkStart w:id="64" w:name="_Toc58399110"/>
      <w:bookmarkEnd w:id="62"/>
      <w:r w:rsidRPr="00995557">
        <w:rPr>
          <w:b w:val="0"/>
        </w:rPr>
        <w:t>B.3. En cuanto a las reparaciones</w:t>
      </w:r>
      <w:bookmarkEnd w:id="63"/>
      <w:bookmarkEnd w:id="64"/>
    </w:p>
    <w:p w14:paraId="0B689CE7" w14:textId="77777777" w:rsidR="00DE0BA1" w:rsidRPr="00995557" w:rsidRDefault="00DE0BA1" w:rsidP="00AA627A">
      <w:pPr>
        <w:widowControl w:val="0"/>
      </w:pPr>
    </w:p>
    <w:p w14:paraId="4757FA06" w14:textId="77777777"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cs="Arial"/>
        </w:rPr>
      </w:pPr>
      <w:r w:rsidRPr="00995557">
        <w:rPr>
          <w:rFonts w:eastAsia="Batang"/>
        </w:rPr>
        <w:t xml:space="preserve">En lo que se refiere a las reparaciones, la Corte constata que el Estado afirmó que se compromete a cumplir las medidas que sean dispuestas, que ya ha implementado </w:t>
      </w:r>
      <w:r w:rsidRPr="00995557">
        <w:t>determinadas</w:t>
      </w:r>
      <w:r w:rsidRPr="00995557">
        <w:rPr>
          <w:rFonts w:eastAsia="Batang"/>
        </w:rPr>
        <w:t xml:space="preserve"> garantías de no repetición y que se encuentra impedido jurídicamente de cumplir las medidas concernientes a la obligación de investigar. Por lo tanto, </w:t>
      </w:r>
      <w:r w:rsidRPr="00995557">
        <w:rPr>
          <w:rFonts w:eastAsia="Batang"/>
          <w:bCs/>
        </w:rPr>
        <w:t>en el capítulo correspondiente,</w:t>
      </w:r>
      <w:r w:rsidRPr="00995557">
        <w:rPr>
          <w:rFonts w:eastAsia="Batang"/>
        </w:rPr>
        <w:t xml:space="preserve"> el Tribunal resolverá lo pertinente respecto de las reparaciones solicitadas por la Comisión y los representantes, para lo cual</w:t>
      </w:r>
      <w:r w:rsidRPr="00995557">
        <w:rPr>
          <w:rFonts w:eastAsia="Batang"/>
          <w:bCs/>
        </w:rPr>
        <w:t xml:space="preserve"> analizará la existencia del nexo causal entre las violaciones declaradas y los daños y medidas pretendidas.</w:t>
      </w:r>
    </w:p>
    <w:p w14:paraId="151F8330" w14:textId="77777777" w:rsidR="00DE0BA1" w:rsidRPr="00995557" w:rsidRDefault="00DE0BA1" w:rsidP="00AA627A">
      <w:pPr>
        <w:widowControl w:val="0"/>
        <w:autoSpaceDE w:val="0"/>
        <w:autoSpaceDN w:val="0"/>
        <w:rPr>
          <w:rFonts w:eastAsia="Calibri" w:cs="Verdana"/>
          <w:snapToGrid w:val="0"/>
          <w:lang w:eastAsia="es-ES"/>
        </w:rPr>
      </w:pPr>
    </w:p>
    <w:p w14:paraId="74F87518" w14:textId="77777777" w:rsidR="00DE0BA1" w:rsidRPr="00995557" w:rsidRDefault="00DE0BA1" w:rsidP="00AA627A">
      <w:pPr>
        <w:pStyle w:val="Ttulo2"/>
        <w:widowControl w:val="0"/>
        <w:numPr>
          <w:ilvl w:val="0"/>
          <w:numId w:val="0"/>
        </w:numPr>
        <w:tabs>
          <w:tab w:val="clear" w:pos="1134"/>
          <w:tab w:val="left" w:pos="1418"/>
          <w:tab w:val="left" w:pos="1843"/>
        </w:tabs>
        <w:spacing w:before="0" w:after="0"/>
        <w:ind w:left="1418" w:hanging="567"/>
        <w:rPr>
          <w:b w:val="0"/>
        </w:rPr>
      </w:pPr>
      <w:bookmarkStart w:id="65" w:name="_Toc53741443"/>
      <w:bookmarkStart w:id="66" w:name="_Toc58399111"/>
      <w:r w:rsidRPr="00995557">
        <w:rPr>
          <w:b w:val="0"/>
        </w:rPr>
        <w:t>B.4. Valoración del alcance del reconocimiento de responsabilidad</w:t>
      </w:r>
      <w:bookmarkEnd w:id="65"/>
      <w:bookmarkEnd w:id="66"/>
    </w:p>
    <w:p w14:paraId="7AB0FD72" w14:textId="77777777" w:rsidR="00DE0BA1" w:rsidRPr="00995557" w:rsidRDefault="00DE0BA1" w:rsidP="00AA627A">
      <w:pPr>
        <w:widowControl w:val="0"/>
      </w:pPr>
    </w:p>
    <w:p w14:paraId="72F7F59F" w14:textId="77777777"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rPr>
          <w:rFonts w:cs="Arial"/>
        </w:rPr>
      </w:pPr>
      <w:r w:rsidRPr="00995557">
        <w:t xml:space="preserve">La Corte </w:t>
      </w:r>
      <w:r w:rsidRPr="00995557">
        <w:rPr>
          <w:rFonts w:eastAsia="Batang"/>
        </w:rPr>
        <w:t>valora</w:t>
      </w:r>
      <w:r w:rsidRPr="00995557">
        <w:t xml:space="preserve"> el reconocimiento de responsabilidad internacional realizado por el </w:t>
      </w:r>
      <w:r w:rsidRPr="00995557">
        <w:lastRenderedPageBreak/>
        <w:t>Estado, el cual constituye una contribución positiva al desarrollo de este proceso, a la vigencia de los principios que inspiran la Convención y a la satisfacción de las necesidades de reparación de las víctimas de violaciones de derechos humanos</w:t>
      </w:r>
      <w:r w:rsidRPr="00995557">
        <w:rPr>
          <w:vertAlign w:val="superscript"/>
        </w:rPr>
        <w:footnoteReference w:id="38"/>
      </w:r>
      <w:r w:rsidRPr="00995557">
        <w:t>.</w:t>
      </w:r>
    </w:p>
    <w:p w14:paraId="2D96D4AA" w14:textId="77777777" w:rsidR="00DE0BA1" w:rsidRPr="00995557" w:rsidRDefault="00DE0BA1" w:rsidP="00AA627A">
      <w:pPr>
        <w:pStyle w:val="Prrafodelista"/>
        <w:widowControl w:val="0"/>
        <w:tabs>
          <w:tab w:val="left" w:pos="567"/>
        </w:tabs>
        <w:autoSpaceDE w:val="0"/>
        <w:autoSpaceDN w:val="0"/>
        <w:adjustRightInd w:val="0"/>
        <w:ind w:left="0"/>
        <w:jc w:val="both"/>
        <w:rPr>
          <w:rFonts w:cs="Arial"/>
        </w:rPr>
      </w:pPr>
    </w:p>
    <w:p w14:paraId="0E6959FF" w14:textId="77777777" w:rsidR="00DE0BA1" w:rsidRPr="00995557" w:rsidRDefault="00DE0BA1" w:rsidP="00AA627A">
      <w:pPr>
        <w:pStyle w:val="Prrafodelista"/>
        <w:widowControl w:val="0"/>
        <w:numPr>
          <w:ilvl w:val="0"/>
          <w:numId w:val="2"/>
        </w:numPr>
        <w:tabs>
          <w:tab w:val="left" w:pos="567"/>
        </w:tabs>
        <w:autoSpaceDE w:val="0"/>
        <w:autoSpaceDN w:val="0"/>
        <w:adjustRightInd w:val="0"/>
        <w:ind w:left="0" w:firstLine="0"/>
        <w:jc w:val="both"/>
      </w:pPr>
      <w:r w:rsidRPr="00995557">
        <w:t>En virtud de lo anterior, con base en las atribuciones que le incumben como órgano internacional de protección de derechos humanos y en consideración de la gravedad de los hechos y de las violaciones alegadas, el Tribunal procederá a la determinación de los hechos ocurridos, lo que contribuye a la reparación de las víctimas, a evitar que se repitan hechos similares y a satisfacer, en suma, los fines de la jurisdicción interamericana sobre derechos humanos</w:t>
      </w:r>
      <w:r w:rsidRPr="00995557">
        <w:rPr>
          <w:rStyle w:val="Refdenotaalpie"/>
        </w:rPr>
        <w:footnoteReference w:id="39"/>
      </w:r>
      <w:r w:rsidRPr="00995557">
        <w:t>. A partir de ello, el Tribunal analizará las violaciones alegadas por la Comisión y los representantes, así como las correspondientes consecuencias en materia de reparaciones.</w:t>
      </w:r>
      <w:bookmarkEnd w:id="51"/>
    </w:p>
    <w:p w14:paraId="7AAE561D" w14:textId="77777777" w:rsidR="008D26EF" w:rsidRPr="00995557" w:rsidRDefault="008D26EF" w:rsidP="00AA627A">
      <w:pPr>
        <w:pStyle w:val="Ttulo1"/>
        <w:keepNext w:val="0"/>
        <w:keepLines w:val="0"/>
        <w:widowControl w:val="0"/>
        <w:spacing w:before="0" w:after="0"/>
        <w:jc w:val="left"/>
      </w:pPr>
    </w:p>
    <w:p w14:paraId="0D2A8582" w14:textId="77777777" w:rsidR="00F21A57" w:rsidRPr="00995557" w:rsidRDefault="00F349A9" w:rsidP="00AA627A">
      <w:pPr>
        <w:pStyle w:val="Ttulo1"/>
        <w:keepNext w:val="0"/>
        <w:keepLines w:val="0"/>
        <w:widowControl w:val="0"/>
        <w:spacing w:before="0" w:after="0"/>
      </w:pPr>
      <w:bookmarkStart w:id="67" w:name="_Toc53741444"/>
      <w:bookmarkStart w:id="68" w:name="_Toc58399112"/>
      <w:r w:rsidRPr="00995557">
        <w:t>V</w:t>
      </w:r>
      <w:r w:rsidR="007B4E49" w:rsidRPr="00995557">
        <w:t>I</w:t>
      </w:r>
      <w:r w:rsidR="008A33EC" w:rsidRPr="00995557">
        <w:br/>
      </w:r>
      <w:r w:rsidR="00F21A57" w:rsidRPr="00995557">
        <w:t>PRUEBA</w:t>
      </w:r>
      <w:bookmarkEnd w:id="44"/>
      <w:bookmarkEnd w:id="67"/>
      <w:bookmarkEnd w:id="68"/>
    </w:p>
    <w:p w14:paraId="33508027" w14:textId="77777777" w:rsidR="008D26EF" w:rsidRPr="00995557" w:rsidRDefault="008D26EF" w:rsidP="00AA627A">
      <w:pPr>
        <w:widowControl w:val="0"/>
      </w:pPr>
    </w:p>
    <w:p w14:paraId="32512D4A" w14:textId="77777777" w:rsidR="006F2120" w:rsidRPr="00995557" w:rsidRDefault="00792D23" w:rsidP="00AA627A">
      <w:pPr>
        <w:pStyle w:val="Ttulo2"/>
        <w:widowControl w:val="0"/>
        <w:numPr>
          <w:ilvl w:val="0"/>
          <w:numId w:val="0"/>
        </w:numPr>
        <w:tabs>
          <w:tab w:val="clear" w:pos="1134"/>
          <w:tab w:val="left" w:pos="993"/>
        </w:tabs>
        <w:spacing w:before="0" w:after="0"/>
        <w:ind w:left="1134" w:hanging="567"/>
      </w:pPr>
      <w:bookmarkStart w:id="69" w:name="_Toc9511440"/>
      <w:bookmarkStart w:id="70" w:name="_Toc4402948"/>
      <w:bookmarkStart w:id="71" w:name="_Toc4402709"/>
      <w:bookmarkStart w:id="72" w:name="_Toc26283431"/>
      <w:bookmarkStart w:id="73" w:name="_Toc32394144"/>
      <w:bookmarkStart w:id="74" w:name="_Toc32589923"/>
      <w:bookmarkStart w:id="75" w:name="_Toc53741445"/>
      <w:bookmarkStart w:id="76" w:name="_Toc58399113"/>
      <w:r w:rsidRPr="00995557">
        <w:t xml:space="preserve">A. </w:t>
      </w:r>
      <w:r w:rsidR="006F2120" w:rsidRPr="00995557">
        <w:t>A</w:t>
      </w:r>
      <w:r w:rsidR="00F21A57" w:rsidRPr="00995557">
        <w:t>dmisibilidad de la prueba documental</w:t>
      </w:r>
      <w:bookmarkEnd w:id="69"/>
      <w:bookmarkEnd w:id="70"/>
      <w:bookmarkEnd w:id="71"/>
      <w:bookmarkEnd w:id="72"/>
      <w:bookmarkEnd w:id="73"/>
      <w:bookmarkEnd w:id="74"/>
      <w:bookmarkEnd w:id="75"/>
      <w:bookmarkEnd w:id="76"/>
    </w:p>
    <w:p w14:paraId="6F43308B" w14:textId="77777777" w:rsidR="00792D23" w:rsidRPr="00995557" w:rsidRDefault="00792D23" w:rsidP="00AA627A">
      <w:pPr>
        <w:pStyle w:val="Prrafodelista"/>
        <w:widowControl w:val="0"/>
        <w:ind w:left="1069"/>
      </w:pPr>
    </w:p>
    <w:p w14:paraId="09CC8B6D" w14:textId="3F58F9F5" w:rsidR="00503519" w:rsidRPr="00995557" w:rsidRDefault="00503519" w:rsidP="00AA627A">
      <w:pPr>
        <w:pStyle w:val="PrrafodeSentencia"/>
        <w:widowControl w:val="0"/>
        <w:numPr>
          <w:ilvl w:val="0"/>
          <w:numId w:val="2"/>
        </w:numPr>
        <w:ind w:left="0" w:firstLine="0"/>
        <w:rPr>
          <w:spacing w:val="0"/>
          <w:szCs w:val="20"/>
        </w:rPr>
      </w:pPr>
      <w:r w:rsidRPr="00995557">
        <w:rPr>
          <w:spacing w:val="0"/>
          <w:szCs w:val="20"/>
        </w:rPr>
        <w:t>La Corte recibió diversos documentos presentados como prueba por la Comisión y las partes junto con sus escritos principales. Como en otros casos, este Tribunal admite aquellos documentos presentados oportunamente (artículo 57 del Reglamento)</w:t>
      </w:r>
      <w:r w:rsidRPr="00995557">
        <w:rPr>
          <w:rStyle w:val="Refdenotaalpie"/>
          <w:spacing w:val="0"/>
          <w:szCs w:val="20"/>
        </w:rPr>
        <w:footnoteReference w:id="40"/>
      </w:r>
      <w:r w:rsidRPr="00995557">
        <w:rPr>
          <w:spacing w:val="0"/>
          <w:szCs w:val="20"/>
        </w:rPr>
        <w:t xml:space="preserve"> por las partes y la Comisión, cuya admisibilidad no fue controvertida ni objetada</w:t>
      </w:r>
      <w:r w:rsidRPr="00995557">
        <w:rPr>
          <w:rStyle w:val="Refdenotaalpie"/>
          <w:spacing w:val="0"/>
          <w:szCs w:val="20"/>
        </w:rPr>
        <w:footnoteReference w:id="41"/>
      </w:r>
      <w:r w:rsidRPr="00995557">
        <w:rPr>
          <w:spacing w:val="0"/>
          <w:szCs w:val="20"/>
        </w:rPr>
        <w:t>.</w:t>
      </w:r>
    </w:p>
    <w:p w14:paraId="40B30904" w14:textId="77777777" w:rsidR="00C2698D" w:rsidRPr="00995557" w:rsidRDefault="008B1922" w:rsidP="00AA627A">
      <w:pPr>
        <w:pStyle w:val="Prrafodelista"/>
        <w:widowControl w:val="0"/>
        <w:tabs>
          <w:tab w:val="left" w:pos="567"/>
        </w:tabs>
        <w:ind w:left="0"/>
        <w:jc w:val="both"/>
        <w:rPr>
          <w:color w:val="C00000"/>
          <w:lang w:eastAsia="es-MX"/>
        </w:rPr>
      </w:pPr>
      <w:r w:rsidRPr="00995557">
        <w:rPr>
          <w:color w:val="C00000"/>
          <w:lang w:eastAsia="es-MX"/>
        </w:rPr>
        <w:t xml:space="preserve"> </w:t>
      </w:r>
    </w:p>
    <w:p w14:paraId="2F6DAFE7" w14:textId="77777777" w:rsidR="006F2120" w:rsidRPr="00995557" w:rsidRDefault="006F2120" w:rsidP="00AA627A">
      <w:pPr>
        <w:pStyle w:val="Ttulo2"/>
        <w:widowControl w:val="0"/>
        <w:numPr>
          <w:ilvl w:val="0"/>
          <w:numId w:val="0"/>
        </w:numPr>
        <w:tabs>
          <w:tab w:val="left" w:pos="567"/>
        </w:tabs>
        <w:spacing w:before="0" w:after="0"/>
        <w:ind w:left="1134" w:hanging="567"/>
      </w:pPr>
      <w:bookmarkStart w:id="77" w:name="_Toc9511441"/>
      <w:bookmarkStart w:id="78" w:name="_Toc4402949"/>
      <w:bookmarkStart w:id="79" w:name="_Toc4402710"/>
      <w:bookmarkStart w:id="80" w:name="_Toc26283432"/>
      <w:bookmarkStart w:id="81" w:name="_Toc32394145"/>
      <w:bookmarkStart w:id="82" w:name="_Toc32589924"/>
      <w:bookmarkStart w:id="83" w:name="_Toc53741446"/>
      <w:bookmarkStart w:id="84" w:name="_Toc58399114"/>
      <w:r w:rsidRPr="00995557">
        <w:t xml:space="preserve">B. </w:t>
      </w:r>
      <w:r w:rsidR="00F21A57" w:rsidRPr="00995557">
        <w:t>Admisibilidad de la prueba testimonial y pericial</w:t>
      </w:r>
      <w:bookmarkEnd w:id="77"/>
      <w:bookmarkEnd w:id="78"/>
      <w:bookmarkEnd w:id="79"/>
      <w:bookmarkEnd w:id="80"/>
      <w:bookmarkEnd w:id="81"/>
      <w:bookmarkEnd w:id="82"/>
      <w:bookmarkEnd w:id="83"/>
      <w:bookmarkEnd w:id="84"/>
    </w:p>
    <w:p w14:paraId="1E01F568" w14:textId="77777777" w:rsidR="00EB3B43" w:rsidRPr="00995557" w:rsidRDefault="00EB3B43" w:rsidP="00AA627A">
      <w:pPr>
        <w:widowControl w:val="0"/>
      </w:pPr>
    </w:p>
    <w:p w14:paraId="4C304B01" w14:textId="023E75D8" w:rsidR="00A71784" w:rsidRPr="00995557" w:rsidRDefault="00CB4C81" w:rsidP="00AA627A">
      <w:pPr>
        <w:pStyle w:val="Numberedparagraphs"/>
        <w:widowControl w:val="0"/>
        <w:numPr>
          <w:ilvl w:val="0"/>
          <w:numId w:val="2"/>
        </w:numPr>
        <w:tabs>
          <w:tab w:val="left" w:pos="567"/>
        </w:tabs>
        <w:autoSpaceDE w:val="0"/>
        <w:autoSpaceDN w:val="0"/>
        <w:adjustRightInd w:val="0"/>
        <w:ind w:left="0" w:firstLine="0"/>
        <w:rPr>
          <w:color w:val="auto"/>
          <w:lang w:val="es-CR"/>
        </w:rPr>
      </w:pPr>
      <w:r w:rsidRPr="00995557">
        <w:rPr>
          <w:color w:val="auto"/>
          <w:lang w:val="es-CR"/>
        </w:rPr>
        <w:t>La Corte</w:t>
      </w:r>
      <w:r w:rsidR="00F21A57" w:rsidRPr="00995557">
        <w:rPr>
          <w:color w:val="auto"/>
          <w:lang w:val="es-CR"/>
        </w:rPr>
        <w:t xml:space="preserve"> estima pertinente admitir las declaraciones rendidas ante fedatario público</w:t>
      </w:r>
      <w:r w:rsidR="00F21A57" w:rsidRPr="00995557">
        <w:rPr>
          <w:rStyle w:val="Refdenotaalpie"/>
          <w:color w:val="auto"/>
        </w:rPr>
        <w:footnoteReference w:id="42"/>
      </w:r>
      <w:r w:rsidR="00346063" w:rsidRPr="00995557">
        <w:rPr>
          <w:color w:val="auto"/>
          <w:lang w:val="es-CR"/>
        </w:rPr>
        <w:t xml:space="preserve">, así como la declaración de la señora </w:t>
      </w:r>
      <w:r w:rsidR="00174BE9" w:rsidRPr="00995557">
        <w:rPr>
          <w:color w:val="auto"/>
          <w:lang w:val="es-CR"/>
        </w:rPr>
        <w:t>Lorenza</w:t>
      </w:r>
      <w:r w:rsidR="00346063" w:rsidRPr="00995557">
        <w:rPr>
          <w:color w:val="auto"/>
          <w:lang w:val="es-CR"/>
        </w:rPr>
        <w:t xml:space="preserve"> Josefina Pérez de Olivares, recibida en forma oral mediante videoconferencia, </w:t>
      </w:r>
      <w:r w:rsidR="00F21A57" w:rsidRPr="00995557">
        <w:rPr>
          <w:color w:val="auto"/>
          <w:lang w:val="es-CR"/>
        </w:rPr>
        <w:t>en la medida en que se ajusten al objeto que fue definido en la</w:t>
      </w:r>
      <w:r w:rsidR="00E9282D" w:rsidRPr="00995557">
        <w:rPr>
          <w:color w:val="auto"/>
          <w:lang w:val="es-CR"/>
        </w:rPr>
        <w:t>s</w:t>
      </w:r>
      <w:r w:rsidR="00F21A57" w:rsidRPr="00995557">
        <w:rPr>
          <w:color w:val="auto"/>
          <w:lang w:val="es-CR"/>
        </w:rPr>
        <w:t xml:space="preserve"> Resoluci</w:t>
      </w:r>
      <w:r w:rsidR="00E9282D" w:rsidRPr="00995557">
        <w:rPr>
          <w:color w:val="auto"/>
          <w:lang w:val="es-CR"/>
        </w:rPr>
        <w:t>ones</w:t>
      </w:r>
      <w:r w:rsidR="00F21A57" w:rsidRPr="00995557">
        <w:rPr>
          <w:color w:val="auto"/>
          <w:lang w:val="es-CR"/>
        </w:rPr>
        <w:t xml:space="preserve"> mediante la</w:t>
      </w:r>
      <w:r w:rsidR="00E9282D" w:rsidRPr="00995557">
        <w:rPr>
          <w:color w:val="auto"/>
          <w:lang w:val="es-CR"/>
        </w:rPr>
        <w:t>s</w:t>
      </w:r>
      <w:r w:rsidR="00F21A57" w:rsidRPr="00995557">
        <w:rPr>
          <w:color w:val="auto"/>
          <w:lang w:val="es-CR"/>
        </w:rPr>
        <w:t xml:space="preserve"> cual</w:t>
      </w:r>
      <w:r w:rsidR="00E9282D" w:rsidRPr="00995557">
        <w:rPr>
          <w:color w:val="auto"/>
          <w:lang w:val="es-CR"/>
        </w:rPr>
        <w:t>es</w:t>
      </w:r>
      <w:r w:rsidR="00F21A57" w:rsidRPr="00995557">
        <w:rPr>
          <w:color w:val="auto"/>
          <w:lang w:val="es-CR"/>
        </w:rPr>
        <w:t xml:space="preserve"> </w:t>
      </w:r>
      <w:r w:rsidR="00346063" w:rsidRPr="00995557">
        <w:rPr>
          <w:color w:val="auto"/>
          <w:lang w:val="es-CR"/>
        </w:rPr>
        <w:t xml:space="preserve">se </w:t>
      </w:r>
      <w:r w:rsidR="00F21A57" w:rsidRPr="00995557">
        <w:rPr>
          <w:color w:val="auto"/>
          <w:lang w:val="es-CR"/>
        </w:rPr>
        <w:t xml:space="preserve">ordenó </w:t>
      </w:r>
      <w:r w:rsidR="00346063" w:rsidRPr="00995557">
        <w:rPr>
          <w:color w:val="auto"/>
          <w:lang w:val="es-CR"/>
        </w:rPr>
        <w:t xml:space="preserve">su </w:t>
      </w:r>
      <w:r w:rsidR="00F21A57" w:rsidRPr="00995557">
        <w:rPr>
          <w:color w:val="auto"/>
          <w:lang w:val="es-CR"/>
        </w:rPr>
        <w:t>rec</w:t>
      </w:r>
      <w:r w:rsidR="00346063" w:rsidRPr="00995557">
        <w:rPr>
          <w:color w:val="auto"/>
          <w:lang w:val="es-CR"/>
        </w:rPr>
        <w:t>epción</w:t>
      </w:r>
      <w:r w:rsidR="00F21A57" w:rsidRPr="00995557">
        <w:rPr>
          <w:color w:val="auto"/>
          <w:lang w:val="es-CR"/>
        </w:rPr>
        <w:t xml:space="preserve"> y al objeto del presente caso</w:t>
      </w:r>
      <w:r w:rsidR="004B686B" w:rsidRPr="00995557">
        <w:rPr>
          <w:rStyle w:val="Refdenotaalpie"/>
          <w:color w:val="auto"/>
          <w:lang w:val="es-CR"/>
        </w:rPr>
        <w:footnoteReference w:id="43"/>
      </w:r>
      <w:r w:rsidR="00562354" w:rsidRPr="00995557">
        <w:rPr>
          <w:color w:val="auto"/>
          <w:lang w:val="es-CR"/>
        </w:rPr>
        <w:t>.</w:t>
      </w:r>
      <w:r w:rsidR="00A71784" w:rsidRPr="00995557">
        <w:rPr>
          <w:color w:val="auto"/>
          <w:lang w:val="es-CR"/>
        </w:rPr>
        <w:t xml:space="preserve"> </w:t>
      </w:r>
    </w:p>
    <w:p w14:paraId="73BA565A" w14:textId="77777777" w:rsidR="00A71784" w:rsidRPr="00995557" w:rsidRDefault="00A71784" w:rsidP="00AA627A">
      <w:pPr>
        <w:pStyle w:val="Numberedparagraphs"/>
        <w:widowControl w:val="0"/>
        <w:numPr>
          <w:ilvl w:val="0"/>
          <w:numId w:val="0"/>
        </w:numPr>
        <w:tabs>
          <w:tab w:val="left" w:pos="567"/>
        </w:tabs>
        <w:autoSpaceDE w:val="0"/>
        <w:autoSpaceDN w:val="0"/>
        <w:adjustRightInd w:val="0"/>
        <w:rPr>
          <w:color w:val="auto"/>
          <w:lang w:val="es-CR"/>
        </w:rPr>
      </w:pPr>
    </w:p>
    <w:p w14:paraId="4E8FB79A" w14:textId="77777777" w:rsidR="00A71784" w:rsidRPr="00995557" w:rsidRDefault="00A71784" w:rsidP="00AA627A">
      <w:pPr>
        <w:pStyle w:val="Numberedparagraphs"/>
        <w:widowControl w:val="0"/>
        <w:numPr>
          <w:ilvl w:val="0"/>
          <w:numId w:val="2"/>
        </w:numPr>
        <w:tabs>
          <w:tab w:val="left" w:pos="567"/>
        </w:tabs>
        <w:autoSpaceDE w:val="0"/>
        <w:autoSpaceDN w:val="0"/>
        <w:adjustRightInd w:val="0"/>
        <w:ind w:left="0" w:firstLine="0"/>
        <w:rPr>
          <w:color w:val="auto"/>
          <w:lang w:val="es-CR"/>
        </w:rPr>
      </w:pPr>
      <w:r w:rsidRPr="00995557">
        <w:rPr>
          <w:color w:val="auto"/>
          <w:lang w:val="es-CR"/>
        </w:rPr>
        <w:t>En el caso de la</w:t>
      </w:r>
      <w:r w:rsidR="00121B31" w:rsidRPr="00995557">
        <w:rPr>
          <w:color w:val="auto"/>
          <w:lang w:val="es-CR"/>
        </w:rPr>
        <w:t>s</w:t>
      </w:r>
      <w:r w:rsidRPr="00995557">
        <w:rPr>
          <w:color w:val="auto"/>
          <w:lang w:val="es-CR"/>
        </w:rPr>
        <w:t xml:space="preserve"> declaraci</w:t>
      </w:r>
      <w:r w:rsidR="00121B31" w:rsidRPr="00995557">
        <w:rPr>
          <w:color w:val="auto"/>
          <w:lang w:val="es-CR"/>
        </w:rPr>
        <w:t>ones</w:t>
      </w:r>
      <w:r w:rsidRPr="00995557">
        <w:rPr>
          <w:color w:val="auto"/>
          <w:lang w:val="es-CR"/>
        </w:rPr>
        <w:t xml:space="preserve"> de Antonietta de Dominicis</w:t>
      </w:r>
      <w:r w:rsidR="00121B31" w:rsidRPr="00995557">
        <w:rPr>
          <w:color w:val="auto"/>
          <w:lang w:val="es-CR"/>
        </w:rPr>
        <w:t xml:space="preserve"> y María Lucrecia Hernández Vitar</w:t>
      </w:r>
      <w:r w:rsidRPr="00995557">
        <w:rPr>
          <w:color w:val="auto"/>
          <w:lang w:val="es-CR"/>
        </w:rPr>
        <w:t>, se advierte que no fue</w:t>
      </w:r>
      <w:r w:rsidR="00121B31" w:rsidRPr="00995557">
        <w:rPr>
          <w:color w:val="auto"/>
          <w:lang w:val="es-CR"/>
        </w:rPr>
        <w:t>ron</w:t>
      </w:r>
      <w:r w:rsidRPr="00995557">
        <w:rPr>
          <w:color w:val="auto"/>
          <w:lang w:val="es-CR"/>
        </w:rPr>
        <w:t xml:space="preserve"> rendida</w:t>
      </w:r>
      <w:r w:rsidR="00121B31" w:rsidRPr="00995557">
        <w:rPr>
          <w:color w:val="auto"/>
          <w:lang w:val="es-CR"/>
        </w:rPr>
        <w:t>s</w:t>
      </w:r>
      <w:r w:rsidRPr="00995557">
        <w:rPr>
          <w:color w:val="auto"/>
          <w:lang w:val="es-CR"/>
        </w:rPr>
        <w:t xml:space="preserve"> ante fedatario público, con justificación en la situación der</w:t>
      </w:r>
      <w:r w:rsidR="005247E8" w:rsidRPr="00995557">
        <w:rPr>
          <w:color w:val="auto"/>
          <w:lang w:val="es-CR"/>
        </w:rPr>
        <w:t>ivada de la pandemia que afecta a nivel global</w:t>
      </w:r>
      <w:r w:rsidR="00121B31" w:rsidRPr="00995557">
        <w:rPr>
          <w:color w:val="auto"/>
          <w:lang w:val="es-CR"/>
        </w:rPr>
        <w:t xml:space="preserve">, la que habría implicado restricciones de movilidad y limitaciones para el acceso a los servicios notariales. </w:t>
      </w:r>
      <w:r w:rsidRPr="00995557">
        <w:rPr>
          <w:color w:val="auto"/>
          <w:lang w:val="es-CR"/>
        </w:rPr>
        <w:t xml:space="preserve">En tal sentido, la Corte recuerda que, tanto en la Resolución de la </w:t>
      </w:r>
      <w:proofErr w:type="gramStart"/>
      <w:r w:rsidRPr="00995557">
        <w:rPr>
          <w:color w:val="auto"/>
          <w:lang w:val="es-CR"/>
        </w:rPr>
        <w:t>Presidenta</w:t>
      </w:r>
      <w:proofErr w:type="gramEnd"/>
      <w:r w:rsidRPr="00995557">
        <w:rPr>
          <w:color w:val="auto"/>
          <w:lang w:val="es-CR"/>
        </w:rPr>
        <w:t xml:space="preserve"> de 30 de junio de 2020, como en la Resolución del Tribunal de 29 de julio de 2020, se dispuso que la</w:t>
      </w:r>
      <w:r w:rsidR="005247E8" w:rsidRPr="00995557">
        <w:rPr>
          <w:color w:val="auto"/>
          <w:lang w:val="es-CR"/>
        </w:rPr>
        <w:t xml:space="preserve">s declaraciones </w:t>
      </w:r>
      <w:r w:rsidR="005247E8" w:rsidRPr="00995557">
        <w:rPr>
          <w:color w:val="auto"/>
          <w:lang w:val="es-CR"/>
        </w:rPr>
        <w:lastRenderedPageBreak/>
        <w:t>fueran rendidas</w:t>
      </w:r>
      <w:r w:rsidRPr="00995557">
        <w:rPr>
          <w:color w:val="auto"/>
          <w:lang w:val="es-CR"/>
        </w:rPr>
        <w:t xml:space="preserve"> “en la medida de</w:t>
      </w:r>
      <w:r w:rsidR="0048639E" w:rsidRPr="00995557">
        <w:rPr>
          <w:color w:val="auto"/>
          <w:lang w:val="es-CR"/>
        </w:rPr>
        <w:t xml:space="preserve"> lo</w:t>
      </w:r>
      <w:r w:rsidR="005247E8" w:rsidRPr="00995557">
        <w:rPr>
          <w:color w:val="auto"/>
          <w:lang w:val="es-CR"/>
        </w:rPr>
        <w:t xml:space="preserve"> posible”</w:t>
      </w:r>
      <w:r w:rsidRPr="00995557">
        <w:rPr>
          <w:color w:val="auto"/>
          <w:lang w:val="es-CR"/>
        </w:rPr>
        <w:t xml:space="preserve"> ante fedatario público. Por consiguiente, se considera </w:t>
      </w:r>
      <w:r w:rsidRPr="00995557">
        <w:rPr>
          <w:color w:val="auto"/>
        </w:rPr>
        <w:t xml:space="preserve">que las justificaciones expresadas </w:t>
      </w:r>
      <w:r w:rsidR="0048639E" w:rsidRPr="00995557">
        <w:rPr>
          <w:color w:val="auto"/>
        </w:rPr>
        <w:t>son razonables</w:t>
      </w:r>
      <w:r w:rsidR="00121B31" w:rsidRPr="00995557">
        <w:rPr>
          <w:color w:val="auto"/>
        </w:rPr>
        <w:t>, por lo que</w:t>
      </w:r>
      <w:r w:rsidR="0048639E" w:rsidRPr="00995557">
        <w:rPr>
          <w:color w:val="auto"/>
        </w:rPr>
        <w:t xml:space="preserve"> </w:t>
      </w:r>
      <w:r w:rsidRPr="00995557">
        <w:rPr>
          <w:color w:val="auto"/>
        </w:rPr>
        <w:t>se admite</w:t>
      </w:r>
      <w:r w:rsidR="00121B31" w:rsidRPr="00995557">
        <w:rPr>
          <w:color w:val="auto"/>
        </w:rPr>
        <w:t>n</w:t>
      </w:r>
      <w:r w:rsidRPr="00995557">
        <w:rPr>
          <w:color w:val="auto"/>
        </w:rPr>
        <w:t xml:space="preserve"> </w:t>
      </w:r>
      <w:r w:rsidR="00121B31" w:rsidRPr="00995557">
        <w:rPr>
          <w:color w:val="auto"/>
        </w:rPr>
        <w:t>ambas</w:t>
      </w:r>
      <w:r w:rsidRPr="00995557">
        <w:rPr>
          <w:color w:val="auto"/>
        </w:rPr>
        <w:t xml:space="preserve"> </w:t>
      </w:r>
      <w:r w:rsidR="00121B31" w:rsidRPr="00995557">
        <w:rPr>
          <w:color w:val="auto"/>
        </w:rPr>
        <w:t>declaracio</w:t>
      </w:r>
      <w:r w:rsidRPr="00995557">
        <w:rPr>
          <w:color w:val="auto"/>
        </w:rPr>
        <w:t>n</w:t>
      </w:r>
      <w:r w:rsidR="00121B31" w:rsidRPr="00995557">
        <w:rPr>
          <w:color w:val="auto"/>
        </w:rPr>
        <w:t xml:space="preserve">es </w:t>
      </w:r>
      <w:r w:rsidRPr="00995557">
        <w:rPr>
          <w:color w:val="auto"/>
          <w:lang w:val="es-CR"/>
        </w:rPr>
        <w:t xml:space="preserve">en la medida en </w:t>
      </w:r>
      <w:r w:rsidR="0048639E" w:rsidRPr="00995557">
        <w:rPr>
          <w:color w:val="auto"/>
          <w:lang w:val="es-CR"/>
        </w:rPr>
        <w:t xml:space="preserve">que </w:t>
      </w:r>
      <w:r w:rsidRPr="00995557">
        <w:rPr>
          <w:color w:val="auto"/>
          <w:lang w:val="es-CR"/>
        </w:rPr>
        <w:t>se ajuste</w:t>
      </w:r>
      <w:r w:rsidR="00121B31" w:rsidRPr="00995557">
        <w:rPr>
          <w:color w:val="auto"/>
          <w:lang w:val="es-CR"/>
        </w:rPr>
        <w:t>n</w:t>
      </w:r>
      <w:r w:rsidRPr="00995557">
        <w:rPr>
          <w:color w:val="auto"/>
          <w:lang w:val="es-CR"/>
        </w:rPr>
        <w:t xml:space="preserve"> a</w:t>
      </w:r>
      <w:r w:rsidR="00121B31" w:rsidRPr="00995557">
        <w:rPr>
          <w:color w:val="auto"/>
          <w:lang w:val="es-CR"/>
        </w:rPr>
        <w:t xml:space="preserve"> </w:t>
      </w:r>
      <w:r w:rsidRPr="00995557">
        <w:rPr>
          <w:color w:val="auto"/>
          <w:lang w:val="es-CR"/>
        </w:rPr>
        <w:t>l</w:t>
      </w:r>
      <w:r w:rsidR="00121B31" w:rsidRPr="00995557">
        <w:rPr>
          <w:color w:val="auto"/>
          <w:lang w:val="es-CR"/>
        </w:rPr>
        <w:t>os</w:t>
      </w:r>
      <w:r w:rsidRPr="00995557">
        <w:rPr>
          <w:color w:val="auto"/>
          <w:lang w:val="es-CR"/>
        </w:rPr>
        <w:t xml:space="preserve"> objeto</w:t>
      </w:r>
      <w:r w:rsidR="00121B31" w:rsidRPr="00995557">
        <w:rPr>
          <w:color w:val="auto"/>
          <w:lang w:val="es-CR"/>
        </w:rPr>
        <w:t>s</w:t>
      </w:r>
      <w:r w:rsidRPr="00995557">
        <w:rPr>
          <w:color w:val="auto"/>
          <w:lang w:val="es-CR"/>
        </w:rPr>
        <w:t xml:space="preserve"> definido</w:t>
      </w:r>
      <w:r w:rsidR="00121B31" w:rsidRPr="00995557">
        <w:rPr>
          <w:color w:val="auto"/>
          <w:lang w:val="es-CR"/>
        </w:rPr>
        <w:t>s</w:t>
      </w:r>
      <w:r w:rsidRPr="00995557">
        <w:rPr>
          <w:color w:val="auto"/>
          <w:lang w:val="es-CR"/>
        </w:rPr>
        <w:t xml:space="preserve"> oportunamente.</w:t>
      </w:r>
    </w:p>
    <w:p w14:paraId="7A8360FD" w14:textId="77777777" w:rsidR="009F00CC" w:rsidRPr="00995557" w:rsidRDefault="009F00CC" w:rsidP="00AA627A">
      <w:pPr>
        <w:pStyle w:val="Prrafodelista"/>
      </w:pPr>
    </w:p>
    <w:p w14:paraId="1D2CC625" w14:textId="77777777" w:rsidR="00494456" w:rsidRPr="00995557" w:rsidRDefault="00230017" w:rsidP="00AA627A">
      <w:pPr>
        <w:pStyle w:val="Ttulo1"/>
        <w:keepNext w:val="0"/>
        <w:keepLines w:val="0"/>
        <w:widowControl w:val="0"/>
        <w:tabs>
          <w:tab w:val="left" w:pos="567"/>
        </w:tabs>
        <w:spacing w:before="0" w:after="0"/>
      </w:pPr>
      <w:bookmarkStart w:id="85" w:name="_Toc531172520"/>
      <w:bookmarkStart w:id="86" w:name="_Toc531162224"/>
      <w:bookmarkStart w:id="87" w:name="_Toc529790109"/>
      <w:bookmarkStart w:id="88" w:name="_Toc528937209"/>
      <w:bookmarkStart w:id="89" w:name="_Toc527465087"/>
      <w:bookmarkStart w:id="90" w:name="_Toc527464895"/>
      <w:bookmarkStart w:id="91" w:name="_Toc514063395"/>
      <w:bookmarkStart w:id="92" w:name="_Toc512498987"/>
      <w:bookmarkStart w:id="93" w:name="_Toc504661213"/>
      <w:bookmarkStart w:id="94" w:name="_Toc504656585"/>
      <w:bookmarkStart w:id="95" w:name="_Toc503594853"/>
      <w:bookmarkStart w:id="96" w:name="_Toc502891557"/>
      <w:bookmarkStart w:id="97" w:name="_Toc502023010"/>
      <w:bookmarkStart w:id="98" w:name="_Toc501802115"/>
      <w:bookmarkStart w:id="99" w:name="_Toc32394146"/>
      <w:bookmarkStart w:id="100" w:name="_Toc53741447"/>
      <w:bookmarkStart w:id="101" w:name="_Toc58399115"/>
      <w:bookmarkStart w:id="102" w:name="_Hlk38407217"/>
      <w:r w:rsidRPr="00995557">
        <w:t>VII</w:t>
      </w:r>
      <w:r w:rsidRPr="00995557">
        <w:br/>
        <w:t>HECHOS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995557">
        <w:t xml:space="preserve"> </w:t>
      </w:r>
    </w:p>
    <w:p w14:paraId="59BA3336" w14:textId="77777777" w:rsidR="00EB3B43" w:rsidRPr="00995557" w:rsidRDefault="00EB3B43" w:rsidP="00AA627A">
      <w:pPr>
        <w:widowControl w:val="0"/>
      </w:pPr>
    </w:p>
    <w:p w14:paraId="574B7A2E" w14:textId="5E3D7F68" w:rsidR="00B20475" w:rsidRPr="00995557" w:rsidRDefault="00346063" w:rsidP="00AA627A">
      <w:pPr>
        <w:pStyle w:val="Numberedparagraphs"/>
        <w:widowControl w:val="0"/>
        <w:numPr>
          <w:ilvl w:val="0"/>
          <w:numId w:val="2"/>
        </w:numPr>
        <w:tabs>
          <w:tab w:val="left" w:pos="567"/>
        </w:tabs>
        <w:ind w:left="0" w:firstLine="0"/>
        <w:rPr>
          <w:color w:val="FF0000"/>
        </w:rPr>
      </w:pPr>
      <w:r w:rsidRPr="00995557">
        <w:t>E</w:t>
      </w:r>
      <w:r w:rsidR="00494456" w:rsidRPr="00995557">
        <w:t xml:space="preserve">n orden a los fines anteriormente señalados </w:t>
      </w:r>
      <w:r w:rsidR="00494456" w:rsidRPr="00995557">
        <w:rPr>
          <w:color w:val="auto"/>
        </w:rPr>
        <w:t>(</w:t>
      </w:r>
      <w:r w:rsidR="00494456" w:rsidRPr="00995557">
        <w:rPr>
          <w:i/>
          <w:color w:val="auto"/>
        </w:rPr>
        <w:t>supra</w:t>
      </w:r>
      <w:r w:rsidR="00494456" w:rsidRPr="00995557">
        <w:rPr>
          <w:color w:val="auto"/>
        </w:rPr>
        <w:t xml:space="preserve"> párr. 3</w:t>
      </w:r>
      <w:r w:rsidR="00E61873" w:rsidRPr="00995557">
        <w:rPr>
          <w:color w:val="auto"/>
        </w:rPr>
        <w:t>8</w:t>
      </w:r>
      <w:r w:rsidR="00494456" w:rsidRPr="00995557">
        <w:rPr>
          <w:color w:val="auto"/>
        </w:rPr>
        <w:t>)</w:t>
      </w:r>
      <w:r w:rsidR="00494456" w:rsidRPr="00995557">
        <w:t>,</w:t>
      </w:r>
      <w:r w:rsidR="00230017" w:rsidRPr="00995557">
        <w:t xml:space="preserve"> </w:t>
      </w:r>
      <w:r w:rsidRPr="00995557">
        <w:rPr>
          <w:color w:val="auto"/>
        </w:rPr>
        <w:t xml:space="preserve">la Corte tiene por establecidos los hechos que a continuación serán </w:t>
      </w:r>
      <w:r w:rsidR="00C937C1" w:rsidRPr="00995557">
        <w:rPr>
          <w:color w:val="auto"/>
        </w:rPr>
        <w:t>precisados, los</w:t>
      </w:r>
      <w:r w:rsidR="001E44E8" w:rsidRPr="00995557">
        <w:rPr>
          <w:color w:val="auto"/>
        </w:rPr>
        <w:t xml:space="preserve"> que</w:t>
      </w:r>
      <w:r w:rsidR="00C937C1" w:rsidRPr="00995557">
        <w:rPr>
          <w:color w:val="auto"/>
        </w:rPr>
        <w:t xml:space="preserve"> se presentan confo</w:t>
      </w:r>
      <w:r w:rsidR="00FB458A" w:rsidRPr="00995557">
        <w:rPr>
          <w:color w:val="auto"/>
        </w:rPr>
        <w:t>r</w:t>
      </w:r>
      <w:r w:rsidR="00C937C1" w:rsidRPr="00995557">
        <w:rPr>
          <w:color w:val="auto"/>
        </w:rPr>
        <w:t xml:space="preserve">me </w:t>
      </w:r>
      <w:r w:rsidRPr="00995557">
        <w:rPr>
          <w:color w:val="auto"/>
        </w:rPr>
        <w:t>al</w:t>
      </w:r>
      <w:r w:rsidR="00C937C1" w:rsidRPr="00995557">
        <w:rPr>
          <w:color w:val="auto"/>
        </w:rPr>
        <w:t xml:space="preserve"> marco fáctico </w:t>
      </w:r>
      <w:r w:rsidR="001E59BA" w:rsidRPr="00995557">
        <w:rPr>
          <w:color w:val="auto"/>
        </w:rPr>
        <w:t>reconocido por el Estado</w:t>
      </w:r>
      <w:r w:rsidR="00EB16DC" w:rsidRPr="00995557">
        <w:rPr>
          <w:color w:val="auto"/>
        </w:rPr>
        <w:t xml:space="preserve"> y</w:t>
      </w:r>
      <w:r w:rsidR="001E59BA" w:rsidRPr="00995557">
        <w:rPr>
          <w:color w:val="auto"/>
        </w:rPr>
        <w:t xml:space="preserve"> </w:t>
      </w:r>
      <w:r w:rsidR="00C937C1" w:rsidRPr="00995557">
        <w:rPr>
          <w:color w:val="auto"/>
        </w:rPr>
        <w:t>contenido en el</w:t>
      </w:r>
      <w:r w:rsidRPr="00995557">
        <w:rPr>
          <w:color w:val="auto"/>
        </w:rPr>
        <w:t xml:space="preserve"> Informe de Fondo</w:t>
      </w:r>
      <w:r w:rsidR="001E59BA" w:rsidRPr="00995557">
        <w:rPr>
          <w:color w:val="auto"/>
        </w:rPr>
        <w:t xml:space="preserve"> </w:t>
      </w:r>
      <w:r w:rsidR="00FB458A" w:rsidRPr="00995557">
        <w:rPr>
          <w:color w:val="auto"/>
        </w:rPr>
        <w:t>(</w:t>
      </w:r>
      <w:r w:rsidR="00FB458A" w:rsidRPr="00995557">
        <w:rPr>
          <w:i/>
          <w:color w:val="auto"/>
        </w:rPr>
        <w:t>supra</w:t>
      </w:r>
      <w:r w:rsidR="00FB458A" w:rsidRPr="00995557">
        <w:rPr>
          <w:color w:val="auto"/>
        </w:rPr>
        <w:t xml:space="preserve"> párr. </w:t>
      </w:r>
      <w:r w:rsidR="008B111A" w:rsidRPr="00995557">
        <w:rPr>
          <w:color w:val="auto"/>
        </w:rPr>
        <w:t>31</w:t>
      </w:r>
      <w:r w:rsidR="00FB458A" w:rsidRPr="00995557">
        <w:rPr>
          <w:color w:val="auto"/>
        </w:rPr>
        <w:t xml:space="preserve">). En tal sentido, los hechos serán expuestos en el </w:t>
      </w:r>
      <w:r w:rsidR="004B686B" w:rsidRPr="00995557">
        <w:t xml:space="preserve">orden siguiente: </w:t>
      </w:r>
      <w:r w:rsidR="004B686B" w:rsidRPr="00995557">
        <w:rPr>
          <w:color w:val="auto"/>
        </w:rPr>
        <w:t>a) la cárcel de Vista Hermosa y los días previos al 10 de noviembre de 2003</w:t>
      </w:r>
      <w:r w:rsidR="00D207CB" w:rsidRPr="00995557">
        <w:rPr>
          <w:color w:val="auto"/>
        </w:rPr>
        <w:t>; b) operativo efectuado por la Guardia Nacional el 10 de noviembre de 2003;</w:t>
      </w:r>
      <w:r w:rsidR="00D21F54" w:rsidRPr="00995557">
        <w:rPr>
          <w:color w:val="auto"/>
        </w:rPr>
        <w:t xml:space="preserve"> b.1) </w:t>
      </w:r>
      <w:r w:rsidR="00A56EE7" w:rsidRPr="00995557">
        <w:rPr>
          <w:color w:val="auto"/>
        </w:rPr>
        <w:t xml:space="preserve">personas privadas de libertad fallecidas y lesionadas; </w:t>
      </w:r>
      <w:r w:rsidR="003F3EB2" w:rsidRPr="00995557">
        <w:rPr>
          <w:color w:val="auto"/>
        </w:rPr>
        <w:t>c) investigaci</w:t>
      </w:r>
      <w:r w:rsidR="00B20475" w:rsidRPr="00995557">
        <w:rPr>
          <w:color w:val="auto"/>
        </w:rPr>
        <w:t>ó</w:t>
      </w:r>
      <w:r w:rsidR="003F3EB2" w:rsidRPr="00995557">
        <w:rPr>
          <w:color w:val="auto"/>
        </w:rPr>
        <w:t>n y proceso judicial ante la jurisdicción interna; c.1) investigación de los hechos;</w:t>
      </w:r>
      <w:r w:rsidR="006E1232" w:rsidRPr="00995557">
        <w:rPr>
          <w:color w:val="auto"/>
        </w:rPr>
        <w:t xml:space="preserve"> c.2) autopsias y exhumaciones de los cadáveres</w:t>
      </w:r>
      <w:r w:rsidR="00B20475" w:rsidRPr="00995557">
        <w:rPr>
          <w:color w:val="auto"/>
        </w:rPr>
        <w:t>, y</w:t>
      </w:r>
      <w:r w:rsidR="006E1232" w:rsidRPr="00995557">
        <w:rPr>
          <w:color w:val="auto"/>
        </w:rPr>
        <w:t xml:space="preserve"> </w:t>
      </w:r>
      <w:r w:rsidR="00B20475" w:rsidRPr="00995557">
        <w:rPr>
          <w:color w:val="auto"/>
        </w:rPr>
        <w:t>c.3) proceso judicial.</w:t>
      </w:r>
    </w:p>
    <w:p w14:paraId="059B0F35" w14:textId="77777777" w:rsidR="004B686B" w:rsidRPr="00995557" w:rsidRDefault="004B686B" w:rsidP="00AA627A">
      <w:pPr>
        <w:pStyle w:val="Numberedparagraphs"/>
        <w:widowControl w:val="0"/>
        <w:numPr>
          <w:ilvl w:val="0"/>
          <w:numId w:val="0"/>
        </w:numPr>
        <w:tabs>
          <w:tab w:val="left" w:pos="567"/>
        </w:tabs>
        <w:rPr>
          <w:color w:val="C00000"/>
        </w:rPr>
      </w:pPr>
    </w:p>
    <w:p w14:paraId="28A30539" w14:textId="77777777" w:rsidR="006F2120" w:rsidRPr="00995557" w:rsidRDefault="006F2120" w:rsidP="00AA627A">
      <w:pPr>
        <w:pStyle w:val="Ttulo2"/>
        <w:widowControl w:val="0"/>
        <w:numPr>
          <w:ilvl w:val="0"/>
          <w:numId w:val="0"/>
        </w:numPr>
        <w:tabs>
          <w:tab w:val="left" w:pos="567"/>
        </w:tabs>
        <w:spacing w:before="0" w:after="0"/>
        <w:ind w:left="567"/>
        <w:rPr>
          <w:color w:val="000000" w:themeColor="text1"/>
        </w:rPr>
      </w:pPr>
      <w:bookmarkStart w:id="103" w:name="_Toc481148816"/>
      <w:bookmarkStart w:id="104" w:name="_Toc53741448"/>
      <w:bookmarkStart w:id="105" w:name="_Toc58399116"/>
      <w:r w:rsidRPr="00995557">
        <w:rPr>
          <w:color w:val="000000" w:themeColor="text1"/>
        </w:rPr>
        <w:t xml:space="preserve">A. </w:t>
      </w:r>
      <w:bookmarkEnd w:id="103"/>
      <w:r w:rsidR="004B686B" w:rsidRPr="00995557">
        <w:rPr>
          <w:color w:val="000000" w:themeColor="text1"/>
        </w:rPr>
        <w:t>La cárcel de Vista Hermosa y l</w:t>
      </w:r>
      <w:r w:rsidR="000C357C" w:rsidRPr="00995557">
        <w:rPr>
          <w:color w:val="000000" w:themeColor="text1"/>
        </w:rPr>
        <w:t>os d</w:t>
      </w:r>
      <w:r w:rsidR="007D2FA1" w:rsidRPr="00995557">
        <w:rPr>
          <w:color w:val="000000" w:themeColor="text1"/>
        </w:rPr>
        <w:t>ías previos al 10 de noviembre de 2003</w:t>
      </w:r>
      <w:bookmarkEnd w:id="104"/>
      <w:bookmarkEnd w:id="105"/>
    </w:p>
    <w:p w14:paraId="110C328D" w14:textId="77777777" w:rsidR="00FC3A03" w:rsidRPr="00995557" w:rsidRDefault="00982CFE" w:rsidP="00AA627A">
      <w:pPr>
        <w:widowControl w:val="0"/>
        <w:tabs>
          <w:tab w:val="left" w:pos="567"/>
        </w:tabs>
        <w:rPr>
          <w:color w:val="000000" w:themeColor="text1"/>
          <w:lang w:eastAsia="es-MX"/>
        </w:rPr>
      </w:pPr>
      <w:r w:rsidRPr="00995557">
        <w:rPr>
          <w:color w:val="000000" w:themeColor="text1"/>
          <w:lang w:eastAsia="es-MX"/>
        </w:rPr>
        <w:tab/>
      </w:r>
    </w:p>
    <w:p w14:paraId="1BFC12B5" w14:textId="77777777" w:rsidR="004E1055" w:rsidRPr="00995557" w:rsidRDefault="004F4051" w:rsidP="00AA627A">
      <w:pPr>
        <w:pStyle w:val="Prrafodelista"/>
        <w:widowControl w:val="0"/>
        <w:numPr>
          <w:ilvl w:val="0"/>
          <w:numId w:val="2"/>
        </w:numPr>
        <w:tabs>
          <w:tab w:val="left" w:pos="567"/>
        </w:tabs>
        <w:ind w:left="0" w:firstLine="0"/>
        <w:jc w:val="both"/>
        <w:rPr>
          <w:color w:val="000000" w:themeColor="text1"/>
        </w:rPr>
      </w:pPr>
      <w:r w:rsidRPr="00995557">
        <w:rPr>
          <w:color w:val="000000" w:themeColor="text1"/>
        </w:rPr>
        <w:t>E</w:t>
      </w:r>
      <w:r w:rsidR="0030347B" w:rsidRPr="00995557">
        <w:rPr>
          <w:color w:val="000000" w:themeColor="text1"/>
        </w:rPr>
        <w:t>l</w:t>
      </w:r>
      <w:r w:rsidR="007D2FA1" w:rsidRPr="00995557">
        <w:rPr>
          <w:color w:val="000000" w:themeColor="text1"/>
        </w:rPr>
        <w:t xml:space="preserve"> </w:t>
      </w:r>
      <w:r w:rsidR="0030347B" w:rsidRPr="00995557">
        <w:rPr>
          <w:color w:val="000000" w:themeColor="text1"/>
        </w:rPr>
        <w:t xml:space="preserve">Internado Judicial de Ciudad Bolívar, </w:t>
      </w:r>
      <w:r w:rsidRPr="00995557">
        <w:rPr>
          <w:color w:val="000000" w:themeColor="text1"/>
        </w:rPr>
        <w:t>conocido como cárcel de Vista Hermosa, se ubica en la Urbanización Vista Hermosa de dicha ciudad, Estado Bolívar, Venezuela</w:t>
      </w:r>
      <w:r w:rsidRPr="00995557">
        <w:rPr>
          <w:rStyle w:val="Refdenotaalpie"/>
          <w:color w:val="000000" w:themeColor="text1"/>
        </w:rPr>
        <w:footnoteReference w:id="44"/>
      </w:r>
      <w:r w:rsidR="00C746E7" w:rsidRPr="00995557">
        <w:rPr>
          <w:color w:val="000000" w:themeColor="text1"/>
        </w:rPr>
        <w:t>.</w:t>
      </w:r>
    </w:p>
    <w:p w14:paraId="3066682C" w14:textId="77777777" w:rsidR="00050516" w:rsidRPr="00995557" w:rsidRDefault="00050516" w:rsidP="00AA627A">
      <w:pPr>
        <w:pStyle w:val="Prrafodelista"/>
        <w:widowControl w:val="0"/>
        <w:tabs>
          <w:tab w:val="left" w:pos="567"/>
        </w:tabs>
        <w:ind w:left="0"/>
        <w:jc w:val="both"/>
        <w:rPr>
          <w:color w:val="000000" w:themeColor="text1"/>
        </w:rPr>
      </w:pPr>
    </w:p>
    <w:p w14:paraId="63B71F39" w14:textId="77777777" w:rsidR="00FF0B72" w:rsidRPr="00995557" w:rsidRDefault="00746FCE" w:rsidP="00AA627A">
      <w:pPr>
        <w:pStyle w:val="Prrafodelista"/>
        <w:widowControl w:val="0"/>
        <w:numPr>
          <w:ilvl w:val="0"/>
          <w:numId w:val="2"/>
        </w:numPr>
        <w:tabs>
          <w:tab w:val="left" w:pos="567"/>
        </w:tabs>
        <w:ind w:left="0" w:firstLine="0"/>
        <w:jc w:val="both"/>
        <w:rPr>
          <w:color w:val="000000" w:themeColor="text1"/>
        </w:rPr>
      </w:pPr>
      <w:r w:rsidRPr="00995557">
        <w:t>D</w:t>
      </w:r>
      <w:r w:rsidR="00252478" w:rsidRPr="00995557">
        <w:rPr>
          <w:color w:val="000000" w:themeColor="text1"/>
        </w:rPr>
        <w:t>urante el mes de</w:t>
      </w:r>
      <w:r w:rsidR="004F4051" w:rsidRPr="00995557">
        <w:rPr>
          <w:color w:val="000000" w:themeColor="text1"/>
        </w:rPr>
        <w:t xml:space="preserve"> octubre de 2003, </w:t>
      </w:r>
      <w:r w:rsidR="00252478" w:rsidRPr="00995557">
        <w:rPr>
          <w:color w:val="000000" w:themeColor="text1"/>
        </w:rPr>
        <w:t>personas privadas de libertad</w:t>
      </w:r>
      <w:r w:rsidR="004F4051" w:rsidRPr="00995557">
        <w:rPr>
          <w:color w:val="000000" w:themeColor="text1"/>
        </w:rPr>
        <w:t xml:space="preserve"> en dich</w:t>
      </w:r>
      <w:r w:rsidR="00181ABD" w:rsidRPr="00995557">
        <w:rPr>
          <w:color w:val="000000" w:themeColor="text1"/>
        </w:rPr>
        <w:t>a</w:t>
      </w:r>
      <w:r w:rsidR="004F4051" w:rsidRPr="00995557">
        <w:rPr>
          <w:color w:val="000000" w:themeColor="text1"/>
        </w:rPr>
        <w:t xml:space="preserve"> </w:t>
      </w:r>
      <w:r w:rsidR="00181ABD" w:rsidRPr="00995557">
        <w:rPr>
          <w:color w:val="000000" w:themeColor="text1"/>
        </w:rPr>
        <w:t>cárcel</w:t>
      </w:r>
      <w:r w:rsidR="004F4051" w:rsidRPr="00995557">
        <w:rPr>
          <w:color w:val="000000" w:themeColor="text1"/>
        </w:rPr>
        <w:t xml:space="preserve"> realizaron</w:t>
      </w:r>
      <w:r w:rsidR="00FC3A03" w:rsidRPr="00995557">
        <w:rPr>
          <w:color w:val="000000" w:themeColor="text1"/>
        </w:rPr>
        <w:t xml:space="preserve"> una protesta (referida como “huelga” o “autosecuestro”)</w:t>
      </w:r>
      <w:r w:rsidR="001B5A11" w:rsidRPr="00995557">
        <w:rPr>
          <w:color w:val="000000" w:themeColor="text1"/>
        </w:rPr>
        <w:t xml:space="preserve"> </w:t>
      </w:r>
      <w:r w:rsidR="00126143" w:rsidRPr="00995557">
        <w:rPr>
          <w:color w:val="000000" w:themeColor="text1"/>
        </w:rPr>
        <w:t>con apoyo de sus familiares</w:t>
      </w:r>
      <w:r w:rsidR="0005417E" w:rsidRPr="00995557">
        <w:rPr>
          <w:rStyle w:val="Refdenotaalpie"/>
          <w:color w:val="000000" w:themeColor="text1"/>
        </w:rPr>
        <w:footnoteReference w:id="45"/>
      </w:r>
      <w:r w:rsidR="00D27A1C" w:rsidRPr="00995557">
        <w:rPr>
          <w:color w:val="000000" w:themeColor="text1"/>
        </w:rPr>
        <w:t>.</w:t>
      </w:r>
      <w:r w:rsidR="00FB44B5" w:rsidRPr="00995557">
        <w:rPr>
          <w:color w:val="000000" w:themeColor="text1"/>
        </w:rPr>
        <w:t xml:space="preserve"> </w:t>
      </w:r>
      <w:r w:rsidR="00252478" w:rsidRPr="00995557">
        <w:rPr>
          <w:color w:val="000000" w:themeColor="text1"/>
        </w:rPr>
        <w:t>En</w:t>
      </w:r>
      <w:r w:rsidR="00FB44B5" w:rsidRPr="00995557">
        <w:rPr>
          <w:color w:val="000000" w:themeColor="text1"/>
        </w:rPr>
        <w:t xml:space="preserve"> la</w:t>
      </w:r>
      <w:r w:rsidR="00FC3A03" w:rsidRPr="00995557">
        <w:rPr>
          <w:color w:val="000000" w:themeColor="text1"/>
        </w:rPr>
        <w:t xml:space="preserve"> </w:t>
      </w:r>
      <w:r w:rsidR="002942D7" w:rsidRPr="00995557">
        <w:rPr>
          <w:color w:val="000000" w:themeColor="text1"/>
        </w:rPr>
        <w:t>protesta</w:t>
      </w:r>
      <w:r w:rsidR="00FC3A03" w:rsidRPr="00995557">
        <w:rPr>
          <w:color w:val="000000" w:themeColor="text1"/>
        </w:rPr>
        <w:t xml:space="preserve"> </w:t>
      </w:r>
      <w:r w:rsidR="00D27A1C" w:rsidRPr="00995557">
        <w:rPr>
          <w:color w:val="000000" w:themeColor="text1"/>
        </w:rPr>
        <w:t>se identificó como vocero a José Gregorio Bolívar Corro, apodado “Goyo”, y</w:t>
      </w:r>
      <w:r w:rsidR="00DD0297" w:rsidRPr="00995557">
        <w:rPr>
          <w:color w:val="000000" w:themeColor="text1"/>
        </w:rPr>
        <w:t xml:space="preserve"> </w:t>
      </w:r>
      <w:r w:rsidR="00DD0297" w:rsidRPr="00995557">
        <w:t>dentro de los</w:t>
      </w:r>
      <w:r w:rsidR="00D27A1C" w:rsidRPr="00995557">
        <w:t xml:space="preserve"> </w:t>
      </w:r>
      <w:r w:rsidR="00FC3A03" w:rsidRPr="00995557">
        <w:t>líderes</w:t>
      </w:r>
      <w:r w:rsidR="00B87FCC" w:rsidRPr="00995557">
        <w:t xml:space="preserve"> a</w:t>
      </w:r>
      <w:r w:rsidR="008B111A" w:rsidRPr="00995557">
        <w:t xml:space="preserve"> Orlando Edgardo Olivares Muñoz y</w:t>
      </w:r>
      <w:r w:rsidR="00FC3A03" w:rsidRPr="00995557">
        <w:rPr>
          <w:color w:val="000000" w:themeColor="text1"/>
        </w:rPr>
        <w:t xml:space="preserve"> Pedro Ramón López Chau</w:t>
      </w:r>
      <w:r w:rsidR="002942D7" w:rsidRPr="00995557">
        <w:rPr>
          <w:color w:val="000000" w:themeColor="text1"/>
        </w:rPr>
        <w:t>rán</w:t>
      </w:r>
      <w:r w:rsidR="00EB0AEB" w:rsidRPr="00995557">
        <w:rPr>
          <w:rStyle w:val="Refdenotaalpie"/>
          <w:color w:val="000000" w:themeColor="text1"/>
        </w:rPr>
        <w:footnoteReference w:id="46"/>
      </w:r>
      <w:r w:rsidR="00FC3A03" w:rsidRPr="00995557">
        <w:rPr>
          <w:color w:val="000000" w:themeColor="text1"/>
        </w:rPr>
        <w:t>.</w:t>
      </w:r>
      <w:r w:rsidR="0000402C" w:rsidRPr="00995557">
        <w:rPr>
          <w:color w:val="000000" w:themeColor="text1"/>
        </w:rPr>
        <w:t xml:space="preserve"> </w:t>
      </w:r>
      <w:r w:rsidR="00741332" w:rsidRPr="00995557">
        <w:rPr>
          <w:color w:val="000000" w:themeColor="text1"/>
        </w:rPr>
        <w:t>Como parte</w:t>
      </w:r>
      <w:r w:rsidR="007D2FA1" w:rsidRPr="00995557">
        <w:rPr>
          <w:color w:val="000000" w:themeColor="text1"/>
        </w:rPr>
        <w:t xml:space="preserve"> de </w:t>
      </w:r>
      <w:r w:rsidR="00252478" w:rsidRPr="00995557">
        <w:rPr>
          <w:color w:val="000000" w:themeColor="text1"/>
        </w:rPr>
        <w:t>sus</w:t>
      </w:r>
      <w:r w:rsidR="007D2FA1" w:rsidRPr="00995557">
        <w:rPr>
          <w:color w:val="000000" w:themeColor="text1"/>
        </w:rPr>
        <w:t xml:space="preserve"> demandas</w:t>
      </w:r>
      <w:r w:rsidR="0095592E" w:rsidRPr="00995557">
        <w:rPr>
          <w:color w:val="000000" w:themeColor="text1"/>
        </w:rPr>
        <w:t>,</w:t>
      </w:r>
      <w:r w:rsidR="007D2FA1" w:rsidRPr="00995557">
        <w:rPr>
          <w:color w:val="000000" w:themeColor="text1"/>
        </w:rPr>
        <w:t xml:space="preserve"> </w:t>
      </w:r>
      <w:r w:rsidR="0095592E" w:rsidRPr="00995557">
        <w:rPr>
          <w:color w:val="000000" w:themeColor="text1"/>
        </w:rPr>
        <w:t>los internos exigieron</w:t>
      </w:r>
      <w:r w:rsidR="0043057A" w:rsidRPr="00995557">
        <w:rPr>
          <w:color w:val="000000" w:themeColor="text1"/>
        </w:rPr>
        <w:t xml:space="preserve"> </w:t>
      </w:r>
      <w:r w:rsidR="007B6065" w:rsidRPr="00995557">
        <w:rPr>
          <w:color w:val="000000" w:themeColor="text1"/>
        </w:rPr>
        <w:t xml:space="preserve">mejoras en las condiciones de la cárcel y </w:t>
      </w:r>
      <w:r w:rsidR="0043057A" w:rsidRPr="00995557">
        <w:rPr>
          <w:color w:val="000000" w:themeColor="text1"/>
        </w:rPr>
        <w:t>el retiro de un</w:t>
      </w:r>
      <w:r w:rsidR="00B87FCC" w:rsidRPr="00995557">
        <w:rPr>
          <w:color w:val="000000" w:themeColor="text1"/>
        </w:rPr>
        <w:t xml:space="preserve"> miembro</w:t>
      </w:r>
      <w:r w:rsidR="0043057A" w:rsidRPr="00995557">
        <w:rPr>
          <w:color w:val="000000" w:themeColor="text1"/>
        </w:rPr>
        <w:t xml:space="preserve"> de la Guardia Nacional</w:t>
      </w:r>
      <w:r w:rsidR="007976BC" w:rsidRPr="00995557">
        <w:rPr>
          <w:color w:val="000000" w:themeColor="text1"/>
        </w:rPr>
        <w:t xml:space="preserve">, </w:t>
      </w:r>
      <w:r w:rsidR="002A3664" w:rsidRPr="00995557">
        <w:rPr>
          <w:color w:val="000000" w:themeColor="text1"/>
        </w:rPr>
        <w:t>cuerpo de naturaleza militar que forma</w:t>
      </w:r>
      <w:r w:rsidR="006E1232" w:rsidRPr="00995557">
        <w:rPr>
          <w:color w:val="000000" w:themeColor="text1"/>
        </w:rPr>
        <w:t xml:space="preserve"> parte de</w:t>
      </w:r>
      <w:r w:rsidR="002A3664" w:rsidRPr="00995557">
        <w:rPr>
          <w:color w:val="000000" w:themeColor="text1"/>
        </w:rPr>
        <w:t xml:space="preserve"> la Fuerza Armada Nacional </w:t>
      </w:r>
      <w:r w:rsidR="006F60A0" w:rsidRPr="00995557">
        <w:rPr>
          <w:color w:val="000000" w:themeColor="text1"/>
        </w:rPr>
        <w:t>de Venezuela</w:t>
      </w:r>
      <w:r w:rsidR="007976BC" w:rsidRPr="00995557">
        <w:rPr>
          <w:rStyle w:val="Refdenotaalpie"/>
          <w:color w:val="000000" w:themeColor="text1"/>
        </w:rPr>
        <w:footnoteReference w:id="47"/>
      </w:r>
      <w:r w:rsidR="002A3664" w:rsidRPr="00995557">
        <w:rPr>
          <w:color w:val="000000" w:themeColor="text1"/>
        </w:rPr>
        <w:t xml:space="preserve">, </w:t>
      </w:r>
      <w:r w:rsidR="00893A9C" w:rsidRPr="00995557">
        <w:rPr>
          <w:color w:val="000000" w:themeColor="text1"/>
        </w:rPr>
        <w:t>asignado a dicho centro</w:t>
      </w:r>
      <w:r w:rsidR="00D04D38" w:rsidRPr="00995557">
        <w:rPr>
          <w:color w:val="000000" w:themeColor="text1"/>
        </w:rPr>
        <w:t xml:space="preserve"> penitenciario</w:t>
      </w:r>
      <w:r w:rsidR="00126143" w:rsidRPr="00995557">
        <w:rPr>
          <w:rStyle w:val="Refdenotaalpie"/>
          <w:color w:val="000000" w:themeColor="text1"/>
        </w:rPr>
        <w:footnoteReference w:id="48"/>
      </w:r>
      <w:r w:rsidR="00126143" w:rsidRPr="00995557">
        <w:rPr>
          <w:color w:val="000000" w:themeColor="text1"/>
        </w:rPr>
        <w:t>.</w:t>
      </w:r>
    </w:p>
    <w:p w14:paraId="0335B33D" w14:textId="77777777" w:rsidR="00126143" w:rsidRPr="00995557" w:rsidRDefault="00126143" w:rsidP="00AA627A">
      <w:pPr>
        <w:pStyle w:val="Prrafodelista"/>
        <w:widowControl w:val="0"/>
        <w:tabs>
          <w:tab w:val="left" w:pos="567"/>
        </w:tabs>
        <w:rPr>
          <w:color w:val="000000" w:themeColor="text1"/>
        </w:rPr>
      </w:pPr>
    </w:p>
    <w:p w14:paraId="3E29E35B" w14:textId="77777777" w:rsidR="00126143" w:rsidRPr="00995557" w:rsidRDefault="00126143" w:rsidP="00AA627A">
      <w:pPr>
        <w:pStyle w:val="Prrafodelista"/>
        <w:widowControl w:val="0"/>
        <w:numPr>
          <w:ilvl w:val="0"/>
          <w:numId w:val="2"/>
        </w:numPr>
        <w:tabs>
          <w:tab w:val="left" w:pos="567"/>
        </w:tabs>
        <w:ind w:left="0" w:firstLine="0"/>
        <w:jc w:val="both"/>
        <w:rPr>
          <w:color w:val="000000" w:themeColor="text1"/>
        </w:rPr>
      </w:pPr>
      <w:r w:rsidRPr="00995557">
        <w:rPr>
          <w:color w:val="000000" w:themeColor="text1"/>
        </w:rPr>
        <w:t xml:space="preserve">Personas privadas de libertad en la cárcel afirmaron </w:t>
      </w:r>
      <w:proofErr w:type="gramStart"/>
      <w:r w:rsidRPr="00995557">
        <w:rPr>
          <w:color w:val="000000" w:themeColor="text1"/>
        </w:rPr>
        <w:t>que</w:t>
      </w:r>
      <w:proofErr w:type="gramEnd"/>
      <w:r w:rsidRPr="00995557">
        <w:rPr>
          <w:color w:val="000000" w:themeColor="text1"/>
        </w:rPr>
        <w:t xml:space="preserve"> </w:t>
      </w:r>
      <w:r w:rsidR="00D04D38" w:rsidRPr="00995557">
        <w:rPr>
          <w:color w:val="000000" w:themeColor="text1"/>
        </w:rPr>
        <w:t xml:space="preserve">en los días previos al 10 de </w:t>
      </w:r>
      <w:r w:rsidR="00D04D38" w:rsidRPr="00995557">
        <w:rPr>
          <w:color w:val="000000" w:themeColor="text1"/>
        </w:rPr>
        <w:lastRenderedPageBreak/>
        <w:t>noviembre de 2003</w:t>
      </w:r>
      <w:r w:rsidR="00B26FEE" w:rsidRPr="00995557">
        <w:rPr>
          <w:color w:val="000000" w:themeColor="text1"/>
        </w:rPr>
        <w:t>,</w:t>
      </w:r>
      <w:r w:rsidR="00D04D38" w:rsidRPr="00995557">
        <w:rPr>
          <w:color w:val="000000" w:themeColor="text1"/>
        </w:rPr>
        <w:t xml:space="preserve"> agentes de la Guardia Nacional</w:t>
      </w:r>
      <w:r w:rsidR="00B26FEE" w:rsidRPr="00995557">
        <w:rPr>
          <w:color w:val="000000" w:themeColor="text1"/>
        </w:rPr>
        <w:t xml:space="preserve"> cometieron actos de violencia en su contra</w:t>
      </w:r>
      <w:r w:rsidR="00D04D38" w:rsidRPr="00995557">
        <w:rPr>
          <w:rStyle w:val="Refdenotaalpie"/>
          <w:color w:val="000000" w:themeColor="text1"/>
        </w:rPr>
        <w:footnoteReference w:id="49"/>
      </w:r>
      <w:r w:rsidR="00D04D38" w:rsidRPr="00995557">
        <w:rPr>
          <w:color w:val="000000" w:themeColor="text1"/>
        </w:rPr>
        <w:t>.</w:t>
      </w:r>
    </w:p>
    <w:p w14:paraId="6803FCBD" w14:textId="77777777" w:rsidR="006E1232" w:rsidRPr="00995557" w:rsidRDefault="006E1232" w:rsidP="00AA627A">
      <w:pPr>
        <w:pStyle w:val="Prrafodelista"/>
        <w:widowControl w:val="0"/>
        <w:tabs>
          <w:tab w:val="left" w:pos="567"/>
        </w:tabs>
        <w:ind w:left="0"/>
        <w:jc w:val="both"/>
        <w:rPr>
          <w:color w:val="000000" w:themeColor="text1"/>
        </w:rPr>
      </w:pPr>
    </w:p>
    <w:p w14:paraId="7C03D7F7" w14:textId="77777777" w:rsidR="001B5A11" w:rsidRPr="00995557" w:rsidRDefault="001B5A11" w:rsidP="00AA627A">
      <w:pPr>
        <w:pStyle w:val="Ttulo2"/>
        <w:widowControl w:val="0"/>
        <w:numPr>
          <w:ilvl w:val="0"/>
          <w:numId w:val="0"/>
        </w:numPr>
        <w:tabs>
          <w:tab w:val="left" w:pos="567"/>
        </w:tabs>
        <w:spacing w:before="0" w:after="0"/>
        <w:ind w:left="567"/>
        <w:rPr>
          <w:i w:val="0"/>
        </w:rPr>
      </w:pPr>
      <w:bookmarkStart w:id="106" w:name="_Toc53741449"/>
      <w:bookmarkStart w:id="107" w:name="_Toc58399117"/>
      <w:r w:rsidRPr="00995557">
        <w:t xml:space="preserve">B. </w:t>
      </w:r>
      <w:r w:rsidR="00065E02" w:rsidRPr="00995557">
        <w:t xml:space="preserve">Operativo efectuado por la Guardia Nacional </w:t>
      </w:r>
      <w:r w:rsidR="009532AD" w:rsidRPr="00995557">
        <w:t>el</w:t>
      </w:r>
      <w:r w:rsidRPr="00995557">
        <w:t xml:space="preserve"> 10 de noviembre de 2003</w:t>
      </w:r>
      <w:bookmarkEnd w:id="106"/>
      <w:bookmarkEnd w:id="107"/>
    </w:p>
    <w:p w14:paraId="3A8121DB" w14:textId="77777777" w:rsidR="001B5A11" w:rsidRPr="00995557" w:rsidRDefault="001B5A11" w:rsidP="00AA627A">
      <w:pPr>
        <w:pStyle w:val="Prrafodelista"/>
        <w:widowControl w:val="0"/>
        <w:tabs>
          <w:tab w:val="left" w:pos="567"/>
        </w:tabs>
        <w:ind w:left="0"/>
        <w:jc w:val="both"/>
      </w:pPr>
    </w:p>
    <w:p w14:paraId="06FCA39B" w14:textId="77777777" w:rsidR="001F317F" w:rsidRPr="00995557" w:rsidRDefault="00FC3A03" w:rsidP="00AA627A">
      <w:pPr>
        <w:pStyle w:val="Prrafodelista"/>
        <w:widowControl w:val="0"/>
        <w:numPr>
          <w:ilvl w:val="0"/>
          <w:numId w:val="2"/>
        </w:numPr>
        <w:tabs>
          <w:tab w:val="left" w:pos="567"/>
        </w:tabs>
        <w:ind w:left="0" w:firstLine="0"/>
        <w:jc w:val="both"/>
      </w:pPr>
      <w:r w:rsidRPr="00995557">
        <w:t>El 10 de noviembre de 2003</w:t>
      </w:r>
      <w:r w:rsidR="00871F20" w:rsidRPr="00995557">
        <w:rPr>
          <w:color w:val="000000" w:themeColor="text1"/>
        </w:rPr>
        <w:t xml:space="preserve"> el centro penitenciario se encontraba intervenido por una junta evaluadora cuyo objetivo era identificar carencias y </w:t>
      </w:r>
      <w:r w:rsidR="00EA0418" w:rsidRPr="00995557">
        <w:rPr>
          <w:color w:val="000000" w:themeColor="text1"/>
        </w:rPr>
        <w:t xml:space="preserve">brindar </w:t>
      </w:r>
      <w:r w:rsidR="00871F20" w:rsidRPr="00995557">
        <w:rPr>
          <w:color w:val="000000" w:themeColor="text1"/>
        </w:rPr>
        <w:t>solucion</w:t>
      </w:r>
      <w:r w:rsidR="00EA0418" w:rsidRPr="00995557">
        <w:rPr>
          <w:color w:val="000000" w:themeColor="text1"/>
        </w:rPr>
        <w:t>es a</w:t>
      </w:r>
      <w:r w:rsidR="00871F20" w:rsidRPr="00995557">
        <w:rPr>
          <w:color w:val="000000" w:themeColor="text1"/>
        </w:rPr>
        <w:t xml:space="preserve"> </w:t>
      </w:r>
      <w:r w:rsidR="00EA0418" w:rsidRPr="00995557">
        <w:rPr>
          <w:color w:val="000000" w:themeColor="text1"/>
        </w:rPr>
        <w:t>las problemáticas de la cárcel</w:t>
      </w:r>
      <w:r w:rsidR="00EA0418" w:rsidRPr="00995557">
        <w:rPr>
          <w:rStyle w:val="Refdenotaalpie"/>
          <w:color w:val="000000" w:themeColor="text1"/>
        </w:rPr>
        <w:footnoteReference w:id="50"/>
      </w:r>
      <w:r w:rsidR="00EA0418" w:rsidRPr="00995557">
        <w:rPr>
          <w:color w:val="000000" w:themeColor="text1"/>
        </w:rPr>
        <w:t>.</w:t>
      </w:r>
    </w:p>
    <w:p w14:paraId="251D2B01" w14:textId="77777777" w:rsidR="000C357C" w:rsidRPr="00995557" w:rsidRDefault="000C357C" w:rsidP="00AA627A">
      <w:pPr>
        <w:pStyle w:val="Prrafodelista"/>
        <w:widowControl w:val="0"/>
        <w:tabs>
          <w:tab w:val="left" w:pos="567"/>
        </w:tabs>
        <w:ind w:left="0"/>
        <w:jc w:val="both"/>
      </w:pPr>
    </w:p>
    <w:p w14:paraId="6B0799F4" w14:textId="77777777" w:rsidR="00E569A0" w:rsidRPr="00995557" w:rsidRDefault="000C357C" w:rsidP="00AA627A">
      <w:pPr>
        <w:pStyle w:val="Prrafodelista"/>
        <w:widowControl w:val="0"/>
        <w:numPr>
          <w:ilvl w:val="0"/>
          <w:numId w:val="2"/>
        </w:numPr>
        <w:tabs>
          <w:tab w:val="left" w:pos="567"/>
        </w:tabs>
        <w:autoSpaceDE w:val="0"/>
        <w:autoSpaceDN w:val="0"/>
        <w:adjustRightInd w:val="0"/>
        <w:ind w:left="0" w:firstLine="0"/>
        <w:jc w:val="both"/>
        <w:rPr>
          <w:b/>
        </w:rPr>
      </w:pPr>
      <w:r w:rsidRPr="00995557">
        <w:t>E</w:t>
      </w:r>
      <w:r w:rsidR="007D5EAA" w:rsidRPr="00995557">
        <w:t xml:space="preserve">ntre </w:t>
      </w:r>
      <w:r w:rsidR="00996770" w:rsidRPr="00995557">
        <w:t xml:space="preserve">las </w:t>
      </w:r>
      <w:r w:rsidR="007D5EAA" w:rsidRPr="00995557">
        <w:t xml:space="preserve">7:00 y 7:30 horas, </w:t>
      </w:r>
      <w:r w:rsidR="00996770" w:rsidRPr="00995557">
        <w:t xml:space="preserve">aproximadamente, </w:t>
      </w:r>
      <w:r w:rsidR="00E92CFF" w:rsidRPr="00995557">
        <w:t>miembros de la Guardia Nacional, adscritos al Destacamento 81, ingresaron al centro penitenciario</w:t>
      </w:r>
      <w:r w:rsidRPr="00995557">
        <w:rPr>
          <w:rStyle w:val="Refdenotaalpie"/>
        </w:rPr>
        <w:footnoteReference w:id="51"/>
      </w:r>
      <w:r w:rsidR="00E92CFF" w:rsidRPr="00995557">
        <w:t xml:space="preserve">. </w:t>
      </w:r>
      <w:r w:rsidR="00E569A0" w:rsidRPr="00995557">
        <w:t xml:space="preserve">En </w:t>
      </w:r>
      <w:r w:rsidR="00746FCE" w:rsidRPr="00995557">
        <w:t>su</w:t>
      </w:r>
      <w:r w:rsidR="00E569A0" w:rsidRPr="00995557">
        <w:t xml:space="preserve"> Informe de Fondo, la Comisión </w:t>
      </w:r>
      <w:proofErr w:type="gramStart"/>
      <w:r w:rsidR="00E569A0" w:rsidRPr="00995557">
        <w:t>hizo mención de</w:t>
      </w:r>
      <w:proofErr w:type="gramEnd"/>
      <w:r w:rsidR="00E569A0" w:rsidRPr="00995557">
        <w:t xml:space="preserve"> tres versiones sobre los hechos</w:t>
      </w:r>
      <w:r w:rsidR="00E569A0" w:rsidRPr="00995557">
        <w:rPr>
          <w:rStyle w:val="Refdenotaalpie"/>
        </w:rPr>
        <w:footnoteReference w:id="52"/>
      </w:r>
      <w:r w:rsidR="00E569A0" w:rsidRPr="00995557">
        <w:t>, a la vez que refirió que “en términos fácticos, el Estado reconoc[ió] que el día de los hechos hubo una intervención de la Guardia Nacional en la cárcel de Vista Hermosa y ‘como resultado de este procedimiento’ se produjeron las muertes de las siete víctimas fallecidas y aproximadamente 27 lesionadas”.</w:t>
      </w:r>
    </w:p>
    <w:p w14:paraId="1DAA289E" w14:textId="77777777" w:rsidR="00E569A0" w:rsidRPr="00995557" w:rsidRDefault="00E569A0" w:rsidP="00AA627A"/>
    <w:p w14:paraId="23E4FC5C" w14:textId="5B8565B5" w:rsidR="00415D58" w:rsidRPr="00995557" w:rsidRDefault="00E92CFF" w:rsidP="00AA627A">
      <w:pPr>
        <w:pStyle w:val="Prrafodelista"/>
        <w:widowControl w:val="0"/>
        <w:numPr>
          <w:ilvl w:val="0"/>
          <w:numId w:val="2"/>
        </w:numPr>
        <w:tabs>
          <w:tab w:val="left" w:pos="567"/>
        </w:tabs>
        <w:ind w:left="0" w:firstLine="0"/>
        <w:jc w:val="both"/>
        <w:rPr>
          <w:b/>
        </w:rPr>
      </w:pPr>
      <w:r w:rsidRPr="00995557">
        <w:t>Una vez adentro, los</w:t>
      </w:r>
      <w:r w:rsidR="00DA500F" w:rsidRPr="00995557">
        <w:t xml:space="preserve"> </w:t>
      </w:r>
      <w:r w:rsidRPr="00995557">
        <w:t xml:space="preserve">agentes militares </w:t>
      </w:r>
      <w:r w:rsidR="006D289F" w:rsidRPr="00995557">
        <w:t>sacaron</w:t>
      </w:r>
      <w:r w:rsidR="001E0D91" w:rsidRPr="00995557">
        <w:t xml:space="preserve"> a los internos al </w:t>
      </w:r>
      <w:r w:rsidR="00290C98" w:rsidRPr="00995557">
        <w:t>campo</w:t>
      </w:r>
      <w:r w:rsidR="00FD0C38" w:rsidRPr="00995557">
        <w:t xml:space="preserve"> o patio interno</w:t>
      </w:r>
      <w:r w:rsidR="00290C98" w:rsidRPr="00995557">
        <w:rPr>
          <w:rStyle w:val="Refdenotaalpie"/>
        </w:rPr>
        <w:footnoteReference w:id="53"/>
      </w:r>
      <w:r w:rsidR="001E0D91" w:rsidRPr="00995557">
        <w:t xml:space="preserve">, </w:t>
      </w:r>
      <w:r w:rsidR="006D289F" w:rsidRPr="00995557">
        <w:t>lugar en el que ordenaron</w:t>
      </w:r>
      <w:r w:rsidR="00757BE8" w:rsidRPr="00995557">
        <w:t xml:space="preserve"> a varios de ellos</w:t>
      </w:r>
      <w:r w:rsidR="006D289F" w:rsidRPr="00995557">
        <w:t xml:space="preserve"> que se desvistieran</w:t>
      </w:r>
      <w:r w:rsidR="006D289F" w:rsidRPr="00995557">
        <w:rPr>
          <w:rStyle w:val="Refdenotaalpie"/>
        </w:rPr>
        <w:footnoteReference w:id="54"/>
      </w:r>
      <w:r w:rsidR="00503519" w:rsidRPr="00995557">
        <w:t>.</w:t>
      </w:r>
      <w:r w:rsidR="00757BE8" w:rsidRPr="00995557">
        <w:t xml:space="preserve"> </w:t>
      </w:r>
      <w:r w:rsidR="00503519" w:rsidRPr="00995557">
        <w:t>A</w:t>
      </w:r>
      <w:r w:rsidR="00757BE8" w:rsidRPr="00995557">
        <w:t xml:space="preserve">simismo, ordenaron a </w:t>
      </w:r>
      <w:r w:rsidR="002F0FAC" w:rsidRPr="00995557">
        <w:t>algunos</w:t>
      </w:r>
      <w:r w:rsidR="00757BE8" w:rsidRPr="00995557">
        <w:t xml:space="preserve"> de los internos </w:t>
      </w:r>
      <w:r w:rsidR="006F7AEA" w:rsidRPr="00995557">
        <w:t xml:space="preserve">que </w:t>
      </w:r>
      <w:r w:rsidR="006D289F" w:rsidRPr="00995557">
        <w:t xml:space="preserve">se </w:t>
      </w:r>
      <w:r w:rsidR="00290C98" w:rsidRPr="00995557">
        <w:t>acostaran en el</w:t>
      </w:r>
      <w:r w:rsidR="006D289F" w:rsidRPr="00995557">
        <w:t xml:space="preserve"> suelo</w:t>
      </w:r>
      <w:r w:rsidR="00290C98" w:rsidRPr="00995557">
        <w:rPr>
          <w:rStyle w:val="Refdenotaalpie"/>
        </w:rPr>
        <w:footnoteReference w:id="55"/>
      </w:r>
      <w:r w:rsidR="00757BE8" w:rsidRPr="00995557">
        <w:t xml:space="preserve"> y a otros que se pusieran contra la pared</w:t>
      </w:r>
      <w:r w:rsidR="002F0FAC" w:rsidRPr="00995557">
        <w:rPr>
          <w:rStyle w:val="Refdenotaalpie"/>
        </w:rPr>
        <w:footnoteReference w:id="56"/>
      </w:r>
      <w:r w:rsidR="00415D58" w:rsidRPr="00995557">
        <w:t>.</w:t>
      </w:r>
    </w:p>
    <w:p w14:paraId="22B2096D" w14:textId="77777777" w:rsidR="00415D58" w:rsidRPr="00995557" w:rsidRDefault="00415D58" w:rsidP="00AA627A">
      <w:pPr>
        <w:pStyle w:val="Prrafodelista"/>
        <w:widowControl w:val="0"/>
      </w:pPr>
    </w:p>
    <w:p w14:paraId="23205053" w14:textId="39599B26" w:rsidR="00C546EC" w:rsidRPr="00995557" w:rsidRDefault="00290C98" w:rsidP="00AA627A">
      <w:pPr>
        <w:pStyle w:val="Prrafodelista"/>
        <w:widowControl w:val="0"/>
        <w:numPr>
          <w:ilvl w:val="0"/>
          <w:numId w:val="2"/>
        </w:numPr>
        <w:tabs>
          <w:tab w:val="left" w:pos="567"/>
        </w:tabs>
        <w:ind w:left="0" w:firstLine="0"/>
        <w:jc w:val="both"/>
        <w:rPr>
          <w:b/>
        </w:rPr>
      </w:pPr>
      <w:r w:rsidRPr="00995557">
        <w:t xml:space="preserve">Durante </w:t>
      </w:r>
      <w:r w:rsidR="004B7832" w:rsidRPr="00995557">
        <w:t>el operativo</w:t>
      </w:r>
      <w:r w:rsidRPr="00995557">
        <w:t xml:space="preserve">, los </w:t>
      </w:r>
      <w:r w:rsidR="003F24DF" w:rsidRPr="00995557">
        <w:t>agentes</w:t>
      </w:r>
      <w:r w:rsidRPr="00995557">
        <w:t xml:space="preserve"> realizaron disparos</w:t>
      </w:r>
      <w:r w:rsidRPr="00995557">
        <w:rPr>
          <w:rStyle w:val="Refdenotaalpie"/>
        </w:rPr>
        <w:footnoteReference w:id="57"/>
      </w:r>
      <w:r w:rsidR="004B7832" w:rsidRPr="00995557">
        <w:t xml:space="preserve"> e </w:t>
      </w:r>
      <w:r w:rsidRPr="00995557">
        <w:t xml:space="preserve">infligieron </w:t>
      </w:r>
      <w:r w:rsidR="00D6029A" w:rsidRPr="00995557">
        <w:t xml:space="preserve">patadas y </w:t>
      </w:r>
      <w:r w:rsidRPr="00995557">
        <w:t>golpes</w:t>
      </w:r>
      <w:r w:rsidR="00D6029A" w:rsidRPr="00995557">
        <w:t xml:space="preserve"> con distintos objetos, incluidos palos y piedras, </w:t>
      </w:r>
      <w:r w:rsidR="000B5C95" w:rsidRPr="00995557">
        <w:t>a varios de los internos</w:t>
      </w:r>
      <w:r w:rsidR="005D60A0" w:rsidRPr="00995557">
        <w:rPr>
          <w:rStyle w:val="Refdenotaalpie"/>
        </w:rPr>
        <w:footnoteReference w:id="58"/>
      </w:r>
      <w:r w:rsidR="004B7832" w:rsidRPr="00995557">
        <w:t>.</w:t>
      </w:r>
      <w:r w:rsidR="003F24DF" w:rsidRPr="00995557">
        <w:t xml:space="preserve"> </w:t>
      </w:r>
      <w:r w:rsidR="00D85F4E" w:rsidRPr="00995557">
        <w:t xml:space="preserve">Como consecuencia de las acciones llevadas a cabo por la Guardia Nacional murieron </w:t>
      </w:r>
      <w:r w:rsidR="008B111A" w:rsidRPr="00995557">
        <w:t>siete</w:t>
      </w:r>
      <w:r w:rsidR="00D85F4E" w:rsidRPr="00995557">
        <w:t xml:space="preserve"> privados de libertad por </w:t>
      </w:r>
      <w:r w:rsidR="00D85F4E" w:rsidRPr="00995557">
        <w:lastRenderedPageBreak/>
        <w:t>heridas causadas con arma de fuego</w:t>
      </w:r>
      <w:r w:rsidR="00584CAB" w:rsidRPr="00995557">
        <w:rPr>
          <w:rStyle w:val="Refdenotaalpie"/>
        </w:rPr>
        <w:footnoteReference w:id="59"/>
      </w:r>
      <w:r w:rsidR="00D85F4E" w:rsidRPr="00995557">
        <w:t xml:space="preserve"> y resultaron heridos otros 27 internos</w:t>
      </w:r>
      <w:r w:rsidR="004C5C1B" w:rsidRPr="00995557">
        <w:rPr>
          <w:rStyle w:val="Refdenotaalpie"/>
        </w:rPr>
        <w:footnoteReference w:id="60"/>
      </w:r>
      <w:r w:rsidR="004C5C1B" w:rsidRPr="00995557">
        <w:t>.</w:t>
      </w:r>
      <w:r w:rsidR="00C546EC" w:rsidRPr="00995557">
        <w:rPr>
          <w:b/>
        </w:rPr>
        <w:t xml:space="preserve"> </w:t>
      </w:r>
      <w:r w:rsidR="00C546EC" w:rsidRPr="00995557">
        <w:t>En el Informe de Fondo la Comisión señaló que “</w:t>
      </w:r>
      <w:r w:rsidR="00C546EC" w:rsidRPr="00995557">
        <w:rPr>
          <w:rFonts w:eastAsiaTheme="minorHAnsi"/>
        </w:rPr>
        <w:t xml:space="preserve">no ha sido debidamente esclarecido en el expediente del caso la forma concreta en que se produjeron estas muertes y lesiones, y el rol puntual que habrían tenido todos los efectivos militares y custodios presentes en la cárcel </w:t>
      </w:r>
      <w:r w:rsidR="00572C10" w:rsidRPr="00995557">
        <w:rPr>
          <w:rFonts w:eastAsiaTheme="minorHAnsi"/>
        </w:rPr>
        <w:t>ese día”.</w:t>
      </w:r>
      <w:r w:rsidR="00C546EC" w:rsidRPr="00995557">
        <w:rPr>
          <w:b/>
          <w:bCs/>
        </w:rPr>
        <w:t xml:space="preserve"> </w:t>
      </w:r>
      <w:r w:rsidR="00C546EC" w:rsidRPr="00995557">
        <w:rPr>
          <w:bCs/>
        </w:rPr>
        <w:t xml:space="preserve">De esa cuenta, </w:t>
      </w:r>
      <w:r w:rsidR="00C546EC" w:rsidRPr="00995557">
        <w:t>la Corte no ha logrado establecer con precisión cómo habrían ocurrido las distintas muertes y heridas ocasionadas a cada una de las víctimas.</w:t>
      </w:r>
    </w:p>
    <w:p w14:paraId="29B63CB2" w14:textId="77777777" w:rsidR="00415D58" w:rsidRPr="00995557" w:rsidRDefault="00415D58" w:rsidP="00AA627A">
      <w:pPr>
        <w:pStyle w:val="Ttulo2"/>
        <w:widowControl w:val="0"/>
        <w:numPr>
          <w:ilvl w:val="0"/>
          <w:numId w:val="0"/>
        </w:numPr>
        <w:tabs>
          <w:tab w:val="left" w:pos="567"/>
        </w:tabs>
        <w:spacing w:before="0" w:after="0"/>
        <w:ind w:left="1134"/>
      </w:pPr>
    </w:p>
    <w:p w14:paraId="4F434983" w14:textId="77777777" w:rsidR="004E34C2" w:rsidRPr="00995557" w:rsidRDefault="004E34C2" w:rsidP="00AA627A">
      <w:pPr>
        <w:pStyle w:val="Ttulo2"/>
        <w:widowControl w:val="0"/>
        <w:numPr>
          <w:ilvl w:val="0"/>
          <w:numId w:val="0"/>
        </w:numPr>
        <w:tabs>
          <w:tab w:val="clear" w:pos="1134"/>
          <w:tab w:val="left" w:pos="851"/>
          <w:tab w:val="left" w:pos="1418"/>
        </w:tabs>
        <w:spacing w:before="0" w:after="0"/>
        <w:ind w:left="1418" w:hanging="567"/>
        <w:rPr>
          <w:b w:val="0"/>
          <w:bCs/>
        </w:rPr>
      </w:pPr>
      <w:bookmarkStart w:id="108" w:name="_Toc53741450"/>
      <w:bookmarkStart w:id="109" w:name="_Toc58399118"/>
      <w:r w:rsidRPr="00995557">
        <w:rPr>
          <w:b w:val="0"/>
          <w:bCs/>
        </w:rPr>
        <w:t xml:space="preserve">B.1. </w:t>
      </w:r>
      <w:r w:rsidR="00A56EE7" w:rsidRPr="00995557">
        <w:rPr>
          <w:b w:val="0"/>
          <w:bCs/>
        </w:rPr>
        <w:t>Personas privadas de libertad fallecidas y lesionadas</w:t>
      </w:r>
      <w:bookmarkEnd w:id="108"/>
      <w:bookmarkEnd w:id="109"/>
    </w:p>
    <w:p w14:paraId="6368000D" w14:textId="77777777" w:rsidR="004E34C2" w:rsidRPr="00995557" w:rsidRDefault="004E34C2" w:rsidP="00AA627A">
      <w:pPr>
        <w:widowControl w:val="0"/>
        <w:tabs>
          <w:tab w:val="left" w:pos="567"/>
        </w:tabs>
      </w:pPr>
    </w:p>
    <w:p w14:paraId="27D6EE48" w14:textId="77777777" w:rsidR="006A3981" w:rsidRPr="00995557" w:rsidRDefault="00D3483A" w:rsidP="00AA627A">
      <w:pPr>
        <w:pStyle w:val="Prrafodelista"/>
        <w:widowControl w:val="0"/>
        <w:numPr>
          <w:ilvl w:val="0"/>
          <w:numId w:val="2"/>
        </w:numPr>
        <w:tabs>
          <w:tab w:val="left" w:pos="567"/>
        </w:tabs>
        <w:ind w:left="0" w:firstLine="0"/>
        <w:jc w:val="both"/>
      </w:pPr>
      <w:r w:rsidRPr="00995557">
        <w:t xml:space="preserve">Las </w:t>
      </w:r>
      <w:r w:rsidR="00A56EE7" w:rsidRPr="00995557">
        <w:t>personas privadas de libertad que fallecieron durante el operativo</w:t>
      </w:r>
      <w:r w:rsidR="008359CE" w:rsidRPr="00995557">
        <w:rPr>
          <w:rStyle w:val="Refdenotaalpie"/>
        </w:rPr>
        <w:footnoteReference w:id="61"/>
      </w:r>
      <w:r w:rsidR="008359CE" w:rsidRPr="00995557">
        <w:t xml:space="preserve"> y sus </w:t>
      </w:r>
      <w:r w:rsidR="00A56EE7" w:rsidRPr="00995557">
        <w:t>familiares</w:t>
      </w:r>
      <w:r w:rsidR="00821272" w:rsidRPr="00995557">
        <w:rPr>
          <w:rStyle w:val="Refdenotaalpie"/>
        </w:rPr>
        <w:footnoteReference w:id="62"/>
      </w:r>
      <w:r w:rsidR="00503588" w:rsidRPr="00995557">
        <w:t>, también</w:t>
      </w:r>
      <w:r w:rsidR="00A56EE7" w:rsidRPr="00995557">
        <w:t xml:space="preserve"> considerados víctimas en el presente caso</w:t>
      </w:r>
      <w:r w:rsidR="00503588" w:rsidRPr="00995557">
        <w:t>,</w:t>
      </w:r>
      <w:r w:rsidR="008359CE" w:rsidRPr="00995557">
        <w:t xml:space="preserve"> son l</w:t>
      </w:r>
      <w:r w:rsidR="00055E6C" w:rsidRPr="00995557">
        <w:t>a</w:t>
      </w:r>
      <w:r w:rsidR="008359CE" w:rsidRPr="00995557">
        <w:t>s siguientes</w:t>
      </w:r>
      <w:r w:rsidR="00FF55FC" w:rsidRPr="00995557">
        <w:t>:</w:t>
      </w:r>
    </w:p>
    <w:p w14:paraId="7B8007C9" w14:textId="77777777" w:rsidR="00262AE4" w:rsidRPr="00995557" w:rsidRDefault="00262AE4" w:rsidP="00AA627A">
      <w:pPr>
        <w:pStyle w:val="Prrafodelista"/>
        <w:widowControl w:val="0"/>
        <w:tabs>
          <w:tab w:val="left" w:pos="567"/>
        </w:tabs>
        <w:ind w:left="0"/>
        <w:jc w:val="both"/>
      </w:pPr>
    </w:p>
    <w:p w14:paraId="79B79CBB" w14:textId="77777777" w:rsidR="005C7A15" w:rsidRPr="00995557" w:rsidRDefault="005C7A15" w:rsidP="00AA627A">
      <w:pPr>
        <w:pStyle w:val="Prrafodelista"/>
        <w:widowControl w:val="0"/>
        <w:tabs>
          <w:tab w:val="left" w:pos="993"/>
        </w:tabs>
        <w:ind w:left="567"/>
        <w:jc w:val="both"/>
      </w:pPr>
      <w:r w:rsidRPr="00995557">
        <w:t xml:space="preserve">1) </w:t>
      </w:r>
      <w:r w:rsidR="004F6023" w:rsidRPr="00995557">
        <w:t>Orlando Edgardo Olivares Muñoz</w:t>
      </w:r>
      <w:r w:rsidR="00736CC0" w:rsidRPr="00995557">
        <w:t>,</w:t>
      </w:r>
      <w:r w:rsidR="002872A2" w:rsidRPr="00995557">
        <w:t xml:space="preserve"> quien nació en la República de Chile el 29 de diciembre de 1965</w:t>
      </w:r>
      <w:r w:rsidR="00736CC0" w:rsidRPr="00995557">
        <w:t xml:space="preserve"> y al momento de su muerte tenía 3</w:t>
      </w:r>
      <w:r w:rsidR="00F8125D" w:rsidRPr="00995557">
        <w:t>7</w:t>
      </w:r>
      <w:r w:rsidR="00736CC0" w:rsidRPr="00995557">
        <w:t xml:space="preserve"> años</w:t>
      </w:r>
      <w:r w:rsidR="004F6023" w:rsidRPr="00995557">
        <w:rPr>
          <w:rStyle w:val="Refdenotaalpie"/>
        </w:rPr>
        <w:footnoteReference w:id="63"/>
      </w:r>
      <w:r w:rsidR="00736CC0" w:rsidRPr="00995557">
        <w:t>.</w:t>
      </w:r>
      <w:r w:rsidR="008359CE" w:rsidRPr="00995557">
        <w:t xml:space="preserve"> Su esposa es Lorenza Josefina Pérez de Olivares</w:t>
      </w:r>
      <w:r w:rsidRPr="00995557">
        <w:t>.</w:t>
      </w:r>
    </w:p>
    <w:p w14:paraId="1404B5BC" w14:textId="77777777" w:rsidR="005C7A15" w:rsidRPr="00995557" w:rsidRDefault="005C7A15" w:rsidP="00AA627A">
      <w:pPr>
        <w:pStyle w:val="Prrafodelista"/>
        <w:widowControl w:val="0"/>
        <w:tabs>
          <w:tab w:val="left" w:pos="993"/>
        </w:tabs>
        <w:ind w:left="709"/>
        <w:jc w:val="both"/>
      </w:pPr>
    </w:p>
    <w:p w14:paraId="13BCB442" w14:textId="466D401B" w:rsidR="00262AE4" w:rsidRPr="00995557" w:rsidRDefault="005C7A15" w:rsidP="00AA627A">
      <w:pPr>
        <w:pStyle w:val="Prrafodelista"/>
        <w:widowControl w:val="0"/>
        <w:tabs>
          <w:tab w:val="left" w:pos="993"/>
        </w:tabs>
        <w:ind w:left="567"/>
        <w:jc w:val="both"/>
      </w:pPr>
      <w:r w:rsidRPr="00995557">
        <w:t xml:space="preserve">2) </w:t>
      </w:r>
      <w:r w:rsidR="004F6023" w:rsidRPr="00995557">
        <w:t xml:space="preserve">Joel </w:t>
      </w:r>
      <w:r w:rsidR="00A655AF" w:rsidRPr="00995557">
        <w:t>Ronaldy</w:t>
      </w:r>
      <w:r w:rsidR="004F6023" w:rsidRPr="00995557">
        <w:t xml:space="preserve"> Reyes Nava</w:t>
      </w:r>
      <w:r w:rsidR="00736CC0" w:rsidRPr="00995557">
        <w:t>,</w:t>
      </w:r>
      <w:r w:rsidR="002872A2" w:rsidRPr="00995557">
        <w:t xml:space="preserve"> quien nació en Venezuela el 12 de junio de 1982</w:t>
      </w:r>
      <w:r w:rsidR="00736CC0" w:rsidRPr="00995557">
        <w:t xml:space="preserve"> y al momento de su muerte tenía 21 años</w:t>
      </w:r>
      <w:r w:rsidR="004F6023" w:rsidRPr="00995557">
        <w:rPr>
          <w:rStyle w:val="Refdenotaalpie"/>
        </w:rPr>
        <w:footnoteReference w:id="64"/>
      </w:r>
      <w:r w:rsidR="00736CC0" w:rsidRPr="00995557">
        <w:t>.</w:t>
      </w:r>
      <w:r w:rsidR="001641AB" w:rsidRPr="00995557">
        <w:t xml:space="preserve"> </w:t>
      </w:r>
      <w:r w:rsidR="00B77423" w:rsidRPr="00995557">
        <w:t>Su hermana es Jenny Leomelia Reyes Guzmán.</w:t>
      </w:r>
    </w:p>
    <w:p w14:paraId="495BFBFA" w14:textId="77777777" w:rsidR="005C7A15" w:rsidRPr="00995557" w:rsidRDefault="005C7A15" w:rsidP="00AA627A">
      <w:pPr>
        <w:pStyle w:val="Prrafodelista"/>
        <w:ind w:left="567"/>
      </w:pPr>
    </w:p>
    <w:p w14:paraId="68DE81E8" w14:textId="77777777" w:rsidR="005C7A15" w:rsidRPr="00995557" w:rsidRDefault="005C7A15" w:rsidP="00AA627A">
      <w:pPr>
        <w:pStyle w:val="Prrafodelista"/>
        <w:widowControl w:val="0"/>
        <w:tabs>
          <w:tab w:val="left" w:pos="993"/>
        </w:tabs>
        <w:ind w:left="567"/>
        <w:jc w:val="both"/>
      </w:pPr>
      <w:r w:rsidRPr="00995557">
        <w:t xml:space="preserve">3) </w:t>
      </w:r>
      <w:r w:rsidR="004F6023" w:rsidRPr="00995557">
        <w:t>Orangel José Figueroa</w:t>
      </w:r>
      <w:r w:rsidR="00736CC0" w:rsidRPr="00995557">
        <w:t>,</w:t>
      </w:r>
      <w:r w:rsidR="002872A2" w:rsidRPr="00995557">
        <w:t xml:space="preserve"> quien nació en Venezuela el 7 de octubre de 1982</w:t>
      </w:r>
      <w:r w:rsidR="00736CC0" w:rsidRPr="00995557">
        <w:t xml:space="preserve"> y al momento de su muerte tenía 21 años</w:t>
      </w:r>
      <w:r w:rsidR="004F6023" w:rsidRPr="00995557">
        <w:rPr>
          <w:rStyle w:val="Refdenotaalpie"/>
        </w:rPr>
        <w:footnoteReference w:id="65"/>
      </w:r>
      <w:r w:rsidR="00736CC0" w:rsidRPr="00995557">
        <w:t>.</w:t>
      </w:r>
      <w:r w:rsidR="003318AB" w:rsidRPr="00995557">
        <w:t xml:space="preserve"> Su hermano es José Luis Figueroa.</w:t>
      </w:r>
    </w:p>
    <w:p w14:paraId="3B2A8430" w14:textId="77777777" w:rsidR="005C7A15" w:rsidRPr="00995557" w:rsidRDefault="005C7A15" w:rsidP="00AA627A">
      <w:pPr>
        <w:pStyle w:val="Prrafodelista"/>
        <w:ind w:left="567"/>
      </w:pPr>
    </w:p>
    <w:p w14:paraId="691DF648" w14:textId="77777777" w:rsidR="005C7A15" w:rsidRPr="00995557" w:rsidRDefault="005C7A15" w:rsidP="00AA627A">
      <w:pPr>
        <w:pStyle w:val="Prrafodelista"/>
        <w:widowControl w:val="0"/>
        <w:tabs>
          <w:tab w:val="left" w:pos="993"/>
        </w:tabs>
        <w:ind w:left="567"/>
        <w:jc w:val="both"/>
      </w:pPr>
      <w:r w:rsidRPr="00995557">
        <w:t xml:space="preserve">4) </w:t>
      </w:r>
      <w:r w:rsidR="004F6023" w:rsidRPr="00995557">
        <w:t>Héctor Javier Muñoz Valerio</w:t>
      </w:r>
      <w:r w:rsidR="00736CC0" w:rsidRPr="00995557">
        <w:t xml:space="preserve">, </w:t>
      </w:r>
      <w:r w:rsidR="002872A2" w:rsidRPr="00995557">
        <w:t>quien nació en Venezuela el 16 de octubre de 1981</w:t>
      </w:r>
      <w:r w:rsidR="00736CC0" w:rsidRPr="00995557">
        <w:t xml:space="preserve"> y al momento de su muerte tenía 22 años</w:t>
      </w:r>
      <w:r w:rsidR="004F6023" w:rsidRPr="00995557">
        <w:rPr>
          <w:rStyle w:val="Refdenotaalpie"/>
        </w:rPr>
        <w:footnoteReference w:id="66"/>
      </w:r>
      <w:r w:rsidR="00736CC0" w:rsidRPr="00995557">
        <w:t>.</w:t>
      </w:r>
      <w:r w:rsidR="006755BB" w:rsidRPr="00995557">
        <w:t xml:space="preserve"> Su hermana es Y</w:t>
      </w:r>
      <w:r w:rsidR="004C5C1B" w:rsidRPr="00995557">
        <w:t xml:space="preserve">ngris </w:t>
      </w:r>
      <w:r w:rsidR="006755BB" w:rsidRPr="00995557">
        <w:t>Lorena Muñoz Valerio.</w:t>
      </w:r>
    </w:p>
    <w:p w14:paraId="3D7E27FC" w14:textId="77777777" w:rsidR="005C7A15" w:rsidRPr="00995557" w:rsidRDefault="005C7A15" w:rsidP="00AA627A">
      <w:pPr>
        <w:pStyle w:val="Prrafodelista"/>
        <w:ind w:left="567"/>
      </w:pPr>
    </w:p>
    <w:p w14:paraId="2BD0C3BE" w14:textId="77777777" w:rsidR="005C7A15" w:rsidRPr="00995557" w:rsidRDefault="005C7A15" w:rsidP="00AA627A">
      <w:pPr>
        <w:pStyle w:val="Prrafodelista"/>
        <w:widowControl w:val="0"/>
        <w:tabs>
          <w:tab w:val="left" w:pos="993"/>
        </w:tabs>
        <w:ind w:left="567"/>
        <w:jc w:val="both"/>
      </w:pPr>
      <w:r w:rsidRPr="00995557">
        <w:t xml:space="preserve">5) </w:t>
      </w:r>
      <w:r w:rsidR="004F6023" w:rsidRPr="00995557">
        <w:t>Pedro Ramón López Chaurán</w:t>
      </w:r>
      <w:r w:rsidR="00736CC0" w:rsidRPr="00995557">
        <w:t>,</w:t>
      </w:r>
      <w:r w:rsidR="002872A2" w:rsidRPr="00995557">
        <w:t xml:space="preserve"> quien nació en Venezuela en 1978</w:t>
      </w:r>
      <w:r w:rsidR="00736CC0" w:rsidRPr="00995557">
        <w:t xml:space="preserve"> y </w:t>
      </w:r>
      <w:r w:rsidR="009532AD" w:rsidRPr="00995557">
        <w:t>al momento de su muerte tenía 24</w:t>
      </w:r>
      <w:r w:rsidR="00736CC0" w:rsidRPr="00995557">
        <w:t xml:space="preserve"> años</w:t>
      </w:r>
      <w:r w:rsidR="00355595" w:rsidRPr="00995557">
        <w:rPr>
          <w:rStyle w:val="Refdenotaalpie"/>
        </w:rPr>
        <w:footnoteReference w:id="67"/>
      </w:r>
      <w:r w:rsidR="00736CC0" w:rsidRPr="00995557">
        <w:t>.</w:t>
      </w:r>
      <w:r w:rsidR="00B77423" w:rsidRPr="00995557">
        <w:t xml:space="preserve"> Su esposa es Johamnata Martínez Coralis.</w:t>
      </w:r>
    </w:p>
    <w:p w14:paraId="02F217A9" w14:textId="77777777" w:rsidR="005C7A15" w:rsidRPr="00995557" w:rsidRDefault="005C7A15" w:rsidP="00AA627A">
      <w:pPr>
        <w:pStyle w:val="Prrafodelista"/>
        <w:ind w:left="567"/>
      </w:pPr>
    </w:p>
    <w:p w14:paraId="1C825463" w14:textId="77777777" w:rsidR="005C7A15" w:rsidRPr="00995557" w:rsidRDefault="005C7A15" w:rsidP="00AA627A">
      <w:pPr>
        <w:pStyle w:val="Prrafodelista"/>
        <w:widowControl w:val="0"/>
        <w:tabs>
          <w:tab w:val="left" w:pos="993"/>
        </w:tabs>
        <w:ind w:left="567"/>
        <w:jc w:val="both"/>
      </w:pPr>
      <w:r w:rsidRPr="00995557">
        <w:lastRenderedPageBreak/>
        <w:t xml:space="preserve">6) </w:t>
      </w:r>
      <w:r w:rsidR="004F6023" w:rsidRPr="00995557">
        <w:t>José Gregorio Bolívar Corro</w:t>
      </w:r>
      <w:r w:rsidR="00736CC0" w:rsidRPr="00995557">
        <w:t xml:space="preserve">, </w:t>
      </w:r>
      <w:r w:rsidR="002872A2" w:rsidRPr="00995557">
        <w:t xml:space="preserve">quien nació en Venezuela el </w:t>
      </w:r>
      <w:r w:rsidR="000F073E" w:rsidRPr="00995557">
        <w:t>19</w:t>
      </w:r>
      <w:r w:rsidR="002872A2" w:rsidRPr="00995557">
        <w:t xml:space="preserve"> de </w:t>
      </w:r>
      <w:r w:rsidR="000F073E" w:rsidRPr="00995557">
        <w:t>mayo</w:t>
      </w:r>
      <w:r w:rsidR="002872A2" w:rsidRPr="00995557">
        <w:t xml:space="preserve"> de 19</w:t>
      </w:r>
      <w:r w:rsidR="000F073E" w:rsidRPr="00995557">
        <w:t>75</w:t>
      </w:r>
      <w:r w:rsidR="00736CC0" w:rsidRPr="00995557">
        <w:t xml:space="preserve"> y al momento de su muerte tenía 28 años</w:t>
      </w:r>
      <w:r w:rsidR="00355595" w:rsidRPr="00995557">
        <w:rPr>
          <w:rStyle w:val="Refdenotaalpie"/>
        </w:rPr>
        <w:footnoteReference w:id="68"/>
      </w:r>
      <w:r w:rsidR="00736CC0" w:rsidRPr="00995557">
        <w:t>.</w:t>
      </w:r>
      <w:r w:rsidR="00551ED1" w:rsidRPr="00995557">
        <w:t xml:space="preserve"> Su cuñado es Elías José Aguirre Navas.</w:t>
      </w:r>
    </w:p>
    <w:p w14:paraId="4EEC10F7" w14:textId="77777777" w:rsidR="005C7A15" w:rsidRPr="00995557" w:rsidRDefault="005C7A15" w:rsidP="00AA627A">
      <w:pPr>
        <w:pStyle w:val="Prrafodelista"/>
        <w:ind w:left="567"/>
      </w:pPr>
    </w:p>
    <w:p w14:paraId="5153AAA6" w14:textId="77777777" w:rsidR="00952613" w:rsidRPr="00995557" w:rsidRDefault="005C7A15" w:rsidP="00AA627A">
      <w:pPr>
        <w:pStyle w:val="Prrafodelista"/>
        <w:widowControl w:val="0"/>
        <w:tabs>
          <w:tab w:val="left" w:pos="993"/>
        </w:tabs>
        <w:ind w:left="567"/>
        <w:jc w:val="both"/>
      </w:pPr>
      <w:r w:rsidRPr="00995557">
        <w:t xml:space="preserve">7) </w:t>
      </w:r>
      <w:r w:rsidR="004F6023" w:rsidRPr="00995557">
        <w:t>Richard Alexis Núñez Palma</w:t>
      </w:r>
      <w:r w:rsidR="004E4436" w:rsidRPr="00995557">
        <w:t xml:space="preserve">, </w:t>
      </w:r>
      <w:r w:rsidR="000F073E" w:rsidRPr="00995557">
        <w:t>quien nació en Venezuela el 28 de mayo de 1978</w:t>
      </w:r>
      <w:r w:rsidR="004E4436" w:rsidRPr="00995557">
        <w:t xml:space="preserve"> y al momento de su muerte tenía 25 años</w:t>
      </w:r>
      <w:r w:rsidR="00355595" w:rsidRPr="00995557">
        <w:rPr>
          <w:rStyle w:val="Refdenotaalpie"/>
        </w:rPr>
        <w:footnoteReference w:id="69"/>
      </w:r>
      <w:r w:rsidR="00D3483A" w:rsidRPr="00995557">
        <w:t>.</w:t>
      </w:r>
      <w:r w:rsidR="001641AB" w:rsidRPr="00995557">
        <w:t xml:space="preserve"> Su hermana es Elizabeth Carmen Cañizales Palma.</w:t>
      </w:r>
    </w:p>
    <w:p w14:paraId="11C670C2" w14:textId="77777777" w:rsidR="00952613" w:rsidRPr="00995557" w:rsidRDefault="00952613" w:rsidP="00AA627A">
      <w:pPr>
        <w:pStyle w:val="Prrafodelista"/>
        <w:widowControl w:val="0"/>
        <w:tabs>
          <w:tab w:val="left" w:pos="567"/>
        </w:tabs>
        <w:ind w:left="0"/>
        <w:jc w:val="both"/>
      </w:pPr>
    </w:p>
    <w:p w14:paraId="04E07CC6" w14:textId="77777777" w:rsidR="00BD325E" w:rsidRPr="00995557" w:rsidRDefault="00556365" w:rsidP="00AA627A">
      <w:pPr>
        <w:pStyle w:val="Prrafodelista"/>
        <w:widowControl w:val="0"/>
        <w:numPr>
          <w:ilvl w:val="0"/>
          <w:numId w:val="2"/>
        </w:numPr>
        <w:tabs>
          <w:tab w:val="left" w:pos="567"/>
        </w:tabs>
        <w:ind w:left="0" w:firstLine="0"/>
        <w:jc w:val="both"/>
      </w:pPr>
      <w:r w:rsidRPr="00995557">
        <w:t>L</w:t>
      </w:r>
      <w:r w:rsidR="00BD325E" w:rsidRPr="00995557">
        <w:t xml:space="preserve">as </w:t>
      </w:r>
      <w:r w:rsidR="00A56EE7" w:rsidRPr="00995557">
        <w:t>personas privadas de libertad que resultaron</w:t>
      </w:r>
      <w:r w:rsidR="00BD325E" w:rsidRPr="00995557">
        <w:t xml:space="preserve"> lesionadas </w:t>
      </w:r>
      <w:r w:rsidR="00591D0B" w:rsidRPr="00995557">
        <w:t>s</w:t>
      </w:r>
      <w:r w:rsidR="00BD325E" w:rsidRPr="00995557">
        <w:t>on las siguientes:</w:t>
      </w:r>
      <w:r w:rsidR="005C7A15" w:rsidRPr="00995557">
        <w:t xml:space="preserve"> 1) </w:t>
      </w:r>
      <w:r w:rsidR="00BD325E" w:rsidRPr="00995557">
        <w:t>Ramón Zambrano</w:t>
      </w:r>
      <w:r w:rsidR="00D11193" w:rsidRPr="00995557">
        <w:t>;</w:t>
      </w:r>
      <w:r w:rsidR="005C7A15" w:rsidRPr="00995557">
        <w:t xml:space="preserve"> 2) </w:t>
      </w:r>
      <w:r w:rsidR="00BD325E" w:rsidRPr="00995557">
        <w:t>Jovanny Palomo</w:t>
      </w:r>
      <w:r w:rsidR="00D11193" w:rsidRPr="00995557">
        <w:t>;</w:t>
      </w:r>
      <w:r w:rsidR="005C7A15" w:rsidRPr="00995557">
        <w:t xml:space="preserve"> 3) </w:t>
      </w:r>
      <w:r w:rsidR="00BD325E" w:rsidRPr="00995557">
        <w:t>Carlos Durán</w:t>
      </w:r>
      <w:r w:rsidR="00D11193" w:rsidRPr="00995557">
        <w:t>;</w:t>
      </w:r>
      <w:r w:rsidR="004F7495" w:rsidRPr="00995557">
        <w:t xml:space="preserve"> 4) </w:t>
      </w:r>
      <w:r w:rsidR="00BD325E" w:rsidRPr="00995557">
        <w:t>Richard Vallez</w:t>
      </w:r>
      <w:r w:rsidR="00D11193" w:rsidRPr="00995557">
        <w:t>;</w:t>
      </w:r>
      <w:r w:rsidR="004F7495" w:rsidRPr="00995557">
        <w:t xml:space="preserve"> 5) </w:t>
      </w:r>
      <w:r w:rsidR="00BD325E" w:rsidRPr="00995557">
        <w:t>Carlos Alberto Torres</w:t>
      </w:r>
      <w:r w:rsidR="00D11193" w:rsidRPr="00995557">
        <w:t>;</w:t>
      </w:r>
      <w:r w:rsidR="004F7495" w:rsidRPr="00995557">
        <w:t xml:space="preserve"> 6) </w:t>
      </w:r>
      <w:r w:rsidR="00BD325E" w:rsidRPr="00995557">
        <w:t>Galindo Urrieta</w:t>
      </w:r>
      <w:r w:rsidR="00D11193" w:rsidRPr="00995557">
        <w:t>;</w:t>
      </w:r>
      <w:r w:rsidR="004F7495" w:rsidRPr="00995557">
        <w:t xml:space="preserve"> 7) </w:t>
      </w:r>
      <w:r w:rsidR="00BD325E" w:rsidRPr="00995557">
        <w:t>Edwin David Díaz</w:t>
      </w:r>
      <w:r w:rsidR="00D11193" w:rsidRPr="00995557">
        <w:t>;</w:t>
      </w:r>
      <w:r w:rsidR="004F7495" w:rsidRPr="00995557">
        <w:t xml:space="preserve"> 8) </w:t>
      </w:r>
      <w:r w:rsidR="00B42518" w:rsidRPr="00995557">
        <w:t>Luis Filgueira</w:t>
      </w:r>
      <w:r w:rsidR="00D11193" w:rsidRPr="00995557">
        <w:t>;</w:t>
      </w:r>
      <w:r w:rsidR="004F7495" w:rsidRPr="00995557">
        <w:t xml:space="preserve"> 9) </w:t>
      </w:r>
      <w:r w:rsidR="00BD325E" w:rsidRPr="00995557">
        <w:t>Oswal Sotillo</w:t>
      </w:r>
      <w:r w:rsidR="00D11193" w:rsidRPr="00995557">
        <w:t>;</w:t>
      </w:r>
      <w:r w:rsidR="004F7495" w:rsidRPr="00995557">
        <w:t xml:space="preserve"> 10) </w:t>
      </w:r>
      <w:r w:rsidR="00BD325E" w:rsidRPr="00995557">
        <w:t>Rafael Vera Himi</w:t>
      </w:r>
      <w:r w:rsidR="00D11193" w:rsidRPr="00995557">
        <w:t>;</w:t>
      </w:r>
      <w:r w:rsidR="004F7495" w:rsidRPr="00995557">
        <w:t xml:space="preserve"> 11) </w:t>
      </w:r>
      <w:r w:rsidR="00BD325E" w:rsidRPr="00995557">
        <w:t>Miguel Marcano</w:t>
      </w:r>
      <w:r w:rsidR="00D11193" w:rsidRPr="00995557">
        <w:t>;</w:t>
      </w:r>
      <w:r w:rsidR="004F7495" w:rsidRPr="00995557">
        <w:t xml:space="preserve"> 12) </w:t>
      </w:r>
      <w:r w:rsidR="00BD325E" w:rsidRPr="00995557">
        <w:t>Marcos Pacheco</w:t>
      </w:r>
      <w:r w:rsidR="00D11193" w:rsidRPr="00995557">
        <w:t>;</w:t>
      </w:r>
      <w:r w:rsidR="004F7495" w:rsidRPr="00995557">
        <w:t xml:space="preserve"> 13) </w:t>
      </w:r>
      <w:r w:rsidR="00BD325E" w:rsidRPr="00995557">
        <w:t>Alcides Rafael Alcaza Barreto</w:t>
      </w:r>
      <w:r w:rsidR="00D11193" w:rsidRPr="00995557">
        <w:t>;</w:t>
      </w:r>
      <w:r w:rsidR="004F7495" w:rsidRPr="00995557">
        <w:t xml:space="preserve"> 14) </w:t>
      </w:r>
      <w:r w:rsidR="00BD325E" w:rsidRPr="00995557">
        <w:t>Jesús Manuel Amaiz Borrome</w:t>
      </w:r>
      <w:r w:rsidR="00D11193" w:rsidRPr="00995557">
        <w:t>;</w:t>
      </w:r>
      <w:r w:rsidR="004F7495" w:rsidRPr="00995557">
        <w:t xml:space="preserve"> 15) </w:t>
      </w:r>
      <w:r w:rsidR="00BD325E" w:rsidRPr="00995557">
        <w:t>Rafael Villa Hermosa</w:t>
      </w:r>
      <w:r w:rsidR="00D11193" w:rsidRPr="00995557">
        <w:t>;</w:t>
      </w:r>
      <w:r w:rsidR="004F7495" w:rsidRPr="00995557">
        <w:t xml:space="preserve"> 16) </w:t>
      </w:r>
      <w:r w:rsidR="00BD325E" w:rsidRPr="00995557">
        <w:t>Efraín Cordero</w:t>
      </w:r>
      <w:r w:rsidR="00D11193" w:rsidRPr="00995557">
        <w:t>;</w:t>
      </w:r>
      <w:r w:rsidR="004F7495" w:rsidRPr="00995557">
        <w:t xml:space="preserve"> 17) </w:t>
      </w:r>
      <w:r w:rsidR="006D54B8" w:rsidRPr="00995557">
        <w:t>C</w:t>
      </w:r>
      <w:r w:rsidR="00BD325E" w:rsidRPr="00995557">
        <w:t>arlos Alberto Martínez</w:t>
      </w:r>
      <w:r w:rsidR="00D11193" w:rsidRPr="00995557">
        <w:t>;</w:t>
      </w:r>
      <w:r w:rsidR="004F7495" w:rsidRPr="00995557">
        <w:t xml:space="preserve"> 18) </w:t>
      </w:r>
      <w:r w:rsidR="00BD325E" w:rsidRPr="00995557">
        <w:t>Pedro de Jesús Montes Aguanes</w:t>
      </w:r>
      <w:r w:rsidR="00D11193" w:rsidRPr="00995557">
        <w:t>;</w:t>
      </w:r>
      <w:r w:rsidR="004F7495" w:rsidRPr="00995557">
        <w:t xml:space="preserve"> 19) </w:t>
      </w:r>
      <w:r w:rsidR="00BD325E" w:rsidRPr="00995557">
        <w:t>Santa Jesús Gil Osuna</w:t>
      </w:r>
      <w:r w:rsidR="00D11193" w:rsidRPr="00995557">
        <w:t>;</w:t>
      </w:r>
      <w:r w:rsidR="004F7495" w:rsidRPr="00995557">
        <w:t xml:space="preserve"> 20) </w:t>
      </w:r>
      <w:r w:rsidR="00BD325E" w:rsidRPr="00995557">
        <w:t>Omar Armando Vásquez</w:t>
      </w:r>
      <w:r w:rsidR="00D11193" w:rsidRPr="00995557">
        <w:t>;</w:t>
      </w:r>
      <w:r w:rsidR="004F7495" w:rsidRPr="00995557">
        <w:t xml:space="preserve"> 21) </w:t>
      </w:r>
      <w:r w:rsidR="00BD325E" w:rsidRPr="00995557">
        <w:t xml:space="preserve">Getulio </w:t>
      </w:r>
      <w:r w:rsidR="003F3EB2" w:rsidRPr="00995557">
        <w:t xml:space="preserve">Piña </w:t>
      </w:r>
      <w:r w:rsidR="00BD325E" w:rsidRPr="00995557">
        <w:t>Laya</w:t>
      </w:r>
      <w:r w:rsidR="00D11193" w:rsidRPr="00995557">
        <w:t>;</w:t>
      </w:r>
      <w:r w:rsidR="004F7495" w:rsidRPr="00995557">
        <w:t xml:space="preserve"> 22) </w:t>
      </w:r>
      <w:r w:rsidR="00BD325E" w:rsidRPr="00995557">
        <w:t>Evelio Eugenio Martínez</w:t>
      </w:r>
      <w:r w:rsidR="00D11193" w:rsidRPr="00995557">
        <w:t>;</w:t>
      </w:r>
      <w:r w:rsidR="004F7495" w:rsidRPr="00995557">
        <w:t xml:space="preserve"> 23) </w:t>
      </w:r>
      <w:r w:rsidR="00BD325E" w:rsidRPr="00995557">
        <w:t>Enrique José González</w:t>
      </w:r>
      <w:r w:rsidR="00D11193" w:rsidRPr="00995557">
        <w:t>;</w:t>
      </w:r>
      <w:r w:rsidR="004F7495" w:rsidRPr="00995557">
        <w:t xml:space="preserve"> 24) </w:t>
      </w:r>
      <w:r w:rsidR="00BD325E" w:rsidRPr="00995557">
        <w:t>Javier Omar Lara</w:t>
      </w:r>
      <w:r w:rsidR="00D11193" w:rsidRPr="00995557">
        <w:t>;</w:t>
      </w:r>
      <w:r w:rsidR="004F7495" w:rsidRPr="00995557">
        <w:t xml:space="preserve"> 25) </w:t>
      </w:r>
      <w:r w:rsidR="00BD325E" w:rsidRPr="00995557">
        <w:t>José Efraín Rosales Navas</w:t>
      </w:r>
      <w:r w:rsidR="00D11193" w:rsidRPr="00995557">
        <w:t>;</w:t>
      </w:r>
      <w:r w:rsidR="004F7495" w:rsidRPr="00995557">
        <w:t xml:space="preserve"> 26) </w:t>
      </w:r>
      <w:r w:rsidR="00BD325E" w:rsidRPr="00995557">
        <w:t>Levis Simoza</w:t>
      </w:r>
      <w:r w:rsidR="00D11193" w:rsidRPr="00995557">
        <w:t>,</w:t>
      </w:r>
      <w:r w:rsidR="004F7495" w:rsidRPr="00995557">
        <w:t xml:space="preserve"> y 27) </w:t>
      </w:r>
      <w:r w:rsidR="00BD325E" w:rsidRPr="00995557">
        <w:t>Marco Antonio Ruíz Sucre</w:t>
      </w:r>
      <w:r w:rsidR="003D57AF" w:rsidRPr="00995557">
        <w:rPr>
          <w:rStyle w:val="Refdenotaalpie"/>
        </w:rPr>
        <w:footnoteReference w:id="70"/>
      </w:r>
      <w:r w:rsidR="00151516" w:rsidRPr="00995557">
        <w:t>.</w:t>
      </w:r>
    </w:p>
    <w:p w14:paraId="331F778C" w14:textId="77777777" w:rsidR="00446939" w:rsidRPr="00995557" w:rsidRDefault="00446939" w:rsidP="00AA627A">
      <w:pPr>
        <w:widowControl w:val="0"/>
        <w:tabs>
          <w:tab w:val="left" w:pos="567"/>
        </w:tabs>
        <w:jc w:val="both"/>
      </w:pPr>
    </w:p>
    <w:p w14:paraId="5939F180" w14:textId="77777777" w:rsidR="00DE4E8A" w:rsidRPr="00995557" w:rsidRDefault="00DE4E8A" w:rsidP="00AA627A">
      <w:pPr>
        <w:pStyle w:val="Ttulo2"/>
        <w:widowControl w:val="0"/>
        <w:numPr>
          <w:ilvl w:val="0"/>
          <w:numId w:val="0"/>
        </w:numPr>
        <w:tabs>
          <w:tab w:val="left" w:pos="567"/>
        </w:tabs>
        <w:spacing w:before="0" w:after="0"/>
        <w:ind w:left="567"/>
      </w:pPr>
      <w:bookmarkStart w:id="110" w:name="_Toc53741451"/>
      <w:bookmarkStart w:id="111" w:name="_Toc58399119"/>
      <w:r w:rsidRPr="00995557">
        <w:t>C. Investigaci</w:t>
      </w:r>
      <w:r w:rsidR="00B20475" w:rsidRPr="00995557">
        <w:t>ó</w:t>
      </w:r>
      <w:r w:rsidR="003F3EB2" w:rsidRPr="00995557">
        <w:t>n</w:t>
      </w:r>
      <w:r w:rsidRPr="00995557">
        <w:t xml:space="preserve"> </w:t>
      </w:r>
      <w:r w:rsidR="0096436F" w:rsidRPr="00995557">
        <w:t>y proceso judicial ante la jurisdicción interna</w:t>
      </w:r>
      <w:bookmarkEnd w:id="110"/>
      <w:bookmarkEnd w:id="111"/>
    </w:p>
    <w:p w14:paraId="1EF2ABD2" w14:textId="77777777" w:rsidR="00446939" w:rsidRPr="00995557" w:rsidRDefault="00446939" w:rsidP="00AA627A">
      <w:pPr>
        <w:pStyle w:val="Ttulo2"/>
        <w:widowControl w:val="0"/>
        <w:numPr>
          <w:ilvl w:val="0"/>
          <w:numId w:val="0"/>
        </w:numPr>
        <w:tabs>
          <w:tab w:val="left" w:pos="567"/>
        </w:tabs>
        <w:spacing w:before="0" w:after="0"/>
        <w:ind w:left="1134"/>
      </w:pPr>
    </w:p>
    <w:p w14:paraId="5EB6557A" w14:textId="77777777" w:rsidR="001F6B5A" w:rsidRPr="00995557" w:rsidRDefault="00703165" w:rsidP="00AA627A">
      <w:pPr>
        <w:pStyle w:val="Ttulo2"/>
        <w:widowControl w:val="0"/>
        <w:numPr>
          <w:ilvl w:val="0"/>
          <w:numId w:val="0"/>
        </w:numPr>
        <w:tabs>
          <w:tab w:val="clear" w:pos="1134"/>
          <w:tab w:val="left" w:pos="567"/>
          <w:tab w:val="left" w:pos="1418"/>
        </w:tabs>
        <w:spacing w:before="0" w:after="0"/>
        <w:ind w:left="1418" w:hanging="567"/>
        <w:rPr>
          <w:b w:val="0"/>
          <w:bCs/>
        </w:rPr>
      </w:pPr>
      <w:bookmarkStart w:id="112" w:name="_Toc53741452"/>
      <w:bookmarkStart w:id="113" w:name="_Toc58399120"/>
      <w:r w:rsidRPr="00995557">
        <w:rPr>
          <w:b w:val="0"/>
          <w:bCs/>
        </w:rPr>
        <w:t>C.1. Investigación de los hechos</w:t>
      </w:r>
      <w:bookmarkEnd w:id="112"/>
      <w:bookmarkEnd w:id="113"/>
    </w:p>
    <w:p w14:paraId="13FA2062" w14:textId="77777777" w:rsidR="00703165" w:rsidRPr="00995557" w:rsidRDefault="00703165" w:rsidP="00AA627A">
      <w:pPr>
        <w:pStyle w:val="Prrafodelista"/>
        <w:widowControl w:val="0"/>
        <w:tabs>
          <w:tab w:val="left" w:pos="567"/>
        </w:tabs>
        <w:ind w:left="0"/>
        <w:jc w:val="both"/>
      </w:pPr>
    </w:p>
    <w:p w14:paraId="7DB91B20" w14:textId="27E430FA" w:rsidR="004E34C2" w:rsidRPr="00995557" w:rsidRDefault="00230FF1" w:rsidP="00AA627A">
      <w:pPr>
        <w:pStyle w:val="Prrafodelista"/>
        <w:widowControl w:val="0"/>
        <w:numPr>
          <w:ilvl w:val="0"/>
          <w:numId w:val="2"/>
        </w:numPr>
        <w:tabs>
          <w:tab w:val="left" w:pos="567"/>
        </w:tabs>
        <w:ind w:left="0" w:firstLine="0"/>
        <w:jc w:val="both"/>
      </w:pPr>
      <w:r w:rsidRPr="00995557">
        <w:t xml:space="preserve">La investigación </w:t>
      </w:r>
      <w:r w:rsidR="00C13589" w:rsidRPr="00995557">
        <w:t>inició</w:t>
      </w:r>
      <w:r w:rsidRPr="00995557">
        <w:t xml:space="preserve"> el mismo día de los hechos</w:t>
      </w:r>
      <w:r w:rsidR="00822D1F" w:rsidRPr="00995557">
        <w:rPr>
          <w:rStyle w:val="Refdenotaalpie"/>
        </w:rPr>
        <w:footnoteReference w:id="71"/>
      </w:r>
      <w:r w:rsidR="00E84B64" w:rsidRPr="00995557">
        <w:t>.</w:t>
      </w:r>
      <w:r w:rsidR="00C13589" w:rsidRPr="00995557">
        <w:t xml:space="preserve"> A partir de esa fecha se habría</w:t>
      </w:r>
      <w:r w:rsidR="005727A5" w:rsidRPr="00995557">
        <w:t>n</w:t>
      </w:r>
      <w:r w:rsidR="00591126" w:rsidRPr="00995557">
        <w:t xml:space="preserve"> </w:t>
      </w:r>
      <w:r w:rsidR="00C13589" w:rsidRPr="00995557">
        <w:t xml:space="preserve">practicado </w:t>
      </w:r>
      <w:r w:rsidR="005727A5" w:rsidRPr="00995557">
        <w:t>distintas</w:t>
      </w:r>
      <w:r w:rsidR="00C13589" w:rsidRPr="00995557">
        <w:t xml:space="preserve"> diligencias de investigaci</w:t>
      </w:r>
      <w:r w:rsidR="00E84B64" w:rsidRPr="00995557">
        <w:t>ón</w:t>
      </w:r>
      <w:r w:rsidR="006725B4" w:rsidRPr="00995557">
        <w:t>,</w:t>
      </w:r>
      <w:r w:rsidR="00E84B64" w:rsidRPr="00995557">
        <w:t xml:space="preserve"> </w:t>
      </w:r>
      <w:r w:rsidR="00B148D5" w:rsidRPr="00995557">
        <w:t xml:space="preserve">incluidas </w:t>
      </w:r>
      <w:r w:rsidR="00503519" w:rsidRPr="00995557">
        <w:t>siete</w:t>
      </w:r>
      <w:r w:rsidR="00B148D5" w:rsidRPr="00995557">
        <w:t xml:space="preserve"> autopsias, declaraciones bajo la figura de prueba anticipada, entrevistas, inspecciones oculares, reconocimientos </w:t>
      </w:r>
      <w:proofErr w:type="gramStart"/>
      <w:r w:rsidR="00B148D5" w:rsidRPr="00995557">
        <w:t>m</w:t>
      </w:r>
      <w:r w:rsidR="006725B4" w:rsidRPr="00995557">
        <w:t>é</w:t>
      </w:r>
      <w:r w:rsidR="00B148D5" w:rsidRPr="00995557">
        <w:t>dico</w:t>
      </w:r>
      <w:r w:rsidR="006725B4" w:rsidRPr="00995557">
        <w:t xml:space="preserve"> </w:t>
      </w:r>
      <w:r w:rsidR="00B148D5" w:rsidRPr="00995557">
        <w:t>legales</w:t>
      </w:r>
      <w:proofErr w:type="gramEnd"/>
      <w:r w:rsidR="00B148D5" w:rsidRPr="00995557">
        <w:t>, exámenes m</w:t>
      </w:r>
      <w:r w:rsidR="006725B4" w:rsidRPr="00995557">
        <w:t>é</w:t>
      </w:r>
      <w:r w:rsidR="00B148D5" w:rsidRPr="00995557">
        <w:t xml:space="preserve">dico forenses, </w:t>
      </w:r>
      <w:r w:rsidR="00EC5A1E" w:rsidRPr="00995557">
        <w:t>experticias de reconocimiento de armas, balas y proyectiles, y comparación balística</w:t>
      </w:r>
      <w:r w:rsidR="006725B4" w:rsidRPr="00995557">
        <w:t xml:space="preserve">, y </w:t>
      </w:r>
      <w:r w:rsidR="005727A5" w:rsidRPr="00995557">
        <w:t>exhumaci</w:t>
      </w:r>
      <w:r w:rsidR="006725B4" w:rsidRPr="00995557">
        <w:t>ones</w:t>
      </w:r>
      <w:r w:rsidR="005727A5" w:rsidRPr="00995557">
        <w:t xml:space="preserve"> de </w:t>
      </w:r>
      <w:r w:rsidR="006725B4" w:rsidRPr="00995557">
        <w:t>cadáveres</w:t>
      </w:r>
      <w:r w:rsidR="005727A5" w:rsidRPr="00995557">
        <w:t>, entre otras</w:t>
      </w:r>
      <w:r w:rsidR="005727A5" w:rsidRPr="00995557">
        <w:rPr>
          <w:rStyle w:val="Refdenotaalpie"/>
        </w:rPr>
        <w:footnoteReference w:id="72"/>
      </w:r>
      <w:r w:rsidR="005727A5" w:rsidRPr="00995557">
        <w:t>.</w:t>
      </w:r>
    </w:p>
    <w:p w14:paraId="41529E6D" w14:textId="77777777" w:rsidR="003F30D8" w:rsidRPr="00995557" w:rsidRDefault="003F30D8" w:rsidP="00AA627A">
      <w:pPr>
        <w:pStyle w:val="Prrafodelista"/>
        <w:widowControl w:val="0"/>
        <w:tabs>
          <w:tab w:val="left" w:pos="567"/>
        </w:tabs>
        <w:ind w:left="0"/>
        <w:jc w:val="both"/>
      </w:pPr>
    </w:p>
    <w:p w14:paraId="1994828F" w14:textId="77777777" w:rsidR="00343AC7" w:rsidRPr="00995557" w:rsidRDefault="00343AC7" w:rsidP="00AA627A">
      <w:pPr>
        <w:pStyle w:val="Ttulo2"/>
        <w:widowControl w:val="0"/>
        <w:numPr>
          <w:ilvl w:val="0"/>
          <w:numId w:val="0"/>
        </w:numPr>
        <w:tabs>
          <w:tab w:val="clear" w:pos="1134"/>
          <w:tab w:val="left" w:pos="567"/>
          <w:tab w:val="left" w:pos="1418"/>
        </w:tabs>
        <w:spacing w:before="0" w:after="0"/>
        <w:ind w:left="1418" w:hanging="567"/>
        <w:rPr>
          <w:b w:val="0"/>
          <w:bCs/>
          <w:color w:val="FF0000"/>
        </w:rPr>
      </w:pPr>
      <w:bookmarkStart w:id="114" w:name="_Toc53741453"/>
      <w:bookmarkStart w:id="115" w:name="_Toc58399121"/>
      <w:r w:rsidRPr="00995557">
        <w:rPr>
          <w:b w:val="0"/>
          <w:bCs/>
        </w:rPr>
        <w:t xml:space="preserve">C.2. </w:t>
      </w:r>
      <w:r w:rsidR="00C36291" w:rsidRPr="00995557">
        <w:rPr>
          <w:b w:val="0"/>
          <w:bCs/>
        </w:rPr>
        <w:t>A</w:t>
      </w:r>
      <w:r w:rsidRPr="00995557">
        <w:rPr>
          <w:b w:val="0"/>
          <w:bCs/>
        </w:rPr>
        <w:t xml:space="preserve">utopsias </w:t>
      </w:r>
      <w:r w:rsidR="00B352DC" w:rsidRPr="00995557">
        <w:rPr>
          <w:b w:val="0"/>
          <w:bCs/>
        </w:rPr>
        <w:t>y exhumaciones de los cadáveres</w:t>
      </w:r>
      <w:bookmarkEnd w:id="114"/>
      <w:bookmarkEnd w:id="115"/>
    </w:p>
    <w:p w14:paraId="71615BF2" w14:textId="77777777" w:rsidR="006755FC" w:rsidRPr="00995557" w:rsidRDefault="006755FC" w:rsidP="00AA627A">
      <w:pPr>
        <w:pStyle w:val="Prrafodelista"/>
        <w:widowControl w:val="0"/>
        <w:tabs>
          <w:tab w:val="left" w:pos="567"/>
        </w:tabs>
      </w:pPr>
    </w:p>
    <w:p w14:paraId="3F11555D" w14:textId="77777777" w:rsidR="00A40E14" w:rsidRPr="00995557" w:rsidRDefault="009C6580" w:rsidP="00AA627A">
      <w:pPr>
        <w:pStyle w:val="Prrafodelista"/>
        <w:widowControl w:val="0"/>
        <w:numPr>
          <w:ilvl w:val="0"/>
          <w:numId w:val="2"/>
        </w:numPr>
        <w:tabs>
          <w:tab w:val="left" w:pos="567"/>
        </w:tabs>
        <w:ind w:left="0" w:firstLine="0"/>
        <w:jc w:val="both"/>
      </w:pPr>
      <w:r w:rsidRPr="00995557">
        <w:t>El 11 de noviembre de 2003</w:t>
      </w:r>
      <w:r w:rsidR="007B22CB" w:rsidRPr="00995557">
        <w:t xml:space="preserve"> patólogos a</w:t>
      </w:r>
      <w:r w:rsidR="00E828A2" w:rsidRPr="00995557">
        <w:t>d</w:t>
      </w:r>
      <w:r w:rsidR="007B22CB" w:rsidRPr="00995557">
        <w:t xml:space="preserve">scritos a la Medicatura Forense del Cuerpo de Investigaciones Científicas Penales y Criminalísticas, Subdelegación Ciudad Bolívar, </w:t>
      </w:r>
      <w:r w:rsidRPr="00995557">
        <w:t xml:space="preserve">practicaron </w:t>
      </w:r>
      <w:proofErr w:type="gramStart"/>
      <w:r w:rsidRPr="00995557">
        <w:t>autopsias a los cadáveres</w:t>
      </w:r>
      <w:proofErr w:type="gramEnd"/>
      <w:r w:rsidRPr="00995557">
        <w:t xml:space="preserve"> de las </w:t>
      </w:r>
      <w:r w:rsidR="00146FDE" w:rsidRPr="00995557">
        <w:t>siete</w:t>
      </w:r>
      <w:r w:rsidRPr="00995557">
        <w:t xml:space="preserve"> personas fallecidas.</w:t>
      </w:r>
      <w:r w:rsidR="00F52870" w:rsidRPr="00995557">
        <w:t xml:space="preserve"> </w:t>
      </w:r>
    </w:p>
    <w:p w14:paraId="1704B3C5" w14:textId="77777777" w:rsidR="00A40E14" w:rsidRPr="00995557" w:rsidRDefault="00A40E14" w:rsidP="00AA627A">
      <w:pPr>
        <w:pStyle w:val="Prrafodelista"/>
        <w:widowControl w:val="0"/>
        <w:tabs>
          <w:tab w:val="left" w:pos="567"/>
        </w:tabs>
        <w:ind w:left="0"/>
        <w:jc w:val="both"/>
      </w:pPr>
    </w:p>
    <w:p w14:paraId="2A713E05" w14:textId="77777777" w:rsidR="007B22CB" w:rsidRPr="00995557" w:rsidRDefault="00F52870" w:rsidP="00AA627A">
      <w:pPr>
        <w:pStyle w:val="Prrafodelista"/>
        <w:widowControl w:val="0"/>
        <w:numPr>
          <w:ilvl w:val="0"/>
          <w:numId w:val="2"/>
        </w:numPr>
        <w:tabs>
          <w:tab w:val="left" w:pos="567"/>
        </w:tabs>
        <w:ind w:left="0" w:firstLine="0"/>
        <w:jc w:val="both"/>
      </w:pPr>
      <w:r w:rsidRPr="00995557">
        <w:t>Por su parte, e</w:t>
      </w:r>
      <w:r w:rsidR="007B22CB" w:rsidRPr="00995557">
        <w:t>l 19 de enero de 2004 el Ministerio Público solicitó la</w:t>
      </w:r>
      <w:r w:rsidR="00A40E14" w:rsidRPr="00995557">
        <w:t>s exhumaciones</w:t>
      </w:r>
      <w:r w:rsidR="007B22CB" w:rsidRPr="00995557">
        <w:t xml:space="preserve"> de </w:t>
      </w:r>
      <w:r w:rsidR="00146FDE" w:rsidRPr="00995557">
        <w:t>cinco</w:t>
      </w:r>
      <w:r w:rsidR="007B22CB" w:rsidRPr="00995557">
        <w:t xml:space="preserve"> de los cadáveres, l</w:t>
      </w:r>
      <w:r w:rsidR="00B352DC" w:rsidRPr="00995557">
        <w:t>a</w:t>
      </w:r>
      <w:r w:rsidR="00A40E14" w:rsidRPr="00995557">
        <w:t>s</w:t>
      </w:r>
      <w:r w:rsidR="007B22CB" w:rsidRPr="00995557">
        <w:t xml:space="preserve"> que fue</w:t>
      </w:r>
      <w:r w:rsidR="00A40E14" w:rsidRPr="00995557">
        <w:t>ron</w:t>
      </w:r>
      <w:r w:rsidR="007B22CB" w:rsidRPr="00995557">
        <w:t xml:space="preserve"> autorizad</w:t>
      </w:r>
      <w:r w:rsidR="00B352DC" w:rsidRPr="00995557">
        <w:t>a</w:t>
      </w:r>
      <w:r w:rsidR="00A40E14" w:rsidRPr="00995557">
        <w:t>s</w:t>
      </w:r>
      <w:r w:rsidR="007B22CB" w:rsidRPr="00995557">
        <w:t xml:space="preserve"> </w:t>
      </w:r>
      <w:r w:rsidR="0038110E" w:rsidRPr="00995557">
        <w:t>el</w:t>
      </w:r>
      <w:r w:rsidR="007B22CB" w:rsidRPr="00995557">
        <w:t xml:space="preserve"> 26 de enero de 2004 por el Juzgado Primero de Primera Instancia de Control del Circuito Judicial Penal del Estado Bolívar, Extensión Territorial Puerto Ordaz</w:t>
      </w:r>
      <w:r w:rsidR="007B22CB" w:rsidRPr="00995557">
        <w:rPr>
          <w:rStyle w:val="Refdenotaalpie"/>
        </w:rPr>
        <w:footnoteReference w:id="73"/>
      </w:r>
      <w:r w:rsidR="007B22CB" w:rsidRPr="00995557">
        <w:t>.</w:t>
      </w:r>
    </w:p>
    <w:p w14:paraId="55651B29" w14:textId="77777777" w:rsidR="001E44E8" w:rsidRPr="00995557" w:rsidRDefault="001E44E8" w:rsidP="00AA627A">
      <w:pPr>
        <w:pStyle w:val="Prrafodelista"/>
        <w:widowControl w:val="0"/>
        <w:tabs>
          <w:tab w:val="left" w:pos="567"/>
        </w:tabs>
        <w:ind w:left="0"/>
        <w:jc w:val="both"/>
      </w:pPr>
    </w:p>
    <w:p w14:paraId="22CFC977" w14:textId="3CBCFBF6" w:rsidR="001E44E8" w:rsidRPr="00995557" w:rsidRDefault="001E44E8" w:rsidP="00AA627A">
      <w:pPr>
        <w:pStyle w:val="Prrafodelista"/>
        <w:widowControl w:val="0"/>
        <w:numPr>
          <w:ilvl w:val="0"/>
          <w:numId w:val="2"/>
        </w:numPr>
        <w:tabs>
          <w:tab w:val="left" w:pos="567"/>
        </w:tabs>
        <w:ind w:left="0" w:firstLine="0"/>
        <w:jc w:val="both"/>
      </w:pPr>
      <w:r w:rsidRPr="00995557">
        <w:lastRenderedPageBreak/>
        <w:t xml:space="preserve">Las exhumaciones de los cadáveres de Richard Alexis Palma, Orangel José Figueroa, José Gregorio Bolívar Corro, Héctor Javier Muñoz Valerio y Joel </w:t>
      </w:r>
      <w:r w:rsidR="00A655AF" w:rsidRPr="00995557">
        <w:t>Ronaldy</w:t>
      </w:r>
      <w:r w:rsidRPr="00995557">
        <w:t xml:space="preserve"> Reyes Nava fueron realizadas los días 4 y 5 de febrero de 2004 por </w:t>
      </w:r>
      <w:r w:rsidR="00146FDE" w:rsidRPr="00995557">
        <w:t>Antonietta de Dominicis</w:t>
      </w:r>
      <w:r w:rsidRPr="00995557">
        <w:t xml:space="preserve"> y Leny Rojas, expertas adscritas a la Coordinación Nacional de Ciencias Forenses del Cuerpo de Investigaciones Científicas Penales y Criminalísticas; ambas profesionales rindieron el informe de 22 de marzo de 2004, en el que se refirieron a las exhumaciones efectuadas y a las autopsias practicadas, para lo cual acompañaron fotografías tomadas durante las diligencias</w:t>
      </w:r>
      <w:r w:rsidR="00826E1A" w:rsidRPr="00995557">
        <w:rPr>
          <w:rStyle w:val="Refdenotaalpie"/>
        </w:rPr>
        <w:footnoteReference w:id="74"/>
      </w:r>
      <w:r w:rsidRPr="00995557">
        <w:t>.</w:t>
      </w:r>
    </w:p>
    <w:p w14:paraId="18709E58" w14:textId="77777777" w:rsidR="001E44E8" w:rsidRPr="00995557" w:rsidRDefault="001E44E8" w:rsidP="00AA627A">
      <w:pPr>
        <w:pStyle w:val="Prrafodelista"/>
        <w:widowControl w:val="0"/>
        <w:tabs>
          <w:tab w:val="left" w:pos="567"/>
        </w:tabs>
      </w:pPr>
    </w:p>
    <w:p w14:paraId="33774DB7" w14:textId="7DED4340" w:rsidR="00826E1A" w:rsidRPr="00995557" w:rsidRDefault="001E44E8" w:rsidP="00AA627A">
      <w:pPr>
        <w:pStyle w:val="Prrafodelista"/>
        <w:widowControl w:val="0"/>
        <w:numPr>
          <w:ilvl w:val="0"/>
          <w:numId w:val="2"/>
        </w:numPr>
        <w:tabs>
          <w:tab w:val="left" w:pos="567"/>
        </w:tabs>
        <w:ind w:left="0" w:firstLine="0"/>
        <w:jc w:val="both"/>
      </w:pPr>
      <w:bookmarkStart w:id="116" w:name="_Hlk40213151"/>
      <w:r w:rsidRPr="00995557">
        <w:t>En cuanto a Richard Alexis Palma, según la autopsia de 11 de noviembre de 2003, la causa de la muerte fue “shock hipovolémico por hemorragia interna debido a 01 herida por arma de fuego”</w:t>
      </w:r>
      <w:r w:rsidRPr="00995557">
        <w:rPr>
          <w:rStyle w:val="Refdenotaalpie"/>
        </w:rPr>
        <w:footnoteReference w:id="75"/>
      </w:r>
      <w:r w:rsidRPr="00995557">
        <w:t>. Por su parte, en el informe de exhumación y autopsia de 22 de marzo de 2004 se concluyó que la causa de muerte fue “[fractura de cráneo debido a herida por arma de fuego a la cabeza</w:t>
      </w:r>
      <w:r w:rsidR="00613AE5" w:rsidRPr="00995557">
        <w:t>]</w:t>
      </w:r>
      <w:r w:rsidRPr="00995557">
        <w:t>”, habiéndose precisado que del examen realizado al cadáver se constató que previamente no se le había practicado autopsia craneana</w:t>
      </w:r>
      <w:r w:rsidRPr="00995557">
        <w:rPr>
          <w:rStyle w:val="Refdenotaalpie"/>
        </w:rPr>
        <w:footnoteReference w:id="76"/>
      </w:r>
      <w:r w:rsidRPr="00995557">
        <w:t>.</w:t>
      </w:r>
    </w:p>
    <w:p w14:paraId="02ED44B8" w14:textId="77777777" w:rsidR="00826E1A" w:rsidRPr="00995557" w:rsidRDefault="00826E1A" w:rsidP="00AA627A">
      <w:pPr>
        <w:widowControl w:val="0"/>
        <w:tabs>
          <w:tab w:val="left" w:pos="567"/>
        </w:tabs>
        <w:jc w:val="both"/>
      </w:pPr>
    </w:p>
    <w:p w14:paraId="6371F526" w14:textId="09D53FB7" w:rsidR="00826E1A" w:rsidRPr="00995557" w:rsidRDefault="001E44E8" w:rsidP="00AA627A">
      <w:pPr>
        <w:pStyle w:val="Prrafodelista"/>
        <w:widowControl w:val="0"/>
        <w:numPr>
          <w:ilvl w:val="0"/>
          <w:numId w:val="2"/>
        </w:numPr>
        <w:tabs>
          <w:tab w:val="left" w:pos="567"/>
        </w:tabs>
        <w:ind w:left="0" w:firstLine="0"/>
        <w:jc w:val="both"/>
      </w:pPr>
      <w:r w:rsidRPr="00995557">
        <w:t>Respecto de Orangel José Figueroa, la autopsia de 11 de noviembre de 2003 señaló que la causa de la muerte fue “shock hipovolémico por hemorragia interna debido a herida por arma de fuego”</w:t>
      </w:r>
      <w:r w:rsidRPr="00995557">
        <w:rPr>
          <w:rStyle w:val="Refdenotaalpie"/>
        </w:rPr>
        <w:footnoteReference w:id="77"/>
      </w:r>
      <w:r w:rsidRPr="00995557">
        <w:t>. En el informe de exhumación y autopsia de 22 de marzo de 2004 se indicó que la causa de muerte fue “[shock</w:t>
      </w:r>
      <w:r w:rsidR="00FA4853" w:rsidRPr="00995557">
        <w:t xml:space="preserve"> </w:t>
      </w:r>
      <w:r w:rsidRPr="00995557">
        <w:t>hipovolémico debido a herida por arma de fuego</w:t>
      </w:r>
      <w:r w:rsidR="00FA4853" w:rsidRPr="00995557">
        <w:t>]</w:t>
      </w:r>
      <w:r w:rsidRPr="00995557">
        <w:t>”, y se refirió que previamente no se había practicado autopsia craneana</w:t>
      </w:r>
      <w:r w:rsidRPr="00995557">
        <w:rPr>
          <w:rStyle w:val="Refdenotaalpie"/>
        </w:rPr>
        <w:footnoteReference w:id="78"/>
      </w:r>
      <w:r w:rsidRPr="00995557">
        <w:t>.</w:t>
      </w:r>
    </w:p>
    <w:p w14:paraId="25D69663" w14:textId="77777777" w:rsidR="001E44E8" w:rsidRPr="00995557" w:rsidRDefault="001E44E8" w:rsidP="00AA627A">
      <w:pPr>
        <w:pStyle w:val="Prrafodelista"/>
        <w:widowControl w:val="0"/>
        <w:tabs>
          <w:tab w:val="left" w:pos="567"/>
        </w:tabs>
        <w:ind w:left="0"/>
        <w:jc w:val="both"/>
      </w:pPr>
    </w:p>
    <w:p w14:paraId="34542DCE" w14:textId="1463F7D8" w:rsidR="001E44E8" w:rsidRPr="00995557" w:rsidRDefault="00A40E14" w:rsidP="00AA627A">
      <w:pPr>
        <w:pStyle w:val="Prrafodelista"/>
        <w:widowControl w:val="0"/>
        <w:numPr>
          <w:ilvl w:val="0"/>
          <w:numId w:val="2"/>
        </w:numPr>
        <w:tabs>
          <w:tab w:val="left" w:pos="567"/>
        </w:tabs>
        <w:ind w:left="0" w:firstLine="0"/>
        <w:jc w:val="both"/>
      </w:pPr>
      <w:r w:rsidRPr="00995557">
        <w:t>E</w:t>
      </w:r>
      <w:r w:rsidR="001E44E8" w:rsidRPr="00995557">
        <w:t>n cuanto a José Gregorio Bolívar Corro, la autopsia de 11 de noviembre de 2003 concluyó que la causa de muerte fue “traumatismo cráneo encefálico y shock hipovol</w:t>
      </w:r>
      <w:r w:rsidR="00FA4853" w:rsidRPr="00995557">
        <w:t>[</w:t>
      </w:r>
      <w:r w:rsidR="001E44E8" w:rsidRPr="00995557">
        <w:t>é</w:t>
      </w:r>
      <w:r w:rsidR="00FA4853" w:rsidRPr="00995557">
        <w:t>]</w:t>
      </w:r>
      <w:r w:rsidR="001E44E8" w:rsidRPr="00995557">
        <w:t>mico por herida de arma de fuego”</w:t>
      </w:r>
      <w:r w:rsidR="001E44E8" w:rsidRPr="00995557">
        <w:rPr>
          <w:rStyle w:val="Refdenotaalpie"/>
        </w:rPr>
        <w:footnoteReference w:id="79"/>
      </w:r>
      <w:r w:rsidR="001E44E8" w:rsidRPr="00995557">
        <w:t>. Según el informe de exhumación y autopsia de 22 de marzo de 2004, la causa de muerte fue “[fractura de cráneo debido a herida por arma de fuego a la cabeza</w:t>
      </w:r>
      <w:r w:rsidR="00FA4853" w:rsidRPr="00995557">
        <w:t>]</w:t>
      </w:r>
      <w:r w:rsidR="00503519" w:rsidRPr="00995557">
        <w:t>”.</w:t>
      </w:r>
      <w:r w:rsidR="001E44E8" w:rsidRPr="00995557">
        <w:t xml:space="preserve"> </w:t>
      </w:r>
      <w:r w:rsidR="00503519" w:rsidRPr="00995557">
        <w:t>A</w:t>
      </w:r>
      <w:r w:rsidR="001E44E8" w:rsidRPr="00995557">
        <w:t>simismo, en dicho informe se indicó que del examen del cadáver se constató que previamente no se había practicado autopsia craneana</w:t>
      </w:r>
      <w:r w:rsidR="001E44E8" w:rsidRPr="00995557">
        <w:rPr>
          <w:rStyle w:val="Refdenotaalpie"/>
        </w:rPr>
        <w:footnoteReference w:id="80"/>
      </w:r>
      <w:r w:rsidR="001E44E8" w:rsidRPr="00995557">
        <w:t>.</w:t>
      </w:r>
    </w:p>
    <w:p w14:paraId="1C6E0983" w14:textId="77777777" w:rsidR="001E44E8" w:rsidRPr="00995557" w:rsidRDefault="001E44E8" w:rsidP="00AA627A">
      <w:pPr>
        <w:pStyle w:val="Prrafodelista"/>
        <w:widowControl w:val="0"/>
        <w:tabs>
          <w:tab w:val="left" w:pos="567"/>
        </w:tabs>
      </w:pPr>
    </w:p>
    <w:p w14:paraId="446F999E" w14:textId="6DCAE494" w:rsidR="001E44E8" w:rsidRPr="00995557" w:rsidRDefault="001E44E8" w:rsidP="00AA627A">
      <w:pPr>
        <w:pStyle w:val="Prrafodelista"/>
        <w:widowControl w:val="0"/>
        <w:numPr>
          <w:ilvl w:val="0"/>
          <w:numId w:val="2"/>
        </w:numPr>
        <w:tabs>
          <w:tab w:val="left" w:pos="567"/>
        </w:tabs>
        <w:ind w:left="0" w:firstLine="0"/>
        <w:jc w:val="both"/>
      </w:pPr>
      <w:r w:rsidRPr="00995557">
        <w:t>En lo que concierne a Héctor Javier Muñoz Valerio, según la autopsia de 11 de noviembre de 2003, la causa de la muerte fue “traumatismo cráneo encefálico por 01 herida por arma de fuego”</w:t>
      </w:r>
      <w:r w:rsidRPr="00995557">
        <w:rPr>
          <w:rStyle w:val="Refdenotaalpie"/>
        </w:rPr>
        <w:footnoteReference w:id="81"/>
      </w:r>
      <w:r w:rsidRPr="00995557">
        <w:t>. Por su parte, en el informe de exhumación y autopsia de 22 de marzo de 2004, se concluyó que la causa de la muerte fue “[fractura polifragmentaria de cráneo debido a heridas por arma de fuego a la cabeza</w:t>
      </w:r>
      <w:r w:rsidR="00FA4853" w:rsidRPr="00995557">
        <w:t>]</w:t>
      </w:r>
      <w:r w:rsidRPr="00995557">
        <w:t>”, y se precisó además que al cadáver no se le había practicado previamente autopsia craneana</w:t>
      </w:r>
      <w:r w:rsidRPr="00995557">
        <w:rPr>
          <w:rStyle w:val="Refdenotaalpie"/>
        </w:rPr>
        <w:footnoteReference w:id="82"/>
      </w:r>
      <w:r w:rsidRPr="00995557">
        <w:t>.</w:t>
      </w:r>
    </w:p>
    <w:p w14:paraId="086510A1" w14:textId="77777777" w:rsidR="001E44E8" w:rsidRPr="00995557" w:rsidRDefault="001E44E8" w:rsidP="00AA627A">
      <w:pPr>
        <w:pStyle w:val="Prrafodelista"/>
        <w:widowControl w:val="0"/>
        <w:tabs>
          <w:tab w:val="left" w:pos="567"/>
        </w:tabs>
      </w:pPr>
    </w:p>
    <w:p w14:paraId="283B95E1" w14:textId="5AB83633" w:rsidR="001E44E8" w:rsidRPr="00995557" w:rsidRDefault="001E44E8" w:rsidP="00AA627A">
      <w:pPr>
        <w:pStyle w:val="Prrafodelista"/>
        <w:widowControl w:val="0"/>
        <w:numPr>
          <w:ilvl w:val="0"/>
          <w:numId w:val="2"/>
        </w:numPr>
        <w:tabs>
          <w:tab w:val="left" w:pos="567"/>
        </w:tabs>
        <w:ind w:left="0" w:firstLine="0"/>
        <w:jc w:val="both"/>
      </w:pPr>
      <w:r w:rsidRPr="00995557">
        <w:t xml:space="preserve">Respecto de Joel </w:t>
      </w:r>
      <w:r w:rsidR="00A655AF" w:rsidRPr="00995557">
        <w:t>Ronaldy</w:t>
      </w:r>
      <w:r w:rsidRPr="00995557">
        <w:t xml:space="preserve"> Reyes Nava, la autopsia de 11 de noviembre de 2003 refirió como causa de muerte “traumatismo cráneo encefálico por 01 herida de arma de fuego”</w:t>
      </w:r>
      <w:r w:rsidRPr="00995557">
        <w:rPr>
          <w:rStyle w:val="Refdenotaalpie"/>
        </w:rPr>
        <w:footnoteReference w:id="83"/>
      </w:r>
      <w:r w:rsidRPr="00995557">
        <w:t>. El cadáver también fue exhumado en la diligencia realizada los días 4 y 5 de febrero de 2004</w:t>
      </w:r>
      <w:r w:rsidRPr="00995557">
        <w:rPr>
          <w:rStyle w:val="Refdenotaalpie"/>
        </w:rPr>
        <w:footnoteReference w:id="84"/>
      </w:r>
      <w:r w:rsidRPr="00995557">
        <w:t>.</w:t>
      </w:r>
      <w:bookmarkEnd w:id="116"/>
    </w:p>
    <w:p w14:paraId="10F1A4B8" w14:textId="77777777" w:rsidR="001E44E8" w:rsidRPr="00995557" w:rsidRDefault="001E44E8" w:rsidP="00AA627A">
      <w:pPr>
        <w:pStyle w:val="Prrafodelista"/>
        <w:widowControl w:val="0"/>
        <w:tabs>
          <w:tab w:val="left" w:pos="567"/>
        </w:tabs>
      </w:pPr>
    </w:p>
    <w:p w14:paraId="2148E15D" w14:textId="77777777" w:rsidR="001E44E8" w:rsidRPr="00995557" w:rsidRDefault="001E44E8" w:rsidP="00AA627A">
      <w:pPr>
        <w:pStyle w:val="Prrafodelista"/>
        <w:widowControl w:val="0"/>
        <w:numPr>
          <w:ilvl w:val="0"/>
          <w:numId w:val="2"/>
        </w:numPr>
        <w:tabs>
          <w:tab w:val="left" w:pos="567"/>
        </w:tabs>
        <w:ind w:left="0" w:firstLine="0"/>
        <w:jc w:val="both"/>
      </w:pPr>
      <w:r w:rsidRPr="00995557">
        <w:t>En cuanto a Orlando Edgardo Olivares Muñoz, la autopsia de 11 de noviembre de 2003 señaló que la causa de muerte fue “shock hipovolémico por hemorragia interna debido a heridas por arma de fuego y herida por arma blanca”</w:t>
      </w:r>
      <w:r w:rsidRPr="00995557">
        <w:rPr>
          <w:rStyle w:val="Refdenotaalpie"/>
        </w:rPr>
        <w:footnoteReference w:id="85"/>
      </w:r>
      <w:r w:rsidRPr="00995557">
        <w:t>.</w:t>
      </w:r>
    </w:p>
    <w:p w14:paraId="03FA814F" w14:textId="77777777" w:rsidR="00146FDE" w:rsidRPr="00995557" w:rsidRDefault="00146FDE" w:rsidP="00AA627A">
      <w:pPr>
        <w:pStyle w:val="Prrafodelista"/>
      </w:pPr>
    </w:p>
    <w:p w14:paraId="3C3F62FB" w14:textId="4211380F" w:rsidR="00146FDE" w:rsidRPr="00995557" w:rsidRDefault="00146FDE" w:rsidP="00AA627A">
      <w:pPr>
        <w:pStyle w:val="Prrafodelista"/>
        <w:widowControl w:val="0"/>
        <w:numPr>
          <w:ilvl w:val="0"/>
          <w:numId w:val="2"/>
        </w:numPr>
        <w:tabs>
          <w:tab w:val="left" w:pos="567"/>
        </w:tabs>
        <w:ind w:left="0" w:firstLine="0"/>
        <w:jc w:val="both"/>
      </w:pPr>
      <w:r w:rsidRPr="00995557">
        <w:t>En lo que atañe a Pedro Ramón López Chaurán, según la autopsia de 11 de noviembre de 2003, la causa de la muerte fue “traumatismo cráneo encefálico por heridas de arma de fuego”</w:t>
      </w:r>
      <w:r w:rsidRPr="00995557">
        <w:rPr>
          <w:rStyle w:val="Refdenotaalpie"/>
        </w:rPr>
        <w:footnoteReference w:id="86"/>
      </w:r>
      <w:r w:rsidRPr="00995557">
        <w:t>.</w:t>
      </w:r>
    </w:p>
    <w:p w14:paraId="66C50242" w14:textId="77777777" w:rsidR="00146FDE" w:rsidRPr="00995557" w:rsidRDefault="00146FDE" w:rsidP="00AA627A">
      <w:pPr>
        <w:pStyle w:val="Prrafodelista"/>
        <w:widowControl w:val="0"/>
        <w:tabs>
          <w:tab w:val="left" w:pos="567"/>
        </w:tabs>
        <w:ind w:left="0"/>
        <w:jc w:val="both"/>
      </w:pPr>
    </w:p>
    <w:p w14:paraId="2EF49E55" w14:textId="77777777" w:rsidR="00930AEA" w:rsidRPr="00995557" w:rsidRDefault="001E44E8" w:rsidP="00AA627A">
      <w:pPr>
        <w:pStyle w:val="Prrafodelista"/>
        <w:widowControl w:val="0"/>
        <w:numPr>
          <w:ilvl w:val="0"/>
          <w:numId w:val="2"/>
        </w:numPr>
        <w:tabs>
          <w:tab w:val="left" w:pos="567"/>
        </w:tabs>
        <w:ind w:left="0" w:firstLine="0"/>
        <w:jc w:val="both"/>
      </w:pPr>
      <w:r w:rsidRPr="00995557">
        <w:t>El Ministerio Público requirió la</w:t>
      </w:r>
      <w:r w:rsidR="00A40E14" w:rsidRPr="00995557">
        <w:t>s exhumacio</w:t>
      </w:r>
      <w:r w:rsidRPr="00995557">
        <w:t>n</w:t>
      </w:r>
      <w:r w:rsidR="00A40E14" w:rsidRPr="00995557">
        <w:t>es</w:t>
      </w:r>
      <w:r w:rsidRPr="00995557">
        <w:t xml:space="preserve"> de los cadáveres de Orlando Edgardo Olivares Muñoz</w:t>
      </w:r>
      <w:r w:rsidR="00146FDE" w:rsidRPr="00995557">
        <w:rPr>
          <w:rStyle w:val="Refdenotaalpie"/>
        </w:rPr>
        <w:footnoteReference w:id="87"/>
      </w:r>
      <w:r w:rsidRPr="00995557">
        <w:t xml:space="preserve"> y Pedro Ramón López Chaurán</w:t>
      </w:r>
      <w:r w:rsidR="00146FDE" w:rsidRPr="00995557">
        <w:rPr>
          <w:rStyle w:val="Refdenotaalpie"/>
        </w:rPr>
        <w:footnoteReference w:id="88"/>
      </w:r>
      <w:r w:rsidRPr="00995557">
        <w:t xml:space="preserve"> el 17 de marzo de 2004</w:t>
      </w:r>
      <w:r w:rsidRPr="00995557">
        <w:rPr>
          <w:rStyle w:val="Refdenotaalpie"/>
        </w:rPr>
        <w:footnoteReference w:id="89"/>
      </w:r>
      <w:r w:rsidR="00146FDE" w:rsidRPr="00995557">
        <w:t>; la diligencia se llevó a cabo el 21 de abril de 2004 y estuvo a cargo de la profesional Antonietta de Dominicis</w:t>
      </w:r>
      <w:r w:rsidR="00146FDE" w:rsidRPr="00995557">
        <w:rPr>
          <w:rStyle w:val="Refdenotaalpie"/>
        </w:rPr>
        <w:footnoteReference w:id="90"/>
      </w:r>
      <w:r w:rsidR="00146FDE" w:rsidRPr="00995557">
        <w:t>.</w:t>
      </w:r>
    </w:p>
    <w:p w14:paraId="796ADC1F" w14:textId="77777777" w:rsidR="008E3ECC" w:rsidRPr="00995557" w:rsidRDefault="008E3ECC" w:rsidP="00AA627A">
      <w:pPr>
        <w:pStyle w:val="Prrafodelista"/>
        <w:widowControl w:val="0"/>
        <w:tabs>
          <w:tab w:val="left" w:pos="567"/>
        </w:tabs>
        <w:ind w:left="0"/>
        <w:jc w:val="both"/>
      </w:pPr>
      <w:bookmarkStart w:id="117" w:name="_Hlk39868946"/>
    </w:p>
    <w:p w14:paraId="138B88C6" w14:textId="77777777" w:rsidR="00C36291" w:rsidRPr="00995557" w:rsidRDefault="00F47BFB" w:rsidP="00AA627A">
      <w:pPr>
        <w:pStyle w:val="Ttulo2"/>
        <w:widowControl w:val="0"/>
        <w:numPr>
          <w:ilvl w:val="0"/>
          <w:numId w:val="0"/>
        </w:numPr>
        <w:tabs>
          <w:tab w:val="clear" w:pos="1134"/>
          <w:tab w:val="left" w:pos="567"/>
          <w:tab w:val="left" w:pos="1418"/>
        </w:tabs>
        <w:spacing w:before="0" w:after="0"/>
        <w:ind w:left="1418" w:hanging="567"/>
        <w:rPr>
          <w:b w:val="0"/>
          <w:bCs/>
        </w:rPr>
      </w:pPr>
      <w:bookmarkStart w:id="118" w:name="_Hlk41505267"/>
      <w:bookmarkEnd w:id="102"/>
      <w:bookmarkEnd w:id="117"/>
      <w:r w:rsidRPr="00995557">
        <w:rPr>
          <w:b w:val="0"/>
          <w:bCs/>
        </w:rPr>
        <w:t xml:space="preserve"> </w:t>
      </w:r>
      <w:bookmarkStart w:id="119" w:name="_Toc53741454"/>
      <w:bookmarkStart w:id="120" w:name="_Toc58399122"/>
      <w:r w:rsidR="00C36291" w:rsidRPr="00995557">
        <w:rPr>
          <w:b w:val="0"/>
          <w:bCs/>
        </w:rPr>
        <w:t>C.</w:t>
      </w:r>
      <w:r w:rsidR="00877EB5" w:rsidRPr="00995557">
        <w:rPr>
          <w:b w:val="0"/>
          <w:bCs/>
        </w:rPr>
        <w:t>3</w:t>
      </w:r>
      <w:r w:rsidR="00C36291" w:rsidRPr="00995557">
        <w:rPr>
          <w:b w:val="0"/>
          <w:bCs/>
        </w:rPr>
        <w:t>. Proceso judicial</w:t>
      </w:r>
      <w:bookmarkEnd w:id="119"/>
      <w:bookmarkEnd w:id="120"/>
    </w:p>
    <w:p w14:paraId="6B0AE2FA" w14:textId="77777777" w:rsidR="00674724" w:rsidRPr="00995557" w:rsidRDefault="00674724" w:rsidP="00AA627A">
      <w:pPr>
        <w:widowControl w:val="0"/>
        <w:tabs>
          <w:tab w:val="left" w:pos="567"/>
        </w:tabs>
      </w:pPr>
    </w:p>
    <w:p w14:paraId="1BB282DD" w14:textId="77777777" w:rsidR="007846F4" w:rsidRPr="00995557" w:rsidRDefault="007846F4" w:rsidP="00AA627A">
      <w:pPr>
        <w:pStyle w:val="Prrafodelista"/>
        <w:widowControl w:val="0"/>
        <w:numPr>
          <w:ilvl w:val="0"/>
          <w:numId w:val="2"/>
        </w:numPr>
        <w:tabs>
          <w:tab w:val="left" w:pos="567"/>
        </w:tabs>
        <w:ind w:left="0" w:firstLine="0"/>
        <w:jc w:val="both"/>
      </w:pPr>
      <w:r w:rsidRPr="00995557">
        <w:t xml:space="preserve">El 18 de marzo de 2004 </w:t>
      </w:r>
      <w:r w:rsidR="00A37E5C" w:rsidRPr="00995557">
        <w:t xml:space="preserve">la Fiscalía </w:t>
      </w:r>
      <w:r w:rsidR="00797FDF" w:rsidRPr="00995557">
        <w:t xml:space="preserve">127ª </w:t>
      </w:r>
      <w:r w:rsidR="00A37E5C" w:rsidRPr="00995557">
        <w:t>del Área Metropolitana de Caracas</w:t>
      </w:r>
      <w:r w:rsidR="00503588" w:rsidRPr="00995557">
        <w:t>,</w:t>
      </w:r>
      <w:r w:rsidR="00A37E5C" w:rsidRPr="00995557">
        <w:t xml:space="preserve"> </w:t>
      </w:r>
      <w:proofErr w:type="gramStart"/>
      <w:r w:rsidR="00A37E5C" w:rsidRPr="00995557">
        <w:t>conjuntamente con</w:t>
      </w:r>
      <w:proofErr w:type="gramEnd"/>
      <w:r w:rsidR="00A37E5C" w:rsidRPr="00995557">
        <w:t xml:space="preserve"> la Fiscalía Primera del Ministerio Público del Primer Circuito Judicial de la Circunscripción Judicial del Estado Bolívar</w:t>
      </w:r>
      <w:r w:rsidR="00F97A0E" w:rsidRPr="00995557">
        <w:rPr>
          <w:rStyle w:val="Refdenotaalpie"/>
        </w:rPr>
        <w:footnoteReference w:id="91"/>
      </w:r>
      <w:r w:rsidR="00503588" w:rsidRPr="00995557">
        <w:t>,</w:t>
      </w:r>
      <w:r w:rsidR="00A37E5C" w:rsidRPr="00995557">
        <w:t xml:space="preserve"> solicitaron</w:t>
      </w:r>
      <w:r w:rsidRPr="00995557">
        <w:t xml:space="preserve"> ante el Juez en funciones de control del Circuito Judicial del Estado Bolívar que emitiera orden de captura contra </w:t>
      </w:r>
      <w:r w:rsidR="001325C6" w:rsidRPr="00995557">
        <w:t>cuatro</w:t>
      </w:r>
      <w:r w:rsidRPr="00995557">
        <w:t xml:space="preserve"> funcionarios de la Guardia Nacional</w:t>
      </w:r>
      <w:r w:rsidR="00A5039D" w:rsidRPr="00995557">
        <w:t>, adscritos al Destacamento 81</w:t>
      </w:r>
      <w:r w:rsidRPr="00995557">
        <w:t>; dicha orden fue dictada el 22 de marzo de 2004</w:t>
      </w:r>
      <w:r w:rsidRPr="00995557">
        <w:rPr>
          <w:rStyle w:val="Refdenotaalpie"/>
        </w:rPr>
        <w:footnoteReference w:id="92"/>
      </w:r>
      <w:r w:rsidRPr="00995557">
        <w:t>.</w:t>
      </w:r>
    </w:p>
    <w:p w14:paraId="2A531D72" w14:textId="77777777" w:rsidR="007846F4" w:rsidRPr="00995557" w:rsidRDefault="007846F4" w:rsidP="00AA627A">
      <w:pPr>
        <w:pStyle w:val="Prrafodelista"/>
        <w:widowControl w:val="0"/>
      </w:pPr>
    </w:p>
    <w:p w14:paraId="519D6AFD" w14:textId="77777777" w:rsidR="00A5039D" w:rsidRPr="00995557" w:rsidRDefault="00877EB5" w:rsidP="00AA627A">
      <w:pPr>
        <w:pStyle w:val="Prrafodelista"/>
        <w:widowControl w:val="0"/>
        <w:numPr>
          <w:ilvl w:val="0"/>
          <w:numId w:val="2"/>
        </w:numPr>
        <w:tabs>
          <w:tab w:val="left" w:pos="567"/>
        </w:tabs>
        <w:ind w:left="0" w:firstLine="0"/>
        <w:jc w:val="both"/>
      </w:pPr>
      <w:r w:rsidRPr="00995557">
        <w:t xml:space="preserve">La audiencia de presentación </w:t>
      </w:r>
      <w:r w:rsidR="007846F4" w:rsidRPr="00995557">
        <w:t xml:space="preserve">de los imputados se desarrolló el </w:t>
      </w:r>
      <w:r w:rsidR="00822D1F" w:rsidRPr="00995557">
        <w:t>28 de marzo de 2004</w:t>
      </w:r>
      <w:r w:rsidR="007846F4" w:rsidRPr="00995557">
        <w:t xml:space="preserve"> </w:t>
      </w:r>
      <w:r w:rsidR="00822D1F" w:rsidRPr="00995557">
        <w:t xml:space="preserve">ante el </w:t>
      </w:r>
      <w:r w:rsidR="00A5039D" w:rsidRPr="00995557">
        <w:t>Tribunal</w:t>
      </w:r>
      <w:r w:rsidR="00822D1F" w:rsidRPr="00995557">
        <w:t xml:space="preserve"> Segundo de Primera Instancia de Control del Circuito Judicial Penal del Estado Bolívar</w:t>
      </w:r>
      <w:r w:rsidR="00D118DC" w:rsidRPr="00995557">
        <w:rPr>
          <w:rStyle w:val="Refdenotaalpie"/>
        </w:rPr>
        <w:footnoteReference w:id="93"/>
      </w:r>
      <w:r w:rsidR="00A5039D" w:rsidRPr="00995557">
        <w:t xml:space="preserve">. El mismo día el Ministerio Público </w:t>
      </w:r>
      <w:r w:rsidR="00D118DC" w:rsidRPr="00995557">
        <w:t xml:space="preserve">solicitó “medida de privación preventiva judicial de la libertad” contra los imputados, la que fue denegada por </w:t>
      </w:r>
      <w:r w:rsidR="00503588" w:rsidRPr="00995557">
        <w:t>el mencionado</w:t>
      </w:r>
      <w:r w:rsidR="00D118DC" w:rsidRPr="00995557">
        <w:t xml:space="preserve"> órgano jurisdiccional el 29 de marzo de 2004, en virtud de lo cual decretó “libertad sin restricciones” a favor de dichas personas</w:t>
      </w:r>
      <w:r w:rsidR="00D118DC" w:rsidRPr="00995557">
        <w:rPr>
          <w:rStyle w:val="Refdenotaalpie"/>
        </w:rPr>
        <w:footnoteReference w:id="94"/>
      </w:r>
      <w:r w:rsidR="00D118DC" w:rsidRPr="00995557">
        <w:t>.</w:t>
      </w:r>
    </w:p>
    <w:p w14:paraId="1F1E5E2E" w14:textId="77777777" w:rsidR="00877EB5" w:rsidRPr="00995557" w:rsidRDefault="00877EB5" w:rsidP="00AA627A">
      <w:pPr>
        <w:pStyle w:val="Prrafodelista"/>
        <w:widowControl w:val="0"/>
        <w:tabs>
          <w:tab w:val="left" w:pos="567"/>
        </w:tabs>
        <w:ind w:left="0"/>
        <w:jc w:val="both"/>
      </w:pPr>
    </w:p>
    <w:p w14:paraId="6B0FBE42" w14:textId="627DAA45" w:rsidR="00840A49" w:rsidRPr="00995557" w:rsidRDefault="00840A49" w:rsidP="00AA627A">
      <w:pPr>
        <w:pStyle w:val="Prrafodelista"/>
        <w:widowControl w:val="0"/>
        <w:numPr>
          <w:ilvl w:val="0"/>
          <w:numId w:val="2"/>
        </w:numPr>
        <w:tabs>
          <w:tab w:val="left" w:pos="567"/>
        </w:tabs>
        <w:ind w:left="0" w:firstLine="0"/>
        <w:jc w:val="both"/>
      </w:pPr>
      <w:r w:rsidRPr="00995557">
        <w:t>El Ministerio Público apeló la decisi</w:t>
      </w:r>
      <w:r w:rsidR="00CD4DA9" w:rsidRPr="00995557">
        <w:t>ó</w:t>
      </w:r>
      <w:r w:rsidRPr="00995557">
        <w:t>n</w:t>
      </w:r>
      <w:r w:rsidR="00D118DC" w:rsidRPr="00995557">
        <w:t xml:space="preserve"> el 2 de abril de 2004</w:t>
      </w:r>
      <w:r w:rsidR="00A56EE7" w:rsidRPr="00995557">
        <w:t>;</w:t>
      </w:r>
      <w:r w:rsidR="00A37E5C" w:rsidRPr="00995557">
        <w:t xml:space="preserve"> ante </w:t>
      </w:r>
      <w:r w:rsidR="00A56EE7" w:rsidRPr="00995557">
        <w:t>el</w:t>
      </w:r>
      <w:r w:rsidR="00A37E5C" w:rsidRPr="00995557">
        <w:t>lo</w:t>
      </w:r>
      <w:r w:rsidR="00A56EE7" w:rsidRPr="00995557">
        <w:t>,</w:t>
      </w:r>
      <w:r w:rsidR="00A37E5C" w:rsidRPr="00995557">
        <w:t xml:space="preserve"> la </w:t>
      </w:r>
      <w:r w:rsidR="00BD6FA2" w:rsidRPr="00995557">
        <w:t xml:space="preserve">Corte de Apelaciones Penal de Ciudad Bolívar, mediante resolución </w:t>
      </w:r>
      <w:r w:rsidR="00A40E14" w:rsidRPr="00995557">
        <w:t xml:space="preserve">de 3 de junio de 2004, declaró </w:t>
      </w:r>
      <w:r w:rsidR="00BD6FA2" w:rsidRPr="00995557">
        <w:t>con lugar la</w:t>
      </w:r>
      <w:r w:rsidR="00A40E14" w:rsidRPr="00995557">
        <w:t xml:space="preserve"> apelación</w:t>
      </w:r>
      <w:r w:rsidR="00BD6FA2" w:rsidRPr="00995557">
        <w:t>, revocó la decisión impugnada y</w:t>
      </w:r>
      <w:r w:rsidRPr="00995557">
        <w:t xml:space="preserve">, consecuentemente, decretó </w:t>
      </w:r>
      <w:r w:rsidR="00BD6FA2" w:rsidRPr="00995557">
        <w:t>“</w:t>
      </w:r>
      <w:r w:rsidRPr="00995557">
        <w:t>medida</w:t>
      </w:r>
      <w:r w:rsidR="00BD6FA2" w:rsidRPr="00995557">
        <w:t xml:space="preserve"> preventiva</w:t>
      </w:r>
      <w:r w:rsidRPr="00995557">
        <w:t xml:space="preserve"> privativ</w:t>
      </w:r>
      <w:r w:rsidR="00BD6FA2" w:rsidRPr="00995557">
        <w:t>a</w:t>
      </w:r>
      <w:r w:rsidRPr="00995557">
        <w:t xml:space="preserve"> </w:t>
      </w:r>
      <w:r w:rsidR="000216EF" w:rsidRPr="00995557">
        <w:t xml:space="preserve">[…] </w:t>
      </w:r>
      <w:r w:rsidR="00BD6FA2" w:rsidRPr="00995557">
        <w:t>judicial</w:t>
      </w:r>
      <w:r w:rsidRPr="00995557">
        <w:t xml:space="preserve"> de libertad contra los imputados</w:t>
      </w:r>
      <w:r w:rsidR="00BD6FA2" w:rsidRPr="00995557">
        <w:t>”</w:t>
      </w:r>
      <w:r w:rsidRPr="00995557">
        <w:rPr>
          <w:rStyle w:val="Refdenotaalpie"/>
        </w:rPr>
        <w:footnoteReference w:id="95"/>
      </w:r>
      <w:r w:rsidRPr="00995557">
        <w:t>.</w:t>
      </w:r>
    </w:p>
    <w:p w14:paraId="5602E8FB" w14:textId="77777777" w:rsidR="008D6550" w:rsidRPr="00995557" w:rsidRDefault="008D6550" w:rsidP="00AA627A">
      <w:pPr>
        <w:pStyle w:val="Prrafodelista"/>
        <w:widowControl w:val="0"/>
      </w:pPr>
    </w:p>
    <w:p w14:paraId="48B0BA87" w14:textId="77777777" w:rsidR="008D6550" w:rsidRPr="00995557" w:rsidRDefault="008D6550" w:rsidP="00AA627A">
      <w:pPr>
        <w:pStyle w:val="Prrafodelista"/>
        <w:widowControl w:val="0"/>
        <w:numPr>
          <w:ilvl w:val="0"/>
          <w:numId w:val="2"/>
        </w:numPr>
        <w:tabs>
          <w:tab w:val="left" w:pos="567"/>
        </w:tabs>
        <w:ind w:left="0" w:firstLine="0"/>
        <w:jc w:val="both"/>
      </w:pPr>
      <w:r w:rsidRPr="00995557">
        <w:t>Por su parte, el</w:t>
      </w:r>
      <w:r w:rsidR="00507F43" w:rsidRPr="00995557">
        <w:t xml:space="preserve"> 1 de abril de 2004 el</w:t>
      </w:r>
      <w:r w:rsidRPr="00995557">
        <w:t xml:space="preserve"> Observatorio Venezolano de Prisiones </w:t>
      </w:r>
      <w:r w:rsidR="00507F43" w:rsidRPr="00995557">
        <w:t>solicitó</w:t>
      </w:r>
      <w:r w:rsidR="008379B7" w:rsidRPr="00995557">
        <w:t xml:space="preserve"> </w:t>
      </w:r>
      <w:r w:rsidR="00507F43" w:rsidRPr="00995557">
        <w:t>intervenir como querellante en el proceso</w:t>
      </w:r>
      <w:r w:rsidR="008379B7" w:rsidRPr="00995557">
        <w:t xml:space="preserve">, lo que fue </w:t>
      </w:r>
      <w:r w:rsidR="00A56EE7" w:rsidRPr="00995557">
        <w:t>admitido</w:t>
      </w:r>
      <w:r w:rsidR="008379B7" w:rsidRPr="00995557">
        <w:t xml:space="preserve"> el 5 de abril del mismo año</w:t>
      </w:r>
      <w:r w:rsidR="008379B7" w:rsidRPr="00995557">
        <w:rPr>
          <w:rStyle w:val="Refdenotaalpie"/>
        </w:rPr>
        <w:footnoteReference w:id="96"/>
      </w:r>
      <w:r w:rsidR="008379B7" w:rsidRPr="00995557">
        <w:t>.</w:t>
      </w:r>
    </w:p>
    <w:p w14:paraId="3EF0A29D" w14:textId="77777777" w:rsidR="00CE769B" w:rsidRPr="00995557" w:rsidRDefault="00CE769B" w:rsidP="00AA627A">
      <w:pPr>
        <w:pStyle w:val="Prrafodelista"/>
        <w:widowControl w:val="0"/>
      </w:pPr>
    </w:p>
    <w:p w14:paraId="309B2525" w14:textId="77777777" w:rsidR="00CE769B" w:rsidRPr="00995557" w:rsidRDefault="00CE769B" w:rsidP="00AA627A">
      <w:pPr>
        <w:pStyle w:val="Prrafodelista"/>
        <w:widowControl w:val="0"/>
        <w:numPr>
          <w:ilvl w:val="0"/>
          <w:numId w:val="2"/>
        </w:numPr>
        <w:tabs>
          <w:tab w:val="left" w:pos="567"/>
        </w:tabs>
        <w:ind w:left="0" w:firstLine="0"/>
        <w:jc w:val="both"/>
      </w:pPr>
      <w:r w:rsidRPr="00995557">
        <w:t>El 15 de ju</w:t>
      </w:r>
      <w:r w:rsidR="009E57F5" w:rsidRPr="00995557">
        <w:t>l</w:t>
      </w:r>
      <w:r w:rsidRPr="00995557">
        <w:t>io de 2004 los abogados defensores de los imputados solicitaron ante la Sala de Casación Penal del Tribunal Supremo de Justicia el avocamiento de la causa</w:t>
      </w:r>
      <w:r w:rsidR="009E57F5" w:rsidRPr="00995557">
        <w:t>, a lo que dicha Sala no accedió mediante resolución de 7 de octubre de 2004</w:t>
      </w:r>
      <w:r w:rsidR="009E57F5" w:rsidRPr="00995557">
        <w:rPr>
          <w:rStyle w:val="Refdenotaalpie"/>
        </w:rPr>
        <w:footnoteReference w:id="97"/>
      </w:r>
      <w:r w:rsidR="009E57F5" w:rsidRPr="00995557">
        <w:t>.</w:t>
      </w:r>
    </w:p>
    <w:p w14:paraId="4AECDA8D" w14:textId="77777777" w:rsidR="009E57F5" w:rsidRPr="00995557" w:rsidRDefault="009E57F5" w:rsidP="00AA627A">
      <w:pPr>
        <w:pStyle w:val="Prrafodelista"/>
        <w:widowControl w:val="0"/>
      </w:pPr>
    </w:p>
    <w:p w14:paraId="7B893274" w14:textId="477D8A9C" w:rsidR="009E57F5" w:rsidRPr="00995557" w:rsidRDefault="009E57F5" w:rsidP="00AA627A">
      <w:pPr>
        <w:pStyle w:val="Prrafodelista"/>
        <w:widowControl w:val="0"/>
        <w:numPr>
          <w:ilvl w:val="0"/>
          <w:numId w:val="2"/>
        </w:numPr>
        <w:tabs>
          <w:tab w:val="left" w:pos="567"/>
        </w:tabs>
        <w:ind w:left="0" w:firstLine="0"/>
        <w:jc w:val="both"/>
      </w:pPr>
      <w:r w:rsidRPr="00995557">
        <w:t xml:space="preserve">Los abogados defensores, el 25 de octubre de 2004, promovieron acción de amparo contra la </w:t>
      </w:r>
      <w:r w:rsidR="000C0F99" w:rsidRPr="00995557">
        <w:t>resolución</w:t>
      </w:r>
      <w:r w:rsidRPr="00995557">
        <w:t xml:space="preserve"> de 3 de junio de 2004 dictada por la Corte de Apelaciones Penal de Ciudad Bolívar que dispuso medida preventiva privativa de libertad contra los imputados</w:t>
      </w:r>
      <w:r w:rsidR="00503519" w:rsidRPr="00995557">
        <w:t>.</w:t>
      </w:r>
      <w:r w:rsidR="005D2A49" w:rsidRPr="00995557">
        <w:t xml:space="preserve"> </w:t>
      </w:r>
      <w:r w:rsidR="00503519" w:rsidRPr="00995557">
        <w:t>P</w:t>
      </w:r>
      <w:r w:rsidR="005D2A49" w:rsidRPr="00995557">
        <w:t xml:space="preserve">or su parte, </w:t>
      </w:r>
      <w:r w:rsidR="0000453F" w:rsidRPr="00995557">
        <w:t>la Sala Constitucional d</w:t>
      </w:r>
      <w:r w:rsidR="005D2A49" w:rsidRPr="00995557">
        <w:t xml:space="preserve">el Tribunal Supremo de Justicia declaró inadmisible </w:t>
      </w:r>
      <w:r w:rsidR="000C0F99" w:rsidRPr="00995557">
        <w:t>la</w:t>
      </w:r>
      <w:r w:rsidR="005D2A49" w:rsidRPr="00995557">
        <w:t xml:space="preserve"> acción</w:t>
      </w:r>
      <w:r w:rsidR="000C0F99" w:rsidRPr="00995557">
        <w:t xml:space="preserve"> promovida</w:t>
      </w:r>
      <w:r w:rsidR="005D2A49" w:rsidRPr="00995557">
        <w:t xml:space="preserve"> el 5 de abril de 2005</w:t>
      </w:r>
      <w:r w:rsidR="000C0F99" w:rsidRPr="00995557">
        <w:rPr>
          <w:rStyle w:val="Refdenotaalpie"/>
        </w:rPr>
        <w:footnoteReference w:id="98"/>
      </w:r>
      <w:r w:rsidR="005D2A49" w:rsidRPr="00995557">
        <w:t>.</w:t>
      </w:r>
    </w:p>
    <w:p w14:paraId="5961872C" w14:textId="77777777" w:rsidR="009E57F5" w:rsidRPr="00995557" w:rsidRDefault="009E57F5" w:rsidP="00AA627A">
      <w:pPr>
        <w:pStyle w:val="Prrafodelista"/>
        <w:widowControl w:val="0"/>
      </w:pPr>
    </w:p>
    <w:p w14:paraId="0D8B86B8" w14:textId="77777777" w:rsidR="009E57F5" w:rsidRPr="00995557" w:rsidRDefault="0000453F" w:rsidP="00AA627A">
      <w:pPr>
        <w:pStyle w:val="Prrafodelista"/>
        <w:widowControl w:val="0"/>
        <w:numPr>
          <w:ilvl w:val="0"/>
          <w:numId w:val="2"/>
        </w:numPr>
        <w:tabs>
          <w:tab w:val="left" w:pos="567"/>
        </w:tabs>
        <w:ind w:left="0" w:firstLine="0"/>
        <w:jc w:val="both"/>
      </w:pPr>
      <w:r w:rsidRPr="00995557">
        <w:t>El 9 de mayo de 2005 el Ministerio Público solicitó una prórroga de 15 días para formular el acto conclusivo, ante lo cual el Tribunal Tercero de Primera Instancia en funci</w:t>
      </w:r>
      <w:r w:rsidR="00C25D59" w:rsidRPr="00995557">
        <w:t>ones</w:t>
      </w:r>
      <w:r w:rsidRPr="00995557">
        <w:t xml:space="preserve"> de control </w:t>
      </w:r>
      <w:r w:rsidR="00105081" w:rsidRPr="00995557">
        <w:t>de Ciudad</w:t>
      </w:r>
      <w:r w:rsidRPr="00995557">
        <w:t xml:space="preserve"> Bolívar</w:t>
      </w:r>
      <w:r w:rsidR="00105081" w:rsidRPr="00995557">
        <w:t>, el 11 de mayo del mismo año, otorgó p</w:t>
      </w:r>
      <w:r w:rsidR="00CD4DA9" w:rsidRPr="00995557">
        <w:t>r</w:t>
      </w:r>
      <w:r w:rsidR="00105081" w:rsidRPr="00995557">
        <w:t xml:space="preserve">órroga de </w:t>
      </w:r>
      <w:r w:rsidR="001325C6" w:rsidRPr="00995557">
        <w:t>siete</w:t>
      </w:r>
      <w:r w:rsidR="00105081" w:rsidRPr="00995557">
        <w:t xml:space="preserve"> días</w:t>
      </w:r>
      <w:r w:rsidR="00105081" w:rsidRPr="00995557">
        <w:rPr>
          <w:rStyle w:val="Refdenotaalpie"/>
        </w:rPr>
        <w:footnoteReference w:id="99"/>
      </w:r>
      <w:r w:rsidR="00105081" w:rsidRPr="00995557">
        <w:t>.</w:t>
      </w:r>
    </w:p>
    <w:p w14:paraId="3CBBEB41" w14:textId="77777777" w:rsidR="00F17D28" w:rsidRPr="00995557" w:rsidRDefault="00F17D28" w:rsidP="00AA627A">
      <w:pPr>
        <w:pStyle w:val="Prrafodelista"/>
        <w:widowControl w:val="0"/>
      </w:pPr>
    </w:p>
    <w:p w14:paraId="103CEF1D" w14:textId="2480AD59" w:rsidR="00F17D28" w:rsidRPr="00995557" w:rsidRDefault="00F17D28" w:rsidP="00AA627A">
      <w:pPr>
        <w:pStyle w:val="Prrafodelista"/>
        <w:widowControl w:val="0"/>
        <w:numPr>
          <w:ilvl w:val="0"/>
          <w:numId w:val="2"/>
        </w:numPr>
        <w:tabs>
          <w:tab w:val="left" w:pos="567"/>
        </w:tabs>
        <w:ind w:left="0" w:firstLine="0"/>
        <w:jc w:val="both"/>
      </w:pPr>
      <w:r w:rsidRPr="00995557">
        <w:t>El 28 de marzo de 2006 la parte querellante solicitó que se fijara al Ministerio Público “un lapso prudencial a los efectos de la presentación de los actos conclusivos”</w:t>
      </w:r>
      <w:r w:rsidR="00503519" w:rsidRPr="00995557">
        <w:t>.</w:t>
      </w:r>
      <w:r w:rsidR="00CA2DEE" w:rsidRPr="00995557">
        <w:t xml:space="preserve"> </w:t>
      </w:r>
      <w:r w:rsidR="00503519" w:rsidRPr="00995557">
        <w:t>E</w:t>
      </w:r>
      <w:r w:rsidR="00052C51" w:rsidRPr="00995557">
        <w:t xml:space="preserve">l 19 de junio de 2006 el </w:t>
      </w:r>
      <w:r w:rsidR="00CB72FB" w:rsidRPr="00995557">
        <w:t xml:space="preserve">referido </w:t>
      </w:r>
      <w:r w:rsidR="00052C51" w:rsidRPr="00995557">
        <w:t xml:space="preserve">órgano jurisdiccional </w:t>
      </w:r>
      <w:r w:rsidR="00CA2DEE" w:rsidRPr="00995557">
        <w:t xml:space="preserve">no accedió a lo solicitado, fundamentado en </w:t>
      </w:r>
      <w:proofErr w:type="gramStart"/>
      <w:r w:rsidR="00CA2DEE" w:rsidRPr="00995557">
        <w:t>que</w:t>
      </w:r>
      <w:proofErr w:type="gramEnd"/>
      <w:r w:rsidR="00CA2DEE" w:rsidRPr="00995557">
        <w:t xml:space="preserve"> por la naturaleza de los hechos bajo investigación, calificados como “delitos contra los derechos humanos”, no resultaba </w:t>
      </w:r>
      <w:r w:rsidR="00072008" w:rsidRPr="00995557">
        <w:t>procedente fijar término al Ministerio Público en aplicación de lo regulado en el Código Orgánico Procesal Penal (artículo 313)</w:t>
      </w:r>
      <w:r w:rsidR="00072008" w:rsidRPr="00995557">
        <w:rPr>
          <w:rStyle w:val="Refdenotaalpie"/>
        </w:rPr>
        <w:footnoteReference w:id="100"/>
      </w:r>
      <w:r w:rsidR="00072008" w:rsidRPr="00995557">
        <w:t>.</w:t>
      </w:r>
    </w:p>
    <w:p w14:paraId="0CADDE7D" w14:textId="77777777" w:rsidR="00072008" w:rsidRPr="00995557" w:rsidRDefault="00072008" w:rsidP="00AA627A">
      <w:pPr>
        <w:pStyle w:val="Prrafodelista"/>
        <w:widowControl w:val="0"/>
      </w:pPr>
    </w:p>
    <w:p w14:paraId="053D28AC" w14:textId="77777777" w:rsidR="00072008" w:rsidRPr="00995557" w:rsidRDefault="00797FDF" w:rsidP="00AA627A">
      <w:pPr>
        <w:pStyle w:val="Prrafodelista"/>
        <w:widowControl w:val="0"/>
        <w:numPr>
          <w:ilvl w:val="0"/>
          <w:numId w:val="2"/>
        </w:numPr>
        <w:tabs>
          <w:tab w:val="left" w:pos="567"/>
        </w:tabs>
        <w:ind w:left="0" w:firstLine="0"/>
        <w:jc w:val="both"/>
      </w:pPr>
      <w:r w:rsidRPr="00995557">
        <w:t xml:space="preserve">Según las actuaciones judiciales, el 30 de noviembre </w:t>
      </w:r>
      <w:r w:rsidR="00E37F76" w:rsidRPr="00995557">
        <w:t>de</w:t>
      </w:r>
      <w:r w:rsidR="0019532A" w:rsidRPr="00995557">
        <w:t xml:space="preserve"> 2012 el</w:t>
      </w:r>
      <w:r w:rsidR="001325C6" w:rsidRPr="00995557">
        <w:t xml:space="preserve"> Ministerio Público </w:t>
      </w:r>
      <w:r w:rsidR="0019532A" w:rsidRPr="00995557">
        <w:t>formul</w:t>
      </w:r>
      <w:r w:rsidR="001325C6" w:rsidRPr="00995557">
        <w:t xml:space="preserve">ó acusación contra los cuatro miembros de la Guardia Nacional </w:t>
      </w:r>
      <w:r w:rsidR="0019532A" w:rsidRPr="00995557">
        <w:t>“</w:t>
      </w:r>
      <w:r w:rsidR="001325C6" w:rsidRPr="00995557">
        <w:t xml:space="preserve">por </w:t>
      </w:r>
      <w:r w:rsidR="0019532A" w:rsidRPr="00995557">
        <w:t>el</w:t>
      </w:r>
      <w:r w:rsidR="001325C6" w:rsidRPr="00995557">
        <w:t xml:space="preserve"> delito de homicidio calificado</w:t>
      </w:r>
      <w:r w:rsidR="0019532A" w:rsidRPr="00995557">
        <w:t xml:space="preserve"> con alevosía” cometido</w:t>
      </w:r>
      <w:r w:rsidR="001325C6" w:rsidRPr="00995557">
        <w:t xml:space="preserve"> en perjuicio de José Gregorio Bolívar</w:t>
      </w:r>
      <w:r w:rsidR="0019532A" w:rsidRPr="00995557">
        <w:t xml:space="preserve"> Corro, Pedro “Antonio” López Chaurán, Orlando Edgardo Olivares Muñoz y Orangel José Figueroa</w:t>
      </w:r>
      <w:r w:rsidR="0019532A" w:rsidRPr="00995557">
        <w:rPr>
          <w:rStyle w:val="Refdenotaalpie"/>
        </w:rPr>
        <w:footnoteReference w:id="101"/>
      </w:r>
      <w:r w:rsidR="0019532A" w:rsidRPr="00995557">
        <w:t>.</w:t>
      </w:r>
      <w:r w:rsidR="00E37F76" w:rsidRPr="00995557">
        <w:t xml:space="preserve"> A partir de ello, </w:t>
      </w:r>
      <w:r w:rsidR="001325C6" w:rsidRPr="00995557">
        <w:t xml:space="preserve">la audiencia preliminar, </w:t>
      </w:r>
      <w:r w:rsidR="000733CC" w:rsidRPr="00995557">
        <w:t>cuyo objeto e</w:t>
      </w:r>
      <w:r w:rsidR="00E27015" w:rsidRPr="00995557">
        <w:t>ra</w:t>
      </w:r>
      <w:r w:rsidR="000733CC" w:rsidRPr="00995557">
        <w:t xml:space="preserve"> </w:t>
      </w:r>
      <w:r w:rsidR="001325C6" w:rsidRPr="00995557">
        <w:t>de</w:t>
      </w:r>
      <w:r w:rsidR="000733CC" w:rsidRPr="00995557">
        <w:t>cidir sobre la admisibilidad de la acusación, fue diferida por lo menos en tres oportunidades</w:t>
      </w:r>
      <w:r w:rsidR="00E52DE9" w:rsidRPr="00995557">
        <w:t>,</w:t>
      </w:r>
      <w:r w:rsidR="000733CC" w:rsidRPr="00995557">
        <w:t xml:space="preserve"> entre mayo y agosto de 2013</w:t>
      </w:r>
      <w:r w:rsidR="00E52DE9" w:rsidRPr="00995557">
        <w:t>,</w:t>
      </w:r>
      <w:r w:rsidR="000733CC" w:rsidRPr="00995557">
        <w:t xml:space="preserve"> en virtud de la </w:t>
      </w:r>
      <w:r w:rsidR="00E27015" w:rsidRPr="00995557">
        <w:t>falta de asistencia de la totalidad de las partes</w:t>
      </w:r>
      <w:r w:rsidR="00CB72FB" w:rsidRPr="00995557">
        <w:t xml:space="preserve"> en el proceso</w:t>
      </w:r>
      <w:r w:rsidR="000733CC" w:rsidRPr="00995557">
        <w:rPr>
          <w:rStyle w:val="Refdenotaalpie"/>
        </w:rPr>
        <w:footnoteReference w:id="102"/>
      </w:r>
      <w:r w:rsidR="000733CC" w:rsidRPr="00995557">
        <w:t>.</w:t>
      </w:r>
    </w:p>
    <w:p w14:paraId="164DF7FF" w14:textId="77777777" w:rsidR="00E27015" w:rsidRPr="00995557" w:rsidRDefault="00E27015" w:rsidP="00AA627A">
      <w:pPr>
        <w:pStyle w:val="Prrafodelista"/>
        <w:widowControl w:val="0"/>
      </w:pPr>
    </w:p>
    <w:p w14:paraId="482FBD3D" w14:textId="77777777" w:rsidR="002F05B5" w:rsidRPr="00995557" w:rsidRDefault="00E27015" w:rsidP="00AA627A">
      <w:pPr>
        <w:pStyle w:val="Prrafodelista"/>
        <w:widowControl w:val="0"/>
        <w:numPr>
          <w:ilvl w:val="0"/>
          <w:numId w:val="2"/>
        </w:numPr>
        <w:tabs>
          <w:tab w:val="left" w:pos="567"/>
        </w:tabs>
        <w:ind w:left="0" w:firstLine="0"/>
        <w:jc w:val="both"/>
      </w:pPr>
      <w:r w:rsidRPr="00995557">
        <w:t xml:space="preserve">La audiencia preliminar se llevó a cabo el </w:t>
      </w:r>
      <w:r w:rsidR="005115E3" w:rsidRPr="00995557">
        <w:t>3 de junio de 201</w:t>
      </w:r>
      <w:r w:rsidR="00E52DE9" w:rsidRPr="00995557">
        <w:t>4</w:t>
      </w:r>
      <w:r w:rsidR="002F05B5" w:rsidRPr="00995557">
        <w:t>, oportunidad en la que el Tribunal Tercero de Primera Instancia en funci</w:t>
      </w:r>
      <w:r w:rsidR="00C25D59" w:rsidRPr="00995557">
        <w:t>ones</w:t>
      </w:r>
      <w:r w:rsidR="002F05B5" w:rsidRPr="00995557">
        <w:t xml:space="preserve"> de control de Ciudad Bolívar declaró con lugar “la excepción de falta de requisitos formales para intentar la acusación particular propia de la víctima” </w:t>
      </w:r>
      <w:r w:rsidR="00C25D59" w:rsidRPr="00995557">
        <w:t xml:space="preserve">promovida por la defensa privada </w:t>
      </w:r>
      <w:r w:rsidR="002F05B5" w:rsidRPr="00995557">
        <w:t>y, en consecuencia, dictó el “sobreseimiento de la causa en relación con la pretensión de la víctima y sus apoderados judiciales a través de la querella</w:t>
      </w:r>
      <w:r w:rsidR="001B5570" w:rsidRPr="00995557">
        <w:t>”</w:t>
      </w:r>
      <w:r w:rsidR="00C25D59" w:rsidRPr="00995557">
        <w:t>.</w:t>
      </w:r>
      <w:r w:rsidR="002F05B5" w:rsidRPr="00995557">
        <w:t xml:space="preserve"> </w:t>
      </w:r>
      <w:r w:rsidR="00C25D59" w:rsidRPr="00995557">
        <w:t>P</w:t>
      </w:r>
      <w:r w:rsidR="002F05B5" w:rsidRPr="00995557">
        <w:t>ara el efecto, el órgano jurisdiccional argumentó que el poder otorgado por Lorenza Josefina Pérez no indicaba la identificación de la o las personas contra quienes se dirigía la acusación ni el hecho o hechos punibles, los que constituían “requisitos de ineludible cumplimiento para la validez de los poderes penales”, conforme al artículo 406 del Código Orgánico Procesal Penal, y que al haberse designado a cuatro apoderados judiciales se excedía el límite de tres que imponía la citada norma procesal</w:t>
      </w:r>
      <w:r w:rsidR="00E52DE9" w:rsidRPr="00995557">
        <w:rPr>
          <w:rStyle w:val="Refdenotaalpie"/>
        </w:rPr>
        <w:footnoteReference w:id="103"/>
      </w:r>
      <w:r w:rsidR="00D305D5" w:rsidRPr="00995557">
        <w:t>.</w:t>
      </w:r>
    </w:p>
    <w:p w14:paraId="6A7BB190" w14:textId="77777777" w:rsidR="002F05B5" w:rsidRPr="00995557" w:rsidRDefault="002F05B5" w:rsidP="00AA627A">
      <w:pPr>
        <w:pStyle w:val="Prrafodelista"/>
        <w:widowControl w:val="0"/>
      </w:pPr>
    </w:p>
    <w:p w14:paraId="2657CA70" w14:textId="77777777" w:rsidR="00E27015" w:rsidRPr="00995557" w:rsidRDefault="00E52DE9" w:rsidP="00AA627A">
      <w:pPr>
        <w:pStyle w:val="Prrafodelista"/>
        <w:widowControl w:val="0"/>
        <w:numPr>
          <w:ilvl w:val="0"/>
          <w:numId w:val="2"/>
        </w:numPr>
        <w:tabs>
          <w:tab w:val="left" w:pos="567"/>
        </w:tabs>
        <w:ind w:left="0" w:firstLine="0"/>
        <w:jc w:val="both"/>
      </w:pPr>
      <w:r w:rsidRPr="00995557">
        <w:t>El 4 de junio de</w:t>
      </w:r>
      <w:r w:rsidR="00C25D59" w:rsidRPr="00995557">
        <w:t xml:space="preserve"> 2014</w:t>
      </w:r>
      <w:r w:rsidRPr="00995557">
        <w:t xml:space="preserve"> se dictó el auto de apertura de juicio, mediante el cual fue admitida la acusación del Ministerio Público</w:t>
      </w:r>
      <w:r w:rsidR="002F05B5" w:rsidRPr="00995557">
        <w:rPr>
          <w:rStyle w:val="Refdenotaalpie"/>
        </w:rPr>
        <w:footnoteReference w:id="104"/>
      </w:r>
      <w:r w:rsidR="002F05B5" w:rsidRPr="00995557">
        <w:t>.</w:t>
      </w:r>
    </w:p>
    <w:p w14:paraId="10FDFE76" w14:textId="77777777" w:rsidR="00C25D59" w:rsidRPr="00995557" w:rsidRDefault="00C25D59" w:rsidP="00AA627A">
      <w:pPr>
        <w:pStyle w:val="Prrafodelista"/>
        <w:widowControl w:val="0"/>
      </w:pPr>
    </w:p>
    <w:p w14:paraId="7B17AB30" w14:textId="77777777" w:rsidR="00C25D59" w:rsidRPr="00995557" w:rsidRDefault="00C25D59" w:rsidP="00AA627A">
      <w:pPr>
        <w:pStyle w:val="Prrafodelista"/>
        <w:widowControl w:val="0"/>
        <w:numPr>
          <w:ilvl w:val="0"/>
          <w:numId w:val="2"/>
        </w:numPr>
        <w:tabs>
          <w:tab w:val="left" w:pos="567"/>
        </w:tabs>
        <w:ind w:left="0" w:firstLine="0"/>
        <w:jc w:val="both"/>
      </w:pPr>
      <w:r w:rsidRPr="00995557">
        <w:t xml:space="preserve">El 10 de junio de 2014 los apoderados judiciales, Humberto Prado y Luis Manuel Guevara, plantearon recurso de apelación contra </w:t>
      </w:r>
      <w:r w:rsidR="00CD4DA9" w:rsidRPr="00995557">
        <w:t xml:space="preserve">la </w:t>
      </w:r>
      <w:r w:rsidRPr="00995557">
        <w:t>decisión de 3 de junio de 2014 que dispuso el sobreseimiento de la acusación particular. Ante ello, la Sala Única de la Corte de Apelaciones del Circuito Judicial Penal del Estado Bolívar, mediante resolución de 17 de noviembre de 2014, no acogió el recurso y confirmó la decisión impugnada</w:t>
      </w:r>
      <w:r w:rsidRPr="00995557">
        <w:rPr>
          <w:rStyle w:val="Refdenotaalpie"/>
        </w:rPr>
        <w:footnoteReference w:id="105"/>
      </w:r>
      <w:r w:rsidRPr="00995557">
        <w:t>.</w:t>
      </w:r>
    </w:p>
    <w:p w14:paraId="560F44BA" w14:textId="77777777" w:rsidR="004930D3" w:rsidRPr="00995557" w:rsidRDefault="004930D3" w:rsidP="00AA627A">
      <w:pPr>
        <w:pStyle w:val="Prrafodelista"/>
        <w:widowControl w:val="0"/>
      </w:pPr>
    </w:p>
    <w:p w14:paraId="22CC69D1" w14:textId="77777777" w:rsidR="00085885" w:rsidRPr="00995557" w:rsidRDefault="00287A35" w:rsidP="00AA627A">
      <w:pPr>
        <w:pStyle w:val="Prrafodelista"/>
        <w:widowControl w:val="0"/>
        <w:numPr>
          <w:ilvl w:val="0"/>
          <w:numId w:val="2"/>
        </w:numPr>
        <w:tabs>
          <w:tab w:val="left" w:pos="567"/>
        </w:tabs>
        <w:ind w:left="0" w:firstLine="0"/>
        <w:jc w:val="both"/>
      </w:pPr>
      <w:r w:rsidRPr="00995557">
        <w:t>E</w:t>
      </w:r>
      <w:r w:rsidR="004930D3" w:rsidRPr="00995557">
        <w:t xml:space="preserve">l juicio oral y público </w:t>
      </w:r>
      <w:r w:rsidRPr="00995557">
        <w:t>se desarrolló durante los meses de septiembre, octubre y noviembre de 2016 ante el Tribunal Cuarto de Primera Instancia en funciones de juicio de Ciudad Bolívar</w:t>
      </w:r>
      <w:r w:rsidR="00F56C38" w:rsidRPr="00995557">
        <w:rPr>
          <w:rStyle w:val="Refdenotaalpie"/>
        </w:rPr>
        <w:footnoteReference w:id="106"/>
      </w:r>
      <w:r w:rsidRPr="00995557">
        <w:t xml:space="preserve">, el que dictó sentencia el 6 de diciembre de 2016, mediante la cual absolvió a los acusados y dictó su “libertad plena”; para el efecto, </w:t>
      </w:r>
      <w:r w:rsidR="00EF76A7" w:rsidRPr="00995557">
        <w:t>dicho</w:t>
      </w:r>
      <w:r w:rsidRPr="00995557">
        <w:t xml:space="preserve"> órgano jurisdiccional consideró que “</w:t>
      </w:r>
      <w:r w:rsidR="00F56C38" w:rsidRPr="00995557">
        <w:t xml:space="preserve">con </w:t>
      </w:r>
      <w:r w:rsidRPr="00995557">
        <w:t>el acervo probatorio incorporado durante el desarrollo del debate oral pú</w:t>
      </w:r>
      <w:r w:rsidR="00F56C38" w:rsidRPr="00995557">
        <w:t xml:space="preserve">blico no quedó demostrada la autoría o participación alguna y consecuente responsabilidad de los </w:t>
      </w:r>
      <w:r w:rsidR="00F56C38" w:rsidRPr="00995557">
        <w:lastRenderedPageBreak/>
        <w:t>acusados”</w:t>
      </w:r>
      <w:r w:rsidR="005F5A59" w:rsidRPr="00995557">
        <w:rPr>
          <w:rStyle w:val="Refdenotaalpie"/>
        </w:rPr>
        <w:footnoteReference w:id="107"/>
      </w:r>
      <w:r w:rsidR="00F56C38" w:rsidRPr="00995557">
        <w:t>.</w:t>
      </w:r>
    </w:p>
    <w:bookmarkEnd w:id="118"/>
    <w:p w14:paraId="17042D07" w14:textId="77777777" w:rsidR="002A5840" w:rsidRPr="00995557" w:rsidRDefault="002A5840" w:rsidP="00AA627A">
      <w:pPr>
        <w:pStyle w:val="Prrafodelista"/>
        <w:widowControl w:val="0"/>
        <w:tabs>
          <w:tab w:val="left" w:pos="567"/>
        </w:tabs>
        <w:ind w:left="0"/>
        <w:jc w:val="both"/>
      </w:pPr>
    </w:p>
    <w:p w14:paraId="16401E91" w14:textId="77777777" w:rsidR="00CA38A9" w:rsidRPr="00995557" w:rsidRDefault="00CA38A9" w:rsidP="00AA627A">
      <w:pPr>
        <w:pStyle w:val="Ttulo1"/>
        <w:keepNext w:val="0"/>
        <w:keepLines w:val="0"/>
        <w:widowControl w:val="0"/>
        <w:spacing w:before="0" w:after="0"/>
      </w:pPr>
      <w:bookmarkStart w:id="121" w:name="_Toc32394156"/>
      <w:bookmarkStart w:id="122" w:name="_Toc53741455"/>
      <w:bookmarkStart w:id="123" w:name="_Toc58399123"/>
      <w:r w:rsidRPr="00995557">
        <w:t>VII</w:t>
      </w:r>
      <w:r w:rsidR="002A5840" w:rsidRPr="00995557">
        <w:t>I</w:t>
      </w:r>
      <w:r w:rsidRPr="00995557">
        <w:br/>
        <w:t>FONDO</w:t>
      </w:r>
      <w:bookmarkEnd w:id="121"/>
      <w:bookmarkEnd w:id="122"/>
      <w:bookmarkEnd w:id="123"/>
    </w:p>
    <w:p w14:paraId="34E15CEB" w14:textId="77777777" w:rsidR="002A5840" w:rsidRPr="00995557" w:rsidRDefault="002A5840" w:rsidP="00AA627A">
      <w:pPr>
        <w:widowControl w:val="0"/>
      </w:pPr>
    </w:p>
    <w:p w14:paraId="44B67EB5" w14:textId="0398F2A2" w:rsidR="001E6459" w:rsidRPr="00995557" w:rsidRDefault="00EF4BE3" w:rsidP="00AA627A">
      <w:pPr>
        <w:pStyle w:val="PrrafodeSentencia"/>
        <w:widowControl w:val="0"/>
        <w:numPr>
          <w:ilvl w:val="0"/>
          <w:numId w:val="2"/>
        </w:numPr>
        <w:ind w:left="0" w:firstLine="0"/>
        <w:rPr>
          <w:spacing w:val="0"/>
          <w:szCs w:val="20"/>
        </w:rPr>
      </w:pPr>
      <w:r w:rsidRPr="00995557">
        <w:rPr>
          <w:spacing w:val="0"/>
          <w:szCs w:val="20"/>
        </w:rPr>
        <w:t xml:space="preserve">El presente caso </w:t>
      </w:r>
      <w:r w:rsidR="008C3189" w:rsidRPr="00995557">
        <w:rPr>
          <w:spacing w:val="0"/>
          <w:szCs w:val="20"/>
        </w:rPr>
        <w:t>concierne a</w:t>
      </w:r>
      <w:r w:rsidRPr="00995557">
        <w:rPr>
          <w:spacing w:val="0"/>
          <w:szCs w:val="20"/>
        </w:rPr>
        <w:t xml:space="preserve"> la alegada violación de distintos derechos en relación con la muerte de siete personas privadas de libertad y las lesiones ocasionadas a otras 27 como resultado de un operativo llevado a cabo por agentes de la Guardia Nacional</w:t>
      </w:r>
      <w:r w:rsidR="006F60A0" w:rsidRPr="00995557">
        <w:rPr>
          <w:spacing w:val="0"/>
          <w:szCs w:val="20"/>
        </w:rPr>
        <w:t>, cuerpo de naturaleza militar que forma parte de la Fuerza Armada Nacional de Venezuela (</w:t>
      </w:r>
      <w:r w:rsidR="006F60A0" w:rsidRPr="00995557">
        <w:rPr>
          <w:i/>
          <w:spacing w:val="0"/>
          <w:szCs w:val="20"/>
        </w:rPr>
        <w:t>supra</w:t>
      </w:r>
      <w:r w:rsidR="006F60A0" w:rsidRPr="00995557">
        <w:rPr>
          <w:spacing w:val="0"/>
          <w:szCs w:val="20"/>
        </w:rPr>
        <w:t xml:space="preserve"> párr. 44),</w:t>
      </w:r>
      <w:r w:rsidRPr="00995557">
        <w:rPr>
          <w:spacing w:val="0"/>
          <w:szCs w:val="20"/>
        </w:rPr>
        <w:t xml:space="preserve"> en la cárcel de Vista Hermosa, ubicada en Ciudad Bolívar.</w:t>
      </w:r>
    </w:p>
    <w:p w14:paraId="2827CFB4" w14:textId="77777777" w:rsidR="001E6459" w:rsidRPr="00995557" w:rsidRDefault="001E6459" w:rsidP="00AA627A">
      <w:pPr>
        <w:widowControl w:val="0"/>
        <w:rPr>
          <w:lang w:eastAsia="es-MX"/>
        </w:rPr>
      </w:pPr>
    </w:p>
    <w:p w14:paraId="1A580017" w14:textId="3340A9E6" w:rsidR="007E0956" w:rsidRPr="00995557" w:rsidRDefault="00EF4BE3" w:rsidP="00AA627A">
      <w:pPr>
        <w:pStyle w:val="PrrafodeSentencia"/>
        <w:widowControl w:val="0"/>
        <w:numPr>
          <w:ilvl w:val="0"/>
          <w:numId w:val="2"/>
        </w:numPr>
        <w:ind w:left="0" w:firstLine="0"/>
        <w:rPr>
          <w:spacing w:val="0"/>
          <w:szCs w:val="20"/>
        </w:rPr>
      </w:pPr>
      <w:r w:rsidRPr="00995557">
        <w:rPr>
          <w:spacing w:val="0"/>
          <w:szCs w:val="20"/>
        </w:rPr>
        <w:t xml:space="preserve">En concordancia con los alegatos de la Comisión y los representantes, así como el reconocimiento de responsabilidad efectuado por el Estado, la Corte procederá </w:t>
      </w:r>
      <w:r w:rsidR="00C23711" w:rsidRPr="00995557">
        <w:rPr>
          <w:spacing w:val="0"/>
          <w:szCs w:val="20"/>
        </w:rPr>
        <w:t>al análisis de fondo</w:t>
      </w:r>
      <w:r w:rsidR="003424D6" w:rsidRPr="00995557">
        <w:rPr>
          <w:spacing w:val="0"/>
          <w:szCs w:val="20"/>
        </w:rPr>
        <w:t xml:space="preserve"> </w:t>
      </w:r>
      <w:r w:rsidRPr="00995557">
        <w:rPr>
          <w:spacing w:val="0"/>
          <w:szCs w:val="20"/>
        </w:rPr>
        <w:t>en el orden siguiente:</w:t>
      </w:r>
      <w:r w:rsidR="00AB2F14" w:rsidRPr="00995557">
        <w:rPr>
          <w:spacing w:val="0"/>
          <w:szCs w:val="20"/>
        </w:rPr>
        <w:t xml:space="preserve"> </w:t>
      </w:r>
      <w:r w:rsidR="007E0956" w:rsidRPr="00995557">
        <w:rPr>
          <w:spacing w:val="0"/>
          <w:szCs w:val="20"/>
        </w:rPr>
        <w:t xml:space="preserve">a) </w:t>
      </w:r>
      <w:r w:rsidR="00E56B3E" w:rsidRPr="00995557">
        <w:rPr>
          <w:spacing w:val="0"/>
          <w:szCs w:val="20"/>
        </w:rPr>
        <w:t>d</w:t>
      </w:r>
      <w:r w:rsidR="007E0956" w:rsidRPr="00995557">
        <w:rPr>
          <w:spacing w:val="0"/>
          <w:szCs w:val="20"/>
        </w:rPr>
        <w:t>erechos a la vida y a la integridad personal</w:t>
      </w:r>
      <w:r w:rsidR="00C546EC" w:rsidRPr="00995557">
        <w:rPr>
          <w:spacing w:val="0"/>
          <w:szCs w:val="20"/>
        </w:rPr>
        <w:t xml:space="preserve">, </w:t>
      </w:r>
      <w:r w:rsidR="00503519" w:rsidRPr="00995557">
        <w:rPr>
          <w:spacing w:val="0"/>
          <w:szCs w:val="20"/>
        </w:rPr>
        <w:t xml:space="preserve">en relación con las obligaciones de respetar y garantizar los derechos </w:t>
      </w:r>
      <w:r w:rsidR="00C546EC" w:rsidRPr="00995557">
        <w:rPr>
          <w:spacing w:val="0"/>
          <w:szCs w:val="20"/>
        </w:rPr>
        <w:t>y de adoptar disposiciones de derecho interno</w:t>
      </w:r>
      <w:r w:rsidR="007E0956" w:rsidRPr="00995557">
        <w:rPr>
          <w:spacing w:val="0"/>
          <w:szCs w:val="20"/>
        </w:rPr>
        <w:t>;</w:t>
      </w:r>
      <w:r w:rsidR="00AB2F14" w:rsidRPr="00995557">
        <w:rPr>
          <w:spacing w:val="0"/>
          <w:szCs w:val="20"/>
        </w:rPr>
        <w:t xml:space="preserve"> </w:t>
      </w:r>
      <w:r w:rsidR="007E0956" w:rsidRPr="00995557">
        <w:rPr>
          <w:spacing w:val="0"/>
          <w:szCs w:val="20"/>
        </w:rPr>
        <w:t xml:space="preserve">b) </w:t>
      </w:r>
      <w:r w:rsidR="00E56B3E" w:rsidRPr="00995557">
        <w:rPr>
          <w:spacing w:val="0"/>
          <w:szCs w:val="20"/>
        </w:rPr>
        <w:t>d</w:t>
      </w:r>
      <w:r w:rsidR="007E0956" w:rsidRPr="00995557">
        <w:rPr>
          <w:spacing w:val="0"/>
          <w:szCs w:val="20"/>
        </w:rPr>
        <w:t>erechos a las garantías judiciales y a la protección judicial</w:t>
      </w:r>
      <w:r w:rsidR="00C546EC" w:rsidRPr="00995557">
        <w:rPr>
          <w:spacing w:val="0"/>
          <w:szCs w:val="20"/>
        </w:rPr>
        <w:t xml:space="preserve">, </w:t>
      </w:r>
      <w:r w:rsidR="00696183" w:rsidRPr="00995557">
        <w:rPr>
          <w:spacing w:val="0"/>
          <w:szCs w:val="20"/>
        </w:rPr>
        <w:t xml:space="preserve">en relación con las obligaciones de respetar y garantizar los derechos </w:t>
      </w:r>
      <w:r w:rsidR="00EE4002" w:rsidRPr="00995557">
        <w:rPr>
          <w:spacing w:val="0"/>
          <w:szCs w:val="20"/>
        </w:rPr>
        <w:t>y de investigar posibles actos de tortura</w:t>
      </w:r>
      <w:r w:rsidR="007E0956" w:rsidRPr="00995557">
        <w:rPr>
          <w:spacing w:val="0"/>
          <w:szCs w:val="20"/>
        </w:rPr>
        <w:t>, y</w:t>
      </w:r>
      <w:r w:rsidR="00AB2F14" w:rsidRPr="00995557">
        <w:rPr>
          <w:spacing w:val="0"/>
          <w:szCs w:val="20"/>
        </w:rPr>
        <w:t xml:space="preserve"> </w:t>
      </w:r>
      <w:r w:rsidR="007E0956" w:rsidRPr="00995557">
        <w:rPr>
          <w:spacing w:val="0"/>
          <w:szCs w:val="20"/>
        </w:rPr>
        <w:t xml:space="preserve">c) </w:t>
      </w:r>
      <w:r w:rsidR="00E56B3E" w:rsidRPr="00995557">
        <w:rPr>
          <w:spacing w:val="0"/>
          <w:szCs w:val="20"/>
        </w:rPr>
        <w:t>d</w:t>
      </w:r>
      <w:r w:rsidR="007E0956" w:rsidRPr="00995557">
        <w:rPr>
          <w:spacing w:val="0"/>
          <w:szCs w:val="20"/>
        </w:rPr>
        <w:t>erecho a la integridad personal de los familiares de las personas fallecidas</w:t>
      </w:r>
      <w:r w:rsidR="00696183" w:rsidRPr="00995557">
        <w:rPr>
          <w:spacing w:val="0"/>
          <w:szCs w:val="20"/>
        </w:rPr>
        <w:t>, en relación con las obligaciones de respetar y garantizar los derechos</w:t>
      </w:r>
      <w:r w:rsidR="007E0956" w:rsidRPr="00995557">
        <w:rPr>
          <w:spacing w:val="0"/>
          <w:szCs w:val="20"/>
        </w:rPr>
        <w:t>.</w:t>
      </w:r>
    </w:p>
    <w:p w14:paraId="16E1AA9E" w14:textId="77777777" w:rsidR="00696183" w:rsidRPr="00995557" w:rsidRDefault="00696183" w:rsidP="00AA627A">
      <w:pPr>
        <w:rPr>
          <w:lang w:eastAsia="es-MX"/>
        </w:rPr>
      </w:pPr>
    </w:p>
    <w:p w14:paraId="7C021529" w14:textId="136DF6CF" w:rsidR="002B2C22" w:rsidRPr="00995557" w:rsidRDefault="008E4AA0" w:rsidP="00AA627A">
      <w:pPr>
        <w:pStyle w:val="Ttulo1"/>
        <w:keepNext w:val="0"/>
        <w:keepLines w:val="0"/>
        <w:widowControl w:val="0"/>
        <w:spacing w:before="0" w:after="0"/>
      </w:pPr>
      <w:bookmarkStart w:id="124" w:name="_Toc32589936"/>
      <w:bookmarkStart w:id="125" w:name="_Toc53741456"/>
      <w:bookmarkStart w:id="126" w:name="_Toc58399124"/>
      <w:r w:rsidRPr="00995557">
        <w:t>VII</w:t>
      </w:r>
      <w:r w:rsidR="007E0956" w:rsidRPr="00995557">
        <w:t>I.</w:t>
      </w:r>
      <w:r w:rsidRPr="00995557">
        <w:t>1</w:t>
      </w:r>
      <w:r w:rsidRPr="00995557">
        <w:br/>
      </w:r>
      <w:bookmarkStart w:id="127" w:name="_Toc32394157"/>
      <w:bookmarkStart w:id="128" w:name="_Toc32589939"/>
      <w:bookmarkEnd w:id="124"/>
      <w:r w:rsidR="00CA38A9" w:rsidRPr="00995557">
        <w:t>DERECHO</w:t>
      </w:r>
      <w:r w:rsidR="007E0956" w:rsidRPr="00995557">
        <w:t>S</w:t>
      </w:r>
      <w:r w:rsidR="00CA38A9" w:rsidRPr="00995557">
        <w:t xml:space="preserve"> A LA </w:t>
      </w:r>
      <w:bookmarkEnd w:id="127"/>
      <w:bookmarkEnd w:id="128"/>
      <w:r w:rsidR="007E0956" w:rsidRPr="00995557">
        <w:t>VIDA Y A LA INTEGRIDAD PERSONA</w:t>
      </w:r>
      <w:r w:rsidR="002C761C" w:rsidRPr="00995557">
        <w:t>L</w:t>
      </w:r>
      <w:r w:rsidR="00592865" w:rsidRPr="00995557">
        <w:t>,</w:t>
      </w:r>
      <w:r w:rsidR="00503519" w:rsidRPr="00995557">
        <w:t xml:space="preserve"> EN RELACIÓN CON LAS OBLIGACIONES DE RESPETAR Y GARANTIZAR LOS DERECHOS Y DE</w:t>
      </w:r>
      <w:r w:rsidR="00592865" w:rsidRPr="00995557">
        <w:t xml:space="preserve"> ADOPTAR DISPOSICIONES DE DERECHO INTERNO</w:t>
      </w:r>
      <w:r w:rsidR="00592865" w:rsidRPr="00995557">
        <w:rPr>
          <w:rStyle w:val="Refdenotaalpie"/>
        </w:rPr>
        <w:footnoteReference w:id="108"/>
      </w:r>
      <w:bookmarkEnd w:id="125"/>
      <w:bookmarkEnd w:id="126"/>
    </w:p>
    <w:p w14:paraId="76F2C21F" w14:textId="77777777" w:rsidR="00B3066B" w:rsidRPr="00995557" w:rsidRDefault="00B3066B" w:rsidP="00AA627A">
      <w:pPr>
        <w:widowControl w:val="0"/>
      </w:pPr>
    </w:p>
    <w:p w14:paraId="5A0E25C2" w14:textId="77777777" w:rsidR="00CA38A9" w:rsidRPr="00995557" w:rsidRDefault="00CA38A9" w:rsidP="00AA627A">
      <w:pPr>
        <w:pStyle w:val="Ttulo2"/>
        <w:widowControl w:val="0"/>
        <w:numPr>
          <w:ilvl w:val="0"/>
          <w:numId w:val="7"/>
        </w:numPr>
        <w:tabs>
          <w:tab w:val="clear" w:pos="1134"/>
          <w:tab w:val="left" w:pos="567"/>
        </w:tabs>
        <w:spacing w:before="0" w:after="0"/>
      </w:pPr>
      <w:bookmarkStart w:id="129" w:name="_Toc32394158"/>
      <w:bookmarkStart w:id="130" w:name="_Toc32589940"/>
      <w:bookmarkStart w:id="131" w:name="_Toc53741457"/>
      <w:bookmarkStart w:id="132" w:name="_Toc58399125"/>
      <w:r w:rsidRPr="00995557">
        <w:t>Alegatos de la</w:t>
      </w:r>
      <w:r w:rsidR="0025576B" w:rsidRPr="00995557">
        <w:t>s</w:t>
      </w:r>
      <w:r w:rsidRPr="00995557">
        <w:t xml:space="preserve"> partes y de la Comisión</w:t>
      </w:r>
      <w:bookmarkEnd w:id="129"/>
      <w:bookmarkEnd w:id="130"/>
      <w:bookmarkEnd w:id="131"/>
      <w:bookmarkEnd w:id="132"/>
    </w:p>
    <w:p w14:paraId="6BCB5F1D" w14:textId="77777777" w:rsidR="00B3066B" w:rsidRPr="00995557" w:rsidRDefault="00B3066B" w:rsidP="00AA627A">
      <w:pPr>
        <w:widowControl w:val="0"/>
      </w:pPr>
    </w:p>
    <w:p w14:paraId="740CBAFE" w14:textId="40C7C984" w:rsidR="00380502" w:rsidRPr="00995557" w:rsidRDefault="00CA38A9" w:rsidP="00AA627A">
      <w:pPr>
        <w:pStyle w:val="PrrafodeSentencia"/>
        <w:widowControl w:val="0"/>
        <w:numPr>
          <w:ilvl w:val="0"/>
          <w:numId w:val="2"/>
        </w:numPr>
        <w:ind w:left="0" w:firstLine="0"/>
        <w:rPr>
          <w:b/>
          <w:spacing w:val="0"/>
          <w:szCs w:val="20"/>
        </w:rPr>
      </w:pPr>
      <w:r w:rsidRPr="00995557">
        <w:rPr>
          <w:spacing w:val="0"/>
          <w:szCs w:val="20"/>
        </w:rPr>
        <w:t xml:space="preserve">La </w:t>
      </w:r>
      <w:r w:rsidRPr="00995557">
        <w:rPr>
          <w:b/>
          <w:i/>
          <w:spacing w:val="0"/>
          <w:szCs w:val="20"/>
        </w:rPr>
        <w:t xml:space="preserve">Comisión </w:t>
      </w:r>
      <w:r w:rsidR="00D11193" w:rsidRPr="00995557">
        <w:rPr>
          <w:spacing w:val="0"/>
          <w:szCs w:val="20"/>
        </w:rPr>
        <w:t>argumentó</w:t>
      </w:r>
      <w:r w:rsidRPr="00995557">
        <w:rPr>
          <w:spacing w:val="0"/>
          <w:szCs w:val="20"/>
        </w:rPr>
        <w:t xml:space="preserve"> que </w:t>
      </w:r>
      <w:r w:rsidR="008A0FF0" w:rsidRPr="00995557">
        <w:rPr>
          <w:spacing w:val="0"/>
          <w:szCs w:val="20"/>
        </w:rPr>
        <w:t xml:space="preserve">existe una presunción de responsabilidad del Estado por las muertes y </w:t>
      </w:r>
      <w:r w:rsidR="00C11850" w:rsidRPr="00995557">
        <w:rPr>
          <w:spacing w:val="0"/>
          <w:szCs w:val="20"/>
        </w:rPr>
        <w:t>lesiones</w:t>
      </w:r>
      <w:r w:rsidR="008A0FF0" w:rsidRPr="00995557">
        <w:rPr>
          <w:spacing w:val="0"/>
          <w:szCs w:val="20"/>
        </w:rPr>
        <w:t xml:space="preserve"> ocasionadas a personas bajo su custodia, la que no ha sido desvirtuada en tanto no </w:t>
      </w:r>
      <w:r w:rsidR="00E93E2A" w:rsidRPr="00995557">
        <w:rPr>
          <w:spacing w:val="0"/>
          <w:szCs w:val="20"/>
        </w:rPr>
        <w:t>se ha aportado una explicación satisfactoria, a lo que se suma el reconocimiento</w:t>
      </w:r>
      <w:r w:rsidR="00780D53" w:rsidRPr="00995557">
        <w:rPr>
          <w:spacing w:val="0"/>
          <w:szCs w:val="20"/>
        </w:rPr>
        <w:t xml:space="preserve"> de responsabilidad</w:t>
      </w:r>
      <w:r w:rsidR="00E93E2A" w:rsidRPr="00995557">
        <w:rPr>
          <w:spacing w:val="0"/>
          <w:szCs w:val="20"/>
        </w:rPr>
        <w:t xml:space="preserve"> efectuado.</w:t>
      </w:r>
      <w:r w:rsidR="004A70A0" w:rsidRPr="00995557">
        <w:rPr>
          <w:b/>
          <w:spacing w:val="0"/>
          <w:szCs w:val="20"/>
        </w:rPr>
        <w:t xml:space="preserve"> </w:t>
      </w:r>
      <w:r w:rsidR="00380502" w:rsidRPr="00995557">
        <w:rPr>
          <w:spacing w:val="0"/>
          <w:szCs w:val="20"/>
        </w:rPr>
        <w:t xml:space="preserve">Señaló que no existen elementos suficientes para determinar con certeza que el día de los hechos </w:t>
      </w:r>
      <w:r w:rsidR="001E1FD3" w:rsidRPr="00995557">
        <w:rPr>
          <w:spacing w:val="0"/>
          <w:szCs w:val="20"/>
        </w:rPr>
        <w:t>haya ocurrido</w:t>
      </w:r>
      <w:r w:rsidR="00380502" w:rsidRPr="00995557">
        <w:rPr>
          <w:spacing w:val="0"/>
          <w:szCs w:val="20"/>
        </w:rPr>
        <w:t xml:space="preserve"> un motín en el interior de la cárcel, lo que deriva de la falta de debida diligencia en la investigación de los hechos; por consiguiente, el uso de la fuerza contra los internos resultaba arbitrario por carecer de una finalidad legítima y por ser innecesario. Agregó que incluso presumiendo que la acción de los miembros de la Guardia Nacional respondía al fin legítimo de controlar un motín y proteger la vida de los internos, el uso de la fuerza habría sido desproporcionado, dados los elementos que dan cuenta de que los agentes ingresaron disparando, que golpearon indiscriminadamente a los privados de libertad en el patio interno y que no utilizaron equipos antimotín ni medios menos letales.</w:t>
      </w:r>
    </w:p>
    <w:p w14:paraId="276E8C00" w14:textId="77777777" w:rsidR="00B3066B" w:rsidRPr="00995557" w:rsidRDefault="00B3066B" w:rsidP="00AA627A">
      <w:pPr>
        <w:pStyle w:val="PrrafodeSentencia"/>
        <w:widowControl w:val="0"/>
        <w:numPr>
          <w:ilvl w:val="0"/>
          <w:numId w:val="0"/>
        </w:numPr>
        <w:rPr>
          <w:spacing w:val="0"/>
          <w:szCs w:val="20"/>
        </w:rPr>
      </w:pPr>
    </w:p>
    <w:p w14:paraId="56FD9ADD" w14:textId="131A1FA3" w:rsidR="00B3066B" w:rsidRPr="00995557" w:rsidRDefault="003424D6" w:rsidP="00AA627A">
      <w:pPr>
        <w:pStyle w:val="PrrafodeSentencia"/>
        <w:widowControl w:val="0"/>
        <w:numPr>
          <w:ilvl w:val="0"/>
          <w:numId w:val="2"/>
        </w:numPr>
        <w:ind w:left="0" w:firstLine="0"/>
        <w:rPr>
          <w:b/>
          <w:spacing w:val="0"/>
          <w:szCs w:val="20"/>
        </w:rPr>
      </w:pPr>
      <w:r w:rsidRPr="00995557">
        <w:rPr>
          <w:spacing w:val="0"/>
          <w:szCs w:val="20"/>
        </w:rPr>
        <w:t>A</w:t>
      </w:r>
      <w:r w:rsidR="00B3066B" w:rsidRPr="00995557">
        <w:rPr>
          <w:spacing w:val="0"/>
          <w:szCs w:val="20"/>
        </w:rPr>
        <w:t>ñadió</w:t>
      </w:r>
      <w:r w:rsidR="00380502" w:rsidRPr="00995557">
        <w:rPr>
          <w:spacing w:val="0"/>
          <w:szCs w:val="20"/>
        </w:rPr>
        <w:t xml:space="preserve"> </w:t>
      </w:r>
      <w:r w:rsidR="00B3066B" w:rsidRPr="00995557">
        <w:rPr>
          <w:spacing w:val="0"/>
          <w:szCs w:val="20"/>
        </w:rPr>
        <w:t>que la Guardia Nacional ingresó a la cárcel en concordancia con el artículo 8 de la Ley del Régimen Penitenciario</w:t>
      </w:r>
      <w:r w:rsidR="00A507C9" w:rsidRPr="00995557">
        <w:rPr>
          <w:spacing w:val="0"/>
          <w:szCs w:val="20"/>
        </w:rPr>
        <w:t xml:space="preserve">, según el cual </w:t>
      </w:r>
      <w:r w:rsidR="00B3066B" w:rsidRPr="00995557">
        <w:rPr>
          <w:spacing w:val="0"/>
          <w:szCs w:val="20"/>
        </w:rPr>
        <w:t>la vigilancia exterior de los centros puede encomendarse a organismos militares, los que se abstendrán de toda intervención en el régimen y vigilancia interior, “salvo en los casos en que sean expresamente requeridos por el director del establecimiento”. Señaló que tal normativa no delimita con suficiente claridad las causales que podrían motivar la solicitud de ingreso de la Guardia Nacional</w:t>
      </w:r>
      <w:r w:rsidR="00EE4ACF" w:rsidRPr="00995557">
        <w:rPr>
          <w:spacing w:val="0"/>
          <w:szCs w:val="20"/>
        </w:rPr>
        <w:t>,</w:t>
      </w:r>
      <w:r w:rsidR="00B3066B" w:rsidRPr="00995557">
        <w:rPr>
          <w:spacing w:val="0"/>
          <w:szCs w:val="20"/>
        </w:rPr>
        <w:t xml:space="preserve"> máxime cuando el estándar interamericano exige que el ingreso de efectivos militares a un recinto penal, de </w:t>
      </w:r>
      <w:r w:rsidR="00B3066B" w:rsidRPr="00995557">
        <w:rPr>
          <w:spacing w:val="0"/>
          <w:szCs w:val="20"/>
        </w:rPr>
        <w:lastRenderedPageBreak/>
        <w:t>ser permitido, debe responder a un criterio de estricta excepcionalidad, y debe ser destinado únicamente a la salvaguarda de los derechos de las personas internas.</w:t>
      </w:r>
    </w:p>
    <w:p w14:paraId="5A2AF955" w14:textId="77777777" w:rsidR="00B3066B" w:rsidRPr="00995557" w:rsidRDefault="00B3066B" w:rsidP="00AA627A">
      <w:pPr>
        <w:widowControl w:val="0"/>
        <w:rPr>
          <w:lang w:eastAsia="es-MX"/>
        </w:rPr>
      </w:pPr>
    </w:p>
    <w:p w14:paraId="3DAC250B" w14:textId="7162195F" w:rsidR="000D6684" w:rsidRPr="00995557" w:rsidRDefault="00B3066B" w:rsidP="00AA627A">
      <w:pPr>
        <w:pStyle w:val="PrrafodeSentencia"/>
        <w:widowControl w:val="0"/>
        <w:numPr>
          <w:ilvl w:val="0"/>
          <w:numId w:val="2"/>
        </w:numPr>
        <w:ind w:left="0" w:firstLine="0"/>
        <w:rPr>
          <w:spacing w:val="0"/>
          <w:szCs w:val="20"/>
        </w:rPr>
      </w:pPr>
      <w:r w:rsidRPr="00995557">
        <w:rPr>
          <w:spacing w:val="0"/>
          <w:szCs w:val="20"/>
        </w:rPr>
        <w:t xml:space="preserve">Los </w:t>
      </w:r>
      <w:r w:rsidRPr="00995557">
        <w:rPr>
          <w:b/>
          <w:i/>
          <w:spacing w:val="0"/>
          <w:szCs w:val="20"/>
        </w:rPr>
        <w:t>representantes</w:t>
      </w:r>
      <w:r w:rsidRPr="00995557">
        <w:rPr>
          <w:spacing w:val="0"/>
          <w:szCs w:val="20"/>
        </w:rPr>
        <w:t xml:space="preserve"> </w:t>
      </w:r>
      <w:r w:rsidR="00413826" w:rsidRPr="00995557">
        <w:rPr>
          <w:spacing w:val="0"/>
          <w:szCs w:val="20"/>
        </w:rPr>
        <w:t>alegaron que los hechos del presente caso deben caracterizarse como “una masacre” cometida por agentes estatales mediante ejecuciones extrajudiciales, lo que se</w:t>
      </w:r>
      <w:r w:rsidR="000D6684" w:rsidRPr="00995557">
        <w:rPr>
          <w:spacing w:val="0"/>
          <w:szCs w:val="20"/>
        </w:rPr>
        <w:t xml:space="preserve"> evidencia a partir de los exámenes realizados a los cuerpos de las víctimas que fueron exhumados, de los cuales, en la mayoría se concluyó que la causa de muerte fue a consecuencia de disparos por arma de fuego en la cabeza, y que varias de las trayectorias demostraron que los internos se encontraban en posición de indefensión.</w:t>
      </w:r>
      <w:r w:rsidR="000D6684" w:rsidRPr="00995557">
        <w:rPr>
          <w:b/>
          <w:spacing w:val="0"/>
          <w:szCs w:val="20"/>
        </w:rPr>
        <w:t xml:space="preserve"> </w:t>
      </w:r>
      <w:r w:rsidR="000D6684" w:rsidRPr="00995557">
        <w:rPr>
          <w:spacing w:val="0"/>
          <w:szCs w:val="20"/>
        </w:rPr>
        <w:t>Indic</w:t>
      </w:r>
      <w:r w:rsidR="007B658F" w:rsidRPr="00995557">
        <w:rPr>
          <w:spacing w:val="0"/>
          <w:szCs w:val="20"/>
        </w:rPr>
        <w:t>aron</w:t>
      </w:r>
      <w:r w:rsidR="000D6684" w:rsidRPr="00995557">
        <w:rPr>
          <w:spacing w:val="0"/>
          <w:szCs w:val="20"/>
        </w:rPr>
        <w:t xml:space="preserve"> que es concluyente que el uso de la fuerza por parte de las autoridades militares no fue legítimo ni necesario, además de excesivo e inaceptable, dadas las circunstancias como ocurrieron y la entidad de la gravedad de las agresiones sufridas por las víctimas fatales.</w:t>
      </w:r>
    </w:p>
    <w:p w14:paraId="1015F7CF" w14:textId="77777777" w:rsidR="000D6684" w:rsidRPr="00995557" w:rsidRDefault="000D6684" w:rsidP="00AA627A">
      <w:pPr>
        <w:widowControl w:val="0"/>
        <w:rPr>
          <w:color w:val="FF0000"/>
          <w:lang w:eastAsia="es-MX"/>
        </w:rPr>
      </w:pPr>
    </w:p>
    <w:p w14:paraId="35D06763" w14:textId="52953E4E" w:rsidR="000D6684" w:rsidRPr="00995557" w:rsidRDefault="003424D6" w:rsidP="00AA627A">
      <w:pPr>
        <w:pStyle w:val="PrrafodeSentencia"/>
        <w:widowControl w:val="0"/>
        <w:numPr>
          <w:ilvl w:val="0"/>
          <w:numId w:val="2"/>
        </w:numPr>
        <w:ind w:left="0" w:firstLine="0"/>
        <w:rPr>
          <w:b/>
          <w:spacing w:val="0"/>
          <w:szCs w:val="20"/>
        </w:rPr>
      </w:pPr>
      <w:r w:rsidRPr="00995557">
        <w:rPr>
          <w:spacing w:val="0"/>
          <w:szCs w:val="20"/>
        </w:rPr>
        <w:t>A</w:t>
      </w:r>
      <w:r w:rsidR="000D6684" w:rsidRPr="00995557">
        <w:rPr>
          <w:spacing w:val="0"/>
          <w:szCs w:val="20"/>
        </w:rPr>
        <w:t xml:space="preserve">gregaron </w:t>
      </w:r>
      <w:r w:rsidRPr="00995557">
        <w:rPr>
          <w:spacing w:val="0"/>
          <w:szCs w:val="20"/>
        </w:rPr>
        <w:t>que,</w:t>
      </w:r>
      <w:r w:rsidR="000D6684" w:rsidRPr="00995557">
        <w:rPr>
          <w:spacing w:val="0"/>
          <w:szCs w:val="20"/>
        </w:rPr>
        <w:t xml:space="preserve"> a partir de la aplicación de presunciones como la vulnerabilidad de las víctimas, la posición de garante de los agentes estatales, la finalidad de la medida ejercida para sancionar y la entidad y seriedad de las lesiones sufridas a nivel físico y psíquico, </w:t>
      </w:r>
      <w:r w:rsidR="00E41ED0" w:rsidRPr="00995557">
        <w:rPr>
          <w:spacing w:val="0"/>
          <w:szCs w:val="20"/>
        </w:rPr>
        <w:t>existen elementos suficientes para concluir que los actos cometidos contra las personas fallecidas y heridas constituyeron actos de tortura.</w:t>
      </w:r>
      <w:r w:rsidR="00E41ED0" w:rsidRPr="00995557">
        <w:rPr>
          <w:b/>
          <w:spacing w:val="0"/>
          <w:szCs w:val="20"/>
        </w:rPr>
        <w:t xml:space="preserve"> </w:t>
      </w:r>
      <w:r w:rsidR="00434B6B" w:rsidRPr="00995557">
        <w:rPr>
          <w:spacing w:val="0"/>
          <w:szCs w:val="20"/>
        </w:rPr>
        <w:t>S</w:t>
      </w:r>
      <w:r w:rsidR="007B658F" w:rsidRPr="00995557">
        <w:rPr>
          <w:spacing w:val="0"/>
          <w:szCs w:val="20"/>
        </w:rPr>
        <w:t>eñalaron</w:t>
      </w:r>
      <w:r w:rsidR="00E41ED0" w:rsidRPr="00995557">
        <w:rPr>
          <w:spacing w:val="0"/>
          <w:szCs w:val="20"/>
        </w:rPr>
        <w:t xml:space="preserve"> </w:t>
      </w:r>
      <w:r w:rsidRPr="00995557">
        <w:rPr>
          <w:spacing w:val="0"/>
          <w:szCs w:val="20"/>
        </w:rPr>
        <w:t>que</w:t>
      </w:r>
      <w:r w:rsidR="00E41ED0" w:rsidRPr="00995557">
        <w:rPr>
          <w:spacing w:val="0"/>
          <w:szCs w:val="20"/>
        </w:rPr>
        <w:t xml:space="preserve"> dicho alegato, en consonancia con los hechos contenidos en el Informe de Fondo, se dirigen a la interpretación adecuada de </w:t>
      </w:r>
      <w:r w:rsidR="009540A5" w:rsidRPr="00995557">
        <w:rPr>
          <w:spacing w:val="0"/>
          <w:szCs w:val="20"/>
        </w:rPr>
        <w:t>estos</w:t>
      </w:r>
      <w:r w:rsidR="00E41ED0" w:rsidRPr="00995557">
        <w:rPr>
          <w:spacing w:val="0"/>
          <w:szCs w:val="20"/>
        </w:rPr>
        <w:t xml:space="preserve"> hecho</w:t>
      </w:r>
      <w:r w:rsidR="007B658F" w:rsidRPr="00995557">
        <w:rPr>
          <w:spacing w:val="0"/>
          <w:szCs w:val="20"/>
        </w:rPr>
        <w:t>s</w:t>
      </w:r>
      <w:r w:rsidR="00E41ED0" w:rsidRPr="00995557">
        <w:rPr>
          <w:spacing w:val="0"/>
          <w:szCs w:val="20"/>
        </w:rPr>
        <w:t xml:space="preserve"> y del derecho aplicable.</w:t>
      </w:r>
    </w:p>
    <w:p w14:paraId="171B1ABB" w14:textId="77777777" w:rsidR="00E41ED0" w:rsidRPr="00995557" w:rsidRDefault="00E41ED0" w:rsidP="00AA627A">
      <w:pPr>
        <w:widowControl w:val="0"/>
        <w:rPr>
          <w:lang w:eastAsia="es-MX"/>
        </w:rPr>
      </w:pPr>
    </w:p>
    <w:p w14:paraId="05DD42A4" w14:textId="5D85FE04" w:rsidR="004942EA" w:rsidRPr="00995557" w:rsidRDefault="00E41ED0" w:rsidP="00AA627A">
      <w:pPr>
        <w:pStyle w:val="PrrafodeSentencia"/>
        <w:widowControl w:val="0"/>
        <w:numPr>
          <w:ilvl w:val="0"/>
          <w:numId w:val="2"/>
        </w:numPr>
        <w:ind w:left="0" w:firstLine="0"/>
        <w:rPr>
          <w:rFonts w:cs="Arial"/>
          <w:b/>
          <w:spacing w:val="0"/>
          <w:szCs w:val="20"/>
        </w:rPr>
      </w:pPr>
      <w:r w:rsidRPr="00995557">
        <w:rPr>
          <w:spacing w:val="0"/>
          <w:szCs w:val="20"/>
        </w:rPr>
        <w:t xml:space="preserve">El </w:t>
      </w:r>
      <w:r w:rsidRPr="00995557">
        <w:rPr>
          <w:b/>
          <w:i/>
          <w:spacing w:val="0"/>
          <w:szCs w:val="20"/>
        </w:rPr>
        <w:t>Estado</w:t>
      </w:r>
      <w:r w:rsidRPr="00995557">
        <w:rPr>
          <w:spacing w:val="0"/>
          <w:szCs w:val="20"/>
        </w:rPr>
        <w:t xml:space="preserve"> </w:t>
      </w:r>
      <w:r w:rsidR="00F51CC9" w:rsidRPr="00995557">
        <w:rPr>
          <w:spacing w:val="0"/>
          <w:szCs w:val="20"/>
        </w:rPr>
        <w:t>reconoció su responsabilidad internacional por la vul</w:t>
      </w:r>
      <w:r w:rsidR="00CF0BE1" w:rsidRPr="00995557">
        <w:rPr>
          <w:spacing w:val="0"/>
          <w:szCs w:val="20"/>
        </w:rPr>
        <w:t>n</w:t>
      </w:r>
      <w:r w:rsidR="00F51CC9" w:rsidRPr="00995557">
        <w:rPr>
          <w:spacing w:val="0"/>
          <w:szCs w:val="20"/>
        </w:rPr>
        <w:t>eración de</w:t>
      </w:r>
      <w:r w:rsidR="00CF0BE1" w:rsidRPr="00995557">
        <w:rPr>
          <w:spacing w:val="0"/>
          <w:szCs w:val="20"/>
        </w:rPr>
        <w:t xml:space="preserve"> </w:t>
      </w:r>
      <w:r w:rsidR="00F51CC9" w:rsidRPr="00995557">
        <w:rPr>
          <w:spacing w:val="0"/>
          <w:szCs w:val="20"/>
        </w:rPr>
        <w:t>l</w:t>
      </w:r>
      <w:r w:rsidR="00CF0BE1" w:rsidRPr="00995557">
        <w:rPr>
          <w:spacing w:val="0"/>
          <w:szCs w:val="20"/>
        </w:rPr>
        <w:t>os</w:t>
      </w:r>
      <w:r w:rsidR="00F51CC9" w:rsidRPr="00995557">
        <w:rPr>
          <w:spacing w:val="0"/>
          <w:szCs w:val="20"/>
        </w:rPr>
        <w:t xml:space="preserve"> derecho</w:t>
      </w:r>
      <w:r w:rsidR="00CF0BE1" w:rsidRPr="00995557">
        <w:rPr>
          <w:spacing w:val="0"/>
          <w:szCs w:val="20"/>
        </w:rPr>
        <w:t>s</w:t>
      </w:r>
      <w:r w:rsidR="00F51CC9" w:rsidRPr="00995557">
        <w:rPr>
          <w:spacing w:val="0"/>
          <w:szCs w:val="20"/>
        </w:rPr>
        <w:t xml:space="preserve"> a la vida </w:t>
      </w:r>
      <w:r w:rsidR="00CF0BE1" w:rsidRPr="00995557">
        <w:rPr>
          <w:spacing w:val="0"/>
          <w:szCs w:val="20"/>
        </w:rPr>
        <w:t>y a la</w:t>
      </w:r>
      <w:r w:rsidR="00F51CC9" w:rsidRPr="00995557">
        <w:rPr>
          <w:spacing w:val="0"/>
          <w:szCs w:val="20"/>
        </w:rPr>
        <w:t xml:space="preserve"> integri</w:t>
      </w:r>
      <w:r w:rsidR="00CF0BE1" w:rsidRPr="00995557">
        <w:rPr>
          <w:spacing w:val="0"/>
          <w:szCs w:val="20"/>
        </w:rPr>
        <w:t>d</w:t>
      </w:r>
      <w:r w:rsidR="00F51CC9" w:rsidRPr="00995557">
        <w:rPr>
          <w:spacing w:val="0"/>
          <w:szCs w:val="20"/>
        </w:rPr>
        <w:t>ad personal “en los términos y condiciones establecidos en el Informe de Fondo”.</w:t>
      </w:r>
    </w:p>
    <w:p w14:paraId="145244BA" w14:textId="77777777" w:rsidR="00E41ED0" w:rsidRPr="00995557" w:rsidRDefault="00E41ED0" w:rsidP="00AA627A">
      <w:pPr>
        <w:widowControl w:val="0"/>
        <w:rPr>
          <w:lang w:eastAsia="es-MX"/>
        </w:rPr>
      </w:pPr>
    </w:p>
    <w:p w14:paraId="3323616C" w14:textId="77777777" w:rsidR="00E41ED0" w:rsidRPr="00995557" w:rsidRDefault="00E41ED0" w:rsidP="00AA627A">
      <w:pPr>
        <w:pStyle w:val="Ttulo2"/>
        <w:widowControl w:val="0"/>
        <w:numPr>
          <w:ilvl w:val="0"/>
          <w:numId w:val="7"/>
        </w:numPr>
        <w:tabs>
          <w:tab w:val="clear" w:pos="1134"/>
          <w:tab w:val="left" w:pos="567"/>
        </w:tabs>
        <w:spacing w:before="0" w:after="0"/>
      </w:pPr>
      <w:bookmarkStart w:id="133" w:name="_Toc53741458"/>
      <w:bookmarkStart w:id="134" w:name="_Toc58399126"/>
      <w:r w:rsidRPr="00995557">
        <w:t>Consideraciones de la Corte</w:t>
      </w:r>
      <w:bookmarkEnd w:id="133"/>
      <w:bookmarkEnd w:id="134"/>
    </w:p>
    <w:p w14:paraId="6F5D3B82" w14:textId="77777777" w:rsidR="00E41ED0" w:rsidRPr="00995557" w:rsidRDefault="00E41ED0" w:rsidP="00AA627A">
      <w:pPr>
        <w:widowControl w:val="0"/>
        <w:rPr>
          <w:lang w:eastAsia="es-MX"/>
        </w:rPr>
      </w:pPr>
    </w:p>
    <w:p w14:paraId="66C0CACF" w14:textId="77777777" w:rsidR="001E6459" w:rsidRPr="00995557" w:rsidRDefault="001E6459" w:rsidP="00AA627A">
      <w:pPr>
        <w:pStyle w:val="PrrafodeSentencia"/>
        <w:widowControl w:val="0"/>
        <w:numPr>
          <w:ilvl w:val="0"/>
          <w:numId w:val="2"/>
        </w:numPr>
        <w:ind w:left="0" w:firstLine="0"/>
        <w:rPr>
          <w:spacing w:val="0"/>
          <w:szCs w:val="20"/>
          <w:lang w:val="es-PE"/>
        </w:rPr>
      </w:pPr>
      <w:bookmarkStart w:id="135" w:name="_Hlk39517878"/>
      <w:r w:rsidRPr="00995557">
        <w:rPr>
          <w:spacing w:val="0"/>
          <w:szCs w:val="20"/>
          <w:lang w:val="es-PE"/>
        </w:rPr>
        <w:t xml:space="preserve">La Corte procederá al análisis conjunto de las violaciones </w:t>
      </w:r>
      <w:r w:rsidR="008D30B6" w:rsidRPr="00995557">
        <w:rPr>
          <w:spacing w:val="0"/>
          <w:szCs w:val="20"/>
          <w:lang w:val="es-PE"/>
        </w:rPr>
        <w:t>a</w:t>
      </w:r>
      <w:r w:rsidRPr="00995557">
        <w:rPr>
          <w:spacing w:val="0"/>
          <w:szCs w:val="20"/>
          <w:lang w:val="es-PE"/>
        </w:rPr>
        <w:t xml:space="preserve"> los derechos a la vida respecto de las personas fallecidas y a la integridad personal de las </w:t>
      </w:r>
      <w:r w:rsidR="007B658F" w:rsidRPr="00995557">
        <w:rPr>
          <w:spacing w:val="0"/>
          <w:szCs w:val="20"/>
          <w:lang w:val="es-PE"/>
        </w:rPr>
        <w:t>víctimas</w:t>
      </w:r>
      <w:r w:rsidRPr="00995557">
        <w:rPr>
          <w:spacing w:val="0"/>
          <w:szCs w:val="20"/>
          <w:lang w:val="es-PE"/>
        </w:rPr>
        <w:t xml:space="preserve"> lesionad</w:t>
      </w:r>
      <w:r w:rsidR="007B658F" w:rsidRPr="00995557">
        <w:rPr>
          <w:spacing w:val="0"/>
          <w:szCs w:val="20"/>
          <w:lang w:val="es-PE"/>
        </w:rPr>
        <w:t>a</w:t>
      </w:r>
      <w:r w:rsidRPr="00995557">
        <w:rPr>
          <w:spacing w:val="0"/>
          <w:szCs w:val="20"/>
          <w:lang w:val="es-PE"/>
        </w:rPr>
        <w:t>s</w:t>
      </w:r>
      <w:r w:rsidR="004075E0" w:rsidRPr="00995557">
        <w:rPr>
          <w:spacing w:val="0"/>
          <w:szCs w:val="20"/>
          <w:lang w:val="es-PE"/>
        </w:rPr>
        <w:t xml:space="preserve"> en virtud de </w:t>
      </w:r>
      <w:r w:rsidR="009D1C74" w:rsidRPr="00995557">
        <w:rPr>
          <w:spacing w:val="0"/>
          <w:szCs w:val="20"/>
          <w:lang w:val="es-PE"/>
        </w:rPr>
        <w:t>que</w:t>
      </w:r>
      <w:r w:rsidR="008D30B6" w:rsidRPr="00995557">
        <w:rPr>
          <w:spacing w:val="0"/>
          <w:szCs w:val="20"/>
          <w:lang w:val="es-PE"/>
        </w:rPr>
        <w:t xml:space="preserve"> fue</w:t>
      </w:r>
      <w:r w:rsidR="009D1C74" w:rsidRPr="00995557">
        <w:rPr>
          <w:spacing w:val="0"/>
          <w:szCs w:val="20"/>
          <w:lang w:val="es-PE"/>
        </w:rPr>
        <w:t xml:space="preserve"> </w:t>
      </w:r>
      <w:r w:rsidR="007B658F" w:rsidRPr="00995557">
        <w:rPr>
          <w:spacing w:val="0"/>
          <w:szCs w:val="20"/>
          <w:lang w:val="es-PE"/>
        </w:rPr>
        <w:t>a raíz de un mismo hecho</w:t>
      </w:r>
      <w:r w:rsidR="009D1C74" w:rsidRPr="00995557">
        <w:rPr>
          <w:spacing w:val="0"/>
          <w:szCs w:val="20"/>
          <w:lang w:val="es-PE"/>
        </w:rPr>
        <w:t>, referido al op</w:t>
      </w:r>
      <w:r w:rsidR="00920590" w:rsidRPr="00995557">
        <w:rPr>
          <w:spacing w:val="0"/>
          <w:szCs w:val="20"/>
          <w:lang w:val="es-PE"/>
        </w:rPr>
        <w:t>erativo efectuado por la Guardi</w:t>
      </w:r>
      <w:r w:rsidR="009D1C74" w:rsidRPr="00995557">
        <w:rPr>
          <w:spacing w:val="0"/>
          <w:szCs w:val="20"/>
          <w:lang w:val="es-PE"/>
        </w:rPr>
        <w:t xml:space="preserve">a Nacional el 10 de noviembre de 2003 en la cárcel de Vista Hermosa, que </w:t>
      </w:r>
      <w:r w:rsidR="00920590" w:rsidRPr="00995557">
        <w:rPr>
          <w:spacing w:val="0"/>
          <w:szCs w:val="20"/>
          <w:lang w:val="es-PE"/>
        </w:rPr>
        <w:t>fueron</w:t>
      </w:r>
      <w:r w:rsidR="009D1C74" w:rsidRPr="00995557">
        <w:rPr>
          <w:spacing w:val="0"/>
          <w:szCs w:val="20"/>
          <w:lang w:val="es-PE"/>
        </w:rPr>
        <w:t xml:space="preserve"> ocasiona</w:t>
      </w:r>
      <w:r w:rsidR="00920590" w:rsidRPr="00995557">
        <w:rPr>
          <w:spacing w:val="0"/>
          <w:szCs w:val="20"/>
          <w:lang w:val="es-PE"/>
        </w:rPr>
        <w:t>das</w:t>
      </w:r>
      <w:r w:rsidR="009D1C74" w:rsidRPr="00995557">
        <w:rPr>
          <w:spacing w:val="0"/>
          <w:szCs w:val="20"/>
          <w:lang w:val="es-PE"/>
        </w:rPr>
        <w:t xml:space="preserve"> tales violaciones.</w:t>
      </w:r>
    </w:p>
    <w:p w14:paraId="0D314649" w14:textId="77777777" w:rsidR="009D1C74" w:rsidRPr="00995557" w:rsidRDefault="009D1C74" w:rsidP="00AA627A">
      <w:pPr>
        <w:widowControl w:val="0"/>
        <w:rPr>
          <w:lang w:val="es-PE" w:eastAsia="es-MX"/>
        </w:rPr>
      </w:pPr>
    </w:p>
    <w:p w14:paraId="36622541" w14:textId="77777777" w:rsidR="00927651" w:rsidRPr="00995557" w:rsidRDefault="00EF76A7" w:rsidP="00AA627A">
      <w:pPr>
        <w:pStyle w:val="PrrafodeSentencia"/>
        <w:widowControl w:val="0"/>
        <w:numPr>
          <w:ilvl w:val="0"/>
          <w:numId w:val="2"/>
        </w:numPr>
        <w:ind w:left="0" w:firstLine="0"/>
        <w:rPr>
          <w:spacing w:val="0"/>
          <w:szCs w:val="20"/>
          <w:lang w:val="es-PE"/>
        </w:rPr>
      </w:pPr>
      <w:r w:rsidRPr="00995557">
        <w:rPr>
          <w:spacing w:val="0"/>
          <w:szCs w:val="20"/>
          <w:lang w:val="es-PE"/>
        </w:rPr>
        <w:t>En tal sentido, l</w:t>
      </w:r>
      <w:r w:rsidR="00927651" w:rsidRPr="00995557">
        <w:rPr>
          <w:spacing w:val="0"/>
          <w:szCs w:val="20"/>
          <w:lang w:val="es-PE"/>
        </w:rPr>
        <w:t>a jurisprudencia de este Tribunal ha señalado reiteradamente que el derecho a la vida ocupa un papel fundamental en la Convención Americana, por ser el presupuesto esencial para el ejercicio de los demás derechos; de esa cuenta, la observancia del artículo 4, relacionado con el artículo 1.1 de la Convención, no solo presupone que ninguna persona sea privada de su vida arbitrariamente (obligación negativa), sino que requiere, además, que los Estados adopten todas las medidas apropiadas para proteger y preservar el derecho a la vida (obligación positiva)</w:t>
      </w:r>
      <w:r w:rsidR="00927651" w:rsidRPr="00995557">
        <w:rPr>
          <w:rStyle w:val="Refdenotaalpie"/>
          <w:spacing w:val="0"/>
          <w:szCs w:val="20"/>
          <w:lang w:val="es-PE"/>
        </w:rPr>
        <w:footnoteReference w:id="109"/>
      </w:r>
      <w:r w:rsidR="00927651" w:rsidRPr="00995557">
        <w:rPr>
          <w:spacing w:val="0"/>
          <w:szCs w:val="20"/>
          <w:lang w:val="es-PE"/>
        </w:rPr>
        <w:t>, conforme al deber de garantizar el pleno y libre ejercicio de los derechos de todas las personas bajo su jurisdicción</w:t>
      </w:r>
      <w:r w:rsidR="00927651" w:rsidRPr="00995557">
        <w:rPr>
          <w:rStyle w:val="Refdenotaalpie"/>
          <w:spacing w:val="0"/>
          <w:szCs w:val="20"/>
          <w:lang w:val="es-PE"/>
        </w:rPr>
        <w:footnoteReference w:id="110"/>
      </w:r>
      <w:r w:rsidR="00927651" w:rsidRPr="00995557">
        <w:rPr>
          <w:spacing w:val="0"/>
          <w:szCs w:val="20"/>
          <w:lang w:val="es-PE"/>
        </w:rPr>
        <w:t>.</w:t>
      </w:r>
    </w:p>
    <w:p w14:paraId="6E3BF412" w14:textId="77777777" w:rsidR="00927651" w:rsidRPr="00995557" w:rsidRDefault="00927651" w:rsidP="00AA627A">
      <w:pPr>
        <w:pStyle w:val="PrrafodeSentencia"/>
        <w:widowControl w:val="0"/>
        <w:numPr>
          <w:ilvl w:val="0"/>
          <w:numId w:val="0"/>
        </w:numPr>
        <w:rPr>
          <w:spacing w:val="0"/>
          <w:szCs w:val="20"/>
          <w:lang w:val="es-PE"/>
        </w:rPr>
      </w:pPr>
    </w:p>
    <w:p w14:paraId="0D0F3EFE" w14:textId="6A866952" w:rsidR="00927651" w:rsidRPr="00995557" w:rsidRDefault="00927651" w:rsidP="00AA627A">
      <w:pPr>
        <w:pStyle w:val="PrrafodeSentencia"/>
        <w:widowControl w:val="0"/>
        <w:numPr>
          <w:ilvl w:val="0"/>
          <w:numId w:val="2"/>
        </w:numPr>
        <w:ind w:left="0" w:firstLine="0"/>
        <w:rPr>
          <w:spacing w:val="0"/>
          <w:szCs w:val="20"/>
          <w:lang w:val="es-PE"/>
        </w:rPr>
      </w:pPr>
      <w:r w:rsidRPr="00995557">
        <w:rPr>
          <w:spacing w:val="0"/>
          <w:szCs w:val="20"/>
          <w:lang w:val="es-PE"/>
        </w:rPr>
        <w:t>En consecuencia, los Estados tienen la obligación de garantizar la creación de las condiciones que se requieran para que no se produzcan violaciones a</w:t>
      </w:r>
      <w:r w:rsidR="008D30B6" w:rsidRPr="00995557">
        <w:rPr>
          <w:spacing w:val="0"/>
          <w:szCs w:val="20"/>
          <w:lang w:val="es-PE"/>
        </w:rPr>
        <w:t xml:space="preserve"> dicho</w:t>
      </w:r>
      <w:r w:rsidRPr="00995557">
        <w:rPr>
          <w:spacing w:val="0"/>
          <w:szCs w:val="20"/>
          <w:lang w:val="es-PE"/>
        </w:rPr>
        <w:t xml:space="preserve"> derecho y, en particular, el deber de impedir que su</w:t>
      </w:r>
      <w:r w:rsidR="000C1B92" w:rsidRPr="00995557">
        <w:rPr>
          <w:spacing w:val="0"/>
          <w:szCs w:val="20"/>
          <w:lang w:val="es-PE"/>
        </w:rPr>
        <w:t>s agentes atenten contra este. A</w:t>
      </w:r>
      <w:r w:rsidRPr="00995557">
        <w:rPr>
          <w:spacing w:val="0"/>
          <w:szCs w:val="20"/>
          <w:lang w:val="es-PE"/>
        </w:rPr>
        <w:t xml:space="preserve">sí, la protección activa del derecho por parte del Estado no solo involucra a sus legisladores, sino a toda institución </w:t>
      </w:r>
      <w:r w:rsidRPr="00995557">
        <w:rPr>
          <w:spacing w:val="0"/>
          <w:szCs w:val="20"/>
          <w:lang w:val="es-PE"/>
        </w:rPr>
        <w:lastRenderedPageBreak/>
        <w:t xml:space="preserve">estatal y a quienes deben resguardar la seguridad, sean </w:t>
      </w:r>
      <w:r w:rsidR="008D30B6" w:rsidRPr="00995557">
        <w:rPr>
          <w:spacing w:val="0"/>
          <w:szCs w:val="20"/>
          <w:lang w:val="es-PE"/>
        </w:rPr>
        <w:t>e</w:t>
      </w:r>
      <w:r w:rsidRPr="00995557">
        <w:rPr>
          <w:spacing w:val="0"/>
          <w:szCs w:val="20"/>
          <w:lang w:val="es-PE"/>
        </w:rPr>
        <w:t>stas sus fuerzas de policía o sus fuerzas armadas</w:t>
      </w:r>
      <w:r w:rsidRPr="00995557">
        <w:rPr>
          <w:rStyle w:val="Refdenotaalpie"/>
          <w:spacing w:val="0"/>
          <w:szCs w:val="20"/>
          <w:lang w:val="es-PE"/>
        </w:rPr>
        <w:footnoteReference w:id="111"/>
      </w:r>
      <w:r w:rsidRPr="00995557">
        <w:rPr>
          <w:spacing w:val="0"/>
          <w:szCs w:val="20"/>
          <w:lang w:val="es-PE"/>
        </w:rPr>
        <w:t>.</w:t>
      </w:r>
    </w:p>
    <w:p w14:paraId="1CF051D8" w14:textId="77777777" w:rsidR="00927651" w:rsidRPr="00995557" w:rsidRDefault="00927651" w:rsidP="00AA627A">
      <w:pPr>
        <w:pStyle w:val="PrrafodeSentencia"/>
        <w:widowControl w:val="0"/>
        <w:numPr>
          <w:ilvl w:val="0"/>
          <w:numId w:val="0"/>
        </w:numPr>
        <w:rPr>
          <w:spacing w:val="0"/>
          <w:szCs w:val="20"/>
          <w:lang w:val="es-PE"/>
        </w:rPr>
      </w:pPr>
    </w:p>
    <w:p w14:paraId="4A808E74" w14:textId="77777777" w:rsidR="00927651" w:rsidRPr="00995557" w:rsidRDefault="00927651" w:rsidP="00AA627A">
      <w:pPr>
        <w:pStyle w:val="PrrafodeSentencia"/>
        <w:widowControl w:val="0"/>
        <w:numPr>
          <w:ilvl w:val="0"/>
          <w:numId w:val="2"/>
        </w:numPr>
        <w:ind w:left="0" w:firstLine="0"/>
        <w:rPr>
          <w:spacing w:val="0"/>
          <w:szCs w:val="20"/>
          <w:lang w:val="es-PE"/>
        </w:rPr>
      </w:pPr>
      <w:proofErr w:type="gramStart"/>
      <w:r w:rsidRPr="00995557">
        <w:rPr>
          <w:rFonts w:eastAsia="Verdana" w:cs="Verdana"/>
          <w:spacing w:val="0"/>
          <w:szCs w:val="20"/>
          <w:lang w:val="es-ES"/>
        </w:rPr>
        <w:t>En razón de</w:t>
      </w:r>
      <w:proofErr w:type="gramEnd"/>
      <w:r w:rsidRPr="00995557">
        <w:rPr>
          <w:rFonts w:eastAsia="Verdana" w:cs="Verdana"/>
          <w:spacing w:val="0"/>
          <w:szCs w:val="20"/>
          <w:lang w:val="es-ES"/>
        </w:rPr>
        <w:t xml:space="preserve"> lo anterior, los Estados deben adoptar las medidas necesarias para crear un marco normativo adecuado que disuada cualquier amenaza al derecho a la vida, y establecer un sistema de justicia efectivo capaz de investigar, castigar y dar reparación por la privación de la vida por parte de agentes estatales o particulares</w:t>
      </w:r>
      <w:r w:rsidRPr="00995557">
        <w:rPr>
          <w:rStyle w:val="Refdenotaalpie"/>
          <w:rFonts w:eastAsia="Verdana" w:cs="Verdana"/>
          <w:spacing w:val="0"/>
          <w:szCs w:val="20"/>
          <w:lang w:val="es-ES"/>
        </w:rPr>
        <w:footnoteReference w:id="112"/>
      </w:r>
      <w:r w:rsidRPr="00995557">
        <w:rPr>
          <w:rFonts w:eastAsia="Verdana" w:cs="Verdana"/>
          <w:spacing w:val="0"/>
          <w:szCs w:val="20"/>
          <w:lang w:val="es-ES"/>
        </w:rPr>
        <w:t>. De manera especial los Estados deben vigilar que sus cuerpos de seguridad, a quienes les está atribuido el uso de la fuerza legítima, respeten el derecho a la vida de quienes se encuentran bajo su jurisdicción</w:t>
      </w:r>
      <w:r w:rsidRPr="00995557">
        <w:rPr>
          <w:rStyle w:val="Refdenotaalpie"/>
          <w:rFonts w:eastAsia="Verdana" w:cs="Verdana"/>
          <w:spacing w:val="0"/>
          <w:szCs w:val="20"/>
          <w:lang w:val="es-ES"/>
        </w:rPr>
        <w:footnoteReference w:id="113"/>
      </w:r>
      <w:r w:rsidRPr="00995557">
        <w:rPr>
          <w:rFonts w:eastAsia="Verdana" w:cs="Verdana"/>
          <w:spacing w:val="0"/>
          <w:szCs w:val="20"/>
          <w:lang w:val="es-ES"/>
        </w:rPr>
        <w:t>.</w:t>
      </w:r>
    </w:p>
    <w:p w14:paraId="40E5E0D1" w14:textId="77777777" w:rsidR="00B474A4" w:rsidRPr="00995557" w:rsidRDefault="00B474A4" w:rsidP="00AA627A">
      <w:pPr>
        <w:pStyle w:val="PrrafodeSentencia"/>
        <w:widowControl w:val="0"/>
        <w:numPr>
          <w:ilvl w:val="0"/>
          <w:numId w:val="0"/>
        </w:numPr>
        <w:rPr>
          <w:spacing w:val="0"/>
          <w:szCs w:val="20"/>
          <w:lang w:val="es-PE"/>
        </w:rPr>
      </w:pPr>
    </w:p>
    <w:p w14:paraId="4DEE8240" w14:textId="77777777" w:rsidR="002B2C22" w:rsidRPr="00995557" w:rsidRDefault="00B474A4" w:rsidP="00AA627A">
      <w:pPr>
        <w:pStyle w:val="PrrafodeSentencia"/>
        <w:widowControl w:val="0"/>
        <w:numPr>
          <w:ilvl w:val="0"/>
          <w:numId w:val="2"/>
        </w:numPr>
        <w:ind w:left="0" w:firstLine="0"/>
        <w:rPr>
          <w:spacing w:val="0"/>
          <w:szCs w:val="20"/>
          <w:lang w:val="es-PE"/>
        </w:rPr>
      </w:pPr>
      <w:r w:rsidRPr="00995557">
        <w:rPr>
          <w:spacing w:val="0"/>
          <w:szCs w:val="20"/>
        </w:rPr>
        <w:t>Por otro lado, l</w:t>
      </w:r>
      <w:r w:rsidR="00927651" w:rsidRPr="00995557">
        <w:rPr>
          <w:spacing w:val="0"/>
          <w:szCs w:val="20"/>
        </w:rPr>
        <w:t>a Corte recuerda que la Convención reconoce expresamente el derecho a la integridad personal, el cual es un bien jurídico cuya protección encierra la finalidad principal de la prohibición imperativa de la tortura y penas o tratos crueles, inhumanos o degradantes</w:t>
      </w:r>
      <w:r w:rsidR="00927651" w:rsidRPr="00995557">
        <w:rPr>
          <w:rStyle w:val="Refdenotaalpie"/>
          <w:spacing w:val="0"/>
          <w:szCs w:val="20"/>
        </w:rPr>
        <w:footnoteReference w:id="114"/>
      </w:r>
      <w:r w:rsidR="00927651" w:rsidRPr="00995557">
        <w:rPr>
          <w:spacing w:val="0"/>
          <w:szCs w:val="20"/>
        </w:rPr>
        <w:t>.</w:t>
      </w:r>
    </w:p>
    <w:p w14:paraId="5207A04C" w14:textId="77777777" w:rsidR="002B2C22" w:rsidRPr="00995557" w:rsidRDefault="002B2C22" w:rsidP="00AA627A">
      <w:pPr>
        <w:pStyle w:val="PrrafodeSentencia"/>
        <w:widowControl w:val="0"/>
        <w:numPr>
          <w:ilvl w:val="0"/>
          <w:numId w:val="0"/>
        </w:numPr>
        <w:rPr>
          <w:spacing w:val="0"/>
          <w:szCs w:val="20"/>
          <w:lang w:val="es-PE"/>
        </w:rPr>
      </w:pPr>
    </w:p>
    <w:p w14:paraId="099D75A7" w14:textId="77777777" w:rsidR="000F6C86" w:rsidRPr="00995557" w:rsidRDefault="00927651" w:rsidP="00AA627A">
      <w:pPr>
        <w:pStyle w:val="PrrafodeSentencia"/>
        <w:widowControl w:val="0"/>
        <w:numPr>
          <w:ilvl w:val="0"/>
          <w:numId w:val="2"/>
        </w:numPr>
        <w:ind w:left="0" w:firstLine="0"/>
        <w:rPr>
          <w:spacing w:val="0"/>
          <w:szCs w:val="20"/>
        </w:rPr>
      </w:pPr>
      <w:r w:rsidRPr="00995557">
        <w:rPr>
          <w:spacing w:val="0"/>
          <w:szCs w:val="20"/>
        </w:rPr>
        <w:t>Respecto de las personas privadas de libertad, la Corte ha señalado que el Estado, como responsable de los establecimientos de detención, se encuentra en una posición especial de garante de los derechos de toda persona que se halle bajo su custodia</w:t>
      </w:r>
      <w:r w:rsidRPr="00995557">
        <w:rPr>
          <w:spacing w:val="0"/>
          <w:szCs w:val="20"/>
          <w:vertAlign w:val="superscript"/>
        </w:rPr>
        <w:footnoteReference w:id="115"/>
      </w:r>
      <w:r w:rsidRPr="00995557">
        <w:rPr>
          <w:spacing w:val="0"/>
          <w:szCs w:val="20"/>
        </w:rPr>
        <w:t xml:space="preserve">. A su vez, la Corte recuerda que, conforme a su jurisprudencia, </w:t>
      </w:r>
      <w:r w:rsidRPr="00995557">
        <w:rPr>
          <w:rFonts w:cs="Verdana"/>
          <w:bCs/>
          <w:spacing w:val="0"/>
          <w:szCs w:val="20"/>
        </w:rPr>
        <w:t>e</w:t>
      </w:r>
      <w:r w:rsidRPr="00995557">
        <w:rPr>
          <w:spacing w:val="0"/>
          <w:szCs w:val="20"/>
        </w:rPr>
        <w:t>n todo caso de uso de la fuerza por parte de agentes estatales que hayan producido la muerte o lesiones a una o más personas, corresponde al Estado la obligación de proveer una explicación satisfactoria y convincente de lo sucedido y desvirtuar las alegaciones sobre su responsabilidad, mediante elementos probatorios adecuados</w:t>
      </w:r>
      <w:r w:rsidRPr="00995557">
        <w:rPr>
          <w:rStyle w:val="Refdenotaalpie"/>
          <w:spacing w:val="0"/>
          <w:szCs w:val="20"/>
        </w:rPr>
        <w:footnoteReference w:id="116"/>
      </w:r>
      <w:r w:rsidRPr="00995557">
        <w:rPr>
          <w:spacing w:val="0"/>
          <w:szCs w:val="20"/>
        </w:rPr>
        <w:t>. Del mismo modo, la jurisprudencia constante de est</w:t>
      </w:r>
      <w:r w:rsidR="008D30B6" w:rsidRPr="00995557">
        <w:rPr>
          <w:spacing w:val="0"/>
          <w:szCs w:val="20"/>
        </w:rPr>
        <w:t>e Tribunal</w:t>
      </w:r>
      <w:r w:rsidRPr="00995557">
        <w:rPr>
          <w:spacing w:val="0"/>
          <w:szCs w:val="20"/>
        </w:rPr>
        <w:t xml:space="preserve"> </w:t>
      </w:r>
      <w:r w:rsidR="002C639B" w:rsidRPr="00995557">
        <w:rPr>
          <w:spacing w:val="0"/>
          <w:szCs w:val="20"/>
        </w:rPr>
        <w:t xml:space="preserve">ha </w:t>
      </w:r>
      <w:r w:rsidRPr="00995557">
        <w:rPr>
          <w:spacing w:val="0"/>
          <w:szCs w:val="20"/>
        </w:rPr>
        <w:t>reconoc</w:t>
      </w:r>
      <w:r w:rsidR="002C639B" w:rsidRPr="00995557">
        <w:rPr>
          <w:spacing w:val="0"/>
          <w:szCs w:val="20"/>
        </w:rPr>
        <w:t>ido</w:t>
      </w:r>
      <w:r w:rsidRPr="00995557">
        <w:rPr>
          <w:spacing w:val="0"/>
          <w:szCs w:val="20"/>
        </w:rPr>
        <w:t xml:space="preserve"> que existe una presunción por la cual el Estado es responsable por las lesiones que exhibe una persona que ha estado bajo la custodia de agentes estatales</w:t>
      </w:r>
      <w:r w:rsidRPr="00995557">
        <w:rPr>
          <w:rStyle w:val="Refdenotaalpie"/>
          <w:spacing w:val="0"/>
          <w:szCs w:val="20"/>
        </w:rPr>
        <w:footnoteReference w:id="117"/>
      </w:r>
      <w:r w:rsidRPr="00995557">
        <w:rPr>
          <w:spacing w:val="0"/>
          <w:szCs w:val="20"/>
        </w:rPr>
        <w:t>.</w:t>
      </w:r>
      <w:bookmarkEnd w:id="135"/>
    </w:p>
    <w:p w14:paraId="78B74CAC" w14:textId="77777777" w:rsidR="00897799" w:rsidRPr="00995557" w:rsidRDefault="00897799" w:rsidP="00AA627A">
      <w:pPr>
        <w:pStyle w:val="PrrafodeSentencia"/>
        <w:widowControl w:val="0"/>
        <w:numPr>
          <w:ilvl w:val="0"/>
          <w:numId w:val="0"/>
        </w:numPr>
        <w:rPr>
          <w:spacing w:val="0"/>
          <w:szCs w:val="20"/>
        </w:rPr>
      </w:pPr>
    </w:p>
    <w:p w14:paraId="2B056DDA" w14:textId="77777777" w:rsidR="00897799" w:rsidRPr="00995557" w:rsidRDefault="00897799" w:rsidP="00AA627A">
      <w:pPr>
        <w:pStyle w:val="PrrafodeSentencia"/>
        <w:widowControl w:val="0"/>
        <w:numPr>
          <w:ilvl w:val="0"/>
          <w:numId w:val="0"/>
        </w:numPr>
        <w:ind w:left="851"/>
        <w:rPr>
          <w:i/>
          <w:spacing w:val="0"/>
          <w:szCs w:val="20"/>
        </w:rPr>
      </w:pPr>
      <w:bookmarkStart w:id="136" w:name="_Hlk44416292"/>
      <w:r w:rsidRPr="00995557">
        <w:rPr>
          <w:i/>
          <w:snapToGrid w:val="0"/>
          <w:spacing w:val="0"/>
          <w:szCs w:val="20"/>
          <w:lang w:eastAsia="es-ES"/>
        </w:rPr>
        <w:t xml:space="preserve">B.1. La responsabilidad del Estado por las muertes y lesiones </w:t>
      </w:r>
      <w:r w:rsidR="003173CF" w:rsidRPr="00995557">
        <w:rPr>
          <w:i/>
          <w:snapToGrid w:val="0"/>
          <w:spacing w:val="0"/>
          <w:szCs w:val="20"/>
          <w:lang w:eastAsia="es-ES"/>
        </w:rPr>
        <w:t>ocasionadas a</w:t>
      </w:r>
      <w:r w:rsidRPr="00995557">
        <w:rPr>
          <w:i/>
          <w:snapToGrid w:val="0"/>
          <w:spacing w:val="0"/>
          <w:szCs w:val="20"/>
          <w:lang w:eastAsia="es-ES"/>
        </w:rPr>
        <w:t xml:space="preserve"> personas privadas de libertad en la cárcel de Vista Hermosa</w:t>
      </w:r>
      <w:bookmarkEnd w:id="136"/>
    </w:p>
    <w:p w14:paraId="0A541858" w14:textId="77777777" w:rsidR="00897799" w:rsidRPr="00995557" w:rsidRDefault="00897799" w:rsidP="00AA627A">
      <w:pPr>
        <w:widowControl w:val="0"/>
        <w:rPr>
          <w:lang w:eastAsia="es-MX"/>
        </w:rPr>
      </w:pPr>
    </w:p>
    <w:p w14:paraId="57369AC5" w14:textId="462A2DF1" w:rsidR="003424D6" w:rsidRPr="00995557" w:rsidRDefault="00897799" w:rsidP="00AA627A">
      <w:pPr>
        <w:pStyle w:val="PrrafodeSentencia"/>
        <w:widowControl w:val="0"/>
        <w:numPr>
          <w:ilvl w:val="0"/>
          <w:numId w:val="2"/>
        </w:numPr>
        <w:ind w:left="0" w:firstLine="0"/>
        <w:rPr>
          <w:spacing w:val="0"/>
          <w:szCs w:val="20"/>
        </w:rPr>
      </w:pPr>
      <w:r w:rsidRPr="00995557">
        <w:rPr>
          <w:spacing w:val="0"/>
          <w:szCs w:val="20"/>
        </w:rPr>
        <w:t>La Corte recuerda que el Estado reconoció su responsabilidad internacional por la vulneración de</w:t>
      </w:r>
      <w:r w:rsidR="004942EA" w:rsidRPr="00995557">
        <w:rPr>
          <w:spacing w:val="0"/>
          <w:szCs w:val="20"/>
        </w:rPr>
        <w:t xml:space="preserve">l </w:t>
      </w:r>
      <w:r w:rsidRPr="00995557">
        <w:rPr>
          <w:spacing w:val="0"/>
          <w:szCs w:val="20"/>
        </w:rPr>
        <w:t>derecho a la vida (artículo 4.1</w:t>
      </w:r>
      <w:r w:rsidR="00D40DD3" w:rsidRPr="00995557">
        <w:rPr>
          <w:spacing w:val="0"/>
          <w:szCs w:val="20"/>
        </w:rPr>
        <w:t xml:space="preserve"> de la Convención</w:t>
      </w:r>
      <w:r w:rsidRPr="00995557">
        <w:rPr>
          <w:spacing w:val="0"/>
          <w:szCs w:val="20"/>
        </w:rPr>
        <w:t>)</w:t>
      </w:r>
      <w:r w:rsidR="004942EA" w:rsidRPr="00995557">
        <w:rPr>
          <w:spacing w:val="0"/>
          <w:szCs w:val="20"/>
        </w:rPr>
        <w:t xml:space="preserve"> de </w:t>
      </w:r>
      <w:r w:rsidR="007A5966" w:rsidRPr="00995557">
        <w:rPr>
          <w:spacing w:val="0"/>
          <w:szCs w:val="20"/>
        </w:rPr>
        <w:t>siete</w:t>
      </w:r>
      <w:r w:rsidR="004942EA" w:rsidRPr="00995557">
        <w:rPr>
          <w:spacing w:val="0"/>
          <w:szCs w:val="20"/>
        </w:rPr>
        <w:t xml:space="preserve"> personas privadas de libertad </w:t>
      </w:r>
      <w:r w:rsidR="000C1B92" w:rsidRPr="00995557">
        <w:rPr>
          <w:spacing w:val="0"/>
          <w:szCs w:val="20"/>
        </w:rPr>
        <w:t>en la cárcel de Vista Hermosa. A</w:t>
      </w:r>
      <w:r w:rsidR="004942EA" w:rsidRPr="00995557">
        <w:rPr>
          <w:spacing w:val="0"/>
          <w:szCs w:val="20"/>
        </w:rPr>
        <w:t xml:space="preserve">simismo, reconoció su responsabilidad por la violación al derecho </w:t>
      </w:r>
      <w:r w:rsidRPr="00995557">
        <w:rPr>
          <w:spacing w:val="0"/>
          <w:szCs w:val="20"/>
        </w:rPr>
        <w:t>a la integridad personal (artículo</w:t>
      </w:r>
      <w:r w:rsidR="004942EA" w:rsidRPr="00995557">
        <w:rPr>
          <w:spacing w:val="0"/>
          <w:szCs w:val="20"/>
        </w:rPr>
        <w:t>s</w:t>
      </w:r>
      <w:r w:rsidRPr="00995557">
        <w:rPr>
          <w:spacing w:val="0"/>
          <w:szCs w:val="20"/>
        </w:rPr>
        <w:t xml:space="preserve"> 5.1</w:t>
      </w:r>
      <w:r w:rsidR="004942EA" w:rsidRPr="00995557">
        <w:rPr>
          <w:spacing w:val="0"/>
          <w:szCs w:val="20"/>
        </w:rPr>
        <w:t xml:space="preserve"> y 5.2</w:t>
      </w:r>
      <w:r w:rsidRPr="00995557">
        <w:rPr>
          <w:spacing w:val="0"/>
          <w:szCs w:val="20"/>
        </w:rPr>
        <w:t>)</w:t>
      </w:r>
      <w:r w:rsidR="004942EA" w:rsidRPr="00995557">
        <w:rPr>
          <w:spacing w:val="0"/>
          <w:szCs w:val="20"/>
        </w:rPr>
        <w:t xml:space="preserve"> en perjuicio de otros 27 </w:t>
      </w:r>
      <w:r w:rsidR="004942EA" w:rsidRPr="00995557">
        <w:rPr>
          <w:spacing w:val="0"/>
          <w:szCs w:val="20"/>
        </w:rPr>
        <w:lastRenderedPageBreak/>
        <w:t>internos en dicho centro penitenciario.</w:t>
      </w:r>
      <w:r w:rsidR="009C7DAD" w:rsidRPr="00995557">
        <w:rPr>
          <w:spacing w:val="0"/>
          <w:szCs w:val="20"/>
        </w:rPr>
        <w:t xml:space="preserve"> En tal sentido, Venezuela reconoció que “como resultado” del operativo realizado por la Guardia Nacional se produjeron las muertes y lesiones referidas</w:t>
      </w:r>
      <w:r w:rsidR="009C7DAD" w:rsidRPr="00995557">
        <w:rPr>
          <w:rStyle w:val="Refdenotaalpie"/>
          <w:spacing w:val="0"/>
          <w:szCs w:val="20"/>
        </w:rPr>
        <w:footnoteReference w:id="118"/>
      </w:r>
      <w:r w:rsidR="009C7DAD" w:rsidRPr="00995557">
        <w:rPr>
          <w:spacing w:val="0"/>
          <w:szCs w:val="20"/>
        </w:rPr>
        <w:t>, y que los atentados contra los siete internos fallecidos “perfectamente encuadran en ejecuciones extralegales, arbitrarias o sumarias”</w:t>
      </w:r>
      <w:r w:rsidR="009C7DAD" w:rsidRPr="00995557">
        <w:rPr>
          <w:rStyle w:val="Refdenotaalpie"/>
          <w:spacing w:val="0"/>
          <w:szCs w:val="20"/>
        </w:rPr>
        <w:footnoteReference w:id="119"/>
      </w:r>
      <w:r w:rsidR="009C7DAD" w:rsidRPr="00995557">
        <w:rPr>
          <w:spacing w:val="0"/>
          <w:szCs w:val="20"/>
        </w:rPr>
        <w:t>.</w:t>
      </w:r>
    </w:p>
    <w:p w14:paraId="64DC573F" w14:textId="77777777" w:rsidR="009C7DAD" w:rsidRPr="00995557" w:rsidRDefault="009C7DAD" w:rsidP="00AA627A">
      <w:pPr>
        <w:rPr>
          <w:lang w:eastAsia="es-MX"/>
        </w:rPr>
      </w:pPr>
    </w:p>
    <w:p w14:paraId="740C0A5D" w14:textId="77777777" w:rsidR="00CE6588" w:rsidRPr="00995557" w:rsidRDefault="00CE6588" w:rsidP="00AA627A">
      <w:pPr>
        <w:pStyle w:val="Prrafodelista"/>
        <w:widowControl w:val="0"/>
        <w:numPr>
          <w:ilvl w:val="0"/>
          <w:numId w:val="2"/>
        </w:numPr>
        <w:tabs>
          <w:tab w:val="left" w:pos="567"/>
        </w:tabs>
        <w:ind w:left="0" w:firstLine="0"/>
        <w:jc w:val="both"/>
        <w:rPr>
          <w:lang w:eastAsia="es-MX"/>
        </w:rPr>
      </w:pPr>
      <w:r w:rsidRPr="00995557">
        <w:rPr>
          <w:lang w:eastAsia="es-MX"/>
        </w:rPr>
        <w:t xml:space="preserve">En el presente caso, </w:t>
      </w:r>
      <w:r w:rsidR="003149A0" w:rsidRPr="00995557">
        <w:rPr>
          <w:lang w:eastAsia="es-MX"/>
        </w:rPr>
        <w:t>sin perjuicio d</w:t>
      </w:r>
      <w:r w:rsidRPr="00995557">
        <w:rPr>
          <w:lang w:eastAsia="es-MX"/>
        </w:rPr>
        <w:t>el reconocimiento de responsabilidad internacional, la Corte considera pertinente realizar específicas acotaciones acerca de la actuación de los agentes militares el día de los hechos, con el único objeto de corroborar la arbitrariedad con la que procedieron al emplear la fuerza contra las personas privadas de libertad.</w:t>
      </w:r>
    </w:p>
    <w:p w14:paraId="0CF68301" w14:textId="77777777" w:rsidR="00CE6588" w:rsidRPr="00995557" w:rsidRDefault="00CE6588" w:rsidP="00AA627A">
      <w:pPr>
        <w:pStyle w:val="Prrafodelista"/>
        <w:widowControl w:val="0"/>
        <w:rPr>
          <w:lang w:eastAsia="es-MX"/>
        </w:rPr>
      </w:pPr>
    </w:p>
    <w:p w14:paraId="680C8285" w14:textId="256BC326" w:rsidR="00CE6588" w:rsidRPr="00995557" w:rsidRDefault="00CE6588" w:rsidP="00AA627A">
      <w:pPr>
        <w:pStyle w:val="Prrafodelista"/>
        <w:widowControl w:val="0"/>
        <w:numPr>
          <w:ilvl w:val="0"/>
          <w:numId w:val="2"/>
        </w:numPr>
        <w:tabs>
          <w:tab w:val="left" w:pos="567"/>
        </w:tabs>
        <w:ind w:left="0" w:firstLine="0"/>
        <w:jc w:val="both"/>
        <w:rPr>
          <w:lang w:val="es-PE"/>
        </w:rPr>
      </w:pPr>
      <w:r w:rsidRPr="00995557">
        <w:rPr>
          <w:lang w:eastAsia="es-MX"/>
        </w:rPr>
        <w:t xml:space="preserve">Al respecto, </w:t>
      </w:r>
      <w:r w:rsidRPr="00995557">
        <w:rPr>
          <w:rFonts w:eastAsia="Verdana" w:cs="Verdana"/>
          <w:lang w:val="es-ES"/>
        </w:rPr>
        <w:t xml:space="preserve">este Tribunal ha reconocido que los Estados tienen la obligación de garantizar la seguridad y mantener el orden público dentro de su territorio y, por tanto, </w:t>
      </w:r>
      <w:r w:rsidR="00E85EF4" w:rsidRPr="00995557">
        <w:rPr>
          <w:rFonts w:eastAsia="Verdana" w:cs="Verdana"/>
          <w:lang w:val="es-ES"/>
        </w:rPr>
        <w:t>están facultados para</w:t>
      </w:r>
      <w:r w:rsidRPr="00995557">
        <w:rPr>
          <w:rFonts w:eastAsia="Verdana" w:cs="Verdana"/>
          <w:lang w:val="es-ES"/>
        </w:rPr>
        <w:t xml:space="preserve"> emplear legítimamente la fuerza para su restablecimiento, de ser necesari</w:t>
      </w:r>
      <w:r w:rsidR="000C1B92" w:rsidRPr="00995557">
        <w:rPr>
          <w:rFonts w:eastAsia="Verdana" w:cs="Verdana"/>
          <w:lang w:val="es-ES"/>
        </w:rPr>
        <w:t>o. S</w:t>
      </w:r>
      <w:r w:rsidRPr="00995557">
        <w:rPr>
          <w:rFonts w:eastAsia="Verdana" w:cs="Verdana"/>
          <w:lang w:val="es-ES"/>
        </w:rPr>
        <w:t>i bien los agentes estatales pueden recurrir al uso de la fuerza, el poder del Estado no es ilimitado para alcanzar sus fines independientemente de la gravedad de ciertas acciones y de la culpabilidad de sus autores</w:t>
      </w:r>
      <w:r w:rsidRPr="00995557">
        <w:rPr>
          <w:rStyle w:val="Refdenotaalpie"/>
          <w:rFonts w:eastAsia="Verdana" w:cs="Verdana"/>
          <w:lang w:val="es-ES"/>
        </w:rPr>
        <w:footnoteReference w:id="120"/>
      </w:r>
      <w:r w:rsidRPr="00995557">
        <w:rPr>
          <w:rFonts w:eastAsia="Verdana" w:cs="Verdana"/>
          <w:lang w:val="es-ES"/>
        </w:rPr>
        <w:t>.</w:t>
      </w:r>
      <w:r w:rsidRPr="00995557">
        <w:rPr>
          <w:lang w:val="es-PE"/>
        </w:rPr>
        <w:t xml:space="preserve"> </w:t>
      </w:r>
      <w:r w:rsidRPr="00995557">
        <w:rPr>
          <w:rFonts w:eastAsia="Verdana" w:cs="Verdana"/>
        </w:rPr>
        <w:t>A partir de l</w:t>
      </w:r>
      <w:r w:rsidRPr="00995557">
        <w:t xml:space="preserve">o anterior, la Corte ha establecido que la observancia de las medidas de actuación </w:t>
      </w:r>
      <w:proofErr w:type="gramStart"/>
      <w:r w:rsidRPr="00995557">
        <w:t>en caso que</w:t>
      </w:r>
      <w:proofErr w:type="gramEnd"/>
      <w:r w:rsidRPr="00995557">
        <w:t xml:space="preserve"> resulte imperioso el uso de la fuerza impone satisfacer los principios de legalidad, finalidad legítima, absoluta necesidad y proporcionalidad:</w:t>
      </w:r>
    </w:p>
    <w:p w14:paraId="42F81B42" w14:textId="77777777" w:rsidR="00CE6588" w:rsidRPr="00995557" w:rsidRDefault="00CE6588" w:rsidP="00AA627A">
      <w:pPr>
        <w:pStyle w:val="Estilo8"/>
        <w:tabs>
          <w:tab w:val="clear" w:pos="567"/>
          <w:tab w:val="clear" w:pos="851"/>
          <w:tab w:val="clear" w:pos="1530"/>
        </w:tabs>
        <w:spacing w:before="0" w:after="0"/>
        <w:ind w:left="567" w:right="582" w:firstLine="0"/>
        <w:rPr>
          <w:spacing w:val="0"/>
          <w:lang w:val="es-ES"/>
        </w:rPr>
      </w:pPr>
    </w:p>
    <w:p w14:paraId="433A7EE1" w14:textId="77777777" w:rsidR="00CE6588" w:rsidRPr="00995557" w:rsidRDefault="00CE6588" w:rsidP="00AA627A">
      <w:pPr>
        <w:pStyle w:val="Estilo8"/>
        <w:tabs>
          <w:tab w:val="clear" w:pos="567"/>
          <w:tab w:val="clear" w:pos="851"/>
          <w:tab w:val="clear" w:pos="1530"/>
        </w:tabs>
        <w:spacing w:before="0" w:after="0"/>
        <w:ind w:left="567" w:right="48" w:firstLine="0"/>
        <w:rPr>
          <w:spacing w:val="0"/>
          <w:lang w:val="es-ES"/>
        </w:rPr>
      </w:pPr>
      <w:r w:rsidRPr="00995557">
        <w:rPr>
          <w:iCs/>
          <w:spacing w:val="0"/>
          <w:lang w:val="es-ES"/>
        </w:rPr>
        <w:t xml:space="preserve">1) </w:t>
      </w:r>
      <w:r w:rsidRPr="00995557">
        <w:rPr>
          <w:i/>
          <w:iCs/>
          <w:spacing w:val="0"/>
          <w:lang w:val="es-ES"/>
        </w:rPr>
        <w:t xml:space="preserve">Legalidad: </w:t>
      </w:r>
      <w:r w:rsidRPr="00995557">
        <w:rPr>
          <w:spacing w:val="0"/>
          <w:lang w:val="es-ES"/>
        </w:rPr>
        <w:t>el uso excepcional de la fuerza debe estar formulado por ley y debe existir un marco regulatorio para su utilización</w:t>
      </w:r>
      <w:r w:rsidRPr="00995557">
        <w:rPr>
          <w:rStyle w:val="Refdenotaalpie"/>
          <w:spacing w:val="0"/>
          <w:lang w:val="es-ES"/>
        </w:rPr>
        <w:footnoteReference w:id="121"/>
      </w:r>
      <w:r w:rsidRPr="00995557">
        <w:rPr>
          <w:spacing w:val="0"/>
          <w:lang w:val="es-ES"/>
        </w:rPr>
        <w:t>.</w:t>
      </w:r>
    </w:p>
    <w:p w14:paraId="362257A7" w14:textId="77777777" w:rsidR="00CE6588" w:rsidRPr="00995557" w:rsidRDefault="00CE6588" w:rsidP="00AA627A">
      <w:pPr>
        <w:pStyle w:val="Estilo8"/>
        <w:tabs>
          <w:tab w:val="clear" w:pos="567"/>
          <w:tab w:val="clear" w:pos="851"/>
          <w:tab w:val="clear" w:pos="1530"/>
        </w:tabs>
        <w:spacing w:before="0" w:after="0"/>
        <w:ind w:left="567" w:right="48" w:firstLine="0"/>
        <w:rPr>
          <w:spacing w:val="0"/>
          <w:lang w:val="es-ES"/>
        </w:rPr>
      </w:pPr>
    </w:p>
    <w:p w14:paraId="5E897A4E" w14:textId="77777777" w:rsidR="00CE6588" w:rsidRPr="00995557" w:rsidRDefault="00CE6588" w:rsidP="00AA627A">
      <w:pPr>
        <w:pStyle w:val="Estilo8"/>
        <w:tabs>
          <w:tab w:val="clear" w:pos="567"/>
          <w:tab w:val="clear" w:pos="851"/>
          <w:tab w:val="clear" w:pos="1530"/>
        </w:tabs>
        <w:spacing w:before="0" w:after="0"/>
        <w:ind w:left="567" w:right="48" w:firstLine="0"/>
        <w:rPr>
          <w:spacing w:val="0"/>
          <w:lang w:val="es-ES"/>
        </w:rPr>
      </w:pPr>
      <w:r w:rsidRPr="00995557">
        <w:rPr>
          <w:spacing w:val="0"/>
          <w:lang w:val="es-ES"/>
        </w:rPr>
        <w:t>2)</w:t>
      </w:r>
      <w:r w:rsidRPr="00995557">
        <w:rPr>
          <w:i/>
          <w:spacing w:val="0"/>
          <w:lang w:val="es-ES"/>
        </w:rPr>
        <w:t xml:space="preserve"> Finalidad legítima:</w:t>
      </w:r>
      <w:r w:rsidRPr="00995557">
        <w:rPr>
          <w:spacing w:val="0"/>
          <w:lang w:val="es-ES"/>
        </w:rPr>
        <w:t xml:space="preserve"> el uso de la fuerza debe estar dirigido a lograr un objetivo legítimo</w:t>
      </w:r>
      <w:r w:rsidRPr="00995557">
        <w:rPr>
          <w:rStyle w:val="Refdenotaalpie"/>
          <w:spacing w:val="0"/>
          <w:lang w:val="es-ES"/>
        </w:rPr>
        <w:footnoteReference w:id="122"/>
      </w:r>
      <w:r w:rsidRPr="00995557">
        <w:rPr>
          <w:spacing w:val="0"/>
          <w:lang w:val="es-ES"/>
        </w:rPr>
        <w:t xml:space="preserve">. </w:t>
      </w:r>
    </w:p>
    <w:p w14:paraId="5B25FDF7" w14:textId="77777777" w:rsidR="00CE6588" w:rsidRPr="00995557" w:rsidRDefault="00CE6588" w:rsidP="00AA627A">
      <w:pPr>
        <w:pStyle w:val="Estilo8"/>
        <w:tabs>
          <w:tab w:val="clear" w:pos="567"/>
          <w:tab w:val="clear" w:pos="851"/>
          <w:tab w:val="clear" w:pos="1530"/>
        </w:tabs>
        <w:spacing w:before="0" w:after="0"/>
        <w:ind w:left="567" w:right="48" w:firstLine="0"/>
        <w:rPr>
          <w:spacing w:val="0"/>
          <w:lang w:val="es-ES"/>
        </w:rPr>
      </w:pPr>
    </w:p>
    <w:p w14:paraId="5B8CE1B1" w14:textId="77777777" w:rsidR="00CE6588" w:rsidRPr="00995557" w:rsidRDefault="00CE6588" w:rsidP="00AA627A">
      <w:pPr>
        <w:pStyle w:val="Estilo8"/>
        <w:tabs>
          <w:tab w:val="clear" w:pos="851"/>
          <w:tab w:val="clear" w:pos="1530"/>
          <w:tab w:val="num" w:pos="567"/>
        </w:tabs>
        <w:spacing w:before="0" w:after="0"/>
        <w:ind w:left="567" w:right="48" w:firstLine="0"/>
        <w:rPr>
          <w:bCs/>
          <w:iCs/>
          <w:spacing w:val="0"/>
          <w:lang w:val="es-ES"/>
        </w:rPr>
      </w:pPr>
      <w:r w:rsidRPr="00995557">
        <w:rPr>
          <w:spacing w:val="0"/>
          <w:lang w:val="es-ES"/>
        </w:rPr>
        <w:t xml:space="preserve">3) </w:t>
      </w:r>
      <w:r w:rsidRPr="00995557">
        <w:rPr>
          <w:bCs/>
          <w:i/>
          <w:iCs/>
          <w:spacing w:val="0"/>
          <w:lang w:val="es-ES"/>
        </w:rPr>
        <w:t>Absoluta necesidad:</w:t>
      </w:r>
      <w:r w:rsidRPr="00995557">
        <w:rPr>
          <w:b/>
          <w:spacing w:val="0"/>
          <w:lang w:val="es-ES"/>
        </w:rPr>
        <w:t xml:space="preserve"> </w:t>
      </w:r>
      <w:r w:rsidRPr="00995557">
        <w:rPr>
          <w:spacing w:val="0"/>
          <w:lang w:val="es-ES"/>
        </w:rPr>
        <w:t>es preciso verificar si existen otros medios disponibles menos lesivos para tutelar la vida e integridad de la persona o situación que se pretende proteger, de conformidad con las circunstancias del caso</w:t>
      </w:r>
      <w:r w:rsidRPr="00995557">
        <w:rPr>
          <w:spacing w:val="0"/>
          <w:vertAlign w:val="superscript"/>
          <w:lang w:val="es-ES"/>
        </w:rPr>
        <w:footnoteReference w:id="123"/>
      </w:r>
      <w:r w:rsidRPr="00995557">
        <w:rPr>
          <w:spacing w:val="0"/>
          <w:lang w:val="es-ES"/>
        </w:rPr>
        <w:t xml:space="preserve">. </w:t>
      </w:r>
      <w:r w:rsidRPr="00995557">
        <w:rPr>
          <w:bCs/>
          <w:iCs/>
          <w:spacing w:val="0"/>
          <w:lang w:val="es-ES"/>
        </w:rPr>
        <w:t xml:space="preserve">En un mayor grado de excepcionalidad se ubica el uso de la fuerza letal y las armas de fuego por parte de agentes de seguridad estatales contra las personas, el cual debe estar prohibido como regla general. </w:t>
      </w:r>
      <w:r w:rsidRPr="00995557">
        <w:rPr>
          <w:spacing w:val="0"/>
          <w:lang w:val="es-ES"/>
        </w:rPr>
        <w:t>Su</w:t>
      </w:r>
      <w:r w:rsidRPr="00995557">
        <w:rPr>
          <w:bCs/>
          <w:iCs/>
          <w:spacing w:val="0"/>
          <w:lang w:val="es-ES"/>
        </w:rPr>
        <w:t xml:space="preserve"> uso excepcional deberá ser interpretado restrictivamente de manera que sea minimizado en toda circunstancia, no siendo más que el “absolutamente necesario” en relación con la fuerza o amenaza que se pretende repeler</w:t>
      </w:r>
      <w:r w:rsidRPr="00995557">
        <w:rPr>
          <w:spacing w:val="0"/>
          <w:vertAlign w:val="superscript"/>
          <w:lang w:val="es-ES"/>
        </w:rPr>
        <w:footnoteReference w:id="124"/>
      </w:r>
      <w:r w:rsidRPr="00995557">
        <w:rPr>
          <w:bCs/>
          <w:iCs/>
          <w:spacing w:val="0"/>
          <w:lang w:val="es-ES"/>
        </w:rPr>
        <w:t>.</w:t>
      </w:r>
    </w:p>
    <w:p w14:paraId="46BB31E5" w14:textId="77777777" w:rsidR="00CE6588" w:rsidRPr="00995557" w:rsidRDefault="00CE6588" w:rsidP="00AA627A">
      <w:pPr>
        <w:pStyle w:val="Estilo8"/>
        <w:tabs>
          <w:tab w:val="clear" w:pos="851"/>
          <w:tab w:val="clear" w:pos="1530"/>
          <w:tab w:val="num" w:pos="567"/>
        </w:tabs>
        <w:spacing w:before="0" w:after="0"/>
        <w:ind w:left="567" w:right="48" w:firstLine="0"/>
        <w:rPr>
          <w:bCs/>
          <w:iCs/>
          <w:spacing w:val="0"/>
          <w:lang w:val="es-ES"/>
        </w:rPr>
      </w:pPr>
    </w:p>
    <w:p w14:paraId="1675FBEE" w14:textId="77777777" w:rsidR="00CE6588" w:rsidRPr="00995557" w:rsidRDefault="00CE6588" w:rsidP="00AA627A">
      <w:pPr>
        <w:pStyle w:val="Estilo8"/>
        <w:tabs>
          <w:tab w:val="clear" w:pos="851"/>
          <w:tab w:val="clear" w:pos="1530"/>
          <w:tab w:val="num" w:pos="567"/>
        </w:tabs>
        <w:spacing w:before="0" w:after="0"/>
        <w:ind w:left="567" w:right="48" w:firstLine="0"/>
        <w:rPr>
          <w:spacing w:val="0"/>
          <w:lang w:val="es-ES"/>
        </w:rPr>
      </w:pPr>
      <w:r w:rsidRPr="00995557">
        <w:rPr>
          <w:bCs/>
          <w:iCs/>
          <w:spacing w:val="0"/>
          <w:lang w:val="es-ES"/>
        </w:rPr>
        <w:t>4)</w:t>
      </w:r>
      <w:r w:rsidRPr="00995557">
        <w:rPr>
          <w:b/>
          <w:i/>
          <w:spacing w:val="0"/>
          <w:lang w:val="es-ES"/>
        </w:rPr>
        <w:t xml:space="preserve"> </w:t>
      </w:r>
      <w:r w:rsidRPr="00995557">
        <w:rPr>
          <w:bCs/>
          <w:i/>
          <w:spacing w:val="0"/>
          <w:lang w:val="es-ES"/>
        </w:rPr>
        <w:t>Proporcionalidad:</w:t>
      </w:r>
      <w:r w:rsidRPr="00995557">
        <w:rPr>
          <w:b/>
          <w:i/>
          <w:spacing w:val="0"/>
          <w:lang w:val="es-ES"/>
        </w:rPr>
        <w:t xml:space="preserve"> </w:t>
      </w:r>
      <w:r w:rsidRPr="00995557">
        <w:rPr>
          <w:spacing w:val="0"/>
          <w:lang w:val="es-ES"/>
        </w:rPr>
        <w:t>el nivel de fuerza utilizado debe ser acorde con el nivel de resistencia ofrecido</w:t>
      </w:r>
      <w:r w:rsidRPr="00995557">
        <w:rPr>
          <w:spacing w:val="0"/>
          <w:vertAlign w:val="superscript"/>
          <w:lang w:val="es-ES"/>
        </w:rPr>
        <w:footnoteReference w:id="125"/>
      </w:r>
      <w:r w:rsidRPr="00995557">
        <w:rPr>
          <w:spacing w:val="0"/>
          <w:lang w:val="es-ES"/>
        </w:rPr>
        <w:t>, lo cual implica un equilibrio entre la situación a la que se enfrenta el funcionario y su respuesta, considerando el daño potencial que podría ser ocasionado.</w:t>
      </w:r>
      <w:r w:rsidRPr="00995557">
        <w:rPr>
          <w:b/>
          <w:i/>
          <w:spacing w:val="0"/>
          <w:lang w:val="es-ES"/>
        </w:rPr>
        <w:t xml:space="preserve"> </w:t>
      </w:r>
      <w:r w:rsidRPr="00995557">
        <w:rPr>
          <w:spacing w:val="0"/>
          <w:lang w:val="es-ES"/>
        </w:rPr>
        <w:t xml:space="preserve">Así, los agentes deben aplicar un criterio de </w:t>
      </w:r>
      <w:r w:rsidRPr="00995557">
        <w:rPr>
          <w:bCs/>
          <w:iCs/>
          <w:spacing w:val="0"/>
          <w:lang w:val="es-ES"/>
        </w:rPr>
        <w:t>uso</w:t>
      </w:r>
      <w:r w:rsidRPr="00995557">
        <w:rPr>
          <w:spacing w:val="0"/>
          <w:lang w:val="es-ES"/>
        </w:rPr>
        <w:t xml:space="preserve"> diferenciado de la fuerza, determinando el grado de cooperación, resistencia o agresión de parte del sujeto al cual se pretende intervenir y, con ello, emplear tácticas de negociación, control o uso de fuerza, según corresponda</w:t>
      </w:r>
      <w:r w:rsidRPr="00995557">
        <w:rPr>
          <w:spacing w:val="0"/>
          <w:vertAlign w:val="superscript"/>
          <w:lang w:val="es-ES"/>
        </w:rPr>
        <w:footnoteReference w:id="126"/>
      </w:r>
      <w:r w:rsidRPr="00995557">
        <w:rPr>
          <w:spacing w:val="0"/>
          <w:lang w:val="es-ES"/>
        </w:rPr>
        <w:t>. Para determinar la proporcionalidad del uso de la fuerza, debe evaluarse la gravedad de la situación que enfrenta el funcionario. Para ello, se debe considerar, entre otras circunstancias: la intensidad y peligrosidad de la amenaza; la forma de proceder del individuo; las condiciones del entorno, y los medios de los que disponga el funcionario para abordar una situación específica</w:t>
      </w:r>
      <w:r w:rsidRPr="00995557">
        <w:rPr>
          <w:rStyle w:val="Refdenotaalpie"/>
          <w:spacing w:val="0"/>
          <w:lang w:val="es-ES"/>
        </w:rPr>
        <w:footnoteReference w:id="127"/>
      </w:r>
      <w:r w:rsidRPr="00995557">
        <w:rPr>
          <w:spacing w:val="0"/>
          <w:lang w:val="es-ES"/>
        </w:rPr>
        <w:t xml:space="preserve">. </w:t>
      </w:r>
    </w:p>
    <w:p w14:paraId="474E95DA" w14:textId="77777777" w:rsidR="00CE6588" w:rsidRPr="00995557" w:rsidRDefault="00CE6588" w:rsidP="00AA627A">
      <w:pPr>
        <w:pStyle w:val="Prrafodelista"/>
        <w:widowControl w:val="0"/>
        <w:rPr>
          <w:lang w:eastAsia="es-MX"/>
        </w:rPr>
      </w:pPr>
    </w:p>
    <w:p w14:paraId="2CD7B579" w14:textId="7B349587" w:rsidR="00CE3A8A" w:rsidRPr="00995557" w:rsidRDefault="00E55EFC" w:rsidP="00AA627A">
      <w:pPr>
        <w:pStyle w:val="Prrafodelista"/>
        <w:widowControl w:val="0"/>
        <w:numPr>
          <w:ilvl w:val="0"/>
          <w:numId w:val="2"/>
        </w:numPr>
        <w:tabs>
          <w:tab w:val="left" w:pos="567"/>
        </w:tabs>
        <w:ind w:left="0" w:firstLine="0"/>
        <w:jc w:val="both"/>
        <w:rPr>
          <w:lang w:eastAsia="es-MX"/>
        </w:rPr>
      </w:pPr>
      <w:r w:rsidRPr="00995557">
        <w:t>En el Sistema Universal de Protección de Derechos Humanos se recoge el mismo principio en lo que refiere al uso de la fuerza y armas de fuego por parte de la policía</w:t>
      </w:r>
      <w:r w:rsidR="00CA361E" w:rsidRPr="00995557">
        <w:rPr>
          <w:rStyle w:val="Refdenotaalpie"/>
          <w:iCs/>
        </w:rPr>
        <w:footnoteReference w:id="128"/>
      </w:r>
      <w:r w:rsidR="00CA361E" w:rsidRPr="00995557">
        <w:t>. Así</w:t>
      </w:r>
      <w:r w:rsidR="00CE3A8A" w:rsidRPr="00995557">
        <w:t>, e</w:t>
      </w:r>
      <w:r w:rsidRPr="00995557">
        <w:t xml:space="preserve">n el </w:t>
      </w:r>
      <w:r w:rsidR="008334BF" w:rsidRPr="00995557">
        <w:rPr>
          <w:i/>
          <w:iCs/>
        </w:rPr>
        <w:t>Manual ampliado de Derechos Humanos para la P</w:t>
      </w:r>
      <w:r w:rsidRPr="00995557">
        <w:rPr>
          <w:i/>
          <w:iCs/>
        </w:rPr>
        <w:t>olicía</w:t>
      </w:r>
      <w:r w:rsidR="00CE3A8A" w:rsidRPr="00995557">
        <w:rPr>
          <w:i/>
          <w:iCs/>
        </w:rPr>
        <w:t>,</w:t>
      </w:r>
      <w:r w:rsidRPr="00995557">
        <w:rPr>
          <w:i/>
          <w:iCs/>
        </w:rPr>
        <w:t xml:space="preserve"> “Normativa y Práctica d</w:t>
      </w:r>
      <w:r w:rsidR="00CE3A8A" w:rsidRPr="00995557">
        <w:rPr>
          <w:i/>
          <w:iCs/>
        </w:rPr>
        <w:t>e los Derechos Humanos para la P</w:t>
      </w:r>
      <w:r w:rsidRPr="00995557">
        <w:rPr>
          <w:i/>
          <w:iCs/>
        </w:rPr>
        <w:t>olicía”</w:t>
      </w:r>
      <w:r w:rsidR="00CE3A8A" w:rsidRPr="00995557">
        <w:rPr>
          <w:i/>
          <w:iCs/>
        </w:rPr>
        <w:t>,</w:t>
      </w:r>
      <w:r w:rsidRPr="00995557">
        <w:rPr>
          <w:rStyle w:val="gmail-textonotapiecar"/>
        </w:rPr>
        <w:t xml:space="preserve"> </w:t>
      </w:r>
      <w:r w:rsidRPr="00995557">
        <w:t>se establece que “</w:t>
      </w:r>
      <w:r w:rsidR="00CE3A8A" w:rsidRPr="00995557">
        <w:rPr>
          <w:iCs/>
        </w:rPr>
        <w:t>[t]</w:t>
      </w:r>
      <w:r w:rsidRPr="00995557">
        <w:rPr>
          <w:iCs/>
        </w:rPr>
        <w:t>odos los policías recibirán adiestramiento en el uso de los distintos medios para el uso diferenciado de la fuerza</w:t>
      </w:r>
      <w:r w:rsidRPr="00995557">
        <w:t xml:space="preserve">” y </w:t>
      </w:r>
      <w:r w:rsidR="00CE3A8A" w:rsidRPr="00995557">
        <w:t xml:space="preserve">“en </w:t>
      </w:r>
      <w:r w:rsidRPr="00995557">
        <w:rPr>
          <w:iCs/>
        </w:rPr>
        <w:t>el uso de medios no violentos</w:t>
      </w:r>
      <w:r w:rsidR="00CE3A8A" w:rsidRPr="00995557">
        <w:t>”</w:t>
      </w:r>
      <w:r w:rsidR="00CE3A8A" w:rsidRPr="00995557">
        <w:rPr>
          <w:rStyle w:val="Refdenotaalpie"/>
        </w:rPr>
        <w:footnoteReference w:id="129"/>
      </w:r>
      <w:r w:rsidRPr="00995557">
        <w:t>.</w:t>
      </w:r>
    </w:p>
    <w:p w14:paraId="6A599E4C" w14:textId="77777777" w:rsidR="00CE3A8A" w:rsidRPr="00995557" w:rsidRDefault="00CE3A8A" w:rsidP="00AA627A">
      <w:pPr>
        <w:pStyle w:val="Prrafodelista"/>
        <w:widowControl w:val="0"/>
        <w:tabs>
          <w:tab w:val="left" w:pos="567"/>
        </w:tabs>
        <w:ind w:left="0"/>
        <w:jc w:val="both"/>
        <w:rPr>
          <w:lang w:eastAsia="es-MX"/>
        </w:rPr>
      </w:pPr>
    </w:p>
    <w:p w14:paraId="0B1AC46C" w14:textId="5D66F77B" w:rsidR="00DE6C93" w:rsidRPr="00995557" w:rsidRDefault="003C5DBC" w:rsidP="00AA627A">
      <w:pPr>
        <w:pStyle w:val="Prrafodelista"/>
        <w:widowControl w:val="0"/>
        <w:numPr>
          <w:ilvl w:val="0"/>
          <w:numId w:val="2"/>
        </w:numPr>
        <w:tabs>
          <w:tab w:val="left" w:pos="567"/>
        </w:tabs>
        <w:ind w:left="0" w:firstLine="0"/>
        <w:jc w:val="both"/>
        <w:rPr>
          <w:lang w:eastAsia="es-MX"/>
        </w:rPr>
      </w:pPr>
      <w:r w:rsidRPr="00995557">
        <w:rPr>
          <w:shd w:val="clear" w:color="auto" w:fill="FFFFFF"/>
        </w:rPr>
        <w:t>De igual forma, c</w:t>
      </w:r>
      <w:r w:rsidR="008675FD" w:rsidRPr="00995557">
        <w:rPr>
          <w:shd w:val="clear" w:color="auto" w:fill="FFFFFF"/>
        </w:rPr>
        <w:t xml:space="preserve">on relación a las personas bajo custodia o detenidas, los </w:t>
      </w:r>
      <w:r w:rsidR="008675FD" w:rsidRPr="00995557">
        <w:rPr>
          <w:i/>
          <w:shd w:val="clear" w:color="auto" w:fill="FFFFFF"/>
        </w:rPr>
        <w:t>Principios Básicos sobre el Empleo de la Fuerza</w:t>
      </w:r>
      <w:r w:rsidR="008675FD" w:rsidRPr="00995557">
        <w:t xml:space="preserve"> </w:t>
      </w:r>
      <w:r w:rsidR="008675FD" w:rsidRPr="00995557">
        <w:rPr>
          <w:i/>
        </w:rPr>
        <w:t>y de las Armas de Fuego por los Funcionarios Encargados de Cumplir la Ley</w:t>
      </w:r>
      <w:r w:rsidR="008675FD" w:rsidRPr="00995557">
        <w:t>,</w:t>
      </w:r>
      <w:r w:rsidR="008675FD" w:rsidRPr="00995557">
        <w:rPr>
          <w:shd w:val="clear" w:color="auto" w:fill="FFFFFF"/>
        </w:rPr>
        <w:t xml:space="preserve"> precisan que no se</w:t>
      </w:r>
      <w:r w:rsidR="008675FD" w:rsidRPr="00995557">
        <w:rPr>
          <w:rFonts w:eastAsia="Times New Roman"/>
          <w:lang w:eastAsia="es-GT"/>
        </w:rPr>
        <w:t xml:space="preserve"> empleará la fuerza, salvo cuando sea estrictamente necesario para mantener la seguridad y el orden en los establecimientos o cuando corra peligro la integridad física de las personas</w:t>
      </w:r>
      <w:r w:rsidR="008675FD" w:rsidRPr="00995557">
        <w:rPr>
          <w:rStyle w:val="Refdenotaalpie"/>
          <w:bCs/>
        </w:rPr>
        <w:footnoteReference w:id="130"/>
      </w:r>
      <w:r w:rsidR="008334BF" w:rsidRPr="00995557">
        <w:rPr>
          <w:rFonts w:eastAsia="Times New Roman"/>
          <w:lang w:eastAsia="es-GT"/>
        </w:rPr>
        <w:t>.</w:t>
      </w:r>
      <w:r w:rsidR="008675FD" w:rsidRPr="00995557">
        <w:rPr>
          <w:rFonts w:eastAsia="Times New Roman"/>
          <w:lang w:eastAsia="es-GT"/>
        </w:rPr>
        <w:t xml:space="preserve"> </w:t>
      </w:r>
      <w:r w:rsidR="008334BF" w:rsidRPr="00995557">
        <w:rPr>
          <w:rFonts w:eastAsia="Times New Roman"/>
          <w:lang w:eastAsia="es-GT"/>
        </w:rPr>
        <w:t>A</w:t>
      </w:r>
      <w:r w:rsidR="008675FD" w:rsidRPr="00995557">
        <w:rPr>
          <w:rFonts w:eastAsia="Times New Roman"/>
          <w:lang w:eastAsia="es-GT"/>
        </w:rPr>
        <w:t>simismo, prevén que no se emplearán armas de fuego, salvo en defensa propia o en defensa de terceros cuando haya peligro inminente de muerte o lesiones graves, o cuando sea estrictamente necesario para impedir la fuga de una persona sometida a custodia o detención que presente el peligro a que se refiere el principio 9</w:t>
      </w:r>
      <w:r w:rsidR="008675FD" w:rsidRPr="00995557">
        <w:rPr>
          <w:rStyle w:val="Refdenotaalpie"/>
          <w:bCs/>
        </w:rPr>
        <w:footnoteReference w:id="131"/>
      </w:r>
      <w:r w:rsidR="008675FD" w:rsidRPr="00995557">
        <w:rPr>
          <w:rFonts w:eastAsia="Times New Roman"/>
          <w:lang w:eastAsia="es-GT"/>
        </w:rPr>
        <w:t>, es decir, la comisión de un delito particularmente grave que entrañe una seria amenaza para la vida</w:t>
      </w:r>
      <w:r w:rsidR="008675FD" w:rsidRPr="00995557">
        <w:rPr>
          <w:rStyle w:val="Refdenotaalpie"/>
          <w:rFonts w:eastAsia="Times New Roman"/>
          <w:lang w:eastAsia="es-GT"/>
        </w:rPr>
        <w:footnoteReference w:id="132"/>
      </w:r>
      <w:r w:rsidR="008675FD" w:rsidRPr="00995557">
        <w:rPr>
          <w:rFonts w:eastAsia="Times New Roman"/>
          <w:lang w:eastAsia="es-GT"/>
        </w:rPr>
        <w:t>.</w:t>
      </w:r>
      <w:r w:rsidR="0027128F" w:rsidRPr="00995557">
        <w:rPr>
          <w:rFonts w:eastAsia="Times New Roman"/>
          <w:lang w:eastAsia="es-GT"/>
        </w:rPr>
        <w:t xml:space="preserve"> </w:t>
      </w:r>
    </w:p>
    <w:p w14:paraId="1CEE0B8C" w14:textId="77777777" w:rsidR="00F210CF" w:rsidRPr="00995557" w:rsidRDefault="00F210CF" w:rsidP="00AA627A">
      <w:pPr>
        <w:pStyle w:val="Prrafodelista"/>
        <w:widowControl w:val="0"/>
        <w:tabs>
          <w:tab w:val="left" w:pos="567"/>
        </w:tabs>
        <w:ind w:left="0"/>
        <w:jc w:val="both"/>
        <w:rPr>
          <w:lang w:eastAsia="es-MX"/>
        </w:rPr>
      </w:pPr>
    </w:p>
    <w:p w14:paraId="733DC90E" w14:textId="77777777" w:rsidR="008675FD" w:rsidRPr="00995557" w:rsidRDefault="001411E4" w:rsidP="00AA627A">
      <w:pPr>
        <w:pStyle w:val="Prrafodelista"/>
        <w:widowControl w:val="0"/>
        <w:numPr>
          <w:ilvl w:val="0"/>
          <w:numId w:val="2"/>
        </w:numPr>
        <w:tabs>
          <w:tab w:val="left" w:pos="567"/>
        </w:tabs>
        <w:ind w:left="0" w:firstLine="0"/>
        <w:jc w:val="both"/>
        <w:rPr>
          <w:lang w:eastAsia="es-MX"/>
        </w:rPr>
      </w:pPr>
      <w:r w:rsidRPr="00995557">
        <w:rPr>
          <w:rFonts w:eastAsia="Times New Roman"/>
          <w:lang w:eastAsia="es-GT"/>
        </w:rPr>
        <w:t>En sentido similar</w:t>
      </w:r>
      <w:r w:rsidR="00DE6C93" w:rsidRPr="00995557">
        <w:rPr>
          <w:rFonts w:eastAsia="Times New Roman"/>
          <w:lang w:eastAsia="es-GT"/>
        </w:rPr>
        <w:t>,</w:t>
      </w:r>
      <w:r w:rsidRPr="00995557">
        <w:rPr>
          <w:rFonts w:eastAsia="Times New Roman"/>
          <w:lang w:eastAsia="es-GT"/>
        </w:rPr>
        <w:t xml:space="preserve"> los </w:t>
      </w:r>
      <w:r w:rsidRPr="00995557">
        <w:rPr>
          <w:i/>
        </w:rPr>
        <w:t xml:space="preserve">Principios y Buenas Prácticas sobre la Protección de las Personas </w:t>
      </w:r>
      <w:r w:rsidRPr="00995557">
        <w:rPr>
          <w:i/>
        </w:rPr>
        <w:lastRenderedPageBreak/>
        <w:t xml:space="preserve">Privadas de Libertad en las Américas </w:t>
      </w:r>
      <w:r w:rsidRPr="00995557">
        <w:t>señalan que el personal de los lugares de privación de libertad no empleará la fuerza y otros medios coercitivos, salvo excepcionalmente, de manera proporcionada, en casos de gravedad, urgencia y necesidad, como último recurso después de haber agotado previamente las demás vías disponibles, y por el tiempo y en la medida indispensables para garantizar la seguridad, el orden interno, la protección de los derechos fundamentales de la población privada de libertad, del personal o de las visitas. Asimismo, prohíben el uso de armas de fuego u otro tipo de armas letales al interior de los lugares de privación de libertad, salvo cuando sea estrictamente inevitable para proteger la vida de las personas</w:t>
      </w:r>
      <w:r w:rsidRPr="00995557">
        <w:rPr>
          <w:rStyle w:val="Refdenotaalpie"/>
        </w:rPr>
        <w:footnoteReference w:id="133"/>
      </w:r>
      <w:r w:rsidR="001A0342" w:rsidRPr="00995557">
        <w:t>.</w:t>
      </w:r>
    </w:p>
    <w:p w14:paraId="24571E11" w14:textId="77777777" w:rsidR="008675FD" w:rsidRPr="00995557" w:rsidRDefault="008675FD" w:rsidP="00AA627A">
      <w:pPr>
        <w:pStyle w:val="Prrafodelista"/>
        <w:widowControl w:val="0"/>
        <w:ind w:left="0"/>
        <w:jc w:val="both"/>
        <w:rPr>
          <w:lang w:eastAsia="es-MX"/>
        </w:rPr>
      </w:pPr>
    </w:p>
    <w:p w14:paraId="3D292EF1" w14:textId="77777777" w:rsidR="00E434ED" w:rsidRPr="00995557" w:rsidRDefault="00CE6588" w:rsidP="00AA627A">
      <w:pPr>
        <w:pStyle w:val="Prrafodelista"/>
        <w:widowControl w:val="0"/>
        <w:numPr>
          <w:ilvl w:val="0"/>
          <w:numId w:val="2"/>
        </w:numPr>
        <w:tabs>
          <w:tab w:val="left" w:pos="567"/>
        </w:tabs>
        <w:ind w:left="0" w:firstLine="0"/>
        <w:jc w:val="both"/>
        <w:rPr>
          <w:lang w:eastAsia="es-MX"/>
        </w:rPr>
      </w:pPr>
      <w:r w:rsidRPr="00995557">
        <w:rPr>
          <w:lang w:eastAsia="es-MX"/>
        </w:rPr>
        <w:t xml:space="preserve">En el presente caso, </w:t>
      </w:r>
      <w:r w:rsidR="00E434ED" w:rsidRPr="00995557">
        <w:rPr>
          <w:lang w:eastAsia="es-MX"/>
        </w:rPr>
        <w:t xml:space="preserve">la Corte considera que no cuenta con los elementos necesarios para analizar la exigencia de legalidad respecto del uso de la fuerza, en tanto no </w:t>
      </w:r>
      <w:r w:rsidR="000A0050" w:rsidRPr="00995557">
        <w:rPr>
          <w:lang w:eastAsia="es-MX"/>
        </w:rPr>
        <w:t>fue aportado por el Estado el marco legal que regulaba el uso de la fuerza</w:t>
      </w:r>
      <w:r w:rsidR="001A0342" w:rsidRPr="00995557">
        <w:rPr>
          <w:lang w:eastAsia="es-MX"/>
        </w:rPr>
        <w:t xml:space="preserve"> al momento en que ocurrieron lo</w:t>
      </w:r>
      <w:r w:rsidR="000A0050" w:rsidRPr="00995557">
        <w:rPr>
          <w:lang w:eastAsia="es-MX"/>
        </w:rPr>
        <w:t xml:space="preserve">s hechos, ni </w:t>
      </w:r>
      <w:r w:rsidR="00E434ED" w:rsidRPr="00995557">
        <w:rPr>
          <w:lang w:eastAsia="es-MX"/>
        </w:rPr>
        <w:t xml:space="preserve">fueron formulados alegatos específicos por la Comisión </w:t>
      </w:r>
      <w:r w:rsidR="000A0050" w:rsidRPr="00995557">
        <w:rPr>
          <w:lang w:eastAsia="es-MX"/>
        </w:rPr>
        <w:t>o los representantes.</w:t>
      </w:r>
    </w:p>
    <w:p w14:paraId="6FFAB94D" w14:textId="77777777" w:rsidR="008675FD" w:rsidRPr="00995557" w:rsidRDefault="008675FD" w:rsidP="00AA627A">
      <w:pPr>
        <w:pStyle w:val="Prrafodelista"/>
        <w:widowControl w:val="0"/>
        <w:ind w:left="0"/>
        <w:jc w:val="both"/>
        <w:rPr>
          <w:lang w:eastAsia="es-MX"/>
        </w:rPr>
      </w:pPr>
    </w:p>
    <w:p w14:paraId="00A3B271" w14:textId="5BFC1785" w:rsidR="00450414" w:rsidRPr="00995557" w:rsidRDefault="00E434ED" w:rsidP="00AA627A">
      <w:pPr>
        <w:pStyle w:val="Prrafodelista"/>
        <w:widowControl w:val="0"/>
        <w:numPr>
          <w:ilvl w:val="0"/>
          <w:numId w:val="2"/>
        </w:numPr>
        <w:tabs>
          <w:tab w:val="left" w:pos="567"/>
        </w:tabs>
        <w:ind w:left="0" w:firstLine="0"/>
        <w:jc w:val="both"/>
        <w:rPr>
          <w:lang w:eastAsia="es-MX"/>
        </w:rPr>
      </w:pPr>
      <w:r w:rsidRPr="00995557">
        <w:t>En lo que concierne a la finalidad l</w:t>
      </w:r>
      <w:r w:rsidR="001F21A0" w:rsidRPr="00995557">
        <w:t>egí</w:t>
      </w:r>
      <w:r w:rsidRPr="00995557">
        <w:t xml:space="preserve">tima, cabe señalar que </w:t>
      </w:r>
      <w:r w:rsidR="00E6346D" w:rsidRPr="00995557">
        <w:t>la falta de información y de elementos probatorios adecuados ha impedido a la Corte establecer los motivos por los cuales los miembros de la Guardia Nacional ingresaron al centro penitenciario.</w:t>
      </w:r>
      <w:r w:rsidRPr="00995557">
        <w:t xml:space="preserve"> </w:t>
      </w:r>
      <w:r w:rsidR="008675FD" w:rsidRPr="00995557">
        <w:t>Ante ello</w:t>
      </w:r>
      <w:r w:rsidRPr="00995557">
        <w:t>, no es posible determinar la finalidad perseguida mediante el uso de la fuerza y, con ello, su legitimidad</w:t>
      </w:r>
      <w:r w:rsidR="000A0050" w:rsidRPr="00995557">
        <w:t xml:space="preserve">. En el mismo sentido, la falta de claridad sobre la finalidad perseguida impide </w:t>
      </w:r>
      <w:r w:rsidR="008675FD" w:rsidRPr="00995557">
        <w:t xml:space="preserve">analizar la </w:t>
      </w:r>
      <w:r w:rsidR="000A0050" w:rsidRPr="00995557">
        <w:t xml:space="preserve">absoluta </w:t>
      </w:r>
      <w:r w:rsidR="008675FD" w:rsidRPr="00995557">
        <w:t>necesidad</w:t>
      </w:r>
      <w:r w:rsidR="000A0050" w:rsidRPr="00995557">
        <w:t xml:space="preserve"> sobre el uso de las armas de fuego y la fuerza letal</w:t>
      </w:r>
      <w:r w:rsidR="008675FD" w:rsidRPr="00995557">
        <w:t>.</w:t>
      </w:r>
      <w:r w:rsidR="00450414" w:rsidRPr="00995557">
        <w:t xml:space="preserve"> </w:t>
      </w:r>
      <w:r w:rsidR="00450414" w:rsidRPr="00995557">
        <w:rPr>
          <w:lang w:eastAsia="es-MX"/>
        </w:rPr>
        <w:t xml:space="preserve">En todo caso, </w:t>
      </w:r>
      <w:r w:rsidR="00450414" w:rsidRPr="00995557">
        <w:t>como fue indicado oportunamente, corresponde al Estado la obligación de proveer una explicación satisfactoria y convincente de lo sucedido, mediante elementos probatorios adecuados (</w:t>
      </w:r>
      <w:r w:rsidR="00450414" w:rsidRPr="00995557">
        <w:rPr>
          <w:i/>
        </w:rPr>
        <w:t>supra</w:t>
      </w:r>
      <w:r w:rsidR="000C1B92" w:rsidRPr="00995557">
        <w:t xml:space="preserve"> párr. 89). P</w:t>
      </w:r>
      <w:r w:rsidR="00450414" w:rsidRPr="00995557">
        <w:t>or consiguiente, dada la falta de una explicación al respecto, la Corte concluye que, en el caso concreto, no fueron satisfechas las exigencias de finalidad legítima y absoluta necesidad en el uso de la fuerza.</w:t>
      </w:r>
    </w:p>
    <w:p w14:paraId="23014915" w14:textId="77777777" w:rsidR="00E434ED" w:rsidRPr="00995557" w:rsidRDefault="00E434ED" w:rsidP="00AA627A">
      <w:pPr>
        <w:pStyle w:val="Prrafodelista"/>
        <w:rPr>
          <w:lang w:eastAsia="es-MX"/>
        </w:rPr>
      </w:pPr>
    </w:p>
    <w:p w14:paraId="035D6EAB" w14:textId="77777777" w:rsidR="00CE6588" w:rsidRPr="00995557" w:rsidRDefault="00E434ED" w:rsidP="00AA627A">
      <w:pPr>
        <w:pStyle w:val="Prrafodelista"/>
        <w:widowControl w:val="0"/>
        <w:numPr>
          <w:ilvl w:val="0"/>
          <w:numId w:val="2"/>
        </w:numPr>
        <w:tabs>
          <w:tab w:val="left" w:pos="567"/>
        </w:tabs>
        <w:ind w:left="0" w:firstLine="0"/>
        <w:jc w:val="both"/>
        <w:rPr>
          <w:lang w:eastAsia="es-MX"/>
        </w:rPr>
      </w:pPr>
      <w:r w:rsidRPr="00995557">
        <w:rPr>
          <w:lang w:eastAsia="es-MX"/>
        </w:rPr>
        <w:t xml:space="preserve">Respecto de la exigencia de </w:t>
      </w:r>
      <w:r w:rsidR="008675FD" w:rsidRPr="00995557">
        <w:rPr>
          <w:lang w:eastAsia="es-MX"/>
        </w:rPr>
        <w:t>proporcionalidad</w:t>
      </w:r>
      <w:r w:rsidRPr="00995557">
        <w:rPr>
          <w:lang w:eastAsia="es-MX"/>
        </w:rPr>
        <w:t xml:space="preserve">, </w:t>
      </w:r>
      <w:r w:rsidR="00CE6588" w:rsidRPr="00995557">
        <w:rPr>
          <w:lang w:eastAsia="es-MX"/>
        </w:rPr>
        <w:t xml:space="preserve">aunado a la falta de certidumbre acerca de la existencia de un motín entre los internos, resalta que no ha sido argumentando, y menos comprobado, hecho alguno que haga suponer que los agentes militares emplearon las armas de fuego </w:t>
      </w:r>
      <w:r w:rsidR="00CE6588" w:rsidRPr="00995557">
        <w:rPr>
          <w:rFonts w:eastAsia="Times New Roman"/>
          <w:lang w:eastAsia="es-GT"/>
        </w:rPr>
        <w:t>en defensa propia o en defensa de terceros ante el peligro inminente de muerte o lesiones graves, ni que los agentes hubieran intentado impedir la fuga de alguna persona privada de libertad que representara un peligro por la eventual comisión de un delito particularmente grave que supusiera una seria amenaza para la vida.</w:t>
      </w:r>
    </w:p>
    <w:p w14:paraId="326B5267" w14:textId="77777777" w:rsidR="00F80410" w:rsidRPr="00995557" w:rsidRDefault="00F80410" w:rsidP="00AA627A">
      <w:pPr>
        <w:widowControl w:val="0"/>
        <w:rPr>
          <w:lang w:eastAsia="es-MX"/>
        </w:rPr>
      </w:pPr>
    </w:p>
    <w:p w14:paraId="5A45050F" w14:textId="77777777" w:rsidR="00101524" w:rsidRPr="00995557" w:rsidRDefault="00F80410" w:rsidP="00AA627A">
      <w:pPr>
        <w:pStyle w:val="Prrafodelista"/>
        <w:widowControl w:val="0"/>
        <w:numPr>
          <w:ilvl w:val="0"/>
          <w:numId w:val="2"/>
        </w:numPr>
        <w:tabs>
          <w:tab w:val="left" w:pos="567"/>
        </w:tabs>
        <w:ind w:left="0" w:firstLine="0"/>
        <w:jc w:val="both"/>
        <w:rPr>
          <w:lang w:eastAsia="es-MX"/>
        </w:rPr>
      </w:pPr>
      <w:r w:rsidRPr="00995557">
        <w:rPr>
          <w:lang w:eastAsia="es-MX"/>
        </w:rPr>
        <w:t>Incluso, cabe resaltar que los agentes militares que afirmaron haber ingres</w:t>
      </w:r>
      <w:r w:rsidR="001445A8" w:rsidRPr="00995557">
        <w:rPr>
          <w:lang w:eastAsia="es-MX"/>
        </w:rPr>
        <w:t>ad</w:t>
      </w:r>
      <w:r w:rsidRPr="00995557">
        <w:rPr>
          <w:lang w:eastAsia="es-MX"/>
        </w:rPr>
        <w:t xml:space="preserve">o a la cárcel durante el operativo del 10 de noviembre de 2003, al rendir su declaración como parte de las investigaciones </w:t>
      </w:r>
      <w:r w:rsidR="00FD1D1B" w:rsidRPr="00995557">
        <w:rPr>
          <w:lang w:eastAsia="es-MX"/>
        </w:rPr>
        <w:t>a nivel interno</w:t>
      </w:r>
      <w:r w:rsidRPr="00995557">
        <w:rPr>
          <w:lang w:eastAsia="es-MX"/>
        </w:rPr>
        <w:t>, no mencionaron situación concreta</w:t>
      </w:r>
      <w:r w:rsidR="002D6835" w:rsidRPr="00995557">
        <w:rPr>
          <w:lang w:eastAsia="es-MX"/>
        </w:rPr>
        <w:t xml:space="preserve"> alguna</w:t>
      </w:r>
      <w:r w:rsidR="00787009" w:rsidRPr="00995557">
        <w:rPr>
          <w:lang w:eastAsia="es-MX"/>
        </w:rPr>
        <w:t xml:space="preserve"> </w:t>
      </w:r>
      <w:r w:rsidRPr="00995557">
        <w:rPr>
          <w:lang w:eastAsia="es-MX"/>
        </w:rPr>
        <w:t xml:space="preserve">que permita siquiera presumir que, una vez que se encontraban en el interior de la prisión, </w:t>
      </w:r>
      <w:r w:rsidR="008A28A1" w:rsidRPr="00995557">
        <w:rPr>
          <w:lang w:eastAsia="es-MX"/>
        </w:rPr>
        <w:t>la seguridad o el orden del centro estuvieran amenazados como para hacer uso de la fuerza contra los internos, lo que descarta también que existi</w:t>
      </w:r>
      <w:r w:rsidR="00EB3E2F" w:rsidRPr="00995557">
        <w:rPr>
          <w:lang w:eastAsia="es-MX"/>
        </w:rPr>
        <w:t>era</w:t>
      </w:r>
      <w:r w:rsidR="008A28A1" w:rsidRPr="00995557">
        <w:rPr>
          <w:lang w:eastAsia="es-MX"/>
        </w:rPr>
        <w:t xml:space="preserve"> riesgo para su integridad física</w:t>
      </w:r>
      <w:r w:rsidR="004C0991" w:rsidRPr="00995557">
        <w:rPr>
          <w:rStyle w:val="Refdenotaalpie"/>
          <w:lang w:eastAsia="es-MX"/>
        </w:rPr>
        <w:footnoteReference w:id="134"/>
      </w:r>
      <w:r w:rsidR="004C0991" w:rsidRPr="00995557">
        <w:rPr>
          <w:lang w:eastAsia="es-MX"/>
        </w:rPr>
        <w:t xml:space="preserve">. </w:t>
      </w:r>
      <w:r w:rsidR="00E972F3" w:rsidRPr="00995557">
        <w:rPr>
          <w:lang w:eastAsia="es-MX"/>
        </w:rPr>
        <w:t xml:space="preserve">Así, </w:t>
      </w:r>
      <w:r w:rsidR="00B0776C" w:rsidRPr="00995557">
        <w:rPr>
          <w:lang w:eastAsia="es-MX"/>
        </w:rPr>
        <w:t>en sus declaraciones</w:t>
      </w:r>
      <w:r w:rsidR="00FD1D1B" w:rsidRPr="00995557">
        <w:rPr>
          <w:lang w:eastAsia="es-MX"/>
        </w:rPr>
        <w:t xml:space="preserve">, </w:t>
      </w:r>
      <w:r w:rsidR="00E972F3" w:rsidRPr="00995557">
        <w:rPr>
          <w:lang w:eastAsia="es-MX"/>
        </w:rPr>
        <w:t xml:space="preserve">los agentes </w:t>
      </w:r>
      <w:r w:rsidR="00FD1D1B" w:rsidRPr="00995557">
        <w:rPr>
          <w:lang w:eastAsia="es-MX"/>
        </w:rPr>
        <w:t>indicaron</w:t>
      </w:r>
      <w:r w:rsidR="002A7858" w:rsidRPr="00995557">
        <w:rPr>
          <w:lang w:eastAsia="es-MX"/>
        </w:rPr>
        <w:t xml:space="preserve">, </w:t>
      </w:r>
      <w:r w:rsidR="002A7858" w:rsidRPr="00995557">
        <w:rPr>
          <w:i/>
          <w:lang w:eastAsia="es-MX"/>
        </w:rPr>
        <w:t>inter alia</w:t>
      </w:r>
      <w:r w:rsidR="002A7858" w:rsidRPr="00995557">
        <w:rPr>
          <w:lang w:eastAsia="es-MX"/>
        </w:rPr>
        <w:t>,</w:t>
      </w:r>
      <w:r w:rsidR="00E972F3" w:rsidRPr="00995557">
        <w:rPr>
          <w:lang w:eastAsia="es-MX"/>
        </w:rPr>
        <w:t xml:space="preserve"> </w:t>
      </w:r>
      <w:proofErr w:type="gramStart"/>
      <w:r w:rsidR="002A7858" w:rsidRPr="00995557">
        <w:rPr>
          <w:lang w:eastAsia="es-MX"/>
        </w:rPr>
        <w:t>que</w:t>
      </w:r>
      <w:proofErr w:type="gramEnd"/>
      <w:r w:rsidR="002A7858" w:rsidRPr="00995557">
        <w:rPr>
          <w:lang w:eastAsia="es-MX"/>
        </w:rPr>
        <w:t xml:space="preserve"> habiendo ingresado a la prisión, </w:t>
      </w:r>
      <w:r w:rsidR="00B0776C" w:rsidRPr="00995557">
        <w:rPr>
          <w:lang w:eastAsia="es-MX"/>
        </w:rPr>
        <w:t>ordenaron a las personas privadas de libertad ubicarse en el patio interno</w:t>
      </w:r>
      <w:r w:rsidR="00EB3E2F" w:rsidRPr="00995557">
        <w:rPr>
          <w:rStyle w:val="Refdenotaalpie"/>
          <w:lang w:eastAsia="es-MX"/>
        </w:rPr>
        <w:footnoteReference w:id="135"/>
      </w:r>
      <w:r w:rsidR="009B368C" w:rsidRPr="00995557">
        <w:rPr>
          <w:lang w:eastAsia="es-MX"/>
        </w:rPr>
        <w:t>,</w:t>
      </w:r>
      <w:r w:rsidR="00B0776C" w:rsidRPr="00995557">
        <w:rPr>
          <w:lang w:eastAsia="es-MX"/>
        </w:rPr>
        <w:t xml:space="preserve"> donde realizaron un </w:t>
      </w:r>
      <w:r w:rsidR="00B0776C" w:rsidRPr="00995557">
        <w:rPr>
          <w:lang w:eastAsia="es-MX"/>
        </w:rPr>
        <w:lastRenderedPageBreak/>
        <w:t>conteo</w:t>
      </w:r>
      <w:r w:rsidR="00787009" w:rsidRPr="00995557">
        <w:rPr>
          <w:rStyle w:val="Refdenotaalpie"/>
          <w:lang w:eastAsia="es-MX"/>
        </w:rPr>
        <w:footnoteReference w:id="136"/>
      </w:r>
      <w:r w:rsidR="002A7858" w:rsidRPr="00995557">
        <w:rPr>
          <w:lang w:eastAsia="es-MX"/>
        </w:rPr>
        <w:t xml:space="preserve"> “controlando así la situación”</w:t>
      </w:r>
      <w:r w:rsidR="002A7858" w:rsidRPr="00995557">
        <w:rPr>
          <w:rStyle w:val="Refdenotaalpie"/>
          <w:lang w:eastAsia="es-MX"/>
        </w:rPr>
        <w:footnoteReference w:id="137"/>
      </w:r>
      <w:r w:rsidR="00B0776C" w:rsidRPr="00995557">
        <w:rPr>
          <w:lang w:eastAsia="es-MX"/>
        </w:rPr>
        <w:t xml:space="preserve">, </w:t>
      </w:r>
      <w:r w:rsidR="00787009" w:rsidRPr="00995557">
        <w:rPr>
          <w:lang w:eastAsia="es-MX"/>
        </w:rPr>
        <w:t xml:space="preserve">sin hacer alusión </w:t>
      </w:r>
      <w:r w:rsidR="00FD1D1B" w:rsidRPr="00995557">
        <w:rPr>
          <w:lang w:eastAsia="es-MX"/>
        </w:rPr>
        <w:t xml:space="preserve">a agresiones, ataques o, en definitiva, </w:t>
      </w:r>
      <w:r w:rsidR="00787009" w:rsidRPr="00995557">
        <w:rPr>
          <w:lang w:eastAsia="es-MX"/>
        </w:rPr>
        <w:t>a inciden</w:t>
      </w:r>
      <w:r w:rsidR="00387B11" w:rsidRPr="00995557">
        <w:rPr>
          <w:lang w:eastAsia="es-MX"/>
        </w:rPr>
        <w:t>te</w:t>
      </w:r>
      <w:r w:rsidR="00CB0641" w:rsidRPr="00995557">
        <w:rPr>
          <w:lang w:eastAsia="es-MX"/>
        </w:rPr>
        <w:t>s</w:t>
      </w:r>
      <w:r w:rsidR="00387B11" w:rsidRPr="00995557">
        <w:rPr>
          <w:lang w:eastAsia="es-MX"/>
        </w:rPr>
        <w:t xml:space="preserve"> </w:t>
      </w:r>
      <w:r w:rsidR="00FD1D1B" w:rsidRPr="00995557">
        <w:rPr>
          <w:lang w:eastAsia="es-MX"/>
        </w:rPr>
        <w:t>que podrían hacer presumir algún peligro o amenaza en su contra</w:t>
      </w:r>
      <w:r w:rsidR="00787009" w:rsidRPr="00995557">
        <w:rPr>
          <w:lang w:eastAsia="es-MX"/>
        </w:rPr>
        <w:t>.</w:t>
      </w:r>
      <w:r w:rsidR="00FD1D1B" w:rsidRPr="00995557">
        <w:rPr>
          <w:lang w:eastAsia="es-MX"/>
        </w:rPr>
        <w:t xml:space="preserve"> </w:t>
      </w:r>
      <w:r w:rsidR="00450AAD" w:rsidRPr="00995557">
        <w:rPr>
          <w:lang w:eastAsia="es-MX"/>
        </w:rPr>
        <w:t>De igual manera, t</w:t>
      </w:r>
      <w:r w:rsidR="00FD1D1B" w:rsidRPr="00995557">
        <w:rPr>
          <w:lang w:eastAsia="es-MX"/>
        </w:rPr>
        <w:t>ampoco existe información o prueba acerca de lesiones sufridas por alguno de los agentes militares</w:t>
      </w:r>
      <w:bookmarkStart w:id="138" w:name="_Hlk41515021"/>
      <w:r w:rsidR="00B10A5C" w:rsidRPr="00995557">
        <w:rPr>
          <w:rStyle w:val="Refdenotaalpie"/>
          <w:lang w:eastAsia="es-MX"/>
        </w:rPr>
        <w:footnoteReference w:id="138"/>
      </w:r>
      <w:r w:rsidR="00B10A5C" w:rsidRPr="00995557">
        <w:rPr>
          <w:lang w:eastAsia="es-MX"/>
        </w:rPr>
        <w:t>.</w:t>
      </w:r>
      <w:r w:rsidR="00E2425A" w:rsidRPr="00995557">
        <w:rPr>
          <w:lang w:eastAsia="es-MX"/>
        </w:rPr>
        <w:t xml:space="preserve"> Por ende, cabría afirmar que los agentes estatales utilizaron la máxima expresión del ejercicio de la fuerza sin que objetivamente existiera resistencia o amenaza de algún tipo por parte de las personas privadas de libertad.</w:t>
      </w:r>
    </w:p>
    <w:bookmarkEnd w:id="138"/>
    <w:p w14:paraId="24DFE528" w14:textId="77777777" w:rsidR="009D383C" w:rsidRPr="00995557" w:rsidRDefault="009D383C" w:rsidP="00AA627A">
      <w:pPr>
        <w:pStyle w:val="Prrafodelista"/>
        <w:widowControl w:val="0"/>
        <w:ind w:left="0"/>
        <w:jc w:val="both"/>
        <w:rPr>
          <w:lang w:eastAsia="es-MX"/>
        </w:rPr>
      </w:pPr>
    </w:p>
    <w:p w14:paraId="3C670374" w14:textId="77777777" w:rsidR="004C0991" w:rsidRPr="00995557" w:rsidRDefault="00B10A5C" w:rsidP="00AA627A">
      <w:pPr>
        <w:pStyle w:val="Prrafodelista"/>
        <w:widowControl w:val="0"/>
        <w:numPr>
          <w:ilvl w:val="0"/>
          <w:numId w:val="2"/>
        </w:numPr>
        <w:tabs>
          <w:tab w:val="left" w:pos="567"/>
        </w:tabs>
        <w:ind w:left="0" w:firstLine="0"/>
        <w:jc w:val="both"/>
        <w:rPr>
          <w:lang w:eastAsia="es-MX"/>
        </w:rPr>
      </w:pPr>
      <w:r w:rsidRPr="00995557">
        <w:rPr>
          <w:lang w:eastAsia="es-MX"/>
        </w:rPr>
        <w:t xml:space="preserve">Como corolario, </w:t>
      </w:r>
      <w:r w:rsidR="00983AAA" w:rsidRPr="00995557">
        <w:rPr>
          <w:lang w:eastAsia="es-MX"/>
        </w:rPr>
        <w:t>la Corte</w:t>
      </w:r>
      <w:r w:rsidR="00CB0641" w:rsidRPr="00995557">
        <w:rPr>
          <w:lang w:eastAsia="es-MX"/>
        </w:rPr>
        <w:t xml:space="preserve"> colige</w:t>
      </w:r>
      <w:r w:rsidR="00983AAA" w:rsidRPr="00995557">
        <w:rPr>
          <w:lang w:eastAsia="es-MX"/>
        </w:rPr>
        <w:t xml:space="preserve"> que el uso de la fuerza </w:t>
      </w:r>
      <w:r w:rsidR="006A46E3" w:rsidRPr="00995557">
        <w:rPr>
          <w:lang w:eastAsia="es-MX"/>
        </w:rPr>
        <w:t xml:space="preserve">por </w:t>
      </w:r>
      <w:r w:rsidR="00461D95" w:rsidRPr="00995557">
        <w:rPr>
          <w:lang w:eastAsia="es-MX"/>
        </w:rPr>
        <w:t xml:space="preserve">parte de </w:t>
      </w:r>
      <w:r w:rsidR="006A46E3" w:rsidRPr="00995557">
        <w:rPr>
          <w:lang w:eastAsia="es-MX"/>
        </w:rPr>
        <w:t xml:space="preserve">los </w:t>
      </w:r>
      <w:r w:rsidR="00CB0641" w:rsidRPr="00995557">
        <w:rPr>
          <w:lang w:eastAsia="es-MX"/>
        </w:rPr>
        <w:t>funcionarios</w:t>
      </w:r>
      <w:r w:rsidR="006A46E3" w:rsidRPr="00995557">
        <w:rPr>
          <w:lang w:eastAsia="es-MX"/>
        </w:rPr>
        <w:t xml:space="preserve"> </w:t>
      </w:r>
      <w:r w:rsidR="00DD738A" w:rsidRPr="00995557">
        <w:rPr>
          <w:lang w:eastAsia="es-MX"/>
        </w:rPr>
        <w:t>de la Guardia Nacional</w:t>
      </w:r>
      <w:r w:rsidR="006A46E3" w:rsidRPr="00995557">
        <w:rPr>
          <w:lang w:eastAsia="es-MX"/>
        </w:rPr>
        <w:t xml:space="preserve"> resultó </w:t>
      </w:r>
      <w:r w:rsidR="00614375" w:rsidRPr="00995557">
        <w:rPr>
          <w:lang w:eastAsia="es-MX"/>
        </w:rPr>
        <w:t>arbitrario</w:t>
      </w:r>
      <w:r w:rsidR="006A46E3" w:rsidRPr="00995557">
        <w:rPr>
          <w:lang w:eastAsia="es-MX"/>
        </w:rPr>
        <w:t xml:space="preserve">, en tanto no </w:t>
      </w:r>
      <w:r w:rsidR="00E2425A" w:rsidRPr="00995557">
        <w:rPr>
          <w:lang w:eastAsia="es-MX"/>
        </w:rPr>
        <w:t>se habrían cumplido las exigencias de finalidad legítima y</w:t>
      </w:r>
      <w:r w:rsidR="006A46E3" w:rsidRPr="00995557">
        <w:rPr>
          <w:lang w:eastAsia="es-MX"/>
        </w:rPr>
        <w:t xml:space="preserve"> </w:t>
      </w:r>
      <w:r w:rsidR="00037AEA" w:rsidRPr="00995557">
        <w:rPr>
          <w:lang w:eastAsia="es-MX"/>
        </w:rPr>
        <w:t>absoluta</w:t>
      </w:r>
      <w:r w:rsidR="006A46E3" w:rsidRPr="00995557">
        <w:rPr>
          <w:lang w:eastAsia="es-MX"/>
        </w:rPr>
        <w:t xml:space="preserve"> necesidad en </w:t>
      </w:r>
      <w:r w:rsidR="004C0991" w:rsidRPr="00995557">
        <w:rPr>
          <w:lang w:eastAsia="es-MX"/>
        </w:rPr>
        <w:t>su</w:t>
      </w:r>
      <w:r w:rsidR="006A46E3" w:rsidRPr="00995557">
        <w:rPr>
          <w:lang w:eastAsia="es-MX"/>
        </w:rPr>
        <w:t xml:space="preserve"> empleo</w:t>
      </w:r>
      <w:r w:rsidR="00CB0641" w:rsidRPr="00995557">
        <w:rPr>
          <w:lang w:eastAsia="es-MX"/>
        </w:rPr>
        <w:t xml:space="preserve">, </w:t>
      </w:r>
      <w:r w:rsidR="006A46E3" w:rsidRPr="00995557">
        <w:rPr>
          <w:lang w:eastAsia="es-MX"/>
        </w:rPr>
        <w:t xml:space="preserve">a lo </w:t>
      </w:r>
      <w:r w:rsidR="00CB0641" w:rsidRPr="00995557">
        <w:rPr>
          <w:lang w:eastAsia="es-MX"/>
        </w:rPr>
        <w:t>que</w:t>
      </w:r>
      <w:r w:rsidR="006A46E3" w:rsidRPr="00995557">
        <w:rPr>
          <w:lang w:eastAsia="es-MX"/>
        </w:rPr>
        <w:t xml:space="preserve"> se añade que </w:t>
      </w:r>
      <w:r w:rsidR="00ED031D" w:rsidRPr="00995557">
        <w:rPr>
          <w:lang w:eastAsia="es-MX"/>
        </w:rPr>
        <w:t>no fue advertido grado alguno de resistencia o agresión por parte de los interno</w:t>
      </w:r>
      <w:r w:rsidR="00631DFE" w:rsidRPr="00995557">
        <w:rPr>
          <w:lang w:eastAsia="es-MX"/>
        </w:rPr>
        <w:t>s</w:t>
      </w:r>
      <w:r w:rsidR="00ED031D" w:rsidRPr="00995557">
        <w:rPr>
          <w:lang w:eastAsia="es-MX"/>
        </w:rPr>
        <w:t>, lo que evidencia</w:t>
      </w:r>
      <w:r w:rsidR="00631DFE" w:rsidRPr="00995557">
        <w:rPr>
          <w:lang w:eastAsia="es-MX"/>
        </w:rPr>
        <w:t xml:space="preserve"> </w:t>
      </w:r>
      <w:r w:rsidR="00ED031D" w:rsidRPr="00995557">
        <w:rPr>
          <w:lang w:eastAsia="es-MX"/>
        </w:rPr>
        <w:t>la falta de proporcionalidad</w:t>
      </w:r>
      <w:r w:rsidR="00631DFE" w:rsidRPr="00995557">
        <w:rPr>
          <w:lang w:eastAsia="es-MX"/>
        </w:rPr>
        <w:t xml:space="preserve"> en la actuación de los agentes.</w:t>
      </w:r>
    </w:p>
    <w:p w14:paraId="56FC3D66" w14:textId="77777777" w:rsidR="000B422F" w:rsidRPr="00995557" w:rsidRDefault="000B422F" w:rsidP="00AA627A">
      <w:pPr>
        <w:pStyle w:val="Prrafodelista"/>
        <w:rPr>
          <w:lang w:eastAsia="es-MX"/>
        </w:rPr>
      </w:pPr>
    </w:p>
    <w:p w14:paraId="25CC5E1A" w14:textId="77777777" w:rsidR="000B422F" w:rsidRPr="00995557" w:rsidRDefault="002A35DD" w:rsidP="00AA627A">
      <w:pPr>
        <w:pStyle w:val="Prrafodelista"/>
        <w:widowControl w:val="0"/>
        <w:numPr>
          <w:ilvl w:val="0"/>
          <w:numId w:val="2"/>
        </w:numPr>
        <w:tabs>
          <w:tab w:val="left" w:pos="567"/>
        </w:tabs>
        <w:ind w:left="0" w:firstLine="0"/>
        <w:jc w:val="both"/>
      </w:pPr>
      <w:r w:rsidRPr="00995557">
        <w:t>Por su parte</w:t>
      </w:r>
      <w:r w:rsidR="000B422F" w:rsidRPr="00995557">
        <w:t>, según reconoció el Estado</w:t>
      </w:r>
      <w:r w:rsidR="000B422F" w:rsidRPr="00995557">
        <w:rPr>
          <w:rStyle w:val="Refdenotaalpie"/>
        </w:rPr>
        <w:footnoteReference w:id="139"/>
      </w:r>
      <w:r w:rsidR="000B422F" w:rsidRPr="00995557">
        <w:t xml:space="preserve">, los agentes militares se encontraban autorizados para ingresar a la cárcel </w:t>
      </w:r>
      <w:proofErr w:type="gramStart"/>
      <w:r w:rsidR="000B422F" w:rsidRPr="00995557">
        <w:t>de acuerdo al</w:t>
      </w:r>
      <w:proofErr w:type="gramEnd"/>
      <w:r w:rsidR="000B422F" w:rsidRPr="00995557">
        <w:t xml:space="preserve"> artículo 8 de la Ley de Régimen Penitenciario, vigente al momento de los hechos, cuyo texto disponía:</w:t>
      </w:r>
    </w:p>
    <w:p w14:paraId="2C42E270" w14:textId="77777777" w:rsidR="000B422F" w:rsidRPr="00995557" w:rsidRDefault="000B422F" w:rsidP="00AA627A">
      <w:pPr>
        <w:widowControl w:val="0"/>
        <w:tabs>
          <w:tab w:val="left" w:pos="567"/>
          <w:tab w:val="num" w:pos="12305"/>
        </w:tabs>
        <w:adjustRightInd w:val="0"/>
        <w:jc w:val="both"/>
        <w:textAlignment w:val="baseline"/>
        <w:rPr>
          <w:rFonts w:eastAsia="Calibri" w:cs="Verdana"/>
          <w:snapToGrid w:val="0"/>
          <w:lang w:eastAsia="es-ES"/>
        </w:rPr>
      </w:pPr>
    </w:p>
    <w:p w14:paraId="1CF5B81C" w14:textId="77777777" w:rsidR="000B422F" w:rsidRPr="00995557" w:rsidRDefault="000B422F" w:rsidP="00AA627A">
      <w:pPr>
        <w:pStyle w:val="Prrafodelista"/>
        <w:widowControl w:val="0"/>
        <w:tabs>
          <w:tab w:val="left" w:pos="567"/>
          <w:tab w:val="left" w:pos="8789"/>
        </w:tabs>
        <w:ind w:left="284" w:right="335"/>
        <w:jc w:val="both"/>
        <w:rPr>
          <w:rFonts w:eastAsia="Calibri" w:cs="Verdana"/>
          <w:bCs/>
          <w:snapToGrid w:val="0"/>
          <w:sz w:val="16"/>
          <w:lang w:eastAsia="es-ES"/>
        </w:rPr>
      </w:pPr>
      <w:r w:rsidRPr="00995557">
        <w:rPr>
          <w:rFonts w:eastAsia="Calibri" w:cs="Verdana"/>
          <w:bCs/>
          <w:snapToGrid w:val="0"/>
          <w:sz w:val="16"/>
          <w:lang w:eastAsia="es-ES"/>
        </w:rPr>
        <w:t>La vigilancia exterior de los establecimientos podrá ser encomendada a organismos militares, quienes se abstendrán de toda intervención en el régimen y vigilancia interior, salvo en los casos en que sean expresamente requeridos por el director del establecimiento o quien haga sus veces.</w:t>
      </w:r>
    </w:p>
    <w:p w14:paraId="19A4C059" w14:textId="77777777" w:rsidR="000B422F" w:rsidRPr="00995557" w:rsidRDefault="000B422F" w:rsidP="00AA627A">
      <w:pPr>
        <w:pStyle w:val="Prrafodelista"/>
        <w:widowControl w:val="0"/>
        <w:tabs>
          <w:tab w:val="left" w:pos="567"/>
        </w:tabs>
        <w:ind w:left="0"/>
        <w:jc w:val="both"/>
      </w:pPr>
    </w:p>
    <w:p w14:paraId="6073D652" w14:textId="3F6F950E" w:rsidR="00FE01E8" w:rsidRPr="00995557" w:rsidRDefault="001B2BBC" w:rsidP="00AA627A">
      <w:pPr>
        <w:pStyle w:val="Prrafodelista"/>
        <w:widowControl w:val="0"/>
        <w:numPr>
          <w:ilvl w:val="0"/>
          <w:numId w:val="2"/>
        </w:numPr>
        <w:tabs>
          <w:tab w:val="left" w:pos="567"/>
        </w:tabs>
        <w:ind w:left="0" w:firstLine="0"/>
        <w:jc w:val="both"/>
        <w:rPr>
          <w:lang w:eastAsia="es-MX"/>
        </w:rPr>
      </w:pPr>
      <w:r w:rsidRPr="00995557">
        <w:rPr>
          <w:lang w:eastAsia="es-MX"/>
        </w:rPr>
        <w:t xml:space="preserve">En este punto, la Corte recuerda la relevancia que tiene </w:t>
      </w:r>
      <w:r w:rsidR="00A7262C" w:rsidRPr="00995557">
        <w:rPr>
          <w:lang w:eastAsia="es-MX"/>
        </w:rPr>
        <w:t xml:space="preserve">la idoneidad y </w:t>
      </w:r>
      <w:r w:rsidR="00822BCE" w:rsidRPr="00995557">
        <w:rPr>
          <w:lang w:eastAsia="es-MX"/>
        </w:rPr>
        <w:t xml:space="preserve">debida </w:t>
      </w:r>
      <w:r w:rsidR="00A7262C" w:rsidRPr="00995557">
        <w:rPr>
          <w:lang w:eastAsia="es-MX"/>
        </w:rPr>
        <w:t>capacitación del personal penitenciario, con especial énfasis en el personal encargado de la seguridad</w:t>
      </w:r>
      <w:r w:rsidR="00CC73F5" w:rsidRPr="00995557">
        <w:rPr>
          <w:lang w:eastAsia="es-MX"/>
        </w:rPr>
        <w:t xml:space="preserve"> </w:t>
      </w:r>
      <w:r w:rsidR="00A7262C" w:rsidRPr="00995557">
        <w:rPr>
          <w:lang w:eastAsia="es-MX"/>
        </w:rPr>
        <w:t xml:space="preserve">de los centros </w:t>
      </w:r>
      <w:r w:rsidR="00963B8B" w:rsidRPr="00995557">
        <w:rPr>
          <w:lang w:eastAsia="es-MX"/>
        </w:rPr>
        <w:t>de privación de libertad</w:t>
      </w:r>
      <w:r w:rsidR="00773A90" w:rsidRPr="00995557">
        <w:rPr>
          <w:lang w:eastAsia="es-MX"/>
        </w:rPr>
        <w:t xml:space="preserve"> como medida para garantizar un trato digno </w:t>
      </w:r>
      <w:r w:rsidR="007A75E5" w:rsidRPr="00995557">
        <w:rPr>
          <w:lang w:eastAsia="es-MX"/>
        </w:rPr>
        <w:t>haci</w:t>
      </w:r>
      <w:r w:rsidR="00773A90" w:rsidRPr="00995557">
        <w:rPr>
          <w:lang w:eastAsia="es-MX"/>
        </w:rPr>
        <w:t>a las personas internas</w:t>
      </w:r>
      <w:r w:rsidR="007A75E5" w:rsidRPr="00995557">
        <w:rPr>
          <w:lang w:eastAsia="es-MX"/>
        </w:rPr>
        <w:t>,</w:t>
      </w:r>
      <w:r w:rsidR="00773A90" w:rsidRPr="00995557">
        <w:rPr>
          <w:lang w:eastAsia="es-MX"/>
        </w:rPr>
        <w:t xml:space="preserve"> evitando</w:t>
      </w:r>
      <w:r w:rsidR="007A75E5" w:rsidRPr="00995557">
        <w:rPr>
          <w:lang w:eastAsia="es-MX"/>
        </w:rPr>
        <w:t xml:space="preserve"> con ello</w:t>
      </w:r>
      <w:r w:rsidR="00773A90" w:rsidRPr="00995557">
        <w:rPr>
          <w:lang w:eastAsia="es-MX"/>
        </w:rPr>
        <w:t xml:space="preserve"> los riesgos de actos de tortura y de todo trato cruel, inhumano o degradante</w:t>
      </w:r>
      <w:r w:rsidR="00CB6BE6" w:rsidRPr="00995557">
        <w:rPr>
          <w:rStyle w:val="Refdenotaalpie"/>
          <w:lang w:eastAsia="es-MX"/>
        </w:rPr>
        <w:footnoteReference w:id="140"/>
      </w:r>
      <w:r w:rsidR="00773A90" w:rsidRPr="00995557">
        <w:rPr>
          <w:lang w:eastAsia="es-MX"/>
        </w:rPr>
        <w:t xml:space="preserve">. </w:t>
      </w:r>
      <w:r w:rsidR="00F210CF" w:rsidRPr="00995557">
        <w:rPr>
          <w:rFonts w:eastAsia="Times New Roman"/>
          <w:lang w:eastAsia="es-GT"/>
        </w:rPr>
        <w:t>Lo anterior, sin perjuicio de lo que se refiere en esta Sentencia respecto de la actuación de órganos policiales o militares en labores de seguridad, custo</w:t>
      </w:r>
      <w:r w:rsidR="005F1A9F" w:rsidRPr="00995557">
        <w:rPr>
          <w:rFonts w:eastAsia="Times New Roman"/>
          <w:lang w:eastAsia="es-GT"/>
        </w:rPr>
        <w:t>dia o vigilancia en centros pen</w:t>
      </w:r>
      <w:r w:rsidR="00F210CF" w:rsidRPr="00995557">
        <w:rPr>
          <w:rFonts w:eastAsia="Times New Roman"/>
          <w:lang w:eastAsia="es-GT"/>
        </w:rPr>
        <w:t>i</w:t>
      </w:r>
      <w:r w:rsidR="005F1A9F" w:rsidRPr="00995557">
        <w:rPr>
          <w:rFonts w:eastAsia="Times New Roman"/>
          <w:lang w:eastAsia="es-GT"/>
        </w:rPr>
        <w:t>t</w:t>
      </w:r>
      <w:r w:rsidR="00F210CF" w:rsidRPr="00995557">
        <w:rPr>
          <w:rFonts w:eastAsia="Times New Roman"/>
          <w:lang w:eastAsia="es-GT"/>
        </w:rPr>
        <w:t>enciarios (</w:t>
      </w:r>
      <w:r w:rsidR="00F210CF" w:rsidRPr="00995557">
        <w:rPr>
          <w:rFonts w:eastAsia="Times New Roman"/>
          <w:i/>
          <w:lang w:eastAsia="es-GT"/>
        </w:rPr>
        <w:t>infra</w:t>
      </w:r>
      <w:r w:rsidR="00F210CF" w:rsidRPr="00995557">
        <w:rPr>
          <w:rFonts w:eastAsia="Times New Roman"/>
          <w:lang w:eastAsia="es-GT"/>
        </w:rPr>
        <w:t xml:space="preserve"> párr. 107).</w:t>
      </w:r>
    </w:p>
    <w:p w14:paraId="56F1E646" w14:textId="77777777" w:rsidR="00FE01E8" w:rsidRPr="00995557" w:rsidRDefault="00FE01E8" w:rsidP="00AA627A">
      <w:pPr>
        <w:pStyle w:val="Prrafodelista"/>
        <w:widowControl w:val="0"/>
        <w:tabs>
          <w:tab w:val="left" w:pos="567"/>
        </w:tabs>
        <w:ind w:left="0"/>
        <w:jc w:val="both"/>
        <w:rPr>
          <w:lang w:eastAsia="es-MX"/>
        </w:rPr>
      </w:pPr>
    </w:p>
    <w:p w14:paraId="191BE725" w14:textId="77777777" w:rsidR="00FE01E8" w:rsidRPr="00995557" w:rsidRDefault="00FE01E8" w:rsidP="00AA627A">
      <w:pPr>
        <w:pStyle w:val="Prrafodelista"/>
        <w:widowControl w:val="0"/>
        <w:numPr>
          <w:ilvl w:val="0"/>
          <w:numId w:val="2"/>
        </w:numPr>
        <w:tabs>
          <w:tab w:val="left" w:pos="567"/>
        </w:tabs>
        <w:ind w:left="0" w:firstLine="0"/>
        <w:jc w:val="both"/>
        <w:rPr>
          <w:lang w:eastAsia="es-MX"/>
        </w:rPr>
      </w:pPr>
      <w:r w:rsidRPr="00995557">
        <w:rPr>
          <w:rFonts w:eastAsia="Times New Roman"/>
          <w:lang w:eastAsia="es-GT"/>
        </w:rPr>
        <w:t xml:space="preserve">En tal sentido, los </w:t>
      </w:r>
      <w:r w:rsidRPr="00995557">
        <w:rPr>
          <w:i/>
        </w:rPr>
        <w:t xml:space="preserve">Principios y Buenas Prácticas sobre la Protección de las Personas Privadas de Libertad en las Américas </w:t>
      </w:r>
      <w:r w:rsidRPr="00995557">
        <w:t>prevén que el personal que tenga bajo su responsabilidad la dirección, custodia, tratamiento, traslado, disciplina y vigilancia de personas privadas de libertad, deberá ajustarse, en todo momento y circunstancia, al respeto a los derechos humanos de las personas privadas de libertad y de sus familiares. Asimismo, refieren que en los lugares de privación de libertad deberá disponerse de personal calificado y suficiente para garantizar la seguridad, vigilancia y custodia, asig</w:t>
      </w:r>
      <w:r w:rsidR="00EE05F4" w:rsidRPr="00995557">
        <w:t>n</w:t>
      </w:r>
      <w:r w:rsidRPr="00995557">
        <w:t xml:space="preserve">ándoles los recursos y el equipo necesarios para que puedan desempeñar su trabajo en las condiciones adecuadas; dicho personal deberá </w:t>
      </w:r>
      <w:r w:rsidRPr="00995557">
        <w:lastRenderedPageBreak/>
        <w:t>recibir instrucción inicial y capacitación periódica especializada, incluyendo en su formación, por lo menos, capa</w:t>
      </w:r>
      <w:r w:rsidR="00293F46" w:rsidRPr="00995557">
        <w:t>citación sobre derechos humanos,</w:t>
      </w:r>
      <w:r w:rsidRPr="00995557">
        <w:t xml:space="preserve"> sobre derechos, deberes y prohibiciones en el ejercicio de sus funciones, y sobre los principios y reglas nacionales e internacionales relativos al uso de la fuerza, armas de fuego, así como sobre contención física</w:t>
      </w:r>
      <w:r w:rsidRPr="00995557">
        <w:rPr>
          <w:rStyle w:val="Refdenotaalpie"/>
        </w:rPr>
        <w:footnoteReference w:id="141"/>
      </w:r>
      <w:r w:rsidRPr="00995557">
        <w:t>.</w:t>
      </w:r>
    </w:p>
    <w:p w14:paraId="5E7F3681" w14:textId="77777777" w:rsidR="00CB6BE6" w:rsidRPr="00995557" w:rsidRDefault="00CB6BE6" w:rsidP="00AA627A">
      <w:pPr>
        <w:pStyle w:val="Prrafodelista"/>
        <w:widowControl w:val="0"/>
        <w:ind w:left="0"/>
        <w:jc w:val="both"/>
        <w:rPr>
          <w:lang w:eastAsia="es-MX"/>
        </w:rPr>
      </w:pPr>
    </w:p>
    <w:p w14:paraId="515AD851" w14:textId="265CA139" w:rsidR="007A75E5" w:rsidRPr="00995557" w:rsidRDefault="00676D2A" w:rsidP="00AA627A">
      <w:pPr>
        <w:pStyle w:val="Prrafodelista"/>
        <w:widowControl w:val="0"/>
        <w:numPr>
          <w:ilvl w:val="0"/>
          <w:numId w:val="2"/>
        </w:numPr>
        <w:tabs>
          <w:tab w:val="left" w:pos="567"/>
        </w:tabs>
        <w:ind w:left="0" w:firstLine="0"/>
        <w:jc w:val="both"/>
        <w:rPr>
          <w:lang w:eastAsia="es-MX"/>
        </w:rPr>
      </w:pPr>
      <w:r w:rsidRPr="00995557">
        <w:rPr>
          <w:lang w:eastAsia="es-MX"/>
        </w:rPr>
        <w:t xml:space="preserve">Cabe mencionar que </w:t>
      </w:r>
      <w:r w:rsidR="00773A90" w:rsidRPr="00995557">
        <w:t xml:space="preserve">en el </w:t>
      </w:r>
      <w:r w:rsidR="00DA631C" w:rsidRPr="00995557">
        <w:t>c</w:t>
      </w:r>
      <w:r w:rsidR="00773A90" w:rsidRPr="00995557">
        <w:t>aso</w:t>
      </w:r>
      <w:r w:rsidR="00773A90" w:rsidRPr="00995557">
        <w:rPr>
          <w:i/>
        </w:rPr>
        <w:t xml:space="preserve"> Montero Aranguren y otros Vs. Venezuela</w:t>
      </w:r>
      <w:r w:rsidR="00773A90" w:rsidRPr="00995557">
        <w:t>, el que guarda similitud con el presente asunto dado el contexto en</w:t>
      </w:r>
      <w:r w:rsidR="007A75E5" w:rsidRPr="00995557">
        <w:t xml:space="preserve"> el</w:t>
      </w:r>
      <w:r w:rsidR="00773A90" w:rsidRPr="00995557">
        <w:t xml:space="preserve"> que sucedieron los hechos,</w:t>
      </w:r>
      <w:r w:rsidR="007A75E5" w:rsidRPr="00995557">
        <w:t xml:space="preserve"> </w:t>
      </w:r>
      <w:r w:rsidR="00773A90" w:rsidRPr="00995557">
        <w:t xml:space="preserve">el Tribunal </w:t>
      </w:r>
      <w:r w:rsidR="00174BE9" w:rsidRPr="00995557">
        <w:t>destacó</w:t>
      </w:r>
      <w:r w:rsidR="00773A90" w:rsidRPr="00995557">
        <w:t xml:space="preserve"> </w:t>
      </w:r>
      <w:r w:rsidR="007A75E5" w:rsidRPr="00995557">
        <w:t>la necesidad de que</w:t>
      </w:r>
      <w:r w:rsidR="00773A90" w:rsidRPr="00995557">
        <w:t xml:space="preserve"> los Estados </w:t>
      </w:r>
      <w:r w:rsidR="007A75E5" w:rsidRPr="00995557">
        <w:t>limiten</w:t>
      </w:r>
      <w:r w:rsidR="00773A90" w:rsidRPr="00995557">
        <w:t xml:space="preserve"> al máximo el uso de las fuerzas armadas para</w:t>
      </w:r>
      <w:r w:rsidR="001963A1" w:rsidRPr="00995557">
        <w:t xml:space="preserve"> desempeñar tareas ajenas a las propiamente relacionadas con conflictos armados, dado que el entrenamiento que reciben las fuerzas militares está dirigido a derrotar al enemigo y no a la protección y control de civiles</w:t>
      </w:r>
      <w:r w:rsidR="007A75E5" w:rsidRPr="00995557">
        <w:rPr>
          <w:rStyle w:val="Refdenotaalpie"/>
        </w:rPr>
        <w:footnoteReference w:id="142"/>
      </w:r>
      <w:r w:rsidR="007A75E5" w:rsidRPr="00995557">
        <w:t>.</w:t>
      </w:r>
    </w:p>
    <w:p w14:paraId="17E4FBE9" w14:textId="77777777" w:rsidR="001963A1" w:rsidRPr="00995557" w:rsidRDefault="001963A1" w:rsidP="00AA627A">
      <w:pPr>
        <w:pStyle w:val="Prrafodelista"/>
        <w:rPr>
          <w:lang w:eastAsia="es-MX"/>
        </w:rPr>
      </w:pPr>
    </w:p>
    <w:p w14:paraId="422E4741" w14:textId="69168D63" w:rsidR="00CC73F5" w:rsidRPr="00995557" w:rsidRDefault="007A75E5" w:rsidP="00AA627A">
      <w:pPr>
        <w:pStyle w:val="Prrafodelista"/>
        <w:widowControl w:val="0"/>
        <w:numPr>
          <w:ilvl w:val="0"/>
          <w:numId w:val="2"/>
        </w:numPr>
        <w:tabs>
          <w:tab w:val="left" w:pos="567"/>
        </w:tabs>
        <w:ind w:left="0" w:firstLine="0"/>
        <w:jc w:val="both"/>
      </w:pPr>
      <w:r w:rsidRPr="00995557">
        <w:rPr>
          <w:lang w:eastAsia="es-MX"/>
        </w:rPr>
        <w:t xml:space="preserve">De igual forma, los </w:t>
      </w:r>
      <w:r w:rsidRPr="00995557">
        <w:rPr>
          <w:i/>
        </w:rPr>
        <w:t>Principios y Buenas Prácticas sobre la Protección de las Personas Privadas de Libertad en las Américas</w:t>
      </w:r>
      <w:r w:rsidRPr="00995557">
        <w:t xml:space="preserve"> expresamente señalan la necesidad de qu</w:t>
      </w:r>
      <w:r w:rsidR="00676D2A" w:rsidRPr="00995557">
        <w:t xml:space="preserve">e el personal penitenciario esté conformado </w:t>
      </w:r>
      <w:r w:rsidRPr="00995557">
        <w:t>preferentemente</w:t>
      </w:r>
      <w:r w:rsidR="004E1844" w:rsidRPr="00995557">
        <w:t xml:space="preserve"> </w:t>
      </w:r>
      <w:r w:rsidR="00676D2A" w:rsidRPr="00995557">
        <w:t xml:space="preserve">por </w:t>
      </w:r>
      <w:r w:rsidR="004E1844" w:rsidRPr="00995557">
        <w:t xml:space="preserve">servidores públicos </w:t>
      </w:r>
      <w:r w:rsidRPr="00995557">
        <w:t>de carácter civil, previendo</w:t>
      </w:r>
      <w:r w:rsidR="00CC73F5" w:rsidRPr="00995557">
        <w:t>, como regla general,</w:t>
      </w:r>
      <w:r w:rsidRPr="00995557">
        <w:t xml:space="preserve"> la prohibición de </w:t>
      </w:r>
      <w:r w:rsidR="00676D2A" w:rsidRPr="00995557">
        <w:t xml:space="preserve">“que miembros de las </w:t>
      </w:r>
      <w:r w:rsidRPr="00995557">
        <w:t>[f]uerzas [a]rmadas ejerzan funciones de custodia directa en los establecimientos de las personas privadas de libertad</w:t>
      </w:r>
      <w:r w:rsidR="00CC73F5" w:rsidRPr="00995557">
        <w:t>, con la excepción de las insta</w:t>
      </w:r>
      <w:r w:rsidR="000C1B92" w:rsidRPr="00995557">
        <w:t>laciones policiales o militares</w:t>
      </w:r>
      <w:r w:rsidR="00CC73F5" w:rsidRPr="00995557">
        <w:t>”</w:t>
      </w:r>
      <w:r w:rsidR="00CC73F5" w:rsidRPr="00995557">
        <w:rPr>
          <w:rStyle w:val="Refdenotaalpie"/>
        </w:rPr>
        <w:footnoteReference w:id="143"/>
      </w:r>
      <w:r w:rsidR="000C1B92" w:rsidRPr="00995557">
        <w:t>.</w:t>
      </w:r>
    </w:p>
    <w:p w14:paraId="04706A8C" w14:textId="77777777" w:rsidR="00676D2A" w:rsidRPr="00995557" w:rsidRDefault="00676D2A" w:rsidP="00AA627A">
      <w:pPr>
        <w:pStyle w:val="Prrafodelista"/>
      </w:pPr>
    </w:p>
    <w:p w14:paraId="67B43FD8" w14:textId="46990845" w:rsidR="00676D2A" w:rsidRPr="00995557" w:rsidRDefault="00A9729F" w:rsidP="00AA627A">
      <w:pPr>
        <w:pStyle w:val="Prrafodelista"/>
        <w:widowControl w:val="0"/>
        <w:numPr>
          <w:ilvl w:val="0"/>
          <w:numId w:val="2"/>
        </w:numPr>
        <w:tabs>
          <w:tab w:val="left" w:pos="567"/>
        </w:tabs>
        <w:ind w:left="0" w:firstLine="0"/>
        <w:jc w:val="both"/>
      </w:pPr>
      <w:r w:rsidRPr="00995557">
        <w:t>Por su parte</w:t>
      </w:r>
      <w:r w:rsidR="00676D2A" w:rsidRPr="00995557">
        <w:t xml:space="preserve">, en el </w:t>
      </w:r>
      <w:r w:rsidR="0032071E" w:rsidRPr="00995557">
        <w:rPr>
          <w:i/>
        </w:rPr>
        <w:t>Informe sobre los Derechos H</w:t>
      </w:r>
      <w:r w:rsidR="00676D2A" w:rsidRPr="00995557">
        <w:rPr>
          <w:i/>
        </w:rPr>
        <w:t>um</w:t>
      </w:r>
      <w:r w:rsidR="0032071E" w:rsidRPr="00995557">
        <w:rPr>
          <w:i/>
        </w:rPr>
        <w:t>anos de las Personas P</w:t>
      </w:r>
      <w:r w:rsidR="00676D2A" w:rsidRPr="00995557">
        <w:rPr>
          <w:i/>
        </w:rPr>
        <w:t xml:space="preserve">rivadas de </w:t>
      </w:r>
      <w:r w:rsidR="0032071E" w:rsidRPr="00995557">
        <w:rPr>
          <w:i/>
        </w:rPr>
        <w:t>L</w:t>
      </w:r>
      <w:r w:rsidR="00676D2A" w:rsidRPr="00995557">
        <w:rPr>
          <w:i/>
        </w:rPr>
        <w:t>ibertad en las Américas</w:t>
      </w:r>
      <w:r w:rsidR="00676D2A" w:rsidRPr="00995557">
        <w:t>, la Comisión Interamericana destacó la siguiente:</w:t>
      </w:r>
    </w:p>
    <w:p w14:paraId="09022A26" w14:textId="77777777" w:rsidR="00676D2A" w:rsidRPr="00995557" w:rsidRDefault="00676D2A" w:rsidP="00AA627A">
      <w:pPr>
        <w:pStyle w:val="Prrafodelista"/>
      </w:pPr>
    </w:p>
    <w:p w14:paraId="33179DC4" w14:textId="77777777" w:rsidR="00676D2A" w:rsidRPr="00995557" w:rsidRDefault="00676D2A" w:rsidP="00AA627A">
      <w:pPr>
        <w:pStyle w:val="Prrafodelista"/>
        <w:widowControl w:val="0"/>
        <w:tabs>
          <w:tab w:val="left" w:pos="567"/>
        </w:tabs>
        <w:ind w:left="284" w:right="335"/>
        <w:jc w:val="both"/>
        <w:rPr>
          <w:sz w:val="16"/>
        </w:rPr>
      </w:pPr>
      <w:r w:rsidRPr="00995557">
        <w:rPr>
          <w:sz w:val="16"/>
        </w:rPr>
        <w:t xml:space="preserve">193. </w:t>
      </w:r>
      <w:r w:rsidR="00D271E1" w:rsidRPr="00995557">
        <w:rPr>
          <w:sz w:val="16"/>
        </w:rPr>
        <w:t>[…]</w:t>
      </w:r>
      <w:r w:rsidRPr="00995557">
        <w:rPr>
          <w:sz w:val="16"/>
        </w:rPr>
        <w:t xml:space="preserve"> los Estados deberán garantizar que los centros penitenciarios sean administrados y custodiados por personal penitenciario especializado, de carácter civil y con carácter de funcionarios públicos. Es decir, estas funciones deben ser encomendadas a un estamento de seguridad independiente de las fuerzas militares y policiales, y que reciba capacitación y entrenamiento especializado en materia penitenciaria. Además, deberán ser profesionales formados en programas, escuelas o academias penitenciarias establecidas específicamente a tales efectos, pertenecientes a la estructura institucional de la autoridad encargada de la administración del sistema penitenciario.</w:t>
      </w:r>
    </w:p>
    <w:p w14:paraId="2C0C3741" w14:textId="77777777" w:rsidR="00D271E1" w:rsidRPr="00995557" w:rsidRDefault="00D271E1" w:rsidP="00AA627A">
      <w:pPr>
        <w:pStyle w:val="Prrafodelista"/>
        <w:widowControl w:val="0"/>
        <w:tabs>
          <w:tab w:val="left" w:pos="567"/>
        </w:tabs>
        <w:ind w:left="284" w:right="335"/>
        <w:jc w:val="both"/>
        <w:rPr>
          <w:sz w:val="16"/>
        </w:rPr>
      </w:pPr>
    </w:p>
    <w:p w14:paraId="6BB0844A" w14:textId="77777777" w:rsidR="00D271E1" w:rsidRPr="00995557" w:rsidRDefault="00D271E1" w:rsidP="00AA627A">
      <w:pPr>
        <w:pStyle w:val="Prrafodelista"/>
        <w:widowControl w:val="0"/>
        <w:tabs>
          <w:tab w:val="left" w:pos="567"/>
        </w:tabs>
        <w:ind w:left="284" w:right="335"/>
        <w:jc w:val="both"/>
        <w:rPr>
          <w:sz w:val="16"/>
        </w:rPr>
      </w:pPr>
      <w:r w:rsidRPr="00995557">
        <w:rPr>
          <w:sz w:val="16"/>
        </w:rPr>
        <w:t>217. […] el empleo de efectivos militares en el mantenimiento de la seguridad de las cárceles deberá ser excepcional, proporcional a la situación que lo motiva, limitarse a casos excepcionales contemplados explícitamente en la ley y que estén orientados a la consecución de fines legítimos en una sociedad democrática. En estos casos la actuación de las fuerzas militares deberá estar sometida al escrutinio y control de la autoridad civil, en particular del establecimiento de las responsabilidades legales correspondientes</w:t>
      </w:r>
      <w:r w:rsidRPr="00995557">
        <w:rPr>
          <w:rStyle w:val="Refdenotaalpie"/>
          <w:sz w:val="16"/>
        </w:rPr>
        <w:footnoteReference w:id="144"/>
      </w:r>
      <w:r w:rsidRPr="00995557">
        <w:rPr>
          <w:sz w:val="16"/>
        </w:rPr>
        <w:t>.</w:t>
      </w:r>
    </w:p>
    <w:p w14:paraId="6DCFF641" w14:textId="77777777" w:rsidR="007A75E5" w:rsidRPr="00995557" w:rsidRDefault="007A75E5" w:rsidP="00AA627A"/>
    <w:p w14:paraId="5E2700B1" w14:textId="30F23797" w:rsidR="00A9729F" w:rsidRPr="00995557" w:rsidRDefault="00D271E1" w:rsidP="00AA627A">
      <w:pPr>
        <w:pStyle w:val="Prrafodelista"/>
        <w:widowControl w:val="0"/>
        <w:numPr>
          <w:ilvl w:val="0"/>
          <w:numId w:val="2"/>
        </w:numPr>
        <w:ind w:left="0" w:firstLine="0"/>
        <w:jc w:val="both"/>
      </w:pPr>
      <w:r w:rsidRPr="00995557">
        <w:rPr>
          <w:lang w:eastAsia="es-MX"/>
        </w:rPr>
        <w:t>En consecuencia,</w:t>
      </w:r>
      <w:r w:rsidR="00A9729F" w:rsidRPr="00995557">
        <w:rPr>
          <w:lang w:eastAsia="es-MX"/>
        </w:rPr>
        <w:t xml:space="preserve"> la Corte reitera que las funciones de seguridad, custodia y vigilancia de las personas privadas de libertad deben encontrarse a cargo, preferentemente, de personal de </w:t>
      </w:r>
      <w:r w:rsidR="00EE05F4" w:rsidRPr="00995557">
        <w:rPr>
          <w:lang w:eastAsia="es-MX"/>
        </w:rPr>
        <w:t>carácter</w:t>
      </w:r>
      <w:r w:rsidR="00A9729F" w:rsidRPr="00995557">
        <w:rPr>
          <w:lang w:eastAsia="es-MX"/>
        </w:rPr>
        <w:t xml:space="preserve"> civil específicamente capacitado para el desarrollo de las labores penitenciarias, distinto a los cuerpos policiales y militares</w:t>
      </w:r>
      <w:r w:rsidR="00FC35B4" w:rsidRPr="00995557">
        <w:rPr>
          <w:rStyle w:val="Refdenotaalpie"/>
          <w:lang w:eastAsia="es-MX"/>
        </w:rPr>
        <w:footnoteReference w:id="145"/>
      </w:r>
      <w:r w:rsidR="000C1B92" w:rsidRPr="00995557">
        <w:rPr>
          <w:lang w:eastAsia="es-MX"/>
        </w:rPr>
        <w:t>. N</w:t>
      </w:r>
      <w:r w:rsidR="00A9729F" w:rsidRPr="00995557">
        <w:rPr>
          <w:lang w:eastAsia="es-MX"/>
        </w:rPr>
        <w:t xml:space="preserve">o obstante, cuando excepcionalmente se </w:t>
      </w:r>
      <w:r w:rsidR="00A9729F" w:rsidRPr="00995557">
        <w:rPr>
          <w:lang w:eastAsia="es-MX"/>
        </w:rPr>
        <w:lastRenderedPageBreak/>
        <w:t xml:space="preserve">requiera la intervención de estos últimos, su participación debe </w:t>
      </w:r>
      <w:r w:rsidR="009739FA" w:rsidRPr="00995557">
        <w:rPr>
          <w:lang w:eastAsia="es-MX"/>
        </w:rPr>
        <w:t>caracterizarse por ser</w:t>
      </w:r>
      <w:r w:rsidR="009C7DAD" w:rsidRPr="00995557">
        <w:rPr>
          <w:rStyle w:val="Refdenotaalpie"/>
          <w:lang w:eastAsia="es-MX"/>
        </w:rPr>
        <w:footnoteReference w:id="146"/>
      </w:r>
      <w:r w:rsidR="00A9729F" w:rsidRPr="00995557">
        <w:rPr>
          <w:lang w:eastAsia="es-MX"/>
        </w:rPr>
        <w:t>:</w:t>
      </w:r>
    </w:p>
    <w:p w14:paraId="1952617E" w14:textId="77777777" w:rsidR="00A9729F" w:rsidRPr="00995557" w:rsidRDefault="00A9729F" w:rsidP="00AA627A">
      <w:pPr>
        <w:pStyle w:val="Prrafodelista"/>
        <w:widowControl w:val="0"/>
        <w:ind w:left="0"/>
        <w:jc w:val="both"/>
      </w:pPr>
      <w:r w:rsidRPr="00995557">
        <w:rPr>
          <w:lang w:eastAsia="es-MX"/>
        </w:rPr>
        <w:t xml:space="preserve"> </w:t>
      </w:r>
    </w:p>
    <w:p w14:paraId="0872D46D" w14:textId="77777777" w:rsidR="00A9729F" w:rsidRPr="00995557" w:rsidRDefault="009739FA" w:rsidP="00AA627A">
      <w:pPr>
        <w:widowControl w:val="0"/>
        <w:ind w:left="567"/>
        <w:jc w:val="both"/>
      </w:pPr>
      <w:r w:rsidRPr="00995557">
        <w:t>1</w:t>
      </w:r>
      <w:r w:rsidR="00A9729F" w:rsidRPr="00995557">
        <w:t xml:space="preserve">) </w:t>
      </w:r>
      <w:r w:rsidR="00A9729F" w:rsidRPr="00995557">
        <w:rPr>
          <w:i/>
        </w:rPr>
        <w:t>Extraordinaria</w:t>
      </w:r>
      <w:r w:rsidR="00A9729F" w:rsidRPr="00995557">
        <w:t>, de manera que toda intervención se encuentre justificada y resulte excepcional, temporal y restringida a lo estrictamente necesario en las circunstancias del caso;</w:t>
      </w:r>
    </w:p>
    <w:p w14:paraId="384C0F2C" w14:textId="77777777" w:rsidR="009739FA" w:rsidRPr="00995557" w:rsidRDefault="009739FA" w:rsidP="00AA627A">
      <w:pPr>
        <w:widowControl w:val="0"/>
        <w:ind w:left="567"/>
        <w:jc w:val="both"/>
      </w:pPr>
    </w:p>
    <w:p w14:paraId="58EEDFF4" w14:textId="77777777" w:rsidR="00A9729F" w:rsidRPr="00995557" w:rsidRDefault="009739FA" w:rsidP="00AA627A">
      <w:pPr>
        <w:widowControl w:val="0"/>
        <w:ind w:left="567"/>
        <w:jc w:val="both"/>
      </w:pPr>
      <w:r w:rsidRPr="00995557">
        <w:t>2</w:t>
      </w:r>
      <w:r w:rsidR="00A9729F" w:rsidRPr="00995557">
        <w:t xml:space="preserve">) </w:t>
      </w:r>
      <w:r w:rsidR="00A9729F" w:rsidRPr="00995557">
        <w:rPr>
          <w:i/>
        </w:rPr>
        <w:t>Subordinada y complementaria</w:t>
      </w:r>
      <w:r w:rsidR="00A9729F" w:rsidRPr="00995557">
        <w:t xml:space="preserve"> a las labores de</w:t>
      </w:r>
      <w:r w:rsidRPr="00995557">
        <w:t xml:space="preserve"> las autoridades penitenciarias</w:t>
      </w:r>
      <w:r w:rsidR="00A9729F" w:rsidRPr="00995557">
        <w:t xml:space="preserve">; </w:t>
      </w:r>
    </w:p>
    <w:p w14:paraId="5F126CBB" w14:textId="77777777" w:rsidR="009739FA" w:rsidRPr="00995557" w:rsidRDefault="009739FA" w:rsidP="00AA627A">
      <w:pPr>
        <w:widowControl w:val="0"/>
        <w:ind w:left="567"/>
        <w:jc w:val="both"/>
      </w:pPr>
    </w:p>
    <w:p w14:paraId="60E21AA6" w14:textId="77777777" w:rsidR="00A9729F" w:rsidRPr="00995557" w:rsidRDefault="009739FA" w:rsidP="00AA627A">
      <w:pPr>
        <w:widowControl w:val="0"/>
        <w:ind w:left="567"/>
        <w:jc w:val="both"/>
      </w:pPr>
      <w:r w:rsidRPr="00995557">
        <w:t>3</w:t>
      </w:r>
      <w:r w:rsidR="00A9729F" w:rsidRPr="00995557">
        <w:t xml:space="preserve">) </w:t>
      </w:r>
      <w:r w:rsidR="00A9729F" w:rsidRPr="00995557">
        <w:rPr>
          <w:i/>
        </w:rPr>
        <w:t>Regulada</w:t>
      </w:r>
      <w:r w:rsidR="00A9729F" w:rsidRPr="00995557">
        <w:t>, mediante mecanismos legales y protocolos sobre el uso de la fuerza, bajo los principios de excepcionalidad, proporcionalidad y absoluta necesidad</w:t>
      </w:r>
      <w:r w:rsidR="00293F46" w:rsidRPr="00995557">
        <w:t>,</w:t>
      </w:r>
      <w:r w:rsidR="00A9729F" w:rsidRPr="00995557">
        <w:t xml:space="preserve"> y de acuerdo con la respectiva capacitación en la materia, y </w:t>
      </w:r>
    </w:p>
    <w:p w14:paraId="5D252E8A" w14:textId="77777777" w:rsidR="009739FA" w:rsidRPr="00995557" w:rsidRDefault="009739FA" w:rsidP="00AA627A">
      <w:pPr>
        <w:widowControl w:val="0"/>
        <w:ind w:left="567"/>
        <w:jc w:val="both"/>
      </w:pPr>
    </w:p>
    <w:p w14:paraId="767754F9" w14:textId="77777777" w:rsidR="00D271E1" w:rsidRPr="00995557" w:rsidRDefault="009739FA" w:rsidP="00AA627A">
      <w:pPr>
        <w:widowControl w:val="0"/>
        <w:ind w:left="567"/>
        <w:jc w:val="both"/>
      </w:pPr>
      <w:r w:rsidRPr="00995557">
        <w:t>4</w:t>
      </w:r>
      <w:r w:rsidR="00A9729F" w:rsidRPr="00995557">
        <w:t xml:space="preserve">) </w:t>
      </w:r>
      <w:r w:rsidR="00A9729F" w:rsidRPr="00995557">
        <w:rPr>
          <w:i/>
        </w:rPr>
        <w:t>Fiscalizada</w:t>
      </w:r>
      <w:r w:rsidR="00A9729F" w:rsidRPr="00995557">
        <w:t xml:space="preserve"> por órganos civiles competentes, independientes y técnicamente capaces.</w:t>
      </w:r>
    </w:p>
    <w:p w14:paraId="5B03C36D" w14:textId="77777777" w:rsidR="00773A90" w:rsidRPr="00995557" w:rsidRDefault="00773A90" w:rsidP="00AA627A">
      <w:pPr>
        <w:pStyle w:val="Prrafodelista"/>
        <w:widowControl w:val="0"/>
        <w:ind w:left="0"/>
        <w:jc w:val="both"/>
        <w:rPr>
          <w:lang w:eastAsia="es-MX"/>
        </w:rPr>
      </w:pPr>
    </w:p>
    <w:p w14:paraId="3A6D06E3" w14:textId="627E5FF1" w:rsidR="00FC35B4" w:rsidRPr="00995557" w:rsidRDefault="00A7262C" w:rsidP="00AA627A">
      <w:pPr>
        <w:pStyle w:val="Prrafodelista"/>
        <w:widowControl w:val="0"/>
        <w:numPr>
          <w:ilvl w:val="0"/>
          <w:numId w:val="2"/>
        </w:numPr>
        <w:tabs>
          <w:tab w:val="left" w:pos="567"/>
        </w:tabs>
        <w:ind w:left="0" w:firstLine="0"/>
        <w:jc w:val="both"/>
        <w:rPr>
          <w:lang w:eastAsia="es-MX"/>
        </w:rPr>
      </w:pPr>
      <w:r w:rsidRPr="00995557">
        <w:t>A partir de lo anterior</w:t>
      </w:r>
      <w:r w:rsidR="00963B8B" w:rsidRPr="00995557">
        <w:t>,</w:t>
      </w:r>
      <w:r w:rsidRPr="00995557">
        <w:t xml:space="preserve"> el Tribunal advierte que l</w:t>
      </w:r>
      <w:r w:rsidR="000B422F" w:rsidRPr="00995557">
        <w:t>a regulación del artículo 8</w:t>
      </w:r>
      <w:r w:rsidRPr="00995557">
        <w:t xml:space="preserve"> de la Ley de Régimen Penitenciario</w:t>
      </w:r>
      <w:r w:rsidR="000B422F" w:rsidRPr="00995557">
        <w:t>, al no</w:t>
      </w:r>
      <w:r w:rsidR="00864029" w:rsidRPr="00995557">
        <w:t xml:space="preserve"> delimitar las causales que pod</w:t>
      </w:r>
      <w:r w:rsidR="000B422F" w:rsidRPr="00995557">
        <w:t xml:space="preserve">ían determinar la intervención de </w:t>
      </w:r>
      <w:r w:rsidR="00CC73F5" w:rsidRPr="00995557">
        <w:t xml:space="preserve">las </w:t>
      </w:r>
      <w:r w:rsidR="00EE05F4" w:rsidRPr="00995557">
        <w:t>fuerzas</w:t>
      </w:r>
      <w:r w:rsidR="00CC73F5" w:rsidRPr="00995557">
        <w:t xml:space="preserve"> armadas</w:t>
      </w:r>
      <w:r w:rsidR="000B422F" w:rsidRPr="00995557">
        <w:t xml:space="preserve"> en el régimen </w:t>
      </w:r>
      <w:r w:rsidR="004E3723" w:rsidRPr="00995557">
        <w:t xml:space="preserve">y la vigilancia </w:t>
      </w:r>
      <w:r w:rsidR="000B422F" w:rsidRPr="00995557">
        <w:t>inter</w:t>
      </w:r>
      <w:r w:rsidR="004E3723" w:rsidRPr="00995557">
        <w:t>ior</w:t>
      </w:r>
      <w:r w:rsidR="00CC73F5" w:rsidRPr="00995557">
        <w:t xml:space="preserve"> de los centros penitenciarios</w:t>
      </w:r>
      <w:r w:rsidR="00FC35B4" w:rsidRPr="00995557">
        <w:t>, supeditándol</w:t>
      </w:r>
      <w:r w:rsidR="00CC73F5" w:rsidRPr="00995557">
        <w:t>a</w:t>
      </w:r>
      <w:r w:rsidR="00FC35B4" w:rsidRPr="00995557">
        <w:t xml:space="preserve"> únicamente a</w:t>
      </w:r>
      <w:r w:rsidR="004E3723" w:rsidRPr="00995557">
        <w:t xml:space="preserve">l </w:t>
      </w:r>
      <w:r w:rsidR="00EE05F4" w:rsidRPr="00995557">
        <w:t>requerimiento</w:t>
      </w:r>
      <w:r w:rsidR="004E3723" w:rsidRPr="00995557">
        <w:t xml:space="preserve"> del director del establecimiento </w:t>
      </w:r>
      <w:r w:rsidR="00237885" w:rsidRPr="00995557">
        <w:t xml:space="preserve">o quien </w:t>
      </w:r>
      <w:r w:rsidR="00864029" w:rsidRPr="00995557">
        <w:t>hiciera</w:t>
      </w:r>
      <w:r w:rsidR="004E3723" w:rsidRPr="00995557">
        <w:t xml:space="preserve"> sus veces, resulta</w:t>
      </w:r>
      <w:r w:rsidR="00864029" w:rsidRPr="00995557">
        <w:t>ba</w:t>
      </w:r>
      <w:r w:rsidR="004E3723" w:rsidRPr="00995557">
        <w:t xml:space="preserve"> contrari</w:t>
      </w:r>
      <w:r w:rsidR="00CC73F5" w:rsidRPr="00995557">
        <w:t>a</w:t>
      </w:r>
      <w:r w:rsidR="004E3723" w:rsidRPr="00995557">
        <w:t xml:space="preserve"> a los estándares internacionales </w:t>
      </w:r>
      <w:r w:rsidR="00CC73F5" w:rsidRPr="00995557">
        <w:t>sobre</w:t>
      </w:r>
      <w:r w:rsidR="004E3723" w:rsidRPr="00995557">
        <w:t xml:space="preserve"> la materia</w:t>
      </w:r>
      <w:r w:rsidR="00FC35B4" w:rsidRPr="00995557">
        <w:t>, en tanto permit</w:t>
      </w:r>
      <w:r w:rsidR="00864029" w:rsidRPr="00995557">
        <w:t>ía</w:t>
      </w:r>
      <w:r w:rsidR="00FC35B4" w:rsidRPr="00995557">
        <w:t xml:space="preserve"> la discrecionalidad en el requerimiento y, consecuentemente, en el actuar de los agentes milit</w:t>
      </w:r>
      <w:r w:rsidR="00CC73F5" w:rsidRPr="00995557">
        <w:t>a</w:t>
      </w:r>
      <w:r w:rsidR="00FC35B4" w:rsidRPr="00995557">
        <w:t>res, sin prever la subordinación a la autoridad civil y la fiscalizaci</w:t>
      </w:r>
      <w:r w:rsidR="009C7DAD" w:rsidRPr="00995557">
        <w:t>ón debida por partes de esta</w:t>
      </w:r>
      <w:r w:rsidR="00CC73F5" w:rsidRPr="00995557">
        <w:t>. A la postre, tales falencias en la regulación tuvieron relación directa con la violación a los derechos a la vida y a la integridad personal de las víctimas en el caso concreto.</w:t>
      </w:r>
    </w:p>
    <w:p w14:paraId="03AE0796" w14:textId="77777777" w:rsidR="002D6835" w:rsidRPr="00995557" w:rsidRDefault="002D6835" w:rsidP="00AA627A">
      <w:pPr>
        <w:pStyle w:val="Prrafodelista"/>
        <w:widowControl w:val="0"/>
        <w:ind w:left="0"/>
        <w:jc w:val="both"/>
        <w:rPr>
          <w:lang w:eastAsia="es-MX"/>
        </w:rPr>
      </w:pPr>
    </w:p>
    <w:p w14:paraId="4665C628" w14:textId="7DA25D68" w:rsidR="008C3D4D" w:rsidRPr="00995557" w:rsidRDefault="000B422F" w:rsidP="00AA627A">
      <w:pPr>
        <w:pStyle w:val="Prrafodelista"/>
        <w:widowControl w:val="0"/>
        <w:numPr>
          <w:ilvl w:val="0"/>
          <w:numId w:val="2"/>
        </w:numPr>
        <w:tabs>
          <w:tab w:val="left" w:pos="567"/>
        </w:tabs>
        <w:ind w:left="0" w:firstLine="0"/>
        <w:jc w:val="both"/>
        <w:rPr>
          <w:lang w:eastAsia="es-MX"/>
        </w:rPr>
      </w:pPr>
      <w:r w:rsidRPr="00995557">
        <w:rPr>
          <w:lang w:eastAsia="es-MX"/>
        </w:rPr>
        <w:t>Todo l</w:t>
      </w:r>
      <w:r w:rsidR="00097BEE" w:rsidRPr="00995557">
        <w:rPr>
          <w:lang w:eastAsia="es-MX"/>
        </w:rPr>
        <w:t>o antes señalado</w:t>
      </w:r>
      <w:r w:rsidR="00B10A5C" w:rsidRPr="00995557">
        <w:rPr>
          <w:lang w:eastAsia="es-MX"/>
        </w:rPr>
        <w:t xml:space="preserve"> refuerza la responsabilidad internacional del Estado, </w:t>
      </w:r>
      <w:r w:rsidR="00097BEE" w:rsidRPr="00995557">
        <w:rPr>
          <w:lang w:eastAsia="es-MX"/>
        </w:rPr>
        <w:t>denotando que</w:t>
      </w:r>
      <w:r w:rsidR="00E92E10" w:rsidRPr="00995557">
        <w:rPr>
          <w:lang w:eastAsia="es-MX"/>
        </w:rPr>
        <w:t xml:space="preserve"> </w:t>
      </w:r>
      <w:r w:rsidR="004C0991" w:rsidRPr="00995557">
        <w:rPr>
          <w:lang w:eastAsia="es-MX"/>
        </w:rPr>
        <w:t>las muertes ocasionadas durante el operativo del 10 de noviembre de 2003</w:t>
      </w:r>
      <w:r w:rsidR="00E92E10" w:rsidRPr="00995557">
        <w:rPr>
          <w:lang w:eastAsia="es-MX"/>
        </w:rPr>
        <w:t>, al ser consecuencia del empleo de la fuerza excesiva y desproporcionada,</w:t>
      </w:r>
      <w:r w:rsidR="004C0991" w:rsidRPr="00995557">
        <w:rPr>
          <w:lang w:eastAsia="es-MX"/>
        </w:rPr>
        <w:t xml:space="preserve"> </w:t>
      </w:r>
      <w:r w:rsidR="00D15E7C" w:rsidRPr="00995557">
        <w:rPr>
          <w:lang w:eastAsia="es-MX"/>
        </w:rPr>
        <w:t>configuran privaciones arbitrarias de la vida</w:t>
      </w:r>
      <w:r w:rsidR="00E92E10" w:rsidRPr="00995557">
        <w:rPr>
          <w:rStyle w:val="Refdenotaalpie"/>
          <w:lang w:eastAsia="es-MX"/>
        </w:rPr>
        <w:footnoteReference w:id="147"/>
      </w:r>
      <w:r w:rsidR="001A207D" w:rsidRPr="00995557">
        <w:rPr>
          <w:lang w:eastAsia="es-MX"/>
        </w:rPr>
        <w:t xml:space="preserve">, </w:t>
      </w:r>
      <w:r w:rsidR="00287716" w:rsidRPr="00995557">
        <w:rPr>
          <w:lang w:eastAsia="es-MX"/>
        </w:rPr>
        <w:t xml:space="preserve">las que el Estado expresamente reconoció como </w:t>
      </w:r>
      <w:r w:rsidR="000B47ED" w:rsidRPr="00995557">
        <w:rPr>
          <w:lang w:eastAsia="es-MX"/>
        </w:rPr>
        <w:t xml:space="preserve">supuestos </w:t>
      </w:r>
      <w:r w:rsidR="00287716" w:rsidRPr="00995557">
        <w:rPr>
          <w:lang w:eastAsia="es-MX"/>
        </w:rPr>
        <w:t xml:space="preserve">que </w:t>
      </w:r>
      <w:r w:rsidR="00287716" w:rsidRPr="00995557">
        <w:t xml:space="preserve">“perfectamente encuadran en </w:t>
      </w:r>
      <w:r w:rsidR="00287716" w:rsidRPr="00995557">
        <w:rPr>
          <w:lang w:eastAsia="es-MX"/>
        </w:rPr>
        <w:t>ejecuciones extralegales</w:t>
      </w:r>
      <w:r w:rsidR="00287716" w:rsidRPr="00995557">
        <w:t>, arbitrarias o sumarias” (</w:t>
      </w:r>
      <w:r w:rsidR="00287716" w:rsidRPr="00995557">
        <w:rPr>
          <w:i/>
        </w:rPr>
        <w:t>supra</w:t>
      </w:r>
      <w:r w:rsidR="00287716" w:rsidRPr="00995557">
        <w:t xml:space="preserve"> párr. </w:t>
      </w:r>
      <w:r w:rsidR="004E1D94" w:rsidRPr="00995557">
        <w:t>9</w:t>
      </w:r>
      <w:r w:rsidR="009C7DAD" w:rsidRPr="00995557">
        <w:t>0</w:t>
      </w:r>
      <w:r w:rsidR="00287716" w:rsidRPr="00995557">
        <w:t>)</w:t>
      </w:r>
      <w:r w:rsidR="00B10A5C" w:rsidRPr="00995557">
        <w:rPr>
          <w:lang w:eastAsia="es-MX"/>
        </w:rPr>
        <w:t>.</w:t>
      </w:r>
    </w:p>
    <w:p w14:paraId="496FBD01" w14:textId="77777777" w:rsidR="008C3D4D" w:rsidRPr="00995557" w:rsidRDefault="008C3D4D" w:rsidP="00AA627A">
      <w:pPr>
        <w:pStyle w:val="Prrafodelista"/>
        <w:rPr>
          <w:lang w:eastAsia="es-MX"/>
        </w:rPr>
      </w:pPr>
    </w:p>
    <w:p w14:paraId="5EB2AC59" w14:textId="57AF60B1" w:rsidR="008C3D4D" w:rsidRPr="00995557" w:rsidRDefault="005926D4" w:rsidP="00AA627A">
      <w:pPr>
        <w:pStyle w:val="Prrafodelista"/>
        <w:widowControl w:val="0"/>
        <w:numPr>
          <w:ilvl w:val="0"/>
          <w:numId w:val="2"/>
        </w:numPr>
        <w:tabs>
          <w:tab w:val="left" w:pos="567"/>
        </w:tabs>
        <w:ind w:left="0" w:firstLine="0"/>
        <w:jc w:val="both"/>
        <w:rPr>
          <w:b/>
        </w:rPr>
      </w:pPr>
      <w:r w:rsidRPr="00995557">
        <w:rPr>
          <w:lang w:eastAsia="es-MX"/>
        </w:rPr>
        <w:t xml:space="preserve">Asimismo, </w:t>
      </w:r>
      <w:r w:rsidR="007271A3" w:rsidRPr="00995557">
        <w:rPr>
          <w:lang w:eastAsia="es-MX"/>
        </w:rPr>
        <w:t xml:space="preserve">en lo que atañe a las personas lesionadas, el uso de la fuerza empleada en su contra, al no haber sido </w:t>
      </w:r>
      <w:r w:rsidRPr="00995557">
        <w:t xml:space="preserve">estrictamente necesario por el propio comportamiento de </w:t>
      </w:r>
      <w:r w:rsidR="007271A3" w:rsidRPr="00995557">
        <w:t>los</w:t>
      </w:r>
      <w:r w:rsidRPr="00995557">
        <w:t xml:space="preserve"> </w:t>
      </w:r>
      <w:r w:rsidR="007271A3" w:rsidRPr="00995557">
        <w:t>internos,</w:t>
      </w:r>
      <w:r w:rsidRPr="00995557">
        <w:t xml:space="preserve"> constituye un atentado a</w:t>
      </w:r>
      <w:r w:rsidR="00237536" w:rsidRPr="00995557">
        <w:t xml:space="preserve"> su integridad</w:t>
      </w:r>
      <w:r w:rsidR="007271A3" w:rsidRPr="00995557">
        <w:t>, en violación del artículo 5 de la Convención Americana</w:t>
      </w:r>
      <w:r w:rsidR="007271A3" w:rsidRPr="00995557">
        <w:rPr>
          <w:rStyle w:val="Refdenotaalpie"/>
        </w:rPr>
        <w:footnoteReference w:id="148"/>
      </w:r>
      <w:r w:rsidR="00240010" w:rsidRPr="00995557">
        <w:t>.</w:t>
      </w:r>
    </w:p>
    <w:p w14:paraId="078ABC22" w14:textId="77777777" w:rsidR="008C3D4D" w:rsidRPr="00995557" w:rsidRDefault="008C3D4D" w:rsidP="00AA627A">
      <w:pPr>
        <w:pStyle w:val="Prrafodelista"/>
        <w:rPr>
          <w:lang w:eastAsia="es-MX"/>
        </w:rPr>
      </w:pPr>
    </w:p>
    <w:p w14:paraId="70602A1B" w14:textId="04E8DBB5" w:rsidR="00BE1D2C" w:rsidRPr="00995557" w:rsidRDefault="00BE1D2C" w:rsidP="00AA627A">
      <w:pPr>
        <w:pStyle w:val="Prrafodelista"/>
        <w:widowControl w:val="0"/>
        <w:numPr>
          <w:ilvl w:val="0"/>
          <w:numId w:val="2"/>
        </w:numPr>
        <w:tabs>
          <w:tab w:val="left" w:pos="567"/>
        </w:tabs>
        <w:ind w:left="0" w:firstLine="0"/>
        <w:jc w:val="both"/>
        <w:rPr>
          <w:lang w:eastAsia="es-MX"/>
        </w:rPr>
      </w:pPr>
      <w:r w:rsidRPr="00995557">
        <w:rPr>
          <w:lang w:eastAsia="es-MX"/>
        </w:rPr>
        <w:t>A</w:t>
      </w:r>
      <w:r w:rsidR="00240010" w:rsidRPr="00995557">
        <w:rPr>
          <w:lang w:eastAsia="es-MX"/>
        </w:rPr>
        <w:t xml:space="preserve"> lo anterior</w:t>
      </w:r>
      <w:r w:rsidRPr="00995557">
        <w:rPr>
          <w:lang w:eastAsia="es-MX"/>
        </w:rPr>
        <w:t>mente señalado</w:t>
      </w:r>
      <w:r w:rsidR="00240010" w:rsidRPr="00995557">
        <w:rPr>
          <w:lang w:eastAsia="es-MX"/>
        </w:rPr>
        <w:t xml:space="preserve"> se suma </w:t>
      </w:r>
      <w:r w:rsidR="004E1844" w:rsidRPr="00995557">
        <w:rPr>
          <w:lang w:eastAsia="es-MX"/>
        </w:rPr>
        <w:t>que la regulación estatal</w:t>
      </w:r>
      <w:r w:rsidR="0002271B" w:rsidRPr="00995557">
        <w:rPr>
          <w:lang w:eastAsia="es-MX"/>
        </w:rPr>
        <w:t>,</w:t>
      </w:r>
      <w:r w:rsidR="004E1844" w:rsidRPr="00995557">
        <w:rPr>
          <w:lang w:eastAsia="es-MX"/>
        </w:rPr>
        <w:t xml:space="preserve"> </w:t>
      </w:r>
      <w:r w:rsidR="0002271B" w:rsidRPr="00995557">
        <w:rPr>
          <w:lang w:eastAsia="es-MX"/>
        </w:rPr>
        <w:t xml:space="preserve">dado el contenido del artículo 8 de la Ley del Régimen Penitenciario, </w:t>
      </w:r>
      <w:r w:rsidR="004E1844" w:rsidRPr="00995557">
        <w:rPr>
          <w:lang w:eastAsia="es-MX"/>
        </w:rPr>
        <w:t xml:space="preserve">permitía la </w:t>
      </w:r>
      <w:r w:rsidR="00240010" w:rsidRPr="00995557">
        <w:rPr>
          <w:lang w:eastAsia="es-MX"/>
        </w:rPr>
        <w:t xml:space="preserve">intervención de </w:t>
      </w:r>
      <w:r w:rsidR="0002271B" w:rsidRPr="00995557">
        <w:rPr>
          <w:lang w:eastAsia="es-MX"/>
        </w:rPr>
        <w:t>los cuerpos</w:t>
      </w:r>
      <w:r w:rsidR="00240010" w:rsidRPr="00995557">
        <w:rPr>
          <w:lang w:eastAsia="es-MX"/>
        </w:rPr>
        <w:t xml:space="preserve"> militares en el régimen interno de un centro penitenciario</w:t>
      </w:r>
      <w:r w:rsidR="004E1844" w:rsidRPr="00995557">
        <w:rPr>
          <w:lang w:eastAsia="es-MX"/>
        </w:rPr>
        <w:t xml:space="preserve"> por</w:t>
      </w:r>
      <w:r w:rsidR="0002271B" w:rsidRPr="00995557">
        <w:rPr>
          <w:lang w:eastAsia="es-MX"/>
        </w:rPr>
        <w:t xml:space="preserve"> el solo</w:t>
      </w:r>
      <w:r w:rsidR="004E1844" w:rsidRPr="00995557">
        <w:rPr>
          <w:lang w:eastAsia="es-MX"/>
        </w:rPr>
        <w:t xml:space="preserve"> requerimiento del director del establecimiento</w:t>
      </w:r>
      <w:r w:rsidR="00240010" w:rsidRPr="00995557">
        <w:rPr>
          <w:lang w:eastAsia="es-MX"/>
        </w:rPr>
        <w:t>,</w:t>
      </w:r>
      <w:r w:rsidR="0002271B" w:rsidRPr="00995557">
        <w:rPr>
          <w:lang w:eastAsia="es-MX"/>
        </w:rPr>
        <w:t xml:space="preserve"> sin prever la excepcionalidad de su actuación y sin garantizar la adecuada regulación, así como la subordinación y fiscalización, respecto de las autoridades civiles, de tal intervención</w:t>
      </w:r>
      <w:r w:rsidR="00237536" w:rsidRPr="00995557">
        <w:rPr>
          <w:lang w:eastAsia="es-MX"/>
        </w:rPr>
        <w:t>, lo que resulta contrario al artículo 2 de la Convención</w:t>
      </w:r>
      <w:r w:rsidR="0002271B" w:rsidRPr="00995557">
        <w:rPr>
          <w:lang w:eastAsia="es-MX"/>
        </w:rPr>
        <w:t>.</w:t>
      </w:r>
    </w:p>
    <w:p w14:paraId="343C5222" w14:textId="77777777" w:rsidR="00BE1D2C" w:rsidRPr="00995557" w:rsidRDefault="00BE1D2C" w:rsidP="00AA627A">
      <w:pPr>
        <w:pStyle w:val="Prrafodelista"/>
      </w:pPr>
    </w:p>
    <w:p w14:paraId="0927B3CD" w14:textId="77777777" w:rsidR="00240010" w:rsidRPr="00995557" w:rsidRDefault="00BE1D2C" w:rsidP="00AA627A">
      <w:pPr>
        <w:pStyle w:val="Prrafodelista"/>
        <w:widowControl w:val="0"/>
        <w:numPr>
          <w:ilvl w:val="0"/>
          <w:numId w:val="2"/>
        </w:numPr>
        <w:tabs>
          <w:tab w:val="left" w:pos="567"/>
        </w:tabs>
        <w:ind w:left="0" w:firstLine="0"/>
        <w:jc w:val="both"/>
        <w:rPr>
          <w:lang w:eastAsia="es-MX"/>
        </w:rPr>
      </w:pPr>
      <w:r w:rsidRPr="00995557">
        <w:t>En lo que respecta a los</w:t>
      </w:r>
      <w:r w:rsidR="006A7A5B" w:rsidRPr="00995557">
        <w:t xml:space="preserve"> alegatos de los representantes</w:t>
      </w:r>
      <w:r w:rsidRPr="00995557">
        <w:t xml:space="preserve"> referidos a la calificación de los actos cometidos contra las personas fallecidas y heridas como tortura, la Corte advierte que </w:t>
      </w:r>
      <w:r w:rsidRPr="00995557">
        <w:lastRenderedPageBreak/>
        <w:t>no cuenta con los elementos necesarios para realizar el análisis pretendido.</w:t>
      </w:r>
    </w:p>
    <w:p w14:paraId="532983F5" w14:textId="77777777" w:rsidR="008D473D" w:rsidRPr="00995557" w:rsidRDefault="008D473D" w:rsidP="00AA627A">
      <w:pPr>
        <w:pStyle w:val="Prrafodelista"/>
        <w:widowControl w:val="0"/>
        <w:rPr>
          <w:lang w:eastAsia="es-MX"/>
        </w:rPr>
      </w:pPr>
    </w:p>
    <w:p w14:paraId="7AB82897" w14:textId="2FCBE847" w:rsidR="00097BEE" w:rsidRPr="00995557" w:rsidRDefault="00097BEE" w:rsidP="00AA627A">
      <w:pPr>
        <w:pStyle w:val="Prrafodelista"/>
        <w:widowControl w:val="0"/>
        <w:numPr>
          <w:ilvl w:val="0"/>
          <w:numId w:val="2"/>
        </w:numPr>
        <w:tabs>
          <w:tab w:val="left" w:pos="567"/>
        </w:tabs>
        <w:ind w:left="0" w:firstLine="0"/>
        <w:jc w:val="both"/>
      </w:pPr>
      <w:r w:rsidRPr="00995557">
        <w:t xml:space="preserve">Como corolario, </w:t>
      </w:r>
      <w:r w:rsidR="00051DB2" w:rsidRPr="00995557">
        <w:t xml:space="preserve">el Estado de </w:t>
      </w:r>
      <w:r w:rsidRPr="00995557">
        <w:t xml:space="preserve">Venezuela es responsable por la violación del derecho a la vida, reconocido en el artículo 4.1 de la Convención, </w:t>
      </w:r>
      <w:r w:rsidR="0059276E" w:rsidRPr="00995557">
        <w:t>en relación con las obligaciones de respetar y garantizar dichos derechos</w:t>
      </w:r>
      <w:r w:rsidR="00240010" w:rsidRPr="00995557">
        <w:t xml:space="preserve"> y de adoptar disposiciones de derecho interno,</w:t>
      </w:r>
      <w:r w:rsidR="0059276E" w:rsidRPr="00995557">
        <w:t xml:space="preserve"> previstas en </w:t>
      </w:r>
      <w:r w:rsidR="00240010" w:rsidRPr="00995557">
        <w:t xml:space="preserve">los </w:t>
      </w:r>
      <w:r w:rsidR="0059276E" w:rsidRPr="00995557">
        <w:t>artículo</w:t>
      </w:r>
      <w:r w:rsidR="00240010" w:rsidRPr="00995557">
        <w:t>s</w:t>
      </w:r>
      <w:r w:rsidR="0059276E" w:rsidRPr="00995557">
        <w:t xml:space="preserve"> 1.1</w:t>
      </w:r>
      <w:r w:rsidR="00240010" w:rsidRPr="00995557">
        <w:t xml:space="preserve"> y 2</w:t>
      </w:r>
      <w:r w:rsidR="0059276E" w:rsidRPr="00995557">
        <w:t xml:space="preserve"> del mismo instrumento, </w:t>
      </w:r>
      <w:r w:rsidRPr="00995557">
        <w:t xml:space="preserve">en perjuicio de Orlando Edgardo Olivares Muñoz, Joel </w:t>
      </w:r>
      <w:r w:rsidR="00A655AF" w:rsidRPr="00995557">
        <w:t>Ronaldy</w:t>
      </w:r>
      <w:r w:rsidRPr="00995557">
        <w:t xml:space="preserve"> Reyes Nava, Orangel José Figueroa, Héctor Javier Muñoz Valerio, Pedro Ramón López Chaurán, José Gregorio Bolívar Corro y Richard Alexis Núñez Palma.</w:t>
      </w:r>
    </w:p>
    <w:p w14:paraId="05FA19DA" w14:textId="77777777" w:rsidR="00097BEE" w:rsidRPr="00995557" w:rsidRDefault="00097BEE" w:rsidP="00AA627A">
      <w:pPr>
        <w:widowControl w:val="0"/>
      </w:pPr>
    </w:p>
    <w:p w14:paraId="66BE705F" w14:textId="77777777" w:rsidR="002A7858" w:rsidRPr="00995557" w:rsidRDefault="00097BEE" w:rsidP="00AA627A">
      <w:pPr>
        <w:pStyle w:val="Prrafodelista"/>
        <w:widowControl w:val="0"/>
        <w:numPr>
          <w:ilvl w:val="0"/>
          <w:numId w:val="2"/>
        </w:numPr>
        <w:tabs>
          <w:tab w:val="left" w:pos="567"/>
        </w:tabs>
        <w:ind w:left="0" w:firstLine="0"/>
        <w:jc w:val="both"/>
      </w:pPr>
      <w:r w:rsidRPr="00995557">
        <w:t xml:space="preserve">Asimismo, el Estado venezolano es responsable por la violación del derecho a la integridad personal, reconocido en los artículos 5.1 y 5.2 de la Convención, en relación con </w:t>
      </w:r>
      <w:r w:rsidR="00240010" w:rsidRPr="00995557">
        <w:t xml:space="preserve">los </w:t>
      </w:r>
      <w:r w:rsidRPr="00995557">
        <w:t>artículo</w:t>
      </w:r>
      <w:r w:rsidR="00240010" w:rsidRPr="00995557">
        <w:t>s</w:t>
      </w:r>
      <w:r w:rsidRPr="00995557">
        <w:t xml:space="preserve"> 1.1</w:t>
      </w:r>
      <w:r w:rsidR="00240010" w:rsidRPr="00995557">
        <w:t xml:space="preserve"> y 2</w:t>
      </w:r>
      <w:r w:rsidRPr="00995557">
        <w:t xml:space="preserve"> del mismo instrumento, en perjuicio de Ramón Zambrano, Jovanny Palomo, Carlos Durán, Richard Vallez, Carlos Alberto Torres, Galindo Urrieta, Edwin David Díaz, Luis Filgueira, Oswal Sotillo, Rafael Vera Himi, Miguel Marcano, Marcos Pacheco, Alcides Rafael Alcaza Barreto, Jesús Manuel Amaiz Borrome, Rafael Villa Hermosa, Efraín Cordero, Carlos Alberto Martínez, Pedro de Jesús Montes Aguanes, Santa Jesús Gil Osuna, Omar Armando Vásquez, Getulio Piña Laya, Evelio Eugenio Martínez, Enrique José González, Javier Omar Lara, José Efraín Rosales Navas, Levis Simoza y Marco Antonio Ruíz Sucre.</w:t>
      </w:r>
    </w:p>
    <w:p w14:paraId="32E9E4D9" w14:textId="77777777" w:rsidR="005927CC" w:rsidRPr="00995557" w:rsidRDefault="005927CC" w:rsidP="00AA627A">
      <w:pPr>
        <w:widowControl w:val="0"/>
      </w:pPr>
    </w:p>
    <w:p w14:paraId="51FD27BB" w14:textId="7B105AEF" w:rsidR="005927CC" w:rsidRPr="00995557" w:rsidRDefault="005927CC" w:rsidP="00AA627A">
      <w:pPr>
        <w:pStyle w:val="Ttulo1"/>
        <w:keepNext w:val="0"/>
        <w:keepLines w:val="0"/>
        <w:widowControl w:val="0"/>
        <w:spacing w:before="0" w:after="0"/>
      </w:pPr>
      <w:bookmarkStart w:id="139" w:name="_Toc53741459"/>
      <w:bookmarkStart w:id="140" w:name="_Toc58399127"/>
      <w:r w:rsidRPr="00995557">
        <w:t>VIII.2</w:t>
      </w:r>
      <w:r w:rsidRPr="00995557">
        <w:br/>
        <w:t>DERECHOS A LAS GARANTÍAS JUDICIALES Y A LA PROTECCIÓN JUDICIA</w:t>
      </w:r>
      <w:r w:rsidR="00B3137B" w:rsidRPr="00995557">
        <w:t>L</w:t>
      </w:r>
      <w:r w:rsidR="001F21A0" w:rsidRPr="00995557">
        <w:t>,</w:t>
      </w:r>
      <w:r w:rsidRPr="00995557">
        <w:t xml:space="preserve"> </w:t>
      </w:r>
      <w:r w:rsidR="0033399D" w:rsidRPr="00995557">
        <w:t xml:space="preserve">EN RELACIÓN CON LAS OBLIGACIONES DE RESPETAR Y GARANTIZAR LOS DERECHOS Y DE </w:t>
      </w:r>
      <w:r w:rsidRPr="00995557">
        <w:t>INVESTIGAR POSIBLES ACTOS DE TORTURA</w:t>
      </w:r>
      <w:r w:rsidRPr="00995557">
        <w:rPr>
          <w:rStyle w:val="Refdenotaalpie"/>
        </w:rPr>
        <w:footnoteReference w:id="149"/>
      </w:r>
      <w:bookmarkEnd w:id="139"/>
      <w:bookmarkEnd w:id="140"/>
    </w:p>
    <w:p w14:paraId="77EA1509" w14:textId="2DA3C551" w:rsidR="005927CC" w:rsidRPr="00995557" w:rsidRDefault="005927CC" w:rsidP="00AA627A">
      <w:pPr>
        <w:widowControl w:val="0"/>
      </w:pPr>
    </w:p>
    <w:p w14:paraId="6A35EDE2" w14:textId="77777777" w:rsidR="005927CC" w:rsidRPr="00995557" w:rsidRDefault="005927CC" w:rsidP="00AA627A">
      <w:pPr>
        <w:pStyle w:val="Ttulo2"/>
        <w:widowControl w:val="0"/>
        <w:numPr>
          <w:ilvl w:val="0"/>
          <w:numId w:val="8"/>
        </w:numPr>
        <w:tabs>
          <w:tab w:val="clear" w:pos="1134"/>
          <w:tab w:val="left" w:pos="567"/>
        </w:tabs>
        <w:spacing w:before="0" w:after="0"/>
      </w:pPr>
      <w:bookmarkStart w:id="141" w:name="_Toc53741460"/>
      <w:bookmarkStart w:id="142" w:name="_Toc58399128"/>
      <w:bookmarkStart w:id="143" w:name="_Hlk41503293"/>
      <w:r w:rsidRPr="00995557">
        <w:t>Alegatos de la</w:t>
      </w:r>
      <w:r w:rsidR="00C340E9" w:rsidRPr="00995557">
        <w:t>s</w:t>
      </w:r>
      <w:r w:rsidRPr="00995557">
        <w:t xml:space="preserve"> partes y de la Comisión</w:t>
      </w:r>
      <w:bookmarkEnd w:id="141"/>
      <w:bookmarkEnd w:id="142"/>
    </w:p>
    <w:p w14:paraId="31F3DB6F" w14:textId="77777777" w:rsidR="005927CC" w:rsidRPr="00995557" w:rsidRDefault="005927CC" w:rsidP="00AA627A">
      <w:pPr>
        <w:widowControl w:val="0"/>
      </w:pPr>
    </w:p>
    <w:p w14:paraId="7335ED1D" w14:textId="1163C378" w:rsidR="005927CC" w:rsidRPr="00995557" w:rsidRDefault="005927CC" w:rsidP="00AA627A">
      <w:pPr>
        <w:pStyle w:val="PrrafodeSentencia"/>
        <w:widowControl w:val="0"/>
        <w:numPr>
          <w:ilvl w:val="0"/>
          <w:numId w:val="2"/>
        </w:numPr>
        <w:ind w:left="0" w:firstLine="0"/>
        <w:rPr>
          <w:spacing w:val="0"/>
          <w:szCs w:val="20"/>
        </w:rPr>
      </w:pPr>
      <w:r w:rsidRPr="00995557">
        <w:rPr>
          <w:spacing w:val="0"/>
          <w:szCs w:val="20"/>
        </w:rPr>
        <w:t xml:space="preserve">La </w:t>
      </w:r>
      <w:r w:rsidRPr="00995557">
        <w:rPr>
          <w:b/>
          <w:i/>
          <w:spacing w:val="0"/>
          <w:szCs w:val="20"/>
        </w:rPr>
        <w:t xml:space="preserve">Comisión </w:t>
      </w:r>
      <w:r w:rsidRPr="00995557">
        <w:rPr>
          <w:spacing w:val="0"/>
          <w:szCs w:val="20"/>
        </w:rPr>
        <w:t xml:space="preserve">argumentó que la investigación efectuada a nivel interno no ha sido exhaustiva, </w:t>
      </w:r>
      <w:r w:rsidR="0061458F" w:rsidRPr="00995557">
        <w:rPr>
          <w:spacing w:val="0"/>
          <w:szCs w:val="20"/>
        </w:rPr>
        <w:t xml:space="preserve">pues, entre otras cuestiones, </w:t>
      </w:r>
      <w:r w:rsidRPr="00995557">
        <w:rPr>
          <w:spacing w:val="0"/>
          <w:szCs w:val="20"/>
        </w:rPr>
        <w:t>no se realizó investigación alguna para esclarecer las denuncias por violación a la integridad personal.</w:t>
      </w:r>
      <w:r w:rsidRPr="00995557">
        <w:rPr>
          <w:b/>
          <w:spacing w:val="0"/>
          <w:szCs w:val="20"/>
        </w:rPr>
        <w:t xml:space="preserve"> </w:t>
      </w:r>
      <w:r w:rsidRPr="00995557">
        <w:rPr>
          <w:spacing w:val="0"/>
          <w:szCs w:val="20"/>
        </w:rPr>
        <w:t xml:space="preserve">Señaló que las autopsias practicadas no son compatibles con los estándares que recoge el </w:t>
      </w:r>
      <w:r w:rsidRPr="00995557">
        <w:rPr>
          <w:i/>
          <w:spacing w:val="0"/>
          <w:szCs w:val="20"/>
        </w:rPr>
        <w:t>Protocolo de Minnesota</w:t>
      </w:r>
      <w:r w:rsidRPr="00995557">
        <w:rPr>
          <w:spacing w:val="0"/>
          <w:szCs w:val="20"/>
        </w:rPr>
        <w:t>; en particular, destacó la falta de análisis de contexto de las muertes, lo que incluiría la determinación de eventuales patrones entre las lesiones producidas, el calibre de las armas de fuego que las produjeron y la distancia a que fueron disparadas, así como la falta de fotos en color y radiografías a todo el cuerpo.</w:t>
      </w:r>
      <w:r w:rsidR="00662FD3" w:rsidRPr="00995557">
        <w:rPr>
          <w:b/>
          <w:spacing w:val="0"/>
          <w:szCs w:val="20"/>
        </w:rPr>
        <w:t xml:space="preserve"> </w:t>
      </w:r>
      <w:r w:rsidRPr="00995557">
        <w:rPr>
          <w:spacing w:val="0"/>
          <w:szCs w:val="20"/>
        </w:rPr>
        <w:t xml:space="preserve">En cuanto al plazo razonable, indicó </w:t>
      </w:r>
      <w:r w:rsidR="00662FD3" w:rsidRPr="00995557">
        <w:rPr>
          <w:spacing w:val="0"/>
          <w:szCs w:val="20"/>
        </w:rPr>
        <w:t>que,</w:t>
      </w:r>
      <w:r w:rsidRPr="00995557">
        <w:rPr>
          <w:spacing w:val="0"/>
          <w:szCs w:val="20"/>
        </w:rPr>
        <w:t xml:space="preserve"> si bien la investigación inició el 10 de noviembre de 2003, la audiencia preliminar del caso se llevó a cabo hasta el 3 de junio de 2014.</w:t>
      </w:r>
    </w:p>
    <w:p w14:paraId="76D66FC9" w14:textId="77777777" w:rsidR="005927CC" w:rsidRPr="00995557" w:rsidRDefault="005927CC" w:rsidP="00AA627A">
      <w:pPr>
        <w:widowControl w:val="0"/>
        <w:rPr>
          <w:lang w:eastAsia="es-MX"/>
        </w:rPr>
      </w:pPr>
    </w:p>
    <w:p w14:paraId="1B8B74C6" w14:textId="50B29383" w:rsidR="0076117C" w:rsidRPr="00995557" w:rsidRDefault="005927CC" w:rsidP="00AA627A">
      <w:pPr>
        <w:pStyle w:val="PrrafodeSentencia"/>
        <w:widowControl w:val="0"/>
        <w:numPr>
          <w:ilvl w:val="0"/>
          <w:numId w:val="2"/>
        </w:numPr>
        <w:ind w:left="0" w:firstLine="0"/>
        <w:rPr>
          <w:bCs/>
          <w:spacing w:val="0"/>
          <w:szCs w:val="20"/>
        </w:rPr>
      </w:pPr>
      <w:r w:rsidRPr="00995557">
        <w:rPr>
          <w:spacing w:val="0"/>
          <w:szCs w:val="20"/>
        </w:rPr>
        <w:t xml:space="preserve">Los </w:t>
      </w:r>
      <w:r w:rsidRPr="00995557">
        <w:rPr>
          <w:b/>
          <w:i/>
          <w:spacing w:val="0"/>
          <w:szCs w:val="20"/>
        </w:rPr>
        <w:t>representantes</w:t>
      </w:r>
      <w:r w:rsidRPr="00995557">
        <w:rPr>
          <w:spacing w:val="0"/>
          <w:szCs w:val="20"/>
        </w:rPr>
        <w:t xml:space="preserve"> </w:t>
      </w:r>
      <w:r w:rsidR="00EF3AEF" w:rsidRPr="00995557">
        <w:rPr>
          <w:spacing w:val="0"/>
          <w:szCs w:val="20"/>
        </w:rPr>
        <w:t>señalaron que las primeras diligencias de investigación no fueron realizadas con la debida diligencia.</w:t>
      </w:r>
      <w:r w:rsidR="0076117C" w:rsidRPr="00995557">
        <w:rPr>
          <w:b/>
          <w:spacing w:val="0"/>
          <w:szCs w:val="20"/>
        </w:rPr>
        <w:t xml:space="preserve"> </w:t>
      </w:r>
      <w:r w:rsidR="0076117C" w:rsidRPr="00995557">
        <w:rPr>
          <w:spacing w:val="0"/>
          <w:szCs w:val="20"/>
        </w:rPr>
        <w:t>Indicaron que los cuerpos de las víctimas fallecidas fueron trasladados en un vehículo no apropiado, sin la intervención de personal especializado. Refirieron que fueron identificadas distintas falencias en las primeras autopsias practicadas a los cadáveres, incluidas la ausencia de fotografías, la falta de autopsias craneanas y la omisión de la descripción del proceso de autopsia.</w:t>
      </w:r>
    </w:p>
    <w:p w14:paraId="500B820E" w14:textId="77777777" w:rsidR="000F4C8C" w:rsidRPr="00995557" w:rsidRDefault="000F4C8C" w:rsidP="00AA627A">
      <w:pPr>
        <w:rPr>
          <w:lang w:eastAsia="es-MX"/>
        </w:rPr>
      </w:pPr>
    </w:p>
    <w:p w14:paraId="648940C7" w14:textId="023D9448" w:rsidR="00597841" w:rsidRPr="00995557" w:rsidRDefault="00C025DB" w:rsidP="00AA627A">
      <w:pPr>
        <w:pStyle w:val="PrrafodeSentencia"/>
        <w:widowControl w:val="0"/>
        <w:numPr>
          <w:ilvl w:val="0"/>
          <w:numId w:val="2"/>
        </w:numPr>
        <w:ind w:left="0" w:firstLine="0"/>
        <w:rPr>
          <w:spacing w:val="0"/>
          <w:szCs w:val="20"/>
        </w:rPr>
      </w:pPr>
      <w:r w:rsidRPr="00995557">
        <w:rPr>
          <w:spacing w:val="0"/>
          <w:szCs w:val="20"/>
        </w:rPr>
        <w:t xml:space="preserve">Alegaron también </w:t>
      </w:r>
      <w:r w:rsidR="000F4C8C" w:rsidRPr="00995557">
        <w:rPr>
          <w:spacing w:val="0"/>
          <w:szCs w:val="20"/>
        </w:rPr>
        <w:t xml:space="preserve">que fueron impuestos formalismos para </w:t>
      </w:r>
      <w:r w:rsidR="00597841" w:rsidRPr="00995557">
        <w:rPr>
          <w:spacing w:val="0"/>
          <w:szCs w:val="20"/>
        </w:rPr>
        <w:t xml:space="preserve">negar </w:t>
      </w:r>
      <w:r w:rsidR="000F4C8C" w:rsidRPr="00995557">
        <w:rPr>
          <w:spacing w:val="0"/>
          <w:szCs w:val="20"/>
        </w:rPr>
        <w:t>su participación como acusadores privados en el proceso penal, lo que configura “una situación inaceptable”</w:t>
      </w:r>
      <w:r w:rsidR="00597841" w:rsidRPr="00995557">
        <w:rPr>
          <w:spacing w:val="0"/>
          <w:szCs w:val="20"/>
        </w:rPr>
        <w:t>, sin que el Ministerio Público apela</w:t>
      </w:r>
      <w:r w:rsidR="00662FD3" w:rsidRPr="00995557">
        <w:rPr>
          <w:spacing w:val="0"/>
          <w:szCs w:val="20"/>
        </w:rPr>
        <w:t>ra</w:t>
      </w:r>
      <w:r w:rsidR="00597841" w:rsidRPr="00995557">
        <w:rPr>
          <w:spacing w:val="0"/>
          <w:szCs w:val="20"/>
        </w:rPr>
        <w:t xml:space="preserve"> la decisión</w:t>
      </w:r>
      <w:r w:rsidR="000F4C8C" w:rsidRPr="00995557">
        <w:rPr>
          <w:spacing w:val="0"/>
          <w:szCs w:val="20"/>
        </w:rPr>
        <w:t>.</w:t>
      </w:r>
      <w:r w:rsidR="000F4C8C" w:rsidRPr="00995557">
        <w:rPr>
          <w:b/>
          <w:spacing w:val="0"/>
          <w:szCs w:val="20"/>
        </w:rPr>
        <w:t xml:space="preserve"> </w:t>
      </w:r>
      <w:r w:rsidR="00597841" w:rsidRPr="00995557">
        <w:rPr>
          <w:spacing w:val="0"/>
          <w:szCs w:val="20"/>
        </w:rPr>
        <w:t>Argumentaron</w:t>
      </w:r>
      <w:r w:rsidR="000F4C8C" w:rsidRPr="00995557">
        <w:rPr>
          <w:spacing w:val="0"/>
          <w:szCs w:val="20"/>
        </w:rPr>
        <w:t xml:space="preserve"> que </w:t>
      </w:r>
      <w:r w:rsidR="00597841" w:rsidRPr="00995557">
        <w:rPr>
          <w:spacing w:val="0"/>
          <w:szCs w:val="20"/>
        </w:rPr>
        <w:t>a pesar de la existencia de un conjunto de pruebas que demuestran la responsabilidad de los acusados, se dictó sentencia absolutoria, lo que permite colegir indicios de un fraude judicial, aunado a que el Ministerio Público no apeló el fallo.</w:t>
      </w:r>
      <w:r w:rsidR="00597841" w:rsidRPr="00995557">
        <w:rPr>
          <w:b/>
          <w:spacing w:val="0"/>
          <w:szCs w:val="20"/>
        </w:rPr>
        <w:t xml:space="preserve"> </w:t>
      </w:r>
      <w:r w:rsidR="00597841" w:rsidRPr="00995557">
        <w:rPr>
          <w:spacing w:val="0"/>
          <w:szCs w:val="20"/>
        </w:rPr>
        <w:t xml:space="preserve">En cuanto al plazo razonable, indicaron que la complejidad del asunto </w:t>
      </w:r>
      <w:r w:rsidR="00597841" w:rsidRPr="00995557">
        <w:rPr>
          <w:spacing w:val="0"/>
          <w:szCs w:val="20"/>
        </w:rPr>
        <w:lastRenderedPageBreak/>
        <w:t xml:space="preserve">no justifica la demora excesiva </w:t>
      </w:r>
      <w:r w:rsidR="00662FD3" w:rsidRPr="00995557">
        <w:rPr>
          <w:spacing w:val="0"/>
          <w:szCs w:val="20"/>
        </w:rPr>
        <w:t>para</w:t>
      </w:r>
      <w:r w:rsidR="00597841" w:rsidRPr="00995557">
        <w:rPr>
          <w:spacing w:val="0"/>
          <w:szCs w:val="20"/>
        </w:rPr>
        <w:t xml:space="preserve"> brindar una respuesta adecuada ante los hechos suscitados.</w:t>
      </w:r>
      <w:r w:rsidR="00597841" w:rsidRPr="00995557">
        <w:rPr>
          <w:b/>
          <w:spacing w:val="0"/>
          <w:szCs w:val="20"/>
        </w:rPr>
        <w:t xml:space="preserve"> </w:t>
      </w:r>
    </w:p>
    <w:p w14:paraId="00870F81" w14:textId="77777777" w:rsidR="00104863" w:rsidRPr="00995557" w:rsidRDefault="00104863" w:rsidP="00AA627A">
      <w:pPr>
        <w:rPr>
          <w:lang w:eastAsia="es-MX"/>
        </w:rPr>
      </w:pPr>
    </w:p>
    <w:p w14:paraId="586A68FB" w14:textId="14DFB606" w:rsidR="005927CC" w:rsidRPr="00995557" w:rsidRDefault="005927CC" w:rsidP="00AA627A">
      <w:pPr>
        <w:pStyle w:val="PrrafodeSentencia"/>
        <w:widowControl w:val="0"/>
        <w:numPr>
          <w:ilvl w:val="0"/>
          <w:numId w:val="2"/>
        </w:numPr>
        <w:ind w:left="0" w:firstLine="0"/>
        <w:rPr>
          <w:rFonts w:cs="Arial"/>
          <w:b/>
          <w:spacing w:val="0"/>
          <w:szCs w:val="20"/>
        </w:rPr>
      </w:pPr>
      <w:r w:rsidRPr="00995557">
        <w:rPr>
          <w:spacing w:val="0"/>
          <w:szCs w:val="20"/>
        </w:rPr>
        <w:t xml:space="preserve">El </w:t>
      </w:r>
      <w:r w:rsidRPr="00995557">
        <w:rPr>
          <w:b/>
          <w:i/>
          <w:spacing w:val="0"/>
          <w:szCs w:val="20"/>
        </w:rPr>
        <w:t>Estado</w:t>
      </w:r>
      <w:r w:rsidRPr="00995557">
        <w:rPr>
          <w:spacing w:val="0"/>
          <w:szCs w:val="20"/>
        </w:rPr>
        <w:t xml:space="preserve"> reconoció su responsabilidad internacional por la vulneración de los derechos reconocidos en los artículos 8.1 y 25.1</w:t>
      </w:r>
      <w:r w:rsidR="008F4F41" w:rsidRPr="00995557">
        <w:rPr>
          <w:spacing w:val="0"/>
          <w:szCs w:val="20"/>
        </w:rPr>
        <w:t xml:space="preserve"> de la Convención Americana</w:t>
      </w:r>
      <w:r w:rsidRPr="00995557">
        <w:rPr>
          <w:spacing w:val="0"/>
          <w:szCs w:val="20"/>
        </w:rPr>
        <w:t xml:space="preserve"> “en los términos y condiciones establecidos en el Informe de Fondo”.</w:t>
      </w:r>
    </w:p>
    <w:p w14:paraId="054A49F8" w14:textId="77777777" w:rsidR="00537952" w:rsidRPr="00995557" w:rsidRDefault="00537952" w:rsidP="00AA627A">
      <w:pPr>
        <w:widowControl w:val="0"/>
        <w:rPr>
          <w:lang w:eastAsia="es-MX"/>
        </w:rPr>
      </w:pPr>
    </w:p>
    <w:p w14:paraId="0E045370" w14:textId="77777777" w:rsidR="00537952" w:rsidRPr="00995557" w:rsidRDefault="00537952" w:rsidP="00AA627A">
      <w:pPr>
        <w:pStyle w:val="Ttulo2"/>
        <w:widowControl w:val="0"/>
        <w:numPr>
          <w:ilvl w:val="0"/>
          <w:numId w:val="8"/>
        </w:numPr>
        <w:tabs>
          <w:tab w:val="clear" w:pos="1134"/>
          <w:tab w:val="left" w:pos="567"/>
        </w:tabs>
        <w:spacing w:before="0" w:after="0"/>
      </w:pPr>
      <w:bookmarkStart w:id="144" w:name="_Toc53741461"/>
      <w:bookmarkStart w:id="145" w:name="_Toc58399129"/>
      <w:bookmarkEnd w:id="143"/>
      <w:r w:rsidRPr="00995557">
        <w:t>Consideraciones de la Corte</w:t>
      </w:r>
      <w:bookmarkEnd w:id="144"/>
      <w:bookmarkEnd w:id="145"/>
    </w:p>
    <w:p w14:paraId="5701A6D5" w14:textId="77777777" w:rsidR="00994490" w:rsidRPr="00995557" w:rsidRDefault="00994490" w:rsidP="00AA627A"/>
    <w:p w14:paraId="756A2D97" w14:textId="77777777" w:rsidR="00994490" w:rsidRPr="00995557" w:rsidRDefault="00994490" w:rsidP="00AA627A">
      <w:pPr>
        <w:pStyle w:val="Prrafodelista"/>
        <w:ind w:left="851"/>
        <w:rPr>
          <w:bCs/>
          <w:i/>
        </w:rPr>
      </w:pPr>
      <w:r w:rsidRPr="00995557">
        <w:rPr>
          <w:i/>
          <w:snapToGrid w:val="0"/>
          <w:lang w:eastAsia="es-ES"/>
        </w:rPr>
        <w:t xml:space="preserve">B.1. </w:t>
      </w:r>
      <w:r w:rsidRPr="00995557">
        <w:rPr>
          <w:bCs/>
          <w:i/>
        </w:rPr>
        <w:t>Debida diligencia y plazo razonable</w:t>
      </w:r>
    </w:p>
    <w:p w14:paraId="0563EF7F" w14:textId="77777777" w:rsidR="00662FD3" w:rsidRPr="00995557" w:rsidRDefault="00662FD3" w:rsidP="00AA627A">
      <w:pPr>
        <w:pStyle w:val="Prrafodelista"/>
        <w:ind w:left="851"/>
        <w:rPr>
          <w:i/>
          <w:snapToGrid w:val="0"/>
          <w:lang w:eastAsia="es-ES"/>
        </w:rPr>
      </w:pPr>
    </w:p>
    <w:p w14:paraId="65E79581" w14:textId="77777777" w:rsidR="006B5BC8" w:rsidRPr="00995557" w:rsidRDefault="00662FD3" w:rsidP="00AA627A">
      <w:pPr>
        <w:pStyle w:val="PrrafodeSentencia"/>
        <w:widowControl w:val="0"/>
        <w:numPr>
          <w:ilvl w:val="0"/>
          <w:numId w:val="2"/>
        </w:numPr>
        <w:ind w:left="0" w:firstLine="0"/>
        <w:rPr>
          <w:rFonts w:cs="Arial"/>
          <w:spacing w:val="0"/>
          <w:szCs w:val="20"/>
        </w:rPr>
      </w:pPr>
      <w:r w:rsidRPr="00995557">
        <w:rPr>
          <w:spacing w:val="0"/>
          <w:szCs w:val="20"/>
        </w:rPr>
        <w:t>La Corte ha establecido que el derecho de acceso a la justicia debe asegurar, en tiempo razonable, el derecho de las presuntas víctimas o sus familiares a que se haga todo lo necesario para conocer la verdad de lo sucedido e investigar, juzgar y, en su caso, sancionar a los eventuales responsables</w:t>
      </w:r>
      <w:r w:rsidRPr="00995557">
        <w:rPr>
          <w:rStyle w:val="Refdenotaalpie"/>
          <w:spacing w:val="0"/>
          <w:szCs w:val="20"/>
          <w:lang w:val="es-AR"/>
        </w:rPr>
        <w:footnoteReference w:id="150"/>
      </w:r>
      <w:r w:rsidRPr="00995557">
        <w:rPr>
          <w:spacing w:val="0"/>
          <w:szCs w:val="20"/>
        </w:rPr>
        <w:t>.</w:t>
      </w:r>
    </w:p>
    <w:p w14:paraId="005F62D0" w14:textId="77777777" w:rsidR="006B5BC8" w:rsidRPr="00995557" w:rsidRDefault="006B5BC8" w:rsidP="00AA627A">
      <w:pPr>
        <w:pStyle w:val="PrrafodeSentencia"/>
        <w:widowControl w:val="0"/>
        <w:numPr>
          <w:ilvl w:val="0"/>
          <w:numId w:val="0"/>
        </w:numPr>
        <w:rPr>
          <w:rFonts w:cs="Arial"/>
          <w:spacing w:val="0"/>
          <w:szCs w:val="20"/>
        </w:rPr>
      </w:pPr>
    </w:p>
    <w:p w14:paraId="665E7D15" w14:textId="582CEB11" w:rsidR="00662FD3" w:rsidRPr="00995557" w:rsidRDefault="00662FD3" w:rsidP="00AA627A">
      <w:pPr>
        <w:pStyle w:val="PrrafodeSentencia"/>
        <w:widowControl w:val="0"/>
        <w:numPr>
          <w:ilvl w:val="0"/>
          <w:numId w:val="2"/>
        </w:numPr>
        <w:ind w:left="0" w:firstLine="0"/>
        <w:rPr>
          <w:rFonts w:cs="Arial"/>
          <w:spacing w:val="0"/>
          <w:szCs w:val="20"/>
        </w:rPr>
      </w:pPr>
      <w:r w:rsidRPr="00995557">
        <w:rPr>
          <w:rFonts w:cs="Arial"/>
          <w:spacing w:val="0"/>
          <w:szCs w:val="20"/>
        </w:rPr>
        <w:t xml:space="preserve">El Tribunal también ha </w:t>
      </w:r>
      <w:r w:rsidRPr="00995557">
        <w:rPr>
          <w:snapToGrid w:val="0"/>
          <w:spacing w:val="0"/>
          <w:szCs w:val="20"/>
          <w:lang w:eastAsia="es-ES"/>
        </w:rPr>
        <w:t>señalado</w:t>
      </w:r>
      <w:r w:rsidRPr="00995557">
        <w:rPr>
          <w:rFonts w:cs="Arial"/>
          <w:spacing w:val="0"/>
          <w:szCs w:val="20"/>
        </w:rPr>
        <w:t xml:space="preserve"> que el deber de investigar es una obligación de medios y no de resultados, que debe ser asumida por el Estado como un deber jurídico </w:t>
      </w:r>
      <w:r w:rsidRPr="00995557">
        <w:rPr>
          <w:spacing w:val="0"/>
          <w:szCs w:val="20"/>
        </w:rPr>
        <w:t>propio</w:t>
      </w:r>
      <w:r w:rsidRPr="00995557">
        <w:rPr>
          <w:rFonts w:cs="Arial"/>
          <w:spacing w:val="0"/>
          <w:szCs w:val="20"/>
        </w:rPr>
        <w:t xml:space="preserve"> y no </w:t>
      </w:r>
      <w:r w:rsidRPr="00995557">
        <w:rPr>
          <w:spacing w:val="0"/>
          <w:szCs w:val="20"/>
        </w:rPr>
        <w:t>como</w:t>
      </w:r>
      <w:r w:rsidRPr="00995557">
        <w:rPr>
          <w:rFonts w:cs="Arial"/>
          <w:spacing w:val="0"/>
          <w:szCs w:val="20"/>
        </w:rPr>
        <w:t xml:space="preserve"> una simple formalidad condenada de antemano a ser infructuosa, o como una mera gestión de </w:t>
      </w:r>
      <w:r w:rsidRPr="00995557">
        <w:rPr>
          <w:snapToGrid w:val="0"/>
          <w:spacing w:val="0"/>
          <w:szCs w:val="20"/>
          <w:lang w:eastAsia="es-ES"/>
        </w:rPr>
        <w:t>intereses</w:t>
      </w:r>
      <w:r w:rsidRPr="00995557">
        <w:rPr>
          <w:rFonts w:cs="Arial"/>
          <w:spacing w:val="0"/>
          <w:szCs w:val="20"/>
        </w:rPr>
        <w:t xml:space="preserve"> particulares</w:t>
      </w:r>
      <w:r w:rsidRPr="00995557">
        <w:rPr>
          <w:spacing w:val="0"/>
          <w:szCs w:val="20"/>
        </w:rPr>
        <w:t xml:space="preserve">, que </w:t>
      </w:r>
      <w:r w:rsidRPr="00995557">
        <w:rPr>
          <w:rFonts w:cs="Arial"/>
          <w:spacing w:val="0"/>
          <w:szCs w:val="20"/>
        </w:rPr>
        <w:t>dependa</w:t>
      </w:r>
      <w:r w:rsidRPr="00995557">
        <w:rPr>
          <w:spacing w:val="0"/>
          <w:szCs w:val="20"/>
        </w:rPr>
        <w:t xml:space="preserve"> de la iniciativa procesal de las víctimas o de sus familiares o de la aportación privada de elementos probatorios</w:t>
      </w:r>
      <w:r w:rsidRPr="00995557">
        <w:rPr>
          <w:spacing w:val="0"/>
          <w:szCs w:val="20"/>
          <w:vertAlign w:val="superscript"/>
        </w:rPr>
        <w:footnoteReference w:id="151"/>
      </w:r>
      <w:r w:rsidRPr="00995557">
        <w:rPr>
          <w:rFonts w:cs="Arial"/>
          <w:spacing w:val="0"/>
          <w:szCs w:val="20"/>
        </w:rPr>
        <w:t>.</w:t>
      </w:r>
      <w:r w:rsidR="006B5BC8" w:rsidRPr="00995557">
        <w:rPr>
          <w:rFonts w:cs="Arial"/>
          <w:spacing w:val="0"/>
          <w:szCs w:val="20"/>
        </w:rPr>
        <w:t xml:space="preserve"> </w:t>
      </w:r>
      <w:r w:rsidRPr="00995557">
        <w:rPr>
          <w:spacing w:val="0"/>
          <w:szCs w:val="20"/>
        </w:rPr>
        <w:t xml:space="preserve">En tal sentido, </w:t>
      </w:r>
      <w:r w:rsidR="006B5BC8" w:rsidRPr="00995557">
        <w:rPr>
          <w:spacing w:val="0"/>
          <w:szCs w:val="20"/>
        </w:rPr>
        <w:t>se</w:t>
      </w:r>
      <w:r w:rsidRPr="00995557">
        <w:rPr>
          <w:spacing w:val="0"/>
          <w:szCs w:val="20"/>
        </w:rPr>
        <w:t xml:space="preserve"> ha indicado que </w:t>
      </w:r>
      <w:r w:rsidRPr="00995557">
        <w:rPr>
          <w:rFonts w:cs="Arial"/>
          <w:spacing w:val="0"/>
          <w:szCs w:val="20"/>
        </w:rPr>
        <w:t>para que una investigación sea efectiva en los términos de la </w:t>
      </w:r>
      <w:r w:rsidRPr="00995557">
        <w:rPr>
          <w:rStyle w:val="nfasis"/>
          <w:rFonts w:cs="Arial"/>
          <w:i w:val="0"/>
          <w:iCs w:val="0"/>
          <w:spacing w:val="0"/>
          <w:szCs w:val="20"/>
        </w:rPr>
        <w:t>Con</w:t>
      </w:r>
      <w:r w:rsidRPr="00995557">
        <w:rPr>
          <w:rFonts w:cs="Arial"/>
          <w:spacing w:val="0"/>
          <w:szCs w:val="20"/>
        </w:rPr>
        <w:t>vención,</w:t>
      </w:r>
      <w:r w:rsidRPr="00995557">
        <w:rPr>
          <w:rFonts w:cs="Arial"/>
          <w:i/>
          <w:iCs/>
          <w:spacing w:val="0"/>
          <w:szCs w:val="20"/>
        </w:rPr>
        <w:t> </w:t>
      </w:r>
      <w:r w:rsidRPr="00995557">
        <w:rPr>
          <w:rStyle w:val="nfasis"/>
          <w:rFonts w:cs="Arial"/>
          <w:i w:val="0"/>
          <w:iCs w:val="0"/>
          <w:spacing w:val="0"/>
          <w:szCs w:val="20"/>
        </w:rPr>
        <w:t>debe llevarse a cabo con la debida diligencia</w:t>
      </w:r>
      <w:r w:rsidRPr="00995557">
        <w:rPr>
          <w:rFonts w:cs="Arial"/>
          <w:spacing w:val="0"/>
          <w:szCs w:val="20"/>
        </w:rPr>
        <w:t>, la cual exige que el órgano que investiga lleve a </w:t>
      </w:r>
      <w:r w:rsidRPr="00995557">
        <w:rPr>
          <w:rStyle w:val="nfasis"/>
          <w:rFonts w:cs="Arial"/>
          <w:i w:val="0"/>
          <w:iCs w:val="0"/>
          <w:spacing w:val="0"/>
          <w:szCs w:val="20"/>
        </w:rPr>
        <w:t>cabo</w:t>
      </w:r>
      <w:r w:rsidRPr="00995557">
        <w:rPr>
          <w:rFonts w:cs="Arial"/>
          <w:spacing w:val="0"/>
          <w:szCs w:val="20"/>
        </w:rPr>
        <w:t> todas aquellas actuaciones y averiguaciones necesarias para procurar el resultado que se persigue</w:t>
      </w:r>
      <w:r w:rsidRPr="00995557">
        <w:rPr>
          <w:rStyle w:val="Refdenotaalpie"/>
          <w:rFonts w:cs="Arial"/>
          <w:spacing w:val="0"/>
          <w:szCs w:val="20"/>
        </w:rPr>
        <w:footnoteReference w:id="152"/>
      </w:r>
      <w:r w:rsidRPr="00995557">
        <w:rPr>
          <w:rFonts w:cs="Arial"/>
          <w:spacing w:val="0"/>
          <w:szCs w:val="20"/>
        </w:rPr>
        <w:t xml:space="preserve">. De esa cuenta, </w:t>
      </w:r>
      <w:r w:rsidRPr="00995557">
        <w:rPr>
          <w:snapToGrid w:val="0"/>
          <w:spacing w:val="0"/>
          <w:szCs w:val="20"/>
          <w:lang w:eastAsia="es-ES"/>
        </w:rPr>
        <w:t>en aras de garantizar la efectividad de la investigación se debe evitar omisiones en la recaudación de prueba y en el seguimiento de líneas lógicas de investigación</w:t>
      </w:r>
      <w:r w:rsidRPr="00995557">
        <w:rPr>
          <w:rStyle w:val="Refdenotaalpie"/>
          <w:snapToGrid w:val="0"/>
          <w:spacing w:val="0"/>
          <w:szCs w:val="20"/>
          <w:lang w:eastAsia="es-ES"/>
        </w:rPr>
        <w:footnoteReference w:id="153"/>
      </w:r>
      <w:r w:rsidRPr="00995557">
        <w:rPr>
          <w:snapToGrid w:val="0"/>
          <w:spacing w:val="0"/>
          <w:szCs w:val="20"/>
          <w:lang w:eastAsia="es-ES"/>
        </w:rPr>
        <w:t>.</w:t>
      </w:r>
    </w:p>
    <w:p w14:paraId="51F17F52" w14:textId="77777777" w:rsidR="00662FD3" w:rsidRPr="00995557" w:rsidRDefault="00662FD3" w:rsidP="00AA627A">
      <w:pPr>
        <w:pStyle w:val="PrrafodeSentencia"/>
        <w:widowControl w:val="0"/>
        <w:numPr>
          <w:ilvl w:val="0"/>
          <w:numId w:val="0"/>
        </w:numPr>
        <w:rPr>
          <w:snapToGrid w:val="0"/>
          <w:spacing w:val="0"/>
          <w:szCs w:val="20"/>
          <w:lang w:eastAsia="es-ES"/>
        </w:rPr>
      </w:pPr>
    </w:p>
    <w:p w14:paraId="38AE5C35" w14:textId="77777777" w:rsidR="00662FD3" w:rsidRPr="00995557" w:rsidRDefault="00662FD3" w:rsidP="00AA627A">
      <w:pPr>
        <w:pStyle w:val="PrrafodeSentencia"/>
        <w:widowControl w:val="0"/>
        <w:numPr>
          <w:ilvl w:val="0"/>
          <w:numId w:val="2"/>
        </w:numPr>
        <w:ind w:left="0" w:firstLine="0"/>
        <w:rPr>
          <w:rFonts w:eastAsia="Verdana" w:cs="Verdana"/>
          <w:spacing w:val="0"/>
          <w:szCs w:val="20"/>
        </w:rPr>
      </w:pPr>
      <w:r w:rsidRPr="00995557">
        <w:rPr>
          <w:rFonts w:eastAsia="Verdana" w:cs="Verdana"/>
          <w:spacing w:val="0"/>
          <w:szCs w:val="20"/>
        </w:rPr>
        <w:t xml:space="preserve">Asimismo, este Tribunal ha considerado que la eficiente determinación de la verdad en el marco de la obligación de investigar una posible </w:t>
      </w:r>
      <w:proofErr w:type="gramStart"/>
      <w:r w:rsidRPr="00995557">
        <w:rPr>
          <w:rFonts w:eastAsia="Verdana" w:cs="Verdana"/>
          <w:spacing w:val="0"/>
          <w:szCs w:val="20"/>
        </w:rPr>
        <w:t>muerte,</w:t>
      </w:r>
      <w:proofErr w:type="gramEnd"/>
      <w:r w:rsidRPr="00995557">
        <w:rPr>
          <w:rFonts w:eastAsia="Verdana" w:cs="Verdana"/>
          <w:spacing w:val="0"/>
          <w:szCs w:val="20"/>
        </w:rPr>
        <w:t xml:space="preserve"> debe mostrarse desde las primeras diligencias con toda acuciosidad</w:t>
      </w:r>
      <w:r w:rsidRPr="00995557">
        <w:rPr>
          <w:rStyle w:val="Refdenotaalpie"/>
          <w:rFonts w:eastAsia="Verdana" w:cs="Verdana"/>
          <w:spacing w:val="0"/>
          <w:szCs w:val="20"/>
        </w:rPr>
        <w:footnoteReference w:id="154"/>
      </w:r>
      <w:r w:rsidRPr="00995557">
        <w:rPr>
          <w:rFonts w:eastAsia="Verdana" w:cs="Verdana"/>
          <w:spacing w:val="0"/>
          <w:szCs w:val="20"/>
        </w:rPr>
        <w:t xml:space="preserve">. En tal sentido, ha especificado que las autoridades estatales que conducen una investigación de este tipo deben intentar como mínimo, </w:t>
      </w:r>
      <w:r w:rsidRPr="00995557">
        <w:rPr>
          <w:rFonts w:eastAsia="Verdana" w:cs="Verdana"/>
          <w:i/>
          <w:spacing w:val="0"/>
          <w:szCs w:val="20"/>
        </w:rPr>
        <w:t>inter alia</w:t>
      </w:r>
      <w:r w:rsidRPr="00995557">
        <w:rPr>
          <w:rFonts w:eastAsia="Verdana" w:cs="Verdana"/>
          <w:spacing w:val="0"/>
          <w:szCs w:val="20"/>
        </w:rPr>
        <w:t xml:space="preserve">: a) identificar a la víctima; b) recuperar y preservar el material probatorio relacionado con la muerte, con el fin de ayudar en cualquier potencial investigación penal de los responsables; </w:t>
      </w:r>
      <w:r w:rsidRPr="00995557">
        <w:rPr>
          <w:rFonts w:eastAsia="Verdana" w:cs="Verdana"/>
          <w:spacing w:val="0"/>
          <w:szCs w:val="20"/>
        </w:rPr>
        <w:lastRenderedPageBreak/>
        <w:t>c) identificar posibles testigos y obtener sus declaraciones en relación con la muerte que se investiga; d) determinar la causa, forma, lugar y momento de la muerte, así como cualquier patrón o práctica que pueda haber causado la muerte, y e) distinguir entre muerte natural, muerte accidental, suicidio y homicidio. Además, es necesario investigar exhaustivamente la escena del delito, se deben realizar autopsias y análisis de restos humanos, en forma rigurosa, por profesionales competentes y empleando los procedimientos más apropiados</w:t>
      </w:r>
      <w:r w:rsidRPr="00995557">
        <w:rPr>
          <w:rStyle w:val="Refdenotaalpie"/>
          <w:rFonts w:eastAsia="Verdana" w:cs="Verdana"/>
          <w:spacing w:val="0"/>
          <w:szCs w:val="20"/>
        </w:rPr>
        <w:footnoteReference w:id="155"/>
      </w:r>
      <w:r w:rsidRPr="00995557">
        <w:rPr>
          <w:rFonts w:eastAsia="Verdana" w:cs="Verdana"/>
          <w:spacing w:val="0"/>
          <w:szCs w:val="20"/>
        </w:rPr>
        <w:t>.</w:t>
      </w:r>
    </w:p>
    <w:p w14:paraId="14143AEB" w14:textId="77777777" w:rsidR="00662FD3" w:rsidRPr="00995557" w:rsidRDefault="00662FD3" w:rsidP="00AA627A">
      <w:pPr>
        <w:rPr>
          <w:lang w:eastAsia="es-MX"/>
        </w:rPr>
      </w:pPr>
    </w:p>
    <w:p w14:paraId="6724FECB" w14:textId="77777777" w:rsidR="00662FD3" w:rsidRPr="00995557" w:rsidRDefault="00662FD3" w:rsidP="00AA627A">
      <w:pPr>
        <w:pStyle w:val="PrrafodeSentencia"/>
        <w:widowControl w:val="0"/>
        <w:numPr>
          <w:ilvl w:val="0"/>
          <w:numId w:val="2"/>
        </w:numPr>
        <w:ind w:left="0" w:firstLine="0"/>
        <w:rPr>
          <w:spacing w:val="0"/>
          <w:szCs w:val="20"/>
        </w:rPr>
      </w:pPr>
      <w:r w:rsidRPr="00995557">
        <w:rPr>
          <w:spacing w:val="0"/>
          <w:szCs w:val="20"/>
        </w:rPr>
        <w:t xml:space="preserve">En particular, la Corte ha indicado que cuando el Estado </w:t>
      </w:r>
      <w:r w:rsidRPr="00995557">
        <w:rPr>
          <w:rFonts w:cs="Verdana"/>
          <w:spacing w:val="0"/>
          <w:szCs w:val="20"/>
        </w:rPr>
        <w:t>tenga conocimiento de que sus agentes de seguridad han hecho uso de armas de fuego con consecuencias letales, está obligado a i</w:t>
      </w:r>
      <w:r w:rsidRPr="00995557">
        <w:rPr>
          <w:spacing w:val="0"/>
          <w:szCs w:val="20"/>
        </w:rPr>
        <w:t xml:space="preserve">niciar </w:t>
      </w:r>
      <w:r w:rsidRPr="00995557">
        <w:rPr>
          <w:i/>
          <w:spacing w:val="0"/>
          <w:szCs w:val="20"/>
        </w:rPr>
        <w:t>ex officio</w:t>
      </w:r>
      <w:r w:rsidRPr="00995557">
        <w:rPr>
          <w:spacing w:val="0"/>
          <w:szCs w:val="20"/>
        </w:rPr>
        <w:t xml:space="preserve"> y sin dilación, una investigación seria, independiente, imparcial y efectiva</w:t>
      </w:r>
      <w:r w:rsidRPr="00995557">
        <w:rPr>
          <w:rStyle w:val="Refdenotaalpie"/>
          <w:spacing w:val="0"/>
          <w:szCs w:val="20"/>
        </w:rPr>
        <w:footnoteReference w:id="156"/>
      </w:r>
      <w:r w:rsidRPr="00995557">
        <w:rPr>
          <w:spacing w:val="0"/>
          <w:szCs w:val="20"/>
        </w:rPr>
        <w:t>.</w:t>
      </w:r>
    </w:p>
    <w:p w14:paraId="114F9F25" w14:textId="77777777" w:rsidR="00662FD3" w:rsidRPr="00995557" w:rsidRDefault="00662FD3" w:rsidP="00AA627A">
      <w:pPr>
        <w:rPr>
          <w:lang w:eastAsia="es-MX"/>
        </w:rPr>
      </w:pPr>
    </w:p>
    <w:p w14:paraId="36990969" w14:textId="10C26546" w:rsidR="00662FD3" w:rsidRPr="00995557" w:rsidRDefault="00662FD3" w:rsidP="00AA627A">
      <w:pPr>
        <w:pStyle w:val="PrrafodeSentencia"/>
        <w:widowControl w:val="0"/>
        <w:numPr>
          <w:ilvl w:val="0"/>
          <w:numId w:val="2"/>
        </w:numPr>
        <w:ind w:left="0" w:firstLine="0"/>
        <w:rPr>
          <w:rFonts w:cs="Verdana"/>
          <w:bCs/>
          <w:spacing w:val="0"/>
          <w:szCs w:val="20"/>
        </w:rPr>
      </w:pPr>
      <w:r w:rsidRPr="00995557">
        <w:rPr>
          <w:rFonts w:cs="Arial"/>
          <w:spacing w:val="0"/>
          <w:szCs w:val="20"/>
        </w:rPr>
        <w:t xml:space="preserve">Por otro lado, </w:t>
      </w:r>
      <w:r w:rsidRPr="00995557">
        <w:rPr>
          <w:rFonts w:eastAsia="MS Mincho" w:cs="Verdana"/>
          <w:bCs/>
          <w:spacing w:val="0"/>
          <w:szCs w:val="20"/>
          <w:lang w:eastAsia="en-US"/>
        </w:rPr>
        <w:t>el Tribunal</w:t>
      </w:r>
      <w:r w:rsidRPr="00995557">
        <w:rPr>
          <w:rFonts w:cs="Verdana"/>
          <w:bCs/>
          <w:spacing w:val="0"/>
          <w:szCs w:val="20"/>
        </w:rPr>
        <w:t xml:space="preserve"> ha establecido en su jurisprudencia constante que una demora prolongada en el proceso puede llegar a constituir, por sí misma, una </w:t>
      </w:r>
      <w:r w:rsidRPr="00995557">
        <w:rPr>
          <w:snapToGrid w:val="0"/>
          <w:spacing w:val="0"/>
          <w:szCs w:val="20"/>
          <w:lang w:eastAsia="es-ES"/>
        </w:rPr>
        <w:t>violación</w:t>
      </w:r>
      <w:r w:rsidRPr="00995557">
        <w:rPr>
          <w:rFonts w:cs="Verdana"/>
          <w:bCs/>
          <w:spacing w:val="0"/>
          <w:szCs w:val="20"/>
        </w:rPr>
        <w:t xml:space="preserve"> a las garantías judiciales</w:t>
      </w:r>
      <w:r w:rsidRPr="00995557">
        <w:rPr>
          <w:rStyle w:val="Refdenotaalpie"/>
          <w:bCs/>
          <w:spacing w:val="0"/>
          <w:szCs w:val="20"/>
        </w:rPr>
        <w:footnoteReference w:id="157"/>
      </w:r>
      <w:r w:rsidRPr="00995557">
        <w:rPr>
          <w:rFonts w:cs="Verdana"/>
          <w:bCs/>
          <w:spacing w:val="0"/>
          <w:szCs w:val="20"/>
        </w:rPr>
        <w:t>. El Tribunal ha establecido que la evaluación del plazo razonable se debe analizar en cada caso concreto, en relación con la duración total del proceso, lo cual podría también incluir la ejecución de la sentencia definitiva. Así, ha considerado cuatro elementos para analizar si se cumplió con la garantía del plazo razonable, a saber: a) la complejidad del asunto</w:t>
      </w:r>
      <w:r w:rsidRPr="00995557">
        <w:rPr>
          <w:rStyle w:val="Refdenotaalpie"/>
          <w:bCs/>
          <w:spacing w:val="0"/>
          <w:szCs w:val="20"/>
        </w:rPr>
        <w:footnoteReference w:id="158"/>
      </w:r>
      <w:r w:rsidRPr="00995557">
        <w:rPr>
          <w:rFonts w:cs="Verdana"/>
          <w:bCs/>
          <w:spacing w:val="0"/>
          <w:szCs w:val="20"/>
        </w:rPr>
        <w:t>; b) la actividad procesal del interesado</w:t>
      </w:r>
      <w:r w:rsidRPr="00995557">
        <w:rPr>
          <w:rStyle w:val="Refdenotaalpie"/>
          <w:bCs/>
          <w:spacing w:val="0"/>
          <w:szCs w:val="20"/>
        </w:rPr>
        <w:footnoteReference w:id="159"/>
      </w:r>
      <w:r w:rsidRPr="00995557">
        <w:rPr>
          <w:rFonts w:cs="Verdana"/>
          <w:bCs/>
          <w:spacing w:val="0"/>
          <w:szCs w:val="20"/>
        </w:rPr>
        <w:t>; c) la conducta de las autoridades judiciales</w:t>
      </w:r>
      <w:r w:rsidRPr="00995557">
        <w:rPr>
          <w:rStyle w:val="Refdenotaalpie"/>
          <w:bCs/>
          <w:spacing w:val="0"/>
          <w:szCs w:val="20"/>
        </w:rPr>
        <w:footnoteReference w:id="160"/>
      </w:r>
      <w:r w:rsidRPr="00995557">
        <w:rPr>
          <w:rFonts w:cs="Verdana"/>
          <w:bCs/>
          <w:spacing w:val="0"/>
          <w:szCs w:val="20"/>
        </w:rPr>
        <w:t>, y d) la afectación generada en la situación jurídica de la presunta víctima</w:t>
      </w:r>
      <w:r w:rsidRPr="00995557">
        <w:rPr>
          <w:rStyle w:val="Refdenotaalpie"/>
          <w:bCs/>
          <w:spacing w:val="0"/>
          <w:szCs w:val="20"/>
        </w:rPr>
        <w:footnoteReference w:id="161"/>
      </w:r>
      <w:r w:rsidRPr="00995557">
        <w:rPr>
          <w:rFonts w:cs="Verdana"/>
          <w:bCs/>
          <w:spacing w:val="0"/>
          <w:szCs w:val="20"/>
        </w:rPr>
        <w:t xml:space="preserve">. La Corte recuerda que corresponde al Estado justificar, con fundamento en los criterios señalados, la razón por la cual ha requerido del tiempo transcurrido para tratar los casos y, en la eventualidad de que este no lo demuestre, la Corte tiene amplias atribuciones para hacer </w:t>
      </w:r>
      <w:r w:rsidRPr="00995557">
        <w:rPr>
          <w:rFonts w:cs="Verdana"/>
          <w:bCs/>
          <w:spacing w:val="0"/>
          <w:szCs w:val="20"/>
        </w:rPr>
        <w:lastRenderedPageBreak/>
        <w:t>su propia estimación al respecto</w:t>
      </w:r>
      <w:r w:rsidRPr="00995557">
        <w:rPr>
          <w:rStyle w:val="Refdenotaalpie"/>
          <w:bCs/>
          <w:spacing w:val="0"/>
          <w:szCs w:val="20"/>
        </w:rPr>
        <w:footnoteReference w:id="162"/>
      </w:r>
      <w:r w:rsidRPr="00995557">
        <w:rPr>
          <w:rFonts w:cs="Verdana"/>
          <w:bCs/>
          <w:spacing w:val="0"/>
          <w:szCs w:val="20"/>
        </w:rPr>
        <w:t xml:space="preserve">. El Tribunal reitera, además, que se debe apreciar la duración total del proceso, desde el primer acto procesal hasta que se dicte </w:t>
      </w:r>
      <w:r w:rsidR="009F1A57" w:rsidRPr="00995557">
        <w:rPr>
          <w:rFonts w:cs="Verdana"/>
          <w:bCs/>
          <w:spacing w:val="0"/>
          <w:szCs w:val="20"/>
        </w:rPr>
        <w:t xml:space="preserve">la </w:t>
      </w:r>
      <w:r w:rsidRPr="00995557">
        <w:rPr>
          <w:rFonts w:cs="Verdana"/>
          <w:bCs/>
          <w:spacing w:val="0"/>
          <w:szCs w:val="20"/>
        </w:rPr>
        <w:t>sentencia definitiva, incluyendo los recursos de instancia que pudieran eventualmente presentarse</w:t>
      </w:r>
      <w:r w:rsidRPr="00995557">
        <w:rPr>
          <w:rStyle w:val="Refdenotaalpie"/>
          <w:bCs/>
          <w:spacing w:val="0"/>
          <w:szCs w:val="20"/>
        </w:rPr>
        <w:footnoteReference w:id="163"/>
      </w:r>
      <w:r w:rsidRPr="00995557">
        <w:rPr>
          <w:rFonts w:cs="Verdana"/>
          <w:bCs/>
          <w:spacing w:val="0"/>
          <w:szCs w:val="20"/>
        </w:rPr>
        <w:t>.</w:t>
      </w:r>
    </w:p>
    <w:p w14:paraId="280AD91D" w14:textId="77777777" w:rsidR="00662FD3" w:rsidRPr="00995557" w:rsidRDefault="00662FD3" w:rsidP="00AA627A">
      <w:pPr>
        <w:widowControl w:val="0"/>
        <w:rPr>
          <w:lang w:eastAsia="es-MX"/>
        </w:rPr>
      </w:pPr>
    </w:p>
    <w:p w14:paraId="4337EA74" w14:textId="1294F1A9" w:rsidR="006B5BC8" w:rsidRPr="00995557" w:rsidRDefault="00662FD3" w:rsidP="00AA627A">
      <w:pPr>
        <w:pStyle w:val="Prrafodelista"/>
        <w:widowControl w:val="0"/>
        <w:numPr>
          <w:ilvl w:val="0"/>
          <w:numId w:val="2"/>
        </w:numPr>
        <w:tabs>
          <w:tab w:val="left" w:pos="567"/>
        </w:tabs>
        <w:ind w:left="0" w:firstLine="0"/>
        <w:jc w:val="both"/>
        <w:rPr>
          <w:lang w:eastAsia="es-MX"/>
        </w:rPr>
      </w:pPr>
      <w:r w:rsidRPr="00995557">
        <w:rPr>
          <w:lang w:eastAsia="es-MX"/>
        </w:rPr>
        <w:t>En el presente caso, el Estado reconoció su responsabilidad por la violación de los derechos reconocidos en los artículos 8.1 y 25</w:t>
      </w:r>
      <w:r w:rsidR="00F6210A" w:rsidRPr="00995557">
        <w:rPr>
          <w:lang w:eastAsia="es-MX"/>
        </w:rPr>
        <w:t>.1</w:t>
      </w:r>
      <w:r w:rsidRPr="00995557">
        <w:rPr>
          <w:lang w:eastAsia="es-MX"/>
        </w:rPr>
        <w:t xml:space="preserve"> de la Convención Americana. </w:t>
      </w:r>
      <w:r w:rsidR="006B5BC8" w:rsidRPr="00995557">
        <w:t xml:space="preserve">A ese respecto, </w:t>
      </w:r>
      <w:r w:rsidR="000C1B92" w:rsidRPr="00995557">
        <w:t xml:space="preserve">la Corte </w:t>
      </w:r>
      <w:r w:rsidR="006B5BC8" w:rsidRPr="00995557">
        <w:t>destaca que los hechos ocurridos en la cárcel de Vista Hermosa no han sido esclarecidos, no se ha identificado a los responsables ni se ha proveído una reparación a las víctimas de tales sucesos.</w:t>
      </w:r>
      <w:r w:rsidR="006B5BC8" w:rsidRPr="00995557">
        <w:rPr>
          <w:lang w:eastAsia="es-MX"/>
        </w:rPr>
        <w:t xml:space="preserve"> </w:t>
      </w:r>
      <w:r w:rsidRPr="00995557">
        <w:rPr>
          <w:lang w:eastAsia="es-MX"/>
        </w:rPr>
        <w:t>En ese contexto, la investigación, además de no indagar respecto de las lesiones provocadas a los 27 internos que resultaron heridos, no incluyó a otros agentes del referido cuerpo militar ni a custodios del centro penitenciario que estuvieron presentes al consumarse los hechos; tal omisión, que fue advertida oportunamente por la Corte de Apelaciones Penal de Ciudad Bolívar</w:t>
      </w:r>
      <w:r w:rsidRPr="00995557">
        <w:rPr>
          <w:rStyle w:val="Refdenotaalpie"/>
          <w:lang w:eastAsia="es-MX"/>
        </w:rPr>
        <w:footnoteReference w:id="164"/>
      </w:r>
      <w:r w:rsidRPr="00995557">
        <w:rPr>
          <w:lang w:eastAsia="es-MX"/>
        </w:rPr>
        <w:t>, determina que se faltó a la debida diligencia, en tanto la investigación no habría abarcado todas las actuaciones y diligencias necesarias para procurar el resultado pretendido.</w:t>
      </w:r>
    </w:p>
    <w:p w14:paraId="532A3177" w14:textId="77777777" w:rsidR="00662FD3" w:rsidRPr="00995557" w:rsidRDefault="00662FD3" w:rsidP="00AA627A">
      <w:pPr>
        <w:pStyle w:val="Prrafodelista"/>
        <w:widowControl w:val="0"/>
        <w:tabs>
          <w:tab w:val="left" w:pos="567"/>
        </w:tabs>
        <w:ind w:left="0"/>
        <w:jc w:val="both"/>
        <w:rPr>
          <w:lang w:eastAsia="es-MX"/>
        </w:rPr>
      </w:pPr>
    </w:p>
    <w:p w14:paraId="14B88D75" w14:textId="77777777" w:rsidR="0027128F" w:rsidRPr="00995557" w:rsidRDefault="00662FD3" w:rsidP="00AA627A">
      <w:pPr>
        <w:pStyle w:val="Prrafodelista"/>
        <w:widowControl w:val="0"/>
        <w:numPr>
          <w:ilvl w:val="0"/>
          <w:numId w:val="2"/>
        </w:numPr>
        <w:tabs>
          <w:tab w:val="left" w:pos="567"/>
        </w:tabs>
        <w:ind w:left="0" w:firstLine="0"/>
        <w:jc w:val="both"/>
        <w:rPr>
          <w:lang w:eastAsia="es-MX"/>
        </w:rPr>
      </w:pPr>
      <w:r w:rsidRPr="00995557">
        <w:rPr>
          <w:lang w:eastAsia="es-MX"/>
        </w:rPr>
        <w:t>A lo anterior se suma que las autoridades encargadas no agotaron, como línea lógica de investigación, la posible represalia por la protesta efectuada días antes por las personas privadas de libertad, lo que eventualmente habría permitido identificar el motivo de la actuación de los agentes estatales, sin que el proceso a nivel interno haya indagado en tal elemento, lo que incide en la falta de esclarecimiento de lo sucedido.</w:t>
      </w:r>
    </w:p>
    <w:p w14:paraId="07177236" w14:textId="77777777" w:rsidR="00662FD3" w:rsidRPr="00995557" w:rsidRDefault="00662FD3" w:rsidP="00AA627A">
      <w:pPr>
        <w:pStyle w:val="Prrafodelista"/>
        <w:widowControl w:val="0"/>
        <w:tabs>
          <w:tab w:val="left" w:pos="567"/>
        </w:tabs>
        <w:ind w:left="0"/>
        <w:jc w:val="both"/>
        <w:rPr>
          <w:lang w:eastAsia="es-MX"/>
        </w:rPr>
      </w:pPr>
    </w:p>
    <w:p w14:paraId="298537A4" w14:textId="22F6686A" w:rsidR="007E04EA" w:rsidRPr="00995557" w:rsidRDefault="00662FD3" w:rsidP="00AA627A">
      <w:pPr>
        <w:pStyle w:val="Prrafodelista"/>
        <w:widowControl w:val="0"/>
        <w:numPr>
          <w:ilvl w:val="0"/>
          <w:numId w:val="2"/>
        </w:numPr>
        <w:tabs>
          <w:tab w:val="left" w:pos="567"/>
        </w:tabs>
        <w:ind w:left="0" w:firstLine="0"/>
        <w:jc w:val="both"/>
      </w:pPr>
      <w:r w:rsidRPr="00995557">
        <w:rPr>
          <w:lang w:eastAsia="es-MX"/>
        </w:rPr>
        <w:t xml:space="preserve">En cuanto a las autopsias </w:t>
      </w:r>
      <w:proofErr w:type="gramStart"/>
      <w:r w:rsidRPr="00995557">
        <w:rPr>
          <w:lang w:eastAsia="es-MX"/>
        </w:rPr>
        <w:t>médico legales</w:t>
      </w:r>
      <w:proofErr w:type="gramEnd"/>
      <w:r w:rsidRPr="00995557">
        <w:rPr>
          <w:lang w:eastAsia="es-MX"/>
        </w:rPr>
        <w:t xml:space="preserve">, </w:t>
      </w:r>
      <w:r w:rsidRPr="00995557">
        <w:rPr>
          <w:rFonts w:cs="Arial"/>
        </w:rPr>
        <w:t>el Tribunal recuerda que tienen como objetivo recolectar, como mínimo, información para identificar a la persona muerta, la hora, fecha, causa y forma de la muerte</w:t>
      </w:r>
      <w:r w:rsidR="00C379DD" w:rsidRPr="00995557">
        <w:rPr>
          <w:rStyle w:val="Refdenotaalpie"/>
          <w:rFonts w:cs="Arial"/>
        </w:rPr>
        <w:footnoteReference w:id="165"/>
      </w:r>
      <w:r w:rsidRPr="00995557">
        <w:rPr>
          <w:rFonts w:cs="Arial"/>
        </w:rPr>
        <w:t>. Asimismo, se debe fotografiar adecuadament</w:t>
      </w:r>
      <w:r w:rsidR="007E04EA" w:rsidRPr="00995557">
        <w:rPr>
          <w:rFonts w:cs="Arial"/>
        </w:rPr>
        <w:t>e el cuerpo,</w:t>
      </w:r>
      <w:r w:rsidRPr="00995557">
        <w:rPr>
          <w:rFonts w:cs="Arial"/>
        </w:rPr>
        <w:t xml:space="preserve"> tomar radiografías del cadáver, de su bolsa o envoltorio</w:t>
      </w:r>
      <w:r w:rsidR="007E04EA" w:rsidRPr="00995557">
        <w:rPr>
          <w:rFonts w:cs="Arial"/>
        </w:rPr>
        <w:t>,</w:t>
      </w:r>
      <w:r w:rsidRPr="00995557">
        <w:rPr>
          <w:rFonts w:cs="Arial"/>
        </w:rPr>
        <w:t xml:space="preserve"> y después de desvestirlo, documentar toda lesión</w:t>
      </w:r>
      <w:r w:rsidRPr="00995557">
        <w:rPr>
          <w:rStyle w:val="Refdenotaalpie"/>
          <w:rFonts w:cs="Arial"/>
        </w:rPr>
        <w:footnoteReference w:id="166"/>
      </w:r>
      <w:r w:rsidRPr="00995557">
        <w:rPr>
          <w:rFonts w:cs="Arial"/>
        </w:rPr>
        <w:t>. De esa cuenta, entre otras falencias in</w:t>
      </w:r>
      <w:r w:rsidRPr="00995557">
        <w:t xml:space="preserve">compatibles con los estándares que recoge el </w:t>
      </w:r>
      <w:r w:rsidRPr="00995557">
        <w:rPr>
          <w:i/>
        </w:rPr>
        <w:t>Protocolo de Minnesota</w:t>
      </w:r>
      <w:r w:rsidRPr="00995557">
        <w:rPr>
          <w:rStyle w:val="Refdenotaalpie"/>
        </w:rPr>
        <w:footnoteReference w:id="167"/>
      </w:r>
      <w:r w:rsidRPr="00995557">
        <w:rPr>
          <w:rFonts w:cs="Arial"/>
        </w:rPr>
        <w:t xml:space="preserve">, resalta que en las autopsias llevadas a cabo el 11 de noviembre de 2003 </w:t>
      </w:r>
      <w:r w:rsidRPr="00995557">
        <w:t xml:space="preserve">no se examinó la superficie interna del cráneo de los cadáveres de las </w:t>
      </w:r>
      <w:r w:rsidR="00EE2771" w:rsidRPr="00995557">
        <w:t>siete</w:t>
      </w:r>
      <w:r w:rsidR="008F4965" w:rsidRPr="00995557">
        <w:t xml:space="preserve"> </w:t>
      </w:r>
      <w:r w:rsidRPr="00995557">
        <w:t xml:space="preserve">víctimas, </w:t>
      </w:r>
      <w:r w:rsidR="008F4965" w:rsidRPr="00995557">
        <w:t>seis</w:t>
      </w:r>
      <w:r w:rsidRPr="00995557">
        <w:t xml:space="preserve"> de las cuales fallecieron</w:t>
      </w:r>
      <w:r w:rsidR="00E2425A" w:rsidRPr="00995557">
        <w:t xml:space="preserve"> </w:t>
      </w:r>
      <w:r w:rsidRPr="00995557">
        <w:t xml:space="preserve">por fracturas </w:t>
      </w:r>
      <w:r w:rsidR="006C1678" w:rsidRPr="00995557">
        <w:t>de</w:t>
      </w:r>
      <w:r w:rsidRPr="00995557">
        <w:t xml:space="preserve"> cráneo debido a heridas por arma de fuego</w:t>
      </w:r>
      <w:r w:rsidRPr="00995557">
        <w:rPr>
          <w:rStyle w:val="Refdenotaalpie"/>
        </w:rPr>
        <w:footnoteReference w:id="168"/>
      </w:r>
      <w:r w:rsidR="000C1B92" w:rsidRPr="00995557">
        <w:t xml:space="preserve">. </w:t>
      </w:r>
      <w:r w:rsidR="000C1B92" w:rsidRPr="00995557">
        <w:lastRenderedPageBreak/>
        <w:t>A</w:t>
      </w:r>
      <w:r w:rsidR="006C1678" w:rsidRPr="00995557">
        <w:t>unado a ello,</w:t>
      </w:r>
      <w:r w:rsidRPr="00995557">
        <w:t xml:space="preserve"> como fue argumentado por la Comisión y los representantes, y no controvertido por el Estado, </w:t>
      </w:r>
      <w:r w:rsidR="0090137C" w:rsidRPr="00995557">
        <w:t xml:space="preserve">en dicha oportunidad </w:t>
      </w:r>
      <w:r w:rsidRPr="00995557">
        <w:t>no fueron tomadas fotografías ni radiografías a los cuerpos</w:t>
      </w:r>
      <w:r w:rsidRPr="00995557">
        <w:rPr>
          <w:rStyle w:val="Refdenotaalpie"/>
        </w:rPr>
        <w:footnoteReference w:id="169"/>
      </w:r>
      <w:r w:rsidRPr="00995557">
        <w:t>.</w:t>
      </w:r>
    </w:p>
    <w:p w14:paraId="76B466FE" w14:textId="77777777" w:rsidR="00662FD3" w:rsidRPr="00995557" w:rsidRDefault="00662FD3" w:rsidP="00AA627A">
      <w:pPr>
        <w:pStyle w:val="Prrafodelista"/>
      </w:pPr>
    </w:p>
    <w:p w14:paraId="01E00501" w14:textId="0474CB80" w:rsidR="00662FD3" w:rsidRPr="00995557" w:rsidRDefault="00662FD3" w:rsidP="00AA627A">
      <w:pPr>
        <w:pStyle w:val="Prrafodelista"/>
        <w:widowControl w:val="0"/>
        <w:numPr>
          <w:ilvl w:val="0"/>
          <w:numId w:val="2"/>
        </w:numPr>
        <w:tabs>
          <w:tab w:val="left" w:pos="567"/>
        </w:tabs>
        <w:ind w:left="0" w:firstLine="0"/>
        <w:jc w:val="both"/>
      </w:pPr>
      <w:r w:rsidRPr="00995557">
        <w:t xml:space="preserve">En todo caso, la falta de esclarecimiento de los hechos ha demorado más de </w:t>
      </w:r>
      <w:r w:rsidR="000C1B92" w:rsidRPr="00995557">
        <w:t>16</w:t>
      </w:r>
      <w:r w:rsidRPr="00995557">
        <w:t xml:space="preserve"> años, desde la fecha de su consumación. Si bien el asunto incluye un número considerable de víctimas, </w:t>
      </w:r>
      <w:r w:rsidR="000C1B92" w:rsidRPr="00995557">
        <w:t xml:space="preserve">la Corte advierte que </w:t>
      </w:r>
      <w:r w:rsidRPr="00995557">
        <w:t xml:space="preserve">todas eran personas internas en la cárcel de Vista Hermosa, quienes se encontraban bajo custodia del Estado, siendo testigos otros internos en el mismo centro; en tal sentido, la complejidad del caso no justificaría la demora. En cuanto a la actividad procesal del interesado en obtener justicia, </w:t>
      </w:r>
      <w:r w:rsidR="000C1B92" w:rsidRPr="00995557">
        <w:t>la Corte</w:t>
      </w:r>
      <w:r w:rsidRPr="00995557">
        <w:t xml:space="preserve"> constata que el proceder de los apoderados judiciales de Lorenza Josefina Pérez, previo a que se dictara el sobreseimiento de su pretensión</w:t>
      </w:r>
      <w:r w:rsidRPr="00995557">
        <w:rPr>
          <w:rStyle w:val="Refdenotaalpie"/>
        </w:rPr>
        <w:footnoteReference w:id="170"/>
      </w:r>
      <w:r w:rsidRPr="00995557">
        <w:t>, fue razonable, sin incidir en la prolongación indebida de la causa. En su oportunidad, el Estado intent</w:t>
      </w:r>
      <w:r w:rsidR="00BC423B" w:rsidRPr="00995557">
        <w:t>ó</w:t>
      </w:r>
      <w:r w:rsidRPr="00995557">
        <w:t xml:space="preserve"> justificar la demora en las actuaciones de los imputados y su defensa</w:t>
      </w:r>
      <w:r w:rsidRPr="00995557">
        <w:rPr>
          <w:rStyle w:val="Refdenotaalpie"/>
        </w:rPr>
        <w:footnoteReference w:id="171"/>
      </w:r>
      <w:r w:rsidRPr="00995557">
        <w:t>, quienes solicitaron el avocamiento de la causa ante la Sala de Casación Penal del Tribunal Supremo de Justicia</w:t>
      </w:r>
      <w:r w:rsidRPr="00995557">
        <w:rPr>
          <w:rStyle w:val="Refdenotaalpie"/>
        </w:rPr>
        <w:footnoteReference w:id="172"/>
      </w:r>
      <w:r w:rsidRPr="00995557">
        <w:t xml:space="preserve"> y promovieron acción de amparo contra la resolución de la Corte de Apelaciones Penal de Ciudad Bolívar que dispuso medida preventiva privativa de libertad contra los imputados</w:t>
      </w:r>
      <w:r w:rsidRPr="00995557">
        <w:rPr>
          <w:rStyle w:val="Refdenotaalpie"/>
        </w:rPr>
        <w:footnoteReference w:id="173"/>
      </w:r>
      <w:r w:rsidR="000C1B92" w:rsidRPr="00995557">
        <w:t>. S</w:t>
      </w:r>
      <w:r w:rsidRPr="00995557">
        <w:t>in embargo, tales pretensiones no fueron acogidas en octubre de 2004 y abril de 2005, respectivamente, con lo que no determinarían la razón de la excesiva demora.</w:t>
      </w:r>
    </w:p>
    <w:p w14:paraId="0A2CAC0B" w14:textId="77777777" w:rsidR="00662FD3" w:rsidRPr="00995557" w:rsidRDefault="00662FD3" w:rsidP="00AA627A">
      <w:pPr>
        <w:pStyle w:val="Prrafodelista"/>
        <w:widowControl w:val="0"/>
        <w:tabs>
          <w:tab w:val="left" w:pos="567"/>
        </w:tabs>
        <w:ind w:left="0"/>
        <w:jc w:val="both"/>
      </w:pPr>
    </w:p>
    <w:p w14:paraId="6ED0C9B5" w14:textId="77777777" w:rsidR="00662FD3" w:rsidRPr="00995557" w:rsidRDefault="00662FD3" w:rsidP="00AA627A">
      <w:pPr>
        <w:pStyle w:val="Prrafodelista"/>
        <w:widowControl w:val="0"/>
        <w:numPr>
          <w:ilvl w:val="0"/>
          <w:numId w:val="2"/>
        </w:numPr>
        <w:tabs>
          <w:tab w:val="left" w:pos="567"/>
        </w:tabs>
        <w:ind w:left="0" w:firstLine="0"/>
        <w:jc w:val="both"/>
      </w:pPr>
      <w:r w:rsidRPr="00995557">
        <w:t>En cuanto a la afectación generada por la duración del procedimiento en la situación jurídica de las personas involucradas, la Corte considera que no cuenta con elementos suficientes para pronunciarse al respecto.</w:t>
      </w:r>
    </w:p>
    <w:p w14:paraId="5AD71FED" w14:textId="77777777" w:rsidR="00662FD3" w:rsidRPr="00995557" w:rsidRDefault="00662FD3" w:rsidP="00AA627A">
      <w:pPr>
        <w:pStyle w:val="Prrafodelista"/>
        <w:widowControl w:val="0"/>
        <w:tabs>
          <w:tab w:val="left" w:pos="567"/>
        </w:tabs>
        <w:ind w:left="0"/>
        <w:jc w:val="both"/>
      </w:pPr>
    </w:p>
    <w:p w14:paraId="09F0A97B" w14:textId="7C13DF01" w:rsidR="00920590" w:rsidRPr="00995557" w:rsidRDefault="00662FD3" w:rsidP="00AA627A">
      <w:pPr>
        <w:pStyle w:val="Prrafodelista"/>
        <w:widowControl w:val="0"/>
        <w:numPr>
          <w:ilvl w:val="0"/>
          <w:numId w:val="2"/>
        </w:numPr>
        <w:tabs>
          <w:tab w:val="left" w:pos="567"/>
        </w:tabs>
        <w:ind w:left="0" w:firstLine="0"/>
        <w:jc w:val="both"/>
      </w:pPr>
      <w:r w:rsidRPr="00995557">
        <w:t>En tal sentido, es notable la prolongación injustificada del proceso, con evidentes periodos de inactividad, en particular de 2006 hasta 2012</w:t>
      </w:r>
      <w:r w:rsidR="000C1B92" w:rsidRPr="00995557">
        <w:t>. A</w:t>
      </w:r>
      <w:r w:rsidR="00920590" w:rsidRPr="00995557">
        <w:t>sí, ante la falta de explicación por parte del Estado, y dada la omisión en la remisión de la prueba para mejor resolver, se colige que durante dicho lapso el expediente judicial habría quedado inactivo.</w:t>
      </w:r>
    </w:p>
    <w:p w14:paraId="70A29A1D" w14:textId="77777777" w:rsidR="00920590" w:rsidRPr="00995557" w:rsidRDefault="00920590" w:rsidP="00AA627A">
      <w:pPr>
        <w:pStyle w:val="Prrafodelista"/>
      </w:pPr>
    </w:p>
    <w:p w14:paraId="28FF40D9" w14:textId="77777777" w:rsidR="00662FD3" w:rsidRPr="00995557" w:rsidRDefault="00662FD3" w:rsidP="00AA627A">
      <w:pPr>
        <w:pStyle w:val="Prrafodelista"/>
        <w:widowControl w:val="0"/>
        <w:numPr>
          <w:ilvl w:val="0"/>
          <w:numId w:val="2"/>
        </w:numPr>
        <w:tabs>
          <w:tab w:val="left" w:pos="567"/>
        </w:tabs>
        <w:ind w:left="0" w:firstLine="0"/>
        <w:jc w:val="both"/>
      </w:pPr>
      <w:r w:rsidRPr="00995557">
        <w:t>Asimismo, no se ha logrado justificar por qué el acto conclusivo fue presentado por el Ministerio Público hasta finales de 2012 (luego de una prórroga concedida para el efecto en mayo de 2005</w:t>
      </w:r>
      <w:r w:rsidRPr="00995557">
        <w:rPr>
          <w:rStyle w:val="Refdenotaalpie"/>
        </w:rPr>
        <w:footnoteReference w:id="174"/>
      </w:r>
      <w:r w:rsidRPr="00995557">
        <w:t xml:space="preserve"> y la negativa a fijarle término en junio de 2006</w:t>
      </w:r>
      <w:r w:rsidRPr="00995557">
        <w:rPr>
          <w:rStyle w:val="Refdenotaalpie"/>
        </w:rPr>
        <w:footnoteReference w:id="175"/>
      </w:r>
      <w:r w:rsidRPr="00995557">
        <w:t>), la audiencia preliminar se llevó a cabo en junio de 2014 (luego de ser diferida por lo menos en tres oportunidades</w:t>
      </w:r>
      <w:r w:rsidRPr="00995557">
        <w:rPr>
          <w:rStyle w:val="Refdenotaalpie"/>
        </w:rPr>
        <w:footnoteReference w:id="176"/>
      </w:r>
      <w:r w:rsidRPr="00995557">
        <w:t xml:space="preserve">) </w:t>
      </w:r>
      <w:r w:rsidRPr="00995557">
        <w:lastRenderedPageBreak/>
        <w:t>y el juicio oral y posterior sentencia absolutoria tuvieron lugar hasta el tercer cuatrimestre de 2016</w:t>
      </w:r>
      <w:r w:rsidRPr="00995557">
        <w:rPr>
          <w:rStyle w:val="Refdenotaalpie"/>
        </w:rPr>
        <w:footnoteReference w:id="177"/>
      </w:r>
      <w:r w:rsidRPr="00995557">
        <w:t>.</w:t>
      </w:r>
    </w:p>
    <w:p w14:paraId="6367977A" w14:textId="77777777" w:rsidR="0027128F" w:rsidRPr="00995557" w:rsidRDefault="0027128F" w:rsidP="00AA627A">
      <w:pPr>
        <w:pStyle w:val="Prrafodelista"/>
      </w:pPr>
    </w:p>
    <w:p w14:paraId="182B0A93" w14:textId="5DCCFA79" w:rsidR="00CA361E" w:rsidRPr="00995557" w:rsidRDefault="0056718E" w:rsidP="00AA627A">
      <w:pPr>
        <w:pStyle w:val="Prrafodelista"/>
        <w:widowControl w:val="0"/>
        <w:numPr>
          <w:ilvl w:val="0"/>
          <w:numId w:val="2"/>
        </w:numPr>
        <w:tabs>
          <w:tab w:val="left" w:pos="567"/>
        </w:tabs>
        <w:ind w:left="0" w:firstLine="0"/>
        <w:jc w:val="both"/>
      </w:pPr>
      <w:r w:rsidRPr="00995557">
        <w:t>En el presente caso, la Corte nota que</w:t>
      </w:r>
      <w:r w:rsidR="00450958" w:rsidRPr="00995557">
        <w:t>,</w:t>
      </w:r>
      <w:r w:rsidRPr="00995557">
        <w:t xml:space="preserve"> después de </w:t>
      </w:r>
      <w:r w:rsidR="00C17AEA" w:rsidRPr="00995557">
        <w:t xml:space="preserve">más de </w:t>
      </w:r>
      <w:r w:rsidR="000C1B92" w:rsidRPr="00995557">
        <w:t>16</w:t>
      </w:r>
      <w:r w:rsidRPr="00995557">
        <w:t xml:space="preserve"> años, los responsables de los hechos no han sido sancionados ni han s</w:t>
      </w:r>
      <w:r w:rsidR="009A50E1" w:rsidRPr="00995557">
        <w:t xml:space="preserve">ido reparadas las violaciones a </w:t>
      </w:r>
      <w:r w:rsidRPr="00995557">
        <w:t>derechos humanos</w:t>
      </w:r>
      <w:r w:rsidR="004C192E" w:rsidRPr="00995557">
        <w:t xml:space="preserve"> ocasionadas</w:t>
      </w:r>
      <w:r w:rsidRPr="00995557">
        <w:t xml:space="preserve">. </w:t>
      </w:r>
      <w:r w:rsidR="0027128F" w:rsidRPr="00995557">
        <w:t xml:space="preserve">Al respecto, la Corte recuerda que </w:t>
      </w:r>
      <w:r w:rsidR="00CA361E" w:rsidRPr="00995557">
        <w:t>ha definido la impunidad como la falta en su conjunto de investigación, persecución, captura, enjuiciamiento y condena de los responsables de</w:t>
      </w:r>
      <w:r w:rsidR="00F210CF" w:rsidRPr="00995557">
        <w:t xml:space="preserve"> los delitos que impliquen</w:t>
      </w:r>
      <w:r w:rsidR="00CA361E" w:rsidRPr="00995557">
        <w:t xml:space="preserve"> violaciones de los derechos protegidos por la Convención Americana</w:t>
      </w:r>
      <w:r w:rsidR="005F4E5E" w:rsidRPr="00995557">
        <w:rPr>
          <w:rStyle w:val="Refdenotaalpie"/>
        </w:rPr>
        <w:footnoteReference w:id="178"/>
      </w:r>
      <w:r w:rsidR="00CA361E" w:rsidRPr="00995557">
        <w:t xml:space="preserve">. </w:t>
      </w:r>
      <w:r w:rsidR="00D30575" w:rsidRPr="00995557">
        <w:t>Asimismo</w:t>
      </w:r>
      <w:r w:rsidR="00CA361E" w:rsidRPr="00995557">
        <w:t>, ha señalado que el Estado está obligado a combatir esta situación por todos los medios disponibles, pues la impunidad propicia la repetición crónica de las violaciones de derechos humanos y la total indefensión de las víctimas y de sus familiares</w:t>
      </w:r>
      <w:r w:rsidR="00CA361E" w:rsidRPr="00995557">
        <w:rPr>
          <w:rStyle w:val="Refdenotaalpie"/>
        </w:rPr>
        <w:footnoteReference w:id="179"/>
      </w:r>
      <w:r w:rsidR="00CA361E" w:rsidRPr="00995557">
        <w:t>.</w:t>
      </w:r>
    </w:p>
    <w:p w14:paraId="4641686B" w14:textId="77777777" w:rsidR="00662FD3" w:rsidRPr="00995557" w:rsidRDefault="00662FD3" w:rsidP="00AA627A">
      <w:pPr>
        <w:pStyle w:val="Prrafodelista"/>
      </w:pPr>
    </w:p>
    <w:p w14:paraId="564FA17E" w14:textId="3EC548F4" w:rsidR="00CC49BA" w:rsidRPr="00995557" w:rsidRDefault="00662FD3" w:rsidP="00AA627A">
      <w:pPr>
        <w:pStyle w:val="Prrafodelista"/>
        <w:widowControl w:val="0"/>
        <w:numPr>
          <w:ilvl w:val="0"/>
          <w:numId w:val="2"/>
        </w:numPr>
        <w:tabs>
          <w:tab w:val="left" w:pos="567"/>
        </w:tabs>
        <w:ind w:left="0" w:firstLine="0"/>
        <w:jc w:val="both"/>
      </w:pPr>
      <w:r w:rsidRPr="00995557">
        <w:t>A partir de lo anterior, la Corte concluye que el Estado venezolano es responsable por la violación de los derechos a las garantías judiciales y a la protección judicial, reconocidos en los artículos 8.1 y 25</w:t>
      </w:r>
      <w:r w:rsidR="00F6210A" w:rsidRPr="00995557">
        <w:t>.1</w:t>
      </w:r>
      <w:r w:rsidRPr="00995557">
        <w:t xml:space="preserve"> de la Convención Americana, en relación con las obligaciones de respetar y garantizar dichos derechos, previstas en el artículo 1.1 del mismo instrumento, en perjuicio de las </w:t>
      </w:r>
      <w:r w:rsidR="00434AAC" w:rsidRPr="00995557">
        <w:t>personas</w:t>
      </w:r>
      <w:r w:rsidRPr="00995557">
        <w:t xml:space="preserve"> lesionadas y de los famili</w:t>
      </w:r>
      <w:r w:rsidR="007E04EA" w:rsidRPr="00995557">
        <w:t xml:space="preserve">ares de las </w:t>
      </w:r>
      <w:r w:rsidR="00434AAC" w:rsidRPr="00995557">
        <w:t>personas</w:t>
      </w:r>
      <w:r w:rsidR="007E04EA" w:rsidRPr="00995557">
        <w:t xml:space="preserve"> fallecidas</w:t>
      </w:r>
      <w:r w:rsidR="00994490" w:rsidRPr="00995557">
        <w:t>.</w:t>
      </w:r>
    </w:p>
    <w:p w14:paraId="47F349B2" w14:textId="77777777" w:rsidR="00E2425A" w:rsidRPr="00995557" w:rsidRDefault="00E2425A" w:rsidP="00AA627A">
      <w:pPr>
        <w:pStyle w:val="Prrafodelista"/>
      </w:pPr>
    </w:p>
    <w:p w14:paraId="5B5F1338" w14:textId="6696E169" w:rsidR="00E2425A" w:rsidRPr="00995557" w:rsidRDefault="00E2425A" w:rsidP="00AA627A">
      <w:pPr>
        <w:pStyle w:val="Prrafodelista"/>
        <w:widowControl w:val="0"/>
        <w:numPr>
          <w:ilvl w:val="0"/>
          <w:numId w:val="2"/>
        </w:numPr>
        <w:tabs>
          <w:tab w:val="left" w:pos="567"/>
        </w:tabs>
        <w:ind w:left="0" w:firstLine="0"/>
        <w:jc w:val="both"/>
      </w:pPr>
      <w:r w:rsidRPr="00995557">
        <w:t xml:space="preserve">Por último, El Tribunal considera que, ante la prueba aportada y los argumentos esgrimidos, no cuenta con elementos para analizar las violaciones alegadas por los representantes respecto de la negativa </w:t>
      </w:r>
      <w:r w:rsidR="00C025DB" w:rsidRPr="00995557">
        <w:t>de</w:t>
      </w:r>
      <w:r w:rsidRPr="00995557">
        <w:t xml:space="preserve"> aceptar su participación como acusadores privados en el proceso, las falencias que atribuyen al fallo absolutorio y que califican como “indicios de un fraude judicial”, y la falta de apelación de la sentencia por parte del Ministerio Público.</w:t>
      </w:r>
    </w:p>
    <w:p w14:paraId="69713836" w14:textId="77777777" w:rsidR="00412AAA" w:rsidRPr="00995557" w:rsidRDefault="00412AAA" w:rsidP="00AA627A">
      <w:pPr>
        <w:pStyle w:val="Prrafodelista"/>
        <w:widowControl w:val="0"/>
        <w:tabs>
          <w:tab w:val="left" w:pos="567"/>
        </w:tabs>
        <w:ind w:left="0"/>
        <w:jc w:val="both"/>
      </w:pPr>
    </w:p>
    <w:p w14:paraId="37866CE6" w14:textId="77777777" w:rsidR="00CC49BA" w:rsidRPr="00995557" w:rsidRDefault="00CC49BA" w:rsidP="00AA627A">
      <w:pPr>
        <w:pStyle w:val="Prrafodelista"/>
        <w:ind w:left="851"/>
      </w:pPr>
      <w:bookmarkStart w:id="146" w:name="_Hlk44451965"/>
      <w:r w:rsidRPr="00995557">
        <w:rPr>
          <w:i/>
          <w:snapToGrid w:val="0"/>
          <w:lang w:eastAsia="es-ES"/>
        </w:rPr>
        <w:t xml:space="preserve">B.2. Obligación de investigar </w:t>
      </w:r>
      <w:r w:rsidR="00AE480E" w:rsidRPr="00995557">
        <w:rPr>
          <w:i/>
          <w:snapToGrid w:val="0"/>
          <w:lang w:eastAsia="es-ES"/>
        </w:rPr>
        <w:t xml:space="preserve">posibles </w:t>
      </w:r>
      <w:r w:rsidRPr="00995557">
        <w:rPr>
          <w:i/>
          <w:snapToGrid w:val="0"/>
          <w:lang w:eastAsia="es-ES"/>
        </w:rPr>
        <w:t>actos de tortura</w:t>
      </w:r>
    </w:p>
    <w:bookmarkEnd w:id="146"/>
    <w:p w14:paraId="3B0C8201" w14:textId="77777777" w:rsidR="00CC49BA" w:rsidRPr="00995557" w:rsidRDefault="00CC49BA" w:rsidP="00AA627A">
      <w:pPr>
        <w:pStyle w:val="Prrafodelista"/>
      </w:pPr>
    </w:p>
    <w:p w14:paraId="69E44105" w14:textId="77777777" w:rsidR="00CC49BA" w:rsidRPr="00995557" w:rsidRDefault="00CC49BA" w:rsidP="00AA627A">
      <w:pPr>
        <w:pStyle w:val="Prrafodelista"/>
        <w:widowControl w:val="0"/>
        <w:numPr>
          <w:ilvl w:val="0"/>
          <w:numId w:val="2"/>
        </w:numPr>
        <w:tabs>
          <w:tab w:val="left" w:pos="567"/>
        </w:tabs>
        <w:ind w:left="0" w:firstLine="0"/>
        <w:jc w:val="both"/>
      </w:pPr>
      <w:r w:rsidRPr="00995557">
        <w:t xml:space="preserve">La Corte </w:t>
      </w:r>
      <w:r w:rsidR="00946F05" w:rsidRPr="00995557">
        <w:t>ha establecido que, de conformidad con el artículo 1.1 de la Convención Americana, la obligación de garantizar los derechos reconocidos en los artículos 5.1 y 5.2 de la Convención implica el deber del Estado de investigar posibles actos de tortura u otros tratos crueles, inhumanos o degradantes, el que se ve precisado por los artículos 1, 6 y 8 de la CIPST</w:t>
      </w:r>
      <w:r w:rsidRPr="00995557">
        <w:rPr>
          <w:rStyle w:val="Refdenotaalpie"/>
        </w:rPr>
        <w:footnoteReference w:id="180"/>
      </w:r>
      <w:r w:rsidRPr="00995557">
        <w:t xml:space="preserve">. De esa </w:t>
      </w:r>
      <w:r w:rsidR="00946F05" w:rsidRPr="00995557">
        <w:t xml:space="preserve">cuenta, el Tribunal </w:t>
      </w:r>
      <w:r w:rsidR="00537952" w:rsidRPr="00995557">
        <w:t xml:space="preserve">ha señalado que el artículo 8 de la </w:t>
      </w:r>
      <w:r w:rsidR="00946F05" w:rsidRPr="00995557">
        <w:t>CIPST</w:t>
      </w:r>
      <w:r w:rsidR="00537952" w:rsidRPr="00995557">
        <w:t xml:space="preserve"> establece claramente que, cuando exista denuncia o razón fundada para creer que se ha cometido un acto de tortura en el ámbito de su jurisdicción, los </w:t>
      </w:r>
      <w:proofErr w:type="gramStart"/>
      <w:r w:rsidR="00537952" w:rsidRPr="00995557">
        <w:t>Estados partes</w:t>
      </w:r>
      <w:proofErr w:type="gramEnd"/>
      <w:r w:rsidR="00537952" w:rsidRPr="00995557">
        <w:t xml:space="preserve"> garantizarán que sus respectivas autoridades procederán de oficio y de inmediato a realizar una investigación sobre el caso y a iniciar, cuando corresponda, el respectivo proceso penal</w:t>
      </w:r>
      <w:r w:rsidR="00537952" w:rsidRPr="00995557">
        <w:rPr>
          <w:rStyle w:val="Refdenotaalpie"/>
        </w:rPr>
        <w:footnoteReference w:id="181"/>
      </w:r>
      <w:r w:rsidR="00537952" w:rsidRPr="00995557">
        <w:t>.</w:t>
      </w:r>
    </w:p>
    <w:p w14:paraId="749F42CA" w14:textId="77777777" w:rsidR="00537952" w:rsidRPr="00995557" w:rsidRDefault="00537952" w:rsidP="00AA627A">
      <w:pPr>
        <w:pStyle w:val="PrrafodeSentencia"/>
        <w:widowControl w:val="0"/>
        <w:numPr>
          <w:ilvl w:val="0"/>
          <w:numId w:val="0"/>
        </w:numPr>
        <w:rPr>
          <w:spacing w:val="0"/>
          <w:szCs w:val="20"/>
        </w:rPr>
      </w:pPr>
    </w:p>
    <w:p w14:paraId="1CD247C1" w14:textId="1DABB01E" w:rsidR="000671CD" w:rsidRPr="00995557" w:rsidRDefault="00CC49BA" w:rsidP="00AA627A">
      <w:pPr>
        <w:pStyle w:val="PrrafodeSentencia"/>
        <w:widowControl w:val="0"/>
        <w:numPr>
          <w:ilvl w:val="0"/>
          <w:numId w:val="2"/>
        </w:numPr>
        <w:ind w:left="0" w:firstLine="0"/>
        <w:rPr>
          <w:spacing w:val="0"/>
          <w:szCs w:val="20"/>
        </w:rPr>
      </w:pPr>
      <w:r w:rsidRPr="00995557">
        <w:rPr>
          <w:spacing w:val="0"/>
          <w:szCs w:val="20"/>
        </w:rPr>
        <w:t xml:space="preserve">Sin perjuicio de que </w:t>
      </w:r>
      <w:r w:rsidR="00BC423B" w:rsidRPr="00995557">
        <w:rPr>
          <w:spacing w:val="0"/>
          <w:szCs w:val="20"/>
        </w:rPr>
        <w:t>no se haya concluido</w:t>
      </w:r>
      <w:r w:rsidRPr="00995557">
        <w:rPr>
          <w:spacing w:val="0"/>
          <w:szCs w:val="20"/>
        </w:rPr>
        <w:t xml:space="preserve"> que los miembros de la Guardia Nacional hayan cometido actos de tortura</w:t>
      </w:r>
      <w:r w:rsidR="000671CD" w:rsidRPr="00995557">
        <w:rPr>
          <w:spacing w:val="0"/>
          <w:szCs w:val="20"/>
        </w:rPr>
        <w:t>, lo que deriva esencialmente de la falta de esclarecimiento de los hechos</w:t>
      </w:r>
      <w:r w:rsidRPr="00995557">
        <w:rPr>
          <w:spacing w:val="0"/>
          <w:szCs w:val="20"/>
        </w:rPr>
        <w:t xml:space="preserve">, se advierte que distintos elementos resultantes de las pesquisas practicadas </w:t>
      </w:r>
      <w:r w:rsidR="000671CD" w:rsidRPr="00995557">
        <w:rPr>
          <w:spacing w:val="0"/>
          <w:szCs w:val="20"/>
        </w:rPr>
        <w:t>respecto de</w:t>
      </w:r>
      <w:r w:rsidRPr="00995557">
        <w:rPr>
          <w:spacing w:val="0"/>
          <w:szCs w:val="20"/>
        </w:rPr>
        <w:t xml:space="preserve"> las muertes ocurridas en la cárcel de Vista Hermosa habrían determinado que, a partir de la sospecha </w:t>
      </w:r>
      <w:r w:rsidR="000671CD" w:rsidRPr="00995557">
        <w:rPr>
          <w:spacing w:val="0"/>
          <w:szCs w:val="20"/>
        </w:rPr>
        <w:t xml:space="preserve">sobre </w:t>
      </w:r>
      <w:r w:rsidRPr="00995557">
        <w:rPr>
          <w:spacing w:val="0"/>
          <w:szCs w:val="20"/>
        </w:rPr>
        <w:t>su</w:t>
      </w:r>
      <w:r w:rsidR="000671CD" w:rsidRPr="00995557">
        <w:rPr>
          <w:spacing w:val="0"/>
          <w:szCs w:val="20"/>
        </w:rPr>
        <w:t xml:space="preserve"> posible</w:t>
      </w:r>
      <w:r w:rsidRPr="00995557">
        <w:rPr>
          <w:spacing w:val="0"/>
          <w:szCs w:val="20"/>
        </w:rPr>
        <w:t xml:space="preserve"> comisión, era obliga</w:t>
      </w:r>
      <w:r w:rsidR="000C1B92" w:rsidRPr="00995557">
        <w:rPr>
          <w:spacing w:val="0"/>
          <w:szCs w:val="20"/>
        </w:rPr>
        <w:t>ción d</w:t>
      </w:r>
      <w:r w:rsidRPr="00995557">
        <w:rPr>
          <w:spacing w:val="0"/>
          <w:szCs w:val="20"/>
        </w:rPr>
        <w:t>el Estado iniciar de oficio y sin dilaciones una investigación en tal sentido.</w:t>
      </w:r>
    </w:p>
    <w:p w14:paraId="4A178111" w14:textId="77777777" w:rsidR="000671CD" w:rsidRPr="00995557" w:rsidRDefault="000671CD" w:rsidP="00AA627A">
      <w:pPr>
        <w:pStyle w:val="PrrafodeSentencia"/>
        <w:widowControl w:val="0"/>
        <w:numPr>
          <w:ilvl w:val="0"/>
          <w:numId w:val="0"/>
        </w:numPr>
        <w:rPr>
          <w:spacing w:val="0"/>
          <w:szCs w:val="20"/>
        </w:rPr>
      </w:pPr>
    </w:p>
    <w:p w14:paraId="02BF4DBC" w14:textId="0D8A0C2E" w:rsidR="009A6A21" w:rsidRPr="00995557" w:rsidRDefault="00CC49BA" w:rsidP="00AA627A">
      <w:pPr>
        <w:pStyle w:val="PrrafodeSentencia"/>
        <w:widowControl w:val="0"/>
        <w:numPr>
          <w:ilvl w:val="0"/>
          <w:numId w:val="2"/>
        </w:numPr>
        <w:ind w:left="0" w:firstLine="0"/>
        <w:rPr>
          <w:spacing w:val="0"/>
          <w:szCs w:val="20"/>
        </w:rPr>
      </w:pPr>
      <w:r w:rsidRPr="00995557">
        <w:rPr>
          <w:spacing w:val="0"/>
          <w:szCs w:val="20"/>
        </w:rPr>
        <w:t xml:space="preserve">En efecto, </w:t>
      </w:r>
      <w:r w:rsidR="00253C45" w:rsidRPr="00995557">
        <w:rPr>
          <w:spacing w:val="0"/>
          <w:szCs w:val="20"/>
        </w:rPr>
        <w:t xml:space="preserve">los resultados de las autopsias practicadas, que dieron cuenta de lesiones ocasionadas a </w:t>
      </w:r>
      <w:r w:rsidR="008679CB" w:rsidRPr="00995557">
        <w:rPr>
          <w:spacing w:val="0"/>
          <w:szCs w:val="20"/>
        </w:rPr>
        <w:t xml:space="preserve">dos de </w:t>
      </w:r>
      <w:r w:rsidR="00253C45" w:rsidRPr="00995557">
        <w:rPr>
          <w:spacing w:val="0"/>
          <w:szCs w:val="20"/>
        </w:rPr>
        <w:t>las víctimas</w:t>
      </w:r>
      <w:r w:rsidR="008679CB" w:rsidRPr="00995557">
        <w:rPr>
          <w:spacing w:val="0"/>
          <w:szCs w:val="20"/>
        </w:rPr>
        <w:t xml:space="preserve"> fallecidas,</w:t>
      </w:r>
      <w:r w:rsidR="00253C45" w:rsidRPr="00995557">
        <w:rPr>
          <w:spacing w:val="0"/>
          <w:szCs w:val="20"/>
        </w:rPr>
        <w:t xml:space="preserve"> distintas a las heridas por proyectil de arma de fuego</w:t>
      </w:r>
      <w:r w:rsidR="00EE2771" w:rsidRPr="00995557">
        <w:rPr>
          <w:rStyle w:val="Refdenotaalpie"/>
          <w:spacing w:val="0"/>
          <w:szCs w:val="20"/>
        </w:rPr>
        <w:footnoteReference w:id="182"/>
      </w:r>
      <w:r w:rsidR="00B9210E" w:rsidRPr="00995557">
        <w:rPr>
          <w:spacing w:val="0"/>
          <w:szCs w:val="20"/>
        </w:rPr>
        <w:t>, y las</w:t>
      </w:r>
      <w:r w:rsidR="00253C45" w:rsidRPr="00995557">
        <w:rPr>
          <w:spacing w:val="0"/>
          <w:szCs w:val="20"/>
        </w:rPr>
        <w:t xml:space="preserve"> declaraciones de personas privadas de libertad que refirieron haber sufrido </w:t>
      </w:r>
      <w:r w:rsidR="00E25524" w:rsidRPr="00995557">
        <w:rPr>
          <w:spacing w:val="0"/>
          <w:szCs w:val="20"/>
        </w:rPr>
        <w:t>maltratos</w:t>
      </w:r>
      <w:r w:rsidR="00253C45" w:rsidRPr="00995557">
        <w:rPr>
          <w:spacing w:val="0"/>
          <w:szCs w:val="20"/>
        </w:rPr>
        <w:t xml:space="preserve"> </w:t>
      </w:r>
      <w:r w:rsidR="00E25524" w:rsidRPr="00995557">
        <w:rPr>
          <w:spacing w:val="0"/>
          <w:szCs w:val="20"/>
        </w:rPr>
        <w:t>cometidos</w:t>
      </w:r>
      <w:r w:rsidR="00253C45" w:rsidRPr="00995557">
        <w:rPr>
          <w:spacing w:val="0"/>
          <w:szCs w:val="20"/>
        </w:rPr>
        <w:t xml:space="preserve"> de diversas formas</w:t>
      </w:r>
      <w:r w:rsidR="00E25524" w:rsidRPr="00995557">
        <w:rPr>
          <w:spacing w:val="0"/>
          <w:szCs w:val="20"/>
        </w:rPr>
        <w:t xml:space="preserve"> y</w:t>
      </w:r>
      <w:r w:rsidR="00414311" w:rsidRPr="00995557">
        <w:rPr>
          <w:spacing w:val="0"/>
          <w:szCs w:val="20"/>
        </w:rPr>
        <w:t>,</w:t>
      </w:r>
      <w:r w:rsidR="00E25524" w:rsidRPr="00995557">
        <w:rPr>
          <w:spacing w:val="0"/>
          <w:szCs w:val="20"/>
        </w:rPr>
        <w:t xml:space="preserve"> </w:t>
      </w:r>
      <w:r w:rsidR="00414311" w:rsidRPr="00995557">
        <w:rPr>
          <w:spacing w:val="0"/>
          <w:szCs w:val="20"/>
        </w:rPr>
        <w:t>eventu</w:t>
      </w:r>
      <w:r w:rsidR="00E25524" w:rsidRPr="00995557">
        <w:rPr>
          <w:spacing w:val="0"/>
          <w:szCs w:val="20"/>
        </w:rPr>
        <w:t>almente</w:t>
      </w:r>
      <w:r w:rsidR="00414311" w:rsidRPr="00995557">
        <w:rPr>
          <w:spacing w:val="0"/>
          <w:szCs w:val="20"/>
        </w:rPr>
        <w:t>,</w:t>
      </w:r>
      <w:r w:rsidR="00E25524" w:rsidRPr="00995557">
        <w:rPr>
          <w:spacing w:val="0"/>
          <w:szCs w:val="20"/>
        </w:rPr>
        <w:t xml:space="preserve"> de distinta gravedad</w:t>
      </w:r>
      <w:r w:rsidR="00253C45" w:rsidRPr="00995557">
        <w:rPr>
          <w:rStyle w:val="Refdenotaalpie"/>
          <w:spacing w:val="0"/>
          <w:szCs w:val="20"/>
        </w:rPr>
        <w:footnoteReference w:id="183"/>
      </w:r>
      <w:r w:rsidR="00253C45" w:rsidRPr="00995557">
        <w:rPr>
          <w:spacing w:val="0"/>
          <w:szCs w:val="20"/>
        </w:rPr>
        <w:t>, a lo que se suma el contexto de</w:t>
      </w:r>
      <w:r w:rsidR="00E25524" w:rsidRPr="00995557">
        <w:rPr>
          <w:spacing w:val="0"/>
          <w:szCs w:val="20"/>
        </w:rPr>
        <w:t>l</w:t>
      </w:r>
      <w:r w:rsidR="00253C45" w:rsidRPr="00995557">
        <w:rPr>
          <w:spacing w:val="0"/>
          <w:szCs w:val="20"/>
        </w:rPr>
        <w:t xml:space="preserve"> uso arbitrario de la fuerza</w:t>
      </w:r>
      <w:r w:rsidR="000671CD" w:rsidRPr="00995557">
        <w:rPr>
          <w:spacing w:val="0"/>
          <w:szCs w:val="20"/>
        </w:rPr>
        <w:t xml:space="preserve">, </w:t>
      </w:r>
      <w:r w:rsidR="00C01F95" w:rsidRPr="00995557">
        <w:rPr>
          <w:spacing w:val="0"/>
          <w:szCs w:val="20"/>
        </w:rPr>
        <w:t>cuestión</w:t>
      </w:r>
      <w:r w:rsidR="000671CD" w:rsidRPr="00995557">
        <w:rPr>
          <w:spacing w:val="0"/>
          <w:szCs w:val="20"/>
        </w:rPr>
        <w:t xml:space="preserve"> que fue advertid</w:t>
      </w:r>
      <w:r w:rsidR="00C01F95" w:rsidRPr="00995557">
        <w:rPr>
          <w:spacing w:val="0"/>
          <w:szCs w:val="20"/>
        </w:rPr>
        <w:t>a</w:t>
      </w:r>
      <w:r w:rsidR="000671CD" w:rsidRPr="00995557">
        <w:rPr>
          <w:spacing w:val="0"/>
          <w:szCs w:val="20"/>
        </w:rPr>
        <w:t xml:space="preserve"> por el Ministerio Público</w:t>
      </w:r>
      <w:r w:rsidR="000671CD" w:rsidRPr="00995557">
        <w:rPr>
          <w:rStyle w:val="Refdenotaalpie"/>
          <w:spacing w:val="0"/>
          <w:szCs w:val="20"/>
        </w:rPr>
        <w:footnoteReference w:id="184"/>
      </w:r>
      <w:r w:rsidR="00253C45" w:rsidRPr="00995557">
        <w:rPr>
          <w:spacing w:val="0"/>
          <w:szCs w:val="20"/>
        </w:rPr>
        <w:t>, determinaba la obligación del Estado de in</w:t>
      </w:r>
      <w:r w:rsidR="00C01F95" w:rsidRPr="00995557">
        <w:rPr>
          <w:spacing w:val="0"/>
          <w:szCs w:val="20"/>
        </w:rPr>
        <w:t>iciar</w:t>
      </w:r>
      <w:r w:rsidR="00253C45" w:rsidRPr="00995557">
        <w:rPr>
          <w:spacing w:val="0"/>
          <w:szCs w:val="20"/>
        </w:rPr>
        <w:t xml:space="preserve"> una investigación</w:t>
      </w:r>
      <w:r w:rsidR="000671CD" w:rsidRPr="00995557">
        <w:rPr>
          <w:spacing w:val="0"/>
          <w:szCs w:val="20"/>
        </w:rPr>
        <w:t xml:space="preserve"> para </w:t>
      </w:r>
      <w:r w:rsidR="00E25524" w:rsidRPr="00995557">
        <w:rPr>
          <w:spacing w:val="0"/>
          <w:szCs w:val="20"/>
        </w:rPr>
        <w:t>esclarecer</w:t>
      </w:r>
      <w:r w:rsidR="000671CD" w:rsidRPr="00995557">
        <w:rPr>
          <w:spacing w:val="0"/>
          <w:szCs w:val="20"/>
        </w:rPr>
        <w:t xml:space="preserve"> si durante el operativo del 10 de noviembre de 2003 se cometieron actos de tortura y, de ser el caso, identificar a los responsables, imponerles las sanciones correspondientes y, a la postre, garantizar una adecuada reparación a las víctimas.</w:t>
      </w:r>
    </w:p>
    <w:p w14:paraId="0015CFA3" w14:textId="77777777" w:rsidR="009A6A21" w:rsidRPr="00995557" w:rsidRDefault="009A6A21" w:rsidP="00AA627A">
      <w:pPr>
        <w:pStyle w:val="PrrafodeSentencia"/>
        <w:widowControl w:val="0"/>
        <w:numPr>
          <w:ilvl w:val="0"/>
          <w:numId w:val="0"/>
        </w:numPr>
        <w:rPr>
          <w:spacing w:val="0"/>
          <w:szCs w:val="20"/>
        </w:rPr>
      </w:pPr>
    </w:p>
    <w:p w14:paraId="5FCB4561" w14:textId="77777777" w:rsidR="00EA52D5" w:rsidRPr="00995557" w:rsidRDefault="009A6A21" w:rsidP="00AA627A">
      <w:pPr>
        <w:pStyle w:val="PrrafodeSentencia"/>
        <w:widowControl w:val="0"/>
        <w:numPr>
          <w:ilvl w:val="0"/>
          <w:numId w:val="2"/>
        </w:numPr>
        <w:ind w:left="0" w:firstLine="0"/>
        <w:rPr>
          <w:spacing w:val="0"/>
          <w:szCs w:val="20"/>
        </w:rPr>
      </w:pPr>
      <w:r w:rsidRPr="00995557">
        <w:rPr>
          <w:spacing w:val="0"/>
          <w:szCs w:val="20"/>
        </w:rPr>
        <w:t>Cabe</w:t>
      </w:r>
      <w:r w:rsidR="00EA52D5" w:rsidRPr="00995557">
        <w:rPr>
          <w:spacing w:val="0"/>
          <w:szCs w:val="20"/>
        </w:rPr>
        <w:t xml:space="preserve"> reiterar que la omisión de investigar recayó no solo en los posibles actos de tortura, sino, por completo, en todos los hechos relativos a vulneraciones al derecho a la integridad personal</w:t>
      </w:r>
      <w:r w:rsidR="00AB2F14" w:rsidRPr="00995557">
        <w:rPr>
          <w:spacing w:val="0"/>
          <w:szCs w:val="20"/>
        </w:rPr>
        <w:t xml:space="preserve"> de las personas privadas de libertad</w:t>
      </w:r>
      <w:r w:rsidR="00EA52D5" w:rsidRPr="00995557">
        <w:rPr>
          <w:spacing w:val="0"/>
          <w:szCs w:val="20"/>
        </w:rPr>
        <w:t>.</w:t>
      </w:r>
    </w:p>
    <w:p w14:paraId="14318EAD" w14:textId="77777777" w:rsidR="00EA52D5" w:rsidRPr="00995557" w:rsidRDefault="00EA52D5" w:rsidP="00AA627A">
      <w:pPr>
        <w:pStyle w:val="PrrafodeSentencia"/>
        <w:widowControl w:val="0"/>
        <w:numPr>
          <w:ilvl w:val="0"/>
          <w:numId w:val="0"/>
        </w:numPr>
        <w:rPr>
          <w:spacing w:val="0"/>
          <w:szCs w:val="20"/>
        </w:rPr>
      </w:pPr>
    </w:p>
    <w:p w14:paraId="4C3B2FBB" w14:textId="77777777" w:rsidR="00EA52D5" w:rsidRPr="00995557" w:rsidRDefault="00EA52D5" w:rsidP="00AA627A">
      <w:pPr>
        <w:pStyle w:val="PrrafodeSentencia"/>
        <w:widowControl w:val="0"/>
        <w:numPr>
          <w:ilvl w:val="0"/>
          <w:numId w:val="2"/>
        </w:numPr>
        <w:ind w:left="0" w:firstLine="0"/>
        <w:rPr>
          <w:spacing w:val="0"/>
          <w:szCs w:val="20"/>
        </w:rPr>
      </w:pPr>
      <w:r w:rsidRPr="00995557">
        <w:rPr>
          <w:spacing w:val="0"/>
          <w:szCs w:val="20"/>
        </w:rPr>
        <w:t xml:space="preserve">Por consiguiente, la Corte concluye que el Estado violó los artículos 8.1 y 25.1 de la Convención Americana, en relación con el artículo 1.1 de la Convención, así como los artículos 1, 6 y 8 de la </w:t>
      </w:r>
      <w:r w:rsidR="00ED5CEB" w:rsidRPr="00995557">
        <w:rPr>
          <w:spacing w:val="0"/>
          <w:szCs w:val="20"/>
        </w:rPr>
        <w:t>CIPST</w:t>
      </w:r>
      <w:r w:rsidRPr="00995557">
        <w:rPr>
          <w:spacing w:val="0"/>
          <w:szCs w:val="20"/>
        </w:rPr>
        <w:t xml:space="preserve">, en perjuicio de las </w:t>
      </w:r>
      <w:r w:rsidR="00434AAC" w:rsidRPr="00995557">
        <w:rPr>
          <w:spacing w:val="0"/>
          <w:szCs w:val="20"/>
        </w:rPr>
        <w:t>personas</w:t>
      </w:r>
      <w:r w:rsidRPr="00995557">
        <w:rPr>
          <w:spacing w:val="0"/>
          <w:szCs w:val="20"/>
        </w:rPr>
        <w:t xml:space="preserve"> lesionadas y los familiares de las</w:t>
      </w:r>
      <w:r w:rsidR="00434AAC" w:rsidRPr="00995557">
        <w:rPr>
          <w:spacing w:val="0"/>
          <w:szCs w:val="20"/>
        </w:rPr>
        <w:t xml:space="preserve"> personas</w:t>
      </w:r>
      <w:r w:rsidRPr="00995557">
        <w:rPr>
          <w:spacing w:val="0"/>
          <w:szCs w:val="20"/>
        </w:rPr>
        <w:t xml:space="preserve"> fallecidas.</w:t>
      </w:r>
    </w:p>
    <w:p w14:paraId="15A2EB35" w14:textId="77777777" w:rsidR="00EA52D5" w:rsidRPr="00995557" w:rsidRDefault="00EA52D5" w:rsidP="00AA627A">
      <w:pPr>
        <w:jc w:val="center"/>
        <w:rPr>
          <w:b/>
          <w:bCs/>
        </w:rPr>
      </w:pPr>
    </w:p>
    <w:p w14:paraId="262614AA" w14:textId="2CA4EEB8" w:rsidR="00EA52D5" w:rsidRPr="00995557" w:rsidRDefault="00EA52D5" w:rsidP="00AA627A">
      <w:pPr>
        <w:jc w:val="center"/>
        <w:rPr>
          <w:b/>
          <w:bCs/>
          <w:lang w:eastAsia="es-MX"/>
        </w:rPr>
      </w:pPr>
      <w:r w:rsidRPr="00995557">
        <w:rPr>
          <w:b/>
          <w:bCs/>
        </w:rPr>
        <w:t>VIII.3</w:t>
      </w:r>
      <w:r w:rsidRPr="00995557">
        <w:rPr>
          <w:b/>
          <w:bCs/>
        </w:rPr>
        <w:br/>
        <w:t>DERECHO A LA INTEGRIDAD PERSONAL DE LOS FAMILIARES DE LAS VÍCTIMAS FALLECIDAS</w:t>
      </w:r>
      <w:r w:rsidR="0033399D" w:rsidRPr="00995557">
        <w:rPr>
          <w:b/>
          <w:bCs/>
        </w:rPr>
        <w:t>, EN RELACIÓN CON LAS OBLIGACIONES DE RESPETAR Y GARANTIZAR LOS DERECHOS</w:t>
      </w:r>
      <w:r w:rsidR="00F26717" w:rsidRPr="00995557">
        <w:rPr>
          <w:rStyle w:val="Refdenotaalpie"/>
          <w:b/>
          <w:bCs/>
        </w:rPr>
        <w:footnoteReference w:id="185"/>
      </w:r>
    </w:p>
    <w:p w14:paraId="1DF39161" w14:textId="6F58FE10" w:rsidR="009528A4" w:rsidRPr="00995557" w:rsidRDefault="009528A4" w:rsidP="00AA627A">
      <w:pPr>
        <w:tabs>
          <w:tab w:val="left" w:pos="927"/>
        </w:tabs>
        <w:rPr>
          <w:b/>
          <w:bCs/>
          <w:i/>
          <w:iCs/>
          <w:color w:val="FF0000"/>
        </w:rPr>
      </w:pPr>
    </w:p>
    <w:p w14:paraId="241D04FD" w14:textId="77777777" w:rsidR="009A6A21" w:rsidRPr="00995557" w:rsidRDefault="009528A4" w:rsidP="00AA627A">
      <w:pPr>
        <w:pStyle w:val="Prrafodelista"/>
        <w:numPr>
          <w:ilvl w:val="0"/>
          <w:numId w:val="10"/>
        </w:numPr>
        <w:tabs>
          <w:tab w:val="left" w:pos="567"/>
        </w:tabs>
        <w:rPr>
          <w:b/>
          <w:bCs/>
          <w:i/>
          <w:iCs/>
        </w:rPr>
      </w:pPr>
      <w:r w:rsidRPr="00995557">
        <w:rPr>
          <w:b/>
          <w:bCs/>
          <w:i/>
          <w:iCs/>
        </w:rPr>
        <w:t>Alegatos de la</w:t>
      </w:r>
      <w:r w:rsidR="00B02393" w:rsidRPr="00995557">
        <w:rPr>
          <w:b/>
          <w:bCs/>
          <w:i/>
          <w:iCs/>
        </w:rPr>
        <w:t>s</w:t>
      </w:r>
      <w:r w:rsidRPr="00995557">
        <w:rPr>
          <w:b/>
          <w:bCs/>
          <w:i/>
          <w:iCs/>
        </w:rPr>
        <w:t xml:space="preserve"> partes y de la Comisión</w:t>
      </w:r>
    </w:p>
    <w:p w14:paraId="08553415" w14:textId="77777777" w:rsidR="009528A4" w:rsidRPr="00995557" w:rsidRDefault="009528A4" w:rsidP="00AA627A">
      <w:pPr>
        <w:pStyle w:val="Prrafodelista"/>
        <w:tabs>
          <w:tab w:val="left" w:pos="567"/>
        </w:tabs>
        <w:ind w:left="927"/>
        <w:rPr>
          <w:b/>
          <w:bCs/>
          <w:i/>
          <w:iCs/>
          <w:lang w:eastAsia="es-MX"/>
        </w:rPr>
      </w:pPr>
    </w:p>
    <w:p w14:paraId="47BBB8C2" w14:textId="3292E900" w:rsidR="009528A4" w:rsidRPr="00995557" w:rsidRDefault="009528A4" w:rsidP="00AA627A">
      <w:pPr>
        <w:pStyle w:val="PrrafodeSentencia"/>
        <w:widowControl w:val="0"/>
        <w:numPr>
          <w:ilvl w:val="0"/>
          <w:numId w:val="2"/>
        </w:numPr>
        <w:ind w:left="0" w:firstLine="0"/>
        <w:rPr>
          <w:rFonts w:cs="Arial"/>
          <w:b/>
          <w:spacing w:val="0"/>
          <w:szCs w:val="20"/>
        </w:rPr>
      </w:pPr>
      <w:r w:rsidRPr="00995557">
        <w:rPr>
          <w:spacing w:val="0"/>
          <w:szCs w:val="20"/>
        </w:rPr>
        <w:t xml:space="preserve">La </w:t>
      </w:r>
      <w:r w:rsidRPr="00995557">
        <w:rPr>
          <w:b/>
          <w:i/>
          <w:spacing w:val="0"/>
          <w:szCs w:val="20"/>
        </w:rPr>
        <w:t xml:space="preserve">Comisión </w:t>
      </w:r>
      <w:r w:rsidRPr="00995557">
        <w:rPr>
          <w:spacing w:val="0"/>
          <w:szCs w:val="20"/>
        </w:rPr>
        <w:t>argumentó que las pérdidas de sus seres queridos en las circunstancias ocurridas, así como la ausencia de verdad y justicia, ocasionaron sufrimiento y angustia a</w:t>
      </w:r>
      <w:r w:rsidR="00B9210E" w:rsidRPr="00995557">
        <w:rPr>
          <w:spacing w:val="0"/>
          <w:szCs w:val="20"/>
        </w:rPr>
        <w:t xml:space="preserve"> los familiares de las víctimas fallecidas</w:t>
      </w:r>
      <w:r w:rsidRPr="00995557">
        <w:rPr>
          <w:spacing w:val="0"/>
          <w:szCs w:val="20"/>
        </w:rPr>
        <w:t xml:space="preserve">, en violación a su derecho a </w:t>
      </w:r>
      <w:r w:rsidR="003673AF" w:rsidRPr="00995557">
        <w:rPr>
          <w:spacing w:val="0"/>
          <w:szCs w:val="20"/>
        </w:rPr>
        <w:t xml:space="preserve">la integridad psíquica y moral. </w:t>
      </w:r>
      <w:r w:rsidRPr="00995557">
        <w:rPr>
          <w:smallCaps/>
          <w:spacing w:val="0"/>
          <w:szCs w:val="20"/>
        </w:rPr>
        <w:t>L</w:t>
      </w:r>
      <w:r w:rsidRPr="00995557">
        <w:rPr>
          <w:spacing w:val="0"/>
          <w:szCs w:val="20"/>
        </w:rPr>
        <w:t xml:space="preserve">os </w:t>
      </w:r>
      <w:r w:rsidRPr="00995557">
        <w:rPr>
          <w:b/>
          <w:i/>
          <w:spacing w:val="0"/>
          <w:szCs w:val="20"/>
        </w:rPr>
        <w:t>representantes</w:t>
      </w:r>
      <w:r w:rsidRPr="00995557">
        <w:rPr>
          <w:spacing w:val="0"/>
          <w:szCs w:val="20"/>
        </w:rPr>
        <w:t xml:space="preserve"> alegaron que </w:t>
      </w:r>
      <w:r w:rsidR="00BD6D40" w:rsidRPr="00995557">
        <w:rPr>
          <w:spacing w:val="0"/>
          <w:szCs w:val="20"/>
        </w:rPr>
        <w:t xml:space="preserve">el contexto en que se dieron los hechos y la impunidad imperante han afectado tanto </w:t>
      </w:r>
      <w:r w:rsidR="00174BE9" w:rsidRPr="00995557">
        <w:rPr>
          <w:spacing w:val="0"/>
          <w:szCs w:val="20"/>
        </w:rPr>
        <w:t>psíquica</w:t>
      </w:r>
      <w:r w:rsidR="00BD6D40" w:rsidRPr="00995557">
        <w:rPr>
          <w:spacing w:val="0"/>
          <w:szCs w:val="20"/>
        </w:rPr>
        <w:t xml:space="preserve"> como moralmente a los familiares de las víctimas fallecidas, debido al profundo sufrimiento y al cambio radical en sus vidas.</w:t>
      </w:r>
      <w:r w:rsidRPr="00995557">
        <w:rPr>
          <w:b/>
          <w:spacing w:val="0"/>
          <w:szCs w:val="20"/>
        </w:rPr>
        <w:t xml:space="preserve"> </w:t>
      </w:r>
      <w:r w:rsidR="00BD6D40" w:rsidRPr="00995557">
        <w:rPr>
          <w:spacing w:val="0"/>
          <w:szCs w:val="20"/>
        </w:rPr>
        <w:t xml:space="preserve">El </w:t>
      </w:r>
      <w:r w:rsidR="00BD6D40" w:rsidRPr="00995557">
        <w:rPr>
          <w:b/>
          <w:i/>
          <w:spacing w:val="0"/>
          <w:szCs w:val="20"/>
        </w:rPr>
        <w:t>Estado</w:t>
      </w:r>
      <w:r w:rsidR="00BD6D40" w:rsidRPr="00995557">
        <w:rPr>
          <w:spacing w:val="0"/>
          <w:szCs w:val="20"/>
        </w:rPr>
        <w:t xml:space="preserve">, por su parte, reconoció su responsabilidad internacional “en los términos y condiciones establecidos </w:t>
      </w:r>
      <w:r w:rsidR="00BD6D40" w:rsidRPr="00995557">
        <w:rPr>
          <w:spacing w:val="0"/>
          <w:szCs w:val="20"/>
        </w:rPr>
        <w:lastRenderedPageBreak/>
        <w:t>en el Informe de Fondo”.</w:t>
      </w:r>
    </w:p>
    <w:p w14:paraId="07ABCDFC" w14:textId="77777777" w:rsidR="00BD6D40" w:rsidRPr="00995557" w:rsidRDefault="00BD6D40" w:rsidP="00AA627A">
      <w:pPr>
        <w:rPr>
          <w:lang w:eastAsia="es-MX"/>
        </w:rPr>
      </w:pPr>
    </w:p>
    <w:p w14:paraId="6509F86A" w14:textId="77777777" w:rsidR="00BD6D40" w:rsidRPr="00995557" w:rsidRDefault="00BD6D40" w:rsidP="00AA627A">
      <w:pPr>
        <w:pStyle w:val="Ttulo2"/>
        <w:widowControl w:val="0"/>
        <w:numPr>
          <w:ilvl w:val="0"/>
          <w:numId w:val="10"/>
        </w:numPr>
        <w:tabs>
          <w:tab w:val="clear" w:pos="1134"/>
          <w:tab w:val="left" w:pos="567"/>
        </w:tabs>
        <w:spacing w:before="0" w:after="0"/>
      </w:pPr>
      <w:bookmarkStart w:id="147" w:name="_Toc53741462"/>
      <w:bookmarkStart w:id="148" w:name="_Toc58399130"/>
      <w:r w:rsidRPr="00995557">
        <w:t>Consideraciones de la Corte</w:t>
      </w:r>
      <w:bookmarkEnd w:id="147"/>
      <w:bookmarkEnd w:id="148"/>
    </w:p>
    <w:p w14:paraId="4A8BD95E" w14:textId="77777777" w:rsidR="00BD6D40" w:rsidRPr="00995557" w:rsidRDefault="00BD6D40" w:rsidP="00AA627A">
      <w:pPr>
        <w:rPr>
          <w:lang w:eastAsia="es-MX"/>
        </w:rPr>
      </w:pPr>
    </w:p>
    <w:p w14:paraId="721EC356" w14:textId="07583C8F" w:rsidR="00A24E19" w:rsidRPr="00995557" w:rsidRDefault="00BD6D40" w:rsidP="00AA627A">
      <w:pPr>
        <w:pStyle w:val="PrrafodeSentencia"/>
        <w:widowControl w:val="0"/>
        <w:numPr>
          <w:ilvl w:val="0"/>
          <w:numId w:val="2"/>
        </w:numPr>
        <w:ind w:left="0" w:firstLine="0"/>
        <w:rPr>
          <w:spacing w:val="0"/>
          <w:szCs w:val="20"/>
        </w:rPr>
      </w:pPr>
      <w:bookmarkStart w:id="149" w:name="_Ref35857170"/>
      <w:r w:rsidRPr="00995557">
        <w:rPr>
          <w:spacing w:val="0"/>
          <w:szCs w:val="20"/>
        </w:rPr>
        <w:t>La Corte ha considerado que, en casos de graves violaciones de derechos humanos</w:t>
      </w:r>
      <w:r w:rsidR="001A207D" w:rsidRPr="00995557">
        <w:rPr>
          <w:spacing w:val="0"/>
          <w:szCs w:val="20"/>
        </w:rPr>
        <w:t xml:space="preserve"> </w:t>
      </w:r>
      <w:r w:rsidRPr="00995557">
        <w:rPr>
          <w:spacing w:val="0"/>
          <w:szCs w:val="20"/>
        </w:rPr>
        <w:t>como desapariciones forzadas</w:t>
      </w:r>
      <w:r w:rsidRPr="00995557">
        <w:rPr>
          <w:rStyle w:val="Refdenotaalpie"/>
          <w:rFonts w:eastAsia="Calibri"/>
          <w:spacing w:val="0"/>
          <w:szCs w:val="20"/>
        </w:rPr>
        <w:footnoteReference w:id="186"/>
      </w:r>
      <w:r w:rsidRPr="00995557">
        <w:rPr>
          <w:spacing w:val="0"/>
          <w:szCs w:val="20"/>
        </w:rPr>
        <w:t xml:space="preserve">, </w:t>
      </w:r>
      <w:r w:rsidRPr="00995557">
        <w:rPr>
          <w:spacing w:val="0"/>
          <w:szCs w:val="20"/>
          <w:lang w:val="es-ES"/>
        </w:rPr>
        <w:t>ejecuciones extrajudiciales</w:t>
      </w:r>
      <w:r w:rsidRPr="00995557">
        <w:rPr>
          <w:rStyle w:val="Refdenotaalpie"/>
          <w:rFonts w:eastAsia="Calibri"/>
          <w:spacing w:val="0"/>
          <w:szCs w:val="20"/>
          <w:lang w:val="es-ES"/>
        </w:rPr>
        <w:footnoteReference w:id="187"/>
      </w:r>
      <w:r w:rsidRPr="00995557">
        <w:rPr>
          <w:spacing w:val="0"/>
          <w:szCs w:val="20"/>
          <w:lang w:val="es-ES"/>
        </w:rPr>
        <w:t>,</w:t>
      </w:r>
      <w:r w:rsidRPr="00995557">
        <w:rPr>
          <w:spacing w:val="0"/>
          <w:szCs w:val="20"/>
        </w:rPr>
        <w:t xml:space="preserve"> violencia sexual y tortura</w:t>
      </w:r>
      <w:r w:rsidRPr="00995557">
        <w:rPr>
          <w:rStyle w:val="Refdenotaalpie"/>
          <w:spacing w:val="0"/>
          <w:szCs w:val="20"/>
        </w:rPr>
        <w:footnoteReference w:id="188"/>
      </w:r>
      <w:r w:rsidRPr="00995557">
        <w:rPr>
          <w:spacing w:val="0"/>
          <w:szCs w:val="20"/>
        </w:rPr>
        <w:t xml:space="preserve">, es aplicable una presunción </w:t>
      </w:r>
      <w:r w:rsidRPr="00995557">
        <w:rPr>
          <w:i/>
          <w:spacing w:val="0"/>
          <w:szCs w:val="20"/>
        </w:rPr>
        <w:t>iuris tantum</w:t>
      </w:r>
      <w:r w:rsidRPr="00995557">
        <w:rPr>
          <w:spacing w:val="0"/>
          <w:szCs w:val="20"/>
        </w:rPr>
        <w:t xml:space="preserve"> respecto de la violación al derecho a la integridad personal de madres y padres, hijas e hijos, esposos y esposas, y compañeros y compañeras permanentes, así como hermanos y hermanas de las víctimas</w:t>
      </w:r>
      <w:r w:rsidRPr="00995557">
        <w:rPr>
          <w:rStyle w:val="Refdenotaalpie"/>
          <w:spacing w:val="0"/>
          <w:szCs w:val="20"/>
        </w:rPr>
        <w:footnoteReference w:id="189"/>
      </w:r>
      <w:r w:rsidRPr="00995557">
        <w:rPr>
          <w:spacing w:val="0"/>
          <w:szCs w:val="20"/>
        </w:rPr>
        <w:t>.</w:t>
      </w:r>
    </w:p>
    <w:p w14:paraId="2138B26E" w14:textId="77777777" w:rsidR="001A207D" w:rsidRPr="00995557" w:rsidRDefault="001A207D" w:rsidP="00AA627A">
      <w:pPr>
        <w:rPr>
          <w:lang w:eastAsia="es-MX"/>
        </w:rPr>
      </w:pPr>
    </w:p>
    <w:p w14:paraId="1721E6ED" w14:textId="6259BA67" w:rsidR="00694E20" w:rsidRPr="00995557" w:rsidRDefault="00BD6D40" w:rsidP="00AA627A">
      <w:pPr>
        <w:pStyle w:val="PrrafodeSentencia"/>
        <w:widowControl w:val="0"/>
        <w:numPr>
          <w:ilvl w:val="0"/>
          <w:numId w:val="2"/>
        </w:numPr>
        <w:ind w:left="0" w:firstLine="0"/>
        <w:rPr>
          <w:spacing w:val="0"/>
          <w:szCs w:val="20"/>
        </w:rPr>
      </w:pPr>
      <w:r w:rsidRPr="00995557">
        <w:rPr>
          <w:rFonts w:eastAsiaTheme="minorHAnsi"/>
          <w:spacing w:val="0"/>
          <w:szCs w:val="20"/>
          <w:lang w:eastAsia="en-US"/>
        </w:rPr>
        <w:t xml:space="preserve">En el presente caso, la Corte </w:t>
      </w:r>
      <w:r w:rsidR="000B47ED" w:rsidRPr="00995557">
        <w:rPr>
          <w:rFonts w:eastAsiaTheme="minorHAnsi"/>
          <w:spacing w:val="0"/>
          <w:szCs w:val="20"/>
          <w:lang w:eastAsia="en-US"/>
        </w:rPr>
        <w:t>estableció</w:t>
      </w:r>
      <w:r w:rsidRPr="00995557">
        <w:rPr>
          <w:rFonts w:eastAsiaTheme="minorHAnsi"/>
          <w:spacing w:val="0"/>
          <w:szCs w:val="20"/>
          <w:lang w:eastAsia="en-US"/>
        </w:rPr>
        <w:t xml:space="preserve"> que </w:t>
      </w:r>
      <w:r w:rsidR="000B47ED" w:rsidRPr="00995557">
        <w:rPr>
          <w:rFonts w:eastAsiaTheme="minorHAnsi"/>
          <w:spacing w:val="0"/>
          <w:szCs w:val="20"/>
          <w:lang w:eastAsia="en-US"/>
        </w:rPr>
        <w:t xml:space="preserve">las muertes de </w:t>
      </w:r>
      <w:r w:rsidR="000B47ED" w:rsidRPr="00995557">
        <w:rPr>
          <w:spacing w:val="0"/>
          <w:szCs w:val="20"/>
        </w:rPr>
        <w:t xml:space="preserve">Orlando Edgardo Olivares Muñoz, Joel </w:t>
      </w:r>
      <w:r w:rsidR="00A655AF" w:rsidRPr="00995557">
        <w:rPr>
          <w:spacing w:val="0"/>
          <w:szCs w:val="20"/>
        </w:rPr>
        <w:t>Ronaldy</w:t>
      </w:r>
      <w:r w:rsidR="000B47ED" w:rsidRPr="00995557">
        <w:rPr>
          <w:spacing w:val="0"/>
          <w:szCs w:val="20"/>
        </w:rPr>
        <w:t xml:space="preserve"> Reyes Nava, Orangel José Figueroa, Héctor Javier Muñoz Valerio, Pedro Ramón López Chaurán, José Gregorio Bolívar Corro y Richard Alexis Núñez Palma configuraron</w:t>
      </w:r>
      <w:r w:rsidR="00B02393" w:rsidRPr="00995557">
        <w:rPr>
          <w:spacing w:val="0"/>
          <w:szCs w:val="20"/>
        </w:rPr>
        <w:t xml:space="preserve"> privaciones arbitrarias de la vida (</w:t>
      </w:r>
      <w:r w:rsidR="00B02393" w:rsidRPr="00995557">
        <w:rPr>
          <w:i/>
          <w:spacing w:val="0"/>
          <w:szCs w:val="20"/>
        </w:rPr>
        <w:t>supra</w:t>
      </w:r>
      <w:r w:rsidR="00B02393" w:rsidRPr="00995557">
        <w:rPr>
          <w:spacing w:val="0"/>
          <w:szCs w:val="20"/>
        </w:rPr>
        <w:t xml:space="preserve"> párr. </w:t>
      </w:r>
      <w:r w:rsidR="00614610" w:rsidRPr="00995557">
        <w:rPr>
          <w:spacing w:val="0"/>
          <w:szCs w:val="20"/>
        </w:rPr>
        <w:t>10</w:t>
      </w:r>
      <w:r w:rsidR="0002319B" w:rsidRPr="00995557">
        <w:rPr>
          <w:spacing w:val="0"/>
          <w:szCs w:val="20"/>
        </w:rPr>
        <w:t>9</w:t>
      </w:r>
      <w:r w:rsidR="00B02393" w:rsidRPr="00995557">
        <w:rPr>
          <w:spacing w:val="0"/>
          <w:szCs w:val="20"/>
        </w:rPr>
        <w:t>)</w:t>
      </w:r>
      <w:r w:rsidR="00BC423B" w:rsidRPr="00995557">
        <w:rPr>
          <w:spacing w:val="0"/>
          <w:szCs w:val="20"/>
        </w:rPr>
        <w:t>, las que el Estado calificó como supuestos de “ejecuciones extralegales, arbitrarias o sumarias” (</w:t>
      </w:r>
      <w:r w:rsidR="00BC423B" w:rsidRPr="00995557">
        <w:rPr>
          <w:i/>
          <w:spacing w:val="0"/>
          <w:szCs w:val="20"/>
        </w:rPr>
        <w:t>supra</w:t>
      </w:r>
      <w:r w:rsidR="00BC423B" w:rsidRPr="00995557">
        <w:rPr>
          <w:spacing w:val="0"/>
          <w:szCs w:val="20"/>
        </w:rPr>
        <w:t xml:space="preserve"> párr. 9</w:t>
      </w:r>
      <w:r w:rsidR="00614610" w:rsidRPr="00995557">
        <w:rPr>
          <w:spacing w:val="0"/>
          <w:szCs w:val="20"/>
        </w:rPr>
        <w:t>0</w:t>
      </w:r>
      <w:r w:rsidR="00BC423B" w:rsidRPr="00995557">
        <w:rPr>
          <w:spacing w:val="0"/>
          <w:szCs w:val="20"/>
        </w:rPr>
        <w:t xml:space="preserve">). </w:t>
      </w:r>
      <w:r w:rsidR="000B47ED" w:rsidRPr="00995557">
        <w:rPr>
          <w:spacing w:val="0"/>
          <w:szCs w:val="20"/>
        </w:rPr>
        <w:t xml:space="preserve">En tal sentido, dado el reconocimiento del Estado y la presunción </w:t>
      </w:r>
      <w:r w:rsidR="000B47ED" w:rsidRPr="00995557">
        <w:rPr>
          <w:i/>
          <w:spacing w:val="0"/>
          <w:szCs w:val="20"/>
        </w:rPr>
        <w:t>iuris tantu</w:t>
      </w:r>
      <w:r w:rsidR="0079255B" w:rsidRPr="00995557">
        <w:rPr>
          <w:i/>
          <w:spacing w:val="0"/>
          <w:szCs w:val="20"/>
        </w:rPr>
        <w:t>m</w:t>
      </w:r>
      <w:r w:rsidR="000B47ED" w:rsidRPr="00995557">
        <w:rPr>
          <w:spacing w:val="0"/>
          <w:szCs w:val="20"/>
        </w:rPr>
        <w:t xml:space="preserve"> que opera en estos casos, la Corte concluye que Venezuela es responsable por la violación del derecho a la integridad personal, reconocido en el artículo 5.1 de la Convención, en relación con el artículo 1.1 del mismo instrumento, en perjuicio de</w:t>
      </w:r>
      <w:r w:rsidR="00232554" w:rsidRPr="00995557">
        <w:rPr>
          <w:spacing w:val="0"/>
          <w:szCs w:val="20"/>
        </w:rPr>
        <w:t xml:space="preserve"> Lorenza Josefina Pérez de Olivares, esposa de Orlando </w:t>
      </w:r>
      <w:r w:rsidR="00D94903" w:rsidRPr="00995557">
        <w:rPr>
          <w:spacing w:val="0"/>
          <w:szCs w:val="20"/>
        </w:rPr>
        <w:t>Edgardo Olivares Muñoz</w:t>
      </w:r>
      <w:r w:rsidR="00232554" w:rsidRPr="00995557">
        <w:rPr>
          <w:spacing w:val="0"/>
          <w:szCs w:val="20"/>
        </w:rPr>
        <w:t xml:space="preserve">; Elizabeth del Carmen Cañizales Palma, hermana de Richard </w:t>
      </w:r>
      <w:r w:rsidR="00D94903" w:rsidRPr="00995557">
        <w:rPr>
          <w:spacing w:val="0"/>
          <w:szCs w:val="20"/>
        </w:rPr>
        <w:t xml:space="preserve">Alexis </w:t>
      </w:r>
      <w:r w:rsidR="00232554" w:rsidRPr="00995557">
        <w:rPr>
          <w:spacing w:val="0"/>
          <w:szCs w:val="20"/>
        </w:rPr>
        <w:t>N</w:t>
      </w:r>
      <w:r w:rsidR="00D94903" w:rsidRPr="00995557">
        <w:rPr>
          <w:spacing w:val="0"/>
          <w:szCs w:val="20"/>
        </w:rPr>
        <w:t>ú</w:t>
      </w:r>
      <w:r w:rsidR="00232554" w:rsidRPr="00995557">
        <w:rPr>
          <w:spacing w:val="0"/>
          <w:szCs w:val="20"/>
        </w:rPr>
        <w:t>ñez</w:t>
      </w:r>
      <w:r w:rsidR="00D94903" w:rsidRPr="00995557">
        <w:rPr>
          <w:spacing w:val="0"/>
          <w:szCs w:val="20"/>
        </w:rPr>
        <w:t xml:space="preserve"> Palma</w:t>
      </w:r>
      <w:r w:rsidR="00232554" w:rsidRPr="00995557">
        <w:rPr>
          <w:spacing w:val="0"/>
          <w:szCs w:val="20"/>
        </w:rPr>
        <w:t>; Elías José Aguirre Navas, cuñado de José Gregorio Bolívar</w:t>
      </w:r>
      <w:r w:rsidR="00D94903" w:rsidRPr="00995557">
        <w:rPr>
          <w:spacing w:val="0"/>
          <w:szCs w:val="20"/>
        </w:rPr>
        <w:t xml:space="preserve"> Corro</w:t>
      </w:r>
      <w:r w:rsidR="00232554" w:rsidRPr="00995557">
        <w:rPr>
          <w:rStyle w:val="Refdenotaalpie"/>
          <w:spacing w:val="0"/>
          <w:szCs w:val="20"/>
        </w:rPr>
        <w:footnoteReference w:id="190"/>
      </w:r>
      <w:r w:rsidR="00232554" w:rsidRPr="00995557">
        <w:rPr>
          <w:spacing w:val="0"/>
          <w:szCs w:val="20"/>
        </w:rPr>
        <w:t>; Yngris Lorena Muñoz Valerio, hermana de Héctor</w:t>
      </w:r>
      <w:r w:rsidR="00D94903" w:rsidRPr="00995557">
        <w:rPr>
          <w:spacing w:val="0"/>
          <w:szCs w:val="20"/>
        </w:rPr>
        <w:t xml:space="preserve"> Javier </w:t>
      </w:r>
      <w:r w:rsidR="00232554" w:rsidRPr="00995557">
        <w:rPr>
          <w:spacing w:val="0"/>
          <w:szCs w:val="20"/>
        </w:rPr>
        <w:t>Muñoz</w:t>
      </w:r>
      <w:r w:rsidR="00D94903" w:rsidRPr="00995557">
        <w:rPr>
          <w:spacing w:val="0"/>
          <w:szCs w:val="20"/>
        </w:rPr>
        <w:t xml:space="preserve"> Valerio</w:t>
      </w:r>
      <w:r w:rsidR="00232554" w:rsidRPr="00995557">
        <w:rPr>
          <w:spacing w:val="0"/>
          <w:szCs w:val="20"/>
        </w:rPr>
        <w:t xml:space="preserve">; José Luis Figueroa, hermano de Orangel </w:t>
      </w:r>
      <w:r w:rsidR="00D94903" w:rsidRPr="00995557">
        <w:rPr>
          <w:spacing w:val="0"/>
          <w:szCs w:val="20"/>
        </w:rPr>
        <w:t xml:space="preserve">José </w:t>
      </w:r>
      <w:r w:rsidR="00232554" w:rsidRPr="00995557">
        <w:rPr>
          <w:spacing w:val="0"/>
          <w:szCs w:val="20"/>
        </w:rPr>
        <w:t xml:space="preserve">Figueroa; Jenny Leomelia Reyes Guzmán, hermana de Joel </w:t>
      </w:r>
      <w:r w:rsidR="00A655AF" w:rsidRPr="00995557">
        <w:rPr>
          <w:spacing w:val="0"/>
          <w:szCs w:val="20"/>
        </w:rPr>
        <w:t>Ronaldy</w:t>
      </w:r>
      <w:r w:rsidR="00D94903" w:rsidRPr="00995557">
        <w:rPr>
          <w:spacing w:val="0"/>
          <w:szCs w:val="20"/>
        </w:rPr>
        <w:t xml:space="preserve"> </w:t>
      </w:r>
      <w:r w:rsidR="00232554" w:rsidRPr="00995557">
        <w:rPr>
          <w:spacing w:val="0"/>
          <w:szCs w:val="20"/>
        </w:rPr>
        <w:t>Reyes Nava, y Johamnata Martínez Coralis, esposa de Pedro</w:t>
      </w:r>
      <w:r w:rsidR="00D94903" w:rsidRPr="00995557">
        <w:rPr>
          <w:spacing w:val="0"/>
          <w:szCs w:val="20"/>
        </w:rPr>
        <w:t xml:space="preserve"> Ramón</w:t>
      </w:r>
      <w:r w:rsidR="00232554" w:rsidRPr="00995557">
        <w:rPr>
          <w:spacing w:val="0"/>
          <w:szCs w:val="20"/>
        </w:rPr>
        <w:t xml:space="preserve"> López Chaurán.</w:t>
      </w:r>
      <w:bookmarkStart w:id="150" w:name="_Toc36823502"/>
    </w:p>
    <w:p w14:paraId="0AA4D816" w14:textId="77777777" w:rsidR="00694E20" w:rsidRPr="00995557" w:rsidRDefault="00694E20" w:rsidP="00AA627A">
      <w:pPr>
        <w:pStyle w:val="PrrafodeSentencia"/>
        <w:widowControl w:val="0"/>
        <w:numPr>
          <w:ilvl w:val="0"/>
          <w:numId w:val="0"/>
        </w:numPr>
        <w:rPr>
          <w:spacing w:val="0"/>
          <w:szCs w:val="20"/>
        </w:rPr>
      </w:pPr>
    </w:p>
    <w:p w14:paraId="71026A21" w14:textId="77777777" w:rsidR="008900E0" w:rsidRPr="00995557" w:rsidRDefault="008900E0" w:rsidP="00AA627A">
      <w:pPr>
        <w:pStyle w:val="PrrafodeSentencia"/>
        <w:widowControl w:val="0"/>
        <w:numPr>
          <w:ilvl w:val="0"/>
          <w:numId w:val="0"/>
        </w:numPr>
        <w:jc w:val="center"/>
        <w:rPr>
          <w:rStyle w:val="Ttulo1Car"/>
          <w:spacing w:val="0"/>
        </w:rPr>
      </w:pPr>
      <w:bookmarkStart w:id="151" w:name="_Toc53741463"/>
      <w:bookmarkStart w:id="152" w:name="_Toc58399131"/>
      <w:r w:rsidRPr="00995557">
        <w:rPr>
          <w:rStyle w:val="Ttulo1Car"/>
          <w:spacing w:val="0"/>
        </w:rPr>
        <w:t>I</w:t>
      </w:r>
      <w:r w:rsidR="00586368" w:rsidRPr="00995557">
        <w:rPr>
          <w:rStyle w:val="Ttulo1Car"/>
          <w:spacing w:val="0"/>
        </w:rPr>
        <w:t>X</w:t>
      </w:r>
      <w:r w:rsidRPr="00995557">
        <w:rPr>
          <w:rStyle w:val="Ttulo1Car"/>
          <w:spacing w:val="0"/>
        </w:rPr>
        <w:br/>
        <w:t>REPARACIONES</w:t>
      </w:r>
      <w:bookmarkEnd w:id="150"/>
      <w:bookmarkEnd w:id="151"/>
      <w:bookmarkEnd w:id="152"/>
    </w:p>
    <w:p w14:paraId="04AE5F4A" w14:textId="77777777" w:rsidR="00694E20" w:rsidRPr="00995557" w:rsidRDefault="00694E20" w:rsidP="00AA627A">
      <w:pPr>
        <w:rPr>
          <w:lang w:eastAsia="es-MX"/>
        </w:rPr>
      </w:pPr>
    </w:p>
    <w:p w14:paraId="308A518E" w14:textId="77777777" w:rsidR="008900E0" w:rsidRPr="00995557" w:rsidRDefault="008900E0" w:rsidP="00AA627A">
      <w:pPr>
        <w:pStyle w:val="PrrafodeSentencia"/>
        <w:numPr>
          <w:ilvl w:val="0"/>
          <w:numId w:val="2"/>
        </w:numPr>
        <w:ind w:left="0" w:firstLine="0"/>
        <w:rPr>
          <w:spacing w:val="0"/>
          <w:szCs w:val="20"/>
        </w:rPr>
      </w:pPr>
      <w:r w:rsidRPr="00995557">
        <w:rPr>
          <w:spacing w:val="0"/>
          <w:szCs w:val="20"/>
        </w:rPr>
        <w:t>Sobre la base de lo dispuesto en el artículo 63.1 de la Convención Americana,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995557">
        <w:rPr>
          <w:rStyle w:val="Refdenotaalpie"/>
          <w:spacing w:val="0"/>
          <w:szCs w:val="20"/>
          <w:lang w:val="es-ES_tradnl"/>
        </w:rPr>
        <w:footnoteReference w:id="191"/>
      </w:r>
      <w:r w:rsidRPr="00995557">
        <w:rPr>
          <w:spacing w:val="0"/>
          <w:szCs w:val="20"/>
        </w:rPr>
        <w:t xml:space="preserve">. </w:t>
      </w:r>
      <w:r w:rsidR="00694E20" w:rsidRPr="00995557">
        <w:rPr>
          <w:spacing w:val="0"/>
          <w:szCs w:val="20"/>
        </w:rPr>
        <w:t xml:space="preserve">La Corte ha considerado la necesidad de otorgar diversas medidas de reparación, a fin de resarcir los daños de manera </w:t>
      </w:r>
      <w:r w:rsidR="00694E20" w:rsidRPr="00995557">
        <w:rPr>
          <w:snapToGrid w:val="0"/>
          <w:spacing w:val="0"/>
          <w:szCs w:val="20"/>
          <w:lang w:eastAsia="es-ES"/>
        </w:rPr>
        <w:t>integral</w:t>
      </w:r>
      <w:r w:rsidR="00694E20" w:rsidRPr="00995557">
        <w:rPr>
          <w:spacing w:val="0"/>
          <w:szCs w:val="20"/>
        </w:rPr>
        <w:t xml:space="preserve">, por lo que además de las compensaciones pecuniarias, las medidas de restitución, rehabilitación, satisfacción y garantías de no repetición tienen especial relevancia por los daños </w:t>
      </w:r>
      <w:r w:rsidR="00694E20" w:rsidRPr="00995557">
        <w:rPr>
          <w:spacing w:val="0"/>
          <w:szCs w:val="20"/>
        </w:rPr>
        <w:lastRenderedPageBreak/>
        <w:t>ocasionados</w:t>
      </w:r>
      <w:r w:rsidR="00694E20" w:rsidRPr="00995557">
        <w:rPr>
          <w:rStyle w:val="Refdenotaalpie"/>
          <w:rFonts w:eastAsia="Calibri"/>
          <w:spacing w:val="0"/>
          <w:szCs w:val="20"/>
        </w:rPr>
        <w:footnoteReference w:id="192"/>
      </w:r>
      <w:r w:rsidR="00694E20" w:rsidRPr="00995557">
        <w:rPr>
          <w:spacing w:val="0"/>
          <w:szCs w:val="20"/>
        </w:rPr>
        <w:t xml:space="preserve">. </w:t>
      </w:r>
      <w:r w:rsidRPr="00995557">
        <w:rPr>
          <w:spacing w:val="0"/>
          <w:szCs w:val="20"/>
        </w:rPr>
        <w:t>Además, este Tribunal ha establecido que las reparaciones deben tener un nexo causal con los hechos del caso, las violaciones declaradas, los daños acreditados, así como las medidas solicitadas para reparar los daños respectivos</w:t>
      </w:r>
      <w:r w:rsidRPr="00995557">
        <w:rPr>
          <w:spacing w:val="0"/>
          <w:szCs w:val="20"/>
          <w:vertAlign w:val="superscript"/>
        </w:rPr>
        <w:footnoteReference w:id="193"/>
      </w:r>
      <w:r w:rsidRPr="00995557">
        <w:rPr>
          <w:spacing w:val="0"/>
          <w:szCs w:val="20"/>
        </w:rPr>
        <w:t>.</w:t>
      </w:r>
    </w:p>
    <w:p w14:paraId="45678CDA" w14:textId="77777777" w:rsidR="00694E20" w:rsidRPr="00995557" w:rsidRDefault="00694E20" w:rsidP="00AA627A">
      <w:pPr>
        <w:rPr>
          <w:lang w:eastAsia="es-MX"/>
        </w:rPr>
      </w:pPr>
    </w:p>
    <w:p w14:paraId="30935FFD" w14:textId="77777777" w:rsidR="00232554" w:rsidRPr="00995557" w:rsidRDefault="008900E0" w:rsidP="00AA627A">
      <w:pPr>
        <w:pStyle w:val="PrrafodeSentencia"/>
        <w:numPr>
          <w:ilvl w:val="0"/>
          <w:numId w:val="2"/>
        </w:numPr>
        <w:tabs>
          <w:tab w:val="left" w:pos="0"/>
        </w:tabs>
        <w:ind w:left="0" w:firstLine="0"/>
        <w:rPr>
          <w:spacing w:val="0"/>
          <w:szCs w:val="20"/>
        </w:rPr>
      </w:pPr>
      <w:r w:rsidRPr="00995557">
        <w:rPr>
          <w:spacing w:val="0"/>
          <w:szCs w:val="20"/>
        </w:rPr>
        <w:t xml:space="preserve">En consecuencia, el Tribunal procederá a analizar las pretensiones </w:t>
      </w:r>
      <w:r w:rsidR="00434AAC" w:rsidRPr="00995557">
        <w:rPr>
          <w:spacing w:val="0"/>
          <w:szCs w:val="20"/>
        </w:rPr>
        <w:t>formuladas</w:t>
      </w:r>
      <w:r w:rsidRPr="00995557">
        <w:rPr>
          <w:spacing w:val="0"/>
          <w:szCs w:val="20"/>
        </w:rPr>
        <w:t xml:space="preserve"> por la Comisión y l</w:t>
      </w:r>
      <w:r w:rsidR="00694E20" w:rsidRPr="00995557">
        <w:rPr>
          <w:spacing w:val="0"/>
          <w:szCs w:val="20"/>
        </w:rPr>
        <w:t>o</w:t>
      </w:r>
      <w:r w:rsidRPr="00995557">
        <w:rPr>
          <w:spacing w:val="0"/>
          <w:szCs w:val="20"/>
        </w:rPr>
        <w:t xml:space="preserve">s representantes de las víctimas, así como </w:t>
      </w:r>
      <w:r w:rsidR="00232554" w:rsidRPr="00995557">
        <w:rPr>
          <w:spacing w:val="0"/>
          <w:szCs w:val="20"/>
        </w:rPr>
        <w:t>los argumentos</w:t>
      </w:r>
      <w:r w:rsidRPr="00995557">
        <w:rPr>
          <w:spacing w:val="0"/>
          <w:szCs w:val="20"/>
        </w:rPr>
        <w:t xml:space="preserve"> del Estado</w:t>
      </w:r>
      <w:r w:rsidR="00232554" w:rsidRPr="00995557">
        <w:rPr>
          <w:spacing w:val="0"/>
          <w:szCs w:val="20"/>
        </w:rPr>
        <w:t>.</w:t>
      </w:r>
    </w:p>
    <w:p w14:paraId="20D629C1" w14:textId="77777777" w:rsidR="00232554" w:rsidRPr="00995557" w:rsidRDefault="00232554" w:rsidP="00AA627A">
      <w:pPr>
        <w:rPr>
          <w:lang w:eastAsia="es-MX"/>
        </w:rPr>
      </w:pPr>
    </w:p>
    <w:p w14:paraId="530C9778" w14:textId="77777777" w:rsidR="008900E0" w:rsidRPr="00995557" w:rsidRDefault="008900E0" w:rsidP="00AA627A">
      <w:pPr>
        <w:pStyle w:val="Ttulo2"/>
        <w:numPr>
          <w:ilvl w:val="0"/>
          <w:numId w:val="19"/>
        </w:numPr>
        <w:tabs>
          <w:tab w:val="clear" w:pos="1134"/>
          <w:tab w:val="left" w:pos="1418"/>
        </w:tabs>
        <w:spacing w:before="0" w:after="0"/>
        <w:rPr>
          <w:lang w:eastAsia="es-ES"/>
        </w:rPr>
      </w:pPr>
      <w:bookmarkStart w:id="153" w:name="_Toc36823503"/>
      <w:bookmarkStart w:id="154" w:name="_Toc53741464"/>
      <w:bookmarkStart w:id="155" w:name="_Toc58399132"/>
      <w:bookmarkStart w:id="156" w:name="_Hlk44452455"/>
      <w:r w:rsidRPr="00995557">
        <w:t xml:space="preserve">Parte </w:t>
      </w:r>
      <w:r w:rsidR="00F63FD6" w:rsidRPr="00995557">
        <w:t>l</w:t>
      </w:r>
      <w:r w:rsidRPr="00995557">
        <w:t>esionada</w:t>
      </w:r>
      <w:bookmarkEnd w:id="153"/>
      <w:bookmarkEnd w:id="154"/>
      <w:bookmarkEnd w:id="155"/>
    </w:p>
    <w:bookmarkEnd w:id="156"/>
    <w:p w14:paraId="251BC5F0" w14:textId="77777777" w:rsidR="0062228D" w:rsidRPr="00995557" w:rsidRDefault="0062228D" w:rsidP="00AA627A">
      <w:pPr>
        <w:rPr>
          <w:lang w:eastAsia="es-MX"/>
        </w:rPr>
      </w:pPr>
    </w:p>
    <w:p w14:paraId="35855EE1" w14:textId="208D0AE0" w:rsidR="00232554" w:rsidRPr="00995557" w:rsidRDefault="008900E0" w:rsidP="00AA627A">
      <w:pPr>
        <w:pStyle w:val="PrrafodeSentencia"/>
        <w:widowControl w:val="0"/>
        <w:numPr>
          <w:ilvl w:val="0"/>
          <w:numId w:val="2"/>
        </w:numPr>
        <w:tabs>
          <w:tab w:val="left" w:pos="0"/>
        </w:tabs>
        <w:ind w:left="0" w:firstLine="0"/>
        <w:rPr>
          <w:spacing w:val="0"/>
          <w:szCs w:val="20"/>
        </w:rPr>
      </w:pPr>
      <w:r w:rsidRPr="00995557">
        <w:rPr>
          <w:spacing w:val="0"/>
          <w:szCs w:val="20"/>
        </w:rPr>
        <w:t xml:space="preserve">Este Tribunal considera parte lesionada, en los términos del artículo 63.1 de la Convención, a quien ha sido declarada víctima de la violación de algún derecho reconocido en </w:t>
      </w:r>
      <w:r w:rsidR="00232554" w:rsidRPr="00995557">
        <w:rPr>
          <w:spacing w:val="0"/>
          <w:szCs w:val="20"/>
        </w:rPr>
        <w:t>dicho instrumento internacional</w:t>
      </w:r>
      <w:r w:rsidRPr="00995557">
        <w:rPr>
          <w:spacing w:val="0"/>
          <w:szCs w:val="20"/>
        </w:rPr>
        <w:t>. Por lo tanto, esta Corte considera como “partes lesionadas”</w:t>
      </w:r>
      <w:r w:rsidR="00F63FD6" w:rsidRPr="00995557">
        <w:rPr>
          <w:spacing w:val="0"/>
          <w:szCs w:val="20"/>
        </w:rPr>
        <w:t xml:space="preserve"> a</w:t>
      </w:r>
      <w:r w:rsidR="00232554" w:rsidRPr="00995557">
        <w:rPr>
          <w:spacing w:val="0"/>
          <w:szCs w:val="20"/>
        </w:rPr>
        <w:t xml:space="preserve"> (i) las víctimas fallecidas: Orlando Edgardo Olivares Muñoz, Joel </w:t>
      </w:r>
      <w:r w:rsidR="00A655AF" w:rsidRPr="00995557">
        <w:rPr>
          <w:spacing w:val="0"/>
          <w:szCs w:val="20"/>
        </w:rPr>
        <w:t>Ronaldy</w:t>
      </w:r>
      <w:r w:rsidR="00232554" w:rsidRPr="00995557">
        <w:rPr>
          <w:spacing w:val="0"/>
          <w:szCs w:val="20"/>
        </w:rPr>
        <w:t xml:space="preserve"> Reyes Nava, Orangel José Figueroa, Héctor Javier Muñoz Valerio, Pedro Ramón López Chaurán, José Gregorio Bolívar Corro y Richard Alexis Núñez Palma; (ii) las víctimas lesionadas: Ramón Zambrano, Jovanny Palomo, Carlos Durán, Richard Vallez, Carlos Alberto Torres, Galindo Urrieta, Edwin David Díaz, Luis Filgueira, Oswal Sotillo, Rafael Vera Himi, Miguel Marcano, Marcos Pacheco, Alcides Rafael Alcaza Barreto, Jesús Manuel Amaiz Borrome, Rafael Villa Hermosa, Efraín Cordero, Carlos Alberto Martínez, Pedro de Jesús Montes Aguanes, Santa Jesús Gil Osuna, Omar Armando Vásquez, Getulio Piña Laya, Evelio Eugenio Martínez, Enrique José González, Javier Omar Lara, José Efraín Rosales Navas, Levis Simoza y Marco Antonio Ruíz Sucre, y (iii) los </w:t>
      </w:r>
      <w:r w:rsidR="0079255B" w:rsidRPr="00995557">
        <w:rPr>
          <w:spacing w:val="0"/>
          <w:szCs w:val="20"/>
        </w:rPr>
        <w:t>familiares de las víctimas fall</w:t>
      </w:r>
      <w:r w:rsidR="00232554" w:rsidRPr="00995557">
        <w:rPr>
          <w:spacing w:val="0"/>
          <w:szCs w:val="20"/>
        </w:rPr>
        <w:t>ecidas: Lorenza Josefina Pérez de Olivares, Elizabeth del Carmen Cañizales Palma, Elías José Aguirre Navas, Yngris Lorena Muñoz Valerio, José Luis Figueroa, Jenny Leomelia Reyes Guzmán y Johamnata Martínez Coralis.</w:t>
      </w:r>
    </w:p>
    <w:p w14:paraId="5895BDA5" w14:textId="77777777" w:rsidR="00232554" w:rsidRPr="00995557" w:rsidRDefault="00232554" w:rsidP="00AA627A">
      <w:pPr>
        <w:rPr>
          <w:lang w:eastAsia="es-MX"/>
        </w:rPr>
      </w:pPr>
    </w:p>
    <w:p w14:paraId="03994FF7" w14:textId="77777777" w:rsidR="008900E0" w:rsidRPr="00995557" w:rsidRDefault="008900E0" w:rsidP="00AA627A">
      <w:pPr>
        <w:pStyle w:val="Ttulo2"/>
        <w:numPr>
          <w:ilvl w:val="0"/>
          <w:numId w:val="19"/>
        </w:numPr>
        <w:tabs>
          <w:tab w:val="clear" w:pos="1134"/>
          <w:tab w:val="left" w:pos="993"/>
        </w:tabs>
        <w:spacing w:before="0" w:after="0"/>
      </w:pPr>
      <w:bookmarkStart w:id="157" w:name="_Toc36823504"/>
      <w:bookmarkStart w:id="158" w:name="_Toc53741465"/>
      <w:bookmarkStart w:id="159" w:name="_Toc58399133"/>
      <w:bookmarkStart w:id="160" w:name="_Hlk44452481"/>
      <w:r w:rsidRPr="00995557">
        <w:t>Obligación de investigar</w:t>
      </w:r>
      <w:bookmarkEnd w:id="157"/>
      <w:bookmarkEnd w:id="158"/>
      <w:bookmarkEnd w:id="159"/>
    </w:p>
    <w:bookmarkEnd w:id="160"/>
    <w:p w14:paraId="2B9D7539" w14:textId="77777777" w:rsidR="00232554" w:rsidRPr="00995557" w:rsidRDefault="00232554" w:rsidP="00AA627A"/>
    <w:p w14:paraId="52A6D1EA" w14:textId="24C9D8FA" w:rsidR="000A7629" w:rsidRPr="00995557" w:rsidRDefault="00071941" w:rsidP="00AA627A">
      <w:pPr>
        <w:pStyle w:val="PrrafodeSentencia"/>
        <w:numPr>
          <w:ilvl w:val="0"/>
          <w:numId w:val="2"/>
        </w:numPr>
        <w:ind w:left="0" w:firstLine="0"/>
        <w:rPr>
          <w:rFonts w:cs="Times New Roman"/>
          <w:b/>
          <w:spacing w:val="0"/>
          <w:szCs w:val="20"/>
        </w:rPr>
      </w:pPr>
      <w:r w:rsidRPr="00995557">
        <w:rPr>
          <w:rFonts w:cs="Times New Roman"/>
          <w:spacing w:val="0"/>
          <w:szCs w:val="20"/>
        </w:rPr>
        <w:t xml:space="preserve">La </w:t>
      </w:r>
      <w:r w:rsidRPr="00995557">
        <w:rPr>
          <w:rFonts w:cs="Times New Roman"/>
          <w:b/>
          <w:i/>
          <w:spacing w:val="0"/>
          <w:szCs w:val="20"/>
        </w:rPr>
        <w:t>Comisión</w:t>
      </w:r>
      <w:r w:rsidRPr="00995557">
        <w:rPr>
          <w:rFonts w:cs="Times New Roman"/>
          <w:spacing w:val="0"/>
          <w:szCs w:val="20"/>
        </w:rPr>
        <w:t xml:space="preserve"> solicitó </w:t>
      </w:r>
      <w:r w:rsidR="00BE17DF" w:rsidRPr="00995557">
        <w:rPr>
          <w:rFonts w:cs="Times New Roman"/>
          <w:spacing w:val="0"/>
          <w:szCs w:val="20"/>
        </w:rPr>
        <w:t>que se continúe</w:t>
      </w:r>
      <w:r w:rsidRPr="00995557">
        <w:rPr>
          <w:rFonts w:cs="Times New Roman"/>
          <w:spacing w:val="0"/>
          <w:szCs w:val="20"/>
        </w:rPr>
        <w:t xml:space="preserve"> la investigación penal de manera diligente, efectiva y dentro de un plazo razonable con el objeto de esclarecer los hechos en forma completa, identificar</w:t>
      </w:r>
      <w:r w:rsidR="00BE17DF" w:rsidRPr="00995557">
        <w:rPr>
          <w:rFonts w:cs="Times New Roman"/>
          <w:spacing w:val="0"/>
          <w:szCs w:val="20"/>
        </w:rPr>
        <w:t xml:space="preserve"> a los responsables </w:t>
      </w:r>
      <w:r w:rsidRPr="00995557">
        <w:rPr>
          <w:rFonts w:cs="Times New Roman"/>
          <w:spacing w:val="0"/>
          <w:szCs w:val="20"/>
        </w:rPr>
        <w:t>e imponer las sanciones que correspondan.</w:t>
      </w:r>
    </w:p>
    <w:p w14:paraId="64CFDF6A" w14:textId="77777777" w:rsidR="000A7629" w:rsidRPr="00995557" w:rsidRDefault="000A7629" w:rsidP="00AA627A">
      <w:pPr>
        <w:rPr>
          <w:lang w:eastAsia="es-MX"/>
        </w:rPr>
      </w:pPr>
    </w:p>
    <w:p w14:paraId="15BAC472" w14:textId="0EA7E733" w:rsidR="007D2B49" w:rsidRPr="00995557" w:rsidRDefault="000A7629" w:rsidP="00AA627A">
      <w:pPr>
        <w:pStyle w:val="PrrafodeSentencia"/>
        <w:numPr>
          <w:ilvl w:val="0"/>
          <w:numId w:val="2"/>
        </w:numPr>
        <w:ind w:left="0" w:firstLine="0"/>
        <w:rPr>
          <w:spacing w:val="0"/>
          <w:szCs w:val="20"/>
        </w:rPr>
      </w:pPr>
      <w:r w:rsidRPr="00995557">
        <w:rPr>
          <w:spacing w:val="0"/>
          <w:szCs w:val="20"/>
        </w:rPr>
        <w:t xml:space="preserve">Los </w:t>
      </w:r>
      <w:r w:rsidRPr="00995557">
        <w:rPr>
          <w:b/>
          <w:i/>
          <w:spacing w:val="0"/>
          <w:szCs w:val="20"/>
        </w:rPr>
        <w:t>representantes</w:t>
      </w:r>
      <w:r w:rsidRPr="00995557">
        <w:rPr>
          <w:spacing w:val="0"/>
          <w:szCs w:val="20"/>
        </w:rPr>
        <w:t xml:space="preserve"> solicitaron que se lleve a cabo, dentro de un plazo razonable, una investigación completa, imparcial y efectiva a fin de identificar, juzgar y sancionar a los autores materiales e intelectuales de las violaciones a derechos humanos; </w:t>
      </w:r>
      <w:r w:rsidR="00BE17DF" w:rsidRPr="00995557">
        <w:rPr>
          <w:spacing w:val="0"/>
          <w:szCs w:val="20"/>
        </w:rPr>
        <w:t>para lo cual</w:t>
      </w:r>
      <w:r w:rsidRPr="00995557">
        <w:rPr>
          <w:spacing w:val="0"/>
          <w:szCs w:val="20"/>
        </w:rPr>
        <w:t xml:space="preserve"> el Estado debe</w:t>
      </w:r>
      <w:r w:rsidR="00BE17DF" w:rsidRPr="00995557">
        <w:rPr>
          <w:spacing w:val="0"/>
          <w:szCs w:val="20"/>
        </w:rPr>
        <w:t xml:space="preserve">rá </w:t>
      </w:r>
      <w:r w:rsidRPr="00995557">
        <w:rPr>
          <w:spacing w:val="0"/>
          <w:szCs w:val="20"/>
        </w:rPr>
        <w:t>abstenerse de utilizar obstáculos procesales que impidan la debida investigación de los hechos y su judicialización</w:t>
      </w:r>
      <w:r w:rsidR="00152A21" w:rsidRPr="00995557">
        <w:rPr>
          <w:spacing w:val="0"/>
          <w:szCs w:val="20"/>
        </w:rPr>
        <w:t>.</w:t>
      </w:r>
      <w:r w:rsidRPr="00995557">
        <w:rPr>
          <w:spacing w:val="0"/>
          <w:szCs w:val="20"/>
        </w:rPr>
        <w:t xml:space="preserve"> </w:t>
      </w:r>
      <w:r w:rsidR="007D2B49" w:rsidRPr="00995557">
        <w:rPr>
          <w:b/>
          <w:spacing w:val="0"/>
          <w:szCs w:val="20"/>
        </w:rPr>
        <w:t xml:space="preserve"> </w:t>
      </w:r>
      <w:r w:rsidR="007D2B49" w:rsidRPr="00995557">
        <w:rPr>
          <w:rFonts w:eastAsiaTheme="minorHAnsi" w:cs="Times New Roman"/>
          <w:spacing w:val="0"/>
          <w:szCs w:val="20"/>
          <w:lang w:val="es-GT" w:eastAsia="en-US"/>
        </w:rPr>
        <w:t>I</w:t>
      </w:r>
      <w:r w:rsidR="007D2B49" w:rsidRPr="00995557">
        <w:rPr>
          <w:spacing w:val="0"/>
          <w:szCs w:val="20"/>
        </w:rPr>
        <w:t>ndicaron que deben investigarse y, en su caso, sancionar las eventuales faltas en las que incurrieron los funcionarios a cargo de la investigación.</w:t>
      </w:r>
    </w:p>
    <w:p w14:paraId="390F0236" w14:textId="77777777" w:rsidR="007D24E3" w:rsidRPr="00995557" w:rsidRDefault="007D24E3" w:rsidP="00AA627A">
      <w:pPr>
        <w:rPr>
          <w:lang w:eastAsia="es-MX"/>
        </w:rPr>
      </w:pPr>
    </w:p>
    <w:p w14:paraId="0FD49F52" w14:textId="63D851C9" w:rsidR="000A7629" w:rsidRPr="00995557" w:rsidRDefault="000A7629" w:rsidP="00AA627A">
      <w:pPr>
        <w:pStyle w:val="PrrafodeSentencia"/>
        <w:numPr>
          <w:ilvl w:val="0"/>
          <w:numId w:val="2"/>
        </w:numPr>
        <w:ind w:left="0" w:firstLine="0"/>
        <w:rPr>
          <w:b/>
          <w:spacing w:val="0"/>
          <w:szCs w:val="20"/>
        </w:rPr>
      </w:pPr>
      <w:r w:rsidRPr="00995557">
        <w:rPr>
          <w:rFonts w:cs="Arial"/>
          <w:spacing w:val="0"/>
          <w:szCs w:val="20"/>
        </w:rPr>
        <w:t xml:space="preserve">El </w:t>
      </w:r>
      <w:r w:rsidRPr="00995557">
        <w:rPr>
          <w:rFonts w:cs="Arial"/>
          <w:b/>
          <w:i/>
          <w:spacing w:val="0"/>
          <w:szCs w:val="20"/>
        </w:rPr>
        <w:t xml:space="preserve">Estado </w:t>
      </w:r>
      <w:r w:rsidRPr="00995557">
        <w:rPr>
          <w:rFonts w:cs="Arial"/>
          <w:spacing w:val="0"/>
          <w:szCs w:val="20"/>
        </w:rPr>
        <w:t>argumentó que en noviembre de 2016 se dictó sentencia absolutoria contra las cuatro personas procesadas como presuntos responsables de los hechos del presente caso, decisión que quedó firme.</w:t>
      </w:r>
      <w:r w:rsidRPr="00995557">
        <w:rPr>
          <w:rFonts w:cs="Times New Roman"/>
          <w:b/>
          <w:spacing w:val="0"/>
          <w:szCs w:val="20"/>
        </w:rPr>
        <w:t xml:space="preserve"> </w:t>
      </w:r>
      <w:r w:rsidRPr="00995557">
        <w:rPr>
          <w:rFonts w:cs="Arial"/>
          <w:spacing w:val="0"/>
          <w:szCs w:val="20"/>
        </w:rPr>
        <w:t xml:space="preserve">Ante ello, señaló que “resultaría imposible desde el punto de vista jurídico y de los derechos humanos de los procesados volver a juzgarlos por los mismos hechos, con base en el principio </w:t>
      </w:r>
      <w:r w:rsidRPr="00995557">
        <w:rPr>
          <w:rFonts w:cs="Arial"/>
          <w:i/>
          <w:spacing w:val="0"/>
          <w:szCs w:val="20"/>
        </w:rPr>
        <w:t>non bis in idem</w:t>
      </w:r>
      <w:r w:rsidRPr="00995557">
        <w:rPr>
          <w:rFonts w:cs="Arial"/>
          <w:spacing w:val="0"/>
          <w:szCs w:val="20"/>
        </w:rPr>
        <w:t>”, y agregó que “dada la complejidad de los hechos y el largo tiempo transcurrido desde que ocurrieron, [se] dificulta altamente poder investigar y determinar lo ocurrido, particularmente la responsabilidad penal individual que se deriva de estos hechos”.</w:t>
      </w:r>
    </w:p>
    <w:p w14:paraId="6AF0CE20" w14:textId="77777777" w:rsidR="000A7629" w:rsidRPr="00995557" w:rsidRDefault="000A7629" w:rsidP="00AA627A">
      <w:pPr>
        <w:rPr>
          <w:lang w:eastAsia="es-MX"/>
        </w:rPr>
      </w:pPr>
    </w:p>
    <w:p w14:paraId="33208A73" w14:textId="77777777" w:rsidR="00D731BB" w:rsidRPr="00995557" w:rsidRDefault="008900E0" w:rsidP="00AA627A">
      <w:pPr>
        <w:pStyle w:val="PrrafodeSentencia"/>
        <w:numPr>
          <w:ilvl w:val="0"/>
          <w:numId w:val="2"/>
        </w:numPr>
        <w:ind w:left="0" w:firstLine="0"/>
        <w:rPr>
          <w:spacing w:val="0"/>
          <w:szCs w:val="20"/>
        </w:rPr>
      </w:pPr>
      <w:bookmarkStart w:id="161" w:name="_Ref33109383"/>
      <w:r w:rsidRPr="00995557">
        <w:rPr>
          <w:spacing w:val="0"/>
          <w:szCs w:val="20"/>
        </w:rPr>
        <w:t xml:space="preserve">La Corte </w:t>
      </w:r>
      <w:r w:rsidR="0041155D" w:rsidRPr="00995557">
        <w:rPr>
          <w:spacing w:val="0"/>
          <w:szCs w:val="20"/>
        </w:rPr>
        <w:t xml:space="preserve">concluyó que el Estado </w:t>
      </w:r>
      <w:r w:rsidR="00EF7EB5" w:rsidRPr="00995557">
        <w:rPr>
          <w:spacing w:val="0"/>
          <w:szCs w:val="20"/>
        </w:rPr>
        <w:t xml:space="preserve">violó los derechos a las garantías judiciales y a la protección judicial en tanto </w:t>
      </w:r>
      <w:r w:rsidR="0041155D" w:rsidRPr="00995557">
        <w:rPr>
          <w:spacing w:val="0"/>
          <w:szCs w:val="20"/>
        </w:rPr>
        <w:t>no ha logrado esclarecer los hechos que dieron lugar al</w:t>
      </w:r>
      <w:r w:rsidR="002B1119" w:rsidRPr="00995557">
        <w:rPr>
          <w:spacing w:val="0"/>
          <w:szCs w:val="20"/>
        </w:rPr>
        <w:t xml:space="preserve"> presente caso, a lo que se suma que no inició investigación alguna por las lesiones ocasionadas a las personas privadas de libertad en la cárcel de Vista Hermosa</w:t>
      </w:r>
      <w:r w:rsidR="00EF7EB5" w:rsidRPr="00995557">
        <w:rPr>
          <w:spacing w:val="0"/>
          <w:szCs w:val="20"/>
        </w:rPr>
        <w:t xml:space="preserve"> ni instruyó investigación alguna por la </w:t>
      </w:r>
      <w:r w:rsidR="002B1119" w:rsidRPr="00995557">
        <w:rPr>
          <w:spacing w:val="0"/>
          <w:szCs w:val="20"/>
        </w:rPr>
        <w:t>posible</w:t>
      </w:r>
      <w:r w:rsidR="00EF7EB5" w:rsidRPr="00995557">
        <w:rPr>
          <w:spacing w:val="0"/>
          <w:szCs w:val="20"/>
        </w:rPr>
        <w:t xml:space="preserve"> comisión de</w:t>
      </w:r>
      <w:r w:rsidR="002B1119" w:rsidRPr="00995557">
        <w:rPr>
          <w:spacing w:val="0"/>
          <w:szCs w:val="20"/>
        </w:rPr>
        <w:t xml:space="preserve"> actos de tortura. </w:t>
      </w:r>
    </w:p>
    <w:p w14:paraId="026C3C1E" w14:textId="77777777" w:rsidR="00EC7AB4" w:rsidRPr="00995557" w:rsidRDefault="00EC7AB4" w:rsidP="00AA627A">
      <w:pPr>
        <w:pStyle w:val="PrrafodeSentencia"/>
        <w:numPr>
          <w:ilvl w:val="0"/>
          <w:numId w:val="0"/>
        </w:numPr>
        <w:rPr>
          <w:spacing w:val="0"/>
          <w:szCs w:val="20"/>
        </w:rPr>
      </w:pPr>
    </w:p>
    <w:p w14:paraId="0D4AF250" w14:textId="79AADC88" w:rsidR="00D731BB" w:rsidRPr="00995557" w:rsidRDefault="00EC7AB4" w:rsidP="00AA627A">
      <w:pPr>
        <w:pStyle w:val="PrrafodeSentencia"/>
        <w:widowControl w:val="0"/>
        <w:numPr>
          <w:ilvl w:val="0"/>
          <w:numId w:val="2"/>
        </w:numPr>
        <w:ind w:left="0" w:firstLine="0"/>
        <w:rPr>
          <w:spacing w:val="0"/>
          <w:szCs w:val="20"/>
        </w:rPr>
      </w:pPr>
      <w:r w:rsidRPr="00995557">
        <w:rPr>
          <w:spacing w:val="0"/>
          <w:szCs w:val="20"/>
        </w:rPr>
        <w:t xml:space="preserve">A partir de </w:t>
      </w:r>
      <w:r w:rsidR="002B1119" w:rsidRPr="00995557">
        <w:rPr>
          <w:spacing w:val="0"/>
          <w:szCs w:val="20"/>
        </w:rPr>
        <w:t>lo</w:t>
      </w:r>
      <w:r w:rsidRPr="00995557">
        <w:rPr>
          <w:spacing w:val="0"/>
          <w:szCs w:val="20"/>
        </w:rPr>
        <w:t xml:space="preserve"> anterior</w:t>
      </w:r>
      <w:r w:rsidR="002B1119" w:rsidRPr="00995557">
        <w:rPr>
          <w:spacing w:val="0"/>
          <w:szCs w:val="20"/>
        </w:rPr>
        <w:t xml:space="preserve">, </w:t>
      </w:r>
      <w:r w:rsidR="00D731BB" w:rsidRPr="00995557">
        <w:rPr>
          <w:spacing w:val="0"/>
          <w:szCs w:val="20"/>
        </w:rPr>
        <w:t>la Corte dispone que el Estado debe reiniciar, con la debida diligencia, la investigación y proceso penal que corresponda por los hechos ocurridos</w:t>
      </w:r>
      <w:r w:rsidR="002B1119" w:rsidRPr="00995557">
        <w:rPr>
          <w:spacing w:val="0"/>
          <w:szCs w:val="20"/>
        </w:rPr>
        <w:t xml:space="preserve"> en la cárcel de Vista Hermosa el 10 de noviembre de 2003.</w:t>
      </w:r>
      <w:r w:rsidR="00305C62" w:rsidRPr="00995557">
        <w:rPr>
          <w:spacing w:val="0"/>
          <w:szCs w:val="20"/>
        </w:rPr>
        <w:t xml:space="preserve"> </w:t>
      </w:r>
      <w:r w:rsidR="00D731BB" w:rsidRPr="00995557">
        <w:rPr>
          <w:rFonts w:cs="Arial"/>
          <w:spacing w:val="0"/>
          <w:szCs w:val="20"/>
        </w:rPr>
        <w:t>De esa cuenta, el Estado deberá investigar con debida diligencia los hechos que dieron como resultado (i) las muertes de las siete personas privadas de libertad</w:t>
      </w:r>
      <w:r w:rsidR="00C025DB" w:rsidRPr="00995557">
        <w:rPr>
          <w:rFonts w:cs="Arial"/>
          <w:spacing w:val="0"/>
          <w:szCs w:val="20"/>
        </w:rPr>
        <w:t>;</w:t>
      </w:r>
      <w:r w:rsidR="00D731BB" w:rsidRPr="00995557">
        <w:rPr>
          <w:rFonts w:cs="Arial"/>
          <w:spacing w:val="0"/>
          <w:szCs w:val="20"/>
        </w:rPr>
        <w:t xml:space="preserve"> (ii) las les</w:t>
      </w:r>
      <w:r w:rsidR="00C025DB" w:rsidRPr="00995557">
        <w:rPr>
          <w:rFonts w:cs="Arial"/>
          <w:spacing w:val="0"/>
          <w:szCs w:val="20"/>
        </w:rPr>
        <w:t xml:space="preserve">iones provocadas a las otras 27, </w:t>
      </w:r>
      <w:r w:rsidR="00222139" w:rsidRPr="00995557">
        <w:rPr>
          <w:rFonts w:cs="Arial"/>
          <w:spacing w:val="0"/>
          <w:szCs w:val="20"/>
        </w:rPr>
        <w:t>y</w:t>
      </w:r>
      <w:r w:rsidR="00D731BB" w:rsidRPr="00995557">
        <w:rPr>
          <w:rFonts w:cs="Arial"/>
          <w:spacing w:val="0"/>
          <w:szCs w:val="20"/>
        </w:rPr>
        <w:t xml:space="preserve"> (iii) </w:t>
      </w:r>
      <w:r w:rsidR="00FE6B67" w:rsidRPr="00995557">
        <w:rPr>
          <w:rFonts w:cs="Arial"/>
          <w:spacing w:val="0"/>
          <w:szCs w:val="20"/>
        </w:rPr>
        <w:t>los</w:t>
      </w:r>
      <w:r w:rsidR="00D731BB" w:rsidRPr="00995557">
        <w:rPr>
          <w:rFonts w:cs="Arial"/>
          <w:spacing w:val="0"/>
          <w:szCs w:val="20"/>
        </w:rPr>
        <w:t xml:space="preserve"> posibles actos de tortura</w:t>
      </w:r>
      <w:r w:rsidR="00FE6B67" w:rsidRPr="00995557">
        <w:rPr>
          <w:rFonts w:cs="Arial"/>
          <w:spacing w:val="0"/>
          <w:szCs w:val="20"/>
        </w:rPr>
        <w:t xml:space="preserve"> cometidos</w:t>
      </w:r>
      <w:r w:rsidR="00D731BB" w:rsidRPr="00995557">
        <w:rPr>
          <w:rFonts w:cs="Arial"/>
          <w:spacing w:val="0"/>
          <w:szCs w:val="20"/>
        </w:rPr>
        <w:t>.</w:t>
      </w:r>
    </w:p>
    <w:p w14:paraId="0F3EAF60" w14:textId="77777777" w:rsidR="00D731BB" w:rsidRPr="00995557" w:rsidRDefault="00D731BB" w:rsidP="00AA627A">
      <w:pPr>
        <w:pStyle w:val="PrrafodeSentencia"/>
        <w:widowControl w:val="0"/>
        <w:numPr>
          <w:ilvl w:val="0"/>
          <w:numId w:val="0"/>
        </w:numPr>
        <w:rPr>
          <w:spacing w:val="0"/>
          <w:szCs w:val="20"/>
        </w:rPr>
      </w:pPr>
    </w:p>
    <w:p w14:paraId="72DAA4D8" w14:textId="77777777" w:rsidR="00EC7AB4" w:rsidRPr="00995557" w:rsidRDefault="00EC7AB4" w:rsidP="00AA627A">
      <w:pPr>
        <w:pStyle w:val="PrrafodeSentencia"/>
        <w:widowControl w:val="0"/>
        <w:numPr>
          <w:ilvl w:val="0"/>
          <w:numId w:val="2"/>
        </w:numPr>
        <w:ind w:left="0" w:firstLine="0"/>
        <w:rPr>
          <w:spacing w:val="0"/>
          <w:szCs w:val="20"/>
        </w:rPr>
      </w:pPr>
      <w:r w:rsidRPr="00995557">
        <w:rPr>
          <w:spacing w:val="0"/>
          <w:szCs w:val="20"/>
        </w:rPr>
        <w:t xml:space="preserve">Cabe señalar que </w:t>
      </w:r>
      <w:r w:rsidR="00146ACC" w:rsidRPr="00995557">
        <w:rPr>
          <w:spacing w:val="0"/>
          <w:szCs w:val="20"/>
        </w:rPr>
        <w:t>en virtud de que los hechos del presente caso</w:t>
      </w:r>
      <w:r w:rsidRPr="00995557">
        <w:rPr>
          <w:spacing w:val="0"/>
          <w:szCs w:val="20"/>
        </w:rPr>
        <w:t xml:space="preserve"> </w:t>
      </w:r>
      <w:r w:rsidR="00146ACC" w:rsidRPr="00995557">
        <w:rPr>
          <w:spacing w:val="0"/>
          <w:szCs w:val="20"/>
        </w:rPr>
        <w:t>configuran</w:t>
      </w:r>
      <w:r w:rsidR="00BC423B" w:rsidRPr="00995557">
        <w:rPr>
          <w:spacing w:val="0"/>
          <w:szCs w:val="20"/>
        </w:rPr>
        <w:t>, según lo reconoció expresamente el Estado, “ejecuciones extralegales, arbitrarias o sumarias” (</w:t>
      </w:r>
      <w:r w:rsidR="00BC423B" w:rsidRPr="00995557">
        <w:rPr>
          <w:i/>
          <w:spacing w:val="0"/>
          <w:szCs w:val="20"/>
        </w:rPr>
        <w:t>supra</w:t>
      </w:r>
      <w:r w:rsidR="00BC423B" w:rsidRPr="00995557">
        <w:rPr>
          <w:spacing w:val="0"/>
          <w:szCs w:val="20"/>
        </w:rPr>
        <w:t xml:space="preserve"> párr. 9</w:t>
      </w:r>
      <w:r w:rsidR="00FC4018" w:rsidRPr="00995557">
        <w:rPr>
          <w:spacing w:val="0"/>
          <w:szCs w:val="20"/>
        </w:rPr>
        <w:t>0</w:t>
      </w:r>
      <w:r w:rsidR="00BC423B" w:rsidRPr="00995557">
        <w:rPr>
          <w:spacing w:val="0"/>
          <w:szCs w:val="20"/>
        </w:rPr>
        <w:t xml:space="preserve">), </w:t>
      </w:r>
      <w:r w:rsidRPr="00995557">
        <w:rPr>
          <w:spacing w:val="0"/>
          <w:szCs w:val="20"/>
        </w:rPr>
        <w:t>no tiene asidero el alegato en torno a la imposibilidad de investigar</w:t>
      </w:r>
      <w:r w:rsidR="00146ACC" w:rsidRPr="00995557">
        <w:rPr>
          <w:spacing w:val="0"/>
          <w:szCs w:val="20"/>
        </w:rPr>
        <w:t xml:space="preserve"> lo sucedido</w:t>
      </w:r>
      <w:r w:rsidRPr="00995557">
        <w:rPr>
          <w:spacing w:val="0"/>
          <w:szCs w:val="20"/>
        </w:rPr>
        <w:t>, en tanto, como lo ha considerado la Corte en reiteradas oportunidades, ese tipo de violaciones</w:t>
      </w:r>
      <w:r w:rsidR="00D731BB" w:rsidRPr="00995557">
        <w:rPr>
          <w:spacing w:val="0"/>
          <w:szCs w:val="20"/>
        </w:rPr>
        <w:t xml:space="preserve"> a los derechos humanos</w:t>
      </w:r>
      <w:r w:rsidRPr="00995557">
        <w:rPr>
          <w:spacing w:val="0"/>
          <w:szCs w:val="20"/>
        </w:rPr>
        <w:t xml:space="preserve"> exigen al </w:t>
      </w:r>
      <w:r w:rsidRPr="00995557">
        <w:rPr>
          <w:rFonts w:eastAsia="Verdana" w:cs="Verdana"/>
          <w:spacing w:val="0"/>
          <w:szCs w:val="20"/>
          <w:lang w:val="es-ES"/>
        </w:rPr>
        <w:t xml:space="preserve">Estado abstenerse de recurrir a figuras como </w:t>
      </w:r>
      <w:r w:rsidR="00CA361E" w:rsidRPr="00995557">
        <w:rPr>
          <w:rFonts w:eastAsia="Verdana" w:cs="Verdana"/>
          <w:spacing w:val="0"/>
          <w:szCs w:val="20"/>
          <w:lang w:val="es-ES"/>
        </w:rPr>
        <w:t>el</w:t>
      </w:r>
      <w:r w:rsidR="00D30575" w:rsidRPr="00995557">
        <w:rPr>
          <w:rFonts w:eastAsia="Verdana" w:cs="Verdana"/>
          <w:spacing w:val="0"/>
          <w:szCs w:val="20"/>
          <w:lang w:val="es-ES"/>
        </w:rPr>
        <w:t xml:space="preserve"> principio</w:t>
      </w:r>
      <w:r w:rsidRPr="00995557">
        <w:rPr>
          <w:rFonts w:eastAsia="Verdana" w:cs="Verdana"/>
          <w:i/>
          <w:spacing w:val="0"/>
          <w:szCs w:val="20"/>
          <w:lang w:val="es-ES"/>
        </w:rPr>
        <w:t xml:space="preserve"> ne bis in idem </w:t>
      </w:r>
      <w:r w:rsidRPr="00995557">
        <w:rPr>
          <w:rFonts w:eastAsia="Verdana" w:cs="Verdana"/>
          <w:spacing w:val="0"/>
          <w:szCs w:val="20"/>
          <w:lang w:val="es-ES"/>
        </w:rPr>
        <w:t>o cualquier eximente similar de responsabilidad, para excusarse de esta obligación</w:t>
      </w:r>
      <w:r w:rsidRPr="00995557">
        <w:rPr>
          <w:rStyle w:val="Refdenotaalpie"/>
          <w:spacing w:val="0"/>
          <w:szCs w:val="20"/>
          <w:lang w:val="es-ES"/>
        </w:rPr>
        <w:footnoteReference w:id="194"/>
      </w:r>
      <w:r w:rsidRPr="00995557">
        <w:rPr>
          <w:spacing w:val="0"/>
          <w:szCs w:val="20"/>
          <w:lang w:val="es-ES"/>
        </w:rPr>
        <w:t>.</w:t>
      </w:r>
    </w:p>
    <w:p w14:paraId="48F2DF27" w14:textId="77777777" w:rsidR="00EC7AB4" w:rsidRPr="00995557" w:rsidRDefault="00EC7AB4" w:rsidP="00AA627A">
      <w:pPr>
        <w:pStyle w:val="PrrafodeSentencia"/>
        <w:numPr>
          <w:ilvl w:val="0"/>
          <w:numId w:val="0"/>
        </w:numPr>
        <w:rPr>
          <w:color w:val="FF0000"/>
          <w:spacing w:val="0"/>
          <w:szCs w:val="20"/>
        </w:rPr>
      </w:pPr>
    </w:p>
    <w:p w14:paraId="2867B3F6" w14:textId="0249CE38" w:rsidR="00BC423B" w:rsidRPr="00995557" w:rsidRDefault="00EC7AB4" w:rsidP="00AA627A">
      <w:pPr>
        <w:pStyle w:val="PrrafodeSentencia"/>
        <w:numPr>
          <w:ilvl w:val="0"/>
          <w:numId w:val="2"/>
        </w:numPr>
        <w:ind w:left="0" w:firstLine="0"/>
        <w:rPr>
          <w:spacing w:val="0"/>
          <w:szCs w:val="20"/>
        </w:rPr>
      </w:pPr>
      <w:r w:rsidRPr="00995557">
        <w:rPr>
          <w:spacing w:val="0"/>
          <w:szCs w:val="20"/>
          <w:lang w:val="es-ES"/>
        </w:rPr>
        <w:t>Por otro lado, l</w:t>
      </w:r>
      <w:r w:rsidR="00305C62" w:rsidRPr="00995557">
        <w:rPr>
          <w:spacing w:val="0"/>
          <w:szCs w:val="20"/>
          <w:lang w:val="es-ES"/>
        </w:rPr>
        <w:t>a debida diligencia en la investigación implica que todas las autoridades estatales correspondientes están obligadas a colaborar en la recolección de la prueba, por lo que deberán brindar a jueces, fiscales u otra</w:t>
      </w:r>
      <w:r w:rsidR="00357474" w:rsidRPr="00995557">
        <w:rPr>
          <w:spacing w:val="0"/>
          <w:szCs w:val="20"/>
          <w:lang w:val="es-ES"/>
        </w:rPr>
        <w:t>s</w:t>
      </w:r>
      <w:r w:rsidR="00305C62" w:rsidRPr="00995557">
        <w:rPr>
          <w:spacing w:val="0"/>
          <w:szCs w:val="20"/>
          <w:lang w:val="es-ES"/>
        </w:rPr>
        <w:t xml:space="preserve"> autoridad</w:t>
      </w:r>
      <w:r w:rsidR="00357474" w:rsidRPr="00995557">
        <w:rPr>
          <w:spacing w:val="0"/>
          <w:szCs w:val="20"/>
          <w:lang w:val="es-ES"/>
        </w:rPr>
        <w:t>es</w:t>
      </w:r>
      <w:r w:rsidR="00305C62" w:rsidRPr="00995557">
        <w:rPr>
          <w:spacing w:val="0"/>
          <w:szCs w:val="20"/>
          <w:lang w:val="es-ES"/>
        </w:rPr>
        <w:t xml:space="preserve"> competentes toda la información que requiera</w:t>
      </w:r>
      <w:r w:rsidR="00357474" w:rsidRPr="00995557">
        <w:rPr>
          <w:spacing w:val="0"/>
          <w:szCs w:val="20"/>
          <w:lang w:val="es-ES"/>
        </w:rPr>
        <w:t>n</w:t>
      </w:r>
      <w:r w:rsidR="00305C62" w:rsidRPr="00995557">
        <w:rPr>
          <w:spacing w:val="0"/>
          <w:szCs w:val="20"/>
          <w:lang w:val="es-ES"/>
        </w:rPr>
        <w:t xml:space="preserve"> y abstenerse de realizar actos que impliquen</w:t>
      </w:r>
      <w:r w:rsidR="00777597" w:rsidRPr="00995557">
        <w:rPr>
          <w:spacing w:val="0"/>
          <w:szCs w:val="20"/>
          <w:lang w:val="es-ES"/>
        </w:rPr>
        <w:t xml:space="preserve"> </w:t>
      </w:r>
      <w:r w:rsidR="00305C62" w:rsidRPr="00995557">
        <w:rPr>
          <w:spacing w:val="0"/>
          <w:szCs w:val="20"/>
          <w:lang w:val="es-ES"/>
        </w:rPr>
        <w:t xml:space="preserve">obstrucción para la marcha del proceso </w:t>
      </w:r>
      <w:r w:rsidR="004F45DF" w:rsidRPr="00995557">
        <w:rPr>
          <w:spacing w:val="0"/>
          <w:szCs w:val="20"/>
          <w:lang w:val="es-ES"/>
        </w:rPr>
        <w:t xml:space="preserve">de </w:t>
      </w:r>
      <w:r w:rsidR="00174BE9" w:rsidRPr="00995557">
        <w:rPr>
          <w:spacing w:val="0"/>
          <w:szCs w:val="20"/>
          <w:lang w:val="es-ES"/>
        </w:rPr>
        <w:t>investigación</w:t>
      </w:r>
      <w:r w:rsidRPr="00995557">
        <w:rPr>
          <w:rStyle w:val="Refdenotaalpie"/>
          <w:rFonts w:eastAsia="Verdana" w:cs="Verdana"/>
          <w:spacing w:val="0"/>
          <w:szCs w:val="20"/>
          <w:lang w:val="es-ES"/>
        </w:rPr>
        <w:footnoteReference w:id="195"/>
      </w:r>
      <w:r w:rsidRPr="00995557">
        <w:rPr>
          <w:rFonts w:eastAsia="Verdana" w:cs="Verdana"/>
          <w:spacing w:val="0"/>
          <w:szCs w:val="20"/>
          <w:lang w:val="es-ES"/>
        </w:rPr>
        <w:t>.</w:t>
      </w:r>
      <w:r w:rsidR="00BC423B" w:rsidRPr="00995557">
        <w:rPr>
          <w:spacing w:val="0"/>
          <w:szCs w:val="20"/>
        </w:rPr>
        <w:t xml:space="preserve"> </w:t>
      </w:r>
      <w:r w:rsidR="002B1119" w:rsidRPr="00995557">
        <w:rPr>
          <w:spacing w:val="0"/>
          <w:szCs w:val="20"/>
        </w:rPr>
        <w:t xml:space="preserve">En particular, </w:t>
      </w:r>
      <w:r w:rsidR="00777597" w:rsidRPr="00995557">
        <w:rPr>
          <w:spacing w:val="0"/>
          <w:szCs w:val="20"/>
        </w:rPr>
        <w:t xml:space="preserve">el Estado debe </w:t>
      </w:r>
      <w:r w:rsidR="00777597" w:rsidRPr="00995557">
        <w:rPr>
          <w:rFonts w:cs="Arial"/>
          <w:spacing w:val="0"/>
          <w:szCs w:val="20"/>
        </w:rPr>
        <w:t>realizar las investigaciones pertinentes tomando en cuenta el contexto del caso, evitando omisiones en la recolección de prueba y en el seguimiento de las líneas lógicas de investigación</w:t>
      </w:r>
      <w:r w:rsidR="00BC423B" w:rsidRPr="00995557">
        <w:rPr>
          <w:rFonts w:cs="Arial"/>
          <w:spacing w:val="0"/>
          <w:szCs w:val="20"/>
        </w:rPr>
        <w:t>.</w:t>
      </w:r>
    </w:p>
    <w:p w14:paraId="2D6FA136" w14:textId="77777777" w:rsidR="00BC423B" w:rsidRPr="00995557" w:rsidRDefault="00BC423B" w:rsidP="00AA627A">
      <w:pPr>
        <w:pStyle w:val="PrrafodeSentencia"/>
        <w:numPr>
          <w:ilvl w:val="0"/>
          <w:numId w:val="0"/>
        </w:numPr>
        <w:rPr>
          <w:spacing w:val="0"/>
          <w:szCs w:val="20"/>
        </w:rPr>
      </w:pPr>
    </w:p>
    <w:p w14:paraId="2E885AFA" w14:textId="77777777" w:rsidR="006B5998" w:rsidRPr="00995557" w:rsidRDefault="006B5998" w:rsidP="00AA627A">
      <w:pPr>
        <w:pStyle w:val="PrrafodeSentencia"/>
        <w:numPr>
          <w:ilvl w:val="0"/>
          <w:numId w:val="2"/>
        </w:numPr>
        <w:ind w:left="0" w:firstLine="0"/>
        <w:rPr>
          <w:spacing w:val="0"/>
          <w:szCs w:val="20"/>
        </w:rPr>
      </w:pPr>
      <w:r w:rsidRPr="00995557">
        <w:rPr>
          <w:spacing w:val="0"/>
          <w:szCs w:val="20"/>
        </w:rPr>
        <w:t>De acuerdo con su jurisprudencia constante, la Corte estima que el Estado debe asegurar el pleno acceso y capacidad de actuar de las víctimas o sus familiares en todas las etapas de la investigación y el juzgamiento de los responsables, de acuerdo con la ley interna y las normas de la Convención Americana</w:t>
      </w:r>
      <w:r w:rsidRPr="00995557">
        <w:rPr>
          <w:rStyle w:val="Refdenotaalpie"/>
          <w:spacing w:val="0"/>
          <w:szCs w:val="20"/>
        </w:rPr>
        <w:footnoteReference w:id="196"/>
      </w:r>
      <w:r w:rsidRPr="00995557">
        <w:rPr>
          <w:spacing w:val="0"/>
          <w:szCs w:val="20"/>
        </w:rPr>
        <w:t>.</w:t>
      </w:r>
    </w:p>
    <w:p w14:paraId="4016F1CD" w14:textId="77777777" w:rsidR="00EA26D5" w:rsidRPr="00995557" w:rsidRDefault="00EA26D5" w:rsidP="00AA627A">
      <w:pPr>
        <w:rPr>
          <w:lang w:eastAsia="es-MX"/>
        </w:rPr>
      </w:pPr>
    </w:p>
    <w:p w14:paraId="4B471C2A" w14:textId="77777777" w:rsidR="007D2B49" w:rsidRPr="00995557" w:rsidRDefault="00EA26D5" w:rsidP="00AA627A">
      <w:pPr>
        <w:pStyle w:val="Ttulo2"/>
        <w:numPr>
          <w:ilvl w:val="0"/>
          <w:numId w:val="19"/>
        </w:numPr>
        <w:tabs>
          <w:tab w:val="clear" w:pos="1134"/>
          <w:tab w:val="left" w:pos="993"/>
        </w:tabs>
        <w:spacing w:before="0" w:after="0"/>
        <w:ind w:left="993" w:hanging="426"/>
      </w:pPr>
      <w:bookmarkStart w:id="162" w:name="_Toc53741466"/>
      <w:bookmarkStart w:id="163" w:name="_Toc58399134"/>
      <w:bookmarkStart w:id="164" w:name="_Hlk44452616"/>
      <w:r w:rsidRPr="00995557">
        <w:t>Medidas de rehabilitación</w:t>
      </w:r>
      <w:bookmarkEnd w:id="162"/>
      <w:bookmarkEnd w:id="163"/>
    </w:p>
    <w:bookmarkEnd w:id="164"/>
    <w:p w14:paraId="0210572C" w14:textId="77777777" w:rsidR="006B5998" w:rsidRPr="00995557" w:rsidRDefault="006B5998" w:rsidP="00AA627A">
      <w:pPr>
        <w:pStyle w:val="PrrafodeSentencia"/>
        <w:numPr>
          <w:ilvl w:val="0"/>
          <w:numId w:val="0"/>
        </w:numPr>
        <w:rPr>
          <w:spacing w:val="0"/>
          <w:szCs w:val="20"/>
        </w:rPr>
      </w:pPr>
    </w:p>
    <w:p w14:paraId="47ECD347" w14:textId="040DF3D1" w:rsidR="00357474" w:rsidRPr="00995557" w:rsidRDefault="00357474" w:rsidP="00AA627A">
      <w:pPr>
        <w:pStyle w:val="PrrafodeSentencia"/>
        <w:numPr>
          <w:ilvl w:val="0"/>
          <w:numId w:val="2"/>
        </w:numPr>
        <w:ind w:left="0" w:firstLine="0"/>
        <w:rPr>
          <w:spacing w:val="0"/>
          <w:szCs w:val="20"/>
        </w:rPr>
      </w:pPr>
      <w:r w:rsidRPr="00995557">
        <w:rPr>
          <w:spacing w:val="0"/>
          <w:szCs w:val="20"/>
        </w:rPr>
        <w:t xml:space="preserve">La </w:t>
      </w:r>
      <w:r w:rsidRPr="00995557">
        <w:rPr>
          <w:b/>
          <w:i/>
          <w:spacing w:val="0"/>
          <w:szCs w:val="20"/>
        </w:rPr>
        <w:t>Comisión</w:t>
      </w:r>
      <w:r w:rsidRPr="00995557">
        <w:rPr>
          <w:spacing w:val="0"/>
          <w:szCs w:val="20"/>
        </w:rPr>
        <w:t xml:space="preserve"> solicitó d</w:t>
      </w:r>
      <w:r w:rsidR="00D05D41" w:rsidRPr="00995557">
        <w:rPr>
          <w:spacing w:val="0"/>
          <w:szCs w:val="20"/>
        </w:rPr>
        <w:t>i</w:t>
      </w:r>
      <w:r w:rsidRPr="00995557">
        <w:rPr>
          <w:spacing w:val="0"/>
          <w:szCs w:val="20"/>
        </w:rPr>
        <w:t>sponer las medidas de atención en salud física y mental necesarias para la rehabilitación</w:t>
      </w:r>
      <w:r w:rsidRPr="00995557">
        <w:rPr>
          <w:rFonts w:cs="Arial"/>
          <w:spacing w:val="0"/>
          <w:szCs w:val="20"/>
        </w:rPr>
        <w:t xml:space="preserve"> </w:t>
      </w:r>
      <w:r w:rsidRPr="00995557">
        <w:rPr>
          <w:spacing w:val="0"/>
          <w:szCs w:val="20"/>
        </w:rPr>
        <w:t>de los familiares de las víctimas fallecidas, así como los internos heridos, de ser su voluntad y de manera concertada.</w:t>
      </w:r>
    </w:p>
    <w:p w14:paraId="63722FA6" w14:textId="77777777" w:rsidR="00357474" w:rsidRPr="00995557" w:rsidRDefault="00357474" w:rsidP="00AA627A">
      <w:pPr>
        <w:pStyle w:val="PrrafodeSentencia"/>
        <w:numPr>
          <w:ilvl w:val="0"/>
          <w:numId w:val="0"/>
        </w:numPr>
        <w:rPr>
          <w:spacing w:val="0"/>
          <w:szCs w:val="20"/>
        </w:rPr>
      </w:pPr>
    </w:p>
    <w:p w14:paraId="2E9AD084" w14:textId="2A225629" w:rsidR="00592843" w:rsidRPr="00995557" w:rsidRDefault="00357474" w:rsidP="00AA627A">
      <w:pPr>
        <w:pStyle w:val="PrrafodeSentencia"/>
        <w:numPr>
          <w:ilvl w:val="0"/>
          <w:numId w:val="2"/>
        </w:numPr>
        <w:ind w:left="0" w:firstLine="0"/>
        <w:rPr>
          <w:b/>
          <w:spacing w:val="0"/>
          <w:szCs w:val="20"/>
        </w:rPr>
      </w:pPr>
      <w:r w:rsidRPr="00995557">
        <w:rPr>
          <w:spacing w:val="0"/>
          <w:szCs w:val="20"/>
        </w:rPr>
        <w:t xml:space="preserve">Los </w:t>
      </w:r>
      <w:r w:rsidRPr="00995557">
        <w:rPr>
          <w:b/>
          <w:i/>
          <w:spacing w:val="0"/>
          <w:szCs w:val="20"/>
        </w:rPr>
        <w:t>representantes</w:t>
      </w:r>
      <w:r w:rsidRPr="00995557">
        <w:rPr>
          <w:spacing w:val="0"/>
          <w:szCs w:val="20"/>
        </w:rPr>
        <w:t xml:space="preserve"> requirieron que se ordene al Estado que garantice un tratamiento</w:t>
      </w:r>
      <w:r w:rsidR="00592843" w:rsidRPr="00995557">
        <w:rPr>
          <w:spacing w:val="0"/>
          <w:szCs w:val="20"/>
        </w:rPr>
        <w:t xml:space="preserve"> médico y psicológico, voluntario, gratuito y permanente, a favor de las víctimas lesionadas, así como de los familiar</w:t>
      </w:r>
      <w:r w:rsidR="004A4F6F" w:rsidRPr="00995557">
        <w:rPr>
          <w:spacing w:val="0"/>
          <w:szCs w:val="20"/>
        </w:rPr>
        <w:t>es de las víctimas fallecidas. A</w:t>
      </w:r>
      <w:r w:rsidR="00592843" w:rsidRPr="00995557">
        <w:rPr>
          <w:spacing w:val="0"/>
          <w:szCs w:val="20"/>
        </w:rPr>
        <w:t xml:space="preserve">gregaron que el Estado debe hacerse </w:t>
      </w:r>
      <w:r w:rsidR="00592843" w:rsidRPr="00995557">
        <w:rPr>
          <w:spacing w:val="0"/>
          <w:szCs w:val="20"/>
        </w:rPr>
        <w:lastRenderedPageBreak/>
        <w:t>cargo de otros gastos que sean generados conjuntamente a la provisión del tratamiento, incluido el costo de transporte y brindar a las personas que se encuentran privadas de libertad garantías para revisar su situación de salud.</w:t>
      </w:r>
    </w:p>
    <w:p w14:paraId="043E304C" w14:textId="77777777" w:rsidR="00592843" w:rsidRPr="00995557" w:rsidRDefault="00592843" w:rsidP="00AA627A">
      <w:pPr>
        <w:pStyle w:val="PrrafodeSentencia"/>
        <w:numPr>
          <w:ilvl w:val="0"/>
          <w:numId w:val="0"/>
        </w:numPr>
        <w:rPr>
          <w:b/>
          <w:spacing w:val="0"/>
          <w:szCs w:val="20"/>
        </w:rPr>
      </w:pPr>
    </w:p>
    <w:p w14:paraId="60CF8D01" w14:textId="400C858E" w:rsidR="0041155D" w:rsidRPr="00995557" w:rsidRDefault="00357474" w:rsidP="00AA627A">
      <w:pPr>
        <w:pStyle w:val="PrrafodeSentencia"/>
        <w:numPr>
          <w:ilvl w:val="0"/>
          <w:numId w:val="2"/>
        </w:numPr>
        <w:ind w:left="0" w:firstLine="0"/>
        <w:rPr>
          <w:b/>
          <w:spacing w:val="0"/>
          <w:szCs w:val="20"/>
        </w:rPr>
      </w:pPr>
      <w:r w:rsidRPr="00995557">
        <w:rPr>
          <w:spacing w:val="0"/>
          <w:szCs w:val="20"/>
        </w:rPr>
        <w:t xml:space="preserve"> </w:t>
      </w:r>
      <w:r w:rsidRPr="00995557">
        <w:rPr>
          <w:rFonts w:cs="Arial"/>
          <w:spacing w:val="0"/>
          <w:szCs w:val="20"/>
        </w:rPr>
        <w:t xml:space="preserve">El </w:t>
      </w:r>
      <w:r w:rsidRPr="00995557">
        <w:rPr>
          <w:rFonts w:cs="Arial"/>
          <w:b/>
          <w:i/>
          <w:spacing w:val="0"/>
          <w:szCs w:val="20"/>
        </w:rPr>
        <w:t xml:space="preserve">Estado </w:t>
      </w:r>
      <w:r w:rsidRPr="00995557">
        <w:rPr>
          <w:rFonts w:cs="Arial"/>
          <w:spacing w:val="0"/>
          <w:szCs w:val="20"/>
        </w:rPr>
        <w:t xml:space="preserve">indicó que se compromete a ofrecer y brindar medidas de atención en salud a las víctimas, conforme a los criterios contenidos en la jurisprudencia de la Corte y los seguidos en casos similares por el propio Estado; agregó que </w:t>
      </w:r>
      <w:r w:rsidR="00592843" w:rsidRPr="00995557">
        <w:rPr>
          <w:rFonts w:cs="Arial"/>
          <w:spacing w:val="0"/>
          <w:szCs w:val="20"/>
        </w:rPr>
        <w:t>“</w:t>
      </w:r>
      <w:r w:rsidRPr="00995557">
        <w:rPr>
          <w:rFonts w:cs="Arial"/>
          <w:spacing w:val="0"/>
          <w:szCs w:val="20"/>
        </w:rPr>
        <w:t xml:space="preserve">invita a las víctimas interesadas a contactar a las autoridades </w:t>
      </w:r>
      <w:r w:rsidRPr="00995557">
        <w:rPr>
          <w:spacing w:val="0"/>
          <w:szCs w:val="20"/>
        </w:rPr>
        <w:t>[…] para hacer efectivas las medidas que sean requeridas para atender las condiciones de salud derivadas del presente caso, de forma voluntaria y concertada”</w:t>
      </w:r>
      <w:r w:rsidRPr="00995557">
        <w:rPr>
          <w:rFonts w:cs="Arial"/>
          <w:spacing w:val="0"/>
          <w:szCs w:val="20"/>
        </w:rPr>
        <w:t>.</w:t>
      </w:r>
    </w:p>
    <w:p w14:paraId="15613E73" w14:textId="77777777" w:rsidR="00592843" w:rsidRPr="00995557" w:rsidRDefault="00592843" w:rsidP="00AA627A">
      <w:pPr>
        <w:rPr>
          <w:lang w:eastAsia="es-MX"/>
        </w:rPr>
      </w:pPr>
    </w:p>
    <w:p w14:paraId="4EA58882" w14:textId="0B7AEC8D" w:rsidR="00D731BB" w:rsidRPr="00995557" w:rsidRDefault="00592843" w:rsidP="00AA627A">
      <w:pPr>
        <w:pStyle w:val="PrrafodeSentencia"/>
        <w:numPr>
          <w:ilvl w:val="0"/>
          <w:numId w:val="2"/>
        </w:numPr>
        <w:ind w:left="0" w:firstLine="0"/>
        <w:rPr>
          <w:spacing w:val="0"/>
          <w:szCs w:val="20"/>
        </w:rPr>
      </w:pPr>
      <w:bookmarkStart w:id="165" w:name="_Ref33110014"/>
      <w:r w:rsidRPr="00995557">
        <w:rPr>
          <w:spacing w:val="0"/>
          <w:szCs w:val="20"/>
        </w:rPr>
        <w:t>La Corte recuerda que en el presente caso fue establecido que 27 personas privadas de libertad fueron lesionadas como resultado de un operativo efect</w:t>
      </w:r>
      <w:r w:rsidR="00D05D41" w:rsidRPr="00995557">
        <w:rPr>
          <w:spacing w:val="0"/>
          <w:szCs w:val="20"/>
        </w:rPr>
        <w:t>u</w:t>
      </w:r>
      <w:r w:rsidRPr="00995557">
        <w:rPr>
          <w:spacing w:val="0"/>
          <w:szCs w:val="20"/>
        </w:rPr>
        <w:t xml:space="preserve">ado por la Guardia Nacional, y que </w:t>
      </w:r>
      <w:r w:rsidR="00C52973" w:rsidRPr="00995557">
        <w:rPr>
          <w:spacing w:val="0"/>
          <w:szCs w:val="20"/>
        </w:rPr>
        <w:t>los familiares de las víctimas fallecidas</w:t>
      </w:r>
      <w:r w:rsidR="00FD0571" w:rsidRPr="00995557">
        <w:rPr>
          <w:spacing w:val="0"/>
          <w:szCs w:val="20"/>
        </w:rPr>
        <w:t>,</w:t>
      </w:r>
      <w:r w:rsidR="00C52973" w:rsidRPr="00995557">
        <w:rPr>
          <w:spacing w:val="0"/>
          <w:szCs w:val="20"/>
        </w:rPr>
        <w:t xml:space="preserve"> a consecuencia de dicho operativo</w:t>
      </w:r>
      <w:r w:rsidR="00FD0571" w:rsidRPr="00995557">
        <w:rPr>
          <w:spacing w:val="0"/>
          <w:szCs w:val="20"/>
        </w:rPr>
        <w:t>,</w:t>
      </w:r>
      <w:r w:rsidR="00C52973" w:rsidRPr="00995557">
        <w:rPr>
          <w:spacing w:val="0"/>
          <w:szCs w:val="20"/>
        </w:rPr>
        <w:t xml:space="preserve"> fueron </w:t>
      </w:r>
      <w:r w:rsidR="00EC7AB4" w:rsidRPr="00995557">
        <w:rPr>
          <w:spacing w:val="0"/>
          <w:szCs w:val="20"/>
        </w:rPr>
        <w:t>vulnerados</w:t>
      </w:r>
      <w:r w:rsidR="00C52973" w:rsidRPr="00995557">
        <w:rPr>
          <w:spacing w:val="0"/>
          <w:szCs w:val="20"/>
        </w:rPr>
        <w:t xml:space="preserve"> en su derecho a la integridad personal. De esa cuenta, el Tribunal </w:t>
      </w:r>
      <w:r w:rsidRPr="00995557">
        <w:rPr>
          <w:spacing w:val="0"/>
          <w:szCs w:val="20"/>
        </w:rPr>
        <w:t>estima necesario disponer</w:t>
      </w:r>
      <w:r w:rsidR="00C52973" w:rsidRPr="00995557">
        <w:rPr>
          <w:spacing w:val="0"/>
          <w:szCs w:val="20"/>
        </w:rPr>
        <w:t xml:space="preserve">, como medida de reparación, que el Estado </w:t>
      </w:r>
      <w:r w:rsidRPr="00995557">
        <w:rPr>
          <w:spacing w:val="0"/>
          <w:szCs w:val="20"/>
        </w:rPr>
        <w:t xml:space="preserve">brinde una atención adecuada a los padecimientos físicos, psicológicos </w:t>
      </w:r>
      <w:r w:rsidR="00450958" w:rsidRPr="00995557">
        <w:rPr>
          <w:spacing w:val="0"/>
          <w:szCs w:val="20"/>
        </w:rPr>
        <w:t>y/o</w:t>
      </w:r>
      <w:r w:rsidRPr="00995557">
        <w:rPr>
          <w:spacing w:val="0"/>
          <w:szCs w:val="20"/>
        </w:rPr>
        <w:t xml:space="preserve"> psiquiátricos sufridos por las víctimas, que atienda a sus especificidades y antecedentes</w:t>
      </w:r>
      <w:r w:rsidRPr="00995557">
        <w:rPr>
          <w:rStyle w:val="Refdenotaalpie"/>
          <w:spacing w:val="0"/>
          <w:szCs w:val="20"/>
        </w:rPr>
        <w:footnoteReference w:id="197"/>
      </w:r>
      <w:r w:rsidR="00D731BB" w:rsidRPr="00995557">
        <w:rPr>
          <w:spacing w:val="0"/>
          <w:szCs w:val="20"/>
        </w:rPr>
        <w:t>.</w:t>
      </w:r>
    </w:p>
    <w:p w14:paraId="3F72CF0C" w14:textId="77777777" w:rsidR="00D731BB" w:rsidRPr="00995557" w:rsidRDefault="00D731BB" w:rsidP="00AA627A">
      <w:pPr>
        <w:rPr>
          <w:lang w:eastAsia="es-MX"/>
        </w:rPr>
      </w:pPr>
    </w:p>
    <w:p w14:paraId="327DE7D0" w14:textId="548CA2A5" w:rsidR="00D731BB" w:rsidRPr="00995557" w:rsidRDefault="00592843" w:rsidP="00AA627A">
      <w:pPr>
        <w:pStyle w:val="PrrafodeSentencia"/>
        <w:numPr>
          <w:ilvl w:val="0"/>
          <w:numId w:val="2"/>
        </w:numPr>
        <w:ind w:left="0" w:firstLine="0"/>
        <w:rPr>
          <w:spacing w:val="0"/>
          <w:szCs w:val="20"/>
        </w:rPr>
      </w:pPr>
      <w:r w:rsidRPr="00995557">
        <w:rPr>
          <w:spacing w:val="0"/>
          <w:szCs w:val="20"/>
        </w:rPr>
        <w:t>E</w:t>
      </w:r>
      <w:r w:rsidR="00C52973" w:rsidRPr="00995557">
        <w:rPr>
          <w:spacing w:val="0"/>
          <w:szCs w:val="20"/>
        </w:rPr>
        <w:t>n cons</w:t>
      </w:r>
      <w:r w:rsidR="00174BE9" w:rsidRPr="00995557">
        <w:rPr>
          <w:spacing w:val="0"/>
          <w:szCs w:val="20"/>
        </w:rPr>
        <w:t>ec</w:t>
      </w:r>
      <w:r w:rsidR="00C52973" w:rsidRPr="00995557">
        <w:rPr>
          <w:spacing w:val="0"/>
          <w:szCs w:val="20"/>
        </w:rPr>
        <w:t>uencia, e</w:t>
      </w:r>
      <w:r w:rsidR="00FC4018" w:rsidRPr="00995557">
        <w:rPr>
          <w:spacing w:val="0"/>
          <w:szCs w:val="20"/>
        </w:rPr>
        <w:t>ste</w:t>
      </w:r>
      <w:r w:rsidRPr="00995557">
        <w:rPr>
          <w:spacing w:val="0"/>
          <w:szCs w:val="20"/>
        </w:rPr>
        <w:t xml:space="preserve"> </w:t>
      </w:r>
      <w:r w:rsidR="00FC4018" w:rsidRPr="00995557">
        <w:rPr>
          <w:spacing w:val="0"/>
          <w:szCs w:val="20"/>
        </w:rPr>
        <w:t>Tribunal</w:t>
      </w:r>
      <w:r w:rsidRPr="00995557">
        <w:rPr>
          <w:spacing w:val="0"/>
          <w:szCs w:val="20"/>
        </w:rPr>
        <w:t xml:space="preserve"> ordena al Estado</w:t>
      </w:r>
      <w:r w:rsidR="00C52973" w:rsidRPr="00995557">
        <w:rPr>
          <w:spacing w:val="0"/>
          <w:szCs w:val="20"/>
        </w:rPr>
        <w:t xml:space="preserve"> </w:t>
      </w:r>
      <w:r w:rsidR="00805926" w:rsidRPr="00995557">
        <w:rPr>
          <w:spacing w:val="0"/>
          <w:szCs w:val="20"/>
        </w:rPr>
        <w:t>de V</w:t>
      </w:r>
      <w:r w:rsidR="00C52973" w:rsidRPr="00995557">
        <w:rPr>
          <w:spacing w:val="0"/>
          <w:szCs w:val="20"/>
        </w:rPr>
        <w:t>enez</w:t>
      </w:r>
      <w:r w:rsidR="00805926" w:rsidRPr="00995557">
        <w:rPr>
          <w:spacing w:val="0"/>
          <w:szCs w:val="20"/>
        </w:rPr>
        <w:t>ue</w:t>
      </w:r>
      <w:r w:rsidR="00C52973" w:rsidRPr="00995557">
        <w:rPr>
          <w:spacing w:val="0"/>
          <w:szCs w:val="20"/>
        </w:rPr>
        <w:t>la</w:t>
      </w:r>
      <w:r w:rsidR="00805926" w:rsidRPr="00995557">
        <w:rPr>
          <w:spacing w:val="0"/>
          <w:szCs w:val="20"/>
        </w:rPr>
        <w:t xml:space="preserve"> </w:t>
      </w:r>
      <w:r w:rsidR="00C52973" w:rsidRPr="00995557">
        <w:rPr>
          <w:spacing w:val="0"/>
          <w:szCs w:val="20"/>
        </w:rPr>
        <w:t>que</w:t>
      </w:r>
      <w:r w:rsidRPr="00995557">
        <w:rPr>
          <w:spacing w:val="0"/>
          <w:szCs w:val="20"/>
        </w:rPr>
        <w:t xml:space="preserve"> brind</w:t>
      </w:r>
      <w:r w:rsidR="00C52973" w:rsidRPr="00995557">
        <w:rPr>
          <w:spacing w:val="0"/>
          <w:szCs w:val="20"/>
        </w:rPr>
        <w:t>e</w:t>
      </w:r>
      <w:r w:rsidRPr="00995557">
        <w:rPr>
          <w:spacing w:val="0"/>
          <w:szCs w:val="20"/>
        </w:rPr>
        <w:t xml:space="preserve"> gratuitamente, de forma prioritaria, tratamiento médico</w:t>
      </w:r>
      <w:r w:rsidR="00146ACC" w:rsidRPr="00995557">
        <w:rPr>
          <w:spacing w:val="0"/>
          <w:szCs w:val="20"/>
        </w:rPr>
        <w:t xml:space="preserve"> y psicológico</w:t>
      </w:r>
      <w:r w:rsidRPr="00995557">
        <w:rPr>
          <w:spacing w:val="0"/>
          <w:szCs w:val="20"/>
        </w:rPr>
        <w:t xml:space="preserve"> </w:t>
      </w:r>
      <w:r w:rsidR="004A4F6F" w:rsidRPr="00995557">
        <w:rPr>
          <w:spacing w:val="0"/>
          <w:szCs w:val="20"/>
        </w:rPr>
        <w:t>y/</w:t>
      </w:r>
      <w:r w:rsidR="00217893" w:rsidRPr="00995557">
        <w:rPr>
          <w:spacing w:val="0"/>
          <w:szCs w:val="20"/>
        </w:rPr>
        <w:t>o ps</w:t>
      </w:r>
      <w:r w:rsidR="00AA368E" w:rsidRPr="00995557">
        <w:rPr>
          <w:spacing w:val="0"/>
          <w:szCs w:val="20"/>
        </w:rPr>
        <w:t>i</w:t>
      </w:r>
      <w:r w:rsidR="00217893" w:rsidRPr="00995557">
        <w:rPr>
          <w:spacing w:val="0"/>
          <w:szCs w:val="20"/>
        </w:rPr>
        <w:t xml:space="preserve">quiátrico </w:t>
      </w:r>
      <w:r w:rsidR="00C52973" w:rsidRPr="00995557">
        <w:rPr>
          <w:spacing w:val="0"/>
          <w:szCs w:val="20"/>
        </w:rPr>
        <w:t>a las 27 víctimas lesionadas</w:t>
      </w:r>
      <w:r w:rsidR="00450958" w:rsidRPr="00995557">
        <w:rPr>
          <w:spacing w:val="0"/>
          <w:szCs w:val="20"/>
        </w:rPr>
        <w:t>. E</w:t>
      </w:r>
      <w:r w:rsidR="002919F1" w:rsidRPr="00995557">
        <w:rPr>
          <w:spacing w:val="0"/>
          <w:szCs w:val="20"/>
        </w:rPr>
        <w:t xml:space="preserve">n el caso de que alguna de estas personas </w:t>
      </w:r>
      <w:r w:rsidR="00174BE9" w:rsidRPr="00995557">
        <w:rPr>
          <w:spacing w:val="0"/>
          <w:szCs w:val="20"/>
        </w:rPr>
        <w:t>aún</w:t>
      </w:r>
      <w:r w:rsidR="002919F1" w:rsidRPr="00995557">
        <w:rPr>
          <w:spacing w:val="0"/>
          <w:szCs w:val="20"/>
        </w:rPr>
        <w:t xml:space="preserve"> se encontrare privada de libertad,</w:t>
      </w:r>
      <w:r w:rsidR="00D41BA1" w:rsidRPr="00995557">
        <w:rPr>
          <w:spacing w:val="0"/>
          <w:szCs w:val="20"/>
        </w:rPr>
        <w:t xml:space="preserve"> </w:t>
      </w:r>
      <w:r w:rsidR="00DC24EB" w:rsidRPr="00995557">
        <w:rPr>
          <w:spacing w:val="0"/>
          <w:szCs w:val="20"/>
        </w:rPr>
        <w:t>la Corte recuerda que el Estado tiene el deber de proporcionarles revisión médica regular y atención y tratamiento adecuados cuando así se requiera</w:t>
      </w:r>
      <w:r w:rsidR="00DC24EB" w:rsidRPr="00995557">
        <w:rPr>
          <w:rStyle w:val="Refdenotaalpie"/>
          <w:spacing w:val="0"/>
          <w:szCs w:val="20"/>
        </w:rPr>
        <w:footnoteReference w:id="198"/>
      </w:r>
      <w:r w:rsidR="00DC24EB" w:rsidRPr="00995557">
        <w:rPr>
          <w:spacing w:val="0"/>
          <w:szCs w:val="20"/>
        </w:rPr>
        <w:t xml:space="preserve">, debiendo proveer </w:t>
      </w:r>
      <w:r w:rsidR="002919F1" w:rsidRPr="00995557">
        <w:rPr>
          <w:spacing w:val="0"/>
          <w:szCs w:val="20"/>
        </w:rPr>
        <w:t>los mecanismos necesarios para garan</w:t>
      </w:r>
      <w:r w:rsidR="00FC4018" w:rsidRPr="00995557">
        <w:rPr>
          <w:spacing w:val="0"/>
          <w:szCs w:val="20"/>
        </w:rPr>
        <w:t>tizar su salud física y mental.</w:t>
      </w:r>
    </w:p>
    <w:p w14:paraId="2332D1FC" w14:textId="77777777" w:rsidR="00D731BB" w:rsidRPr="00995557" w:rsidRDefault="00D731BB" w:rsidP="00AA627A">
      <w:pPr>
        <w:pStyle w:val="PrrafodeSentencia"/>
        <w:numPr>
          <w:ilvl w:val="0"/>
          <w:numId w:val="0"/>
        </w:numPr>
        <w:rPr>
          <w:spacing w:val="0"/>
          <w:szCs w:val="20"/>
        </w:rPr>
      </w:pPr>
    </w:p>
    <w:p w14:paraId="6FAE6598" w14:textId="0AD3EAA3" w:rsidR="00D731BB" w:rsidRPr="00995557" w:rsidRDefault="005A1DF9" w:rsidP="00AA627A">
      <w:pPr>
        <w:pStyle w:val="PrrafodeSentencia"/>
        <w:numPr>
          <w:ilvl w:val="0"/>
          <w:numId w:val="2"/>
        </w:numPr>
        <w:ind w:left="0" w:firstLine="0"/>
        <w:rPr>
          <w:spacing w:val="0"/>
          <w:szCs w:val="20"/>
        </w:rPr>
      </w:pPr>
      <w:r w:rsidRPr="00995557">
        <w:rPr>
          <w:spacing w:val="0"/>
          <w:szCs w:val="20"/>
        </w:rPr>
        <w:t>E</w:t>
      </w:r>
      <w:r w:rsidR="002919F1" w:rsidRPr="00995557">
        <w:rPr>
          <w:spacing w:val="0"/>
          <w:szCs w:val="20"/>
        </w:rPr>
        <w:t>l Tribunal ordena</w:t>
      </w:r>
      <w:r w:rsidRPr="00995557">
        <w:rPr>
          <w:spacing w:val="0"/>
          <w:szCs w:val="20"/>
        </w:rPr>
        <w:t xml:space="preserve"> también </w:t>
      </w:r>
      <w:r w:rsidR="002919F1" w:rsidRPr="00995557">
        <w:rPr>
          <w:spacing w:val="0"/>
          <w:szCs w:val="20"/>
        </w:rPr>
        <w:t xml:space="preserve">que se brinde de manera gratuita </w:t>
      </w:r>
      <w:r w:rsidR="00146ACC" w:rsidRPr="00995557">
        <w:rPr>
          <w:spacing w:val="0"/>
          <w:szCs w:val="20"/>
        </w:rPr>
        <w:t>tratamiento psicológico</w:t>
      </w:r>
      <w:r w:rsidR="00217893" w:rsidRPr="00995557">
        <w:rPr>
          <w:spacing w:val="0"/>
          <w:szCs w:val="20"/>
        </w:rPr>
        <w:t xml:space="preserve"> </w:t>
      </w:r>
      <w:r w:rsidR="004A4F6F" w:rsidRPr="00995557">
        <w:rPr>
          <w:spacing w:val="0"/>
          <w:szCs w:val="20"/>
        </w:rPr>
        <w:t>y/o</w:t>
      </w:r>
      <w:r w:rsidR="00217893" w:rsidRPr="00995557">
        <w:rPr>
          <w:spacing w:val="0"/>
          <w:szCs w:val="20"/>
        </w:rPr>
        <w:t xml:space="preserve"> p</w:t>
      </w:r>
      <w:r w:rsidR="00AA368E" w:rsidRPr="00995557">
        <w:rPr>
          <w:spacing w:val="0"/>
          <w:szCs w:val="20"/>
        </w:rPr>
        <w:t>si</w:t>
      </w:r>
      <w:r w:rsidR="00217893" w:rsidRPr="00995557">
        <w:rPr>
          <w:spacing w:val="0"/>
          <w:szCs w:val="20"/>
        </w:rPr>
        <w:t>quiátrico</w:t>
      </w:r>
      <w:r w:rsidR="00C52973" w:rsidRPr="00995557">
        <w:rPr>
          <w:spacing w:val="0"/>
          <w:szCs w:val="20"/>
        </w:rPr>
        <w:t xml:space="preserve"> a los familiares de las víctimas fallecidas</w:t>
      </w:r>
      <w:r w:rsidR="002919F1" w:rsidRPr="00995557">
        <w:rPr>
          <w:spacing w:val="0"/>
          <w:szCs w:val="20"/>
        </w:rPr>
        <w:t xml:space="preserve">. </w:t>
      </w:r>
    </w:p>
    <w:p w14:paraId="107C6924" w14:textId="77777777" w:rsidR="00D731BB" w:rsidRPr="00995557" w:rsidRDefault="00D731BB" w:rsidP="00AA627A">
      <w:pPr>
        <w:pStyle w:val="PrrafodeSentencia"/>
        <w:numPr>
          <w:ilvl w:val="0"/>
          <w:numId w:val="0"/>
        </w:numPr>
        <w:rPr>
          <w:spacing w:val="0"/>
          <w:szCs w:val="20"/>
        </w:rPr>
      </w:pPr>
    </w:p>
    <w:p w14:paraId="0FDA335E" w14:textId="626E5655" w:rsidR="00C52973" w:rsidRPr="00995557" w:rsidRDefault="005A1DF9" w:rsidP="00AA627A">
      <w:pPr>
        <w:pStyle w:val="PrrafodeSentencia"/>
        <w:numPr>
          <w:ilvl w:val="0"/>
          <w:numId w:val="2"/>
        </w:numPr>
        <w:ind w:left="0" w:firstLine="0"/>
        <w:rPr>
          <w:spacing w:val="0"/>
          <w:szCs w:val="20"/>
        </w:rPr>
      </w:pPr>
      <w:r w:rsidRPr="00995557">
        <w:rPr>
          <w:spacing w:val="0"/>
          <w:szCs w:val="20"/>
        </w:rPr>
        <w:t>L</w:t>
      </w:r>
      <w:r w:rsidR="002919F1" w:rsidRPr="00995557">
        <w:rPr>
          <w:spacing w:val="0"/>
          <w:szCs w:val="20"/>
        </w:rPr>
        <w:t>os</w:t>
      </w:r>
      <w:r w:rsidR="00D731BB" w:rsidRPr="00995557">
        <w:rPr>
          <w:spacing w:val="0"/>
          <w:szCs w:val="20"/>
        </w:rPr>
        <w:t xml:space="preserve"> distintos</w:t>
      </w:r>
      <w:r w:rsidR="002919F1" w:rsidRPr="00995557">
        <w:rPr>
          <w:spacing w:val="0"/>
          <w:szCs w:val="20"/>
        </w:rPr>
        <w:t xml:space="preserve"> </w:t>
      </w:r>
      <w:r w:rsidR="00146ACC" w:rsidRPr="00995557">
        <w:rPr>
          <w:spacing w:val="0"/>
          <w:szCs w:val="20"/>
        </w:rPr>
        <w:t>tratamientos</w:t>
      </w:r>
      <w:r w:rsidR="002919F1" w:rsidRPr="00995557">
        <w:rPr>
          <w:spacing w:val="0"/>
          <w:szCs w:val="20"/>
        </w:rPr>
        <w:t xml:space="preserve"> </w:t>
      </w:r>
      <w:r w:rsidR="00592843" w:rsidRPr="00995557">
        <w:rPr>
          <w:spacing w:val="0"/>
          <w:szCs w:val="20"/>
        </w:rPr>
        <w:t>deberá</w:t>
      </w:r>
      <w:r w:rsidR="00146ACC" w:rsidRPr="00995557">
        <w:rPr>
          <w:spacing w:val="0"/>
          <w:szCs w:val="20"/>
        </w:rPr>
        <w:t>n</w:t>
      </w:r>
      <w:r w:rsidR="00592843" w:rsidRPr="00995557">
        <w:rPr>
          <w:spacing w:val="0"/>
          <w:szCs w:val="20"/>
        </w:rPr>
        <w:t xml:space="preserve"> incluir la provisión de medicamentos y, en su caso, transporte y otros gastos directamente relacionados y necesarios</w:t>
      </w:r>
      <w:r w:rsidR="00592843" w:rsidRPr="00995557">
        <w:rPr>
          <w:rStyle w:val="Refdenotaalpie"/>
          <w:spacing w:val="0"/>
          <w:szCs w:val="20"/>
        </w:rPr>
        <w:footnoteReference w:id="199"/>
      </w:r>
      <w:r w:rsidR="004A4F6F" w:rsidRPr="00995557">
        <w:rPr>
          <w:spacing w:val="0"/>
          <w:szCs w:val="20"/>
        </w:rPr>
        <w:t>. A</w:t>
      </w:r>
      <w:r w:rsidR="00592843" w:rsidRPr="00995557">
        <w:rPr>
          <w:spacing w:val="0"/>
          <w:szCs w:val="20"/>
        </w:rPr>
        <w:t>simismo, deberá</w:t>
      </w:r>
      <w:r w:rsidR="00146ACC" w:rsidRPr="00995557">
        <w:rPr>
          <w:spacing w:val="0"/>
          <w:szCs w:val="20"/>
        </w:rPr>
        <w:t>n</w:t>
      </w:r>
      <w:r w:rsidR="00592843" w:rsidRPr="00995557">
        <w:rPr>
          <w:spacing w:val="0"/>
          <w:szCs w:val="20"/>
        </w:rPr>
        <w:t xml:space="preserve"> prestarse, en la medida de lo posible, en los centros más cercanos a</w:t>
      </w:r>
      <w:r w:rsidR="00146ACC" w:rsidRPr="00995557">
        <w:rPr>
          <w:spacing w:val="0"/>
          <w:szCs w:val="20"/>
        </w:rPr>
        <w:t xml:space="preserve">l </w:t>
      </w:r>
      <w:r w:rsidR="00592843" w:rsidRPr="00995557">
        <w:rPr>
          <w:spacing w:val="0"/>
          <w:szCs w:val="20"/>
        </w:rPr>
        <w:t>lugar de residencia</w:t>
      </w:r>
      <w:r w:rsidR="00146ACC" w:rsidRPr="00995557">
        <w:rPr>
          <w:spacing w:val="0"/>
          <w:szCs w:val="20"/>
        </w:rPr>
        <w:t xml:space="preserve"> de los beneficiarios</w:t>
      </w:r>
      <w:r w:rsidR="00592843" w:rsidRPr="00995557">
        <w:rPr>
          <w:rStyle w:val="Refdenotaalpie"/>
          <w:spacing w:val="0"/>
          <w:szCs w:val="20"/>
        </w:rPr>
        <w:footnoteReference w:id="200"/>
      </w:r>
      <w:r w:rsidR="00592843" w:rsidRPr="00995557">
        <w:rPr>
          <w:spacing w:val="0"/>
          <w:szCs w:val="20"/>
        </w:rPr>
        <w:t xml:space="preserve">, por el tiempo que sea necesario. Al proveer el tratamiento psicológico </w:t>
      </w:r>
      <w:r w:rsidR="004A4F6F" w:rsidRPr="00995557">
        <w:rPr>
          <w:spacing w:val="0"/>
          <w:szCs w:val="20"/>
        </w:rPr>
        <w:t>y/o</w:t>
      </w:r>
      <w:r w:rsidR="00592843" w:rsidRPr="00995557">
        <w:rPr>
          <w:spacing w:val="0"/>
          <w:szCs w:val="20"/>
        </w:rPr>
        <w:t xml:space="preserve"> psiquiátrico se debe considerar, además, las circunstancias y necesidades particulares de </w:t>
      </w:r>
      <w:r w:rsidR="00C52973" w:rsidRPr="00995557">
        <w:rPr>
          <w:spacing w:val="0"/>
          <w:szCs w:val="20"/>
        </w:rPr>
        <w:t>cada</w:t>
      </w:r>
      <w:r w:rsidR="00592843" w:rsidRPr="00995557">
        <w:rPr>
          <w:spacing w:val="0"/>
          <w:szCs w:val="20"/>
        </w:rPr>
        <w:t xml:space="preserve"> víctima, según lo que se acuerde con ella y después de una evaluación individual</w:t>
      </w:r>
      <w:r w:rsidR="00592843" w:rsidRPr="00995557">
        <w:rPr>
          <w:rStyle w:val="Refdenotaalpie"/>
          <w:spacing w:val="0"/>
          <w:szCs w:val="20"/>
        </w:rPr>
        <w:footnoteReference w:id="201"/>
      </w:r>
      <w:r w:rsidR="00592843" w:rsidRPr="00995557">
        <w:rPr>
          <w:spacing w:val="0"/>
          <w:szCs w:val="20"/>
        </w:rPr>
        <w:t>.</w:t>
      </w:r>
      <w:bookmarkStart w:id="166" w:name="_Ref33110015"/>
      <w:bookmarkEnd w:id="165"/>
    </w:p>
    <w:p w14:paraId="40F153D9" w14:textId="77777777" w:rsidR="00C52973" w:rsidRPr="00995557" w:rsidRDefault="00C52973" w:rsidP="00AA627A">
      <w:pPr>
        <w:pStyle w:val="PrrafodeSentencia"/>
        <w:numPr>
          <w:ilvl w:val="0"/>
          <w:numId w:val="0"/>
        </w:numPr>
        <w:rPr>
          <w:spacing w:val="0"/>
          <w:szCs w:val="20"/>
        </w:rPr>
      </w:pPr>
    </w:p>
    <w:p w14:paraId="052A763D" w14:textId="396309CE" w:rsidR="00146ACC" w:rsidRPr="00995557" w:rsidRDefault="00592843" w:rsidP="00AA627A">
      <w:pPr>
        <w:pStyle w:val="PrrafodeSentencia"/>
        <w:numPr>
          <w:ilvl w:val="0"/>
          <w:numId w:val="2"/>
        </w:numPr>
        <w:ind w:left="0" w:firstLine="0"/>
        <w:rPr>
          <w:spacing w:val="0"/>
          <w:szCs w:val="20"/>
        </w:rPr>
      </w:pPr>
      <w:r w:rsidRPr="00995557">
        <w:rPr>
          <w:spacing w:val="0"/>
          <w:szCs w:val="20"/>
        </w:rPr>
        <w:t>L</w:t>
      </w:r>
      <w:r w:rsidR="00C52973" w:rsidRPr="00995557">
        <w:rPr>
          <w:spacing w:val="0"/>
          <w:szCs w:val="20"/>
        </w:rPr>
        <w:t>as personas</w:t>
      </w:r>
      <w:r w:rsidRPr="00995557">
        <w:rPr>
          <w:spacing w:val="0"/>
          <w:szCs w:val="20"/>
        </w:rPr>
        <w:t xml:space="preserve"> beneficiaria</w:t>
      </w:r>
      <w:r w:rsidR="00C52973" w:rsidRPr="00995557">
        <w:rPr>
          <w:spacing w:val="0"/>
          <w:szCs w:val="20"/>
        </w:rPr>
        <w:t>s</w:t>
      </w:r>
      <w:r w:rsidRPr="00995557">
        <w:rPr>
          <w:spacing w:val="0"/>
          <w:szCs w:val="20"/>
        </w:rPr>
        <w:t xml:space="preserve"> de esta medida</w:t>
      </w:r>
      <w:r w:rsidR="002919F1" w:rsidRPr="00995557">
        <w:rPr>
          <w:spacing w:val="0"/>
          <w:szCs w:val="20"/>
        </w:rPr>
        <w:t xml:space="preserve"> </w:t>
      </w:r>
      <w:r w:rsidRPr="00995557">
        <w:rPr>
          <w:spacing w:val="0"/>
          <w:szCs w:val="20"/>
        </w:rPr>
        <w:t>dispone</w:t>
      </w:r>
      <w:r w:rsidR="00C52973" w:rsidRPr="00995557">
        <w:rPr>
          <w:spacing w:val="0"/>
          <w:szCs w:val="20"/>
        </w:rPr>
        <w:t>n</w:t>
      </w:r>
      <w:r w:rsidRPr="00995557">
        <w:rPr>
          <w:spacing w:val="0"/>
          <w:szCs w:val="20"/>
        </w:rPr>
        <w:t xml:space="preserve"> de un plazo de seis meses, contado a</w:t>
      </w:r>
      <w:r w:rsidR="00C52973" w:rsidRPr="00995557">
        <w:rPr>
          <w:spacing w:val="0"/>
          <w:szCs w:val="20"/>
        </w:rPr>
        <w:t xml:space="preserve"> partir de la notificación de la presente Sentencia, para confirmar al Estado su anuencia a recibir atención</w:t>
      </w:r>
      <w:r w:rsidR="002919F1" w:rsidRPr="00995557">
        <w:rPr>
          <w:spacing w:val="0"/>
          <w:szCs w:val="20"/>
        </w:rPr>
        <w:t xml:space="preserve"> médica,</w:t>
      </w:r>
      <w:r w:rsidR="00C52973" w:rsidRPr="00995557">
        <w:rPr>
          <w:spacing w:val="0"/>
          <w:szCs w:val="20"/>
        </w:rPr>
        <w:t xml:space="preserve"> psicológica </w:t>
      </w:r>
      <w:r w:rsidR="004A4F6F" w:rsidRPr="00995557">
        <w:rPr>
          <w:spacing w:val="0"/>
          <w:szCs w:val="20"/>
        </w:rPr>
        <w:t>y/o</w:t>
      </w:r>
      <w:r w:rsidR="00C52973" w:rsidRPr="00995557">
        <w:rPr>
          <w:spacing w:val="0"/>
          <w:szCs w:val="20"/>
        </w:rPr>
        <w:t xml:space="preserve"> psiquiátrica</w:t>
      </w:r>
      <w:r w:rsidR="002919F1" w:rsidRPr="00995557">
        <w:rPr>
          <w:spacing w:val="0"/>
          <w:szCs w:val="20"/>
        </w:rPr>
        <w:t>, según corresponda</w:t>
      </w:r>
      <w:r w:rsidR="00C52973" w:rsidRPr="00995557">
        <w:rPr>
          <w:spacing w:val="0"/>
          <w:szCs w:val="20"/>
        </w:rPr>
        <w:t xml:space="preserve">. A su vez, el Estado </w:t>
      </w:r>
      <w:r w:rsidR="00C52973" w:rsidRPr="00995557">
        <w:rPr>
          <w:spacing w:val="0"/>
          <w:szCs w:val="20"/>
        </w:rPr>
        <w:lastRenderedPageBreak/>
        <w:t>dispondrá del plazo de tres meses, contado a partir de la recepción de dicha solicitud, para brindar de manera efectiva la atención</w:t>
      </w:r>
      <w:r w:rsidR="00717714" w:rsidRPr="00995557">
        <w:rPr>
          <w:spacing w:val="0"/>
          <w:szCs w:val="20"/>
        </w:rPr>
        <w:t xml:space="preserve"> médica,</w:t>
      </w:r>
      <w:r w:rsidR="00C52973" w:rsidRPr="00995557">
        <w:rPr>
          <w:spacing w:val="0"/>
          <w:szCs w:val="20"/>
        </w:rPr>
        <w:t xml:space="preserve"> psicológica o psiquiátrica solicitada</w:t>
      </w:r>
      <w:r w:rsidR="00EF40E9" w:rsidRPr="00995557">
        <w:rPr>
          <w:rStyle w:val="Refdenotaalpie"/>
          <w:spacing w:val="0"/>
          <w:szCs w:val="20"/>
        </w:rPr>
        <w:footnoteReference w:id="202"/>
      </w:r>
      <w:r w:rsidR="00C52973" w:rsidRPr="00995557">
        <w:rPr>
          <w:spacing w:val="0"/>
          <w:szCs w:val="20"/>
        </w:rPr>
        <w:t>.</w:t>
      </w:r>
    </w:p>
    <w:p w14:paraId="4906C3CC" w14:textId="77777777" w:rsidR="00C52973" w:rsidRPr="00995557" w:rsidRDefault="00C52973" w:rsidP="00AA627A">
      <w:pPr>
        <w:pStyle w:val="PrrafodeSentencia"/>
        <w:numPr>
          <w:ilvl w:val="0"/>
          <w:numId w:val="0"/>
        </w:numPr>
        <w:rPr>
          <w:spacing w:val="0"/>
          <w:szCs w:val="20"/>
        </w:rPr>
      </w:pPr>
    </w:p>
    <w:p w14:paraId="23924772" w14:textId="77777777" w:rsidR="00C52973" w:rsidRPr="00995557" w:rsidRDefault="00C52973" w:rsidP="00AA627A">
      <w:pPr>
        <w:pStyle w:val="Ttulo2"/>
        <w:numPr>
          <w:ilvl w:val="0"/>
          <w:numId w:val="19"/>
        </w:numPr>
        <w:tabs>
          <w:tab w:val="clear" w:pos="1134"/>
        </w:tabs>
        <w:spacing w:before="0" w:after="0"/>
        <w:ind w:left="993" w:hanging="426"/>
        <w:rPr>
          <w:lang w:eastAsia="es-ES"/>
        </w:rPr>
      </w:pPr>
      <w:bookmarkStart w:id="167" w:name="_Toc53741467"/>
      <w:bookmarkStart w:id="168" w:name="_Toc58399135"/>
      <w:bookmarkStart w:id="169" w:name="_Hlk44452723"/>
      <w:r w:rsidRPr="00995557">
        <w:t>Medidas de satisfacción</w:t>
      </w:r>
      <w:bookmarkEnd w:id="167"/>
      <w:bookmarkEnd w:id="168"/>
    </w:p>
    <w:bookmarkEnd w:id="169"/>
    <w:p w14:paraId="3DCBAE31" w14:textId="77777777" w:rsidR="00C52973" w:rsidRPr="00995557" w:rsidRDefault="00C52973" w:rsidP="00AA627A">
      <w:pPr>
        <w:rPr>
          <w:lang w:eastAsia="es-MX"/>
        </w:rPr>
      </w:pPr>
    </w:p>
    <w:bookmarkEnd w:id="166"/>
    <w:p w14:paraId="49E6561B" w14:textId="6FB2882A" w:rsidR="001B264B" w:rsidRPr="00995557" w:rsidRDefault="00C52973" w:rsidP="00AA627A">
      <w:pPr>
        <w:pStyle w:val="PrrafodeSentencia"/>
        <w:numPr>
          <w:ilvl w:val="0"/>
          <w:numId w:val="2"/>
        </w:numPr>
        <w:tabs>
          <w:tab w:val="left" w:pos="1701"/>
          <w:tab w:val="left" w:pos="5610"/>
        </w:tabs>
        <w:autoSpaceDE w:val="0"/>
        <w:autoSpaceDN w:val="0"/>
        <w:adjustRightInd w:val="0"/>
        <w:ind w:left="0" w:firstLine="0"/>
        <w:rPr>
          <w:spacing w:val="0"/>
          <w:szCs w:val="20"/>
        </w:rPr>
      </w:pPr>
      <w:r w:rsidRPr="00995557">
        <w:rPr>
          <w:rFonts w:cs="Arial"/>
          <w:spacing w:val="0"/>
          <w:szCs w:val="20"/>
        </w:rPr>
        <w:t xml:space="preserve">Los </w:t>
      </w:r>
      <w:r w:rsidRPr="00995557">
        <w:rPr>
          <w:rFonts w:cs="Arial"/>
          <w:b/>
          <w:i/>
          <w:spacing w:val="0"/>
          <w:szCs w:val="20"/>
        </w:rPr>
        <w:t xml:space="preserve">representantes </w:t>
      </w:r>
      <w:r w:rsidRPr="00995557">
        <w:rPr>
          <w:rFonts w:cs="Arial"/>
          <w:spacing w:val="0"/>
          <w:szCs w:val="20"/>
        </w:rPr>
        <w:t xml:space="preserve">solicitaron que se publique esta </w:t>
      </w:r>
      <w:r w:rsidR="00695695" w:rsidRPr="00995557">
        <w:rPr>
          <w:rFonts w:cs="Arial"/>
          <w:spacing w:val="0"/>
          <w:szCs w:val="20"/>
        </w:rPr>
        <w:t>S</w:t>
      </w:r>
      <w:r w:rsidRPr="00995557">
        <w:rPr>
          <w:rFonts w:cs="Arial"/>
          <w:spacing w:val="0"/>
          <w:szCs w:val="20"/>
        </w:rPr>
        <w:t>entencia, en un plazo de seis meses,</w:t>
      </w:r>
      <w:r w:rsidR="001B264B" w:rsidRPr="00995557">
        <w:rPr>
          <w:b/>
          <w:spacing w:val="0"/>
          <w:szCs w:val="20"/>
        </w:rPr>
        <w:t xml:space="preserve"> </w:t>
      </w:r>
      <w:r w:rsidR="001B264B" w:rsidRPr="00995557">
        <w:rPr>
          <w:rFonts w:cs="Arial"/>
          <w:spacing w:val="0"/>
          <w:szCs w:val="20"/>
        </w:rPr>
        <w:t xml:space="preserve">por lo menos las secciones de contexto y hechos probados, así como la parte resolutiva, en el Diario Oficial de Venezuela y otro de circulación nacional; asimismo, que dicha publicación se haga en la página web del Ministerio Público con un </w:t>
      </w:r>
      <w:proofErr w:type="gramStart"/>
      <w:r w:rsidR="001B264B" w:rsidRPr="00995557">
        <w:rPr>
          <w:rFonts w:cs="Arial"/>
          <w:i/>
          <w:spacing w:val="0"/>
          <w:szCs w:val="20"/>
        </w:rPr>
        <w:t>link</w:t>
      </w:r>
      <w:proofErr w:type="gramEnd"/>
      <w:r w:rsidR="001B264B" w:rsidRPr="00995557">
        <w:rPr>
          <w:rFonts w:cs="Arial"/>
          <w:spacing w:val="0"/>
          <w:szCs w:val="20"/>
        </w:rPr>
        <w:t xml:space="preserve"> de acceso directo, resaltado en dicha página y debiendo mantenerse disponible hasta que se cumpla íntegramente la </w:t>
      </w:r>
      <w:r w:rsidR="00695695" w:rsidRPr="00995557">
        <w:rPr>
          <w:rFonts w:cs="Arial"/>
          <w:spacing w:val="0"/>
          <w:szCs w:val="20"/>
        </w:rPr>
        <w:t>S</w:t>
      </w:r>
      <w:r w:rsidR="001B264B" w:rsidRPr="00995557">
        <w:rPr>
          <w:rFonts w:cs="Arial"/>
          <w:spacing w:val="0"/>
          <w:szCs w:val="20"/>
        </w:rPr>
        <w:t>entencia.</w:t>
      </w:r>
      <w:r w:rsidR="00C17F8E" w:rsidRPr="00995557">
        <w:rPr>
          <w:b/>
          <w:spacing w:val="0"/>
          <w:szCs w:val="20"/>
        </w:rPr>
        <w:t xml:space="preserve"> </w:t>
      </w:r>
      <w:r w:rsidR="00C17F8E" w:rsidRPr="00995557">
        <w:rPr>
          <w:spacing w:val="0"/>
          <w:szCs w:val="20"/>
        </w:rPr>
        <w:t>S</w:t>
      </w:r>
      <w:r w:rsidR="001B264B" w:rsidRPr="00995557">
        <w:rPr>
          <w:spacing w:val="0"/>
          <w:szCs w:val="20"/>
        </w:rPr>
        <w:t xml:space="preserve">olicitaron que </w:t>
      </w:r>
      <w:r w:rsidR="004A4F6F" w:rsidRPr="00995557">
        <w:rPr>
          <w:spacing w:val="0"/>
          <w:szCs w:val="20"/>
        </w:rPr>
        <w:t xml:space="preserve">se </w:t>
      </w:r>
      <w:r w:rsidR="001B264B" w:rsidRPr="00995557">
        <w:rPr>
          <w:spacing w:val="0"/>
          <w:szCs w:val="20"/>
        </w:rPr>
        <w:t xml:space="preserve">lleve a </w:t>
      </w:r>
      <w:r w:rsidR="001B264B" w:rsidRPr="00995557">
        <w:rPr>
          <w:rFonts w:cs="Arial"/>
          <w:spacing w:val="0"/>
          <w:szCs w:val="20"/>
        </w:rPr>
        <w:t xml:space="preserve">cabo en Ciudad Bolívar un acto público de reconocimiento de responsabilidad internacional, disculpas públicas y compromiso de no repetición, con presencia de altos funcionarios de Estado, en particular las máximas autoridades de los cuerpos de seguridad estatales y de los poderes judiciales y de investigación, las víctimas y medios de comunicación, para garantizar </w:t>
      </w:r>
      <w:r w:rsidR="004A4F6F" w:rsidRPr="00995557">
        <w:rPr>
          <w:rFonts w:cs="Arial"/>
          <w:spacing w:val="0"/>
          <w:szCs w:val="20"/>
        </w:rPr>
        <w:t>la más amplia difusión del acto. Al respecto,</w:t>
      </w:r>
      <w:r w:rsidR="001B264B" w:rsidRPr="00995557">
        <w:rPr>
          <w:rFonts w:cs="Arial"/>
          <w:spacing w:val="0"/>
          <w:szCs w:val="20"/>
        </w:rPr>
        <w:t xml:space="preserve"> requirieron que la ceremonia sea difundida por el medio de comunicación público con mayor cobertura nacional, y que se ordene al Estado que la modalidad de cumplimiento del acto público, lugar y fecha de su realización, sean acordados con las víctimas.</w:t>
      </w:r>
      <w:r w:rsidR="001B264B" w:rsidRPr="00995557">
        <w:rPr>
          <w:b/>
          <w:spacing w:val="0"/>
          <w:szCs w:val="20"/>
        </w:rPr>
        <w:t xml:space="preserve"> </w:t>
      </w:r>
      <w:r w:rsidR="001B264B" w:rsidRPr="00995557">
        <w:rPr>
          <w:spacing w:val="0"/>
          <w:szCs w:val="20"/>
        </w:rPr>
        <w:t xml:space="preserve">El </w:t>
      </w:r>
      <w:r w:rsidR="001B264B" w:rsidRPr="00995557">
        <w:rPr>
          <w:b/>
          <w:i/>
          <w:spacing w:val="0"/>
          <w:szCs w:val="20"/>
        </w:rPr>
        <w:t>Estado</w:t>
      </w:r>
      <w:r w:rsidR="001B264B" w:rsidRPr="00995557">
        <w:rPr>
          <w:spacing w:val="0"/>
          <w:szCs w:val="20"/>
        </w:rPr>
        <w:t xml:space="preserve"> y la </w:t>
      </w:r>
      <w:r w:rsidR="001B264B" w:rsidRPr="00995557">
        <w:rPr>
          <w:b/>
          <w:i/>
          <w:spacing w:val="0"/>
          <w:szCs w:val="20"/>
        </w:rPr>
        <w:t>Comisión</w:t>
      </w:r>
      <w:r w:rsidR="001B264B" w:rsidRPr="00995557">
        <w:rPr>
          <w:spacing w:val="0"/>
          <w:szCs w:val="20"/>
        </w:rPr>
        <w:t xml:space="preserve"> no se pronunciaron en cuanto a </w:t>
      </w:r>
      <w:r w:rsidR="004A4F6F" w:rsidRPr="00995557">
        <w:rPr>
          <w:spacing w:val="0"/>
          <w:szCs w:val="20"/>
        </w:rPr>
        <w:t>estas</w:t>
      </w:r>
      <w:r w:rsidR="001B264B" w:rsidRPr="00995557">
        <w:rPr>
          <w:spacing w:val="0"/>
          <w:szCs w:val="20"/>
        </w:rPr>
        <w:t xml:space="preserve"> medida</w:t>
      </w:r>
      <w:r w:rsidR="004A4F6F" w:rsidRPr="00995557">
        <w:rPr>
          <w:spacing w:val="0"/>
          <w:szCs w:val="20"/>
        </w:rPr>
        <w:t>s</w:t>
      </w:r>
      <w:r w:rsidR="001B264B" w:rsidRPr="00995557">
        <w:rPr>
          <w:spacing w:val="0"/>
          <w:szCs w:val="20"/>
        </w:rPr>
        <w:t xml:space="preserve"> de reparación solicitada</w:t>
      </w:r>
      <w:r w:rsidR="004A4F6F" w:rsidRPr="00995557">
        <w:rPr>
          <w:spacing w:val="0"/>
          <w:szCs w:val="20"/>
        </w:rPr>
        <w:t>s</w:t>
      </w:r>
      <w:r w:rsidR="001B264B" w:rsidRPr="00995557">
        <w:rPr>
          <w:spacing w:val="0"/>
          <w:szCs w:val="20"/>
        </w:rPr>
        <w:t>.</w:t>
      </w:r>
    </w:p>
    <w:p w14:paraId="24822E84" w14:textId="77777777" w:rsidR="001B264B" w:rsidRPr="00995557" w:rsidRDefault="001B264B" w:rsidP="00AA627A">
      <w:pPr>
        <w:pStyle w:val="Prrafodelista"/>
        <w:widowControl w:val="0"/>
        <w:tabs>
          <w:tab w:val="left" w:pos="567"/>
        </w:tabs>
        <w:ind w:left="0"/>
        <w:jc w:val="both"/>
      </w:pPr>
    </w:p>
    <w:p w14:paraId="313F363A" w14:textId="77777777" w:rsidR="001B264B" w:rsidRPr="00995557" w:rsidRDefault="001B264B" w:rsidP="00AA627A">
      <w:pPr>
        <w:pStyle w:val="Prrafodelista"/>
      </w:pPr>
      <w:bookmarkStart w:id="170" w:name="_Hlk44452770"/>
      <w:r w:rsidRPr="00995557">
        <w:rPr>
          <w:i/>
          <w:snapToGrid w:val="0"/>
          <w:lang w:eastAsia="es-ES"/>
        </w:rPr>
        <w:t>D.1. Publicación de la sentencia</w:t>
      </w:r>
    </w:p>
    <w:bookmarkEnd w:id="170"/>
    <w:p w14:paraId="6110125B" w14:textId="77777777" w:rsidR="001B264B" w:rsidRPr="00995557" w:rsidRDefault="001B264B" w:rsidP="00AA627A">
      <w:pPr>
        <w:pStyle w:val="Prrafodelista"/>
      </w:pPr>
    </w:p>
    <w:p w14:paraId="409D0B3E" w14:textId="4AB154A5" w:rsidR="001B264B" w:rsidRPr="00995557" w:rsidRDefault="008900E0" w:rsidP="00AA627A">
      <w:pPr>
        <w:pStyle w:val="PrrafodeSentencia"/>
        <w:numPr>
          <w:ilvl w:val="0"/>
          <w:numId w:val="2"/>
        </w:numPr>
        <w:tabs>
          <w:tab w:val="left" w:pos="1701"/>
          <w:tab w:val="left" w:pos="5610"/>
        </w:tabs>
        <w:autoSpaceDE w:val="0"/>
        <w:autoSpaceDN w:val="0"/>
        <w:adjustRightInd w:val="0"/>
        <w:ind w:left="0" w:firstLine="0"/>
        <w:rPr>
          <w:spacing w:val="0"/>
          <w:szCs w:val="20"/>
        </w:rPr>
      </w:pPr>
      <w:bookmarkStart w:id="171" w:name="_Ref33109567"/>
      <w:bookmarkEnd w:id="161"/>
      <w:r w:rsidRPr="00995557">
        <w:rPr>
          <w:spacing w:val="0"/>
          <w:szCs w:val="20"/>
        </w:rPr>
        <w:t>La Corte</w:t>
      </w:r>
      <w:r w:rsidR="001B264B" w:rsidRPr="00995557">
        <w:rPr>
          <w:spacing w:val="0"/>
          <w:szCs w:val="20"/>
        </w:rPr>
        <w:t>, como lo ha hecho en otros casos</w:t>
      </w:r>
      <w:r w:rsidR="001B264B" w:rsidRPr="00995557">
        <w:rPr>
          <w:spacing w:val="0"/>
          <w:szCs w:val="20"/>
          <w:vertAlign w:val="superscript"/>
        </w:rPr>
        <w:footnoteReference w:id="203"/>
      </w:r>
      <w:r w:rsidR="001B264B" w:rsidRPr="00995557">
        <w:rPr>
          <w:spacing w:val="0"/>
          <w:szCs w:val="20"/>
        </w:rPr>
        <w:t>,</w:t>
      </w:r>
      <w:r w:rsidRPr="00995557">
        <w:rPr>
          <w:spacing w:val="0"/>
          <w:szCs w:val="20"/>
        </w:rPr>
        <w:t xml:space="preserve"> dispone </w:t>
      </w:r>
      <w:r w:rsidRPr="00995557">
        <w:rPr>
          <w:rFonts w:cs="Verdana"/>
          <w:spacing w:val="0"/>
          <w:szCs w:val="20"/>
          <w:lang w:val="es-ES"/>
        </w:rPr>
        <w:t>que el Estado publique, en el plazo</w:t>
      </w:r>
      <w:r w:rsidR="001B264B" w:rsidRPr="00995557">
        <w:rPr>
          <w:rFonts w:cs="Verdana"/>
          <w:spacing w:val="0"/>
          <w:szCs w:val="20"/>
          <w:lang w:val="es-ES"/>
        </w:rPr>
        <w:t xml:space="preserve"> de seis meses, contado a partir de la notificación de la presente Sentencia</w:t>
      </w:r>
      <w:r w:rsidR="001B264B" w:rsidRPr="00995557">
        <w:rPr>
          <w:spacing w:val="0"/>
          <w:szCs w:val="20"/>
        </w:rPr>
        <w:t>, en un tamaño de letra legible y adecuado, lo siguiente</w:t>
      </w:r>
      <w:r w:rsidR="001B264B" w:rsidRPr="00995557">
        <w:rPr>
          <w:rFonts w:cs="Verdana"/>
          <w:spacing w:val="0"/>
          <w:szCs w:val="20"/>
          <w:lang w:val="es-ES"/>
        </w:rPr>
        <w:t xml:space="preserve">: a) el resumen </w:t>
      </w:r>
      <w:r w:rsidR="001B264B" w:rsidRPr="00995557">
        <w:rPr>
          <w:spacing w:val="0"/>
          <w:szCs w:val="20"/>
        </w:rPr>
        <w:t>oficial</w:t>
      </w:r>
      <w:r w:rsidR="001B264B" w:rsidRPr="00995557">
        <w:rPr>
          <w:rFonts w:cs="Verdana"/>
          <w:spacing w:val="0"/>
          <w:szCs w:val="20"/>
          <w:lang w:val="es-ES"/>
        </w:rPr>
        <w:t xml:space="preserve"> de la presente Sentencia elaborado por la Corte, por una sola vez, en el Diario Oficial; b) el </w:t>
      </w:r>
      <w:r w:rsidR="001B264B" w:rsidRPr="00995557">
        <w:rPr>
          <w:spacing w:val="0"/>
          <w:szCs w:val="20"/>
        </w:rPr>
        <w:t>resumen</w:t>
      </w:r>
      <w:r w:rsidR="001B264B" w:rsidRPr="00995557">
        <w:rPr>
          <w:rFonts w:cs="Verdana"/>
          <w:spacing w:val="0"/>
          <w:szCs w:val="20"/>
          <w:lang w:val="es-ES"/>
        </w:rPr>
        <w:t xml:space="preserve"> oficial de la presente Sentencia elaborado por la Corte, por una sola vez, en un diario de amplia circulación nacional</w:t>
      </w:r>
      <w:r w:rsidR="001B264B" w:rsidRPr="00995557">
        <w:rPr>
          <w:spacing w:val="0"/>
          <w:szCs w:val="20"/>
        </w:rPr>
        <w:t xml:space="preserve">, </w:t>
      </w:r>
      <w:r w:rsidR="001B264B" w:rsidRPr="00995557">
        <w:rPr>
          <w:rFonts w:cs="Verdana"/>
          <w:spacing w:val="0"/>
          <w:szCs w:val="20"/>
          <w:lang w:val="es-ES"/>
        </w:rPr>
        <w:t xml:space="preserve">y c) la presente Sentencia en su integridad, disponible por un período de un año, en el sitio web oficial del </w:t>
      </w:r>
      <w:r w:rsidR="001B264B" w:rsidRPr="00995557">
        <w:rPr>
          <w:spacing w:val="0"/>
          <w:szCs w:val="20"/>
        </w:rPr>
        <w:t>Ministerio Público</w:t>
      </w:r>
      <w:r w:rsidR="001B264B" w:rsidRPr="00995557">
        <w:rPr>
          <w:rFonts w:cs="Georgia"/>
          <w:spacing w:val="0"/>
          <w:szCs w:val="20"/>
        </w:rPr>
        <w:t xml:space="preserve">. </w:t>
      </w:r>
      <w:r w:rsidR="001B264B" w:rsidRPr="00995557">
        <w:rPr>
          <w:spacing w:val="0"/>
          <w:szCs w:val="20"/>
        </w:rPr>
        <w:t xml:space="preserve">El Estado deberá informar de forma inmediata a este Tribunal una vez que proceda a realizar cada una de las publicaciones dispuestas, independientemente del plazo de un año para presentar su primer informe dispuesto en el punto resolutivo </w:t>
      </w:r>
      <w:r w:rsidR="003D1FBD" w:rsidRPr="00995557">
        <w:rPr>
          <w:spacing w:val="0"/>
          <w:szCs w:val="20"/>
        </w:rPr>
        <w:t>13</w:t>
      </w:r>
      <w:r w:rsidR="001B264B" w:rsidRPr="00995557">
        <w:rPr>
          <w:spacing w:val="0"/>
          <w:szCs w:val="20"/>
        </w:rPr>
        <w:t xml:space="preserve"> de la presente Sentencia.</w:t>
      </w:r>
    </w:p>
    <w:p w14:paraId="63C52FB9" w14:textId="77777777" w:rsidR="001B264B" w:rsidRPr="00995557" w:rsidRDefault="001B264B" w:rsidP="00AA627A">
      <w:pPr>
        <w:pStyle w:val="Prrafodelista"/>
        <w:widowControl w:val="0"/>
        <w:tabs>
          <w:tab w:val="left" w:pos="567"/>
        </w:tabs>
        <w:ind w:left="0"/>
        <w:jc w:val="both"/>
      </w:pPr>
    </w:p>
    <w:p w14:paraId="1EC4C31F" w14:textId="77777777" w:rsidR="001B264B" w:rsidRPr="00995557" w:rsidRDefault="001B264B" w:rsidP="00AA627A">
      <w:pPr>
        <w:pStyle w:val="Prrafodelista"/>
        <w:tabs>
          <w:tab w:val="left" w:pos="720"/>
        </w:tabs>
      </w:pPr>
      <w:bookmarkStart w:id="172" w:name="_Hlk44452824"/>
      <w:r w:rsidRPr="00995557">
        <w:rPr>
          <w:i/>
          <w:snapToGrid w:val="0"/>
          <w:lang w:eastAsia="es-ES"/>
        </w:rPr>
        <w:t>D.2. Acto público de reconocimiento de responsabilidad internacional</w:t>
      </w:r>
    </w:p>
    <w:bookmarkEnd w:id="172"/>
    <w:p w14:paraId="7D7E39D9" w14:textId="77777777" w:rsidR="001B264B" w:rsidRPr="00995557" w:rsidRDefault="001B264B" w:rsidP="00AA627A">
      <w:pPr>
        <w:rPr>
          <w:lang w:eastAsia="es-MX"/>
        </w:rPr>
      </w:pPr>
    </w:p>
    <w:p w14:paraId="6E7E45DF" w14:textId="43B25A69" w:rsidR="00E20914" w:rsidRPr="00995557" w:rsidRDefault="008900E0" w:rsidP="00AA627A">
      <w:pPr>
        <w:pStyle w:val="PrrafodeSentencia"/>
        <w:numPr>
          <w:ilvl w:val="0"/>
          <w:numId w:val="2"/>
        </w:numPr>
        <w:tabs>
          <w:tab w:val="left" w:pos="1701"/>
          <w:tab w:val="left" w:pos="5610"/>
        </w:tabs>
        <w:autoSpaceDE w:val="0"/>
        <w:autoSpaceDN w:val="0"/>
        <w:adjustRightInd w:val="0"/>
        <w:ind w:left="0" w:firstLine="0"/>
        <w:rPr>
          <w:spacing w:val="0"/>
          <w:szCs w:val="20"/>
        </w:rPr>
      </w:pPr>
      <w:bookmarkStart w:id="173" w:name="_Ref446682213"/>
      <w:bookmarkEnd w:id="171"/>
      <w:r w:rsidRPr="00995557">
        <w:rPr>
          <w:spacing w:val="0"/>
          <w:szCs w:val="20"/>
        </w:rPr>
        <w:t>La Corte</w:t>
      </w:r>
      <w:r w:rsidR="001B1DFD" w:rsidRPr="00995557">
        <w:rPr>
          <w:spacing w:val="0"/>
          <w:szCs w:val="20"/>
        </w:rPr>
        <w:t xml:space="preserve"> valora positivamente el reconocimiento de responsabilidad internacional efectuado</w:t>
      </w:r>
      <w:r w:rsidR="00E20914" w:rsidRPr="00995557">
        <w:rPr>
          <w:spacing w:val="0"/>
          <w:szCs w:val="20"/>
        </w:rPr>
        <w:t xml:space="preserve"> por el Estado, lo cual podría representar una satisfacción parcial para las víctimas frente a las violaciones declaradas en la presente Sentencia</w:t>
      </w:r>
      <w:r w:rsidR="00E20914" w:rsidRPr="00995557">
        <w:rPr>
          <w:rStyle w:val="Refdenotaalpie"/>
          <w:spacing w:val="0"/>
          <w:szCs w:val="20"/>
        </w:rPr>
        <w:footnoteReference w:id="204"/>
      </w:r>
      <w:r w:rsidR="00E20914" w:rsidRPr="00995557">
        <w:rPr>
          <w:spacing w:val="0"/>
          <w:szCs w:val="20"/>
        </w:rPr>
        <w:t>. Sin perjuicio de ello, con el fin de reparar el daño causado a las víctimas y de evitar que hechos como los de este caso se repitan, en consideración a la solicitud de los representantes, el Tribunal estima necesario, como lo ha hecho en otros casos</w:t>
      </w:r>
      <w:r w:rsidR="00E20914" w:rsidRPr="00995557">
        <w:rPr>
          <w:rStyle w:val="Refdenotaalpie"/>
          <w:spacing w:val="0"/>
          <w:szCs w:val="20"/>
        </w:rPr>
        <w:footnoteReference w:id="205"/>
      </w:r>
      <w:r w:rsidR="00E20914" w:rsidRPr="00995557">
        <w:rPr>
          <w:spacing w:val="0"/>
          <w:szCs w:val="20"/>
        </w:rPr>
        <w:t xml:space="preserve">, disponer que Venezuela realice un acto público de </w:t>
      </w:r>
      <w:r w:rsidR="00E20914" w:rsidRPr="00995557">
        <w:rPr>
          <w:spacing w:val="0"/>
          <w:szCs w:val="20"/>
        </w:rPr>
        <w:lastRenderedPageBreak/>
        <w:t xml:space="preserve">reconocimiento de responsabilidad internacional en relación con los hechos del caso. En dicho acto el Estado deberá hacer referencia a los hechos y violaciones de derechos humanos declaradas en la presente Sentencia. El acto deberá llevarse a cabo mediante una ceremonia pública que deberá ser divulgada. El Estado tendrá que asegurar la participación de las víctimas declaradas en esta Sentencia, si así lo desean, </w:t>
      </w:r>
      <w:r w:rsidR="00301FCD" w:rsidRPr="00995557">
        <w:rPr>
          <w:spacing w:val="0"/>
          <w:szCs w:val="20"/>
        </w:rPr>
        <w:t>y de sus representantes</w:t>
      </w:r>
      <w:r w:rsidR="00E20914" w:rsidRPr="00995557">
        <w:rPr>
          <w:spacing w:val="0"/>
          <w:szCs w:val="20"/>
        </w:rPr>
        <w:t>.</w:t>
      </w:r>
    </w:p>
    <w:p w14:paraId="7D4B6894" w14:textId="77777777" w:rsidR="00E20914" w:rsidRPr="00995557" w:rsidRDefault="00E20914" w:rsidP="00AA627A">
      <w:pPr>
        <w:pStyle w:val="PrrafodeSentencia"/>
        <w:numPr>
          <w:ilvl w:val="0"/>
          <w:numId w:val="0"/>
        </w:numPr>
        <w:tabs>
          <w:tab w:val="left" w:pos="1701"/>
          <w:tab w:val="left" w:pos="5610"/>
        </w:tabs>
        <w:autoSpaceDE w:val="0"/>
        <w:autoSpaceDN w:val="0"/>
        <w:adjustRightInd w:val="0"/>
        <w:rPr>
          <w:spacing w:val="0"/>
          <w:szCs w:val="20"/>
        </w:rPr>
      </w:pPr>
    </w:p>
    <w:p w14:paraId="50F7FD9C" w14:textId="77777777" w:rsidR="00301FCD" w:rsidRPr="00995557" w:rsidRDefault="00301FCD" w:rsidP="00AA627A">
      <w:pPr>
        <w:pStyle w:val="PrrafodeSentencia"/>
        <w:numPr>
          <w:ilvl w:val="0"/>
          <w:numId w:val="2"/>
        </w:numPr>
        <w:tabs>
          <w:tab w:val="left" w:pos="1701"/>
          <w:tab w:val="left" w:pos="5610"/>
        </w:tabs>
        <w:autoSpaceDE w:val="0"/>
        <w:autoSpaceDN w:val="0"/>
        <w:adjustRightInd w:val="0"/>
        <w:ind w:left="0" w:firstLine="0"/>
        <w:rPr>
          <w:spacing w:val="0"/>
          <w:szCs w:val="20"/>
        </w:rPr>
      </w:pPr>
      <w:r w:rsidRPr="00995557">
        <w:rPr>
          <w:spacing w:val="0"/>
          <w:szCs w:val="20"/>
        </w:rPr>
        <w:t>El Estado y las víctimas, o sus representantes, deberán acordar la modalidad de cumplimento del acto público, así como las particularidades que se requieran, como el lugar y la fecha para su realización</w:t>
      </w:r>
      <w:r w:rsidRPr="00995557">
        <w:rPr>
          <w:rStyle w:val="Refdenotaalpie"/>
          <w:spacing w:val="0"/>
          <w:szCs w:val="20"/>
        </w:rPr>
        <w:footnoteReference w:id="206"/>
      </w:r>
      <w:r w:rsidRPr="00995557">
        <w:rPr>
          <w:spacing w:val="0"/>
          <w:szCs w:val="20"/>
        </w:rPr>
        <w:t xml:space="preserve">. Las autoridades estatales que deberán estar presentes o participar en dicho acto deberán ser altos funcionarios estatales, incluidas las máximas autoridades de la Guardia Nacional y de los cuerpos de seguridad estatales. Para cumplir con esta obligación, el Estado cuenta con un plazo de </w:t>
      </w:r>
      <w:r w:rsidR="001A2CA0" w:rsidRPr="00995557">
        <w:rPr>
          <w:spacing w:val="0"/>
          <w:szCs w:val="20"/>
        </w:rPr>
        <w:t xml:space="preserve">un </w:t>
      </w:r>
      <w:r w:rsidRPr="00995557">
        <w:rPr>
          <w:spacing w:val="0"/>
          <w:szCs w:val="20"/>
        </w:rPr>
        <w:t>año a partir de la notificación de la presente Sentencia.</w:t>
      </w:r>
    </w:p>
    <w:p w14:paraId="54C92FA6" w14:textId="77777777" w:rsidR="00301FCD" w:rsidRPr="00995557" w:rsidRDefault="00301FCD" w:rsidP="00AA627A">
      <w:pPr>
        <w:pStyle w:val="PrrafodeSentencia"/>
        <w:numPr>
          <w:ilvl w:val="0"/>
          <w:numId w:val="0"/>
        </w:numPr>
        <w:rPr>
          <w:spacing w:val="0"/>
          <w:szCs w:val="20"/>
        </w:rPr>
      </w:pPr>
    </w:p>
    <w:p w14:paraId="4535D550" w14:textId="77777777" w:rsidR="00301FCD" w:rsidRPr="00995557" w:rsidRDefault="00301FCD" w:rsidP="00AA627A">
      <w:pPr>
        <w:pStyle w:val="Ttulo2"/>
        <w:numPr>
          <w:ilvl w:val="0"/>
          <w:numId w:val="19"/>
        </w:numPr>
        <w:tabs>
          <w:tab w:val="clear" w:pos="1134"/>
        </w:tabs>
        <w:spacing w:before="0" w:after="0"/>
        <w:ind w:left="993" w:hanging="426"/>
        <w:rPr>
          <w:lang w:eastAsia="es-ES"/>
        </w:rPr>
      </w:pPr>
      <w:bookmarkStart w:id="174" w:name="_Toc53741468"/>
      <w:bookmarkStart w:id="175" w:name="_Toc58399136"/>
      <w:r w:rsidRPr="00995557">
        <w:t>Garantías de no repetición</w:t>
      </w:r>
      <w:bookmarkEnd w:id="174"/>
      <w:bookmarkEnd w:id="175"/>
    </w:p>
    <w:p w14:paraId="3D452804" w14:textId="77777777" w:rsidR="00301FCD" w:rsidRPr="00995557" w:rsidRDefault="00301FCD" w:rsidP="00AA627A">
      <w:pPr>
        <w:rPr>
          <w:lang w:eastAsia="es-MX"/>
        </w:rPr>
      </w:pPr>
    </w:p>
    <w:bookmarkEnd w:id="173"/>
    <w:p w14:paraId="211D0602" w14:textId="72C9343F" w:rsidR="00F50E07" w:rsidRPr="00995557" w:rsidRDefault="00301FCD" w:rsidP="00AA627A">
      <w:pPr>
        <w:pStyle w:val="PrrafodeSentencia"/>
        <w:numPr>
          <w:ilvl w:val="0"/>
          <w:numId w:val="2"/>
        </w:numPr>
        <w:tabs>
          <w:tab w:val="left" w:pos="709"/>
          <w:tab w:val="left" w:pos="1701"/>
          <w:tab w:val="left" w:pos="5610"/>
        </w:tabs>
        <w:autoSpaceDE w:val="0"/>
        <w:autoSpaceDN w:val="0"/>
        <w:adjustRightInd w:val="0"/>
        <w:ind w:left="0" w:firstLine="0"/>
        <w:rPr>
          <w:b/>
          <w:spacing w:val="0"/>
          <w:szCs w:val="20"/>
        </w:rPr>
      </w:pPr>
      <w:r w:rsidRPr="00995557">
        <w:rPr>
          <w:spacing w:val="0"/>
          <w:szCs w:val="20"/>
        </w:rPr>
        <w:t xml:space="preserve">La </w:t>
      </w:r>
      <w:r w:rsidRPr="00995557">
        <w:rPr>
          <w:b/>
          <w:i/>
          <w:spacing w:val="0"/>
          <w:szCs w:val="20"/>
        </w:rPr>
        <w:t>Comisión</w:t>
      </w:r>
      <w:r w:rsidRPr="00995557">
        <w:rPr>
          <w:spacing w:val="0"/>
          <w:szCs w:val="20"/>
        </w:rPr>
        <w:t xml:space="preserve"> solicitó disponer mecanismos de no repetición que incluyan: </w:t>
      </w:r>
      <w:bookmarkStart w:id="176" w:name="_Hlk44494731"/>
      <w:r w:rsidRPr="00995557">
        <w:rPr>
          <w:spacing w:val="0"/>
          <w:szCs w:val="20"/>
        </w:rPr>
        <w:t>a) la modificación del artículo 8 de la Ley de Régimen Penitenciario de acuerdo con los estándares establecidos en el Informe de Fondo, y b) la adopción de todas las medidas necesarias para asegurar que el personal de custodia de los centros de detención, incluso en situaciones de emergencia, sea de carácter civil y esté debidamente capacitado en materia penitenciaria y sobre los estándares relativos al uso de la fuerza.</w:t>
      </w:r>
      <w:bookmarkEnd w:id="176"/>
      <w:r w:rsidR="00F50E07" w:rsidRPr="00995557">
        <w:rPr>
          <w:b/>
          <w:spacing w:val="0"/>
          <w:szCs w:val="20"/>
        </w:rPr>
        <w:t xml:space="preserve"> </w:t>
      </w:r>
      <w:r w:rsidR="00F50E07" w:rsidRPr="00995557">
        <w:rPr>
          <w:spacing w:val="0"/>
          <w:szCs w:val="20"/>
        </w:rPr>
        <w:t>De manera particular</w:t>
      </w:r>
      <w:r w:rsidR="004A4F6F" w:rsidRPr="00995557">
        <w:rPr>
          <w:spacing w:val="0"/>
          <w:szCs w:val="20"/>
        </w:rPr>
        <w:t>,</w:t>
      </w:r>
      <w:r w:rsidR="00F50E07" w:rsidRPr="00995557">
        <w:rPr>
          <w:spacing w:val="0"/>
          <w:szCs w:val="20"/>
        </w:rPr>
        <w:t xml:space="preserve"> señaló que la violencia e impunidad que se ha observado en el entorno carcelario de Venezuela obedece, entre otras causas, a la</w:t>
      </w:r>
      <w:r w:rsidR="00F50E07" w:rsidRPr="00995557">
        <w:rPr>
          <w:b/>
          <w:spacing w:val="0"/>
          <w:szCs w:val="20"/>
        </w:rPr>
        <w:t xml:space="preserve"> </w:t>
      </w:r>
      <w:r w:rsidR="00F50E07" w:rsidRPr="00995557">
        <w:rPr>
          <w:rFonts w:cs="Cambria"/>
          <w:spacing w:val="0"/>
          <w:szCs w:val="20"/>
        </w:rPr>
        <w:t>falta de capacitación en materia penitenciaria y la no aplicación de los estándares interamericanos relativos al uso de la fuerza</w:t>
      </w:r>
      <w:r w:rsidR="00B84FDD" w:rsidRPr="00995557">
        <w:rPr>
          <w:rFonts w:cs="Cambria"/>
          <w:spacing w:val="0"/>
          <w:szCs w:val="20"/>
        </w:rPr>
        <w:t>, por lo que resulta necesario ordenar medidas de reparación en este ámbito.</w:t>
      </w:r>
    </w:p>
    <w:p w14:paraId="717C4B6C" w14:textId="77777777" w:rsidR="00301FCD" w:rsidRPr="00995557" w:rsidRDefault="00301FCD" w:rsidP="00AA627A">
      <w:pPr>
        <w:rPr>
          <w:lang w:eastAsia="es-MX"/>
        </w:rPr>
      </w:pPr>
    </w:p>
    <w:p w14:paraId="48666020" w14:textId="43A74CF0" w:rsidR="00A973A3" w:rsidRPr="00995557" w:rsidRDefault="00301FCD" w:rsidP="00AA627A">
      <w:pPr>
        <w:pStyle w:val="PrrafodeSentencia"/>
        <w:numPr>
          <w:ilvl w:val="0"/>
          <w:numId w:val="2"/>
        </w:numPr>
        <w:tabs>
          <w:tab w:val="left" w:pos="709"/>
          <w:tab w:val="left" w:pos="1701"/>
          <w:tab w:val="left" w:pos="5610"/>
        </w:tabs>
        <w:autoSpaceDE w:val="0"/>
        <w:autoSpaceDN w:val="0"/>
        <w:adjustRightInd w:val="0"/>
        <w:ind w:left="0" w:firstLine="0"/>
        <w:rPr>
          <w:iCs/>
          <w:spacing w:val="0"/>
          <w:szCs w:val="20"/>
        </w:rPr>
      </w:pPr>
      <w:r w:rsidRPr="00995557">
        <w:rPr>
          <w:spacing w:val="0"/>
          <w:szCs w:val="20"/>
        </w:rPr>
        <w:t xml:space="preserve">Los </w:t>
      </w:r>
      <w:r w:rsidRPr="00995557">
        <w:rPr>
          <w:b/>
          <w:i/>
          <w:spacing w:val="0"/>
          <w:szCs w:val="20"/>
        </w:rPr>
        <w:t xml:space="preserve">representantes </w:t>
      </w:r>
      <w:r w:rsidRPr="00995557">
        <w:rPr>
          <w:spacing w:val="0"/>
          <w:szCs w:val="20"/>
        </w:rPr>
        <w:t xml:space="preserve">solicitaron, </w:t>
      </w:r>
      <w:r w:rsidRPr="00995557">
        <w:rPr>
          <w:i/>
          <w:spacing w:val="0"/>
          <w:szCs w:val="20"/>
        </w:rPr>
        <w:t>inter alia</w:t>
      </w:r>
      <w:r w:rsidRPr="00995557">
        <w:rPr>
          <w:spacing w:val="0"/>
          <w:szCs w:val="20"/>
        </w:rPr>
        <w:t xml:space="preserve">, que se ordene al Estado </w:t>
      </w:r>
      <w:r w:rsidRPr="00995557">
        <w:rPr>
          <w:iCs/>
          <w:spacing w:val="0"/>
          <w:szCs w:val="20"/>
        </w:rPr>
        <w:t>el cumplimiento de las</w:t>
      </w:r>
      <w:r w:rsidR="00A973A3" w:rsidRPr="00995557">
        <w:rPr>
          <w:iCs/>
          <w:spacing w:val="0"/>
          <w:szCs w:val="20"/>
        </w:rPr>
        <w:t xml:space="preserve"> medidas ordenadas en el </w:t>
      </w:r>
      <w:r w:rsidR="00DA631C" w:rsidRPr="00995557">
        <w:rPr>
          <w:iCs/>
          <w:spacing w:val="0"/>
          <w:szCs w:val="20"/>
        </w:rPr>
        <w:t>c</w:t>
      </w:r>
      <w:r w:rsidR="00A973A3" w:rsidRPr="00995557">
        <w:rPr>
          <w:iCs/>
          <w:spacing w:val="0"/>
          <w:szCs w:val="20"/>
        </w:rPr>
        <w:t>aso</w:t>
      </w:r>
      <w:r w:rsidR="00A973A3" w:rsidRPr="00995557">
        <w:rPr>
          <w:i/>
          <w:iCs/>
          <w:spacing w:val="0"/>
          <w:szCs w:val="20"/>
        </w:rPr>
        <w:t xml:space="preserve"> Montero Aranguren y otros (Retén de Catia) Vs. Venezuela</w:t>
      </w:r>
      <w:r w:rsidR="00A973A3" w:rsidRPr="00995557">
        <w:rPr>
          <w:iCs/>
          <w:spacing w:val="0"/>
          <w:szCs w:val="20"/>
        </w:rPr>
        <w:t>, específicamente aquellas que se ha determinado que no han sido cumplidas, incluidas las siguientes</w:t>
      </w:r>
      <w:bookmarkStart w:id="177" w:name="_Hlk44494746"/>
      <w:r w:rsidR="00A973A3" w:rsidRPr="00995557">
        <w:rPr>
          <w:iCs/>
          <w:spacing w:val="0"/>
          <w:szCs w:val="20"/>
        </w:rPr>
        <w:t xml:space="preserve">: a) adoptar medidas de carácter legislativo, político, administrativo, económico y de otra índole que sean necesarias para evitar que hechos similares vuelvan a ocurrir, y b) formar y capacitar a todos los miembros de los cuerpos armados y de organismos de seguridad sobre los principios y normas de protección de los derechos humanos, y sobre los límites a los que debe estar sometido, </w:t>
      </w:r>
      <w:r w:rsidR="00174BE9" w:rsidRPr="00995557">
        <w:rPr>
          <w:iCs/>
          <w:spacing w:val="0"/>
          <w:szCs w:val="20"/>
        </w:rPr>
        <w:t>aún</w:t>
      </w:r>
      <w:r w:rsidR="00A973A3" w:rsidRPr="00995557">
        <w:rPr>
          <w:iCs/>
          <w:spacing w:val="0"/>
          <w:szCs w:val="20"/>
        </w:rPr>
        <w:t xml:space="preserve"> bajo los estados de excepción, el uso de las armas por parte de funcionarios encargados de hacer cumplir la ley</w:t>
      </w:r>
      <w:bookmarkEnd w:id="177"/>
      <w:r w:rsidR="00A973A3" w:rsidRPr="00995557">
        <w:rPr>
          <w:iCs/>
          <w:spacing w:val="0"/>
          <w:szCs w:val="20"/>
        </w:rPr>
        <w:t>.</w:t>
      </w:r>
    </w:p>
    <w:p w14:paraId="1A828910" w14:textId="77777777" w:rsidR="00A973A3" w:rsidRPr="00995557" w:rsidRDefault="00A973A3" w:rsidP="00AA627A">
      <w:pPr>
        <w:pStyle w:val="PrrafodeSentencia"/>
        <w:numPr>
          <w:ilvl w:val="0"/>
          <w:numId w:val="0"/>
        </w:numPr>
        <w:tabs>
          <w:tab w:val="left" w:pos="709"/>
          <w:tab w:val="left" w:pos="1701"/>
          <w:tab w:val="left" w:pos="5610"/>
        </w:tabs>
        <w:autoSpaceDE w:val="0"/>
        <w:autoSpaceDN w:val="0"/>
        <w:adjustRightInd w:val="0"/>
        <w:rPr>
          <w:iCs/>
          <w:spacing w:val="0"/>
          <w:szCs w:val="20"/>
        </w:rPr>
      </w:pPr>
    </w:p>
    <w:p w14:paraId="1CD0F1B2" w14:textId="1102544D" w:rsidR="00AE7B57" w:rsidRPr="00995557" w:rsidRDefault="00301FCD" w:rsidP="00AA627A">
      <w:pPr>
        <w:pStyle w:val="PrrafodeSentencia"/>
        <w:numPr>
          <w:ilvl w:val="0"/>
          <w:numId w:val="2"/>
        </w:numPr>
        <w:tabs>
          <w:tab w:val="left" w:pos="709"/>
          <w:tab w:val="left" w:pos="1701"/>
          <w:tab w:val="left" w:pos="5610"/>
        </w:tabs>
        <w:autoSpaceDE w:val="0"/>
        <w:autoSpaceDN w:val="0"/>
        <w:adjustRightInd w:val="0"/>
        <w:ind w:left="0" w:firstLine="0"/>
        <w:rPr>
          <w:b/>
          <w:spacing w:val="0"/>
          <w:szCs w:val="20"/>
        </w:rPr>
      </w:pPr>
      <w:r w:rsidRPr="00995557">
        <w:rPr>
          <w:rFonts w:cs="Arial"/>
          <w:spacing w:val="0"/>
          <w:szCs w:val="20"/>
        </w:rPr>
        <w:t xml:space="preserve">El </w:t>
      </w:r>
      <w:r w:rsidRPr="00995557">
        <w:rPr>
          <w:rFonts w:cs="Arial"/>
          <w:b/>
          <w:i/>
          <w:spacing w:val="0"/>
          <w:szCs w:val="20"/>
        </w:rPr>
        <w:t xml:space="preserve">Estado </w:t>
      </w:r>
      <w:r w:rsidRPr="00995557">
        <w:rPr>
          <w:rFonts w:cs="Arial"/>
          <w:spacing w:val="0"/>
          <w:szCs w:val="20"/>
        </w:rPr>
        <w:t>señaló que desde que ocurrieron los hechos “ha venido y continúa adoptando un</w:t>
      </w:r>
      <w:r w:rsidR="00A973A3" w:rsidRPr="00995557">
        <w:rPr>
          <w:rFonts w:cs="Arial"/>
          <w:spacing w:val="0"/>
          <w:szCs w:val="20"/>
        </w:rPr>
        <w:t xml:space="preserve"> conjunto de medidas legislativas, administrativas y educativas que garantizan que sucesos como [el ocurrido] no vuelvan a repetirse tanto en [el] centro de privación de libertad de Vista Hermosa, como en todos los demás”. </w:t>
      </w:r>
      <w:r w:rsidRPr="00995557">
        <w:rPr>
          <w:rFonts w:cs="Arial"/>
          <w:spacing w:val="0"/>
          <w:szCs w:val="20"/>
        </w:rPr>
        <w:t>Expuso que el 28 de diciembre de 2015 fue publicado en la Gaceta Oficial de la</w:t>
      </w:r>
      <w:r w:rsidR="00A973A3" w:rsidRPr="00995557">
        <w:rPr>
          <w:rFonts w:cs="Arial"/>
          <w:spacing w:val="0"/>
          <w:szCs w:val="20"/>
        </w:rPr>
        <w:t xml:space="preserve"> República Bolivariana de Venezuela el “Código Orgánico Penitenciario”</w:t>
      </w:r>
      <w:r w:rsidR="00115CBB" w:rsidRPr="00995557">
        <w:rPr>
          <w:rStyle w:val="Refdenotaalpie"/>
          <w:rFonts w:cs="Arial"/>
          <w:spacing w:val="0"/>
          <w:szCs w:val="20"/>
        </w:rPr>
        <w:footnoteReference w:id="207"/>
      </w:r>
      <w:r w:rsidR="00A973A3" w:rsidRPr="00995557">
        <w:rPr>
          <w:rFonts w:cs="Arial"/>
          <w:spacing w:val="0"/>
          <w:szCs w:val="20"/>
        </w:rPr>
        <w:t xml:space="preserve">, sancionado por la Asamblea Nacional, </w:t>
      </w:r>
      <w:r w:rsidR="00AE7B57" w:rsidRPr="00995557">
        <w:rPr>
          <w:spacing w:val="0"/>
          <w:szCs w:val="20"/>
        </w:rPr>
        <w:t>el que</w:t>
      </w:r>
      <w:r w:rsidR="00A973A3" w:rsidRPr="00995557">
        <w:rPr>
          <w:spacing w:val="0"/>
          <w:szCs w:val="20"/>
        </w:rPr>
        <w:t xml:space="preserve"> derog</w:t>
      </w:r>
      <w:r w:rsidR="00B31E07" w:rsidRPr="00995557">
        <w:rPr>
          <w:spacing w:val="0"/>
          <w:szCs w:val="20"/>
        </w:rPr>
        <w:t>ó</w:t>
      </w:r>
      <w:r w:rsidR="00A973A3" w:rsidRPr="00995557">
        <w:rPr>
          <w:spacing w:val="0"/>
          <w:szCs w:val="20"/>
        </w:rPr>
        <w:t xml:space="preserve"> expresamente la Ley de Régimen Penitenciario</w:t>
      </w:r>
      <w:r w:rsidR="008A26F4" w:rsidRPr="00995557">
        <w:rPr>
          <w:spacing w:val="0"/>
          <w:szCs w:val="20"/>
        </w:rPr>
        <w:t xml:space="preserve"> y la Ley de Redención Judicial de la Pena por el Trabajo y el Estudio</w:t>
      </w:r>
      <w:r w:rsidR="008A26F4" w:rsidRPr="00995557">
        <w:rPr>
          <w:rStyle w:val="Refdenotaalpie"/>
          <w:spacing w:val="0"/>
          <w:szCs w:val="20"/>
        </w:rPr>
        <w:footnoteReference w:id="208"/>
      </w:r>
      <w:r w:rsidR="008A26F4" w:rsidRPr="00995557">
        <w:rPr>
          <w:spacing w:val="0"/>
          <w:szCs w:val="20"/>
        </w:rPr>
        <w:t>.</w:t>
      </w:r>
      <w:r w:rsidR="008A26F4" w:rsidRPr="00995557">
        <w:rPr>
          <w:b/>
          <w:spacing w:val="0"/>
          <w:szCs w:val="20"/>
        </w:rPr>
        <w:t xml:space="preserve"> </w:t>
      </w:r>
      <w:r w:rsidR="008A26F4" w:rsidRPr="00995557">
        <w:rPr>
          <w:spacing w:val="0"/>
          <w:szCs w:val="20"/>
        </w:rPr>
        <w:lastRenderedPageBreak/>
        <w:t>Refirió que el artículo 84 del mencionado Código prev</w:t>
      </w:r>
      <w:r w:rsidR="00461E2B" w:rsidRPr="00995557">
        <w:rPr>
          <w:spacing w:val="0"/>
          <w:szCs w:val="20"/>
        </w:rPr>
        <w:t>ió</w:t>
      </w:r>
      <w:r w:rsidR="008A26F4" w:rsidRPr="00995557">
        <w:rPr>
          <w:spacing w:val="0"/>
          <w:szCs w:val="20"/>
        </w:rPr>
        <w:t xml:space="preserve"> </w:t>
      </w:r>
      <w:r w:rsidR="00A973A3" w:rsidRPr="00995557">
        <w:rPr>
          <w:spacing w:val="0"/>
          <w:szCs w:val="20"/>
        </w:rPr>
        <w:t>la creación de un cuerpo de seguridad y custodia de carácter civil encargado de la custodia interna y externa de los centros penitenciarios</w:t>
      </w:r>
      <w:r w:rsidR="009172C7" w:rsidRPr="00995557">
        <w:rPr>
          <w:rStyle w:val="Refdenotaalpie"/>
          <w:spacing w:val="0"/>
          <w:szCs w:val="20"/>
        </w:rPr>
        <w:footnoteReference w:id="209"/>
      </w:r>
      <w:r w:rsidR="00AE7B57" w:rsidRPr="00995557">
        <w:rPr>
          <w:spacing w:val="0"/>
          <w:szCs w:val="20"/>
        </w:rPr>
        <w:t>, y</w:t>
      </w:r>
      <w:r w:rsidR="000F568E" w:rsidRPr="00995557">
        <w:rPr>
          <w:spacing w:val="0"/>
          <w:szCs w:val="20"/>
        </w:rPr>
        <w:t xml:space="preserve"> que el artículo </w:t>
      </w:r>
      <w:r w:rsidR="00A973A3" w:rsidRPr="00995557">
        <w:rPr>
          <w:spacing w:val="0"/>
          <w:szCs w:val="20"/>
        </w:rPr>
        <w:t>92 del citado Código prohíbe que autoridades civiles o militares ingresen a los establecimientos penitenciarios portando armas de fuego, previendo excepciones específicas en caso de situaciones de fuerza mayor que lo justifiquen</w:t>
      </w:r>
      <w:r w:rsidR="00115CBB" w:rsidRPr="00995557">
        <w:rPr>
          <w:rStyle w:val="Refdenotaalpie"/>
          <w:spacing w:val="0"/>
          <w:szCs w:val="20"/>
        </w:rPr>
        <w:footnoteReference w:id="210"/>
      </w:r>
      <w:r w:rsidR="00115CBB" w:rsidRPr="00995557">
        <w:rPr>
          <w:spacing w:val="0"/>
          <w:szCs w:val="20"/>
        </w:rPr>
        <w:t>.</w:t>
      </w:r>
    </w:p>
    <w:p w14:paraId="16D50D10" w14:textId="77777777" w:rsidR="00AE7B57" w:rsidRPr="00995557" w:rsidRDefault="00AE7B57" w:rsidP="00AA627A">
      <w:pPr>
        <w:rPr>
          <w:lang w:eastAsia="es-MX"/>
        </w:rPr>
      </w:pPr>
    </w:p>
    <w:p w14:paraId="39F90F41" w14:textId="4B96B1BB" w:rsidR="00C025DB" w:rsidRPr="00995557" w:rsidRDefault="00AE7B57" w:rsidP="00AA627A">
      <w:pPr>
        <w:pStyle w:val="PrrafodeSentencia"/>
        <w:numPr>
          <w:ilvl w:val="0"/>
          <w:numId w:val="2"/>
        </w:numPr>
        <w:tabs>
          <w:tab w:val="left" w:pos="709"/>
          <w:tab w:val="left" w:pos="1701"/>
          <w:tab w:val="left" w:pos="5610"/>
        </w:tabs>
        <w:autoSpaceDE w:val="0"/>
        <w:autoSpaceDN w:val="0"/>
        <w:adjustRightInd w:val="0"/>
        <w:ind w:left="0" w:firstLine="0"/>
        <w:rPr>
          <w:spacing w:val="0"/>
          <w:szCs w:val="20"/>
        </w:rPr>
      </w:pPr>
      <w:r w:rsidRPr="00995557">
        <w:rPr>
          <w:spacing w:val="0"/>
          <w:szCs w:val="20"/>
        </w:rPr>
        <w:t xml:space="preserve">Asimismo, </w:t>
      </w:r>
      <w:r w:rsidR="00A973A3" w:rsidRPr="00995557">
        <w:rPr>
          <w:rFonts w:cs="Arial"/>
          <w:spacing w:val="0"/>
          <w:szCs w:val="20"/>
        </w:rPr>
        <w:t xml:space="preserve">señaló que los artículos 90 y 91 del mencionado Código regulan lo relativo al uso de armas de fuego por parte de personal de custodia, </w:t>
      </w:r>
      <w:r w:rsidRPr="00995557">
        <w:rPr>
          <w:rFonts w:cs="Arial"/>
          <w:spacing w:val="0"/>
          <w:szCs w:val="20"/>
        </w:rPr>
        <w:t>y</w:t>
      </w:r>
      <w:r w:rsidR="00301FCD" w:rsidRPr="00995557">
        <w:rPr>
          <w:rFonts w:cs="Arial"/>
          <w:spacing w:val="0"/>
          <w:szCs w:val="20"/>
        </w:rPr>
        <w:t xml:space="preserve"> que la normativa incorpora regulación sobre el uso</w:t>
      </w:r>
      <w:r w:rsidR="001C630E" w:rsidRPr="00995557">
        <w:rPr>
          <w:rFonts w:cs="Arial"/>
          <w:spacing w:val="0"/>
          <w:szCs w:val="20"/>
        </w:rPr>
        <w:t xml:space="preserve"> progresivo y diferen</w:t>
      </w:r>
      <w:r w:rsidRPr="00995557">
        <w:rPr>
          <w:rFonts w:cs="Arial"/>
          <w:spacing w:val="0"/>
          <w:szCs w:val="20"/>
        </w:rPr>
        <w:t>ciado de la fuerza por parte de dicho</w:t>
      </w:r>
      <w:r w:rsidR="001C630E" w:rsidRPr="00995557">
        <w:rPr>
          <w:rFonts w:cs="Arial"/>
          <w:spacing w:val="0"/>
          <w:szCs w:val="20"/>
        </w:rPr>
        <w:t xml:space="preserve"> personal, lo que se encuentra previsto en los artículos 101 a 105</w:t>
      </w:r>
      <w:r w:rsidRPr="00995557">
        <w:rPr>
          <w:spacing w:val="0"/>
          <w:szCs w:val="20"/>
        </w:rPr>
        <w:t xml:space="preserve">. </w:t>
      </w:r>
    </w:p>
    <w:p w14:paraId="2DE74C2C" w14:textId="77777777" w:rsidR="00C025DB" w:rsidRPr="00995557" w:rsidRDefault="00C025DB" w:rsidP="00AA627A">
      <w:pPr>
        <w:pStyle w:val="PrrafodeSentencia"/>
        <w:numPr>
          <w:ilvl w:val="0"/>
          <w:numId w:val="0"/>
        </w:numPr>
        <w:tabs>
          <w:tab w:val="left" w:pos="709"/>
          <w:tab w:val="left" w:pos="1701"/>
          <w:tab w:val="left" w:pos="5610"/>
        </w:tabs>
        <w:autoSpaceDE w:val="0"/>
        <w:autoSpaceDN w:val="0"/>
        <w:adjustRightInd w:val="0"/>
        <w:rPr>
          <w:spacing w:val="0"/>
          <w:szCs w:val="20"/>
        </w:rPr>
      </w:pPr>
    </w:p>
    <w:p w14:paraId="434373AF" w14:textId="23A1930C" w:rsidR="000B0DA5" w:rsidRPr="00995557" w:rsidRDefault="00AE7B57" w:rsidP="00AA627A">
      <w:pPr>
        <w:pStyle w:val="PrrafodeSentencia"/>
        <w:numPr>
          <w:ilvl w:val="0"/>
          <w:numId w:val="2"/>
        </w:numPr>
        <w:tabs>
          <w:tab w:val="left" w:pos="1701"/>
          <w:tab w:val="left" w:pos="5610"/>
        </w:tabs>
        <w:autoSpaceDE w:val="0"/>
        <w:autoSpaceDN w:val="0"/>
        <w:adjustRightInd w:val="0"/>
        <w:ind w:left="0" w:firstLine="0"/>
        <w:rPr>
          <w:spacing w:val="0"/>
          <w:szCs w:val="20"/>
        </w:rPr>
      </w:pPr>
      <w:r w:rsidRPr="00995557">
        <w:rPr>
          <w:spacing w:val="0"/>
          <w:szCs w:val="20"/>
        </w:rPr>
        <w:t>Expuso</w:t>
      </w:r>
      <w:r w:rsidR="001C630E" w:rsidRPr="00995557">
        <w:rPr>
          <w:spacing w:val="0"/>
          <w:szCs w:val="20"/>
        </w:rPr>
        <w:t xml:space="preserve"> que, en aplicación del Código Orgánico Penitenciario, Venezuela ha creado “el Programa Nacional de Formación Penitenciaria en la Universidad Nacional Experimental de la Seguridad”, dirigido a toda persona que aspire a trabajar como personal penitenciario y a quienes ya se encuentran prestando sus servicios en centros penitenciarios, tratándose de un programa universitario, a nivel de licenciatura y de técnico superior universitario, en el que se abordan materias relacionadas a los tratados y legislación internacional en materia penitenciaria, el uso progresivo y diferenciado de la fuerza, resolución alternativa de conflictos, manejo de crisis y emergencias, entre otros temas. </w:t>
      </w:r>
      <w:r w:rsidRPr="00995557">
        <w:rPr>
          <w:spacing w:val="0"/>
          <w:szCs w:val="20"/>
        </w:rPr>
        <w:t>Agregó</w:t>
      </w:r>
      <w:r w:rsidR="001C630E" w:rsidRPr="00995557">
        <w:rPr>
          <w:spacing w:val="0"/>
          <w:szCs w:val="20"/>
        </w:rPr>
        <w:t xml:space="preserve"> que la Universidad Nacional Experimental de la Seguridad también desarrolla procesos de formación dirigidos a todo el personal de los centros de privación de libertad del sistema penitenciario, impartiendo cursos de formación básica que incluye temas relacionados a los derechos humanos y el uso progresivo de la fuerza.</w:t>
      </w:r>
      <w:r w:rsidRPr="00995557">
        <w:rPr>
          <w:b/>
          <w:spacing w:val="0"/>
          <w:szCs w:val="20"/>
        </w:rPr>
        <w:t xml:space="preserve"> </w:t>
      </w:r>
      <w:r w:rsidR="00E06D55" w:rsidRPr="00995557">
        <w:rPr>
          <w:spacing w:val="0"/>
          <w:szCs w:val="20"/>
        </w:rPr>
        <w:t>Por último, a</w:t>
      </w:r>
      <w:r w:rsidRPr="00995557">
        <w:rPr>
          <w:rFonts w:cs="Arial"/>
          <w:spacing w:val="0"/>
          <w:szCs w:val="20"/>
        </w:rPr>
        <w:t>firmó</w:t>
      </w:r>
      <w:r w:rsidR="001C630E" w:rsidRPr="00995557">
        <w:rPr>
          <w:rFonts w:cs="Arial"/>
          <w:spacing w:val="0"/>
          <w:szCs w:val="20"/>
        </w:rPr>
        <w:t xml:space="preserve"> que ha cumplido a cabalidad las recomendaciones del Informe</w:t>
      </w:r>
      <w:r w:rsidR="000B0DA5" w:rsidRPr="00995557">
        <w:rPr>
          <w:rFonts w:cs="Arial"/>
          <w:spacing w:val="0"/>
          <w:szCs w:val="20"/>
        </w:rPr>
        <w:t xml:space="preserve"> de Fondo relacionadas con el carácter civil del personal de custodia de los centros de privación de libertad y su debida capacitación en materia penitenciaria.</w:t>
      </w:r>
    </w:p>
    <w:p w14:paraId="0DB9C849" w14:textId="77777777" w:rsidR="00034F75" w:rsidRPr="00995557" w:rsidRDefault="00034F75" w:rsidP="00AA627A">
      <w:pPr>
        <w:rPr>
          <w:lang w:eastAsia="es-ES" w:bidi="es-ES"/>
        </w:rPr>
      </w:pPr>
    </w:p>
    <w:p w14:paraId="2B45457A" w14:textId="412C6C5C" w:rsidR="00B53386" w:rsidRPr="00995557" w:rsidRDefault="00AE7B57"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cs="Arial"/>
        </w:rPr>
      </w:pPr>
      <w:r w:rsidRPr="00995557">
        <w:rPr>
          <w:rFonts w:eastAsia="Times New Roman"/>
          <w:lang w:eastAsia="es-ES" w:bidi="es-ES"/>
        </w:rPr>
        <w:t>L</w:t>
      </w:r>
      <w:r w:rsidR="00034F75" w:rsidRPr="00995557">
        <w:rPr>
          <w:rFonts w:eastAsia="Times New Roman"/>
          <w:lang w:eastAsia="es-ES" w:bidi="es-ES"/>
        </w:rPr>
        <w:t>a Corte valora la información presentada por el Estado</w:t>
      </w:r>
      <w:r w:rsidR="00D659EF" w:rsidRPr="00995557">
        <w:rPr>
          <w:rFonts w:eastAsia="Times New Roman"/>
          <w:lang w:eastAsia="es-ES" w:bidi="es-ES"/>
        </w:rPr>
        <w:t xml:space="preserve"> venezolano</w:t>
      </w:r>
      <w:r w:rsidR="00034F75" w:rsidRPr="00995557">
        <w:rPr>
          <w:rFonts w:eastAsia="Times New Roman"/>
          <w:lang w:eastAsia="es-ES" w:bidi="es-ES"/>
        </w:rPr>
        <w:t xml:space="preserve">, </w:t>
      </w:r>
      <w:r w:rsidR="004A4F6F" w:rsidRPr="00995557">
        <w:rPr>
          <w:rFonts w:eastAsia="Times New Roman"/>
          <w:lang w:eastAsia="es-ES" w:bidi="es-ES"/>
        </w:rPr>
        <w:t>el cual detalló</w:t>
      </w:r>
      <w:r w:rsidR="00D659EF" w:rsidRPr="00995557">
        <w:rPr>
          <w:rFonts w:eastAsia="Times New Roman"/>
          <w:lang w:eastAsia="es-ES" w:bidi="es-ES"/>
        </w:rPr>
        <w:t xml:space="preserve"> distin</w:t>
      </w:r>
      <w:r w:rsidR="00B53386" w:rsidRPr="00995557">
        <w:rPr>
          <w:rFonts w:eastAsia="Times New Roman"/>
          <w:lang w:eastAsia="es-ES" w:bidi="es-ES"/>
        </w:rPr>
        <w:t>t</w:t>
      </w:r>
      <w:r w:rsidR="00D659EF" w:rsidRPr="00995557">
        <w:rPr>
          <w:rFonts w:eastAsia="Times New Roman"/>
          <w:lang w:eastAsia="es-ES" w:bidi="es-ES"/>
        </w:rPr>
        <w:t xml:space="preserve">as acciones emprendidas, así como modificaciones normativas tendientes a evitar que hechos como los </w:t>
      </w:r>
      <w:r w:rsidR="00B53386" w:rsidRPr="00995557">
        <w:rPr>
          <w:rFonts w:eastAsia="Times New Roman"/>
          <w:lang w:eastAsia="es-ES" w:bidi="es-ES"/>
        </w:rPr>
        <w:t>del presente asunto</w:t>
      </w:r>
      <w:r w:rsidR="00D659EF" w:rsidRPr="00995557">
        <w:rPr>
          <w:rFonts w:eastAsia="Times New Roman"/>
          <w:lang w:eastAsia="es-ES" w:bidi="es-ES"/>
        </w:rPr>
        <w:t xml:space="preserve"> </w:t>
      </w:r>
      <w:r w:rsidR="00277669" w:rsidRPr="00995557">
        <w:rPr>
          <w:rFonts w:eastAsia="Times New Roman"/>
          <w:lang w:eastAsia="es-ES" w:bidi="es-ES"/>
        </w:rPr>
        <w:t>se</w:t>
      </w:r>
      <w:r w:rsidR="00D659EF" w:rsidRPr="00995557">
        <w:rPr>
          <w:rFonts w:eastAsia="Times New Roman"/>
          <w:lang w:eastAsia="es-ES" w:bidi="es-ES"/>
        </w:rPr>
        <w:t xml:space="preserve"> rep</w:t>
      </w:r>
      <w:r w:rsidR="00277669" w:rsidRPr="00995557">
        <w:rPr>
          <w:rFonts w:eastAsia="Times New Roman"/>
          <w:lang w:eastAsia="es-ES" w:bidi="es-ES"/>
        </w:rPr>
        <w:t>itan</w:t>
      </w:r>
      <w:r w:rsidR="00D659EF" w:rsidRPr="00995557">
        <w:rPr>
          <w:rFonts w:eastAsia="Times New Roman"/>
          <w:lang w:eastAsia="es-ES" w:bidi="es-ES"/>
        </w:rPr>
        <w:t>. De esa cuenta, se advierte la implementación de medidas relacionadas con los requerimientos efectuados por la Comisión y los representantes, entre l</w:t>
      </w:r>
      <w:r w:rsidR="00B53386" w:rsidRPr="00995557">
        <w:rPr>
          <w:rFonts w:eastAsia="Times New Roman"/>
          <w:lang w:eastAsia="es-ES" w:bidi="es-ES"/>
        </w:rPr>
        <w:t>a</w:t>
      </w:r>
      <w:r w:rsidR="00D659EF" w:rsidRPr="00995557">
        <w:rPr>
          <w:rFonts w:eastAsia="Times New Roman"/>
          <w:lang w:eastAsia="es-ES" w:bidi="es-ES"/>
        </w:rPr>
        <w:t>s que destacan l</w:t>
      </w:r>
      <w:r w:rsidR="00B53386" w:rsidRPr="00995557">
        <w:rPr>
          <w:rFonts w:eastAsia="Times New Roman"/>
          <w:lang w:eastAsia="es-ES" w:bidi="es-ES"/>
        </w:rPr>
        <w:t>a</w:t>
      </w:r>
      <w:r w:rsidR="00D659EF" w:rsidRPr="00995557">
        <w:rPr>
          <w:rFonts w:eastAsia="Times New Roman"/>
          <w:lang w:eastAsia="es-ES" w:bidi="es-ES"/>
        </w:rPr>
        <w:t>s siguientes: a) la derogación de la Ley de Régimen Penitenciario, incluido</w:t>
      </w:r>
      <w:r w:rsidR="00B53386" w:rsidRPr="00995557">
        <w:rPr>
          <w:rFonts w:eastAsia="Times New Roman"/>
          <w:lang w:eastAsia="es-ES" w:bidi="es-ES"/>
        </w:rPr>
        <w:t>, como lógica consecuencia,</w:t>
      </w:r>
      <w:r w:rsidR="00D659EF" w:rsidRPr="00995557">
        <w:rPr>
          <w:rFonts w:eastAsia="Times New Roman"/>
          <w:lang w:eastAsia="es-ES" w:bidi="es-ES"/>
        </w:rPr>
        <w:t xml:space="preserve"> su artículo 8, con motivo de la promulgación y vigencia del Código Orgánico Penitenciario en diciembre de 2015; b) la creación, en virtud del artículo 84 del citado Código Orgánico Penitenciario, de “un </w:t>
      </w:r>
      <w:r w:rsidR="00D659EF" w:rsidRPr="00995557">
        <w:t xml:space="preserve">cuerpo de seguridad y custodia </w:t>
      </w:r>
      <w:r w:rsidR="00D659EF" w:rsidRPr="00995557">
        <w:rPr>
          <w:rFonts w:cs="Arial"/>
        </w:rPr>
        <w:t>[…]</w:t>
      </w:r>
      <w:r w:rsidR="00D659EF" w:rsidRPr="00995557">
        <w:t xml:space="preserve"> con competencia en materia penitenciaria, que funcionará como un cuerpo armado, profesionalizado, uniformado y de naturaleza civil”, encargado del “resguardo del perímetro externo de los establecimientos penitenciarios, así como la vigilancia, custodia y seguridad interna de las personas privadas de libertad, familiares, visitantes y funcionarios públicos o funcionarias públicas durante su permanencia en los recintos del sistema penitenciario”; c) </w:t>
      </w:r>
      <w:r w:rsidR="00A171BA" w:rsidRPr="00995557">
        <w:t xml:space="preserve">la </w:t>
      </w:r>
      <w:r w:rsidR="00A171BA" w:rsidRPr="00995557">
        <w:lastRenderedPageBreak/>
        <w:t xml:space="preserve">inclusión, en el mencionado Código, de normativa relativa al uso de la fuerza, incluida la fuerza letal, por parte de los agentes encargados de la vigilancia, custodia y seguridad interna de los centros penitenciarios, y d) la implementación del Programa Nacional de Formación Penitenciaria </w:t>
      </w:r>
      <w:r w:rsidR="00277669" w:rsidRPr="00995557">
        <w:t>por</w:t>
      </w:r>
      <w:r w:rsidR="00A171BA" w:rsidRPr="00995557">
        <w:t xml:space="preserve"> la Universidad Nacional Experimental de la Seguridad, dirigido al personal que presta sus servicios en centros penitenciarios, en el que se incluyen “materias relacionadas a los tratados y legislación internacional en materia penitenciaria, el uso progresivo y diferenciado de la fuerza, resolución alternativa de conflictos, manejo de crisis y emergencias”</w:t>
      </w:r>
      <w:r w:rsidR="00B53386" w:rsidRPr="00995557">
        <w:rPr>
          <w:rStyle w:val="Refdenotaalpie"/>
        </w:rPr>
        <w:footnoteReference w:id="211"/>
      </w:r>
      <w:r w:rsidR="00A171BA" w:rsidRPr="00995557">
        <w:t>, entre otros temas.</w:t>
      </w:r>
    </w:p>
    <w:p w14:paraId="1B873290" w14:textId="77777777" w:rsidR="00B53386" w:rsidRPr="00995557" w:rsidRDefault="00B53386" w:rsidP="00AA627A">
      <w:pPr>
        <w:pStyle w:val="Prrafodelista"/>
        <w:tabs>
          <w:tab w:val="left" w:pos="567"/>
          <w:tab w:val="left" w:pos="709"/>
          <w:tab w:val="left" w:pos="1701"/>
          <w:tab w:val="left" w:pos="5610"/>
        </w:tabs>
        <w:autoSpaceDE w:val="0"/>
        <w:autoSpaceDN w:val="0"/>
        <w:adjustRightInd w:val="0"/>
        <w:ind w:left="0"/>
        <w:contextualSpacing w:val="0"/>
        <w:jc w:val="both"/>
        <w:rPr>
          <w:rFonts w:cs="Arial"/>
        </w:rPr>
      </w:pPr>
    </w:p>
    <w:p w14:paraId="2CAB7E9A" w14:textId="77777777" w:rsidR="00B84FDD" w:rsidRPr="00995557" w:rsidRDefault="00A171BA"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cs="Arial"/>
        </w:rPr>
      </w:pPr>
      <w:r w:rsidRPr="00995557">
        <w:t xml:space="preserve">Así, el Tribunal considera </w:t>
      </w:r>
      <w:r w:rsidR="00EC7AB4" w:rsidRPr="00995557">
        <w:t>que,</w:t>
      </w:r>
      <w:r w:rsidRPr="00995557">
        <w:t xml:space="preserve"> en orden a lo solicitado por la Comisión y los representantes,</w:t>
      </w:r>
      <w:r w:rsidR="00DF7CDC" w:rsidRPr="00995557">
        <w:t xml:space="preserve"> así como los alegatos y observaciones por estos formulados,</w:t>
      </w:r>
      <w:r w:rsidRPr="00995557">
        <w:t xml:space="preserve"> la información proveída por el Estado, referida a las acciones antes detalladas, denota que las acciones implementadas responden a los requerimientos efectuados en materia de garantías de no repetición.</w:t>
      </w:r>
      <w:r w:rsidR="00B84FDD" w:rsidRPr="00995557">
        <w:t xml:space="preserve"> Cabe señalar que </w:t>
      </w:r>
      <w:r w:rsidR="00B84FDD" w:rsidRPr="00995557">
        <w:rPr>
          <w:rFonts w:cs="Cambria"/>
        </w:rPr>
        <w:t xml:space="preserve">las observaciones de la </w:t>
      </w:r>
      <w:r w:rsidR="00174BE9" w:rsidRPr="00995557">
        <w:rPr>
          <w:rFonts w:cs="Cambria"/>
        </w:rPr>
        <w:t>Comisión</w:t>
      </w:r>
      <w:r w:rsidR="00B84FDD" w:rsidRPr="00995557">
        <w:rPr>
          <w:rFonts w:cs="Cambria"/>
        </w:rPr>
        <w:t xml:space="preserve"> en lo que respecta a las necesidades de capacitación del personal penitenciario no permiten advertir que, con relación al caso concreto, la información brindada por el Estado denote la necesidad de adoptar programas de capacitación más allá de los contenidos y acciones especificadas por el Estado.</w:t>
      </w:r>
    </w:p>
    <w:p w14:paraId="4A24ADF1" w14:textId="77777777" w:rsidR="00A171BA" w:rsidRPr="00995557" w:rsidRDefault="00A171BA" w:rsidP="00AA627A">
      <w:pPr>
        <w:pStyle w:val="Prrafodelista"/>
        <w:rPr>
          <w:rFonts w:cs="Arial"/>
        </w:rPr>
      </w:pPr>
    </w:p>
    <w:p w14:paraId="7C31C1C7" w14:textId="022D0553" w:rsidR="009C2D37" w:rsidRPr="00995557" w:rsidRDefault="00A171BA"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pPr>
      <w:r w:rsidRPr="00995557">
        <w:rPr>
          <w:rFonts w:cs="Arial"/>
        </w:rPr>
        <w:t>No obstant</w:t>
      </w:r>
      <w:r w:rsidR="00DF7CDC" w:rsidRPr="00995557">
        <w:rPr>
          <w:rFonts w:cs="Arial"/>
        </w:rPr>
        <w:t>e, la Corte advierte que el contenido del artículo 92 del Código Orgánico Penitenciario</w:t>
      </w:r>
      <w:r w:rsidR="00B316EF" w:rsidRPr="00995557">
        <w:rPr>
          <w:rFonts w:cs="Arial"/>
        </w:rPr>
        <w:t xml:space="preserve">, cuya regulación sustituiría al artículo 8 de la Ley de Régimen Penitenciario derogada, al prever excepciones a la prohibición de ingreso a centros penitenciarios por parte de autoridades militares portando armas de fuego, no delimita, con la especificidad requerida, </w:t>
      </w:r>
      <w:r w:rsidR="00B316EF" w:rsidRPr="00995557">
        <w:t>las causales que podrían determinar la autorización para ello</w:t>
      </w:r>
      <w:r w:rsidR="009C2D37" w:rsidRPr="00995557">
        <w:t>,</w:t>
      </w:r>
      <w:r w:rsidR="009C2D37" w:rsidRPr="00995557">
        <w:rPr>
          <w:lang w:eastAsia="es-MX"/>
        </w:rPr>
        <w:t xml:space="preserve"> sin prever la excepcionalidad de su actuación y sin garantizar la adecuada regulación, así como la subordinación y fiscalización, respecto de las autoridades civiles, de tal intervención</w:t>
      </w:r>
      <w:r w:rsidR="004A4F6F" w:rsidRPr="00995557">
        <w:t>. L</w:t>
      </w:r>
      <w:r w:rsidR="00B316EF" w:rsidRPr="00995557">
        <w:t>o anterior, como se consideró al analizar el texto del citado artículo 8 de la Ley de Régimen Penitenciario</w:t>
      </w:r>
      <w:r w:rsidR="00277669" w:rsidRPr="00995557">
        <w:t xml:space="preserve"> </w:t>
      </w:r>
      <w:r w:rsidR="00277669" w:rsidRPr="00995557">
        <w:rPr>
          <w:rFonts w:cs="Arial"/>
        </w:rPr>
        <w:t>(</w:t>
      </w:r>
      <w:r w:rsidR="00277669" w:rsidRPr="00995557">
        <w:rPr>
          <w:rFonts w:cs="Arial"/>
          <w:i/>
        </w:rPr>
        <w:t>supra</w:t>
      </w:r>
      <w:r w:rsidR="002B2916" w:rsidRPr="00995557">
        <w:rPr>
          <w:rFonts w:cs="Arial"/>
        </w:rPr>
        <w:t xml:space="preserve"> párr. </w:t>
      </w:r>
      <w:r w:rsidR="009C2D37" w:rsidRPr="00995557">
        <w:rPr>
          <w:rFonts w:cs="Arial"/>
        </w:rPr>
        <w:t>1</w:t>
      </w:r>
      <w:r w:rsidR="009D6E27" w:rsidRPr="00995557">
        <w:rPr>
          <w:rFonts w:cs="Arial"/>
        </w:rPr>
        <w:t>08</w:t>
      </w:r>
      <w:r w:rsidR="00277669" w:rsidRPr="00995557">
        <w:rPr>
          <w:rFonts w:cs="Arial"/>
        </w:rPr>
        <w:t>)</w:t>
      </w:r>
      <w:r w:rsidR="00B316EF" w:rsidRPr="00995557">
        <w:t xml:space="preserve">, permitiría la </w:t>
      </w:r>
      <w:r w:rsidR="00174BE9" w:rsidRPr="00995557">
        <w:t>discrecionalidad</w:t>
      </w:r>
      <w:r w:rsidR="00B316EF" w:rsidRPr="00995557">
        <w:t xml:space="preserve"> en el requerimiento</w:t>
      </w:r>
      <w:r w:rsidR="009C2D37" w:rsidRPr="00995557">
        <w:t>.</w:t>
      </w:r>
    </w:p>
    <w:p w14:paraId="1BE3D739" w14:textId="77777777" w:rsidR="00B316EF" w:rsidRPr="00995557" w:rsidRDefault="00B316EF" w:rsidP="00AA627A">
      <w:pPr>
        <w:pStyle w:val="Prrafodelista"/>
        <w:rPr>
          <w:rFonts w:cs="Arial"/>
        </w:rPr>
      </w:pPr>
    </w:p>
    <w:p w14:paraId="0EC456CA" w14:textId="77777777" w:rsidR="00DF7CDC" w:rsidRPr="00995557" w:rsidRDefault="006E43AE"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cs="Arial"/>
        </w:rPr>
      </w:pPr>
      <w:r w:rsidRPr="00995557">
        <w:rPr>
          <w:lang w:val="es-ES" w:eastAsia="es-MX"/>
        </w:rPr>
        <w:t xml:space="preserve">Por consiguiente, </w:t>
      </w:r>
      <w:r w:rsidR="00DF7CDC" w:rsidRPr="00995557">
        <w:rPr>
          <w:lang w:val="es-ES" w:eastAsia="es-MX"/>
        </w:rPr>
        <w:t xml:space="preserve">la Corte </w:t>
      </w:r>
      <w:r w:rsidRPr="00995557">
        <w:rPr>
          <w:lang w:val="es-ES" w:eastAsia="es-MX"/>
        </w:rPr>
        <w:t>determina que</w:t>
      </w:r>
      <w:r w:rsidR="00DF7CDC" w:rsidRPr="00995557">
        <w:rPr>
          <w:lang w:val="es-ES" w:eastAsia="es-MX"/>
        </w:rPr>
        <w:t xml:space="preserve"> el Estado </w:t>
      </w:r>
      <w:r w:rsidRPr="00995557">
        <w:rPr>
          <w:lang w:val="es-ES" w:eastAsia="es-MX"/>
        </w:rPr>
        <w:t xml:space="preserve">venezolano, </w:t>
      </w:r>
      <w:r w:rsidR="00DF7CDC" w:rsidRPr="00995557">
        <w:rPr>
          <w:lang w:val="es-ES" w:eastAsia="es-MX"/>
        </w:rPr>
        <w:t xml:space="preserve">en un plazo razonable, </w:t>
      </w:r>
      <w:r w:rsidRPr="00995557">
        <w:rPr>
          <w:lang w:val="es-ES" w:eastAsia="es-MX"/>
        </w:rPr>
        <w:t xml:space="preserve">deberá </w:t>
      </w:r>
      <w:r w:rsidR="00DF7CDC" w:rsidRPr="00995557">
        <w:rPr>
          <w:lang w:val="es-ES" w:eastAsia="es-MX"/>
        </w:rPr>
        <w:t xml:space="preserve">adecuar </w:t>
      </w:r>
      <w:r w:rsidR="00703A2B" w:rsidRPr="00995557">
        <w:rPr>
          <w:lang w:val="es-ES" w:eastAsia="es-MX"/>
        </w:rPr>
        <w:t>la normativa interna</w:t>
      </w:r>
      <w:r w:rsidR="00CA361E" w:rsidRPr="00995557">
        <w:rPr>
          <w:lang w:val="es-ES" w:eastAsia="es-MX"/>
        </w:rPr>
        <w:t xml:space="preserve">, </w:t>
      </w:r>
      <w:r w:rsidR="00DF7CDC" w:rsidRPr="00995557">
        <w:rPr>
          <w:lang w:val="es-ES" w:eastAsia="es-MX"/>
        </w:rPr>
        <w:t xml:space="preserve">a lo </w:t>
      </w:r>
      <w:r w:rsidRPr="00995557">
        <w:rPr>
          <w:lang w:val="es-ES" w:eastAsia="es-MX"/>
        </w:rPr>
        <w:t>considerado</w:t>
      </w:r>
      <w:r w:rsidR="00DF7CDC" w:rsidRPr="00995557">
        <w:rPr>
          <w:lang w:val="es-ES" w:eastAsia="es-MX"/>
        </w:rPr>
        <w:t xml:space="preserve"> en los párrafos </w:t>
      </w:r>
      <w:r w:rsidR="0002319B" w:rsidRPr="00995557">
        <w:rPr>
          <w:lang w:val="es-ES" w:eastAsia="es-MX"/>
        </w:rPr>
        <w:t>107</w:t>
      </w:r>
      <w:r w:rsidR="00DF7CDC" w:rsidRPr="00995557">
        <w:rPr>
          <w:lang w:val="es-ES" w:eastAsia="es-MX"/>
        </w:rPr>
        <w:t xml:space="preserve"> y </w:t>
      </w:r>
      <w:r w:rsidR="009C2D37" w:rsidRPr="00995557">
        <w:rPr>
          <w:lang w:val="es-ES" w:eastAsia="es-MX"/>
        </w:rPr>
        <w:t>10</w:t>
      </w:r>
      <w:r w:rsidR="0002319B" w:rsidRPr="00995557">
        <w:rPr>
          <w:lang w:val="es-ES" w:eastAsia="es-MX"/>
        </w:rPr>
        <w:t>8</w:t>
      </w:r>
      <w:r w:rsidR="00DF7CDC" w:rsidRPr="00995557">
        <w:rPr>
          <w:lang w:val="es-ES" w:eastAsia="es-MX"/>
        </w:rPr>
        <w:t xml:space="preserve"> de la presente Sentencia. Sin perjuicio de ello,</w:t>
      </w:r>
      <w:r w:rsidRPr="00995557">
        <w:rPr>
          <w:lang w:val="es-ES" w:eastAsia="es-MX"/>
        </w:rPr>
        <w:t xml:space="preserve"> el Tribunal reitera que</w:t>
      </w:r>
      <w:r w:rsidR="00DF7CDC" w:rsidRPr="00995557">
        <w:rPr>
          <w:lang w:val="es-ES" w:eastAsia="es-MX"/>
        </w:rPr>
        <w:t xml:space="preserve"> </w:t>
      </w:r>
      <w:r w:rsidRPr="00995557">
        <w:rPr>
          <w:lang w:val="es-ES" w:eastAsia="es-MX"/>
        </w:rPr>
        <w:t>l</w:t>
      </w:r>
      <w:r w:rsidRPr="00995557">
        <w:t xml:space="preserve">os jueces y órganos vinculados a la administración de justicia en todos los niveles están en la obligación de ejercer </w:t>
      </w:r>
      <w:r w:rsidRPr="00995557">
        <w:rPr>
          <w:i/>
        </w:rPr>
        <w:t>ex officio</w:t>
      </w:r>
      <w:r w:rsidRPr="00995557">
        <w:t xml:space="preserve"> un control de convencionalidad entre las normas internas y la Convención Americana, evidentemente en el marco de sus respectivas competencias y de las regulaciones procesales correspondientes; en esta tarea, las autoridades internas deben tener en cuenta no solamente el tratado, sino también la interpretación que del mismo ha hecho la Corte Interamericana, intérprete última de la Convención Americana</w:t>
      </w:r>
      <w:r w:rsidRPr="00995557">
        <w:rPr>
          <w:rStyle w:val="Refdenotaalpie"/>
        </w:rPr>
        <w:footnoteReference w:id="212"/>
      </w:r>
      <w:r w:rsidRPr="00995557">
        <w:t xml:space="preserve">. De esa cuenta, </w:t>
      </w:r>
      <w:r w:rsidRPr="00995557">
        <w:rPr>
          <w:lang w:val="es-ES" w:eastAsia="es-MX"/>
        </w:rPr>
        <w:t xml:space="preserve">con </w:t>
      </w:r>
      <w:r w:rsidR="00DF7CDC" w:rsidRPr="00995557">
        <w:rPr>
          <w:lang w:val="es-ES" w:eastAsia="es-MX"/>
        </w:rPr>
        <w:t>independ</w:t>
      </w:r>
      <w:r w:rsidRPr="00995557">
        <w:rPr>
          <w:lang w:val="es-ES" w:eastAsia="es-MX"/>
        </w:rPr>
        <w:t>encia</w:t>
      </w:r>
      <w:r w:rsidR="00DF7CDC" w:rsidRPr="00995557">
        <w:rPr>
          <w:lang w:val="es-ES" w:eastAsia="es-MX"/>
        </w:rPr>
        <w:t xml:space="preserve"> de las reformas legales que el Estado deba adoptar</w:t>
      </w:r>
      <w:r w:rsidRPr="00995557">
        <w:rPr>
          <w:lang w:val="es-ES" w:eastAsia="es-MX"/>
        </w:rPr>
        <w:t xml:space="preserve">, deviene imperativo que las autoridades </w:t>
      </w:r>
      <w:r w:rsidR="00DF7CDC" w:rsidRPr="00995557">
        <w:rPr>
          <w:lang w:val="es-ES" w:eastAsia="es-MX"/>
        </w:rPr>
        <w:t xml:space="preserve">ajusten </w:t>
      </w:r>
      <w:r w:rsidRPr="00995557">
        <w:rPr>
          <w:lang w:val="es-ES" w:eastAsia="es-MX"/>
        </w:rPr>
        <w:lastRenderedPageBreak/>
        <w:t xml:space="preserve">su interpretación normativa </w:t>
      </w:r>
      <w:r w:rsidR="00DF7CDC" w:rsidRPr="00995557">
        <w:rPr>
          <w:lang w:val="es-ES" w:eastAsia="es-MX"/>
        </w:rPr>
        <w:t xml:space="preserve">a los principios establecidos en la jurisprudencia de este Tribunal, los </w:t>
      </w:r>
      <w:r w:rsidRPr="00995557">
        <w:rPr>
          <w:lang w:val="es-ES" w:eastAsia="es-MX"/>
        </w:rPr>
        <w:t xml:space="preserve">que </w:t>
      </w:r>
      <w:r w:rsidR="00DF7CDC" w:rsidRPr="00995557">
        <w:rPr>
          <w:lang w:val="es-ES" w:eastAsia="es-MX"/>
        </w:rPr>
        <w:t xml:space="preserve">han sido reiterados en </w:t>
      </w:r>
      <w:r w:rsidRPr="00995557">
        <w:rPr>
          <w:lang w:val="es-ES" w:eastAsia="es-MX"/>
        </w:rPr>
        <w:t>la</w:t>
      </w:r>
      <w:r w:rsidR="00DF7CDC" w:rsidRPr="00995557">
        <w:rPr>
          <w:lang w:val="es-ES" w:eastAsia="es-MX"/>
        </w:rPr>
        <w:t xml:space="preserve"> presente </w:t>
      </w:r>
      <w:r w:rsidRPr="00995557">
        <w:rPr>
          <w:lang w:val="es-ES" w:eastAsia="es-MX"/>
        </w:rPr>
        <w:t>Sentencia</w:t>
      </w:r>
      <w:r w:rsidR="00DF7CDC" w:rsidRPr="00995557">
        <w:rPr>
          <w:lang w:val="es-ES" w:eastAsia="es-MX"/>
        </w:rPr>
        <w:t>.</w:t>
      </w:r>
    </w:p>
    <w:p w14:paraId="1D4235E3" w14:textId="77777777" w:rsidR="00FA17D8" w:rsidRPr="00995557" w:rsidRDefault="00FA17D8" w:rsidP="00AA627A">
      <w:pPr>
        <w:pStyle w:val="PrrafodeSentencia"/>
        <w:numPr>
          <w:ilvl w:val="0"/>
          <w:numId w:val="0"/>
        </w:numPr>
        <w:rPr>
          <w:spacing w:val="0"/>
          <w:szCs w:val="20"/>
        </w:rPr>
      </w:pPr>
    </w:p>
    <w:p w14:paraId="101A0947" w14:textId="77777777" w:rsidR="00FA17D8" w:rsidRPr="00995557" w:rsidRDefault="00FA17D8" w:rsidP="00AA627A">
      <w:pPr>
        <w:pStyle w:val="Ttulo2"/>
        <w:numPr>
          <w:ilvl w:val="0"/>
          <w:numId w:val="19"/>
        </w:numPr>
        <w:tabs>
          <w:tab w:val="clear" w:pos="1134"/>
        </w:tabs>
        <w:spacing w:before="0" w:after="0"/>
        <w:ind w:left="993" w:hanging="426"/>
        <w:rPr>
          <w:lang w:eastAsia="es-ES"/>
        </w:rPr>
      </w:pPr>
      <w:bookmarkStart w:id="178" w:name="_Toc53741469"/>
      <w:bookmarkStart w:id="179" w:name="_Toc58399137"/>
      <w:r w:rsidRPr="00995557">
        <w:t>Otras medidas solicitadas</w:t>
      </w:r>
      <w:bookmarkEnd w:id="178"/>
      <w:bookmarkEnd w:id="179"/>
    </w:p>
    <w:p w14:paraId="51E2AB07" w14:textId="77777777" w:rsidR="006E43AE" w:rsidRPr="00995557" w:rsidRDefault="006E43AE" w:rsidP="00AA627A">
      <w:pPr>
        <w:tabs>
          <w:tab w:val="left" w:pos="567"/>
          <w:tab w:val="left" w:pos="709"/>
          <w:tab w:val="left" w:pos="1701"/>
          <w:tab w:val="left" w:pos="5610"/>
        </w:tabs>
        <w:autoSpaceDE w:val="0"/>
        <w:autoSpaceDN w:val="0"/>
        <w:adjustRightInd w:val="0"/>
        <w:jc w:val="both"/>
        <w:rPr>
          <w:rFonts w:cs="Arial"/>
        </w:rPr>
      </w:pPr>
    </w:p>
    <w:p w14:paraId="7FC81B42" w14:textId="55225CB7" w:rsidR="00FA17D8" w:rsidRPr="00995557" w:rsidRDefault="00CA66DB"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cs="Arial"/>
        </w:rPr>
      </w:pPr>
      <w:r w:rsidRPr="00995557">
        <w:rPr>
          <w:rFonts w:eastAsia="Times New Roman"/>
          <w:lang w:eastAsia="es-ES" w:bidi="es-ES"/>
        </w:rPr>
        <w:t xml:space="preserve">Los </w:t>
      </w:r>
      <w:r w:rsidRPr="00995557">
        <w:rPr>
          <w:rFonts w:eastAsia="Times New Roman"/>
          <w:b/>
          <w:i/>
          <w:lang w:eastAsia="es-ES" w:bidi="es-ES"/>
        </w:rPr>
        <w:t xml:space="preserve">representantes </w:t>
      </w:r>
      <w:r w:rsidRPr="00995557">
        <w:rPr>
          <w:rFonts w:eastAsia="Times New Roman"/>
          <w:lang w:eastAsia="es-ES" w:bidi="es-ES"/>
        </w:rPr>
        <w:t xml:space="preserve">solicitaron </w:t>
      </w:r>
      <w:r w:rsidR="00FA17D8" w:rsidRPr="00995557">
        <w:rPr>
          <w:rFonts w:eastAsia="Times New Roman"/>
          <w:lang w:eastAsia="es-ES" w:bidi="es-ES"/>
        </w:rPr>
        <w:t xml:space="preserve">medidas adicionales referidas a los aspectos siguientes: a) </w:t>
      </w:r>
      <w:r w:rsidR="00FA17D8" w:rsidRPr="00995557">
        <w:t>c</w:t>
      </w:r>
      <w:r w:rsidR="00FA17D8" w:rsidRPr="00995557">
        <w:rPr>
          <w:iCs/>
        </w:rPr>
        <w:t xml:space="preserve">rear el “Comité Nacional para la prevención del uso de la fuerza y de la tortura en el entorno carcelario”, integrado por representantes del Ministerio de Justicia, las Fuerzas Militares o policiales con competencia en la materia, la Defensoría del Pueblo, la Fiscalía General de la Nación, el Ministerio del Interior y organizaciones de la sociedad civil que trabajen temas de prisiones, situación carcelaria y tortura; dicho Comité tendría funciones para actuar de manera inmediata a fin de evitar actos desmedidos del uso de la fuerza, supervisar la formación oficial que se imparta al personal que trabaje en centros de privación de libertad e impulsar las medidas ordenadas por la Corte, tanto en el presente caso como en el </w:t>
      </w:r>
      <w:r w:rsidR="00DA631C" w:rsidRPr="00995557">
        <w:rPr>
          <w:iCs/>
        </w:rPr>
        <w:t>c</w:t>
      </w:r>
      <w:r w:rsidR="00FA17D8" w:rsidRPr="00995557">
        <w:rPr>
          <w:iCs/>
        </w:rPr>
        <w:t>aso</w:t>
      </w:r>
      <w:r w:rsidR="00FA17D8" w:rsidRPr="00995557">
        <w:rPr>
          <w:i/>
          <w:iCs/>
        </w:rPr>
        <w:t xml:space="preserve"> Montero Aranguren y otros (Retén de Catia) Vs. Venezuela</w:t>
      </w:r>
      <w:r w:rsidR="00FA17D8" w:rsidRPr="00995557">
        <w:rPr>
          <w:iCs/>
        </w:rPr>
        <w:t>; asimismo, debería elaborarse el “protocolo de actuación del Comité para el uso de la fuerza y la prevención de la comisión de actos de tortura en el entorno carcelario”; b) integrar a los representantes de las víctimas al proceso de supervisión de sentencias sobre garantías de no repetición, a fin de incidir en la imp</w:t>
      </w:r>
      <w:r w:rsidR="00B84FDD" w:rsidRPr="00995557">
        <w:rPr>
          <w:iCs/>
        </w:rPr>
        <w:t>lementación de dichas medidas;</w:t>
      </w:r>
      <w:r w:rsidR="00FA17D8" w:rsidRPr="00995557">
        <w:rPr>
          <w:iCs/>
        </w:rPr>
        <w:t xml:space="preserve"> c) insistir en el cumplimiento de las medidas ordenadas en el </w:t>
      </w:r>
      <w:r w:rsidR="00DA631C" w:rsidRPr="00995557">
        <w:rPr>
          <w:iCs/>
        </w:rPr>
        <w:t>c</w:t>
      </w:r>
      <w:r w:rsidR="00FA17D8" w:rsidRPr="00995557">
        <w:rPr>
          <w:iCs/>
        </w:rPr>
        <w:t>aso</w:t>
      </w:r>
      <w:r w:rsidR="00FA17D8" w:rsidRPr="00995557">
        <w:rPr>
          <w:i/>
          <w:iCs/>
        </w:rPr>
        <w:t xml:space="preserve"> Montero Aranguren y otros (Retén de Catia) Vs. Venezuela</w:t>
      </w:r>
      <w:r w:rsidR="00FA17D8" w:rsidRPr="00995557">
        <w:rPr>
          <w:iCs/>
        </w:rPr>
        <w:t>, específicamente la referida a la necesidad de adecuar las condiciones carcelari</w:t>
      </w:r>
      <w:r w:rsidR="00B84FDD" w:rsidRPr="00995557">
        <w:rPr>
          <w:iCs/>
        </w:rPr>
        <w:t xml:space="preserve">as a estándares internacionales, y d) </w:t>
      </w:r>
      <w:r w:rsidR="00B84FDD" w:rsidRPr="00995557">
        <w:rPr>
          <w:rFonts w:cs="TimesNewRomanPSMT"/>
        </w:rPr>
        <w:t xml:space="preserve">dado que no todos los familiares de las víctimas fallecidas se encuentran identificados o contactados, se hace necesario </w:t>
      </w:r>
      <w:r w:rsidR="00B84FDD" w:rsidRPr="00995557">
        <w:rPr>
          <w:rFonts w:cs="TimesNewRomanPS-BoldMT"/>
          <w:bCs/>
        </w:rPr>
        <w:t>que se establezca un mecanismo para ubicar a otros familiares de las víctimas, durante el procedimiento de supervisión de cumplimiento de la sentencia, a fin de garantizar sus derechos.</w:t>
      </w:r>
      <w:r w:rsidR="00B84FDD" w:rsidRPr="00995557">
        <w:rPr>
          <w:b/>
        </w:rPr>
        <w:t xml:space="preserve"> </w:t>
      </w:r>
      <w:r w:rsidR="00FA17D8" w:rsidRPr="00995557">
        <w:t xml:space="preserve">El </w:t>
      </w:r>
      <w:r w:rsidR="00FA17D8" w:rsidRPr="00995557">
        <w:rPr>
          <w:b/>
          <w:i/>
        </w:rPr>
        <w:t>Estado</w:t>
      </w:r>
      <w:r w:rsidR="00FA17D8" w:rsidRPr="00995557">
        <w:t xml:space="preserve"> y la </w:t>
      </w:r>
      <w:r w:rsidR="00FA17D8" w:rsidRPr="00995557">
        <w:rPr>
          <w:b/>
          <w:i/>
        </w:rPr>
        <w:t>Comisión</w:t>
      </w:r>
      <w:r w:rsidR="00E75ADC" w:rsidRPr="00995557">
        <w:t xml:space="preserve"> no se pronunciar</w:t>
      </w:r>
      <w:r w:rsidR="00FA17D8" w:rsidRPr="00995557">
        <w:t>on al respecto.</w:t>
      </w:r>
    </w:p>
    <w:p w14:paraId="3ACAAC83" w14:textId="77777777" w:rsidR="00FA17D8" w:rsidRPr="00995557" w:rsidRDefault="00FA17D8" w:rsidP="00AA627A">
      <w:pPr>
        <w:pStyle w:val="Prrafodelista"/>
        <w:tabs>
          <w:tab w:val="left" w:pos="567"/>
          <w:tab w:val="left" w:pos="709"/>
          <w:tab w:val="left" w:pos="1701"/>
          <w:tab w:val="left" w:pos="5610"/>
        </w:tabs>
        <w:autoSpaceDE w:val="0"/>
        <w:autoSpaceDN w:val="0"/>
        <w:adjustRightInd w:val="0"/>
        <w:ind w:left="0"/>
        <w:contextualSpacing w:val="0"/>
        <w:jc w:val="both"/>
      </w:pPr>
    </w:p>
    <w:p w14:paraId="0C48E90C" w14:textId="77777777" w:rsidR="00F35BF5" w:rsidRPr="00995557" w:rsidRDefault="005B2ACA"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cs="Arial"/>
        </w:rPr>
      </w:pPr>
      <w:r w:rsidRPr="00995557">
        <w:rPr>
          <w:rFonts w:eastAsia="Times New Roman"/>
          <w:lang w:eastAsia="es-ES" w:bidi="es-ES"/>
        </w:rPr>
        <w:t>En cuanto a la primera y tercera medidas solicitadas, l</w:t>
      </w:r>
      <w:r w:rsidR="00CA66DB" w:rsidRPr="00995557">
        <w:rPr>
          <w:rFonts w:eastAsia="Times New Roman"/>
          <w:lang w:eastAsia="es-ES" w:bidi="es-ES"/>
        </w:rPr>
        <w:t xml:space="preserve">a Corte </w:t>
      </w:r>
      <w:r w:rsidR="00F35BF5" w:rsidRPr="00995557">
        <w:rPr>
          <w:rFonts w:eastAsia="Times New Roman"/>
          <w:lang w:eastAsia="es-ES" w:bidi="es-ES"/>
        </w:rPr>
        <w:t>advierte</w:t>
      </w:r>
      <w:r w:rsidR="00CA66DB" w:rsidRPr="00995557">
        <w:rPr>
          <w:rFonts w:eastAsia="Times New Roman"/>
          <w:lang w:eastAsia="es-ES" w:bidi="es-ES"/>
        </w:rPr>
        <w:t xml:space="preserve"> que no </w:t>
      </w:r>
      <w:r w:rsidR="00F35BF5" w:rsidRPr="00995557">
        <w:t>guardan un nexo causal con las violaciones determinadas en el presente caso, por lo que no considera necesario ordenarlas</w:t>
      </w:r>
      <w:r w:rsidR="00843EF2" w:rsidRPr="00995557">
        <w:t>; lo anterior, en vista de que no ha sido establecido que hayan acaecido actos de tortura y porque el presente caso no versa sobre las circunstancias y condiciones carcelarias</w:t>
      </w:r>
      <w:r w:rsidR="00F35BF5" w:rsidRPr="00995557">
        <w:t xml:space="preserve">. Respecto de la </w:t>
      </w:r>
      <w:r w:rsidR="00CF6E85" w:rsidRPr="00995557">
        <w:t xml:space="preserve">solicitud de integrar a los representantes </w:t>
      </w:r>
      <w:r w:rsidR="00F35BF5" w:rsidRPr="00995557">
        <w:t xml:space="preserve">al proceso de supervisión de sentencias, </w:t>
      </w:r>
      <w:r w:rsidR="00CF6E85" w:rsidRPr="00995557">
        <w:t>el Tribunal recuerda que el artículo 69 del Reglamento recoge la regulación aplicable en esta materia, en la que se precisa la intervención que se reconoce a las víctimas o sus representantes en dicha etapa, por lo que tampoco se estima pertinente disponer medida alguna en esta materia.</w:t>
      </w:r>
      <w:r w:rsidR="00B84FDD" w:rsidRPr="00995557">
        <w:t xml:space="preserve"> </w:t>
      </w:r>
      <w:r w:rsidR="00843EF2" w:rsidRPr="00995557">
        <w:t>La Corte tampoco accede a la última medida referida, dado que las víctimas del presente caso han sido debidamente determinadas y las reparaciones se encuentran especificadas en cuanto a su naturaleza y beneficiarios, por lo que deviene innecesario el procedimiento pretendido.</w:t>
      </w:r>
    </w:p>
    <w:p w14:paraId="64212176" w14:textId="77777777" w:rsidR="00CF6E85" w:rsidRPr="00995557" w:rsidRDefault="00CF6E85" w:rsidP="00AA627A">
      <w:pPr>
        <w:pStyle w:val="PrrafodeSentencia"/>
        <w:numPr>
          <w:ilvl w:val="0"/>
          <w:numId w:val="0"/>
        </w:numPr>
        <w:rPr>
          <w:spacing w:val="0"/>
          <w:szCs w:val="20"/>
        </w:rPr>
      </w:pPr>
    </w:p>
    <w:p w14:paraId="660D9D3B" w14:textId="77777777" w:rsidR="00CF6E85" w:rsidRPr="00995557" w:rsidRDefault="00CF6E85" w:rsidP="00AA627A">
      <w:pPr>
        <w:pStyle w:val="Ttulo2"/>
        <w:numPr>
          <w:ilvl w:val="0"/>
          <w:numId w:val="19"/>
        </w:numPr>
        <w:tabs>
          <w:tab w:val="clear" w:pos="1134"/>
        </w:tabs>
        <w:spacing w:before="0" w:after="0"/>
        <w:ind w:left="993" w:hanging="426"/>
        <w:rPr>
          <w:lang w:eastAsia="es-ES"/>
        </w:rPr>
      </w:pPr>
      <w:bookmarkStart w:id="180" w:name="_Toc53741470"/>
      <w:bookmarkStart w:id="181" w:name="_Toc58399138"/>
      <w:r w:rsidRPr="00995557">
        <w:t>Indemnizaciones compensatorias</w:t>
      </w:r>
      <w:bookmarkEnd w:id="180"/>
      <w:bookmarkEnd w:id="181"/>
    </w:p>
    <w:p w14:paraId="3355D9D2" w14:textId="77777777" w:rsidR="00154018" w:rsidRPr="00995557" w:rsidRDefault="00154018" w:rsidP="00AA627A">
      <w:pPr>
        <w:rPr>
          <w:lang w:eastAsia="es-MX"/>
        </w:rPr>
      </w:pPr>
    </w:p>
    <w:p w14:paraId="7F920AA7" w14:textId="77777777" w:rsidR="00CF6E85" w:rsidRPr="00995557" w:rsidRDefault="00154018" w:rsidP="00AA627A">
      <w:pPr>
        <w:pStyle w:val="PrrafodeSentencia"/>
        <w:widowControl w:val="0"/>
        <w:numPr>
          <w:ilvl w:val="0"/>
          <w:numId w:val="0"/>
        </w:numPr>
        <w:tabs>
          <w:tab w:val="left" w:pos="993"/>
        </w:tabs>
        <w:ind w:left="851"/>
        <w:rPr>
          <w:i/>
          <w:spacing w:val="0"/>
          <w:szCs w:val="20"/>
        </w:rPr>
      </w:pPr>
      <w:r w:rsidRPr="00995557">
        <w:rPr>
          <w:i/>
          <w:snapToGrid w:val="0"/>
          <w:spacing w:val="0"/>
          <w:szCs w:val="20"/>
          <w:lang w:eastAsia="es-ES"/>
        </w:rPr>
        <w:t xml:space="preserve">G.1. </w:t>
      </w:r>
      <w:r w:rsidR="000E0491" w:rsidRPr="00995557">
        <w:rPr>
          <w:i/>
          <w:snapToGrid w:val="0"/>
          <w:spacing w:val="0"/>
          <w:szCs w:val="20"/>
          <w:lang w:eastAsia="es-ES"/>
        </w:rPr>
        <w:t>Daño material</w:t>
      </w:r>
    </w:p>
    <w:p w14:paraId="20AF9FCE" w14:textId="77777777" w:rsidR="005B2ACA" w:rsidRPr="00995557" w:rsidRDefault="005B2ACA" w:rsidP="00AA627A">
      <w:pPr>
        <w:pStyle w:val="Prrafodelista"/>
        <w:rPr>
          <w:rFonts w:eastAsia="Times New Roman"/>
          <w:lang w:eastAsia="es-ES" w:bidi="es-ES"/>
        </w:rPr>
      </w:pPr>
    </w:p>
    <w:p w14:paraId="0C92747C" w14:textId="62210422" w:rsidR="000E0491" w:rsidRPr="00995557" w:rsidRDefault="000E0491"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cs="Arial"/>
        </w:rPr>
      </w:pPr>
      <w:r w:rsidRPr="00995557">
        <w:t xml:space="preserve">La </w:t>
      </w:r>
      <w:r w:rsidRPr="00995557">
        <w:rPr>
          <w:b/>
          <w:i/>
        </w:rPr>
        <w:t>Comisión</w:t>
      </w:r>
      <w:r w:rsidRPr="00995557">
        <w:t xml:space="preserve"> solicitó “[r]eparar integralmente las violaciones de derechos humanos […]</w:t>
      </w:r>
      <w:r w:rsidR="008269F5" w:rsidRPr="00995557">
        <w:t xml:space="preserve"> </w:t>
      </w:r>
      <w:r w:rsidRPr="00995557">
        <w:t xml:space="preserve">en el aspecto material </w:t>
      </w:r>
      <w:r w:rsidR="008269F5" w:rsidRPr="00995557">
        <w:t>[…]</w:t>
      </w:r>
      <w:r w:rsidRPr="00995557">
        <w:t>”.</w:t>
      </w:r>
    </w:p>
    <w:p w14:paraId="698B79EF" w14:textId="77777777" w:rsidR="000E0491" w:rsidRPr="00995557" w:rsidRDefault="000E0491" w:rsidP="00AA627A">
      <w:pPr>
        <w:pStyle w:val="Prrafodelista"/>
        <w:tabs>
          <w:tab w:val="left" w:pos="567"/>
          <w:tab w:val="left" w:pos="709"/>
          <w:tab w:val="left" w:pos="1701"/>
          <w:tab w:val="left" w:pos="5610"/>
        </w:tabs>
        <w:autoSpaceDE w:val="0"/>
        <w:autoSpaceDN w:val="0"/>
        <w:adjustRightInd w:val="0"/>
        <w:ind w:left="0"/>
        <w:contextualSpacing w:val="0"/>
        <w:jc w:val="both"/>
        <w:rPr>
          <w:rFonts w:cs="Arial"/>
        </w:rPr>
      </w:pPr>
    </w:p>
    <w:p w14:paraId="26D1AB34" w14:textId="5C1AD191" w:rsidR="008506F5" w:rsidRPr="00995557" w:rsidRDefault="000E0491" w:rsidP="00AA627A">
      <w:pPr>
        <w:pStyle w:val="Prrafodelista"/>
        <w:numPr>
          <w:ilvl w:val="0"/>
          <w:numId w:val="2"/>
        </w:numPr>
        <w:tabs>
          <w:tab w:val="left" w:pos="567"/>
          <w:tab w:val="left" w:pos="1701"/>
          <w:tab w:val="left" w:pos="5610"/>
        </w:tabs>
        <w:autoSpaceDE w:val="0"/>
        <w:autoSpaceDN w:val="0"/>
        <w:adjustRightInd w:val="0"/>
        <w:ind w:left="0" w:firstLine="0"/>
        <w:contextualSpacing w:val="0"/>
        <w:jc w:val="both"/>
        <w:rPr>
          <w:rFonts w:cs="Arial"/>
        </w:rPr>
      </w:pPr>
      <w:r w:rsidRPr="00995557">
        <w:rPr>
          <w:rFonts w:cs="Arial"/>
        </w:rPr>
        <w:t xml:space="preserve">Los </w:t>
      </w:r>
      <w:r w:rsidRPr="00995557">
        <w:rPr>
          <w:rFonts w:cs="Arial"/>
          <w:b/>
          <w:i/>
        </w:rPr>
        <w:t>representantes</w:t>
      </w:r>
      <w:r w:rsidRPr="00995557">
        <w:rPr>
          <w:rFonts w:cs="Arial"/>
          <w:b/>
        </w:rPr>
        <w:t xml:space="preserve"> </w:t>
      </w:r>
      <w:r w:rsidRPr="00995557">
        <w:rPr>
          <w:rFonts w:cs="Arial"/>
        </w:rPr>
        <w:t>solicitaron</w:t>
      </w:r>
      <w:r w:rsidR="008506F5" w:rsidRPr="00995557">
        <w:rPr>
          <w:rFonts w:cs="Arial"/>
        </w:rPr>
        <w:t>, en concepto de daño emergente, el reembolso de</w:t>
      </w:r>
      <w:r w:rsidRPr="00995557">
        <w:rPr>
          <w:rFonts w:cs="Arial"/>
        </w:rPr>
        <w:t xml:space="preserve"> </w:t>
      </w:r>
      <w:r w:rsidR="00363B3E" w:rsidRPr="00995557">
        <w:rPr>
          <w:rFonts w:cs="Arial"/>
        </w:rPr>
        <w:t xml:space="preserve">gastos funerarios y gastos realizados </w:t>
      </w:r>
      <w:r w:rsidR="004A4F6F" w:rsidRPr="00995557">
        <w:rPr>
          <w:rFonts w:cs="Arial"/>
        </w:rPr>
        <w:t>con el fin de alcanzar justicia. E</w:t>
      </w:r>
      <w:r w:rsidR="00363B3E" w:rsidRPr="00995557">
        <w:rPr>
          <w:rFonts w:cs="Arial"/>
        </w:rPr>
        <w:t>n cuanto a estos últimos, refirieron que fueron numerosas las acciones llevadas a cabo ante los tribunales nacionales</w:t>
      </w:r>
      <w:r w:rsidR="0062580C" w:rsidRPr="00995557">
        <w:rPr>
          <w:rFonts w:cs="Arial"/>
        </w:rPr>
        <w:t xml:space="preserve">. Agregaron que dichas erogaciones </w:t>
      </w:r>
      <w:r w:rsidRPr="00995557">
        <w:rPr>
          <w:rFonts w:cs="Arial"/>
        </w:rPr>
        <w:t>se han producido en un lapso de más de 15 años</w:t>
      </w:r>
      <w:r w:rsidR="0062580C" w:rsidRPr="00995557">
        <w:rPr>
          <w:rFonts w:cs="Arial"/>
        </w:rPr>
        <w:t xml:space="preserve">, en los que se han incurrido en gastos </w:t>
      </w:r>
      <w:r w:rsidRPr="00995557">
        <w:rPr>
          <w:rFonts w:cs="Arial"/>
        </w:rPr>
        <w:t>de transporte, llamadas telefónicas, hospedaje</w:t>
      </w:r>
      <w:r w:rsidR="0062580C" w:rsidRPr="00995557">
        <w:rPr>
          <w:rFonts w:cs="Arial"/>
        </w:rPr>
        <w:t>s</w:t>
      </w:r>
      <w:r w:rsidRPr="00995557">
        <w:rPr>
          <w:rFonts w:cs="Arial"/>
        </w:rPr>
        <w:t xml:space="preserve"> y viáticos</w:t>
      </w:r>
      <w:r w:rsidR="0062580C" w:rsidRPr="00995557">
        <w:rPr>
          <w:rFonts w:cs="Arial"/>
        </w:rPr>
        <w:t xml:space="preserve">. </w:t>
      </w:r>
      <w:r w:rsidR="0062580C" w:rsidRPr="00995557">
        <w:rPr>
          <w:rFonts w:cs="Arial"/>
        </w:rPr>
        <w:lastRenderedPageBreak/>
        <w:t>Indicaron que</w:t>
      </w:r>
      <w:r w:rsidR="00013B7A" w:rsidRPr="00995557">
        <w:rPr>
          <w:rFonts w:cs="Arial"/>
        </w:rPr>
        <w:t xml:space="preserve"> </w:t>
      </w:r>
      <w:r w:rsidR="0062580C" w:rsidRPr="00995557">
        <w:rPr>
          <w:rFonts w:cs="Arial"/>
        </w:rPr>
        <w:t>al</w:t>
      </w:r>
      <w:r w:rsidR="00013B7A" w:rsidRPr="00995557">
        <w:rPr>
          <w:rFonts w:cs="Arial"/>
        </w:rPr>
        <w:t xml:space="preserve"> no contar con documentos que acrediten</w:t>
      </w:r>
      <w:r w:rsidR="0062580C" w:rsidRPr="00995557">
        <w:rPr>
          <w:rFonts w:cs="Arial"/>
        </w:rPr>
        <w:t xml:space="preserve"> los gastos</w:t>
      </w:r>
      <w:r w:rsidR="00013B7A" w:rsidRPr="00995557">
        <w:rPr>
          <w:rFonts w:cs="Arial"/>
        </w:rPr>
        <w:t xml:space="preserve">, </w:t>
      </w:r>
      <w:r w:rsidR="00E75ADC" w:rsidRPr="00995557">
        <w:rPr>
          <w:rFonts w:cs="Arial"/>
        </w:rPr>
        <w:t xml:space="preserve">es pertinente </w:t>
      </w:r>
      <w:r w:rsidR="0062580C" w:rsidRPr="00995557">
        <w:rPr>
          <w:rFonts w:cs="Arial"/>
        </w:rPr>
        <w:t xml:space="preserve">que </w:t>
      </w:r>
      <w:r w:rsidR="00013B7A" w:rsidRPr="00995557">
        <w:rPr>
          <w:rFonts w:cs="Arial"/>
        </w:rPr>
        <w:t>la Corte determine el monto en equidad.</w:t>
      </w:r>
    </w:p>
    <w:p w14:paraId="54A1BA83" w14:textId="77777777" w:rsidR="008506F5" w:rsidRPr="00995557" w:rsidRDefault="008506F5" w:rsidP="00AA627A">
      <w:pPr>
        <w:pStyle w:val="Prrafodelista"/>
        <w:rPr>
          <w:rFonts w:cs="Arial"/>
        </w:rPr>
      </w:pPr>
    </w:p>
    <w:p w14:paraId="5B7D1E83" w14:textId="4104A9A1" w:rsidR="0062580C" w:rsidRPr="00995557" w:rsidRDefault="00843EF2"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cs="Arial"/>
        </w:rPr>
      </w:pPr>
      <w:r w:rsidRPr="00995557">
        <w:rPr>
          <w:rFonts w:cs="Arial"/>
        </w:rPr>
        <w:t>Asimismo, solicitaron indemni</w:t>
      </w:r>
      <w:r w:rsidR="008506F5" w:rsidRPr="00995557">
        <w:rPr>
          <w:rFonts w:cs="Arial"/>
        </w:rPr>
        <w:t>zaciones en concepto de lucro cesante para</w:t>
      </w:r>
      <w:r w:rsidR="0062580C" w:rsidRPr="00995557">
        <w:rPr>
          <w:rFonts w:cs="Arial"/>
        </w:rPr>
        <w:t xml:space="preserve"> el caso de las</w:t>
      </w:r>
      <w:r w:rsidR="008506F5" w:rsidRPr="00995557">
        <w:rPr>
          <w:rFonts w:cs="Arial"/>
        </w:rPr>
        <w:t xml:space="preserve"> víctimas que perdieron la vida; en tal sentido, señalaron que</w:t>
      </w:r>
      <w:r w:rsidR="0062580C" w:rsidRPr="00995557">
        <w:rPr>
          <w:rFonts w:cs="Arial"/>
        </w:rPr>
        <w:t xml:space="preserve"> </w:t>
      </w:r>
      <w:r w:rsidR="00013B7A" w:rsidRPr="00995557">
        <w:rPr>
          <w:rFonts w:cs="Arial"/>
        </w:rPr>
        <w:t xml:space="preserve">para </w:t>
      </w:r>
      <w:r w:rsidR="008506F5" w:rsidRPr="00995557">
        <w:rPr>
          <w:rFonts w:cs="Arial"/>
        </w:rPr>
        <w:t>el c</w:t>
      </w:r>
      <w:r w:rsidR="00E002D8" w:rsidRPr="00995557">
        <w:rPr>
          <w:rFonts w:cs="Arial"/>
        </w:rPr>
        <w:t xml:space="preserve">álculo respectivo debe </w:t>
      </w:r>
      <w:r w:rsidR="008506F5" w:rsidRPr="00995557">
        <w:rPr>
          <w:rFonts w:cs="Arial"/>
        </w:rPr>
        <w:t>tomarse en</w:t>
      </w:r>
      <w:r w:rsidR="00013B7A" w:rsidRPr="00995557">
        <w:rPr>
          <w:rFonts w:cs="Arial"/>
        </w:rPr>
        <w:t xml:space="preserve"> cuenta </w:t>
      </w:r>
      <w:r w:rsidR="0062580C" w:rsidRPr="00995557">
        <w:rPr>
          <w:rFonts w:cs="Arial"/>
        </w:rPr>
        <w:t>“</w:t>
      </w:r>
      <w:r w:rsidR="00013B7A" w:rsidRPr="00995557">
        <w:rPr>
          <w:rFonts w:cs="Arial"/>
        </w:rPr>
        <w:t xml:space="preserve">el salario mínimo aplicable </w:t>
      </w:r>
      <w:r w:rsidR="0062580C" w:rsidRPr="00995557">
        <w:rPr>
          <w:rFonts w:cs="Arial"/>
        </w:rPr>
        <w:t>de aquel</w:t>
      </w:r>
      <w:r w:rsidR="00013B7A" w:rsidRPr="00995557">
        <w:rPr>
          <w:rFonts w:cs="Arial"/>
        </w:rPr>
        <w:t xml:space="preserve"> momento</w:t>
      </w:r>
      <w:r w:rsidR="0062580C" w:rsidRPr="00995557">
        <w:rPr>
          <w:rFonts w:cs="Arial"/>
        </w:rPr>
        <w:t xml:space="preserve"> </w:t>
      </w:r>
      <w:r w:rsidR="0062580C" w:rsidRPr="00995557">
        <w:t>[…]</w:t>
      </w:r>
      <w:r w:rsidR="0062580C" w:rsidRPr="00995557">
        <w:rPr>
          <w:rFonts w:cs="Arial"/>
        </w:rPr>
        <w:t xml:space="preserve"> </w:t>
      </w:r>
      <w:r w:rsidR="000E0491" w:rsidRPr="00995557">
        <w:rPr>
          <w:rFonts w:cs="Arial"/>
        </w:rPr>
        <w:t>correspondiente a USD 287,82</w:t>
      </w:r>
      <w:r w:rsidR="00013B7A" w:rsidRPr="00995557">
        <w:rPr>
          <w:rFonts w:cs="Arial"/>
        </w:rPr>
        <w:t>, la edad de cada víctima y</w:t>
      </w:r>
      <w:r w:rsidR="000E0491" w:rsidRPr="00995557">
        <w:rPr>
          <w:rFonts w:cs="Arial"/>
        </w:rPr>
        <w:t xml:space="preserve"> los años que le faltaban para llegar al promedio de la esperanza de vida en Venezuela, para esa época, que e</w:t>
      </w:r>
      <w:r w:rsidR="00013B7A" w:rsidRPr="00995557">
        <w:rPr>
          <w:rFonts w:cs="Arial"/>
        </w:rPr>
        <w:t>[ra]</w:t>
      </w:r>
      <w:r w:rsidR="000E0491" w:rsidRPr="00995557">
        <w:rPr>
          <w:rFonts w:cs="Arial"/>
        </w:rPr>
        <w:t xml:space="preserve"> de 72,61 años, de esta se suma </w:t>
      </w:r>
      <w:r w:rsidR="00CA4844" w:rsidRPr="00995557">
        <w:rPr>
          <w:rFonts w:cs="Arial"/>
        </w:rPr>
        <w:t xml:space="preserve"> </w:t>
      </w:r>
      <w:r w:rsidR="00CA4844" w:rsidRPr="00995557">
        <w:t xml:space="preserve">[sic] </w:t>
      </w:r>
      <w:r w:rsidR="000E0491" w:rsidRPr="00995557">
        <w:rPr>
          <w:rFonts w:cs="Arial"/>
        </w:rPr>
        <w:t>un porcentaje (25%) por los gastos que hubieren tenido el carácter de personales”.</w:t>
      </w:r>
      <w:r w:rsidR="000E0491" w:rsidRPr="00995557">
        <w:rPr>
          <w:rFonts w:cs="Arial"/>
          <w:b/>
        </w:rPr>
        <w:t xml:space="preserve"> </w:t>
      </w:r>
      <w:r w:rsidR="000E0491" w:rsidRPr="00995557">
        <w:rPr>
          <w:rFonts w:cs="Arial"/>
        </w:rPr>
        <w:t>A partir de ello, solicitaron</w:t>
      </w:r>
      <w:r w:rsidR="0062580C" w:rsidRPr="00995557">
        <w:rPr>
          <w:rFonts w:cs="Arial"/>
        </w:rPr>
        <w:t xml:space="preserve"> los montos siguientes</w:t>
      </w:r>
      <w:r w:rsidR="000E0491" w:rsidRPr="00995557">
        <w:rPr>
          <w:rFonts w:cs="Arial"/>
        </w:rPr>
        <w:t>:</w:t>
      </w:r>
      <w:r w:rsidR="00013B7A" w:rsidRPr="00995557">
        <w:rPr>
          <w:rFonts w:cs="Arial"/>
        </w:rPr>
        <w:t xml:space="preserve"> b.1) </w:t>
      </w:r>
      <w:r w:rsidR="000E0491" w:rsidRPr="00995557">
        <w:rPr>
          <w:rFonts w:cs="Arial"/>
        </w:rPr>
        <w:t xml:space="preserve">Orlando Edgardo Olivares Muñoz, ciento siete mil seiscientos diecisiete dólares de los Estados Unidos de América con treinta y tres centavos (USD </w:t>
      </w:r>
      <w:r w:rsidR="008506F5" w:rsidRPr="00995557">
        <w:rPr>
          <w:rFonts w:cs="Arial"/>
        </w:rPr>
        <w:t>$</w:t>
      </w:r>
      <w:r w:rsidR="00800322" w:rsidRPr="00995557">
        <w:rPr>
          <w:rFonts w:cs="Arial"/>
        </w:rPr>
        <w:t>107.617,</w:t>
      </w:r>
      <w:r w:rsidR="000E0491" w:rsidRPr="00995557">
        <w:rPr>
          <w:rFonts w:cs="Arial"/>
        </w:rPr>
        <w:t>33)</w:t>
      </w:r>
      <w:r w:rsidR="00013B7A" w:rsidRPr="00995557">
        <w:rPr>
          <w:rFonts w:cs="Arial"/>
        </w:rPr>
        <w:t>;</w:t>
      </w:r>
      <w:r w:rsidR="0062580C" w:rsidRPr="00995557">
        <w:rPr>
          <w:rFonts w:cs="Arial"/>
        </w:rPr>
        <w:t xml:space="preserve"> </w:t>
      </w:r>
      <w:r w:rsidR="00013B7A" w:rsidRPr="00995557">
        <w:rPr>
          <w:rFonts w:cs="Arial"/>
        </w:rPr>
        <w:t xml:space="preserve">b.2) </w:t>
      </w:r>
      <w:r w:rsidR="000E0491" w:rsidRPr="00995557">
        <w:t xml:space="preserve">Joel </w:t>
      </w:r>
      <w:r w:rsidR="00A655AF" w:rsidRPr="00995557">
        <w:t>Ronaldy</w:t>
      </w:r>
      <w:r w:rsidR="000E0491" w:rsidRPr="00995557">
        <w:t xml:space="preserve"> Reyes Nava, ciento cincuenta y cinco mil novecientos setenta y un dólares de los Estados Unidos de América con nueve centavos (USD </w:t>
      </w:r>
      <w:r w:rsidR="008506F5" w:rsidRPr="00995557">
        <w:t>$</w:t>
      </w:r>
      <w:r w:rsidR="000E0491" w:rsidRPr="00995557">
        <w:rPr>
          <w:rFonts w:cs="Arial"/>
          <w:lang w:val="es-AR"/>
        </w:rPr>
        <w:t>155.971,09)</w:t>
      </w:r>
      <w:r w:rsidR="00013B7A" w:rsidRPr="00995557">
        <w:rPr>
          <w:rFonts w:cs="Arial"/>
          <w:lang w:val="es-AR"/>
        </w:rPr>
        <w:t xml:space="preserve">; b.3) </w:t>
      </w:r>
      <w:r w:rsidR="000E0491" w:rsidRPr="00995557">
        <w:t xml:space="preserve">Orangel José Figueroa, ciento cincuenta y cinco mil novecientos setenta y un dólares de los Estados Unidos de América con nueve centavos (USD </w:t>
      </w:r>
      <w:r w:rsidR="008506F5" w:rsidRPr="00995557">
        <w:t>$</w:t>
      </w:r>
      <w:r w:rsidR="000E0491" w:rsidRPr="00995557">
        <w:rPr>
          <w:rFonts w:cs="Arial"/>
          <w:lang w:val="es-AR"/>
        </w:rPr>
        <w:t>155.971,09)</w:t>
      </w:r>
      <w:r w:rsidR="00013B7A" w:rsidRPr="00995557">
        <w:rPr>
          <w:rFonts w:cs="Arial"/>
          <w:lang w:val="es-AR"/>
        </w:rPr>
        <w:t xml:space="preserve">; b.4) </w:t>
      </w:r>
      <w:r w:rsidR="000E0491" w:rsidRPr="00995557">
        <w:t>Héctor Javier Muñoz Valerio</w:t>
      </w:r>
      <w:r w:rsidR="000E0491" w:rsidRPr="00995557">
        <w:rPr>
          <w:rFonts w:cs="Arial"/>
        </w:rPr>
        <w:t xml:space="preserve">, ciento cincuenta y dos mil novecientos cuarenta y ocho dólares de los Estados Unidos de América con noventa y ocho centavos (USD </w:t>
      </w:r>
      <w:r w:rsidR="008506F5" w:rsidRPr="00995557">
        <w:rPr>
          <w:rFonts w:cs="Arial"/>
        </w:rPr>
        <w:t>$</w:t>
      </w:r>
      <w:r w:rsidR="000E0491" w:rsidRPr="00995557">
        <w:rPr>
          <w:rFonts w:cs="Arial"/>
          <w:lang w:val="es-AR"/>
        </w:rPr>
        <w:t>152.948,98</w:t>
      </w:r>
      <w:r w:rsidR="000E0491" w:rsidRPr="00995557">
        <w:rPr>
          <w:rFonts w:cs="Arial"/>
        </w:rPr>
        <w:t>)</w:t>
      </w:r>
      <w:r w:rsidR="00013B7A" w:rsidRPr="00995557">
        <w:rPr>
          <w:rFonts w:cs="Arial"/>
        </w:rPr>
        <w:t xml:space="preserve">; b.5) </w:t>
      </w:r>
      <w:r w:rsidR="000E0491" w:rsidRPr="00995557">
        <w:t xml:space="preserve">Pedro Ramón López Chaurán, ciento cuarenta y seis mil novecientos cuatro dólares de los Estados Unidos de América con setenta y seis centavos (USD </w:t>
      </w:r>
      <w:r w:rsidR="008506F5" w:rsidRPr="00995557">
        <w:t>$</w:t>
      </w:r>
      <w:r w:rsidR="000E0491" w:rsidRPr="00995557">
        <w:rPr>
          <w:rFonts w:cs="Arial"/>
          <w:lang w:val="es-AR"/>
        </w:rPr>
        <w:t>146.904,76)</w:t>
      </w:r>
      <w:r w:rsidR="00013B7A" w:rsidRPr="00995557">
        <w:rPr>
          <w:rFonts w:cs="Arial"/>
          <w:lang w:val="es-AR"/>
        </w:rPr>
        <w:t xml:space="preserve">; b.6) </w:t>
      </w:r>
      <w:r w:rsidR="000E0491" w:rsidRPr="00995557">
        <w:t xml:space="preserve">José Gregorio Bolívar Corro, ciento treinta y cuatro mil ochocientos dieciséis dólares de los Estados Unidos de América con treinta y dos centavos (USD </w:t>
      </w:r>
      <w:r w:rsidR="008506F5" w:rsidRPr="00995557">
        <w:t>$</w:t>
      </w:r>
      <w:r w:rsidR="000E0491" w:rsidRPr="00995557">
        <w:rPr>
          <w:rFonts w:cs="Arial"/>
          <w:lang w:val="es-AR"/>
        </w:rPr>
        <w:t>134.816,32)</w:t>
      </w:r>
      <w:r w:rsidR="00013B7A" w:rsidRPr="00995557">
        <w:rPr>
          <w:rFonts w:cs="Arial"/>
          <w:lang w:val="es-AR"/>
        </w:rPr>
        <w:t xml:space="preserve">, y b.7) </w:t>
      </w:r>
      <w:r w:rsidR="000E0491" w:rsidRPr="00995557">
        <w:t xml:space="preserve">Richard Alexis Núñez Palma, ciento cuarenta y tres mil ochocientos ochenta y dos dólares de los Estados Unidos de América con sesenta y cinco centavos (USD </w:t>
      </w:r>
      <w:r w:rsidR="008506F5" w:rsidRPr="00995557">
        <w:t>$</w:t>
      </w:r>
      <w:r w:rsidR="000E0491" w:rsidRPr="00995557">
        <w:rPr>
          <w:rFonts w:cs="Arial"/>
          <w:lang w:val="es-AR"/>
        </w:rPr>
        <w:t>143.882,65).</w:t>
      </w:r>
      <w:r w:rsidR="00F56403" w:rsidRPr="00995557">
        <w:rPr>
          <w:rFonts w:cs="Arial"/>
          <w:b/>
        </w:rPr>
        <w:t xml:space="preserve"> </w:t>
      </w:r>
      <w:r w:rsidR="0062580C" w:rsidRPr="00995557">
        <w:rPr>
          <w:rFonts w:cs="Arial"/>
        </w:rPr>
        <w:t xml:space="preserve">El </w:t>
      </w:r>
      <w:r w:rsidR="0062580C" w:rsidRPr="00995557">
        <w:rPr>
          <w:rFonts w:cs="Arial"/>
          <w:b/>
          <w:i/>
        </w:rPr>
        <w:t>Estado</w:t>
      </w:r>
      <w:r w:rsidR="0062580C" w:rsidRPr="00995557">
        <w:rPr>
          <w:rFonts w:cs="Arial"/>
        </w:rPr>
        <w:t xml:space="preserve"> no se pronunció al respecto.</w:t>
      </w:r>
    </w:p>
    <w:p w14:paraId="6A086925" w14:textId="77777777" w:rsidR="0062580C" w:rsidRPr="00995557" w:rsidRDefault="0062580C" w:rsidP="00AA627A">
      <w:pPr>
        <w:pStyle w:val="Prrafodelista"/>
        <w:tabs>
          <w:tab w:val="left" w:pos="567"/>
          <w:tab w:val="left" w:pos="709"/>
          <w:tab w:val="left" w:pos="1701"/>
          <w:tab w:val="left" w:pos="5610"/>
        </w:tabs>
        <w:autoSpaceDE w:val="0"/>
        <w:autoSpaceDN w:val="0"/>
        <w:adjustRightInd w:val="0"/>
        <w:ind w:left="0"/>
        <w:contextualSpacing w:val="0"/>
        <w:jc w:val="both"/>
        <w:rPr>
          <w:rFonts w:cs="Arial"/>
        </w:rPr>
      </w:pPr>
    </w:p>
    <w:p w14:paraId="5FB69D50" w14:textId="77777777" w:rsidR="00A43A5F" w:rsidRPr="00995557" w:rsidRDefault="00A43A5F"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cs="Arial"/>
        </w:rPr>
      </w:pPr>
      <w:r w:rsidRPr="00995557">
        <w:rPr>
          <w:lang w:eastAsia="es-ES_tradnl"/>
        </w:rPr>
        <w:t xml:space="preserve">La Corte ha desarrollado en su jurisprudencia que el daño material supone la pérdida o detrimento de los ingresos de las víctimas, los gastos efectuados con motivo de los </w:t>
      </w:r>
      <w:r w:rsidRPr="00995557">
        <w:rPr>
          <w:rFonts w:eastAsia="Times New Roman"/>
          <w:lang w:eastAsia="es-ES" w:bidi="es-ES"/>
        </w:rPr>
        <w:t>hechos</w:t>
      </w:r>
      <w:r w:rsidRPr="00995557">
        <w:rPr>
          <w:lang w:eastAsia="es-ES_tradnl"/>
        </w:rPr>
        <w:t xml:space="preserve"> y las consecuencias de carácter pecuniario que tengan un nexo causal con los hechos del caso</w:t>
      </w:r>
      <w:r w:rsidRPr="00995557">
        <w:rPr>
          <w:rStyle w:val="Refdenotaalpie"/>
          <w:lang w:eastAsia="es-ES_tradnl"/>
        </w:rPr>
        <w:footnoteReference w:id="213"/>
      </w:r>
      <w:r w:rsidRPr="00995557">
        <w:rPr>
          <w:lang w:eastAsia="es-ES_tradnl"/>
        </w:rPr>
        <w:t>.</w:t>
      </w:r>
    </w:p>
    <w:p w14:paraId="7BBDDCFA" w14:textId="77777777" w:rsidR="00A43A5F" w:rsidRPr="00995557" w:rsidRDefault="00A43A5F" w:rsidP="00AA627A">
      <w:pPr>
        <w:pStyle w:val="Prrafodelista"/>
        <w:tabs>
          <w:tab w:val="left" w:pos="567"/>
          <w:tab w:val="left" w:pos="709"/>
          <w:tab w:val="left" w:pos="1701"/>
          <w:tab w:val="left" w:pos="5610"/>
        </w:tabs>
        <w:autoSpaceDE w:val="0"/>
        <w:autoSpaceDN w:val="0"/>
        <w:adjustRightInd w:val="0"/>
        <w:ind w:left="0"/>
        <w:contextualSpacing w:val="0"/>
        <w:jc w:val="center"/>
        <w:rPr>
          <w:rFonts w:cs="Arial"/>
        </w:rPr>
      </w:pPr>
    </w:p>
    <w:p w14:paraId="3DD357A2" w14:textId="77777777" w:rsidR="00297ECD" w:rsidRPr="00995557" w:rsidRDefault="00A43A5F"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cs="Arial"/>
        </w:rPr>
      </w:pPr>
      <w:r w:rsidRPr="00995557">
        <w:t xml:space="preserve">En virtud de las circunstancias de este caso y las violaciones declaradas, el Tribunal estima razonable ordenar al Estado el pago de una indemnización por concepto de daño </w:t>
      </w:r>
      <w:r w:rsidR="00BE4425" w:rsidRPr="00995557">
        <w:t>emergente</w:t>
      </w:r>
      <w:r w:rsidR="00892B57" w:rsidRPr="00995557">
        <w:t xml:space="preserve">, pues si bien no fueron aportados comprobantes de los gastos desembolsados, </w:t>
      </w:r>
      <w:r w:rsidR="0062580C" w:rsidRPr="00995557">
        <w:t>es dable presumir, como se ha considerado en casos anteriores</w:t>
      </w:r>
      <w:r w:rsidR="0062580C" w:rsidRPr="00995557">
        <w:rPr>
          <w:rStyle w:val="Refdenotaalpie"/>
        </w:rPr>
        <w:footnoteReference w:id="214"/>
      </w:r>
      <w:r w:rsidR="0062580C" w:rsidRPr="00995557">
        <w:t xml:space="preserve">, </w:t>
      </w:r>
      <w:r w:rsidR="00363B3E" w:rsidRPr="00995557">
        <w:t xml:space="preserve">que los </w:t>
      </w:r>
      <w:r w:rsidR="00892B57" w:rsidRPr="00995557">
        <w:t xml:space="preserve">familiares de las víctimas fallecidas incurrieron en </w:t>
      </w:r>
      <w:r w:rsidR="00363B3E" w:rsidRPr="00995557">
        <w:t>tales</w:t>
      </w:r>
      <w:r w:rsidR="00892B57" w:rsidRPr="00995557">
        <w:t xml:space="preserve"> gastos. </w:t>
      </w:r>
      <w:r w:rsidR="00277669" w:rsidRPr="00995557">
        <w:t>A ese respecto, c</w:t>
      </w:r>
      <w:r w:rsidR="00B913B9" w:rsidRPr="00995557">
        <w:t>abe señalar que</w:t>
      </w:r>
      <w:r w:rsidR="00813AAF" w:rsidRPr="00995557">
        <w:t xml:space="preserve"> de la prueba aportada se constató que</w:t>
      </w:r>
      <w:r w:rsidR="00B913B9" w:rsidRPr="00995557">
        <w:t xml:space="preserve"> </w:t>
      </w:r>
      <w:r w:rsidR="00A67BA4" w:rsidRPr="00995557">
        <w:t>la señora Lorenza Josefina Pérez de Olivares, esposa</w:t>
      </w:r>
      <w:r w:rsidR="00B913B9" w:rsidRPr="00995557">
        <w:t xml:space="preserve"> del señor Orlando </w:t>
      </w:r>
      <w:r w:rsidR="00B951A0" w:rsidRPr="00995557">
        <w:t>Edgardo Olivar</w:t>
      </w:r>
      <w:r w:rsidR="00A67BA4" w:rsidRPr="00995557">
        <w:t>es</w:t>
      </w:r>
      <w:r w:rsidR="00B951A0" w:rsidRPr="00995557">
        <w:t xml:space="preserve"> Muñoz,</w:t>
      </w:r>
      <w:r w:rsidR="00A67BA4" w:rsidRPr="00995557">
        <w:t xml:space="preserve"> intentó, sin éxito, ejercer la acusación particular en el respectivo proceso penal (</w:t>
      </w:r>
      <w:r w:rsidR="00A67BA4" w:rsidRPr="00995557">
        <w:rPr>
          <w:i/>
        </w:rPr>
        <w:t>supra</w:t>
      </w:r>
      <w:r w:rsidR="000E427B" w:rsidRPr="00995557">
        <w:t xml:space="preserve"> párr. 73</w:t>
      </w:r>
      <w:r w:rsidR="00A67BA4" w:rsidRPr="00995557">
        <w:t>)</w:t>
      </w:r>
      <w:r w:rsidR="00813AAF" w:rsidRPr="00995557">
        <w:t>; en cuanto a los familiares del resto de víctimas fallecidas, consta que rindieron sus declaraciones ante las autoridades estatales</w:t>
      </w:r>
      <w:r w:rsidR="00813AAF" w:rsidRPr="00995557">
        <w:rPr>
          <w:rStyle w:val="Refdenotaalpie"/>
        </w:rPr>
        <w:footnoteReference w:id="215"/>
      </w:r>
      <w:r w:rsidR="00813AAF" w:rsidRPr="00995557">
        <w:t xml:space="preserve">. </w:t>
      </w:r>
      <w:r w:rsidR="00892B57" w:rsidRPr="00995557">
        <w:t xml:space="preserve">De esa cuenta, la Corte fija en equidad la cantidad de </w:t>
      </w:r>
      <w:r w:rsidR="009C2D37" w:rsidRPr="00995557">
        <w:t>cinco mil dólares de los Estados Unidos de América (</w:t>
      </w:r>
      <w:r w:rsidR="00892B57" w:rsidRPr="00995557">
        <w:t>USD $</w:t>
      </w:r>
      <w:r w:rsidR="0089770F" w:rsidRPr="00995557">
        <w:t>5</w:t>
      </w:r>
      <w:r w:rsidR="00892B57" w:rsidRPr="00995557">
        <w:t>.000</w:t>
      </w:r>
      <w:r w:rsidR="00800322" w:rsidRPr="00995557">
        <w:t>,00</w:t>
      </w:r>
      <w:r w:rsidR="00892B57" w:rsidRPr="00995557">
        <w:t>)</w:t>
      </w:r>
      <w:r w:rsidR="00BE4425" w:rsidRPr="00995557">
        <w:t xml:space="preserve"> en el caso</w:t>
      </w:r>
      <w:r w:rsidR="0089770F" w:rsidRPr="00995557">
        <w:t xml:space="preserve"> de Orlando Edgardo Olivares Muñoz, </w:t>
      </w:r>
      <w:r w:rsidR="00297ECD" w:rsidRPr="00995557">
        <w:t xml:space="preserve">y </w:t>
      </w:r>
      <w:r w:rsidR="00CA361E" w:rsidRPr="00995557">
        <w:t xml:space="preserve">dos </w:t>
      </w:r>
      <w:r w:rsidR="009C2D37" w:rsidRPr="00995557">
        <w:t>mil quinientos dólares de los Estados Unidos de América (</w:t>
      </w:r>
      <w:r w:rsidR="00297ECD" w:rsidRPr="00995557">
        <w:t>USD $</w:t>
      </w:r>
      <w:r w:rsidR="00CA361E" w:rsidRPr="00995557">
        <w:t>2</w:t>
      </w:r>
      <w:r w:rsidR="00297ECD" w:rsidRPr="00995557">
        <w:t>.500</w:t>
      </w:r>
      <w:r w:rsidR="00800322" w:rsidRPr="00995557">
        <w:t>,00</w:t>
      </w:r>
      <w:r w:rsidR="00297ECD" w:rsidRPr="00995557">
        <w:t xml:space="preserve">) </w:t>
      </w:r>
      <w:r w:rsidR="00BE4425" w:rsidRPr="00995557">
        <w:t>respecto</w:t>
      </w:r>
      <w:r w:rsidR="00297ECD" w:rsidRPr="00995557">
        <w:t xml:space="preserve"> de</w:t>
      </w:r>
      <w:r w:rsidR="00CA4844" w:rsidRPr="00995557">
        <w:t xml:space="preserve"> cada una de</w:t>
      </w:r>
      <w:r w:rsidR="00297ECD" w:rsidRPr="00995557">
        <w:t xml:space="preserve"> las otras seis personas fallecidas.</w:t>
      </w:r>
    </w:p>
    <w:p w14:paraId="6FD5C295" w14:textId="77777777" w:rsidR="00277669" w:rsidRPr="00995557" w:rsidRDefault="00277669" w:rsidP="00AA627A">
      <w:pPr>
        <w:pStyle w:val="Prrafodelista"/>
        <w:rPr>
          <w:rFonts w:cs="Arial"/>
        </w:rPr>
      </w:pPr>
    </w:p>
    <w:p w14:paraId="7696BB12" w14:textId="77777777" w:rsidR="008506F5" w:rsidRPr="00995557" w:rsidRDefault="00BE4425"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eastAsia="Times New Roman"/>
          <w:lang w:eastAsia="es-ES" w:bidi="es-ES"/>
        </w:rPr>
      </w:pPr>
      <w:bookmarkStart w:id="182" w:name="_Hlk42117619"/>
      <w:r w:rsidRPr="00995557">
        <w:rPr>
          <w:rFonts w:eastAsia="Times New Roman"/>
          <w:lang w:eastAsia="es-ES" w:bidi="es-ES"/>
        </w:rPr>
        <w:t>En lo que atañe</w:t>
      </w:r>
      <w:r w:rsidR="00A43A5F" w:rsidRPr="00995557">
        <w:rPr>
          <w:rFonts w:eastAsia="Times New Roman"/>
          <w:lang w:eastAsia="es-ES" w:bidi="es-ES"/>
        </w:rPr>
        <w:t xml:space="preserve"> al lucro cesante, </w:t>
      </w:r>
      <w:r w:rsidR="009C2D37" w:rsidRPr="00995557">
        <w:rPr>
          <w:rFonts w:eastAsia="Times New Roman"/>
          <w:lang w:eastAsia="es-ES" w:bidi="es-ES"/>
        </w:rPr>
        <w:t xml:space="preserve">la Corte fija en equidad la </w:t>
      </w:r>
      <w:r w:rsidR="005761A6" w:rsidRPr="00995557">
        <w:rPr>
          <w:rFonts w:eastAsia="Times New Roman"/>
          <w:lang w:eastAsia="es-ES" w:bidi="es-ES"/>
        </w:rPr>
        <w:t>suma</w:t>
      </w:r>
      <w:r w:rsidR="009C2D37" w:rsidRPr="00995557">
        <w:rPr>
          <w:rFonts w:eastAsia="Times New Roman"/>
          <w:lang w:eastAsia="es-ES" w:bidi="es-ES"/>
        </w:rPr>
        <w:t xml:space="preserve"> de cincuenta</w:t>
      </w:r>
      <w:r w:rsidR="009C2D37" w:rsidRPr="00995557">
        <w:t xml:space="preserve"> mil dólares de los Estados Unidos de América (USD $50.000,00) en favor de cada una de las </w:t>
      </w:r>
      <w:r w:rsidR="005761A6" w:rsidRPr="00995557">
        <w:t>víctimas</w:t>
      </w:r>
      <w:r w:rsidR="009C2D37" w:rsidRPr="00995557">
        <w:t xml:space="preserve"> fallecidas.</w:t>
      </w:r>
    </w:p>
    <w:p w14:paraId="0F93A5F1" w14:textId="77777777" w:rsidR="008506F5" w:rsidRPr="00995557" w:rsidRDefault="008506F5" w:rsidP="00AA627A">
      <w:pPr>
        <w:pStyle w:val="Prrafodelista"/>
        <w:rPr>
          <w:rFonts w:cs="Arial"/>
        </w:rPr>
      </w:pPr>
    </w:p>
    <w:bookmarkEnd w:id="182"/>
    <w:p w14:paraId="2E51C088" w14:textId="4F1EBD16" w:rsidR="00A32C54" w:rsidRPr="00995557" w:rsidRDefault="00A32C54"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cs="Arial"/>
        </w:rPr>
      </w:pPr>
      <w:r w:rsidRPr="00995557">
        <w:rPr>
          <w:rFonts w:cs="Arial"/>
        </w:rPr>
        <w:lastRenderedPageBreak/>
        <w:t xml:space="preserve">En consecuencia, </w:t>
      </w:r>
      <w:r w:rsidRPr="00995557">
        <w:rPr>
          <w:rFonts w:eastAsia="Times New Roman"/>
          <w:lang w:eastAsia="es-ES" w:bidi="es-ES"/>
        </w:rPr>
        <w:t xml:space="preserve">el Estado debe pagar, por concepto de daño material, los montos totales siguientes: </w:t>
      </w:r>
      <w:r w:rsidRPr="00995557">
        <w:rPr>
          <w:rFonts w:cs="Arial"/>
        </w:rPr>
        <w:t xml:space="preserve">a) Orlando Edgardo Olivares Muñoz, </w:t>
      </w:r>
      <w:r w:rsidR="009C2D37" w:rsidRPr="00995557">
        <w:rPr>
          <w:rFonts w:cs="Arial"/>
        </w:rPr>
        <w:t>cincuenta y cinco mil</w:t>
      </w:r>
      <w:r w:rsidRPr="00995557">
        <w:rPr>
          <w:rFonts w:cs="Arial"/>
        </w:rPr>
        <w:t xml:space="preserve"> dólares de los Estados Unidos de América (USD </w:t>
      </w:r>
      <w:r w:rsidR="008506F5" w:rsidRPr="00995557">
        <w:rPr>
          <w:rFonts w:cs="Arial"/>
        </w:rPr>
        <w:t>$</w:t>
      </w:r>
      <w:r w:rsidR="009C2D37" w:rsidRPr="00995557">
        <w:rPr>
          <w:rFonts w:cs="Arial"/>
        </w:rPr>
        <w:t>55</w:t>
      </w:r>
      <w:r w:rsidR="00F56403" w:rsidRPr="00995557">
        <w:rPr>
          <w:rFonts w:cs="Arial"/>
        </w:rPr>
        <w:t>.</w:t>
      </w:r>
      <w:r w:rsidR="009C2D37" w:rsidRPr="00995557">
        <w:rPr>
          <w:rFonts w:cs="Arial"/>
        </w:rPr>
        <w:t>000</w:t>
      </w:r>
      <w:r w:rsidR="00F56403" w:rsidRPr="00995557">
        <w:rPr>
          <w:rFonts w:cs="Arial"/>
        </w:rPr>
        <w:t>,</w:t>
      </w:r>
      <w:r w:rsidR="009C2D37" w:rsidRPr="00995557">
        <w:rPr>
          <w:rFonts w:cs="Arial"/>
        </w:rPr>
        <w:t>00</w:t>
      </w:r>
      <w:r w:rsidRPr="00995557">
        <w:rPr>
          <w:rFonts w:cs="Arial"/>
        </w:rPr>
        <w:t xml:space="preserve">); b) </w:t>
      </w:r>
      <w:r w:rsidRPr="00995557">
        <w:t xml:space="preserve">Joel </w:t>
      </w:r>
      <w:r w:rsidR="00A655AF" w:rsidRPr="00995557">
        <w:t>Ronaldy</w:t>
      </w:r>
      <w:r w:rsidRPr="00995557">
        <w:t xml:space="preserve"> Reyes Nava, cincuenta </w:t>
      </w:r>
      <w:r w:rsidR="009C2D37" w:rsidRPr="00995557">
        <w:t xml:space="preserve">y </w:t>
      </w:r>
      <w:r w:rsidR="00CA361E" w:rsidRPr="00995557">
        <w:t>dos</w:t>
      </w:r>
      <w:r w:rsidR="009C2D37" w:rsidRPr="00995557">
        <w:t xml:space="preserve"> </w:t>
      </w:r>
      <w:r w:rsidRPr="00995557">
        <w:t>mil</w:t>
      </w:r>
      <w:r w:rsidR="009C2D37" w:rsidRPr="00995557">
        <w:t xml:space="preserve"> quinientos</w:t>
      </w:r>
      <w:r w:rsidRPr="00995557">
        <w:t xml:space="preserve"> dólares de los Estados Unidos de América (USD </w:t>
      </w:r>
      <w:r w:rsidR="008506F5" w:rsidRPr="00995557">
        <w:t>$</w:t>
      </w:r>
      <w:r w:rsidR="009C2D37" w:rsidRPr="00995557">
        <w:rPr>
          <w:rFonts w:cs="Arial"/>
          <w:lang w:val="es-AR"/>
        </w:rPr>
        <w:t>5</w:t>
      </w:r>
      <w:r w:rsidR="00CA361E" w:rsidRPr="00995557">
        <w:rPr>
          <w:rFonts w:cs="Arial"/>
          <w:lang w:val="es-AR"/>
        </w:rPr>
        <w:t>2</w:t>
      </w:r>
      <w:r w:rsidRPr="00995557">
        <w:rPr>
          <w:rFonts w:cs="Arial"/>
          <w:lang w:val="es-AR"/>
        </w:rPr>
        <w:t>.</w:t>
      </w:r>
      <w:r w:rsidR="009C2D37" w:rsidRPr="00995557">
        <w:rPr>
          <w:rFonts w:cs="Arial"/>
          <w:lang w:val="es-AR"/>
        </w:rPr>
        <w:t>500</w:t>
      </w:r>
      <w:r w:rsidRPr="00995557">
        <w:rPr>
          <w:rFonts w:cs="Arial"/>
          <w:lang w:val="es-AR"/>
        </w:rPr>
        <w:t>,0</w:t>
      </w:r>
      <w:r w:rsidR="009C2D37" w:rsidRPr="00995557">
        <w:rPr>
          <w:rFonts w:cs="Arial"/>
          <w:lang w:val="es-AR"/>
        </w:rPr>
        <w:t>0</w:t>
      </w:r>
      <w:r w:rsidRPr="00995557">
        <w:rPr>
          <w:rFonts w:cs="Arial"/>
          <w:lang w:val="es-AR"/>
        </w:rPr>
        <w:t xml:space="preserve">); c) </w:t>
      </w:r>
      <w:r w:rsidRPr="00995557">
        <w:t xml:space="preserve">Orangel José Figueroa, </w:t>
      </w:r>
      <w:r w:rsidR="00CA361E" w:rsidRPr="00995557">
        <w:t>cincuenta y dos mil quinientos dólares de los Estados Unidos de América (USD $</w:t>
      </w:r>
      <w:r w:rsidR="00CA361E" w:rsidRPr="00995557">
        <w:rPr>
          <w:rFonts w:cs="Arial"/>
          <w:lang w:val="es-AR"/>
        </w:rPr>
        <w:t>52.500,00)</w:t>
      </w:r>
      <w:r w:rsidR="009C2D37" w:rsidRPr="00995557">
        <w:rPr>
          <w:rFonts w:cs="Arial"/>
          <w:lang w:val="es-AR"/>
        </w:rPr>
        <w:t>;</w:t>
      </w:r>
      <w:r w:rsidRPr="00995557">
        <w:rPr>
          <w:rFonts w:cs="Arial"/>
          <w:lang w:val="es-AR"/>
        </w:rPr>
        <w:t xml:space="preserve"> b.4) </w:t>
      </w:r>
      <w:r w:rsidRPr="00995557">
        <w:t>Héctor Javier Muñoz Valerio</w:t>
      </w:r>
      <w:r w:rsidRPr="00995557">
        <w:rPr>
          <w:rFonts w:cs="Arial"/>
        </w:rPr>
        <w:t xml:space="preserve">, </w:t>
      </w:r>
      <w:r w:rsidR="00CA361E" w:rsidRPr="00995557">
        <w:t>cincuenta y dos mil quinientos dólares de los Estados Unidos de América (USD $</w:t>
      </w:r>
      <w:r w:rsidR="00CA361E" w:rsidRPr="00995557">
        <w:rPr>
          <w:rFonts w:cs="Arial"/>
          <w:lang w:val="es-AR"/>
        </w:rPr>
        <w:t>52.500,00)</w:t>
      </w:r>
      <w:r w:rsidRPr="00995557">
        <w:rPr>
          <w:rFonts w:cs="Arial"/>
        </w:rPr>
        <w:t xml:space="preserve">; d) </w:t>
      </w:r>
      <w:r w:rsidRPr="00995557">
        <w:t xml:space="preserve">Pedro Ramón López Chaurán, </w:t>
      </w:r>
      <w:r w:rsidR="00CA361E" w:rsidRPr="00995557">
        <w:t>cincuenta y dos mil quinientos dólares de los Estados Unidos de América (USD $</w:t>
      </w:r>
      <w:r w:rsidR="00CA361E" w:rsidRPr="00995557">
        <w:rPr>
          <w:rFonts w:cs="Arial"/>
          <w:lang w:val="es-AR"/>
        </w:rPr>
        <w:t>52.500,00)</w:t>
      </w:r>
      <w:r w:rsidRPr="00995557">
        <w:rPr>
          <w:rFonts w:cs="Arial"/>
          <w:lang w:val="es-AR"/>
        </w:rPr>
        <w:t xml:space="preserve">; e) </w:t>
      </w:r>
      <w:r w:rsidRPr="00995557">
        <w:t xml:space="preserve">José Gregorio Bolívar Corro, </w:t>
      </w:r>
      <w:r w:rsidR="00CA361E" w:rsidRPr="00995557">
        <w:t>cincuenta y dos mil quinientos dólares de los Estados Unidos de América (USD $</w:t>
      </w:r>
      <w:r w:rsidR="00CA361E" w:rsidRPr="00995557">
        <w:rPr>
          <w:rFonts w:cs="Arial"/>
          <w:lang w:val="es-AR"/>
        </w:rPr>
        <w:t>52.500,00)</w:t>
      </w:r>
      <w:r w:rsidRPr="00995557">
        <w:rPr>
          <w:rFonts w:cs="Arial"/>
          <w:lang w:val="es-AR"/>
        </w:rPr>
        <w:t xml:space="preserve">, y f) </w:t>
      </w:r>
      <w:r w:rsidRPr="00995557">
        <w:t xml:space="preserve">Richard Alexis Núñez Palma, </w:t>
      </w:r>
      <w:r w:rsidR="00CA361E" w:rsidRPr="00995557">
        <w:t>cincuenta y dos mil quinientos dólares de los Estados Unidos de América (USD $</w:t>
      </w:r>
      <w:r w:rsidR="00CA361E" w:rsidRPr="00995557">
        <w:rPr>
          <w:rFonts w:cs="Arial"/>
          <w:lang w:val="es-AR"/>
        </w:rPr>
        <w:t>52.500,00)</w:t>
      </w:r>
      <w:r w:rsidRPr="00995557">
        <w:rPr>
          <w:rFonts w:cs="Arial"/>
          <w:lang w:val="es-AR"/>
        </w:rPr>
        <w:t>.</w:t>
      </w:r>
      <w:r w:rsidR="00AF43BA" w:rsidRPr="00995557">
        <w:rPr>
          <w:rFonts w:cs="Arial"/>
          <w:lang w:val="es-AR"/>
        </w:rPr>
        <w:t xml:space="preserve"> En </w:t>
      </w:r>
      <w:r w:rsidR="00F56403" w:rsidRPr="00995557">
        <w:rPr>
          <w:rFonts w:cs="Arial"/>
          <w:lang w:val="es-AR"/>
        </w:rPr>
        <w:t>el caso del señor Orlando Edgard</w:t>
      </w:r>
      <w:r w:rsidR="00A67BA4" w:rsidRPr="00995557">
        <w:rPr>
          <w:rFonts w:cs="Arial"/>
          <w:lang w:val="es-AR"/>
        </w:rPr>
        <w:t>o Olivares</w:t>
      </w:r>
      <w:r w:rsidR="00AF43BA" w:rsidRPr="00995557">
        <w:rPr>
          <w:rFonts w:cs="Arial"/>
          <w:lang w:val="es-AR"/>
        </w:rPr>
        <w:t xml:space="preserve"> Muñoz, el monto deberá ser entregado en la forma siguiente: el cincuenta por ciento (50%) a su cónyuge, Lorenza Josefina Pérez de Olivares, y el restante cincuenta por ciento (50) </w:t>
      </w:r>
      <w:r w:rsidR="00AF43BA" w:rsidRPr="00995557">
        <w:t>se repartirá, por partes iguales, entre los hijos de aquél, si uno o varios de los hijos hubieren fallecido ya, la parte que le o les corresponda acrecerá a la de los demás hijos de la misma víctima. En el caso de las otras seis personas fallecidas, el monto indemnizatorio deberá ser entregado a sus derechohabientes, conforme al derecho interno aplicable.</w:t>
      </w:r>
    </w:p>
    <w:p w14:paraId="1153DACE" w14:textId="77777777" w:rsidR="00CA6DF4" w:rsidRPr="00995557" w:rsidRDefault="00CA6DF4" w:rsidP="00AA627A">
      <w:pPr>
        <w:rPr>
          <w:lang w:eastAsia="es-MX"/>
        </w:rPr>
      </w:pPr>
    </w:p>
    <w:p w14:paraId="58FDC98E" w14:textId="77777777" w:rsidR="00F15156" w:rsidRPr="00995557" w:rsidRDefault="00F15156" w:rsidP="00AA627A">
      <w:pPr>
        <w:pStyle w:val="PrrafodeSentencia"/>
        <w:widowControl w:val="0"/>
        <w:numPr>
          <w:ilvl w:val="0"/>
          <w:numId w:val="0"/>
        </w:numPr>
        <w:tabs>
          <w:tab w:val="left" w:pos="993"/>
        </w:tabs>
        <w:ind w:left="851"/>
        <w:rPr>
          <w:i/>
          <w:spacing w:val="0"/>
          <w:szCs w:val="20"/>
        </w:rPr>
      </w:pPr>
      <w:r w:rsidRPr="00995557">
        <w:rPr>
          <w:i/>
          <w:snapToGrid w:val="0"/>
          <w:spacing w:val="0"/>
          <w:szCs w:val="20"/>
          <w:lang w:eastAsia="es-ES"/>
        </w:rPr>
        <w:t>G.2. Daño inmaterial</w:t>
      </w:r>
    </w:p>
    <w:p w14:paraId="1B2A39AF" w14:textId="77777777" w:rsidR="000E0491" w:rsidRPr="00995557" w:rsidRDefault="000E0491" w:rsidP="00AA627A">
      <w:pPr>
        <w:pStyle w:val="Prrafodelista"/>
        <w:tabs>
          <w:tab w:val="left" w:pos="567"/>
          <w:tab w:val="left" w:pos="709"/>
          <w:tab w:val="left" w:pos="1701"/>
          <w:tab w:val="left" w:pos="5610"/>
        </w:tabs>
        <w:autoSpaceDE w:val="0"/>
        <w:autoSpaceDN w:val="0"/>
        <w:adjustRightInd w:val="0"/>
        <w:ind w:left="0"/>
        <w:contextualSpacing w:val="0"/>
        <w:jc w:val="both"/>
        <w:rPr>
          <w:rFonts w:cs="Arial"/>
        </w:rPr>
      </w:pPr>
    </w:p>
    <w:p w14:paraId="3DF3B408" w14:textId="2DA23EDC" w:rsidR="008269F5" w:rsidRPr="00995557" w:rsidRDefault="008269F5" w:rsidP="00AA627A">
      <w:pPr>
        <w:pStyle w:val="Prrafodelista"/>
        <w:numPr>
          <w:ilvl w:val="0"/>
          <w:numId w:val="2"/>
        </w:numPr>
        <w:tabs>
          <w:tab w:val="left" w:pos="567"/>
          <w:tab w:val="left" w:pos="709"/>
          <w:tab w:val="left" w:pos="1701"/>
          <w:tab w:val="left" w:pos="5610"/>
        </w:tabs>
        <w:autoSpaceDE w:val="0"/>
        <w:autoSpaceDN w:val="0"/>
        <w:adjustRightInd w:val="0"/>
        <w:ind w:left="0" w:firstLine="0"/>
        <w:contextualSpacing w:val="0"/>
        <w:jc w:val="both"/>
        <w:rPr>
          <w:rFonts w:cs="Arial"/>
        </w:rPr>
      </w:pPr>
      <w:r w:rsidRPr="00995557">
        <w:t xml:space="preserve">La </w:t>
      </w:r>
      <w:r w:rsidRPr="00995557">
        <w:rPr>
          <w:b/>
          <w:i/>
        </w:rPr>
        <w:t>Comisión</w:t>
      </w:r>
      <w:r w:rsidRPr="00995557">
        <w:t xml:space="preserve"> solicitó “[r]eparar integralmente las violaciones de derechos humanos […] en el […] aspecto i</w:t>
      </w:r>
      <w:r w:rsidR="00174BE9" w:rsidRPr="00995557">
        <w:t>n</w:t>
      </w:r>
      <w:r w:rsidRPr="00995557">
        <w:t>material”.</w:t>
      </w:r>
    </w:p>
    <w:p w14:paraId="494E7F5B" w14:textId="77777777" w:rsidR="008269F5" w:rsidRPr="00995557" w:rsidRDefault="008269F5" w:rsidP="00AA627A">
      <w:pPr>
        <w:pStyle w:val="Prrafodelista"/>
        <w:tabs>
          <w:tab w:val="left" w:pos="567"/>
          <w:tab w:val="left" w:pos="709"/>
          <w:tab w:val="left" w:pos="1701"/>
          <w:tab w:val="left" w:pos="5610"/>
        </w:tabs>
        <w:autoSpaceDE w:val="0"/>
        <w:autoSpaceDN w:val="0"/>
        <w:adjustRightInd w:val="0"/>
        <w:ind w:left="0"/>
        <w:contextualSpacing w:val="0"/>
        <w:jc w:val="both"/>
        <w:rPr>
          <w:rFonts w:cs="Arial"/>
        </w:rPr>
      </w:pPr>
    </w:p>
    <w:p w14:paraId="6378A7D7" w14:textId="39B598CD" w:rsidR="00E002D8" w:rsidRPr="00995557" w:rsidRDefault="00F15156" w:rsidP="00AA627A">
      <w:pPr>
        <w:pStyle w:val="PrrafodeSentencia"/>
        <w:numPr>
          <w:ilvl w:val="0"/>
          <w:numId w:val="2"/>
        </w:numPr>
        <w:tabs>
          <w:tab w:val="left" w:pos="0"/>
        </w:tabs>
        <w:ind w:left="0" w:firstLine="0"/>
        <w:rPr>
          <w:rFonts w:cs="Arial"/>
          <w:b/>
          <w:spacing w:val="0"/>
          <w:szCs w:val="20"/>
        </w:rPr>
      </w:pPr>
      <w:r w:rsidRPr="00995557">
        <w:rPr>
          <w:spacing w:val="0"/>
          <w:szCs w:val="20"/>
        </w:rPr>
        <w:t xml:space="preserve">Los </w:t>
      </w:r>
      <w:r w:rsidRPr="00995557">
        <w:rPr>
          <w:b/>
          <w:i/>
          <w:spacing w:val="0"/>
          <w:szCs w:val="20"/>
        </w:rPr>
        <w:t>representantes</w:t>
      </w:r>
      <w:r w:rsidRPr="00995557">
        <w:rPr>
          <w:spacing w:val="0"/>
          <w:szCs w:val="20"/>
        </w:rPr>
        <w:t xml:space="preserve"> solicitaron </w:t>
      </w:r>
      <w:r w:rsidR="00E002D8" w:rsidRPr="00995557">
        <w:rPr>
          <w:spacing w:val="0"/>
          <w:szCs w:val="20"/>
        </w:rPr>
        <w:t>i</w:t>
      </w:r>
      <w:r w:rsidR="00E002D8" w:rsidRPr="00995557">
        <w:rPr>
          <w:rFonts w:cs="Arial"/>
          <w:spacing w:val="0"/>
          <w:szCs w:val="20"/>
        </w:rPr>
        <w:t xml:space="preserve">ndemnizaciones en concepto de </w:t>
      </w:r>
      <w:r w:rsidRPr="00995557">
        <w:rPr>
          <w:rFonts w:cs="Arial"/>
          <w:spacing w:val="0"/>
          <w:szCs w:val="20"/>
        </w:rPr>
        <w:t>d</w:t>
      </w:r>
      <w:r w:rsidRPr="00995557">
        <w:rPr>
          <w:spacing w:val="0"/>
          <w:szCs w:val="20"/>
        </w:rPr>
        <w:t>año moral en perju</w:t>
      </w:r>
      <w:r w:rsidR="00E002D8" w:rsidRPr="00995557">
        <w:rPr>
          <w:spacing w:val="0"/>
          <w:szCs w:val="20"/>
        </w:rPr>
        <w:t>icio de las víctimas fallecidas; para el efecto,</w:t>
      </w:r>
      <w:r w:rsidRPr="00995557">
        <w:rPr>
          <w:spacing w:val="0"/>
          <w:szCs w:val="20"/>
        </w:rPr>
        <w:t xml:space="preserve"> indicaron que los asesinatos de las víctimas presenta</w:t>
      </w:r>
      <w:r w:rsidR="00CA6DF4" w:rsidRPr="00995557">
        <w:rPr>
          <w:spacing w:val="0"/>
          <w:szCs w:val="20"/>
        </w:rPr>
        <w:t>r</w:t>
      </w:r>
      <w:r w:rsidRPr="00995557">
        <w:rPr>
          <w:spacing w:val="0"/>
          <w:szCs w:val="20"/>
        </w:rPr>
        <w:t>o</w:t>
      </w:r>
      <w:r w:rsidR="00CA6DF4" w:rsidRPr="00995557">
        <w:rPr>
          <w:spacing w:val="0"/>
          <w:szCs w:val="20"/>
        </w:rPr>
        <w:t>n</w:t>
      </w:r>
      <w:r w:rsidRPr="00995557">
        <w:rPr>
          <w:spacing w:val="0"/>
          <w:szCs w:val="20"/>
        </w:rPr>
        <w:t xml:space="preserve"> extrema violencia que debe ser considerada para decidir sobre esta forma de reparación. De esa cuenta, solicitaron los montos siguientes: a.1) </w:t>
      </w:r>
      <w:r w:rsidRPr="00995557">
        <w:rPr>
          <w:rFonts w:cs="Arial"/>
          <w:spacing w:val="0"/>
          <w:szCs w:val="20"/>
        </w:rPr>
        <w:t xml:space="preserve">Orlando Edgardo Olivares Muñoz, cincuenta mil dólares de los Estados Unidos de América </w:t>
      </w:r>
      <w:r w:rsidRPr="00995557">
        <w:rPr>
          <w:spacing w:val="0"/>
          <w:szCs w:val="20"/>
        </w:rPr>
        <w:t xml:space="preserve">(USD </w:t>
      </w:r>
      <w:r w:rsidR="008506F5" w:rsidRPr="00995557">
        <w:rPr>
          <w:spacing w:val="0"/>
          <w:szCs w:val="20"/>
        </w:rPr>
        <w:t>$</w:t>
      </w:r>
      <w:r w:rsidRPr="00995557">
        <w:rPr>
          <w:rFonts w:cs="Arial"/>
          <w:spacing w:val="0"/>
          <w:szCs w:val="20"/>
          <w:lang w:val="es-AR"/>
        </w:rPr>
        <w:t>50.000,00)</w:t>
      </w:r>
      <w:r w:rsidRPr="00995557">
        <w:rPr>
          <w:rFonts w:cs="Arial"/>
          <w:spacing w:val="0"/>
          <w:szCs w:val="20"/>
        </w:rPr>
        <w:t xml:space="preserve">, para el efecto identificaron como beneficiarios a </w:t>
      </w:r>
      <w:r w:rsidRPr="00995557">
        <w:rPr>
          <w:spacing w:val="0"/>
          <w:szCs w:val="20"/>
        </w:rPr>
        <w:t xml:space="preserve">Lorenza Josefina Pérez de Olivares, Lorena Carolina Olivares Pérez, Claudia Andreina Olivares Pérez, Mónica Orlenis Olivares Pérez, Laura Oriannys Olivares Pérez, María Alejandra Olivares Pérez y Orlando Rafael Olivares Pérez; a.2) Joel </w:t>
      </w:r>
      <w:r w:rsidR="00A655AF" w:rsidRPr="00995557">
        <w:rPr>
          <w:spacing w:val="0"/>
          <w:szCs w:val="20"/>
        </w:rPr>
        <w:t>Ronaldy</w:t>
      </w:r>
      <w:r w:rsidRPr="00995557">
        <w:rPr>
          <w:spacing w:val="0"/>
          <w:szCs w:val="20"/>
        </w:rPr>
        <w:t xml:space="preserve"> Reyes Nava, cincuenta mil dólares de los Estados Unidos de América (USD </w:t>
      </w:r>
      <w:r w:rsidR="008506F5" w:rsidRPr="00995557">
        <w:rPr>
          <w:spacing w:val="0"/>
          <w:szCs w:val="20"/>
        </w:rPr>
        <w:t>$</w:t>
      </w:r>
      <w:r w:rsidRPr="00995557">
        <w:rPr>
          <w:rFonts w:cs="Arial"/>
          <w:spacing w:val="0"/>
          <w:szCs w:val="20"/>
          <w:lang w:val="es-AR"/>
        </w:rPr>
        <w:t>50.000,00), identificaron como beneficiari</w:t>
      </w:r>
      <w:r w:rsidR="00DE4BF0" w:rsidRPr="00995557">
        <w:rPr>
          <w:rFonts w:cs="Arial"/>
          <w:spacing w:val="0"/>
          <w:szCs w:val="20"/>
          <w:lang w:val="es-AR"/>
        </w:rPr>
        <w:t>a</w:t>
      </w:r>
      <w:r w:rsidRPr="00995557">
        <w:rPr>
          <w:rFonts w:cs="Arial"/>
          <w:spacing w:val="0"/>
          <w:szCs w:val="20"/>
          <w:lang w:val="es-AR"/>
        </w:rPr>
        <w:t xml:space="preserve"> a </w:t>
      </w:r>
      <w:r w:rsidRPr="00995557">
        <w:rPr>
          <w:spacing w:val="0"/>
          <w:szCs w:val="20"/>
        </w:rPr>
        <w:t>Jenny Leomalia Reyes Guzmán</w:t>
      </w:r>
      <w:r w:rsidRPr="00995557">
        <w:rPr>
          <w:rFonts w:cs="Arial"/>
          <w:spacing w:val="0"/>
          <w:szCs w:val="20"/>
          <w:lang w:val="es-AR"/>
        </w:rPr>
        <w:t xml:space="preserve">; </w:t>
      </w:r>
      <w:r w:rsidR="00DE4BF0" w:rsidRPr="00995557">
        <w:rPr>
          <w:rFonts w:cs="Arial"/>
          <w:spacing w:val="0"/>
          <w:szCs w:val="20"/>
          <w:lang w:val="es-AR"/>
        </w:rPr>
        <w:t xml:space="preserve">a.3) </w:t>
      </w:r>
      <w:r w:rsidRPr="00995557">
        <w:rPr>
          <w:spacing w:val="0"/>
          <w:szCs w:val="20"/>
        </w:rPr>
        <w:t xml:space="preserve">Orangel José Figueroa, cincuenta mil dólares de los Estados Unidos de América (USD </w:t>
      </w:r>
      <w:r w:rsidR="008506F5" w:rsidRPr="00995557">
        <w:rPr>
          <w:spacing w:val="0"/>
          <w:szCs w:val="20"/>
        </w:rPr>
        <w:t>$</w:t>
      </w:r>
      <w:r w:rsidRPr="00995557">
        <w:rPr>
          <w:rFonts w:cs="Arial"/>
          <w:spacing w:val="0"/>
          <w:szCs w:val="20"/>
          <w:lang w:val="es-AR"/>
        </w:rPr>
        <w:t>50.000,00), identifica</w:t>
      </w:r>
      <w:r w:rsidR="00DE4BF0" w:rsidRPr="00995557">
        <w:rPr>
          <w:rFonts w:cs="Arial"/>
          <w:spacing w:val="0"/>
          <w:szCs w:val="20"/>
          <w:lang w:val="es-AR"/>
        </w:rPr>
        <w:t>ron</w:t>
      </w:r>
      <w:r w:rsidRPr="00995557">
        <w:rPr>
          <w:rFonts w:cs="Arial"/>
          <w:spacing w:val="0"/>
          <w:szCs w:val="20"/>
          <w:lang w:val="es-AR"/>
        </w:rPr>
        <w:t xml:space="preserve"> como beneficiario a </w:t>
      </w:r>
      <w:r w:rsidRPr="00995557">
        <w:rPr>
          <w:spacing w:val="0"/>
          <w:szCs w:val="20"/>
        </w:rPr>
        <w:t>José Luis Figueroa</w:t>
      </w:r>
      <w:r w:rsidR="00DE4BF0" w:rsidRPr="00995557">
        <w:rPr>
          <w:rFonts w:cs="Arial"/>
          <w:spacing w:val="0"/>
          <w:szCs w:val="20"/>
          <w:lang w:val="es-AR"/>
        </w:rPr>
        <w:t xml:space="preserve">; a.4) </w:t>
      </w:r>
      <w:r w:rsidRPr="00995557">
        <w:rPr>
          <w:spacing w:val="0"/>
          <w:szCs w:val="20"/>
        </w:rPr>
        <w:t xml:space="preserve">Héctor Javier Muñoz Valerio, cincuenta mil dólares de los Estados Unidos de América (USD </w:t>
      </w:r>
      <w:r w:rsidR="008506F5" w:rsidRPr="00995557">
        <w:rPr>
          <w:spacing w:val="0"/>
          <w:szCs w:val="20"/>
        </w:rPr>
        <w:t>$</w:t>
      </w:r>
      <w:r w:rsidRPr="00995557">
        <w:rPr>
          <w:rFonts w:cs="Arial"/>
          <w:spacing w:val="0"/>
          <w:szCs w:val="20"/>
          <w:lang w:val="es-AR"/>
        </w:rPr>
        <w:t>50.000,00), identifica</w:t>
      </w:r>
      <w:r w:rsidR="00DE4BF0" w:rsidRPr="00995557">
        <w:rPr>
          <w:rFonts w:cs="Arial"/>
          <w:spacing w:val="0"/>
          <w:szCs w:val="20"/>
          <w:lang w:val="es-AR"/>
        </w:rPr>
        <w:t>ron</w:t>
      </w:r>
      <w:r w:rsidRPr="00995557">
        <w:rPr>
          <w:rFonts w:cs="Arial"/>
          <w:spacing w:val="0"/>
          <w:szCs w:val="20"/>
          <w:lang w:val="es-AR"/>
        </w:rPr>
        <w:t xml:space="preserve"> como beneficiaria a Lorena Muñoz Valerio</w:t>
      </w:r>
      <w:r w:rsidR="00DE4BF0" w:rsidRPr="00995557">
        <w:rPr>
          <w:spacing w:val="0"/>
          <w:szCs w:val="20"/>
        </w:rPr>
        <w:t xml:space="preserve">; a.5) </w:t>
      </w:r>
      <w:r w:rsidRPr="00995557">
        <w:rPr>
          <w:spacing w:val="0"/>
          <w:szCs w:val="20"/>
        </w:rPr>
        <w:t xml:space="preserve">Pedro Ramón López Chaurán, cincuenta mil dólares de los Estados Unidos de América (USD </w:t>
      </w:r>
      <w:r w:rsidR="008506F5" w:rsidRPr="00995557">
        <w:rPr>
          <w:spacing w:val="0"/>
          <w:szCs w:val="20"/>
        </w:rPr>
        <w:t>$</w:t>
      </w:r>
      <w:r w:rsidRPr="00995557">
        <w:rPr>
          <w:rFonts w:cs="Arial"/>
          <w:spacing w:val="0"/>
          <w:szCs w:val="20"/>
          <w:lang w:val="es-AR"/>
        </w:rPr>
        <w:t>50.000,00), identifica</w:t>
      </w:r>
      <w:r w:rsidR="00DE4BF0" w:rsidRPr="00995557">
        <w:rPr>
          <w:rFonts w:cs="Arial"/>
          <w:spacing w:val="0"/>
          <w:szCs w:val="20"/>
          <w:lang w:val="es-AR"/>
        </w:rPr>
        <w:t>ron</w:t>
      </w:r>
      <w:r w:rsidRPr="00995557">
        <w:rPr>
          <w:rFonts w:cs="Arial"/>
          <w:spacing w:val="0"/>
          <w:szCs w:val="20"/>
          <w:lang w:val="es-AR"/>
        </w:rPr>
        <w:t xml:space="preserve"> como beneficiaria a </w:t>
      </w:r>
      <w:r w:rsidRPr="00995557">
        <w:rPr>
          <w:spacing w:val="0"/>
          <w:szCs w:val="20"/>
        </w:rPr>
        <w:t>Johamnata Martínez Coralis</w:t>
      </w:r>
      <w:r w:rsidR="00DE4BF0" w:rsidRPr="00995557">
        <w:rPr>
          <w:spacing w:val="0"/>
          <w:szCs w:val="20"/>
        </w:rPr>
        <w:t xml:space="preserve">; a.6) </w:t>
      </w:r>
      <w:r w:rsidRPr="00995557">
        <w:rPr>
          <w:spacing w:val="0"/>
          <w:szCs w:val="20"/>
        </w:rPr>
        <w:t xml:space="preserve">José Gregorio Bolívar Corro, cincuenta mil dólares de los Estados Unidos de América (USD </w:t>
      </w:r>
      <w:r w:rsidR="008506F5" w:rsidRPr="00995557">
        <w:rPr>
          <w:spacing w:val="0"/>
          <w:szCs w:val="20"/>
        </w:rPr>
        <w:t>$</w:t>
      </w:r>
      <w:r w:rsidRPr="00995557">
        <w:rPr>
          <w:rFonts w:cs="Arial"/>
          <w:spacing w:val="0"/>
          <w:szCs w:val="20"/>
          <w:lang w:val="es-AR"/>
        </w:rPr>
        <w:t>50.000,00), identifica</w:t>
      </w:r>
      <w:r w:rsidR="00DE4BF0" w:rsidRPr="00995557">
        <w:rPr>
          <w:rFonts w:cs="Arial"/>
          <w:spacing w:val="0"/>
          <w:szCs w:val="20"/>
          <w:lang w:val="es-AR"/>
        </w:rPr>
        <w:t>ron</w:t>
      </w:r>
      <w:r w:rsidRPr="00995557">
        <w:rPr>
          <w:rFonts w:cs="Arial"/>
          <w:spacing w:val="0"/>
          <w:szCs w:val="20"/>
          <w:lang w:val="es-AR"/>
        </w:rPr>
        <w:t xml:space="preserve"> como beneficiario a </w:t>
      </w:r>
      <w:r w:rsidRPr="00995557">
        <w:rPr>
          <w:spacing w:val="0"/>
          <w:szCs w:val="20"/>
        </w:rPr>
        <w:t>Elías José Aguirre Navas</w:t>
      </w:r>
      <w:r w:rsidR="00DE4BF0" w:rsidRPr="00995557">
        <w:rPr>
          <w:spacing w:val="0"/>
          <w:szCs w:val="20"/>
        </w:rPr>
        <w:t xml:space="preserve">, y a.7) </w:t>
      </w:r>
      <w:r w:rsidRPr="00995557">
        <w:rPr>
          <w:spacing w:val="0"/>
          <w:szCs w:val="20"/>
        </w:rPr>
        <w:t xml:space="preserve">Richard Alexis Núñez Palma, cincuenta mil dólares de los Estados Unidos de América (USD </w:t>
      </w:r>
      <w:r w:rsidR="008506F5" w:rsidRPr="00995557">
        <w:rPr>
          <w:spacing w:val="0"/>
          <w:szCs w:val="20"/>
        </w:rPr>
        <w:t>$</w:t>
      </w:r>
      <w:r w:rsidRPr="00995557">
        <w:rPr>
          <w:rFonts w:cs="Arial"/>
          <w:spacing w:val="0"/>
          <w:szCs w:val="20"/>
          <w:lang w:val="es-AR"/>
        </w:rPr>
        <w:t>50.000,00), identifica</w:t>
      </w:r>
      <w:r w:rsidR="00DE4BF0" w:rsidRPr="00995557">
        <w:rPr>
          <w:rFonts w:cs="Arial"/>
          <w:spacing w:val="0"/>
          <w:szCs w:val="20"/>
          <w:lang w:val="es-AR"/>
        </w:rPr>
        <w:t>ron</w:t>
      </w:r>
      <w:r w:rsidRPr="00995557">
        <w:rPr>
          <w:rFonts w:cs="Arial"/>
          <w:spacing w:val="0"/>
          <w:szCs w:val="20"/>
          <w:lang w:val="es-AR"/>
        </w:rPr>
        <w:t xml:space="preserve"> como beneficiaria a </w:t>
      </w:r>
      <w:r w:rsidRPr="00995557">
        <w:rPr>
          <w:spacing w:val="0"/>
          <w:szCs w:val="20"/>
        </w:rPr>
        <w:t>Elizabeth del Carmen Cañizales Palma</w:t>
      </w:r>
      <w:r w:rsidRPr="00995557">
        <w:rPr>
          <w:rFonts w:cs="Arial"/>
          <w:spacing w:val="0"/>
          <w:szCs w:val="20"/>
          <w:lang w:val="es-AR"/>
        </w:rPr>
        <w:t>.</w:t>
      </w:r>
    </w:p>
    <w:p w14:paraId="26CBBE85" w14:textId="77777777" w:rsidR="00E002D8" w:rsidRPr="00995557" w:rsidRDefault="00E002D8" w:rsidP="00AA627A">
      <w:pPr>
        <w:pStyle w:val="PrrafodeSentencia"/>
        <w:numPr>
          <w:ilvl w:val="0"/>
          <w:numId w:val="0"/>
        </w:numPr>
        <w:tabs>
          <w:tab w:val="left" w:pos="0"/>
        </w:tabs>
        <w:rPr>
          <w:rFonts w:cs="Arial"/>
          <w:b/>
          <w:spacing w:val="0"/>
          <w:szCs w:val="20"/>
        </w:rPr>
      </w:pPr>
    </w:p>
    <w:p w14:paraId="7158BEDE" w14:textId="3C5F9A09" w:rsidR="008269F5" w:rsidRPr="00995557" w:rsidRDefault="00E002D8" w:rsidP="00AA627A">
      <w:pPr>
        <w:pStyle w:val="PrrafodeSentencia"/>
        <w:numPr>
          <w:ilvl w:val="0"/>
          <w:numId w:val="2"/>
        </w:numPr>
        <w:tabs>
          <w:tab w:val="left" w:pos="0"/>
        </w:tabs>
        <w:ind w:left="0" w:firstLine="0"/>
        <w:rPr>
          <w:rFonts w:cs="Arial"/>
          <w:b/>
          <w:spacing w:val="0"/>
          <w:szCs w:val="20"/>
        </w:rPr>
      </w:pPr>
      <w:r w:rsidRPr="00995557">
        <w:rPr>
          <w:spacing w:val="0"/>
          <w:szCs w:val="20"/>
        </w:rPr>
        <w:t xml:space="preserve">Asimismo, solicitaron indemnizaciones por </w:t>
      </w:r>
      <w:r w:rsidR="008269F5" w:rsidRPr="00995557">
        <w:rPr>
          <w:spacing w:val="0"/>
          <w:szCs w:val="20"/>
        </w:rPr>
        <w:t>d</w:t>
      </w:r>
      <w:r w:rsidR="00F15156" w:rsidRPr="00995557">
        <w:rPr>
          <w:spacing w:val="0"/>
          <w:szCs w:val="20"/>
        </w:rPr>
        <w:t xml:space="preserve">año moral en perjuicio de las </w:t>
      </w:r>
      <w:r w:rsidR="00CA6DF4" w:rsidRPr="00995557">
        <w:rPr>
          <w:spacing w:val="0"/>
          <w:szCs w:val="20"/>
        </w:rPr>
        <w:t>“</w:t>
      </w:r>
      <w:r w:rsidR="00F15156" w:rsidRPr="00995557">
        <w:rPr>
          <w:spacing w:val="0"/>
          <w:szCs w:val="20"/>
        </w:rPr>
        <w:t>víctimas indirectas por las muertes</w:t>
      </w:r>
      <w:r w:rsidR="00CA6DF4" w:rsidRPr="00995557">
        <w:rPr>
          <w:spacing w:val="0"/>
          <w:szCs w:val="20"/>
        </w:rPr>
        <w:t>”</w:t>
      </w:r>
      <w:r w:rsidRPr="00995557">
        <w:rPr>
          <w:spacing w:val="0"/>
          <w:szCs w:val="20"/>
        </w:rPr>
        <w:t>;</w:t>
      </w:r>
      <w:r w:rsidR="00F15156" w:rsidRPr="00995557">
        <w:rPr>
          <w:spacing w:val="0"/>
          <w:szCs w:val="20"/>
        </w:rPr>
        <w:t xml:space="preserve"> </w:t>
      </w:r>
      <w:r w:rsidR="008269F5" w:rsidRPr="00995557">
        <w:rPr>
          <w:spacing w:val="0"/>
          <w:szCs w:val="20"/>
        </w:rPr>
        <w:t xml:space="preserve">en tal sentido, </w:t>
      </w:r>
      <w:r w:rsidR="00F15156" w:rsidRPr="00995557">
        <w:rPr>
          <w:spacing w:val="0"/>
          <w:szCs w:val="20"/>
        </w:rPr>
        <w:t xml:space="preserve">requirieron que la Corte determine “una indemnización en equidad y de conformidad con su jurisprudencia de USD </w:t>
      </w:r>
      <w:r w:rsidR="008506F5" w:rsidRPr="00995557">
        <w:rPr>
          <w:spacing w:val="0"/>
          <w:szCs w:val="20"/>
        </w:rPr>
        <w:t>$</w:t>
      </w:r>
      <w:r w:rsidR="00F15156" w:rsidRPr="00995557">
        <w:rPr>
          <w:spacing w:val="0"/>
          <w:szCs w:val="20"/>
        </w:rPr>
        <w:t>50.000</w:t>
      </w:r>
      <w:r w:rsidR="00800322" w:rsidRPr="00995557">
        <w:rPr>
          <w:spacing w:val="0"/>
          <w:szCs w:val="20"/>
        </w:rPr>
        <w:t>,00</w:t>
      </w:r>
      <w:r w:rsidR="00F15156" w:rsidRPr="00995557">
        <w:rPr>
          <w:spacing w:val="0"/>
          <w:szCs w:val="20"/>
        </w:rPr>
        <w:t xml:space="preserve"> (cincuenta mil d</w:t>
      </w:r>
      <w:r w:rsidR="00F15156" w:rsidRPr="00995557">
        <w:rPr>
          <w:rFonts w:cs="Arial"/>
          <w:spacing w:val="0"/>
          <w:szCs w:val="20"/>
        </w:rPr>
        <w:t>ólares de los Estados Unidos de América</w:t>
      </w:r>
      <w:r w:rsidR="00F15156" w:rsidRPr="00995557">
        <w:rPr>
          <w:rFonts w:cs="Arial"/>
          <w:spacing w:val="0"/>
          <w:szCs w:val="20"/>
          <w:lang w:val="es-AR"/>
        </w:rPr>
        <w:t>) para cada uno de los familiares directos de las víctimas fallecidas o grupo familiar y los sucesores de estos”.</w:t>
      </w:r>
      <w:r w:rsidR="00B117B9" w:rsidRPr="00995557">
        <w:rPr>
          <w:rFonts w:cs="Arial"/>
          <w:b/>
          <w:color w:val="FF0000"/>
          <w:spacing w:val="0"/>
          <w:szCs w:val="20"/>
        </w:rPr>
        <w:t xml:space="preserve"> </w:t>
      </w:r>
      <w:r w:rsidR="008269F5" w:rsidRPr="00995557">
        <w:rPr>
          <w:rFonts w:cs="Arial"/>
          <w:spacing w:val="0"/>
          <w:szCs w:val="20"/>
        </w:rPr>
        <w:t xml:space="preserve">El </w:t>
      </w:r>
      <w:r w:rsidR="008269F5" w:rsidRPr="00995557">
        <w:rPr>
          <w:rFonts w:cs="Arial"/>
          <w:b/>
          <w:i/>
          <w:spacing w:val="0"/>
          <w:szCs w:val="20"/>
        </w:rPr>
        <w:t>Estado</w:t>
      </w:r>
      <w:r w:rsidR="008269F5" w:rsidRPr="00995557">
        <w:rPr>
          <w:rFonts w:cs="Arial"/>
          <w:spacing w:val="0"/>
          <w:szCs w:val="20"/>
        </w:rPr>
        <w:t xml:space="preserve"> no se pronunció al respecto.</w:t>
      </w:r>
    </w:p>
    <w:p w14:paraId="749F4095" w14:textId="77777777" w:rsidR="00B117B9" w:rsidRPr="00995557" w:rsidRDefault="00B117B9" w:rsidP="00AA627A">
      <w:pPr>
        <w:rPr>
          <w:lang w:eastAsia="es-MX"/>
        </w:rPr>
      </w:pPr>
    </w:p>
    <w:p w14:paraId="1C7D90BD" w14:textId="77777777" w:rsidR="003F2D99" w:rsidRPr="00995557" w:rsidRDefault="008900E0" w:rsidP="00AA627A">
      <w:pPr>
        <w:pStyle w:val="PrrafodeSentencia"/>
        <w:numPr>
          <w:ilvl w:val="0"/>
          <w:numId w:val="2"/>
        </w:numPr>
        <w:tabs>
          <w:tab w:val="left" w:pos="0"/>
        </w:tabs>
        <w:ind w:left="0" w:firstLine="0"/>
        <w:rPr>
          <w:spacing w:val="0"/>
          <w:szCs w:val="20"/>
        </w:rPr>
      </w:pPr>
      <w:r w:rsidRPr="00995557">
        <w:rPr>
          <w:spacing w:val="0"/>
          <w:szCs w:val="20"/>
        </w:rPr>
        <w:t>Este Tribunal ha desarrollado en su jurisprudencia el concepto de daño inmaterial, y ha</w:t>
      </w:r>
      <w:r w:rsidR="003F2D99" w:rsidRPr="00995557">
        <w:rPr>
          <w:spacing w:val="0"/>
          <w:szCs w:val="20"/>
        </w:rPr>
        <w:t xml:space="preserve"> establecido que este puede comprender tanto los sufrimientos y las aflicciones causados a la </w:t>
      </w:r>
      <w:r w:rsidR="003F2D99" w:rsidRPr="00995557">
        <w:rPr>
          <w:spacing w:val="0"/>
          <w:szCs w:val="20"/>
        </w:rPr>
        <w:lastRenderedPageBreak/>
        <w:t>víctima directa y a sus allegados, como el menoscabo de valores muy significativos para las personas, así como las alteraciones, de carácter no pecuniario, en las condiciones de existencia de la víctima o su familia</w:t>
      </w:r>
      <w:r w:rsidR="003F2D99" w:rsidRPr="00995557">
        <w:rPr>
          <w:rStyle w:val="Refdenotaalpie"/>
          <w:spacing w:val="0"/>
          <w:szCs w:val="20"/>
        </w:rPr>
        <w:footnoteReference w:id="216"/>
      </w:r>
      <w:r w:rsidR="003F2D99" w:rsidRPr="00995557">
        <w:rPr>
          <w:spacing w:val="0"/>
          <w:szCs w:val="20"/>
        </w:rPr>
        <w:t>.</w:t>
      </w:r>
    </w:p>
    <w:p w14:paraId="182658D6" w14:textId="77777777" w:rsidR="003F2D99" w:rsidRPr="00995557" w:rsidRDefault="003F2D99" w:rsidP="00AA627A">
      <w:pPr>
        <w:rPr>
          <w:lang w:eastAsia="es-MX"/>
        </w:rPr>
      </w:pPr>
    </w:p>
    <w:p w14:paraId="122AC9BC" w14:textId="2DE6E89D" w:rsidR="00B117B9" w:rsidRPr="00995557" w:rsidRDefault="004A4F6F" w:rsidP="00AA627A">
      <w:pPr>
        <w:pStyle w:val="PrrafodeSentencia"/>
        <w:numPr>
          <w:ilvl w:val="0"/>
          <w:numId w:val="2"/>
        </w:numPr>
        <w:tabs>
          <w:tab w:val="left" w:pos="0"/>
        </w:tabs>
        <w:ind w:left="0" w:firstLine="0"/>
        <w:rPr>
          <w:spacing w:val="0"/>
          <w:szCs w:val="20"/>
        </w:rPr>
      </w:pPr>
      <w:r w:rsidRPr="00995557">
        <w:rPr>
          <w:spacing w:val="0"/>
          <w:szCs w:val="20"/>
          <w:lang w:val="es-ES"/>
        </w:rPr>
        <w:t>A</w:t>
      </w:r>
      <w:r w:rsidR="003F2D99" w:rsidRPr="00995557">
        <w:rPr>
          <w:spacing w:val="0"/>
          <w:szCs w:val="20"/>
          <w:lang w:val="es-ES"/>
        </w:rPr>
        <w:t>nte las circunstancias del presente caso, las violaciones cometidas, los sufrimientos ocasionados</w:t>
      </w:r>
      <w:r w:rsidR="00F56403" w:rsidRPr="00995557">
        <w:rPr>
          <w:rStyle w:val="Refdenotaalpie"/>
          <w:spacing w:val="0"/>
          <w:szCs w:val="20"/>
        </w:rPr>
        <w:footnoteReference w:id="217"/>
      </w:r>
      <w:r w:rsidR="003F2D99" w:rsidRPr="00995557">
        <w:rPr>
          <w:spacing w:val="0"/>
          <w:szCs w:val="20"/>
          <w:lang w:val="es-ES"/>
        </w:rPr>
        <w:t xml:space="preserve"> y el tiempo transcurrido, el Tribunal fija en equidad las indemnizaciones por daño inmaterial a favor de las víctimas. En cuanto a las víctimas fallecidas, se fija un monto de cincuenta mil </w:t>
      </w:r>
      <w:r w:rsidR="003F2D99" w:rsidRPr="00995557">
        <w:rPr>
          <w:rFonts w:cs="Arial"/>
          <w:spacing w:val="0"/>
          <w:szCs w:val="20"/>
        </w:rPr>
        <w:t xml:space="preserve">dólares de los Estados Unidos de América </w:t>
      </w:r>
      <w:r w:rsidR="003F2D99" w:rsidRPr="00995557">
        <w:rPr>
          <w:spacing w:val="0"/>
          <w:szCs w:val="20"/>
        </w:rPr>
        <w:t xml:space="preserve">(USD </w:t>
      </w:r>
      <w:r w:rsidR="008506F5" w:rsidRPr="00995557">
        <w:rPr>
          <w:spacing w:val="0"/>
          <w:szCs w:val="20"/>
        </w:rPr>
        <w:t>$</w:t>
      </w:r>
      <w:r w:rsidR="003F2D99" w:rsidRPr="00995557">
        <w:rPr>
          <w:rFonts w:cs="Arial"/>
          <w:spacing w:val="0"/>
          <w:szCs w:val="20"/>
          <w:lang w:val="es-AR"/>
        </w:rPr>
        <w:t xml:space="preserve">50.000,00) </w:t>
      </w:r>
      <w:r w:rsidRPr="00995557">
        <w:rPr>
          <w:rFonts w:cs="Arial"/>
          <w:spacing w:val="0"/>
          <w:szCs w:val="20"/>
          <w:lang w:val="es-AR"/>
        </w:rPr>
        <w:t>para</w:t>
      </w:r>
      <w:r w:rsidR="003F2D99" w:rsidRPr="00995557">
        <w:rPr>
          <w:rFonts w:cs="Arial"/>
          <w:spacing w:val="0"/>
          <w:szCs w:val="20"/>
          <w:lang w:val="es-AR"/>
        </w:rPr>
        <w:t xml:space="preserve"> cada una</w:t>
      </w:r>
      <w:r w:rsidRPr="00995557">
        <w:rPr>
          <w:rFonts w:cs="Arial"/>
          <w:spacing w:val="0"/>
          <w:szCs w:val="20"/>
          <w:lang w:val="es-AR"/>
        </w:rPr>
        <w:t xml:space="preserve"> en concepto de daño inmaterial</w:t>
      </w:r>
      <w:r w:rsidR="00AF43BA" w:rsidRPr="00995557">
        <w:rPr>
          <w:rFonts w:cs="Arial"/>
          <w:spacing w:val="0"/>
          <w:szCs w:val="20"/>
          <w:lang w:val="es-AR"/>
        </w:rPr>
        <w:t xml:space="preserve">. En </w:t>
      </w:r>
      <w:r w:rsidR="00F56403" w:rsidRPr="00995557">
        <w:rPr>
          <w:rFonts w:cs="Arial"/>
          <w:spacing w:val="0"/>
          <w:szCs w:val="20"/>
          <w:lang w:val="es-AR"/>
        </w:rPr>
        <w:t>el caso del señor Orlando Edgard</w:t>
      </w:r>
      <w:r w:rsidR="00A67BA4" w:rsidRPr="00995557">
        <w:rPr>
          <w:rFonts w:cs="Arial"/>
          <w:spacing w:val="0"/>
          <w:szCs w:val="20"/>
          <w:lang w:val="es-AR"/>
        </w:rPr>
        <w:t>o Olivares</w:t>
      </w:r>
      <w:r w:rsidR="00AF43BA" w:rsidRPr="00995557">
        <w:rPr>
          <w:rFonts w:cs="Arial"/>
          <w:spacing w:val="0"/>
          <w:szCs w:val="20"/>
          <w:lang w:val="es-AR"/>
        </w:rPr>
        <w:t xml:space="preserve"> Muñoz, el monto deberá ser entregado en la forma siguiente: el cincuenta por ciento (50%) a su cónyuge, Lorenza Josefina Pérez de Olivares, y el restante cincuenta por ciento (50</w:t>
      </w:r>
      <w:r w:rsidR="00F77630" w:rsidRPr="00995557">
        <w:rPr>
          <w:rFonts w:cs="Arial"/>
          <w:spacing w:val="0"/>
          <w:szCs w:val="20"/>
          <w:lang w:val="es-AR"/>
        </w:rPr>
        <w:t>%</w:t>
      </w:r>
      <w:r w:rsidR="00AF43BA" w:rsidRPr="00995557">
        <w:rPr>
          <w:rFonts w:cs="Arial"/>
          <w:spacing w:val="0"/>
          <w:szCs w:val="20"/>
          <w:lang w:val="es-AR"/>
        </w:rPr>
        <w:t xml:space="preserve">) </w:t>
      </w:r>
      <w:r w:rsidR="00AF43BA" w:rsidRPr="00995557">
        <w:rPr>
          <w:spacing w:val="0"/>
          <w:szCs w:val="20"/>
        </w:rPr>
        <w:t>se repartirá, por partes iguales, entre los hijos de aqu</w:t>
      </w:r>
      <w:r w:rsidR="00B22152" w:rsidRPr="00995557">
        <w:rPr>
          <w:spacing w:val="0"/>
          <w:szCs w:val="20"/>
        </w:rPr>
        <w:t>e</w:t>
      </w:r>
      <w:r w:rsidR="00AF43BA" w:rsidRPr="00995557">
        <w:rPr>
          <w:spacing w:val="0"/>
          <w:szCs w:val="20"/>
        </w:rPr>
        <w:t>l, si uno o varios de los hijos hubieren fallecido ya, la parte que le o les corresponda acrecerá a la de los demás hijos de la misma víctima. En el caso de las otras seis personas fallecidas, el monto indemnizatorio deberá ser entregado a sus derechohabientes, conforme al derecho interno aplicable.</w:t>
      </w:r>
    </w:p>
    <w:p w14:paraId="0E89E96C" w14:textId="77777777" w:rsidR="00B117B9" w:rsidRPr="00995557" w:rsidRDefault="00B117B9" w:rsidP="00AA627A">
      <w:pPr>
        <w:rPr>
          <w:lang w:eastAsia="es-MX"/>
        </w:rPr>
      </w:pPr>
    </w:p>
    <w:p w14:paraId="5BCC8995" w14:textId="77777777" w:rsidR="00B117B9" w:rsidRPr="00995557" w:rsidRDefault="00B117B9" w:rsidP="00AA627A">
      <w:pPr>
        <w:pStyle w:val="PrrafodeSentencia"/>
        <w:numPr>
          <w:ilvl w:val="0"/>
          <w:numId w:val="2"/>
        </w:numPr>
        <w:tabs>
          <w:tab w:val="left" w:pos="0"/>
        </w:tabs>
        <w:ind w:left="0" w:firstLine="0"/>
        <w:rPr>
          <w:spacing w:val="0"/>
          <w:szCs w:val="20"/>
        </w:rPr>
      </w:pPr>
      <w:r w:rsidRPr="00995557">
        <w:rPr>
          <w:spacing w:val="0"/>
          <w:szCs w:val="20"/>
        </w:rPr>
        <w:t>En cuanto a las 27 víctimas lesionadas, la Corte fija</w:t>
      </w:r>
      <w:r w:rsidR="00237885" w:rsidRPr="00995557">
        <w:rPr>
          <w:spacing w:val="0"/>
          <w:szCs w:val="20"/>
        </w:rPr>
        <w:t xml:space="preserve"> en equidad</w:t>
      </w:r>
      <w:r w:rsidRPr="00995557">
        <w:rPr>
          <w:spacing w:val="0"/>
          <w:szCs w:val="20"/>
        </w:rPr>
        <w:t xml:space="preserve"> la suma de </w:t>
      </w:r>
      <w:r w:rsidRPr="00995557">
        <w:rPr>
          <w:spacing w:val="0"/>
          <w:szCs w:val="20"/>
          <w:lang w:val="es-ES" w:eastAsia="es-ES_tradnl"/>
        </w:rPr>
        <w:t xml:space="preserve">veinticinco mil dólares de los Estados Unidos de América (USD $25.000,00) </w:t>
      </w:r>
      <w:r w:rsidR="00237885" w:rsidRPr="00995557">
        <w:rPr>
          <w:spacing w:val="0"/>
          <w:szCs w:val="20"/>
          <w:lang w:val="es-ES" w:eastAsia="es-ES_tradnl"/>
        </w:rPr>
        <w:t>como daño inmaterial para</w:t>
      </w:r>
      <w:r w:rsidRPr="00995557">
        <w:rPr>
          <w:spacing w:val="0"/>
          <w:szCs w:val="20"/>
          <w:lang w:val="es-ES" w:eastAsia="es-ES_tradnl"/>
        </w:rPr>
        <w:t xml:space="preserve"> cada una de estas.</w:t>
      </w:r>
    </w:p>
    <w:p w14:paraId="50C6FF8E" w14:textId="77777777" w:rsidR="00AF43BA" w:rsidRPr="00995557" w:rsidRDefault="00AF43BA" w:rsidP="00AA627A">
      <w:pPr>
        <w:rPr>
          <w:lang w:eastAsia="es-MX"/>
        </w:rPr>
      </w:pPr>
    </w:p>
    <w:p w14:paraId="7D46D009" w14:textId="77777777" w:rsidR="00AF43BA" w:rsidRPr="00995557" w:rsidRDefault="00AF43BA" w:rsidP="00AA627A">
      <w:pPr>
        <w:pStyle w:val="PrrafodeSentencia"/>
        <w:numPr>
          <w:ilvl w:val="0"/>
          <w:numId w:val="2"/>
        </w:numPr>
        <w:tabs>
          <w:tab w:val="left" w:pos="0"/>
        </w:tabs>
        <w:ind w:left="0" w:firstLine="0"/>
        <w:rPr>
          <w:spacing w:val="0"/>
          <w:szCs w:val="20"/>
          <w:lang w:val="es-ES" w:eastAsia="es-ES_tradnl"/>
        </w:rPr>
      </w:pPr>
      <w:r w:rsidRPr="00995557">
        <w:rPr>
          <w:spacing w:val="0"/>
          <w:szCs w:val="20"/>
          <w:lang w:val="es-ES"/>
        </w:rPr>
        <w:t xml:space="preserve">Asimismo, </w:t>
      </w:r>
      <w:r w:rsidRPr="00995557">
        <w:rPr>
          <w:spacing w:val="0"/>
          <w:szCs w:val="20"/>
          <w:lang w:val="es-ES" w:eastAsia="es-ES_tradnl"/>
        </w:rPr>
        <w:t>en vista de las violaciones acreditadas en perjuicio de los familiares de las víctimas fallecidas, la Corte fija, en equidad, la suma de</w:t>
      </w:r>
      <w:r w:rsidR="00B117B9" w:rsidRPr="00995557">
        <w:rPr>
          <w:spacing w:val="0"/>
          <w:szCs w:val="20"/>
          <w:lang w:val="es-ES" w:eastAsia="es-ES_tradnl"/>
        </w:rPr>
        <w:t xml:space="preserve"> quince mil dólares de los Estados Unidos de América</w:t>
      </w:r>
      <w:r w:rsidRPr="00995557">
        <w:rPr>
          <w:spacing w:val="0"/>
          <w:szCs w:val="20"/>
          <w:lang w:val="es-ES" w:eastAsia="es-ES_tradnl"/>
        </w:rPr>
        <w:t xml:space="preserve"> </w:t>
      </w:r>
      <w:r w:rsidR="00B117B9" w:rsidRPr="00995557">
        <w:rPr>
          <w:spacing w:val="0"/>
          <w:szCs w:val="20"/>
          <w:lang w:val="es-ES" w:eastAsia="es-ES_tradnl"/>
        </w:rPr>
        <w:t>(</w:t>
      </w:r>
      <w:r w:rsidRPr="00995557">
        <w:rPr>
          <w:spacing w:val="0"/>
          <w:szCs w:val="20"/>
          <w:lang w:val="es-ES" w:eastAsia="es-ES_tradnl"/>
        </w:rPr>
        <w:t>US</w:t>
      </w:r>
      <w:r w:rsidR="004E17D2" w:rsidRPr="00995557">
        <w:rPr>
          <w:spacing w:val="0"/>
          <w:szCs w:val="20"/>
          <w:lang w:val="es-ES" w:eastAsia="es-ES_tradnl"/>
        </w:rPr>
        <w:t>D</w:t>
      </w:r>
      <w:r w:rsidR="005C5589" w:rsidRPr="00995557">
        <w:rPr>
          <w:spacing w:val="0"/>
          <w:szCs w:val="20"/>
          <w:lang w:val="es-ES" w:eastAsia="es-ES_tradnl"/>
        </w:rPr>
        <w:t xml:space="preserve"> </w:t>
      </w:r>
      <w:r w:rsidRPr="00995557">
        <w:rPr>
          <w:spacing w:val="0"/>
          <w:szCs w:val="20"/>
          <w:lang w:val="es-ES" w:eastAsia="es-ES_tradnl"/>
        </w:rPr>
        <w:t>$15.000</w:t>
      </w:r>
      <w:r w:rsidR="00B117B9" w:rsidRPr="00995557">
        <w:rPr>
          <w:spacing w:val="0"/>
          <w:szCs w:val="20"/>
          <w:lang w:val="es-ES" w:eastAsia="es-ES_tradnl"/>
        </w:rPr>
        <w:t>,00</w:t>
      </w:r>
      <w:r w:rsidRPr="00995557">
        <w:rPr>
          <w:spacing w:val="0"/>
          <w:szCs w:val="20"/>
          <w:lang w:val="es-ES" w:eastAsia="es-ES_tradnl"/>
        </w:rPr>
        <w:t xml:space="preserve">) </w:t>
      </w:r>
      <w:r w:rsidR="00B117B9" w:rsidRPr="00995557">
        <w:rPr>
          <w:spacing w:val="0"/>
          <w:szCs w:val="20"/>
          <w:lang w:val="es-ES" w:eastAsia="es-ES_tradnl"/>
        </w:rPr>
        <w:t>en</w:t>
      </w:r>
      <w:r w:rsidRPr="00995557">
        <w:rPr>
          <w:spacing w:val="0"/>
          <w:szCs w:val="20"/>
          <w:lang w:val="es-ES" w:eastAsia="es-ES_tradnl"/>
        </w:rPr>
        <w:t xml:space="preserve"> favor de</w:t>
      </w:r>
      <w:r w:rsidR="00B117B9" w:rsidRPr="00995557">
        <w:rPr>
          <w:spacing w:val="0"/>
          <w:szCs w:val="20"/>
          <w:lang w:val="es-ES" w:eastAsia="es-ES_tradnl"/>
        </w:rPr>
        <w:t xml:space="preserve"> cada una de las siguientes personas: </w:t>
      </w:r>
      <w:r w:rsidRPr="00995557">
        <w:rPr>
          <w:spacing w:val="0"/>
          <w:szCs w:val="20"/>
        </w:rPr>
        <w:t>Lorenza Josefina Pérez de Olivares, Elizabeth del Carmen Cañizales Palma, Elías José Aguirre Navas, Yngris Lorena Muñoz Valerio, José Luis Figueroa, Jenny Leomelia Reyes Guzmán y Johamnata Martínez Coralis.</w:t>
      </w:r>
    </w:p>
    <w:p w14:paraId="20A7E73A" w14:textId="77777777" w:rsidR="00CA6DF4" w:rsidRPr="00995557" w:rsidRDefault="00CA6DF4" w:rsidP="00AA627A">
      <w:pPr>
        <w:rPr>
          <w:lang w:eastAsia="es-MX"/>
        </w:rPr>
      </w:pPr>
    </w:p>
    <w:p w14:paraId="645E5C95" w14:textId="77777777" w:rsidR="00AF43BA" w:rsidRPr="00995557" w:rsidRDefault="00AF43BA" w:rsidP="00AA627A">
      <w:pPr>
        <w:pStyle w:val="Ttulo2"/>
        <w:numPr>
          <w:ilvl w:val="0"/>
          <w:numId w:val="19"/>
        </w:numPr>
        <w:tabs>
          <w:tab w:val="clear" w:pos="1134"/>
        </w:tabs>
        <w:spacing w:before="0" w:after="0"/>
        <w:ind w:left="993" w:hanging="426"/>
        <w:rPr>
          <w:lang w:eastAsia="es-ES"/>
        </w:rPr>
      </w:pPr>
      <w:bookmarkStart w:id="183" w:name="_Toc53741471"/>
      <w:bookmarkStart w:id="184" w:name="_Toc58399139"/>
      <w:r w:rsidRPr="00995557">
        <w:t>Costas y gastos</w:t>
      </w:r>
      <w:bookmarkEnd w:id="183"/>
      <w:bookmarkEnd w:id="184"/>
    </w:p>
    <w:p w14:paraId="1312A908" w14:textId="77777777" w:rsidR="00AF43BA" w:rsidRPr="00995557" w:rsidRDefault="00AF43BA" w:rsidP="00AA627A">
      <w:pPr>
        <w:pStyle w:val="PrrafodeSentencia"/>
        <w:numPr>
          <w:ilvl w:val="0"/>
          <w:numId w:val="0"/>
        </w:numPr>
        <w:ind w:firstLine="720"/>
        <w:rPr>
          <w:spacing w:val="0"/>
          <w:szCs w:val="20"/>
        </w:rPr>
      </w:pPr>
    </w:p>
    <w:p w14:paraId="4DEB56C5" w14:textId="192E5322" w:rsidR="005C5589" w:rsidRPr="00995557" w:rsidRDefault="00260EEB" w:rsidP="00AA627A">
      <w:pPr>
        <w:pStyle w:val="PrrafodeSentencia"/>
        <w:numPr>
          <w:ilvl w:val="0"/>
          <w:numId w:val="2"/>
        </w:numPr>
        <w:ind w:left="0" w:firstLine="0"/>
        <w:rPr>
          <w:spacing w:val="0"/>
          <w:szCs w:val="20"/>
        </w:rPr>
      </w:pPr>
      <w:r w:rsidRPr="00995557">
        <w:rPr>
          <w:spacing w:val="0"/>
          <w:szCs w:val="20"/>
        </w:rPr>
        <w:t xml:space="preserve">Los </w:t>
      </w:r>
      <w:r w:rsidRPr="00995557">
        <w:rPr>
          <w:b/>
          <w:i/>
          <w:spacing w:val="0"/>
          <w:szCs w:val="20"/>
        </w:rPr>
        <w:t>representantes</w:t>
      </w:r>
      <w:r w:rsidRPr="00995557">
        <w:rPr>
          <w:spacing w:val="0"/>
          <w:szCs w:val="20"/>
        </w:rPr>
        <w:t xml:space="preserve"> solicitaron, en concepto de costas y gastos, </w:t>
      </w:r>
      <w:r w:rsidR="005C5589" w:rsidRPr="00995557">
        <w:rPr>
          <w:spacing w:val="0"/>
          <w:szCs w:val="20"/>
        </w:rPr>
        <w:t xml:space="preserve">los montos correspondientes a </w:t>
      </w:r>
      <w:r w:rsidRPr="00995557">
        <w:rPr>
          <w:spacing w:val="0"/>
          <w:szCs w:val="20"/>
        </w:rPr>
        <w:t>g</w:t>
      </w:r>
      <w:r w:rsidR="005C5589" w:rsidRPr="00995557">
        <w:rPr>
          <w:spacing w:val="0"/>
          <w:szCs w:val="20"/>
        </w:rPr>
        <w:t>astos incurridos por la familia; en tal sentido, indicaron que</w:t>
      </w:r>
      <w:r w:rsidRPr="00995557">
        <w:rPr>
          <w:spacing w:val="0"/>
          <w:szCs w:val="20"/>
        </w:rPr>
        <w:t xml:space="preserve"> “[d]ebido a que </w:t>
      </w:r>
      <w:r w:rsidR="005C5589" w:rsidRPr="00995557">
        <w:rPr>
          <w:spacing w:val="0"/>
          <w:szCs w:val="20"/>
        </w:rPr>
        <w:t>[…]</w:t>
      </w:r>
      <w:r w:rsidRPr="00995557">
        <w:rPr>
          <w:spacing w:val="0"/>
          <w:szCs w:val="20"/>
        </w:rPr>
        <w:t xml:space="preserve"> no ha</w:t>
      </w:r>
      <w:r w:rsidR="005C5589" w:rsidRPr="00995557">
        <w:rPr>
          <w:spacing w:val="0"/>
          <w:szCs w:val="20"/>
        </w:rPr>
        <w:t>[n]</w:t>
      </w:r>
      <w:r w:rsidRPr="00995557">
        <w:rPr>
          <w:spacing w:val="0"/>
          <w:szCs w:val="20"/>
        </w:rPr>
        <w:t xml:space="preserve"> conservado los recibos de los gastos incurridos” se requiere que la Corte “fije en equidad la suma de diez mil (</w:t>
      </w:r>
      <w:r w:rsidR="00937F94" w:rsidRPr="00995557">
        <w:rPr>
          <w:spacing w:val="0"/>
          <w:szCs w:val="20"/>
        </w:rPr>
        <w:t>$</w:t>
      </w:r>
      <w:r w:rsidRPr="00995557">
        <w:rPr>
          <w:spacing w:val="0"/>
          <w:szCs w:val="20"/>
        </w:rPr>
        <w:t>10.000 USD) dólares de los Estados Unidos de América”, para lo cual debe tenerse en cuenta “el esfuerzo realizado por las víctimas […] para desplazarse y salvaguardar su seguridad, por estos largos quince años de espera de justicia”.</w:t>
      </w:r>
    </w:p>
    <w:p w14:paraId="586CAC9D" w14:textId="77777777" w:rsidR="005C5589" w:rsidRPr="00995557" w:rsidRDefault="005C5589" w:rsidP="00AA627A">
      <w:pPr>
        <w:pStyle w:val="PrrafodeSentencia"/>
        <w:numPr>
          <w:ilvl w:val="0"/>
          <w:numId w:val="0"/>
        </w:numPr>
        <w:rPr>
          <w:spacing w:val="0"/>
          <w:szCs w:val="20"/>
        </w:rPr>
      </w:pPr>
    </w:p>
    <w:p w14:paraId="5C26F633" w14:textId="777189CB" w:rsidR="00260EEB" w:rsidRPr="00995557" w:rsidRDefault="005C5589" w:rsidP="00AA627A">
      <w:pPr>
        <w:pStyle w:val="PrrafodeSentencia"/>
        <w:numPr>
          <w:ilvl w:val="0"/>
          <w:numId w:val="2"/>
        </w:numPr>
        <w:ind w:left="0" w:firstLine="0"/>
        <w:rPr>
          <w:spacing w:val="0"/>
          <w:szCs w:val="20"/>
        </w:rPr>
      </w:pPr>
      <w:r w:rsidRPr="00995557">
        <w:rPr>
          <w:spacing w:val="0"/>
          <w:szCs w:val="20"/>
        </w:rPr>
        <w:t xml:space="preserve">De igual forma, solicitaron el reembolso de </w:t>
      </w:r>
      <w:r w:rsidR="00260EEB" w:rsidRPr="00995557">
        <w:rPr>
          <w:spacing w:val="0"/>
          <w:szCs w:val="20"/>
        </w:rPr>
        <w:t>gastos y costas incurridos por el Obser</w:t>
      </w:r>
      <w:r w:rsidRPr="00995557">
        <w:rPr>
          <w:spacing w:val="0"/>
          <w:szCs w:val="20"/>
        </w:rPr>
        <w:t>vatorio Venezolano de Prisiones</w:t>
      </w:r>
      <w:r w:rsidR="004A4F6F" w:rsidRPr="00995557">
        <w:rPr>
          <w:spacing w:val="0"/>
          <w:szCs w:val="20"/>
        </w:rPr>
        <w:t>. P</w:t>
      </w:r>
      <w:r w:rsidRPr="00995557">
        <w:rPr>
          <w:spacing w:val="0"/>
          <w:szCs w:val="20"/>
        </w:rPr>
        <w:t>ara el efecto,</w:t>
      </w:r>
      <w:r w:rsidR="00260EEB" w:rsidRPr="00995557">
        <w:rPr>
          <w:spacing w:val="0"/>
          <w:szCs w:val="20"/>
        </w:rPr>
        <w:t xml:space="preserve"> señalaron que realizaron erogaciones ante el Sistema Interamericano, las que </w:t>
      </w:r>
      <w:r w:rsidRPr="00995557">
        <w:rPr>
          <w:spacing w:val="0"/>
          <w:szCs w:val="20"/>
        </w:rPr>
        <w:t>requirieron</w:t>
      </w:r>
      <w:r w:rsidR="00260EEB" w:rsidRPr="00995557">
        <w:rPr>
          <w:spacing w:val="0"/>
          <w:szCs w:val="20"/>
        </w:rPr>
        <w:t xml:space="preserve"> que sean cuantificadas prudencialmente y en equidad, </w:t>
      </w:r>
      <w:r w:rsidRPr="00995557">
        <w:rPr>
          <w:spacing w:val="0"/>
          <w:szCs w:val="20"/>
        </w:rPr>
        <w:t xml:space="preserve">ante la </w:t>
      </w:r>
      <w:r w:rsidR="00174BE9" w:rsidRPr="00995557">
        <w:rPr>
          <w:spacing w:val="0"/>
          <w:szCs w:val="20"/>
        </w:rPr>
        <w:t>imposibilidad</w:t>
      </w:r>
      <w:r w:rsidRPr="00995557">
        <w:rPr>
          <w:spacing w:val="0"/>
          <w:szCs w:val="20"/>
        </w:rPr>
        <w:t xml:space="preserve"> de presentar</w:t>
      </w:r>
      <w:r w:rsidR="00260EEB" w:rsidRPr="00995557">
        <w:rPr>
          <w:spacing w:val="0"/>
          <w:szCs w:val="20"/>
        </w:rPr>
        <w:t xml:space="preserve"> compr</w:t>
      </w:r>
      <w:r w:rsidRPr="00995557">
        <w:rPr>
          <w:spacing w:val="0"/>
          <w:szCs w:val="20"/>
        </w:rPr>
        <w:t>obantes que permitan su cálculo. A</w:t>
      </w:r>
      <w:r w:rsidR="00260EEB" w:rsidRPr="00995557">
        <w:rPr>
          <w:spacing w:val="0"/>
          <w:szCs w:val="20"/>
        </w:rPr>
        <w:t xml:space="preserve">gregaron que se tome en cuenta “que el proceso fue acompañado a nivel interno e internacional” y que “[a]l menos se ha acompañado por un profesional durante todo este tiempo de quince años”. A partir de lo anterior, solicitaron que se reconozca mil dólares de los Estados Unidos de América (USD </w:t>
      </w:r>
      <w:r w:rsidR="008506F5" w:rsidRPr="00995557">
        <w:rPr>
          <w:spacing w:val="0"/>
          <w:szCs w:val="20"/>
        </w:rPr>
        <w:t>$</w:t>
      </w:r>
      <w:r w:rsidR="00260EEB" w:rsidRPr="00995557">
        <w:rPr>
          <w:spacing w:val="0"/>
          <w:szCs w:val="20"/>
        </w:rPr>
        <w:t xml:space="preserve">1,000.00) por cada año, acompañando el caso en sede nacional e internacional, requiriendo que estos gastos “sean estimados bajo el principio de equidad por la Corte por un valor de quince mil (15.000 USD) dólares de los Estados Unidos de América y que dicha </w:t>
      </w:r>
      <w:r w:rsidR="00260EEB" w:rsidRPr="00995557">
        <w:rPr>
          <w:spacing w:val="0"/>
          <w:szCs w:val="20"/>
        </w:rPr>
        <w:lastRenderedPageBreak/>
        <w:t>cantidad sea entregada</w:t>
      </w:r>
      <w:r w:rsidR="008506F5" w:rsidRPr="00995557">
        <w:rPr>
          <w:spacing w:val="0"/>
          <w:szCs w:val="20"/>
        </w:rPr>
        <w:t xml:space="preserve"> directamente a la organización”</w:t>
      </w:r>
      <w:r w:rsidR="00260EEB" w:rsidRPr="00995557">
        <w:rPr>
          <w:spacing w:val="0"/>
          <w:szCs w:val="20"/>
        </w:rPr>
        <w:t>.</w:t>
      </w:r>
      <w:r w:rsidR="00F56403" w:rsidRPr="00995557">
        <w:rPr>
          <w:rFonts w:cs="Arial"/>
          <w:b/>
          <w:spacing w:val="0"/>
          <w:szCs w:val="20"/>
        </w:rPr>
        <w:t xml:space="preserve"> </w:t>
      </w:r>
      <w:r w:rsidR="00260EEB" w:rsidRPr="00995557">
        <w:rPr>
          <w:rFonts w:cs="Arial"/>
          <w:spacing w:val="0"/>
          <w:szCs w:val="20"/>
        </w:rPr>
        <w:t xml:space="preserve">El </w:t>
      </w:r>
      <w:r w:rsidR="00260EEB" w:rsidRPr="00995557">
        <w:rPr>
          <w:rFonts w:cs="Arial"/>
          <w:b/>
          <w:i/>
          <w:spacing w:val="0"/>
          <w:szCs w:val="20"/>
        </w:rPr>
        <w:t>Estado</w:t>
      </w:r>
      <w:r w:rsidR="00260EEB" w:rsidRPr="00995557">
        <w:rPr>
          <w:rFonts w:cs="Arial"/>
          <w:spacing w:val="0"/>
          <w:szCs w:val="20"/>
        </w:rPr>
        <w:t xml:space="preserve"> no se pronunció al respecto.</w:t>
      </w:r>
    </w:p>
    <w:p w14:paraId="5DBFE355" w14:textId="77777777" w:rsidR="00260EEB" w:rsidRPr="00995557" w:rsidRDefault="00260EEB" w:rsidP="00AA627A">
      <w:pPr>
        <w:pStyle w:val="PrrafodeSentencia"/>
        <w:numPr>
          <w:ilvl w:val="0"/>
          <w:numId w:val="0"/>
        </w:numPr>
        <w:tabs>
          <w:tab w:val="left" w:pos="0"/>
        </w:tabs>
        <w:rPr>
          <w:spacing w:val="0"/>
          <w:szCs w:val="20"/>
        </w:rPr>
      </w:pPr>
    </w:p>
    <w:p w14:paraId="258127CB" w14:textId="6C75E17E" w:rsidR="008900E0" w:rsidRPr="00995557" w:rsidRDefault="008900E0" w:rsidP="00AA627A">
      <w:pPr>
        <w:pStyle w:val="PrrafodeSentencia"/>
        <w:numPr>
          <w:ilvl w:val="0"/>
          <w:numId w:val="2"/>
        </w:numPr>
        <w:ind w:left="0" w:firstLine="0"/>
        <w:rPr>
          <w:spacing w:val="0"/>
          <w:szCs w:val="20"/>
        </w:rPr>
      </w:pPr>
      <w:r w:rsidRPr="00995557">
        <w:rPr>
          <w:spacing w:val="0"/>
          <w:szCs w:val="20"/>
        </w:rPr>
        <w:t xml:space="preserve">La </w:t>
      </w:r>
      <w:r w:rsidRPr="00995557">
        <w:rPr>
          <w:rFonts w:cs="Verdana"/>
          <w:spacing w:val="0"/>
          <w:szCs w:val="20"/>
        </w:rPr>
        <w:t>Corte</w:t>
      </w:r>
      <w:r w:rsidRPr="00995557">
        <w:rPr>
          <w:spacing w:val="0"/>
          <w:szCs w:val="20"/>
        </w:rPr>
        <w:t xml:space="preserve"> reitera que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w:t>
      </w:r>
      <w:r w:rsidR="009306E5" w:rsidRPr="00995557">
        <w:rPr>
          <w:spacing w:val="0"/>
          <w:szCs w:val="20"/>
        </w:rPr>
        <w:t xml:space="preserve"> </w:t>
      </w:r>
      <w:r w:rsidRPr="00995557">
        <w:rPr>
          <w:rFonts w:cs="Verdana"/>
          <w:spacing w:val="0"/>
          <w:szCs w:val="20"/>
        </w:rPr>
        <w:t xml:space="preserve">En cuanto al reembolso de las costas y gastos, corresponde al Tribunal apreciar </w:t>
      </w:r>
      <w:r w:rsidRPr="00995557">
        <w:rPr>
          <w:spacing w:val="0"/>
          <w:szCs w:val="20"/>
        </w:rPr>
        <w:t>prudentemente</w:t>
      </w:r>
      <w:r w:rsidRPr="00995557">
        <w:rPr>
          <w:rFonts w:cs="Verdana"/>
          <w:spacing w:val="0"/>
          <w:szCs w:val="20"/>
        </w:rPr>
        <w:t xml:space="preserv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995557">
        <w:rPr>
          <w:rFonts w:cs="Verdana"/>
          <w:i/>
          <w:iCs/>
          <w:spacing w:val="0"/>
          <w:szCs w:val="20"/>
        </w:rPr>
        <w:t>quantum</w:t>
      </w:r>
      <w:r w:rsidRPr="00995557">
        <w:rPr>
          <w:rFonts w:cs="Verdana"/>
          <w:iCs/>
          <w:spacing w:val="0"/>
          <w:szCs w:val="20"/>
        </w:rPr>
        <w:t xml:space="preserve"> </w:t>
      </w:r>
      <w:r w:rsidRPr="00995557">
        <w:rPr>
          <w:rFonts w:cs="Verdana"/>
          <w:spacing w:val="0"/>
          <w:szCs w:val="20"/>
        </w:rPr>
        <w:t>sea razonable</w:t>
      </w:r>
      <w:r w:rsidR="005D751C" w:rsidRPr="00995557">
        <w:rPr>
          <w:spacing w:val="0"/>
          <w:szCs w:val="20"/>
          <w:vertAlign w:val="superscript"/>
        </w:rPr>
        <w:footnoteReference w:id="218"/>
      </w:r>
      <w:r w:rsidRPr="00995557">
        <w:rPr>
          <w:spacing w:val="0"/>
          <w:szCs w:val="20"/>
        </w:rPr>
        <w:t>.</w:t>
      </w:r>
    </w:p>
    <w:p w14:paraId="66E07082" w14:textId="77777777" w:rsidR="00260EEB" w:rsidRPr="00995557" w:rsidRDefault="00260EEB" w:rsidP="00AA627A">
      <w:pPr>
        <w:rPr>
          <w:lang w:eastAsia="es-MX"/>
        </w:rPr>
      </w:pPr>
    </w:p>
    <w:p w14:paraId="4B491C4B" w14:textId="46A449B0" w:rsidR="008900E0" w:rsidRPr="00995557" w:rsidRDefault="0033323B" w:rsidP="00AA627A">
      <w:pPr>
        <w:pStyle w:val="PrrafodeSentencia"/>
        <w:numPr>
          <w:ilvl w:val="0"/>
          <w:numId w:val="2"/>
        </w:numPr>
        <w:ind w:left="0" w:firstLine="0"/>
        <w:rPr>
          <w:spacing w:val="0"/>
          <w:szCs w:val="20"/>
        </w:rPr>
      </w:pPr>
      <w:r w:rsidRPr="00995557">
        <w:rPr>
          <w:spacing w:val="0"/>
          <w:szCs w:val="20"/>
        </w:rPr>
        <w:t xml:space="preserve">Este Tribunal ha señalado que </w:t>
      </w:r>
      <w:r w:rsidR="008900E0" w:rsidRPr="00995557">
        <w:rPr>
          <w:spacing w:val="0"/>
          <w:szCs w:val="20"/>
        </w:rPr>
        <w:t xml:space="preserve">las pretensiones de las víctimas o sus representantes en materia de costas y gastos, y las pruebas que las sustentan, deben presentarse a la Corte en el primer momento procesal que se les concede, esto es, en el escrito de solicitudes y argumentos, </w:t>
      </w:r>
      <w:r w:rsidR="008900E0" w:rsidRPr="00995557">
        <w:rPr>
          <w:rFonts w:cs="Verdana"/>
          <w:spacing w:val="0"/>
          <w:szCs w:val="20"/>
        </w:rPr>
        <w:t>sin</w:t>
      </w:r>
      <w:r w:rsidR="008900E0" w:rsidRPr="00995557">
        <w:rPr>
          <w:spacing w:val="0"/>
          <w:szCs w:val="20"/>
        </w:rPr>
        <w:t xml:space="preserve"> perjuicio de que tales pretensiones se actualicen en un momento posterior, conforme a las nuevas costas y gastos en que se haya incurrido con ocasión de</w:t>
      </w:r>
      <w:r w:rsidRPr="00995557">
        <w:rPr>
          <w:spacing w:val="0"/>
          <w:szCs w:val="20"/>
        </w:rPr>
        <w:t>l procedimiento ante esta Corte</w:t>
      </w:r>
      <w:r w:rsidR="008900E0" w:rsidRPr="00995557">
        <w:rPr>
          <w:spacing w:val="0"/>
          <w:szCs w:val="20"/>
          <w:vertAlign w:val="superscript"/>
        </w:rPr>
        <w:footnoteReference w:id="219"/>
      </w:r>
      <w:r w:rsidR="008900E0" w:rsidRPr="00995557">
        <w:rPr>
          <w:spacing w:val="0"/>
          <w:szCs w:val="20"/>
        </w:rPr>
        <w:t xml:space="preserve">.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w:t>
      </w:r>
      <w:proofErr w:type="gramStart"/>
      <w:r w:rsidR="008900E0" w:rsidRPr="00995557">
        <w:rPr>
          <w:spacing w:val="0"/>
          <w:szCs w:val="20"/>
        </w:rPr>
        <w:t>los mismos</w:t>
      </w:r>
      <w:proofErr w:type="gramEnd"/>
      <w:r w:rsidR="008900E0" w:rsidRPr="00995557">
        <w:rPr>
          <w:spacing w:val="0"/>
          <w:szCs w:val="20"/>
          <w:vertAlign w:val="superscript"/>
        </w:rPr>
        <w:footnoteReference w:id="220"/>
      </w:r>
      <w:r w:rsidR="008900E0" w:rsidRPr="00995557">
        <w:rPr>
          <w:spacing w:val="0"/>
          <w:szCs w:val="20"/>
        </w:rPr>
        <w:t>.</w:t>
      </w:r>
      <w:bookmarkStart w:id="185" w:name="_Ref33110670"/>
    </w:p>
    <w:p w14:paraId="4ECF46C2" w14:textId="77777777" w:rsidR="00260EEB" w:rsidRPr="00995557" w:rsidRDefault="00260EEB" w:rsidP="00AA627A">
      <w:pPr>
        <w:rPr>
          <w:lang w:eastAsia="es-MX"/>
        </w:rPr>
      </w:pPr>
    </w:p>
    <w:p w14:paraId="00DA4E55" w14:textId="77777777" w:rsidR="00260EEB" w:rsidRPr="00995557" w:rsidRDefault="002D163E" w:rsidP="00AA627A">
      <w:pPr>
        <w:pStyle w:val="PrrafodeSentencia"/>
        <w:numPr>
          <w:ilvl w:val="0"/>
          <w:numId w:val="2"/>
        </w:numPr>
        <w:ind w:left="0" w:firstLine="0"/>
        <w:rPr>
          <w:rFonts w:cs="Verdana"/>
          <w:spacing w:val="0"/>
          <w:szCs w:val="20"/>
        </w:rPr>
      </w:pPr>
      <w:bookmarkStart w:id="186" w:name="_Ref36651082"/>
      <w:r w:rsidRPr="00995557">
        <w:rPr>
          <w:spacing w:val="0"/>
          <w:szCs w:val="20"/>
        </w:rPr>
        <w:t>En el presente caso, no consta en el expediente respaldo probatorio preciso en relación con las costas y gastos en los cuales incurrieron los representantes respecto a la tramitación del caso ante la Corte. No obstante, el Tribunal considera que tales trámites necesariamente implicaron erogaciones pecuniarias, por lo que determina que el Estado debe entregar a</w:t>
      </w:r>
      <w:r w:rsidR="001041DD" w:rsidRPr="00995557">
        <w:rPr>
          <w:spacing w:val="0"/>
          <w:szCs w:val="20"/>
        </w:rPr>
        <w:t xml:space="preserve">l Observatorio Venezolano de Prisiones </w:t>
      </w:r>
      <w:r w:rsidRPr="00995557">
        <w:rPr>
          <w:spacing w:val="0"/>
          <w:szCs w:val="20"/>
        </w:rPr>
        <w:t>la cantidad de US</w:t>
      </w:r>
      <w:r w:rsidR="004E17D2" w:rsidRPr="00995557">
        <w:rPr>
          <w:spacing w:val="0"/>
          <w:szCs w:val="20"/>
        </w:rPr>
        <w:t>D $</w:t>
      </w:r>
      <w:r w:rsidR="00CA361E" w:rsidRPr="00995557">
        <w:rPr>
          <w:spacing w:val="0"/>
          <w:szCs w:val="20"/>
        </w:rPr>
        <w:t>20</w:t>
      </w:r>
      <w:r w:rsidRPr="00995557">
        <w:rPr>
          <w:spacing w:val="0"/>
          <w:szCs w:val="20"/>
        </w:rPr>
        <w:t>.000,00 (</w:t>
      </w:r>
      <w:r w:rsidR="00CA361E" w:rsidRPr="00995557">
        <w:rPr>
          <w:spacing w:val="0"/>
          <w:szCs w:val="20"/>
        </w:rPr>
        <w:t>veinte</w:t>
      </w:r>
      <w:r w:rsidRPr="00995557">
        <w:rPr>
          <w:spacing w:val="0"/>
          <w:szCs w:val="20"/>
        </w:rPr>
        <w:t xml:space="preserve"> mil dólares de los Estados Unidos de América) por concepto de costas y gastos. Por otro lado, </w:t>
      </w:r>
      <w:r w:rsidRPr="00995557">
        <w:rPr>
          <w:rFonts w:eastAsiaTheme="minorHAnsi" w:cs="Times New Roman"/>
          <w:spacing w:val="0"/>
          <w:szCs w:val="20"/>
          <w:lang w:val="es-GT" w:eastAsia="en-US"/>
        </w:rPr>
        <w:t>se advierte</w:t>
      </w:r>
      <w:r w:rsidRPr="00995557">
        <w:rPr>
          <w:spacing w:val="0"/>
          <w:szCs w:val="20"/>
        </w:rPr>
        <w:t xml:space="preserve"> que las representantes solicitaron el pago de un monto de co</w:t>
      </w:r>
      <w:r w:rsidR="00EC7AB4" w:rsidRPr="00995557">
        <w:rPr>
          <w:spacing w:val="0"/>
          <w:szCs w:val="20"/>
        </w:rPr>
        <w:t xml:space="preserve">stas y gastos directamente para </w:t>
      </w:r>
      <w:r w:rsidR="005761A6" w:rsidRPr="00995557">
        <w:rPr>
          <w:spacing w:val="0"/>
          <w:szCs w:val="20"/>
        </w:rPr>
        <w:t>“</w:t>
      </w:r>
      <w:r w:rsidRPr="00995557">
        <w:rPr>
          <w:spacing w:val="0"/>
          <w:szCs w:val="20"/>
        </w:rPr>
        <w:t xml:space="preserve">la familia”; sin embargo, los gastos relacionados con la búsqueda de justica ya fueron considerados como parte del daño material, en atención a lo requerido por los propios representantes. Cabe agregar </w:t>
      </w:r>
      <w:proofErr w:type="gramStart"/>
      <w:r w:rsidRPr="00995557">
        <w:rPr>
          <w:spacing w:val="0"/>
          <w:szCs w:val="20"/>
        </w:rPr>
        <w:t>que</w:t>
      </w:r>
      <w:proofErr w:type="gramEnd"/>
      <w:r w:rsidRPr="00995557">
        <w:rPr>
          <w:spacing w:val="0"/>
          <w:szCs w:val="20"/>
        </w:rPr>
        <w:t xml:space="preserve"> en la etapa de supervisión de cumplimiento de la presente Sentencia, la Corte podrá disponer que el Estado reembolse a las víctimas o sus representantes los gastos razonables en que incurran en dicha etapa procesa</w:t>
      </w:r>
      <w:bookmarkEnd w:id="185"/>
      <w:bookmarkEnd w:id="186"/>
      <w:r w:rsidRPr="00995557">
        <w:rPr>
          <w:spacing w:val="0"/>
          <w:szCs w:val="20"/>
        </w:rPr>
        <w:t>l</w:t>
      </w:r>
      <w:r w:rsidR="00260EEB" w:rsidRPr="00995557">
        <w:rPr>
          <w:rStyle w:val="Refdenotaalpie"/>
          <w:spacing w:val="0"/>
          <w:szCs w:val="20"/>
        </w:rPr>
        <w:footnoteReference w:id="221"/>
      </w:r>
      <w:r w:rsidR="00260EEB" w:rsidRPr="00995557">
        <w:rPr>
          <w:rFonts w:cs="Verdana"/>
          <w:spacing w:val="0"/>
          <w:szCs w:val="20"/>
        </w:rPr>
        <w:t>.</w:t>
      </w:r>
    </w:p>
    <w:p w14:paraId="51FBBBCA" w14:textId="77777777" w:rsidR="002D163E" w:rsidRPr="00995557" w:rsidRDefault="002D163E" w:rsidP="00AA627A">
      <w:pPr>
        <w:pStyle w:val="PrrafodeSentencia"/>
        <w:numPr>
          <w:ilvl w:val="0"/>
          <w:numId w:val="0"/>
        </w:numPr>
        <w:rPr>
          <w:spacing w:val="0"/>
          <w:szCs w:val="20"/>
        </w:rPr>
      </w:pPr>
    </w:p>
    <w:p w14:paraId="416014F7" w14:textId="77777777" w:rsidR="008900E0" w:rsidRPr="00995557" w:rsidRDefault="008900E0" w:rsidP="00AA627A">
      <w:pPr>
        <w:pStyle w:val="Ttulo2"/>
        <w:numPr>
          <w:ilvl w:val="0"/>
          <w:numId w:val="19"/>
        </w:numPr>
        <w:tabs>
          <w:tab w:val="clear" w:pos="1134"/>
        </w:tabs>
        <w:spacing w:before="0" w:after="0"/>
        <w:ind w:left="993" w:hanging="426"/>
        <w:rPr>
          <w:lang w:eastAsia="es-ES"/>
        </w:rPr>
      </w:pPr>
      <w:bookmarkStart w:id="187" w:name="_Toc36823518"/>
      <w:bookmarkStart w:id="188" w:name="_Toc53741472"/>
      <w:bookmarkStart w:id="189" w:name="_Toc58399140"/>
      <w:r w:rsidRPr="00995557">
        <w:t>Reintegro de los gastos al Fondo de Asistencia Legal de Víctimas</w:t>
      </w:r>
      <w:bookmarkEnd w:id="187"/>
      <w:bookmarkEnd w:id="188"/>
      <w:bookmarkEnd w:id="189"/>
    </w:p>
    <w:p w14:paraId="1E113235" w14:textId="77777777" w:rsidR="002D163E" w:rsidRPr="00995557" w:rsidRDefault="002D163E" w:rsidP="00AA627A">
      <w:pPr>
        <w:pStyle w:val="PrrafodeSentencia"/>
        <w:numPr>
          <w:ilvl w:val="0"/>
          <w:numId w:val="0"/>
        </w:numPr>
        <w:rPr>
          <w:b/>
          <w:spacing w:val="0"/>
          <w:szCs w:val="20"/>
        </w:rPr>
      </w:pPr>
    </w:p>
    <w:p w14:paraId="14BFD301" w14:textId="77777777" w:rsidR="002D163E" w:rsidRPr="00995557" w:rsidRDefault="008900E0" w:rsidP="00AA627A">
      <w:pPr>
        <w:pStyle w:val="PrrafodeSentencia"/>
        <w:numPr>
          <w:ilvl w:val="0"/>
          <w:numId w:val="2"/>
        </w:numPr>
        <w:ind w:left="0" w:firstLine="0"/>
        <w:rPr>
          <w:spacing w:val="0"/>
          <w:szCs w:val="20"/>
        </w:rPr>
      </w:pPr>
      <w:r w:rsidRPr="00995557">
        <w:rPr>
          <w:spacing w:val="0"/>
          <w:szCs w:val="20"/>
        </w:rPr>
        <w:t xml:space="preserve">En el presente caso, mediante </w:t>
      </w:r>
      <w:r w:rsidR="002D163E" w:rsidRPr="00995557">
        <w:rPr>
          <w:spacing w:val="0"/>
          <w:szCs w:val="20"/>
        </w:rPr>
        <w:t>Resolución</w:t>
      </w:r>
      <w:r w:rsidRPr="00995557">
        <w:rPr>
          <w:spacing w:val="0"/>
          <w:szCs w:val="20"/>
        </w:rPr>
        <w:t xml:space="preserve"> de </w:t>
      </w:r>
      <w:r w:rsidR="002D163E" w:rsidRPr="00995557">
        <w:rPr>
          <w:spacing w:val="0"/>
          <w:szCs w:val="20"/>
        </w:rPr>
        <w:t xml:space="preserve">21 de febrero de 2020, la </w:t>
      </w:r>
      <w:proofErr w:type="gramStart"/>
      <w:r w:rsidR="002D163E" w:rsidRPr="00995557">
        <w:rPr>
          <w:spacing w:val="0"/>
          <w:szCs w:val="20"/>
        </w:rPr>
        <w:t>Presidenta</w:t>
      </w:r>
      <w:proofErr w:type="gramEnd"/>
      <w:r w:rsidRPr="00995557">
        <w:rPr>
          <w:spacing w:val="0"/>
          <w:szCs w:val="20"/>
        </w:rPr>
        <w:t xml:space="preserve"> de la Corte declaró procedente la solicitud presentada por </w:t>
      </w:r>
      <w:r w:rsidR="002D163E" w:rsidRPr="00995557">
        <w:rPr>
          <w:spacing w:val="0"/>
          <w:szCs w:val="20"/>
        </w:rPr>
        <w:t>Lorenza Josefina Pérez de Olivares</w:t>
      </w:r>
      <w:r w:rsidRPr="00995557">
        <w:rPr>
          <w:spacing w:val="0"/>
          <w:szCs w:val="20"/>
        </w:rPr>
        <w:t xml:space="preserve">, </w:t>
      </w:r>
      <w:r w:rsidR="002D163E" w:rsidRPr="00995557">
        <w:rPr>
          <w:spacing w:val="0"/>
          <w:szCs w:val="20"/>
        </w:rPr>
        <w:t xml:space="preserve">por </w:t>
      </w:r>
      <w:r w:rsidR="002D163E" w:rsidRPr="00995557">
        <w:rPr>
          <w:spacing w:val="0"/>
          <w:szCs w:val="20"/>
        </w:rPr>
        <w:lastRenderedPageBreak/>
        <w:t>medio</w:t>
      </w:r>
      <w:r w:rsidRPr="00995557">
        <w:rPr>
          <w:spacing w:val="0"/>
          <w:szCs w:val="20"/>
        </w:rPr>
        <w:t xml:space="preserve"> de sus representantes, para acogerse al Fondo de Asistencia Legal</w:t>
      </w:r>
      <w:r w:rsidR="002D163E" w:rsidRPr="00995557">
        <w:rPr>
          <w:spacing w:val="0"/>
          <w:szCs w:val="20"/>
        </w:rPr>
        <w:t xml:space="preserve"> de Víctimas de la Corte</w:t>
      </w:r>
      <w:r w:rsidR="00E23DEE" w:rsidRPr="00995557">
        <w:rPr>
          <w:spacing w:val="0"/>
          <w:szCs w:val="20"/>
        </w:rPr>
        <w:t xml:space="preserve"> (en adelante también “Fondo de Asistencia”)</w:t>
      </w:r>
      <w:r w:rsidRPr="00995557">
        <w:rPr>
          <w:spacing w:val="0"/>
          <w:szCs w:val="20"/>
        </w:rPr>
        <w:t xml:space="preserve">. En </w:t>
      </w:r>
      <w:r w:rsidR="002D163E" w:rsidRPr="00995557">
        <w:rPr>
          <w:spacing w:val="0"/>
          <w:szCs w:val="20"/>
        </w:rPr>
        <w:t>dicha</w:t>
      </w:r>
      <w:r w:rsidRPr="00995557">
        <w:rPr>
          <w:spacing w:val="0"/>
          <w:szCs w:val="20"/>
        </w:rPr>
        <w:t xml:space="preserve"> Resolución se dispuso la asistencia económica necesaria para cubrir los gastos</w:t>
      </w:r>
      <w:r w:rsidR="002D163E" w:rsidRPr="00995557">
        <w:rPr>
          <w:spacing w:val="0"/>
          <w:szCs w:val="20"/>
        </w:rPr>
        <w:t xml:space="preserve"> de viaje y estadía necesarios para que Lorenza Josefina Pérez de Olivares y Antoniet</w:t>
      </w:r>
      <w:r w:rsidR="00A40E14" w:rsidRPr="00995557">
        <w:rPr>
          <w:spacing w:val="0"/>
          <w:szCs w:val="20"/>
        </w:rPr>
        <w:t>t</w:t>
      </w:r>
      <w:r w:rsidR="002D163E" w:rsidRPr="00995557">
        <w:rPr>
          <w:spacing w:val="0"/>
          <w:szCs w:val="20"/>
        </w:rPr>
        <w:t xml:space="preserve">a </w:t>
      </w:r>
      <w:r w:rsidR="00A40E14" w:rsidRPr="00995557">
        <w:rPr>
          <w:spacing w:val="0"/>
          <w:szCs w:val="20"/>
        </w:rPr>
        <w:t xml:space="preserve">de </w:t>
      </w:r>
      <w:r w:rsidR="002D163E" w:rsidRPr="00995557">
        <w:rPr>
          <w:spacing w:val="0"/>
          <w:szCs w:val="20"/>
        </w:rPr>
        <w:t>Dominicis</w:t>
      </w:r>
      <w:r w:rsidR="001041DD" w:rsidRPr="00995557">
        <w:rPr>
          <w:spacing w:val="0"/>
          <w:szCs w:val="20"/>
        </w:rPr>
        <w:t xml:space="preserve"> </w:t>
      </w:r>
      <w:r w:rsidR="002D163E" w:rsidRPr="00995557">
        <w:rPr>
          <w:spacing w:val="0"/>
          <w:szCs w:val="20"/>
        </w:rPr>
        <w:t xml:space="preserve">comparecieran ante el Tribunal a rendir su declaración, y para que dos representantes legales también comparecieran a la audiencia pública programada para el 16 de marzo de 2020, así como para los gastos razonables de formalización y envío de las declaraciones por </w:t>
      </w:r>
      <w:r w:rsidR="002D163E" w:rsidRPr="00995557">
        <w:rPr>
          <w:i/>
          <w:spacing w:val="0"/>
          <w:szCs w:val="20"/>
        </w:rPr>
        <w:t>affidávit</w:t>
      </w:r>
      <w:r w:rsidR="002D163E" w:rsidRPr="00995557">
        <w:rPr>
          <w:spacing w:val="0"/>
          <w:szCs w:val="20"/>
        </w:rPr>
        <w:t xml:space="preserve"> de Víctor Rodríguez Rescia, Hani Abdelwahab, Melissa Silva, Mayra Ramallo, Magaly Mercedes Vásquez González y Pedro Enrique Rodríguez Rojas, las que fueron ofrecidas por los representantes.</w:t>
      </w:r>
    </w:p>
    <w:p w14:paraId="1E0E863C" w14:textId="77777777" w:rsidR="002D163E" w:rsidRPr="00995557" w:rsidRDefault="002D163E" w:rsidP="00AA627A">
      <w:pPr>
        <w:rPr>
          <w:lang w:eastAsia="es-MX"/>
        </w:rPr>
      </w:pPr>
    </w:p>
    <w:p w14:paraId="2E408078" w14:textId="77777777" w:rsidR="00991E20" w:rsidRPr="00995557" w:rsidRDefault="002D163E" w:rsidP="00AA627A">
      <w:pPr>
        <w:pStyle w:val="PrrafodeSentencia"/>
        <w:numPr>
          <w:ilvl w:val="0"/>
          <w:numId w:val="2"/>
        </w:numPr>
        <w:ind w:left="0" w:firstLine="0"/>
        <w:rPr>
          <w:rFonts w:eastAsia="Times New Roman" w:cs="Arial"/>
          <w:spacing w:val="0"/>
          <w:szCs w:val="20"/>
          <w:lang w:eastAsia="es-GT"/>
        </w:rPr>
      </w:pPr>
      <w:r w:rsidRPr="00995557">
        <w:rPr>
          <w:spacing w:val="0"/>
          <w:szCs w:val="20"/>
        </w:rPr>
        <w:t>Mediante comunicaciones de 11 de marzo de 2020, la Secretaría de la Corte informó a</w:t>
      </w:r>
      <w:r w:rsidR="00991E20" w:rsidRPr="00995557">
        <w:rPr>
          <w:spacing w:val="0"/>
          <w:szCs w:val="20"/>
        </w:rPr>
        <w:t xml:space="preserve"> las partes</w:t>
      </w:r>
      <w:r w:rsidRPr="00995557">
        <w:rPr>
          <w:spacing w:val="0"/>
          <w:szCs w:val="20"/>
        </w:rPr>
        <w:t xml:space="preserve"> y a la Comisión que, </w:t>
      </w:r>
      <w:r w:rsidR="00991E20" w:rsidRPr="00995557">
        <w:rPr>
          <w:spacing w:val="0"/>
          <w:szCs w:val="20"/>
        </w:rPr>
        <w:t xml:space="preserve">ante la situación originada por la propagación de la pandemia que afectaba a nivel global, </w:t>
      </w:r>
      <w:r w:rsidRPr="00995557">
        <w:rPr>
          <w:spacing w:val="0"/>
          <w:szCs w:val="20"/>
        </w:rPr>
        <w:t xml:space="preserve">la </w:t>
      </w:r>
      <w:proofErr w:type="gramStart"/>
      <w:r w:rsidRPr="00995557">
        <w:rPr>
          <w:spacing w:val="0"/>
          <w:szCs w:val="20"/>
        </w:rPr>
        <w:t>Presidenta</w:t>
      </w:r>
      <w:proofErr w:type="gramEnd"/>
      <w:r w:rsidRPr="00995557">
        <w:rPr>
          <w:spacing w:val="0"/>
          <w:szCs w:val="20"/>
        </w:rPr>
        <w:t xml:space="preserve"> decidió suspender las audiencias públicas programadas para la semana del 16 al 20 de marzo de 2020.</w:t>
      </w:r>
      <w:r w:rsidR="00991E20" w:rsidRPr="00995557">
        <w:rPr>
          <w:spacing w:val="0"/>
          <w:szCs w:val="20"/>
        </w:rPr>
        <w:t xml:space="preserve"> </w:t>
      </w:r>
      <w:r w:rsidR="009C65CE" w:rsidRPr="00995557">
        <w:rPr>
          <w:spacing w:val="0"/>
          <w:szCs w:val="20"/>
        </w:rPr>
        <w:t xml:space="preserve">En tal sentido, mediante Resolución de 30 de junio de 2020, la </w:t>
      </w:r>
      <w:proofErr w:type="gramStart"/>
      <w:r w:rsidR="009C65CE" w:rsidRPr="00995557">
        <w:rPr>
          <w:spacing w:val="0"/>
          <w:szCs w:val="20"/>
        </w:rPr>
        <w:t>Presidenta</w:t>
      </w:r>
      <w:proofErr w:type="gramEnd"/>
      <w:r w:rsidR="009C65CE" w:rsidRPr="00995557">
        <w:rPr>
          <w:spacing w:val="0"/>
          <w:szCs w:val="20"/>
        </w:rPr>
        <w:t xml:space="preserve"> dispuso, en consulta con el Pleno, </w:t>
      </w:r>
      <w:r w:rsidR="00991E20" w:rsidRPr="00995557">
        <w:rPr>
          <w:spacing w:val="0"/>
          <w:szCs w:val="20"/>
        </w:rPr>
        <w:t>la modificación de</w:t>
      </w:r>
      <w:r w:rsidR="009C65CE" w:rsidRPr="00995557">
        <w:rPr>
          <w:rFonts w:eastAsia="Times New Roman" w:cs="Arial"/>
          <w:spacing w:val="0"/>
          <w:szCs w:val="20"/>
          <w:lang w:eastAsia="es-GT"/>
        </w:rPr>
        <w:t xml:space="preserve"> la modalidad de las declaraciones admitidas en la mencionada Resolución de 21 de febrero de 2020 para ser recibidas en forma presencial, las que deberían ser rendidas, en la medida de lo posible, ante fedatario público (</w:t>
      </w:r>
      <w:r w:rsidR="009C65CE" w:rsidRPr="00995557">
        <w:rPr>
          <w:rFonts w:eastAsia="Times New Roman" w:cs="Arial"/>
          <w:i/>
          <w:iCs/>
          <w:spacing w:val="0"/>
          <w:szCs w:val="20"/>
          <w:lang w:eastAsia="es-GT"/>
        </w:rPr>
        <w:t>affidávit</w:t>
      </w:r>
      <w:r w:rsidR="009C65CE" w:rsidRPr="00995557">
        <w:rPr>
          <w:rFonts w:eastAsia="Times New Roman" w:cs="Arial"/>
          <w:spacing w:val="0"/>
          <w:szCs w:val="20"/>
          <w:lang w:eastAsia="es-GT"/>
        </w:rPr>
        <w:t>). En la referida Resolución de 30 de junio de 2020 se precisó el destino y objeto de la asistencia económica a otorgarse, por medio del Fondo de Asistencia, para cubrir los gastos razonables de formalización y envío de las declaraciones escritas de Lorenza Josefina Pérez de Olivares y Antoniet</w:t>
      </w:r>
      <w:r w:rsidR="00A40E14" w:rsidRPr="00995557">
        <w:rPr>
          <w:rFonts w:eastAsia="Times New Roman" w:cs="Arial"/>
          <w:spacing w:val="0"/>
          <w:szCs w:val="20"/>
          <w:lang w:eastAsia="es-GT"/>
        </w:rPr>
        <w:t>t</w:t>
      </w:r>
      <w:r w:rsidR="009C65CE" w:rsidRPr="00995557">
        <w:rPr>
          <w:rFonts w:eastAsia="Times New Roman" w:cs="Arial"/>
          <w:spacing w:val="0"/>
          <w:szCs w:val="20"/>
          <w:lang w:eastAsia="es-GT"/>
        </w:rPr>
        <w:t xml:space="preserve">a </w:t>
      </w:r>
      <w:r w:rsidR="00A40E14" w:rsidRPr="00995557">
        <w:rPr>
          <w:rFonts w:eastAsia="Times New Roman" w:cs="Arial"/>
          <w:spacing w:val="0"/>
          <w:szCs w:val="20"/>
          <w:lang w:eastAsia="es-GT"/>
        </w:rPr>
        <w:t xml:space="preserve">de </w:t>
      </w:r>
      <w:r w:rsidR="009C65CE" w:rsidRPr="00995557">
        <w:rPr>
          <w:rFonts w:eastAsia="Times New Roman" w:cs="Arial"/>
          <w:spacing w:val="0"/>
          <w:szCs w:val="20"/>
          <w:lang w:eastAsia="es-GT"/>
        </w:rPr>
        <w:t>Dominicis.</w:t>
      </w:r>
      <w:r w:rsidR="00991E20" w:rsidRPr="00995557">
        <w:rPr>
          <w:rFonts w:eastAsia="Times New Roman" w:cs="Arial"/>
          <w:spacing w:val="0"/>
          <w:szCs w:val="20"/>
          <w:lang w:eastAsia="es-GT"/>
        </w:rPr>
        <w:t xml:space="preserve"> Por último, </w:t>
      </w:r>
      <w:r w:rsidR="00991E20" w:rsidRPr="00995557">
        <w:rPr>
          <w:spacing w:val="0"/>
          <w:szCs w:val="20"/>
          <w:lang w:val="es-CO"/>
        </w:rPr>
        <w:t>mediante Resolución de la Corte de 29 de julio de 2020, se declaró procedente la solicitud de reconsideración presentada por los representantes, en el</w:t>
      </w:r>
      <w:r w:rsidR="00991E20" w:rsidRPr="00995557">
        <w:rPr>
          <w:spacing w:val="0"/>
          <w:szCs w:val="20"/>
        </w:rPr>
        <w:t xml:space="preserve"> sentido</w:t>
      </w:r>
      <w:r w:rsidR="00991E20" w:rsidRPr="00995557">
        <w:rPr>
          <w:spacing w:val="0"/>
          <w:szCs w:val="20"/>
          <w:lang w:val="es-CO"/>
        </w:rPr>
        <w:t xml:space="preserve"> q</w:t>
      </w:r>
      <w:r w:rsidR="00991E20" w:rsidRPr="00995557">
        <w:rPr>
          <w:spacing w:val="0"/>
          <w:szCs w:val="20"/>
        </w:rPr>
        <w:t>ue la declaración de la señora Lorenza Josefina Pérez de Olivares sería recibida en forma oral ante el Pleno de la Corte mediante videoconferencia, la que se desarrolló el 24 de agosto de 2020 (</w:t>
      </w:r>
      <w:r w:rsidR="00991E20" w:rsidRPr="00995557">
        <w:rPr>
          <w:i/>
          <w:spacing w:val="0"/>
          <w:szCs w:val="20"/>
        </w:rPr>
        <w:t>supra</w:t>
      </w:r>
      <w:r w:rsidR="00991E20" w:rsidRPr="00995557">
        <w:rPr>
          <w:spacing w:val="0"/>
          <w:szCs w:val="20"/>
        </w:rPr>
        <w:t xml:space="preserve"> párr. </w:t>
      </w:r>
      <w:r w:rsidR="000E427B" w:rsidRPr="00995557">
        <w:rPr>
          <w:spacing w:val="0"/>
          <w:szCs w:val="20"/>
        </w:rPr>
        <w:t>10</w:t>
      </w:r>
      <w:r w:rsidR="00991E20" w:rsidRPr="00995557">
        <w:rPr>
          <w:spacing w:val="0"/>
          <w:szCs w:val="20"/>
        </w:rPr>
        <w:t>).</w:t>
      </w:r>
    </w:p>
    <w:p w14:paraId="7B8D38CF" w14:textId="77777777" w:rsidR="009C65CE" w:rsidRPr="00995557" w:rsidRDefault="009C65CE" w:rsidP="00AA627A">
      <w:pPr>
        <w:pStyle w:val="PrrafodeSentencia"/>
        <w:numPr>
          <w:ilvl w:val="0"/>
          <w:numId w:val="0"/>
        </w:numPr>
        <w:rPr>
          <w:rFonts w:eastAsia="Times New Roman" w:cs="Calibri"/>
          <w:spacing w:val="0"/>
          <w:szCs w:val="20"/>
          <w:lang w:eastAsia="es-GT"/>
        </w:rPr>
      </w:pPr>
    </w:p>
    <w:p w14:paraId="73C94665" w14:textId="7A497610" w:rsidR="00676255" w:rsidRPr="00995557" w:rsidRDefault="000E427B" w:rsidP="00AA627A">
      <w:pPr>
        <w:pStyle w:val="PrrafodeSentencia"/>
        <w:numPr>
          <w:ilvl w:val="0"/>
          <w:numId w:val="2"/>
        </w:numPr>
        <w:ind w:left="0" w:firstLine="0"/>
        <w:rPr>
          <w:spacing w:val="0"/>
          <w:szCs w:val="20"/>
        </w:rPr>
      </w:pPr>
      <w:r w:rsidRPr="00995557">
        <w:rPr>
          <w:spacing w:val="0"/>
          <w:szCs w:val="20"/>
        </w:rPr>
        <w:t xml:space="preserve">En la referida Resolución de la </w:t>
      </w:r>
      <w:proofErr w:type="gramStart"/>
      <w:r w:rsidRPr="00995557">
        <w:rPr>
          <w:spacing w:val="0"/>
          <w:szCs w:val="20"/>
        </w:rPr>
        <w:t>Presidenta</w:t>
      </w:r>
      <w:proofErr w:type="gramEnd"/>
      <w:r w:rsidRPr="00995557">
        <w:rPr>
          <w:spacing w:val="0"/>
          <w:szCs w:val="20"/>
        </w:rPr>
        <w:t xml:space="preserve"> de 30 de junio de 2020 se </w:t>
      </w:r>
      <w:r w:rsidR="00676255" w:rsidRPr="00995557">
        <w:rPr>
          <w:spacing w:val="0"/>
          <w:szCs w:val="20"/>
        </w:rPr>
        <w:t>dispu</w:t>
      </w:r>
      <w:r w:rsidRPr="00995557">
        <w:rPr>
          <w:spacing w:val="0"/>
          <w:szCs w:val="20"/>
        </w:rPr>
        <w:t>so que los representantes</w:t>
      </w:r>
      <w:r w:rsidR="00676255" w:rsidRPr="00995557">
        <w:rPr>
          <w:spacing w:val="0"/>
          <w:szCs w:val="20"/>
        </w:rPr>
        <w:t>,</w:t>
      </w:r>
      <w:r w:rsidRPr="00995557">
        <w:rPr>
          <w:spacing w:val="0"/>
          <w:szCs w:val="20"/>
        </w:rPr>
        <w:t xml:space="preserve"> “a más tardar junto con sus alegatos finales escritos</w:t>
      </w:r>
      <w:r w:rsidR="00676255" w:rsidRPr="00995557">
        <w:rPr>
          <w:spacing w:val="0"/>
          <w:szCs w:val="20"/>
        </w:rPr>
        <w:t>,</w:t>
      </w:r>
      <w:r w:rsidRPr="00995557">
        <w:rPr>
          <w:spacing w:val="0"/>
          <w:szCs w:val="20"/>
        </w:rPr>
        <w:t xml:space="preserve"> […] deb[ían] presentar los comprobantes que acredit[aran] debidamente los gastos razonables efectuados, a fin de que [fuer]an cubiertos por el Fondo de Asistencia” (punto resolutivo 7). Los representantes remitieron sus alegatos finales escritos sin acompañar los respectivos comproba</w:t>
      </w:r>
      <w:r w:rsidR="005B7BC9" w:rsidRPr="00995557">
        <w:rPr>
          <w:spacing w:val="0"/>
          <w:szCs w:val="20"/>
        </w:rPr>
        <w:t>ntes</w:t>
      </w:r>
      <w:r w:rsidRPr="00995557">
        <w:rPr>
          <w:spacing w:val="0"/>
          <w:szCs w:val="20"/>
        </w:rPr>
        <w:t xml:space="preserve">, lo que se hizo constar en la comunicación de la Secretaría de </w:t>
      </w:r>
      <w:r w:rsidR="005B7BC9" w:rsidRPr="00995557">
        <w:rPr>
          <w:spacing w:val="0"/>
          <w:szCs w:val="20"/>
        </w:rPr>
        <w:t>14</w:t>
      </w:r>
      <w:r w:rsidRPr="00995557">
        <w:rPr>
          <w:spacing w:val="0"/>
          <w:szCs w:val="20"/>
        </w:rPr>
        <w:t xml:space="preserve"> de octubre de 2020. </w:t>
      </w:r>
      <w:r w:rsidR="00676255" w:rsidRPr="00995557">
        <w:rPr>
          <w:spacing w:val="0"/>
          <w:szCs w:val="20"/>
        </w:rPr>
        <w:t>Con posterioridad, el 16 de octubre de 2020, los representantes remitieron distintos comprobantes</w:t>
      </w:r>
      <w:r w:rsidR="005B7BC9" w:rsidRPr="00995557">
        <w:rPr>
          <w:spacing w:val="0"/>
          <w:szCs w:val="20"/>
        </w:rPr>
        <w:t xml:space="preserve"> a efecto de acreditar los referidos gastos</w:t>
      </w:r>
      <w:r w:rsidR="00676255" w:rsidRPr="00995557">
        <w:rPr>
          <w:spacing w:val="0"/>
          <w:szCs w:val="20"/>
        </w:rPr>
        <w:t>, para lo cual argumentaron que, dentro del “</w:t>
      </w:r>
      <w:r w:rsidR="00676255" w:rsidRPr="00995557">
        <w:rPr>
          <w:rFonts w:cs="TimesNewRomanPSMT"/>
          <w:spacing w:val="0"/>
          <w:szCs w:val="20"/>
        </w:rPr>
        <w:t xml:space="preserve">plazo establecido en el artículo 28 del Reglamento </w:t>
      </w:r>
      <w:r w:rsidR="00676255" w:rsidRPr="00995557">
        <w:rPr>
          <w:spacing w:val="0"/>
          <w:szCs w:val="20"/>
        </w:rPr>
        <w:t>[de la Corte]”,</w:t>
      </w:r>
      <w:r w:rsidR="00676255" w:rsidRPr="00995557">
        <w:rPr>
          <w:rFonts w:cs="TimesNewRomanPSMT"/>
          <w:spacing w:val="0"/>
          <w:szCs w:val="20"/>
        </w:rPr>
        <w:t xml:space="preserve"> remitían los “</w:t>
      </w:r>
      <w:r w:rsidR="00676255" w:rsidRPr="00995557">
        <w:rPr>
          <w:spacing w:val="0"/>
          <w:szCs w:val="20"/>
        </w:rPr>
        <w:t>[a]</w:t>
      </w:r>
      <w:r w:rsidR="00676255" w:rsidRPr="00995557">
        <w:rPr>
          <w:rFonts w:cs="TimesNewRomanPSMT"/>
          <w:spacing w:val="0"/>
          <w:szCs w:val="20"/>
        </w:rPr>
        <w:t>nexos para solicitar el reintegro de los gastos de los affidávits a cargo del Fondo de Asistencia Legal de Víctimas”.</w:t>
      </w:r>
      <w:r w:rsidR="00676255" w:rsidRPr="00995557">
        <w:rPr>
          <w:spacing w:val="0"/>
          <w:szCs w:val="20"/>
        </w:rPr>
        <w:t xml:space="preserve"> Mediante comunicación de la Secretaría de </w:t>
      </w:r>
      <w:r w:rsidR="005B7BC9" w:rsidRPr="00995557">
        <w:rPr>
          <w:spacing w:val="0"/>
          <w:szCs w:val="20"/>
        </w:rPr>
        <w:t>21</w:t>
      </w:r>
      <w:r w:rsidR="00676255" w:rsidRPr="00995557">
        <w:rPr>
          <w:spacing w:val="0"/>
          <w:szCs w:val="20"/>
        </w:rPr>
        <w:t xml:space="preserve"> de octubre de 2020 se indicó que “la admisibilidad o no de tales anexos, dada la fecha en que fueron remitidos, ser[ía] decidida en la Sentencia </w:t>
      </w:r>
      <w:r w:rsidR="00580433" w:rsidRPr="00995557">
        <w:rPr>
          <w:spacing w:val="0"/>
          <w:szCs w:val="20"/>
        </w:rPr>
        <w:t>respectiva</w:t>
      </w:r>
      <w:r w:rsidR="00676255" w:rsidRPr="00995557">
        <w:rPr>
          <w:spacing w:val="0"/>
          <w:szCs w:val="20"/>
        </w:rPr>
        <w:t>”.</w:t>
      </w:r>
      <w:r w:rsidR="00676255" w:rsidRPr="00995557">
        <w:rPr>
          <w:b/>
          <w:spacing w:val="0"/>
          <w:szCs w:val="20"/>
        </w:rPr>
        <w:t xml:space="preserve"> </w:t>
      </w:r>
      <w:r w:rsidR="00676255" w:rsidRPr="00995557">
        <w:rPr>
          <w:spacing w:val="0"/>
          <w:szCs w:val="20"/>
        </w:rPr>
        <w:t xml:space="preserve">El </w:t>
      </w:r>
      <w:r w:rsidR="00676255" w:rsidRPr="00995557">
        <w:rPr>
          <w:b/>
          <w:i/>
          <w:spacing w:val="0"/>
          <w:szCs w:val="20"/>
        </w:rPr>
        <w:t>Estado</w:t>
      </w:r>
      <w:r w:rsidR="00676255" w:rsidRPr="00995557">
        <w:rPr>
          <w:spacing w:val="0"/>
          <w:szCs w:val="20"/>
        </w:rPr>
        <w:t xml:space="preserve">, </w:t>
      </w:r>
      <w:r w:rsidR="005B7BC9" w:rsidRPr="00995557">
        <w:rPr>
          <w:spacing w:val="0"/>
          <w:szCs w:val="20"/>
        </w:rPr>
        <w:t xml:space="preserve">por su parte, no presentó observaciones al </w:t>
      </w:r>
      <w:r w:rsidR="00676255" w:rsidRPr="00995557">
        <w:rPr>
          <w:spacing w:val="0"/>
          <w:szCs w:val="20"/>
        </w:rPr>
        <w:t>respecto</w:t>
      </w:r>
      <w:r w:rsidR="005B7BC9" w:rsidRPr="00995557">
        <w:rPr>
          <w:spacing w:val="0"/>
          <w:szCs w:val="20"/>
        </w:rPr>
        <w:t>.</w:t>
      </w:r>
    </w:p>
    <w:p w14:paraId="0B9E91CC" w14:textId="77777777" w:rsidR="00676255" w:rsidRPr="00995557" w:rsidRDefault="00676255" w:rsidP="00AA627A">
      <w:pPr>
        <w:rPr>
          <w:lang w:eastAsia="es-MX"/>
        </w:rPr>
      </w:pPr>
    </w:p>
    <w:p w14:paraId="5D4BF163" w14:textId="77777777" w:rsidR="0051788B" w:rsidRPr="00995557" w:rsidRDefault="00E23DEE" w:rsidP="00AA627A">
      <w:pPr>
        <w:pStyle w:val="PrrafodeSentencia"/>
        <w:numPr>
          <w:ilvl w:val="0"/>
          <w:numId w:val="2"/>
        </w:numPr>
        <w:ind w:left="0" w:firstLine="0"/>
        <w:rPr>
          <w:spacing w:val="0"/>
          <w:szCs w:val="20"/>
        </w:rPr>
      </w:pPr>
      <w:r w:rsidRPr="00995557">
        <w:rPr>
          <w:spacing w:val="0"/>
          <w:szCs w:val="20"/>
        </w:rPr>
        <w:t>La Corte advierte que la Resolución de la Presidenta de 30 de junio de 2020 fue expresa al indicar que los comprobantes para acreditar los gastos razonables efectuados con cargo al Fondo</w:t>
      </w:r>
      <w:r w:rsidR="009643BD" w:rsidRPr="00995557">
        <w:rPr>
          <w:spacing w:val="0"/>
          <w:szCs w:val="20"/>
        </w:rPr>
        <w:t xml:space="preserve"> de Asistencia debían ser presentados por los representantes “a más tardar junto con sus alegatos finales escritos”, en el entendido que tales documentos son distintos a los anexos de los escritos a que se refiere el artículo 28 del Reglamento de la Corte y, por ende, no es aplicable el plazo previsto en este último precepto reglamentario.</w:t>
      </w:r>
    </w:p>
    <w:p w14:paraId="4578383C" w14:textId="77777777" w:rsidR="0051788B" w:rsidRPr="00995557" w:rsidRDefault="0051788B" w:rsidP="00AA627A">
      <w:pPr>
        <w:pStyle w:val="PrrafodeSentencia"/>
        <w:numPr>
          <w:ilvl w:val="0"/>
          <w:numId w:val="0"/>
        </w:numPr>
        <w:rPr>
          <w:spacing w:val="0"/>
          <w:szCs w:val="20"/>
        </w:rPr>
      </w:pPr>
    </w:p>
    <w:p w14:paraId="30122466" w14:textId="77777777" w:rsidR="00E23DEE" w:rsidRPr="00995557" w:rsidRDefault="0051788B" w:rsidP="00AA627A">
      <w:pPr>
        <w:pStyle w:val="PrrafodeSentencia"/>
        <w:numPr>
          <w:ilvl w:val="0"/>
          <w:numId w:val="2"/>
        </w:numPr>
        <w:ind w:left="0" w:firstLine="0"/>
        <w:rPr>
          <w:spacing w:val="0"/>
          <w:szCs w:val="20"/>
        </w:rPr>
      </w:pPr>
      <w:r w:rsidRPr="00995557">
        <w:rPr>
          <w:spacing w:val="0"/>
          <w:szCs w:val="20"/>
        </w:rPr>
        <w:t>En virtud de lo anterior, dada la extemporaneidad de su presentación, la Corte no admite los documentos remitidos por los representantes con el fin de acreditar los gastos efectuados con cargo al Fondo de Asistencia. En consecuencia, no se ordena al Estado el reintegro de monto alguno por este concepto.</w:t>
      </w:r>
    </w:p>
    <w:p w14:paraId="430B2549" w14:textId="77777777" w:rsidR="00272033" w:rsidRPr="00995557" w:rsidRDefault="00272033" w:rsidP="00AA627A">
      <w:pPr>
        <w:pStyle w:val="PrrafodeSentencia"/>
        <w:numPr>
          <w:ilvl w:val="0"/>
          <w:numId w:val="0"/>
        </w:numPr>
        <w:rPr>
          <w:spacing w:val="0"/>
          <w:szCs w:val="20"/>
        </w:rPr>
      </w:pPr>
    </w:p>
    <w:p w14:paraId="1DA23F42" w14:textId="77777777" w:rsidR="008900E0" w:rsidRPr="00995557" w:rsidRDefault="008900E0" w:rsidP="00AA627A">
      <w:pPr>
        <w:pStyle w:val="Ttulo2"/>
        <w:numPr>
          <w:ilvl w:val="0"/>
          <w:numId w:val="19"/>
        </w:numPr>
        <w:tabs>
          <w:tab w:val="clear" w:pos="1134"/>
        </w:tabs>
        <w:spacing w:before="0" w:after="0"/>
        <w:ind w:left="993" w:hanging="426"/>
        <w:rPr>
          <w:lang w:eastAsia="es-ES"/>
        </w:rPr>
      </w:pPr>
      <w:bookmarkStart w:id="190" w:name="_Toc36823519"/>
      <w:bookmarkStart w:id="191" w:name="_Toc53741473"/>
      <w:bookmarkStart w:id="192" w:name="_Toc58399141"/>
      <w:r w:rsidRPr="00995557">
        <w:lastRenderedPageBreak/>
        <w:t>Modalidad de cumplimiento de los pagos ordenados</w:t>
      </w:r>
      <w:bookmarkEnd w:id="190"/>
      <w:bookmarkEnd w:id="191"/>
      <w:bookmarkEnd w:id="192"/>
    </w:p>
    <w:p w14:paraId="7461835E" w14:textId="77777777" w:rsidR="00272033" w:rsidRPr="00995557" w:rsidRDefault="00272033" w:rsidP="00AA627A">
      <w:pPr>
        <w:pStyle w:val="Prrafodelista"/>
        <w:widowControl w:val="0"/>
        <w:tabs>
          <w:tab w:val="left" w:pos="567"/>
        </w:tabs>
        <w:adjustRightInd w:val="0"/>
        <w:ind w:left="0"/>
        <w:contextualSpacing w:val="0"/>
        <w:jc w:val="both"/>
        <w:rPr>
          <w:lang w:val="es-ES" w:bidi="en-US"/>
        </w:rPr>
      </w:pPr>
      <w:bookmarkStart w:id="193" w:name="_Ref36719661"/>
    </w:p>
    <w:bookmarkEnd w:id="193"/>
    <w:p w14:paraId="5BF9966C" w14:textId="77777777" w:rsidR="00272033" w:rsidRPr="00995557" w:rsidRDefault="00272033" w:rsidP="00AA627A">
      <w:pPr>
        <w:pStyle w:val="Prrafodelista"/>
        <w:widowControl w:val="0"/>
        <w:numPr>
          <w:ilvl w:val="0"/>
          <w:numId w:val="2"/>
        </w:numPr>
        <w:tabs>
          <w:tab w:val="left" w:pos="567"/>
        </w:tabs>
        <w:adjustRightInd w:val="0"/>
        <w:ind w:left="0" w:firstLine="0"/>
        <w:contextualSpacing w:val="0"/>
        <w:jc w:val="both"/>
        <w:rPr>
          <w:lang w:val="es-ES" w:bidi="en-US"/>
        </w:rPr>
      </w:pPr>
      <w:r w:rsidRPr="00995557">
        <w:t>El Estado deberá efectuar el pago de las indemnizaciones por concepto de daño material e inmaterial y el reintegro de costas y gastos establecidos en la presente Sentencia directamente a las personas y a la organización que se indican, dentro del plazo de un año, contado a partir de la notificación del presente Fallo, en los términos de los siguientes párrafos.</w:t>
      </w:r>
    </w:p>
    <w:p w14:paraId="110C8F05" w14:textId="77777777" w:rsidR="00272033" w:rsidRPr="00995557" w:rsidRDefault="00272033" w:rsidP="00AA627A">
      <w:pPr>
        <w:pStyle w:val="Prrafodelista"/>
        <w:widowControl w:val="0"/>
        <w:tabs>
          <w:tab w:val="left" w:pos="567"/>
        </w:tabs>
        <w:adjustRightInd w:val="0"/>
        <w:ind w:left="0"/>
        <w:contextualSpacing w:val="0"/>
        <w:jc w:val="both"/>
        <w:rPr>
          <w:lang w:val="es-ES" w:bidi="en-US"/>
        </w:rPr>
      </w:pPr>
    </w:p>
    <w:p w14:paraId="29D767DE" w14:textId="77777777" w:rsidR="00272033" w:rsidRPr="00995557" w:rsidRDefault="00272033" w:rsidP="00AA627A">
      <w:pPr>
        <w:pStyle w:val="Prrafodelista"/>
        <w:widowControl w:val="0"/>
        <w:numPr>
          <w:ilvl w:val="0"/>
          <w:numId w:val="2"/>
        </w:numPr>
        <w:tabs>
          <w:tab w:val="left" w:pos="567"/>
        </w:tabs>
        <w:adjustRightInd w:val="0"/>
        <w:ind w:left="0" w:firstLine="0"/>
        <w:contextualSpacing w:val="0"/>
        <w:jc w:val="both"/>
        <w:rPr>
          <w:lang w:val="es-ES" w:bidi="en-US"/>
        </w:rPr>
      </w:pPr>
      <w:r w:rsidRPr="00995557">
        <w:t>En caso de que los beneficiarios fallezcan antes de que les sean entregadas las indemnizaciones respectivas, estas se efectuarán directamente a sus derechohabientes, conforme al derecho interno aplicable.</w:t>
      </w:r>
    </w:p>
    <w:p w14:paraId="47B87A34" w14:textId="77777777" w:rsidR="00272033" w:rsidRPr="00995557" w:rsidRDefault="00272033" w:rsidP="00AA627A">
      <w:pPr>
        <w:pStyle w:val="Prrafodelista"/>
      </w:pPr>
    </w:p>
    <w:p w14:paraId="0B34EC78" w14:textId="77777777" w:rsidR="00272033" w:rsidRPr="00995557" w:rsidRDefault="00272033" w:rsidP="00AA627A">
      <w:pPr>
        <w:pStyle w:val="Prrafodelista"/>
        <w:widowControl w:val="0"/>
        <w:numPr>
          <w:ilvl w:val="0"/>
          <w:numId w:val="2"/>
        </w:numPr>
        <w:tabs>
          <w:tab w:val="left" w:pos="567"/>
        </w:tabs>
        <w:adjustRightInd w:val="0"/>
        <w:ind w:left="0" w:firstLine="0"/>
        <w:contextualSpacing w:val="0"/>
        <w:jc w:val="both"/>
        <w:rPr>
          <w:lang w:val="es-ES" w:bidi="en-US"/>
        </w:rPr>
      </w:pPr>
      <w:r w:rsidRPr="00995557">
        <w:t xml:space="preserve">En lo que respecta a la moneda de pago de las indemnizaciones y reintegro de costas y gastos, el Estado debe cumplir sus obligaciones monetarias mediante el pago en dólares de los Estados Unidos de América o, de no ser esto posible, en su equivalente en moneda venezolana, utilizando para el cálculo respectivo la tasa </w:t>
      </w:r>
      <w:proofErr w:type="gramStart"/>
      <w:r w:rsidRPr="00995557">
        <w:t>más alta y más beneficiosa</w:t>
      </w:r>
      <w:proofErr w:type="gramEnd"/>
      <w:r w:rsidRPr="00995557">
        <w:t xml:space="preserve"> para las víctimas que permita su ordenamiento interno, vigente al momento del pago. Durante la etapa de supervisión de cumplimiento de la sentencia, la Corte podrá reajustar prudentemente el equivalente de estas cifras en moneda venezolana, con el objeto de evitar que las variaciones cambiarias afecten sustancialmente el valor adquisitivo de esos montos. </w:t>
      </w:r>
    </w:p>
    <w:p w14:paraId="08606754" w14:textId="77777777" w:rsidR="00272033" w:rsidRPr="00995557" w:rsidRDefault="00272033" w:rsidP="00AA627A">
      <w:pPr>
        <w:pStyle w:val="Prrafodelista"/>
      </w:pPr>
    </w:p>
    <w:p w14:paraId="7568A9AD" w14:textId="77777777" w:rsidR="00272033" w:rsidRPr="00995557" w:rsidRDefault="00272033" w:rsidP="00AA627A">
      <w:pPr>
        <w:pStyle w:val="Prrafodelista"/>
        <w:widowControl w:val="0"/>
        <w:numPr>
          <w:ilvl w:val="0"/>
          <w:numId w:val="2"/>
        </w:numPr>
        <w:tabs>
          <w:tab w:val="left" w:pos="567"/>
        </w:tabs>
        <w:adjustRightInd w:val="0"/>
        <w:ind w:left="0" w:firstLine="0"/>
        <w:contextualSpacing w:val="0"/>
        <w:jc w:val="both"/>
        <w:rPr>
          <w:lang w:val="es-ES" w:bidi="en-US"/>
        </w:rPr>
      </w:pPr>
      <w:r w:rsidRPr="00995557">
        <w:t xml:space="preserve">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venezolana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 </w:t>
      </w:r>
    </w:p>
    <w:p w14:paraId="4B423979" w14:textId="77777777" w:rsidR="00272033" w:rsidRPr="00995557" w:rsidRDefault="00272033" w:rsidP="00AA627A">
      <w:pPr>
        <w:pStyle w:val="Prrafodelista"/>
      </w:pPr>
    </w:p>
    <w:p w14:paraId="46A3B8E3" w14:textId="77777777" w:rsidR="00272033" w:rsidRPr="00995557" w:rsidRDefault="00272033" w:rsidP="00AA627A">
      <w:pPr>
        <w:pStyle w:val="Prrafodelista"/>
        <w:widowControl w:val="0"/>
        <w:numPr>
          <w:ilvl w:val="0"/>
          <w:numId w:val="2"/>
        </w:numPr>
        <w:tabs>
          <w:tab w:val="left" w:pos="567"/>
        </w:tabs>
        <w:adjustRightInd w:val="0"/>
        <w:ind w:left="0" w:firstLine="0"/>
        <w:contextualSpacing w:val="0"/>
        <w:jc w:val="both"/>
        <w:rPr>
          <w:lang w:val="es-ES" w:bidi="en-US"/>
        </w:rPr>
      </w:pPr>
      <w:r w:rsidRPr="00995557">
        <w:t xml:space="preserve">Las cantidades asignadas en la presente Sentencia como indemnización y como reintegro de costas y gastos deberán ser entregadas a las personas y </w:t>
      </w:r>
      <w:r w:rsidR="001041DD" w:rsidRPr="00995557">
        <w:t xml:space="preserve">a la </w:t>
      </w:r>
      <w:r w:rsidRPr="00995557">
        <w:t>organizaci</w:t>
      </w:r>
      <w:r w:rsidR="001041DD" w:rsidRPr="00995557">
        <w:t>ó</w:t>
      </w:r>
      <w:r w:rsidRPr="00995557">
        <w:t>n indicadas en forma íntegra, conforme a lo establecido en esta Sentencia, sin reducciones derivadas de eventuales cargas fiscales.</w:t>
      </w:r>
    </w:p>
    <w:p w14:paraId="11F8C5D1" w14:textId="77777777" w:rsidR="00272033" w:rsidRPr="00995557" w:rsidRDefault="00272033" w:rsidP="00AA627A">
      <w:pPr>
        <w:pStyle w:val="Prrafodelista"/>
      </w:pPr>
    </w:p>
    <w:p w14:paraId="0FC9A53E" w14:textId="77777777" w:rsidR="00272033" w:rsidRPr="00995557" w:rsidRDefault="00272033" w:rsidP="00AA627A">
      <w:pPr>
        <w:pStyle w:val="Prrafodelista"/>
        <w:widowControl w:val="0"/>
        <w:numPr>
          <w:ilvl w:val="0"/>
          <w:numId w:val="2"/>
        </w:numPr>
        <w:tabs>
          <w:tab w:val="left" w:pos="567"/>
        </w:tabs>
        <w:adjustRightInd w:val="0"/>
        <w:ind w:left="0" w:firstLine="0"/>
        <w:contextualSpacing w:val="0"/>
        <w:jc w:val="both"/>
        <w:rPr>
          <w:lang w:val="es-ES" w:bidi="en-US"/>
        </w:rPr>
      </w:pPr>
      <w:r w:rsidRPr="00995557">
        <w:t>En caso de que el Estado incurriera en mora, deberá pagar un interés sobre la cantidad adeudada, correspondiente al interés bancario moratorio en la República Bolivariana de Venezuela.</w:t>
      </w:r>
      <w:bookmarkEnd w:id="0"/>
      <w:bookmarkEnd w:id="149"/>
    </w:p>
    <w:p w14:paraId="45D4E57C" w14:textId="77777777" w:rsidR="005761A6" w:rsidRPr="00995557" w:rsidRDefault="005761A6" w:rsidP="00AA627A">
      <w:pPr>
        <w:pStyle w:val="Ttulo1"/>
        <w:spacing w:before="0" w:after="0"/>
        <w:jc w:val="left"/>
        <w:rPr>
          <w:rFonts w:eastAsia="Times New Roman" w:cs="Times New Roman"/>
          <w:lang w:eastAsia="es-ES" w:bidi="es-ES"/>
        </w:rPr>
      </w:pPr>
      <w:bookmarkStart w:id="194" w:name="_Toc41906253"/>
    </w:p>
    <w:p w14:paraId="13749519" w14:textId="77777777" w:rsidR="005761A6" w:rsidRPr="00995557" w:rsidRDefault="005761A6" w:rsidP="00AA627A">
      <w:pPr>
        <w:pStyle w:val="Ttulo1"/>
        <w:spacing w:before="0" w:after="0"/>
        <w:rPr>
          <w:rFonts w:eastAsia="Times New Roman" w:cs="Times New Roman"/>
          <w:b w:val="0"/>
          <w:lang w:eastAsia="es-ES" w:bidi="es-ES"/>
        </w:rPr>
      </w:pPr>
      <w:bookmarkStart w:id="195" w:name="_Toc53741474"/>
      <w:bookmarkStart w:id="196" w:name="_Toc58399142"/>
      <w:r w:rsidRPr="00995557">
        <w:rPr>
          <w:rFonts w:eastAsia="Times New Roman" w:cs="Times New Roman"/>
          <w:lang w:eastAsia="es-ES" w:bidi="es-ES"/>
        </w:rPr>
        <w:t>X</w:t>
      </w:r>
      <w:bookmarkEnd w:id="194"/>
      <w:bookmarkEnd w:id="195"/>
      <w:bookmarkEnd w:id="196"/>
    </w:p>
    <w:p w14:paraId="7A88ABC2" w14:textId="77777777" w:rsidR="005761A6" w:rsidRPr="00995557" w:rsidRDefault="005761A6" w:rsidP="00AA627A">
      <w:pPr>
        <w:pStyle w:val="Ttulo1"/>
        <w:spacing w:before="0" w:after="0"/>
        <w:rPr>
          <w:rFonts w:eastAsia="Times New Roman" w:cs="Times New Roman"/>
          <w:b w:val="0"/>
          <w:lang w:eastAsia="es-ES" w:bidi="es-ES"/>
        </w:rPr>
      </w:pPr>
      <w:bookmarkStart w:id="197" w:name="_Toc41906254"/>
      <w:bookmarkStart w:id="198" w:name="_Toc53741475"/>
      <w:bookmarkStart w:id="199" w:name="_Toc58399143"/>
      <w:r w:rsidRPr="00995557">
        <w:rPr>
          <w:rFonts w:eastAsia="Times New Roman" w:cs="Times New Roman"/>
          <w:lang w:eastAsia="es-ES" w:bidi="es-ES"/>
        </w:rPr>
        <w:t>PUNTOS RESOLUTIVOS</w:t>
      </w:r>
      <w:bookmarkEnd w:id="197"/>
      <w:bookmarkEnd w:id="198"/>
      <w:bookmarkEnd w:id="199"/>
    </w:p>
    <w:p w14:paraId="68321CD9" w14:textId="77777777" w:rsidR="005761A6" w:rsidRPr="00995557" w:rsidRDefault="005761A6" w:rsidP="00AA627A">
      <w:pPr>
        <w:pStyle w:val="Prrafodelista"/>
        <w:widowControl w:val="0"/>
        <w:tabs>
          <w:tab w:val="left" w:pos="567"/>
        </w:tabs>
        <w:adjustRightInd w:val="0"/>
        <w:ind w:left="0"/>
        <w:contextualSpacing w:val="0"/>
        <w:jc w:val="both"/>
        <w:rPr>
          <w:lang w:val="es-ES" w:bidi="en-US"/>
        </w:rPr>
      </w:pPr>
    </w:p>
    <w:p w14:paraId="658995E9" w14:textId="77777777" w:rsidR="005761A6" w:rsidRPr="00995557" w:rsidRDefault="005761A6" w:rsidP="00AA627A">
      <w:pPr>
        <w:pStyle w:val="Prrafodelista"/>
        <w:widowControl w:val="0"/>
        <w:numPr>
          <w:ilvl w:val="0"/>
          <w:numId w:val="2"/>
        </w:numPr>
        <w:tabs>
          <w:tab w:val="left" w:pos="567"/>
        </w:tabs>
        <w:adjustRightInd w:val="0"/>
        <w:ind w:left="0" w:firstLine="0"/>
        <w:contextualSpacing w:val="0"/>
        <w:jc w:val="both"/>
        <w:rPr>
          <w:lang w:val="es-ES" w:bidi="en-US"/>
        </w:rPr>
      </w:pPr>
      <w:r w:rsidRPr="00995557">
        <w:rPr>
          <w:lang w:val="es-ES" w:bidi="en-US"/>
        </w:rPr>
        <w:t xml:space="preserve">Por tanto, </w:t>
      </w:r>
    </w:p>
    <w:p w14:paraId="6A48E6C1" w14:textId="77777777" w:rsidR="005761A6" w:rsidRPr="00995557" w:rsidRDefault="005761A6" w:rsidP="00AA627A">
      <w:pPr>
        <w:tabs>
          <w:tab w:val="left" w:pos="720"/>
        </w:tabs>
        <w:ind w:right="-86"/>
        <w:contextualSpacing/>
        <w:jc w:val="both"/>
        <w:rPr>
          <w:b/>
          <w:bCs/>
          <w:lang w:bidi="en-US"/>
        </w:rPr>
      </w:pPr>
    </w:p>
    <w:p w14:paraId="09C97586" w14:textId="77777777" w:rsidR="005761A6" w:rsidRPr="00995557" w:rsidRDefault="005761A6" w:rsidP="00AA627A">
      <w:pPr>
        <w:tabs>
          <w:tab w:val="left" w:pos="720"/>
        </w:tabs>
        <w:ind w:right="-86"/>
        <w:contextualSpacing/>
        <w:jc w:val="both"/>
        <w:rPr>
          <w:b/>
          <w:bCs/>
          <w:lang w:bidi="en-US"/>
        </w:rPr>
      </w:pPr>
      <w:r w:rsidRPr="00995557">
        <w:rPr>
          <w:b/>
          <w:bCs/>
          <w:lang w:bidi="en-US"/>
        </w:rPr>
        <w:t>LA CORTE</w:t>
      </w:r>
    </w:p>
    <w:p w14:paraId="10AE4F61" w14:textId="77777777" w:rsidR="005761A6" w:rsidRPr="00995557" w:rsidRDefault="005761A6" w:rsidP="00AA627A">
      <w:pPr>
        <w:tabs>
          <w:tab w:val="left" w:pos="720"/>
        </w:tabs>
        <w:ind w:right="-86"/>
        <w:contextualSpacing/>
        <w:jc w:val="both"/>
        <w:rPr>
          <w:b/>
          <w:bCs/>
          <w:lang w:bidi="en-US"/>
        </w:rPr>
      </w:pPr>
    </w:p>
    <w:p w14:paraId="16669ED6" w14:textId="5FFC658E" w:rsidR="00DC331C" w:rsidRPr="00995557" w:rsidRDefault="00DC331C" w:rsidP="00AA627A">
      <w:pPr>
        <w:tabs>
          <w:tab w:val="left" w:pos="720"/>
        </w:tabs>
        <w:ind w:right="-86"/>
        <w:jc w:val="both"/>
        <w:rPr>
          <w:b/>
          <w:bCs/>
          <w:lang w:bidi="en-US"/>
        </w:rPr>
      </w:pPr>
      <w:r w:rsidRPr="00995557">
        <w:rPr>
          <w:b/>
          <w:bCs/>
          <w:lang w:bidi="en-US"/>
        </w:rPr>
        <w:t>DECIDE</w:t>
      </w:r>
    </w:p>
    <w:p w14:paraId="70D0E2FB" w14:textId="1D6AE339" w:rsidR="00DC331C" w:rsidRPr="00995557" w:rsidRDefault="00DC331C" w:rsidP="00AA627A">
      <w:pPr>
        <w:tabs>
          <w:tab w:val="left" w:pos="720"/>
        </w:tabs>
        <w:ind w:right="-86"/>
        <w:jc w:val="both"/>
        <w:rPr>
          <w:b/>
          <w:bCs/>
          <w:lang w:bidi="en-US"/>
        </w:rPr>
      </w:pPr>
    </w:p>
    <w:p w14:paraId="3F088130" w14:textId="77777777" w:rsidR="00DC331C" w:rsidRPr="00995557" w:rsidRDefault="00DC331C" w:rsidP="00AA627A">
      <w:pPr>
        <w:pStyle w:val="Prrafodelista"/>
        <w:tabs>
          <w:tab w:val="left" w:pos="630"/>
        </w:tabs>
        <w:ind w:left="0" w:right="-801"/>
        <w:rPr>
          <w:b/>
        </w:rPr>
      </w:pPr>
      <w:r w:rsidRPr="00995557">
        <w:rPr>
          <w:lang w:val="es-PE"/>
        </w:rPr>
        <w:t>Por unanimidad:</w:t>
      </w:r>
    </w:p>
    <w:p w14:paraId="289BCBD0" w14:textId="044E105D" w:rsidR="00DC331C" w:rsidRPr="00995557" w:rsidRDefault="00DC331C" w:rsidP="00AA627A">
      <w:pPr>
        <w:tabs>
          <w:tab w:val="left" w:pos="720"/>
        </w:tabs>
        <w:ind w:right="-86"/>
        <w:jc w:val="both"/>
        <w:rPr>
          <w:b/>
          <w:bCs/>
          <w:lang w:bidi="en-US"/>
        </w:rPr>
      </w:pPr>
    </w:p>
    <w:p w14:paraId="6E5BD666" w14:textId="6DF88E15" w:rsidR="00DC331C" w:rsidRPr="00995557" w:rsidRDefault="00DC331C" w:rsidP="00AA627A">
      <w:pPr>
        <w:pStyle w:val="Prrafodelista"/>
        <w:numPr>
          <w:ilvl w:val="0"/>
          <w:numId w:val="29"/>
        </w:numPr>
        <w:tabs>
          <w:tab w:val="left" w:pos="567"/>
        </w:tabs>
        <w:ind w:left="0" w:firstLine="0"/>
        <w:contextualSpacing w:val="0"/>
        <w:jc w:val="both"/>
      </w:pPr>
      <w:r w:rsidRPr="00995557">
        <w:t>Aceptar el reconocimiento de responsabilidad internacional efectuado por el Estado, en los términos de los párrafos 23 a 38 de la presente Sentencia.</w:t>
      </w:r>
    </w:p>
    <w:p w14:paraId="2736156F" w14:textId="41EF0C6F" w:rsidR="00DC331C" w:rsidRPr="00995557" w:rsidRDefault="00DC331C" w:rsidP="00AA627A">
      <w:pPr>
        <w:tabs>
          <w:tab w:val="left" w:pos="720"/>
        </w:tabs>
        <w:ind w:right="-86"/>
        <w:jc w:val="both"/>
        <w:rPr>
          <w:b/>
          <w:bCs/>
          <w:lang w:bidi="en-US"/>
        </w:rPr>
      </w:pPr>
    </w:p>
    <w:p w14:paraId="0A27EA79" w14:textId="34F49CF4" w:rsidR="005761A6" w:rsidRPr="00995557" w:rsidRDefault="005761A6" w:rsidP="00AA627A">
      <w:pPr>
        <w:tabs>
          <w:tab w:val="left" w:pos="720"/>
        </w:tabs>
        <w:ind w:right="-86"/>
        <w:jc w:val="both"/>
        <w:rPr>
          <w:b/>
          <w:bCs/>
          <w:lang w:bidi="en-US"/>
        </w:rPr>
      </w:pPr>
      <w:r w:rsidRPr="00995557">
        <w:rPr>
          <w:b/>
          <w:bCs/>
          <w:lang w:bidi="en-US"/>
        </w:rPr>
        <w:t>DECLARA,</w:t>
      </w:r>
    </w:p>
    <w:p w14:paraId="385ADA35" w14:textId="77777777" w:rsidR="005761A6" w:rsidRPr="00995557" w:rsidRDefault="005761A6" w:rsidP="00AA627A">
      <w:pPr>
        <w:tabs>
          <w:tab w:val="left" w:pos="720"/>
        </w:tabs>
        <w:ind w:right="-90"/>
        <w:jc w:val="both"/>
        <w:rPr>
          <w:lang w:bidi="en-US"/>
        </w:rPr>
      </w:pPr>
    </w:p>
    <w:p w14:paraId="1071EA37" w14:textId="77777777" w:rsidR="005761A6" w:rsidRPr="00995557" w:rsidRDefault="005761A6" w:rsidP="00AA627A">
      <w:pPr>
        <w:tabs>
          <w:tab w:val="left" w:pos="720"/>
        </w:tabs>
        <w:ind w:right="-90"/>
        <w:jc w:val="both"/>
        <w:rPr>
          <w:lang w:bidi="en-US"/>
        </w:rPr>
      </w:pPr>
      <w:r w:rsidRPr="00995557">
        <w:rPr>
          <w:lang w:bidi="en-US"/>
        </w:rPr>
        <w:lastRenderedPageBreak/>
        <w:t xml:space="preserve">Por </w:t>
      </w:r>
      <w:r w:rsidR="00D956DC" w:rsidRPr="00995557">
        <w:rPr>
          <w:lang w:bidi="en-US"/>
        </w:rPr>
        <w:t>unanimidad</w:t>
      </w:r>
      <w:r w:rsidRPr="00995557">
        <w:rPr>
          <w:lang w:bidi="en-US"/>
        </w:rPr>
        <w:t>, que:</w:t>
      </w:r>
    </w:p>
    <w:p w14:paraId="7D32F3FA" w14:textId="77777777" w:rsidR="005761A6" w:rsidRPr="00995557" w:rsidRDefault="005761A6" w:rsidP="00AA627A">
      <w:pPr>
        <w:tabs>
          <w:tab w:val="left" w:pos="720"/>
        </w:tabs>
        <w:ind w:right="-90"/>
        <w:contextualSpacing/>
        <w:jc w:val="both"/>
      </w:pPr>
    </w:p>
    <w:p w14:paraId="5CEF68DE" w14:textId="2A5843DF" w:rsidR="005761A6" w:rsidRPr="00995557" w:rsidRDefault="005761A6" w:rsidP="00AA627A">
      <w:pPr>
        <w:pStyle w:val="Prrafodelista"/>
        <w:numPr>
          <w:ilvl w:val="0"/>
          <w:numId w:val="29"/>
        </w:numPr>
        <w:tabs>
          <w:tab w:val="left" w:pos="567"/>
        </w:tabs>
        <w:ind w:left="0" w:firstLine="0"/>
        <w:contextualSpacing w:val="0"/>
        <w:jc w:val="both"/>
      </w:pPr>
      <w:r w:rsidRPr="00995557">
        <w:t xml:space="preserve">El Estado es responsable por la violación del derecho a la vida, reconocido en el artículo 4.1 de la Convención Americana sobre Derechos Humanos, en relación con los artículos 1.1 y 2 del mismo instrumento, en perjuicio de Orlando Edgardo Olivares Muñoz, Joel </w:t>
      </w:r>
      <w:r w:rsidR="00A655AF" w:rsidRPr="00995557">
        <w:t>Ronaldy</w:t>
      </w:r>
      <w:r w:rsidRPr="00995557">
        <w:t xml:space="preserve"> Reyes Nava, Orangel José Figueroa, Héctor Javier Muñoz Valerio, Pedro Ramón López Chaurán, José Gregorio Bolívar Corro y Richard Alexis Núñez Palma, en los términos de los </w:t>
      </w:r>
      <w:r w:rsidR="00D30575" w:rsidRPr="00995557">
        <w:t>párrafos 90 a 1</w:t>
      </w:r>
      <w:r w:rsidR="00C025DB" w:rsidRPr="00995557">
        <w:t xml:space="preserve">09, </w:t>
      </w:r>
      <w:r w:rsidR="00E8780D" w:rsidRPr="00995557">
        <w:t>111 y 113</w:t>
      </w:r>
      <w:r w:rsidRPr="00995557">
        <w:t xml:space="preserve"> de la presente Sentencia.</w:t>
      </w:r>
    </w:p>
    <w:p w14:paraId="1CCCA1C0" w14:textId="77777777" w:rsidR="005761A6" w:rsidRPr="00995557" w:rsidRDefault="005761A6" w:rsidP="00AA627A">
      <w:pPr>
        <w:pStyle w:val="Prrafodelista"/>
        <w:ind w:left="0"/>
        <w:contextualSpacing w:val="0"/>
        <w:jc w:val="both"/>
      </w:pPr>
    </w:p>
    <w:p w14:paraId="43F72808" w14:textId="49F4E3CE" w:rsidR="005761A6" w:rsidRPr="00995557" w:rsidRDefault="005761A6" w:rsidP="00AA627A">
      <w:pPr>
        <w:pStyle w:val="Prrafodelista"/>
        <w:numPr>
          <w:ilvl w:val="0"/>
          <w:numId w:val="29"/>
        </w:numPr>
        <w:tabs>
          <w:tab w:val="left" w:pos="567"/>
        </w:tabs>
        <w:ind w:left="0" w:firstLine="0"/>
        <w:contextualSpacing w:val="0"/>
        <w:jc w:val="both"/>
      </w:pPr>
      <w:r w:rsidRPr="00995557">
        <w:t>El Estado es responsable por la violación del derecho a la integridad personal, reconocido en los artículos 5.1 y 5.2 de la Convención Americana sobre Derechos Humanos, en relación con los artículos 1.1 y 2 del mismo instrumento, en perjuicio de Ramón Zambrano, Jovanny Palomo, Carlos Durán, Richard Vallez, Carlos Alberto Torres, Galindo Urrieta, Edwin David Díaz, Luis Filgueira, Oswal Sotillo, Rafael Vera Himi, Miguel Marcano, Marcos Pacheco, Alcides Rafael Alcaza Barreto, Jesús Manuel Amaiz Borrome, Rafael Villa Hermosa, Efraín Cordero, Carlos Alberto Martínez, Pedro de Jesús Montes Aguanes, Santa Jesús Gil Osuna, Omar Armando Vásquez, Getulio Piña Laya, Evelio Eugenio Martínez, Enrique José González, Javier Omar Lara, José Efraín Rosales Navas, Levis Simoza y Marco Antonio Ru</w:t>
      </w:r>
      <w:r w:rsidR="00D30575" w:rsidRPr="00995557">
        <w:t>íz Sucre, en los términos del</w:t>
      </w:r>
      <w:r w:rsidRPr="00995557">
        <w:t xml:space="preserve"> </w:t>
      </w:r>
      <w:r w:rsidR="00D30575" w:rsidRPr="00995557">
        <w:t>párrafo</w:t>
      </w:r>
      <w:r w:rsidR="00C025DB" w:rsidRPr="00995557">
        <w:t xml:space="preserve">s 90 a 108, </w:t>
      </w:r>
      <w:r w:rsidR="00E8780D" w:rsidRPr="00995557">
        <w:t>110, 111 y 114</w:t>
      </w:r>
      <w:r w:rsidRPr="00995557">
        <w:t xml:space="preserve"> de la presente Sentencia.</w:t>
      </w:r>
    </w:p>
    <w:p w14:paraId="7BC79CAF" w14:textId="77777777" w:rsidR="005761A6" w:rsidRPr="00995557" w:rsidRDefault="005761A6" w:rsidP="00AA627A">
      <w:pPr>
        <w:pStyle w:val="Prrafodelista"/>
        <w:ind w:left="0"/>
        <w:contextualSpacing w:val="0"/>
        <w:jc w:val="both"/>
      </w:pPr>
    </w:p>
    <w:p w14:paraId="184E90D4" w14:textId="0333F676" w:rsidR="005761A6" w:rsidRPr="00995557" w:rsidRDefault="005761A6" w:rsidP="00AA627A">
      <w:pPr>
        <w:pStyle w:val="Prrafodelista"/>
        <w:numPr>
          <w:ilvl w:val="0"/>
          <w:numId w:val="29"/>
        </w:numPr>
        <w:tabs>
          <w:tab w:val="left" w:pos="567"/>
        </w:tabs>
        <w:ind w:left="0" w:firstLine="0"/>
        <w:contextualSpacing w:val="0"/>
        <w:jc w:val="both"/>
      </w:pPr>
      <w:r w:rsidRPr="00995557">
        <w:t>El Estado es responsable por la violación de los derechos a las garantías judiciales y a la protección judicial, reconocidos en los artículos 8.1 y 25</w:t>
      </w:r>
      <w:r w:rsidR="00F6210A" w:rsidRPr="00995557">
        <w:t>.1</w:t>
      </w:r>
      <w:r w:rsidRPr="00995557">
        <w:t xml:space="preserve"> Convención Americana sobre Derechos Humanos, en relación</w:t>
      </w:r>
      <w:r w:rsidR="00AA368E" w:rsidRPr="00995557">
        <w:t xml:space="preserve"> con</w:t>
      </w:r>
      <w:r w:rsidRPr="00995557">
        <w:t xml:space="preserve"> </w:t>
      </w:r>
      <w:r w:rsidR="00C6598D" w:rsidRPr="00995557">
        <w:t xml:space="preserve">el </w:t>
      </w:r>
      <w:r w:rsidRPr="00995557">
        <w:t>artículo</w:t>
      </w:r>
      <w:r w:rsidR="00C6598D" w:rsidRPr="00995557">
        <w:t xml:space="preserve"> </w:t>
      </w:r>
      <w:r w:rsidRPr="00995557">
        <w:t xml:space="preserve">1.1 del mismo instrumento, </w:t>
      </w:r>
      <w:r w:rsidR="00C6598D" w:rsidRPr="00995557">
        <w:t xml:space="preserve">y </w:t>
      </w:r>
      <w:r w:rsidR="00EB16DC" w:rsidRPr="00995557">
        <w:t>con</w:t>
      </w:r>
      <w:r w:rsidR="00C6598D" w:rsidRPr="00995557">
        <w:t xml:space="preserve"> los artículos </w:t>
      </w:r>
      <w:r w:rsidRPr="00995557">
        <w:t xml:space="preserve">1, 6 y 8 de la Convención Interamericana para Prevenir y Sancionar la Tortura, en perjuicio de las víctimas lesionadas y de los familiares de las víctimas fallecidas, en los términos de los párrafos </w:t>
      </w:r>
      <w:r w:rsidR="00D30575" w:rsidRPr="00995557">
        <w:t>119 a 13</w:t>
      </w:r>
      <w:r w:rsidR="00E8780D" w:rsidRPr="00995557">
        <w:t>8</w:t>
      </w:r>
      <w:r w:rsidRPr="00995557">
        <w:t xml:space="preserve"> de la presente Sentencia.</w:t>
      </w:r>
    </w:p>
    <w:p w14:paraId="1916C4BF" w14:textId="77777777" w:rsidR="005761A6" w:rsidRPr="00995557" w:rsidRDefault="005761A6" w:rsidP="00AA627A">
      <w:pPr>
        <w:pStyle w:val="Prrafodelista"/>
        <w:ind w:left="0"/>
        <w:contextualSpacing w:val="0"/>
        <w:jc w:val="both"/>
      </w:pPr>
    </w:p>
    <w:p w14:paraId="1986A1EA" w14:textId="4524EDDB" w:rsidR="005761A6" w:rsidRPr="00995557" w:rsidRDefault="005761A6" w:rsidP="00AA627A">
      <w:pPr>
        <w:pStyle w:val="Prrafodelista"/>
        <w:numPr>
          <w:ilvl w:val="0"/>
          <w:numId w:val="29"/>
        </w:numPr>
        <w:tabs>
          <w:tab w:val="left" w:pos="567"/>
        </w:tabs>
        <w:ind w:left="0" w:firstLine="0"/>
        <w:contextualSpacing w:val="0"/>
        <w:jc w:val="both"/>
      </w:pPr>
      <w:r w:rsidRPr="00995557">
        <w:t xml:space="preserve">El Estado es responsable por la violación del derecho a la integridad personal, reconocido en el artículo 5.1 de la Convención Americana sobre Derechos Humanos, en relación con </w:t>
      </w:r>
      <w:r w:rsidR="00C6598D" w:rsidRPr="00995557">
        <w:t xml:space="preserve">el </w:t>
      </w:r>
      <w:r w:rsidRPr="00995557">
        <w:t>artículo 1.1 del mismo instrumento, en perjuicio de Lorenza Josefina Pérez de Olivares, Elizabeth del Carmen Cañizales Palma, Elías José Aguirre Navas, Yngris Lorena Muñoz Valerio, José Luis Figueroa, Jenny Leomelia Reyes Guzmán y Johamnata Martínez Coralis, en los términos de los párrafos</w:t>
      </w:r>
      <w:r w:rsidR="00E8780D" w:rsidRPr="00995557">
        <w:t xml:space="preserve"> 140 y 141</w:t>
      </w:r>
      <w:r w:rsidRPr="00995557">
        <w:t xml:space="preserve"> de la presente Sentencia.</w:t>
      </w:r>
    </w:p>
    <w:p w14:paraId="5CFE4F45" w14:textId="77777777" w:rsidR="005761A6" w:rsidRPr="00995557" w:rsidRDefault="005761A6" w:rsidP="00AA627A">
      <w:pPr>
        <w:pStyle w:val="Prrafodelista"/>
        <w:ind w:left="0"/>
        <w:contextualSpacing w:val="0"/>
        <w:jc w:val="both"/>
      </w:pPr>
    </w:p>
    <w:p w14:paraId="2333EBED" w14:textId="77777777" w:rsidR="005761A6" w:rsidRPr="00995557" w:rsidRDefault="005761A6" w:rsidP="00AA627A">
      <w:pPr>
        <w:tabs>
          <w:tab w:val="left" w:pos="720"/>
        </w:tabs>
        <w:ind w:right="-86"/>
        <w:contextualSpacing/>
        <w:jc w:val="both"/>
        <w:rPr>
          <w:b/>
          <w:bCs/>
          <w:lang w:bidi="en-US"/>
        </w:rPr>
      </w:pPr>
      <w:r w:rsidRPr="00995557">
        <w:rPr>
          <w:b/>
          <w:bCs/>
          <w:lang w:bidi="en-US"/>
        </w:rPr>
        <w:t>Y DISPONE:</w:t>
      </w:r>
    </w:p>
    <w:p w14:paraId="19EE9F1E" w14:textId="77777777" w:rsidR="005761A6" w:rsidRPr="00995557" w:rsidRDefault="005761A6" w:rsidP="00AA627A">
      <w:pPr>
        <w:tabs>
          <w:tab w:val="left" w:pos="720"/>
        </w:tabs>
        <w:ind w:right="-90"/>
        <w:contextualSpacing/>
        <w:jc w:val="both"/>
        <w:rPr>
          <w:b/>
          <w:bCs/>
          <w:lang w:bidi="en-US"/>
        </w:rPr>
      </w:pPr>
    </w:p>
    <w:p w14:paraId="725B0854" w14:textId="77777777" w:rsidR="005761A6" w:rsidRPr="00995557" w:rsidRDefault="005761A6" w:rsidP="00AA627A">
      <w:pPr>
        <w:tabs>
          <w:tab w:val="left" w:pos="720"/>
        </w:tabs>
        <w:ind w:right="-90"/>
        <w:contextualSpacing/>
        <w:jc w:val="both"/>
        <w:rPr>
          <w:lang w:bidi="en-US"/>
        </w:rPr>
      </w:pPr>
      <w:r w:rsidRPr="00995557">
        <w:rPr>
          <w:lang w:bidi="en-US"/>
        </w:rPr>
        <w:t xml:space="preserve">Por </w:t>
      </w:r>
      <w:r w:rsidR="00D956DC" w:rsidRPr="00995557">
        <w:rPr>
          <w:lang w:bidi="en-US"/>
        </w:rPr>
        <w:t>unanimidad</w:t>
      </w:r>
      <w:r w:rsidRPr="00995557">
        <w:rPr>
          <w:lang w:bidi="en-US"/>
        </w:rPr>
        <w:t>, que:</w:t>
      </w:r>
    </w:p>
    <w:p w14:paraId="295B74D4" w14:textId="77777777" w:rsidR="005761A6" w:rsidRPr="00995557" w:rsidRDefault="005761A6" w:rsidP="00AA627A">
      <w:pPr>
        <w:pStyle w:val="Prrafodelista"/>
        <w:ind w:left="0"/>
        <w:contextualSpacing w:val="0"/>
        <w:jc w:val="both"/>
      </w:pPr>
    </w:p>
    <w:p w14:paraId="6C8B8451" w14:textId="6BC8816F" w:rsidR="005761A6" w:rsidRPr="00995557" w:rsidRDefault="005761A6" w:rsidP="00AA627A">
      <w:pPr>
        <w:pStyle w:val="Prrafodelista"/>
        <w:numPr>
          <w:ilvl w:val="0"/>
          <w:numId w:val="29"/>
        </w:numPr>
        <w:tabs>
          <w:tab w:val="left" w:pos="567"/>
        </w:tabs>
        <w:ind w:left="0" w:firstLine="0"/>
        <w:contextualSpacing w:val="0"/>
        <w:jc w:val="both"/>
      </w:pPr>
      <w:r w:rsidRPr="00995557">
        <w:t>Esta</w:t>
      </w:r>
      <w:r w:rsidRPr="00995557">
        <w:rPr>
          <w:bCs/>
        </w:rPr>
        <w:t xml:space="preserve"> Sentencia constituye, por sí misma, una forma de reparación.</w:t>
      </w:r>
    </w:p>
    <w:p w14:paraId="3F600E6A" w14:textId="77777777" w:rsidR="005761A6" w:rsidRPr="00995557" w:rsidRDefault="005761A6" w:rsidP="00AA627A">
      <w:pPr>
        <w:widowControl w:val="0"/>
        <w:tabs>
          <w:tab w:val="left" w:pos="567"/>
        </w:tabs>
        <w:adjustRightInd w:val="0"/>
        <w:ind w:right="-90"/>
        <w:contextualSpacing/>
        <w:jc w:val="both"/>
        <w:textAlignment w:val="baseline"/>
        <w:rPr>
          <w:bCs/>
        </w:rPr>
      </w:pPr>
    </w:p>
    <w:p w14:paraId="0B0F3D22" w14:textId="22131C50" w:rsidR="00F036E3" w:rsidRPr="00995557" w:rsidRDefault="005761A6" w:rsidP="00AA627A">
      <w:pPr>
        <w:pStyle w:val="Prrafodelista"/>
        <w:numPr>
          <w:ilvl w:val="0"/>
          <w:numId w:val="29"/>
        </w:numPr>
        <w:tabs>
          <w:tab w:val="left" w:pos="567"/>
        </w:tabs>
        <w:ind w:left="0" w:firstLine="0"/>
        <w:contextualSpacing w:val="0"/>
        <w:jc w:val="both"/>
      </w:pPr>
      <w:r w:rsidRPr="00995557">
        <w:t xml:space="preserve">El Estado </w:t>
      </w:r>
      <w:r w:rsidR="00F036E3" w:rsidRPr="00995557">
        <w:t>reiniciará, con la debida diligencia, la investigación y proceso penal que corresponda por los hechos ocurridos en la cárcel de Vista Hermosa el 10 de noviembre de 2003,</w:t>
      </w:r>
      <w:r w:rsidRPr="00995557">
        <w:t xml:space="preserve"> para determinar, juzgar, y, en su caso, sancionar a los responsables </w:t>
      </w:r>
      <w:r w:rsidR="00F036E3" w:rsidRPr="00995557">
        <w:t>de tales</w:t>
      </w:r>
      <w:r w:rsidRPr="00995557">
        <w:t xml:space="preserve"> hechos, en los términos de los párrafos </w:t>
      </w:r>
      <w:r w:rsidR="00D30575" w:rsidRPr="00995557">
        <w:t>148 a</w:t>
      </w:r>
      <w:r w:rsidR="00E8780D" w:rsidRPr="00995557">
        <w:t xml:space="preserve"> 152</w:t>
      </w:r>
      <w:r w:rsidRPr="00995557">
        <w:t xml:space="preserve"> de la presente Sentencia.</w:t>
      </w:r>
    </w:p>
    <w:p w14:paraId="34A1E5C1" w14:textId="77777777" w:rsidR="005761A6" w:rsidRPr="00995557" w:rsidRDefault="005761A6" w:rsidP="00AA627A">
      <w:pPr>
        <w:widowControl w:val="0"/>
        <w:tabs>
          <w:tab w:val="left" w:pos="567"/>
        </w:tabs>
        <w:adjustRightInd w:val="0"/>
        <w:ind w:right="-91"/>
        <w:jc w:val="both"/>
        <w:textAlignment w:val="baseline"/>
      </w:pPr>
    </w:p>
    <w:p w14:paraId="3D14B712" w14:textId="794C640E" w:rsidR="005761A6" w:rsidRPr="00995557" w:rsidRDefault="005761A6" w:rsidP="00AA627A">
      <w:pPr>
        <w:pStyle w:val="Prrafodelista"/>
        <w:numPr>
          <w:ilvl w:val="0"/>
          <w:numId w:val="29"/>
        </w:numPr>
        <w:tabs>
          <w:tab w:val="left" w:pos="567"/>
        </w:tabs>
        <w:ind w:left="0" w:firstLine="0"/>
        <w:contextualSpacing w:val="0"/>
        <w:jc w:val="both"/>
      </w:pPr>
      <w:r w:rsidRPr="00995557">
        <w:t>El Estado brindará gratuitamente, y de forma inmediata, oportuna, adecuada y efectiva, tratamiento médico</w:t>
      </w:r>
      <w:r w:rsidR="003C6A77" w:rsidRPr="00995557">
        <w:t xml:space="preserve"> y psicológico</w:t>
      </w:r>
      <w:r w:rsidR="0083183F" w:rsidRPr="00995557">
        <w:t xml:space="preserve"> </w:t>
      </w:r>
      <w:r w:rsidR="004A4F6F" w:rsidRPr="00995557">
        <w:t>y/o</w:t>
      </w:r>
      <w:r w:rsidR="0083183F" w:rsidRPr="00995557">
        <w:t xml:space="preserve"> psiquiátrico</w:t>
      </w:r>
      <w:r w:rsidR="00F036E3" w:rsidRPr="00995557">
        <w:t>, según corresponda,</w:t>
      </w:r>
      <w:r w:rsidRPr="00995557">
        <w:t xml:space="preserve"> a las víctimas especificadas de conformidad con lo establecido, en los términos de los párrafos </w:t>
      </w:r>
      <w:r w:rsidR="00D30575" w:rsidRPr="00995557">
        <w:t>15</w:t>
      </w:r>
      <w:r w:rsidR="00E8780D" w:rsidRPr="00995557">
        <w:t>6</w:t>
      </w:r>
      <w:r w:rsidR="00D30575" w:rsidRPr="00995557">
        <w:t xml:space="preserve"> a 1</w:t>
      </w:r>
      <w:r w:rsidR="00E8780D" w:rsidRPr="00995557">
        <w:t>60</w:t>
      </w:r>
      <w:r w:rsidRPr="00995557">
        <w:t xml:space="preserve"> de la presente Sentencia.</w:t>
      </w:r>
    </w:p>
    <w:p w14:paraId="5EC00F8B" w14:textId="77777777" w:rsidR="005761A6" w:rsidRPr="00995557" w:rsidRDefault="005761A6" w:rsidP="00AA627A">
      <w:pPr>
        <w:widowControl w:val="0"/>
        <w:tabs>
          <w:tab w:val="left" w:pos="567"/>
        </w:tabs>
        <w:adjustRightInd w:val="0"/>
        <w:ind w:left="3" w:right="-91"/>
        <w:jc w:val="both"/>
        <w:textAlignment w:val="baseline"/>
        <w:rPr>
          <w:bCs/>
        </w:rPr>
      </w:pPr>
    </w:p>
    <w:p w14:paraId="452E0F1C" w14:textId="53096908" w:rsidR="005761A6" w:rsidRPr="00995557" w:rsidRDefault="005761A6" w:rsidP="00AA627A">
      <w:pPr>
        <w:widowControl w:val="0"/>
        <w:numPr>
          <w:ilvl w:val="0"/>
          <w:numId w:val="29"/>
        </w:numPr>
        <w:tabs>
          <w:tab w:val="left" w:pos="567"/>
        </w:tabs>
        <w:adjustRightInd w:val="0"/>
        <w:ind w:left="0" w:right="-91" w:firstLine="3"/>
        <w:jc w:val="both"/>
        <w:textAlignment w:val="baseline"/>
        <w:rPr>
          <w:bCs/>
        </w:rPr>
      </w:pPr>
      <w:r w:rsidRPr="00995557">
        <w:rPr>
          <w:bCs/>
        </w:rPr>
        <w:t>El Estado realizará las publicac</w:t>
      </w:r>
      <w:r w:rsidR="00D30575" w:rsidRPr="00995557">
        <w:rPr>
          <w:bCs/>
        </w:rPr>
        <w:t>iones indicadas en el párrafo 16</w:t>
      </w:r>
      <w:r w:rsidR="00E8780D" w:rsidRPr="00995557">
        <w:rPr>
          <w:bCs/>
        </w:rPr>
        <w:t>2</w:t>
      </w:r>
      <w:r w:rsidRPr="00995557">
        <w:rPr>
          <w:bCs/>
        </w:rPr>
        <w:t xml:space="preserve"> de la presente Sentencia.</w:t>
      </w:r>
    </w:p>
    <w:p w14:paraId="2B0F2D40" w14:textId="3A962FA4" w:rsidR="00635173" w:rsidRPr="00995557" w:rsidRDefault="00635173" w:rsidP="00AA627A">
      <w:pPr>
        <w:widowControl w:val="0"/>
        <w:tabs>
          <w:tab w:val="left" w:pos="567"/>
        </w:tabs>
        <w:adjustRightInd w:val="0"/>
        <w:ind w:right="-91"/>
        <w:jc w:val="both"/>
        <w:textAlignment w:val="baseline"/>
        <w:rPr>
          <w:bCs/>
        </w:rPr>
      </w:pPr>
    </w:p>
    <w:p w14:paraId="112457FC" w14:textId="4BDF2728" w:rsidR="005761A6" w:rsidRPr="00995557" w:rsidRDefault="005761A6" w:rsidP="00AA627A">
      <w:pPr>
        <w:pStyle w:val="Prrafodelista"/>
        <w:numPr>
          <w:ilvl w:val="0"/>
          <w:numId w:val="29"/>
        </w:numPr>
        <w:tabs>
          <w:tab w:val="left" w:pos="567"/>
        </w:tabs>
        <w:ind w:left="0" w:firstLine="0"/>
        <w:contextualSpacing w:val="0"/>
        <w:jc w:val="both"/>
      </w:pPr>
      <w:r w:rsidRPr="00995557">
        <w:lastRenderedPageBreak/>
        <w:t xml:space="preserve">El Estado realizará un acto público de reconocimiento de responsabilidad internacional, en los términos de los párrafos </w:t>
      </w:r>
      <w:r w:rsidR="00D30575" w:rsidRPr="00995557">
        <w:t>16</w:t>
      </w:r>
      <w:r w:rsidR="00E8780D" w:rsidRPr="00995557">
        <w:t>3</w:t>
      </w:r>
      <w:r w:rsidR="00D30575" w:rsidRPr="00995557">
        <w:t xml:space="preserve"> y 16</w:t>
      </w:r>
      <w:r w:rsidR="00E8780D" w:rsidRPr="00995557">
        <w:t>4</w:t>
      </w:r>
      <w:r w:rsidRPr="00995557">
        <w:t xml:space="preserve"> de la presente Sentencia.</w:t>
      </w:r>
    </w:p>
    <w:p w14:paraId="3A501878" w14:textId="77777777" w:rsidR="005761A6" w:rsidRPr="00995557" w:rsidRDefault="005761A6" w:rsidP="00AA627A">
      <w:pPr>
        <w:widowControl w:val="0"/>
        <w:tabs>
          <w:tab w:val="left" w:pos="567"/>
        </w:tabs>
        <w:adjustRightInd w:val="0"/>
        <w:ind w:right="-91"/>
        <w:jc w:val="both"/>
        <w:textAlignment w:val="baseline"/>
        <w:rPr>
          <w:rFonts w:eastAsia="Times New Roman"/>
          <w:lang w:eastAsia="es-ES" w:bidi="es-ES"/>
        </w:rPr>
      </w:pPr>
    </w:p>
    <w:p w14:paraId="46673728" w14:textId="6DDE757E" w:rsidR="005761A6" w:rsidRPr="00995557" w:rsidRDefault="005761A6" w:rsidP="00AA627A">
      <w:pPr>
        <w:widowControl w:val="0"/>
        <w:numPr>
          <w:ilvl w:val="0"/>
          <w:numId w:val="29"/>
        </w:numPr>
        <w:tabs>
          <w:tab w:val="left" w:pos="567"/>
        </w:tabs>
        <w:adjustRightInd w:val="0"/>
        <w:ind w:left="3" w:right="-91" w:firstLine="3"/>
        <w:jc w:val="both"/>
        <w:textAlignment w:val="baseline"/>
        <w:rPr>
          <w:rFonts w:eastAsia="Times New Roman"/>
          <w:lang w:eastAsia="es-ES" w:bidi="es-ES"/>
        </w:rPr>
      </w:pPr>
      <w:r w:rsidRPr="00995557">
        <w:rPr>
          <w:rFonts w:eastAsia="Times New Roman"/>
          <w:lang w:eastAsia="es-ES" w:bidi="es-ES"/>
        </w:rPr>
        <w:t>El Estado adecuar</w:t>
      </w:r>
      <w:r w:rsidR="00E4115B" w:rsidRPr="00995557">
        <w:rPr>
          <w:rFonts w:eastAsia="Times New Roman"/>
          <w:lang w:eastAsia="es-ES" w:bidi="es-ES"/>
        </w:rPr>
        <w:t>á, en un plazo razonable,</w:t>
      </w:r>
      <w:r w:rsidRPr="00995557">
        <w:rPr>
          <w:rFonts w:eastAsia="Times New Roman"/>
          <w:lang w:eastAsia="es-ES" w:bidi="es-ES"/>
        </w:rPr>
        <w:t xml:space="preserve"> </w:t>
      </w:r>
      <w:r w:rsidR="00A24885" w:rsidRPr="00995557">
        <w:rPr>
          <w:rFonts w:eastAsia="Times New Roman"/>
          <w:lang w:eastAsia="es-ES" w:bidi="es-ES"/>
        </w:rPr>
        <w:t xml:space="preserve">su </w:t>
      </w:r>
      <w:r w:rsidR="00E4115B" w:rsidRPr="00995557">
        <w:rPr>
          <w:rFonts w:eastAsia="Times New Roman"/>
          <w:lang w:eastAsia="es-ES" w:bidi="es-ES"/>
        </w:rPr>
        <w:t>ordenamiento jurídico</w:t>
      </w:r>
      <w:r w:rsidR="00A24885" w:rsidRPr="00995557">
        <w:rPr>
          <w:rFonts w:eastAsia="Times New Roman"/>
          <w:lang w:eastAsia="es-ES" w:bidi="es-ES"/>
        </w:rPr>
        <w:t xml:space="preserve"> intern</w:t>
      </w:r>
      <w:r w:rsidR="00E4115B" w:rsidRPr="00995557">
        <w:rPr>
          <w:rFonts w:eastAsia="Times New Roman"/>
          <w:lang w:eastAsia="es-ES" w:bidi="es-ES"/>
        </w:rPr>
        <w:t>o</w:t>
      </w:r>
      <w:r w:rsidRPr="00995557">
        <w:rPr>
          <w:rFonts w:eastAsia="Times New Roman"/>
          <w:lang w:eastAsia="es-ES" w:bidi="es-ES"/>
        </w:rPr>
        <w:t xml:space="preserve"> a lo</w:t>
      </w:r>
      <w:r w:rsidR="00E4115B" w:rsidRPr="00995557">
        <w:rPr>
          <w:rFonts w:eastAsia="Times New Roman"/>
          <w:lang w:eastAsia="es-ES" w:bidi="es-ES"/>
        </w:rPr>
        <w:t>s parámetros estableci</w:t>
      </w:r>
      <w:r w:rsidR="005F1A9F" w:rsidRPr="00995557">
        <w:rPr>
          <w:rFonts w:eastAsia="Times New Roman"/>
          <w:lang w:eastAsia="es-ES" w:bidi="es-ES"/>
        </w:rPr>
        <w:t>d</w:t>
      </w:r>
      <w:r w:rsidR="00E4115B" w:rsidRPr="00995557">
        <w:rPr>
          <w:rFonts w:eastAsia="Times New Roman"/>
          <w:lang w:eastAsia="es-ES" w:bidi="es-ES"/>
        </w:rPr>
        <w:t xml:space="preserve">os en la presente Sentencia, en los términos de lo dispuesto </w:t>
      </w:r>
      <w:r w:rsidR="00D30575" w:rsidRPr="00995557">
        <w:rPr>
          <w:rFonts w:eastAsia="Times New Roman"/>
          <w:lang w:eastAsia="es-ES" w:bidi="es-ES"/>
        </w:rPr>
        <w:t>en los párrafos 17</w:t>
      </w:r>
      <w:r w:rsidR="00E8780D" w:rsidRPr="00995557">
        <w:rPr>
          <w:rFonts w:eastAsia="Times New Roman"/>
          <w:lang w:eastAsia="es-ES" w:bidi="es-ES"/>
        </w:rPr>
        <w:t>2</w:t>
      </w:r>
      <w:r w:rsidR="00D30575" w:rsidRPr="00995557">
        <w:rPr>
          <w:rFonts w:eastAsia="Times New Roman"/>
          <w:lang w:eastAsia="es-ES" w:bidi="es-ES"/>
        </w:rPr>
        <w:t xml:space="preserve"> </w:t>
      </w:r>
      <w:r w:rsidR="00E8780D" w:rsidRPr="00995557">
        <w:rPr>
          <w:rFonts w:eastAsia="Times New Roman"/>
          <w:lang w:eastAsia="es-ES" w:bidi="es-ES"/>
        </w:rPr>
        <w:t>y 173</w:t>
      </w:r>
      <w:r w:rsidRPr="00995557">
        <w:rPr>
          <w:rFonts w:eastAsia="Times New Roman"/>
          <w:lang w:eastAsia="es-ES" w:bidi="es-ES"/>
        </w:rPr>
        <w:t>.</w:t>
      </w:r>
    </w:p>
    <w:p w14:paraId="00BBC956" w14:textId="77777777" w:rsidR="005761A6" w:rsidRPr="00995557" w:rsidRDefault="005761A6" w:rsidP="00AA627A">
      <w:pPr>
        <w:widowControl w:val="0"/>
        <w:tabs>
          <w:tab w:val="left" w:pos="567"/>
        </w:tabs>
        <w:adjustRightInd w:val="0"/>
        <w:ind w:right="-91"/>
        <w:jc w:val="both"/>
        <w:textAlignment w:val="baseline"/>
        <w:rPr>
          <w:bCs/>
        </w:rPr>
      </w:pPr>
    </w:p>
    <w:p w14:paraId="0855A4C1" w14:textId="0240F174" w:rsidR="005761A6" w:rsidRPr="00995557" w:rsidRDefault="005761A6" w:rsidP="00AA627A">
      <w:pPr>
        <w:widowControl w:val="0"/>
        <w:numPr>
          <w:ilvl w:val="0"/>
          <w:numId w:val="29"/>
        </w:numPr>
        <w:tabs>
          <w:tab w:val="left" w:pos="567"/>
        </w:tabs>
        <w:adjustRightInd w:val="0"/>
        <w:ind w:left="0" w:right="-91" w:firstLine="3"/>
        <w:jc w:val="both"/>
        <w:textAlignment w:val="baseline"/>
        <w:rPr>
          <w:bCs/>
        </w:rPr>
      </w:pPr>
      <w:r w:rsidRPr="00995557">
        <w:rPr>
          <w:bCs/>
        </w:rPr>
        <w:t>El Estado pagará las can</w:t>
      </w:r>
      <w:r w:rsidR="00C52843" w:rsidRPr="00995557">
        <w:rPr>
          <w:bCs/>
        </w:rPr>
        <w:t xml:space="preserve">tidades fijadas en los párrafos </w:t>
      </w:r>
      <w:r w:rsidR="00E8780D" w:rsidRPr="00995557">
        <w:t>180</w:t>
      </w:r>
      <w:r w:rsidR="00D30575" w:rsidRPr="00995557">
        <w:t xml:space="preserve"> a 18</w:t>
      </w:r>
      <w:r w:rsidR="00E8780D" w:rsidRPr="00995557">
        <w:t>2</w:t>
      </w:r>
      <w:r w:rsidR="00F036E3" w:rsidRPr="00995557">
        <w:t>,</w:t>
      </w:r>
      <w:r w:rsidR="00D30575" w:rsidRPr="00995557">
        <w:t xml:space="preserve"> 18</w:t>
      </w:r>
      <w:r w:rsidR="00E8780D" w:rsidRPr="00995557">
        <w:t>7</w:t>
      </w:r>
      <w:r w:rsidR="00D30575" w:rsidRPr="00995557">
        <w:t xml:space="preserve"> a 18</w:t>
      </w:r>
      <w:r w:rsidR="00E8780D" w:rsidRPr="00995557">
        <w:t>9</w:t>
      </w:r>
      <w:r w:rsidR="00F036E3" w:rsidRPr="00995557">
        <w:t xml:space="preserve"> y 194</w:t>
      </w:r>
      <w:r w:rsidR="00E8780D" w:rsidRPr="00995557">
        <w:t xml:space="preserve"> </w:t>
      </w:r>
      <w:r w:rsidRPr="00995557">
        <w:rPr>
          <w:bCs/>
        </w:rPr>
        <w:t>de la presente Sentencia por concepto de indemni</w:t>
      </w:r>
      <w:r w:rsidR="00C777AA" w:rsidRPr="00995557">
        <w:rPr>
          <w:bCs/>
        </w:rPr>
        <w:t>zación por daño</w:t>
      </w:r>
      <w:r w:rsidRPr="00995557">
        <w:rPr>
          <w:bCs/>
        </w:rPr>
        <w:t xml:space="preserve"> material e inmaterial, y por el reintegro de costas y gastos</w:t>
      </w:r>
      <w:r w:rsidRPr="00995557">
        <w:rPr>
          <w:lang w:val="es-PE"/>
        </w:rPr>
        <w:t xml:space="preserve">, </w:t>
      </w:r>
      <w:r w:rsidR="00630124" w:rsidRPr="00995557">
        <w:rPr>
          <w:lang w:val="es-AR"/>
        </w:rPr>
        <w:t>en los términos de</w:t>
      </w:r>
      <w:r w:rsidR="00F036E3" w:rsidRPr="00995557">
        <w:rPr>
          <w:lang w:val="es-AR"/>
        </w:rPr>
        <w:t xml:space="preserve"> </w:t>
      </w:r>
      <w:r w:rsidR="00630124" w:rsidRPr="00995557">
        <w:rPr>
          <w:lang w:val="es-AR"/>
        </w:rPr>
        <w:t>l</w:t>
      </w:r>
      <w:r w:rsidR="00F036E3" w:rsidRPr="00995557">
        <w:rPr>
          <w:lang w:val="es-AR"/>
        </w:rPr>
        <w:t>os</w:t>
      </w:r>
      <w:r w:rsidR="00630124" w:rsidRPr="00995557">
        <w:rPr>
          <w:lang w:val="es-AR"/>
        </w:rPr>
        <w:t xml:space="preserve"> párrafo</w:t>
      </w:r>
      <w:r w:rsidR="00F036E3" w:rsidRPr="00995557">
        <w:rPr>
          <w:lang w:val="es-AR"/>
        </w:rPr>
        <w:t>s</w:t>
      </w:r>
      <w:r w:rsidRPr="00995557">
        <w:rPr>
          <w:lang w:val="es-AR"/>
        </w:rPr>
        <w:t xml:space="preserve"> </w:t>
      </w:r>
      <w:r w:rsidR="00F036E3" w:rsidRPr="00995557">
        <w:rPr>
          <w:lang w:val="es-AR"/>
        </w:rPr>
        <w:t>200 a 205</w:t>
      </w:r>
      <w:r w:rsidRPr="00995557">
        <w:rPr>
          <w:lang w:val="es-AR"/>
        </w:rPr>
        <w:t xml:space="preserve"> del presente Fallo</w:t>
      </w:r>
      <w:r w:rsidRPr="00995557">
        <w:rPr>
          <w:bCs/>
        </w:rPr>
        <w:t xml:space="preserve">. </w:t>
      </w:r>
    </w:p>
    <w:p w14:paraId="589E2906" w14:textId="77777777" w:rsidR="005761A6" w:rsidRPr="00995557" w:rsidRDefault="005761A6" w:rsidP="00AA627A">
      <w:pPr>
        <w:widowControl w:val="0"/>
        <w:tabs>
          <w:tab w:val="left" w:pos="567"/>
        </w:tabs>
        <w:adjustRightInd w:val="0"/>
        <w:ind w:right="-91"/>
        <w:jc w:val="both"/>
        <w:textAlignment w:val="baseline"/>
        <w:rPr>
          <w:bCs/>
        </w:rPr>
      </w:pPr>
    </w:p>
    <w:p w14:paraId="60078EF2" w14:textId="0A18AE4C" w:rsidR="005761A6" w:rsidRPr="00995557" w:rsidRDefault="005761A6" w:rsidP="00AA627A">
      <w:pPr>
        <w:widowControl w:val="0"/>
        <w:numPr>
          <w:ilvl w:val="0"/>
          <w:numId w:val="29"/>
        </w:numPr>
        <w:tabs>
          <w:tab w:val="left" w:pos="567"/>
        </w:tabs>
        <w:adjustRightInd w:val="0"/>
        <w:ind w:left="0" w:right="-91" w:firstLine="3"/>
        <w:jc w:val="both"/>
        <w:textAlignment w:val="baseline"/>
        <w:rPr>
          <w:bCs/>
          <w:lang w:bidi="en-US"/>
        </w:rPr>
      </w:pPr>
      <w:bookmarkStart w:id="200" w:name="_Ref35854880"/>
      <w:r w:rsidRPr="00995557">
        <w:rPr>
          <w:bCs/>
        </w:rPr>
        <w:t>El Estado, dentro del plazo de un año contado a partir de la notificación de esta Sentencia, rendirá al Tribunal un informe sobre las medidas adoptadas para cumplir con la misma</w:t>
      </w:r>
      <w:bookmarkEnd w:id="200"/>
      <w:r w:rsidRPr="00995557">
        <w:rPr>
          <w:lang w:val="es-AR"/>
        </w:rPr>
        <w:t xml:space="preserve">, sin perjuicio de lo establecido en el párrafo </w:t>
      </w:r>
      <w:r w:rsidR="00D30575" w:rsidRPr="00995557">
        <w:rPr>
          <w:lang w:val="es-AR"/>
        </w:rPr>
        <w:t>16</w:t>
      </w:r>
      <w:r w:rsidR="00F44462" w:rsidRPr="00995557">
        <w:rPr>
          <w:lang w:val="es-AR"/>
        </w:rPr>
        <w:t>2</w:t>
      </w:r>
      <w:r w:rsidRPr="00995557">
        <w:rPr>
          <w:lang w:val="es-AR"/>
        </w:rPr>
        <w:t xml:space="preserve"> de la presente Sentencia</w:t>
      </w:r>
      <w:r w:rsidRPr="00995557">
        <w:rPr>
          <w:bCs/>
        </w:rPr>
        <w:t>.</w:t>
      </w:r>
    </w:p>
    <w:p w14:paraId="6FE35E51" w14:textId="1186E21B" w:rsidR="00635173" w:rsidRPr="00995557" w:rsidRDefault="00635173" w:rsidP="00AA627A">
      <w:pPr>
        <w:widowControl w:val="0"/>
        <w:tabs>
          <w:tab w:val="left" w:pos="567"/>
        </w:tabs>
        <w:adjustRightInd w:val="0"/>
        <w:ind w:right="-91"/>
        <w:jc w:val="both"/>
        <w:textAlignment w:val="baseline"/>
        <w:rPr>
          <w:bCs/>
          <w:lang w:bidi="en-US"/>
        </w:rPr>
      </w:pPr>
    </w:p>
    <w:p w14:paraId="1D03C224" w14:textId="77777777" w:rsidR="005761A6" w:rsidRPr="00995557" w:rsidRDefault="005761A6" w:rsidP="00AA627A">
      <w:pPr>
        <w:widowControl w:val="0"/>
        <w:numPr>
          <w:ilvl w:val="0"/>
          <w:numId w:val="29"/>
        </w:numPr>
        <w:tabs>
          <w:tab w:val="left" w:pos="567"/>
        </w:tabs>
        <w:adjustRightInd w:val="0"/>
        <w:ind w:left="0" w:right="-91" w:firstLine="3"/>
        <w:jc w:val="both"/>
        <w:textAlignment w:val="baseline"/>
        <w:rPr>
          <w:b/>
          <w:bCs/>
        </w:rPr>
      </w:pPr>
      <w:r w:rsidRPr="00995557">
        <w:rPr>
          <w:bCs/>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343BABF5" w14:textId="77777777" w:rsidR="005761A6" w:rsidRPr="00995557" w:rsidRDefault="005761A6" w:rsidP="00AA627A">
      <w:pPr>
        <w:tabs>
          <w:tab w:val="left" w:pos="720"/>
        </w:tabs>
        <w:ind w:right="-93"/>
        <w:contextualSpacing/>
        <w:jc w:val="both"/>
        <w:rPr>
          <w:rFonts w:cs="Verdana"/>
        </w:rPr>
      </w:pPr>
    </w:p>
    <w:p w14:paraId="7040976A" w14:textId="0956EBD6" w:rsidR="004274F4" w:rsidRDefault="005761A6" w:rsidP="00AA627A">
      <w:pPr>
        <w:pStyle w:val="Prrafodelista"/>
        <w:ind w:left="0"/>
        <w:jc w:val="both"/>
        <w:rPr>
          <w:rFonts w:cs="Verdana"/>
        </w:rPr>
      </w:pPr>
      <w:r w:rsidRPr="00995557">
        <w:rPr>
          <w:rFonts w:cs="Verdana"/>
        </w:rPr>
        <w:t xml:space="preserve">Redactada en español en San José, Costa Rica, el </w:t>
      </w:r>
      <w:r w:rsidR="004F314A" w:rsidRPr="00995557">
        <w:rPr>
          <w:rFonts w:cs="Verdana"/>
        </w:rPr>
        <w:t>10</w:t>
      </w:r>
      <w:r w:rsidRPr="00995557">
        <w:rPr>
          <w:rFonts w:cs="Verdana"/>
        </w:rPr>
        <w:t xml:space="preserve"> de </w:t>
      </w:r>
      <w:r w:rsidR="004F314A" w:rsidRPr="00995557">
        <w:rPr>
          <w:rFonts w:cs="Verdana"/>
        </w:rPr>
        <w:t>noviembre</w:t>
      </w:r>
      <w:r w:rsidRPr="00995557">
        <w:rPr>
          <w:rFonts w:cs="Verdana"/>
        </w:rPr>
        <w:t xml:space="preserve"> de 2020.</w:t>
      </w:r>
    </w:p>
    <w:p w14:paraId="66A222CB" w14:textId="3F21BCFE" w:rsidR="00147A08" w:rsidRDefault="00147A08" w:rsidP="00AA627A">
      <w:pPr>
        <w:pStyle w:val="Prrafodelista"/>
        <w:ind w:left="0"/>
        <w:jc w:val="both"/>
        <w:rPr>
          <w:rFonts w:cs="Verdana"/>
        </w:rPr>
      </w:pPr>
    </w:p>
    <w:p w14:paraId="240B07F2" w14:textId="77777777" w:rsidR="00147A08" w:rsidRDefault="00147A08" w:rsidP="00147A08"/>
    <w:p w14:paraId="563C8383" w14:textId="77777777" w:rsidR="00147A08" w:rsidRDefault="00147A08" w:rsidP="00147A08">
      <w:pPr>
        <w:jc w:val="both"/>
      </w:pPr>
      <w:r>
        <w:t xml:space="preserve">Corte IDH. </w:t>
      </w:r>
      <w:r w:rsidRPr="00E173F1">
        <w:rPr>
          <w:i/>
        </w:rPr>
        <w:t>Caso Olivares Muñoz y otros Vs. Venezuela</w:t>
      </w:r>
      <w:r>
        <w:rPr>
          <w:i/>
        </w:rPr>
        <w:t>.</w:t>
      </w:r>
      <w:r>
        <w:t xml:space="preserve"> Sentencia sobre Fondo, Reparaciones y Costas. </w:t>
      </w:r>
      <w:r w:rsidRPr="00E173F1">
        <w:t>Sentencia de 10 de noviembre de 2020.</w:t>
      </w:r>
      <w:r>
        <w:t xml:space="preserve"> </w:t>
      </w:r>
      <w:r>
        <w:rPr>
          <w:iCs/>
        </w:rPr>
        <w:t>Sentencia adoptada en San José de Costa Rica por medio de sesión virtual.</w:t>
      </w:r>
    </w:p>
    <w:p w14:paraId="6A8E260F" w14:textId="7E756313" w:rsidR="00147A08" w:rsidRDefault="00147A08" w:rsidP="00147A08"/>
    <w:p w14:paraId="221D9CE0" w14:textId="77777777" w:rsidR="00147A08" w:rsidRDefault="00147A08" w:rsidP="00147A08"/>
    <w:p w14:paraId="6518072D" w14:textId="09914A84" w:rsidR="00147A08" w:rsidRDefault="00147A08" w:rsidP="00147A08"/>
    <w:p w14:paraId="65D84653" w14:textId="77777777" w:rsidR="00147A08" w:rsidRPr="00CD72B7" w:rsidRDefault="00147A08" w:rsidP="00147A08">
      <w:pPr>
        <w:jc w:val="center"/>
      </w:pPr>
      <w:r w:rsidRPr="00CD72B7">
        <w:t>Elizabeth Odio Benito</w:t>
      </w:r>
    </w:p>
    <w:p w14:paraId="350EDD75" w14:textId="77777777" w:rsidR="00147A08" w:rsidRDefault="00147A08" w:rsidP="00147A08">
      <w:pPr>
        <w:jc w:val="center"/>
      </w:pPr>
      <w:r>
        <w:t>Presidenta</w:t>
      </w:r>
    </w:p>
    <w:p w14:paraId="16529C49" w14:textId="77777777" w:rsidR="00147A08" w:rsidRDefault="00147A08" w:rsidP="00147A08"/>
    <w:p w14:paraId="7A425AA2" w14:textId="0C6E19B0" w:rsidR="00147A08" w:rsidRDefault="00147A08" w:rsidP="00147A08">
      <w:pPr>
        <w:jc w:val="center"/>
      </w:pPr>
    </w:p>
    <w:p w14:paraId="333EAD48" w14:textId="77777777" w:rsidR="00147A08" w:rsidRDefault="00147A08" w:rsidP="00147A08">
      <w:pPr>
        <w:jc w:val="center"/>
      </w:pPr>
    </w:p>
    <w:p w14:paraId="068A64CC" w14:textId="00A57D34" w:rsidR="00147A08" w:rsidRDefault="00147A08" w:rsidP="00147A08">
      <w:r>
        <w:t>L. Patricio Pazmiño Freire</w:t>
      </w:r>
      <w:r>
        <w:tab/>
      </w:r>
      <w:r>
        <w:tab/>
      </w:r>
      <w:r>
        <w:tab/>
      </w:r>
      <w:r>
        <w:tab/>
      </w:r>
      <w:r>
        <w:tab/>
      </w:r>
      <w:r>
        <w:tab/>
      </w:r>
      <w:r>
        <w:tab/>
        <w:t xml:space="preserve">    Eduardo Vio Grossi</w:t>
      </w:r>
      <w:r w:rsidRPr="00AB3782">
        <w:t xml:space="preserve"> </w:t>
      </w:r>
    </w:p>
    <w:p w14:paraId="06499E16" w14:textId="74D3918C" w:rsidR="00147A08" w:rsidRDefault="00147A08" w:rsidP="00147A08"/>
    <w:p w14:paraId="51425967" w14:textId="77777777" w:rsidR="00147A08" w:rsidRDefault="00147A08" w:rsidP="00147A08"/>
    <w:p w14:paraId="796CB315" w14:textId="77777777" w:rsidR="00147A08" w:rsidRDefault="00147A08" w:rsidP="00147A08"/>
    <w:p w14:paraId="7D1157D6" w14:textId="77777777" w:rsidR="00147A08" w:rsidRDefault="00147A08" w:rsidP="00147A08">
      <w:r>
        <w:t>Humberto Antonio</w:t>
      </w:r>
      <w:r w:rsidRPr="00CD72B7">
        <w:t xml:space="preserve"> Sierra Porto</w:t>
      </w:r>
      <w:r>
        <w:tab/>
      </w:r>
      <w:r>
        <w:tab/>
      </w:r>
      <w:r>
        <w:tab/>
      </w:r>
      <w:r>
        <w:tab/>
        <w:t xml:space="preserve">   Eduardo Ferrer Mac-Gregor Poisot </w:t>
      </w:r>
    </w:p>
    <w:p w14:paraId="74D15233" w14:textId="1D3FBC0D" w:rsidR="00147A08" w:rsidRDefault="00147A08" w:rsidP="00147A08"/>
    <w:p w14:paraId="1D4B582E" w14:textId="657ACC91" w:rsidR="00147A08" w:rsidRDefault="00147A08" w:rsidP="00147A08"/>
    <w:p w14:paraId="6E8294AE" w14:textId="233EAC04" w:rsidR="00147A08" w:rsidRPr="00356934" w:rsidRDefault="00147A08" w:rsidP="00147A08"/>
    <w:p w14:paraId="228ECB5A" w14:textId="399797BB" w:rsidR="00147A08" w:rsidRDefault="00147A08" w:rsidP="00147A08">
      <w:r>
        <w:t>Eugenio Raúl Zaffaroni</w:t>
      </w:r>
      <w:r>
        <w:tab/>
      </w:r>
      <w:r>
        <w:tab/>
      </w:r>
      <w:r>
        <w:tab/>
      </w:r>
      <w:r>
        <w:tab/>
      </w:r>
      <w:r>
        <w:tab/>
        <w:t xml:space="preserve">              Ricardo C. Pérez Manrique</w:t>
      </w:r>
    </w:p>
    <w:p w14:paraId="5B1C0426" w14:textId="77777777" w:rsidR="00147A08" w:rsidRDefault="00147A08" w:rsidP="00147A08">
      <w:r>
        <w:tab/>
      </w:r>
      <w:r>
        <w:tab/>
      </w:r>
      <w:r>
        <w:tab/>
      </w:r>
    </w:p>
    <w:p w14:paraId="0FD2ED2B" w14:textId="77777777" w:rsidR="00147A08" w:rsidRDefault="00147A08" w:rsidP="00147A08"/>
    <w:p w14:paraId="1AC8D4F1" w14:textId="77777777" w:rsidR="00147A08" w:rsidRDefault="00147A08" w:rsidP="00147A08">
      <w:pPr>
        <w:tabs>
          <w:tab w:val="left" w:pos="8460"/>
          <w:tab w:val="left" w:pos="8640"/>
        </w:tabs>
        <w:jc w:val="both"/>
      </w:pPr>
    </w:p>
    <w:p w14:paraId="259DDE8B" w14:textId="77777777" w:rsidR="00147A08" w:rsidRPr="00274D2F" w:rsidRDefault="00147A08" w:rsidP="00147A08">
      <w:pPr>
        <w:tabs>
          <w:tab w:val="left" w:pos="8460"/>
          <w:tab w:val="left" w:pos="8640"/>
        </w:tabs>
        <w:jc w:val="center"/>
      </w:pPr>
    </w:p>
    <w:p w14:paraId="346F4ECB" w14:textId="77777777" w:rsidR="00147A08" w:rsidRDefault="00147A08" w:rsidP="00147A08">
      <w:pPr>
        <w:tabs>
          <w:tab w:val="left" w:pos="8460"/>
          <w:tab w:val="left" w:pos="8640"/>
        </w:tabs>
        <w:jc w:val="center"/>
      </w:pPr>
      <w:r>
        <w:t>Pablo Saavedra Alessandri</w:t>
      </w:r>
    </w:p>
    <w:p w14:paraId="2D2E827C" w14:textId="73CE310C" w:rsidR="00147A08" w:rsidRDefault="00147A08" w:rsidP="00147A08">
      <w:pPr>
        <w:tabs>
          <w:tab w:val="left" w:pos="8460"/>
          <w:tab w:val="left" w:pos="8640"/>
        </w:tabs>
        <w:jc w:val="center"/>
      </w:pPr>
      <w:r>
        <w:t>Secretario</w:t>
      </w:r>
    </w:p>
    <w:p w14:paraId="6C50A67C" w14:textId="77777777" w:rsidR="00147A08" w:rsidRDefault="00147A08" w:rsidP="00147A08">
      <w:pPr>
        <w:jc w:val="both"/>
      </w:pPr>
    </w:p>
    <w:p w14:paraId="6D0FE246" w14:textId="6E4EE9A8" w:rsidR="00147A08" w:rsidRDefault="00147A08" w:rsidP="00147A08">
      <w:pPr>
        <w:jc w:val="both"/>
      </w:pPr>
    </w:p>
    <w:p w14:paraId="156881C2" w14:textId="77777777" w:rsidR="00147A08" w:rsidRDefault="00147A08" w:rsidP="00147A08">
      <w:pPr>
        <w:tabs>
          <w:tab w:val="left" w:pos="8460"/>
          <w:tab w:val="left" w:pos="8640"/>
        </w:tabs>
        <w:jc w:val="both"/>
      </w:pPr>
      <w:r>
        <w:t>Comuníquese y ejecútese,</w:t>
      </w:r>
    </w:p>
    <w:p w14:paraId="6546995C" w14:textId="77777777" w:rsidR="00147A08" w:rsidRDefault="00147A08" w:rsidP="00147A08"/>
    <w:p w14:paraId="60764CDD" w14:textId="77777777" w:rsidR="00147A08" w:rsidRDefault="00147A08" w:rsidP="00147A08">
      <w:pPr>
        <w:jc w:val="center"/>
      </w:pPr>
    </w:p>
    <w:p w14:paraId="356FB073" w14:textId="77777777" w:rsidR="00147A08" w:rsidRPr="00CD72B7" w:rsidRDefault="00147A08" w:rsidP="00147A08">
      <w:pPr>
        <w:jc w:val="right"/>
      </w:pPr>
      <w:r w:rsidRPr="00CD72B7">
        <w:t>Elizabeth Odio Benito</w:t>
      </w:r>
    </w:p>
    <w:p w14:paraId="18D0F06A" w14:textId="77777777" w:rsidR="00147A08" w:rsidRDefault="00147A08" w:rsidP="00147A08">
      <w:pPr>
        <w:ind w:right="519"/>
        <w:jc w:val="right"/>
      </w:pPr>
      <w:r>
        <w:t>Presidenta</w:t>
      </w:r>
    </w:p>
    <w:p w14:paraId="22A3D4AC" w14:textId="77777777" w:rsidR="00147A08" w:rsidRDefault="00147A08" w:rsidP="00147A08">
      <w:pPr>
        <w:tabs>
          <w:tab w:val="left" w:pos="8460"/>
          <w:tab w:val="left" w:pos="8640"/>
        </w:tabs>
        <w:jc w:val="both"/>
      </w:pPr>
    </w:p>
    <w:p w14:paraId="02228CE0" w14:textId="77777777" w:rsidR="00147A08" w:rsidRDefault="00147A08" w:rsidP="00147A08">
      <w:pPr>
        <w:tabs>
          <w:tab w:val="left" w:pos="8460"/>
          <w:tab w:val="left" w:pos="8640"/>
        </w:tabs>
        <w:jc w:val="both"/>
      </w:pPr>
    </w:p>
    <w:p w14:paraId="02831E4F" w14:textId="77777777" w:rsidR="00147A08" w:rsidRDefault="00147A08" w:rsidP="00147A08">
      <w:pPr>
        <w:tabs>
          <w:tab w:val="left" w:pos="8460"/>
          <w:tab w:val="left" w:pos="8640"/>
        </w:tabs>
        <w:jc w:val="both"/>
      </w:pPr>
      <w:r>
        <w:t>Pablo Saavedra Alessandri</w:t>
      </w:r>
    </w:p>
    <w:p w14:paraId="7B2E6143" w14:textId="77777777" w:rsidR="00147A08" w:rsidRDefault="00147A08" w:rsidP="00147A08">
      <w:pPr>
        <w:ind w:firstLine="720"/>
        <w:jc w:val="both"/>
      </w:pPr>
      <w:r>
        <w:t xml:space="preserve">  Secretario</w:t>
      </w:r>
    </w:p>
    <w:p w14:paraId="75C9B82F" w14:textId="6B8B0EA1" w:rsidR="00147A08" w:rsidRPr="00AA627A" w:rsidRDefault="00147A08" w:rsidP="00AA627A">
      <w:pPr>
        <w:pStyle w:val="Prrafodelista"/>
        <w:ind w:left="0"/>
        <w:jc w:val="both"/>
        <w:rPr>
          <w:rFonts w:cs="Verdana"/>
        </w:rPr>
      </w:pPr>
    </w:p>
    <w:sectPr w:rsidR="00147A08" w:rsidRPr="00AA627A" w:rsidSect="004473A1">
      <w:headerReference w:type="default" r:id="rId8"/>
      <w:footerReference w:type="default" r:id="rId9"/>
      <w:pgSz w:w="12240" w:h="15840" w:code="1"/>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6C19F2" w14:textId="77777777" w:rsidR="008E78EF" w:rsidRDefault="008E78EF" w:rsidP="00C41BB2">
      <w:r>
        <w:separator/>
      </w:r>
    </w:p>
  </w:endnote>
  <w:endnote w:type="continuationSeparator" w:id="0">
    <w:p w14:paraId="517AFB8E" w14:textId="77777777" w:rsidR="008E78EF" w:rsidRDefault="008E78EF" w:rsidP="00C41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ew York">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Italic">
    <w:altName w:val="Malgun Gothic Semilight"/>
    <w:charset w:val="00"/>
    <w:family w:val="roman"/>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NewRomanPSMT">
    <w:altName w:val="MS Gothic"/>
    <w:panose1 w:val="00000000000000000000"/>
    <w:charset w:val="4D"/>
    <w:family w:val="roman"/>
    <w:notTrueType/>
    <w:pitch w:val="default"/>
    <w:sig w:usb0="03000000"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3590738"/>
      <w:docPartObj>
        <w:docPartGallery w:val="Page Numbers (Bottom of Page)"/>
        <w:docPartUnique/>
      </w:docPartObj>
    </w:sdtPr>
    <w:sdtEndPr/>
    <w:sdtContent>
      <w:p w14:paraId="7BC9A20F" w14:textId="1909DDBC" w:rsidR="000B30AA" w:rsidRDefault="000B30AA">
        <w:pPr>
          <w:pStyle w:val="Piedepgina"/>
          <w:jc w:val="center"/>
        </w:pPr>
        <w:r>
          <w:fldChar w:fldCharType="begin"/>
        </w:r>
        <w:r>
          <w:instrText>PAGE   \* MERGEFORMAT</w:instrText>
        </w:r>
        <w:r>
          <w:fldChar w:fldCharType="separate"/>
        </w:r>
        <w:r w:rsidR="00141749" w:rsidRPr="00141749">
          <w:rPr>
            <w:noProof/>
            <w:lang w:val="es-ES"/>
          </w:rPr>
          <w:t>2</w:t>
        </w:r>
        <w:r>
          <w:fldChar w:fldCharType="end"/>
        </w:r>
      </w:p>
    </w:sdtContent>
  </w:sdt>
  <w:p w14:paraId="7CEC49CF" w14:textId="77777777" w:rsidR="000B30AA" w:rsidRDefault="000B30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61D96" w14:textId="77777777" w:rsidR="008E78EF" w:rsidRDefault="008E78EF" w:rsidP="00C41BB2">
      <w:r>
        <w:separator/>
      </w:r>
    </w:p>
  </w:footnote>
  <w:footnote w:type="continuationSeparator" w:id="0">
    <w:p w14:paraId="743A69A7" w14:textId="77777777" w:rsidR="008E78EF" w:rsidRDefault="008E78EF" w:rsidP="00C41BB2">
      <w:r>
        <w:continuationSeparator/>
      </w:r>
    </w:p>
  </w:footnote>
  <w:footnote w:id="1">
    <w:p w14:paraId="3F76FB59" w14:textId="654B39C9" w:rsidR="000B30AA" w:rsidRPr="00995557" w:rsidRDefault="000B30AA" w:rsidP="00AA627A">
      <w:pPr>
        <w:pStyle w:val="Textonotapie"/>
        <w:widowControl w:val="0"/>
      </w:pPr>
      <w:r w:rsidRPr="00995557">
        <w:rPr>
          <w:rStyle w:val="Refdenotaalpie"/>
        </w:rPr>
        <w:footnoteRef/>
      </w:r>
      <w:r w:rsidRPr="00995557">
        <w:tab/>
        <w:t>El nombre también aparece como R</w:t>
      </w:r>
      <w:r w:rsidR="00A655AF" w:rsidRPr="00995557">
        <w:t>inaldi</w:t>
      </w:r>
      <w:r w:rsidRPr="00995557">
        <w:t>, Ronaldi</w:t>
      </w:r>
      <w:r w:rsidR="00E466C6" w:rsidRPr="00995557">
        <w:t>, Ronaldis</w:t>
      </w:r>
      <w:r w:rsidRPr="00995557">
        <w:t xml:space="preserve"> y Ronaldo, y el apellido como Navas. En esta Sentencia se emplea el nombre consignado en el </w:t>
      </w:r>
      <w:r w:rsidR="00A655AF" w:rsidRPr="00995557">
        <w:t>certificado de defunción correspondiente.</w:t>
      </w:r>
    </w:p>
  </w:footnote>
  <w:footnote w:id="2">
    <w:p w14:paraId="52956457" w14:textId="00F7D32A" w:rsidR="000B30AA" w:rsidRPr="00995557" w:rsidRDefault="000B30AA" w:rsidP="00AA627A">
      <w:pPr>
        <w:pStyle w:val="Textonotapie"/>
        <w:widowControl w:val="0"/>
      </w:pPr>
      <w:r w:rsidRPr="00995557">
        <w:rPr>
          <w:rStyle w:val="Refdenotaalpie"/>
        </w:rPr>
        <w:footnoteRef/>
      </w:r>
      <w:r w:rsidRPr="00995557">
        <w:t xml:space="preserve"> </w:t>
      </w:r>
      <w:r w:rsidRPr="00995557">
        <w:rPr>
          <w:lang w:val="es-MX"/>
        </w:rPr>
        <w:tab/>
        <w:t xml:space="preserve">También aparece como Héctor José Muñoz Valerio. </w:t>
      </w:r>
      <w:r w:rsidRPr="00995557">
        <w:t>En esta Sentencia se emplea el nombre consignado en el</w:t>
      </w:r>
      <w:r w:rsidR="00A655AF" w:rsidRPr="00995557">
        <w:t xml:space="preserve"> certificado de defunción correspondiente.</w:t>
      </w:r>
    </w:p>
  </w:footnote>
  <w:footnote w:id="3">
    <w:p w14:paraId="483743BC" w14:textId="3C85BD83" w:rsidR="000B30AA" w:rsidRPr="00995557" w:rsidRDefault="000B30AA" w:rsidP="00AA627A">
      <w:pPr>
        <w:pStyle w:val="Textonotapie"/>
        <w:widowControl w:val="0"/>
      </w:pPr>
      <w:r w:rsidRPr="00995557">
        <w:rPr>
          <w:rStyle w:val="Refdenotaalpie"/>
        </w:rPr>
        <w:footnoteRef/>
      </w:r>
      <w:r w:rsidRPr="00995557">
        <w:t xml:space="preserve"> </w:t>
      </w:r>
      <w:r w:rsidRPr="00995557">
        <w:rPr>
          <w:lang w:val="es-MX"/>
        </w:rPr>
        <w:tab/>
        <w:t xml:space="preserve">También aparece como Pedro Antonio López Chaurán y Pedro Chauram López. </w:t>
      </w:r>
      <w:r w:rsidRPr="00995557">
        <w:t>En esta Sentencia</w:t>
      </w:r>
      <w:r w:rsidR="00BA778B" w:rsidRPr="00995557">
        <w:t xml:space="preserve"> se emplea el nombre consignado en el certificado de defunción correspondiente.</w:t>
      </w:r>
    </w:p>
  </w:footnote>
  <w:footnote w:id="4">
    <w:p w14:paraId="0B2E4CE1" w14:textId="5D4746EA" w:rsidR="000B30AA" w:rsidRPr="00995557" w:rsidRDefault="000B30AA" w:rsidP="00AA627A">
      <w:pPr>
        <w:pStyle w:val="Textonotapie"/>
        <w:widowControl w:val="0"/>
      </w:pPr>
      <w:r w:rsidRPr="00995557">
        <w:rPr>
          <w:rStyle w:val="Refdenotaalpie"/>
        </w:rPr>
        <w:footnoteRef/>
      </w:r>
      <w:r w:rsidRPr="00995557">
        <w:t xml:space="preserve"> </w:t>
      </w:r>
      <w:r w:rsidRPr="00995557">
        <w:tab/>
        <w:t xml:space="preserve">Las personas heridas, identificadas como presuntas víctimas, son: Ramón Zambrano, Jovanny Palomo, Carlos Durán (también aparece como </w:t>
      </w:r>
      <w:r w:rsidRPr="00995557">
        <w:rPr>
          <w:lang w:val="es-MX"/>
        </w:rPr>
        <w:t>Carlos Alexis Durán Gracia)</w:t>
      </w:r>
      <w:r w:rsidRPr="00995557">
        <w:t>, Richard Vallez, Carlos Alberto Torres, Galindo Urrieta, Edwin David Díaz, Luis Filgueira, Oswal Sotillo (también aparece como Oswaldo Sotillo), Rafael Vera Himi, Miguel Marcano, Marcos Pacheco, Alcides Rafael Alcaza Barreto, Jesús Manuel Amaiz Borrome, Rafael Villa Hermosa, Efraín Cordero, Carlos Alberto Martínez, Pedro de Jesús Montes Aguanes, Santa Jesús Gil Osuna, Omar Armando Vásquez, Getulio Piña Laya, Evelio Eugenio Martínez, Enrique José González, Javier Omar Lara, José Efraín Rosales Navas, Levis Simoza y Marco Antonio Ruíz Sucre (también aparece como Marcos Antonio Ruiz Sucre). En esta Sentencia se emplean los nombres consignados en el Informe de Fondo aprobado por la Comisión.</w:t>
      </w:r>
    </w:p>
  </w:footnote>
  <w:footnote w:id="5">
    <w:p w14:paraId="0A481574" w14:textId="38895D34" w:rsidR="000B30AA" w:rsidRPr="00995557" w:rsidRDefault="000B30AA" w:rsidP="00AA627A">
      <w:pPr>
        <w:pStyle w:val="Textonotapie"/>
        <w:widowControl w:val="0"/>
        <w:rPr>
          <w:b/>
        </w:rPr>
      </w:pPr>
      <w:r w:rsidRPr="00995557">
        <w:rPr>
          <w:rStyle w:val="Refdenotaalpie"/>
        </w:rPr>
        <w:footnoteRef/>
      </w:r>
      <w:r w:rsidRPr="00995557">
        <w:rPr>
          <w:lang w:val="es-MX"/>
        </w:rPr>
        <w:tab/>
      </w:r>
      <w:r w:rsidRPr="00995557">
        <w:t xml:space="preserve">Los familiares de las personas fallecidas, identificados también como presuntas víctimas, son: Lorenza Josefina Pérez de Olivares, esposa de Orlando Edgardo Olivares Muñoz; Elizabeth del Carmen Cañizales Palma, hermana de Richard Alexis Núñez Palma; Elías José Aguirre Navas, cuñado de José Gregorio Bolívar Corro; Yngris Lorena Muñoz Valerio, hermana de Héctor Javier Muñoz Valerio; José Luis Figueroa, hermano de Orangel José Figueroa; Jenny Leomelia Reyes Guzmán, hermana de Joel </w:t>
      </w:r>
      <w:r w:rsidR="00A655AF" w:rsidRPr="00995557">
        <w:t>Ronaldy</w:t>
      </w:r>
      <w:r w:rsidRPr="00995557">
        <w:t xml:space="preserve"> Reyes Nava, y Johamnata Martínez Coralis, esposa de Pedro Ramón López Chaurán.</w:t>
      </w:r>
    </w:p>
  </w:footnote>
  <w:footnote w:id="6">
    <w:p w14:paraId="0A6BC216" w14:textId="061BF2DA" w:rsidR="000B30AA" w:rsidRPr="00995557" w:rsidRDefault="000B30AA" w:rsidP="00AA627A">
      <w:pPr>
        <w:pStyle w:val="Textonotapie"/>
        <w:widowControl w:val="0"/>
      </w:pPr>
      <w:r w:rsidRPr="00995557">
        <w:rPr>
          <w:rStyle w:val="Refdenotaalpie"/>
        </w:rPr>
        <w:footnoteRef/>
      </w:r>
      <w:r w:rsidRPr="00995557">
        <w:rPr>
          <w:lang w:val="es-MX"/>
        </w:rPr>
        <w:tab/>
      </w:r>
      <w:r w:rsidRPr="00995557">
        <w:rPr>
          <w:lang w:val="es-CO"/>
        </w:rPr>
        <w:t>La Comisión concluyó que</w:t>
      </w:r>
      <w:r w:rsidRPr="00995557">
        <w:t xml:space="preserve"> </w:t>
      </w:r>
      <w:bookmarkStart w:id="20" w:name="_Hlk38315174"/>
      <w:r w:rsidRPr="00995557">
        <w:t>el Estado es responsable por la violación de los derechos a la vida y a la integridad personal reconocidos en los artículos 4.1, 5.1 y 5.2 de la Convención, en relación con las obligaciones previstas en los artículos 1.1 y 2 del mismo instrumento, en perjuicio de las siete personas fallecidas y las 27 personas heridas. Asimismo, determinó que el Estado violó los derechos a las garantías judiciales y a la protección judicial reconocidos en los artículos 8.1 y 25.1 de la Convención, en relación con la obligación establecida en el artículo 1.1 del mismo tratado, en perjuicio de las personas heridas y los familiares de los fallecidos. Por último, la Comisión concluyó que el Estado violó el derecho a la integridad física y moral, establecido en el artículo 5.1 de la Convención, en relación con la obligación contenida en el artículo 1.1 del mismo instrumento, en perjuicio de los familiares de las personas fallecidas.</w:t>
      </w:r>
      <w:bookmarkEnd w:id="20"/>
    </w:p>
  </w:footnote>
  <w:footnote w:id="7">
    <w:p w14:paraId="63016948" w14:textId="14804A24" w:rsidR="000B30AA" w:rsidRPr="00995557" w:rsidRDefault="000B30AA" w:rsidP="00AA627A">
      <w:pPr>
        <w:pStyle w:val="Textonotapie"/>
        <w:widowControl w:val="0"/>
      </w:pPr>
      <w:r w:rsidRPr="00995557">
        <w:rPr>
          <w:rStyle w:val="Refdenotaalpie"/>
        </w:rPr>
        <w:footnoteRef/>
      </w:r>
      <w:r w:rsidRPr="00995557">
        <w:t xml:space="preserve"> </w:t>
      </w:r>
      <w:r w:rsidRPr="00995557">
        <w:tab/>
        <w:t>La Comisión designó como sus delegados ante la Corte al entonces Comisionado Francisco José Eguiguren Praeli y al entonces Secretario Ejecutivo Paulo Abrão, y designó como asesoras legales a Analía Banfi, abogada de la Secretaría Ejecutiva, y a Silvia Serrano Guzmán, quien también fungía como abogada de la Secretaría Ejecutiva.</w:t>
      </w:r>
    </w:p>
  </w:footnote>
  <w:footnote w:id="8">
    <w:p w14:paraId="4830DE33" w14:textId="5A319F60" w:rsidR="000B30AA" w:rsidRPr="00995557" w:rsidRDefault="000B30AA" w:rsidP="00AA627A">
      <w:pPr>
        <w:pStyle w:val="Textonotapie"/>
        <w:rPr>
          <w:lang w:val="es-GT"/>
        </w:rPr>
      </w:pPr>
      <w:r w:rsidRPr="00995557">
        <w:rPr>
          <w:rStyle w:val="Refdenotaalpie"/>
        </w:rPr>
        <w:footnoteRef/>
      </w:r>
      <w:r w:rsidRPr="00995557">
        <w:t xml:space="preserve"> </w:t>
      </w:r>
      <w:r w:rsidRPr="00995557">
        <w:rPr>
          <w:lang w:val="es-GT"/>
        </w:rPr>
        <w:tab/>
        <w:t>Mediante comunicación de 3 de mayo de 2019, el Observatorio Venezolano de Prisiones remitió el poder otorgado por Lorenza Josefina Pérez para ejercer su representación.</w:t>
      </w:r>
    </w:p>
  </w:footnote>
  <w:footnote w:id="9">
    <w:p w14:paraId="15C92BB6" w14:textId="04827EE2" w:rsidR="000B30AA" w:rsidRPr="00995557" w:rsidRDefault="000B30AA" w:rsidP="00AA627A">
      <w:pPr>
        <w:pStyle w:val="Textonotapie"/>
        <w:widowControl w:val="0"/>
        <w:rPr>
          <w:b/>
        </w:rPr>
      </w:pPr>
      <w:r w:rsidRPr="00995557">
        <w:rPr>
          <w:rStyle w:val="Refdenotaalpie"/>
        </w:rPr>
        <w:footnoteRef/>
      </w:r>
      <w:r w:rsidRPr="00995557">
        <w:rPr>
          <w:lang w:val="es-MX"/>
        </w:rPr>
        <w:tab/>
      </w:r>
      <w:r w:rsidRPr="00995557">
        <w:t>Mediante comunicación de 13 de noviembre de 2019, el Estado designó como Agente al señor Larry Devoe Márquez. Asimismo, mediante comunicación de 11 de febrero de 2020, Venezuela designó al señor Edgardo Toro como Agente Alterno.</w:t>
      </w:r>
    </w:p>
  </w:footnote>
  <w:footnote w:id="10">
    <w:p w14:paraId="619EAF25" w14:textId="77777777" w:rsidR="000B30AA" w:rsidRPr="00995557" w:rsidRDefault="000B30AA" w:rsidP="00AA627A">
      <w:pPr>
        <w:pStyle w:val="Textonotapie"/>
        <w:widowControl w:val="0"/>
      </w:pPr>
      <w:r w:rsidRPr="00995557">
        <w:rPr>
          <w:rStyle w:val="Refdenotaalpie"/>
        </w:rPr>
        <w:footnoteRef/>
      </w:r>
      <w:r w:rsidRPr="00995557">
        <w:rPr>
          <w:lang w:val="es-MX"/>
        </w:rPr>
        <w:tab/>
      </w:r>
      <w:r w:rsidRPr="00995557">
        <w:rPr>
          <w:i/>
        </w:rPr>
        <w:t xml:space="preserve">Cfr. Caso Olivares Muñoz y otros Vs. Venezuela. Convocatoria a Audiencia. </w:t>
      </w:r>
      <w:r w:rsidRPr="00995557">
        <w:t xml:space="preserve">Resolución de la </w:t>
      </w:r>
      <w:proofErr w:type="gramStart"/>
      <w:r w:rsidRPr="00995557">
        <w:t>Presidenta</w:t>
      </w:r>
      <w:proofErr w:type="gramEnd"/>
      <w:r w:rsidRPr="00995557">
        <w:t xml:space="preserve"> de la Corte Interamericana de 21 de febrero de 2020. Disponible en: </w:t>
      </w:r>
      <w:hyperlink r:id="rId1" w:history="1">
        <w:r w:rsidRPr="00995557">
          <w:rPr>
            <w:rStyle w:val="Hipervnculo"/>
            <w:color w:val="auto"/>
          </w:rPr>
          <w:t>http://www.corteidh.or.cr/docs/asuntos/olivares_munoz_y_otros_21_02_2020.pdf</w:t>
        </w:r>
      </w:hyperlink>
      <w:r w:rsidRPr="00995557">
        <w:t>.</w:t>
      </w:r>
    </w:p>
  </w:footnote>
  <w:footnote w:id="11">
    <w:p w14:paraId="1FB209F7" w14:textId="14554EB5" w:rsidR="000B30AA" w:rsidRPr="00995557" w:rsidRDefault="000B30AA" w:rsidP="00AA627A">
      <w:pPr>
        <w:pStyle w:val="Textonotapie"/>
        <w:widowControl w:val="0"/>
      </w:pPr>
      <w:r w:rsidRPr="00995557">
        <w:rPr>
          <w:rStyle w:val="Refdenotaalpie"/>
        </w:rPr>
        <w:footnoteRef/>
      </w:r>
      <w:r w:rsidRPr="00995557">
        <w:rPr>
          <w:lang w:val="es-MX"/>
        </w:rPr>
        <w:tab/>
      </w:r>
      <w:r w:rsidRPr="00995557">
        <w:rPr>
          <w:i/>
        </w:rPr>
        <w:t xml:space="preserve">Cfr. Caso Olivares Muñoz y otros Vs. Venezuela. </w:t>
      </w:r>
      <w:r w:rsidRPr="00995557">
        <w:t xml:space="preserve">Resolución de la </w:t>
      </w:r>
      <w:proofErr w:type="gramStart"/>
      <w:r w:rsidRPr="00995557">
        <w:t>Presidenta</w:t>
      </w:r>
      <w:proofErr w:type="gramEnd"/>
      <w:r w:rsidRPr="00995557">
        <w:t xml:space="preserve"> de la Corte Interamericana de 30 de junio de 2020. Disponible en: </w:t>
      </w:r>
      <w:hyperlink r:id="rId2" w:history="1">
        <w:r w:rsidRPr="00995557">
          <w:rPr>
            <w:rStyle w:val="Hipervnculo"/>
            <w:color w:val="auto"/>
          </w:rPr>
          <w:t>https://www.corteidh.or.cr/docs/asuntos/olivaresmuñozyotros_30_06_20.pdf</w:t>
        </w:r>
      </w:hyperlink>
    </w:p>
  </w:footnote>
  <w:footnote w:id="12">
    <w:p w14:paraId="0C351550" w14:textId="77777777" w:rsidR="000B30AA" w:rsidRPr="00995557" w:rsidRDefault="000B30AA" w:rsidP="00AA627A">
      <w:pPr>
        <w:pStyle w:val="Textonotapie"/>
        <w:widowControl w:val="0"/>
        <w:rPr>
          <w:u w:val="single"/>
        </w:rPr>
      </w:pPr>
      <w:r w:rsidRPr="00995557">
        <w:rPr>
          <w:rStyle w:val="Refdenotaalpie"/>
        </w:rPr>
        <w:footnoteRef/>
      </w:r>
      <w:r w:rsidRPr="00995557">
        <w:rPr>
          <w:lang w:val="es-MX"/>
        </w:rPr>
        <w:tab/>
      </w:r>
      <w:r w:rsidRPr="00995557">
        <w:rPr>
          <w:i/>
        </w:rPr>
        <w:t xml:space="preserve">Cfr. Caso Olivares Muñoz y otros Vs. Venezuela. </w:t>
      </w:r>
      <w:r w:rsidRPr="00995557">
        <w:t xml:space="preserve">Resolución de la Corte Interamericana de 29 de julio de 2020. Disponible en: </w:t>
      </w:r>
      <w:hyperlink r:id="rId3" w:history="1">
        <w:r w:rsidRPr="00995557">
          <w:rPr>
            <w:rStyle w:val="Hipervnculo"/>
            <w:color w:val="auto"/>
          </w:rPr>
          <w:t>http://www.corteidh.or.cr/docs/asuntos/olivares_29_07_20.pdf</w:t>
        </w:r>
      </w:hyperlink>
    </w:p>
  </w:footnote>
  <w:footnote w:id="13">
    <w:p w14:paraId="6B7F4399" w14:textId="14C972A6" w:rsidR="000B30AA" w:rsidRPr="00995557" w:rsidRDefault="000B30AA" w:rsidP="00AA627A">
      <w:pPr>
        <w:pStyle w:val="Textonotapie"/>
        <w:rPr>
          <w:lang w:val="es-ES"/>
        </w:rPr>
      </w:pPr>
      <w:r w:rsidRPr="00995557">
        <w:rPr>
          <w:rStyle w:val="Refdenotaalpie"/>
        </w:rPr>
        <w:footnoteRef/>
      </w:r>
      <w:r w:rsidRPr="00995557">
        <w:t xml:space="preserve"> </w:t>
      </w:r>
      <w:r w:rsidRPr="00995557">
        <w:tab/>
        <w:t>El escrito fue firmado por Manuel Alejandro Iturralde Sánchez y Mario Andrés Torres Gómez. El documento se refiere a las condiciones de los centros penitenciarios en Venezuela y a las medidas de reparación pertinentes en el presente caso.</w:t>
      </w:r>
    </w:p>
  </w:footnote>
  <w:footnote w:id="14">
    <w:p w14:paraId="0C5144DD" w14:textId="77777777"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r>
      <w:r w:rsidRPr="00995557">
        <w:rPr>
          <w:i/>
        </w:rPr>
        <w:t>Cfr</w:t>
      </w:r>
      <w:r w:rsidRPr="00995557">
        <w:t xml:space="preserve">. </w:t>
      </w:r>
      <w:r w:rsidRPr="00995557">
        <w:rPr>
          <w:i/>
        </w:rPr>
        <w:t>Caso Durand y Ugarte Vs. Perú. Fondo.</w:t>
      </w:r>
      <w:r w:rsidRPr="00995557">
        <w:t xml:space="preserve"> Sentencia de 16 de agosto de 2000. Serie C No. 68, párr. 51, y </w:t>
      </w:r>
      <w:r w:rsidRPr="00995557">
        <w:rPr>
          <w:i/>
          <w:iCs/>
        </w:rPr>
        <w:t xml:space="preserve">Caso Hermanos Landaeta Mejías y otros Vs. Venezuela. Excepciones Preliminares, Fondo, Reparaciones y Costas. </w:t>
      </w:r>
      <w:r w:rsidRPr="00995557">
        <w:t>Sentencia de 27 de agosto de 2014. Serie C No. 28, párr. 38.</w:t>
      </w:r>
    </w:p>
  </w:footnote>
  <w:footnote w:id="15">
    <w:p w14:paraId="24CB8490" w14:textId="77777777" w:rsidR="000B30AA" w:rsidRPr="00995557" w:rsidRDefault="000B30AA" w:rsidP="00AA627A">
      <w:pPr>
        <w:pStyle w:val="Textonotapie"/>
        <w:rPr>
          <w:rFonts w:eastAsia="Times New Roman"/>
          <w:lang w:eastAsia="es-CR"/>
        </w:rPr>
      </w:pPr>
      <w:r w:rsidRPr="00995557">
        <w:rPr>
          <w:rStyle w:val="Refdenotaalpie"/>
        </w:rPr>
        <w:footnoteRef/>
      </w:r>
      <w:r w:rsidRPr="00995557">
        <w:t xml:space="preserve"> </w:t>
      </w:r>
      <w:r w:rsidRPr="00995557">
        <w:rPr>
          <w:lang w:val="es-ES"/>
        </w:rPr>
        <w:tab/>
      </w:r>
      <w:r w:rsidRPr="00995557">
        <w:rPr>
          <w:i/>
          <w:lang w:val="es-ES"/>
        </w:rPr>
        <w:t>Cfr</w:t>
      </w:r>
      <w:r w:rsidRPr="00995557">
        <w:rPr>
          <w:lang w:val="es-ES"/>
        </w:rPr>
        <w:t xml:space="preserve">. </w:t>
      </w:r>
      <w:r w:rsidRPr="00995557">
        <w:rPr>
          <w:rFonts w:cs="Arial"/>
          <w:shd w:val="clear" w:color="auto" w:fill="FFFFFF"/>
        </w:rPr>
        <w:t> </w:t>
      </w:r>
      <w:r w:rsidRPr="00995557">
        <w:rPr>
          <w:rFonts w:cs="Arial"/>
          <w:i/>
          <w:shd w:val="clear" w:color="auto" w:fill="FFFFFF"/>
        </w:rPr>
        <w:t>Caso Gómez Palomino Vs. Perú. Fondo, Reparaciones y Costas.</w:t>
      </w:r>
      <w:r w:rsidRPr="00995557">
        <w:rPr>
          <w:rFonts w:cs="Arial"/>
          <w:shd w:val="clear" w:color="auto" w:fill="FFFFFF"/>
        </w:rPr>
        <w:t xml:space="preserve"> Sentencia de 22 de noviembre de 2005. Serie C No. 136, párr. 52, y </w:t>
      </w:r>
      <w:r w:rsidRPr="00995557">
        <w:rPr>
          <w:rFonts w:eastAsia="Times New Roman" w:cs="Arial"/>
          <w:i/>
          <w:shd w:val="clear" w:color="auto" w:fill="FFFFFF"/>
          <w:lang w:eastAsia="es-CR"/>
        </w:rPr>
        <w:t>Caso Comunidad Indígena Sawhoyamaxa Vs. Paraguay. Fondo, Reparaciones y Costas.</w:t>
      </w:r>
      <w:r w:rsidRPr="00995557">
        <w:rPr>
          <w:rFonts w:eastAsia="Times New Roman" w:cs="Arial"/>
          <w:shd w:val="clear" w:color="auto" w:fill="FFFFFF"/>
          <w:lang w:eastAsia="es-CR"/>
        </w:rPr>
        <w:t xml:space="preserve"> Sentencia de 29 de marzo de 2006. Serie C No. 146, párr. 48.</w:t>
      </w:r>
    </w:p>
  </w:footnote>
  <w:footnote w:id="16">
    <w:p w14:paraId="2EA95D95" w14:textId="77777777" w:rsidR="000B30AA" w:rsidRPr="00995557" w:rsidRDefault="000B30AA" w:rsidP="00AA627A">
      <w:pPr>
        <w:pStyle w:val="Textonotapie"/>
        <w:tabs>
          <w:tab w:val="left" w:pos="709"/>
        </w:tabs>
        <w:rPr>
          <w:rFonts w:eastAsia="Times New Roman"/>
        </w:rPr>
      </w:pPr>
      <w:r w:rsidRPr="00995557">
        <w:rPr>
          <w:rStyle w:val="Refdenotaalpie"/>
        </w:rPr>
        <w:footnoteRef/>
      </w:r>
      <w:r w:rsidRPr="00995557">
        <w:t xml:space="preserve"> </w:t>
      </w:r>
      <w:r w:rsidRPr="00995557">
        <w:tab/>
      </w:r>
      <w:r w:rsidRPr="00995557">
        <w:rPr>
          <w:rFonts w:eastAsia="Times New Roman"/>
        </w:rPr>
        <w:t>Debido a las circunstancias excepcionales ocasionadas por la pandemia COVID-19, esta Sentencia fue deliberada y aprobada durante el 138 Período Ordinario de Sesiones, el cual se llevó a cabo de forma no presencial utilizando medios tecnológicos de conformidad con lo establecido en el Reglamento de la Corte.</w:t>
      </w:r>
    </w:p>
  </w:footnote>
  <w:footnote w:id="17">
    <w:p w14:paraId="3277EBBB" w14:textId="357FD29D"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t>Los representantes identificaron como presuntas víctimas heridas, además de las personas señaladas en el Informe de Fondo, a las siguientes: Angelo Barey Acevedo, Alexander Tejera Rodríguez, José Alberto González y Wilmer José Brizuela Veras.</w:t>
      </w:r>
    </w:p>
  </w:footnote>
  <w:footnote w:id="18">
    <w:p w14:paraId="3D9B2D2A" w14:textId="3D652F3D"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t>Si bien el Informe de Fondo refiere también que los heridos fueron “26 internos”, los nombres de las personas identificadas suman en total 27.</w:t>
      </w:r>
    </w:p>
  </w:footnote>
  <w:footnote w:id="19">
    <w:p w14:paraId="052081FF" w14:textId="2FD2FA5F"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t>Los representantes identificaron como familiares de las presuntas víctimas fallecidas, además de las señaladas en el Informe de Fondo, a las personas siguientes: Lorena Carolina Olivares Pérez, Claudia Andreina Olivares Pérez, Mónica Orlenis Olivares Pérez, Laura Oriannys Olivares Pérez, María Alejandra Olivares Pérez y Orlando Rafael Olivares Pérez, hijas e hijo de Orlando Edgardo Olivares Muñoz.</w:t>
      </w:r>
    </w:p>
  </w:footnote>
  <w:footnote w:id="20">
    <w:p w14:paraId="4B27D007" w14:textId="45A3D963" w:rsidR="000B30AA" w:rsidRPr="00995557" w:rsidRDefault="000B30AA" w:rsidP="00AA627A">
      <w:pPr>
        <w:pStyle w:val="Textonotapie"/>
        <w:widowControl w:val="0"/>
        <w:rPr>
          <w:i/>
        </w:rPr>
      </w:pPr>
      <w:r w:rsidRPr="00995557">
        <w:rPr>
          <w:rStyle w:val="Refdenotaalpie"/>
        </w:rPr>
        <w:footnoteRef/>
      </w:r>
      <w:r w:rsidRPr="00995557">
        <w:t xml:space="preserve"> </w:t>
      </w:r>
      <w:r w:rsidRPr="00995557">
        <w:tab/>
      </w:r>
      <w:r w:rsidRPr="00995557">
        <w:rPr>
          <w:i/>
        </w:rPr>
        <w:t xml:space="preserve">Cfr. Caso de las Masacres de Ituango Vs. Colombia. Excepción Preliminar, Fondo, Reparaciones y Costas. </w:t>
      </w:r>
      <w:r w:rsidRPr="00995557">
        <w:t xml:space="preserve">Sentencia de 1 de julio de 2006. Serie C No. 148, párr. 98, y </w:t>
      </w:r>
      <w:r w:rsidRPr="00995557">
        <w:rPr>
          <w:rFonts w:cs="Arial"/>
          <w:i/>
          <w:shd w:val="clear" w:color="auto" w:fill="FFFFFF"/>
        </w:rPr>
        <w:t>Caso de los Empleados de la Fábrica de Fuegos de Santo Antônio de Jesus Vs. Brasil. Excepciones Preliminares, Fondo, Reparaciones y Costas.</w:t>
      </w:r>
      <w:r w:rsidRPr="00995557">
        <w:rPr>
          <w:rFonts w:cs="Arial"/>
          <w:shd w:val="clear" w:color="auto" w:fill="FFFFFF"/>
        </w:rPr>
        <w:t xml:space="preserve"> Sentencia de 15 de julio de 2020. Serie C No. 407</w:t>
      </w:r>
      <w:r w:rsidRPr="00995557">
        <w:t>, párr. 40.</w:t>
      </w:r>
    </w:p>
  </w:footnote>
  <w:footnote w:id="21">
    <w:p w14:paraId="516485D1" w14:textId="77777777" w:rsidR="000B30AA" w:rsidRPr="00995557" w:rsidRDefault="000B30AA" w:rsidP="00AA627A">
      <w:pPr>
        <w:pStyle w:val="Textonotapie"/>
        <w:widowControl w:val="0"/>
        <w:rPr>
          <w:i/>
        </w:rPr>
      </w:pPr>
      <w:r w:rsidRPr="00995557">
        <w:rPr>
          <w:rStyle w:val="Refdenotaalpie"/>
        </w:rPr>
        <w:footnoteRef/>
      </w:r>
      <w:r w:rsidRPr="00995557">
        <w:t xml:space="preserve"> </w:t>
      </w:r>
      <w:r w:rsidRPr="00995557">
        <w:tab/>
      </w:r>
      <w:r w:rsidRPr="00995557">
        <w:rPr>
          <w:i/>
        </w:rPr>
        <w:t>Cfr. Caso Masacres de Río Negro Vs. Guatemala. Excepción Preliminar, Fondo, Reparaciones y Costas.</w:t>
      </w:r>
      <w:r w:rsidRPr="00995557">
        <w:t xml:space="preserve"> Sentencia de 4 de septiembre de 2012. Serie C No. 250, párr. 48 y </w:t>
      </w:r>
      <w:r w:rsidRPr="00995557">
        <w:rPr>
          <w:rFonts w:cs="Arial"/>
          <w:i/>
          <w:shd w:val="clear" w:color="auto" w:fill="FFFFFF"/>
        </w:rPr>
        <w:t>Caso Spoltore Vs. Argentina. Excepción Preliminar, Fondo, Reparaciones y Costas.</w:t>
      </w:r>
      <w:r w:rsidRPr="00995557">
        <w:rPr>
          <w:rFonts w:cs="Arial"/>
          <w:shd w:val="clear" w:color="auto" w:fill="FFFFFF"/>
        </w:rPr>
        <w:t xml:space="preserve"> Sentencia de 9 de junio de 2020. Serie C No. 404</w:t>
      </w:r>
      <w:r w:rsidRPr="00995557">
        <w:t>, párr. 50.</w:t>
      </w:r>
    </w:p>
  </w:footnote>
  <w:footnote w:id="22">
    <w:p w14:paraId="186E84A3" w14:textId="2F355C35" w:rsidR="000B30AA" w:rsidRPr="00995557" w:rsidRDefault="000B30AA" w:rsidP="00AA627A">
      <w:pPr>
        <w:tabs>
          <w:tab w:val="left" w:pos="567"/>
        </w:tabs>
        <w:snapToGrid w:val="0"/>
        <w:spacing w:before="120" w:after="120"/>
        <w:jc w:val="both"/>
        <w:rPr>
          <w:sz w:val="16"/>
          <w:szCs w:val="16"/>
          <w:lang w:val="es-CO"/>
        </w:rPr>
      </w:pPr>
      <w:r w:rsidRPr="00995557">
        <w:rPr>
          <w:sz w:val="16"/>
          <w:szCs w:val="16"/>
          <w:vertAlign w:val="superscript"/>
          <w:lang w:val="es-CO"/>
        </w:rPr>
        <w:footnoteRef/>
      </w:r>
      <w:r w:rsidRPr="00995557">
        <w:rPr>
          <w:sz w:val="16"/>
          <w:szCs w:val="16"/>
          <w:lang w:val="es-CO"/>
        </w:rPr>
        <w:t xml:space="preserve"> </w:t>
      </w:r>
      <w:r w:rsidRPr="00995557">
        <w:rPr>
          <w:sz w:val="16"/>
          <w:szCs w:val="16"/>
          <w:lang w:val="es-CO"/>
        </w:rPr>
        <w:tab/>
      </w:r>
      <w:r w:rsidRPr="00995557">
        <w:rPr>
          <w:i/>
          <w:sz w:val="16"/>
          <w:szCs w:val="16"/>
          <w:lang w:val="es-CO"/>
        </w:rPr>
        <w:t>Cfr.</w:t>
      </w:r>
      <w:r w:rsidRPr="00995557">
        <w:rPr>
          <w:sz w:val="16"/>
          <w:szCs w:val="16"/>
          <w:lang w:val="es-CO"/>
        </w:rPr>
        <w:t xml:space="preserve"> </w:t>
      </w:r>
      <w:r w:rsidRPr="00995557">
        <w:rPr>
          <w:i/>
          <w:sz w:val="16"/>
          <w:szCs w:val="16"/>
          <w:lang w:val="es-CO"/>
        </w:rPr>
        <w:t>Caso Masacres de Río Negro Vs. Guatemala</w:t>
      </w:r>
      <w:r w:rsidRPr="00995557">
        <w:rPr>
          <w:sz w:val="16"/>
          <w:szCs w:val="16"/>
          <w:lang w:val="es-CO"/>
        </w:rPr>
        <w:t xml:space="preserve">, </w:t>
      </w:r>
      <w:r w:rsidRPr="00995557">
        <w:rPr>
          <w:i/>
          <w:sz w:val="16"/>
          <w:szCs w:val="16"/>
          <w:lang w:val="es-CO"/>
        </w:rPr>
        <w:t>supra</w:t>
      </w:r>
      <w:r w:rsidRPr="00995557">
        <w:rPr>
          <w:sz w:val="16"/>
          <w:szCs w:val="16"/>
          <w:lang w:val="es-CO"/>
        </w:rPr>
        <w:t xml:space="preserve">, párr. 48, y </w:t>
      </w:r>
      <w:r w:rsidRPr="00995557">
        <w:rPr>
          <w:i/>
          <w:sz w:val="16"/>
          <w:szCs w:val="16"/>
          <w:lang w:val="es-CO"/>
        </w:rPr>
        <w:t>Caso Miembros de la Aldea Chichupac y comunidades vecinas del municipio de Rabinal Vs. Guatemala. Excepciones Preliminares, Fondo, Reparaciones y Costas.</w:t>
      </w:r>
      <w:r w:rsidRPr="00995557">
        <w:rPr>
          <w:sz w:val="16"/>
          <w:szCs w:val="16"/>
          <w:lang w:val="es-CO"/>
        </w:rPr>
        <w:t xml:space="preserve"> Sentencia de 30 de noviembre de 2016. Serie C No. 328, párr. 65.</w:t>
      </w:r>
    </w:p>
  </w:footnote>
  <w:footnote w:id="23">
    <w:p w14:paraId="62E30F4B" w14:textId="1990EBE6" w:rsidR="000B30AA" w:rsidRPr="00995557" w:rsidRDefault="000B30AA" w:rsidP="00AA627A">
      <w:pPr>
        <w:pStyle w:val="Textonotapie"/>
        <w:snapToGrid w:val="0"/>
        <w:rPr>
          <w:lang w:val="es-CO"/>
        </w:rPr>
      </w:pPr>
      <w:r w:rsidRPr="00995557">
        <w:rPr>
          <w:vertAlign w:val="superscript"/>
          <w:lang w:val="es-CO"/>
        </w:rPr>
        <w:footnoteRef/>
      </w:r>
      <w:r w:rsidRPr="00995557">
        <w:rPr>
          <w:rFonts w:eastAsia="Arial Unicode MS" w:cs="Arial Unicode MS"/>
          <w:lang w:val="es-CO"/>
        </w:rPr>
        <w:t xml:space="preserve"> </w:t>
      </w:r>
      <w:r w:rsidRPr="00995557">
        <w:rPr>
          <w:rFonts w:eastAsia="Arial Unicode MS" w:cs="Arial Unicode MS"/>
          <w:lang w:val="es-CO"/>
        </w:rPr>
        <w:tab/>
      </w:r>
      <w:r w:rsidRPr="00995557">
        <w:rPr>
          <w:rFonts w:eastAsia="Arial Unicode MS" w:cs="Arial Unicode MS"/>
          <w:i/>
          <w:lang w:val="es-CO"/>
        </w:rPr>
        <w:t>Cfr. Caso Masacres de Río Negro Vs. Guatemala</w:t>
      </w:r>
      <w:r w:rsidRPr="00995557">
        <w:rPr>
          <w:rFonts w:eastAsia="Arial Unicode MS" w:cs="Arial Unicode MS"/>
          <w:lang w:val="es-CO"/>
        </w:rPr>
        <w:t>,</w:t>
      </w:r>
      <w:r w:rsidRPr="00995557">
        <w:rPr>
          <w:rFonts w:eastAsia="Arial Unicode MS" w:cs="Arial Unicode MS"/>
          <w:i/>
          <w:lang w:val="es-CO"/>
        </w:rPr>
        <w:t xml:space="preserve"> supra</w:t>
      </w:r>
      <w:r w:rsidRPr="00995557">
        <w:rPr>
          <w:rFonts w:eastAsia="Arial Unicode MS" w:cs="Arial Unicode MS"/>
          <w:lang w:val="es-CO"/>
        </w:rPr>
        <w:t>,</w:t>
      </w:r>
      <w:r w:rsidRPr="00995557">
        <w:rPr>
          <w:rFonts w:eastAsia="Arial Unicode MS" w:cs="Arial Unicode MS"/>
          <w:i/>
          <w:lang w:val="es-CO"/>
        </w:rPr>
        <w:t xml:space="preserve"> </w:t>
      </w:r>
      <w:r w:rsidRPr="00995557">
        <w:rPr>
          <w:rFonts w:eastAsia="Arial Unicode MS" w:cs="Arial Unicode MS"/>
          <w:lang w:val="es-CO"/>
        </w:rPr>
        <w:t>párr. 48,</w:t>
      </w:r>
      <w:r w:rsidRPr="00995557">
        <w:rPr>
          <w:rFonts w:eastAsia="Arial Unicode MS" w:cs="Arial Unicode MS"/>
          <w:i/>
          <w:lang w:val="es-CO"/>
        </w:rPr>
        <w:t xml:space="preserve"> </w:t>
      </w:r>
      <w:r w:rsidRPr="00995557">
        <w:rPr>
          <w:rFonts w:eastAsia="Arial Unicode MS" w:cs="Arial Unicode MS"/>
          <w:lang w:val="es-CO"/>
        </w:rPr>
        <w:t>y</w:t>
      </w:r>
      <w:r w:rsidRPr="00995557">
        <w:rPr>
          <w:rFonts w:eastAsia="Arial Unicode MS" w:cs="Arial Unicode MS"/>
          <w:i/>
          <w:lang w:val="es-CO"/>
        </w:rPr>
        <w:t xml:space="preserve"> Caso Miembros de la Aldea Chichupac y comunidades vecinas del municipio de Rabinal Vs. Guatemala</w:t>
      </w:r>
      <w:r w:rsidRPr="00995557">
        <w:rPr>
          <w:rFonts w:eastAsia="Arial Unicode MS" w:cs="Arial Unicode MS"/>
          <w:lang w:val="es-CO"/>
        </w:rPr>
        <w:t>,</w:t>
      </w:r>
      <w:r w:rsidRPr="00995557">
        <w:rPr>
          <w:rFonts w:eastAsia="Arial Unicode MS" w:cs="Arial Unicode MS"/>
          <w:i/>
          <w:lang w:val="es-CO"/>
        </w:rPr>
        <w:t xml:space="preserve"> supra</w:t>
      </w:r>
      <w:r w:rsidRPr="00995557">
        <w:rPr>
          <w:rFonts w:eastAsia="Arial Unicode MS" w:cs="Arial Unicode MS"/>
          <w:lang w:val="es-CO"/>
        </w:rPr>
        <w:t>, párr. 65.</w:t>
      </w:r>
    </w:p>
  </w:footnote>
  <w:footnote w:id="24">
    <w:p w14:paraId="3BCEA549" w14:textId="464FB26F" w:rsidR="000B30AA" w:rsidRPr="00995557" w:rsidRDefault="000B30AA" w:rsidP="00AA627A">
      <w:pPr>
        <w:pStyle w:val="Textonotapie"/>
        <w:snapToGrid w:val="0"/>
        <w:rPr>
          <w:lang w:val="es-CO"/>
        </w:rPr>
      </w:pPr>
      <w:r w:rsidRPr="00995557">
        <w:rPr>
          <w:vertAlign w:val="superscript"/>
          <w:lang w:val="es-CO"/>
        </w:rPr>
        <w:footnoteRef/>
      </w:r>
      <w:r w:rsidRPr="00995557">
        <w:rPr>
          <w:rFonts w:eastAsia="Arial Unicode MS" w:cs="Arial Unicode MS"/>
          <w:lang w:val="es-CO"/>
        </w:rPr>
        <w:t xml:space="preserve"> </w:t>
      </w:r>
      <w:r w:rsidRPr="00995557">
        <w:rPr>
          <w:rFonts w:eastAsia="Arial Unicode MS" w:cs="Arial Unicode MS"/>
          <w:lang w:val="es-CO"/>
        </w:rPr>
        <w:tab/>
      </w:r>
      <w:r w:rsidRPr="00995557">
        <w:rPr>
          <w:rFonts w:eastAsia="Arial Unicode MS" w:cs="Arial Unicode MS"/>
          <w:i/>
          <w:lang w:val="es-CO"/>
        </w:rPr>
        <w:t>Cfr.</w:t>
      </w:r>
      <w:r w:rsidRPr="00995557">
        <w:rPr>
          <w:rFonts w:eastAsia="Arial Unicode MS" w:cs="Arial Unicode MS"/>
          <w:lang w:val="es-CO"/>
        </w:rPr>
        <w:t xml:space="preserve"> </w:t>
      </w:r>
      <w:r w:rsidRPr="00995557">
        <w:rPr>
          <w:rFonts w:eastAsia="Arial Unicode MS" w:cs="Arial Unicode MS"/>
          <w:i/>
          <w:shd w:val="clear" w:color="auto" w:fill="FFFFFF"/>
          <w:lang w:val="es-CO"/>
        </w:rPr>
        <w:t>Caso Masacres de El Mozote y lugares aledaños Vs. El Salvador. Fondo, Reparaciones y Costas.</w:t>
      </w:r>
      <w:r w:rsidRPr="00995557">
        <w:rPr>
          <w:rFonts w:eastAsia="Arial Unicode MS" w:cs="Arial Unicode MS"/>
          <w:shd w:val="clear" w:color="auto" w:fill="FFFFFF"/>
          <w:lang w:val="es-CO"/>
        </w:rPr>
        <w:t xml:space="preserve"> Sentencia de 25 de octubre de 2012. Serie C No. 252</w:t>
      </w:r>
      <w:r w:rsidRPr="00995557">
        <w:rPr>
          <w:rFonts w:eastAsia="Arial Unicode MS" w:cs="Arial Unicode MS"/>
          <w:lang w:val="es-CO"/>
        </w:rPr>
        <w:t xml:space="preserve">, párr. 50. </w:t>
      </w:r>
    </w:p>
  </w:footnote>
  <w:footnote w:id="25">
    <w:p w14:paraId="01A7B0B9" w14:textId="72961605" w:rsidR="000B30AA" w:rsidRPr="00995557" w:rsidRDefault="000B30AA" w:rsidP="00AA627A">
      <w:pPr>
        <w:pStyle w:val="Textonotapie"/>
        <w:snapToGrid w:val="0"/>
        <w:rPr>
          <w:lang w:val="es-CO"/>
        </w:rPr>
      </w:pPr>
      <w:r w:rsidRPr="00995557">
        <w:rPr>
          <w:vertAlign w:val="superscript"/>
          <w:lang w:val="es-CO"/>
        </w:rPr>
        <w:footnoteRef/>
      </w:r>
      <w:r w:rsidRPr="00995557">
        <w:rPr>
          <w:rFonts w:eastAsia="Arial Unicode MS" w:cs="Arial Unicode MS"/>
          <w:lang w:val="es-CO"/>
        </w:rPr>
        <w:t xml:space="preserve"> </w:t>
      </w:r>
      <w:r w:rsidRPr="00995557">
        <w:rPr>
          <w:rFonts w:eastAsia="Arial Unicode MS" w:cs="Arial Unicode MS"/>
          <w:lang w:val="es-CO"/>
        </w:rPr>
        <w:tab/>
      </w:r>
      <w:r w:rsidRPr="00995557">
        <w:rPr>
          <w:rFonts w:eastAsia="Arial Unicode MS" w:cs="Arial Unicode MS"/>
          <w:i/>
          <w:lang w:val="es-CO"/>
        </w:rPr>
        <w:t>Cfr. Caso Masacres de Río Negro Vs. Guatemala</w:t>
      </w:r>
      <w:r w:rsidRPr="00995557">
        <w:rPr>
          <w:rFonts w:eastAsia="Arial Unicode MS" w:cs="Arial Unicode MS"/>
          <w:lang w:val="es-CO"/>
        </w:rPr>
        <w:t>,</w:t>
      </w:r>
      <w:r w:rsidRPr="00995557">
        <w:rPr>
          <w:rFonts w:eastAsia="Arial Unicode MS" w:cs="Arial Unicode MS"/>
          <w:i/>
          <w:lang w:val="es-CO"/>
        </w:rPr>
        <w:t xml:space="preserve"> supra</w:t>
      </w:r>
      <w:r w:rsidRPr="00995557">
        <w:rPr>
          <w:rFonts w:eastAsia="Arial Unicode MS" w:cs="Arial Unicode MS"/>
          <w:lang w:val="es-CO"/>
        </w:rPr>
        <w:t>,</w:t>
      </w:r>
      <w:r w:rsidRPr="00995557">
        <w:rPr>
          <w:rFonts w:eastAsia="Arial Unicode MS" w:cs="Arial Unicode MS"/>
          <w:i/>
          <w:lang w:val="es-CO"/>
        </w:rPr>
        <w:t xml:space="preserve"> </w:t>
      </w:r>
      <w:r w:rsidRPr="00995557">
        <w:rPr>
          <w:rFonts w:eastAsia="Arial Unicode MS" w:cs="Arial Unicode MS"/>
          <w:lang w:val="es-CO"/>
        </w:rPr>
        <w:t>párr. 48</w:t>
      </w:r>
      <w:r w:rsidRPr="00995557">
        <w:rPr>
          <w:rFonts w:eastAsia="Arial Unicode MS" w:cs="Arial Unicode MS"/>
          <w:i/>
          <w:lang w:val="es-CO"/>
        </w:rPr>
        <w:t>.</w:t>
      </w:r>
      <w:r w:rsidRPr="00995557">
        <w:rPr>
          <w:rFonts w:eastAsia="Arial Unicode MS" w:cs="Arial Unicode MS"/>
          <w:lang w:val="es-CO"/>
        </w:rPr>
        <w:t xml:space="preserve"> </w:t>
      </w:r>
    </w:p>
  </w:footnote>
  <w:footnote w:id="26">
    <w:p w14:paraId="19335C76" w14:textId="43864ABA" w:rsidR="000B30AA" w:rsidRPr="00995557" w:rsidRDefault="000B30AA" w:rsidP="00AA627A">
      <w:pPr>
        <w:pStyle w:val="Textonotapie"/>
        <w:snapToGrid w:val="0"/>
        <w:rPr>
          <w:lang w:val="es-CO"/>
        </w:rPr>
      </w:pPr>
      <w:r w:rsidRPr="00995557">
        <w:rPr>
          <w:vertAlign w:val="superscript"/>
          <w:lang w:val="es-CO"/>
        </w:rPr>
        <w:footnoteRef/>
      </w:r>
      <w:r w:rsidRPr="00995557">
        <w:rPr>
          <w:rFonts w:eastAsia="Arial Unicode MS" w:cs="Arial Unicode MS"/>
          <w:lang w:val="es-CO"/>
        </w:rPr>
        <w:t xml:space="preserve"> </w:t>
      </w:r>
      <w:r w:rsidRPr="00995557">
        <w:rPr>
          <w:rFonts w:eastAsia="Arial Unicode MS" w:cs="Arial Unicode MS"/>
          <w:lang w:val="es-CO"/>
        </w:rPr>
        <w:tab/>
      </w:r>
      <w:r w:rsidRPr="00995557">
        <w:rPr>
          <w:rFonts w:eastAsia="Arial Unicode MS" w:cs="Arial Unicode MS"/>
          <w:i/>
          <w:lang w:val="es-CO"/>
        </w:rPr>
        <w:t xml:space="preserve">Cfr. Caso de las Comunidades Afrodescendientes Desplazadas de la Cuenca del Río Cacarica (Operación Génesis) Vs. Colombia. Excepciones Preliminares, Fondo, Reparaciones y Costas. </w:t>
      </w:r>
      <w:r w:rsidRPr="00995557">
        <w:rPr>
          <w:rFonts w:eastAsia="Arial Unicode MS" w:cs="Arial Unicode MS"/>
          <w:lang w:val="es-CO"/>
        </w:rPr>
        <w:t>Sentencia de 20 de noviembre de 2013. Serie C. No. 270, párr. 41.</w:t>
      </w:r>
    </w:p>
  </w:footnote>
  <w:footnote w:id="27">
    <w:p w14:paraId="626ED7A2" w14:textId="0F1E5480" w:rsidR="000B30AA" w:rsidRPr="00995557" w:rsidRDefault="000B30AA" w:rsidP="00AA627A">
      <w:pPr>
        <w:pStyle w:val="Textonotapie"/>
        <w:snapToGrid w:val="0"/>
        <w:rPr>
          <w:lang w:val="es-CO"/>
        </w:rPr>
      </w:pPr>
      <w:r w:rsidRPr="00995557">
        <w:rPr>
          <w:vertAlign w:val="superscript"/>
          <w:lang w:val="es-CO"/>
        </w:rPr>
        <w:footnoteRef/>
      </w:r>
      <w:r w:rsidRPr="00995557">
        <w:rPr>
          <w:rFonts w:eastAsia="Arial Unicode MS" w:cs="Arial Unicode MS"/>
          <w:lang w:val="es-CO"/>
        </w:rPr>
        <w:t xml:space="preserve"> </w:t>
      </w:r>
      <w:r w:rsidRPr="00995557">
        <w:rPr>
          <w:rFonts w:eastAsia="Arial Unicode MS" w:cs="Arial Unicode MS"/>
          <w:lang w:val="es-CO"/>
        </w:rPr>
        <w:tab/>
      </w:r>
      <w:r w:rsidRPr="00995557">
        <w:rPr>
          <w:rFonts w:eastAsia="Arial Unicode MS" w:cs="Arial Unicode MS"/>
          <w:i/>
          <w:lang w:val="es-CO"/>
        </w:rPr>
        <w:t>Cfr. Caso Masacres de Río Negro Vs. Guatemala</w:t>
      </w:r>
      <w:r w:rsidRPr="00995557">
        <w:rPr>
          <w:rFonts w:eastAsia="Arial Unicode MS" w:cs="Arial Unicode MS"/>
          <w:lang w:val="es-CO"/>
        </w:rPr>
        <w:t>,</w:t>
      </w:r>
      <w:r w:rsidRPr="00995557">
        <w:rPr>
          <w:rFonts w:eastAsia="Arial Unicode MS" w:cs="Arial Unicode MS"/>
          <w:i/>
          <w:lang w:val="es-CO"/>
        </w:rPr>
        <w:t xml:space="preserve"> supra</w:t>
      </w:r>
      <w:r w:rsidRPr="00995557">
        <w:rPr>
          <w:rFonts w:eastAsia="Arial Unicode MS" w:cs="Arial Unicode MS"/>
          <w:lang w:val="es-CO"/>
        </w:rPr>
        <w:t>,</w:t>
      </w:r>
      <w:r w:rsidRPr="00995557">
        <w:rPr>
          <w:rFonts w:eastAsia="Arial Unicode MS" w:cs="Arial Unicode MS"/>
          <w:i/>
          <w:lang w:val="es-CO"/>
        </w:rPr>
        <w:t xml:space="preserve"> </w:t>
      </w:r>
      <w:r w:rsidRPr="00995557">
        <w:rPr>
          <w:rFonts w:eastAsia="Arial Unicode MS" w:cs="Arial Unicode MS"/>
          <w:lang w:val="es-CO"/>
        </w:rPr>
        <w:t>párr. 48,</w:t>
      </w:r>
      <w:r w:rsidRPr="00995557">
        <w:rPr>
          <w:rFonts w:eastAsia="Arial Unicode MS" w:cs="Arial Unicode MS"/>
          <w:i/>
          <w:lang w:val="es-CO"/>
        </w:rPr>
        <w:t xml:space="preserve"> </w:t>
      </w:r>
      <w:r w:rsidRPr="00995557">
        <w:rPr>
          <w:rFonts w:eastAsia="Arial Unicode MS" w:cs="Arial Unicode MS"/>
          <w:lang w:val="es-CO"/>
        </w:rPr>
        <w:t>y</w:t>
      </w:r>
      <w:r w:rsidRPr="00995557">
        <w:rPr>
          <w:rFonts w:eastAsia="Arial Unicode MS" w:cs="Arial Unicode MS"/>
          <w:i/>
          <w:lang w:val="es-CO"/>
        </w:rPr>
        <w:t xml:space="preserve"> Caso Masacres de El Mozote y lugares aledaños Vs. El Salvador</w:t>
      </w:r>
      <w:r w:rsidRPr="00995557">
        <w:rPr>
          <w:rFonts w:eastAsia="Arial Unicode MS" w:cs="Arial Unicode MS"/>
          <w:lang w:val="es-CO"/>
        </w:rPr>
        <w:t>,</w:t>
      </w:r>
      <w:r w:rsidRPr="00995557">
        <w:rPr>
          <w:rFonts w:eastAsia="Arial Unicode MS" w:cs="Arial Unicode MS"/>
          <w:i/>
          <w:lang w:val="es-CO"/>
        </w:rPr>
        <w:t xml:space="preserve"> supra</w:t>
      </w:r>
      <w:r w:rsidRPr="00995557">
        <w:rPr>
          <w:rFonts w:eastAsia="Arial Unicode MS" w:cs="Arial Unicode MS"/>
          <w:lang w:val="es-CO"/>
        </w:rPr>
        <w:t>, párr. 50</w:t>
      </w:r>
      <w:r w:rsidRPr="00995557">
        <w:rPr>
          <w:rFonts w:eastAsia="Arial Unicode MS" w:cs="Arial Unicode MS"/>
          <w:i/>
          <w:lang w:val="es-CO"/>
        </w:rPr>
        <w:t>.</w:t>
      </w:r>
    </w:p>
  </w:footnote>
  <w:footnote w:id="28">
    <w:p w14:paraId="5153531B" w14:textId="67F0083C" w:rsidR="000B30AA" w:rsidRPr="00995557" w:rsidRDefault="000B30AA" w:rsidP="00AA627A">
      <w:pPr>
        <w:pStyle w:val="Textonotapie"/>
        <w:snapToGrid w:val="0"/>
        <w:rPr>
          <w:lang w:val="es-CO"/>
        </w:rPr>
      </w:pPr>
      <w:r w:rsidRPr="00995557">
        <w:rPr>
          <w:rStyle w:val="Refdenotaalpie"/>
          <w:lang w:val="es-CO"/>
        </w:rPr>
        <w:footnoteRef/>
      </w:r>
      <w:r w:rsidRPr="00995557">
        <w:rPr>
          <w:lang w:val="es-CO"/>
        </w:rPr>
        <w:t xml:space="preserve"> </w:t>
      </w:r>
      <w:r w:rsidRPr="00995557">
        <w:rPr>
          <w:lang w:val="es-CO"/>
        </w:rPr>
        <w:tab/>
      </w:r>
      <w:r w:rsidRPr="00995557">
        <w:rPr>
          <w:i/>
          <w:lang w:val="es-CO"/>
        </w:rPr>
        <w:t>Cfr. Caso Masacres de Río Negro Vs. Guatemala</w:t>
      </w:r>
      <w:r w:rsidRPr="00995557">
        <w:rPr>
          <w:lang w:val="es-CO"/>
        </w:rPr>
        <w:t xml:space="preserve">, </w:t>
      </w:r>
      <w:r w:rsidRPr="00995557">
        <w:rPr>
          <w:i/>
          <w:lang w:val="es-CO"/>
        </w:rPr>
        <w:t>supra</w:t>
      </w:r>
      <w:r w:rsidRPr="00995557">
        <w:rPr>
          <w:lang w:val="es-CO"/>
        </w:rPr>
        <w:t xml:space="preserve">, párr. 51, y </w:t>
      </w:r>
      <w:r w:rsidRPr="00995557">
        <w:rPr>
          <w:rFonts w:cs="Arial"/>
          <w:i/>
          <w:shd w:val="clear" w:color="auto" w:fill="FFFFFF"/>
        </w:rPr>
        <w:t>Caso de los Empleados de la Fábrica de Fuegos de Santo Antônio de Jesus Vs. Brasil</w:t>
      </w:r>
      <w:r w:rsidRPr="00995557">
        <w:rPr>
          <w:lang w:val="es-CO"/>
        </w:rPr>
        <w:t xml:space="preserve">, </w:t>
      </w:r>
      <w:r w:rsidRPr="00995557">
        <w:rPr>
          <w:i/>
          <w:lang w:val="es-CO"/>
        </w:rPr>
        <w:t>supra</w:t>
      </w:r>
      <w:r w:rsidRPr="00995557">
        <w:rPr>
          <w:lang w:val="es-CO"/>
        </w:rPr>
        <w:t>, párr. 40.</w:t>
      </w:r>
    </w:p>
  </w:footnote>
  <w:footnote w:id="29">
    <w:p w14:paraId="04A80E86" w14:textId="0E94EA07" w:rsidR="000B30AA" w:rsidRPr="00995557" w:rsidRDefault="000B30AA" w:rsidP="00AA627A">
      <w:pPr>
        <w:pStyle w:val="Textonotapie"/>
        <w:snapToGrid w:val="0"/>
        <w:rPr>
          <w:lang w:val="es-CO"/>
        </w:rPr>
      </w:pPr>
      <w:r w:rsidRPr="00995557">
        <w:rPr>
          <w:rStyle w:val="Refdenotaalpie"/>
          <w:lang w:val="es-CO"/>
        </w:rPr>
        <w:footnoteRef/>
      </w:r>
      <w:r w:rsidRPr="00995557">
        <w:rPr>
          <w:lang w:val="es-CO"/>
        </w:rPr>
        <w:t xml:space="preserve"> </w:t>
      </w:r>
      <w:r w:rsidRPr="00995557">
        <w:rPr>
          <w:lang w:val="es-CO"/>
        </w:rPr>
        <w:tab/>
      </w:r>
      <w:r w:rsidRPr="00995557">
        <w:rPr>
          <w:i/>
          <w:lang w:val="es-CO"/>
        </w:rPr>
        <w:t>Cfr.</w:t>
      </w:r>
      <w:r w:rsidRPr="00995557">
        <w:rPr>
          <w:lang w:val="es-CO"/>
        </w:rPr>
        <w:t xml:space="preserve"> </w:t>
      </w:r>
      <w:r w:rsidRPr="00995557">
        <w:rPr>
          <w:i/>
          <w:lang w:val="es-CO"/>
        </w:rPr>
        <w:t>Caso Masacres de Río Negro Vs. Guatemala</w:t>
      </w:r>
      <w:r w:rsidRPr="00995557">
        <w:rPr>
          <w:lang w:val="es-CO"/>
        </w:rPr>
        <w:t xml:space="preserve">, </w:t>
      </w:r>
      <w:r w:rsidRPr="00995557">
        <w:rPr>
          <w:i/>
          <w:lang w:val="es-CO"/>
        </w:rPr>
        <w:t>supra</w:t>
      </w:r>
      <w:r w:rsidRPr="00995557">
        <w:rPr>
          <w:lang w:val="es-CO"/>
        </w:rPr>
        <w:t>,</w:t>
      </w:r>
      <w:r w:rsidRPr="00995557">
        <w:rPr>
          <w:i/>
          <w:lang w:val="es-CO"/>
        </w:rPr>
        <w:t xml:space="preserve"> </w:t>
      </w:r>
      <w:r w:rsidRPr="00995557">
        <w:rPr>
          <w:lang w:val="es-CO"/>
        </w:rPr>
        <w:t>párr. 48.</w:t>
      </w:r>
    </w:p>
  </w:footnote>
  <w:footnote w:id="30">
    <w:p w14:paraId="3E41EABE" w14:textId="0D09B521" w:rsidR="000B30AA" w:rsidRPr="00995557" w:rsidRDefault="000B30AA" w:rsidP="00AA627A">
      <w:pPr>
        <w:pStyle w:val="Textonotapie"/>
        <w:snapToGrid w:val="0"/>
        <w:rPr>
          <w:lang w:val="es-CO"/>
        </w:rPr>
      </w:pPr>
      <w:r w:rsidRPr="00995557">
        <w:rPr>
          <w:rStyle w:val="Refdenotaalpie"/>
          <w:lang w:val="es-CO"/>
        </w:rPr>
        <w:footnoteRef/>
      </w:r>
      <w:r w:rsidRPr="00995557">
        <w:rPr>
          <w:lang w:val="es-CO"/>
        </w:rPr>
        <w:t xml:space="preserve"> </w:t>
      </w:r>
      <w:r w:rsidRPr="00995557">
        <w:rPr>
          <w:lang w:val="es-CO"/>
        </w:rPr>
        <w:tab/>
      </w:r>
      <w:r w:rsidRPr="00995557">
        <w:rPr>
          <w:i/>
          <w:lang w:val="es-CO"/>
        </w:rPr>
        <w:t>Cfr.</w:t>
      </w:r>
      <w:r w:rsidRPr="00995557">
        <w:rPr>
          <w:lang w:val="es-CO"/>
        </w:rPr>
        <w:t xml:space="preserve"> </w:t>
      </w:r>
      <w:r w:rsidRPr="00995557">
        <w:rPr>
          <w:i/>
          <w:lang w:val="es-CO"/>
        </w:rPr>
        <w:t>Caso Nadege Dorzema y otros Vs. República Dominicana</w:t>
      </w:r>
      <w:r w:rsidRPr="00995557">
        <w:rPr>
          <w:lang w:val="es-CO"/>
        </w:rPr>
        <w:t xml:space="preserve">. </w:t>
      </w:r>
      <w:r w:rsidRPr="00995557">
        <w:rPr>
          <w:i/>
          <w:lang w:val="es-CO"/>
        </w:rPr>
        <w:t>Fondo, Reparaciones y Costas.</w:t>
      </w:r>
      <w:r w:rsidRPr="00995557">
        <w:rPr>
          <w:lang w:val="es-CO"/>
        </w:rPr>
        <w:t xml:space="preserve"> Sentencia de 24 de octubre de 2012. Serie C No. 251, párr. 30.</w:t>
      </w:r>
    </w:p>
  </w:footnote>
  <w:footnote w:id="31">
    <w:p w14:paraId="01D7607B" w14:textId="77777777" w:rsidR="000B30AA" w:rsidRPr="00995557" w:rsidRDefault="000B30AA" w:rsidP="00AA627A">
      <w:pPr>
        <w:pStyle w:val="Textonotapie"/>
        <w:snapToGrid w:val="0"/>
        <w:rPr>
          <w:lang w:val="es-CO"/>
        </w:rPr>
      </w:pPr>
      <w:r w:rsidRPr="00995557">
        <w:rPr>
          <w:rStyle w:val="Refdenotaalpie"/>
          <w:lang w:val="es-CO"/>
        </w:rPr>
        <w:footnoteRef/>
      </w:r>
      <w:r w:rsidRPr="00995557">
        <w:rPr>
          <w:lang w:val="es-CO"/>
        </w:rPr>
        <w:t xml:space="preserve"> </w:t>
      </w:r>
      <w:r w:rsidRPr="00995557">
        <w:rPr>
          <w:lang w:val="es-CO"/>
        </w:rPr>
        <w:tab/>
      </w:r>
      <w:r w:rsidRPr="00995557">
        <w:rPr>
          <w:i/>
          <w:lang w:val="es-CO"/>
        </w:rPr>
        <w:t>Cfr. Caso Comunidades indígenas miembros de la Asociación Lhaka Honhat (Nuestra Tierra) Vs. Argentina, supra</w:t>
      </w:r>
      <w:r w:rsidRPr="00995557">
        <w:rPr>
          <w:lang w:val="es-CO"/>
        </w:rPr>
        <w:t>, párr. 35.</w:t>
      </w:r>
    </w:p>
  </w:footnote>
  <w:footnote w:id="32">
    <w:p w14:paraId="3E9CFFE9" w14:textId="3D418036" w:rsidR="000B30AA" w:rsidRPr="00995557" w:rsidRDefault="000B30AA" w:rsidP="00AA627A">
      <w:pPr>
        <w:pStyle w:val="Textonotapie"/>
        <w:snapToGrid w:val="0"/>
        <w:rPr>
          <w:lang w:val="es-CO"/>
        </w:rPr>
      </w:pPr>
      <w:r w:rsidRPr="00995557">
        <w:rPr>
          <w:rStyle w:val="Refdenotaalpie"/>
          <w:lang w:val="es-CO"/>
        </w:rPr>
        <w:footnoteRef/>
      </w:r>
      <w:r w:rsidRPr="00995557">
        <w:rPr>
          <w:lang w:val="es-CO"/>
        </w:rPr>
        <w:t xml:space="preserve"> </w:t>
      </w:r>
      <w:r w:rsidRPr="00995557">
        <w:rPr>
          <w:lang w:val="es-CO"/>
        </w:rPr>
        <w:tab/>
      </w:r>
      <w:r w:rsidRPr="00995557">
        <w:rPr>
          <w:i/>
          <w:lang w:val="es-CO"/>
        </w:rPr>
        <w:t>Cfr.</w:t>
      </w:r>
      <w:r w:rsidRPr="00995557">
        <w:rPr>
          <w:lang w:val="es-CO"/>
        </w:rPr>
        <w:t xml:space="preserve"> </w:t>
      </w:r>
      <w:r w:rsidRPr="00995557">
        <w:rPr>
          <w:i/>
          <w:lang w:val="es-CO"/>
        </w:rPr>
        <w:t>Caso Masacres de Río Negro Vs. Guatemala</w:t>
      </w:r>
      <w:r w:rsidRPr="00995557">
        <w:rPr>
          <w:lang w:val="es-CO"/>
        </w:rPr>
        <w:t>,</w:t>
      </w:r>
      <w:r w:rsidRPr="00995557">
        <w:rPr>
          <w:i/>
          <w:lang w:val="es-CO"/>
        </w:rPr>
        <w:t xml:space="preserve"> supra</w:t>
      </w:r>
      <w:r w:rsidRPr="00995557">
        <w:rPr>
          <w:lang w:val="es-CO"/>
        </w:rPr>
        <w:t xml:space="preserve">, párr. 48, y </w:t>
      </w:r>
      <w:r w:rsidRPr="00995557">
        <w:rPr>
          <w:rStyle w:val="Textoennegrita"/>
          <w:b w:val="0"/>
          <w:i/>
          <w:lang w:val="es-CO"/>
        </w:rPr>
        <w:t>Caso</w:t>
      </w:r>
      <w:r w:rsidRPr="00995557">
        <w:rPr>
          <w:rStyle w:val="Textoennegrita"/>
          <w:b w:val="0"/>
          <w:lang w:val="es-CO"/>
        </w:rPr>
        <w:t xml:space="preserve"> </w:t>
      </w:r>
      <w:r w:rsidRPr="00995557">
        <w:rPr>
          <w:rStyle w:val="Textoennegrita"/>
          <w:b w:val="0"/>
          <w:i/>
          <w:lang w:val="es-CO"/>
        </w:rPr>
        <w:t>Masacres de El Mozote y lugares aledaños Vs. El Salvador</w:t>
      </w:r>
      <w:r w:rsidRPr="00995557">
        <w:rPr>
          <w:rStyle w:val="Textoennegrita"/>
          <w:b w:val="0"/>
          <w:lang w:val="es-CO"/>
        </w:rPr>
        <w:t xml:space="preserve">, </w:t>
      </w:r>
      <w:r w:rsidRPr="00995557">
        <w:rPr>
          <w:rStyle w:val="Textoennegrita"/>
          <w:b w:val="0"/>
          <w:i/>
          <w:lang w:val="es-CO"/>
        </w:rPr>
        <w:t>supra</w:t>
      </w:r>
      <w:r w:rsidRPr="00995557">
        <w:rPr>
          <w:rStyle w:val="Textoennegrita"/>
          <w:b w:val="0"/>
          <w:lang w:val="es-CO"/>
        </w:rPr>
        <w:t>,</w:t>
      </w:r>
      <w:r w:rsidRPr="00995557">
        <w:rPr>
          <w:rStyle w:val="Textoennegrita"/>
          <w:b w:val="0"/>
          <w:i/>
          <w:lang w:val="es-CO"/>
        </w:rPr>
        <w:t xml:space="preserve"> </w:t>
      </w:r>
      <w:r w:rsidRPr="00995557">
        <w:rPr>
          <w:rStyle w:val="Textoennegrita"/>
          <w:b w:val="0"/>
          <w:lang w:val="es-CO"/>
        </w:rPr>
        <w:t>párr. 50.</w:t>
      </w:r>
      <w:r w:rsidRPr="00995557">
        <w:rPr>
          <w:rStyle w:val="Textoennegrita"/>
          <w:b w:val="0"/>
          <w:shd w:val="clear" w:color="auto" w:fill="FFFFFF"/>
          <w:lang w:val="es-CO"/>
        </w:rPr>
        <w:t xml:space="preserve"> </w:t>
      </w:r>
    </w:p>
  </w:footnote>
  <w:footnote w:id="33">
    <w:p w14:paraId="28127473" w14:textId="114EBAE3" w:rsidR="000B30AA" w:rsidRPr="00995557" w:rsidRDefault="000B30AA" w:rsidP="00AA627A">
      <w:pPr>
        <w:pStyle w:val="Textonotapie"/>
        <w:widowControl w:val="0"/>
        <w:rPr>
          <w:lang w:val="pt-BR"/>
        </w:rPr>
      </w:pPr>
      <w:r w:rsidRPr="00995557">
        <w:rPr>
          <w:rStyle w:val="Refdenotaalpie"/>
          <w:lang w:val="es-ES"/>
        </w:rPr>
        <w:footnoteRef/>
      </w:r>
      <w:r w:rsidRPr="00995557">
        <w:rPr>
          <w:lang w:val="es-ES"/>
        </w:rPr>
        <w:t xml:space="preserve"> </w:t>
      </w:r>
      <w:r w:rsidRPr="00995557">
        <w:rPr>
          <w:lang w:val="es-ES"/>
        </w:rPr>
        <w:tab/>
      </w:r>
      <w:r w:rsidRPr="00995557">
        <w:rPr>
          <w:i/>
          <w:lang w:val="es-ES"/>
        </w:rPr>
        <w:t>Cfr.</w:t>
      </w:r>
      <w:r w:rsidRPr="00995557">
        <w:rPr>
          <w:lang w:val="es-ES"/>
        </w:rPr>
        <w:t xml:space="preserve"> </w:t>
      </w:r>
      <w:r w:rsidRPr="00995557">
        <w:rPr>
          <w:rFonts w:eastAsia="Verdana" w:cs="Verdana"/>
          <w:i/>
        </w:rPr>
        <w:t xml:space="preserve">Caso Trabajadores de la Hacienda Brasil Verde Vs. Brasil. Excepciones Preliminares, Fondo, Reparaciones y Costas. </w:t>
      </w:r>
      <w:r w:rsidRPr="00995557">
        <w:rPr>
          <w:rFonts w:eastAsia="Verdana" w:cs="Verdana"/>
        </w:rPr>
        <w:t>Sentencia de 20 de octubre de 2016. Serie C No. 318, párr. 48</w:t>
      </w:r>
      <w:r w:rsidRPr="00995557">
        <w:rPr>
          <w:i/>
          <w:lang w:val="es-ES"/>
        </w:rPr>
        <w:t>.</w:t>
      </w:r>
    </w:p>
  </w:footnote>
  <w:footnote w:id="34">
    <w:p w14:paraId="670A3259" w14:textId="28AC79BA"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 xml:space="preserve">Cfr. </w:t>
      </w:r>
      <w:bookmarkStart w:id="56" w:name="_Hlk44607460"/>
      <w:r w:rsidRPr="00995557">
        <w:rPr>
          <w:i/>
        </w:rPr>
        <w:t>Caso Kimel Vs. Argentina</w:t>
      </w:r>
      <w:r w:rsidRPr="00995557">
        <w:t xml:space="preserve">. </w:t>
      </w:r>
      <w:r w:rsidRPr="00995557">
        <w:rPr>
          <w:i/>
        </w:rPr>
        <w:t>Fondo, Reparaciones y Costas</w:t>
      </w:r>
      <w:r w:rsidRPr="00995557">
        <w:t xml:space="preserve">. Sentencia de 2 de mayo de 2008. Serie C No. 177, párr. 24, y </w:t>
      </w:r>
      <w:r w:rsidRPr="00995557">
        <w:rPr>
          <w:rFonts w:cs="Arial"/>
          <w:i/>
          <w:shd w:val="clear" w:color="auto" w:fill="FFFFFF"/>
        </w:rPr>
        <w:t>Caso Fernández Prieto y Tumbeiro Vs. Argentina. Fondo y Reparaciones.</w:t>
      </w:r>
      <w:r w:rsidRPr="00995557">
        <w:rPr>
          <w:rFonts w:cs="Arial"/>
          <w:shd w:val="clear" w:color="auto" w:fill="FFFFFF"/>
        </w:rPr>
        <w:t xml:space="preserve"> Sentencia de 1 de septiembre de 2020. Serie C No. 411</w:t>
      </w:r>
      <w:r w:rsidRPr="00995557">
        <w:t>, párr. 19.</w:t>
      </w:r>
      <w:bookmarkEnd w:id="56"/>
    </w:p>
  </w:footnote>
  <w:footnote w:id="35">
    <w:p w14:paraId="0D3A609E" w14:textId="77777777" w:rsidR="000B30AA" w:rsidRPr="00995557" w:rsidRDefault="000B30AA" w:rsidP="00AA627A">
      <w:pPr>
        <w:widowControl w:val="0"/>
        <w:tabs>
          <w:tab w:val="left" w:pos="567"/>
        </w:tabs>
        <w:spacing w:before="120" w:after="120"/>
        <w:jc w:val="both"/>
        <w:rPr>
          <w:sz w:val="16"/>
          <w:szCs w:val="16"/>
        </w:rPr>
      </w:pPr>
      <w:r w:rsidRPr="00995557">
        <w:rPr>
          <w:rStyle w:val="Refdenotaalpie"/>
          <w:rFonts w:eastAsiaTheme="majorEastAsia"/>
          <w:sz w:val="16"/>
          <w:szCs w:val="16"/>
        </w:rPr>
        <w:footnoteRef/>
      </w:r>
      <w:r w:rsidRPr="00995557">
        <w:rPr>
          <w:sz w:val="16"/>
          <w:szCs w:val="16"/>
        </w:rPr>
        <w:tab/>
      </w:r>
      <w:r w:rsidRPr="00995557">
        <w:rPr>
          <w:i/>
          <w:sz w:val="16"/>
          <w:szCs w:val="16"/>
        </w:rPr>
        <w:t>Cfr. Caso Kimel Vs. Argentina</w:t>
      </w:r>
      <w:r w:rsidRPr="00995557">
        <w:rPr>
          <w:sz w:val="16"/>
          <w:szCs w:val="16"/>
        </w:rPr>
        <w:t xml:space="preserve">, </w:t>
      </w:r>
      <w:r w:rsidRPr="00995557">
        <w:rPr>
          <w:i/>
          <w:sz w:val="16"/>
          <w:szCs w:val="16"/>
        </w:rPr>
        <w:t>supra</w:t>
      </w:r>
      <w:r w:rsidRPr="00995557">
        <w:rPr>
          <w:sz w:val="16"/>
          <w:szCs w:val="16"/>
        </w:rPr>
        <w:t>, párr. 24,</w:t>
      </w:r>
      <w:r w:rsidRPr="00995557">
        <w:rPr>
          <w:rStyle w:val="Textoennegrita"/>
          <w:rFonts w:eastAsiaTheme="majorEastAsia"/>
          <w:i/>
          <w:sz w:val="16"/>
          <w:szCs w:val="16"/>
          <w:shd w:val="clear" w:color="auto" w:fill="FFFFFF"/>
        </w:rPr>
        <w:t xml:space="preserve"> </w:t>
      </w:r>
      <w:r w:rsidRPr="00995557">
        <w:rPr>
          <w:rStyle w:val="Textoennegrita"/>
          <w:rFonts w:eastAsiaTheme="majorEastAsia"/>
          <w:b w:val="0"/>
          <w:sz w:val="16"/>
          <w:szCs w:val="16"/>
          <w:shd w:val="clear" w:color="auto" w:fill="FFFFFF"/>
        </w:rPr>
        <w:t>y</w:t>
      </w:r>
      <w:r w:rsidRPr="00995557">
        <w:rPr>
          <w:rStyle w:val="Textoennegrita"/>
          <w:rFonts w:eastAsiaTheme="majorEastAsia"/>
          <w:b w:val="0"/>
          <w:i/>
          <w:sz w:val="16"/>
          <w:szCs w:val="16"/>
          <w:shd w:val="clear" w:color="auto" w:fill="FFFFFF"/>
        </w:rPr>
        <w:t xml:space="preserve"> </w:t>
      </w:r>
      <w:r w:rsidRPr="00995557">
        <w:rPr>
          <w:i/>
          <w:sz w:val="16"/>
          <w:szCs w:val="16"/>
        </w:rPr>
        <w:t>Caso Valenzuela Ávila Vs. Guatemala. Fondo, Reparaciones y Costas</w:t>
      </w:r>
      <w:r w:rsidRPr="00995557">
        <w:rPr>
          <w:sz w:val="16"/>
          <w:szCs w:val="16"/>
        </w:rPr>
        <w:t>. Sentencia de 11 de octubre de 2019. Serie C No. 386, párr. 17.</w:t>
      </w:r>
    </w:p>
  </w:footnote>
  <w:footnote w:id="36">
    <w:p w14:paraId="1399508A" w14:textId="26CA39DC" w:rsidR="000B30AA" w:rsidRPr="00995557" w:rsidRDefault="000B30AA" w:rsidP="00AA627A">
      <w:pPr>
        <w:pStyle w:val="Footnotes"/>
        <w:widowControl w:val="0"/>
        <w:spacing w:before="120" w:after="120"/>
        <w:ind w:right="-94"/>
        <w:rPr>
          <w:rFonts w:eastAsiaTheme="majorEastAsia"/>
          <w:bCs/>
          <w:spacing w:val="0"/>
          <w:shd w:val="clear" w:color="auto" w:fill="FFFFFF"/>
        </w:rPr>
      </w:pPr>
      <w:r w:rsidRPr="00995557">
        <w:rPr>
          <w:rStyle w:val="Refdenotaalpie"/>
          <w:rFonts w:eastAsiaTheme="majorEastAsia"/>
          <w:spacing w:val="0"/>
        </w:rPr>
        <w:footnoteRef/>
      </w:r>
      <w:r w:rsidRPr="00995557">
        <w:rPr>
          <w:spacing w:val="0"/>
          <w:vertAlign w:val="superscript"/>
        </w:rPr>
        <w:t xml:space="preserve"> </w:t>
      </w:r>
      <w:r w:rsidRPr="00995557">
        <w:rPr>
          <w:spacing w:val="0"/>
        </w:rPr>
        <w:tab/>
      </w:r>
      <w:r w:rsidRPr="00995557">
        <w:rPr>
          <w:i/>
          <w:spacing w:val="0"/>
        </w:rPr>
        <w:t>Cfr. Caso Manuel Cepeda Vargas Vs. Colombia. Excepciones Preliminares, Fondo, Reparaciones y Costas.</w:t>
      </w:r>
      <w:r w:rsidRPr="00995557">
        <w:rPr>
          <w:spacing w:val="0"/>
        </w:rPr>
        <w:t xml:space="preserve"> Sentencia de 26 de mayo de 2010. Serie C No. 213, párr. 17, y </w:t>
      </w:r>
      <w:bookmarkStart w:id="57" w:name="_Hlk44607506"/>
      <w:r w:rsidRPr="00995557">
        <w:rPr>
          <w:i/>
          <w:spacing w:val="0"/>
        </w:rPr>
        <w:t>Caso Valenzuela Ávila Vs. Guatemala</w:t>
      </w:r>
      <w:r w:rsidRPr="00995557">
        <w:rPr>
          <w:rFonts w:cs="Arial"/>
          <w:spacing w:val="0"/>
          <w:shd w:val="clear" w:color="auto" w:fill="FFFFFF"/>
        </w:rPr>
        <w:t xml:space="preserve">, </w:t>
      </w:r>
      <w:r w:rsidRPr="00995557">
        <w:rPr>
          <w:rFonts w:cs="Arial"/>
          <w:i/>
          <w:spacing w:val="0"/>
          <w:shd w:val="clear" w:color="auto" w:fill="FFFFFF"/>
        </w:rPr>
        <w:t>supra</w:t>
      </w:r>
      <w:r w:rsidRPr="00995557">
        <w:rPr>
          <w:rFonts w:cs="Arial"/>
          <w:spacing w:val="0"/>
          <w:shd w:val="clear" w:color="auto" w:fill="FFFFFF"/>
        </w:rPr>
        <w:t>,</w:t>
      </w:r>
      <w:r w:rsidRPr="00995557">
        <w:rPr>
          <w:i/>
          <w:spacing w:val="0"/>
        </w:rPr>
        <w:t xml:space="preserve"> </w:t>
      </w:r>
      <w:r w:rsidRPr="00995557">
        <w:rPr>
          <w:rStyle w:val="Textoennegrita"/>
          <w:rFonts w:eastAsiaTheme="majorEastAsia"/>
          <w:b w:val="0"/>
          <w:spacing w:val="0"/>
          <w:shd w:val="clear" w:color="auto" w:fill="FFFFFF"/>
        </w:rPr>
        <w:t>párr. 17.</w:t>
      </w:r>
    </w:p>
    <w:bookmarkEnd w:id="57"/>
  </w:footnote>
  <w:footnote w:id="37">
    <w:p w14:paraId="7BB36804" w14:textId="77777777" w:rsidR="000B30AA" w:rsidRPr="00995557" w:rsidRDefault="000B30AA" w:rsidP="00AA627A">
      <w:pPr>
        <w:widowControl w:val="0"/>
        <w:tabs>
          <w:tab w:val="left" w:pos="567"/>
        </w:tabs>
        <w:spacing w:before="120" w:after="120"/>
        <w:jc w:val="both"/>
        <w:rPr>
          <w:sz w:val="16"/>
          <w:szCs w:val="16"/>
        </w:rPr>
      </w:pPr>
      <w:r w:rsidRPr="00995557">
        <w:rPr>
          <w:rStyle w:val="Refdenotaalpie"/>
          <w:sz w:val="16"/>
          <w:szCs w:val="16"/>
        </w:rPr>
        <w:footnoteRef/>
      </w:r>
      <w:r w:rsidRPr="00995557">
        <w:rPr>
          <w:sz w:val="16"/>
          <w:szCs w:val="16"/>
        </w:rPr>
        <w:t xml:space="preserve"> </w:t>
      </w:r>
      <w:r w:rsidRPr="00995557">
        <w:rPr>
          <w:sz w:val="16"/>
          <w:szCs w:val="16"/>
        </w:rPr>
        <w:tab/>
      </w:r>
      <w:r w:rsidRPr="00995557">
        <w:rPr>
          <w:i/>
          <w:sz w:val="16"/>
          <w:szCs w:val="16"/>
        </w:rPr>
        <w:t>Cfr. Caso Zambrano Vélez y otros Vs. Ecuador. Fondo, Reparaciones y Costas.</w:t>
      </w:r>
      <w:r w:rsidRPr="00995557">
        <w:rPr>
          <w:sz w:val="16"/>
          <w:szCs w:val="16"/>
        </w:rPr>
        <w:t xml:space="preserve"> Sentencia de 4 de julio de 2007. Serie C No. 116, párr. 17, y </w:t>
      </w:r>
      <w:r w:rsidRPr="00995557">
        <w:rPr>
          <w:i/>
          <w:sz w:val="16"/>
          <w:szCs w:val="16"/>
        </w:rPr>
        <w:t>Caso Villamizar Durán y otros Vs. Colombia. Excepción Preliminar, Fondo, Reparaciones y Costas</w:t>
      </w:r>
      <w:r w:rsidRPr="00995557">
        <w:rPr>
          <w:sz w:val="16"/>
          <w:szCs w:val="16"/>
        </w:rPr>
        <w:t>. Sentencia de 20 de noviembre de 2018. Serie C No. 364, párr. 21.</w:t>
      </w:r>
    </w:p>
  </w:footnote>
  <w:footnote w:id="38">
    <w:p w14:paraId="2CAA4FE6" w14:textId="6ECED549" w:rsidR="000B30AA" w:rsidRPr="00995557" w:rsidRDefault="000B30AA" w:rsidP="00AA627A">
      <w:pPr>
        <w:widowControl w:val="0"/>
        <w:tabs>
          <w:tab w:val="left" w:pos="567"/>
        </w:tabs>
        <w:spacing w:before="120" w:after="120"/>
        <w:jc w:val="both"/>
        <w:rPr>
          <w:sz w:val="16"/>
          <w:szCs w:val="16"/>
        </w:rPr>
      </w:pPr>
      <w:r w:rsidRPr="00995557">
        <w:rPr>
          <w:rStyle w:val="Refdenotaalpie"/>
          <w:sz w:val="16"/>
          <w:szCs w:val="16"/>
        </w:rPr>
        <w:footnoteRef/>
      </w:r>
      <w:r w:rsidRPr="00995557">
        <w:rPr>
          <w:sz w:val="16"/>
          <w:szCs w:val="16"/>
        </w:rPr>
        <w:t xml:space="preserve"> </w:t>
      </w:r>
      <w:r w:rsidRPr="00995557">
        <w:rPr>
          <w:sz w:val="16"/>
          <w:szCs w:val="16"/>
        </w:rPr>
        <w:tab/>
      </w:r>
      <w:r w:rsidRPr="00995557">
        <w:rPr>
          <w:i/>
          <w:sz w:val="16"/>
          <w:szCs w:val="16"/>
        </w:rPr>
        <w:t>Cfr.</w:t>
      </w:r>
      <w:r w:rsidRPr="00995557">
        <w:rPr>
          <w:b/>
          <w:i/>
          <w:sz w:val="16"/>
          <w:szCs w:val="16"/>
        </w:rPr>
        <w:t xml:space="preserve"> </w:t>
      </w:r>
      <w:r w:rsidRPr="00995557">
        <w:rPr>
          <w:i/>
          <w:sz w:val="16"/>
          <w:szCs w:val="16"/>
        </w:rPr>
        <w:t>Caso Benavides Cevallos Vs. Ecuador. Fondo, Reparaciones y Costas</w:t>
      </w:r>
      <w:r w:rsidRPr="00995557">
        <w:rPr>
          <w:sz w:val="16"/>
          <w:szCs w:val="16"/>
        </w:rPr>
        <w:t xml:space="preserve">. Sentencia de 19 de junio de 1998. Serie C No. 38, párr. 57, y </w:t>
      </w:r>
      <w:r w:rsidRPr="00995557">
        <w:rPr>
          <w:rFonts w:cs="Arial"/>
          <w:i/>
          <w:sz w:val="16"/>
          <w:szCs w:val="16"/>
          <w:shd w:val="clear" w:color="auto" w:fill="FFFFFF"/>
        </w:rPr>
        <w:t>Caso Spoltore Vs. Argentina</w:t>
      </w:r>
      <w:r w:rsidRPr="00995557">
        <w:rPr>
          <w:rFonts w:cs="Arial"/>
          <w:sz w:val="16"/>
          <w:szCs w:val="16"/>
          <w:shd w:val="clear" w:color="auto" w:fill="FFFFFF"/>
        </w:rPr>
        <w:t>,</w:t>
      </w:r>
      <w:r w:rsidRPr="00995557">
        <w:rPr>
          <w:rFonts w:cs="Arial"/>
          <w:i/>
          <w:sz w:val="16"/>
          <w:szCs w:val="16"/>
          <w:shd w:val="clear" w:color="auto" w:fill="FFFFFF"/>
        </w:rPr>
        <w:t xml:space="preserve"> supra</w:t>
      </w:r>
      <w:r w:rsidRPr="00995557">
        <w:rPr>
          <w:rFonts w:cs="Arial"/>
          <w:sz w:val="16"/>
          <w:szCs w:val="16"/>
          <w:shd w:val="clear" w:color="auto" w:fill="FFFFFF"/>
        </w:rPr>
        <w:t>,</w:t>
      </w:r>
      <w:r w:rsidRPr="00995557">
        <w:rPr>
          <w:sz w:val="16"/>
          <w:szCs w:val="16"/>
        </w:rPr>
        <w:t xml:space="preserve"> párr. 44.</w:t>
      </w:r>
    </w:p>
  </w:footnote>
  <w:footnote w:id="39">
    <w:p w14:paraId="1CC7FA81" w14:textId="73FB6140" w:rsidR="000B30AA" w:rsidRPr="00995557" w:rsidRDefault="000B30AA" w:rsidP="00AA627A">
      <w:pPr>
        <w:pStyle w:val="Prrafodelista"/>
        <w:widowControl w:val="0"/>
        <w:tabs>
          <w:tab w:val="left" w:pos="567"/>
        </w:tabs>
        <w:autoSpaceDE w:val="0"/>
        <w:autoSpaceDN w:val="0"/>
        <w:adjustRightInd w:val="0"/>
        <w:spacing w:before="120" w:after="120"/>
        <w:ind w:left="0"/>
        <w:jc w:val="both"/>
        <w:rPr>
          <w:sz w:val="16"/>
          <w:szCs w:val="16"/>
        </w:rPr>
      </w:pPr>
      <w:r w:rsidRPr="00995557">
        <w:rPr>
          <w:rStyle w:val="Refdenotaalpie"/>
          <w:sz w:val="16"/>
          <w:szCs w:val="16"/>
        </w:rPr>
        <w:footnoteRef/>
      </w:r>
      <w:r w:rsidRPr="00995557">
        <w:rPr>
          <w:sz w:val="16"/>
          <w:szCs w:val="16"/>
        </w:rPr>
        <w:t xml:space="preserve"> </w:t>
      </w:r>
      <w:r w:rsidRPr="00995557">
        <w:rPr>
          <w:sz w:val="16"/>
          <w:szCs w:val="16"/>
        </w:rPr>
        <w:tab/>
      </w:r>
      <w:r w:rsidRPr="00995557">
        <w:rPr>
          <w:i/>
          <w:sz w:val="16"/>
          <w:szCs w:val="16"/>
        </w:rPr>
        <w:t>Cfr. Caso Tu Tojín Vs. Guatemala. Fondo, Reparaciones y Costas.</w:t>
      </w:r>
      <w:r w:rsidRPr="00995557">
        <w:rPr>
          <w:sz w:val="16"/>
          <w:szCs w:val="16"/>
        </w:rPr>
        <w:t xml:space="preserve"> Sentencia de 26 de noviembre de 2008. Serie C No. 190, párr. 26, y </w:t>
      </w:r>
      <w:r w:rsidRPr="00995557">
        <w:rPr>
          <w:rFonts w:cs="Arial"/>
          <w:i/>
          <w:sz w:val="16"/>
          <w:szCs w:val="16"/>
          <w:shd w:val="clear" w:color="auto" w:fill="FFFFFF"/>
        </w:rPr>
        <w:t>Caso Fernández Prieto y Tumbeiro Vs. Argentina</w:t>
      </w:r>
      <w:r w:rsidRPr="00995557">
        <w:rPr>
          <w:rFonts w:cs="Arial"/>
          <w:sz w:val="16"/>
          <w:szCs w:val="16"/>
          <w:shd w:val="clear" w:color="auto" w:fill="FFFFFF"/>
        </w:rPr>
        <w:t xml:space="preserve">, </w:t>
      </w:r>
      <w:r w:rsidRPr="00995557">
        <w:rPr>
          <w:rFonts w:cs="Arial"/>
          <w:i/>
          <w:sz w:val="16"/>
          <w:szCs w:val="16"/>
          <w:shd w:val="clear" w:color="auto" w:fill="FFFFFF"/>
        </w:rPr>
        <w:t>supra</w:t>
      </w:r>
      <w:r w:rsidRPr="00995557">
        <w:rPr>
          <w:rFonts w:cs="Arial"/>
          <w:sz w:val="16"/>
          <w:szCs w:val="16"/>
          <w:shd w:val="clear" w:color="auto" w:fill="FFFFFF"/>
        </w:rPr>
        <w:t>,</w:t>
      </w:r>
      <w:r w:rsidRPr="00995557">
        <w:rPr>
          <w:sz w:val="16"/>
          <w:szCs w:val="16"/>
        </w:rPr>
        <w:t xml:space="preserve"> párr. 21.</w:t>
      </w:r>
    </w:p>
  </w:footnote>
  <w:footnote w:id="40">
    <w:p w14:paraId="070D7D96" w14:textId="515F8C2A" w:rsidR="00503519" w:rsidRPr="00995557" w:rsidRDefault="00503519" w:rsidP="00AA627A">
      <w:pPr>
        <w:pStyle w:val="Textonotapie"/>
        <w:widowControl w:val="0"/>
      </w:pPr>
      <w:r w:rsidRPr="00995557">
        <w:rPr>
          <w:rStyle w:val="Refdenotaalpie"/>
        </w:rPr>
        <w:footnoteRef/>
      </w:r>
      <w:r w:rsidRPr="00995557">
        <w:t xml:space="preserve"> </w:t>
      </w:r>
      <w:r w:rsidRPr="00995557">
        <w:tab/>
        <w:t>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w:t>
      </w:r>
    </w:p>
  </w:footnote>
  <w:footnote w:id="41">
    <w:p w14:paraId="2B97A4AE" w14:textId="77777777" w:rsidR="00503519" w:rsidRPr="00995557" w:rsidRDefault="00503519"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 Caso Velásquez Rodríguez Vs. Honduras. Fondo.</w:t>
      </w:r>
      <w:r w:rsidRPr="00995557">
        <w:t xml:space="preserve"> Sentencia de 29 de julio de 1988. Serie C No. 4, párr. 140, y </w:t>
      </w:r>
      <w:r w:rsidRPr="00995557">
        <w:rPr>
          <w:rFonts w:cs="Arial"/>
          <w:i/>
          <w:shd w:val="clear" w:color="auto" w:fill="FFFFFF"/>
        </w:rPr>
        <w:t>Caso Fernández Prieto y Tumbeiro</w:t>
      </w:r>
      <w:r w:rsidRPr="00995557" w:rsidDel="000C530C">
        <w:rPr>
          <w:rFonts w:cs="Arial"/>
          <w:i/>
          <w:shd w:val="clear" w:color="auto" w:fill="FFFFFF"/>
        </w:rPr>
        <w:t xml:space="preserve"> </w:t>
      </w:r>
      <w:r w:rsidRPr="00995557">
        <w:rPr>
          <w:rFonts w:cs="Arial"/>
          <w:i/>
          <w:shd w:val="clear" w:color="auto" w:fill="FFFFFF"/>
        </w:rPr>
        <w:t>Vs. Argentina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rFonts w:cs="Arial"/>
          <w:i/>
          <w:shd w:val="clear" w:color="auto" w:fill="FFFFFF"/>
        </w:rPr>
        <w:t xml:space="preserve"> </w:t>
      </w:r>
      <w:r w:rsidRPr="00995557">
        <w:t>párr. 23.</w:t>
      </w:r>
    </w:p>
  </w:footnote>
  <w:footnote w:id="42">
    <w:p w14:paraId="5169DECF" w14:textId="1AFE61A5" w:rsidR="000B30AA" w:rsidRPr="00995557" w:rsidRDefault="000B30AA" w:rsidP="00AA627A">
      <w:pPr>
        <w:pStyle w:val="Textonotapie"/>
        <w:widowControl w:val="0"/>
        <w:rPr>
          <w:lang w:eastAsia="es-CR"/>
        </w:rPr>
      </w:pPr>
      <w:r w:rsidRPr="00995557">
        <w:rPr>
          <w:rStyle w:val="Refdenotaalpie"/>
        </w:rPr>
        <w:footnoteRef/>
      </w:r>
      <w:r w:rsidRPr="00995557">
        <w:t xml:space="preserve"> </w:t>
      </w:r>
      <w:r w:rsidRPr="00995557">
        <w:tab/>
        <w:t>La Corte recibió las siguientes declaraciones rendidas ante fedatario público (</w:t>
      </w:r>
      <w:r w:rsidRPr="00995557">
        <w:rPr>
          <w:i/>
        </w:rPr>
        <w:t>affidávit</w:t>
      </w:r>
      <w:r w:rsidRPr="00995557">
        <w:t xml:space="preserve">): a) testigos propuestos por los representantes: Melissa Silva y Mayra Ramallo; b) declarante a título informativo propuesta por el Estado: </w:t>
      </w:r>
      <w:r w:rsidRPr="00995557">
        <w:rPr>
          <w:rFonts w:cs="Arial"/>
          <w:bCs/>
          <w:lang w:eastAsia="es-CR"/>
        </w:rPr>
        <w:t>Mirelys Zulay Contreras Moreno</w:t>
      </w:r>
      <w:r w:rsidRPr="00995557">
        <w:rPr>
          <w:lang w:bidi="en-US"/>
        </w:rPr>
        <w:t xml:space="preserve">; c) perita propuesta por la Comisión: </w:t>
      </w:r>
      <w:r w:rsidRPr="00995557">
        <w:rPr>
          <w:rFonts w:cs="Arial"/>
          <w:bCs/>
        </w:rPr>
        <w:t xml:space="preserve">Marta Monclús Masó, y d) peritos propuestos por los representantes: </w:t>
      </w:r>
      <w:r w:rsidRPr="00995557">
        <w:rPr>
          <w:lang w:val="es-ES"/>
        </w:rPr>
        <w:t>Víctor Rodríguez Rescia</w:t>
      </w:r>
      <w:r w:rsidRPr="00995557">
        <w:rPr>
          <w:rFonts w:cs="Verdana"/>
          <w:lang w:bidi="en-US"/>
        </w:rPr>
        <w:t xml:space="preserve">, </w:t>
      </w:r>
      <w:r w:rsidRPr="00995557">
        <w:rPr>
          <w:lang w:val="es-ES"/>
        </w:rPr>
        <w:t>Magaly Mercedes Vásquez González</w:t>
      </w:r>
      <w:r w:rsidRPr="00995557">
        <w:rPr>
          <w:rFonts w:eastAsia="Times New Roman" w:cs="Verdana"/>
          <w:lang w:val="es-AR"/>
        </w:rPr>
        <w:t xml:space="preserve"> y </w:t>
      </w:r>
      <w:r w:rsidRPr="00995557">
        <w:rPr>
          <w:lang w:val="es-ES"/>
        </w:rPr>
        <w:t>Pedro Enrique Rodríguez Rojas.</w:t>
      </w:r>
    </w:p>
  </w:footnote>
  <w:footnote w:id="43">
    <w:p w14:paraId="65957B72" w14:textId="77777777"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rPr>
          <w:lang w:val="es-MX"/>
        </w:rPr>
        <w:tab/>
      </w:r>
      <w:r w:rsidRPr="00995557">
        <w:t>Los objetos de todas las declaraciones se encuentran establecidos en la Resolución de</w:t>
      </w:r>
      <w:r w:rsidRPr="00995557">
        <w:rPr>
          <w:i/>
        </w:rPr>
        <w:t xml:space="preserve"> </w:t>
      </w:r>
      <w:r w:rsidRPr="00995557">
        <w:t xml:space="preserve">21 de febrero de 2020, así como en la Resolución de 30 de junio de 2020, ambas emitidas por la </w:t>
      </w:r>
      <w:proofErr w:type="gramStart"/>
      <w:r w:rsidRPr="00995557">
        <w:t>Presidenta</w:t>
      </w:r>
      <w:proofErr w:type="gramEnd"/>
      <w:r w:rsidRPr="00995557">
        <w:t xml:space="preserve"> de la Corte.</w:t>
      </w:r>
    </w:p>
  </w:footnote>
  <w:footnote w:id="44">
    <w:p w14:paraId="32ADB2DC"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Resolución emitida por la Corte de Apelaciones Penal de Ciudad Bolívar el 3 de junio de 2004 (expediente de prueba, tomo I, anexo 9 al informe de fondo, folio 34).</w:t>
      </w:r>
    </w:p>
  </w:footnote>
  <w:footnote w:id="45">
    <w:p w14:paraId="4CB371B8" w14:textId="1C6085CC"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 xml:space="preserve">Cfr. </w:t>
      </w:r>
      <w:r w:rsidRPr="00995557">
        <w:t xml:space="preserve">Declaración de Alcides Rafael Alcázar ante el Tribunal Cuarto de Control de Ciudad Bolívar el 2 de marzo de 2004 (expediente de prueba, tomo I, anexo 10 al informe de fondo, folio 49); declaración rendida por Mayra Ramallo (expediente de prueba, tomo V, </w:t>
      </w:r>
      <w:r w:rsidRPr="00995557">
        <w:rPr>
          <w:i/>
        </w:rPr>
        <w:t>affidávits</w:t>
      </w:r>
      <w:r w:rsidRPr="00995557">
        <w:t xml:space="preserve">, folio 1469), y declaración rendida por Melissa Silva (expediente de prueba, tomo V, </w:t>
      </w:r>
      <w:r w:rsidRPr="00995557">
        <w:rPr>
          <w:i/>
        </w:rPr>
        <w:t>affidávits</w:t>
      </w:r>
      <w:r w:rsidRPr="00995557">
        <w:t>, folio 1736).</w:t>
      </w:r>
    </w:p>
  </w:footnote>
  <w:footnote w:id="46">
    <w:p w14:paraId="1B1E8AD8" w14:textId="30AB13FA"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rPr>
          <w:lang w:val="es-MX"/>
        </w:rPr>
        <w:tab/>
      </w:r>
      <w:r w:rsidRPr="00995557">
        <w:rPr>
          <w:i/>
          <w:lang w:val="es-MX"/>
        </w:rPr>
        <w:t>Cfr.</w:t>
      </w:r>
      <w:r w:rsidRPr="00995557">
        <w:rPr>
          <w:lang w:val="es-MX"/>
        </w:rPr>
        <w:t xml:space="preserve"> </w:t>
      </w:r>
      <w:r w:rsidRPr="00995557">
        <w:t>Declaración de Deivis Romero Lascano ante el Tribunal Cuarto de Control de Ciudad Bolívar el 16 de marzo de 2004 (expediente de prueba, tomo I, anexo 11 al informe de fondo, folio 53), y nota de prensa publicada en el periódico “La Nación” el 23 de diciembre de 2003, titulada “Nunca imaginamos que lo iban a matar” (expediente de prueba, tomo I, anexo 8 al informe de fondo, folios 20 y 21).</w:t>
      </w:r>
    </w:p>
  </w:footnote>
  <w:footnote w:id="47">
    <w:p w14:paraId="7DC142A1" w14:textId="77777777"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t xml:space="preserve">Artículo 328 de la Constitución de la República Bolivariana de Venezuela. Disponible en: </w:t>
      </w:r>
      <w:hyperlink r:id="rId4" w:history="1">
        <w:r w:rsidRPr="00995557">
          <w:rPr>
            <w:rStyle w:val="Hipervnculo"/>
            <w:color w:val="auto"/>
            <w:lang w:val="es-ES"/>
          </w:rPr>
          <w:t>https://asambleanacional-media.s3.amazonaws.com/documentos/botones/constitucion-nacional-20191205135853.PDF</w:t>
        </w:r>
      </w:hyperlink>
      <w:r w:rsidRPr="00995557">
        <w:rPr>
          <w:lang w:val="es-ES"/>
        </w:rPr>
        <w:t xml:space="preserve">. </w:t>
      </w:r>
    </w:p>
    <w:p w14:paraId="7A26033C" w14:textId="77777777" w:rsidR="000B30AA" w:rsidRPr="00995557" w:rsidRDefault="000B30AA" w:rsidP="00AA627A">
      <w:pPr>
        <w:pStyle w:val="Textonotapie"/>
        <w:ind w:left="567" w:right="335"/>
        <w:rPr>
          <w:lang w:val="es-ES"/>
        </w:rPr>
      </w:pPr>
      <w:r w:rsidRPr="00995557">
        <w:rPr>
          <w:b/>
          <w:lang w:val="es-ES"/>
        </w:rPr>
        <w:t>Artículo 328.</w:t>
      </w:r>
      <w:r w:rsidRPr="00995557">
        <w:rPr>
          <w:lang w:val="es-ES"/>
        </w:rPr>
        <w:t xml:space="preserve"> La Fuerza Armada Nacional constituye una institución esencialmente profesional, sin militancia política, organizada por el Estado para garantizar la independencia y soberanía de la Nación y asegurar la integridad del espacio geográfico, mediante la defensa militar, la cooperación en el mantenimiento del orden interno y la </w:t>
      </w:r>
      <w:proofErr w:type="gramStart"/>
      <w:r w:rsidRPr="00995557">
        <w:rPr>
          <w:lang w:val="es-ES"/>
        </w:rPr>
        <w:t>participación activa</w:t>
      </w:r>
      <w:proofErr w:type="gramEnd"/>
      <w:r w:rsidRPr="00995557">
        <w:rPr>
          <w:lang w:val="es-ES"/>
        </w:rPr>
        <w:t xml:space="preserve"> en el desarrollo nacional, de acuerdo con esta Constitución y con la ley. […] La Fuerza Armada Nacional está integrada por el Ejército, la Armada, la Aviación y la Guardia Nacional, que funcionan de manera integral dentro del marco de su competencia para el cumplimiento de su misión, con un régimen de seguridad social integral propio, según lo establezca su respectiva ley orgánica.</w:t>
      </w:r>
    </w:p>
  </w:footnote>
  <w:footnote w:id="48">
    <w:p w14:paraId="1F57129B"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Declaración de Luis Enrique Filgueira Lizcano ante el Tribunal Cuarto de Control de Ciudad Bolívar el 2 de marzo de 2004 (expediente de prueba, tomo I, anexo 15 al informe de fondo, folio 64).</w:t>
      </w:r>
    </w:p>
  </w:footnote>
  <w:footnote w:id="49">
    <w:p w14:paraId="6A7176E2"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Declaración de Andi Bermúdez Sifontes ante el Tribunal Cuarto de Control de Ciudad Bolívar el 16 de marzo de 2004 (expediente de prueba, tomo I, anexo 16 al informe de fondo, folio 72).</w:t>
      </w:r>
    </w:p>
  </w:footnote>
  <w:footnote w:id="50">
    <w:p w14:paraId="1DEAAD3F"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Hecho citado por el Estado en su escrito de observaciones de 12 de noviembre de 2008 (expediente de prueba, tomo II, trámite ante la Comisión, folio 380).</w:t>
      </w:r>
    </w:p>
  </w:footnote>
  <w:footnote w:id="51">
    <w:p w14:paraId="4F050800"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Hecho citado en el Auto de apertura de juicio emitido por el Tribunal Tercero de Primera Instancia en funciones de control de Ciudad Bolívar el 4 de junio de 2014 (expediente de prueba, tomo III, anexo 15 al escrito de solicitudes y argumentos, folio 1042).</w:t>
      </w:r>
    </w:p>
  </w:footnote>
  <w:footnote w:id="52">
    <w:p w14:paraId="0F10D819" w14:textId="3045D149"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t xml:space="preserve">Las tres versiones se resumen de la manera siguiente: (i) según las personas privadas de libertad y los medios de comunicación, el día de los hechos no hubo una riña entre los internos, sino que lo sucedido formó parte de un plan previamente acordado por la Guardia Nacional, cuya finalidad era atentar contra la vida e integridad de las personas que guardaban prisión; (ii) según los Guardias Nacionales, se produjo una riña entre los internos, debido a la cual se produjeron las muertes y lesiones; ellos por su parte, ingresaron al centro penitenciario “luego de calmada la situación”, y (iii) según el Ministerio Público </w:t>
      </w:r>
      <w:r w:rsidRPr="00995557">
        <w:rPr>
          <w:rFonts w:cs="Arial"/>
        </w:rPr>
        <w:t xml:space="preserve">y </w:t>
      </w:r>
      <w:r w:rsidRPr="00995557">
        <w:t>el Director Interventor, debido a la riña entre los internos hubo una intervención por parte de la Guardia Nacional “que dejó heridos y muertos”.</w:t>
      </w:r>
    </w:p>
  </w:footnote>
  <w:footnote w:id="53">
    <w:p w14:paraId="143EE05F"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Hecho citado en el Auto de apertura de juicio emitido por el Tribunal Tercero de Primera Instancia en funciones de control de Ciudad Bolívar el 4 de junio de 2014 (expediente de prueba, tomo III, anexo 15 al escrito de solicitudes y argumentos, folios 1042).</w:t>
      </w:r>
    </w:p>
  </w:footnote>
  <w:footnote w:id="54">
    <w:p w14:paraId="4B325336"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Declaración de Alcides Rafael Alcázar ante el Tribunal Cuarto de Control de Ciudad Bolívar el 2 de marzo de 2004 (expediente de prueba, tomo I, anexo 10 al informe de fondo, folio 49).</w:t>
      </w:r>
    </w:p>
  </w:footnote>
  <w:footnote w:id="55">
    <w:p w14:paraId="64AF0905"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Declaración de Edgar Oswaldo Natera Medina que consta en el Auto de apertura de juicio emitido por el Tribunal Tercero de Primera Instancia en funciones de control de Ciudad Bolívar el 4 de junio de 2014 (expediente de prueba, tomo III, anexo 15 al escrito de solicitudes y argumentos, folios 1043).</w:t>
      </w:r>
    </w:p>
  </w:footnote>
  <w:footnote w:id="56">
    <w:p w14:paraId="29F9ECD2"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Declaración de Deivis Romero Lascano ante el Tribunal Cuarto de Control de Ciudad Bolívar el 16 de marzo de 2004 (expediente de prueba, tomo I, anexo 11 al informe de fondo, folio 52).</w:t>
      </w:r>
    </w:p>
  </w:footnote>
  <w:footnote w:id="57">
    <w:p w14:paraId="73FEEC42"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Declaración de Edgar Oswaldo Natera Medina que consta en el Auto de apertura de juicio emitido por el Tribunal Tercero de Primera Instancia en funciones de control de Ciudad Bolívar el 4 de junio de 2014 (expediente de prueba, tomo III, anexo 15 al escrito de solicitudes y argumentos, folios 1043).</w:t>
      </w:r>
    </w:p>
  </w:footnote>
  <w:footnote w:id="58">
    <w:p w14:paraId="15BA941E"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 xml:space="preserve">Cfr. </w:t>
      </w:r>
      <w:r w:rsidRPr="00995557">
        <w:t>Declaración de Alexander Rodríguez ante el Tribunal Cuarto de Control de Ciudad Bolívar el 16 de marzo de 2004 (expediente de prueba, tomo I, anexo 14 al informe de fondo, folio 60).</w:t>
      </w:r>
    </w:p>
  </w:footnote>
  <w:footnote w:id="59">
    <w:p w14:paraId="31D10B5B" w14:textId="297CE234" w:rsidR="000B30AA" w:rsidRPr="00995557" w:rsidRDefault="000B30AA" w:rsidP="00AA627A">
      <w:pPr>
        <w:pStyle w:val="Prrafodelista"/>
        <w:widowControl w:val="0"/>
        <w:tabs>
          <w:tab w:val="left" w:pos="567"/>
        </w:tabs>
        <w:spacing w:before="120" w:after="120"/>
        <w:ind w:left="0"/>
        <w:jc w:val="both"/>
        <w:rPr>
          <w:sz w:val="16"/>
          <w:szCs w:val="16"/>
        </w:rPr>
      </w:pPr>
      <w:r w:rsidRPr="00995557">
        <w:rPr>
          <w:rStyle w:val="Refdenotaalpie"/>
          <w:sz w:val="16"/>
          <w:szCs w:val="16"/>
        </w:rPr>
        <w:footnoteRef/>
      </w:r>
      <w:r w:rsidRPr="00995557">
        <w:rPr>
          <w:sz w:val="16"/>
          <w:szCs w:val="16"/>
        </w:rPr>
        <w:t xml:space="preserve"> </w:t>
      </w:r>
      <w:r w:rsidRPr="00995557">
        <w:rPr>
          <w:sz w:val="16"/>
          <w:szCs w:val="16"/>
        </w:rPr>
        <w:tab/>
      </w:r>
      <w:r w:rsidRPr="00995557">
        <w:rPr>
          <w:i/>
          <w:sz w:val="16"/>
          <w:szCs w:val="16"/>
        </w:rPr>
        <w:t>Cfr.</w:t>
      </w:r>
      <w:r w:rsidRPr="00995557">
        <w:rPr>
          <w:sz w:val="16"/>
          <w:szCs w:val="16"/>
        </w:rPr>
        <w:t xml:space="preserve"> Hecho citado por el Estado en su escrito de observaciones de 20 de septiembre de 2013 (expediente de prueba, tomo II, trámite ante la Comisión, folios 717 y 718). Véase también, Auto de apertura de juicio emitido por el Tribunal Tercero de Primera Instancia en funciones de control de Ciudad Bolívar el 4 de junio de 2014 (expediente de prueba, tomo III, anexo 15 al escrito de solicitudes y argumentos, folio 1042), y declaración rendida por Antonietta de Dominicis (expediente de prueba, tomo VII, </w:t>
      </w:r>
      <w:r w:rsidRPr="00995557">
        <w:rPr>
          <w:i/>
          <w:sz w:val="16"/>
          <w:szCs w:val="16"/>
        </w:rPr>
        <w:t>affidávits</w:t>
      </w:r>
      <w:r w:rsidRPr="00995557">
        <w:rPr>
          <w:sz w:val="16"/>
          <w:szCs w:val="16"/>
        </w:rPr>
        <w:t>, folios 1791 a 1797).</w:t>
      </w:r>
    </w:p>
  </w:footnote>
  <w:footnote w:id="60">
    <w:p w14:paraId="3BAD6E56"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Hecho citado por el Estado en su escrito de observaciones de 20 de septiembre de 2013 (expediente de prueba, tomo II, trámite ante la Comisión, folios 717 y 718), y hecho citado en el Auto de apertura de juicio emitido por el Tribunal Tercero de Primera Instancia en funciones de control de Ciudad Bolívar el 4 de junio de 2014 (expediente de prueba, tomo III, anexo 15 al escrito de solicitudes y argumentos, folio 1042).</w:t>
      </w:r>
    </w:p>
  </w:footnote>
  <w:footnote w:id="61">
    <w:p w14:paraId="076EAFA3" w14:textId="11E7514C"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rPr>
          <w:lang w:val="es-MX"/>
        </w:rPr>
        <w:tab/>
        <w:t>Las edades consignadas corresponden con la prueba aportada al proceso y la información proporcionada por los representantes, la que no fue objetada por el Estado.</w:t>
      </w:r>
    </w:p>
  </w:footnote>
  <w:footnote w:id="62">
    <w:p w14:paraId="3C54C440" w14:textId="77777777"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rPr>
          <w:lang w:val="es-MX"/>
        </w:rPr>
        <w:tab/>
      </w:r>
      <w:r w:rsidRPr="00995557">
        <w:t>E</w:t>
      </w:r>
      <w:r w:rsidRPr="00995557">
        <w:rPr>
          <w:lang w:val="es-MX"/>
        </w:rPr>
        <w:t xml:space="preserve">l Estado </w:t>
      </w:r>
      <w:proofErr w:type="gramStart"/>
      <w:r w:rsidRPr="00995557">
        <w:rPr>
          <w:lang w:val="es-MX"/>
        </w:rPr>
        <w:t>hizo mención de</w:t>
      </w:r>
      <w:proofErr w:type="gramEnd"/>
      <w:r w:rsidRPr="00995557">
        <w:rPr>
          <w:lang w:val="es-MX"/>
        </w:rPr>
        <w:t xml:space="preserve"> las actas de entrevistas efectuadas a cada una de las personas identificadas como familiares de las presuntas víctimas fallecidas. </w:t>
      </w:r>
      <w:r w:rsidRPr="00995557">
        <w:rPr>
          <w:i/>
          <w:lang w:val="es-MX"/>
        </w:rPr>
        <w:t>Cfr</w:t>
      </w:r>
      <w:r w:rsidRPr="00995557">
        <w:rPr>
          <w:lang w:val="es-MX"/>
        </w:rPr>
        <w:t xml:space="preserve">. </w:t>
      </w:r>
      <w:r w:rsidRPr="00995557">
        <w:t>Escrito de observaciones del Estado de 20 de septiembre de 2013 (expediente de prueba, tomo II, trámite ante la Comisión, folios 725 y 726).</w:t>
      </w:r>
    </w:p>
  </w:footnote>
  <w:footnote w:id="63">
    <w:p w14:paraId="1AF9A265"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Certificado de defunción de Orlando Edgardo Olivares Muñoz (expediente de prueba, tomo I, anexo 1 al informe de fondo, folio 6).</w:t>
      </w:r>
    </w:p>
  </w:footnote>
  <w:footnote w:id="64">
    <w:p w14:paraId="75D7B9AE"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Certificado de defunción de Joel Ronaldy Reyes Nava (expediente de prueba, tomo I, anexo 2 al informe de fondo, folio 8).</w:t>
      </w:r>
    </w:p>
  </w:footnote>
  <w:footnote w:id="65">
    <w:p w14:paraId="6FFB42DE" w14:textId="77777777" w:rsidR="000B30AA" w:rsidRPr="00995557" w:rsidRDefault="000B30AA" w:rsidP="00AA627A">
      <w:pPr>
        <w:widowControl w:val="0"/>
        <w:tabs>
          <w:tab w:val="left" w:pos="567"/>
        </w:tabs>
        <w:autoSpaceDE w:val="0"/>
        <w:autoSpaceDN w:val="0"/>
        <w:adjustRightInd w:val="0"/>
        <w:spacing w:before="120" w:after="120"/>
        <w:jc w:val="both"/>
        <w:rPr>
          <w:sz w:val="16"/>
          <w:szCs w:val="16"/>
        </w:rPr>
      </w:pPr>
      <w:r w:rsidRPr="00995557">
        <w:rPr>
          <w:rStyle w:val="Refdenotaalpie"/>
          <w:sz w:val="16"/>
          <w:szCs w:val="16"/>
        </w:rPr>
        <w:footnoteRef/>
      </w:r>
      <w:r w:rsidRPr="00995557">
        <w:rPr>
          <w:sz w:val="16"/>
          <w:szCs w:val="16"/>
        </w:rPr>
        <w:t xml:space="preserve"> </w:t>
      </w:r>
      <w:r w:rsidRPr="00995557">
        <w:rPr>
          <w:sz w:val="16"/>
          <w:szCs w:val="16"/>
        </w:rPr>
        <w:tab/>
      </w:r>
      <w:r w:rsidRPr="00995557">
        <w:rPr>
          <w:i/>
          <w:sz w:val="16"/>
          <w:szCs w:val="16"/>
        </w:rPr>
        <w:t>Cfr.</w:t>
      </w:r>
      <w:r w:rsidRPr="00995557">
        <w:rPr>
          <w:sz w:val="16"/>
          <w:szCs w:val="16"/>
        </w:rPr>
        <w:t xml:space="preserve"> Certificado de defunción de Orangel José Figueroa (expediente de prueba, tomo I, anexo 3 al informe de fondo, folio 10).</w:t>
      </w:r>
    </w:p>
  </w:footnote>
  <w:footnote w:id="66">
    <w:p w14:paraId="154125D4"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Certificado de defunción de Héctor Javier Muñoz Valerio (expediente de prueba, tomo I, anexo 4 al informe de fondo, folio 12).</w:t>
      </w:r>
    </w:p>
  </w:footnote>
  <w:footnote w:id="67">
    <w:p w14:paraId="7F54EE22" w14:textId="020A4BC3" w:rsidR="000B30AA" w:rsidRPr="00995557" w:rsidRDefault="000B30AA" w:rsidP="00AA627A">
      <w:pPr>
        <w:pStyle w:val="Textonotapie"/>
        <w:widowControl w:val="0"/>
        <w:rPr>
          <w:rFonts w:eastAsiaTheme="minorHAnsi"/>
        </w:rPr>
      </w:pPr>
      <w:r w:rsidRPr="00995557">
        <w:rPr>
          <w:rStyle w:val="Refdenotaalpie"/>
        </w:rPr>
        <w:footnoteRef/>
      </w:r>
      <w:r w:rsidRPr="00995557">
        <w:t xml:space="preserve"> </w:t>
      </w:r>
      <w:r w:rsidRPr="00995557">
        <w:rPr>
          <w:lang w:val="es-MX"/>
        </w:rPr>
        <w:tab/>
      </w:r>
      <w:r w:rsidRPr="00995557">
        <w:rPr>
          <w:i/>
        </w:rPr>
        <w:t>Cfr.</w:t>
      </w:r>
      <w:r w:rsidRPr="00995557">
        <w:t xml:space="preserve"> Certificado de defunción de Pedro Ramón</w:t>
      </w:r>
      <w:r w:rsidR="00E466C6" w:rsidRPr="00995557">
        <w:t xml:space="preserve"> López Chaurán</w:t>
      </w:r>
      <w:r w:rsidRPr="00995557">
        <w:t xml:space="preserve"> (expediente de prueba, tomo I, anexo 5 al informe de fondo, folio 14)</w:t>
      </w:r>
      <w:r w:rsidR="00F172B8" w:rsidRPr="00995557">
        <w:t>.</w:t>
      </w:r>
    </w:p>
  </w:footnote>
  <w:footnote w:id="68">
    <w:p w14:paraId="7840906D"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rPr>
          <w:lang w:val="es-MX"/>
        </w:rPr>
        <w:tab/>
      </w:r>
      <w:r w:rsidRPr="00995557">
        <w:rPr>
          <w:i/>
        </w:rPr>
        <w:t>Cfr.</w:t>
      </w:r>
      <w:r w:rsidRPr="00995557">
        <w:t xml:space="preserve"> Certificado de defunción de José Gregorio Bolívar Corro (expediente de prueba, tomo I, anexo 6 al informe de fondo, folio 16). </w:t>
      </w:r>
    </w:p>
  </w:footnote>
  <w:footnote w:id="69">
    <w:p w14:paraId="5FF18C06"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rPr>
          <w:lang w:val="es-MX"/>
        </w:rPr>
        <w:tab/>
      </w:r>
      <w:r w:rsidRPr="00995557">
        <w:rPr>
          <w:i/>
        </w:rPr>
        <w:t>Cfr.</w:t>
      </w:r>
      <w:r w:rsidRPr="00995557">
        <w:t xml:space="preserve"> Certificado de defunción de Richard Alexis Núñez Palma (expediente de prueba, tomo I, anexo 7 al informe de fondo, folio 18).</w:t>
      </w:r>
    </w:p>
  </w:footnote>
  <w:footnote w:id="70">
    <w:p w14:paraId="5095A7B5" w14:textId="77777777"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tab/>
        <w:t>E</w:t>
      </w:r>
      <w:r w:rsidRPr="00995557">
        <w:rPr>
          <w:lang w:val="es-MX"/>
        </w:rPr>
        <w:t xml:space="preserve">l Estado hizo mención de los exámenes </w:t>
      </w:r>
      <w:proofErr w:type="gramStart"/>
      <w:r w:rsidRPr="00995557">
        <w:rPr>
          <w:lang w:val="es-MX"/>
        </w:rPr>
        <w:t>médico forenses</w:t>
      </w:r>
      <w:proofErr w:type="gramEnd"/>
      <w:r w:rsidRPr="00995557">
        <w:rPr>
          <w:lang w:val="es-MX"/>
        </w:rPr>
        <w:t xml:space="preserve"> o reconocimientos médico legales practicados a cada una de las personas identificadas como presuntas víctimas lesionadas. Asimismo, se refirió al acta de entrevista de 2 de diciembre de 2003 realizada a Carlos Alexis Durán Gracia. </w:t>
      </w:r>
      <w:r w:rsidRPr="00995557">
        <w:rPr>
          <w:i/>
          <w:lang w:val="es-MX"/>
        </w:rPr>
        <w:t>Cfr</w:t>
      </w:r>
      <w:r w:rsidRPr="00995557">
        <w:rPr>
          <w:lang w:val="es-MX"/>
        </w:rPr>
        <w:t xml:space="preserve">. </w:t>
      </w:r>
      <w:r w:rsidRPr="00995557">
        <w:t>Escrito de observaciones del Estado de 20 de septiembre de 2013 (expediente de prueba, tomo II, trámite ante la Comisión, folios 731, 742, 745, 746, 747 y 748).</w:t>
      </w:r>
    </w:p>
  </w:footnote>
  <w:footnote w:id="71">
    <w:p w14:paraId="184FA951"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Hecho citado por el Estado en su escrito de observaciones de 12 de noviembre de 2008 (expediente de prueba, tomo II, trámite ante la Comisión, folio 382).</w:t>
      </w:r>
    </w:p>
  </w:footnote>
  <w:footnote w:id="72">
    <w:p w14:paraId="431F44BE"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Actuaciones citadas por el Estado en su escrito de observaciones de 20 de septiembre de 2013 (expediente de prueba, tomo II, trámite ante la Comisión, folios 723 a 769).</w:t>
      </w:r>
    </w:p>
  </w:footnote>
  <w:footnote w:id="73">
    <w:p w14:paraId="219D0F55" w14:textId="6D9AF1DC"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Actuaciones citadas por el Estado en su escrito de observaciones de 20 de septiembre de 2013 (expediente de prueba, tomo II, trámite ante la Comisión, folios 754 y 755).</w:t>
      </w:r>
    </w:p>
  </w:footnote>
  <w:footnote w:id="74">
    <w:p w14:paraId="2161EF58" w14:textId="0D564904"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Actuaciones citadas por el Estado en su escrito de observaciones de 20 de septiembre de 2013 (expediente de prueba, tomo II, trámite ante la Comisión, folios 755 y 760). Véase también, Acta de exhumaciones de 22 de marzo de 2004 (expediente de prueba, tomo I, anexo 22 al informe de fondo, folios 90 a 92, y expediente de prueba, tomo II, anexo a la petición inicial en el trámite ante la Comisión, folios 230 a 278). Se hace constar que la copia del acta referida, incorporada como prueba al presente proceso, incluyó informe de exhumaciones y autopsias, así como las respectivas fotografías de las diligencias, correspondientes a los cadáveres de Richard Alexis Palma, Orangel José Figueroa, José Gregorio Bolívar Corro y Héctor Javier Muñoz Valerio, no así de Joel </w:t>
      </w:r>
      <w:r w:rsidR="00A655AF" w:rsidRPr="00995557">
        <w:t>Ronaldy</w:t>
      </w:r>
      <w:r w:rsidRPr="00995557">
        <w:t xml:space="preserve"> Reyes Nava, respecto del cual únicamente fueron incluidas fotografías de la diligencia. Véase también, Declaración rendida por Antonietta de Dominicis (expediente de prueba, tomo VII, </w:t>
      </w:r>
      <w:r w:rsidRPr="00995557">
        <w:rPr>
          <w:i/>
        </w:rPr>
        <w:t>affidávits</w:t>
      </w:r>
      <w:r w:rsidRPr="00995557">
        <w:t>, folio 1788).</w:t>
      </w:r>
    </w:p>
  </w:footnote>
  <w:footnote w:id="75">
    <w:p w14:paraId="4527D70A"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Actuación citada por el Estado en su escrito de observaciones de 20 de septiembre de 2013 (expediente de prueba, tomo II, trámite ante la Comisión, folio 724).</w:t>
      </w:r>
    </w:p>
  </w:footnote>
  <w:footnote w:id="76">
    <w:p w14:paraId="24716CD5"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Acta de exhumaciones de 22 de marzo de 2004 (expediente de prueba, tomo I, anexo 22 al informe de fondo, folios 91 y 92). El informe detalló además que el proyectil siguió un “[t]rayecto de atrás adelante, de derecha a izquierda y de abajo arriba” y que no se apreciaron lesiones traumáticas en el resto del cuerpo.</w:t>
      </w:r>
    </w:p>
  </w:footnote>
  <w:footnote w:id="77">
    <w:p w14:paraId="2E68E4D2"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Actuación citada por el Estado en su escrito de observaciones de 20 de septiembre de 2013 (expediente de prueba, tomo II, trámite ante la Comisión, folio 724).</w:t>
      </w:r>
    </w:p>
  </w:footnote>
  <w:footnote w:id="78">
    <w:p w14:paraId="091F2409" w14:textId="17922DF9"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Acta de exhumaciones de 22 de marzo de 2004 (expediente de prueba, tomo II, anexo a la petición inicial en el trámite ante la Comisión, folios 237 y 238). El informe también señaló que no se observaron lesiones traumáticas en cabeza y cuello, que se apreció la existencia de “fracturas de arcos costales derechos e izquierdo [que] podrían corresponder al trayecto de un proyectil [de arma de fuego]”, y a nivel de pelvis ósea, “dos orificios de entrada producidos por el paso de proyectil, disparado por arma de fuego”.</w:t>
      </w:r>
    </w:p>
  </w:footnote>
  <w:footnote w:id="79">
    <w:p w14:paraId="0AB61549"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Actuación citada por el Estado en su escrito de observaciones de 20 de septiembre de 2013 (expediente de prueba, tomo II, trámite ante la Comisión, folios 723 y 724).</w:t>
      </w:r>
    </w:p>
  </w:footnote>
  <w:footnote w:id="80">
    <w:p w14:paraId="065B44D9" w14:textId="2EF43B1B"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Acta de exhumaciones de 22 de marzo de 2004 (expediente de prueba, tomo II, anexo a la petición inicial en el trámite ante la Comisión, folios 251 a 253). El informe indicó que el cráneo presentaba fractura producida por proyectil de arma de fuego con “[t]rayecto de delante atrás, de izquierda a derecha y de arriba abajo”, que a nivel de hemitórax se observó “pérdida de tejido de 4 cm, el cual corresponde a orificio de entrada producido por el paso de proyectiles múltiples (perdigones) […] sin orificios de salida”, y que “[e]n hipocondrio derecho se apreci[ó] pérdida de tejido irregular”, observándose fractura de arcos costales que “no [fuer]on producidas por proyectiles, en vista a la amplitud de la pérdida de tejido”, sino que “deben haber sido producto de traumatismos contundentes”.</w:t>
      </w:r>
    </w:p>
  </w:footnote>
  <w:footnote w:id="81">
    <w:p w14:paraId="766CFC90"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Actuación citada por el Estado en su escrito de observaciones de 20 de septiembre de 2013 (expediente de prueba, tomo II, trámite ante la Comisión, folio 724).</w:t>
      </w:r>
    </w:p>
  </w:footnote>
  <w:footnote w:id="82">
    <w:p w14:paraId="4E22284F"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Acta de exhumaciones de 22 de marzo de 2004 (expediente de prueba, tomo II, anexo a la petición inicial en el trámite ante la Comisión, folios 264 a 266). El informe indicó que, a nivel del cráneo, se observaron “tres orificios producidos por el paso de proyectil disparado por arma de fuego”, dos con “[t]rayecto de atrás adelante, de derecha a izquierda y ligeramente descendente” y el tercero con “[t]rayecto delante atrás, de derecho a izquierda y de arriba abajo”, sin haber advertido lesiones traumáticas en el resto del cuerpo.</w:t>
      </w:r>
    </w:p>
  </w:footnote>
  <w:footnote w:id="83">
    <w:p w14:paraId="0F712C41"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Actuación citada por el Estado en su escrito de observaciones de 20 de septiembre de 2013 (expediente de prueba, tomo II, trámite ante la Comisión, folio 724).</w:t>
      </w:r>
    </w:p>
  </w:footnote>
  <w:footnote w:id="84">
    <w:p w14:paraId="03BB6D05" w14:textId="260EE53C" w:rsidR="000B30AA" w:rsidRPr="00995557" w:rsidRDefault="000B30AA" w:rsidP="00AA627A">
      <w:pPr>
        <w:pStyle w:val="Textonotapie"/>
        <w:widowControl w:val="0"/>
        <w:tabs>
          <w:tab w:val="left" w:pos="851"/>
        </w:tabs>
      </w:pPr>
      <w:r w:rsidRPr="00995557">
        <w:rPr>
          <w:rStyle w:val="Refdenotaalpie"/>
        </w:rPr>
        <w:footnoteRef/>
      </w:r>
      <w:r w:rsidRPr="00995557">
        <w:t xml:space="preserve"> </w:t>
      </w:r>
      <w:r w:rsidRPr="00995557">
        <w:tab/>
      </w:r>
      <w:r w:rsidRPr="00995557">
        <w:rPr>
          <w:i/>
        </w:rPr>
        <w:t>Cfr.</w:t>
      </w:r>
      <w:r w:rsidRPr="00995557">
        <w:t xml:space="preserve"> Acta de exhumaciones de 22 de marzo de 2004 (expediente de prueba, tomo I, anexo 22 al informe de   fondo, folio 90). El cadáver también fue exhumado en la diligencia realizada los días 4 y 5 de febrero de 2004; no obstante, la Corte no cuenta con el informe de exhumación y autopsia del cadáver (</w:t>
      </w:r>
      <w:r w:rsidRPr="00995557">
        <w:rPr>
          <w:i/>
        </w:rPr>
        <w:t>supra</w:t>
      </w:r>
      <w:r w:rsidRPr="00995557">
        <w:t xml:space="preserve"> nota a pie de página 74). En su declaración, la testigo Antonietta de Dominicis relató que luego de la exhumación del cadáver, “[s]e realizó apertura del cráneo, ya que no tenía autopsia craneana”. </w:t>
      </w:r>
      <w:r w:rsidRPr="00995557">
        <w:rPr>
          <w:i/>
        </w:rPr>
        <w:t>Cfr.</w:t>
      </w:r>
      <w:r w:rsidRPr="00995557">
        <w:t xml:space="preserve"> Declaración rendida por Antonietta de Dominicis (expediente de prueba, tomo VII, </w:t>
      </w:r>
      <w:r w:rsidRPr="00995557">
        <w:rPr>
          <w:i/>
        </w:rPr>
        <w:t>affidávits</w:t>
      </w:r>
      <w:r w:rsidRPr="00995557">
        <w:t>, folio 1795).</w:t>
      </w:r>
    </w:p>
  </w:footnote>
  <w:footnote w:id="85">
    <w:p w14:paraId="4851FD28"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Actuación citada por el Estado en su escrito de observaciones de 20 de septiembre de 2013 (expediente de prueba, tomo II, trámite ante la Comisión, folios 724 y 725).</w:t>
      </w:r>
    </w:p>
  </w:footnote>
  <w:footnote w:id="86">
    <w:p w14:paraId="0C69C50C"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Actuación citada por el Estado en su escrito de observaciones de 20 de septiembre de 2013 (expediente de prueba, tomo II, trámite ante la Comisión, folio 724).</w:t>
      </w:r>
    </w:p>
  </w:footnote>
  <w:footnote w:id="87">
    <w:p w14:paraId="50B904D9" w14:textId="77777777" w:rsidR="000B30AA" w:rsidRPr="00995557" w:rsidRDefault="000B30AA" w:rsidP="00AA627A">
      <w:pPr>
        <w:pStyle w:val="Prrafodelista"/>
        <w:widowControl w:val="0"/>
        <w:tabs>
          <w:tab w:val="left" w:pos="567"/>
        </w:tabs>
        <w:spacing w:before="120" w:after="120"/>
        <w:ind w:left="0"/>
        <w:jc w:val="both"/>
        <w:rPr>
          <w:sz w:val="16"/>
          <w:szCs w:val="16"/>
        </w:rPr>
      </w:pPr>
      <w:r w:rsidRPr="00995557">
        <w:rPr>
          <w:rStyle w:val="Refdenotaalpie"/>
          <w:sz w:val="16"/>
          <w:szCs w:val="16"/>
        </w:rPr>
        <w:footnoteRef/>
      </w:r>
      <w:r w:rsidRPr="00995557">
        <w:rPr>
          <w:sz w:val="16"/>
          <w:szCs w:val="16"/>
        </w:rPr>
        <w:t xml:space="preserve"> </w:t>
      </w:r>
      <w:r w:rsidRPr="00995557">
        <w:rPr>
          <w:sz w:val="16"/>
          <w:szCs w:val="16"/>
        </w:rPr>
        <w:tab/>
        <w:t xml:space="preserve">En su declaración, la testigo Antonietta de Dominicis relató que luego de la exhumación del cadáver, “[s]e realiz[ó] autopsia craneana, en vista de que el cráneo estaba sin apertura”. </w:t>
      </w:r>
      <w:r w:rsidRPr="00995557">
        <w:rPr>
          <w:i/>
          <w:sz w:val="16"/>
          <w:szCs w:val="16"/>
        </w:rPr>
        <w:t>Cfr.</w:t>
      </w:r>
      <w:r w:rsidRPr="00995557">
        <w:rPr>
          <w:sz w:val="16"/>
          <w:szCs w:val="16"/>
        </w:rPr>
        <w:t xml:space="preserve"> Declaración rendida por Antonietta de Dominicis (expediente de prueba, tomo VII, </w:t>
      </w:r>
      <w:r w:rsidRPr="00995557">
        <w:rPr>
          <w:i/>
          <w:sz w:val="16"/>
          <w:szCs w:val="16"/>
        </w:rPr>
        <w:t>affidávits</w:t>
      </w:r>
      <w:r w:rsidRPr="00995557">
        <w:rPr>
          <w:sz w:val="16"/>
          <w:szCs w:val="16"/>
        </w:rPr>
        <w:t>, folio 1796).</w:t>
      </w:r>
    </w:p>
  </w:footnote>
  <w:footnote w:id="88">
    <w:p w14:paraId="64FBC81B" w14:textId="77777777" w:rsidR="000B30AA" w:rsidRPr="00995557" w:rsidRDefault="000B30AA" w:rsidP="00AA627A">
      <w:pPr>
        <w:pStyle w:val="Prrafodelista"/>
        <w:widowControl w:val="0"/>
        <w:tabs>
          <w:tab w:val="left" w:pos="567"/>
        </w:tabs>
        <w:spacing w:before="120" w:after="120"/>
        <w:ind w:left="0"/>
        <w:jc w:val="both"/>
        <w:rPr>
          <w:sz w:val="16"/>
          <w:szCs w:val="16"/>
        </w:rPr>
      </w:pPr>
      <w:r w:rsidRPr="00995557">
        <w:rPr>
          <w:rStyle w:val="Refdenotaalpie"/>
          <w:sz w:val="16"/>
          <w:szCs w:val="16"/>
        </w:rPr>
        <w:footnoteRef/>
      </w:r>
      <w:r w:rsidRPr="00995557">
        <w:rPr>
          <w:sz w:val="16"/>
          <w:szCs w:val="16"/>
        </w:rPr>
        <w:t xml:space="preserve"> </w:t>
      </w:r>
      <w:r w:rsidRPr="00995557">
        <w:rPr>
          <w:sz w:val="16"/>
          <w:szCs w:val="16"/>
        </w:rPr>
        <w:tab/>
        <w:t xml:space="preserve">En su declaración, la testigo Antonietta de Dominicis relató que luego de la exhumación del cadáver, “[s]e realiz[ó] autopsia craneana, en vista de que el cráneo estaba sin apertura”. </w:t>
      </w:r>
      <w:r w:rsidRPr="00995557">
        <w:rPr>
          <w:i/>
          <w:sz w:val="16"/>
          <w:szCs w:val="16"/>
        </w:rPr>
        <w:t>Cfr.</w:t>
      </w:r>
      <w:r w:rsidRPr="00995557">
        <w:rPr>
          <w:sz w:val="16"/>
          <w:szCs w:val="16"/>
        </w:rPr>
        <w:t xml:space="preserve"> Declaración rendida por Antonietta de Dominicis (expediente de prueba, tomo VII, </w:t>
      </w:r>
      <w:r w:rsidRPr="00995557">
        <w:rPr>
          <w:i/>
          <w:sz w:val="16"/>
          <w:szCs w:val="16"/>
        </w:rPr>
        <w:t>affidávits</w:t>
      </w:r>
      <w:r w:rsidRPr="00995557">
        <w:rPr>
          <w:sz w:val="16"/>
          <w:szCs w:val="16"/>
        </w:rPr>
        <w:t>, folio 1797).</w:t>
      </w:r>
    </w:p>
  </w:footnote>
  <w:footnote w:id="89">
    <w:p w14:paraId="2A389465"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Actuación citada por el Estado en su escrito de observaciones de 20 de septiembre de 2013 (expediente de prueba, tomo II, trámite ante la Comisión, folio 769).</w:t>
      </w:r>
    </w:p>
  </w:footnote>
  <w:footnote w:id="90">
    <w:p w14:paraId="57A19F56"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Actuaciones citadas por el Estado en su escrito de observaciones de 20 de septiembre de 2013 (expediente de prueba, tomo II, trámite ante la Comisión, folio 769), y Declaración rendida por Antonietta de Dominicis (expediente de prueba, tomo VII, </w:t>
      </w:r>
      <w:r w:rsidRPr="00995557">
        <w:rPr>
          <w:i/>
        </w:rPr>
        <w:t>affidávits</w:t>
      </w:r>
      <w:r w:rsidRPr="00995557">
        <w:t>, folio 1788).</w:t>
      </w:r>
    </w:p>
  </w:footnote>
  <w:footnote w:id="91">
    <w:p w14:paraId="6E6A8C5E" w14:textId="60048E4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rPr>
          <w:lang w:val="es-GT"/>
        </w:rPr>
        <w:tab/>
        <w:t xml:space="preserve">Mediante oficio de 26 de diciembre de 2003, el Ministerio Público informó que había ampliado la competencia del Fiscal 127° del Área Metropolitana de Caracas para que </w:t>
      </w:r>
      <w:proofErr w:type="gramStart"/>
      <w:r w:rsidRPr="00995557">
        <w:rPr>
          <w:lang w:val="es-GT"/>
        </w:rPr>
        <w:t>conjuntamente con</w:t>
      </w:r>
      <w:proofErr w:type="gramEnd"/>
      <w:r w:rsidRPr="00995557">
        <w:rPr>
          <w:lang w:val="es-GT"/>
        </w:rPr>
        <w:t xml:space="preserve"> el Fiscal de la Circunscripción Judicial del Estado Bolívar investigaran los hechos. </w:t>
      </w:r>
      <w:r w:rsidRPr="00995557">
        <w:rPr>
          <w:i/>
          <w:lang w:val="es-GT"/>
        </w:rPr>
        <w:t>Cfr</w:t>
      </w:r>
      <w:r w:rsidRPr="00995557">
        <w:rPr>
          <w:lang w:val="es-GT"/>
        </w:rPr>
        <w:t>. Oficio de 16 de diciembre de 2003 suscrito por la Directora de Protección de Derechos Fundamentales del Ministerio Público dirigido al Coordinador General del Observatorio Venezolano de Prisiones (</w:t>
      </w:r>
      <w:r w:rsidRPr="00995557">
        <w:t>expediente de prueba, tomo II, anexo a la petición inicial en el trámite ante la Comisión, folio 295).</w:t>
      </w:r>
    </w:p>
  </w:footnote>
  <w:footnote w:id="92">
    <w:p w14:paraId="0897E218" w14:textId="1FE39D4E"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Actuaciones citadas por el Estado en su escrito de observaciones de 20 de septiembre de 2013 (expediente de prueba, tomo II, trámite ante la Comisión, folios 758 a 760). Véase también, Escrito de 28 de marzo de 2004 presentado por el Fiscal 127° del Área Metropolitana de Caracas con competencia ampliada a nivel nacional y el Fiscal Primero del Ministerio Público del Primer Circuito Judicial de la Circunscripción Judicial del Estado Bolívar ante el Juez en función de control del Circuito Judicial Penal del Estado Bolívar (expediente de prueba, tomo III, anexo 10 A al escrito de solicitudes y argumentos, folios 999 a 1005).</w:t>
      </w:r>
    </w:p>
  </w:footnote>
  <w:footnote w:id="93">
    <w:p w14:paraId="45C97495" w14:textId="77777777" w:rsidR="000B30AA" w:rsidRPr="00995557" w:rsidRDefault="000B30AA" w:rsidP="00AA627A">
      <w:pPr>
        <w:pStyle w:val="Textonotapie"/>
        <w:widowControl w:val="0"/>
        <w:rPr>
          <w:lang w:val="es-GT"/>
        </w:rPr>
      </w:pPr>
      <w:r w:rsidRPr="00995557">
        <w:rPr>
          <w:rStyle w:val="Refdenotaalpie"/>
        </w:rPr>
        <w:footnoteRef/>
      </w:r>
      <w:r w:rsidRPr="00995557">
        <w:rPr>
          <w:lang w:val="es-GT"/>
        </w:rPr>
        <w:tab/>
      </w:r>
      <w:r w:rsidRPr="00995557">
        <w:rPr>
          <w:i/>
        </w:rPr>
        <w:t>Cfr.</w:t>
      </w:r>
      <w:r w:rsidRPr="00995557">
        <w:t xml:space="preserve"> Actuación citada por el Estado en su escrito de observaciones de 20 de septiembre de 2013 (expediente de prueba, tomo II, trámite ante la Comisión, folios 719 y 760).</w:t>
      </w:r>
    </w:p>
  </w:footnote>
  <w:footnote w:id="94">
    <w:p w14:paraId="5C8A4501"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Actuación citada por el Estado en su escrito de observaciones de 20 de septiembre de 2013 (expediente de prueba, tomo II, trámite ante la Comisión, folios 719 y 760); Escrito de 28 de marzo de 2004 presentado por el Fiscal Centésimo Vigésimo Séptimo del Área Metropolitana de Caracas con competencia ampliada a nivel nacional y el Fiscal Primero del Ministerio Público del Primer Circuito Judicial de la Circunscripción Judicial del Estado Bolívar ante el Juez en función de control del Circuito Judicial Penal del Estado Bolívar (expediente de prueba, tomo III, anexo 10 A al escrito de solicitudes y argumentos, folios 999 a 1005), y Oficio de participación de libertad sin restricciones de 29 de marzo de 2004 suscrito por el Juez Segundo de Control de Ciudad Bolívar dirigido al Comandante del Comando Regional No. 8 (expediente de prueba, tomo I, anexo 24 al informe de fondo, folio 94). </w:t>
      </w:r>
    </w:p>
  </w:footnote>
  <w:footnote w:id="95">
    <w:p w14:paraId="3F861F24"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Actuación citada por el Estado en su escrito de observaciones de 20 de septiembre de 2013 (expediente de prueba, tomo II, trámite ante la Comisión, folios 719 y 762), y Resolución emitida por la Corte de Apelaciones Penal de Ciudad Bolívar el 3 de junio de 2004 (expediente de prueba, tomo I, anexo 9 al informe de fondo, folios 24 a 45).</w:t>
      </w:r>
    </w:p>
  </w:footnote>
  <w:footnote w:id="96">
    <w:p w14:paraId="17657183"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rPr>
          <w:lang w:val="es-GT"/>
        </w:rPr>
        <w:tab/>
      </w:r>
      <w:r w:rsidRPr="00995557">
        <w:rPr>
          <w:i/>
          <w:lang w:val="es-GT"/>
        </w:rPr>
        <w:t>Cfr.</w:t>
      </w:r>
      <w:r w:rsidRPr="00995557">
        <w:rPr>
          <w:lang w:val="es-GT"/>
        </w:rPr>
        <w:t xml:space="preserve"> Escrito presentado el 1 de abril de 2004 por el Observatorio Venezolano de Prisiones ante Juez de Primera Instancia en funciones de control del Circuito Judicial Penal del Estado Bolívar </w:t>
      </w:r>
      <w:r w:rsidRPr="00995557">
        <w:t xml:space="preserve">(expediente de prueba, tomo I, anexo 27 al informe de fondo, folios 100 a 108); Comprobante de recepción de un asunto nuevo en la Unidad de Recepción y Distribución de Documentos del Circuito Judicial Penal de Ciudad Bolívar de 1 de abril de 2004 (expediente de prueba, tomo I, anexo 25 al informe de fondo, folio 96), y </w:t>
      </w:r>
      <w:r w:rsidRPr="00995557">
        <w:rPr>
          <w:lang w:val="es-GT"/>
        </w:rPr>
        <w:t xml:space="preserve">Auto de acumulación de 5 de abril de 2004 emitido por el Juez Segundo de Control de Ciudad Bolívar </w:t>
      </w:r>
      <w:r w:rsidRPr="00995557">
        <w:t>(expediente de prueba, tomo I, anexo 26 al informe de fondo, folio 98).</w:t>
      </w:r>
    </w:p>
  </w:footnote>
  <w:footnote w:id="97">
    <w:p w14:paraId="29C0625E"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Actuaciones citadas por el Estado en su escrito de observaciones de 20 de septiembre de 2013 (expediente de prueba, tomo II, trámite ante la Comisión, folios 719 y 765). Véase también, Comprobante de recepción de un documento en la Unidad de Recepción y Distribución de Documentos del Circuito Judicial Penal de Ciudad Bolívar de 10 de noviembre de 2004 (expediente de prueba, tomo I, anexo 28 al informe de fondo, folio 110).</w:t>
      </w:r>
    </w:p>
  </w:footnote>
  <w:footnote w:id="98">
    <w:p w14:paraId="548A7754"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Actuaciones citadas por el Estado en su escrito de observaciones de 20 de septiembre de 2013 (expediente de prueba, tomo II, trámite ante la Comisión, folio 720).</w:t>
      </w:r>
    </w:p>
  </w:footnote>
  <w:footnote w:id="99">
    <w:p w14:paraId="5F10C0C8"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Actuaciones citadas por el Estado en su escrito de observaciones de 20 de septiembre de 2013 (expediente de prueba, tomo II, trámite ante la Comisión, folios 720, 721 y 763), y Acta de audiencia oral desarrollada ante el Tribunal Tercero de Primera Instancia en funciones de control de Ciudad Bolívar el 11 de mayo de 2005 (expediente de prueba, tomo I, anexo 31 al informe de fondo, folios 118 a 122).</w:t>
      </w:r>
    </w:p>
  </w:footnote>
  <w:footnote w:id="100">
    <w:p w14:paraId="20C0AEBF"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Comprobante de recepción de un documento en la Unidad de Recepción y Distribución de Documentos del Circuito Judicial Penal de Ciudad Bolívar de 28 de marzo de 2006 (expediente de prueba, tomo I, anexo 32 al informe de fondo, folio 124), y Resolución emitida por el Tribunal Tercero de Primera Instancia en funciones de control de Ciudad Bolívar el 19 de junio de 2006 (expediente de prueba, tomo I, anexo 34 al informe de fondo, folios 130 a 133).</w:t>
      </w:r>
    </w:p>
  </w:footnote>
  <w:footnote w:id="101">
    <w:p w14:paraId="1AFC930E"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rPr>
          <w:lang w:val="es-GT"/>
        </w:rPr>
        <w:tab/>
      </w:r>
      <w:r w:rsidRPr="00995557">
        <w:rPr>
          <w:i/>
          <w:lang w:val="es-GT"/>
        </w:rPr>
        <w:t>Cfr.</w:t>
      </w:r>
      <w:r w:rsidRPr="00995557">
        <w:rPr>
          <w:lang w:val="es-GT"/>
        </w:rPr>
        <w:t xml:space="preserve"> </w:t>
      </w:r>
      <w:r w:rsidRPr="00995557">
        <w:t>Acta de audiencia preliminar y enjuiciamiento desarrollada ante el Tribunal Tercero de Primera Instancia en funciones de control de Ciudad Bolívar el 3 de junio de 2014 (expediente de prueba, tomo III, anexo 12 al escrito de solicitudes y argumentos, folios 1009 a 1011).</w:t>
      </w:r>
    </w:p>
  </w:footnote>
  <w:footnote w:id="102">
    <w:p w14:paraId="66A2465E"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rPr>
          <w:lang w:val="es-GT"/>
        </w:rPr>
        <w:tab/>
        <w:t xml:space="preserve">El 21 de mayo de 2013 la audiencia fue diferida por la falta de notificación a los abogados defensores. </w:t>
      </w:r>
      <w:r w:rsidRPr="00995557">
        <w:rPr>
          <w:i/>
          <w:lang w:val="es-GT"/>
        </w:rPr>
        <w:t>Cfr</w:t>
      </w:r>
      <w:r w:rsidRPr="00995557">
        <w:rPr>
          <w:lang w:val="es-GT"/>
        </w:rPr>
        <w:t xml:space="preserve">. </w:t>
      </w:r>
      <w:r w:rsidRPr="00995557">
        <w:t xml:space="preserve">Acta de diferimiento de audiencia preliminar de 21 de mayo de 2013 (expediente de prueba, tomo I, anexo 36 al informe de fondo, folios 138 y 139). El 12 de julio de 2013 la audiencia fue diferida ante la inasistencia de los defensores, “quienes presentaron inconvenientes de traslado por retraso en el vuelo desde la ciudad de Caracas”. </w:t>
      </w:r>
      <w:r w:rsidRPr="00995557">
        <w:rPr>
          <w:i/>
          <w:lang w:val="es-GT"/>
        </w:rPr>
        <w:t>Cfr</w:t>
      </w:r>
      <w:r w:rsidRPr="00995557">
        <w:rPr>
          <w:lang w:val="es-GT"/>
        </w:rPr>
        <w:t xml:space="preserve">. </w:t>
      </w:r>
      <w:r w:rsidRPr="00995557">
        <w:t xml:space="preserve">Acta de diferimiento de audiencia preliminar de 12 de julio de 2013 (expediente de prueba, tomo I, anexo 36 al informe de fondo, folios 140 y 141). Por último, la audiencia fue diferida el 29 de agosto de 2013 por la ausencia de los abogados defensores, los acusados y uno de los fiscales. </w:t>
      </w:r>
      <w:r w:rsidRPr="00995557">
        <w:rPr>
          <w:i/>
          <w:lang w:val="es-GT"/>
        </w:rPr>
        <w:t>Cfr</w:t>
      </w:r>
      <w:r w:rsidRPr="00995557">
        <w:rPr>
          <w:lang w:val="es-GT"/>
        </w:rPr>
        <w:t xml:space="preserve">. </w:t>
      </w:r>
      <w:r w:rsidRPr="00995557">
        <w:t>Acta de diferimiento de audiencia preliminar de 29 de agosto de 2013 (expediente de prueba, tomo I, anexo 36 al informe de fondo, folios 142 y 143).</w:t>
      </w:r>
    </w:p>
  </w:footnote>
  <w:footnote w:id="103">
    <w:p w14:paraId="7A726C85"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lang w:val="es-GT"/>
        </w:rPr>
        <w:t>Cfr.</w:t>
      </w:r>
      <w:r w:rsidRPr="00995557">
        <w:rPr>
          <w:lang w:val="es-GT"/>
        </w:rPr>
        <w:t xml:space="preserve"> </w:t>
      </w:r>
      <w:r w:rsidRPr="00995557">
        <w:t>Acta de audiencia preliminar y enjuiciamiento desarrollada ante el Tribunal Tercero de Primera Instancia en funciones de control de Ciudad Bolívar el 3 de junio de 2014 (expediente de prueba, tomo III, anexo 12 al escrito de solicitudes y argumentos, folios 1009 a 1020).</w:t>
      </w:r>
    </w:p>
  </w:footnote>
  <w:footnote w:id="104">
    <w:p w14:paraId="12BA2B7F"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Auto de apertura de juicio emitido por el Tribunal Tercero de Primera Instancia en funciones de control de Ciudad Bolívar el 4 de junio de 2014 (expediente de prueba, tomo III, anexo 15 al escrito de solicitudes y argumentos, folios 1041 a 1046).</w:t>
      </w:r>
    </w:p>
  </w:footnote>
  <w:footnote w:id="105">
    <w:p w14:paraId="0B236050"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Comprobante de recepción de un documento en la Unidad de Recepción y Distribución de Documentos del Circuito Judicial Penal de Ciudad Bolívar de 10 de junio de 2014 (expediente de prueba, tomo III, anexo 13 al escrito de solicitudes y argumentos, folio 1023), y Resolución emitida por la Sala Única de la Corte de Apelaciones del Circuito Judicial Penal del Estado Bolívar el 17 de noviembre de 2014 (expediente de prueba, tomo III, anexo 14 al escrito de solicitudes y argumentos, folios 1026 a 1039).</w:t>
      </w:r>
    </w:p>
  </w:footnote>
  <w:footnote w:id="106">
    <w:p w14:paraId="673280E0"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rPr>
          <w:lang w:val="es-GT"/>
        </w:rPr>
        <w:tab/>
      </w:r>
      <w:r w:rsidRPr="00995557">
        <w:rPr>
          <w:i/>
          <w:lang w:val="es-GT"/>
        </w:rPr>
        <w:t>Cfr.</w:t>
      </w:r>
      <w:r w:rsidRPr="00995557">
        <w:rPr>
          <w:lang w:val="es-GT"/>
        </w:rPr>
        <w:t xml:space="preserve"> Actas de juicio oral y público desarrollado ante el </w:t>
      </w:r>
      <w:r w:rsidRPr="00995557">
        <w:t xml:space="preserve">Tribunal Cuarto de Primera Instancia en funciones de juicio de Ciudad Bolívar los días 19 de septiembre, 4, 18, 25 y 31 de octubre; 4, 7, 9, 14 y 18 de noviembre de 2016 (expediente de prueba, tomo III, anexos 27 a 36 al escrito de solicitudes y argumentos, folios 1107 a 1172). Según la sentencia de 6 de diciembre de 2016, el juicio inició el 6 de septiembre de 2016, y continuó los días 19 de septiembre, 4, 18, 25 y 31 de octubre; 4, 7, 9, 14, 16, 18, 22 y 24 de noviembre de 2016. </w:t>
      </w:r>
      <w:r w:rsidRPr="00995557">
        <w:rPr>
          <w:i/>
        </w:rPr>
        <w:t>Cfr</w:t>
      </w:r>
      <w:r w:rsidRPr="00995557">
        <w:t xml:space="preserve">. Sentencia emitida por </w:t>
      </w:r>
      <w:r w:rsidRPr="00995557">
        <w:rPr>
          <w:lang w:val="es-GT"/>
        </w:rPr>
        <w:t xml:space="preserve">el </w:t>
      </w:r>
      <w:r w:rsidRPr="00995557">
        <w:t>Tribunal Cuarto de Primera Instancia en funciones de juicio de Ciudad Bolívar el 6 de diciembre de 2016 (expediente de prueba, tomo III, anexo 39 al escrito de solicitudes y argumentos, folios 1208 a 1247). Si bien constan en el expediente las actas de juicio oral y público de fechas 24 de febrero, 8 y 28 de marzo; 6, 13, 21 y 25 de abril; 10, 23 y 30 de mayo, y 6 de junio de 2016 (expediente de prueba, tomo III, anexos 16 a 26 al escrito de solicitudes y argumentos, folios 1049 a 1104), en dichas actas se hizo constar el nombre de una jueza distinta al funcionario que suscribió la sentencia de 6 de diciembre, aunado a que en dicha sentencia no se hizo referencia a tales fechas, por lo que se concluye que el juicio oral y público en virtud del cual se dictó el fallo absolutorio fue desarrollado de septiembre a noviembre de 2016, en los días antes indicados.</w:t>
      </w:r>
    </w:p>
  </w:footnote>
  <w:footnote w:id="107">
    <w:p w14:paraId="17870AD6"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Sentencia emitida por </w:t>
      </w:r>
      <w:r w:rsidRPr="00995557">
        <w:rPr>
          <w:lang w:val="es-GT"/>
        </w:rPr>
        <w:t xml:space="preserve">el </w:t>
      </w:r>
      <w:r w:rsidRPr="00995557">
        <w:t>Tribunal Cuarto de Primera Instancia en funciones de juicio de Ciudad Bolívar el 6 de diciembre de 2016 (expediente de prueba, tomo III, anexo 39 al escrito de solicitudes y argumentos, folios 1205 a 1273).</w:t>
      </w:r>
    </w:p>
  </w:footnote>
  <w:footnote w:id="108">
    <w:p w14:paraId="32B77814" w14:textId="58CE518C" w:rsidR="000B30AA" w:rsidRPr="00995557" w:rsidRDefault="000B30AA" w:rsidP="00AA627A">
      <w:pPr>
        <w:pStyle w:val="Textonotapie"/>
        <w:rPr>
          <w:lang w:val="es-ES"/>
        </w:rPr>
      </w:pPr>
      <w:r w:rsidRPr="00995557">
        <w:rPr>
          <w:rStyle w:val="Refdenotaalpie"/>
        </w:rPr>
        <w:footnoteRef/>
      </w:r>
      <w:r w:rsidRPr="00995557">
        <w:t xml:space="preserve">  </w:t>
      </w:r>
      <w:r w:rsidR="00B25F8E" w:rsidRPr="00995557">
        <w:rPr>
          <w:lang w:val="es-GT"/>
        </w:rPr>
        <w:tab/>
        <w:t>Artículos 4 y</w:t>
      </w:r>
      <w:r w:rsidRPr="00995557">
        <w:rPr>
          <w:lang w:val="es-GT"/>
        </w:rPr>
        <w:t xml:space="preserve"> 5</w:t>
      </w:r>
      <w:r w:rsidR="00B25F8E" w:rsidRPr="00995557">
        <w:rPr>
          <w:lang w:val="es-GT"/>
        </w:rPr>
        <w:t xml:space="preserve"> de la Convención Americana, </w:t>
      </w:r>
      <w:r w:rsidR="00B25F8E" w:rsidRPr="00995557">
        <w:t>en relación con los artículos 1.1 y 2 del mismo instrumento.</w:t>
      </w:r>
    </w:p>
  </w:footnote>
  <w:footnote w:id="109">
    <w:p w14:paraId="12516272" w14:textId="0809A2DA"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 Caso de los “Niños de la Calle” (Villagrán Morales y otros) Vs. Guatemala. Fondo</w:t>
      </w:r>
      <w:r w:rsidRPr="00995557">
        <w:t xml:space="preserve">. Sentencia de 19 de noviembre de 1999. Serie C No. 63, párr. 144, y </w:t>
      </w:r>
      <w:r w:rsidRPr="00995557">
        <w:rPr>
          <w:rFonts w:cs="Arial"/>
          <w:i/>
          <w:shd w:val="clear" w:color="auto" w:fill="FFFFFF"/>
        </w:rPr>
        <w:t>Caso de los Empleados de la Fábrica de Fuegos de Santo Antônio de Jesus Vs. Brasil</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párr. 116.</w:t>
      </w:r>
    </w:p>
  </w:footnote>
  <w:footnote w:id="110">
    <w:p w14:paraId="15B4013F" w14:textId="619992CA" w:rsidR="000B30AA" w:rsidRPr="00995557" w:rsidRDefault="000B30AA" w:rsidP="00AA627A">
      <w:pPr>
        <w:pStyle w:val="Textonotapie"/>
        <w:widowControl w:val="0"/>
        <w:rPr>
          <w:lang w:val="es-PE"/>
        </w:rPr>
      </w:pPr>
      <w:r w:rsidRPr="00995557">
        <w:rPr>
          <w:rStyle w:val="Refdenotaalpie"/>
        </w:rPr>
        <w:footnoteRef/>
      </w:r>
      <w:r w:rsidRPr="00995557">
        <w:t xml:space="preserve"> </w:t>
      </w:r>
      <w:r w:rsidRPr="00995557">
        <w:tab/>
      </w:r>
      <w:r w:rsidRPr="00995557">
        <w:rPr>
          <w:i/>
        </w:rPr>
        <w:t xml:space="preserve">Cfr. Caso Myrna Mack Chang Vs. Guatemala. Fondo, Reparaciones y Costas. </w:t>
      </w:r>
      <w:r w:rsidRPr="00995557">
        <w:t xml:space="preserve">Sentencia de 25 de noviembre de 2003. Serie C No. 101, párr. 153, y </w:t>
      </w:r>
      <w:r w:rsidRPr="00995557">
        <w:rPr>
          <w:rFonts w:cs="Arial"/>
          <w:i/>
          <w:shd w:val="clear" w:color="auto" w:fill="FFFFFF"/>
        </w:rPr>
        <w:t>Caso Noguera y otra Vs. Paraguay. Fondo, Reparaciones y Costas.</w:t>
      </w:r>
      <w:r w:rsidRPr="00995557">
        <w:rPr>
          <w:rFonts w:cs="Arial"/>
          <w:shd w:val="clear" w:color="auto" w:fill="FFFFFF"/>
        </w:rPr>
        <w:t xml:space="preserve"> Sentencia de 9 de marzo de 2020. Serie C No. 401</w:t>
      </w:r>
      <w:r w:rsidRPr="00995557">
        <w:rPr>
          <w:bCs/>
        </w:rPr>
        <w:t>, párr. 65</w:t>
      </w:r>
      <w:r w:rsidRPr="00995557">
        <w:rPr>
          <w:rFonts w:cs="Arial"/>
          <w:shd w:val="clear" w:color="auto" w:fill="FFFFFF"/>
        </w:rPr>
        <w:t>.</w:t>
      </w:r>
    </w:p>
  </w:footnote>
  <w:footnote w:id="111">
    <w:p w14:paraId="35A07D51" w14:textId="36533CD0" w:rsidR="000B30AA" w:rsidRPr="00995557" w:rsidRDefault="000B30AA" w:rsidP="00AA627A">
      <w:pPr>
        <w:pStyle w:val="Textonotapie"/>
        <w:widowControl w:val="0"/>
        <w:rPr>
          <w:lang w:val="es-PE"/>
        </w:rPr>
      </w:pPr>
      <w:r w:rsidRPr="00995557">
        <w:rPr>
          <w:rStyle w:val="Refdenotaalpie"/>
        </w:rPr>
        <w:footnoteRef/>
      </w:r>
      <w:r w:rsidRPr="00995557">
        <w:t xml:space="preserve"> </w:t>
      </w:r>
      <w:r w:rsidRPr="00995557">
        <w:tab/>
      </w:r>
      <w:r w:rsidRPr="00995557">
        <w:rPr>
          <w:i/>
          <w:lang w:val="es-PE"/>
        </w:rPr>
        <w:t>Cfr.</w:t>
      </w:r>
      <w:r w:rsidRPr="00995557">
        <w:rPr>
          <w:lang w:val="es-PE"/>
        </w:rPr>
        <w:t xml:space="preserve"> </w:t>
      </w:r>
      <w:r w:rsidRPr="00995557">
        <w:rPr>
          <w:i/>
          <w:lang w:val="es-PE"/>
        </w:rPr>
        <w:t>Caso de los “Niños de la Calle” (Villagrán Morales y otros) Vs. Guatemala. Fondo</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lang w:val="es-PE"/>
        </w:rPr>
        <w:t xml:space="preserve"> párrs. 144 y 145, y </w:t>
      </w:r>
      <w:r w:rsidRPr="00995557">
        <w:rPr>
          <w:rFonts w:cs="Arial"/>
          <w:i/>
          <w:shd w:val="clear" w:color="auto" w:fill="FFFFFF"/>
        </w:rPr>
        <w:t>Caso Noguera y otra Vs. Paraguay</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bCs/>
        </w:rPr>
        <w:t xml:space="preserve"> párr. 66.</w:t>
      </w:r>
    </w:p>
  </w:footnote>
  <w:footnote w:id="112">
    <w:p w14:paraId="68F46570" w14:textId="1BD4041D" w:rsidR="000B30AA" w:rsidRPr="00995557" w:rsidRDefault="000B30AA" w:rsidP="00AA627A">
      <w:pPr>
        <w:pStyle w:val="NormalWeb"/>
        <w:widowControl w:val="0"/>
        <w:tabs>
          <w:tab w:val="left" w:pos="567"/>
        </w:tabs>
        <w:spacing w:before="120" w:beforeAutospacing="0" w:after="120" w:afterAutospacing="0"/>
        <w:jc w:val="both"/>
        <w:rPr>
          <w:sz w:val="16"/>
          <w:szCs w:val="16"/>
          <w:lang w:val="es-GT"/>
        </w:rPr>
      </w:pPr>
      <w:r w:rsidRPr="00995557">
        <w:rPr>
          <w:rStyle w:val="Refdenotaalpie"/>
          <w:sz w:val="16"/>
          <w:szCs w:val="16"/>
        </w:rPr>
        <w:footnoteRef/>
      </w:r>
      <w:r w:rsidRPr="00995557">
        <w:rPr>
          <w:sz w:val="16"/>
          <w:szCs w:val="16"/>
        </w:rPr>
        <w:t xml:space="preserve"> </w:t>
      </w:r>
      <w:r w:rsidRPr="00995557">
        <w:rPr>
          <w:sz w:val="16"/>
          <w:szCs w:val="16"/>
          <w:lang w:val="es-GT"/>
        </w:rPr>
        <w:tab/>
      </w:r>
      <w:r w:rsidRPr="00995557">
        <w:rPr>
          <w:i/>
          <w:sz w:val="16"/>
          <w:szCs w:val="16"/>
          <w:lang w:val="es-GT"/>
        </w:rPr>
        <w:t xml:space="preserve">Cfr. </w:t>
      </w:r>
      <w:r w:rsidRPr="00995557">
        <w:rPr>
          <w:rFonts w:cs="Arial"/>
          <w:i/>
          <w:sz w:val="16"/>
          <w:szCs w:val="16"/>
          <w:shd w:val="clear" w:color="auto" w:fill="FFFFFF"/>
        </w:rPr>
        <w:t>Caso de la Masacre de Pueblo Bello Vs. Colombia.</w:t>
      </w:r>
      <w:r w:rsidRPr="00995557">
        <w:rPr>
          <w:rFonts w:cs="Arial"/>
          <w:sz w:val="16"/>
          <w:szCs w:val="16"/>
          <w:shd w:val="clear" w:color="auto" w:fill="FFFFFF"/>
        </w:rPr>
        <w:t xml:space="preserve"> Sentencia de 31 de enero de 2006. Serie C No. 140, párr. 120; </w:t>
      </w:r>
      <w:r w:rsidRPr="00995557">
        <w:rPr>
          <w:rFonts w:cs="Arial"/>
          <w:i/>
          <w:sz w:val="16"/>
          <w:szCs w:val="16"/>
          <w:lang w:val="es-GT" w:eastAsia="es-GT"/>
        </w:rPr>
        <w:t>Caso Baldeón García </w:t>
      </w:r>
      <w:r w:rsidRPr="00995557">
        <w:rPr>
          <w:rFonts w:cs="Arial"/>
          <w:i/>
          <w:iCs/>
          <w:sz w:val="16"/>
          <w:szCs w:val="16"/>
          <w:lang w:val="es-GT" w:eastAsia="es-GT"/>
        </w:rPr>
        <w:t>Vs.</w:t>
      </w:r>
      <w:r w:rsidRPr="00995557">
        <w:rPr>
          <w:rFonts w:cs="Arial"/>
          <w:i/>
          <w:sz w:val="16"/>
          <w:szCs w:val="16"/>
          <w:lang w:val="es-GT" w:eastAsia="es-GT"/>
        </w:rPr>
        <w:t> Perú</w:t>
      </w:r>
      <w:r w:rsidRPr="00995557">
        <w:rPr>
          <w:rFonts w:cs="Arial"/>
          <w:sz w:val="16"/>
          <w:szCs w:val="16"/>
          <w:lang w:val="es-GT" w:eastAsia="es-GT"/>
        </w:rPr>
        <w:t xml:space="preserve">. </w:t>
      </w:r>
      <w:r w:rsidRPr="00995557">
        <w:rPr>
          <w:rFonts w:cs="Arial"/>
          <w:i/>
          <w:sz w:val="16"/>
          <w:szCs w:val="16"/>
          <w:lang w:val="es-GT" w:eastAsia="es-GT"/>
        </w:rPr>
        <w:t>Fondo, Reparaciones y Costas.</w:t>
      </w:r>
      <w:r w:rsidRPr="00995557">
        <w:rPr>
          <w:rFonts w:cs="Arial"/>
          <w:sz w:val="16"/>
          <w:szCs w:val="16"/>
          <w:lang w:val="es-GT" w:eastAsia="es-GT"/>
        </w:rPr>
        <w:t xml:space="preserve"> Sentencia de 6 de abril de 2006. Serie C No. 147, </w:t>
      </w:r>
      <w:r w:rsidRPr="00995557">
        <w:rPr>
          <w:rFonts w:cs="Arial"/>
          <w:iCs/>
          <w:sz w:val="16"/>
          <w:szCs w:val="16"/>
          <w:lang w:val="es-GT" w:eastAsia="es-GT"/>
        </w:rPr>
        <w:t>p</w:t>
      </w:r>
      <w:r w:rsidRPr="00995557">
        <w:rPr>
          <w:sz w:val="16"/>
          <w:szCs w:val="16"/>
          <w:lang w:val="es-GT"/>
        </w:rPr>
        <w:t xml:space="preserve">árr. 85, y </w:t>
      </w:r>
      <w:r w:rsidRPr="00995557">
        <w:rPr>
          <w:rFonts w:cs="Arial"/>
          <w:i/>
          <w:sz w:val="16"/>
          <w:szCs w:val="16"/>
        </w:rPr>
        <w:t>Caso Cruz Sánchez y otros Vs. Perú. Excepciones Preliminares, Fondo, Reparaciones y Costas.</w:t>
      </w:r>
      <w:r w:rsidRPr="00995557">
        <w:rPr>
          <w:rFonts w:cs="Arial"/>
          <w:sz w:val="16"/>
          <w:szCs w:val="16"/>
        </w:rPr>
        <w:t xml:space="preserve"> Sentencia de 17 de abril de 2015. Serie C No. 292, párr. 260.</w:t>
      </w:r>
    </w:p>
  </w:footnote>
  <w:footnote w:id="113">
    <w:p w14:paraId="02E471CD"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 xml:space="preserve">Cfr. </w:t>
      </w:r>
      <w:r w:rsidRPr="00995557">
        <w:rPr>
          <w:rFonts w:cs="Arial"/>
          <w:i/>
        </w:rPr>
        <w:t>Caso Montero Aranguren y otros (Retén de Catia) Vs. Venezuela. Fondo, Reparaciones y Costas.</w:t>
      </w:r>
      <w:r w:rsidRPr="00995557">
        <w:rPr>
          <w:rFonts w:cs="Arial"/>
        </w:rPr>
        <w:t xml:space="preserve"> Sentencia de 5 de julio de 2006. Serie C No. 150, párr. 66, y </w:t>
      </w:r>
      <w:r w:rsidRPr="00995557">
        <w:rPr>
          <w:rFonts w:cs="Arial"/>
          <w:i/>
        </w:rPr>
        <w:t>Caso Valencia Hinojosa y otra Vs. Ecuador. Excepciones Preliminares, Fondo, Reparaciones y Costas.</w:t>
      </w:r>
      <w:r w:rsidRPr="00995557">
        <w:rPr>
          <w:rFonts w:cs="Arial"/>
        </w:rPr>
        <w:t xml:space="preserve"> Sentencia de 29 de noviembre de 2016. Serie C No. 327, párr. 136.</w:t>
      </w:r>
    </w:p>
  </w:footnote>
  <w:footnote w:id="114">
    <w:p w14:paraId="10EE7F78"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lang w:val="es-CL"/>
        </w:rPr>
        <w:t>Cfr.</w:t>
      </w:r>
      <w:r w:rsidRPr="00995557">
        <w:rPr>
          <w:lang w:val="es-CL"/>
        </w:rPr>
        <w:t xml:space="preserve"> </w:t>
      </w:r>
      <w:r w:rsidRPr="00995557">
        <w:rPr>
          <w:i/>
          <w:lang w:val="es-CL"/>
        </w:rPr>
        <w:t>Caso Ximenes Lopes Vs. Brasil. Fondo, Reparaciones y Costas</w:t>
      </w:r>
      <w:r w:rsidRPr="00995557">
        <w:rPr>
          <w:lang w:val="es-CL"/>
        </w:rPr>
        <w:t xml:space="preserve">. Sentencia de 4 de julio de 2006. Serie C No. 149, párr. 126, y </w:t>
      </w:r>
      <w:r w:rsidRPr="00995557">
        <w:rPr>
          <w:i/>
          <w:lang w:val="es-CL"/>
        </w:rPr>
        <w:t>Caso Díaz Loreto y otros Vs. Venezuela</w:t>
      </w:r>
      <w:r w:rsidRPr="00995557">
        <w:rPr>
          <w:lang w:val="es-CL"/>
        </w:rPr>
        <w:t xml:space="preserve">. </w:t>
      </w:r>
      <w:r w:rsidRPr="00995557">
        <w:rPr>
          <w:i/>
        </w:rPr>
        <w:t>Excepciones Preliminares, Fondo, Reparaciones y Costas</w:t>
      </w:r>
      <w:r w:rsidRPr="00995557">
        <w:rPr>
          <w:rFonts w:eastAsia="Verdana" w:cs="Verdana"/>
          <w:i/>
          <w:lang w:val="es-ES"/>
        </w:rPr>
        <w:t>.</w:t>
      </w:r>
      <w:r w:rsidRPr="00995557">
        <w:rPr>
          <w:rFonts w:eastAsia="Verdana" w:cs="Verdana"/>
          <w:lang w:val="es-ES"/>
        </w:rPr>
        <w:t xml:space="preserve"> Sentencia de 19 de noviembre de 2019. Serie C No. 392,</w:t>
      </w:r>
      <w:r w:rsidRPr="00995557">
        <w:rPr>
          <w:i/>
          <w:lang w:val="es-CL"/>
        </w:rPr>
        <w:t xml:space="preserve"> </w:t>
      </w:r>
      <w:r w:rsidRPr="00995557">
        <w:rPr>
          <w:lang w:val="es-CL"/>
        </w:rPr>
        <w:t>párr. 91.</w:t>
      </w:r>
    </w:p>
  </w:footnote>
  <w:footnote w:id="115">
    <w:p w14:paraId="289CE8B4" w14:textId="7E46CC2F" w:rsidR="000B30AA" w:rsidRPr="00995557" w:rsidRDefault="000B30AA" w:rsidP="00AA627A">
      <w:pPr>
        <w:pStyle w:val="Textonotapie"/>
        <w:widowControl w:val="0"/>
        <w:rPr>
          <w:i/>
        </w:rPr>
      </w:pPr>
      <w:r w:rsidRPr="00995557">
        <w:rPr>
          <w:rStyle w:val="Refdenotaalpie"/>
        </w:rPr>
        <w:footnoteRef/>
      </w:r>
      <w:r w:rsidRPr="00995557">
        <w:t xml:space="preserve"> </w:t>
      </w:r>
      <w:r w:rsidRPr="00995557">
        <w:tab/>
      </w:r>
      <w:r w:rsidRPr="00995557">
        <w:rPr>
          <w:i/>
        </w:rPr>
        <w:t>Cfr.</w:t>
      </w:r>
      <w:r w:rsidRPr="00995557">
        <w:t xml:space="preserve"> </w:t>
      </w:r>
      <w:r w:rsidRPr="00995557">
        <w:rPr>
          <w:i/>
        </w:rPr>
        <w:t>Caso Neira Alegría y otros Vs. Perú. Fondo.</w:t>
      </w:r>
      <w:r w:rsidRPr="00995557">
        <w:t xml:space="preserve"> Sentencia de 19 de enero de 1995. Serie C No 20, párr. 60, y</w:t>
      </w:r>
      <w:r w:rsidRPr="00995557">
        <w:rPr>
          <w:i/>
        </w:rPr>
        <w:t xml:space="preserve"> </w:t>
      </w:r>
      <w:r w:rsidRPr="00995557">
        <w:rPr>
          <w:rFonts w:cs="Arial"/>
          <w:i/>
          <w:shd w:val="clear" w:color="auto" w:fill="FFFFFF"/>
        </w:rPr>
        <w:t>Caso Montesinos Mejía Vs. Ecuador. Excepciones Preliminares, Fondo, Reparaciones y Costas.</w:t>
      </w:r>
      <w:r w:rsidRPr="00995557">
        <w:rPr>
          <w:rFonts w:cs="Arial"/>
          <w:shd w:val="clear" w:color="auto" w:fill="FFFFFF"/>
        </w:rPr>
        <w:t xml:space="preserve"> Sentencia de 27 de enero de 2020. Serie C No. 398,</w:t>
      </w:r>
      <w:r w:rsidRPr="00995557">
        <w:t xml:space="preserve"> párr. 150.</w:t>
      </w:r>
    </w:p>
  </w:footnote>
  <w:footnote w:id="116">
    <w:p w14:paraId="2697FE29" w14:textId="1EEC385D" w:rsidR="000B30AA" w:rsidRPr="00995557" w:rsidRDefault="000B30AA" w:rsidP="00AA627A">
      <w:pPr>
        <w:pStyle w:val="Textonotapie"/>
        <w:tabs>
          <w:tab w:val="left" w:pos="709"/>
        </w:tabs>
      </w:pPr>
      <w:r w:rsidRPr="00995557">
        <w:rPr>
          <w:rStyle w:val="Refdenotaalpie"/>
        </w:rPr>
        <w:footnoteRef/>
      </w:r>
      <w:r w:rsidRPr="00995557">
        <w:t xml:space="preserve"> </w:t>
      </w:r>
      <w:r w:rsidRPr="00995557">
        <w:tab/>
      </w:r>
      <w:r w:rsidRPr="00995557">
        <w:rPr>
          <w:i/>
        </w:rPr>
        <w:t>Cfr.</w:t>
      </w:r>
      <w:r w:rsidRPr="00995557">
        <w:t xml:space="preserve"> </w:t>
      </w:r>
      <w:r w:rsidRPr="00995557">
        <w:rPr>
          <w:i/>
        </w:rPr>
        <w:t>Caso Montero Aranguren y otros (Retén de Catia) Vs. Venezuela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 80, y </w:t>
      </w:r>
      <w:r w:rsidRPr="00995557">
        <w:rPr>
          <w:rFonts w:cs="Arial"/>
          <w:i/>
          <w:shd w:val="clear" w:color="auto" w:fill="FFFFFF"/>
        </w:rPr>
        <w:t xml:space="preserve">Caso Roche Azaña y otros Vs. Nicaragua. Fondo y Reparaciones. </w:t>
      </w:r>
      <w:r w:rsidRPr="00995557">
        <w:rPr>
          <w:rFonts w:cs="Arial"/>
          <w:shd w:val="clear" w:color="auto" w:fill="FFFFFF"/>
        </w:rPr>
        <w:t>Sentencia de 3 de junio de 2020. Serie C No. 403</w:t>
      </w:r>
      <w:r w:rsidRPr="00995557">
        <w:t>,</w:t>
      </w:r>
      <w:r w:rsidRPr="00995557">
        <w:rPr>
          <w:i/>
        </w:rPr>
        <w:t xml:space="preserve"> </w:t>
      </w:r>
      <w:r w:rsidRPr="00995557">
        <w:t>párr. 69.</w:t>
      </w:r>
    </w:p>
  </w:footnote>
  <w:footnote w:id="117">
    <w:p w14:paraId="2FFE2A49" w14:textId="08607677" w:rsidR="000B30AA" w:rsidRPr="00995557" w:rsidRDefault="000B30AA" w:rsidP="00AA627A">
      <w:pPr>
        <w:pStyle w:val="Textonotapie"/>
        <w:widowControl w:val="0"/>
        <w:rPr>
          <w:i/>
          <w:lang w:val="es-CL"/>
        </w:rPr>
      </w:pPr>
      <w:r w:rsidRPr="00995557">
        <w:rPr>
          <w:rStyle w:val="Refdenotaalpie"/>
        </w:rPr>
        <w:footnoteRef/>
      </w:r>
      <w:r w:rsidRPr="00995557">
        <w:t xml:space="preserve"> </w:t>
      </w:r>
      <w:r w:rsidRPr="00995557">
        <w:tab/>
      </w:r>
      <w:r w:rsidRPr="00995557">
        <w:rPr>
          <w:i/>
          <w:lang w:val="es-CL"/>
        </w:rPr>
        <w:t xml:space="preserve">Cfr. </w:t>
      </w:r>
      <w:r w:rsidRPr="00995557">
        <w:rPr>
          <w:i/>
          <w:lang w:val="es-PE"/>
        </w:rPr>
        <w:t>Caso de los “Niños de la Calle” (Villagrán Morales y otros) Vs. Guatemala. Fondo</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lang w:val="es-PE"/>
        </w:rPr>
        <w:t xml:space="preserve"> párr. 170; </w:t>
      </w:r>
      <w:r w:rsidRPr="00995557">
        <w:rPr>
          <w:rFonts w:cs="Arial"/>
          <w:i/>
          <w:shd w:val="clear" w:color="auto" w:fill="FFFFFF"/>
        </w:rPr>
        <w:t>Caso Escué Zapata Vs. Colombia. Fondo, Reparaciones y Costas.</w:t>
      </w:r>
      <w:r w:rsidRPr="00995557">
        <w:rPr>
          <w:rFonts w:cs="Arial"/>
          <w:shd w:val="clear" w:color="auto" w:fill="FFFFFF"/>
        </w:rPr>
        <w:t xml:space="preserve"> Sentencia de 4 de julio de 2007. Serie C No. 165, párr. 71, y </w:t>
      </w:r>
      <w:r w:rsidRPr="00995557">
        <w:rPr>
          <w:i/>
        </w:rPr>
        <w:t>Caso Díaz Loreto y otros Vs. Venezuela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i/>
        </w:rPr>
        <w:t xml:space="preserve"> </w:t>
      </w:r>
      <w:r w:rsidRPr="00995557">
        <w:t>párr. 92.</w:t>
      </w:r>
    </w:p>
  </w:footnote>
  <w:footnote w:id="118">
    <w:p w14:paraId="44A8FF9F"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rPr>
          <w:lang w:val="es-GT"/>
        </w:rPr>
        <w:tab/>
      </w:r>
      <w:r w:rsidRPr="00995557">
        <w:rPr>
          <w:i/>
          <w:lang w:val="es-GT"/>
        </w:rPr>
        <w:t>Cfr.</w:t>
      </w:r>
      <w:r w:rsidRPr="00995557">
        <w:rPr>
          <w:lang w:val="es-GT"/>
        </w:rPr>
        <w:t xml:space="preserve"> </w:t>
      </w:r>
      <w:r w:rsidRPr="00995557">
        <w:t>Hecho citado por el Estado en su escrito de observaciones de 20 de septiembre de 2013 (expediente de prueba, tomo II, trámite ante la Comisión, folios 717 y 718).</w:t>
      </w:r>
    </w:p>
  </w:footnote>
  <w:footnote w:id="119">
    <w:p w14:paraId="22634D15"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lang w:val="es-GT"/>
        </w:rPr>
        <w:t>Cfr.</w:t>
      </w:r>
      <w:r w:rsidRPr="00995557">
        <w:rPr>
          <w:lang w:val="es-GT"/>
        </w:rPr>
        <w:t xml:space="preserve"> </w:t>
      </w:r>
      <w:r w:rsidRPr="00995557">
        <w:t>Hecho citado por el Estado en su escrito de observaciones de 20 de septiembre de 2013 (expediente de prueba, tomo II, trámite ante la Comisión, folio 720).</w:t>
      </w:r>
    </w:p>
  </w:footnote>
  <w:footnote w:id="120">
    <w:p w14:paraId="5690DBB2" w14:textId="36623A25"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rFonts w:eastAsia="Verdana" w:cs="Verdana"/>
          <w:i/>
          <w:lang w:val="es-ES"/>
        </w:rPr>
        <w:t xml:space="preserve">Cfr. Caso Velásquez Rodríguez Vs. Honduras. </w:t>
      </w:r>
      <w:r w:rsidRPr="00995557">
        <w:rPr>
          <w:rFonts w:cs="Arial"/>
          <w:i/>
        </w:rPr>
        <w:t>Fondo</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rFonts w:eastAsia="Verdana" w:cs="Verdana"/>
          <w:i/>
          <w:lang w:val="es-ES"/>
        </w:rPr>
        <w:t xml:space="preserve"> </w:t>
      </w:r>
      <w:r w:rsidRPr="00995557">
        <w:rPr>
          <w:rFonts w:eastAsia="Verdana" w:cs="Verdana"/>
          <w:lang w:val="es-ES"/>
        </w:rPr>
        <w:t xml:space="preserve">párr. 154, y </w:t>
      </w:r>
      <w:r w:rsidRPr="00995557">
        <w:rPr>
          <w:rFonts w:eastAsia="Verdana" w:cs="Verdana"/>
          <w:i/>
          <w:lang w:val="es-ES"/>
        </w:rPr>
        <w:t>Caso Díaz Loreto y otros Vs. Venezuela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rFonts w:eastAsia="Verdana" w:cs="Verdana"/>
          <w:lang w:val="es-ES"/>
        </w:rPr>
        <w:t xml:space="preserve"> </w:t>
      </w:r>
      <w:r w:rsidRPr="00995557">
        <w:t>párr. 63</w:t>
      </w:r>
    </w:p>
  </w:footnote>
  <w:footnote w:id="121">
    <w:p w14:paraId="0E4916EE" w14:textId="5A89B848" w:rsidR="000B30AA" w:rsidRPr="00995557" w:rsidRDefault="000B30AA" w:rsidP="00AA627A">
      <w:pPr>
        <w:pStyle w:val="Textonotapie"/>
        <w:tabs>
          <w:tab w:val="left" w:pos="709"/>
        </w:tabs>
      </w:pPr>
      <w:r w:rsidRPr="00995557">
        <w:rPr>
          <w:rStyle w:val="Refdenotaalpie"/>
        </w:rPr>
        <w:footnoteRef/>
      </w:r>
      <w:r w:rsidRPr="00995557">
        <w:t xml:space="preserve"> </w:t>
      </w:r>
      <w:r w:rsidRPr="00995557">
        <w:tab/>
      </w:r>
      <w:r w:rsidRPr="00995557">
        <w:rPr>
          <w:i/>
          <w:iCs/>
        </w:rPr>
        <w:t>Cfr</w:t>
      </w:r>
      <w:r w:rsidRPr="00995557">
        <w:t xml:space="preserve">. </w:t>
      </w:r>
      <w:r w:rsidRPr="00995557">
        <w:rPr>
          <w:i/>
          <w:iCs/>
        </w:rPr>
        <w:t>Caso Nadege Dorzema y otros Vs. República Dominicana</w:t>
      </w:r>
      <w:r w:rsidRPr="00995557">
        <w:rPr>
          <w:iCs/>
        </w:rPr>
        <w:t>,</w:t>
      </w:r>
      <w:r w:rsidRPr="00995557">
        <w:rPr>
          <w:i/>
          <w:iCs/>
        </w:rPr>
        <w:t xml:space="preserve"> supra</w:t>
      </w:r>
      <w:r w:rsidRPr="00995557">
        <w:t xml:space="preserve">, párr. 85, y </w:t>
      </w:r>
      <w:r w:rsidRPr="00995557">
        <w:rPr>
          <w:rFonts w:cs="Arial"/>
          <w:i/>
          <w:shd w:val="clear" w:color="auto" w:fill="FFFFFF"/>
        </w:rPr>
        <w:t>Caso Roche Azaña y otros Vs. Nicaragua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párr. 53.</w:t>
      </w:r>
    </w:p>
  </w:footnote>
  <w:footnote w:id="122">
    <w:p w14:paraId="25016514" w14:textId="3085BEAE" w:rsidR="000B30AA" w:rsidRPr="00995557" w:rsidRDefault="000B30AA" w:rsidP="00AA627A">
      <w:pPr>
        <w:pStyle w:val="Textonotapie"/>
        <w:tabs>
          <w:tab w:val="left" w:pos="709"/>
        </w:tabs>
      </w:pPr>
      <w:r w:rsidRPr="00995557">
        <w:rPr>
          <w:rStyle w:val="Refdenotaalpie"/>
        </w:rPr>
        <w:footnoteRef/>
      </w:r>
      <w:r w:rsidRPr="00995557">
        <w:t xml:space="preserve"> </w:t>
      </w:r>
      <w:r w:rsidRPr="00995557">
        <w:tab/>
      </w:r>
      <w:r w:rsidRPr="00995557">
        <w:rPr>
          <w:i/>
          <w:iCs/>
        </w:rPr>
        <w:t>Cfr</w:t>
      </w:r>
      <w:r w:rsidRPr="00995557">
        <w:t xml:space="preserve">. </w:t>
      </w:r>
      <w:r w:rsidRPr="00995557">
        <w:rPr>
          <w:i/>
          <w:iCs/>
        </w:rPr>
        <w:t>Caso Nadege Dorzema y otros Vs. República Dominicana</w:t>
      </w:r>
      <w:r w:rsidRPr="00995557">
        <w:rPr>
          <w:iCs/>
        </w:rPr>
        <w:t xml:space="preserve">, </w:t>
      </w:r>
      <w:r w:rsidRPr="00995557">
        <w:rPr>
          <w:i/>
          <w:iCs/>
        </w:rPr>
        <w:t>supra</w:t>
      </w:r>
      <w:r w:rsidRPr="00995557">
        <w:rPr>
          <w:iCs/>
        </w:rPr>
        <w:t xml:space="preserve">, </w:t>
      </w:r>
      <w:r w:rsidRPr="00995557">
        <w:t xml:space="preserve">párr. 85; </w:t>
      </w:r>
      <w:r w:rsidRPr="00995557">
        <w:rPr>
          <w:i/>
          <w:iCs/>
        </w:rPr>
        <w:t>Caso Hermanos Landaeta Mejías y otros Vs. Venezuela</w:t>
      </w:r>
      <w:r w:rsidRPr="00995557">
        <w:rPr>
          <w:iCs/>
        </w:rPr>
        <w:t xml:space="preserve">, </w:t>
      </w:r>
      <w:r w:rsidRPr="00995557">
        <w:rPr>
          <w:i/>
          <w:iCs/>
        </w:rPr>
        <w:t>supra</w:t>
      </w:r>
      <w:r w:rsidRPr="00995557">
        <w:rPr>
          <w:iCs/>
        </w:rPr>
        <w:t xml:space="preserve">, </w:t>
      </w:r>
      <w:r w:rsidRPr="00995557">
        <w:t xml:space="preserve">párr. 134, y </w:t>
      </w:r>
      <w:r w:rsidRPr="00995557">
        <w:rPr>
          <w:rFonts w:cs="Arial"/>
          <w:i/>
          <w:shd w:val="clear" w:color="auto" w:fill="FFFFFF"/>
        </w:rPr>
        <w:t>Caso Roche Azaña y otros Vs. Nicaragua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párr. 53.</w:t>
      </w:r>
    </w:p>
  </w:footnote>
  <w:footnote w:id="123">
    <w:p w14:paraId="418F8815" w14:textId="2BACF18C" w:rsidR="000B30AA" w:rsidRPr="00995557" w:rsidRDefault="000B30AA" w:rsidP="00AA627A">
      <w:pPr>
        <w:pStyle w:val="Textonotapie"/>
        <w:tabs>
          <w:tab w:val="left" w:pos="709"/>
        </w:tabs>
      </w:pPr>
      <w:r w:rsidRPr="00995557">
        <w:rPr>
          <w:rStyle w:val="Refdenotaalpie"/>
        </w:rPr>
        <w:footnoteRef/>
      </w:r>
      <w:r w:rsidRPr="00995557">
        <w:t xml:space="preserve"> </w:t>
      </w:r>
      <w:r w:rsidRPr="00995557">
        <w:tab/>
      </w:r>
      <w:r w:rsidRPr="00995557">
        <w:rPr>
          <w:i/>
        </w:rPr>
        <w:t xml:space="preserve">Cfr. </w:t>
      </w:r>
      <w:r w:rsidRPr="00995557">
        <w:rPr>
          <w:rFonts w:cs="Verdana"/>
          <w:i/>
          <w:iCs/>
          <w:lang w:val="es-ES"/>
        </w:rPr>
        <w:t>Caso Montero Aranguren y otros (Retén de Catia) Vs. Venezuela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párrs. 67 y 68; </w:t>
      </w:r>
      <w:r w:rsidRPr="00995557">
        <w:rPr>
          <w:i/>
        </w:rPr>
        <w:t>Caso Nadege Dorzema y otros Vs. República Dominicana</w:t>
      </w:r>
      <w:r w:rsidRPr="00995557">
        <w:t>,</w:t>
      </w:r>
      <w:r w:rsidRPr="00995557">
        <w:rPr>
          <w:i/>
        </w:rPr>
        <w:t xml:space="preserve"> supra</w:t>
      </w:r>
      <w:r w:rsidRPr="00995557">
        <w:t xml:space="preserve">, párr. 85 y </w:t>
      </w:r>
      <w:r w:rsidRPr="00995557">
        <w:rPr>
          <w:rFonts w:cs="Arial"/>
          <w:i/>
          <w:shd w:val="clear" w:color="auto" w:fill="FFFFFF"/>
        </w:rPr>
        <w:t>Caso Roche Azaña y otros Vs. Nicaragua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párr. 53.</w:t>
      </w:r>
      <w:r w:rsidRPr="00995557">
        <w:t xml:space="preserve"> </w:t>
      </w:r>
      <w:r w:rsidRPr="00995557">
        <w:rPr>
          <w:iCs/>
        </w:rPr>
        <w:t>Véase también,</w:t>
      </w:r>
      <w:r w:rsidRPr="00995557">
        <w:rPr>
          <w:i/>
        </w:rPr>
        <w:t xml:space="preserve"> Principios Básicos sobre el Empleo de la Fuerza y de las Armas de Fuego por los Funcionarios Encargados de Cumplir la Ley</w:t>
      </w:r>
      <w:r w:rsidRPr="00995557">
        <w:t xml:space="preserve"> (en adelante también </w:t>
      </w:r>
      <w:r w:rsidRPr="00995557">
        <w:rPr>
          <w:i/>
        </w:rPr>
        <w:t>“Principios Básicos sobre el Empleo de la Fuerza”</w:t>
      </w:r>
      <w:r w:rsidRPr="00995557">
        <w:t>), adoptados por el Octavo Congreso de las Naciones Unidas sobre Prevención del Delito y Tratamiento del Delincuente celebrado en La Habana, Cuba, del 27 de agosto al 7 de septiembre de 1990, Principio No. 4.</w:t>
      </w:r>
    </w:p>
  </w:footnote>
  <w:footnote w:id="124">
    <w:p w14:paraId="3A6462F9" w14:textId="40D734BA" w:rsidR="000B30AA" w:rsidRPr="00995557" w:rsidRDefault="000B30AA" w:rsidP="00AA627A">
      <w:pPr>
        <w:pStyle w:val="Textonotapie"/>
        <w:tabs>
          <w:tab w:val="left" w:pos="709"/>
        </w:tabs>
      </w:pPr>
      <w:r w:rsidRPr="00995557">
        <w:rPr>
          <w:rStyle w:val="Refdenotaalpie"/>
          <w:rFonts w:cs="Verdana"/>
          <w:lang w:val="en-US"/>
        </w:rPr>
        <w:footnoteRef/>
      </w:r>
      <w:r w:rsidRPr="00995557">
        <w:rPr>
          <w:rFonts w:cs="Verdana"/>
          <w:lang w:val="es-ES"/>
        </w:rPr>
        <w:t xml:space="preserve"> </w:t>
      </w:r>
      <w:r w:rsidRPr="00995557">
        <w:rPr>
          <w:rFonts w:cs="Verdana"/>
          <w:lang w:val="es-ES"/>
        </w:rPr>
        <w:tab/>
      </w:r>
      <w:r w:rsidRPr="00995557">
        <w:rPr>
          <w:rFonts w:cs="Verdana"/>
          <w:i/>
          <w:iCs/>
          <w:lang w:val="es-ES"/>
        </w:rPr>
        <w:t>Cfr</w:t>
      </w:r>
      <w:r w:rsidRPr="00995557">
        <w:rPr>
          <w:rFonts w:cs="Verdana"/>
          <w:lang w:val="es-ES"/>
        </w:rPr>
        <w:t xml:space="preserve">. </w:t>
      </w:r>
      <w:r w:rsidRPr="00995557">
        <w:rPr>
          <w:rFonts w:cs="Verdana"/>
          <w:i/>
          <w:iCs/>
          <w:lang w:val="es-ES"/>
        </w:rPr>
        <w:t>Caso Montero Aranguren y otros (Retén de Catia) Vs. Venezuela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rFonts w:cs="Verdana"/>
          <w:lang w:val="es-ES"/>
        </w:rPr>
        <w:t xml:space="preserve"> párr. 68, y </w:t>
      </w:r>
      <w:r w:rsidRPr="00995557">
        <w:rPr>
          <w:rFonts w:cs="Arial"/>
          <w:i/>
          <w:shd w:val="clear" w:color="auto" w:fill="FFFFFF"/>
        </w:rPr>
        <w:t>Caso Roche Azaña y otros Vs. Nicaragua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párr. 53.</w:t>
      </w:r>
    </w:p>
  </w:footnote>
  <w:footnote w:id="125">
    <w:p w14:paraId="3835C007" w14:textId="2892F97F" w:rsidR="000B30AA" w:rsidRPr="00995557" w:rsidRDefault="000B30AA" w:rsidP="00AA627A">
      <w:pPr>
        <w:pStyle w:val="Textonotapie"/>
        <w:tabs>
          <w:tab w:val="left" w:pos="709"/>
        </w:tabs>
      </w:pPr>
      <w:r w:rsidRPr="00995557">
        <w:rPr>
          <w:rStyle w:val="Refdenotaalpie"/>
        </w:rPr>
        <w:footnoteRef/>
      </w:r>
      <w:r w:rsidRPr="00995557">
        <w:t xml:space="preserve"> </w:t>
      </w:r>
      <w:r w:rsidRPr="00995557">
        <w:tab/>
      </w:r>
      <w:r w:rsidRPr="00995557">
        <w:rPr>
          <w:i/>
        </w:rPr>
        <w:t xml:space="preserve">Cfr. </w:t>
      </w:r>
      <w:r w:rsidRPr="00995557">
        <w:rPr>
          <w:rFonts w:cs="Verdana"/>
          <w:i/>
          <w:iCs/>
          <w:lang w:val="es-ES"/>
        </w:rPr>
        <w:t>Caso Zambrano Vélez y otros Vs. Ecuador</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w:t>
      </w:r>
      <w:r w:rsidRPr="00995557">
        <w:rPr>
          <w:lang w:val="es-CL"/>
        </w:rPr>
        <w:t xml:space="preserve"> 85; </w:t>
      </w:r>
      <w:r w:rsidRPr="00995557">
        <w:rPr>
          <w:i/>
        </w:rPr>
        <w:t>Caso Nadege Dorzema y otros Vs. República Dominicana</w:t>
      </w:r>
      <w:r w:rsidRPr="00995557">
        <w:t>,</w:t>
      </w:r>
      <w:r w:rsidRPr="00995557">
        <w:rPr>
          <w:i/>
        </w:rPr>
        <w:t xml:space="preserve"> supra</w:t>
      </w:r>
      <w:r w:rsidRPr="00995557">
        <w:t xml:space="preserve">, párr. 85, y </w:t>
      </w:r>
      <w:r w:rsidRPr="00995557">
        <w:rPr>
          <w:rFonts w:cs="Arial"/>
          <w:i/>
          <w:shd w:val="clear" w:color="auto" w:fill="FFFFFF"/>
        </w:rPr>
        <w:t>Caso Roche Azaña y otros Vs. Nicaragua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párr. 53.</w:t>
      </w:r>
      <w:r w:rsidRPr="00995557">
        <w:t xml:space="preserve"> </w:t>
      </w:r>
      <w:r w:rsidRPr="00995557">
        <w:rPr>
          <w:iCs/>
        </w:rPr>
        <w:t>Ver también</w:t>
      </w:r>
      <w:r w:rsidRPr="00995557">
        <w:rPr>
          <w:i/>
        </w:rPr>
        <w:t>, Principios básicos sobre el empleo de la fuerza</w:t>
      </w:r>
      <w:r w:rsidRPr="00995557">
        <w:t>,</w:t>
      </w:r>
      <w:r w:rsidRPr="00995557">
        <w:rPr>
          <w:i/>
        </w:rPr>
        <w:t xml:space="preserve"> supra</w:t>
      </w:r>
      <w:r w:rsidRPr="00995557">
        <w:t>, Principios No. 5 y 9.</w:t>
      </w:r>
    </w:p>
  </w:footnote>
  <w:footnote w:id="126">
    <w:p w14:paraId="011490A8" w14:textId="32B7FE17" w:rsidR="000B30AA" w:rsidRPr="00995557" w:rsidRDefault="000B30AA" w:rsidP="00AA627A">
      <w:pPr>
        <w:pStyle w:val="Textonotapie"/>
        <w:tabs>
          <w:tab w:val="left" w:pos="709"/>
        </w:tabs>
      </w:pPr>
      <w:r w:rsidRPr="00995557">
        <w:rPr>
          <w:rStyle w:val="Refdenotaalpie"/>
        </w:rPr>
        <w:footnoteRef/>
      </w:r>
      <w:r w:rsidRPr="00995557">
        <w:t xml:space="preserve"> </w:t>
      </w:r>
      <w:r w:rsidRPr="00995557">
        <w:tab/>
      </w:r>
      <w:r w:rsidRPr="00995557">
        <w:rPr>
          <w:i/>
        </w:rPr>
        <w:t>Cfr.</w:t>
      </w:r>
      <w:r w:rsidRPr="00995557">
        <w:t xml:space="preserve"> </w:t>
      </w:r>
      <w:r w:rsidRPr="00995557">
        <w:rPr>
          <w:i/>
        </w:rPr>
        <w:t>Caso Nadege Dorzema y otros Vs. República Dominicana</w:t>
      </w:r>
      <w:r w:rsidRPr="00995557">
        <w:t>,</w:t>
      </w:r>
      <w:r w:rsidRPr="00995557">
        <w:rPr>
          <w:i/>
        </w:rPr>
        <w:t xml:space="preserve"> supra</w:t>
      </w:r>
      <w:r w:rsidRPr="00995557">
        <w:t>,</w:t>
      </w:r>
      <w:r w:rsidRPr="00995557">
        <w:rPr>
          <w:i/>
        </w:rPr>
        <w:t xml:space="preserve"> </w:t>
      </w:r>
      <w:r w:rsidRPr="00995557">
        <w:t xml:space="preserve">párr. 85, y </w:t>
      </w:r>
      <w:r w:rsidRPr="00995557">
        <w:rPr>
          <w:rFonts w:cs="Arial"/>
          <w:i/>
          <w:shd w:val="clear" w:color="auto" w:fill="FFFFFF"/>
        </w:rPr>
        <w:t>Caso Roche Azaña y otros Vs. Nicaragua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párr. 53.</w:t>
      </w:r>
      <w:r w:rsidRPr="00995557">
        <w:t xml:space="preserve"> Ver también, </w:t>
      </w:r>
      <w:r w:rsidRPr="00995557">
        <w:rPr>
          <w:i/>
        </w:rPr>
        <w:t xml:space="preserve">Principios básicos sobre el empleo de la fuerza, </w:t>
      </w:r>
      <w:r w:rsidRPr="00995557">
        <w:t xml:space="preserve">Principios No. 2, 4, 5 y 9. </w:t>
      </w:r>
    </w:p>
  </w:footnote>
  <w:footnote w:id="127">
    <w:p w14:paraId="0CFE34C8" w14:textId="2AC1F8C8" w:rsidR="000B30AA" w:rsidRPr="00995557" w:rsidRDefault="000B30AA" w:rsidP="00AA627A">
      <w:pPr>
        <w:pStyle w:val="Textonotapie"/>
        <w:tabs>
          <w:tab w:val="left" w:pos="709"/>
        </w:tabs>
      </w:pPr>
      <w:r w:rsidRPr="00995557">
        <w:rPr>
          <w:rStyle w:val="Refdenotaalpie"/>
        </w:rPr>
        <w:footnoteRef/>
      </w:r>
      <w:r w:rsidRPr="00995557">
        <w:t xml:space="preserve"> </w:t>
      </w:r>
      <w:r w:rsidRPr="00995557">
        <w:tab/>
      </w:r>
      <w:r w:rsidRPr="00995557">
        <w:rPr>
          <w:i/>
          <w:iCs/>
        </w:rPr>
        <w:t>Cfr</w:t>
      </w:r>
      <w:r w:rsidRPr="00995557">
        <w:t xml:space="preserve">. </w:t>
      </w:r>
      <w:r w:rsidRPr="00995557">
        <w:rPr>
          <w:i/>
          <w:iCs/>
        </w:rPr>
        <w:t>Caso Hermanos Landaeta Mejías y otros Vs. Venezuela</w:t>
      </w:r>
      <w:r w:rsidRPr="00995557">
        <w:rPr>
          <w:iCs/>
        </w:rPr>
        <w:t>,</w:t>
      </w:r>
      <w:r w:rsidRPr="00995557">
        <w:rPr>
          <w:i/>
          <w:iCs/>
        </w:rPr>
        <w:t xml:space="preserve"> supra</w:t>
      </w:r>
      <w:r w:rsidRPr="00995557">
        <w:rPr>
          <w:iCs/>
        </w:rPr>
        <w:t>,</w:t>
      </w:r>
      <w:r w:rsidRPr="00995557">
        <w:t xml:space="preserve"> párr. 136, y </w:t>
      </w:r>
      <w:r w:rsidRPr="00995557">
        <w:rPr>
          <w:rFonts w:cs="Arial"/>
          <w:i/>
          <w:shd w:val="clear" w:color="auto" w:fill="FFFFFF"/>
        </w:rPr>
        <w:t>Caso Roche Azaña y otros Vs. Nicaragua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párr. 53.</w:t>
      </w:r>
    </w:p>
  </w:footnote>
  <w:footnote w:id="128">
    <w:p w14:paraId="0F3B9588" w14:textId="462BE3E6" w:rsidR="000B30AA" w:rsidRPr="00995557" w:rsidRDefault="000B30AA" w:rsidP="00AA627A">
      <w:pPr>
        <w:pStyle w:val="gmail-msofootnotetext"/>
        <w:tabs>
          <w:tab w:val="left" w:pos="567"/>
        </w:tabs>
        <w:spacing w:before="120" w:beforeAutospacing="0" w:after="120" w:afterAutospacing="0"/>
        <w:jc w:val="both"/>
        <w:rPr>
          <w:rFonts w:ascii="Verdana" w:hAnsi="Verdana"/>
          <w:sz w:val="16"/>
          <w:szCs w:val="16"/>
        </w:rPr>
      </w:pPr>
      <w:r w:rsidRPr="00995557">
        <w:rPr>
          <w:rStyle w:val="Refdenotaalpie"/>
          <w:rFonts w:ascii="Verdana" w:hAnsi="Verdana"/>
          <w:sz w:val="16"/>
          <w:szCs w:val="16"/>
        </w:rPr>
        <w:footnoteRef/>
      </w:r>
      <w:r w:rsidRPr="00995557">
        <w:rPr>
          <w:rFonts w:ascii="Verdana" w:hAnsi="Verdana"/>
          <w:sz w:val="16"/>
          <w:szCs w:val="16"/>
        </w:rPr>
        <w:t xml:space="preserve"> </w:t>
      </w:r>
      <w:r w:rsidRPr="00995557">
        <w:rPr>
          <w:rFonts w:ascii="Verdana" w:hAnsi="Verdana"/>
          <w:sz w:val="16"/>
          <w:szCs w:val="16"/>
        </w:rPr>
        <w:tab/>
        <w:t>Véase</w:t>
      </w:r>
      <w:r w:rsidRPr="00995557">
        <w:rPr>
          <w:rFonts w:ascii="Verdana" w:hAnsi="Verdana"/>
          <w:iCs/>
          <w:sz w:val="16"/>
          <w:szCs w:val="16"/>
        </w:rPr>
        <w:t xml:space="preserve">, </w:t>
      </w:r>
      <w:r w:rsidRPr="00995557">
        <w:rPr>
          <w:rFonts w:ascii="Verdana" w:hAnsi="Verdana"/>
          <w:sz w:val="16"/>
          <w:szCs w:val="16"/>
        </w:rPr>
        <w:t xml:space="preserve">Comité de Derechos Humanos, </w:t>
      </w:r>
      <w:r w:rsidRPr="00995557">
        <w:rPr>
          <w:rFonts w:ascii="Verdana" w:hAnsi="Verdana"/>
          <w:i/>
          <w:sz w:val="16"/>
          <w:szCs w:val="16"/>
        </w:rPr>
        <w:t>Observación General No. 36,</w:t>
      </w:r>
      <w:r w:rsidRPr="00995557">
        <w:rPr>
          <w:rFonts w:ascii="Verdana" w:hAnsi="Verdana"/>
          <w:sz w:val="16"/>
          <w:szCs w:val="16"/>
        </w:rPr>
        <w:t xml:space="preserve"> </w:t>
      </w:r>
      <w:r w:rsidRPr="00995557">
        <w:rPr>
          <w:rFonts w:ascii="Verdana" w:hAnsi="Verdana"/>
          <w:i/>
          <w:sz w:val="16"/>
          <w:szCs w:val="16"/>
          <w:lang w:val="es-ES_tradnl"/>
        </w:rPr>
        <w:t>Artículo 6: derecho a la vida</w:t>
      </w:r>
      <w:r w:rsidRPr="00995557">
        <w:rPr>
          <w:rFonts w:ascii="Verdana" w:hAnsi="Verdana"/>
          <w:sz w:val="16"/>
          <w:szCs w:val="16"/>
          <w:lang w:val="es-ES_tradnl"/>
        </w:rPr>
        <w:t xml:space="preserve">, </w:t>
      </w:r>
      <w:r w:rsidRPr="00995557">
        <w:rPr>
          <w:rFonts w:ascii="Verdana" w:hAnsi="Verdana"/>
          <w:sz w:val="16"/>
          <w:szCs w:val="16"/>
        </w:rPr>
        <w:t xml:space="preserve">CCPR/C/GC/36, 30 de octubre de 2018, párrs. 25 y 29. Disponible en:  </w:t>
      </w:r>
      <w:hyperlink r:id="rId5" w:history="1">
        <w:r w:rsidRPr="00995557">
          <w:rPr>
            <w:rStyle w:val="Hipervnculo"/>
            <w:rFonts w:ascii="Verdana" w:hAnsi="Verdana"/>
            <w:color w:val="auto"/>
            <w:sz w:val="16"/>
            <w:szCs w:val="16"/>
          </w:rPr>
          <w:t>https://tbinternet.ohchr.org/_layouts/15/treatybodyexternal/Download.aspx?symbolno=CCPR%2fC%2fGC%2f36&amp;Lang=es</w:t>
        </w:r>
      </w:hyperlink>
      <w:r w:rsidRPr="00995557">
        <w:rPr>
          <w:rFonts w:ascii="Verdana" w:hAnsi="Verdana"/>
          <w:sz w:val="16"/>
          <w:szCs w:val="16"/>
        </w:rPr>
        <w:t>.</w:t>
      </w:r>
    </w:p>
  </w:footnote>
  <w:footnote w:id="129">
    <w:p w14:paraId="7BE43C36" w14:textId="53927D81" w:rsidR="000B30AA" w:rsidRPr="00995557" w:rsidRDefault="000B30AA" w:rsidP="00AA627A">
      <w:pPr>
        <w:pStyle w:val="Textonotapie"/>
      </w:pPr>
      <w:r w:rsidRPr="00995557">
        <w:rPr>
          <w:rStyle w:val="Refdenotaalpie"/>
        </w:rPr>
        <w:footnoteRef/>
      </w:r>
      <w:r w:rsidRPr="00995557">
        <w:t xml:space="preserve"> </w:t>
      </w:r>
      <w:r w:rsidRPr="00995557">
        <w:tab/>
        <w:t xml:space="preserve">Oficina del Alto Comisionado de las Naciones Unidas para los Derechos Humanos, </w:t>
      </w:r>
      <w:r w:rsidRPr="00995557">
        <w:rPr>
          <w:i/>
          <w:iCs/>
        </w:rPr>
        <w:t>Normativa y Práctica de los Derechos Humanos para la Policía. Manual ampliado de Derechos Humanos para la Policía</w:t>
      </w:r>
      <w:r w:rsidRPr="00995557">
        <w:t xml:space="preserve">, UN Doc. HR/P/PT/5/Add.3 (2003). Disponible en: </w:t>
      </w:r>
      <w:hyperlink r:id="rId6" w:history="1">
        <w:r w:rsidRPr="00995557">
          <w:rPr>
            <w:rStyle w:val="Hipervnculo"/>
            <w:color w:val="auto"/>
          </w:rPr>
          <w:t>https://www.ohchr.org/documents/publications/training5add3sp.pdf</w:t>
        </w:r>
      </w:hyperlink>
      <w:r w:rsidRPr="00995557">
        <w:t xml:space="preserve">. </w:t>
      </w:r>
    </w:p>
  </w:footnote>
  <w:footnote w:id="130">
    <w:p w14:paraId="7DE6D5D8"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w:t>
      </w:r>
      <w:r w:rsidRPr="00995557">
        <w:rPr>
          <w:i/>
        </w:rPr>
        <w:t>Principios básicos sobre el empleo de la fuerza</w:t>
      </w:r>
      <w:r w:rsidRPr="00995557">
        <w:t>, Principio 15.</w:t>
      </w:r>
    </w:p>
  </w:footnote>
  <w:footnote w:id="131">
    <w:p w14:paraId="1BA6A932"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Cfr.</w:t>
      </w:r>
      <w:r w:rsidRPr="00995557">
        <w:t xml:space="preserve"> </w:t>
      </w:r>
      <w:r w:rsidRPr="00995557">
        <w:rPr>
          <w:i/>
        </w:rPr>
        <w:t>Principios básicos sobre el empleo de la fuerza</w:t>
      </w:r>
      <w:r w:rsidRPr="00995557">
        <w:t>, Principio 16.</w:t>
      </w:r>
    </w:p>
  </w:footnote>
  <w:footnote w:id="132">
    <w:p w14:paraId="63B5A207" w14:textId="77777777" w:rsidR="000B30AA" w:rsidRPr="00995557" w:rsidRDefault="000B30AA" w:rsidP="00AA627A">
      <w:pPr>
        <w:pStyle w:val="Textonotapie"/>
      </w:pPr>
      <w:r w:rsidRPr="00995557">
        <w:rPr>
          <w:rStyle w:val="Refdenotaalpie"/>
        </w:rPr>
        <w:footnoteRef/>
      </w:r>
      <w:r w:rsidRPr="00995557">
        <w:t xml:space="preserve"> </w:t>
      </w:r>
      <w:r w:rsidRPr="00995557">
        <w:tab/>
        <w:t xml:space="preserve">En igual sentido, las </w:t>
      </w:r>
      <w:r w:rsidRPr="00995557">
        <w:rPr>
          <w:i/>
        </w:rPr>
        <w:t>Reglas Mínimas de las Naciones Unidas para el Tratamiento de los Reclusos (Reglas Nelson Mandela)</w:t>
      </w:r>
      <w:r w:rsidRPr="00995557">
        <w:t>, a</w:t>
      </w:r>
      <w:r w:rsidRPr="00995557">
        <w:rPr>
          <w:lang w:val="es-ES"/>
        </w:rPr>
        <w:t xml:space="preserve">probadas por la Asamblea General de las Naciones Unidas en su Resolución 70/175, de 17 de diciembre de 2015, </w:t>
      </w:r>
      <w:r w:rsidRPr="00995557">
        <w:t>Regla No. 82</w:t>
      </w:r>
      <w:r w:rsidRPr="00995557">
        <w:rPr>
          <w:lang w:val="es-ES"/>
        </w:rPr>
        <w:t xml:space="preserve">. Véase también, </w:t>
      </w:r>
      <w:r w:rsidRPr="00995557">
        <w:t xml:space="preserve">peritaje rendido por Marta Monclús Masó (expediente de prueba, tomo V, </w:t>
      </w:r>
      <w:r w:rsidRPr="00995557">
        <w:rPr>
          <w:i/>
        </w:rPr>
        <w:t>affidávits</w:t>
      </w:r>
      <w:r w:rsidRPr="00995557">
        <w:t>, folios 1743 a 1757).</w:t>
      </w:r>
    </w:p>
  </w:footnote>
  <w:footnote w:id="133">
    <w:p w14:paraId="4A15CF98" w14:textId="77777777" w:rsidR="000B30AA" w:rsidRPr="00995557" w:rsidRDefault="000B30AA" w:rsidP="00AA627A">
      <w:pPr>
        <w:pStyle w:val="Textonotapie"/>
        <w:rPr>
          <w:lang w:val="es-ES"/>
        </w:rPr>
      </w:pPr>
      <w:r w:rsidRPr="00995557">
        <w:rPr>
          <w:rStyle w:val="Refdenotaalpie"/>
        </w:rPr>
        <w:footnoteRef/>
      </w:r>
      <w:r w:rsidRPr="00995557">
        <w:t xml:space="preserve"> </w:t>
      </w:r>
      <w:r w:rsidRPr="00995557">
        <w:tab/>
      </w:r>
      <w:r w:rsidRPr="00995557">
        <w:rPr>
          <w:i/>
          <w:lang w:val="es-ES"/>
        </w:rPr>
        <w:t>Cfr</w:t>
      </w:r>
      <w:r w:rsidRPr="00995557">
        <w:rPr>
          <w:lang w:val="es-ES"/>
        </w:rPr>
        <w:t xml:space="preserve">. </w:t>
      </w:r>
      <w:r w:rsidRPr="00995557">
        <w:rPr>
          <w:i/>
        </w:rPr>
        <w:t>Principios y Buenas Prácticas sobre la Protección de las Personas Privadas de Libertad en las Américas</w:t>
      </w:r>
      <w:r w:rsidRPr="00995557">
        <w:t xml:space="preserve">, aprobados por la Comisión Interamericana en su Resolución 1/08 de </w:t>
      </w:r>
      <w:r w:rsidRPr="00995557">
        <w:rPr>
          <w:rFonts w:cs="Tahoma"/>
        </w:rPr>
        <w:t>31 de marzo de 2008, Principio XXIII.2.</w:t>
      </w:r>
      <w:r w:rsidRPr="00995557">
        <w:t xml:space="preserve"> Disponible en: </w:t>
      </w:r>
      <w:hyperlink r:id="rId7" w:history="1">
        <w:r w:rsidRPr="00995557">
          <w:rPr>
            <w:rStyle w:val="Hipervnculo"/>
            <w:color w:val="auto"/>
          </w:rPr>
          <w:t>http://www.cidh.oas.org/pdf%20files/RESOLUCION%201-08%20ESP%20FINAL.pdf</w:t>
        </w:r>
      </w:hyperlink>
      <w:r w:rsidRPr="00995557">
        <w:t>.</w:t>
      </w:r>
    </w:p>
  </w:footnote>
  <w:footnote w:id="134">
    <w:p w14:paraId="41C9C705" w14:textId="18801D57"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tab/>
        <w:t>E</w:t>
      </w:r>
      <w:r w:rsidRPr="00995557">
        <w:rPr>
          <w:lang w:val="es-MX"/>
        </w:rPr>
        <w:t xml:space="preserve">l Estado </w:t>
      </w:r>
      <w:proofErr w:type="gramStart"/>
      <w:r w:rsidRPr="00995557">
        <w:rPr>
          <w:lang w:val="es-MX"/>
        </w:rPr>
        <w:t>hizo mención de</w:t>
      </w:r>
      <w:proofErr w:type="gramEnd"/>
      <w:r w:rsidRPr="00995557">
        <w:rPr>
          <w:lang w:val="es-MX"/>
        </w:rPr>
        <w:t xml:space="preserve"> las actas de entrevistas efectuadas a </w:t>
      </w:r>
      <w:bookmarkStart w:id="137" w:name="_Hlk39780082"/>
      <w:r w:rsidRPr="00995557">
        <w:rPr>
          <w:lang w:val="es-MX"/>
        </w:rPr>
        <w:t xml:space="preserve">Luis Beltrán Yegres Graffe, Salvador José Framchis Rincones, Gustavo Enrique Puerta Martínez, José Alexander Malva Guerrero, José de Jesús Aponte Rosales, Eloy José Salcedo y Vicente Abel Barrios Barela. </w:t>
      </w:r>
      <w:r w:rsidRPr="00995557">
        <w:rPr>
          <w:i/>
          <w:lang w:val="es-MX"/>
        </w:rPr>
        <w:t>Cfr</w:t>
      </w:r>
      <w:r w:rsidRPr="00995557">
        <w:rPr>
          <w:lang w:val="es-MX"/>
        </w:rPr>
        <w:t xml:space="preserve">. </w:t>
      </w:r>
      <w:r w:rsidRPr="00995557">
        <w:t>Escrito de observaciones del Estado de 20 de septiembre de 2013 (expediente de prueba, tomo II, trámite ante la Comisión, folios 731, 732, 735 y 741).</w:t>
      </w:r>
      <w:bookmarkEnd w:id="137"/>
    </w:p>
  </w:footnote>
  <w:footnote w:id="135">
    <w:p w14:paraId="74E4EB9F" w14:textId="6A4C7C69"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tab/>
      </w:r>
      <w:r w:rsidRPr="00995557">
        <w:rPr>
          <w:i/>
        </w:rPr>
        <w:t>Cfr.</w:t>
      </w:r>
      <w:r w:rsidRPr="00995557">
        <w:t xml:space="preserve"> Actas de entrevistas </w:t>
      </w:r>
      <w:r w:rsidRPr="00995557">
        <w:rPr>
          <w:lang w:val="es-MX"/>
        </w:rPr>
        <w:t xml:space="preserve">efectuadas a Salvador José Framchis Rincones, José Alexander Malva Guerrero, José de Jesús Aponte Rosales y Vicente Abel Barrios Barela. </w:t>
      </w:r>
      <w:r w:rsidRPr="00995557">
        <w:rPr>
          <w:i/>
          <w:lang w:val="es-MX"/>
        </w:rPr>
        <w:t>Cfr</w:t>
      </w:r>
      <w:r w:rsidRPr="00995557">
        <w:rPr>
          <w:lang w:val="es-MX"/>
        </w:rPr>
        <w:t xml:space="preserve">. </w:t>
      </w:r>
      <w:r w:rsidRPr="00995557">
        <w:t>Escrito de observaciones del Estado de 20 de septiembre de 2013 (expediente de prueba, tomo II, trámite ante la Comisión, folios 733, 735 y 739).</w:t>
      </w:r>
    </w:p>
  </w:footnote>
  <w:footnote w:id="136">
    <w:p w14:paraId="0D3026AE" w14:textId="77777777"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tab/>
      </w:r>
      <w:r w:rsidRPr="00995557">
        <w:rPr>
          <w:i/>
        </w:rPr>
        <w:t>Cfr.</w:t>
      </w:r>
      <w:r w:rsidRPr="00995557">
        <w:t xml:space="preserve"> Actas de entrevistas </w:t>
      </w:r>
      <w:r w:rsidRPr="00995557">
        <w:rPr>
          <w:lang w:val="es-MX"/>
        </w:rPr>
        <w:t xml:space="preserve">efectuadas a Luis Beltrán Yegres Graffe, Salvador José Framchis Rincones, José de Jesús Aponte Rosales y Vicente Abel Barrios Barela. </w:t>
      </w:r>
      <w:r w:rsidRPr="00995557">
        <w:rPr>
          <w:i/>
          <w:lang w:val="es-MX"/>
        </w:rPr>
        <w:t>Cfr</w:t>
      </w:r>
      <w:r w:rsidRPr="00995557">
        <w:rPr>
          <w:lang w:val="es-MX"/>
        </w:rPr>
        <w:t xml:space="preserve">. </w:t>
      </w:r>
      <w:r w:rsidRPr="00995557">
        <w:t>Escrito de observaciones del Estado de 20 de septiembre de 2013 (expediente de prueba, tomo II, trámite ante la Comisión, folios 732, 733, 735 y 739).</w:t>
      </w:r>
    </w:p>
  </w:footnote>
  <w:footnote w:id="137">
    <w:p w14:paraId="0B4894B1" w14:textId="306E9AB5"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tab/>
      </w:r>
      <w:r w:rsidRPr="00995557">
        <w:rPr>
          <w:i/>
        </w:rPr>
        <w:t>Cfr.</w:t>
      </w:r>
      <w:r w:rsidRPr="00995557">
        <w:t xml:space="preserve"> Acta de entrevista </w:t>
      </w:r>
      <w:r w:rsidRPr="00995557">
        <w:rPr>
          <w:lang w:val="es-MX"/>
        </w:rPr>
        <w:t xml:space="preserve">efectuada a José de Jesús Aponte Rosales. </w:t>
      </w:r>
      <w:r w:rsidRPr="00995557">
        <w:rPr>
          <w:i/>
          <w:lang w:val="es-MX"/>
        </w:rPr>
        <w:t>Cfr</w:t>
      </w:r>
      <w:r w:rsidRPr="00995557">
        <w:rPr>
          <w:lang w:val="es-MX"/>
        </w:rPr>
        <w:t xml:space="preserve">. </w:t>
      </w:r>
      <w:r w:rsidRPr="00995557">
        <w:t>Escrito de observaciones del Estado de 20 de septiembre de 2013 (expediente de prueba, tomo II, trámite ante la Comisión, folio 735).</w:t>
      </w:r>
    </w:p>
  </w:footnote>
  <w:footnote w:id="138">
    <w:p w14:paraId="7A7CF59B"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rPr>
          <w:lang w:val="es-GT"/>
        </w:rPr>
        <w:tab/>
        <w:t>El Ministerio Público, al formular la acusación en el proceso penal instado contra los agentes de la Guardia Nacional, expresamente señaló</w:t>
      </w:r>
      <w:r w:rsidRPr="00995557">
        <w:t xml:space="preserve">: “[…] la comisión de funcionarios [de la Guardia Nacional] sin motivo alguno procedieron a utilizar armas de fuego para disparar contra la humanidad de las víctimas, ocasionándoles heridas por armas de fuego, las cuales les produjeron la muerte instantánea.” </w:t>
      </w:r>
      <w:r w:rsidRPr="00995557">
        <w:rPr>
          <w:i/>
        </w:rPr>
        <w:t>Cfr.</w:t>
      </w:r>
      <w:r w:rsidRPr="00995557">
        <w:t xml:space="preserve"> Acta de audiencia preliminar y enjuiciamiento desarrollada ante el Tribunal Tercero de Primera Instancia en funciones de control de Ciudad Bolívar el 3 de junio de 2014 (expediente de prueba, tomo III, anexo 12 al escrito de solicitudes y argumentos, folio 1010).</w:t>
      </w:r>
    </w:p>
  </w:footnote>
  <w:footnote w:id="139">
    <w:p w14:paraId="26E73B10" w14:textId="77777777" w:rsidR="000B30AA" w:rsidRPr="00995557" w:rsidRDefault="000B30AA" w:rsidP="00AA627A">
      <w:pPr>
        <w:pStyle w:val="Textonotapie"/>
        <w:rPr>
          <w:lang w:val="es-GT"/>
        </w:rPr>
      </w:pPr>
      <w:r w:rsidRPr="00995557">
        <w:rPr>
          <w:rStyle w:val="Refdenotaalpie"/>
        </w:rPr>
        <w:footnoteRef/>
      </w:r>
      <w:r w:rsidRPr="00995557">
        <w:t xml:space="preserve"> </w:t>
      </w:r>
      <w:r w:rsidRPr="00995557">
        <w:rPr>
          <w:lang w:val="es-GT"/>
        </w:rPr>
        <w:tab/>
      </w:r>
      <w:r w:rsidRPr="00995557">
        <w:rPr>
          <w:i/>
          <w:lang w:val="es-GT"/>
        </w:rPr>
        <w:t>Cfr.</w:t>
      </w:r>
      <w:r w:rsidRPr="00995557">
        <w:rPr>
          <w:lang w:val="es-GT"/>
        </w:rPr>
        <w:t xml:space="preserve">  </w:t>
      </w:r>
      <w:r w:rsidRPr="00995557">
        <w:t>Escrito de observaciones del Estado de 12 de noviembre de 2008 (expediente de prueba, tomo II, trámite ante la Comisión, folio 406).</w:t>
      </w:r>
    </w:p>
  </w:footnote>
  <w:footnote w:id="140">
    <w:p w14:paraId="0FD1A31E" w14:textId="77777777"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r>
      <w:r w:rsidRPr="00995557">
        <w:rPr>
          <w:i/>
          <w:lang w:val="es-ES"/>
        </w:rPr>
        <w:t>Cfr</w:t>
      </w:r>
      <w:r w:rsidRPr="00995557">
        <w:rPr>
          <w:lang w:val="es-ES"/>
        </w:rPr>
        <w:t xml:space="preserve">. </w:t>
      </w:r>
      <w:r w:rsidRPr="00995557">
        <w:rPr>
          <w:i/>
        </w:rPr>
        <w:t>Reglas Mínimas de las Naciones Unidas para el Tratamiento de los Reclusos</w:t>
      </w:r>
      <w:r w:rsidRPr="00995557">
        <w:t xml:space="preserve"> (</w:t>
      </w:r>
      <w:r w:rsidRPr="00995557">
        <w:rPr>
          <w:i/>
        </w:rPr>
        <w:t>Reglas Nelson Mandela</w:t>
      </w:r>
      <w:r w:rsidRPr="00995557">
        <w:t>), Reglas No. 74, 75 y 76</w:t>
      </w:r>
      <w:r w:rsidRPr="00995557">
        <w:rPr>
          <w:lang w:val="es-ES"/>
        </w:rPr>
        <w:t xml:space="preserve">, y </w:t>
      </w:r>
      <w:r w:rsidRPr="00995557">
        <w:rPr>
          <w:i/>
        </w:rPr>
        <w:t>Reglas de las Naciones Unidas para el Tratamiento de las Reclusas y Medidas no Privativas de la Libertad para las Mujeres Delincuentes</w:t>
      </w:r>
      <w:r w:rsidRPr="00995557">
        <w:t xml:space="preserve"> </w:t>
      </w:r>
      <w:r w:rsidRPr="00995557">
        <w:rPr>
          <w:i/>
        </w:rPr>
        <w:t>(Reglas de Bangkok</w:t>
      </w:r>
      <w:r w:rsidRPr="00995557">
        <w:t>), a</w:t>
      </w:r>
      <w:r w:rsidRPr="00995557">
        <w:rPr>
          <w:lang w:val="es-ES"/>
        </w:rPr>
        <w:t>probadas por la Asamblea General de las Naciones Unidas en su Resolución 65/229, de 21 de diciembre de 2010, Regla No. 29.</w:t>
      </w:r>
    </w:p>
  </w:footnote>
  <w:footnote w:id="141">
    <w:p w14:paraId="786B6241" w14:textId="77777777"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r>
      <w:r w:rsidRPr="00995557">
        <w:rPr>
          <w:i/>
          <w:lang w:val="es-ES"/>
        </w:rPr>
        <w:t>Cfr</w:t>
      </w:r>
      <w:r w:rsidRPr="00995557">
        <w:rPr>
          <w:lang w:val="es-ES"/>
        </w:rPr>
        <w:t xml:space="preserve">. </w:t>
      </w:r>
      <w:r w:rsidRPr="00995557">
        <w:rPr>
          <w:i/>
        </w:rPr>
        <w:t>Principios y Buenas Prácticas sobre la Protección de las Personas Privadas de Libertad en las Américas</w:t>
      </w:r>
      <w:r w:rsidRPr="00995557">
        <w:rPr>
          <w:rFonts w:cs="Tahoma"/>
        </w:rPr>
        <w:t>, Principio XX.</w:t>
      </w:r>
    </w:p>
  </w:footnote>
  <w:footnote w:id="142">
    <w:p w14:paraId="4AA545D5" w14:textId="3BAF117B" w:rsidR="000B30AA" w:rsidRPr="00995557" w:rsidRDefault="000B30AA" w:rsidP="00AA627A">
      <w:pPr>
        <w:pStyle w:val="Textonotapie"/>
        <w:tabs>
          <w:tab w:val="left" w:pos="709"/>
        </w:tabs>
      </w:pPr>
      <w:r w:rsidRPr="00995557">
        <w:rPr>
          <w:rStyle w:val="Refdenotaalpie"/>
        </w:rPr>
        <w:footnoteRef/>
      </w:r>
      <w:r w:rsidRPr="00995557">
        <w:t xml:space="preserve"> </w:t>
      </w:r>
      <w:r w:rsidRPr="00995557">
        <w:tab/>
      </w:r>
      <w:r w:rsidRPr="00995557">
        <w:rPr>
          <w:i/>
        </w:rPr>
        <w:t xml:space="preserve">Cfr. </w:t>
      </w:r>
      <w:r w:rsidRPr="00995557">
        <w:rPr>
          <w:rFonts w:cs="Arial"/>
          <w:i/>
        </w:rPr>
        <w:t>Caso Montero Aranguren y otros (Retén de Catia) Vs. Venezuela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rFonts w:cs="Arial"/>
        </w:rPr>
        <w:t xml:space="preserve"> párr. 78, y </w:t>
      </w:r>
      <w:r w:rsidRPr="00995557">
        <w:rPr>
          <w:rFonts w:cs="Arial"/>
          <w:i/>
          <w:shd w:val="clear" w:color="auto" w:fill="FFFFFF"/>
        </w:rPr>
        <w:t>Caso Roche Azaña y otros Vs. Nicaragua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párr. 65.</w:t>
      </w:r>
    </w:p>
  </w:footnote>
  <w:footnote w:id="143">
    <w:p w14:paraId="4174DDB6" w14:textId="5F995726"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r>
      <w:r w:rsidRPr="00995557">
        <w:rPr>
          <w:i/>
          <w:lang w:val="es-ES"/>
        </w:rPr>
        <w:t>Cfr</w:t>
      </w:r>
      <w:r w:rsidRPr="00995557">
        <w:rPr>
          <w:lang w:val="es-ES"/>
        </w:rPr>
        <w:t xml:space="preserve">. </w:t>
      </w:r>
      <w:r w:rsidRPr="00995557">
        <w:rPr>
          <w:i/>
        </w:rPr>
        <w:t>Principios y Buenas Prácticas sobre la Protección de las Personas Privadas de Libertad en las Américas</w:t>
      </w:r>
      <w:r w:rsidRPr="00995557">
        <w:t xml:space="preserve">, </w:t>
      </w:r>
      <w:r w:rsidRPr="00995557">
        <w:rPr>
          <w:rFonts w:cs="Tahoma"/>
        </w:rPr>
        <w:t>Principio XX.</w:t>
      </w:r>
    </w:p>
  </w:footnote>
  <w:footnote w:id="144">
    <w:p w14:paraId="3B6A6715" w14:textId="126293BE"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r>
      <w:r w:rsidRPr="00995557">
        <w:rPr>
          <w:i/>
          <w:lang w:val="es-ES"/>
        </w:rPr>
        <w:t>Cfr</w:t>
      </w:r>
      <w:r w:rsidRPr="00995557">
        <w:rPr>
          <w:lang w:val="es-ES"/>
        </w:rPr>
        <w:t xml:space="preserve">. </w:t>
      </w:r>
      <w:r w:rsidRPr="00995557">
        <w:rPr>
          <w:i/>
        </w:rPr>
        <w:t>Informe sobre los Derechos Humanos de las Personas Privadas de Libertad en las Américas</w:t>
      </w:r>
      <w:r w:rsidRPr="00995557">
        <w:t xml:space="preserve">, aprobado por la Comisión Interamericana de Derechos Humanos el 31 de diciembre de 2011. Disponible en: </w:t>
      </w:r>
      <w:hyperlink r:id="rId8" w:history="1">
        <w:r w:rsidRPr="00995557">
          <w:rPr>
            <w:rStyle w:val="Hipervnculo"/>
            <w:color w:val="auto"/>
          </w:rPr>
          <w:t>https://www.oas.org/es/cidh/ppl/docs/pdf/ppl2011esp.pdf</w:t>
        </w:r>
      </w:hyperlink>
      <w:r w:rsidRPr="00995557">
        <w:t>.</w:t>
      </w:r>
    </w:p>
  </w:footnote>
  <w:footnote w:id="145">
    <w:p w14:paraId="7C0173E8" w14:textId="6D715DBF"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t xml:space="preserve">En el ámbito europeo, las </w:t>
      </w:r>
      <w:r w:rsidRPr="00995557">
        <w:rPr>
          <w:i/>
          <w:lang w:val="es-ES"/>
        </w:rPr>
        <w:t>Reglas Penitenciarias Europeas</w:t>
      </w:r>
      <w:r w:rsidRPr="00995557">
        <w:rPr>
          <w:lang w:val="es-ES"/>
        </w:rPr>
        <w:t xml:space="preserve"> refieren que “</w:t>
      </w:r>
      <w:r w:rsidRPr="00995557">
        <w:t xml:space="preserve">[l]as prisiones estarán bajo responsabilidad de </w:t>
      </w:r>
      <w:proofErr w:type="gramStart"/>
      <w:r w:rsidRPr="00995557">
        <w:t>autoridades públicas</w:t>
      </w:r>
      <w:proofErr w:type="gramEnd"/>
      <w:r w:rsidRPr="00995557">
        <w:t xml:space="preserve"> y estarán separadas de servicios militares, policiales o judiciales”, y que “[l]os agentes de otros cuerpos de seguridad solo intervendrán con los detenidos dentro de las prisiones en circunstancias excepcionales”.  </w:t>
      </w:r>
      <w:r w:rsidRPr="00995557">
        <w:rPr>
          <w:i/>
        </w:rPr>
        <w:t>Cfr</w:t>
      </w:r>
      <w:r w:rsidRPr="00995557">
        <w:t xml:space="preserve">. Recomendación </w:t>
      </w:r>
      <w:proofErr w:type="gramStart"/>
      <w:r w:rsidRPr="00995557">
        <w:t>Rec(</w:t>
      </w:r>
      <w:proofErr w:type="gramEnd"/>
      <w:r w:rsidRPr="00995557">
        <w:t xml:space="preserve">2006)2 del Comité de Ministros a los Estados miembros sobre las Reglas Penitenciarias Europeas, adoptada por el Comité de Ministros del Consejo de Europa el 11 de enero de 2006, Reglas 67.1 y 71. Disponible en: </w:t>
      </w:r>
      <w:hyperlink r:id="rId9" w:history="1">
        <w:r w:rsidRPr="00995557">
          <w:rPr>
            <w:rStyle w:val="Hipervnculo"/>
            <w:color w:val="auto"/>
          </w:rPr>
          <w:t>https://rm.coe.int/16804cc2f1</w:t>
        </w:r>
      </w:hyperlink>
      <w:r w:rsidRPr="00995557">
        <w:t xml:space="preserve">. </w:t>
      </w:r>
    </w:p>
  </w:footnote>
  <w:footnote w:id="146">
    <w:p w14:paraId="5EC87EF8" w14:textId="77777777"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r>
      <w:r w:rsidRPr="00995557">
        <w:rPr>
          <w:i/>
          <w:lang w:val="es-ES"/>
        </w:rPr>
        <w:t>Cfr</w:t>
      </w:r>
      <w:r w:rsidRPr="00995557">
        <w:rPr>
          <w:lang w:val="es-ES"/>
        </w:rPr>
        <w:t xml:space="preserve">. </w:t>
      </w:r>
      <w:r w:rsidRPr="00995557">
        <w:rPr>
          <w:i/>
          <w:lang w:val="es-ES"/>
        </w:rPr>
        <w:t>mutatis mutandis</w:t>
      </w:r>
      <w:r w:rsidRPr="00995557">
        <w:rPr>
          <w:lang w:val="es-ES"/>
        </w:rPr>
        <w:t xml:space="preserve">, </w:t>
      </w:r>
      <w:r w:rsidRPr="00995557">
        <w:rPr>
          <w:rFonts w:cs="Arial"/>
          <w:i/>
          <w:shd w:val="clear" w:color="auto" w:fill="FFFFFF"/>
        </w:rPr>
        <w:t>Caso Alvarado Espinoza y otros Vs. México. Fondo, Reparaciones y Costas.</w:t>
      </w:r>
      <w:r w:rsidRPr="00995557">
        <w:rPr>
          <w:rFonts w:cs="Arial"/>
          <w:shd w:val="clear" w:color="auto" w:fill="FFFFFF"/>
        </w:rPr>
        <w:t xml:space="preserve"> Sentencia de 28 de noviembre de 2018. Serie C No. 370, párr. 182.</w:t>
      </w:r>
    </w:p>
  </w:footnote>
  <w:footnote w:id="147">
    <w:p w14:paraId="4CBBDB51" w14:textId="394B6BD2" w:rsidR="000B30AA" w:rsidRPr="00995557" w:rsidRDefault="000B30AA" w:rsidP="00AA627A">
      <w:pPr>
        <w:pStyle w:val="Textonotapie"/>
        <w:tabs>
          <w:tab w:val="left" w:pos="709"/>
        </w:tabs>
      </w:pPr>
      <w:r w:rsidRPr="00995557">
        <w:rPr>
          <w:rStyle w:val="Refdenotaalpie"/>
        </w:rPr>
        <w:footnoteRef/>
      </w:r>
      <w:r w:rsidRPr="00995557">
        <w:t xml:space="preserve"> </w:t>
      </w:r>
      <w:r w:rsidRPr="00995557">
        <w:tab/>
      </w:r>
      <w:r w:rsidRPr="00995557">
        <w:rPr>
          <w:i/>
        </w:rPr>
        <w:t>Cfr. Caso Montero Aranguren y otros (Retén de Catia)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 68, y </w:t>
      </w:r>
      <w:r w:rsidRPr="00995557">
        <w:rPr>
          <w:rFonts w:cs="Arial"/>
          <w:i/>
          <w:shd w:val="clear" w:color="auto" w:fill="FFFFFF"/>
        </w:rPr>
        <w:t>Caso Roche Azaña y otros Vs. Nicaragua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párr. 71.</w:t>
      </w:r>
    </w:p>
  </w:footnote>
  <w:footnote w:id="148">
    <w:p w14:paraId="3FAD478E" w14:textId="2F5CD9C1"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lang w:val="es-CL"/>
        </w:rPr>
        <w:t xml:space="preserve">Cfr. Caso Loayza Tamayo Vs. Perú. Fondo. </w:t>
      </w:r>
      <w:r w:rsidRPr="00995557">
        <w:rPr>
          <w:lang w:val="es-CL"/>
        </w:rPr>
        <w:t>Sentencia de 17 de septiembre de 1997. Serie C No. 33</w:t>
      </w:r>
      <w:r w:rsidRPr="00995557">
        <w:rPr>
          <w:i/>
          <w:lang w:val="es-CL"/>
        </w:rPr>
        <w:t xml:space="preserve">, </w:t>
      </w:r>
      <w:r w:rsidRPr="00995557">
        <w:rPr>
          <w:lang w:val="es-CL"/>
        </w:rPr>
        <w:t>párr. 57</w:t>
      </w:r>
      <w:r w:rsidRPr="00995557">
        <w:t xml:space="preserve">, y </w:t>
      </w:r>
      <w:r w:rsidRPr="00995557">
        <w:rPr>
          <w:rFonts w:cs="Arial"/>
          <w:i/>
          <w:shd w:val="clear" w:color="auto" w:fill="FFFFFF"/>
        </w:rPr>
        <w:t>Caso Azul Rojas Marín y otra Vs. Perú. Excepciones Preliminares, Fondo, Reparaciones y Costas.</w:t>
      </w:r>
      <w:r w:rsidRPr="00995557">
        <w:rPr>
          <w:rFonts w:cs="Arial"/>
          <w:shd w:val="clear" w:color="auto" w:fill="FFFFFF"/>
        </w:rPr>
        <w:t xml:space="preserve"> Sentencia de 12 de marzo de 2020. Serie C No. 402</w:t>
      </w:r>
      <w:r w:rsidRPr="00995557">
        <w:t>, párr. 158.</w:t>
      </w:r>
    </w:p>
  </w:footnote>
  <w:footnote w:id="149">
    <w:p w14:paraId="7306816C" w14:textId="181582E6"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t>Artículo</w:t>
      </w:r>
      <w:r w:rsidR="00B25F8E" w:rsidRPr="00995557">
        <w:t>s 8 y</w:t>
      </w:r>
      <w:r w:rsidR="00F26717" w:rsidRPr="00995557">
        <w:t xml:space="preserve"> 25 de la Convención Americana,</w:t>
      </w:r>
      <w:r w:rsidRPr="00995557">
        <w:t xml:space="preserve"> </w:t>
      </w:r>
      <w:r w:rsidR="00B25F8E" w:rsidRPr="00995557">
        <w:t xml:space="preserve">en relación con el artículo 1.1 del mismo instrumento, </w:t>
      </w:r>
      <w:r w:rsidR="00F26717" w:rsidRPr="00995557">
        <w:t>y</w:t>
      </w:r>
      <w:r w:rsidR="00B25F8E" w:rsidRPr="00995557">
        <w:t xml:space="preserve"> con los</w:t>
      </w:r>
      <w:r w:rsidR="00F26717" w:rsidRPr="00995557">
        <w:t xml:space="preserve"> artículos </w:t>
      </w:r>
      <w:r w:rsidRPr="00995557">
        <w:t>1, 6 y 8 de la CIPST.</w:t>
      </w:r>
    </w:p>
  </w:footnote>
  <w:footnote w:id="150">
    <w:p w14:paraId="5BA00D8F" w14:textId="3761E80C"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iCs/>
        </w:rPr>
        <w:t>Cfr. Caso Bulacio Vs. Argentina. Fondo, Reparaciones y Costas</w:t>
      </w:r>
      <w:r w:rsidRPr="00995557">
        <w:t xml:space="preserve">. Sentencia de 18 de septiembre de 2003. Serie C No. 100, párr. 114, y </w:t>
      </w:r>
      <w:r w:rsidRPr="00995557">
        <w:rPr>
          <w:rFonts w:cs="Arial"/>
          <w:i/>
          <w:shd w:val="clear" w:color="auto" w:fill="FFFFFF"/>
        </w:rPr>
        <w:t>Caso Guzmán Albarracín y otras Vs. Ecuador. Fondo, Reparaciones y Costas.</w:t>
      </w:r>
      <w:r w:rsidRPr="00995557">
        <w:rPr>
          <w:rFonts w:cs="Arial"/>
          <w:shd w:val="clear" w:color="auto" w:fill="FFFFFF"/>
        </w:rPr>
        <w:t xml:space="preserve"> Sentencia de 24 de junio de 2020. Serie C No. 405,</w:t>
      </w:r>
      <w:r w:rsidRPr="00995557">
        <w:rPr>
          <w:rFonts w:cs="Arial"/>
          <w:i/>
          <w:shd w:val="clear" w:color="auto" w:fill="FFFFFF"/>
        </w:rPr>
        <w:t xml:space="preserve"> </w:t>
      </w:r>
      <w:r w:rsidRPr="00995557">
        <w:t>párr. 176.</w:t>
      </w:r>
    </w:p>
  </w:footnote>
  <w:footnote w:id="151">
    <w:p w14:paraId="26351492" w14:textId="503D035C" w:rsidR="000B30AA" w:rsidRPr="00995557" w:rsidRDefault="000B30AA" w:rsidP="00AA627A">
      <w:pPr>
        <w:pStyle w:val="Textonotapie"/>
        <w:widowControl w:val="0"/>
      </w:pPr>
      <w:r w:rsidRPr="00995557">
        <w:rPr>
          <w:rStyle w:val="Smbolodenotaalpie"/>
          <w:szCs w:val="16"/>
        </w:rPr>
        <w:footnoteRef/>
      </w:r>
      <w:r w:rsidRPr="00995557">
        <w:rPr>
          <w:i/>
          <w:lang w:val="es-VE"/>
        </w:rPr>
        <w:t xml:space="preserve"> </w:t>
      </w:r>
      <w:r w:rsidRPr="00995557">
        <w:rPr>
          <w:i/>
          <w:lang w:val="es-VE"/>
        </w:rPr>
        <w:tab/>
        <w:t xml:space="preserve">Cfr. </w:t>
      </w:r>
      <w:r w:rsidRPr="00995557">
        <w:rPr>
          <w:rFonts w:cstheme="minorBidi"/>
          <w:i/>
        </w:rPr>
        <w:t>Caso</w:t>
      </w:r>
      <w:r w:rsidRPr="00995557">
        <w:rPr>
          <w:rFonts w:cs="Arial"/>
        </w:rPr>
        <w:t xml:space="preserve"> </w:t>
      </w:r>
      <w:r w:rsidRPr="00995557">
        <w:rPr>
          <w:rFonts w:cs="Arial"/>
          <w:i/>
        </w:rPr>
        <w:t>Velásquez Rodríguez Vs. Honduras. Fondo</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rFonts w:cs="Arial"/>
        </w:rPr>
        <w:t xml:space="preserve"> </w:t>
      </w:r>
      <w:r w:rsidRPr="00995557">
        <w:rPr>
          <w:rFonts w:cs="Verdana"/>
          <w:lang w:val="es-VE"/>
        </w:rPr>
        <w:t>párr. 177</w:t>
      </w:r>
      <w:r w:rsidRPr="00995557">
        <w:rPr>
          <w:lang w:val="es-VE"/>
        </w:rPr>
        <w:t xml:space="preserve">, </w:t>
      </w:r>
      <w:r w:rsidRPr="00995557">
        <w:t xml:space="preserve">y </w:t>
      </w:r>
      <w:r w:rsidRPr="00995557">
        <w:rPr>
          <w:i/>
        </w:rPr>
        <w:t>Caso Noguera y otra Vs. Paraguay</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 81.</w:t>
      </w:r>
    </w:p>
  </w:footnote>
  <w:footnote w:id="152">
    <w:p w14:paraId="5D62F4E9" w14:textId="150AFB9F" w:rsidR="000B30AA" w:rsidRPr="00995557" w:rsidRDefault="000B30AA" w:rsidP="00AA627A">
      <w:pPr>
        <w:pStyle w:val="Textonotapie"/>
      </w:pPr>
      <w:r w:rsidRPr="00995557">
        <w:rPr>
          <w:rStyle w:val="Refdenotaalpie"/>
        </w:rPr>
        <w:footnoteRef/>
      </w:r>
      <w:r w:rsidRPr="00995557">
        <w:t xml:space="preserve"> </w:t>
      </w:r>
      <w:r w:rsidRPr="00995557">
        <w:rPr>
          <w:lang w:val="es-GT"/>
        </w:rPr>
        <w:tab/>
      </w:r>
      <w:r w:rsidRPr="00995557">
        <w:rPr>
          <w:i/>
          <w:lang w:val="es-VE"/>
        </w:rPr>
        <w:t xml:space="preserve">Cfr. </w:t>
      </w:r>
      <w:r w:rsidRPr="00995557">
        <w:rPr>
          <w:i/>
        </w:rPr>
        <w:t>Caso de las Hermanas Serrano Cruz Vs. El Salvador. Fondo, Reparaciones y Costas.</w:t>
      </w:r>
      <w:r w:rsidRPr="00995557">
        <w:t xml:space="preserve"> Sentencia de 1 de marzo de 2005. Serie C No. 120, párr. 83, y </w:t>
      </w:r>
      <w:r w:rsidRPr="00995557">
        <w:rPr>
          <w:i/>
        </w:rPr>
        <w:t>Caso Noguera y otra Vs. Paraguay</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 81.</w:t>
      </w:r>
    </w:p>
  </w:footnote>
  <w:footnote w:id="153">
    <w:p w14:paraId="385A809C" w14:textId="4EAE530B"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rPr>
          <w:lang w:val="es-MX"/>
        </w:rPr>
        <w:t xml:space="preserve">  </w:t>
      </w:r>
      <w:r w:rsidRPr="00995557">
        <w:rPr>
          <w:lang w:val="es-MX"/>
        </w:rPr>
        <w:tab/>
      </w:r>
      <w:r w:rsidRPr="00995557">
        <w:rPr>
          <w:i/>
        </w:rPr>
        <w:t>Cfr.</w:t>
      </w:r>
      <w:r w:rsidRPr="00995557">
        <w:t xml:space="preserve"> </w:t>
      </w:r>
      <w:r w:rsidRPr="00995557">
        <w:rPr>
          <w:i/>
        </w:rPr>
        <w:t>Caso de las Hermanas Serrano Cruz Vs. El Salvador</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i/>
        </w:rPr>
        <w:t xml:space="preserve"> </w:t>
      </w:r>
      <w:r w:rsidRPr="00995557">
        <w:t xml:space="preserve">párrs. 88 y 105, y </w:t>
      </w:r>
      <w:r w:rsidRPr="00995557">
        <w:rPr>
          <w:i/>
        </w:rPr>
        <w:t>Caso Noguera y otra Vs. Paraguay</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 82.</w:t>
      </w:r>
    </w:p>
  </w:footnote>
  <w:footnote w:id="154">
    <w:p w14:paraId="4BBBD642" w14:textId="517B88B3" w:rsidR="000B30AA" w:rsidRPr="00995557" w:rsidRDefault="000B30AA" w:rsidP="00AA627A">
      <w:pPr>
        <w:pStyle w:val="Textonotapie"/>
        <w:rPr>
          <w:rFonts w:eastAsia="Calibri"/>
        </w:rPr>
      </w:pPr>
      <w:r w:rsidRPr="00995557">
        <w:rPr>
          <w:rStyle w:val="Refdenotaalpie"/>
        </w:rPr>
        <w:footnoteRef/>
      </w:r>
      <w:r w:rsidRPr="00995557">
        <w:t xml:space="preserve"> </w:t>
      </w:r>
      <w:r w:rsidRPr="00995557">
        <w:rPr>
          <w:lang w:val="es-GT"/>
        </w:rPr>
        <w:tab/>
        <w:t xml:space="preserve">La jurisprudencia del Tribunal ha </w:t>
      </w:r>
      <w:r w:rsidRPr="00995557">
        <w:rPr>
          <w:rFonts w:eastAsia="Batang" w:cs="Verdana"/>
          <w:lang w:val="es-EC" w:eastAsia="es-MX"/>
        </w:rPr>
        <w:t>especificado los principios rectores que es preciso observar en una investigación cuando se está frente a una muerte violenta</w:t>
      </w:r>
      <w:r w:rsidRPr="00995557">
        <w:rPr>
          <w:lang w:val="es-GT"/>
        </w:rPr>
        <w:t xml:space="preserve">, para lo cual ha recurrido al contenido del </w:t>
      </w:r>
      <w:r w:rsidRPr="00995557">
        <w:rPr>
          <w:rFonts w:eastAsia="Batang"/>
          <w:i/>
          <w:lang w:val="es-ES_tradnl" w:eastAsia="es-MX"/>
        </w:rPr>
        <w:t>Manual sobre la Prevención e Investigación Efectiva de Ejecuciones Extrajudiciales, Arbitrarias y Sumarias de Naciones Unidas</w:t>
      </w:r>
      <w:r w:rsidRPr="00995557">
        <w:rPr>
          <w:rFonts w:eastAsia="Batang"/>
          <w:lang w:val="es-ES_tradnl" w:eastAsia="es-MX"/>
        </w:rPr>
        <w:t xml:space="preserve"> (</w:t>
      </w:r>
      <w:r w:rsidRPr="00995557">
        <w:rPr>
          <w:rFonts w:eastAsia="Batang"/>
          <w:i/>
          <w:lang w:val="es-ES_tradnl" w:eastAsia="es-MX"/>
        </w:rPr>
        <w:t>Protocolo de Minnesota</w:t>
      </w:r>
      <w:r w:rsidRPr="00995557">
        <w:rPr>
          <w:rFonts w:eastAsia="Batang"/>
          <w:lang w:val="es-ES_tradnl" w:eastAsia="es-MX"/>
        </w:rPr>
        <w:t>),</w:t>
      </w:r>
      <w:r w:rsidRPr="00995557">
        <w:rPr>
          <w:rFonts w:eastAsia="Batang" w:cs="Verdana"/>
          <w:lang w:val="es-EC" w:eastAsia="es-MX"/>
        </w:rPr>
        <w:t xml:space="preserve"> </w:t>
      </w:r>
      <w:r w:rsidRPr="00995557">
        <w:rPr>
          <w:rFonts w:eastAsia="Batang"/>
          <w:lang w:val="es-ES_tradnl" w:eastAsia="es-MX"/>
        </w:rPr>
        <w:t>poniendo de relieve el deber de realizar</w:t>
      </w:r>
      <w:r w:rsidRPr="00995557">
        <w:rPr>
          <w:rFonts w:eastAsia="Cambria"/>
          <w:lang w:val="es-ES_tradnl" w:eastAsia="es-MX"/>
        </w:rPr>
        <w:t xml:space="preserve"> algunas diligencias mínimas e indispensables para la conservación de los elementos de prueba y evidencias que puedan contribuir al éxito de la investigación. </w:t>
      </w:r>
      <w:r w:rsidRPr="00995557">
        <w:rPr>
          <w:i/>
          <w:lang w:val="es-MX"/>
        </w:rPr>
        <w:t>Cfr</w:t>
      </w:r>
      <w:r w:rsidRPr="00995557">
        <w:rPr>
          <w:lang w:val="es-MX"/>
        </w:rPr>
        <w:t xml:space="preserve">. </w:t>
      </w:r>
      <w:r w:rsidRPr="00995557">
        <w:rPr>
          <w:i/>
          <w:lang w:val="es-MX"/>
        </w:rPr>
        <w:t>Caso Juan Humberto Sánchez Vs. Honduras</w:t>
      </w:r>
      <w:r w:rsidRPr="00995557">
        <w:rPr>
          <w:lang w:val="es-ES"/>
        </w:rPr>
        <w:t xml:space="preserve">. </w:t>
      </w:r>
      <w:r w:rsidRPr="00995557">
        <w:rPr>
          <w:i/>
          <w:lang w:val="es-ES"/>
        </w:rPr>
        <w:t xml:space="preserve">Excepción Preliminar, Fondo, Reparaciones y Costas. </w:t>
      </w:r>
      <w:r w:rsidRPr="00995557">
        <w:rPr>
          <w:lang w:val="es-ES"/>
        </w:rPr>
        <w:t>Sentencia de 7 de junio de 2003. Serie C No. 99, párr. 127;</w:t>
      </w:r>
      <w:r w:rsidRPr="00995557">
        <w:rPr>
          <w:lang w:val="es-MX"/>
        </w:rPr>
        <w:t xml:space="preserve"> </w:t>
      </w:r>
      <w:r w:rsidRPr="00995557">
        <w:rPr>
          <w:i/>
          <w:lang w:val="es-MX"/>
        </w:rPr>
        <w:t xml:space="preserve">Caso Velásquez Paiz y otros Vs. Guatemala. Excepciones Preliminares, Fondo, Reparaciones y Costas. </w:t>
      </w:r>
      <w:r w:rsidRPr="00995557">
        <w:rPr>
          <w:lang w:val="es-MX"/>
        </w:rPr>
        <w:t>Sentencia de 19 de noviembre de 2015. Serie C No. 307, párr. 150</w:t>
      </w:r>
      <w:r w:rsidRPr="00995557">
        <w:rPr>
          <w:rFonts w:eastAsia="Calibri"/>
        </w:rPr>
        <w:t xml:space="preserve">, y </w:t>
      </w:r>
      <w:r w:rsidRPr="00995557">
        <w:rPr>
          <w:rFonts w:cs="Arial"/>
          <w:i/>
          <w:shd w:val="clear" w:color="auto" w:fill="FFFFFF"/>
        </w:rPr>
        <w:t>Caso Ruiz Fuentes y otra Vs. Guatemala. Excepción Preliminar, Fondo, Reparaciones y Costas.</w:t>
      </w:r>
      <w:r w:rsidRPr="00995557">
        <w:rPr>
          <w:rFonts w:cs="Arial"/>
          <w:shd w:val="clear" w:color="auto" w:fill="FFFFFF"/>
        </w:rPr>
        <w:t xml:space="preserve"> Sentencia de 10 de octubre de 2019. Serie C No. 385, párr. 180.</w:t>
      </w:r>
    </w:p>
  </w:footnote>
  <w:footnote w:id="155">
    <w:p w14:paraId="69095306" w14:textId="2FA86CDF" w:rsidR="000B30AA" w:rsidRPr="00995557" w:rsidRDefault="000B30AA" w:rsidP="00AA627A">
      <w:pPr>
        <w:pStyle w:val="Textonotapie"/>
        <w:widowControl w:val="0"/>
      </w:pPr>
      <w:r w:rsidRPr="00995557">
        <w:rPr>
          <w:rStyle w:val="Refdenotaalpie"/>
        </w:rPr>
        <w:footnoteRef/>
      </w:r>
      <w:r w:rsidRPr="00995557">
        <w:rPr>
          <w:lang w:val="es-MX"/>
        </w:rPr>
        <w:t xml:space="preserve"> </w:t>
      </w:r>
      <w:r w:rsidRPr="00995557">
        <w:rPr>
          <w:lang w:val="es-MX"/>
        </w:rPr>
        <w:tab/>
      </w:r>
      <w:r w:rsidRPr="00995557">
        <w:rPr>
          <w:i/>
          <w:lang w:val="es-MX"/>
        </w:rPr>
        <w:t>Cfr</w:t>
      </w:r>
      <w:r w:rsidRPr="00995557">
        <w:rPr>
          <w:lang w:val="es-MX"/>
        </w:rPr>
        <w:t xml:space="preserve">. </w:t>
      </w:r>
      <w:r w:rsidRPr="00995557">
        <w:rPr>
          <w:i/>
          <w:lang w:val="es-MX"/>
        </w:rPr>
        <w:t>Caso Juan Humberto Sánchez Vs. Honduras</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i/>
          <w:lang w:val="es-ES"/>
        </w:rPr>
        <w:t xml:space="preserve"> </w:t>
      </w:r>
      <w:r w:rsidRPr="00995557">
        <w:rPr>
          <w:lang w:val="es-ES"/>
        </w:rPr>
        <w:t xml:space="preserve">párr. 127, </w:t>
      </w:r>
      <w:r w:rsidRPr="00995557">
        <w:rPr>
          <w:lang w:val="es-MX"/>
        </w:rPr>
        <w:t xml:space="preserve">y </w:t>
      </w:r>
      <w:r w:rsidRPr="00995557">
        <w:rPr>
          <w:i/>
          <w:lang w:val="es-MX"/>
        </w:rPr>
        <w:t>C</w:t>
      </w:r>
      <w:r w:rsidRPr="00995557">
        <w:rPr>
          <w:rFonts w:eastAsia="Calibri"/>
          <w:i/>
        </w:rPr>
        <w:t>aso Ruiz Fuentes y otra Vs. Guatemala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rFonts w:eastAsia="Calibri"/>
          <w:i/>
        </w:rPr>
        <w:t xml:space="preserve"> </w:t>
      </w:r>
      <w:r w:rsidRPr="00995557">
        <w:rPr>
          <w:rFonts w:eastAsia="Calibri"/>
        </w:rPr>
        <w:t>párr. 178.</w:t>
      </w:r>
    </w:p>
  </w:footnote>
  <w:footnote w:id="156">
    <w:p w14:paraId="25C30751" w14:textId="300C34D5" w:rsidR="000B30AA" w:rsidRPr="00995557" w:rsidRDefault="000B30AA" w:rsidP="00AA627A">
      <w:pPr>
        <w:tabs>
          <w:tab w:val="left" w:pos="567"/>
        </w:tabs>
        <w:spacing w:before="120" w:after="120"/>
        <w:jc w:val="both"/>
        <w:rPr>
          <w:sz w:val="16"/>
          <w:szCs w:val="16"/>
        </w:rPr>
      </w:pPr>
      <w:r w:rsidRPr="00995557">
        <w:rPr>
          <w:rStyle w:val="Refdenotaalpie"/>
          <w:sz w:val="16"/>
          <w:szCs w:val="16"/>
        </w:rPr>
        <w:footnoteRef/>
      </w:r>
      <w:r w:rsidRPr="00995557">
        <w:rPr>
          <w:sz w:val="16"/>
          <w:szCs w:val="16"/>
        </w:rPr>
        <w:t xml:space="preserve"> </w:t>
      </w:r>
      <w:r w:rsidRPr="00995557">
        <w:rPr>
          <w:sz w:val="16"/>
          <w:szCs w:val="16"/>
        </w:rPr>
        <w:tab/>
      </w:r>
      <w:r w:rsidRPr="00995557">
        <w:rPr>
          <w:i/>
          <w:sz w:val="16"/>
          <w:szCs w:val="16"/>
        </w:rPr>
        <w:t>Cfr. Caso Zambrano Vélez y otros Vs. Ecuador</w:t>
      </w:r>
      <w:r w:rsidRPr="00995557">
        <w:rPr>
          <w:rFonts w:cs="Arial"/>
          <w:sz w:val="16"/>
          <w:szCs w:val="16"/>
          <w:shd w:val="clear" w:color="auto" w:fill="FFFFFF"/>
        </w:rPr>
        <w:t xml:space="preserve">, </w:t>
      </w:r>
      <w:r w:rsidRPr="00995557">
        <w:rPr>
          <w:rFonts w:cs="Arial"/>
          <w:i/>
          <w:sz w:val="16"/>
          <w:szCs w:val="16"/>
          <w:shd w:val="clear" w:color="auto" w:fill="FFFFFF"/>
        </w:rPr>
        <w:t>supra</w:t>
      </w:r>
      <w:r w:rsidRPr="00995557">
        <w:rPr>
          <w:rFonts w:cs="Arial"/>
          <w:sz w:val="16"/>
          <w:szCs w:val="16"/>
          <w:shd w:val="clear" w:color="auto" w:fill="FFFFFF"/>
        </w:rPr>
        <w:t>,</w:t>
      </w:r>
      <w:r w:rsidRPr="00995557">
        <w:rPr>
          <w:i/>
          <w:sz w:val="16"/>
          <w:szCs w:val="16"/>
        </w:rPr>
        <w:t xml:space="preserve"> </w:t>
      </w:r>
      <w:r w:rsidRPr="00995557">
        <w:rPr>
          <w:sz w:val="16"/>
          <w:szCs w:val="16"/>
        </w:rPr>
        <w:t xml:space="preserve">párr. 88, y </w:t>
      </w:r>
      <w:r w:rsidRPr="00995557">
        <w:rPr>
          <w:i/>
          <w:sz w:val="16"/>
          <w:szCs w:val="16"/>
        </w:rPr>
        <w:t>Caso Valencia Hinojosa Vs. Ecuador</w:t>
      </w:r>
      <w:r w:rsidRPr="00995557">
        <w:rPr>
          <w:rFonts w:cs="Arial"/>
          <w:sz w:val="16"/>
          <w:szCs w:val="16"/>
          <w:shd w:val="clear" w:color="auto" w:fill="FFFFFF"/>
        </w:rPr>
        <w:t xml:space="preserve">, </w:t>
      </w:r>
      <w:r w:rsidRPr="00995557">
        <w:rPr>
          <w:rFonts w:cs="Arial"/>
          <w:i/>
          <w:sz w:val="16"/>
          <w:szCs w:val="16"/>
          <w:shd w:val="clear" w:color="auto" w:fill="FFFFFF"/>
        </w:rPr>
        <w:t>supra</w:t>
      </w:r>
      <w:r w:rsidRPr="00995557">
        <w:rPr>
          <w:rFonts w:cs="Arial"/>
          <w:sz w:val="16"/>
          <w:szCs w:val="16"/>
          <w:shd w:val="clear" w:color="auto" w:fill="FFFFFF"/>
        </w:rPr>
        <w:t>,</w:t>
      </w:r>
      <w:r w:rsidRPr="00995557">
        <w:rPr>
          <w:i/>
          <w:sz w:val="16"/>
          <w:szCs w:val="16"/>
        </w:rPr>
        <w:t xml:space="preserve"> </w:t>
      </w:r>
      <w:r w:rsidRPr="00995557">
        <w:rPr>
          <w:sz w:val="16"/>
          <w:szCs w:val="16"/>
        </w:rPr>
        <w:t>párr. 131.</w:t>
      </w:r>
    </w:p>
  </w:footnote>
  <w:footnote w:id="157">
    <w:p w14:paraId="45FC7BC0" w14:textId="2B6D4B2E"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tab/>
      </w:r>
      <w:r w:rsidRPr="00995557">
        <w:rPr>
          <w:i/>
        </w:rPr>
        <w:t>Cfr.</w:t>
      </w:r>
      <w:r w:rsidRPr="00995557">
        <w:t xml:space="preserve"> </w:t>
      </w:r>
      <w:r w:rsidRPr="00995557">
        <w:rPr>
          <w:i/>
        </w:rPr>
        <w:t>Caso Hilaire, Constantine y Benjamin y otros Vs. Trinidad y Tobago</w:t>
      </w:r>
      <w:r w:rsidRPr="00995557">
        <w:t xml:space="preserve">. Fondo, Reparaciones y Costas. Sentencia de 21 de junio de 2002. Serie C No. 94, párr. 145, y </w:t>
      </w:r>
      <w:r w:rsidRPr="00995557">
        <w:rPr>
          <w:rFonts w:cs="Arial"/>
          <w:i/>
          <w:shd w:val="clear" w:color="auto" w:fill="FFFFFF"/>
        </w:rPr>
        <w:t>Caso de los Empleados de la Fábrica de Fuegos de Santo Antônio de Jesus Vs. Brasil</w:t>
      </w:r>
      <w:r w:rsidRPr="00995557">
        <w:rPr>
          <w:rFonts w:cs="Arial"/>
          <w:shd w:val="clear" w:color="auto" w:fill="FFFFFF"/>
        </w:rPr>
        <w:t xml:space="preserve">, </w:t>
      </w:r>
      <w:r w:rsidRPr="00995557">
        <w:rPr>
          <w:i/>
        </w:rPr>
        <w:t>supra</w:t>
      </w:r>
      <w:r w:rsidRPr="00995557">
        <w:t>, párr. 222.</w:t>
      </w:r>
    </w:p>
  </w:footnote>
  <w:footnote w:id="158">
    <w:p w14:paraId="02245FFA" w14:textId="1CE2DE48" w:rsidR="000B30AA" w:rsidRPr="00995557" w:rsidRDefault="000B30AA" w:rsidP="00AA627A">
      <w:pPr>
        <w:pStyle w:val="Textonotapie"/>
        <w:widowControl w:val="0"/>
        <w:rPr>
          <w:bCs/>
        </w:rPr>
      </w:pPr>
      <w:r w:rsidRPr="00995557">
        <w:rPr>
          <w:rStyle w:val="Refdenotaalpie"/>
        </w:rPr>
        <w:footnoteRef/>
      </w:r>
      <w:r w:rsidRPr="00995557">
        <w:t xml:space="preserve"> </w:t>
      </w:r>
      <w:r w:rsidRPr="00995557">
        <w:tab/>
      </w:r>
      <w:r w:rsidRPr="00995557">
        <w:rPr>
          <w:rFonts w:cs="Verdana"/>
          <w:bCs/>
        </w:rPr>
        <w:t xml:space="preserve">En cuanto al análisis de la complejidad del asunto, la Corte ha tenido en cuenta, entre otros criterios, la complejidad de la prueba, la pluralidad de sujetos procesales o la cantidad de víctimas, el tiempo transcurrido desde que se tuvo noticia del hecho que debe ser investigado, las características del recurso contenido en la legislación interna y el contexto en el que ocurrió la violación. </w:t>
      </w:r>
      <w:r w:rsidRPr="00995557">
        <w:rPr>
          <w:i/>
        </w:rPr>
        <w:t>Cfr.</w:t>
      </w:r>
      <w:r w:rsidRPr="00995557">
        <w:t xml:space="preserve"> </w:t>
      </w:r>
      <w:r w:rsidRPr="00995557">
        <w:rPr>
          <w:i/>
        </w:rPr>
        <w:t>Caso Genie Lacayo Vs. Nicaragua. Excepciones Preliminares</w:t>
      </w:r>
      <w:r w:rsidRPr="00995557">
        <w:t xml:space="preserve">. Sentencia de 27 de enero de 1995. Serie C No. 21, párr. 78, y </w:t>
      </w:r>
      <w:r w:rsidRPr="00995557">
        <w:rPr>
          <w:rFonts w:cs="Arial"/>
          <w:i/>
          <w:shd w:val="clear" w:color="auto" w:fill="FFFFFF"/>
        </w:rPr>
        <w:t>Caso de los Empleados de la Fábrica de Fuegos de Santo Antônio de Jesus Vs. Brasil</w:t>
      </w:r>
      <w:r w:rsidRPr="00995557">
        <w:rPr>
          <w:rFonts w:cs="Arial"/>
          <w:shd w:val="clear" w:color="auto" w:fill="FFFFFF"/>
        </w:rPr>
        <w:t xml:space="preserve">, </w:t>
      </w:r>
      <w:r w:rsidRPr="00995557">
        <w:rPr>
          <w:i/>
        </w:rPr>
        <w:t>supra</w:t>
      </w:r>
      <w:r w:rsidRPr="00995557">
        <w:t>, párr. 225.</w:t>
      </w:r>
    </w:p>
  </w:footnote>
  <w:footnote w:id="159">
    <w:p w14:paraId="4DD1E01A" w14:textId="0F74839C"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snapToGrid w:val="0"/>
          <w:lang w:eastAsia="es-ES"/>
        </w:rPr>
        <w:t xml:space="preserve">Respecto de la actividad del interesado en obtener justicia, la Corte ha tomado en consideración si la conducta procesal de este ha contribuido en algún grado a prolongar </w:t>
      </w:r>
      <w:r w:rsidRPr="00995557">
        <w:rPr>
          <w:rFonts w:cs="Verdana"/>
          <w:bCs/>
        </w:rPr>
        <w:t>indebidamente</w:t>
      </w:r>
      <w:r w:rsidRPr="00995557">
        <w:rPr>
          <w:snapToGrid w:val="0"/>
          <w:lang w:eastAsia="es-ES"/>
        </w:rPr>
        <w:t xml:space="preserve"> la duración del proceso. </w:t>
      </w:r>
      <w:r w:rsidRPr="00995557">
        <w:rPr>
          <w:i/>
        </w:rPr>
        <w:t>Cfr</w:t>
      </w:r>
      <w:r w:rsidRPr="00995557">
        <w:t xml:space="preserve">. </w:t>
      </w:r>
      <w:r w:rsidRPr="00995557">
        <w:rPr>
          <w:i/>
        </w:rPr>
        <w:t>Caso Cantos Vs. Argentina. Fondo, Reparaciones y Costas</w:t>
      </w:r>
      <w:r w:rsidRPr="00995557">
        <w:t xml:space="preserve">. Sentencia de 28 de noviembre de 2002. Serie C No. 97, párr. 57; </w:t>
      </w:r>
      <w:r w:rsidRPr="00995557">
        <w:rPr>
          <w:i/>
        </w:rPr>
        <w:t>Caso Noguera y otra Vs. Paraguay</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 83, y </w:t>
      </w:r>
      <w:r w:rsidRPr="00995557">
        <w:rPr>
          <w:rFonts w:cs="Arial"/>
          <w:i/>
          <w:shd w:val="clear" w:color="auto" w:fill="FFFFFF"/>
        </w:rPr>
        <w:t>Caso de los Empleados de la Fábrica de Fuegos de Santo Antônio de Jesus Vs. Brasil</w:t>
      </w:r>
      <w:r w:rsidRPr="00995557">
        <w:rPr>
          <w:rFonts w:cs="Arial"/>
          <w:shd w:val="clear" w:color="auto" w:fill="FFFFFF"/>
        </w:rPr>
        <w:t xml:space="preserve">, </w:t>
      </w:r>
      <w:r w:rsidRPr="00995557">
        <w:rPr>
          <w:i/>
        </w:rPr>
        <w:t>supra</w:t>
      </w:r>
      <w:r w:rsidRPr="00995557">
        <w:t>, párr. 223.</w:t>
      </w:r>
    </w:p>
  </w:footnote>
  <w:footnote w:id="160">
    <w:p w14:paraId="57D4B311" w14:textId="669E8D53"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snapToGrid w:val="0"/>
          <w:lang w:eastAsia="es-ES"/>
        </w:rPr>
        <w:t xml:space="preserve">La Corte ha entendido que para lograr plenamente la efectividad de la sentencia las autoridades judiciales deben </w:t>
      </w:r>
      <w:r w:rsidRPr="00995557">
        <w:rPr>
          <w:rFonts w:cs="Verdana"/>
          <w:bCs/>
        </w:rPr>
        <w:t>actuar</w:t>
      </w:r>
      <w:r w:rsidRPr="00995557">
        <w:rPr>
          <w:snapToGrid w:val="0"/>
          <w:lang w:eastAsia="es-ES"/>
        </w:rPr>
        <w:t xml:space="preserve"> con celeridad y sin demora, debido a que el principio de tutela judicial efectiva requiere que los procedimientos de ejecución sean llevados a cabo sin obstáculos o demoras indebidas, a fin de que alcancen su objetivo de manera rápida, sencilla e integral.</w:t>
      </w:r>
      <w:r w:rsidRPr="00995557">
        <w:rPr>
          <w:i/>
        </w:rPr>
        <w:t xml:space="preserve"> Cfr.</w:t>
      </w:r>
      <w:r w:rsidRPr="00995557">
        <w:t xml:space="preserve"> </w:t>
      </w:r>
      <w:r w:rsidRPr="00995557">
        <w:rPr>
          <w:i/>
        </w:rPr>
        <w:t xml:space="preserve">Caso Mejía Idrovo Vs. Ecuador. Excepciones Preliminares, Fondo, Reparaciones y Costas. </w:t>
      </w:r>
      <w:r w:rsidRPr="00995557">
        <w:t>Sentencia de 5 de julio de 2011. Serie C No. 228</w:t>
      </w:r>
      <w:r w:rsidRPr="00995557">
        <w:rPr>
          <w:i/>
        </w:rPr>
        <w:t>,</w:t>
      </w:r>
      <w:r w:rsidRPr="00995557">
        <w:t xml:space="preserve"> párr. 106, y </w:t>
      </w:r>
      <w:r w:rsidRPr="00995557">
        <w:rPr>
          <w:rFonts w:cs="Arial"/>
          <w:i/>
          <w:shd w:val="clear" w:color="auto" w:fill="FFFFFF"/>
        </w:rPr>
        <w:t>Caso de los Empleados de la Fábrica de Fuegos de Santo Antônio de Jesus Vs. Brasil</w:t>
      </w:r>
      <w:r w:rsidRPr="00995557">
        <w:rPr>
          <w:rFonts w:cs="Arial"/>
          <w:shd w:val="clear" w:color="auto" w:fill="FFFFFF"/>
        </w:rPr>
        <w:t xml:space="preserve">, </w:t>
      </w:r>
      <w:r w:rsidRPr="00995557">
        <w:rPr>
          <w:i/>
        </w:rPr>
        <w:t>supra</w:t>
      </w:r>
      <w:r w:rsidRPr="00995557">
        <w:t>, párr. 223.</w:t>
      </w:r>
    </w:p>
  </w:footnote>
  <w:footnote w:id="161">
    <w:p w14:paraId="15E68299" w14:textId="0BD6BD5C"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snapToGrid w:val="0"/>
          <w:lang w:eastAsia="es-ES"/>
        </w:rPr>
        <w:t xml:space="preserve">En cuanto a la afectación generada en la situación jurídica de la presunta víctima, la Corte ha afirmado que para determinar la razonabilidad del plazo se debe tomar en cuenta la afectación generada por la duración del procedimiento en la situación jurídica de la persona involucrada, </w:t>
      </w:r>
      <w:r w:rsidRPr="00995557">
        <w:rPr>
          <w:rFonts w:cs="Verdana"/>
          <w:bCs/>
        </w:rPr>
        <w:t>considerando</w:t>
      </w:r>
      <w:r w:rsidRPr="00995557">
        <w:rPr>
          <w:snapToGrid w:val="0"/>
          <w:lang w:eastAsia="es-ES"/>
        </w:rPr>
        <w:t>, entre otros elementos, la materia de la controversia.</w:t>
      </w:r>
      <w:r w:rsidRPr="00995557">
        <w:rPr>
          <w:i/>
          <w:lang w:val="es-MX"/>
        </w:rPr>
        <w:t xml:space="preserve"> Cfr.</w:t>
      </w:r>
      <w:r w:rsidRPr="00995557">
        <w:rPr>
          <w:lang w:val="es-MX"/>
        </w:rPr>
        <w:t xml:space="preserve"> </w:t>
      </w:r>
      <w:r w:rsidRPr="00995557">
        <w:rPr>
          <w:i/>
        </w:rPr>
        <w:t xml:space="preserve">Caso </w:t>
      </w:r>
      <w:r w:rsidRPr="00995557">
        <w:rPr>
          <w:bCs/>
          <w:i/>
        </w:rPr>
        <w:t>Asociación Nacional de Cesantes y Jubilados de la Superintendencia Nacional de Administración Tributaria (ANCEJUB-SUNAT) Vs. Perú</w:t>
      </w:r>
      <w:r w:rsidRPr="00995557">
        <w:rPr>
          <w:bCs/>
        </w:rPr>
        <w:t xml:space="preserve">. </w:t>
      </w:r>
      <w:r w:rsidRPr="00995557">
        <w:rPr>
          <w:bCs/>
          <w:i/>
        </w:rPr>
        <w:t>Excepciones Preliminares, Fondo, Reparaciones y Costas.</w:t>
      </w:r>
      <w:r w:rsidRPr="00995557">
        <w:rPr>
          <w:bCs/>
        </w:rPr>
        <w:t xml:space="preserve"> Sentencia de 21 de noviembre de 2019. Serie C No. 394, párr. 148, </w:t>
      </w:r>
      <w:r w:rsidRPr="00995557">
        <w:t xml:space="preserve">y </w:t>
      </w:r>
      <w:r w:rsidRPr="00995557">
        <w:rPr>
          <w:rFonts w:cs="Arial"/>
          <w:i/>
          <w:shd w:val="clear" w:color="auto" w:fill="FFFFFF"/>
        </w:rPr>
        <w:t>Caso de los Empleados de la Fábrica de Fuegos de Santo Antônio de Jesus Vs. Brasil</w:t>
      </w:r>
      <w:r w:rsidRPr="00995557">
        <w:rPr>
          <w:rFonts w:cs="Arial"/>
          <w:shd w:val="clear" w:color="auto" w:fill="FFFFFF"/>
        </w:rPr>
        <w:t>,</w:t>
      </w:r>
      <w:r w:rsidRPr="00995557">
        <w:rPr>
          <w:rFonts w:cs="Arial"/>
          <w:i/>
          <w:shd w:val="clear" w:color="auto" w:fill="FFFFFF"/>
        </w:rPr>
        <w:t xml:space="preserve"> </w:t>
      </w:r>
      <w:r w:rsidRPr="00995557">
        <w:rPr>
          <w:i/>
        </w:rPr>
        <w:t>supra</w:t>
      </w:r>
      <w:r w:rsidRPr="00995557">
        <w:t>, párr. 223.</w:t>
      </w:r>
    </w:p>
  </w:footnote>
  <w:footnote w:id="162">
    <w:p w14:paraId="472CDEE1" w14:textId="36271C22"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rPr>
          <w:lang w:val="es-MX"/>
        </w:rPr>
        <w:tab/>
      </w:r>
      <w:r w:rsidRPr="00995557">
        <w:rPr>
          <w:i/>
        </w:rPr>
        <w:t>Cfr.</w:t>
      </w:r>
      <w:r w:rsidRPr="00995557">
        <w:t xml:space="preserve"> </w:t>
      </w:r>
      <w:r w:rsidRPr="00995557">
        <w:rPr>
          <w:i/>
        </w:rPr>
        <w:t xml:space="preserve">Caso Anzualdo Castro Vs. Perú. </w:t>
      </w:r>
      <w:r w:rsidRPr="00995557">
        <w:rPr>
          <w:bCs/>
          <w:i/>
        </w:rPr>
        <w:t>Excepción Preliminar, Fondo, Reparaciones y Costas</w:t>
      </w:r>
      <w:r w:rsidRPr="00995557">
        <w:rPr>
          <w:bCs/>
        </w:rPr>
        <w:t xml:space="preserve">. Sentencia de 22 de septiembre de 2009. Serie C No. 202, párr. 156, </w:t>
      </w:r>
      <w:r w:rsidRPr="00995557">
        <w:t xml:space="preserve">y </w:t>
      </w:r>
      <w:r w:rsidRPr="00995557">
        <w:rPr>
          <w:rFonts w:cs="Arial"/>
          <w:i/>
          <w:shd w:val="clear" w:color="auto" w:fill="FFFFFF"/>
        </w:rPr>
        <w:t>Caso de los Empleados de la Fábrica de Fuegos de Santo Antônio de Jesus Vs. Brasil</w:t>
      </w:r>
      <w:r w:rsidRPr="00995557">
        <w:rPr>
          <w:rFonts w:cs="Arial"/>
          <w:shd w:val="clear" w:color="auto" w:fill="FFFFFF"/>
        </w:rPr>
        <w:t xml:space="preserve">, </w:t>
      </w:r>
      <w:r w:rsidRPr="00995557">
        <w:rPr>
          <w:i/>
        </w:rPr>
        <w:t>supra</w:t>
      </w:r>
      <w:r w:rsidRPr="00995557">
        <w:t>, párr. 224.</w:t>
      </w:r>
    </w:p>
  </w:footnote>
  <w:footnote w:id="163">
    <w:p w14:paraId="1F6F3987" w14:textId="6A5FA9AC" w:rsidR="000B30AA" w:rsidRPr="00995557" w:rsidRDefault="000B30AA" w:rsidP="00AA627A">
      <w:pPr>
        <w:pStyle w:val="Textonotapie"/>
        <w:widowControl w:val="0"/>
        <w:rPr>
          <w:lang w:val="es-MX"/>
        </w:rPr>
      </w:pPr>
      <w:r w:rsidRPr="00995557">
        <w:rPr>
          <w:rStyle w:val="Refdenotaalpie"/>
        </w:rPr>
        <w:footnoteRef/>
      </w:r>
      <w:r w:rsidRPr="00995557">
        <w:t xml:space="preserve"> </w:t>
      </w:r>
      <w:r w:rsidRPr="00995557">
        <w:rPr>
          <w:lang w:val="es-MX"/>
        </w:rPr>
        <w:t xml:space="preserve"> </w:t>
      </w:r>
      <w:r w:rsidRPr="00995557">
        <w:rPr>
          <w:lang w:val="es-MX"/>
        </w:rPr>
        <w:tab/>
      </w:r>
      <w:r w:rsidRPr="00995557">
        <w:rPr>
          <w:i/>
        </w:rPr>
        <w:t>Cfr.</w:t>
      </w:r>
      <w:r w:rsidRPr="00995557">
        <w:t xml:space="preserve"> </w:t>
      </w:r>
      <w:r w:rsidRPr="00995557">
        <w:rPr>
          <w:i/>
        </w:rPr>
        <w:t>Caso Suárez Rosero Vs. Ecuador. Reparaciones y Costas</w:t>
      </w:r>
      <w:r w:rsidRPr="00995557">
        <w:t xml:space="preserve">. Sentencia de 20 de enero de 1999. Serie C No. 44, párr. 71, y </w:t>
      </w:r>
      <w:r w:rsidRPr="00995557">
        <w:rPr>
          <w:rFonts w:cs="Arial"/>
          <w:i/>
          <w:shd w:val="clear" w:color="auto" w:fill="FFFFFF"/>
        </w:rPr>
        <w:t>Caso de los Empleados de la Fábrica de Fuegos de Santo Antônio de Jesus Vs. Brasil</w:t>
      </w:r>
      <w:r w:rsidRPr="00995557">
        <w:rPr>
          <w:rFonts w:cs="Arial"/>
          <w:shd w:val="clear" w:color="auto" w:fill="FFFFFF"/>
        </w:rPr>
        <w:t xml:space="preserve">, </w:t>
      </w:r>
      <w:r w:rsidRPr="00995557">
        <w:rPr>
          <w:i/>
        </w:rPr>
        <w:t>supra</w:t>
      </w:r>
      <w:r w:rsidRPr="00995557">
        <w:t>, párr. 222.</w:t>
      </w:r>
    </w:p>
  </w:footnote>
  <w:footnote w:id="164">
    <w:p w14:paraId="08FEB714" w14:textId="39587855" w:rsidR="000B30AA" w:rsidRPr="00995557" w:rsidRDefault="000B30AA" w:rsidP="00AA627A">
      <w:pPr>
        <w:tabs>
          <w:tab w:val="left" w:pos="567"/>
        </w:tabs>
        <w:spacing w:before="120" w:after="120"/>
        <w:jc w:val="both"/>
        <w:rPr>
          <w:sz w:val="16"/>
          <w:szCs w:val="16"/>
        </w:rPr>
      </w:pPr>
      <w:r w:rsidRPr="00995557">
        <w:rPr>
          <w:rStyle w:val="Refdenotaalpie"/>
          <w:sz w:val="16"/>
          <w:szCs w:val="16"/>
        </w:rPr>
        <w:footnoteRef/>
      </w:r>
      <w:r w:rsidRPr="00995557">
        <w:rPr>
          <w:sz w:val="16"/>
          <w:szCs w:val="16"/>
        </w:rPr>
        <w:t xml:space="preserve"> </w:t>
      </w:r>
      <w:r w:rsidRPr="00995557">
        <w:rPr>
          <w:sz w:val="16"/>
          <w:szCs w:val="16"/>
        </w:rPr>
        <w:tab/>
        <w:t xml:space="preserve">En su oportunidad, la Corte de Apelaciones consideró: “[…] se puede evidenciar la existencia de otros elementos de interés criminal[í]sticos que pudieran conllevar a imputar a otras personas que estuvieron presentes en el momento del acontecimiento del hecho ilícito, pero que todavía no han sido imputados […], por lo que a esta Sala se le hace necesario instar a la Fiscalía del Ministerio Público para que consideren seguir realizando las investigaciones pertinentes y no quede impune este grave delito […].” </w:t>
      </w:r>
      <w:r w:rsidRPr="00995557">
        <w:rPr>
          <w:i/>
          <w:sz w:val="16"/>
          <w:szCs w:val="16"/>
        </w:rPr>
        <w:t>Cfr.</w:t>
      </w:r>
      <w:r w:rsidRPr="00995557">
        <w:rPr>
          <w:sz w:val="16"/>
          <w:szCs w:val="16"/>
        </w:rPr>
        <w:t xml:space="preserve"> Resolución emitida por la Corte de Apelaciones Penal de Ciudad Bolívar el 3 de junio de 2004 (expediente de prueba, tomo I, anexo 9 al informe de fondo, folios 24 a 45).</w:t>
      </w:r>
    </w:p>
  </w:footnote>
  <w:footnote w:id="165">
    <w:p w14:paraId="2EC2353C" w14:textId="77777777" w:rsidR="000B30AA" w:rsidRPr="00995557" w:rsidRDefault="000B30AA" w:rsidP="00AA627A">
      <w:pPr>
        <w:pStyle w:val="Textonotapie"/>
        <w:rPr>
          <w:lang w:val="es-GT"/>
        </w:rPr>
      </w:pPr>
      <w:r w:rsidRPr="00995557">
        <w:rPr>
          <w:rStyle w:val="Refdenotaalpie"/>
        </w:rPr>
        <w:footnoteRef/>
      </w:r>
      <w:r w:rsidRPr="00995557">
        <w:t xml:space="preserve"> </w:t>
      </w:r>
      <w:r w:rsidRPr="00995557">
        <w:rPr>
          <w:lang w:val="es-GT"/>
        </w:rPr>
        <w:tab/>
        <w:t>El alegato de los representantes en cuanto a la falta de debida diligencia en el traslado de los cadáveres configura un hecho que excede el marco fáctico contenido en el Informe de Fondo, motivo por el cual no es analizado por la Corte.</w:t>
      </w:r>
    </w:p>
  </w:footnote>
  <w:footnote w:id="166">
    <w:p w14:paraId="6B8116C3" w14:textId="0D505EFC" w:rsidR="000B30AA" w:rsidRPr="00995557" w:rsidRDefault="000B30AA" w:rsidP="00AA627A">
      <w:pPr>
        <w:pStyle w:val="Textonotapie"/>
        <w:rPr>
          <w:lang w:val="es-GT"/>
        </w:rPr>
      </w:pPr>
      <w:r w:rsidRPr="00995557">
        <w:rPr>
          <w:rStyle w:val="Refdenotaalpie"/>
        </w:rPr>
        <w:footnoteRef/>
      </w:r>
      <w:r w:rsidRPr="00995557">
        <w:t xml:space="preserve"> </w:t>
      </w:r>
      <w:r w:rsidRPr="00995557">
        <w:tab/>
      </w:r>
      <w:r w:rsidRPr="00995557">
        <w:rPr>
          <w:i/>
        </w:rPr>
        <w:t>Cfr</w:t>
      </w:r>
      <w:r w:rsidRPr="00995557">
        <w:t xml:space="preserve">. </w:t>
      </w:r>
      <w:r w:rsidRPr="00995557">
        <w:rPr>
          <w:i/>
        </w:rPr>
        <w:t>Caso González y otras (“Campo Algodonero”) Vs. México. Excepción Preliminar, Fondo, Reparaciones y Costas</w:t>
      </w:r>
      <w:r w:rsidRPr="00995557">
        <w:t xml:space="preserve">. Sentencia de 16 de noviembre de 2009. Serie C No. 205, párr. 310, y </w:t>
      </w:r>
      <w:r w:rsidRPr="00995557">
        <w:rPr>
          <w:rFonts w:eastAsia="Calibri"/>
          <w:i/>
        </w:rPr>
        <w:t>Caso Ruiz Fuentes y otra Vs. Guatemala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rFonts w:eastAsia="Calibri"/>
        </w:rPr>
        <w:t xml:space="preserve"> párr. 180.</w:t>
      </w:r>
    </w:p>
  </w:footnote>
  <w:footnote w:id="167">
    <w:p w14:paraId="52531A1E" w14:textId="77777777" w:rsidR="000B30AA" w:rsidRPr="00995557" w:rsidRDefault="000B30AA" w:rsidP="00AA627A">
      <w:pPr>
        <w:pStyle w:val="Textonotapie"/>
        <w:rPr>
          <w:lang w:val="es-GT"/>
        </w:rPr>
      </w:pPr>
      <w:r w:rsidRPr="00995557">
        <w:rPr>
          <w:rStyle w:val="Refdenotaalpie"/>
        </w:rPr>
        <w:footnoteRef/>
      </w:r>
      <w:r w:rsidRPr="00995557">
        <w:t xml:space="preserve"> </w:t>
      </w:r>
      <w:r w:rsidRPr="00995557">
        <w:tab/>
      </w:r>
      <w:r w:rsidRPr="00995557">
        <w:rPr>
          <w:i/>
          <w:iCs/>
        </w:rPr>
        <w:t xml:space="preserve">Cfr. </w:t>
      </w:r>
      <w:r w:rsidRPr="00995557">
        <w:rPr>
          <w:iCs/>
        </w:rPr>
        <w:t>ONU,</w:t>
      </w:r>
      <w:r w:rsidRPr="00995557">
        <w:rPr>
          <w:i/>
          <w:iCs/>
        </w:rPr>
        <w:t xml:space="preserve"> </w:t>
      </w:r>
      <w:r w:rsidRPr="00995557">
        <w:rPr>
          <w:i/>
        </w:rPr>
        <w:t>Manual sobre la Prevención e Investigación Efectiva de Ejecuciones Extrajudiciales, Arbitrarias y Sumarias de Naciones Unidas (Protocolo de Minnesota)</w:t>
      </w:r>
      <w:r w:rsidRPr="00995557">
        <w:t>, UN Doc. E/ST/CSDHA/.12 (1991).</w:t>
      </w:r>
    </w:p>
  </w:footnote>
  <w:footnote w:id="168">
    <w:p w14:paraId="591DE4A9" w14:textId="77777777" w:rsidR="000B30AA" w:rsidRPr="00995557" w:rsidRDefault="000B30AA" w:rsidP="00AA627A">
      <w:pPr>
        <w:pStyle w:val="Textonotapie"/>
      </w:pPr>
      <w:r w:rsidRPr="00995557">
        <w:rPr>
          <w:rStyle w:val="Refdenotaalpie"/>
        </w:rPr>
        <w:footnoteRef/>
      </w:r>
      <w:r w:rsidRPr="00995557">
        <w:t xml:space="preserve"> </w:t>
      </w:r>
      <w:r w:rsidRPr="00995557">
        <w:rPr>
          <w:lang w:val="es-GT"/>
        </w:rPr>
        <w:tab/>
      </w:r>
      <w:r w:rsidRPr="00995557">
        <w:rPr>
          <w:i/>
        </w:rPr>
        <w:t>Cfr.</w:t>
      </w:r>
      <w:r w:rsidRPr="00995557">
        <w:t xml:space="preserve"> Acta de exhumaciones de 22 de marzo de 2004 practicadas a los cadáveres de Richard Alexis Palma, Orangel José Figueroa, José Gregorio Bolívar Corro y Héctor Javier Muñoz Valerio (expediente de prueba, tomo I, anexo 22 al informe de fondo, folios 91 y 92, y expediente de prueba, tomo II, anexo a la petición inicial en el trámite ante la Comisión, folios 237, 238, 251 a 253, 264 a 266). Véase también, Declaración rendida por Antonietta de Dominicis (expediente de prueba, tomo VII, </w:t>
      </w:r>
      <w:r w:rsidRPr="00995557">
        <w:rPr>
          <w:i/>
        </w:rPr>
        <w:t>affidávits</w:t>
      </w:r>
      <w:r w:rsidRPr="00995557">
        <w:t>, folios 1791 a 1797).</w:t>
      </w:r>
    </w:p>
  </w:footnote>
  <w:footnote w:id="169">
    <w:p w14:paraId="6ADA1995" w14:textId="77777777" w:rsidR="000B30AA" w:rsidRPr="00995557" w:rsidRDefault="000B30AA" w:rsidP="00AA627A">
      <w:pPr>
        <w:pStyle w:val="Prrafodelista"/>
        <w:widowControl w:val="0"/>
        <w:tabs>
          <w:tab w:val="left" w:pos="567"/>
        </w:tabs>
        <w:spacing w:before="120" w:after="120"/>
        <w:ind w:left="0"/>
        <w:jc w:val="both"/>
        <w:rPr>
          <w:sz w:val="16"/>
          <w:szCs w:val="16"/>
        </w:rPr>
      </w:pPr>
      <w:r w:rsidRPr="00995557">
        <w:rPr>
          <w:rStyle w:val="Refdenotaalpie"/>
          <w:sz w:val="16"/>
          <w:szCs w:val="16"/>
        </w:rPr>
        <w:footnoteRef/>
      </w:r>
      <w:r w:rsidRPr="00995557">
        <w:rPr>
          <w:sz w:val="16"/>
          <w:szCs w:val="16"/>
        </w:rPr>
        <w:t xml:space="preserve"> </w:t>
      </w:r>
      <w:r w:rsidRPr="00995557">
        <w:rPr>
          <w:sz w:val="16"/>
          <w:szCs w:val="16"/>
        </w:rPr>
        <w:tab/>
      </w:r>
      <w:r w:rsidRPr="00995557">
        <w:rPr>
          <w:i/>
          <w:sz w:val="16"/>
          <w:szCs w:val="16"/>
        </w:rPr>
        <w:t>Cfr</w:t>
      </w:r>
      <w:r w:rsidRPr="00995557">
        <w:rPr>
          <w:sz w:val="16"/>
          <w:szCs w:val="16"/>
        </w:rPr>
        <w:t xml:space="preserve">. Declaración rendida por Antonietta de Dominicis (expediente de prueba, tomo VII, </w:t>
      </w:r>
      <w:r w:rsidRPr="00995557">
        <w:rPr>
          <w:i/>
          <w:sz w:val="16"/>
          <w:szCs w:val="16"/>
        </w:rPr>
        <w:t>affidávits</w:t>
      </w:r>
      <w:r w:rsidRPr="00995557">
        <w:rPr>
          <w:sz w:val="16"/>
          <w:szCs w:val="16"/>
        </w:rPr>
        <w:t xml:space="preserve">, folio 1809). </w:t>
      </w:r>
    </w:p>
  </w:footnote>
  <w:footnote w:id="170">
    <w:p w14:paraId="4C146270"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lang w:val="es-GT"/>
        </w:rPr>
        <w:t>Cfr.</w:t>
      </w:r>
      <w:r w:rsidRPr="00995557">
        <w:rPr>
          <w:lang w:val="es-GT"/>
        </w:rPr>
        <w:t xml:space="preserve"> </w:t>
      </w:r>
      <w:r w:rsidRPr="00995557">
        <w:t>Acta de audiencia preliminar y enjuiciamiento desarrollada ante el Tribunal Tercero de Primera Instancia en funciones de control de Ciudad Bolívar el 3 de junio de 2014 (expediente de prueba, tomo III, anexo 12 al escrito de solicitudes y argumentos, folios 1009 a 1020).</w:t>
      </w:r>
    </w:p>
  </w:footnote>
  <w:footnote w:id="171">
    <w:p w14:paraId="45113F86" w14:textId="77777777" w:rsidR="000B30AA" w:rsidRPr="00995557" w:rsidRDefault="000B30AA" w:rsidP="00AA627A">
      <w:pPr>
        <w:pStyle w:val="Textonotapie"/>
      </w:pPr>
      <w:r w:rsidRPr="00995557">
        <w:rPr>
          <w:rStyle w:val="Refdenotaalpie"/>
        </w:rPr>
        <w:footnoteRef/>
      </w:r>
      <w:r w:rsidRPr="00995557">
        <w:t xml:space="preserve"> </w:t>
      </w:r>
      <w:r w:rsidRPr="00995557">
        <w:rPr>
          <w:lang w:val="es-GT"/>
        </w:rPr>
        <w:tab/>
      </w:r>
      <w:r w:rsidRPr="00995557">
        <w:rPr>
          <w:i/>
          <w:lang w:val="es-GT"/>
        </w:rPr>
        <w:t>Cfr.</w:t>
      </w:r>
      <w:r w:rsidRPr="00995557">
        <w:rPr>
          <w:lang w:val="es-GT"/>
        </w:rPr>
        <w:t xml:space="preserve"> </w:t>
      </w:r>
      <w:r w:rsidRPr="00995557">
        <w:t>Escrito de observaciones del Estado de 20 de septiembre de 2013 (expediente de prueba, tomo II, trámite ante la Comisión, folios 720 y 771).</w:t>
      </w:r>
    </w:p>
  </w:footnote>
  <w:footnote w:id="172">
    <w:p w14:paraId="41BED38B"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Actuaciones citadas por el Estado en su escrito de observaciones de 20 de septiembre de 2013 (expediente de prueba, tomo II, trámite ante la Comisión, folios 719 y 765).</w:t>
      </w:r>
    </w:p>
  </w:footnote>
  <w:footnote w:id="173">
    <w:p w14:paraId="50C6497F"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Actuaciones citadas por el Estado en su escrito de observaciones de 20 de septiembre de 2013 (expediente de prueba, tomo II, trámite ante la Comisión, folio 720).</w:t>
      </w:r>
    </w:p>
  </w:footnote>
  <w:footnote w:id="174">
    <w:p w14:paraId="61FE6A59"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Actuaciones citadas por el Estado en su escrito de observaciones de 20 de septiembre de 2013 (expediente de prueba, tomo II, trámite ante la Comisión, folios 720, 721 y 763), y Acta de audiencia oral desarrollada ante el Tribunal Tercero de Primera Instancia en funciones de control de Ciudad Bolívar el 11 de mayo de 2005 (expediente de prueba, tomo I, anexo 31 al informe de fondo, folios 118 a 122).</w:t>
      </w:r>
    </w:p>
  </w:footnote>
  <w:footnote w:id="175">
    <w:p w14:paraId="7842B0AB"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w:t>
      </w:r>
      <w:r w:rsidRPr="00995557">
        <w:t xml:space="preserve"> Resolución emitida por el Tribunal Tercero de Primera Instancia en funciones de control de Ciudad Bolívar el 19 de junio de 2006 (expediente de prueba, tomo I, anexo 34 al informe de fondo, folios 130 a 133).</w:t>
      </w:r>
    </w:p>
  </w:footnote>
  <w:footnote w:id="176">
    <w:p w14:paraId="3180963E" w14:textId="77777777" w:rsidR="000B30AA" w:rsidRPr="00995557" w:rsidRDefault="000B30AA" w:rsidP="00AA627A">
      <w:pPr>
        <w:pStyle w:val="Textonotapie"/>
        <w:widowControl w:val="0"/>
      </w:pPr>
      <w:r w:rsidRPr="00995557">
        <w:rPr>
          <w:rStyle w:val="Refdenotaalpie"/>
        </w:rPr>
        <w:footnoteRef/>
      </w:r>
      <w:r w:rsidRPr="00995557">
        <w:t xml:space="preserve"> </w:t>
      </w:r>
      <w:r w:rsidRPr="00995557">
        <w:rPr>
          <w:lang w:val="es-GT"/>
        </w:rPr>
        <w:tab/>
      </w:r>
      <w:r w:rsidRPr="00995557">
        <w:rPr>
          <w:i/>
          <w:lang w:val="es-GT"/>
        </w:rPr>
        <w:t>Cfr.</w:t>
      </w:r>
      <w:r w:rsidRPr="00995557">
        <w:rPr>
          <w:lang w:val="es-GT"/>
        </w:rPr>
        <w:t xml:space="preserve"> </w:t>
      </w:r>
      <w:r w:rsidRPr="00995557">
        <w:t>Acta de diferimiento de audiencia preliminar de 21 de mayo de 2013 (expediente de prueba, tomo I, anexo 36 al informe de fondo, folios 138 y 139); Acta de diferimiento de audiencia preliminar de 12 de julio de 2013 (expediente de prueba, tomo I, anexo 36 al informe de fondo, folios 140 y 141), y Acta de diferimiento de audiencia preliminar de 29 de agosto de 2013 (expediente de prueba, tomo I, anexo 36 al informe de fondo, folios 142 y 143).</w:t>
      </w:r>
    </w:p>
  </w:footnote>
  <w:footnote w:id="177">
    <w:p w14:paraId="2D10A7C2" w14:textId="77777777"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rPr>
          <w:lang w:val="es-GT"/>
        </w:rPr>
        <w:tab/>
      </w:r>
      <w:r w:rsidRPr="00995557">
        <w:rPr>
          <w:i/>
          <w:lang w:val="es-GT"/>
        </w:rPr>
        <w:t>Cfr.</w:t>
      </w:r>
      <w:r w:rsidRPr="00995557">
        <w:rPr>
          <w:lang w:val="es-GT"/>
        </w:rPr>
        <w:t xml:space="preserve"> Actas de juicio oral y público desarrollado ante el </w:t>
      </w:r>
      <w:r w:rsidRPr="00995557">
        <w:t xml:space="preserve">Tribunal Cuarto de Primera Instancia en funciones de juicio de Ciudad Bolívar los días 19 de septiembre, 4, 18, 25 y 31 de octubre; 4, 7, 9, 14 y 18 de noviembre de 2016 (expediente de prueba, tomo III, anexos 27 a 36 al escrito de solicitudes y argumentos, folios 1107 a 1172), y Sentencia emitida por </w:t>
      </w:r>
      <w:r w:rsidRPr="00995557">
        <w:rPr>
          <w:lang w:val="es-GT"/>
        </w:rPr>
        <w:t xml:space="preserve">el </w:t>
      </w:r>
      <w:r w:rsidRPr="00995557">
        <w:t>Tribunal Cuarto de Primera Instancia en funciones de juicio de Ciudad Bolívar el 6 de diciembre de 2016 (expediente de prueba, tomo III, anexo 39 al escrito de solicitudes y argumentos, folios 1208 a 1247).</w:t>
      </w:r>
    </w:p>
  </w:footnote>
  <w:footnote w:id="178">
    <w:p w14:paraId="3D4EC7E6" w14:textId="7F56A3E2"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r>
      <w:r w:rsidRPr="00995557">
        <w:rPr>
          <w:i/>
          <w:lang w:val="es-ES"/>
        </w:rPr>
        <w:t xml:space="preserve">Cfr. </w:t>
      </w:r>
      <w:r w:rsidRPr="00995557">
        <w:rPr>
          <w:rFonts w:cs="Arial"/>
          <w:i/>
          <w:shd w:val="clear" w:color="auto" w:fill="FFFFFF"/>
        </w:rPr>
        <w:t>Caso de la “Panel Blanca” (Paniagua Morales y otros) Vs. Guatemala. Fondo.</w:t>
      </w:r>
      <w:r w:rsidRPr="00995557">
        <w:rPr>
          <w:rFonts w:cs="Arial"/>
          <w:shd w:val="clear" w:color="auto" w:fill="FFFFFF"/>
        </w:rPr>
        <w:t xml:space="preserve"> Sentencia de 8 de marzo de 1998. Serie C No. 37, párr. 173, y </w:t>
      </w:r>
      <w:r w:rsidRPr="00995557">
        <w:rPr>
          <w:rFonts w:cs="Arial"/>
          <w:i/>
          <w:shd w:val="clear" w:color="auto" w:fill="FFFFFF"/>
        </w:rPr>
        <w:t>Caso Gutiérrez y familia Vs. Argentina. Fondo, Reparaciones y Costas.</w:t>
      </w:r>
      <w:r w:rsidRPr="00995557">
        <w:rPr>
          <w:rFonts w:cs="Arial"/>
          <w:shd w:val="clear" w:color="auto" w:fill="FFFFFF"/>
        </w:rPr>
        <w:t xml:space="preserve"> Sentencia de 25 de noviembre de 2013. Serie C No. 271, párr. 119.</w:t>
      </w:r>
    </w:p>
  </w:footnote>
  <w:footnote w:id="179">
    <w:p w14:paraId="73009225" w14:textId="3713A0D2"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r>
      <w:r w:rsidRPr="00995557">
        <w:rPr>
          <w:i/>
          <w:lang w:val="es-ES"/>
        </w:rPr>
        <w:t xml:space="preserve">Cfr. </w:t>
      </w:r>
      <w:r w:rsidRPr="00995557">
        <w:rPr>
          <w:rFonts w:cs="Arial"/>
          <w:i/>
          <w:shd w:val="clear" w:color="auto" w:fill="FFFFFF"/>
        </w:rPr>
        <w:t>Caso de la “Panel Blanca” (Paniagua Morales y otros) Vs. Guatemala</w:t>
      </w:r>
      <w:r w:rsidRPr="00995557">
        <w:t>,</w:t>
      </w:r>
      <w:r w:rsidRPr="00995557">
        <w:rPr>
          <w:i/>
        </w:rPr>
        <w:t xml:space="preserve"> supra</w:t>
      </w:r>
      <w:r w:rsidRPr="00995557">
        <w:rPr>
          <w:rFonts w:cs="Arial"/>
          <w:shd w:val="clear" w:color="auto" w:fill="FFFFFF"/>
        </w:rPr>
        <w:t xml:space="preserve">, párr. 173, y </w:t>
      </w:r>
      <w:r w:rsidRPr="00995557">
        <w:rPr>
          <w:i/>
        </w:rPr>
        <w:t>Caso Valenzuela Ávila Vs. Guatemala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párr. 142.</w:t>
      </w:r>
    </w:p>
  </w:footnote>
  <w:footnote w:id="180">
    <w:p w14:paraId="77F37905" w14:textId="2C32106A" w:rsidR="000B30AA" w:rsidRPr="00995557" w:rsidRDefault="000B30AA" w:rsidP="00AA627A">
      <w:pPr>
        <w:pStyle w:val="Textonotapie"/>
      </w:pPr>
      <w:r w:rsidRPr="00995557">
        <w:rPr>
          <w:rStyle w:val="Refdenotaalpie"/>
        </w:rPr>
        <w:footnoteRef/>
      </w:r>
      <w:r w:rsidRPr="00995557">
        <w:t xml:space="preserve"> </w:t>
      </w:r>
      <w:r w:rsidRPr="00995557">
        <w:tab/>
      </w:r>
      <w:r w:rsidRPr="00995557">
        <w:rPr>
          <w:i/>
        </w:rPr>
        <w:t>Cfr.</w:t>
      </w:r>
      <w:r w:rsidRPr="00995557">
        <w:t xml:space="preserve"> </w:t>
      </w:r>
      <w:r w:rsidRPr="00995557">
        <w:rPr>
          <w:i/>
        </w:rPr>
        <w:t>Caso Ximenes Lopes Vs. Brasil</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 147, y </w:t>
      </w:r>
      <w:r w:rsidRPr="00995557">
        <w:rPr>
          <w:i/>
        </w:rPr>
        <w:t>Caso Montesinos Mejía Vs. Ecuador</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i/>
        </w:rPr>
        <w:t xml:space="preserve"> </w:t>
      </w:r>
      <w:r w:rsidRPr="00995557">
        <w:t>párr. 151.</w:t>
      </w:r>
    </w:p>
  </w:footnote>
  <w:footnote w:id="181">
    <w:p w14:paraId="52769E17" w14:textId="51B1810F" w:rsidR="000B30AA" w:rsidRPr="00995557" w:rsidRDefault="000B30AA" w:rsidP="00AA627A">
      <w:pPr>
        <w:pStyle w:val="Textonotapie"/>
        <w:widowControl w:val="0"/>
        <w:rPr>
          <w:i/>
        </w:rPr>
      </w:pPr>
      <w:r w:rsidRPr="00995557">
        <w:rPr>
          <w:rStyle w:val="Refdenotaalpie"/>
        </w:rPr>
        <w:footnoteRef/>
      </w:r>
      <w:r w:rsidRPr="00995557">
        <w:t xml:space="preserve"> </w:t>
      </w:r>
      <w:r w:rsidRPr="00995557">
        <w:tab/>
      </w:r>
      <w:r w:rsidRPr="00995557">
        <w:rPr>
          <w:i/>
          <w:iCs/>
        </w:rPr>
        <w:t>Cfr. Caso Gutiérrez Soler Vs. Colombia</w:t>
      </w:r>
      <w:r w:rsidRPr="00995557">
        <w:t xml:space="preserve">. Sentencia de 12 de septiembre de 2005. Serie C No. 132, párr. 54, y </w:t>
      </w:r>
      <w:r w:rsidRPr="00995557">
        <w:rPr>
          <w:i/>
        </w:rPr>
        <w:t>Caso Azul Rojas Marín y otra Vs. Perú</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 174.</w:t>
      </w:r>
    </w:p>
  </w:footnote>
  <w:footnote w:id="182">
    <w:p w14:paraId="2B9BBA23" w14:textId="2BB65B4D"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r>
      <w:r w:rsidRPr="00995557">
        <w:rPr>
          <w:i/>
          <w:lang w:val="es-ES"/>
        </w:rPr>
        <w:t>Supra</w:t>
      </w:r>
      <w:r w:rsidRPr="00995557">
        <w:rPr>
          <w:lang w:val="es-ES"/>
        </w:rPr>
        <w:t xml:space="preserve"> párr. 61 y nota a pie de página 80.</w:t>
      </w:r>
    </w:p>
  </w:footnote>
  <w:footnote w:id="183">
    <w:p w14:paraId="1040AC21" w14:textId="77777777" w:rsidR="000B30AA" w:rsidRPr="00995557" w:rsidRDefault="000B30AA" w:rsidP="00AA627A">
      <w:pPr>
        <w:pStyle w:val="Prrafodelista"/>
        <w:widowControl w:val="0"/>
        <w:tabs>
          <w:tab w:val="left" w:pos="567"/>
        </w:tabs>
        <w:spacing w:before="120" w:after="120"/>
        <w:ind w:left="0"/>
        <w:jc w:val="both"/>
        <w:rPr>
          <w:sz w:val="16"/>
          <w:szCs w:val="16"/>
        </w:rPr>
      </w:pPr>
      <w:r w:rsidRPr="00995557">
        <w:rPr>
          <w:rStyle w:val="Refdenotaalpie"/>
          <w:sz w:val="16"/>
          <w:szCs w:val="16"/>
        </w:rPr>
        <w:footnoteRef/>
      </w:r>
      <w:r w:rsidRPr="00995557">
        <w:rPr>
          <w:sz w:val="16"/>
          <w:szCs w:val="16"/>
        </w:rPr>
        <w:t xml:space="preserve"> </w:t>
      </w:r>
      <w:r w:rsidRPr="00995557">
        <w:rPr>
          <w:sz w:val="16"/>
          <w:szCs w:val="16"/>
        </w:rPr>
        <w:tab/>
      </w:r>
      <w:r w:rsidRPr="00995557">
        <w:rPr>
          <w:i/>
          <w:sz w:val="16"/>
          <w:szCs w:val="16"/>
        </w:rPr>
        <w:t>Cfr.</w:t>
      </w:r>
      <w:r w:rsidRPr="00995557">
        <w:rPr>
          <w:sz w:val="16"/>
          <w:szCs w:val="16"/>
        </w:rPr>
        <w:t xml:space="preserve"> Declaración de Alcides Rafael Alcázar ante el Tribunal Cuarto de Control de Ciudad Bolívar el 2 de marzo de 2004 (expediente de prueba, tomo I, anexo 10 al informe de fondo, folio 48); Declaración de Deivis Romero Lascano ante el Tribunal Cuarto de Control de Ciudad Bolívar el 16 de marzo de 2004 (expediente de prueba, tomo I, anexo 11 al informe de fondo, folio 52); Declaración de Marcos Pachano Guevara que consta en el Auto de apertura de juicio emitido por el Tribunal Tercero de Primera Instancia en funciones de control de Ciudad Bolívar el 4 de junio de 2014 (expediente de prueba, tomo III, anexo 15 al escrito de solicitudes y argumentos, folio 1043), y Declaración de Luis Enrique Filgueira Lizcano ante el Tribunal Cuarto de Control de Ciudad Bolívar el 2 de marzo de 2004 (expediente de prueba, tomo I, anexo 15 al informe de fondo, folios 64 y 65).</w:t>
      </w:r>
    </w:p>
  </w:footnote>
  <w:footnote w:id="184">
    <w:p w14:paraId="1C18388B" w14:textId="799E681C" w:rsidR="000B30AA" w:rsidRPr="00995557" w:rsidRDefault="000B30AA" w:rsidP="00AA627A">
      <w:pPr>
        <w:pStyle w:val="Textonotapie"/>
        <w:widowControl w:val="0"/>
      </w:pPr>
      <w:r w:rsidRPr="00995557">
        <w:rPr>
          <w:rStyle w:val="Refdenotaalpie"/>
        </w:rPr>
        <w:footnoteRef/>
      </w:r>
      <w:r w:rsidRPr="00995557">
        <w:t xml:space="preserve"> </w:t>
      </w:r>
      <w:r w:rsidRPr="00995557">
        <w:tab/>
      </w:r>
      <w:r w:rsidRPr="00995557">
        <w:rPr>
          <w:i/>
        </w:rPr>
        <w:t>Supra</w:t>
      </w:r>
      <w:r w:rsidR="006A6268" w:rsidRPr="00995557">
        <w:t xml:space="preserve"> nota a pie de página 138.</w:t>
      </w:r>
    </w:p>
  </w:footnote>
  <w:footnote w:id="185">
    <w:p w14:paraId="4E66DD4A" w14:textId="277C3EF4" w:rsidR="00F26717" w:rsidRPr="00995557" w:rsidRDefault="00F26717" w:rsidP="00AA627A">
      <w:pPr>
        <w:pStyle w:val="Textonotapie"/>
        <w:widowControl w:val="0"/>
        <w:rPr>
          <w:lang w:val="es-GT"/>
        </w:rPr>
      </w:pPr>
      <w:r w:rsidRPr="00995557">
        <w:rPr>
          <w:rStyle w:val="Refdenotaalpie"/>
        </w:rPr>
        <w:footnoteRef/>
      </w:r>
      <w:r w:rsidRPr="00995557">
        <w:t xml:space="preserve"> </w:t>
      </w:r>
      <w:r w:rsidRPr="00995557">
        <w:tab/>
        <w:t xml:space="preserve">Artículo 5 </w:t>
      </w:r>
      <w:r w:rsidR="00B25F8E" w:rsidRPr="00995557">
        <w:t>de la Convención Americana, en relación con el artículo 1.1 del mismo instrumento.</w:t>
      </w:r>
    </w:p>
  </w:footnote>
  <w:footnote w:id="186">
    <w:p w14:paraId="2CFC14A2" w14:textId="365FE7BC" w:rsidR="000B30AA" w:rsidRPr="00995557" w:rsidRDefault="000B30AA" w:rsidP="00AA627A">
      <w:pPr>
        <w:pStyle w:val="Textonotapie"/>
      </w:pPr>
      <w:r w:rsidRPr="00995557">
        <w:rPr>
          <w:rStyle w:val="Refdenotaalpie"/>
        </w:rPr>
        <w:footnoteRef/>
      </w:r>
      <w:r w:rsidRPr="00995557">
        <w:t xml:space="preserve"> </w:t>
      </w:r>
      <w:r w:rsidRPr="00995557">
        <w:tab/>
      </w:r>
      <w:r w:rsidRPr="00995557">
        <w:rPr>
          <w:i/>
          <w:iCs/>
        </w:rPr>
        <w:t>Cfr. Caso Valle Jaramillo y otros Vs. Colombia. Fondo, Reparaciones y Costas. Sentencia</w:t>
      </w:r>
      <w:r w:rsidRPr="00995557">
        <w:t xml:space="preserve"> de 27 de noviembre de 2008. Serie C No. 192, párr. 119; </w:t>
      </w:r>
      <w:r w:rsidRPr="00995557">
        <w:rPr>
          <w:i/>
          <w:iCs/>
        </w:rPr>
        <w:t xml:space="preserve">Caso Munárriz Escobar y otras Vs. Perú. Excepción Preliminar, Fondo, Reparaciones y Costas. </w:t>
      </w:r>
      <w:r w:rsidRPr="00995557">
        <w:t>Sentencia de 20 de agosto de 2018. Serie C No. 355, párr. 114.</w:t>
      </w:r>
    </w:p>
  </w:footnote>
  <w:footnote w:id="187">
    <w:p w14:paraId="5DB05960" w14:textId="75CD4B00" w:rsidR="000B30AA" w:rsidRPr="00995557" w:rsidRDefault="000B30AA" w:rsidP="00AA627A">
      <w:pPr>
        <w:pStyle w:val="Textonotapie"/>
      </w:pPr>
      <w:r w:rsidRPr="00995557">
        <w:rPr>
          <w:rStyle w:val="Refdenotaalpie"/>
          <w:rFonts w:eastAsia="Calibri"/>
        </w:rPr>
        <w:footnoteRef/>
      </w:r>
      <w:r w:rsidRPr="00995557">
        <w:rPr>
          <w:rFonts w:eastAsia="Calibri"/>
        </w:rPr>
        <w:t xml:space="preserve"> </w:t>
      </w:r>
      <w:r w:rsidRPr="00995557">
        <w:rPr>
          <w:rFonts w:eastAsia="Calibri"/>
        </w:rPr>
        <w:tab/>
      </w:r>
      <w:r w:rsidRPr="00995557">
        <w:rPr>
          <w:rFonts w:eastAsia="Calibri"/>
          <w:i/>
          <w:iCs/>
        </w:rPr>
        <w:t xml:space="preserve">Cfr. Caso La Cantuta Vs. Perú. Fondo, Reparaciones y Costas. </w:t>
      </w:r>
      <w:r w:rsidRPr="00995557">
        <w:rPr>
          <w:rFonts w:eastAsia="Calibri"/>
        </w:rPr>
        <w:t xml:space="preserve">Sentencia de 29 de noviembre de 2006. Serie C No. 162, párr. 218, y </w:t>
      </w:r>
      <w:r w:rsidRPr="00995557">
        <w:rPr>
          <w:rFonts w:eastAsia="Calibri"/>
          <w:i/>
          <w:iCs/>
        </w:rPr>
        <w:t>Caso Ruiz Fuentes y otra Vs. Guatemala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rFonts w:eastAsia="Calibri"/>
        </w:rPr>
        <w:t xml:space="preserve"> párr. 191.</w:t>
      </w:r>
    </w:p>
  </w:footnote>
  <w:footnote w:id="188">
    <w:p w14:paraId="51619F80" w14:textId="555124B6" w:rsidR="000B30AA" w:rsidRPr="00995557" w:rsidRDefault="000B30AA" w:rsidP="00AA627A">
      <w:pPr>
        <w:pStyle w:val="Textonotapie"/>
      </w:pPr>
      <w:r w:rsidRPr="00995557">
        <w:rPr>
          <w:rStyle w:val="Refdenotaalpie"/>
        </w:rPr>
        <w:footnoteRef/>
      </w:r>
      <w:r w:rsidRPr="00995557">
        <w:t xml:space="preserve"> </w:t>
      </w:r>
      <w:r w:rsidRPr="00995557">
        <w:tab/>
      </w:r>
      <w:r w:rsidRPr="00995557">
        <w:rPr>
          <w:i/>
          <w:iCs/>
        </w:rPr>
        <w:t xml:space="preserve">Cfr. </w:t>
      </w:r>
      <w:r w:rsidRPr="00995557">
        <w:rPr>
          <w:rFonts w:cs="Arial"/>
          <w:i/>
          <w:shd w:val="clear" w:color="auto" w:fill="FFFFFF"/>
        </w:rPr>
        <w:t>Caso Rosendo Cantú y otra Vs. México. Excepción Preliminar, Fondo, Reparaciones y Costas.</w:t>
      </w:r>
      <w:r w:rsidRPr="00995557">
        <w:rPr>
          <w:rFonts w:cs="Arial"/>
          <w:shd w:val="clear" w:color="auto" w:fill="FFFFFF"/>
        </w:rPr>
        <w:t xml:space="preserve"> Sentencia de 31 de agosto de 2010. Serie C No. 216</w:t>
      </w:r>
      <w:r w:rsidRPr="00995557">
        <w:t xml:space="preserve">, párrs. 137 a 139, y </w:t>
      </w:r>
      <w:r w:rsidRPr="00995557">
        <w:rPr>
          <w:i/>
          <w:iCs/>
        </w:rPr>
        <w:t>Caso Azul Rojas Marín Vs. Perú</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párrs. 221 y 222.</w:t>
      </w:r>
    </w:p>
  </w:footnote>
  <w:footnote w:id="189">
    <w:p w14:paraId="2930D35C" w14:textId="1F182D85" w:rsidR="000B30AA" w:rsidRPr="00995557" w:rsidRDefault="000B30AA" w:rsidP="00AA627A">
      <w:pPr>
        <w:pStyle w:val="Textonotapie"/>
      </w:pPr>
      <w:r w:rsidRPr="00995557">
        <w:rPr>
          <w:rStyle w:val="Refdenotaalpie"/>
        </w:rPr>
        <w:footnoteRef/>
      </w:r>
      <w:r w:rsidRPr="00995557">
        <w:t xml:space="preserve">      </w:t>
      </w:r>
      <w:r w:rsidRPr="00995557">
        <w:tab/>
      </w:r>
      <w:r w:rsidRPr="00995557">
        <w:rPr>
          <w:i/>
          <w:iCs/>
        </w:rPr>
        <w:t>Cfr. Caso Valle Jaramillo y otros Vs. Colombia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 119, y </w:t>
      </w:r>
      <w:r w:rsidRPr="00995557">
        <w:rPr>
          <w:i/>
          <w:iCs/>
        </w:rPr>
        <w:t>Caso Azul Rojas Marín Vs. Perú</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t xml:space="preserve"> párr. 221.</w:t>
      </w:r>
    </w:p>
  </w:footnote>
  <w:footnote w:id="190">
    <w:p w14:paraId="51292C70" w14:textId="77777777" w:rsidR="000B30AA" w:rsidRPr="00995557" w:rsidRDefault="000B30AA" w:rsidP="00AA627A">
      <w:pPr>
        <w:pStyle w:val="Textonotapie"/>
        <w:rPr>
          <w:lang w:val="es-GT"/>
        </w:rPr>
      </w:pPr>
      <w:r w:rsidRPr="00995557">
        <w:rPr>
          <w:rStyle w:val="Refdenotaalpie"/>
        </w:rPr>
        <w:footnoteRef/>
      </w:r>
      <w:r w:rsidRPr="00995557">
        <w:t xml:space="preserve"> </w:t>
      </w:r>
      <w:r w:rsidRPr="00995557">
        <w:tab/>
      </w:r>
      <w:r w:rsidRPr="00995557">
        <w:rPr>
          <w:rFonts w:eastAsiaTheme="minorHAnsi"/>
        </w:rPr>
        <w:t xml:space="preserve">En atención a la jurisprudencia del Tribunal, cabe precisar que, en el caso de </w:t>
      </w:r>
      <w:r w:rsidRPr="00995557">
        <w:t>Elías José Aguirre Navas, cuñado de José Gregorio Bolívar Corro, la vulneración de su derecho a la integridad personal deriva, específicamente, del reconocimiento efectuado por el Estado.</w:t>
      </w:r>
    </w:p>
  </w:footnote>
  <w:footnote w:id="191">
    <w:p w14:paraId="339AB17C" w14:textId="5A1F440C" w:rsidR="000B30AA" w:rsidRPr="00995557" w:rsidRDefault="000B30AA" w:rsidP="00AA627A">
      <w:pPr>
        <w:pStyle w:val="Textonotapie"/>
      </w:pPr>
      <w:r w:rsidRPr="00995557">
        <w:rPr>
          <w:rStyle w:val="Refdenotaalpie"/>
          <w:rFonts w:cstheme="minorBidi"/>
        </w:rPr>
        <w:footnoteRef/>
      </w:r>
      <w:r w:rsidRPr="00995557">
        <w:t xml:space="preserve"> </w:t>
      </w:r>
      <w:r w:rsidRPr="00995557">
        <w:tab/>
      </w:r>
      <w:r w:rsidRPr="00995557">
        <w:rPr>
          <w:i/>
          <w:iCs/>
        </w:rPr>
        <w:t>Cfr. Caso Velásquez Rodríguez Vs. Honduras. Reparaciones y Costas</w:t>
      </w:r>
      <w:r w:rsidRPr="00995557">
        <w:t xml:space="preserve">. Sentencia de 21 de julio de 1989. Serie C No. 7, párrs. 24 y 25, y </w:t>
      </w:r>
      <w:r w:rsidR="006A6268" w:rsidRPr="00995557">
        <w:rPr>
          <w:rFonts w:cs="Arial"/>
          <w:i/>
          <w:shd w:val="clear" w:color="auto" w:fill="FFFFFF"/>
        </w:rPr>
        <w:t>Caso Martínez Esquivia Vs. Colombia. Excepciones preliminares, Fondo y Reparaciones.</w:t>
      </w:r>
      <w:r w:rsidR="006A6268" w:rsidRPr="00995557">
        <w:rPr>
          <w:rFonts w:cs="Arial"/>
          <w:shd w:val="clear" w:color="auto" w:fill="FFFFFF"/>
        </w:rPr>
        <w:t xml:space="preserve"> Sentencia de 6 de octubre de 2020. Serie C No. 412,</w:t>
      </w:r>
      <w:r w:rsidR="006A6268" w:rsidRPr="00995557">
        <w:rPr>
          <w:rFonts w:cs="Arial"/>
          <w:i/>
          <w:shd w:val="clear" w:color="auto" w:fill="FFFFFF"/>
        </w:rPr>
        <w:t xml:space="preserve"> </w:t>
      </w:r>
      <w:r w:rsidR="006A6268" w:rsidRPr="00995557">
        <w:rPr>
          <w:rFonts w:cs="Arial"/>
          <w:shd w:val="clear" w:color="auto" w:fill="FFFFFF"/>
        </w:rPr>
        <w:t>párr. 147</w:t>
      </w:r>
      <w:r w:rsidR="006A6268" w:rsidRPr="00995557">
        <w:t>.</w:t>
      </w:r>
    </w:p>
  </w:footnote>
  <w:footnote w:id="192">
    <w:p w14:paraId="5097B1FF" w14:textId="5B71D134" w:rsidR="000B30AA" w:rsidRPr="00995557" w:rsidRDefault="000B30AA" w:rsidP="00AA627A">
      <w:pPr>
        <w:pStyle w:val="Textonotapie"/>
      </w:pPr>
      <w:r w:rsidRPr="00995557">
        <w:rPr>
          <w:rStyle w:val="Refdenotaalpie"/>
        </w:rPr>
        <w:footnoteRef/>
      </w:r>
      <w:r w:rsidRPr="00995557">
        <w:t xml:space="preserve"> </w:t>
      </w:r>
      <w:r w:rsidRPr="00995557">
        <w:tab/>
      </w:r>
      <w:r w:rsidRPr="00995557">
        <w:rPr>
          <w:i/>
        </w:rPr>
        <w:t>Cfr. Caso de la Masacre de Las Dos Erres Vs. Guatemala, Excepción Preliminar, Fondo, Reparaciones y Costas</w:t>
      </w:r>
      <w:r w:rsidRPr="00995557">
        <w:t xml:space="preserve">. Sentencia de 24 de noviembre de 2009. Serie C No. 211, párr. 226, y </w:t>
      </w:r>
      <w:r w:rsidR="006A6268" w:rsidRPr="00995557">
        <w:rPr>
          <w:rFonts w:cs="Arial"/>
          <w:i/>
          <w:shd w:val="clear" w:color="auto" w:fill="FFFFFF"/>
        </w:rPr>
        <w:t>Caso Martínez Esquivia Vs. Colombia</w:t>
      </w:r>
      <w:r w:rsidR="006A6268" w:rsidRPr="00995557">
        <w:rPr>
          <w:rFonts w:cs="Arial"/>
          <w:shd w:val="clear" w:color="auto" w:fill="FFFFFF"/>
        </w:rPr>
        <w:t>,</w:t>
      </w:r>
      <w:r w:rsidR="006A6268" w:rsidRPr="00995557">
        <w:rPr>
          <w:rFonts w:cs="Arial"/>
          <w:i/>
          <w:shd w:val="clear" w:color="auto" w:fill="FFFFFF"/>
        </w:rPr>
        <w:t xml:space="preserve"> supra</w:t>
      </w:r>
      <w:r w:rsidR="006A6268" w:rsidRPr="00995557">
        <w:rPr>
          <w:rFonts w:cs="Arial"/>
          <w:shd w:val="clear" w:color="auto" w:fill="FFFFFF"/>
        </w:rPr>
        <w:t>,</w:t>
      </w:r>
      <w:r w:rsidR="006A6268" w:rsidRPr="00995557">
        <w:rPr>
          <w:rFonts w:cs="Arial"/>
          <w:i/>
          <w:shd w:val="clear" w:color="auto" w:fill="FFFFFF"/>
        </w:rPr>
        <w:t xml:space="preserve"> </w:t>
      </w:r>
      <w:r w:rsidR="006A6268" w:rsidRPr="00995557">
        <w:rPr>
          <w:rFonts w:cs="Arial"/>
          <w:shd w:val="clear" w:color="auto" w:fill="FFFFFF"/>
        </w:rPr>
        <w:t>párr. 148</w:t>
      </w:r>
      <w:r w:rsidR="006A6268" w:rsidRPr="00995557">
        <w:t>.</w:t>
      </w:r>
    </w:p>
  </w:footnote>
  <w:footnote w:id="193">
    <w:p w14:paraId="66945635" w14:textId="5331E20D" w:rsidR="000B30AA" w:rsidRPr="00995557" w:rsidRDefault="000B30AA" w:rsidP="00AA627A">
      <w:pPr>
        <w:pStyle w:val="Textonotapie"/>
      </w:pPr>
      <w:r w:rsidRPr="00995557">
        <w:rPr>
          <w:rStyle w:val="Refdenotaalpie"/>
          <w:rFonts w:cstheme="minorBidi"/>
        </w:rPr>
        <w:footnoteRef/>
      </w:r>
      <w:r w:rsidRPr="00995557">
        <w:rPr>
          <w:vertAlign w:val="superscript"/>
        </w:rPr>
        <w:t xml:space="preserve"> </w:t>
      </w:r>
      <w:r w:rsidRPr="00995557">
        <w:tab/>
      </w:r>
      <w:r w:rsidRPr="00995557">
        <w:rPr>
          <w:i/>
          <w:iCs/>
        </w:rPr>
        <w:t>Cfr. Caso Ticona Estrada y otros Vs. Bolivia. Fondo, Reparaciones y Costas.</w:t>
      </w:r>
      <w:r w:rsidRPr="00995557">
        <w:t xml:space="preserve"> Sentencia de 27 de noviembre de 2008. Serie C No. 191, párr. 110, y </w:t>
      </w:r>
      <w:r w:rsidR="006A6268" w:rsidRPr="00995557">
        <w:rPr>
          <w:rFonts w:cs="Arial"/>
          <w:i/>
          <w:shd w:val="clear" w:color="auto" w:fill="FFFFFF"/>
        </w:rPr>
        <w:t>Caso Martínez Esquivia Vs. Colombia</w:t>
      </w:r>
      <w:r w:rsidR="006A6268" w:rsidRPr="00995557">
        <w:rPr>
          <w:rFonts w:cs="Arial"/>
          <w:shd w:val="clear" w:color="auto" w:fill="FFFFFF"/>
        </w:rPr>
        <w:t>,</w:t>
      </w:r>
      <w:r w:rsidR="006A6268" w:rsidRPr="00995557">
        <w:rPr>
          <w:rFonts w:cs="Arial"/>
          <w:i/>
          <w:shd w:val="clear" w:color="auto" w:fill="FFFFFF"/>
        </w:rPr>
        <w:t xml:space="preserve"> supra</w:t>
      </w:r>
      <w:r w:rsidR="006A6268" w:rsidRPr="00995557">
        <w:rPr>
          <w:rFonts w:cs="Arial"/>
          <w:shd w:val="clear" w:color="auto" w:fill="FFFFFF"/>
        </w:rPr>
        <w:t>,</w:t>
      </w:r>
      <w:r w:rsidR="006A6268" w:rsidRPr="00995557">
        <w:rPr>
          <w:rFonts w:cs="Arial"/>
          <w:i/>
          <w:shd w:val="clear" w:color="auto" w:fill="FFFFFF"/>
        </w:rPr>
        <w:t xml:space="preserve"> </w:t>
      </w:r>
      <w:r w:rsidR="006A6268" w:rsidRPr="00995557">
        <w:rPr>
          <w:rFonts w:cs="Arial"/>
          <w:shd w:val="clear" w:color="auto" w:fill="FFFFFF"/>
        </w:rPr>
        <w:t>párr. 149</w:t>
      </w:r>
      <w:r w:rsidR="006A6268" w:rsidRPr="00995557">
        <w:t>.</w:t>
      </w:r>
    </w:p>
  </w:footnote>
  <w:footnote w:id="194">
    <w:p w14:paraId="4807BFCD" w14:textId="1183B8FB" w:rsidR="000B30AA" w:rsidRPr="00995557" w:rsidRDefault="000B30AA" w:rsidP="00AA627A">
      <w:pPr>
        <w:pStyle w:val="Textonotapie"/>
        <w:rPr>
          <w:rFonts w:eastAsia="Verdana" w:cs="Verdana"/>
          <w:lang w:val="es-ES"/>
        </w:rPr>
      </w:pPr>
      <w:r w:rsidRPr="00995557">
        <w:rPr>
          <w:rStyle w:val="Refdenotaalpie"/>
        </w:rPr>
        <w:footnoteRef/>
      </w:r>
      <w:r w:rsidRPr="00995557">
        <w:t xml:space="preserve"> </w:t>
      </w:r>
      <w:r w:rsidRPr="00995557">
        <w:tab/>
      </w:r>
      <w:r w:rsidRPr="00995557">
        <w:rPr>
          <w:i/>
        </w:rPr>
        <w:t>Cfr.</w:t>
      </w:r>
      <w:r w:rsidRPr="00995557">
        <w:rPr>
          <w:rFonts w:eastAsia="Verdana" w:cs="Verdana"/>
          <w:i/>
          <w:lang w:val="es-ES"/>
        </w:rPr>
        <w:t xml:space="preserve"> Caso Barrios Altos Vs. Perú. Fondo. </w:t>
      </w:r>
      <w:r w:rsidRPr="00995557">
        <w:rPr>
          <w:rFonts w:eastAsia="Verdana" w:cs="Verdana"/>
          <w:lang w:val="es-ES"/>
        </w:rPr>
        <w:t xml:space="preserve">Sentencia de 14 de marzo de 2001. Serie C No. 75, párr. 41, y </w:t>
      </w:r>
      <w:r w:rsidRPr="00995557">
        <w:rPr>
          <w:rFonts w:eastAsia="Verdana" w:cs="Verdana"/>
          <w:i/>
          <w:lang w:val="es-ES"/>
        </w:rPr>
        <w:t>Caso Alvarado Espinoza y otros Vs. México</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rFonts w:eastAsia="Verdana" w:cs="Verdana"/>
          <w:i/>
          <w:lang w:val="es-ES"/>
        </w:rPr>
        <w:t xml:space="preserve"> </w:t>
      </w:r>
      <w:r w:rsidRPr="00995557">
        <w:rPr>
          <w:rFonts w:eastAsia="Verdana" w:cs="Verdana"/>
          <w:lang w:val="es-ES"/>
        </w:rPr>
        <w:t>párr. 301.</w:t>
      </w:r>
    </w:p>
  </w:footnote>
  <w:footnote w:id="195">
    <w:p w14:paraId="40ACE445" w14:textId="59CC0E07" w:rsidR="000B30AA" w:rsidRPr="00995557" w:rsidRDefault="000B30AA" w:rsidP="00AA627A">
      <w:pPr>
        <w:tabs>
          <w:tab w:val="left" w:pos="567"/>
        </w:tabs>
        <w:spacing w:before="120" w:after="120"/>
        <w:ind w:right="-20"/>
        <w:jc w:val="both"/>
        <w:rPr>
          <w:rFonts w:eastAsia="Verdana" w:cs="Verdana"/>
          <w:sz w:val="16"/>
          <w:szCs w:val="16"/>
          <w:lang w:val="es-ES"/>
        </w:rPr>
      </w:pPr>
      <w:r w:rsidRPr="00995557">
        <w:rPr>
          <w:rStyle w:val="Refdenotaalpie"/>
          <w:sz w:val="16"/>
          <w:szCs w:val="16"/>
        </w:rPr>
        <w:footnoteRef/>
      </w:r>
      <w:r w:rsidRPr="00995557">
        <w:rPr>
          <w:sz w:val="16"/>
          <w:szCs w:val="16"/>
        </w:rPr>
        <w:t xml:space="preserve"> </w:t>
      </w:r>
      <w:r w:rsidRPr="00995557">
        <w:rPr>
          <w:sz w:val="16"/>
          <w:szCs w:val="16"/>
        </w:rPr>
        <w:tab/>
      </w:r>
      <w:r w:rsidRPr="00995557">
        <w:rPr>
          <w:i/>
          <w:sz w:val="16"/>
          <w:szCs w:val="16"/>
        </w:rPr>
        <w:t xml:space="preserve">Cfr. Caso García Prieto y otro Vs. El Salvador. Excepciones preliminares, Fondo, Reparaciones y Costas. </w:t>
      </w:r>
      <w:r w:rsidRPr="00995557">
        <w:rPr>
          <w:sz w:val="16"/>
          <w:szCs w:val="16"/>
        </w:rPr>
        <w:t xml:space="preserve">Sentencia de 20 de noviembre de 2007. Serie C No. 168, párr. 121, y </w:t>
      </w:r>
      <w:r w:rsidRPr="00995557">
        <w:rPr>
          <w:rFonts w:eastAsia="Verdana" w:cs="Verdana"/>
          <w:i/>
          <w:sz w:val="16"/>
          <w:szCs w:val="16"/>
          <w:lang w:val="es-ES"/>
        </w:rPr>
        <w:t>Caso Alvarado Espinoza y otros Vs. México</w:t>
      </w:r>
      <w:r w:rsidRPr="00995557">
        <w:rPr>
          <w:rFonts w:cs="Arial"/>
          <w:sz w:val="16"/>
          <w:szCs w:val="16"/>
          <w:shd w:val="clear" w:color="auto" w:fill="FFFFFF"/>
        </w:rPr>
        <w:t xml:space="preserve">, </w:t>
      </w:r>
      <w:r w:rsidRPr="00995557">
        <w:rPr>
          <w:rFonts w:cs="Arial"/>
          <w:i/>
          <w:sz w:val="16"/>
          <w:szCs w:val="16"/>
          <w:shd w:val="clear" w:color="auto" w:fill="FFFFFF"/>
        </w:rPr>
        <w:t>supra</w:t>
      </w:r>
      <w:r w:rsidRPr="00995557">
        <w:rPr>
          <w:rFonts w:cs="Arial"/>
          <w:sz w:val="16"/>
          <w:szCs w:val="16"/>
          <w:shd w:val="clear" w:color="auto" w:fill="FFFFFF"/>
        </w:rPr>
        <w:t>,</w:t>
      </w:r>
      <w:r w:rsidRPr="00995557">
        <w:rPr>
          <w:rFonts w:eastAsia="Verdana" w:cs="Verdana"/>
          <w:i/>
          <w:sz w:val="16"/>
          <w:szCs w:val="16"/>
          <w:lang w:val="es-ES"/>
        </w:rPr>
        <w:t xml:space="preserve"> </w:t>
      </w:r>
      <w:r w:rsidRPr="00995557">
        <w:rPr>
          <w:rFonts w:eastAsia="Verdana" w:cs="Verdana"/>
          <w:sz w:val="16"/>
          <w:szCs w:val="16"/>
          <w:lang w:val="es-ES"/>
        </w:rPr>
        <w:t>párr. 301.</w:t>
      </w:r>
    </w:p>
  </w:footnote>
  <w:footnote w:id="196">
    <w:p w14:paraId="43BDFB51" w14:textId="5E8BC22F" w:rsidR="000B30AA" w:rsidRPr="00995557" w:rsidRDefault="000B30AA" w:rsidP="00AA627A">
      <w:pPr>
        <w:pStyle w:val="Textonotapie"/>
        <w:rPr>
          <w:lang w:val="es-GT"/>
        </w:rPr>
      </w:pPr>
      <w:r w:rsidRPr="00995557">
        <w:rPr>
          <w:rStyle w:val="Refdenotaalpie"/>
        </w:rPr>
        <w:footnoteRef/>
      </w:r>
      <w:r w:rsidRPr="00995557">
        <w:t xml:space="preserve"> </w:t>
      </w:r>
      <w:r w:rsidRPr="00995557">
        <w:tab/>
      </w:r>
      <w:r w:rsidRPr="00995557">
        <w:rPr>
          <w:rFonts w:eastAsia="Verdana" w:cs="Verdana"/>
          <w:i/>
          <w:lang w:val="es-ES"/>
        </w:rPr>
        <w:t xml:space="preserve">Cfr. Caso Del Caracazo Vs. Venezuela. Reparaciones y Costas. </w:t>
      </w:r>
      <w:r w:rsidRPr="00995557">
        <w:rPr>
          <w:rFonts w:eastAsia="Verdana" w:cs="Verdana"/>
          <w:lang w:val="es-ES"/>
        </w:rPr>
        <w:t xml:space="preserve">Sentencia de 29 de agosto de 2002. Serie C No. 95, párr. 118, y </w:t>
      </w:r>
      <w:r w:rsidRPr="00995557">
        <w:rPr>
          <w:rFonts w:cs="Arial"/>
          <w:i/>
          <w:shd w:val="clear" w:color="auto" w:fill="FFFFFF"/>
        </w:rPr>
        <w:t>Caso Acosta Martínez y otros Vs. Argentina. Fondo, Reparaciones y Costas.</w:t>
      </w:r>
      <w:r w:rsidRPr="00995557">
        <w:rPr>
          <w:rFonts w:cs="Arial"/>
          <w:shd w:val="clear" w:color="auto" w:fill="FFFFFF"/>
        </w:rPr>
        <w:t xml:space="preserve"> Sentencia de 31 de agosto de 2020. Serie C No. 410</w:t>
      </w:r>
      <w:r w:rsidRPr="00995557">
        <w:t>,</w:t>
      </w:r>
      <w:r w:rsidRPr="00995557">
        <w:rPr>
          <w:i/>
        </w:rPr>
        <w:t xml:space="preserve"> </w:t>
      </w:r>
      <w:r w:rsidRPr="00995557">
        <w:rPr>
          <w:iCs/>
        </w:rPr>
        <w:t>párr. 230.</w:t>
      </w:r>
    </w:p>
  </w:footnote>
  <w:footnote w:id="197">
    <w:p w14:paraId="0E3E7343" w14:textId="371190C0" w:rsidR="000B30AA" w:rsidRPr="00995557" w:rsidRDefault="000B30AA" w:rsidP="00AA627A">
      <w:pPr>
        <w:tabs>
          <w:tab w:val="left" w:pos="567"/>
        </w:tabs>
        <w:spacing w:before="120" w:after="120"/>
        <w:jc w:val="both"/>
        <w:rPr>
          <w:sz w:val="16"/>
          <w:szCs w:val="16"/>
          <w:lang w:val="es-MX"/>
        </w:rPr>
      </w:pPr>
      <w:r w:rsidRPr="00995557">
        <w:rPr>
          <w:rStyle w:val="Refdenotaalpie"/>
          <w:sz w:val="16"/>
          <w:szCs w:val="16"/>
        </w:rPr>
        <w:footnoteRef/>
      </w:r>
      <w:r w:rsidRPr="00995557">
        <w:rPr>
          <w:sz w:val="16"/>
          <w:szCs w:val="16"/>
        </w:rPr>
        <w:t xml:space="preserve"> </w:t>
      </w:r>
      <w:r w:rsidRPr="00995557">
        <w:rPr>
          <w:sz w:val="16"/>
          <w:szCs w:val="16"/>
          <w:lang w:val="es-MX"/>
        </w:rPr>
        <w:t xml:space="preserve"> </w:t>
      </w:r>
      <w:r w:rsidRPr="00995557">
        <w:rPr>
          <w:sz w:val="16"/>
          <w:szCs w:val="16"/>
          <w:lang w:val="es-MX"/>
        </w:rPr>
        <w:tab/>
      </w:r>
      <w:r w:rsidRPr="00995557">
        <w:rPr>
          <w:i/>
          <w:iCs/>
          <w:sz w:val="16"/>
          <w:szCs w:val="16"/>
          <w:lang w:val="es-MX"/>
        </w:rPr>
        <w:t xml:space="preserve">Cfr. Caso Barrios Altos Vs. Perú. Reparaciones y Costas. </w:t>
      </w:r>
      <w:r w:rsidRPr="00995557">
        <w:rPr>
          <w:sz w:val="16"/>
          <w:szCs w:val="16"/>
          <w:lang w:val="es-MX"/>
        </w:rPr>
        <w:t xml:space="preserve">Sentencia de 30 de noviembre de 2001. Serie C No. 87, párr. 42 y 45, </w:t>
      </w:r>
      <w:r w:rsidRPr="00995557">
        <w:rPr>
          <w:sz w:val="16"/>
          <w:szCs w:val="16"/>
        </w:rPr>
        <w:t xml:space="preserve">y </w:t>
      </w:r>
      <w:r w:rsidRPr="00995557">
        <w:rPr>
          <w:rFonts w:cs="Arial"/>
          <w:i/>
          <w:sz w:val="16"/>
          <w:szCs w:val="16"/>
          <w:shd w:val="clear" w:color="auto" w:fill="FFFFFF"/>
        </w:rPr>
        <w:t>Caso de los Empleados de la Fábrica de Fuegos de Santo Antônio de Jesus Vs. Brasil</w:t>
      </w:r>
      <w:r w:rsidRPr="00995557">
        <w:rPr>
          <w:rFonts w:cs="Arial"/>
          <w:sz w:val="16"/>
          <w:szCs w:val="16"/>
          <w:shd w:val="clear" w:color="auto" w:fill="FFFFFF"/>
        </w:rPr>
        <w:t xml:space="preserve">, </w:t>
      </w:r>
      <w:r w:rsidRPr="00995557">
        <w:rPr>
          <w:i/>
          <w:sz w:val="16"/>
          <w:szCs w:val="16"/>
        </w:rPr>
        <w:t>supra</w:t>
      </w:r>
      <w:r w:rsidRPr="00995557">
        <w:rPr>
          <w:sz w:val="16"/>
          <w:szCs w:val="16"/>
        </w:rPr>
        <w:t>, párr. 272.</w:t>
      </w:r>
    </w:p>
  </w:footnote>
  <w:footnote w:id="198">
    <w:p w14:paraId="5D88BD06" w14:textId="77777777" w:rsidR="000B30AA" w:rsidRPr="00995557" w:rsidRDefault="000B30AA" w:rsidP="00AA627A">
      <w:pPr>
        <w:pStyle w:val="Textonotapie"/>
        <w:rPr>
          <w:rFonts w:eastAsia="Times New Roman"/>
          <w:lang w:eastAsia="es-CR"/>
        </w:rPr>
      </w:pPr>
      <w:r w:rsidRPr="00995557">
        <w:rPr>
          <w:rStyle w:val="Refdenotaalpie"/>
        </w:rPr>
        <w:footnoteRef/>
      </w:r>
      <w:r w:rsidRPr="00995557">
        <w:t xml:space="preserve"> </w:t>
      </w:r>
      <w:r w:rsidRPr="00995557">
        <w:rPr>
          <w:lang w:val="es-ES"/>
        </w:rPr>
        <w:tab/>
      </w:r>
      <w:r w:rsidRPr="00995557">
        <w:rPr>
          <w:i/>
          <w:lang w:val="es-ES"/>
        </w:rPr>
        <w:t>Cfr</w:t>
      </w:r>
      <w:r w:rsidRPr="00995557">
        <w:rPr>
          <w:lang w:val="es-ES"/>
        </w:rPr>
        <w:t xml:space="preserve">. </w:t>
      </w:r>
      <w:r w:rsidRPr="00995557">
        <w:rPr>
          <w:i/>
        </w:rPr>
        <w:t>Caso Tibi Vs. Ecuador. Excepciones Preliminares, Fondo, Reparaciones y Costas.</w:t>
      </w:r>
      <w:r w:rsidRPr="00995557">
        <w:t xml:space="preserve"> Sentencia de 7 de septiembre de 2004. Serie C No. 114, párr. 156, y </w:t>
      </w:r>
      <w:r w:rsidRPr="00995557">
        <w:rPr>
          <w:rFonts w:eastAsia="Times New Roman" w:cs="Arial"/>
          <w:i/>
          <w:shd w:val="clear" w:color="auto" w:fill="FFFFFF"/>
          <w:lang w:eastAsia="es-CR"/>
        </w:rPr>
        <w:t>Caso Rodríguez Revolorio y otros Vs. Guatemala. Excepción Preliminar, Fondo, Reparaciones y Costas.</w:t>
      </w:r>
      <w:r w:rsidRPr="00995557">
        <w:rPr>
          <w:rFonts w:eastAsia="Times New Roman" w:cs="Arial"/>
          <w:shd w:val="clear" w:color="auto" w:fill="FFFFFF"/>
          <w:lang w:eastAsia="es-CR"/>
        </w:rPr>
        <w:t xml:space="preserve"> Sentencia de 14 de octubre de 2019. Serie C No. 387, párr. 90.</w:t>
      </w:r>
    </w:p>
  </w:footnote>
  <w:footnote w:id="199">
    <w:p w14:paraId="61C87A2D" w14:textId="2DA1FC6E"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 xml:space="preserve">Cfr. Caso Poblete Vilches y otros Vs. Chile. Fondo, Reparaciones y Costas. </w:t>
      </w:r>
      <w:r w:rsidRPr="00995557">
        <w:rPr>
          <w:iCs/>
        </w:rPr>
        <w:t>Sentencia de 8 de marzo de 2018. Serie C No. 349, párr. 231,</w:t>
      </w:r>
      <w:r w:rsidRPr="00995557">
        <w:rPr>
          <w:i/>
        </w:rPr>
        <w:t xml:space="preserve"> </w:t>
      </w:r>
      <w:r w:rsidRPr="00995557">
        <w:t xml:space="preserve">y </w:t>
      </w:r>
      <w:r w:rsidRPr="00995557">
        <w:rPr>
          <w:rFonts w:cs="Arial"/>
          <w:i/>
          <w:shd w:val="clear" w:color="auto" w:fill="FFFFFF"/>
        </w:rPr>
        <w:t>Caso Guzmán Albarracín y otras Vs. Ecuador</w:t>
      </w:r>
      <w:r w:rsidRPr="00995557">
        <w:rPr>
          <w:rFonts w:cs="Arial"/>
          <w:shd w:val="clear" w:color="auto" w:fill="FFFFFF"/>
        </w:rPr>
        <w:t xml:space="preserve">, </w:t>
      </w:r>
      <w:r w:rsidRPr="00995557">
        <w:rPr>
          <w:i/>
        </w:rPr>
        <w:t>supra</w:t>
      </w:r>
      <w:r w:rsidRPr="00995557">
        <w:t>,</w:t>
      </w:r>
      <w:r w:rsidRPr="00995557">
        <w:rPr>
          <w:rFonts w:cs="Arial"/>
          <w:i/>
          <w:shd w:val="clear" w:color="auto" w:fill="FFFFFF"/>
        </w:rPr>
        <w:t xml:space="preserve"> </w:t>
      </w:r>
      <w:r w:rsidRPr="00995557">
        <w:t>párr. 226.</w:t>
      </w:r>
    </w:p>
  </w:footnote>
  <w:footnote w:id="200">
    <w:p w14:paraId="6303F8DF" w14:textId="73FA5816" w:rsidR="000B30AA" w:rsidRPr="00995557" w:rsidRDefault="000B30AA" w:rsidP="00AA627A">
      <w:pPr>
        <w:pStyle w:val="Textonotapie"/>
        <w:rPr>
          <w:lang w:val="es-MX"/>
        </w:rPr>
      </w:pPr>
      <w:r w:rsidRPr="00995557">
        <w:rPr>
          <w:rStyle w:val="Refdenotaalpie"/>
        </w:rPr>
        <w:footnoteRef/>
      </w:r>
      <w:r w:rsidRPr="00995557">
        <w:t xml:space="preserve">  </w:t>
      </w:r>
      <w:r w:rsidRPr="00995557">
        <w:tab/>
      </w:r>
      <w:r w:rsidRPr="00995557">
        <w:rPr>
          <w:i/>
        </w:rPr>
        <w:t>Cfr. Caso de la Masacre de Las Dos Erres Vs. Guatemala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i/>
        </w:rPr>
        <w:t xml:space="preserve"> </w:t>
      </w:r>
      <w:r w:rsidRPr="00995557">
        <w:rPr>
          <w:iCs/>
        </w:rPr>
        <w:t xml:space="preserve">párr. 270, </w:t>
      </w:r>
      <w:r w:rsidRPr="00995557">
        <w:rPr>
          <w:lang w:val="es-MX"/>
        </w:rPr>
        <w:t xml:space="preserve">y </w:t>
      </w:r>
      <w:r w:rsidRPr="00995557">
        <w:rPr>
          <w:i/>
          <w:iCs/>
          <w:lang w:val="es-MX"/>
        </w:rPr>
        <w:t>Caso Azul Rojas Marín y otra Vs. Perú</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lang w:val="es-MX"/>
        </w:rPr>
        <w:t xml:space="preserve"> párr. 236.</w:t>
      </w:r>
    </w:p>
  </w:footnote>
  <w:footnote w:id="201">
    <w:p w14:paraId="2A6F6BC3" w14:textId="1A6D3B50" w:rsidR="000B30AA" w:rsidRPr="00995557" w:rsidRDefault="000B30AA" w:rsidP="00AA627A">
      <w:pPr>
        <w:pStyle w:val="Textonotapie"/>
        <w:rPr>
          <w:lang w:val="es-MX"/>
        </w:rPr>
      </w:pPr>
      <w:r w:rsidRPr="00995557">
        <w:rPr>
          <w:rStyle w:val="Refdenotaalpie"/>
        </w:rPr>
        <w:footnoteRef/>
      </w:r>
      <w:r w:rsidRPr="00995557">
        <w:t xml:space="preserve"> </w:t>
      </w:r>
      <w:r w:rsidRPr="00995557">
        <w:rPr>
          <w:lang w:val="es-MX"/>
        </w:rPr>
        <w:t xml:space="preserve"> </w:t>
      </w:r>
      <w:r w:rsidRPr="00995557">
        <w:rPr>
          <w:lang w:val="es-MX"/>
        </w:rPr>
        <w:tab/>
      </w:r>
      <w:r w:rsidRPr="00995557">
        <w:rPr>
          <w:i/>
          <w:lang w:val="es-MX"/>
        </w:rPr>
        <w:t>Cfr. Caso de la Masacre de Las Dos Erres Vs. Guatemala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lang w:val="es-MX"/>
        </w:rPr>
        <w:t xml:space="preserve"> </w:t>
      </w:r>
      <w:r w:rsidRPr="00995557">
        <w:rPr>
          <w:iCs/>
          <w:lang w:val="es-MX"/>
        </w:rPr>
        <w:t xml:space="preserve">párr. 270, </w:t>
      </w:r>
      <w:r w:rsidRPr="00995557">
        <w:t xml:space="preserve">y </w:t>
      </w:r>
      <w:r w:rsidRPr="00995557">
        <w:rPr>
          <w:rFonts w:cs="Arial"/>
          <w:i/>
          <w:shd w:val="clear" w:color="auto" w:fill="FFFFFF"/>
        </w:rPr>
        <w:t>Caso Guzmán Albarracín y otras Vs. Ecuador</w:t>
      </w:r>
      <w:r w:rsidRPr="00995557">
        <w:rPr>
          <w:rFonts w:cs="Arial"/>
          <w:shd w:val="clear" w:color="auto" w:fill="FFFFFF"/>
        </w:rPr>
        <w:t xml:space="preserve">, </w:t>
      </w:r>
      <w:r w:rsidRPr="00995557">
        <w:rPr>
          <w:i/>
        </w:rPr>
        <w:t>supra</w:t>
      </w:r>
      <w:r w:rsidRPr="00995557">
        <w:t>,</w:t>
      </w:r>
      <w:r w:rsidRPr="00995557">
        <w:rPr>
          <w:rFonts w:cs="Arial"/>
          <w:i/>
          <w:shd w:val="clear" w:color="auto" w:fill="FFFFFF"/>
        </w:rPr>
        <w:t xml:space="preserve"> </w:t>
      </w:r>
      <w:r w:rsidRPr="00995557">
        <w:t>párr. 226.</w:t>
      </w:r>
    </w:p>
  </w:footnote>
  <w:footnote w:id="202">
    <w:p w14:paraId="2A5D0BA3" w14:textId="243CB012" w:rsidR="000B30AA" w:rsidRPr="00995557" w:rsidRDefault="000B30AA" w:rsidP="00AA627A">
      <w:pPr>
        <w:pStyle w:val="Textonotapie"/>
        <w:rPr>
          <w:lang w:val="es-MX"/>
        </w:rPr>
      </w:pPr>
      <w:r w:rsidRPr="00995557">
        <w:rPr>
          <w:rStyle w:val="Refdenotaalpie"/>
        </w:rPr>
        <w:footnoteRef/>
      </w:r>
      <w:r w:rsidRPr="00995557">
        <w:t xml:space="preserve"> </w:t>
      </w:r>
      <w:r w:rsidRPr="00995557">
        <w:rPr>
          <w:lang w:val="es-MX"/>
        </w:rPr>
        <w:t xml:space="preserve"> </w:t>
      </w:r>
      <w:r w:rsidRPr="00995557">
        <w:rPr>
          <w:lang w:val="es-MX"/>
        </w:rPr>
        <w:tab/>
      </w:r>
      <w:r w:rsidRPr="00995557">
        <w:rPr>
          <w:i/>
          <w:lang w:val="es-MX"/>
        </w:rPr>
        <w:t>Cfr. Caso Rosendo Cantú y otra Vs. México</w:t>
      </w:r>
      <w:r w:rsidRPr="00995557">
        <w:rPr>
          <w:lang w:val="es-MX"/>
        </w:rPr>
        <w:t>,</w:t>
      </w:r>
      <w:r w:rsidRPr="00995557">
        <w:rPr>
          <w:i/>
          <w:lang w:val="es-MX"/>
        </w:rPr>
        <w:t xml:space="preserve"> supra</w:t>
      </w:r>
      <w:r w:rsidRPr="00995557">
        <w:rPr>
          <w:lang w:val="es-MX"/>
        </w:rPr>
        <w:t>,</w:t>
      </w:r>
      <w:r w:rsidRPr="00995557">
        <w:rPr>
          <w:i/>
          <w:lang w:val="es-MX"/>
        </w:rPr>
        <w:t xml:space="preserve"> </w:t>
      </w:r>
      <w:r w:rsidRPr="00995557">
        <w:rPr>
          <w:iCs/>
          <w:lang w:val="es-MX"/>
        </w:rPr>
        <w:t>párr. 253,</w:t>
      </w:r>
      <w:r w:rsidRPr="00995557">
        <w:rPr>
          <w:lang w:val="es-MX"/>
        </w:rPr>
        <w:t xml:space="preserve"> </w:t>
      </w:r>
      <w:r w:rsidRPr="00995557">
        <w:t xml:space="preserve">y </w:t>
      </w:r>
      <w:r w:rsidRPr="00995557">
        <w:rPr>
          <w:rFonts w:cs="Arial"/>
          <w:i/>
          <w:shd w:val="clear" w:color="auto" w:fill="FFFFFF"/>
        </w:rPr>
        <w:t>Caso Guzmán Albarracín y otras Vs. Ecuador</w:t>
      </w:r>
      <w:r w:rsidRPr="00995557">
        <w:rPr>
          <w:rFonts w:cs="Arial"/>
          <w:shd w:val="clear" w:color="auto" w:fill="FFFFFF"/>
        </w:rPr>
        <w:t xml:space="preserve">, </w:t>
      </w:r>
      <w:r w:rsidRPr="00995557">
        <w:rPr>
          <w:i/>
        </w:rPr>
        <w:t>supra</w:t>
      </w:r>
      <w:r w:rsidRPr="00995557">
        <w:t>,</w:t>
      </w:r>
      <w:r w:rsidRPr="00995557">
        <w:rPr>
          <w:rFonts w:cs="Arial"/>
          <w:i/>
          <w:shd w:val="clear" w:color="auto" w:fill="FFFFFF"/>
        </w:rPr>
        <w:t xml:space="preserve"> </w:t>
      </w:r>
      <w:r w:rsidRPr="00995557">
        <w:t>párr. 227.</w:t>
      </w:r>
    </w:p>
  </w:footnote>
  <w:footnote w:id="203">
    <w:p w14:paraId="2033B648" w14:textId="3CBEC25C" w:rsidR="000B30AA" w:rsidRPr="00995557" w:rsidRDefault="000B30AA" w:rsidP="00AA627A">
      <w:pPr>
        <w:pStyle w:val="Textonotapie"/>
      </w:pPr>
      <w:r w:rsidRPr="00995557">
        <w:rPr>
          <w:rStyle w:val="Refdenotaalpie"/>
          <w:lang w:val="es-ES"/>
        </w:rPr>
        <w:footnoteRef/>
      </w:r>
      <w:r w:rsidRPr="00995557">
        <w:rPr>
          <w:lang w:val="es-ES"/>
        </w:rPr>
        <w:t xml:space="preserve"> </w:t>
      </w:r>
      <w:r w:rsidRPr="00995557">
        <w:rPr>
          <w:lang w:val="es-ES"/>
        </w:rPr>
        <w:tab/>
      </w:r>
      <w:r w:rsidRPr="00995557">
        <w:rPr>
          <w:i/>
          <w:iCs/>
          <w:lang w:val="es-ES"/>
        </w:rPr>
        <w:t xml:space="preserve">Cfr. Caso Cantoral Benavides Vs. Perú. Reparaciones y Costas. </w:t>
      </w:r>
      <w:r w:rsidRPr="00995557">
        <w:rPr>
          <w:iCs/>
          <w:lang w:val="es-ES"/>
        </w:rPr>
        <w:t>Sentencia de 3 de diciembre de 2001. Serie C No. 88</w:t>
      </w:r>
      <w:r w:rsidRPr="00995557">
        <w:rPr>
          <w:lang w:val="es-ES"/>
        </w:rPr>
        <w:t xml:space="preserve">, párr. 79, </w:t>
      </w:r>
      <w:r w:rsidRPr="00995557">
        <w:rPr>
          <w:lang w:val="es-MX"/>
        </w:rPr>
        <w:t xml:space="preserve">y </w:t>
      </w:r>
      <w:r w:rsidR="00426CC5" w:rsidRPr="00995557">
        <w:rPr>
          <w:rFonts w:cs="Arial"/>
          <w:i/>
          <w:shd w:val="clear" w:color="auto" w:fill="FFFFFF"/>
        </w:rPr>
        <w:t>Caso Martínez Esquivia Vs. Colombia</w:t>
      </w:r>
      <w:r w:rsidR="00426CC5" w:rsidRPr="00995557">
        <w:rPr>
          <w:rFonts w:cs="Arial"/>
          <w:shd w:val="clear" w:color="auto" w:fill="FFFFFF"/>
        </w:rPr>
        <w:t>,</w:t>
      </w:r>
      <w:r w:rsidR="00426CC5" w:rsidRPr="00995557">
        <w:rPr>
          <w:rFonts w:cs="Arial"/>
          <w:i/>
          <w:shd w:val="clear" w:color="auto" w:fill="FFFFFF"/>
        </w:rPr>
        <w:t xml:space="preserve"> supra</w:t>
      </w:r>
      <w:r w:rsidR="00426CC5" w:rsidRPr="00995557">
        <w:rPr>
          <w:rFonts w:cs="Arial"/>
          <w:shd w:val="clear" w:color="auto" w:fill="FFFFFF"/>
        </w:rPr>
        <w:t>,</w:t>
      </w:r>
      <w:r w:rsidR="00426CC5" w:rsidRPr="00995557">
        <w:rPr>
          <w:rFonts w:cs="Arial"/>
          <w:i/>
          <w:shd w:val="clear" w:color="auto" w:fill="FFFFFF"/>
        </w:rPr>
        <w:t xml:space="preserve"> </w:t>
      </w:r>
      <w:r w:rsidR="00426CC5" w:rsidRPr="00995557">
        <w:rPr>
          <w:rFonts w:cs="Arial"/>
          <w:shd w:val="clear" w:color="auto" w:fill="FFFFFF"/>
        </w:rPr>
        <w:t>párr. 158</w:t>
      </w:r>
      <w:r w:rsidR="00426CC5" w:rsidRPr="00995557">
        <w:t>.</w:t>
      </w:r>
    </w:p>
  </w:footnote>
  <w:footnote w:id="204">
    <w:p w14:paraId="7AE4B435" w14:textId="3249B009" w:rsidR="000B30AA" w:rsidRPr="00995557" w:rsidRDefault="000B30AA" w:rsidP="00AA627A">
      <w:pPr>
        <w:pStyle w:val="Textonotapie"/>
      </w:pPr>
      <w:r w:rsidRPr="00995557">
        <w:rPr>
          <w:rStyle w:val="Refdenotaalpie"/>
        </w:rPr>
        <w:footnoteRef/>
      </w:r>
      <w:r w:rsidRPr="00995557">
        <w:t xml:space="preserve"> </w:t>
      </w:r>
      <w:r w:rsidRPr="00995557">
        <w:rPr>
          <w:lang w:val="es-GT"/>
        </w:rPr>
        <w:tab/>
      </w:r>
      <w:r w:rsidRPr="00995557">
        <w:rPr>
          <w:i/>
        </w:rPr>
        <w:t>Cfr. Caso Rodríguez Vera y otros (Desaparecidos del Palacio de Justicia) Vs. Colombia.</w:t>
      </w:r>
      <w:r w:rsidRPr="00995557">
        <w:rPr>
          <w:rFonts w:cs="Arial"/>
          <w:shd w:val="clear" w:color="auto" w:fill="FFFFFF"/>
        </w:rPr>
        <w:t xml:space="preserve"> </w:t>
      </w:r>
      <w:r w:rsidRPr="00995557">
        <w:rPr>
          <w:rFonts w:cs="Arial"/>
          <w:i/>
          <w:shd w:val="clear" w:color="auto" w:fill="FFFFFF"/>
        </w:rPr>
        <w:t>Excepciones Preliminares, Fondo, Reparaciones y Costas.</w:t>
      </w:r>
      <w:r w:rsidRPr="00995557">
        <w:rPr>
          <w:rFonts w:cs="Arial"/>
          <w:shd w:val="clear" w:color="auto" w:fill="FFFFFF"/>
        </w:rPr>
        <w:t xml:space="preserve"> Sentencia de 14 de noviembre de 2014. Serie C No. 287</w:t>
      </w:r>
      <w:r w:rsidRPr="00995557">
        <w:t xml:space="preserve">, párr. 576, y </w:t>
      </w:r>
      <w:r w:rsidRPr="00995557">
        <w:rPr>
          <w:i/>
        </w:rPr>
        <w:t>Caso Omeara Carrascal y otros Vs. Colombia. Fondo, Reparaciones y Costas.</w:t>
      </w:r>
      <w:r w:rsidRPr="00995557">
        <w:t xml:space="preserve"> Sentencia de 21 de noviembre de 2018. Serie C No. 368, párr. 305.</w:t>
      </w:r>
    </w:p>
  </w:footnote>
  <w:footnote w:id="205">
    <w:p w14:paraId="3F8BF94E" w14:textId="2E8F5DFD" w:rsidR="000B30AA" w:rsidRPr="00995557" w:rsidRDefault="000B30AA" w:rsidP="00AA627A">
      <w:pPr>
        <w:pStyle w:val="Textonotapie"/>
        <w:rPr>
          <w:lang w:val="es-MX"/>
        </w:rPr>
      </w:pPr>
      <w:r w:rsidRPr="00995557">
        <w:rPr>
          <w:rStyle w:val="Refdenotaalpie"/>
        </w:rPr>
        <w:footnoteRef/>
      </w:r>
      <w:r w:rsidRPr="00995557">
        <w:t xml:space="preserve"> </w:t>
      </w:r>
      <w:r w:rsidRPr="00995557">
        <w:tab/>
      </w:r>
      <w:r w:rsidRPr="00995557">
        <w:rPr>
          <w:i/>
          <w:iCs/>
          <w:lang w:val="es-ES"/>
        </w:rPr>
        <w:t>Cfr. Caso Cantoral Benavides Vs. Perú. Reparaciones y Costas</w:t>
      </w:r>
      <w:r w:rsidRPr="00995557">
        <w:rPr>
          <w:iCs/>
          <w:lang w:val="es-ES"/>
        </w:rPr>
        <w:t>,</w:t>
      </w:r>
      <w:r w:rsidRPr="00995557">
        <w:rPr>
          <w:i/>
          <w:iCs/>
          <w:lang w:val="es-ES"/>
        </w:rPr>
        <w:t xml:space="preserve"> supra</w:t>
      </w:r>
      <w:r w:rsidRPr="00995557">
        <w:rPr>
          <w:lang w:val="es-ES"/>
        </w:rPr>
        <w:t>, párr. 81</w:t>
      </w:r>
      <w:r w:rsidRPr="00995557">
        <w:rPr>
          <w:lang w:val="es-MX"/>
        </w:rPr>
        <w:t xml:space="preserve">, </w:t>
      </w:r>
      <w:r w:rsidRPr="00995557">
        <w:t xml:space="preserve">y </w:t>
      </w:r>
      <w:r w:rsidRPr="00995557">
        <w:rPr>
          <w:rFonts w:cs="Arial"/>
          <w:i/>
          <w:shd w:val="clear" w:color="auto" w:fill="FFFFFF"/>
        </w:rPr>
        <w:t>Caso de los Empleados de la Fábrica de Fuegos de Santo Antônio de Jesus Vs. Brasil</w:t>
      </w:r>
      <w:r w:rsidRPr="00995557">
        <w:rPr>
          <w:rFonts w:cs="Arial"/>
          <w:shd w:val="clear" w:color="auto" w:fill="FFFFFF"/>
        </w:rPr>
        <w:t xml:space="preserve">, </w:t>
      </w:r>
      <w:r w:rsidRPr="00995557">
        <w:rPr>
          <w:i/>
        </w:rPr>
        <w:t>supra</w:t>
      </w:r>
      <w:r w:rsidRPr="00995557">
        <w:t>, párr. 281.</w:t>
      </w:r>
    </w:p>
  </w:footnote>
  <w:footnote w:id="206">
    <w:p w14:paraId="2C4F055C" w14:textId="3DD4C769" w:rsidR="000B30AA" w:rsidRPr="00995557" w:rsidRDefault="000B30AA" w:rsidP="00AA627A">
      <w:pPr>
        <w:pStyle w:val="Textonotapie"/>
        <w:rPr>
          <w:lang w:val="es-MX"/>
        </w:rPr>
      </w:pPr>
      <w:r w:rsidRPr="00995557">
        <w:rPr>
          <w:rStyle w:val="Refdenotaalpie"/>
        </w:rPr>
        <w:footnoteRef/>
      </w:r>
      <w:r w:rsidRPr="00995557">
        <w:t xml:space="preserve"> </w:t>
      </w:r>
      <w:r w:rsidRPr="00995557">
        <w:tab/>
      </w:r>
      <w:r w:rsidRPr="00995557">
        <w:rPr>
          <w:i/>
          <w:lang w:val="es-ES"/>
        </w:rPr>
        <w:t xml:space="preserve">Cfr. Caso Radilla Pacheco Vs. México. Excepciones Preliminares, Fondo, Reparaciones y Costas. Sentencia de 23 de noviembre de 2009. Serie C No. 209, </w:t>
      </w:r>
      <w:r w:rsidRPr="00995557">
        <w:rPr>
          <w:iCs/>
          <w:lang w:val="es-ES"/>
        </w:rPr>
        <w:t xml:space="preserve">párr. 353, </w:t>
      </w:r>
      <w:r w:rsidRPr="00995557">
        <w:rPr>
          <w:lang w:val="es-MX"/>
        </w:rPr>
        <w:t xml:space="preserve">y </w:t>
      </w:r>
      <w:r w:rsidRPr="00995557">
        <w:rPr>
          <w:rFonts w:cs="Arial"/>
          <w:i/>
          <w:shd w:val="clear" w:color="auto" w:fill="FFFFFF"/>
        </w:rPr>
        <w:t>Caso de los Empleados de la Fábrica de Fuegos de Santo Antônio de Jesus Vs. Brasil</w:t>
      </w:r>
      <w:r w:rsidRPr="00995557">
        <w:rPr>
          <w:rFonts w:cs="Arial"/>
          <w:shd w:val="clear" w:color="auto" w:fill="FFFFFF"/>
        </w:rPr>
        <w:t xml:space="preserve">, </w:t>
      </w:r>
      <w:r w:rsidRPr="00995557">
        <w:rPr>
          <w:i/>
        </w:rPr>
        <w:t>supra</w:t>
      </w:r>
      <w:r w:rsidRPr="00995557">
        <w:t>, párr. 281.</w:t>
      </w:r>
    </w:p>
  </w:footnote>
  <w:footnote w:id="207">
    <w:p w14:paraId="6E8D5803" w14:textId="77777777" w:rsidR="000B30AA" w:rsidRPr="00995557" w:rsidRDefault="000B30AA" w:rsidP="00AA627A">
      <w:pPr>
        <w:pStyle w:val="Textonotapie"/>
        <w:rPr>
          <w:lang w:val="es-GT"/>
        </w:rPr>
      </w:pPr>
      <w:r w:rsidRPr="00995557">
        <w:rPr>
          <w:rStyle w:val="Refdenotaalpie"/>
        </w:rPr>
        <w:footnoteRef/>
      </w:r>
      <w:r w:rsidRPr="00995557">
        <w:t xml:space="preserve"> </w:t>
      </w:r>
      <w:r w:rsidRPr="00995557">
        <w:rPr>
          <w:lang w:val="es-ES"/>
        </w:rPr>
        <w:tab/>
      </w:r>
      <w:r w:rsidRPr="00995557">
        <w:t>Código Orgánico Penitenciario. Gaceta Oficial de la República Bolivariana de Venezuela No. 6207 Extraordinario de 28 de diciembre de 2015.</w:t>
      </w:r>
      <w:r w:rsidRPr="00995557">
        <w:rPr>
          <w:lang w:val="es-GT"/>
        </w:rPr>
        <w:t xml:space="preserve"> </w:t>
      </w:r>
      <w:r w:rsidRPr="00995557">
        <w:rPr>
          <w:lang w:val="es-ES"/>
        </w:rPr>
        <w:t xml:space="preserve">Disponible en: </w:t>
      </w:r>
      <w:hyperlink r:id="rId10" w:history="1">
        <w:r w:rsidRPr="00995557">
          <w:rPr>
            <w:rStyle w:val="Hipervnculo"/>
            <w:color w:val="auto"/>
            <w:lang w:val="es-ES"/>
          </w:rPr>
          <w:t>https://data.miraquetemiro.org/sites/default/files/documentos/Codigo%20Organico%20Penitenciario%202.pdf</w:t>
        </w:r>
      </w:hyperlink>
      <w:r w:rsidRPr="00995557">
        <w:rPr>
          <w:lang w:val="es-ES"/>
        </w:rPr>
        <w:t xml:space="preserve">. </w:t>
      </w:r>
    </w:p>
  </w:footnote>
  <w:footnote w:id="208">
    <w:p w14:paraId="3F7650C5" w14:textId="77777777" w:rsidR="000B30AA" w:rsidRPr="00995557" w:rsidRDefault="000B30AA" w:rsidP="00AA627A">
      <w:pPr>
        <w:pStyle w:val="Textonotapie"/>
        <w:rPr>
          <w:lang w:val="es-GT"/>
        </w:rPr>
      </w:pPr>
      <w:r w:rsidRPr="00995557">
        <w:rPr>
          <w:rStyle w:val="Refdenotaalpie"/>
        </w:rPr>
        <w:footnoteRef/>
      </w:r>
      <w:r w:rsidRPr="00995557">
        <w:t xml:space="preserve"> </w:t>
      </w:r>
      <w:r w:rsidRPr="00995557">
        <w:tab/>
        <w:t>Dispone la normativa: “</w:t>
      </w:r>
      <w:r w:rsidRPr="00995557">
        <w:rPr>
          <w:rFonts w:cs="Arial"/>
          <w:b/>
          <w:bCs/>
          <w:shd w:val="clear" w:color="auto" w:fill="FFFFFF"/>
          <w:lang w:val="es-ES"/>
        </w:rPr>
        <w:t>Única.</w:t>
      </w:r>
      <w:r w:rsidRPr="00995557">
        <w:rPr>
          <w:shd w:val="clear" w:color="auto" w:fill="FFFFFF"/>
          <w:lang w:val="es-ES"/>
        </w:rPr>
        <w:t> Se derogan la Ley de Régimen Penitenciario, publicada en la </w:t>
      </w:r>
      <w:hyperlink r:id="rId11" w:tgtFrame="_blank" w:history="1">
        <w:r w:rsidRPr="00995557">
          <w:rPr>
            <w:rStyle w:val="Hipervnculo"/>
            <w:color w:val="auto"/>
            <w:u w:val="none"/>
            <w:shd w:val="clear" w:color="auto" w:fill="FFFFFF"/>
            <w:lang w:val="es-ES"/>
          </w:rPr>
          <w:t>Gaceta Oficial de la República Bolivariana de Venezuela N° 36.975</w:t>
        </w:r>
      </w:hyperlink>
      <w:r w:rsidRPr="00995557">
        <w:rPr>
          <w:shd w:val="clear" w:color="auto" w:fill="FFFFFF"/>
          <w:lang w:val="es-ES"/>
        </w:rPr>
        <w:t> de fecha 19 de junio de 2000, la Ley de Redención Judicial de la Pena por el Trabajo y el Estudio, publicada en la </w:t>
      </w:r>
      <w:hyperlink r:id="rId12" w:tgtFrame="_blank" w:history="1">
        <w:r w:rsidRPr="00995557">
          <w:rPr>
            <w:rStyle w:val="Hipervnculo"/>
            <w:color w:val="auto"/>
            <w:u w:val="none"/>
            <w:shd w:val="clear" w:color="auto" w:fill="FFFFFF"/>
          </w:rPr>
          <w:t>Gaceta Oficial de la República de Venezuela N° 4.623, Extraordinario</w:t>
        </w:r>
      </w:hyperlink>
      <w:r w:rsidRPr="00995557">
        <w:rPr>
          <w:shd w:val="clear" w:color="auto" w:fill="FFFFFF"/>
        </w:rPr>
        <w:t xml:space="preserve">, del 3 de septiembre de 1993 y todas las demás disposiciones legales que colidan con el presente Código.” </w:t>
      </w:r>
      <w:r w:rsidRPr="00995557">
        <w:t>Código Orgánico Penitenciario. Gaceta Oficial de la República Bolivariana de Venezuela No. 6207 Extraordinario de 28 de diciembre de 2015.</w:t>
      </w:r>
    </w:p>
  </w:footnote>
  <w:footnote w:id="209">
    <w:p w14:paraId="39055BC6" w14:textId="77777777" w:rsidR="000B30AA" w:rsidRPr="00995557" w:rsidRDefault="000B30AA" w:rsidP="00AA627A">
      <w:pPr>
        <w:pStyle w:val="Textonotapie"/>
        <w:rPr>
          <w:lang w:val="es-GT"/>
        </w:rPr>
      </w:pPr>
      <w:r w:rsidRPr="00995557">
        <w:rPr>
          <w:rStyle w:val="Refdenotaalpie"/>
        </w:rPr>
        <w:footnoteRef/>
      </w:r>
      <w:r w:rsidRPr="00995557">
        <w:t xml:space="preserve"> </w:t>
      </w:r>
      <w:r w:rsidRPr="00995557">
        <w:tab/>
      </w:r>
      <w:r w:rsidRPr="00995557">
        <w:rPr>
          <w:b/>
        </w:rPr>
        <w:t>Artículo 84.</w:t>
      </w:r>
      <w:r w:rsidRPr="00995557">
        <w:t xml:space="preserve"> Se crea un cuerpo de seguridad y custodia adscrito al Ministerio del Poder Popular con competencia en materia penitenciaria, que funcionará como un cuerpo armado, profesionalizado, uniformado y de naturaleza civil. Tendrá a su cargo el resguardo del perímetro externo de los establecimientos penitenciarios, así como la vigilancia, custodia y seguridad interna de las personas privadas de libertad, familiares, visitantes y funcionarios públicos o funcionarias públicas durante su permanencia en los recintos del sistema penitenciario. Código Orgánico Penitenciario. Gaceta Oficial de la República Bolivariana de Venezuela No. 6207 Extraordinario de 28 de diciembre de 2015.</w:t>
      </w:r>
    </w:p>
  </w:footnote>
  <w:footnote w:id="210">
    <w:p w14:paraId="1D9E9C57" w14:textId="77777777" w:rsidR="000B30AA" w:rsidRPr="00995557" w:rsidRDefault="000B30AA" w:rsidP="00AA627A">
      <w:pPr>
        <w:pStyle w:val="Textonotapie"/>
        <w:rPr>
          <w:lang w:val="es-GT"/>
        </w:rPr>
      </w:pPr>
      <w:r w:rsidRPr="00995557">
        <w:rPr>
          <w:rStyle w:val="Refdenotaalpie"/>
        </w:rPr>
        <w:footnoteRef/>
      </w:r>
      <w:r w:rsidRPr="00995557">
        <w:rPr>
          <w:b/>
          <w:lang w:eastAsia="es-MX"/>
        </w:rPr>
        <w:t xml:space="preserve"> </w:t>
      </w:r>
      <w:r w:rsidRPr="00995557">
        <w:rPr>
          <w:b/>
          <w:lang w:eastAsia="es-MX"/>
        </w:rPr>
        <w:tab/>
        <w:t>Artículo 92.</w:t>
      </w:r>
      <w:r w:rsidRPr="00995557">
        <w:rPr>
          <w:lang w:eastAsia="es-MX"/>
        </w:rPr>
        <w:t xml:space="preserve"> Ninguna autoridad civil o militar podrá ingresar al establecimiento penitenciario portando armas de fuego. Las excepciones a esta norma serán autorizadas por el </w:t>
      </w:r>
      <w:proofErr w:type="gramStart"/>
      <w:r w:rsidRPr="00995557">
        <w:rPr>
          <w:lang w:eastAsia="es-MX"/>
        </w:rPr>
        <w:t>Ministro</w:t>
      </w:r>
      <w:proofErr w:type="gramEnd"/>
      <w:r w:rsidRPr="00995557">
        <w:rPr>
          <w:lang w:eastAsia="es-MX"/>
        </w:rPr>
        <w:t xml:space="preserve"> o Ministra, o en su defecto, por un Viceministro o Viceministra del Poder Popular con competencia en materia penitenciaria, en caso que se presenten situaciones de fuerza mayor que así lo justifiquen. </w:t>
      </w:r>
      <w:r w:rsidRPr="00995557">
        <w:t>Código Orgánico Penitenciario. Gaceta Oficial de la República Bolivariana de Venezuela No. 6207 Extraordinario de 28 de diciembre de 2015.</w:t>
      </w:r>
    </w:p>
  </w:footnote>
  <w:footnote w:id="211">
    <w:p w14:paraId="68E06E2D" w14:textId="3B6CF1B8" w:rsidR="000B30AA" w:rsidRPr="00995557" w:rsidRDefault="000B30AA" w:rsidP="00AA627A">
      <w:pPr>
        <w:pStyle w:val="Textonotapie"/>
        <w:rPr>
          <w:rFonts w:cs="Arial"/>
          <w:lang w:val="es-GT"/>
        </w:rPr>
      </w:pPr>
      <w:r w:rsidRPr="00995557">
        <w:rPr>
          <w:rStyle w:val="Refdenotaalpie"/>
        </w:rPr>
        <w:footnoteRef/>
      </w:r>
      <w:r w:rsidRPr="00995557">
        <w:t xml:space="preserve"> </w:t>
      </w:r>
      <w:r w:rsidRPr="00995557">
        <w:rPr>
          <w:lang w:val="es-GT"/>
        </w:rPr>
        <w:tab/>
        <w:t>En lo que concierne a la formación y capacitación del personal que presta sus servicios en los centros penitenciarios, la declarante a título informativo, Mirelys Zulay Contreras Moreno, al rendir su declaración, se refirió a “</w:t>
      </w:r>
      <w:r w:rsidRPr="00995557">
        <w:rPr>
          <w:rFonts w:cs="Arial"/>
          <w:lang w:val="es-GT"/>
        </w:rPr>
        <w:t>[l]</w:t>
      </w:r>
      <w:r w:rsidRPr="00995557">
        <w:rPr>
          <w:lang w:val="es-GT"/>
        </w:rPr>
        <w:t xml:space="preserve">a Escuela Nacional de Formación para Servidores y Servidoras Públicos Penitenciarios (ENFOSEPP), </w:t>
      </w:r>
      <w:r w:rsidRPr="00995557">
        <w:rPr>
          <w:rFonts w:cs="Arial"/>
          <w:lang w:val="es-GT"/>
        </w:rPr>
        <w:t xml:space="preserve">[…] </w:t>
      </w:r>
      <w:r w:rsidRPr="00995557">
        <w:rPr>
          <w:lang w:val="es-GT"/>
        </w:rPr>
        <w:t>crea</w:t>
      </w:r>
      <w:r w:rsidRPr="00995557">
        <w:rPr>
          <w:rFonts w:cs="Arial"/>
          <w:lang w:val="es-GT"/>
        </w:rPr>
        <w:t>[da]</w:t>
      </w:r>
      <w:r w:rsidRPr="00995557">
        <w:rPr>
          <w:lang w:val="es-GT"/>
        </w:rPr>
        <w:t xml:space="preserve"> con el propósito de ofrecer mejoramiento profesional teórico práctico a todo el personal penitenciario”, la cual “desde el año 2013 al 2019 </w:t>
      </w:r>
      <w:r w:rsidRPr="00995557">
        <w:rPr>
          <w:rFonts w:cs="Arial"/>
          <w:lang w:val="es-GT"/>
        </w:rPr>
        <w:t xml:space="preserve">[…] </w:t>
      </w:r>
      <w:r w:rsidRPr="00995557">
        <w:rPr>
          <w:lang w:val="es-GT"/>
        </w:rPr>
        <w:t xml:space="preserve">ha brindado formación y capacitación a más de 21966 </w:t>
      </w:r>
      <w:r w:rsidRPr="00995557">
        <w:rPr>
          <w:rFonts w:cs="Arial"/>
          <w:lang w:val="es-GT"/>
        </w:rPr>
        <w:t xml:space="preserve">servidores (as) públicos penitenciarios a nivel nacional”. Agregó que la formación universitaria que ofrece los grados de licenciatura y técnico superior universitario “va acompañada de cursos de actualización y reentrenamiento para mantener vigentes los protocolos de actuación en materia de seguridad y custodia, haciendo especial énfasis en materia de derechos humanos, el [u]so [p]rogresivo de la [f]uerza y el [u]so de la [f]uerza [p]otencialmente [m]ortal”, para lo cual “la Universidad Nacional Experimental de Seguridad y [e]l MPPSP [Ministerio del Poder Popular para el Servicio Penitenciario] [cuentan] con especialistas altamente capacitados en estas áreas”. </w:t>
      </w:r>
      <w:r w:rsidRPr="00995557">
        <w:rPr>
          <w:rFonts w:cs="Arial"/>
          <w:i/>
          <w:lang w:val="es-GT"/>
        </w:rPr>
        <w:t>Cfr</w:t>
      </w:r>
      <w:r w:rsidRPr="00995557">
        <w:rPr>
          <w:rFonts w:cs="Arial"/>
          <w:lang w:val="es-GT"/>
        </w:rPr>
        <w:t xml:space="preserve">. </w:t>
      </w:r>
      <w:r w:rsidRPr="00995557">
        <w:t xml:space="preserve">Declaración rendida por </w:t>
      </w:r>
      <w:r w:rsidRPr="00995557">
        <w:rPr>
          <w:lang w:val="es-GT"/>
        </w:rPr>
        <w:t>Mirelys Zulay Contreras Moreno</w:t>
      </w:r>
      <w:r w:rsidRPr="00995557">
        <w:t xml:space="preserve"> (expediente de prueba, tomo V, </w:t>
      </w:r>
      <w:r w:rsidRPr="00995557">
        <w:rPr>
          <w:i/>
        </w:rPr>
        <w:t>affidávits</w:t>
      </w:r>
      <w:r w:rsidRPr="00995557">
        <w:t xml:space="preserve">, folios 1779 y 1780). Véase también, Declaración rendida por </w:t>
      </w:r>
      <w:r w:rsidRPr="00995557">
        <w:rPr>
          <w:lang w:val="es-GT"/>
        </w:rPr>
        <w:t>María Lucrecia Hernández Vitar</w:t>
      </w:r>
      <w:r w:rsidRPr="00995557">
        <w:t xml:space="preserve"> (expediente de prueba, tomo VI, </w:t>
      </w:r>
      <w:r w:rsidRPr="00995557">
        <w:rPr>
          <w:i/>
        </w:rPr>
        <w:t>affidávits</w:t>
      </w:r>
      <w:r w:rsidRPr="00995557">
        <w:t>, folio 1825).</w:t>
      </w:r>
    </w:p>
  </w:footnote>
  <w:footnote w:id="212">
    <w:p w14:paraId="04EF9383" w14:textId="07E13046" w:rsidR="000B30AA" w:rsidRPr="00995557" w:rsidRDefault="000B30AA" w:rsidP="00AA627A">
      <w:pPr>
        <w:pStyle w:val="Textonotapie"/>
      </w:pPr>
      <w:r w:rsidRPr="00995557">
        <w:rPr>
          <w:rStyle w:val="Refdenotaalpie"/>
        </w:rPr>
        <w:footnoteRef/>
      </w:r>
      <w:r w:rsidRPr="00995557">
        <w:t xml:space="preserve"> </w:t>
      </w:r>
      <w:r w:rsidRPr="00995557">
        <w:rPr>
          <w:lang w:val="es-GT"/>
        </w:rPr>
        <w:tab/>
      </w:r>
      <w:r w:rsidRPr="00995557">
        <w:rPr>
          <w:i/>
        </w:rPr>
        <w:t xml:space="preserve">Cfr. Caso Almonacid Arellano y otros Vs. Chile. Excepciones Preliminares, Fondo, Reparaciones y Costas. </w:t>
      </w:r>
      <w:r w:rsidRPr="00995557">
        <w:t xml:space="preserve">Sentencia de 26 de septiembre de 2006. Serie C No. 154, párr. 124, y </w:t>
      </w:r>
      <w:r w:rsidRPr="00995557">
        <w:rPr>
          <w:rFonts w:cs="Arial"/>
          <w:i/>
          <w:shd w:val="clear" w:color="auto" w:fill="FFFFFF"/>
        </w:rPr>
        <w:t>Caso Fernández Prieto y Tumbeiro Vs. Argentina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xml:space="preserve">, </w:t>
      </w:r>
      <w:r w:rsidRPr="00995557">
        <w:t>párr. 100.</w:t>
      </w:r>
    </w:p>
  </w:footnote>
  <w:footnote w:id="213">
    <w:p w14:paraId="75FAAFED" w14:textId="37C14146" w:rsidR="000B30AA" w:rsidRPr="00995557" w:rsidRDefault="000B30AA" w:rsidP="00AA627A">
      <w:pPr>
        <w:pStyle w:val="Textonotapie"/>
      </w:pPr>
      <w:r w:rsidRPr="00995557">
        <w:rPr>
          <w:rStyle w:val="Refdenotaalpie"/>
        </w:rPr>
        <w:footnoteRef/>
      </w:r>
      <w:r w:rsidRPr="00995557">
        <w:t xml:space="preserve"> </w:t>
      </w:r>
      <w:r w:rsidRPr="00995557">
        <w:tab/>
      </w:r>
      <w:r w:rsidRPr="00995557">
        <w:rPr>
          <w:i/>
          <w:iCs/>
        </w:rPr>
        <w:t>Cfr. Caso Bámaca Velásquez Vs. Guatemala. Reparaciones y Costas</w:t>
      </w:r>
      <w:r w:rsidRPr="00995557">
        <w:t xml:space="preserve">. Sentencia de 22 de febrero de 2002. Serie C No. 91, párr. 43, y </w:t>
      </w:r>
      <w:r w:rsidRPr="00995557">
        <w:rPr>
          <w:rFonts w:cs="Arial"/>
          <w:i/>
          <w:shd w:val="clear" w:color="auto" w:fill="FFFFFF"/>
        </w:rPr>
        <w:t>Caso Fernández Prieto y Tumbeiro Vs. Argentina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 xml:space="preserve">, </w:t>
      </w:r>
      <w:r w:rsidRPr="00995557">
        <w:t>párr. 132.</w:t>
      </w:r>
    </w:p>
  </w:footnote>
  <w:footnote w:id="214">
    <w:p w14:paraId="2D3BFECD" w14:textId="27A8FB69" w:rsidR="000B30AA" w:rsidRPr="00995557" w:rsidRDefault="000B30AA" w:rsidP="00AA627A">
      <w:pPr>
        <w:pStyle w:val="Textonotapie"/>
        <w:widowControl w:val="0"/>
        <w:rPr>
          <w:lang w:val="es-GT"/>
        </w:rPr>
      </w:pPr>
      <w:r w:rsidRPr="00995557">
        <w:rPr>
          <w:rStyle w:val="Refdenotaalpie"/>
        </w:rPr>
        <w:footnoteRef/>
      </w:r>
      <w:r w:rsidRPr="00995557">
        <w:t xml:space="preserve"> </w:t>
      </w:r>
      <w:r w:rsidRPr="00995557">
        <w:tab/>
      </w:r>
      <w:r w:rsidRPr="00995557">
        <w:rPr>
          <w:i/>
        </w:rPr>
        <w:t>Cfr. Caso de los Hermanos Gómez Paquiyauri Vs. Perú. Fondo, Reparaciones y Costas.</w:t>
      </w:r>
      <w:r w:rsidRPr="00995557">
        <w:t xml:space="preserve"> Sentencia de 8 de julio de 2004. Serie C No. 110, párr. 207, y </w:t>
      </w:r>
      <w:r w:rsidRPr="00995557">
        <w:rPr>
          <w:i/>
          <w:lang w:val="es-CL"/>
        </w:rPr>
        <w:t>Caso Díaz Loreto y otros Vs. Venezuela</w:t>
      </w:r>
      <w:r w:rsidRPr="00995557">
        <w:rPr>
          <w:rFonts w:cs="Arial"/>
          <w:shd w:val="clear" w:color="auto" w:fill="FFFFFF"/>
        </w:rPr>
        <w:t xml:space="preserve">, </w:t>
      </w:r>
      <w:r w:rsidRPr="00995557">
        <w:rPr>
          <w:rFonts w:cs="Arial"/>
          <w:i/>
          <w:shd w:val="clear" w:color="auto" w:fill="FFFFFF"/>
        </w:rPr>
        <w:t>supra</w:t>
      </w:r>
      <w:r w:rsidRPr="00995557">
        <w:rPr>
          <w:rFonts w:cs="Arial"/>
          <w:shd w:val="clear" w:color="auto" w:fill="FFFFFF"/>
        </w:rPr>
        <w:t>,</w:t>
      </w:r>
      <w:r w:rsidRPr="00995557">
        <w:rPr>
          <w:lang w:val="es-CL"/>
        </w:rPr>
        <w:t xml:space="preserve"> párr. 162.</w:t>
      </w:r>
    </w:p>
  </w:footnote>
  <w:footnote w:id="215">
    <w:p w14:paraId="71AAC0EE" w14:textId="13EB3B6B"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r>
      <w:r w:rsidRPr="00995557">
        <w:rPr>
          <w:i/>
          <w:lang w:val="es-ES"/>
        </w:rPr>
        <w:t>Supra</w:t>
      </w:r>
      <w:r w:rsidRPr="00995557">
        <w:rPr>
          <w:lang w:val="es-ES"/>
        </w:rPr>
        <w:t xml:space="preserve"> nota a pie de página 62.</w:t>
      </w:r>
    </w:p>
  </w:footnote>
  <w:footnote w:id="216">
    <w:p w14:paraId="3EB86F16" w14:textId="04CEEDD1" w:rsidR="000B30AA" w:rsidRPr="00995557" w:rsidRDefault="000B30AA" w:rsidP="00AA627A">
      <w:pPr>
        <w:pStyle w:val="Textonotapie"/>
      </w:pPr>
      <w:r w:rsidRPr="00995557">
        <w:rPr>
          <w:rStyle w:val="Refdenotaalpie"/>
        </w:rPr>
        <w:footnoteRef/>
      </w:r>
      <w:r w:rsidRPr="00995557">
        <w:t xml:space="preserve"> </w:t>
      </w:r>
      <w:r w:rsidRPr="00995557">
        <w:tab/>
      </w:r>
      <w:r w:rsidRPr="00995557">
        <w:rPr>
          <w:i/>
        </w:rPr>
        <w:t xml:space="preserve">Cfr. Caso de los “Niños de la Calle” (Villagrán Morales y otros) Vs. Guatemala. Reparaciones y Costas. Sentencia de 26 de mayo de 2001. </w:t>
      </w:r>
      <w:r w:rsidRPr="00995557">
        <w:rPr>
          <w:iCs/>
        </w:rPr>
        <w:t>Serie C No. 77, párr. 84, y</w:t>
      </w:r>
      <w:r w:rsidRPr="00995557">
        <w:rPr>
          <w:i/>
        </w:rPr>
        <w:t xml:space="preserve"> </w:t>
      </w:r>
      <w:r w:rsidR="0033323B" w:rsidRPr="00995557">
        <w:rPr>
          <w:rFonts w:cs="Arial"/>
          <w:i/>
          <w:shd w:val="clear" w:color="auto" w:fill="FFFFFF"/>
        </w:rPr>
        <w:t>Caso Martínez Esquivia Vs. Colombia</w:t>
      </w:r>
      <w:r w:rsidR="0033323B" w:rsidRPr="00995557">
        <w:rPr>
          <w:rFonts w:cs="Arial"/>
          <w:shd w:val="clear" w:color="auto" w:fill="FFFFFF"/>
        </w:rPr>
        <w:t>,</w:t>
      </w:r>
      <w:r w:rsidR="0033323B" w:rsidRPr="00995557">
        <w:rPr>
          <w:rFonts w:cs="Arial"/>
          <w:i/>
          <w:shd w:val="clear" w:color="auto" w:fill="FFFFFF"/>
        </w:rPr>
        <w:t xml:space="preserve"> supra</w:t>
      </w:r>
      <w:r w:rsidR="0033323B" w:rsidRPr="00995557">
        <w:rPr>
          <w:rFonts w:cs="Arial"/>
          <w:shd w:val="clear" w:color="auto" w:fill="FFFFFF"/>
        </w:rPr>
        <w:t>,</w:t>
      </w:r>
      <w:r w:rsidR="0033323B" w:rsidRPr="00995557">
        <w:rPr>
          <w:rFonts w:cs="Arial"/>
          <w:i/>
          <w:shd w:val="clear" w:color="auto" w:fill="FFFFFF"/>
        </w:rPr>
        <w:t xml:space="preserve"> </w:t>
      </w:r>
      <w:r w:rsidR="0033323B" w:rsidRPr="00995557">
        <w:rPr>
          <w:rFonts w:cs="Arial"/>
          <w:shd w:val="clear" w:color="auto" w:fill="FFFFFF"/>
        </w:rPr>
        <w:t>párr. 169.</w:t>
      </w:r>
    </w:p>
  </w:footnote>
  <w:footnote w:id="217">
    <w:p w14:paraId="448A65F3" w14:textId="77777777" w:rsidR="000B30AA" w:rsidRPr="00995557" w:rsidRDefault="000B30AA" w:rsidP="00AA627A">
      <w:pPr>
        <w:pStyle w:val="Textonotapie"/>
        <w:rPr>
          <w:lang w:val="es-ES"/>
        </w:rPr>
      </w:pPr>
      <w:r w:rsidRPr="00995557">
        <w:rPr>
          <w:rStyle w:val="Refdenotaalpie"/>
        </w:rPr>
        <w:footnoteRef/>
      </w:r>
      <w:r w:rsidRPr="00995557">
        <w:t xml:space="preserve"> </w:t>
      </w:r>
      <w:r w:rsidRPr="00995557">
        <w:rPr>
          <w:lang w:val="es-ES"/>
        </w:rPr>
        <w:tab/>
      </w:r>
      <w:r w:rsidRPr="00995557">
        <w:rPr>
          <w:i/>
          <w:lang w:val="es-ES"/>
        </w:rPr>
        <w:t>Cfr</w:t>
      </w:r>
      <w:r w:rsidRPr="00995557">
        <w:rPr>
          <w:lang w:val="es-ES"/>
        </w:rPr>
        <w:t xml:space="preserve">. </w:t>
      </w:r>
      <w:r w:rsidRPr="00995557">
        <w:t xml:space="preserve">Declaración rendida por Lorenza Josefina Pérez de Olivares mediante videoconferencia desarrollada el 24 de agosto de 2020. Véase también, peritaje rendido por Pedro E. Rodríguez R. (expediente de prueba, tomo V, </w:t>
      </w:r>
      <w:r w:rsidRPr="00995557">
        <w:rPr>
          <w:i/>
        </w:rPr>
        <w:t>affidávits</w:t>
      </w:r>
      <w:r w:rsidRPr="00995557">
        <w:t>, folios 1721 a 1734).</w:t>
      </w:r>
    </w:p>
  </w:footnote>
  <w:footnote w:id="218">
    <w:p w14:paraId="015887C1" w14:textId="0A73D045" w:rsidR="000B30AA" w:rsidRPr="00995557" w:rsidRDefault="000B30AA" w:rsidP="00AA627A">
      <w:pPr>
        <w:pStyle w:val="NormalWeb"/>
        <w:tabs>
          <w:tab w:val="left" w:pos="567"/>
        </w:tabs>
        <w:spacing w:before="120" w:beforeAutospacing="0" w:after="120" w:afterAutospacing="0"/>
        <w:jc w:val="both"/>
        <w:rPr>
          <w:sz w:val="16"/>
          <w:szCs w:val="16"/>
        </w:rPr>
      </w:pPr>
      <w:r w:rsidRPr="00995557">
        <w:rPr>
          <w:rStyle w:val="Refdenotaalpie"/>
          <w:sz w:val="16"/>
          <w:szCs w:val="16"/>
          <w:lang w:val="es-ES"/>
        </w:rPr>
        <w:footnoteRef/>
      </w:r>
      <w:r w:rsidRPr="00995557">
        <w:rPr>
          <w:sz w:val="16"/>
          <w:szCs w:val="16"/>
          <w:lang w:val="es-ES"/>
        </w:rPr>
        <w:t xml:space="preserve"> </w:t>
      </w:r>
      <w:r w:rsidRPr="00995557">
        <w:rPr>
          <w:sz w:val="16"/>
          <w:szCs w:val="16"/>
          <w:lang w:val="es-ES"/>
        </w:rPr>
        <w:tab/>
      </w:r>
      <w:r w:rsidRPr="00995557">
        <w:rPr>
          <w:i/>
          <w:sz w:val="16"/>
          <w:szCs w:val="16"/>
          <w:lang w:val="es-ES"/>
        </w:rPr>
        <w:t xml:space="preserve">Cfr. Caso Garrido y Baigorria Vs. Argentina. Reparaciones y Costas. </w:t>
      </w:r>
      <w:r w:rsidRPr="00995557">
        <w:rPr>
          <w:iCs/>
          <w:sz w:val="16"/>
          <w:szCs w:val="16"/>
          <w:lang w:val="es-ES"/>
        </w:rPr>
        <w:t xml:space="preserve">Sentencia de 27 de agosto de 1998. Serie C No. 39, párr. 82, y </w:t>
      </w:r>
      <w:r w:rsidRPr="00995557">
        <w:rPr>
          <w:rFonts w:cs="Arial"/>
          <w:i/>
          <w:sz w:val="16"/>
          <w:szCs w:val="16"/>
          <w:shd w:val="clear" w:color="auto" w:fill="FFFFFF"/>
        </w:rPr>
        <w:t>Caso Acosta Martínez y otros Vs. Argentina</w:t>
      </w:r>
      <w:r w:rsidRPr="00995557">
        <w:rPr>
          <w:rFonts w:cs="Arial"/>
          <w:sz w:val="16"/>
          <w:szCs w:val="16"/>
          <w:shd w:val="clear" w:color="auto" w:fill="FFFFFF"/>
        </w:rPr>
        <w:t xml:space="preserve">, </w:t>
      </w:r>
      <w:r w:rsidRPr="00995557">
        <w:rPr>
          <w:rFonts w:cs="Arial"/>
          <w:i/>
          <w:sz w:val="16"/>
          <w:szCs w:val="16"/>
          <w:shd w:val="clear" w:color="auto" w:fill="FFFFFF"/>
        </w:rPr>
        <w:t>supra</w:t>
      </w:r>
      <w:r w:rsidRPr="00995557">
        <w:rPr>
          <w:rFonts w:cs="Arial"/>
          <w:sz w:val="16"/>
          <w:szCs w:val="16"/>
          <w:shd w:val="clear" w:color="auto" w:fill="FFFFFF"/>
        </w:rPr>
        <w:t>,</w:t>
      </w:r>
      <w:r w:rsidRPr="00995557">
        <w:rPr>
          <w:sz w:val="16"/>
          <w:szCs w:val="16"/>
        </w:rPr>
        <w:t xml:space="preserve"> párr. 145.</w:t>
      </w:r>
    </w:p>
  </w:footnote>
  <w:footnote w:id="219">
    <w:p w14:paraId="4439BF9E" w14:textId="2E9D4C36" w:rsidR="00C9784A" w:rsidRPr="00995557" w:rsidRDefault="000B30AA" w:rsidP="00AA627A">
      <w:pPr>
        <w:pStyle w:val="Textonotapie"/>
        <w:rPr>
          <w:lang w:val="es-ES" w:bidi="en-US"/>
        </w:rPr>
      </w:pPr>
      <w:r w:rsidRPr="00995557">
        <w:rPr>
          <w:rStyle w:val="Refdenotaalpie"/>
          <w:lang w:val="es-ES"/>
        </w:rPr>
        <w:footnoteRef/>
      </w:r>
      <w:r w:rsidRPr="00995557">
        <w:rPr>
          <w:lang w:val="es-ES"/>
        </w:rPr>
        <w:tab/>
      </w:r>
      <w:r w:rsidRPr="00995557">
        <w:rPr>
          <w:i/>
          <w:lang w:val="es-ES"/>
        </w:rPr>
        <w:t>Cfr. Caso Garrido y Baigorria Vs. Argentina</w:t>
      </w:r>
      <w:r w:rsidRPr="00995557">
        <w:rPr>
          <w:lang w:val="es-ES"/>
        </w:rPr>
        <w:t xml:space="preserve">, </w:t>
      </w:r>
      <w:r w:rsidRPr="00995557">
        <w:rPr>
          <w:i/>
          <w:lang w:val="es-ES"/>
        </w:rPr>
        <w:t>supra</w:t>
      </w:r>
      <w:r w:rsidRPr="00995557">
        <w:rPr>
          <w:lang w:val="es-ES"/>
        </w:rPr>
        <w:t>,</w:t>
      </w:r>
      <w:r w:rsidRPr="00995557">
        <w:rPr>
          <w:i/>
          <w:lang w:val="es-ES"/>
        </w:rPr>
        <w:t xml:space="preserve"> </w:t>
      </w:r>
      <w:r w:rsidRPr="00995557">
        <w:rPr>
          <w:iCs/>
          <w:lang w:val="es-ES"/>
        </w:rPr>
        <w:t>párr. 79, y</w:t>
      </w:r>
      <w:r w:rsidR="00C9784A" w:rsidRPr="00995557">
        <w:rPr>
          <w:iCs/>
          <w:lang w:val="es-ES"/>
        </w:rPr>
        <w:t xml:space="preserve"> </w:t>
      </w:r>
      <w:r w:rsidR="00C9784A" w:rsidRPr="00995557">
        <w:rPr>
          <w:rFonts w:cs="Arial"/>
          <w:i/>
          <w:shd w:val="clear" w:color="auto" w:fill="FFFFFF"/>
        </w:rPr>
        <w:t>Caso Martínez Esquivia Vs. Colombia</w:t>
      </w:r>
      <w:r w:rsidR="00C9784A" w:rsidRPr="00995557">
        <w:rPr>
          <w:rFonts w:cs="Arial"/>
          <w:shd w:val="clear" w:color="auto" w:fill="FFFFFF"/>
        </w:rPr>
        <w:t>,</w:t>
      </w:r>
      <w:r w:rsidR="00C9784A" w:rsidRPr="00995557">
        <w:rPr>
          <w:rFonts w:cs="Arial"/>
          <w:i/>
          <w:shd w:val="clear" w:color="auto" w:fill="FFFFFF"/>
        </w:rPr>
        <w:t xml:space="preserve"> supra</w:t>
      </w:r>
      <w:r w:rsidR="00C9784A" w:rsidRPr="00995557">
        <w:rPr>
          <w:rFonts w:cs="Arial"/>
          <w:shd w:val="clear" w:color="auto" w:fill="FFFFFF"/>
        </w:rPr>
        <w:t>,</w:t>
      </w:r>
      <w:r w:rsidR="00C9784A" w:rsidRPr="00995557">
        <w:rPr>
          <w:rFonts w:cs="Arial"/>
          <w:i/>
          <w:shd w:val="clear" w:color="auto" w:fill="FFFFFF"/>
        </w:rPr>
        <w:t xml:space="preserve"> </w:t>
      </w:r>
      <w:r w:rsidR="00C9784A" w:rsidRPr="00995557">
        <w:rPr>
          <w:rFonts w:cs="Arial"/>
          <w:shd w:val="clear" w:color="auto" w:fill="FFFFFF"/>
        </w:rPr>
        <w:t>párr. 172.</w:t>
      </w:r>
    </w:p>
  </w:footnote>
  <w:footnote w:id="220">
    <w:p w14:paraId="42CAA69B" w14:textId="0049D994" w:rsidR="000B30AA" w:rsidRPr="00995557" w:rsidRDefault="000B30AA" w:rsidP="00AA627A">
      <w:pPr>
        <w:pStyle w:val="Textonotapie"/>
        <w:rPr>
          <w:lang w:val="es-MX"/>
        </w:rPr>
      </w:pPr>
      <w:r w:rsidRPr="00995557">
        <w:rPr>
          <w:rStyle w:val="Refdenotaalpie"/>
          <w:lang w:val="es-ES"/>
        </w:rPr>
        <w:footnoteRef/>
      </w:r>
      <w:r w:rsidRPr="00995557">
        <w:rPr>
          <w:lang w:val="es-ES"/>
        </w:rPr>
        <w:t xml:space="preserve"> </w:t>
      </w:r>
      <w:r w:rsidRPr="00995557">
        <w:rPr>
          <w:lang w:val="es-ES"/>
        </w:rPr>
        <w:tab/>
      </w:r>
      <w:r w:rsidRPr="00995557">
        <w:rPr>
          <w:i/>
          <w:lang w:val="es-ES"/>
        </w:rPr>
        <w:t xml:space="preserve">Cfr. Caso Chaparro Álvarez y Lapo Íñiguez Vs. Ecuador. Excepciones Preliminares, Fondo, Reparaciones y Costas, supra, </w:t>
      </w:r>
      <w:r w:rsidRPr="00995557">
        <w:rPr>
          <w:iCs/>
          <w:lang w:val="es-ES"/>
        </w:rPr>
        <w:t xml:space="preserve">párr. 277, y </w:t>
      </w:r>
      <w:r w:rsidRPr="00995557">
        <w:rPr>
          <w:rFonts w:cs="Arial"/>
          <w:i/>
          <w:shd w:val="clear" w:color="auto" w:fill="FFFFFF"/>
        </w:rPr>
        <w:t>Caso de los Empleados de la Fábrica de Fuegos de Santo Antônio de Jesus Vs. Brasil</w:t>
      </w:r>
      <w:r w:rsidRPr="00995557">
        <w:rPr>
          <w:rFonts w:cs="Arial"/>
          <w:shd w:val="clear" w:color="auto" w:fill="FFFFFF"/>
        </w:rPr>
        <w:t xml:space="preserve">, </w:t>
      </w:r>
      <w:r w:rsidRPr="00995557">
        <w:rPr>
          <w:i/>
        </w:rPr>
        <w:t>supra</w:t>
      </w:r>
      <w:r w:rsidRPr="00995557">
        <w:t>, párr. 310.</w:t>
      </w:r>
    </w:p>
  </w:footnote>
  <w:footnote w:id="221">
    <w:p w14:paraId="736661C5" w14:textId="4FE3FBAA" w:rsidR="000B30AA" w:rsidRPr="00AA627A" w:rsidRDefault="000B30AA" w:rsidP="00AA627A">
      <w:pPr>
        <w:pStyle w:val="Textonotapie"/>
        <w:rPr>
          <w:lang w:val="es-ES"/>
        </w:rPr>
      </w:pPr>
      <w:r w:rsidRPr="00995557">
        <w:rPr>
          <w:rStyle w:val="Refdenotaalpie"/>
        </w:rPr>
        <w:footnoteRef/>
      </w:r>
      <w:r w:rsidRPr="00995557">
        <w:t xml:space="preserve"> </w:t>
      </w:r>
      <w:r w:rsidRPr="00995557">
        <w:tab/>
      </w:r>
      <w:r w:rsidRPr="00995557">
        <w:rPr>
          <w:i/>
        </w:rPr>
        <w:t xml:space="preserve">Cfr. Caso Ibsen Cárdenas e Ibsen Peña Vs. Bolivia. Fondo, Reparaciones y Costas. </w:t>
      </w:r>
      <w:r w:rsidRPr="00995557">
        <w:rPr>
          <w:iCs/>
        </w:rPr>
        <w:t xml:space="preserve">Sentencia de 1 de septiembre de 2010. Serie C No. 217, párr. 29, </w:t>
      </w:r>
      <w:r w:rsidRPr="00995557">
        <w:rPr>
          <w:iCs/>
          <w:lang w:val="es-ES"/>
        </w:rPr>
        <w:t xml:space="preserve">y </w:t>
      </w:r>
      <w:r w:rsidR="00C9784A" w:rsidRPr="00995557">
        <w:rPr>
          <w:rFonts w:cs="Arial"/>
          <w:i/>
          <w:shd w:val="clear" w:color="auto" w:fill="FFFFFF"/>
        </w:rPr>
        <w:t>Caso Martínez Esquivia Vs. Colombia</w:t>
      </w:r>
      <w:r w:rsidR="00C9784A" w:rsidRPr="00995557">
        <w:rPr>
          <w:rFonts w:cs="Arial"/>
          <w:shd w:val="clear" w:color="auto" w:fill="FFFFFF"/>
        </w:rPr>
        <w:t>,</w:t>
      </w:r>
      <w:r w:rsidR="00C9784A" w:rsidRPr="00995557">
        <w:rPr>
          <w:rFonts w:cs="Arial"/>
          <w:i/>
          <w:shd w:val="clear" w:color="auto" w:fill="FFFFFF"/>
        </w:rPr>
        <w:t xml:space="preserve"> supra</w:t>
      </w:r>
      <w:r w:rsidR="00C9784A" w:rsidRPr="00995557">
        <w:rPr>
          <w:rFonts w:cs="Arial"/>
          <w:shd w:val="clear" w:color="auto" w:fill="FFFFFF"/>
        </w:rPr>
        <w:t>,</w:t>
      </w:r>
      <w:r w:rsidR="00C9784A" w:rsidRPr="00995557">
        <w:rPr>
          <w:rFonts w:cs="Arial"/>
          <w:i/>
          <w:shd w:val="clear" w:color="auto" w:fill="FFFFFF"/>
        </w:rPr>
        <w:t xml:space="preserve"> </w:t>
      </w:r>
      <w:r w:rsidR="00C9784A" w:rsidRPr="00995557">
        <w:rPr>
          <w:rFonts w:cs="Arial"/>
          <w:shd w:val="clear" w:color="auto" w:fill="FFFFFF"/>
        </w:rPr>
        <w:t>párr. 173</w:t>
      </w:r>
      <w:r w:rsidR="00C9784A" w:rsidRPr="0099555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6370D" w14:textId="111DC40C" w:rsidR="000B30AA" w:rsidRDefault="000B30AA">
    <w:pPr>
      <w:pStyle w:val="Encabezado"/>
      <w:jc w:val="center"/>
    </w:pPr>
  </w:p>
  <w:p w14:paraId="066ACB3D" w14:textId="77777777" w:rsidR="000B30AA" w:rsidRPr="005E697D" w:rsidRDefault="000B30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6B66"/>
    <w:multiLevelType w:val="hybridMultilevel"/>
    <w:tmpl w:val="3830D59E"/>
    <w:lvl w:ilvl="0" w:tplc="4E2A0C4C">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4654E2C"/>
    <w:multiLevelType w:val="hybridMultilevel"/>
    <w:tmpl w:val="A94E955C"/>
    <w:lvl w:ilvl="0" w:tplc="FB602AAE">
      <w:start w:val="1"/>
      <w:numFmt w:val="upperLetter"/>
      <w:lvlText w:val="%1."/>
      <w:lvlJc w:val="left"/>
      <w:pPr>
        <w:ind w:left="927" w:hanging="360"/>
      </w:pPr>
      <w:rPr>
        <w:rFonts w:hint="default"/>
      </w:rPr>
    </w:lvl>
    <w:lvl w:ilvl="1" w:tplc="100A0019" w:tentative="1">
      <w:start w:val="1"/>
      <w:numFmt w:val="lowerLetter"/>
      <w:lvlText w:val="%2."/>
      <w:lvlJc w:val="left"/>
      <w:pPr>
        <w:ind w:left="1647" w:hanging="360"/>
      </w:pPr>
    </w:lvl>
    <w:lvl w:ilvl="2" w:tplc="100A001B" w:tentative="1">
      <w:start w:val="1"/>
      <w:numFmt w:val="lowerRoman"/>
      <w:lvlText w:val="%3."/>
      <w:lvlJc w:val="right"/>
      <w:pPr>
        <w:ind w:left="2367" w:hanging="180"/>
      </w:pPr>
    </w:lvl>
    <w:lvl w:ilvl="3" w:tplc="100A000F" w:tentative="1">
      <w:start w:val="1"/>
      <w:numFmt w:val="decimal"/>
      <w:lvlText w:val="%4."/>
      <w:lvlJc w:val="left"/>
      <w:pPr>
        <w:ind w:left="3087" w:hanging="360"/>
      </w:pPr>
    </w:lvl>
    <w:lvl w:ilvl="4" w:tplc="100A0019" w:tentative="1">
      <w:start w:val="1"/>
      <w:numFmt w:val="lowerLetter"/>
      <w:lvlText w:val="%5."/>
      <w:lvlJc w:val="left"/>
      <w:pPr>
        <w:ind w:left="3807" w:hanging="360"/>
      </w:pPr>
    </w:lvl>
    <w:lvl w:ilvl="5" w:tplc="100A001B" w:tentative="1">
      <w:start w:val="1"/>
      <w:numFmt w:val="lowerRoman"/>
      <w:lvlText w:val="%6."/>
      <w:lvlJc w:val="right"/>
      <w:pPr>
        <w:ind w:left="4527" w:hanging="180"/>
      </w:pPr>
    </w:lvl>
    <w:lvl w:ilvl="6" w:tplc="100A000F" w:tentative="1">
      <w:start w:val="1"/>
      <w:numFmt w:val="decimal"/>
      <w:lvlText w:val="%7."/>
      <w:lvlJc w:val="left"/>
      <w:pPr>
        <w:ind w:left="5247" w:hanging="360"/>
      </w:pPr>
    </w:lvl>
    <w:lvl w:ilvl="7" w:tplc="100A0019" w:tentative="1">
      <w:start w:val="1"/>
      <w:numFmt w:val="lowerLetter"/>
      <w:lvlText w:val="%8."/>
      <w:lvlJc w:val="left"/>
      <w:pPr>
        <w:ind w:left="5967" w:hanging="360"/>
      </w:pPr>
    </w:lvl>
    <w:lvl w:ilvl="8" w:tplc="100A001B" w:tentative="1">
      <w:start w:val="1"/>
      <w:numFmt w:val="lowerRoman"/>
      <w:lvlText w:val="%9."/>
      <w:lvlJc w:val="right"/>
      <w:pPr>
        <w:ind w:left="6687" w:hanging="180"/>
      </w:pPr>
    </w:lvl>
  </w:abstractNum>
  <w:abstractNum w:abstractNumId="2" w15:restartNumberingAfterBreak="0">
    <w:nsid w:val="06A10DA8"/>
    <w:multiLevelType w:val="hybridMultilevel"/>
    <w:tmpl w:val="3FA4C8C0"/>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5430D7"/>
    <w:multiLevelType w:val="hybridMultilevel"/>
    <w:tmpl w:val="5E94C680"/>
    <w:lvl w:ilvl="0" w:tplc="981CCE44">
      <w:start w:val="1"/>
      <w:numFmt w:val="decimal"/>
      <w:lvlText w:val="%1."/>
      <w:lvlJc w:val="left"/>
      <w:pPr>
        <w:ind w:left="36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34C08B2"/>
    <w:multiLevelType w:val="hybridMultilevel"/>
    <w:tmpl w:val="E7684558"/>
    <w:lvl w:ilvl="0" w:tplc="B9FA28CE">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15:restartNumberingAfterBreak="0">
    <w:nsid w:val="23A34D18"/>
    <w:multiLevelType w:val="hybridMultilevel"/>
    <w:tmpl w:val="CC2091FA"/>
    <w:lvl w:ilvl="0" w:tplc="E9223ACA">
      <w:start w:val="1"/>
      <w:numFmt w:val="upperLetter"/>
      <w:lvlText w:val="%1."/>
      <w:lvlJc w:val="left"/>
      <w:pPr>
        <w:ind w:left="5180" w:hanging="360"/>
      </w:pPr>
      <w:rPr>
        <w:rFonts w:hint="default"/>
      </w:rPr>
    </w:lvl>
    <w:lvl w:ilvl="1" w:tplc="140A0019" w:tentative="1">
      <w:start w:val="1"/>
      <w:numFmt w:val="lowerLetter"/>
      <w:lvlText w:val="%2."/>
      <w:lvlJc w:val="left"/>
      <w:pPr>
        <w:ind w:left="5900" w:hanging="360"/>
      </w:pPr>
    </w:lvl>
    <w:lvl w:ilvl="2" w:tplc="140A001B" w:tentative="1">
      <w:start w:val="1"/>
      <w:numFmt w:val="lowerRoman"/>
      <w:lvlText w:val="%3."/>
      <w:lvlJc w:val="right"/>
      <w:pPr>
        <w:ind w:left="6620" w:hanging="180"/>
      </w:pPr>
    </w:lvl>
    <w:lvl w:ilvl="3" w:tplc="140A000F" w:tentative="1">
      <w:start w:val="1"/>
      <w:numFmt w:val="decimal"/>
      <w:lvlText w:val="%4."/>
      <w:lvlJc w:val="left"/>
      <w:pPr>
        <w:ind w:left="7340" w:hanging="360"/>
      </w:pPr>
    </w:lvl>
    <w:lvl w:ilvl="4" w:tplc="140A0019" w:tentative="1">
      <w:start w:val="1"/>
      <w:numFmt w:val="lowerLetter"/>
      <w:lvlText w:val="%5."/>
      <w:lvlJc w:val="left"/>
      <w:pPr>
        <w:ind w:left="8060" w:hanging="360"/>
      </w:pPr>
    </w:lvl>
    <w:lvl w:ilvl="5" w:tplc="140A001B" w:tentative="1">
      <w:start w:val="1"/>
      <w:numFmt w:val="lowerRoman"/>
      <w:lvlText w:val="%6."/>
      <w:lvlJc w:val="right"/>
      <w:pPr>
        <w:ind w:left="8780" w:hanging="180"/>
      </w:pPr>
    </w:lvl>
    <w:lvl w:ilvl="6" w:tplc="140A000F" w:tentative="1">
      <w:start w:val="1"/>
      <w:numFmt w:val="decimal"/>
      <w:lvlText w:val="%7."/>
      <w:lvlJc w:val="left"/>
      <w:pPr>
        <w:ind w:left="9500" w:hanging="360"/>
      </w:pPr>
    </w:lvl>
    <w:lvl w:ilvl="7" w:tplc="140A0019" w:tentative="1">
      <w:start w:val="1"/>
      <w:numFmt w:val="lowerLetter"/>
      <w:lvlText w:val="%8."/>
      <w:lvlJc w:val="left"/>
      <w:pPr>
        <w:ind w:left="10220" w:hanging="360"/>
      </w:pPr>
    </w:lvl>
    <w:lvl w:ilvl="8" w:tplc="140A001B" w:tentative="1">
      <w:start w:val="1"/>
      <w:numFmt w:val="lowerRoman"/>
      <w:lvlText w:val="%9."/>
      <w:lvlJc w:val="right"/>
      <w:pPr>
        <w:ind w:left="10940" w:hanging="180"/>
      </w:pPr>
    </w:lvl>
  </w:abstractNum>
  <w:abstractNum w:abstractNumId="6" w15:restartNumberingAfterBreak="0">
    <w:nsid w:val="23B7589A"/>
    <w:multiLevelType w:val="multilevel"/>
    <w:tmpl w:val="BCEC24B8"/>
    <w:lvl w:ilvl="0">
      <w:start w:val="1"/>
      <w:numFmt w:val="upperLetter"/>
      <w:lvlText w:val="%1."/>
      <w:lvlJc w:val="left"/>
      <w:pPr>
        <w:ind w:left="980" w:hanging="281"/>
      </w:pPr>
      <w:rPr>
        <w:rFonts w:ascii="Verdana" w:eastAsia="Times New Roman" w:hAnsi="Verdana" w:cs="Times New Roman" w:hint="default"/>
        <w:b/>
        <w:bCs/>
        <w:i/>
        <w:w w:val="100"/>
        <w:sz w:val="20"/>
        <w:szCs w:val="20"/>
        <w:lang w:val="es-ES" w:eastAsia="es-ES" w:bidi="es-ES"/>
      </w:rPr>
    </w:lvl>
    <w:lvl w:ilvl="1">
      <w:start w:val="1"/>
      <w:numFmt w:val="decimal"/>
      <w:lvlText w:val="%1.%2"/>
      <w:lvlJc w:val="left"/>
      <w:pPr>
        <w:ind w:left="1065" w:hanging="365"/>
        <w:jc w:val="right"/>
      </w:pPr>
      <w:rPr>
        <w:rFonts w:hint="default"/>
        <w:b/>
        <w:bCs/>
        <w:spacing w:val="-23"/>
        <w:w w:val="100"/>
        <w:lang w:val="es-ES" w:eastAsia="es-ES" w:bidi="es-ES"/>
      </w:rPr>
    </w:lvl>
    <w:lvl w:ilvl="2">
      <w:start w:val="1"/>
      <w:numFmt w:val="lowerLetter"/>
      <w:lvlText w:val="%1.%2.%3"/>
      <w:lvlJc w:val="left"/>
      <w:pPr>
        <w:ind w:left="1821" w:hanging="522"/>
      </w:pPr>
      <w:rPr>
        <w:rFonts w:hint="default"/>
        <w:spacing w:val="-134"/>
        <w:u w:val="single" w:color="000000"/>
        <w:lang w:val="es-ES" w:eastAsia="es-ES" w:bidi="es-ES"/>
      </w:rPr>
    </w:lvl>
    <w:lvl w:ilvl="3">
      <w:numFmt w:val="bullet"/>
      <w:lvlText w:val="•"/>
      <w:lvlJc w:val="left"/>
      <w:pPr>
        <w:ind w:left="1720" w:hanging="522"/>
      </w:pPr>
      <w:rPr>
        <w:rFonts w:hint="default"/>
        <w:lang w:val="es-ES" w:eastAsia="es-ES" w:bidi="es-ES"/>
      </w:rPr>
    </w:lvl>
    <w:lvl w:ilvl="4">
      <w:numFmt w:val="bullet"/>
      <w:lvlText w:val="•"/>
      <w:lvlJc w:val="left"/>
      <w:pPr>
        <w:ind w:left="1820" w:hanging="522"/>
      </w:pPr>
      <w:rPr>
        <w:rFonts w:hint="default"/>
        <w:lang w:val="es-ES" w:eastAsia="es-ES" w:bidi="es-ES"/>
      </w:rPr>
    </w:lvl>
    <w:lvl w:ilvl="5">
      <w:numFmt w:val="bullet"/>
      <w:lvlText w:val="•"/>
      <w:lvlJc w:val="left"/>
      <w:pPr>
        <w:ind w:left="1900" w:hanging="522"/>
      </w:pPr>
      <w:rPr>
        <w:rFonts w:hint="default"/>
        <w:lang w:val="es-ES" w:eastAsia="es-ES" w:bidi="es-ES"/>
      </w:rPr>
    </w:lvl>
    <w:lvl w:ilvl="6">
      <w:numFmt w:val="bullet"/>
      <w:lvlText w:val="•"/>
      <w:lvlJc w:val="left"/>
      <w:pPr>
        <w:ind w:left="2480" w:hanging="522"/>
      </w:pPr>
      <w:rPr>
        <w:rFonts w:hint="default"/>
        <w:lang w:val="es-ES" w:eastAsia="es-ES" w:bidi="es-ES"/>
      </w:rPr>
    </w:lvl>
    <w:lvl w:ilvl="7">
      <w:numFmt w:val="bullet"/>
      <w:lvlText w:val="•"/>
      <w:lvlJc w:val="left"/>
      <w:pPr>
        <w:ind w:left="4544" w:hanging="522"/>
      </w:pPr>
      <w:rPr>
        <w:rFonts w:hint="default"/>
        <w:lang w:val="es-ES" w:eastAsia="es-ES" w:bidi="es-ES"/>
      </w:rPr>
    </w:lvl>
    <w:lvl w:ilvl="8">
      <w:numFmt w:val="bullet"/>
      <w:lvlText w:val="•"/>
      <w:lvlJc w:val="left"/>
      <w:pPr>
        <w:ind w:left="6609" w:hanging="522"/>
      </w:pPr>
      <w:rPr>
        <w:rFonts w:hint="default"/>
        <w:lang w:val="es-ES" w:eastAsia="es-ES" w:bidi="es-ES"/>
      </w:rPr>
    </w:lvl>
  </w:abstractNum>
  <w:abstractNum w:abstractNumId="7" w15:restartNumberingAfterBreak="0">
    <w:nsid w:val="251967BC"/>
    <w:multiLevelType w:val="hybridMultilevel"/>
    <w:tmpl w:val="E6027D14"/>
    <w:lvl w:ilvl="0" w:tplc="DEE0D85C">
      <w:start w:val="1"/>
      <w:numFmt w:val="upperLetter"/>
      <w:lvlText w:val="%1."/>
      <w:lvlJc w:val="left"/>
      <w:pPr>
        <w:ind w:left="927" w:hanging="360"/>
      </w:pPr>
      <w:rPr>
        <w:rFonts w:hint="default"/>
      </w:rPr>
    </w:lvl>
    <w:lvl w:ilvl="1" w:tplc="100A0019" w:tentative="1">
      <w:start w:val="1"/>
      <w:numFmt w:val="lowerLetter"/>
      <w:lvlText w:val="%2."/>
      <w:lvlJc w:val="left"/>
      <w:pPr>
        <w:ind w:left="1647" w:hanging="360"/>
      </w:pPr>
    </w:lvl>
    <w:lvl w:ilvl="2" w:tplc="100A001B" w:tentative="1">
      <w:start w:val="1"/>
      <w:numFmt w:val="lowerRoman"/>
      <w:lvlText w:val="%3."/>
      <w:lvlJc w:val="right"/>
      <w:pPr>
        <w:ind w:left="2367" w:hanging="180"/>
      </w:pPr>
    </w:lvl>
    <w:lvl w:ilvl="3" w:tplc="100A000F" w:tentative="1">
      <w:start w:val="1"/>
      <w:numFmt w:val="decimal"/>
      <w:lvlText w:val="%4."/>
      <w:lvlJc w:val="left"/>
      <w:pPr>
        <w:ind w:left="3087" w:hanging="360"/>
      </w:pPr>
    </w:lvl>
    <w:lvl w:ilvl="4" w:tplc="100A0019" w:tentative="1">
      <w:start w:val="1"/>
      <w:numFmt w:val="lowerLetter"/>
      <w:lvlText w:val="%5."/>
      <w:lvlJc w:val="left"/>
      <w:pPr>
        <w:ind w:left="3807" w:hanging="360"/>
      </w:pPr>
    </w:lvl>
    <w:lvl w:ilvl="5" w:tplc="100A001B" w:tentative="1">
      <w:start w:val="1"/>
      <w:numFmt w:val="lowerRoman"/>
      <w:lvlText w:val="%6."/>
      <w:lvlJc w:val="right"/>
      <w:pPr>
        <w:ind w:left="4527" w:hanging="180"/>
      </w:pPr>
    </w:lvl>
    <w:lvl w:ilvl="6" w:tplc="100A000F" w:tentative="1">
      <w:start w:val="1"/>
      <w:numFmt w:val="decimal"/>
      <w:lvlText w:val="%7."/>
      <w:lvlJc w:val="left"/>
      <w:pPr>
        <w:ind w:left="5247" w:hanging="360"/>
      </w:pPr>
    </w:lvl>
    <w:lvl w:ilvl="7" w:tplc="100A0019" w:tentative="1">
      <w:start w:val="1"/>
      <w:numFmt w:val="lowerLetter"/>
      <w:lvlText w:val="%8."/>
      <w:lvlJc w:val="left"/>
      <w:pPr>
        <w:ind w:left="5967" w:hanging="360"/>
      </w:pPr>
    </w:lvl>
    <w:lvl w:ilvl="8" w:tplc="100A001B" w:tentative="1">
      <w:start w:val="1"/>
      <w:numFmt w:val="lowerRoman"/>
      <w:lvlText w:val="%9."/>
      <w:lvlJc w:val="right"/>
      <w:pPr>
        <w:ind w:left="6687" w:hanging="180"/>
      </w:pPr>
    </w:lvl>
  </w:abstractNum>
  <w:abstractNum w:abstractNumId="8" w15:restartNumberingAfterBreak="0">
    <w:nsid w:val="27290BA0"/>
    <w:multiLevelType w:val="hybridMultilevel"/>
    <w:tmpl w:val="455E846A"/>
    <w:lvl w:ilvl="0" w:tplc="016E294A">
      <w:start w:val="1"/>
      <w:numFmt w:val="lowerLetter"/>
      <w:lvlText w:val="%1."/>
      <w:lvlJc w:val="left"/>
      <w:pPr>
        <w:ind w:left="1080" w:hanging="360"/>
      </w:pPr>
      <w:rPr>
        <w:rFonts w:hint="default"/>
        <w:i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280A530F"/>
    <w:multiLevelType w:val="hybridMultilevel"/>
    <w:tmpl w:val="D878FA0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8C71393"/>
    <w:multiLevelType w:val="hybridMultilevel"/>
    <w:tmpl w:val="A94E955C"/>
    <w:lvl w:ilvl="0" w:tplc="FB602AAE">
      <w:start w:val="1"/>
      <w:numFmt w:val="upperLetter"/>
      <w:lvlText w:val="%1."/>
      <w:lvlJc w:val="left"/>
      <w:pPr>
        <w:ind w:left="927" w:hanging="360"/>
      </w:pPr>
      <w:rPr>
        <w:rFonts w:hint="default"/>
      </w:rPr>
    </w:lvl>
    <w:lvl w:ilvl="1" w:tplc="100A0019" w:tentative="1">
      <w:start w:val="1"/>
      <w:numFmt w:val="lowerLetter"/>
      <w:lvlText w:val="%2."/>
      <w:lvlJc w:val="left"/>
      <w:pPr>
        <w:ind w:left="1647" w:hanging="360"/>
      </w:pPr>
    </w:lvl>
    <w:lvl w:ilvl="2" w:tplc="100A001B" w:tentative="1">
      <w:start w:val="1"/>
      <w:numFmt w:val="lowerRoman"/>
      <w:lvlText w:val="%3."/>
      <w:lvlJc w:val="right"/>
      <w:pPr>
        <w:ind w:left="2367" w:hanging="180"/>
      </w:pPr>
    </w:lvl>
    <w:lvl w:ilvl="3" w:tplc="100A000F" w:tentative="1">
      <w:start w:val="1"/>
      <w:numFmt w:val="decimal"/>
      <w:lvlText w:val="%4."/>
      <w:lvlJc w:val="left"/>
      <w:pPr>
        <w:ind w:left="3087" w:hanging="360"/>
      </w:pPr>
    </w:lvl>
    <w:lvl w:ilvl="4" w:tplc="100A0019" w:tentative="1">
      <w:start w:val="1"/>
      <w:numFmt w:val="lowerLetter"/>
      <w:lvlText w:val="%5."/>
      <w:lvlJc w:val="left"/>
      <w:pPr>
        <w:ind w:left="3807" w:hanging="360"/>
      </w:pPr>
    </w:lvl>
    <w:lvl w:ilvl="5" w:tplc="100A001B" w:tentative="1">
      <w:start w:val="1"/>
      <w:numFmt w:val="lowerRoman"/>
      <w:lvlText w:val="%6."/>
      <w:lvlJc w:val="right"/>
      <w:pPr>
        <w:ind w:left="4527" w:hanging="180"/>
      </w:pPr>
    </w:lvl>
    <w:lvl w:ilvl="6" w:tplc="100A000F" w:tentative="1">
      <w:start w:val="1"/>
      <w:numFmt w:val="decimal"/>
      <w:lvlText w:val="%7."/>
      <w:lvlJc w:val="left"/>
      <w:pPr>
        <w:ind w:left="5247" w:hanging="360"/>
      </w:pPr>
    </w:lvl>
    <w:lvl w:ilvl="7" w:tplc="100A0019" w:tentative="1">
      <w:start w:val="1"/>
      <w:numFmt w:val="lowerLetter"/>
      <w:lvlText w:val="%8."/>
      <w:lvlJc w:val="left"/>
      <w:pPr>
        <w:ind w:left="5967" w:hanging="360"/>
      </w:pPr>
    </w:lvl>
    <w:lvl w:ilvl="8" w:tplc="100A001B" w:tentative="1">
      <w:start w:val="1"/>
      <w:numFmt w:val="lowerRoman"/>
      <w:lvlText w:val="%9."/>
      <w:lvlJc w:val="right"/>
      <w:pPr>
        <w:ind w:left="6687" w:hanging="180"/>
      </w:pPr>
    </w:lvl>
  </w:abstractNum>
  <w:abstractNum w:abstractNumId="11" w15:restartNumberingAfterBreak="0">
    <w:nsid w:val="2C6144C9"/>
    <w:multiLevelType w:val="hybridMultilevel"/>
    <w:tmpl w:val="CFF0C922"/>
    <w:lvl w:ilvl="0" w:tplc="AAD2F022">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D5F5E38"/>
    <w:multiLevelType w:val="hybridMultilevel"/>
    <w:tmpl w:val="95D0E7F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1C51B2D"/>
    <w:multiLevelType w:val="hybridMultilevel"/>
    <w:tmpl w:val="A94E955C"/>
    <w:lvl w:ilvl="0" w:tplc="FB602AAE">
      <w:start w:val="1"/>
      <w:numFmt w:val="upperLetter"/>
      <w:lvlText w:val="%1."/>
      <w:lvlJc w:val="left"/>
      <w:pPr>
        <w:ind w:left="927" w:hanging="360"/>
      </w:pPr>
      <w:rPr>
        <w:rFonts w:hint="default"/>
      </w:rPr>
    </w:lvl>
    <w:lvl w:ilvl="1" w:tplc="100A0019" w:tentative="1">
      <w:start w:val="1"/>
      <w:numFmt w:val="lowerLetter"/>
      <w:lvlText w:val="%2."/>
      <w:lvlJc w:val="left"/>
      <w:pPr>
        <w:ind w:left="1647" w:hanging="360"/>
      </w:pPr>
    </w:lvl>
    <w:lvl w:ilvl="2" w:tplc="100A001B" w:tentative="1">
      <w:start w:val="1"/>
      <w:numFmt w:val="lowerRoman"/>
      <w:lvlText w:val="%3."/>
      <w:lvlJc w:val="right"/>
      <w:pPr>
        <w:ind w:left="2367" w:hanging="180"/>
      </w:pPr>
    </w:lvl>
    <w:lvl w:ilvl="3" w:tplc="100A000F" w:tentative="1">
      <w:start w:val="1"/>
      <w:numFmt w:val="decimal"/>
      <w:lvlText w:val="%4."/>
      <w:lvlJc w:val="left"/>
      <w:pPr>
        <w:ind w:left="3087" w:hanging="360"/>
      </w:pPr>
    </w:lvl>
    <w:lvl w:ilvl="4" w:tplc="100A0019" w:tentative="1">
      <w:start w:val="1"/>
      <w:numFmt w:val="lowerLetter"/>
      <w:lvlText w:val="%5."/>
      <w:lvlJc w:val="left"/>
      <w:pPr>
        <w:ind w:left="3807" w:hanging="360"/>
      </w:pPr>
    </w:lvl>
    <w:lvl w:ilvl="5" w:tplc="100A001B" w:tentative="1">
      <w:start w:val="1"/>
      <w:numFmt w:val="lowerRoman"/>
      <w:lvlText w:val="%6."/>
      <w:lvlJc w:val="right"/>
      <w:pPr>
        <w:ind w:left="4527" w:hanging="180"/>
      </w:pPr>
    </w:lvl>
    <w:lvl w:ilvl="6" w:tplc="100A000F" w:tentative="1">
      <w:start w:val="1"/>
      <w:numFmt w:val="decimal"/>
      <w:lvlText w:val="%7."/>
      <w:lvlJc w:val="left"/>
      <w:pPr>
        <w:ind w:left="5247" w:hanging="360"/>
      </w:pPr>
    </w:lvl>
    <w:lvl w:ilvl="7" w:tplc="100A0019" w:tentative="1">
      <w:start w:val="1"/>
      <w:numFmt w:val="lowerLetter"/>
      <w:lvlText w:val="%8."/>
      <w:lvlJc w:val="left"/>
      <w:pPr>
        <w:ind w:left="5967" w:hanging="360"/>
      </w:pPr>
    </w:lvl>
    <w:lvl w:ilvl="8" w:tplc="100A001B" w:tentative="1">
      <w:start w:val="1"/>
      <w:numFmt w:val="lowerRoman"/>
      <w:lvlText w:val="%9."/>
      <w:lvlJc w:val="right"/>
      <w:pPr>
        <w:ind w:left="6687" w:hanging="180"/>
      </w:pPr>
    </w:lvl>
  </w:abstractNum>
  <w:abstractNum w:abstractNumId="14" w15:restartNumberingAfterBreak="0">
    <w:nsid w:val="33CA0A6C"/>
    <w:multiLevelType w:val="hybridMultilevel"/>
    <w:tmpl w:val="0FBACC2A"/>
    <w:lvl w:ilvl="0" w:tplc="0EC016BA">
      <w:start w:val="1"/>
      <w:numFmt w:val="decimal"/>
      <w:lvlText w:val="%1."/>
      <w:lvlJc w:val="left"/>
      <w:pPr>
        <w:ind w:left="1920" w:hanging="360"/>
      </w:pPr>
      <w:rPr>
        <w:rFonts w:ascii="Verdana" w:hAnsi="Verdana" w:hint="default"/>
        <w:b w:val="0"/>
        <w:i w:val="0"/>
        <w:sz w:val="20"/>
        <w:szCs w:val="20"/>
        <w:vertAlign w:val="baseline"/>
      </w:rPr>
    </w:lvl>
    <w:lvl w:ilvl="1" w:tplc="0234FCEC">
      <w:start w:val="1"/>
      <w:numFmt w:val="lowerLetter"/>
      <w:lvlText w:val="%2."/>
      <w:lvlJc w:val="left"/>
      <w:pPr>
        <w:ind w:left="1710" w:hanging="360"/>
      </w:pPr>
      <w:rPr>
        <w:b w:val="0"/>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35EC5C34"/>
    <w:multiLevelType w:val="hybridMultilevel"/>
    <w:tmpl w:val="8AA2E410"/>
    <w:lvl w:ilvl="0" w:tplc="ABF8E334">
      <w:start w:val="1"/>
      <w:numFmt w:val="decimal"/>
      <w:lvlText w:val="%1."/>
      <w:lvlJc w:val="left"/>
      <w:pPr>
        <w:ind w:left="644" w:hanging="360"/>
      </w:pPr>
      <w:rPr>
        <w:rFonts w:ascii="Verdana" w:hAnsi="Verdana" w:hint="default"/>
        <w:b w:val="0"/>
        <w:i w:val="0"/>
        <w:color w:val="auto"/>
      </w:rPr>
    </w:lvl>
    <w:lvl w:ilvl="1" w:tplc="C23AC0AA">
      <w:start w:val="1"/>
      <w:numFmt w:val="lowerLetter"/>
      <w:lvlText w:val="%2)"/>
      <w:lvlJc w:val="left"/>
      <w:pPr>
        <w:ind w:left="1080" w:hanging="360"/>
      </w:pPr>
      <w:rPr>
        <w:rFonts w:hint="default"/>
        <w:i/>
      </w:rPr>
    </w:lvl>
    <w:lvl w:ilvl="2" w:tplc="0409001B" w:tentative="1">
      <w:start w:val="1"/>
      <w:numFmt w:val="lowerRoman"/>
      <w:lvlText w:val="%3."/>
      <w:lvlJc w:val="right"/>
      <w:pPr>
        <w:ind w:left="1800" w:hanging="180"/>
      </w:pPr>
    </w:lvl>
    <w:lvl w:ilvl="3" w:tplc="140A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73F179A"/>
    <w:multiLevelType w:val="hybridMultilevel"/>
    <w:tmpl w:val="A94E955C"/>
    <w:lvl w:ilvl="0" w:tplc="FB602AAE">
      <w:start w:val="1"/>
      <w:numFmt w:val="upperLetter"/>
      <w:lvlText w:val="%1."/>
      <w:lvlJc w:val="left"/>
      <w:pPr>
        <w:ind w:left="927" w:hanging="360"/>
      </w:pPr>
      <w:rPr>
        <w:rFonts w:hint="default"/>
      </w:rPr>
    </w:lvl>
    <w:lvl w:ilvl="1" w:tplc="100A0019" w:tentative="1">
      <w:start w:val="1"/>
      <w:numFmt w:val="lowerLetter"/>
      <w:lvlText w:val="%2."/>
      <w:lvlJc w:val="left"/>
      <w:pPr>
        <w:ind w:left="1647" w:hanging="360"/>
      </w:pPr>
    </w:lvl>
    <w:lvl w:ilvl="2" w:tplc="100A001B" w:tentative="1">
      <w:start w:val="1"/>
      <w:numFmt w:val="lowerRoman"/>
      <w:lvlText w:val="%3."/>
      <w:lvlJc w:val="right"/>
      <w:pPr>
        <w:ind w:left="2367" w:hanging="180"/>
      </w:pPr>
    </w:lvl>
    <w:lvl w:ilvl="3" w:tplc="100A000F" w:tentative="1">
      <w:start w:val="1"/>
      <w:numFmt w:val="decimal"/>
      <w:lvlText w:val="%4."/>
      <w:lvlJc w:val="left"/>
      <w:pPr>
        <w:ind w:left="3087" w:hanging="360"/>
      </w:pPr>
    </w:lvl>
    <w:lvl w:ilvl="4" w:tplc="100A0019" w:tentative="1">
      <w:start w:val="1"/>
      <w:numFmt w:val="lowerLetter"/>
      <w:lvlText w:val="%5."/>
      <w:lvlJc w:val="left"/>
      <w:pPr>
        <w:ind w:left="3807" w:hanging="360"/>
      </w:pPr>
    </w:lvl>
    <w:lvl w:ilvl="5" w:tplc="100A001B" w:tentative="1">
      <w:start w:val="1"/>
      <w:numFmt w:val="lowerRoman"/>
      <w:lvlText w:val="%6."/>
      <w:lvlJc w:val="right"/>
      <w:pPr>
        <w:ind w:left="4527" w:hanging="180"/>
      </w:pPr>
    </w:lvl>
    <w:lvl w:ilvl="6" w:tplc="100A000F" w:tentative="1">
      <w:start w:val="1"/>
      <w:numFmt w:val="decimal"/>
      <w:lvlText w:val="%7."/>
      <w:lvlJc w:val="left"/>
      <w:pPr>
        <w:ind w:left="5247" w:hanging="360"/>
      </w:pPr>
    </w:lvl>
    <w:lvl w:ilvl="7" w:tplc="100A0019" w:tentative="1">
      <w:start w:val="1"/>
      <w:numFmt w:val="lowerLetter"/>
      <w:lvlText w:val="%8."/>
      <w:lvlJc w:val="left"/>
      <w:pPr>
        <w:ind w:left="5967" w:hanging="360"/>
      </w:pPr>
    </w:lvl>
    <w:lvl w:ilvl="8" w:tplc="100A001B" w:tentative="1">
      <w:start w:val="1"/>
      <w:numFmt w:val="lowerRoman"/>
      <w:lvlText w:val="%9."/>
      <w:lvlJc w:val="right"/>
      <w:pPr>
        <w:ind w:left="6687" w:hanging="180"/>
      </w:pPr>
    </w:lvl>
  </w:abstractNum>
  <w:abstractNum w:abstractNumId="17" w15:restartNumberingAfterBreak="0">
    <w:nsid w:val="37725BB1"/>
    <w:multiLevelType w:val="hybridMultilevel"/>
    <w:tmpl w:val="056EA0C2"/>
    <w:lvl w:ilvl="0" w:tplc="4BB03328">
      <w:start w:val="1"/>
      <w:numFmt w:val="decimal"/>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8" w15:restartNumberingAfterBreak="0">
    <w:nsid w:val="3A545ACD"/>
    <w:multiLevelType w:val="hybridMultilevel"/>
    <w:tmpl w:val="6784AD82"/>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5121129"/>
    <w:multiLevelType w:val="hybridMultilevel"/>
    <w:tmpl w:val="92E4D6C6"/>
    <w:lvl w:ilvl="0" w:tplc="F6DA972A">
      <w:start w:val="1"/>
      <w:numFmt w:val="upperLetter"/>
      <w:lvlText w:val="%1."/>
      <w:lvlJc w:val="left"/>
      <w:pPr>
        <w:ind w:left="1429" w:hanging="72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3F309098">
      <w:start w:val="1"/>
      <w:numFmt w:val="decimal"/>
      <w:lvlText w:val="%4."/>
      <w:lvlJc w:val="left"/>
      <w:pPr>
        <w:ind w:left="3240" w:hanging="360"/>
      </w:pPr>
      <w:rPr>
        <w:rFonts w:ascii="Verdana" w:hAnsi="Verdana" w:hint="default"/>
        <w:b w:val="0"/>
        <w:color w:val="auto"/>
        <w:sz w:val="20"/>
        <w:szCs w:val="20"/>
      </w:r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20" w15:restartNumberingAfterBreak="0">
    <w:nsid w:val="4A752001"/>
    <w:multiLevelType w:val="hybridMultilevel"/>
    <w:tmpl w:val="57329F58"/>
    <w:lvl w:ilvl="0" w:tplc="52260716">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1" w15:restartNumberingAfterBreak="0">
    <w:nsid w:val="4B4606FB"/>
    <w:multiLevelType w:val="hybridMultilevel"/>
    <w:tmpl w:val="9C5015FA"/>
    <w:lvl w:ilvl="0" w:tplc="752E06F2">
      <w:start w:val="2"/>
      <w:numFmt w:val="upperLetter"/>
      <w:pStyle w:val="Ttulo2"/>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3AC2317"/>
    <w:multiLevelType w:val="hybridMultilevel"/>
    <w:tmpl w:val="578E4546"/>
    <w:lvl w:ilvl="0" w:tplc="92123D26">
      <w:start w:val="1"/>
      <w:numFmt w:val="upperLetter"/>
      <w:lvlText w:val="%1."/>
      <w:lvlJc w:val="left"/>
      <w:pPr>
        <w:ind w:left="927" w:hanging="360"/>
      </w:pPr>
      <w:rPr>
        <w:rFonts w:hint="default"/>
      </w:rPr>
    </w:lvl>
    <w:lvl w:ilvl="1" w:tplc="100A0019" w:tentative="1">
      <w:start w:val="1"/>
      <w:numFmt w:val="lowerLetter"/>
      <w:lvlText w:val="%2."/>
      <w:lvlJc w:val="left"/>
      <w:pPr>
        <w:ind w:left="1647" w:hanging="360"/>
      </w:pPr>
    </w:lvl>
    <w:lvl w:ilvl="2" w:tplc="100A001B" w:tentative="1">
      <w:start w:val="1"/>
      <w:numFmt w:val="lowerRoman"/>
      <w:lvlText w:val="%3."/>
      <w:lvlJc w:val="right"/>
      <w:pPr>
        <w:ind w:left="2367" w:hanging="180"/>
      </w:pPr>
    </w:lvl>
    <w:lvl w:ilvl="3" w:tplc="100A000F" w:tentative="1">
      <w:start w:val="1"/>
      <w:numFmt w:val="decimal"/>
      <w:lvlText w:val="%4."/>
      <w:lvlJc w:val="left"/>
      <w:pPr>
        <w:ind w:left="3087" w:hanging="360"/>
      </w:pPr>
    </w:lvl>
    <w:lvl w:ilvl="4" w:tplc="100A0019" w:tentative="1">
      <w:start w:val="1"/>
      <w:numFmt w:val="lowerLetter"/>
      <w:lvlText w:val="%5."/>
      <w:lvlJc w:val="left"/>
      <w:pPr>
        <w:ind w:left="3807" w:hanging="360"/>
      </w:pPr>
    </w:lvl>
    <w:lvl w:ilvl="5" w:tplc="100A001B" w:tentative="1">
      <w:start w:val="1"/>
      <w:numFmt w:val="lowerRoman"/>
      <w:lvlText w:val="%6."/>
      <w:lvlJc w:val="right"/>
      <w:pPr>
        <w:ind w:left="4527" w:hanging="180"/>
      </w:pPr>
    </w:lvl>
    <w:lvl w:ilvl="6" w:tplc="100A000F" w:tentative="1">
      <w:start w:val="1"/>
      <w:numFmt w:val="decimal"/>
      <w:lvlText w:val="%7."/>
      <w:lvlJc w:val="left"/>
      <w:pPr>
        <w:ind w:left="5247" w:hanging="360"/>
      </w:pPr>
    </w:lvl>
    <w:lvl w:ilvl="7" w:tplc="100A0019" w:tentative="1">
      <w:start w:val="1"/>
      <w:numFmt w:val="lowerLetter"/>
      <w:lvlText w:val="%8."/>
      <w:lvlJc w:val="left"/>
      <w:pPr>
        <w:ind w:left="5967" w:hanging="360"/>
      </w:pPr>
    </w:lvl>
    <w:lvl w:ilvl="8" w:tplc="100A001B" w:tentative="1">
      <w:start w:val="1"/>
      <w:numFmt w:val="lowerRoman"/>
      <w:lvlText w:val="%9."/>
      <w:lvlJc w:val="right"/>
      <w:pPr>
        <w:ind w:left="6687" w:hanging="180"/>
      </w:pPr>
    </w:lvl>
  </w:abstractNum>
  <w:abstractNum w:abstractNumId="23" w15:restartNumberingAfterBreak="0">
    <w:nsid w:val="55C93AC8"/>
    <w:multiLevelType w:val="hybridMultilevel"/>
    <w:tmpl w:val="37A6452E"/>
    <w:lvl w:ilvl="0" w:tplc="4CFA9B10">
      <w:start w:val="1"/>
      <w:numFmt w:val="decimal"/>
      <w:lvlText w:val="%1."/>
      <w:lvlJc w:val="left"/>
      <w:pPr>
        <w:ind w:left="5811" w:hanging="708"/>
      </w:pPr>
      <w:rPr>
        <w:rFonts w:ascii="Verdana" w:hAnsi="Verdana" w:hint="default"/>
        <w:b w:val="0"/>
        <w:i w:val="0"/>
        <w:strike w:val="0"/>
        <w:color w:val="auto"/>
        <w:sz w:val="20"/>
        <w:szCs w:val="20"/>
        <w:vertAlign w:val="baseline"/>
      </w:rPr>
    </w:lvl>
    <w:lvl w:ilvl="1" w:tplc="140A0019">
      <w:start w:val="1"/>
      <w:numFmt w:val="lowerLetter"/>
      <w:lvlText w:val="%2."/>
      <w:lvlJc w:val="left"/>
      <w:pPr>
        <w:ind w:left="371" w:hanging="360"/>
      </w:pPr>
    </w:lvl>
    <w:lvl w:ilvl="2" w:tplc="140A001B" w:tentative="1">
      <w:start w:val="1"/>
      <w:numFmt w:val="lowerRoman"/>
      <w:lvlText w:val="%3."/>
      <w:lvlJc w:val="right"/>
      <w:pPr>
        <w:ind w:left="1091" w:hanging="180"/>
      </w:pPr>
    </w:lvl>
    <w:lvl w:ilvl="3" w:tplc="140A000F" w:tentative="1">
      <w:start w:val="1"/>
      <w:numFmt w:val="decimal"/>
      <w:lvlText w:val="%4."/>
      <w:lvlJc w:val="left"/>
      <w:pPr>
        <w:ind w:left="1811" w:hanging="360"/>
      </w:pPr>
    </w:lvl>
    <w:lvl w:ilvl="4" w:tplc="140A0019" w:tentative="1">
      <w:start w:val="1"/>
      <w:numFmt w:val="lowerLetter"/>
      <w:lvlText w:val="%5."/>
      <w:lvlJc w:val="left"/>
      <w:pPr>
        <w:ind w:left="2531" w:hanging="360"/>
      </w:pPr>
    </w:lvl>
    <w:lvl w:ilvl="5" w:tplc="140A001B" w:tentative="1">
      <w:start w:val="1"/>
      <w:numFmt w:val="lowerRoman"/>
      <w:lvlText w:val="%6."/>
      <w:lvlJc w:val="right"/>
      <w:pPr>
        <w:ind w:left="3251" w:hanging="180"/>
      </w:pPr>
    </w:lvl>
    <w:lvl w:ilvl="6" w:tplc="140A000F" w:tentative="1">
      <w:start w:val="1"/>
      <w:numFmt w:val="decimal"/>
      <w:lvlText w:val="%7."/>
      <w:lvlJc w:val="left"/>
      <w:pPr>
        <w:ind w:left="3971" w:hanging="360"/>
      </w:pPr>
    </w:lvl>
    <w:lvl w:ilvl="7" w:tplc="140A0019" w:tentative="1">
      <w:start w:val="1"/>
      <w:numFmt w:val="lowerLetter"/>
      <w:lvlText w:val="%8."/>
      <w:lvlJc w:val="left"/>
      <w:pPr>
        <w:ind w:left="4691" w:hanging="360"/>
      </w:pPr>
    </w:lvl>
    <w:lvl w:ilvl="8" w:tplc="140A001B" w:tentative="1">
      <w:start w:val="1"/>
      <w:numFmt w:val="lowerRoman"/>
      <w:lvlText w:val="%9."/>
      <w:lvlJc w:val="right"/>
      <w:pPr>
        <w:ind w:left="5411" w:hanging="180"/>
      </w:pPr>
    </w:lvl>
  </w:abstractNum>
  <w:abstractNum w:abstractNumId="24" w15:restartNumberingAfterBreak="0">
    <w:nsid w:val="5A9D7EC4"/>
    <w:multiLevelType w:val="hybridMultilevel"/>
    <w:tmpl w:val="1302865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15:restartNumberingAfterBreak="0">
    <w:nsid w:val="68FD7D50"/>
    <w:multiLevelType w:val="multilevel"/>
    <w:tmpl w:val="1104267E"/>
    <w:lvl w:ilvl="0">
      <w:start w:val="1"/>
      <w:numFmt w:val="decimal"/>
      <w:lvlText w:val="%1."/>
      <w:lvlJc w:val="left"/>
      <w:pPr>
        <w:ind w:left="967" w:hanging="825"/>
      </w:pPr>
      <w:rPr>
        <w:b w:val="0"/>
        <w:i w:val="0"/>
        <w:strike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DA779FD"/>
    <w:multiLevelType w:val="hybridMultilevel"/>
    <w:tmpl w:val="0C26785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16F0BE4"/>
    <w:multiLevelType w:val="hybridMultilevel"/>
    <w:tmpl w:val="95D0E7F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4CA428D"/>
    <w:multiLevelType w:val="hybridMultilevel"/>
    <w:tmpl w:val="6354083A"/>
    <w:lvl w:ilvl="0" w:tplc="F3C0B7A2">
      <w:start w:val="1"/>
      <w:numFmt w:val="upperLetter"/>
      <w:lvlText w:val="%1."/>
      <w:lvlJc w:val="left"/>
      <w:pPr>
        <w:ind w:left="927" w:hanging="360"/>
      </w:pPr>
      <w:rPr>
        <w:rFonts w:hint="default"/>
      </w:rPr>
    </w:lvl>
    <w:lvl w:ilvl="1" w:tplc="100A0019" w:tentative="1">
      <w:start w:val="1"/>
      <w:numFmt w:val="lowerLetter"/>
      <w:lvlText w:val="%2."/>
      <w:lvlJc w:val="left"/>
      <w:pPr>
        <w:ind w:left="1647" w:hanging="360"/>
      </w:pPr>
    </w:lvl>
    <w:lvl w:ilvl="2" w:tplc="100A001B" w:tentative="1">
      <w:start w:val="1"/>
      <w:numFmt w:val="lowerRoman"/>
      <w:lvlText w:val="%3."/>
      <w:lvlJc w:val="right"/>
      <w:pPr>
        <w:ind w:left="2367" w:hanging="180"/>
      </w:pPr>
    </w:lvl>
    <w:lvl w:ilvl="3" w:tplc="100A000F" w:tentative="1">
      <w:start w:val="1"/>
      <w:numFmt w:val="decimal"/>
      <w:lvlText w:val="%4."/>
      <w:lvlJc w:val="left"/>
      <w:pPr>
        <w:ind w:left="3087" w:hanging="360"/>
      </w:pPr>
    </w:lvl>
    <w:lvl w:ilvl="4" w:tplc="100A0019" w:tentative="1">
      <w:start w:val="1"/>
      <w:numFmt w:val="lowerLetter"/>
      <w:lvlText w:val="%5."/>
      <w:lvlJc w:val="left"/>
      <w:pPr>
        <w:ind w:left="3807" w:hanging="360"/>
      </w:pPr>
    </w:lvl>
    <w:lvl w:ilvl="5" w:tplc="100A001B" w:tentative="1">
      <w:start w:val="1"/>
      <w:numFmt w:val="lowerRoman"/>
      <w:lvlText w:val="%6."/>
      <w:lvlJc w:val="right"/>
      <w:pPr>
        <w:ind w:left="4527" w:hanging="180"/>
      </w:pPr>
    </w:lvl>
    <w:lvl w:ilvl="6" w:tplc="100A000F" w:tentative="1">
      <w:start w:val="1"/>
      <w:numFmt w:val="decimal"/>
      <w:lvlText w:val="%7."/>
      <w:lvlJc w:val="left"/>
      <w:pPr>
        <w:ind w:left="5247" w:hanging="360"/>
      </w:pPr>
    </w:lvl>
    <w:lvl w:ilvl="7" w:tplc="100A0019" w:tentative="1">
      <w:start w:val="1"/>
      <w:numFmt w:val="lowerLetter"/>
      <w:lvlText w:val="%8."/>
      <w:lvlJc w:val="left"/>
      <w:pPr>
        <w:ind w:left="5967" w:hanging="360"/>
      </w:pPr>
    </w:lvl>
    <w:lvl w:ilvl="8" w:tplc="100A001B" w:tentative="1">
      <w:start w:val="1"/>
      <w:numFmt w:val="lowerRoman"/>
      <w:lvlText w:val="%9."/>
      <w:lvlJc w:val="right"/>
      <w:pPr>
        <w:ind w:left="6687" w:hanging="180"/>
      </w:pPr>
    </w:lvl>
  </w:abstractNum>
  <w:abstractNum w:abstractNumId="30" w15:restartNumberingAfterBreak="0">
    <w:nsid w:val="754E77CB"/>
    <w:multiLevelType w:val="hybridMultilevel"/>
    <w:tmpl w:val="A94E955C"/>
    <w:lvl w:ilvl="0" w:tplc="FB602AAE">
      <w:start w:val="1"/>
      <w:numFmt w:val="upperLetter"/>
      <w:lvlText w:val="%1."/>
      <w:lvlJc w:val="left"/>
      <w:pPr>
        <w:ind w:left="927" w:hanging="360"/>
      </w:pPr>
      <w:rPr>
        <w:rFonts w:hint="default"/>
      </w:rPr>
    </w:lvl>
    <w:lvl w:ilvl="1" w:tplc="100A0019" w:tentative="1">
      <w:start w:val="1"/>
      <w:numFmt w:val="lowerLetter"/>
      <w:lvlText w:val="%2."/>
      <w:lvlJc w:val="left"/>
      <w:pPr>
        <w:ind w:left="1647" w:hanging="360"/>
      </w:pPr>
    </w:lvl>
    <w:lvl w:ilvl="2" w:tplc="100A001B" w:tentative="1">
      <w:start w:val="1"/>
      <w:numFmt w:val="lowerRoman"/>
      <w:lvlText w:val="%3."/>
      <w:lvlJc w:val="right"/>
      <w:pPr>
        <w:ind w:left="2367" w:hanging="180"/>
      </w:pPr>
    </w:lvl>
    <w:lvl w:ilvl="3" w:tplc="100A000F" w:tentative="1">
      <w:start w:val="1"/>
      <w:numFmt w:val="decimal"/>
      <w:lvlText w:val="%4."/>
      <w:lvlJc w:val="left"/>
      <w:pPr>
        <w:ind w:left="3087" w:hanging="360"/>
      </w:pPr>
    </w:lvl>
    <w:lvl w:ilvl="4" w:tplc="100A0019" w:tentative="1">
      <w:start w:val="1"/>
      <w:numFmt w:val="lowerLetter"/>
      <w:lvlText w:val="%5."/>
      <w:lvlJc w:val="left"/>
      <w:pPr>
        <w:ind w:left="3807" w:hanging="360"/>
      </w:pPr>
    </w:lvl>
    <w:lvl w:ilvl="5" w:tplc="100A001B" w:tentative="1">
      <w:start w:val="1"/>
      <w:numFmt w:val="lowerRoman"/>
      <w:lvlText w:val="%6."/>
      <w:lvlJc w:val="right"/>
      <w:pPr>
        <w:ind w:left="4527" w:hanging="180"/>
      </w:pPr>
    </w:lvl>
    <w:lvl w:ilvl="6" w:tplc="100A000F" w:tentative="1">
      <w:start w:val="1"/>
      <w:numFmt w:val="decimal"/>
      <w:lvlText w:val="%7."/>
      <w:lvlJc w:val="left"/>
      <w:pPr>
        <w:ind w:left="5247" w:hanging="360"/>
      </w:pPr>
    </w:lvl>
    <w:lvl w:ilvl="7" w:tplc="100A0019" w:tentative="1">
      <w:start w:val="1"/>
      <w:numFmt w:val="lowerLetter"/>
      <w:lvlText w:val="%8."/>
      <w:lvlJc w:val="left"/>
      <w:pPr>
        <w:ind w:left="5967" w:hanging="360"/>
      </w:pPr>
    </w:lvl>
    <w:lvl w:ilvl="8" w:tplc="100A001B" w:tentative="1">
      <w:start w:val="1"/>
      <w:numFmt w:val="lowerRoman"/>
      <w:lvlText w:val="%9."/>
      <w:lvlJc w:val="right"/>
      <w:pPr>
        <w:ind w:left="6687" w:hanging="180"/>
      </w:pPr>
    </w:lvl>
  </w:abstractNum>
  <w:abstractNum w:abstractNumId="31" w15:restartNumberingAfterBreak="0">
    <w:nsid w:val="75661E53"/>
    <w:multiLevelType w:val="hybridMultilevel"/>
    <w:tmpl w:val="A94E955C"/>
    <w:lvl w:ilvl="0" w:tplc="FB602AAE">
      <w:start w:val="1"/>
      <w:numFmt w:val="upperLetter"/>
      <w:lvlText w:val="%1."/>
      <w:lvlJc w:val="left"/>
      <w:pPr>
        <w:ind w:left="927" w:hanging="360"/>
      </w:pPr>
      <w:rPr>
        <w:rFonts w:hint="default"/>
      </w:rPr>
    </w:lvl>
    <w:lvl w:ilvl="1" w:tplc="100A0019" w:tentative="1">
      <w:start w:val="1"/>
      <w:numFmt w:val="lowerLetter"/>
      <w:lvlText w:val="%2."/>
      <w:lvlJc w:val="left"/>
      <w:pPr>
        <w:ind w:left="1647" w:hanging="360"/>
      </w:pPr>
    </w:lvl>
    <w:lvl w:ilvl="2" w:tplc="100A001B" w:tentative="1">
      <w:start w:val="1"/>
      <w:numFmt w:val="lowerRoman"/>
      <w:lvlText w:val="%3."/>
      <w:lvlJc w:val="right"/>
      <w:pPr>
        <w:ind w:left="2367" w:hanging="180"/>
      </w:pPr>
    </w:lvl>
    <w:lvl w:ilvl="3" w:tplc="100A000F" w:tentative="1">
      <w:start w:val="1"/>
      <w:numFmt w:val="decimal"/>
      <w:lvlText w:val="%4."/>
      <w:lvlJc w:val="left"/>
      <w:pPr>
        <w:ind w:left="3087" w:hanging="360"/>
      </w:pPr>
    </w:lvl>
    <w:lvl w:ilvl="4" w:tplc="100A0019" w:tentative="1">
      <w:start w:val="1"/>
      <w:numFmt w:val="lowerLetter"/>
      <w:lvlText w:val="%5."/>
      <w:lvlJc w:val="left"/>
      <w:pPr>
        <w:ind w:left="3807" w:hanging="360"/>
      </w:pPr>
    </w:lvl>
    <w:lvl w:ilvl="5" w:tplc="100A001B" w:tentative="1">
      <w:start w:val="1"/>
      <w:numFmt w:val="lowerRoman"/>
      <w:lvlText w:val="%6."/>
      <w:lvlJc w:val="right"/>
      <w:pPr>
        <w:ind w:left="4527" w:hanging="180"/>
      </w:pPr>
    </w:lvl>
    <w:lvl w:ilvl="6" w:tplc="100A000F" w:tentative="1">
      <w:start w:val="1"/>
      <w:numFmt w:val="decimal"/>
      <w:lvlText w:val="%7."/>
      <w:lvlJc w:val="left"/>
      <w:pPr>
        <w:ind w:left="5247" w:hanging="360"/>
      </w:pPr>
    </w:lvl>
    <w:lvl w:ilvl="7" w:tplc="100A0019" w:tentative="1">
      <w:start w:val="1"/>
      <w:numFmt w:val="lowerLetter"/>
      <w:lvlText w:val="%8."/>
      <w:lvlJc w:val="left"/>
      <w:pPr>
        <w:ind w:left="5967" w:hanging="360"/>
      </w:pPr>
    </w:lvl>
    <w:lvl w:ilvl="8" w:tplc="100A001B" w:tentative="1">
      <w:start w:val="1"/>
      <w:numFmt w:val="lowerRoman"/>
      <w:lvlText w:val="%9."/>
      <w:lvlJc w:val="right"/>
      <w:pPr>
        <w:ind w:left="6687" w:hanging="180"/>
      </w:pPr>
    </w:lvl>
  </w:abstractNum>
  <w:abstractNum w:abstractNumId="32" w15:restartNumberingAfterBreak="0">
    <w:nsid w:val="782200F5"/>
    <w:multiLevelType w:val="hybridMultilevel"/>
    <w:tmpl w:val="8FFC5E2C"/>
    <w:lvl w:ilvl="0" w:tplc="140A000F">
      <w:start w:val="1"/>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9354707"/>
    <w:multiLevelType w:val="hybridMultilevel"/>
    <w:tmpl w:val="D3482DF2"/>
    <w:lvl w:ilvl="0" w:tplc="E878CDC4">
      <w:start w:val="1"/>
      <w:numFmt w:val="decimal"/>
      <w:lvlText w:val="%1."/>
      <w:lvlJc w:val="left"/>
      <w:pPr>
        <w:ind w:left="7305" w:hanging="825"/>
      </w:pPr>
      <w:rPr>
        <w:rFonts w:ascii="Verdana" w:eastAsia="Verdana" w:hAnsi="Verdana" w:cs="Verdana" w:hint="default"/>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4" w15:restartNumberingAfterBreak="0">
    <w:nsid w:val="7CE64D32"/>
    <w:multiLevelType w:val="hybridMultilevel"/>
    <w:tmpl w:val="75A2624C"/>
    <w:lvl w:ilvl="0" w:tplc="8BD6FFCA">
      <w:start w:val="1"/>
      <w:numFmt w:val="decimal"/>
      <w:lvlText w:val="%1."/>
      <w:lvlJc w:val="left"/>
      <w:pPr>
        <w:tabs>
          <w:tab w:val="num" w:pos="6042"/>
        </w:tabs>
      </w:pPr>
      <w:rPr>
        <w:rFonts w:ascii="Verdana" w:eastAsia="Times New Roman" w:hAnsi="Verdana" w:cs="Times New Roman" w:hint="default"/>
        <w:b w:val="0"/>
        <w:i w:val="0"/>
        <w:strike w:val="0"/>
        <w:color w:val="auto"/>
        <w:sz w:val="20"/>
        <w:lang w:val="es-ES"/>
      </w:rPr>
    </w:lvl>
    <w:lvl w:ilvl="1" w:tplc="8D765A30">
      <w:start w:val="1"/>
      <w:numFmt w:val="lowerLetter"/>
      <w:lvlText w:val="%2)"/>
      <w:lvlJc w:val="left"/>
      <w:pPr>
        <w:tabs>
          <w:tab w:val="num" w:pos="4767"/>
        </w:tabs>
        <w:ind w:left="4767" w:hanging="360"/>
      </w:pPr>
      <w:rPr>
        <w:rFonts w:cs="Times New Roman" w:hint="default"/>
        <w:b w:val="0"/>
        <w:i w:val="0"/>
        <w:sz w:val="20"/>
      </w:rPr>
    </w:lvl>
    <w:lvl w:ilvl="2" w:tplc="FED61C0C">
      <w:start w:val="1"/>
      <w:numFmt w:val="lowerRoman"/>
      <w:lvlText w:val="%3."/>
      <w:lvlJc w:val="right"/>
      <w:pPr>
        <w:tabs>
          <w:tab w:val="num" w:pos="890"/>
        </w:tabs>
        <w:ind w:left="890" w:hanging="180"/>
      </w:pPr>
      <w:rPr>
        <w:rFonts w:cs="Times New Roman"/>
        <w:i/>
      </w:rPr>
    </w:lvl>
    <w:lvl w:ilvl="3" w:tplc="0C0A000F">
      <w:start w:val="1"/>
      <w:numFmt w:val="decimal"/>
      <w:lvlText w:val="%4."/>
      <w:lvlJc w:val="left"/>
      <w:pPr>
        <w:tabs>
          <w:tab w:val="num" w:pos="6567"/>
        </w:tabs>
        <w:ind w:left="6567" w:hanging="360"/>
      </w:pPr>
      <w:rPr>
        <w:rFonts w:cs="Times New Roman"/>
      </w:rPr>
    </w:lvl>
    <w:lvl w:ilvl="4" w:tplc="0C0A0019">
      <w:start w:val="1"/>
      <w:numFmt w:val="lowerLetter"/>
      <w:lvlText w:val="%5."/>
      <w:lvlJc w:val="left"/>
      <w:pPr>
        <w:tabs>
          <w:tab w:val="num" w:pos="7287"/>
        </w:tabs>
        <w:ind w:left="7287" w:hanging="360"/>
      </w:pPr>
      <w:rPr>
        <w:rFonts w:cs="Times New Roman"/>
      </w:rPr>
    </w:lvl>
    <w:lvl w:ilvl="5" w:tplc="0C0A001B">
      <w:start w:val="1"/>
      <w:numFmt w:val="lowerRoman"/>
      <w:lvlText w:val="%6."/>
      <w:lvlJc w:val="right"/>
      <w:pPr>
        <w:tabs>
          <w:tab w:val="num" w:pos="8007"/>
        </w:tabs>
        <w:ind w:left="8007" w:hanging="180"/>
      </w:pPr>
      <w:rPr>
        <w:rFonts w:cs="Times New Roman"/>
      </w:rPr>
    </w:lvl>
    <w:lvl w:ilvl="6" w:tplc="0C0A000F">
      <w:start w:val="1"/>
      <w:numFmt w:val="decimal"/>
      <w:lvlText w:val="%7."/>
      <w:lvlJc w:val="left"/>
      <w:pPr>
        <w:tabs>
          <w:tab w:val="num" w:pos="8727"/>
        </w:tabs>
        <w:ind w:left="8727" w:hanging="360"/>
      </w:pPr>
      <w:rPr>
        <w:rFonts w:cs="Times New Roman"/>
      </w:rPr>
    </w:lvl>
    <w:lvl w:ilvl="7" w:tplc="0C0A0019">
      <w:start w:val="1"/>
      <w:numFmt w:val="lowerLetter"/>
      <w:lvlText w:val="%8."/>
      <w:lvlJc w:val="left"/>
      <w:pPr>
        <w:tabs>
          <w:tab w:val="num" w:pos="9447"/>
        </w:tabs>
        <w:ind w:left="9447" w:hanging="360"/>
      </w:pPr>
      <w:rPr>
        <w:rFonts w:cs="Times New Roman"/>
      </w:rPr>
    </w:lvl>
    <w:lvl w:ilvl="8" w:tplc="0C0A001B">
      <w:start w:val="1"/>
      <w:numFmt w:val="lowerRoman"/>
      <w:lvlText w:val="%9."/>
      <w:lvlJc w:val="right"/>
      <w:pPr>
        <w:tabs>
          <w:tab w:val="num" w:pos="10167"/>
        </w:tabs>
        <w:ind w:left="10167" w:hanging="180"/>
      </w:pPr>
      <w:rPr>
        <w:rFonts w:cs="Times New Roman"/>
      </w:rPr>
    </w:lvl>
  </w:abstractNum>
  <w:num w:numId="1">
    <w:abstractNumId w:val="0"/>
  </w:num>
  <w:num w:numId="2">
    <w:abstractNumId w:val="15"/>
  </w:num>
  <w:num w:numId="3">
    <w:abstractNumId w:val="21"/>
  </w:num>
  <w:num w:numId="4">
    <w:abstractNumId w:val="5"/>
  </w:num>
  <w:num w:numId="5">
    <w:abstractNumId w:val="19"/>
  </w:num>
  <w:num w:numId="6">
    <w:abstractNumId w:val="27"/>
  </w:num>
  <w:num w:numId="7">
    <w:abstractNumId w:val="22"/>
  </w:num>
  <w:num w:numId="8">
    <w:abstractNumId w:val="29"/>
  </w:num>
  <w:num w:numId="9">
    <w:abstractNumId w:val="33"/>
  </w:num>
  <w:num w:numId="10">
    <w:abstractNumId w:val="7"/>
  </w:num>
  <w:num w:numId="11">
    <w:abstractNumId w:val="26"/>
  </w:num>
  <w:num w:numId="12">
    <w:abstractNumId w:val="32"/>
  </w:num>
  <w:num w:numId="13">
    <w:abstractNumId w:val="8"/>
  </w:num>
  <w:num w:numId="14">
    <w:abstractNumId w:val="4"/>
  </w:num>
  <w:num w:numId="15">
    <w:abstractNumId w:val="28"/>
  </w:num>
  <w:num w:numId="16">
    <w:abstractNumId w:val="20"/>
  </w:num>
  <w:num w:numId="17">
    <w:abstractNumId w:val="12"/>
  </w:num>
  <w:num w:numId="18">
    <w:abstractNumId w:val="9"/>
  </w:num>
  <w:num w:numId="19">
    <w:abstractNumId w:val="13"/>
  </w:num>
  <w:num w:numId="20">
    <w:abstractNumId w:val="14"/>
  </w:num>
  <w:num w:numId="21">
    <w:abstractNumId w:val="6"/>
  </w:num>
  <w:num w:numId="22">
    <w:abstractNumId w:val="23"/>
  </w:num>
  <w:num w:numId="23">
    <w:abstractNumId w:val="16"/>
  </w:num>
  <w:num w:numId="24">
    <w:abstractNumId w:val="31"/>
  </w:num>
  <w:num w:numId="25">
    <w:abstractNumId w:val="24"/>
  </w:num>
  <w:num w:numId="26">
    <w:abstractNumId w:val="1"/>
  </w:num>
  <w:num w:numId="27">
    <w:abstractNumId w:val="30"/>
  </w:num>
  <w:num w:numId="28">
    <w:abstractNumId w:val="10"/>
  </w:num>
  <w:num w:numId="29">
    <w:abstractNumId w:val="3"/>
  </w:num>
  <w:num w:numId="30">
    <w:abstractNumId w:val="25"/>
  </w:num>
  <w:num w:numId="31">
    <w:abstractNumId w:val="11"/>
  </w:num>
  <w:num w:numId="32">
    <w:abstractNumId w:val="34"/>
  </w:num>
  <w:num w:numId="33">
    <w:abstractNumId w:val="17"/>
  </w:num>
  <w:num w:numId="34">
    <w:abstractNumId w:val="18"/>
  </w:num>
  <w:num w:numId="35">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pt-BR" w:vendorID="64" w:dllVersion="6" w:nlCheck="1" w:checkStyle="0"/>
  <w:activeWritingStyle w:appName="MSWord" w:lang="es-CR" w:vendorID="64" w:dllVersion="6" w:nlCheck="1" w:checkStyle="0"/>
  <w:activeWritingStyle w:appName="MSWord" w:lang="en-US" w:vendorID="64" w:dllVersion="6" w:nlCheck="1" w:checkStyle="1"/>
  <w:activeWritingStyle w:appName="MSWord" w:lang="es-CO"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PR" w:vendorID="64" w:dllVersion="6" w:nlCheck="1" w:checkStyle="0"/>
  <w:activeWritingStyle w:appName="MSWord" w:lang="es-AR" w:vendorID="64" w:dllVersion="6" w:nlCheck="1" w:checkStyle="0"/>
  <w:activeWritingStyle w:appName="MSWord" w:lang="es-VE" w:vendorID="64" w:dllVersion="6" w:nlCheck="1" w:checkStyle="0"/>
  <w:activeWritingStyle w:appName="MSWord" w:lang="es-GT" w:vendorID="64" w:dllVersion="6" w:nlCheck="1" w:checkStyle="0"/>
  <w:activeWritingStyle w:appName="MSWord" w:lang="es-PE" w:vendorID="64" w:dllVersion="6" w:nlCheck="1" w:checkStyle="0"/>
  <w:activeWritingStyle w:appName="MSWord" w:lang="es-CL" w:vendorID="64" w:dllVersion="6" w:nlCheck="1" w:checkStyle="0"/>
  <w:activeWritingStyle w:appName="MSWord" w:lang="es-CR"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CO"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es-GT" w:vendorID="64" w:dllVersion="4096" w:nlCheck="1" w:checkStyle="0"/>
  <w:activeWritingStyle w:appName="MSWord" w:lang="es-CR" w:vendorID="64" w:dllVersion="0" w:nlCheck="1" w:checkStyle="0"/>
  <w:activeWritingStyle w:appName="MSWord" w:lang="pt-BR" w:vendorID="64" w:dllVersion="0" w:nlCheck="1" w:checkStyle="0"/>
  <w:activeWritingStyle w:appName="MSWord" w:lang="es-ES" w:vendorID="64" w:dllVersion="0" w:nlCheck="1" w:checkStyle="0"/>
  <w:activeWritingStyle w:appName="MSWord" w:lang="es-CO" w:vendorID="64" w:dllVersion="0" w:nlCheck="1" w:checkStyle="0"/>
  <w:activeWritingStyle w:appName="MSWord" w:lang="es-PE" w:vendorID="64" w:dllVersion="0" w:nlCheck="1" w:checkStyle="0"/>
  <w:activeWritingStyle w:appName="MSWord" w:lang="es-ES_tradnl" w:vendorID="64" w:dllVersion="0" w:nlCheck="1" w:checkStyle="0"/>
  <w:activeWritingStyle w:appName="MSWord" w:lang="es-GT" w:vendorID="64" w:dllVersion="0" w:nlCheck="1" w:checkStyle="0"/>
  <w:activeWritingStyle w:appName="MSWord" w:lang="es-AR" w:vendorID="64" w:dllVersion="0" w:nlCheck="1" w:checkStyle="0"/>
  <w:activeWritingStyle w:appName="MSWord" w:lang="es-MX" w:vendorID="64" w:dllVersion="0" w:nlCheck="1" w:checkStyle="0"/>
  <w:activeWritingStyle w:appName="MSWord" w:lang="es-CL" w:vendorID="64" w:dllVersion="0" w:nlCheck="1" w:checkStyle="0"/>
  <w:activeWritingStyle w:appName="MSWord" w:lang="es-VE" w:vendorID="64" w:dllVersion="0" w:nlCheck="1" w:checkStyle="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FB1"/>
    <w:rsid w:val="00000CEE"/>
    <w:rsid w:val="000032C6"/>
    <w:rsid w:val="0000402C"/>
    <w:rsid w:val="0000453F"/>
    <w:rsid w:val="00005562"/>
    <w:rsid w:val="00007617"/>
    <w:rsid w:val="00010104"/>
    <w:rsid w:val="00010421"/>
    <w:rsid w:val="00012985"/>
    <w:rsid w:val="00012FCE"/>
    <w:rsid w:val="00013767"/>
    <w:rsid w:val="00013B7A"/>
    <w:rsid w:val="00013FD5"/>
    <w:rsid w:val="00014FC2"/>
    <w:rsid w:val="00020635"/>
    <w:rsid w:val="000216EF"/>
    <w:rsid w:val="0002271B"/>
    <w:rsid w:val="0002319B"/>
    <w:rsid w:val="000259EC"/>
    <w:rsid w:val="00026E27"/>
    <w:rsid w:val="00027BEA"/>
    <w:rsid w:val="00030A97"/>
    <w:rsid w:val="00030C22"/>
    <w:rsid w:val="00031B53"/>
    <w:rsid w:val="00031F7F"/>
    <w:rsid w:val="00032CC8"/>
    <w:rsid w:val="00034F75"/>
    <w:rsid w:val="00035EA3"/>
    <w:rsid w:val="00036D14"/>
    <w:rsid w:val="0003723C"/>
    <w:rsid w:val="00037A9F"/>
    <w:rsid w:val="00037AEA"/>
    <w:rsid w:val="00042E24"/>
    <w:rsid w:val="00043C4B"/>
    <w:rsid w:val="00044F47"/>
    <w:rsid w:val="0004597B"/>
    <w:rsid w:val="000459D0"/>
    <w:rsid w:val="00045EE0"/>
    <w:rsid w:val="00045F4A"/>
    <w:rsid w:val="0004618D"/>
    <w:rsid w:val="00050516"/>
    <w:rsid w:val="00051DB2"/>
    <w:rsid w:val="00052C51"/>
    <w:rsid w:val="00053123"/>
    <w:rsid w:val="000533DA"/>
    <w:rsid w:val="0005417E"/>
    <w:rsid w:val="00054B93"/>
    <w:rsid w:val="0005572F"/>
    <w:rsid w:val="00055E6C"/>
    <w:rsid w:val="00057028"/>
    <w:rsid w:val="000576DD"/>
    <w:rsid w:val="00057ADD"/>
    <w:rsid w:val="0006374B"/>
    <w:rsid w:val="00065E02"/>
    <w:rsid w:val="0006605E"/>
    <w:rsid w:val="000671CD"/>
    <w:rsid w:val="00071941"/>
    <w:rsid w:val="00072008"/>
    <w:rsid w:val="000733CC"/>
    <w:rsid w:val="00074777"/>
    <w:rsid w:val="000753A1"/>
    <w:rsid w:val="000759C1"/>
    <w:rsid w:val="00075D53"/>
    <w:rsid w:val="00077AB8"/>
    <w:rsid w:val="00080DDE"/>
    <w:rsid w:val="000812F9"/>
    <w:rsid w:val="0008227D"/>
    <w:rsid w:val="00082508"/>
    <w:rsid w:val="00082D46"/>
    <w:rsid w:val="00085885"/>
    <w:rsid w:val="00086AB6"/>
    <w:rsid w:val="00087940"/>
    <w:rsid w:val="000937BA"/>
    <w:rsid w:val="00093CFD"/>
    <w:rsid w:val="00094211"/>
    <w:rsid w:val="000954D0"/>
    <w:rsid w:val="000958C8"/>
    <w:rsid w:val="00095CEF"/>
    <w:rsid w:val="00096082"/>
    <w:rsid w:val="00096869"/>
    <w:rsid w:val="00096D2B"/>
    <w:rsid w:val="00097494"/>
    <w:rsid w:val="00097BEE"/>
    <w:rsid w:val="000A0050"/>
    <w:rsid w:val="000A11BB"/>
    <w:rsid w:val="000A1D2A"/>
    <w:rsid w:val="000A22B6"/>
    <w:rsid w:val="000A2B71"/>
    <w:rsid w:val="000A2C00"/>
    <w:rsid w:val="000A3649"/>
    <w:rsid w:val="000A430E"/>
    <w:rsid w:val="000A5A63"/>
    <w:rsid w:val="000A5A81"/>
    <w:rsid w:val="000A723B"/>
    <w:rsid w:val="000A7515"/>
    <w:rsid w:val="000A7629"/>
    <w:rsid w:val="000A7672"/>
    <w:rsid w:val="000A7A72"/>
    <w:rsid w:val="000A7C3B"/>
    <w:rsid w:val="000B0DA5"/>
    <w:rsid w:val="000B2297"/>
    <w:rsid w:val="000B30AA"/>
    <w:rsid w:val="000B3A64"/>
    <w:rsid w:val="000B422F"/>
    <w:rsid w:val="000B47ED"/>
    <w:rsid w:val="000B5C95"/>
    <w:rsid w:val="000B779D"/>
    <w:rsid w:val="000C0F99"/>
    <w:rsid w:val="000C13C1"/>
    <w:rsid w:val="000C1951"/>
    <w:rsid w:val="000C1B92"/>
    <w:rsid w:val="000C1F3F"/>
    <w:rsid w:val="000C1FD9"/>
    <w:rsid w:val="000C357C"/>
    <w:rsid w:val="000C3889"/>
    <w:rsid w:val="000C530C"/>
    <w:rsid w:val="000C5701"/>
    <w:rsid w:val="000C675B"/>
    <w:rsid w:val="000C69EE"/>
    <w:rsid w:val="000C6A5A"/>
    <w:rsid w:val="000C7346"/>
    <w:rsid w:val="000D1D4C"/>
    <w:rsid w:val="000D1F18"/>
    <w:rsid w:val="000D2611"/>
    <w:rsid w:val="000D3210"/>
    <w:rsid w:val="000D4890"/>
    <w:rsid w:val="000D6684"/>
    <w:rsid w:val="000D7D93"/>
    <w:rsid w:val="000E0491"/>
    <w:rsid w:val="000E1285"/>
    <w:rsid w:val="000E427B"/>
    <w:rsid w:val="000E4E7C"/>
    <w:rsid w:val="000E6F6D"/>
    <w:rsid w:val="000F073E"/>
    <w:rsid w:val="000F0BE3"/>
    <w:rsid w:val="000F4334"/>
    <w:rsid w:val="000F4C8C"/>
    <w:rsid w:val="000F568E"/>
    <w:rsid w:val="000F671D"/>
    <w:rsid w:val="000F6C86"/>
    <w:rsid w:val="000F6DA5"/>
    <w:rsid w:val="00101524"/>
    <w:rsid w:val="00101695"/>
    <w:rsid w:val="00103A62"/>
    <w:rsid w:val="00103DF4"/>
    <w:rsid w:val="00103F4C"/>
    <w:rsid w:val="001041DD"/>
    <w:rsid w:val="00104863"/>
    <w:rsid w:val="00105081"/>
    <w:rsid w:val="00105A52"/>
    <w:rsid w:val="00106794"/>
    <w:rsid w:val="00106EAE"/>
    <w:rsid w:val="001072BB"/>
    <w:rsid w:val="00110528"/>
    <w:rsid w:val="00110CFE"/>
    <w:rsid w:val="001125E8"/>
    <w:rsid w:val="001135E5"/>
    <w:rsid w:val="00115322"/>
    <w:rsid w:val="00115CBB"/>
    <w:rsid w:val="0011656D"/>
    <w:rsid w:val="001165CF"/>
    <w:rsid w:val="00116B59"/>
    <w:rsid w:val="00116F2D"/>
    <w:rsid w:val="00116FFF"/>
    <w:rsid w:val="00117AB8"/>
    <w:rsid w:val="00117ADB"/>
    <w:rsid w:val="00120A14"/>
    <w:rsid w:val="0012127D"/>
    <w:rsid w:val="00121B31"/>
    <w:rsid w:val="00121C8E"/>
    <w:rsid w:val="00121FEF"/>
    <w:rsid w:val="00123814"/>
    <w:rsid w:val="00123E69"/>
    <w:rsid w:val="0012455A"/>
    <w:rsid w:val="00126143"/>
    <w:rsid w:val="00126948"/>
    <w:rsid w:val="001278C9"/>
    <w:rsid w:val="00127E77"/>
    <w:rsid w:val="001325C6"/>
    <w:rsid w:val="00135991"/>
    <w:rsid w:val="00136209"/>
    <w:rsid w:val="0014050C"/>
    <w:rsid w:val="001411E4"/>
    <w:rsid w:val="00141749"/>
    <w:rsid w:val="00142716"/>
    <w:rsid w:val="001445A8"/>
    <w:rsid w:val="00146ACC"/>
    <w:rsid w:val="00146FDE"/>
    <w:rsid w:val="00147A08"/>
    <w:rsid w:val="00147A1A"/>
    <w:rsid w:val="001503D4"/>
    <w:rsid w:val="00151516"/>
    <w:rsid w:val="00151712"/>
    <w:rsid w:val="00152A21"/>
    <w:rsid w:val="001530E0"/>
    <w:rsid w:val="00154018"/>
    <w:rsid w:val="001542E2"/>
    <w:rsid w:val="00155128"/>
    <w:rsid w:val="001555A8"/>
    <w:rsid w:val="0015799C"/>
    <w:rsid w:val="00157D3E"/>
    <w:rsid w:val="001619B2"/>
    <w:rsid w:val="00162F3A"/>
    <w:rsid w:val="001630B7"/>
    <w:rsid w:val="0016321D"/>
    <w:rsid w:val="001641AB"/>
    <w:rsid w:val="00164B49"/>
    <w:rsid w:val="001655C8"/>
    <w:rsid w:val="00167D76"/>
    <w:rsid w:val="0017111C"/>
    <w:rsid w:val="00171544"/>
    <w:rsid w:val="00174576"/>
    <w:rsid w:val="00174BE9"/>
    <w:rsid w:val="00175C0D"/>
    <w:rsid w:val="00175F9C"/>
    <w:rsid w:val="0017697F"/>
    <w:rsid w:val="00177396"/>
    <w:rsid w:val="00181354"/>
    <w:rsid w:val="00181ABD"/>
    <w:rsid w:val="001850FE"/>
    <w:rsid w:val="00186A45"/>
    <w:rsid w:val="00187F4F"/>
    <w:rsid w:val="00190914"/>
    <w:rsid w:val="0019095D"/>
    <w:rsid w:val="00190E0B"/>
    <w:rsid w:val="00194173"/>
    <w:rsid w:val="0019532A"/>
    <w:rsid w:val="001959C0"/>
    <w:rsid w:val="001963A1"/>
    <w:rsid w:val="0019672A"/>
    <w:rsid w:val="001A0342"/>
    <w:rsid w:val="001A04D5"/>
    <w:rsid w:val="001A207D"/>
    <w:rsid w:val="001A2CA0"/>
    <w:rsid w:val="001A3A14"/>
    <w:rsid w:val="001A43B9"/>
    <w:rsid w:val="001A4D63"/>
    <w:rsid w:val="001A5926"/>
    <w:rsid w:val="001A5B0E"/>
    <w:rsid w:val="001A6B47"/>
    <w:rsid w:val="001B04A4"/>
    <w:rsid w:val="001B1DFD"/>
    <w:rsid w:val="001B264B"/>
    <w:rsid w:val="001B2BBC"/>
    <w:rsid w:val="001B3E44"/>
    <w:rsid w:val="001B5570"/>
    <w:rsid w:val="001B5A11"/>
    <w:rsid w:val="001C064F"/>
    <w:rsid w:val="001C1778"/>
    <w:rsid w:val="001C35E3"/>
    <w:rsid w:val="001C423F"/>
    <w:rsid w:val="001C4FFF"/>
    <w:rsid w:val="001C5952"/>
    <w:rsid w:val="001C630E"/>
    <w:rsid w:val="001C743F"/>
    <w:rsid w:val="001C7C89"/>
    <w:rsid w:val="001C7E7A"/>
    <w:rsid w:val="001D02C9"/>
    <w:rsid w:val="001D0BDC"/>
    <w:rsid w:val="001D0C24"/>
    <w:rsid w:val="001D0E86"/>
    <w:rsid w:val="001D2840"/>
    <w:rsid w:val="001D31FA"/>
    <w:rsid w:val="001D4352"/>
    <w:rsid w:val="001D57A6"/>
    <w:rsid w:val="001D67E3"/>
    <w:rsid w:val="001D6889"/>
    <w:rsid w:val="001D6CEF"/>
    <w:rsid w:val="001E0D91"/>
    <w:rsid w:val="001E1FD3"/>
    <w:rsid w:val="001E3877"/>
    <w:rsid w:val="001E3B78"/>
    <w:rsid w:val="001E41CB"/>
    <w:rsid w:val="001E44E8"/>
    <w:rsid w:val="001E59BA"/>
    <w:rsid w:val="001E6459"/>
    <w:rsid w:val="001E6C49"/>
    <w:rsid w:val="001F10B5"/>
    <w:rsid w:val="001F21A0"/>
    <w:rsid w:val="001F25ED"/>
    <w:rsid w:val="001F317F"/>
    <w:rsid w:val="001F41C0"/>
    <w:rsid w:val="001F599C"/>
    <w:rsid w:val="001F6B5A"/>
    <w:rsid w:val="001F7D87"/>
    <w:rsid w:val="00201433"/>
    <w:rsid w:val="00202D11"/>
    <w:rsid w:val="00205A53"/>
    <w:rsid w:val="00206546"/>
    <w:rsid w:val="00207DF5"/>
    <w:rsid w:val="0021006D"/>
    <w:rsid w:val="002104EA"/>
    <w:rsid w:val="002106A6"/>
    <w:rsid w:val="00211A0C"/>
    <w:rsid w:val="002129D0"/>
    <w:rsid w:val="00213FE8"/>
    <w:rsid w:val="00214499"/>
    <w:rsid w:val="00215C6E"/>
    <w:rsid w:val="00216C40"/>
    <w:rsid w:val="00216CE0"/>
    <w:rsid w:val="0021758D"/>
    <w:rsid w:val="002177B1"/>
    <w:rsid w:val="00217893"/>
    <w:rsid w:val="00217CBC"/>
    <w:rsid w:val="00220AD9"/>
    <w:rsid w:val="00221211"/>
    <w:rsid w:val="00221310"/>
    <w:rsid w:val="0022188F"/>
    <w:rsid w:val="002220E5"/>
    <w:rsid w:val="00222139"/>
    <w:rsid w:val="00223772"/>
    <w:rsid w:val="00225212"/>
    <w:rsid w:val="00225CB6"/>
    <w:rsid w:val="00225F3E"/>
    <w:rsid w:val="002263FC"/>
    <w:rsid w:val="00226410"/>
    <w:rsid w:val="0022713D"/>
    <w:rsid w:val="00227558"/>
    <w:rsid w:val="00227D2D"/>
    <w:rsid w:val="00230017"/>
    <w:rsid w:val="00230FF1"/>
    <w:rsid w:val="0023153E"/>
    <w:rsid w:val="00232554"/>
    <w:rsid w:val="00233C01"/>
    <w:rsid w:val="002340DA"/>
    <w:rsid w:val="002359D1"/>
    <w:rsid w:val="002367CC"/>
    <w:rsid w:val="00237536"/>
    <w:rsid w:val="00237885"/>
    <w:rsid w:val="00240010"/>
    <w:rsid w:val="00241A40"/>
    <w:rsid w:val="00241E23"/>
    <w:rsid w:val="00241F72"/>
    <w:rsid w:val="00243157"/>
    <w:rsid w:val="00243463"/>
    <w:rsid w:val="002467C4"/>
    <w:rsid w:val="00246A35"/>
    <w:rsid w:val="00246D3A"/>
    <w:rsid w:val="0025151A"/>
    <w:rsid w:val="00252478"/>
    <w:rsid w:val="00252FC3"/>
    <w:rsid w:val="00253BDB"/>
    <w:rsid w:val="00253C3B"/>
    <w:rsid w:val="00253C45"/>
    <w:rsid w:val="002540EB"/>
    <w:rsid w:val="0025576B"/>
    <w:rsid w:val="00256336"/>
    <w:rsid w:val="00256BB4"/>
    <w:rsid w:val="00260852"/>
    <w:rsid w:val="002608DE"/>
    <w:rsid w:val="00260EEB"/>
    <w:rsid w:val="002627F2"/>
    <w:rsid w:val="00262A3F"/>
    <w:rsid w:val="00262AE4"/>
    <w:rsid w:val="0026330A"/>
    <w:rsid w:val="00264C7D"/>
    <w:rsid w:val="002651EC"/>
    <w:rsid w:val="00265D44"/>
    <w:rsid w:val="002662F3"/>
    <w:rsid w:val="002663E9"/>
    <w:rsid w:val="00270002"/>
    <w:rsid w:val="0027047D"/>
    <w:rsid w:val="0027128F"/>
    <w:rsid w:val="00271918"/>
    <w:rsid w:val="00272033"/>
    <w:rsid w:val="002726DF"/>
    <w:rsid w:val="00272A62"/>
    <w:rsid w:val="00272F58"/>
    <w:rsid w:val="002731D0"/>
    <w:rsid w:val="00273DFB"/>
    <w:rsid w:val="002747DB"/>
    <w:rsid w:val="0027575A"/>
    <w:rsid w:val="00275812"/>
    <w:rsid w:val="002759FD"/>
    <w:rsid w:val="002761CE"/>
    <w:rsid w:val="002764AF"/>
    <w:rsid w:val="00277669"/>
    <w:rsid w:val="00280B29"/>
    <w:rsid w:val="0028153B"/>
    <w:rsid w:val="002818FB"/>
    <w:rsid w:val="00281D30"/>
    <w:rsid w:val="00283563"/>
    <w:rsid w:val="002837C0"/>
    <w:rsid w:val="00284195"/>
    <w:rsid w:val="00284C66"/>
    <w:rsid w:val="00285795"/>
    <w:rsid w:val="00286CB0"/>
    <w:rsid w:val="00287128"/>
    <w:rsid w:val="002872A2"/>
    <w:rsid w:val="00287716"/>
    <w:rsid w:val="00287A35"/>
    <w:rsid w:val="0029080B"/>
    <w:rsid w:val="00290C98"/>
    <w:rsid w:val="002918DA"/>
    <w:rsid w:val="002919F1"/>
    <w:rsid w:val="00292249"/>
    <w:rsid w:val="00293621"/>
    <w:rsid w:val="00293F46"/>
    <w:rsid w:val="00294289"/>
    <w:rsid w:val="002942D7"/>
    <w:rsid w:val="0029620B"/>
    <w:rsid w:val="0029635A"/>
    <w:rsid w:val="00296770"/>
    <w:rsid w:val="00296FC3"/>
    <w:rsid w:val="0029772F"/>
    <w:rsid w:val="00297ECD"/>
    <w:rsid w:val="002A01B5"/>
    <w:rsid w:val="002A35DD"/>
    <w:rsid w:val="002A3664"/>
    <w:rsid w:val="002A411F"/>
    <w:rsid w:val="002A56D1"/>
    <w:rsid w:val="002A5840"/>
    <w:rsid w:val="002A5B52"/>
    <w:rsid w:val="002A7858"/>
    <w:rsid w:val="002A7AAF"/>
    <w:rsid w:val="002B0C9B"/>
    <w:rsid w:val="002B1119"/>
    <w:rsid w:val="002B115A"/>
    <w:rsid w:val="002B26C0"/>
    <w:rsid w:val="002B2916"/>
    <w:rsid w:val="002B29BF"/>
    <w:rsid w:val="002B2C22"/>
    <w:rsid w:val="002B41E9"/>
    <w:rsid w:val="002B44EE"/>
    <w:rsid w:val="002B46AF"/>
    <w:rsid w:val="002B4D70"/>
    <w:rsid w:val="002B4FFC"/>
    <w:rsid w:val="002C0D10"/>
    <w:rsid w:val="002C0D86"/>
    <w:rsid w:val="002C2749"/>
    <w:rsid w:val="002C2BA9"/>
    <w:rsid w:val="002C52D4"/>
    <w:rsid w:val="002C5FA2"/>
    <w:rsid w:val="002C639B"/>
    <w:rsid w:val="002C65BC"/>
    <w:rsid w:val="002C6B6C"/>
    <w:rsid w:val="002C715F"/>
    <w:rsid w:val="002C7453"/>
    <w:rsid w:val="002C760C"/>
    <w:rsid w:val="002C761C"/>
    <w:rsid w:val="002C7CF4"/>
    <w:rsid w:val="002D00CD"/>
    <w:rsid w:val="002D03E7"/>
    <w:rsid w:val="002D0FDE"/>
    <w:rsid w:val="002D163E"/>
    <w:rsid w:val="002D24CF"/>
    <w:rsid w:val="002D263A"/>
    <w:rsid w:val="002D2A96"/>
    <w:rsid w:val="002D46D6"/>
    <w:rsid w:val="002D47E3"/>
    <w:rsid w:val="002D5450"/>
    <w:rsid w:val="002D5A93"/>
    <w:rsid w:val="002D6835"/>
    <w:rsid w:val="002D6FE4"/>
    <w:rsid w:val="002D7DB9"/>
    <w:rsid w:val="002E11EA"/>
    <w:rsid w:val="002E2C2A"/>
    <w:rsid w:val="002E31EC"/>
    <w:rsid w:val="002E600E"/>
    <w:rsid w:val="002E609E"/>
    <w:rsid w:val="002E6758"/>
    <w:rsid w:val="002E6EEF"/>
    <w:rsid w:val="002E7C57"/>
    <w:rsid w:val="002F0232"/>
    <w:rsid w:val="002F05B5"/>
    <w:rsid w:val="002F0F94"/>
    <w:rsid w:val="002F0FAC"/>
    <w:rsid w:val="002F1242"/>
    <w:rsid w:val="002F27FB"/>
    <w:rsid w:val="002F2C78"/>
    <w:rsid w:val="002F2E08"/>
    <w:rsid w:val="002F3545"/>
    <w:rsid w:val="002F5732"/>
    <w:rsid w:val="002F62C5"/>
    <w:rsid w:val="002F758A"/>
    <w:rsid w:val="00300EBA"/>
    <w:rsid w:val="00301224"/>
    <w:rsid w:val="00301FCD"/>
    <w:rsid w:val="003023C5"/>
    <w:rsid w:val="0030341C"/>
    <w:rsid w:val="0030347B"/>
    <w:rsid w:val="0030357C"/>
    <w:rsid w:val="00303B44"/>
    <w:rsid w:val="00304F39"/>
    <w:rsid w:val="00305C62"/>
    <w:rsid w:val="00306187"/>
    <w:rsid w:val="00310971"/>
    <w:rsid w:val="003149A0"/>
    <w:rsid w:val="00314E29"/>
    <w:rsid w:val="0031521C"/>
    <w:rsid w:val="003168C6"/>
    <w:rsid w:val="003173CF"/>
    <w:rsid w:val="0032071E"/>
    <w:rsid w:val="00322903"/>
    <w:rsid w:val="00324EA8"/>
    <w:rsid w:val="0032555E"/>
    <w:rsid w:val="00325E48"/>
    <w:rsid w:val="003266F6"/>
    <w:rsid w:val="003273DB"/>
    <w:rsid w:val="00327B8F"/>
    <w:rsid w:val="00330A64"/>
    <w:rsid w:val="00330B8E"/>
    <w:rsid w:val="003318AB"/>
    <w:rsid w:val="003322A3"/>
    <w:rsid w:val="003326A6"/>
    <w:rsid w:val="0033323B"/>
    <w:rsid w:val="0033399D"/>
    <w:rsid w:val="00335646"/>
    <w:rsid w:val="00335818"/>
    <w:rsid w:val="0034060B"/>
    <w:rsid w:val="003424D6"/>
    <w:rsid w:val="00342537"/>
    <w:rsid w:val="00342E7C"/>
    <w:rsid w:val="0034321D"/>
    <w:rsid w:val="00343AC7"/>
    <w:rsid w:val="00345027"/>
    <w:rsid w:val="003455D6"/>
    <w:rsid w:val="0034605B"/>
    <w:rsid w:val="00346063"/>
    <w:rsid w:val="00347B81"/>
    <w:rsid w:val="0035103A"/>
    <w:rsid w:val="00352DA7"/>
    <w:rsid w:val="003532D0"/>
    <w:rsid w:val="003538EF"/>
    <w:rsid w:val="00353D4C"/>
    <w:rsid w:val="00355595"/>
    <w:rsid w:val="0035617B"/>
    <w:rsid w:val="00356A34"/>
    <w:rsid w:val="00357474"/>
    <w:rsid w:val="00357A47"/>
    <w:rsid w:val="00360C1D"/>
    <w:rsid w:val="00361957"/>
    <w:rsid w:val="00361FE1"/>
    <w:rsid w:val="00362266"/>
    <w:rsid w:val="00362B06"/>
    <w:rsid w:val="00363B3E"/>
    <w:rsid w:val="003664A5"/>
    <w:rsid w:val="003673AF"/>
    <w:rsid w:val="00367EAC"/>
    <w:rsid w:val="00367FF7"/>
    <w:rsid w:val="00370617"/>
    <w:rsid w:val="00375C0C"/>
    <w:rsid w:val="00380502"/>
    <w:rsid w:val="0038110E"/>
    <w:rsid w:val="003819F4"/>
    <w:rsid w:val="00383D70"/>
    <w:rsid w:val="00385535"/>
    <w:rsid w:val="003877DF"/>
    <w:rsid w:val="00387B11"/>
    <w:rsid w:val="00387EB3"/>
    <w:rsid w:val="00387EFA"/>
    <w:rsid w:val="00391561"/>
    <w:rsid w:val="003919DD"/>
    <w:rsid w:val="00391B7F"/>
    <w:rsid w:val="00393A5E"/>
    <w:rsid w:val="00394347"/>
    <w:rsid w:val="00396C1A"/>
    <w:rsid w:val="003972C6"/>
    <w:rsid w:val="003A03D0"/>
    <w:rsid w:val="003A051A"/>
    <w:rsid w:val="003A098A"/>
    <w:rsid w:val="003A0D75"/>
    <w:rsid w:val="003A1662"/>
    <w:rsid w:val="003A2057"/>
    <w:rsid w:val="003A2283"/>
    <w:rsid w:val="003A3B4D"/>
    <w:rsid w:val="003A41F8"/>
    <w:rsid w:val="003A6004"/>
    <w:rsid w:val="003A6FCE"/>
    <w:rsid w:val="003A700E"/>
    <w:rsid w:val="003A7BD5"/>
    <w:rsid w:val="003B01D3"/>
    <w:rsid w:val="003B0E8C"/>
    <w:rsid w:val="003B28F0"/>
    <w:rsid w:val="003B2B90"/>
    <w:rsid w:val="003B31C2"/>
    <w:rsid w:val="003B3E07"/>
    <w:rsid w:val="003B3ECF"/>
    <w:rsid w:val="003B5B53"/>
    <w:rsid w:val="003C0E7F"/>
    <w:rsid w:val="003C1010"/>
    <w:rsid w:val="003C1379"/>
    <w:rsid w:val="003C2116"/>
    <w:rsid w:val="003C31A1"/>
    <w:rsid w:val="003C3C2A"/>
    <w:rsid w:val="003C3E3A"/>
    <w:rsid w:val="003C43D1"/>
    <w:rsid w:val="003C5DBC"/>
    <w:rsid w:val="003C6A77"/>
    <w:rsid w:val="003C7510"/>
    <w:rsid w:val="003C7837"/>
    <w:rsid w:val="003C7DA6"/>
    <w:rsid w:val="003D0F36"/>
    <w:rsid w:val="003D1FBD"/>
    <w:rsid w:val="003D2BB9"/>
    <w:rsid w:val="003D3DF9"/>
    <w:rsid w:val="003D408C"/>
    <w:rsid w:val="003D4291"/>
    <w:rsid w:val="003D506B"/>
    <w:rsid w:val="003D569C"/>
    <w:rsid w:val="003D57AF"/>
    <w:rsid w:val="003D5FB9"/>
    <w:rsid w:val="003D656D"/>
    <w:rsid w:val="003D6A75"/>
    <w:rsid w:val="003E0B0D"/>
    <w:rsid w:val="003E1CBE"/>
    <w:rsid w:val="003E2BAA"/>
    <w:rsid w:val="003E5594"/>
    <w:rsid w:val="003E5682"/>
    <w:rsid w:val="003E6030"/>
    <w:rsid w:val="003E6DC8"/>
    <w:rsid w:val="003E7BD5"/>
    <w:rsid w:val="003F098D"/>
    <w:rsid w:val="003F10F3"/>
    <w:rsid w:val="003F150C"/>
    <w:rsid w:val="003F24DF"/>
    <w:rsid w:val="003F2D99"/>
    <w:rsid w:val="003F2DFF"/>
    <w:rsid w:val="003F30D8"/>
    <w:rsid w:val="003F37C0"/>
    <w:rsid w:val="003F37CF"/>
    <w:rsid w:val="003F3EB2"/>
    <w:rsid w:val="003F4DA0"/>
    <w:rsid w:val="003F62C1"/>
    <w:rsid w:val="003F6536"/>
    <w:rsid w:val="003F7003"/>
    <w:rsid w:val="003F7D21"/>
    <w:rsid w:val="00401214"/>
    <w:rsid w:val="00404C11"/>
    <w:rsid w:val="00404DE3"/>
    <w:rsid w:val="00405C1A"/>
    <w:rsid w:val="004062A8"/>
    <w:rsid w:val="004070A0"/>
    <w:rsid w:val="00407389"/>
    <w:rsid w:val="004075E0"/>
    <w:rsid w:val="0040771E"/>
    <w:rsid w:val="004077F5"/>
    <w:rsid w:val="0041155D"/>
    <w:rsid w:val="0041223E"/>
    <w:rsid w:val="00412AAA"/>
    <w:rsid w:val="0041312F"/>
    <w:rsid w:val="00413826"/>
    <w:rsid w:val="00414311"/>
    <w:rsid w:val="00415D58"/>
    <w:rsid w:val="004160AB"/>
    <w:rsid w:val="0041611C"/>
    <w:rsid w:val="0041668B"/>
    <w:rsid w:val="004178AD"/>
    <w:rsid w:val="0042108A"/>
    <w:rsid w:val="004232CA"/>
    <w:rsid w:val="00425C4F"/>
    <w:rsid w:val="00426AAC"/>
    <w:rsid w:val="00426CC5"/>
    <w:rsid w:val="00427466"/>
    <w:rsid w:val="004274F4"/>
    <w:rsid w:val="004276F5"/>
    <w:rsid w:val="004279A9"/>
    <w:rsid w:val="0043057A"/>
    <w:rsid w:val="00430B80"/>
    <w:rsid w:val="00430F3C"/>
    <w:rsid w:val="00432452"/>
    <w:rsid w:val="00433383"/>
    <w:rsid w:val="00433650"/>
    <w:rsid w:val="00434AAC"/>
    <w:rsid w:val="00434B6B"/>
    <w:rsid w:val="00434F28"/>
    <w:rsid w:val="0043538C"/>
    <w:rsid w:val="00436D8D"/>
    <w:rsid w:val="00437C36"/>
    <w:rsid w:val="00437C8F"/>
    <w:rsid w:val="00437E2D"/>
    <w:rsid w:val="00441AA6"/>
    <w:rsid w:val="00442613"/>
    <w:rsid w:val="004449ED"/>
    <w:rsid w:val="00445BEA"/>
    <w:rsid w:val="00446939"/>
    <w:rsid w:val="004473A1"/>
    <w:rsid w:val="00447ABF"/>
    <w:rsid w:val="00447EE0"/>
    <w:rsid w:val="00450414"/>
    <w:rsid w:val="00450958"/>
    <w:rsid w:val="00450AAD"/>
    <w:rsid w:val="00452186"/>
    <w:rsid w:val="00452D9B"/>
    <w:rsid w:val="00452ECB"/>
    <w:rsid w:val="00454CBD"/>
    <w:rsid w:val="00457AF9"/>
    <w:rsid w:val="004610E0"/>
    <w:rsid w:val="00461D95"/>
    <w:rsid w:val="00461E2B"/>
    <w:rsid w:val="00462E5F"/>
    <w:rsid w:val="004631BE"/>
    <w:rsid w:val="00467296"/>
    <w:rsid w:val="004737AF"/>
    <w:rsid w:val="00474606"/>
    <w:rsid w:val="00476141"/>
    <w:rsid w:val="004769F4"/>
    <w:rsid w:val="004770F9"/>
    <w:rsid w:val="00477918"/>
    <w:rsid w:val="0048055A"/>
    <w:rsid w:val="00481238"/>
    <w:rsid w:val="00482C85"/>
    <w:rsid w:val="00483265"/>
    <w:rsid w:val="00485245"/>
    <w:rsid w:val="00486227"/>
    <w:rsid w:val="0048639E"/>
    <w:rsid w:val="004868A4"/>
    <w:rsid w:val="00487F6B"/>
    <w:rsid w:val="00490243"/>
    <w:rsid w:val="004910E8"/>
    <w:rsid w:val="004913F7"/>
    <w:rsid w:val="00492D6C"/>
    <w:rsid w:val="00492F77"/>
    <w:rsid w:val="004930D3"/>
    <w:rsid w:val="00493955"/>
    <w:rsid w:val="004942EA"/>
    <w:rsid w:val="00494456"/>
    <w:rsid w:val="0049496E"/>
    <w:rsid w:val="0049672C"/>
    <w:rsid w:val="0049677D"/>
    <w:rsid w:val="004A1879"/>
    <w:rsid w:val="004A19D8"/>
    <w:rsid w:val="004A1DB0"/>
    <w:rsid w:val="004A4768"/>
    <w:rsid w:val="004A4F6F"/>
    <w:rsid w:val="004A5143"/>
    <w:rsid w:val="004A5EB1"/>
    <w:rsid w:val="004A6232"/>
    <w:rsid w:val="004A70A0"/>
    <w:rsid w:val="004A7DD3"/>
    <w:rsid w:val="004B054C"/>
    <w:rsid w:val="004B07F2"/>
    <w:rsid w:val="004B3857"/>
    <w:rsid w:val="004B54C4"/>
    <w:rsid w:val="004B686B"/>
    <w:rsid w:val="004B7832"/>
    <w:rsid w:val="004C0991"/>
    <w:rsid w:val="004C192E"/>
    <w:rsid w:val="004C1AAF"/>
    <w:rsid w:val="004C31F9"/>
    <w:rsid w:val="004C46A6"/>
    <w:rsid w:val="004C4BF0"/>
    <w:rsid w:val="004C4C64"/>
    <w:rsid w:val="004C515F"/>
    <w:rsid w:val="004C5C1B"/>
    <w:rsid w:val="004D0EA4"/>
    <w:rsid w:val="004D3188"/>
    <w:rsid w:val="004D434D"/>
    <w:rsid w:val="004D4904"/>
    <w:rsid w:val="004D5FAB"/>
    <w:rsid w:val="004D694B"/>
    <w:rsid w:val="004E07EA"/>
    <w:rsid w:val="004E1055"/>
    <w:rsid w:val="004E17D2"/>
    <w:rsid w:val="004E1844"/>
    <w:rsid w:val="004E1D94"/>
    <w:rsid w:val="004E26D6"/>
    <w:rsid w:val="004E34C2"/>
    <w:rsid w:val="004E3515"/>
    <w:rsid w:val="004E3723"/>
    <w:rsid w:val="004E4436"/>
    <w:rsid w:val="004E45E0"/>
    <w:rsid w:val="004E511E"/>
    <w:rsid w:val="004E53B9"/>
    <w:rsid w:val="004E5707"/>
    <w:rsid w:val="004E5EE8"/>
    <w:rsid w:val="004E6044"/>
    <w:rsid w:val="004F1010"/>
    <w:rsid w:val="004F186D"/>
    <w:rsid w:val="004F2FFE"/>
    <w:rsid w:val="004F314A"/>
    <w:rsid w:val="004F3619"/>
    <w:rsid w:val="004F4051"/>
    <w:rsid w:val="004F455F"/>
    <w:rsid w:val="004F45DF"/>
    <w:rsid w:val="004F6023"/>
    <w:rsid w:val="004F6216"/>
    <w:rsid w:val="004F6F8A"/>
    <w:rsid w:val="004F7495"/>
    <w:rsid w:val="004F7704"/>
    <w:rsid w:val="004F7BAB"/>
    <w:rsid w:val="004F7F87"/>
    <w:rsid w:val="0050149B"/>
    <w:rsid w:val="00502040"/>
    <w:rsid w:val="00502C7E"/>
    <w:rsid w:val="00503519"/>
    <w:rsid w:val="00503588"/>
    <w:rsid w:val="00503EFC"/>
    <w:rsid w:val="00504413"/>
    <w:rsid w:val="00504867"/>
    <w:rsid w:val="00504AFC"/>
    <w:rsid w:val="00505C09"/>
    <w:rsid w:val="00506C79"/>
    <w:rsid w:val="00507F43"/>
    <w:rsid w:val="00507F9C"/>
    <w:rsid w:val="0051006E"/>
    <w:rsid w:val="005115E3"/>
    <w:rsid w:val="00511E6D"/>
    <w:rsid w:val="005129CA"/>
    <w:rsid w:val="005133CC"/>
    <w:rsid w:val="005141F7"/>
    <w:rsid w:val="00515F27"/>
    <w:rsid w:val="00517659"/>
    <w:rsid w:val="0051788B"/>
    <w:rsid w:val="00520269"/>
    <w:rsid w:val="005209DE"/>
    <w:rsid w:val="005247E8"/>
    <w:rsid w:val="005301C1"/>
    <w:rsid w:val="00530620"/>
    <w:rsid w:val="00530A2E"/>
    <w:rsid w:val="00531383"/>
    <w:rsid w:val="0053332A"/>
    <w:rsid w:val="00533A16"/>
    <w:rsid w:val="00533AE5"/>
    <w:rsid w:val="00533BCD"/>
    <w:rsid w:val="00534FB2"/>
    <w:rsid w:val="00535206"/>
    <w:rsid w:val="00536B7B"/>
    <w:rsid w:val="00537952"/>
    <w:rsid w:val="005419F3"/>
    <w:rsid w:val="00542A50"/>
    <w:rsid w:val="00543242"/>
    <w:rsid w:val="005432C5"/>
    <w:rsid w:val="0054377A"/>
    <w:rsid w:val="00544B19"/>
    <w:rsid w:val="0054578F"/>
    <w:rsid w:val="00547188"/>
    <w:rsid w:val="00550A96"/>
    <w:rsid w:val="0055118B"/>
    <w:rsid w:val="00551775"/>
    <w:rsid w:val="00551ED1"/>
    <w:rsid w:val="005523F5"/>
    <w:rsid w:val="00553424"/>
    <w:rsid w:val="00553888"/>
    <w:rsid w:val="00554418"/>
    <w:rsid w:val="00554A25"/>
    <w:rsid w:val="00554F2F"/>
    <w:rsid w:val="00555306"/>
    <w:rsid w:val="00556365"/>
    <w:rsid w:val="00556778"/>
    <w:rsid w:val="00556D88"/>
    <w:rsid w:val="005570CA"/>
    <w:rsid w:val="00557249"/>
    <w:rsid w:val="00562354"/>
    <w:rsid w:val="005637C1"/>
    <w:rsid w:val="00565643"/>
    <w:rsid w:val="0056718E"/>
    <w:rsid w:val="005727A5"/>
    <w:rsid w:val="00572B02"/>
    <w:rsid w:val="00572C10"/>
    <w:rsid w:val="00573F8E"/>
    <w:rsid w:val="0057589B"/>
    <w:rsid w:val="005759F0"/>
    <w:rsid w:val="00575B8A"/>
    <w:rsid w:val="00575E56"/>
    <w:rsid w:val="005761A6"/>
    <w:rsid w:val="005803B0"/>
    <w:rsid w:val="00580433"/>
    <w:rsid w:val="005804B2"/>
    <w:rsid w:val="00581C6E"/>
    <w:rsid w:val="00582B18"/>
    <w:rsid w:val="00583F99"/>
    <w:rsid w:val="00584A0D"/>
    <w:rsid w:val="00584CAB"/>
    <w:rsid w:val="00586368"/>
    <w:rsid w:val="00587C1D"/>
    <w:rsid w:val="00590B29"/>
    <w:rsid w:val="00591126"/>
    <w:rsid w:val="00591D0B"/>
    <w:rsid w:val="005926D4"/>
    <w:rsid w:val="0059276E"/>
    <w:rsid w:val="005927CC"/>
    <w:rsid w:val="00592843"/>
    <w:rsid w:val="00592865"/>
    <w:rsid w:val="0059381B"/>
    <w:rsid w:val="00594F9C"/>
    <w:rsid w:val="00595930"/>
    <w:rsid w:val="00596EE6"/>
    <w:rsid w:val="005971AA"/>
    <w:rsid w:val="00597841"/>
    <w:rsid w:val="00597AC6"/>
    <w:rsid w:val="005A1B3F"/>
    <w:rsid w:val="005A1DF9"/>
    <w:rsid w:val="005A7460"/>
    <w:rsid w:val="005B08AF"/>
    <w:rsid w:val="005B22BF"/>
    <w:rsid w:val="005B2ACA"/>
    <w:rsid w:val="005B2BAD"/>
    <w:rsid w:val="005B3E8F"/>
    <w:rsid w:val="005B4A13"/>
    <w:rsid w:val="005B7BC9"/>
    <w:rsid w:val="005B7DB7"/>
    <w:rsid w:val="005C00A6"/>
    <w:rsid w:val="005C1387"/>
    <w:rsid w:val="005C18FB"/>
    <w:rsid w:val="005C24B4"/>
    <w:rsid w:val="005C3041"/>
    <w:rsid w:val="005C31EB"/>
    <w:rsid w:val="005C4293"/>
    <w:rsid w:val="005C47CF"/>
    <w:rsid w:val="005C5589"/>
    <w:rsid w:val="005C5DF1"/>
    <w:rsid w:val="005C67FF"/>
    <w:rsid w:val="005C73D5"/>
    <w:rsid w:val="005C7487"/>
    <w:rsid w:val="005C7A15"/>
    <w:rsid w:val="005D0572"/>
    <w:rsid w:val="005D1315"/>
    <w:rsid w:val="005D1575"/>
    <w:rsid w:val="005D279F"/>
    <w:rsid w:val="005D2A49"/>
    <w:rsid w:val="005D3145"/>
    <w:rsid w:val="005D60A0"/>
    <w:rsid w:val="005D751C"/>
    <w:rsid w:val="005D7CF9"/>
    <w:rsid w:val="005E1C43"/>
    <w:rsid w:val="005E3CC9"/>
    <w:rsid w:val="005E3F5F"/>
    <w:rsid w:val="005E40FD"/>
    <w:rsid w:val="005E448F"/>
    <w:rsid w:val="005E697D"/>
    <w:rsid w:val="005E6FD6"/>
    <w:rsid w:val="005F19D5"/>
    <w:rsid w:val="005F1A9F"/>
    <w:rsid w:val="005F1C26"/>
    <w:rsid w:val="005F4E5E"/>
    <w:rsid w:val="005F532F"/>
    <w:rsid w:val="005F5A59"/>
    <w:rsid w:val="005F5D9E"/>
    <w:rsid w:val="005F7A6A"/>
    <w:rsid w:val="005F7E8B"/>
    <w:rsid w:val="00600550"/>
    <w:rsid w:val="00600CF6"/>
    <w:rsid w:val="00602301"/>
    <w:rsid w:val="00602637"/>
    <w:rsid w:val="006028FD"/>
    <w:rsid w:val="00603777"/>
    <w:rsid w:val="00603C34"/>
    <w:rsid w:val="00604D81"/>
    <w:rsid w:val="006075FE"/>
    <w:rsid w:val="00611558"/>
    <w:rsid w:val="00612F5A"/>
    <w:rsid w:val="00613AE5"/>
    <w:rsid w:val="00614375"/>
    <w:rsid w:val="0061458F"/>
    <w:rsid w:val="00614610"/>
    <w:rsid w:val="00616451"/>
    <w:rsid w:val="00617437"/>
    <w:rsid w:val="00617CC0"/>
    <w:rsid w:val="006205E9"/>
    <w:rsid w:val="00622135"/>
    <w:rsid w:val="0062225A"/>
    <w:rsid w:val="0062228D"/>
    <w:rsid w:val="00623287"/>
    <w:rsid w:val="0062563B"/>
    <w:rsid w:val="0062580C"/>
    <w:rsid w:val="00625A74"/>
    <w:rsid w:val="00625A7C"/>
    <w:rsid w:val="006269A7"/>
    <w:rsid w:val="00630124"/>
    <w:rsid w:val="00631DFE"/>
    <w:rsid w:val="0063288E"/>
    <w:rsid w:val="00635173"/>
    <w:rsid w:val="0063738C"/>
    <w:rsid w:val="00637588"/>
    <w:rsid w:val="006407D7"/>
    <w:rsid w:val="006416E3"/>
    <w:rsid w:val="0064197D"/>
    <w:rsid w:val="00642FD9"/>
    <w:rsid w:val="00650E13"/>
    <w:rsid w:val="00651282"/>
    <w:rsid w:val="0065151A"/>
    <w:rsid w:val="00651574"/>
    <w:rsid w:val="0065297F"/>
    <w:rsid w:val="00652A1B"/>
    <w:rsid w:val="00652D51"/>
    <w:rsid w:val="006536B3"/>
    <w:rsid w:val="006547DB"/>
    <w:rsid w:val="00655404"/>
    <w:rsid w:val="006565E4"/>
    <w:rsid w:val="00656BFC"/>
    <w:rsid w:val="0065759A"/>
    <w:rsid w:val="00660DB3"/>
    <w:rsid w:val="0066268C"/>
    <w:rsid w:val="00662BDC"/>
    <w:rsid w:val="00662FD3"/>
    <w:rsid w:val="006640FB"/>
    <w:rsid w:val="006661FB"/>
    <w:rsid w:val="006663E2"/>
    <w:rsid w:val="0066654A"/>
    <w:rsid w:val="00666D1B"/>
    <w:rsid w:val="0066709E"/>
    <w:rsid w:val="0066777B"/>
    <w:rsid w:val="00667793"/>
    <w:rsid w:val="00670F84"/>
    <w:rsid w:val="00671665"/>
    <w:rsid w:val="00672219"/>
    <w:rsid w:val="006725B4"/>
    <w:rsid w:val="00674724"/>
    <w:rsid w:val="00674C60"/>
    <w:rsid w:val="0067512C"/>
    <w:rsid w:val="006755BB"/>
    <w:rsid w:val="006755FC"/>
    <w:rsid w:val="00675C9C"/>
    <w:rsid w:val="00676255"/>
    <w:rsid w:val="006764C3"/>
    <w:rsid w:val="00676D2A"/>
    <w:rsid w:val="00677B2A"/>
    <w:rsid w:val="00680176"/>
    <w:rsid w:val="00680F52"/>
    <w:rsid w:val="00681213"/>
    <w:rsid w:val="00682D59"/>
    <w:rsid w:val="00683685"/>
    <w:rsid w:val="00683E7A"/>
    <w:rsid w:val="00684BEC"/>
    <w:rsid w:val="00690AFB"/>
    <w:rsid w:val="00690E76"/>
    <w:rsid w:val="00692557"/>
    <w:rsid w:val="006937A4"/>
    <w:rsid w:val="0069415F"/>
    <w:rsid w:val="006948AB"/>
    <w:rsid w:val="00694E20"/>
    <w:rsid w:val="00695695"/>
    <w:rsid w:val="00695DC7"/>
    <w:rsid w:val="00696183"/>
    <w:rsid w:val="0069678C"/>
    <w:rsid w:val="00696E85"/>
    <w:rsid w:val="00697CD5"/>
    <w:rsid w:val="006A10CD"/>
    <w:rsid w:val="006A18EA"/>
    <w:rsid w:val="006A1FBE"/>
    <w:rsid w:val="006A22B3"/>
    <w:rsid w:val="006A2D43"/>
    <w:rsid w:val="006A3981"/>
    <w:rsid w:val="006A3A3F"/>
    <w:rsid w:val="006A46E3"/>
    <w:rsid w:val="006A5CB6"/>
    <w:rsid w:val="006A6268"/>
    <w:rsid w:val="006A77D8"/>
    <w:rsid w:val="006A7A5B"/>
    <w:rsid w:val="006A7B12"/>
    <w:rsid w:val="006B02FE"/>
    <w:rsid w:val="006B1BF0"/>
    <w:rsid w:val="006B1FE9"/>
    <w:rsid w:val="006B27C0"/>
    <w:rsid w:val="006B4161"/>
    <w:rsid w:val="006B5998"/>
    <w:rsid w:val="006B5BC8"/>
    <w:rsid w:val="006B6375"/>
    <w:rsid w:val="006B7A23"/>
    <w:rsid w:val="006C01C8"/>
    <w:rsid w:val="006C1678"/>
    <w:rsid w:val="006C2CB3"/>
    <w:rsid w:val="006C4061"/>
    <w:rsid w:val="006C40D2"/>
    <w:rsid w:val="006D1418"/>
    <w:rsid w:val="006D1C9D"/>
    <w:rsid w:val="006D2154"/>
    <w:rsid w:val="006D289F"/>
    <w:rsid w:val="006D40EA"/>
    <w:rsid w:val="006D43B9"/>
    <w:rsid w:val="006D54B8"/>
    <w:rsid w:val="006D660A"/>
    <w:rsid w:val="006E1232"/>
    <w:rsid w:val="006E151C"/>
    <w:rsid w:val="006E2350"/>
    <w:rsid w:val="006E3AB6"/>
    <w:rsid w:val="006E43AE"/>
    <w:rsid w:val="006E45D4"/>
    <w:rsid w:val="006E4A89"/>
    <w:rsid w:val="006E5CFD"/>
    <w:rsid w:val="006E5F9D"/>
    <w:rsid w:val="006E7F68"/>
    <w:rsid w:val="006F0AA2"/>
    <w:rsid w:val="006F0F25"/>
    <w:rsid w:val="006F13DD"/>
    <w:rsid w:val="006F1E6E"/>
    <w:rsid w:val="006F2120"/>
    <w:rsid w:val="006F271B"/>
    <w:rsid w:val="006F274D"/>
    <w:rsid w:val="006F2999"/>
    <w:rsid w:val="006F31EE"/>
    <w:rsid w:val="006F392C"/>
    <w:rsid w:val="006F4C50"/>
    <w:rsid w:val="006F60A0"/>
    <w:rsid w:val="006F6D92"/>
    <w:rsid w:val="006F7AEA"/>
    <w:rsid w:val="00700D17"/>
    <w:rsid w:val="007022E8"/>
    <w:rsid w:val="007025EE"/>
    <w:rsid w:val="00703165"/>
    <w:rsid w:val="0070322C"/>
    <w:rsid w:val="00703460"/>
    <w:rsid w:val="007035C2"/>
    <w:rsid w:val="00703A2B"/>
    <w:rsid w:val="00705720"/>
    <w:rsid w:val="00707200"/>
    <w:rsid w:val="007072E2"/>
    <w:rsid w:val="00707D5E"/>
    <w:rsid w:val="00712A26"/>
    <w:rsid w:val="007131B2"/>
    <w:rsid w:val="00714CE1"/>
    <w:rsid w:val="00716584"/>
    <w:rsid w:val="007165FC"/>
    <w:rsid w:val="00717714"/>
    <w:rsid w:val="00720AFC"/>
    <w:rsid w:val="007219DE"/>
    <w:rsid w:val="00723C42"/>
    <w:rsid w:val="0072424F"/>
    <w:rsid w:val="007244B6"/>
    <w:rsid w:val="0072468B"/>
    <w:rsid w:val="00725D2A"/>
    <w:rsid w:val="00726DD6"/>
    <w:rsid w:val="007271A3"/>
    <w:rsid w:val="00727A55"/>
    <w:rsid w:val="00727B05"/>
    <w:rsid w:val="00731A81"/>
    <w:rsid w:val="00731E22"/>
    <w:rsid w:val="007341F3"/>
    <w:rsid w:val="00734EF7"/>
    <w:rsid w:val="00735F67"/>
    <w:rsid w:val="007362C3"/>
    <w:rsid w:val="00736CC0"/>
    <w:rsid w:val="007376AE"/>
    <w:rsid w:val="00740489"/>
    <w:rsid w:val="007406AE"/>
    <w:rsid w:val="0074094D"/>
    <w:rsid w:val="007411D4"/>
    <w:rsid w:val="00741332"/>
    <w:rsid w:val="007415C3"/>
    <w:rsid w:val="007417FE"/>
    <w:rsid w:val="00744529"/>
    <w:rsid w:val="0074610B"/>
    <w:rsid w:val="00746FCE"/>
    <w:rsid w:val="0074702B"/>
    <w:rsid w:val="0074787E"/>
    <w:rsid w:val="00747DB7"/>
    <w:rsid w:val="00747F6D"/>
    <w:rsid w:val="007503EE"/>
    <w:rsid w:val="00751BE9"/>
    <w:rsid w:val="00751C52"/>
    <w:rsid w:val="007520BB"/>
    <w:rsid w:val="00752406"/>
    <w:rsid w:val="00757BE8"/>
    <w:rsid w:val="0076117C"/>
    <w:rsid w:val="00761E82"/>
    <w:rsid w:val="0076368D"/>
    <w:rsid w:val="007663C1"/>
    <w:rsid w:val="00766BC8"/>
    <w:rsid w:val="007704D8"/>
    <w:rsid w:val="007706D4"/>
    <w:rsid w:val="00771300"/>
    <w:rsid w:val="00771FAE"/>
    <w:rsid w:val="00772890"/>
    <w:rsid w:val="007731E6"/>
    <w:rsid w:val="00773A90"/>
    <w:rsid w:val="00774F02"/>
    <w:rsid w:val="007750F8"/>
    <w:rsid w:val="00775EFB"/>
    <w:rsid w:val="007760B6"/>
    <w:rsid w:val="00777597"/>
    <w:rsid w:val="00780D53"/>
    <w:rsid w:val="00782988"/>
    <w:rsid w:val="0078426E"/>
    <w:rsid w:val="007846F4"/>
    <w:rsid w:val="00784CCC"/>
    <w:rsid w:val="00785348"/>
    <w:rsid w:val="0078612B"/>
    <w:rsid w:val="00787009"/>
    <w:rsid w:val="0079024B"/>
    <w:rsid w:val="0079255B"/>
    <w:rsid w:val="00792D23"/>
    <w:rsid w:val="00792E05"/>
    <w:rsid w:val="007930D5"/>
    <w:rsid w:val="007932D8"/>
    <w:rsid w:val="00793478"/>
    <w:rsid w:val="007936E8"/>
    <w:rsid w:val="00793B25"/>
    <w:rsid w:val="0079437A"/>
    <w:rsid w:val="0079495C"/>
    <w:rsid w:val="007949F3"/>
    <w:rsid w:val="00795276"/>
    <w:rsid w:val="0079544F"/>
    <w:rsid w:val="007976BC"/>
    <w:rsid w:val="00797FDF"/>
    <w:rsid w:val="007A04A6"/>
    <w:rsid w:val="007A2B8B"/>
    <w:rsid w:val="007A5966"/>
    <w:rsid w:val="007A5E2A"/>
    <w:rsid w:val="007A75E5"/>
    <w:rsid w:val="007A7A1B"/>
    <w:rsid w:val="007B16C5"/>
    <w:rsid w:val="007B22CB"/>
    <w:rsid w:val="007B3C35"/>
    <w:rsid w:val="007B4E49"/>
    <w:rsid w:val="007B5976"/>
    <w:rsid w:val="007B6065"/>
    <w:rsid w:val="007B658F"/>
    <w:rsid w:val="007B7134"/>
    <w:rsid w:val="007C2330"/>
    <w:rsid w:val="007C2C2B"/>
    <w:rsid w:val="007C2CFE"/>
    <w:rsid w:val="007C33E8"/>
    <w:rsid w:val="007C73D9"/>
    <w:rsid w:val="007C7E18"/>
    <w:rsid w:val="007D07DD"/>
    <w:rsid w:val="007D24E3"/>
    <w:rsid w:val="007D2B49"/>
    <w:rsid w:val="007D2FA1"/>
    <w:rsid w:val="007D3BF0"/>
    <w:rsid w:val="007D5517"/>
    <w:rsid w:val="007D5806"/>
    <w:rsid w:val="007D581C"/>
    <w:rsid w:val="007D58EF"/>
    <w:rsid w:val="007D5EAA"/>
    <w:rsid w:val="007D6A07"/>
    <w:rsid w:val="007D7A5D"/>
    <w:rsid w:val="007D7E07"/>
    <w:rsid w:val="007E04EA"/>
    <w:rsid w:val="007E0956"/>
    <w:rsid w:val="007E1837"/>
    <w:rsid w:val="007E3AE0"/>
    <w:rsid w:val="007E3C7B"/>
    <w:rsid w:val="007E52FC"/>
    <w:rsid w:val="007E77C1"/>
    <w:rsid w:val="007E7EF3"/>
    <w:rsid w:val="007F0A2C"/>
    <w:rsid w:val="007F1248"/>
    <w:rsid w:val="007F17BB"/>
    <w:rsid w:val="007F28DF"/>
    <w:rsid w:val="007F2B28"/>
    <w:rsid w:val="007F3FB6"/>
    <w:rsid w:val="007F4427"/>
    <w:rsid w:val="007F4A89"/>
    <w:rsid w:val="007F61AE"/>
    <w:rsid w:val="007F7077"/>
    <w:rsid w:val="007F7505"/>
    <w:rsid w:val="007F7CE5"/>
    <w:rsid w:val="00800322"/>
    <w:rsid w:val="008004B0"/>
    <w:rsid w:val="0080053E"/>
    <w:rsid w:val="00800D34"/>
    <w:rsid w:val="00801CE8"/>
    <w:rsid w:val="00804756"/>
    <w:rsid w:val="00805125"/>
    <w:rsid w:val="00805502"/>
    <w:rsid w:val="00805926"/>
    <w:rsid w:val="0080605B"/>
    <w:rsid w:val="00812896"/>
    <w:rsid w:val="008128B8"/>
    <w:rsid w:val="00812E81"/>
    <w:rsid w:val="00813492"/>
    <w:rsid w:val="00813AAF"/>
    <w:rsid w:val="00813D0E"/>
    <w:rsid w:val="00815B06"/>
    <w:rsid w:val="00815E3F"/>
    <w:rsid w:val="00816762"/>
    <w:rsid w:val="00821272"/>
    <w:rsid w:val="00822BCE"/>
    <w:rsid w:val="00822D1F"/>
    <w:rsid w:val="00823C3F"/>
    <w:rsid w:val="0082440A"/>
    <w:rsid w:val="00825FD0"/>
    <w:rsid w:val="008269F5"/>
    <w:rsid w:val="00826E1A"/>
    <w:rsid w:val="00831004"/>
    <w:rsid w:val="0083183F"/>
    <w:rsid w:val="00832774"/>
    <w:rsid w:val="008327DC"/>
    <w:rsid w:val="008334BF"/>
    <w:rsid w:val="0083563D"/>
    <w:rsid w:val="008359CE"/>
    <w:rsid w:val="00835C62"/>
    <w:rsid w:val="00836630"/>
    <w:rsid w:val="00836739"/>
    <w:rsid w:val="00837178"/>
    <w:rsid w:val="008379B7"/>
    <w:rsid w:val="00840148"/>
    <w:rsid w:val="0084064E"/>
    <w:rsid w:val="00840A1A"/>
    <w:rsid w:val="00840A49"/>
    <w:rsid w:val="00840BAD"/>
    <w:rsid w:val="008416A0"/>
    <w:rsid w:val="0084276E"/>
    <w:rsid w:val="00843EF2"/>
    <w:rsid w:val="00844534"/>
    <w:rsid w:val="008446F6"/>
    <w:rsid w:val="0084476E"/>
    <w:rsid w:val="00845CFF"/>
    <w:rsid w:val="008471D9"/>
    <w:rsid w:val="00847276"/>
    <w:rsid w:val="008506F5"/>
    <w:rsid w:val="00851A0A"/>
    <w:rsid w:val="00852D2F"/>
    <w:rsid w:val="00853C42"/>
    <w:rsid w:val="00855593"/>
    <w:rsid w:val="00856DE7"/>
    <w:rsid w:val="00860CD8"/>
    <w:rsid w:val="0086193D"/>
    <w:rsid w:val="008619DE"/>
    <w:rsid w:val="00862087"/>
    <w:rsid w:val="00863759"/>
    <w:rsid w:val="00864029"/>
    <w:rsid w:val="0086427A"/>
    <w:rsid w:val="00866752"/>
    <w:rsid w:val="008675FD"/>
    <w:rsid w:val="008679CB"/>
    <w:rsid w:val="008716C9"/>
    <w:rsid w:val="00871F20"/>
    <w:rsid w:val="00873646"/>
    <w:rsid w:val="00874432"/>
    <w:rsid w:val="00874FF1"/>
    <w:rsid w:val="00877224"/>
    <w:rsid w:val="00877EB5"/>
    <w:rsid w:val="00880671"/>
    <w:rsid w:val="00881401"/>
    <w:rsid w:val="0088185F"/>
    <w:rsid w:val="00882706"/>
    <w:rsid w:val="00883EA3"/>
    <w:rsid w:val="008842B2"/>
    <w:rsid w:val="008847BD"/>
    <w:rsid w:val="00884F58"/>
    <w:rsid w:val="00886087"/>
    <w:rsid w:val="008860B8"/>
    <w:rsid w:val="008900E0"/>
    <w:rsid w:val="00890272"/>
    <w:rsid w:val="008904CC"/>
    <w:rsid w:val="00890F06"/>
    <w:rsid w:val="00891AD4"/>
    <w:rsid w:val="00891DD6"/>
    <w:rsid w:val="008920D4"/>
    <w:rsid w:val="00892B57"/>
    <w:rsid w:val="00892F8B"/>
    <w:rsid w:val="00893A9C"/>
    <w:rsid w:val="008940BD"/>
    <w:rsid w:val="008957E7"/>
    <w:rsid w:val="0089688D"/>
    <w:rsid w:val="0089691B"/>
    <w:rsid w:val="0089770F"/>
    <w:rsid w:val="00897799"/>
    <w:rsid w:val="008A01F7"/>
    <w:rsid w:val="008A0FF0"/>
    <w:rsid w:val="008A18CC"/>
    <w:rsid w:val="008A26F4"/>
    <w:rsid w:val="008A28A1"/>
    <w:rsid w:val="008A33EC"/>
    <w:rsid w:val="008A35C6"/>
    <w:rsid w:val="008A4CC5"/>
    <w:rsid w:val="008A4E30"/>
    <w:rsid w:val="008A6BAF"/>
    <w:rsid w:val="008A6D13"/>
    <w:rsid w:val="008B0D70"/>
    <w:rsid w:val="008B111A"/>
    <w:rsid w:val="008B1922"/>
    <w:rsid w:val="008B385E"/>
    <w:rsid w:val="008B3D1F"/>
    <w:rsid w:val="008B42AF"/>
    <w:rsid w:val="008B5D43"/>
    <w:rsid w:val="008B5EE7"/>
    <w:rsid w:val="008B690A"/>
    <w:rsid w:val="008B7315"/>
    <w:rsid w:val="008C0000"/>
    <w:rsid w:val="008C00EB"/>
    <w:rsid w:val="008C2420"/>
    <w:rsid w:val="008C3189"/>
    <w:rsid w:val="008C3AE6"/>
    <w:rsid w:val="008C3D4D"/>
    <w:rsid w:val="008C4910"/>
    <w:rsid w:val="008C4E58"/>
    <w:rsid w:val="008C6758"/>
    <w:rsid w:val="008C79A6"/>
    <w:rsid w:val="008D0621"/>
    <w:rsid w:val="008D0AFA"/>
    <w:rsid w:val="008D0E73"/>
    <w:rsid w:val="008D1207"/>
    <w:rsid w:val="008D1AC2"/>
    <w:rsid w:val="008D26EF"/>
    <w:rsid w:val="008D2A05"/>
    <w:rsid w:val="008D30B6"/>
    <w:rsid w:val="008D338D"/>
    <w:rsid w:val="008D33F5"/>
    <w:rsid w:val="008D4609"/>
    <w:rsid w:val="008D473D"/>
    <w:rsid w:val="008D6550"/>
    <w:rsid w:val="008D6FD4"/>
    <w:rsid w:val="008E1B24"/>
    <w:rsid w:val="008E3ECC"/>
    <w:rsid w:val="008E42AA"/>
    <w:rsid w:val="008E453F"/>
    <w:rsid w:val="008E460F"/>
    <w:rsid w:val="008E4AA0"/>
    <w:rsid w:val="008E760D"/>
    <w:rsid w:val="008E78EF"/>
    <w:rsid w:val="008F4965"/>
    <w:rsid w:val="008F4F41"/>
    <w:rsid w:val="008F5064"/>
    <w:rsid w:val="008F6443"/>
    <w:rsid w:val="008F6B11"/>
    <w:rsid w:val="008F6BDF"/>
    <w:rsid w:val="008F775B"/>
    <w:rsid w:val="00900494"/>
    <w:rsid w:val="00900B6C"/>
    <w:rsid w:val="0090135D"/>
    <w:rsid w:val="0090137C"/>
    <w:rsid w:val="0090157A"/>
    <w:rsid w:val="0090195F"/>
    <w:rsid w:val="009034D2"/>
    <w:rsid w:val="00903D3C"/>
    <w:rsid w:val="00903E50"/>
    <w:rsid w:val="00904A76"/>
    <w:rsid w:val="00911E1F"/>
    <w:rsid w:val="00912DEB"/>
    <w:rsid w:val="0091319F"/>
    <w:rsid w:val="009149B4"/>
    <w:rsid w:val="00914A00"/>
    <w:rsid w:val="0091545A"/>
    <w:rsid w:val="009157AC"/>
    <w:rsid w:val="009163D8"/>
    <w:rsid w:val="00916EAE"/>
    <w:rsid w:val="009172C7"/>
    <w:rsid w:val="009175BC"/>
    <w:rsid w:val="00917E67"/>
    <w:rsid w:val="00920590"/>
    <w:rsid w:val="0092093E"/>
    <w:rsid w:val="00921B43"/>
    <w:rsid w:val="009229B6"/>
    <w:rsid w:val="009242D6"/>
    <w:rsid w:val="00925720"/>
    <w:rsid w:val="00925A07"/>
    <w:rsid w:val="00925A89"/>
    <w:rsid w:val="00926276"/>
    <w:rsid w:val="009264DB"/>
    <w:rsid w:val="00927651"/>
    <w:rsid w:val="00927C5B"/>
    <w:rsid w:val="009306E5"/>
    <w:rsid w:val="00930AEA"/>
    <w:rsid w:val="009315D8"/>
    <w:rsid w:val="00932D85"/>
    <w:rsid w:val="009332FC"/>
    <w:rsid w:val="0093404C"/>
    <w:rsid w:val="00935EE8"/>
    <w:rsid w:val="00937DC0"/>
    <w:rsid w:val="00937F94"/>
    <w:rsid w:val="00940395"/>
    <w:rsid w:val="00943C66"/>
    <w:rsid w:val="00944473"/>
    <w:rsid w:val="0094482A"/>
    <w:rsid w:val="00944B34"/>
    <w:rsid w:val="0094630B"/>
    <w:rsid w:val="00946AA5"/>
    <w:rsid w:val="00946CEF"/>
    <w:rsid w:val="00946F05"/>
    <w:rsid w:val="009505D3"/>
    <w:rsid w:val="00950F94"/>
    <w:rsid w:val="00951E1E"/>
    <w:rsid w:val="009521EA"/>
    <w:rsid w:val="00952613"/>
    <w:rsid w:val="009528A4"/>
    <w:rsid w:val="009532AD"/>
    <w:rsid w:val="009540A5"/>
    <w:rsid w:val="0095592E"/>
    <w:rsid w:val="00955E45"/>
    <w:rsid w:val="009576CE"/>
    <w:rsid w:val="00957BD2"/>
    <w:rsid w:val="009605A0"/>
    <w:rsid w:val="00960B1F"/>
    <w:rsid w:val="009637C8"/>
    <w:rsid w:val="00963B8B"/>
    <w:rsid w:val="009640EB"/>
    <w:rsid w:val="009641DC"/>
    <w:rsid w:val="0096436F"/>
    <w:rsid w:val="009643BD"/>
    <w:rsid w:val="00964553"/>
    <w:rsid w:val="00965B89"/>
    <w:rsid w:val="0096648C"/>
    <w:rsid w:val="00966935"/>
    <w:rsid w:val="00966ED8"/>
    <w:rsid w:val="0097018C"/>
    <w:rsid w:val="00970B63"/>
    <w:rsid w:val="00971F4A"/>
    <w:rsid w:val="00972BFB"/>
    <w:rsid w:val="009739FA"/>
    <w:rsid w:val="00973AF1"/>
    <w:rsid w:val="0097461C"/>
    <w:rsid w:val="009800AE"/>
    <w:rsid w:val="00981666"/>
    <w:rsid w:val="00982CFE"/>
    <w:rsid w:val="00983AAA"/>
    <w:rsid w:val="00984835"/>
    <w:rsid w:val="00984AC5"/>
    <w:rsid w:val="00984E35"/>
    <w:rsid w:val="00990341"/>
    <w:rsid w:val="00991E20"/>
    <w:rsid w:val="00993F5C"/>
    <w:rsid w:val="00994490"/>
    <w:rsid w:val="00994F7A"/>
    <w:rsid w:val="00995557"/>
    <w:rsid w:val="00995AD4"/>
    <w:rsid w:val="00996770"/>
    <w:rsid w:val="009977F2"/>
    <w:rsid w:val="009A2275"/>
    <w:rsid w:val="009A233E"/>
    <w:rsid w:val="009A45DB"/>
    <w:rsid w:val="009A4F89"/>
    <w:rsid w:val="009A50E1"/>
    <w:rsid w:val="009A67F4"/>
    <w:rsid w:val="009A6984"/>
    <w:rsid w:val="009A6A21"/>
    <w:rsid w:val="009A6B1C"/>
    <w:rsid w:val="009A746F"/>
    <w:rsid w:val="009B0B9E"/>
    <w:rsid w:val="009B2DEF"/>
    <w:rsid w:val="009B368C"/>
    <w:rsid w:val="009B4258"/>
    <w:rsid w:val="009B4790"/>
    <w:rsid w:val="009B58EF"/>
    <w:rsid w:val="009B68BD"/>
    <w:rsid w:val="009B6BF9"/>
    <w:rsid w:val="009B7B43"/>
    <w:rsid w:val="009C2D37"/>
    <w:rsid w:val="009C2F67"/>
    <w:rsid w:val="009C3B13"/>
    <w:rsid w:val="009C4ABC"/>
    <w:rsid w:val="009C6580"/>
    <w:rsid w:val="009C65CE"/>
    <w:rsid w:val="009C6E0B"/>
    <w:rsid w:val="009C78A9"/>
    <w:rsid w:val="009C7DAD"/>
    <w:rsid w:val="009D0695"/>
    <w:rsid w:val="009D1022"/>
    <w:rsid w:val="009D1C6D"/>
    <w:rsid w:val="009D1C74"/>
    <w:rsid w:val="009D1E1E"/>
    <w:rsid w:val="009D383C"/>
    <w:rsid w:val="009D4A9D"/>
    <w:rsid w:val="009D51C4"/>
    <w:rsid w:val="009D52E4"/>
    <w:rsid w:val="009D59E8"/>
    <w:rsid w:val="009D65C1"/>
    <w:rsid w:val="009D6E27"/>
    <w:rsid w:val="009E00C5"/>
    <w:rsid w:val="009E0459"/>
    <w:rsid w:val="009E1019"/>
    <w:rsid w:val="009E1CF7"/>
    <w:rsid w:val="009E259B"/>
    <w:rsid w:val="009E3874"/>
    <w:rsid w:val="009E57F5"/>
    <w:rsid w:val="009E63E7"/>
    <w:rsid w:val="009E6837"/>
    <w:rsid w:val="009E715D"/>
    <w:rsid w:val="009E75BE"/>
    <w:rsid w:val="009F00CC"/>
    <w:rsid w:val="009F0B5A"/>
    <w:rsid w:val="009F0DDF"/>
    <w:rsid w:val="009F1374"/>
    <w:rsid w:val="009F1A57"/>
    <w:rsid w:val="009F24F1"/>
    <w:rsid w:val="009F5E71"/>
    <w:rsid w:val="009F5EF3"/>
    <w:rsid w:val="00A0019A"/>
    <w:rsid w:val="00A00687"/>
    <w:rsid w:val="00A03C6F"/>
    <w:rsid w:val="00A03FA0"/>
    <w:rsid w:val="00A0486C"/>
    <w:rsid w:val="00A056E3"/>
    <w:rsid w:val="00A06156"/>
    <w:rsid w:val="00A064C0"/>
    <w:rsid w:val="00A0692A"/>
    <w:rsid w:val="00A107BC"/>
    <w:rsid w:val="00A107FF"/>
    <w:rsid w:val="00A11261"/>
    <w:rsid w:val="00A113F9"/>
    <w:rsid w:val="00A1284C"/>
    <w:rsid w:val="00A15CBE"/>
    <w:rsid w:val="00A171BA"/>
    <w:rsid w:val="00A172BA"/>
    <w:rsid w:val="00A20258"/>
    <w:rsid w:val="00A20C46"/>
    <w:rsid w:val="00A21A99"/>
    <w:rsid w:val="00A22B26"/>
    <w:rsid w:val="00A247D9"/>
    <w:rsid w:val="00A24885"/>
    <w:rsid w:val="00A24E19"/>
    <w:rsid w:val="00A27B8B"/>
    <w:rsid w:val="00A27F04"/>
    <w:rsid w:val="00A327D7"/>
    <w:rsid w:val="00A32C54"/>
    <w:rsid w:val="00A33C7A"/>
    <w:rsid w:val="00A349BE"/>
    <w:rsid w:val="00A362B9"/>
    <w:rsid w:val="00A37E5C"/>
    <w:rsid w:val="00A40447"/>
    <w:rsid w:val="00A40575"/>
    <w:rsid w:val="00A409E3"/>
    <w:rsid w:val="00A40E14"/>
    <w:rsid w:val="00A413B7"/>
    <w:rsid w:val="00A41CCF"/>
    <w:rsid w:val="00A41F17"/>
    <w:rsid w:val="00A426D0"/>
    <w:rsid w:val="00A431EB"/>
    <w:rsid w:val="00A43A5F"/>
    <w:rsid w:val="00A45265"/>
    <w:rsid w:val="00A45812"/>
    <w:rsid w:val="00A46F61"/>
    <w:rsid w:val="00A472ED"/>
    <w:rsid w:val="00A5039D"/>
    <w:rsid w:val="00A507C9"/>
    <w:rsid w:val="00A5090B"/>
    <w:rsid w:val="00A51D06"/>
    <w:rsid w:val="00A55281"/>
    <w:rsid w:val="00A55F11"/>
    <w:rsid w:val="00A56C11"/>
    <w:rsid w:val="00A56EE7"/>
    <w:rsid w:val="00A578F0"/>
    <w:rsid w:val="00A60408"/>
    <w:rsid w:val="00A60BF0"/>
    <w:rsid w:val="00A60FEC"/>
    <w:rsid w:val="00A6113E"/>
    <w:rsid w:val="00A6312C"/>
    <w:rsid w:val="00A63291"/>
    <w:rsid w:val="00A63623"/>
    <w:rsid w:val="00A63988"/>
    <w:rsid w:val="00A655AF"/>
    <w:rsid w:val="00A6672C"/>
    <w:rsid w:val="00A67BA4"/>
    <w:rsid w:val="00A71784"/>
    <w:rsid w:val="00A7262C"/>
    <w:rsid w:val="00A738D9"/>
    <w:rsid w:val="00A738F4"/>
    <w:rsid w:val="00A75121"/>
    <w:rsid w:val="00A76674"/>
    <w:rsid w:val="00A770AD"/>
    <w:rsid w:val="00A77FD1"/>
    <w:rsid w:val="00A80AA3"/>
    <w:rsid w:val="00A821A1"/>
    <w:rsid w:val="00A837E3"/>
    <w:rsid w:val="00A854F8"/>
    <w:rsid w:val="00A85A2D"/>
    <w:rsid w:val="00A86036"/>
    <w:rsid w:val="00A8631B"/>
    <w:rsid w:val="00A86DCA"/>
    <w:rsid w:val="00A91C56"/>
    <w:rsid w:val="00A927E3"/>
    <w:rsid w:val="00A93AA0"/>
    <w:rsid w:val="00A93F55"/>
    <w:rsid w:val="00A941B3"/>
    <w:rsid w:val="00A963D0"/>
    <w:rsid w:val="00A96D49"/>
    <w:rsid w:val="00A97252"/>
    <w:rsid w:val="00A9729F"/>
    <w:rsid w:val="00A973A3"/>
    <w:rsid w:val="00AA15E3"/>
    <w:rsid w:val="00AA1B81"/>
    <w:rsid w:val="00AA2153"/>
    <w:rsid w:val="00AA2F4C"/>
    <w:rsid w:val="00AA368E"/>
    <w:rsid w:val="00AA4612"/>
    <w:rsid w:val="00AA46BA"/>
    <w:rsid w:val="00AA4EEA"/>
    <w:rsid w:val="00AA627A"/>
    <w:rsid w:val="00AA66E9"/>
    <w:rsid w:val="00AA6CB6"/>
    <w:rsid w:val="00AA7CAC"/>
    <w:rsid w:val="00AB0747"/>
    <w:rsid w:val="00AB1B95"/>
    <w:rsid w:val="00AB1CCE"/>
    <w:rsid w:val="00AB2F14"/>
    <w:rsid w:val="00AB31CE"/>
    <w:rsid w:val="00AB43A8"/>
    <w:rsid w:val="00AB4CE5"/>
    <w:rsid w:val="00AB51C8"/>
    <w:rsid w:val="00AB72CC"/>
    <w:rsid w:val="00AC0A6B"/>
    <w:rsid w:val="00AC0A91"/>
    <w:rsid w:val="00AC0B23"/>
    <w:rsid w:val="00AC39A1"/>
    <w:rsid w:val="00AC4096"/>
    <w:rsid w:val="00AC4BD0"/>
    <w:rsid w:val="00AC517D"/>
    <w:rsid w:val="00AC5AB5"/>
    <w:rsid w:val="00AC6450"/>
    <w:rsid w:val="00AC6E72"/>
    <w:rsid w:val="00AD393A"/>
    <w:rsid w:val="00AD3EC3"/>
    <w:rsid w:val="00AD3EEC"/>
    <w:rsid w:val="00AD6F9B"/>
    <w:rsid w:val="00AD7B23"/>
    <w:rsid w:val="00AE060F"/>
    <w:rsid w:val="00AE1587"/>
    <w:rsid w:val="00AE3FDE"/>
    <w:rsid w:val="00AE434E"/>
    <w:rsid w:val="00AE44AE"/>
    <w:rsid w:val="00AE480E"/>
    <w:rsid w:val="00AE4895"/>
    <w:rsid w:val="00AE56B3"/>
    <w:rsid w:val="00AE6A3E"/>
    <w:rsid w:val="00AE6ACB"/>
    <w:rsid w:val="00AE77A5"/>
    <w:rsid w:val="00AE7B57"/>
    <w:rsid w:val="00AF1A5F"/>
    <w:rsid w:val="00AF3696"/>
    <w:rsid w:val="00AF43BA"/>
    <w:rsid w:val="00AF4F61"/>
    <w:rsid w:val="00AF6347"/>
    <w:rsid w:val="00B00C2D"/>
    <w:rsid w:val="00B01E85"/>
    <w:rsid w:val="00B02393"/>
    <w:rsid w:val="00B0260A"/>
    <w:rsid w:val="00B02741"/>
    <w:rsid w:val="00B02792"/>
    <w:rsid w:val="00B036C2"/>
    <w:rsid w:val="00B03D6C"/>
    <w:rsid w:val="00B04223"/>
    <w:rsid w:val="00B05930"/>
    <w:rsid w:val="00B0769D"/>
    <w:rsid w:val="00B0776C"/>
    <w:rsid w:val="00B10333"/>
    <w:rsid w:val="00B10A5C"/>
    <w:rsid w:val="00B117B9"/>
    <w:rsid w:val="00B11C7C"/>
    <w:rsid w:val="00B120A1"/>
    <w:rsid w:val="00B12D6F"/>
    <w:rsid w:val="00B132F8"/>
    <w:rsid w:val="00B148D5"/>
    <w:rsid w:val="00B15BA8"/>
    <w:rsid w:val="00B16232"/>
    <w:rsid w:val="00B20475"/>
    <w:rsid w:val="00B20A97"/>
    <w:rsid w:val="00B21BCF"/>
    <w:rsid w:val="00B21C95"/>
    <w:rsid w:val="00B22152"/>
    <w:rsid w:val="00B231F9"/>
    <w:rsid w:val="00B25F8E"/>
    <w:rsid w:val="00B2606A"/>
    <w:rsid w:val="00B26AB3"/>
    <w:rsid w:val="00B26FEE"/>
    <w:rsid w:val="00B3066B"/>
    <w:rsid w:val="00B3137B"/>
    <w:rsid w:val="00B316EF"/>
    <w:rsid w:val="00B31AD7"/>
    <w:rsid w:val="00B31E07"/>
    <w:rsid w:val="00B34921"/>
    <w:rsid w:val="00B352DC"/>
    <w:rsid w:val="00B3587F"/>
    <w:rsid w:val="00B35961"/>
    <w:rsid w:val="00B3628D"/>
    <w:rsid w:val="00B36E39"/>
    <w:rsid w:val="00B42518"/>
    <w:rsid w:val="00B42594"/>
    <w:rsid w:val="00B45F4A"/>
    <w:rsid w:val="00B474A4"/>
    <w:rsid w:val="00B50BBD"/>
    <w:rsid w:val="00B51500"/>
    <w:rsid w:val="00B516F8"/>
    <w:rsid w:val="00B52283"/>
    <w:rsid w:val="00B524CE"/>
    <w:rsid w:val="00B53386"/>
    <w:rsid w:val="00B54885"/>
    <w:rsid w:val="00B54AE6"/>
    <w:rsid w:val="00B5537C"/>
    <w:rsid w:val="00B559B9"/>
    <w:rsid w:val="00B56EC4"/>
    <w:rsid w:val="00B57AC2"/>
    <w:rsid w:val="00B6020B"/>
    <w:rsid w:val="00B60FE3"/>
    <w:rsid w:val="00B61A76"/>
    <w:rsid w:val="00B620DC"/>
    <w:rsid w:val="00B623A0"/>
    <w:rsid w:val="00B64647"/>
    <w:rsid w:val="00B720E3"/>
    <w:rsid w:val="00B72F35"/>
    <w:rsid w:val="00B73F40"/>
    <w:rsid w:val="00B74D24"/>
    <w:rsid w:val="00B75D60"/>
    <w:rsid w:val="00B77423"/>
    <w:rsid w:val="00B80F33"/>
    <w:rsid w:val="00B816E2"/>
    <w:rsid w:val="00B8190F"/>
    <w:rsid w:val="00B82F22"/>
    <w:rsid w:val="00B83BE0"/>
    <w:rsid w:val="00B83CE7"/>
    <w:rsid w:val="00B84419"/>
    <w:rsid w:val="00B84FDD"/>
    <w:rsid w:val="00B86E74"/>
    <w:rsid w:val="00B86FBF"/>
    <w:rsid w:val="00B87FCC"/>
    <w:rsid w:val="00B90179"/>
    <w:rsid w:val="00B912D6"/>
    <w:rsid w:val="00B913B9"/>
    <w:rsid w:val="00B91755"/>
    <w:rsid w:val="00B9210E"/>
    <w:rsid w:val="00B92E9D"/>
    <w:rsid w:val="00B949D4"/>
    <w:rsid w:val="00B951A0"/>
    <w:rsid w:val="00B95ECF"/>
    <w:rsid w:val="00B96004"/>
    <w:rsid w:val="00B96443"/>
    <w:rsid w:val="00B96EB0"/>
    <w:rsid w:val="00B976F7"/>
    <w:rsid w:val="00BA1BFB"/>
    <w:rsid w:val="00BA557A"/>
    <w:rsid w:val="00BA6110"/>
    <w:rsid w:val="00BA6892"/>
    <w:rsid w:val="00BA7606"/>
    <w:rsid w:val="00BA778B"/>
    <w:rsid w:val="00BB0DBE"/>
    <w:rsid w:val="00BB0FFF"/>
    <w:rsid w:val="00BB11F5"/>
    <w:rsid w:val="00BB1348"/>
    <w:rsid w:val="00BB15BA"/>
    <w:rsid w:val="00BB2898"/>
    <w:rsid w:val="00BB323D"/>
    <w:rsid w:val="00BB4C5B"/>
    <w:rsid w:val="00BB524A"/>
    <w:rsid w:val="00BB63BF"/>
    <w:rsid w:val="00BB706E"/>
    <w:rsid w:val="00BB7A98"/>
    <w:rsid w:val="00BC0B2A"/>
    <w:rsid w:val="00BC1222"/>
    <w:rsid w:val="00BC1518"/>
    <w:rsid w:val="00BC1A45"/>
    <w:rsid w:val="00BC2C7C"/>
    <w:rsid w:val="00BC3625"/>
    <w:rsid w:val="00BC423B"/>
    <w:rsid w:val="00BC472A"/>
    <w:rsid w:val="00BC49F1"/>
    <w:rsid w:val="00BC5803"/>
    <w:rsid w:val="00BC5EA4"/>
    <w:rsid w:val="00BC603F"/>
    <w:rsid w:val="00BC6167"/>
    <w:rsid w:val="00BC67F1"/>
    <w:rsid w:val="00BD0B00"/>
    <w:rsid w:val="00BD1DAB"/>
    <w:rsid w:val="00BD1E67"/>
    <w:rsid w:val="00BD2480"/>
    <w:rsid w:val="00BD325E"/>
    <w:rsid w:val="00BD3852"/>
    <w:rsid w:val="00BD43E2"/>
    <w:rsid w:val="00BD5B2F"/>
    <w:rsid w:val="00BD6D40"/>
    <w:rsid w:val="00BD6FA2"/>
    <w:rsid w:val="00BD7C39"/>
    <w:rsid w:val="00BE03BB"/>
    <w:rsid w:val="00BE0918"/>
    <w:rsid w:val="00BE148E"/>
    <w:rsid w:val="00BE17DF"/>
    <w:rsid w:val="00BE1D2C"/>
    <w:rsid w:val="00BE3411"/>
    <w:rsid w:val="00BE40D5"/>
    <w:rsid w:val="00BE4425"/>
    <w:rsid w:val="00BE59BC"/>
    <w:rsid w:val="00BE5CE7"/>
    <w:rsid w:val="00BE7225"/>
    <w:rsid w:val="00BF2808"/>
    <w:rsid w:val="00BF3109"/>
    <w:rsid w:val="00BF3AB7"/>
    <w:rsid w:val="00BF4094"/>
    <w:rsid w:val="00BF4AFC"/>
    <w:rsid w:val="00BF52E9"/>
    <w:rsid w:val="00BF6098"/>
    <w:rsid w:val="00BF71C6"/>
    <w:rsid w:val="00BF7A70"/>
    <w:rsid w:val="00BF7F69"/>
    <w:rsid w:val="00C01F95"/>
    <w:rsid w:val="00C025DB"/>
    <w:rsid w:val="00C05F73"/>
    <w:rsid w:val="00C10570"/>
    <w:rsid w:val="00C1098E"/>
    <w:rsid w:val="00C11850"/>
    <w:rsid w:val="00C13528"/>
    <w:rsid w:val="00C13589"/>
    <w:rsid w:val="00C15C13"/>
    <w:rsid w:val="00C1654A"/>
    <w:rsid w:val="00C16FD8"/>
    <w:rsid w:val="00C17AEA"/>
    <w:rsid w:val="00C17F8E"/>
    <w:rsid w:val="00C2039C"/>
    <w:rsid w:val="00C2074F"/>
    <w:rsid w:val="00C21BF0"/>
    <w:rsid w:val="00C23711"/>
    <w:rsid w:val="00C25AFF"/>
    <w:rsid w:val="00C25D59"/>
    <w:rsid w:val="00C2698D"/>
    <w:rsid w:val="00C26E64"/>
    <w:rsid w:val="00C27D69"/>
    <w:rsid w:val="00C30379"/>
    <w:rsid w:val="00C31395"/>
    <w:rsid w:val="00C321CC"/>
    <w:rsid w:val="00C3381E"/>
    <w:rsid w:val="00C340E9"/>
    <w:rsid w:val="00C34958"/>
    <w:rsid w:val="00C34C4C"/>
    <w:rsid w:val="00C36291"/>
    <w:rsid w:val="00C3670F"/>
    <w:rsid w:val="00C3694B"/>
    <w:rsid w:val="00C369D6"/>
    <w:rsid w:val="00C379DD"/>
    <w:rsid w:val="00C37BB4"/>
    <w:rsid w:val="00C4117A"/>
    <w:rsid w:val="00C41BB2"/>
    <w:rsid w:val="00C42551"/>
    <w:rsid w:val="00C431C8"/>
    <w:rsid w:val="00C43505"/>
    <w:rsid w:val="00C435CF"/>
    <w:rsid w:val="00C436C9"/>
    <w:rsid w:val="00C43B64"/>
    <w:rsid w:val="00C44358"/>
    <w:rsid w:val="00C45715"/>
    <w:rsid w:val="00C460FF"/>
    <w:rsid w:val="00C468DB"/>
    <w:rsid w:val="00C46E60"/>
    <w:rsid w:val="00C51704"/>
    <w:rsid w:val="00C518FE"/>
    <w:rsid w:val="00C52843"/>
    <w:rsid w:val="00C52973"/>
    <w:rsid w:val="00C5304E"/>
    <w:rsid w:val="00C532CF"/>
    <w:rsid w:val="00C53886"/>
    <w:rsid w:val="00C53893"/>
    <w:rsid w:val="00C546EC"/>
    <w:rsid w:val="00C546F5"/>
    <w:rsid w:val="00C55209"/>
    <w:rsid w:val="00C557AD"/>
    <w:rsid w:val="00C56AF3"/>
    <w:rsid w:val="00C62678"/>
    <w:rsid w:val="00C62B2E"/>
    <w:rsid w:val="00C64A74"/>
    <w:rsid w:val="00C65841"/>
    <w:rsid w:val="00C6598D"/>
    <w:rsid w:val="00C660FB"/>
    <w:rsid w:val="00C66E61"/>
    <w:rsid w:val="00C706D0"/>
    <w:rsid w:val="00C74272"/>
    <w:rsid w:val="00C746E7"/>
    <w:rsid w:val="00C7529E"/>
    <w:rsid w:val="00C777AA"/>
    <w:rsid w:val="00C8136F"/>
    <w:rsid w:val="00C8151B"/>
    <w:rsid w:val="00C81673"/>
    <w:rsid w:val="00C82F1B"/>
    <w:rsid w:val="00C848EB"/>
    <w:rsid w:val="00C84AC9"/>
    <w:rsid w:val="00C859E8"/>
    <w:rsid w:val="00C862C2"/>
    <w:rsid w:val="00C90BEB"/>
    <w:rsid w:val="00C920D5"/>
    <w:rsid w:val="00C9239B"/>
    <w:rsid w:val="00C937C1"/>
    <w:rsid w:val="00C95817"/>
    <w:rsid w:val="00C9586A"/>
    <w:rsid w:val="00C95AA9"/>
    <w:rsid w:val="00C95E0C"/>
    <w:rsid w:val="00C9635D"/>
    <w:rsid w:val="00C96E5E"/>
    <w:rsid w:val="00C9784A"/>
    <w:rsid w:val="00CA07C7"/>
    <w:rsid w:val="00CA0810"/>
    <w:rsid w:val="00CA0925"/>
    <w:rsid w:val="00CA2123"/>
    <w:rsid w:val="00CA2345"/>
    <w:rsid w:val="00CA2DEE"/>
    <w:rsid w:val="00CA361E"/>
    <w:rsid w:val="00CA38A9"/>
    <w:rsid w:val="00CA4844"/>
    <w:rsid w:val="00CA66DB"/>
    <w:rsid w:val="00CA6739"/>
    <w:rsid w:val="00CA6DF4"/>
    <w:rsid w:val="00CA6FB1"/>
    <w:rsid w:val="00CA77D8"/>
    <w:rsid w:val="00CA7F8C"/>
    <w:rsid w:val="00CB0641"/>
    <w:rsid w:val="00CB0B42"/>
    <w:rsid w:val="00CB2FFD"/>
    <w:rsid w:val="00CB49A2"/>
    <w:rsid w:val="00CB4BA9"/>
    <w:rsid w:val="00CB4C81"/>
    <w:rsid w:val="00CB583E"/>
    <w:rsid w:val="00CB67D6"/>
    <w:rsid w:val="00CB6BE6"/>
    <w:rsid w:val="00CB6C0C"/>
    <w:rsid w:val="00CB72FB"/>
    <w:rsid w:val="00CB768A"/>
    <w:rsid w:val="00CC1A18"/>
    <w:rsid w:val="00CC48DA"/>
    <w:rsid w:val="00CC49BA"/>
    <w:rsid w:val="00CC59A9"/>
    <w:rsid w:val="00CC5B74"/>
    <w:rsid w:val="00CC6566"/>
    <w:rsid w:val="00CC73F5"/>
    <w:rsid w:val="00CC781F"/>
    <w:rsid w:val="00CC7844"/>
    <w:rsid w:val="00CD0AA7"/>
    <w:rsid w:val="00CD2046"/>
    <w:rsid w:val="00CD2791"/>
    <w:rsid w:val="00CD2963"/>
    <w:rsid w:val="00CD4DA9"/>
    <w:rsid w:val="00CD6217"/>
    <w:rsid w:val="00CD70C3"/>
    <w:rsid w:val="00CD73D0"/>
    <w:rsid w:val="00CE01F7"/>
    <w:rsid w:val="00CE083A"/>
    <w:rsid w:val="00CE1696"/>
    <w:rsid w:val="00CE1AEA"/>
    <w:rsid w:val="00CE1C04"/>
    <w:rsid w:val="00CE2B60"/>
    <w:rsid w:val="00CE2F81"/>
    <w:rsid w:val="00CE3A8A"/>
    <w:rsid w:val="00CE56D5"/>
    <w:rsid w:val="00CE59FD"/>
    <w:rsid w:val="00CE6588"/>
    <w:rsid w:val="00CE6FBB"/>
    <w:rsid w:val="00CE769B"/>
    <w:rsid w:val="00CF00AA"/>
    <w:rsid w:val="00CF0BE1"/>
    <w:rsid w:val="00CF1559"/>
    <w:rsid w:val="00CF3C80"/>
    <w:rsid w:val="00CF454C"/>
    <w:rsid w:val="00CF4A58"/>
    <w:rsid w:val="00CF4AC0"/>
    <w:rsid w:val="00CF64D4"/>
    <w:rsid w:val="00CF6E85"/>
    <w:rsid w:val="00CF7645"/>
    <w:rsid w:val="00CF7E9C"/>
    <w:rsid w:val="00D0022C"/>
    <w:rsid w:val="00D00406"/>
    <w:rsid w:val="00D0067D"/>
    <w:rsid w:val="00D03622"/>
    <w:rsid w:val="00D039CE"/>
    <w:rsid w:val="00D047B5"/>
    <w:rsid w:val="00D04D38"/>
    <w:rsid w:val="00D0502E"/>
    <w:rsid w:val="00D05669"/>
    <w:rsid w:val="00D05680"/>
    <w:rsid w:val="00D0581B"/>
    <w:rsid w:val="00D05D41"/>
    <w:rsid w:val="00D06EAA"/>
    <w:rsid w:val="00D07002"/>
    <w:rsid w:val="00D071A7"/>
    <w:rsid w:val="00D07AAA"/>
    <w:rsid w:val="00D07DE4"/>
    <w:rsid w:val="00D11193"/>
    <w:rsid w:val="00D11517"/>
    <w:rsid w:val="00D118DC"/>
    <w:rsid w:val="00D11A4F"/>
    <w:rsid w:val="00D1242A"/>
    <w:rsid w:val="00D14BEF"/>
    <w:rsid w:val="00D15E7C"/>
    <w:rsid w:val="00D16508"/>
    <w:rsid w:val="00D17429"/>
    <w:rsid w:val="00D17824"/>
    <w:rsid w:val="00D20537"/>
    <w:rsid w:val="00D207CB"/>
    <w:rsid w:val="00D21F54"/>
    <w:rsid w:val="00D220E0"/>
    <w:rsid w:val="00D23522"/>
    <w:rsid w:val="00D23FEE"/>
    <w:rsid w:val="00D245EA"/>
    <w:rsid w:val="00D250BE"/>
    <w:rsid w:val="00D25CCA"/>
    <w:rsid w:val="00D26226"/>
    <w:rsid w:val="00D26270"/>
    <w:rsid w:val="00D271E1"/>
    <w:rsid w:val="00D272D8"/>
    <w:rsid w:val="00D27A1C"/>
    <w:rsid w:val="00D30575"/>
    <w:rsid w:val="00D305D5"/>
    <w:rsid w:val="00D3177C"/>
    <w:rsid w:val="00D3228C"/>
    <w:rsid w:val="00D323C9"/>
    <w:rsid w:val="00D33A1E"/>
    <w:rsid w:val="00D33DDB"/>
    <w:rsid w:val="00D3483A"/>
    <w:rsid w:val="00D3494C"/>
    <w:rsid w:val="00D350C5"/>
    <w:rsid w:val="00D36804"/>
    <w:rsid w:val="00D40DD3"/>
    <w:rsid w:val="00D41BA1"/>
    <w:rsid w:val="00D41F3C"/>
    <w:rsid w:val="00D427C3"/>
    <w:rsid w:val="00D44524"/>
    <w:rsid w:val="00D4478F"/>
    <w:rsid w:val="00D47DCA"/>
    <w:rsid w:val="00D5062D"/>
    <w:rsid w:val="00D510C9"/>
    <w:rsid w:val="00D52443"/>
    <w:rsid w:val="00D53044"/>
    <w:rsid w:val="00D542B0"/>
    <w:rsid w:val="00D55903"/>
    <w:rsid w:val="00D56308"/>
    <w:rsid w:val="00D56498"/>
    <w:rsid w:val="00D57683"/>
    <w:rsid w:val="00D57F93"/>
    <w:rsid w:val="00D6029A"/>
    <w:rsid w:val="00D62DB6"/>
    <w:rsid w:val="00D63641"/>
    <w:rsid w:val="00D64441"/>
    <w:rsid w:val="00D659EF"/>
    <w:rsid w:val="00D7036B"/>
    <w:rsid w:val="00D72C98"/>
    <w:rsid w:val="00D731BB"/>
    <w:rsid w:val="00D746F4"/>
    <w:rsid w:val="00D7488C"/>
    <w:rsid w:val="00D7560F"/>
    <w:rsid w:val="00D75A16"/>
    <w:rsid w:val="00D75DA0"/>
    <w:rsid w:val="00D76222"/>
    <w:rsid w:val="00D76873"/>
    <w:rsid w:val="00D76EAF"/>
    <w:rsid w:val="00D80E14"/>
    <w:rsid w:val="00D84056"/>
    <w:rsid w:val="00D85020"/>
    <w:rsid w:val="00D854B5"/>
    <w:rsid w:val="00D85F4E"/>
    <w:rsid w:val="00D86C08"/>
    <w:rsid w:val="00D9068E"/>
    <w:rsid w:val="00D91166"/>
    <w:rsid w:val="00D9117F"/>
    <w:rsid w:val="00D921CC"/>
    <w:rsid w:val="00D92F59"/>
    <w:rsid w:val="00D93298"/>
    <w:rsid w:val="00D932CA"/>
    <w:rsid w:val="00D933DF"/>
    <w:rsid w:val="00D93EC7"/>
    <w:rsid w:val="00D94903"/>
    <w:rsid w:val="00D956DC"/>
    <w:rsid w:val="00D97704"/>
    <w:rsid w:val="00D97AF4"/>
    <w:rsid w:val="00D97B29"/>
    <w:rsid w:val="00DA04B9"/>
    <w:rsid w:val="00DA0BDA"/>
    <w:rsid w:val="00DA0E6D"/>
    <w:rsid w:val="00DA0FD5"/>
    <w:rsid w:val="00DA172B"/>
    <w:rsid w:val="00DA32D5"/>
    <w:rsid w:val="00DA36AF"/>
    <w:rsid w:val="00DA500F"/>
    <w:rsid w:val="00DA59BF"/>
    <w:rsid w:val="00DA631C"/>
    <w:rsid w:val="00DA76AF"/>
    <w:rsid w:val="00DA7A8F"/>
    <w:rsid w:val="00DB1547"/>
    <w:rsid w:val="00DB1C69"/>
    <w:rsid w:val="00DB1CBF"/>
    <w:rsid w:val="00DB2444"/>
    <w:rsid w:val="00DB2B8B"/>
    <w:rsid w:val="00DB33F7"/>
    <w:rsid w:val="00DB4CB5"/>
    <w:rsid w:val="00DB6383"/>
    <w:rsid w:val="00DC004E"/>
    <w:rsid w:val="00DC01D2"/>
    <w:rsid w:val="00DC24EB"/>
    <w:rsid w:val="00DC31F9"/>
    <w:rsid w:val="00DC331C"/>
    <w:rsid w:val="00DC51EE"/>
    <w:rsid w:val="00DC5D12"/>
    <w:rsid w:val="00DC64CB"/>
    <w:rsid w:val="00DD0297"/>
    <w:rsid w:val="00DD0582"/>
    <w:rsid w:val="00DD26B8"/>
    <w:rsid w:val="00DD43D1"/>
    <w:rsid w:val="00DD6081"/>
    <w:rsid w:val="00DD7301"/>
    <w:rsid w:val="00DD738A"/>
    <w:rsid w:val="00DD7577"/>
    <w:rsid w:val="00DE0BA1"/>
    <w:rsid w:val="00DE1551"/>
    <w:rsid w:val="00DE2727"/>
    <w:rsid w:val="00DE3226"/>
    <w:rsid w:val="00DE4BF0"/>
    <w:rsid w:val="00DE4E8A"/>
    <w:rsid w:val="00DE57A5"/>
    <w:rsid w:val="00DE5D46"/>
    <w:rsid w:val="00DE6C93"/>
    <w:rsid w:val="00DF1633"/>
    <w:rsid w:val="00DF2AFE"/>
    <w:rsid w:val="00DF4B1F"/>
    <w:rsid w:val="00DF5570"/>
    <w:rsid w:val="00DF63D6"/>
    <w:rsid w:val="00DF64D4"/>
    <w:rsid w:val="00DF7CDC"/>
    <w:rsid w:val="00E002D8"/>
    <w:rsid w:val="00E01652"/>
    <w:rsid w:val="00E01655"/>
    <w:rsid w:val="00E04E6D"/>
    <w:rsid w:val="00E0537C"/>
    <w:rsid w:val="00E06532"/>
    <w:rsid w:val="00E06D55"/>
    <w:rsid w:val="00E10086"/>
    <w:rsid w:val="00E10A4C"/>
    <w:rsid w:val="00E10A9F"/>
    <w:rsid w:val="00E117EF"/>
    <w:rsid w:val="00E118CD"/>
    <w:rsid w:val="00E12BC8"/>
    <w:rsid w:val="00E12E0A"/>
    <w:rsid w:val="00E13085"/>
    <w:rsid w:val="00E1460B"/>
    <w:rsid w:val="00E1506A"/>
    <w:rsid w:val="00E15663"/>
    <w:rsid w:val="00E16ED5"/>
    <w:rsid w:val="00E20914"/>
    <w:rsid w:val="00E22BA4"/>
    <w:rsid w:val="00E230B1"/>
    <w:rsid w:val="00E23DEE"/>
    <w:rsid w:val="00E2425A"/>
    <w:rsid w:val="00E24615"/>
    <w:rsid w:val="00E25524"/>
    <w:rsid w:val="00E26709"/>
    <w:rsid w:val="00E2671D"/>
    <w:rsid w:val="00E27015"/>
    <w:rsid w:val="00E27C9A"/>
    <w:rsid w:val="00E27F5D"/>
    <w:rsid w:val="00E310A8"/>
    <w:rsid w:val="00E34A1A"/>
    <w:rsid w:val="00E34F15"/>
    <w:rsid w:val="00E350AE"/>
    <w:rsid w:val="00E35CDB"/>
    <w:rsid w:val="00E379FA"/>
    <w:rsid w:val="00E37F76"/>
    <w:rsid w:val="00E4115B"/>
    <w:rsid w:val="00E4162C"/>
    <w:rsid w:val="00E41ED0"/>
    <w:rsid w:val="00E42066"/>
    <w:rsid w:val="00E42228"/>
    <w:rsid w:val="00E43232"/>
    <w:rsid w:val="00E434ED"/>
    <w:rsid w:val="00E442EE"/>
    <w:rsid w:val="00E466C6"/>
    <w:rsid w:val="00E50E83"/>
    <w:rsid w:val="00E50EA8"/>
    <w:rsid w:val="00E517B9"/>
    <w:rsid w:val="00E51BBA"/>
    <w:rsid w:val="00E52085"/>
    <w:rsid w:val="00E5268E"/>
    <w:rsid w:val="00E52DE9"/>
    <w:rsid w:val="00E541C3"/>
    <w:rsid w:val="00E549C6"/>
    <w:rsid w:val="00E55A9E"/>
    <w:rsid w:val="00E55EFC"/>
    <w:rsid w:val="00E562BE"/>
    <w:rsid w:val="00E569A0"/>
    <w:rsid w:val="00E56B3E"/>
    <w:rsid w:val="00E60C92"/>
    <w:rsid w:val="00E61873"/>
    <w:rsid w:val="00E6346D"/>
    <w:rsid w:val="00E63F51"/>
    <w:rsid w:val="00E64499"/>
    <w:rsid w:val="00E6530D"/>
    <w:rsid w:val="00E656D5"/>
    <w:rsid w:val="00E6578F"/>
    <w:rsid w:val="00E66A76"/>
    <w:rsid w:val="00E71FEC"/>
    <w:rsid w:val="00E73241"/>
    <w:rsid w:val="00E74490"/>
    <w:rsid w:val="00E74AC6"/>
    <w:rsid w:val="00E7525E"/>
    <w:rsid w:val="00E75ADC"/>
    <w:rsid w:val="00E76D89"/>
    <w:rsid w:val="00E8097D"/>
    <w:rsid w:val="00E80F57"/>
    <w:rsid w:val="00E815D9"/>
    <w:rsid w:val="00E820F5"/>
    <w:rsid w:val="00E828A2"/>
    <w:rsid w:val="00E83DBF"/>
    <w:rsid w:val="00E84AF9"/>
    <w:rsid w:val="00E84B64"/>
    <w:rsid w:val="00E85EF4"/>
    <w:rsid w:val="00E85F74"/>
    <w:rsid w:val="00E86051"/>
    <w:rsid w:val="00E86074"/>
    <w:rsid w:val="00E862FB"/>
    <w:rsid w:val="00E86E77"/>
    <w:rsid w:val="00E8780D"/>
    <w:rsid w:val="00E878D5"/>
    <w:rsid w:val="00E90D89"/>
    <w:rsid w:val="00E913FF"/>
    <w:rsid w:val="00E91899"/>
    <w:rsid w:val="00E91AAC"/>
    <w:rsid w:val="00E92152"/>
    <w:rsid w:val="00E9282D"/>
    <w:rsid w:val="00E92CFF"/>
    <w:rsid w:val="00E92E10"/>
    <w:rsid w:val="00E93A35"/>
    <w:rsid w:val="00E93E2A"/>
    <w:rsid w:val="00E95F99"/>
    <w:rsid w:val="00E9657D"/>
    <w:rsid w:val="00E965D5"/>
    <w:rsid w:val="00E96883"/>
    <w:rsid w:val="00E972F3"/>
    <w:rsid w:val="00E979B5"/>
    <w:rsid w:val="00E97DB4"/>
    <w:rsid w:val="00EA0418"/>
    <w:rsid w:val="00EA0940"/>
    <w:rsid w:val="00EA250F"/>
    <w:rsid w:val="00EA26D5"/>
    <w:rsid w:val="00EA32C6"/>
    <w:rsid w:val="00EA4634"/>
    <w:rsid w:val="00EA4C63"/>
    <w:rsid w:val="00EA52D5"/>
    <w:rsid w:val="00EA5867"/>
    <w:rsid w:val="00EA5F5C"/>
    <w:rsid w:val="00EA7129"/>
    <w:rsid w:val="00EA73CD"/>
    <w:rsid w:val="00EA7470"/>
    <w:rsid w:val="00EB0AEB"/>
    <w:rsid w:val="00EB16DC"/>
    <w:rsid w:val="00EB3B43"/>
    <w:rsid w:val="00EB3E2F"/>
    <w:rsid w:val="00EB4E44"/>
    <w:rsid w:val="00EB558E"/>
    <w:rsid w:val="00EB5D7D"/>
    <w:rsid w:val="00EB6181"/>
    <w:rsid w:val="00EB65B4"/>
    <w:rsid w:val="00EB6A9E"/>
    <w:rsid w:val="00EC0215"/>
    <w:rsid w:val="00EC07DD"/>
    <w:rsid w:val="00EC0A96"/>
    <w:rsid w:val="00EC2A03"/>
    <w:rsid w:val="00EC4253"/>
    <w:rsid w:val="00EC5A1E"/>
    <w:rsid w:val="00EC5F2C"/>
    <w:rsid w:val="00EC7AB4"/>
    <w:rsid w:val="00ED031D"/>
    <w:rsid w:val="00ED0C92"/>
    <w:rsid w:val="00ED0D70"/>
    <w:rsid w:val="00ED1418"/>
    <w:rsid w:val="00ED2926"/>
    <w:rsid w:val="00ED2E5A"/>
    <w:rsid w:val="00ED39D6"/>
    <w:rsid w:val="00ED4E85"/>
    <w:rsid w:val="00ED5678"/>
    <w:rsid w:val="00ED5CEB"/>
    <w:rsid w:val="00ED6DEC"/>
    <w:rsid w:val="00EE0489"/>
    <w:rsid w:val="00EE05F4"/>
    <w:rsid w:val="00EE1853"/>
    <w:rsid w:val="00EE25FA"/>
    <w:rsid w:val="00EE2771"/>
    <w:rsid w:val="00EE4002"/>
    <w:rsid w:val="00EE4ACF"/>
    <w:rsid w:val="00EE50D2"/>
    <w:rsid w:val="00EE5C3A"/>
    <w:rsid w:val="00EE5C93"/>
    <w:rsid w:val="00EE6121"/>
    <w:rsid w:val="00EE63F3"/>
    <w:rsid w:val="00EE6735"/>
    <w:rsid w:val="00EF03C9"/>
    <w:rsid w:val="00EF1B4E"/>
    <w:rsid w:val="00EF34B4"/>
    <w:rsid w:val="00EF39DA"/>
    <w:rsid w:val="00EF3AEF"/>
    <w:rsid w:val="00EF3B84"/>
    <w:rsid w:val="00EF40E9"/>
    <w:rsid w:val="00EF4527"/>
    <w:rsid w:val="00EF4BE3"/>
    <w:rsid w:val="00EF4DC8"/>
    <w:rsid w:val="00EF76A7"/>
    <w:rsid w:val="00EF77C9"/>
    <w:rsid w:val="00EF77FD"/>
    <w:rsid w:val="00EF7EB5"/>
    <w:rsid w:val="00F012BF"/>
    <w:rsid w:val="00F0228F"/>
    <w:rsid w:val="00F03147"/>
    <w:rsid w:val="00F036E3"/>
    <w:rsid w:val="00F03F21"/>
    <w:rsid w:val="00F0427A"/>
    <w:rsid w:val="00F04708"/>
    <w:rsid w:val="00F05DB1"/>
    <w:rsid w:val="00F072CD"/>
    <w:rsid w:val="00F07320"/>
    <w:rsid w:val="00F10258"/>
    <w:rsid w:val="00F11DD7"/>
    <w:rsid w:val="00F13AD0"/>
    <w:rsid w:val="00F14267"/>
    <w:rsid w:val="00F145B7"/>
    <w:rsid w:val="00F15156"/>
    <w:rsid w:val="00F17115"/>
    <w:rsid w:val="00F172B8"/>
    <w:rsid w:val="00F17D28"/>
    <w:rsid w:val="00F20E3D"/>
    <w:rsid w:val="00F210CF"/>
    <w:rsid w:val="00F21A57"/>
    <w:rsid w:val="00F21B93"/>
    <w:rsid w:val="00F2363A"/>
    <w:rsid w:val="00F23E5B"/>
    <w:rsid w:val="00F24C46"/>
    <w:rsid w:val="00F25271"/>
    <w:rsid w:val="00F25427"/>
    <w:rsid w:val="00F25CD5"/>
    <w:rsid w:val="00F26085"/>
    <w:rsid w:val="00F261F7"/>
    <w:rsid w:val="00F26717"/>
    <w:rsid w:val="00F300ED"/>
    <w:rsid w:val="00F303FF"/>
    <w:rsid w:val="00F31079"/>
    <w:rsid w:val="00F32C54"/>
    <w:rsid w:val="00F32FEC"/>
    <w:rsid w:val="00F33AC2"/>
    <w:rsid w:val="00F349A9"/>
    <w:rsid w:val="00F35BF5"/>
    <w:rsid w:val="00F35CF0"/>
    <w:rsid w:val="00F37929"/>
    <w:rsid w:val="00F37A6F"/>
    <w:rsid w:val="00F41911"/>
    <w:rsid w:val="00F424E0"/>
    <w:rsid w:val="00F42F24"/>
    <w:rsid w:val="00F43D5F"/>
    <w:rsid w:val="00F44462"/>
    <w:rsid w:val="00F47BFB"/>
    <w:rsid w:val="00F507E7"/>
    <w:rsid w:val="00F50E07"/>
    <w:rsid w:val="00F51CC9"/>
    <w:rsid w:val="00F52738"/>
    <w:rsid w:val="00F52870"/>
    <w:rsid w:val="00F52F35"/>
    <w:rsid w:val="00F5411B"/>
    <w:rsid w:val="00F5480F"/>
    <w:rsid w:val="00F56403"/>
    <w:rsid w:val="00F56C38"/>
    <w:rsid w:val="00F56EE4"/>
    <w:rsid w:val="00F6210A"/>
    <w:rsid w:val="00F623A5"/>
    <w:rsid w:val="00F63FD6"/>
    <w:rsid w:val="00F64917"/>
    <w:rsid w:val="00F65905"/>
    <w:rsid w:val="00F675A7"/>
    <w:rsid w:val="00F70181"/>
    <w:rsid w:val="00F7123D"/>
    <w:rsid w:val="00F714A5"/>
    <w:rsid w:val="00F71BB5"/>
    <w:rsid w:val="00F733CC"/>
    <w:rsid w:val="00F77630"/>
    <w:rsid w:val="00F778D9"/>
    <w:rsid w:val="00F80410"/>
    <w:rsid w:val="00F8125D"/>
    <w:rsid w:val="00F837AF"/>
    <w:rsid w:val="00F839FE"/>
    <w:rsid w:val="00F8547B"/>
    <w:rsid w:val="00F8551E"/>
    <w:rsid w:val="00F85A9E"/>
    <w:rsid w:val="00F860DB"/>
    <w:rsid w:val="00F86C03"/>
    <w:rsid w:val="00F902D0"/>
    <w:rsid w:val="00F91519"/>
    <w:rsid w:val="00F9350A"/>
    <w:rsid w:val="00F935B6"/>
    <w:rsid w:val="00F95067"/>
    <w:rsid w:val="00F9722F"/>
    <w:rsid w:val="00F97519"/>
    <w:rsid w:val="00F97A0E"/>
    <w:rsid w:val="00FA17D8"/>
    <w:rsid w:val="00FA271A"/>
    <w:rsid w:val="00FA3805"/>
    <w:rsid w:val="00FA4853"/>
    <w:rsid w:val="00FA7519"/>
    <w:rsid w:val="00FA7E5F"/>
    <w:rsid w:val="00FB050D"/>
    <w:rsid w:val="00FB0EC3"/>
    <w:rsid w:val="00FB1750"/>
    <w:rsid w:val="00FB1864"/>
    <w:rsid w:val="00FB1B51"/>
    <w:rsid w:val="00FB24FA"/>
    <w:rsid w:val="00FB336F"/>
    <w:rsid w:val="00FB371F"/>
    <w:rsid w:val="00FB449C"/>
    <w:rsid w:val="00FB44B5"/>
    <w:rsid w:val="00FB458A"/>
    <w:rsid w:val="00FB478F"/>
    <w:rsid w:val="00FB4A9B"/>
    <w:rsid w:val="00FC0CE7"/>
    <w:rsid w:val="00FC2849"/>
    <w:rsid w:val="00FC35B4"/>
    <w:rsid w:val="00FC3A03"/>
    <w:rsid w:val="00FC4018"/>
    <w:rsid w:val="00FC4624"/>
    <w:rsid w:val="00FC4CF8"/>
    <w:rsid w:val="00FC5655"/>
    <w:rsid w:val="00FC5E93"/>
    <w:rsid w:val="00FC6A6E"/>
    <w:rsid w:val="00FC70EB"/>
    <w:rsid w:val="00FD0305"/>
    <w:rsid w:val="00FD0571"/>
    <w:rsid w:val="00FD0C38"/>
    <w:rsid w:val="00FD0EA0"/>
    <w:rsid w:val="00FD1478"/>
    <w:rsid w:val="00FD1D1B"/>
    <w:rsid w:val="00FD5079"/>
    <w:rsid w:val="00FD6283"/>
    <w:rsid w:val="00FD62C1"/>
    <w:rsid w:val="00FD6D6A"/>
    <w:rsid w:val="00FE01E8"/>
    <w:rsid w:val="00FE2450"/>
    <w:rsid w:val="00FE2C57"/>
    <w:rsid w:val="00FE5448"/>
    <w:rsid w:val="00FE556D"/>
    <w:rsid w:val="00FE5684"/>
    <w:rsid w:val="00FE5BFA"/>
    <w:rsid w:val="00FE6B67"/>
    <w:rsid w:val="00FF0198"/>
    <w:rsid w:val="00FF0B72"/>
    <w:rsid w:val="00FF1DAC"/>
    <w:rsid w:val="00FF2D56"/>
    <w:rsid w:val="00FF55FC"/>
    <w:rsid w:val="00FF5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61EA58"/>
  <w15:docId w15:val="{F6C3FB58-3929-48BB-8ADD-7AF9A2592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413"/>
    <w:pPr>
      <w:spacing w:after="0" w:line="240" w:lineRule="auto"/>
    </w:pPr>
    <w:rPr>
      <w:lang w:val="es-CR"/>
    </w:rPr>
  </w:style>
  <w:style w:type="paragraph" w:styleId="Ttulo1">
    <w:name w:val="heading 1"/>
    <w:basedOn w:val="Normal"/>
    <w:next w:val="Normal"/>
    <w:link w:val="Ttulo1Car"/>
    <w:uiPriority w:val="9"/>
    <w:qFormat/>
    <w:rsid w:val="00A113F9"/>
    <w:pPr>
      <w:keepNext/>
      <w:keepLines/>
      <w:spacing w:before="240" w:after="240"/>
      <w:contextualSpacing/>
      <w:jc w:val="center"/>
      <w:outlineLvl w:val="0"/>
    </w:pPr>
    <w:rPr>
      <w:rFonts w:eastAsiaTheme="majorEastAsia" w:cstheme="majorBidi"/>
      <w:b/>
    </w:rPr>
  </w:style>
  <w:style w:type="paragraph" w:styleId="Ttulo2">
    <w:name w:val="heading 2"/>
    <w:basedOn w:val="Prrafodelista"/>
    <w:next w:val="Normal"/>
    <w:link w:val="Ttulo2Car"/>
    <w:unhideWhenUsed/>
    <w:qFormat/>
    <w:rsid w:val="00CA38A9"/>
    <w:pPr>
      <w:numPr>
        <w:numId w:val="3"/>
      </w:numPr>
      <w:tabs>
        <w:tab w:val="left" w:pos="1134"/>
      </w:tabs>
      <w:spacing w:before="240" w:after="240"/>
      <w:ind w:left="1134" w:hanging="567"/>
      <w:contextualSpacing w:val="0"/>
      <w:jc w:val="both"/>
      <w:outlineLvl w:val="1"/>
    </w:pPr>
    <w:rPr>
      <w:b/>
      <w:i/>
    </w:rPr>
  </w:style>
  <w:style w:type="paragraph" w:styleId="Ttulo3">
    <w:name w:val="heading 3"/>
    <w:basedOn w:val="Normal"/>
    <w:next w:val="Normal"/>
    <w:link w:val="Ttulo3Car"/>
    <w:uiPriority w:val="9"/>
    <w:unhideWhenUsed/>
    <w:qFormat/>
    <w:rsid w:val="00880671"/>
    <w:pPr>
      <w:keepNext/>
      <w:keepLines/>
      <w:tabs>
        <w:tab w:val="left" w:pos="1701"/>
      </w:tabs>
      <w:spacing w:before="240" w:after="240"/>
      <w:ind w:left="1134"/>
      <w:outlineLvl w:val="2"/>
    </w:pPr>
    <w:rPr>
      <w:rFonts w:eastAsiaTheme="majorEastAsia" w:cstheme="majorBidi"/>
      <w:b/>
    </w:rPr>
  </w:style>
  <w:style w:type="paragraph" w:styleId="Ttulo4">
    <w:name w:val="heading 4"/>
    <w:basedOn w:val="Normal"/>
    <w:next w:val="Normal"/>
    <w:link w:val="Ttulo4Car"/>
    <w:unhideWhenUsed/>
    <w:qFormat/>
    <w:rsid w:val="00B524CE"/>
    <w:pPr>
      <w:tabs>
        <w:tab w:val="left" w:pos="2268"/>
      </w:tabs>
      <w:spacing w:before="240" w:after="240"/>
      <w:ind w:left="1701"/>
      <w:jc w:val="both"/>
      <w:outlineLvl w:val="3"/>
    </w:pPr>
    <w:rPr>
      <w:rFonts w:eastAsia="MS Mincho"/>
      <w:u w:val="single"/>
    </w:rPr>
  </w:style>
  <w:style w:type="paragraph" w:styleId="Ttulo7">
    <w:name w:val="heading 7"/>
    <w:basedOn w:val="Normal"/>
    <w:next w:val="Normal"/>
    <w:link w:val="Ttulo7Car"/>
    <w:uiPriority w:val="9"/>
    <w:semiHidden/>
    <w:unhideWhenUsed/>
    <w:qFormat/>
    <w:rsid w:val="00F21A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 Paragraph1,Colorful List - Accent 11,Párrafo de lista1,List Paragraph2,Lista vistosa - Énfasis 11,Subtle Emphasis1,Footnote1,List Paragraph11,Parrafos"/>
    <w:basedOn w:val="Normal"/>
    <w:link w:val="PrrafodelistaCar"/>
    <w:uiPriority w:val="99"/>
    <w:qFormat/>
    <w:rsid w:val="00CA6FB1"/>
    <w:pPr>
      <w:ind w:left="720"/>
      <w:contextualSpacing/>
    </w:pPr>
    <w:rPr>
      <w:rFonts w:eastAsia="MS Mincho"/>
    </w:rPr>
  </w:style>
  <w:style w:type="character" w:styleId="Nmerodelnea">
    <w:name w:val="line number"/>
    <w:basedOn w:val="Fuentedeprrafopredeter"/>
    <w:uiPriority w:val="99"/>
    <w:semiHidden/>
    <w:unhideWhenUsed/>
    <w:rsid w:val="00CA6FB1"/>
  </w:style>
  <w:style w:type="paragraph" w:styleId="Ttulo">
    <w:name w:val="Title"/>
    <w:basedOn w:val="Ttulo1"/>
    <w:next w:val="Normal"/>
    <w:link w:val="TtuloCar"/>
    <w:qFormat/>
    <w:rsid w:val="00CA6FB1"/>
    <w:pPr>
      <w:keepNext w:val="0"/>
      <w:keepLines w:val="0"/>
      <w:tabs>
        <w:tab w:val="center" w:pos="4320"/>
        <w:tab w:val="right" w:pos="8640"/>
      </w:tabs>
      <w:spacing w:before="0"/>
    </w:pPr>
    <w:rPr>
      <w:rFonts w:eastAsia="Times New Roman" w:cs="Times New Roman"/>
      <w:b w:val="0"/>
      <w:lang w:eastAsia="es-ES"/>
    </w:rPr>
  </w:style>
  <w:style w:type="character" w:customStyle="1" w:styleId="TtuloCar">
    <w:name w:val="Título Car"/>
    <w:basedOn w:val="Fuentedeprrafopredeter"/>
    <w:link w:val="Ttulo"/>
    <w:rsid w:val="00CA6FB1"/>
    <w:rPr>
      <w:rFonts w:ascii="Verdana" w:eastAsia="Times New Roman" w:hAnsi="Verdana" w:cs="Times New Roman"/>
      <w:b/>
      <w:sz w:val="20"/>
      <w:szCs w:val="20"/>
      <w:lang w:val="es-CR" w:eastAsia="es-ES"/>
    </w:rPr>
  </w:style>
  <w:style w:type="character" w:customStyle="1" w:styleId="Ttulo1Car">
    <w:name w:val="Título 1 Car"/>
    <w:basedOn w:val="Fuentedeprrafopredeter"/>
    <w:link w:val="Ttulo1"/>
    <w:uiPriority w:val="9"/>
    <w:rsid w:val="00A113F9"/>
    <w:rPr>
      <w:rFonts w:ascii="Verdana" w:eastAsiaTheme="majorEastAsia" w:hAnsi="Verdana" w:cstheme="majorBidi"/>
      <w:b/>
      <w:sz w:val="20"/>
      <w:szCs w:val="20"/>
      <w:lang w:val="es-CR"/>
    </w:rPr>
  </w:style>
  <w:style w:type="paragraph" w:customStyle="1" w:styleId="PrrafodeSentencia">
    <w:name w:val="*. Párrafo de Sentencia"/>
    <w:basedOn w:val="Normal"/>
    <w:next w:val="Normal"/>
    <w:link w:val="PrrafodeSentenciaChar"/>
    <w:qFormat/>
    <w:rsid w:val="00CD0AA7"/>
    <w:pPr>
      <w:numPr>
        <w:numId w:val="1"/>
      </w:numPr>
      <w:tabs>
        <w:tab w:val="left" w:pos="567"/>
      </w:tabs>
      <w:ind w:left="0" w:firstLine="0"/>
      <w:jc w:val="both"/>
    </w:pPr>
    <w:rPr>
      <w:rFonts w:eastAsia="Batang" w:cstheme="minorBidi"/>
      <w:spacing w:val="-4"/>
      <w:szCs w:val="22"/>
      <w:lang w:eastAsia="es-MX"/>
    </w:rPr>
  </w:style>
  <w:style w:type="character" w:customStyle="1" w:styleId="PrrafodeSentenciaChar">
    <w:name w:val="*. Párrafo de Sentencia Char"/>
    <w:link w:val="PrrafodeSentencia"/>
    <w:locked/>
    <w:rsid w:val="00CD0AA7"/>
    <w:rPr>
      <w:rFonts w:eastAsia="Batang" w:cstheme="minorBidi"/>
      <w:spacing w:val="-4"/>
      <w:szCs w:val="22"/>
      <w:lang w:val="es-CR" w:eastAsia="es-MX"/>
    </w:rPr>
  </w:style>
  <w:style w:type="paragraph" w:customStyle="1" w:styleId="Textoindependiente1">
    <w:name w:val="Texto independiente1"/>
    <w:basedOn w:val="Normal"/>
    <w:rsid w:val="00CD0AA7"/>
    <w:pPr>
      <w:widowControl w:val="0"/>
      <w:jc w:val="both"/>
    </w:pPr>
    <w:rPr>
      <w:rFonts w:ascii="New York" w:hAnsi="New York"/>
      <w:lang w:val="es-ES_tradnl"/>
    </w:rPr>
  </w:style>
  <w:style w:type="paragraph" w:customStyle="1" w:styleId="citaindirecta">
    <w:name w:val="cita indirecta"/>
    <w:basedOn w:val="Normal"/>
    <w:uiPriority w:val="99"/>
    <w:rsid w:val="00CD0AA7"/>
    <w:pPr>
      <w:ind w:left="708"/>
      <w:jc w:val="both"/>
    </w:pPr>
    <w:rPr>
      <w:lang w:val="es-ES_tradnl"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88185F"/>
    <w:pPr>
      <w:tabs>
        <w:tab w:val="left" w:pos="567"/>
      </w:tabs>
      <w:spacing w:before="120" w:after="120"/>
      <w:jc w:val="both"/>
    </w:pPr>
    <w:rPr>
      <w:rFonts w:eastAsia="MS Mincho"/>
      <w:sz w:val="16"/>
      <w:szCs w:val="16"/>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88185F"/>
    <w:rPr>
      <w:rFonts w:ascii="Verdana" w:eastAsia="MS Mincho" w:hAnsi="Verdana" w:cs="Times New Roman"/>
      <w:sz w:val="16"/>
      <w:szCs w:val="16"/>
      <w:lang w:val="es-CR"/>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de nota al pie,norma"/>
    <w:basedOn w:val="Fuentedeprrafopredeter"/>
    <w:link w:val="FootnotesrefssChar1Char"/>
    <w:uiPriority w:val="99"/>
    <w:unhideWhenUsed/>
    <w:qFormat/>
    <w:rsid w:val="00C41BB2"/>
    <w:rPr>
      <w:vertAlign w:val="superscript"/>
    </w:rPr>
  </w:style>
  <w:style w:type="paragraph" w:styleId="Textonotaalfinal">
    <w:name w:val="endnote text"/>
    <w:basedOn w:val="Normal"/>
    <w:link w:val="TextonotaalfinalCar"/>
    <w:uiPriority w:val="99"/>
    <w:semiHidden/>
    <w:unhideWhenUsed/>
    <w:rsid w:val="001D0E86"/>
    <w:rPr>
      <w:rFonts w:eastAsia="MS Mincho"/>
    </w:rPr>
  </w:style>
  <w:style w:type="character" w:customStyle="1" w:styleId="TextonotaalfinalCar">
    <w:name w:val="Texto nota al final Car"/>
    <w:basedOn w:val="Fuentedeprrafopredeter"/>
    <w:link w:val="Textonotaalfinal"/>
    <w:uiPriority w:val="99"/>
    <w:semiHidden/>
    <w:rsid w:val="001D0E86"/>
    <w:rPr>
      <w:rFonts w:ascii="Verdana" w:eastAsia="MS Mincho" w:hAnsi="Verdana" w:cs="Times New Roman"/>
      <w:sz w:val="20"/>
      <w:szCs w:val="20"/>
    </w:rPr>
  </w:style>
  <w:style w:type="character" w:styleId="Refdenotaalfinal">
    <w:name w:val="endnote reference"/>
    <w:basedOn w:val="Fuentedeprrafopredeter"/>
    <w:uiPriority w:val="99"/>
    <w:semiHidden/>
    <w:unhideWhenUsed/>
    <w:rsid w:val="001D0E86"/>
    <w:rPr>
      <w:vertAlign w:val="superscript"/>
    </w:rPr>
  </w:style>
  <w:style w:type="character" w:styleId="Refdecomentario">
    <w:name w:val="annotation reference"/>
    <w:basedOn w:val="Fuentedeprrafopredeter"/>
    <w:uiPriority w:val="99"/>
    <w:unhideWhenUsed/>
    <w:rsid w:val="00A113F9"/>
    <w:rPr>
      <w:sz w:val="16"/>
      <w:szCs w:val="16"/>
    </w:rPr>
  </w:style>
  <w:style w:type="paragraph" w:styleId="Textocomentario">
    <w:name w:val="annotation text"/>
    <w:basedOn w:val="Normal"/>
    <w:link w:val="TextocomentarioCar"/>
    <w:uiPriority w:val="99"/>
    <w:unhideWhenUsed/>
    <w:rsid w:val="00A113F9"/>
    <w:rPr>
      <w:rFonts w:eastAsia="MS Mincho"/>
    </w:rPr>
  </w:style>
  <w:style w:type="character" w:customStyle="1" w:styleId="TextocomentarioCar">
    <w:name w:val="Texto comentario Car"/>
    <w:basedOn w:val="Fuentedeprrafopredeter"/>
    <w:link w:val="Textocomentario"/>
    <w:uiPriority w:val="99"/>
    <w:rsid w:val="00A113F9"/>
    <w:rPr>
      <w:rFonts w:ascii="Verdana" w:eastAsia="MS Mincho" w:hAnsi="Verdana"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A113F9"/>
    <w:rPr>
      <w:b/>
      <w:bCs/>
    </w:rPr>
  </w:style>
  <w:style w:type="character" w:customStyle="1" w:styleId="AsuntodelcomentarioCar">
    <w:name w:val="Asunto del comentario Car"/>
    <w:basedOn w:val="TextocomentarioCar"/>
    <w:link w:val="Asuntodelcomentario"/>
    <w:uiPriority w:val="99"/>
    <w:semiHidden/>
    <w:rsid w:val="00A113F9"/>
    <w:rPr>
      <w:rFonts w:ascii="Verdana" w:eastAsia="MS Mincho" w:hAnsi="Verdana" w:cs="Times New Roman"/>
      <w:b/>
      <w:bCs/>
      <w:sz w:val="20"/>
      <w:szCs w:val="20"/>
    </w:rPr>
  </w:style>
  <w:style w:type="paragraph" w:styleId="Textodeglobo">
    <w:name w:val="Balloon Text"/>
    <w:basedOn w:val="Normal"/>
    <w:link w:val="TextodegloboCar"/>
    <w:uiPriority w:val="99"/>
    <w:semiHidden/>
    <w:unhideWhenUsed/>
    <w:rsid w:val="00A113F9"/>
    <w:rPr>
      <w:rFonts w:ascii="Segoe UI" w:eastAsia="MS Mincho" w:hAnsi="Segoe UI" w:cs="Segoe UI"/>
      <w:sz w:val="18"/>
      <w:szCs w:val="18"/>
    </w:rPr>
  </w:style>
  <w:style w:type="character" w:customStyle="1" w:styleId="TextodegloboCar">
    <w:name w:val="Texto de globo Car"/>
    <w:basedOn w:val="Fuentedeprrafopredeter"/>
    <w:link w:val="Textodeglobo"/>
    <w:uiPriority w:val="99"/>
    <w:semiHidden/>
    <w:rsid w:val="00A113F9"/>
    <w:rPr>
      <w:rFonts w:ascii="Segoe UI" w:eastAsia="MS Mincho" w:hAnsi="Segoe UI" w:cs="Segoe UI"/>
      <w:sz w:val="18"/>
      <w:szCs w:val="18"/>
    </w:rPr>
  </w:style>
  <w:style w:type="character" w:customStyle="1" w:styleId="Ttulo2Car">
    <w:name w:val="Título 2 Car"/>
    <w:basedOn w:val="Fuentedeprrafopredeter"/>
    <w:link w:val="Ttulo2"/>
    <w:rsid w:val="00CA38A9"/>
    <w:rPr>
      <w:rFonts w:eastAsia="MS Mincho"/>
      <w:b/>
      <w:i/>
      <w:lang w:val="es-CR"/>
    </w:rPr>
  </w:style>
  <w:style w:type="character" w:customStyle="1" w:styleId="Ttulo7Car">
    <w:name w:val="Título 7 Car"/>
    <w:basedOn w:val="Fuentedeprrafopredeter"/>
    <w:link w:val="Ttulo7"/>
    <w:uiPriority w:val="9"/>
    <w:semiHidden/>
    <w:rsid w:val="00F21A57"/>
    <w:rPr>
      <w:rFonts w:asciiTheme="majorHAnsi" w:eastAsiaTheme="majorEastAsia" w:hAnsiTheme="majorHAnsi" w:cstheme="majorBidi"/>
      <w:i/>
      <w:iCs/>
      <w:color w:val="1F4D78" w:themeColor="accent1" w:themeShade="7F"/>
      <w:sz w:val="20"/>
      <w:szCs w:val="24"/>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F21A57"/>
    <w:pPr>
      <w:spacing w:after="160" w:line="240" w:lineRule="exact"/>
    </w:pPr>
    <w:rPr>
      <w:rFonts w:asciiTheme="minorHAnsi" w:hAnsiTheme="minorHAnsi" w:cstheme="minorBidi"/>
      <w:sz w:val="22"/>
      <w:szCs w:val="22"/>
      <w:vertAlign w:val="superscript"/>
    </w:rPr>
  </w:style>
  <w:style w:type="character" w:styleId="Textoennegrita">
    <w:name w:val="Strong"/>
    <w:aliases w:val="Heading 2.1"/>
    <w:basedOn w:val="Fuentedeprrafopredeter"/>
    <w:uiPriority w:val="22"/>
    <w:qFormat/>
    <w:rsid w:val="00F21A57"/>
    <w:rPr>
      <w:b/>
      <w:bCs/>
    </w:rPr>
  </w:style>
  <w:style w:type="paragraph" w:styleId="Encabezado">
    <w:name w:val="header"/>
    <w:aliases w:val="encabezado"/>
    <w:basedOn w:val="Normal"/>
    <w:link w:val="EncabezadoCar"/>
    <w:uiPriority w:val="99"/>
    <w:unhideWhenUsed/>
    <w:rsid w:val="005E697D"/>
    <w:pPr>
      <w:tabs>
        <w:tab w:val="center" w:pos="4419"/>
        <w:tab w:val="right" w:pos="8838"/>
      </w:tabs>
    </w:pPr>
    <w:rPr>
      <w:rFonts w:eastAsia="MS Mincho"/>
    </w:rPr>
  </w:style>
  <w:style w:type="character" w:customStyle="1" w:styleId="EncabezadoCar">
    <w:name w:val="Encabezado Car"/>
    <w:aliases w:val="encabezado Car"/>
    <w:basedOn w:val="Fuentedeprrafopredeter"/>
    <w:link w:val="Encabezado"/>
    <w:uiPriority w:val="99"/>
    <w:rsid w:val="005E697D"/>
    <w:rPr>
      <w:rFonts w:ascii="Verdana" w:eastAsia="MS Mincho" w:hAnsi="Verdana" w:cs="Times New Roman"/>
      <w:sz w:val="20"/>
      <w:szCs w:val="24"/>
    </w:rPr>
  </w:style>
  <w:style w:type="paragraph" w:styleId="Piedepgina">
    <w:name w:val="footer"/>
    <w:basedOn w:val="Normal"/>
    <w:link w:val="PiedepginaCar"/>
    <w:uiPriority w:val="99"/>
    <w:unhideWhenUsed/>
    <w:rsid w:val="005E697D"/>
    <w:pPr>
      <w:tabs>
        <w:tab w:val="center" w:pos="4419"/>
        <w:tab w:val="right" w:pos="8838"/>
      </w:tabs>
    </w:pPr>
    <w:rPr>
      <w:rFonts w:eastAsia="MS Mincho"/>
    </w:rPr>
  </w:style>
  <w:style w:type="character" w:customStyle="1" w:styleId="PiedepginaCar">
    <w:name w:val="Pie de página Car"/>
    <w:basedOn w:val="Fuentedeprrafopredeter"/>
    <w:link w:val="Piedepgina"/>
    <w:uiPriority w:val="99"/>
    <w:rsid w:val="005E697D"/>
    <w:rPr>
      <w:rFonts w:ascii="Verdana" w:eastAsia="MS Mincho" w:hAnsi="Verdana" w:cs="Times New Roman"/>
      <w:sz w:val="20"/>
      <w:szCs w:val="24"/>
    </w:rPr>
  </w:style>
  <w:style w:type="character" w:customStyle="1" w:styleId="Ttulo3Car">
    <w:name w:val="Título 3 Car"/>
    <w:basedOn w:val="Fuentedeprrafopredeter"/>
    <w:link w:val="Ttulo3"/>
    <w:uiPriority w:val="9"/>
    <w:rsid w:val="00880671"/>
    <w:rPr>
      <w:rFonts w:ascii="Verdana" w:eastAsiaTheme="majorEastAsia" w:hAnsi="Verdana" w:cstheme="majorBidi"/>
      <w:b/>
      <w:sz w:val="20"/>
      <w:szCs w:val="20"/>
      <w:lang w:val="es-CR"/>
    </w:rPr>
  </w:style>
  <w:style w:type="character" w:customStyle="1" w:styleId="PrrafodelistaCar">
    <w:name w:val="Párrafo de lista Car"/>
    <w:aliases w:val="List Paragraph1 Car,Colorful List - Accent 11 Car,Párrafo de lista1 Car,List Paragraph2 Car,Lista vistosa - Énfasis 11 Car,Subtle Emphasis1 Car,Footnote1 Car,List Paragraph11 Car,Parrafos Car"/>
    <w:basedOn w:val="Fuentedeprrafopredeter"/>
    <w:link w:val="Prrafodelista"/>
    <w:uiPriority w:val="99"/>
    <w:locked/>
    <w:rsid w:val="00121FEF"/>
    <w:rPr>
      <w:rFonts w:ascii="Verdana" w:eastAsia="MS Mincho" w:hAnsi="Verdana" w:cs="Times New Roman"/>
      <w:sz w:val="20"/>
      <w:szCs w:val="24"/>
    </w:rPr>
  </w:style>
  <w:style w:type="character" w:styleId="Hipervnculo">
    <w:name w:val="Hyperlink"/>
    <w:basedOn w:val="Fuentedeprrafopredeter"/>
    <w:uiPriority w:val="99"/>
    <w:unhideWhenUsed/>
    <w:rsid w:val="00121FEF"/>
    <w:rPr>
      <w:color w:val="0563C1" w:themeColor="hyperlink"/>
      <w:u w:val="single"/>
    </w:rPr>
  </w:style>
  <w:style w:type="paragraph" w:customStyle="1" w:styleId="SingleTxtG">
    <w:name w:val="_ Single Txt_G"/>
    <w:basedOn w:val="Normal"/>
    <w:rsid w:val="00121FEF"/>
    <w:pPr>
      <w:spacing w:after="120" w:line="240" w:lineRule="atLeast"/>
      <w:ind w:left="1134" w:right="1134"/>
      <w:jc w:val="both"/>
    </w:pPr>
    <w:rPr>
      <w:lang w:val="es-ES" w:eastAsia="es-ES"/>
    </w:rPr>
  </w:style>
  <w:style w:type="character" w:customStyle="1" w:styleId="apple-style-span">
    <w:name w:val="apple-style-span"/>
    <w:basedOn w:val="Fuentedeprrafopredeter"/>
    <w:rsid w:val="00CA38A9"/>
  </w:style>
  <w:style w:type="character" w:customStyle="1" w:styleId="sb8d990e2">
    <w:name w:val="sb8d990e2"/>
    <w:basedOn w:val="Fuentedeprrafopredeter"/>
    <w:rsid w:val="00CA38A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qFormat/>
    <w:rsid w:val="00EE6121"/>
    <w:pPr>
      <w:jc w:val="both"/>
    </w:pPr>
    <w:rPr>
      <w:rFonts w:asciiTheme="minorHAnsi" w:hAnsiTheme="minorHAnsi" w:cstheme="minorBidi"/>
      <w:sz w:val="22"/>
      <w:szCs w:val="22"/>
      <w:vertAlign w:val="superscript"/>
    </w:rPr>
  </w:style>
  <w:style w:type="paragraph" w:styleId="Textosinformato">
    <w:name w:val="Plain Text"/>
    <w:basedOn w:val="Normal"/>
    <w:link w:val="TextosinformatoCar"/>
    <w:uiPriority w:val="99"/>
    <w:semiHidden/>
    <w:unhideWhenUsed/>
    <w:rsid w:val="00D250BE"/>
    <w:rPr>
      <w:rFonts w:ascii="Calibri" w:hAnsi="Calibri" w:cstheme="minorBidi"/>
      <w:sz w:val="22"/>
      <w:szCs w:val="21"/>
    </w:rPr>
  </w:style>
  <w:style w:type="character" w:customStyle="1" w:styleId="TextosinformatoCar">
    <w:name w:val="Texto sin formato Car"/>
    <w:basedOn w:val="Fuentedeprrafopredeter"/>
    <w:link w:val="Textosinformato"/>
    <w:uiPriority w:val="99"/>
    <w:semiHidden/>
    <w:rsid w:val="00D250BE"/>
    <w:rPr>
      <w:rFonts w:ascii="Calibri" w:hAnsi="Calibri"/>
      <w:szCs w:val="21"/>
      <w:lang w:val="es-CR"/>
    </w:rPr>
  </w:style>
  <w:style w:type="character" w:customStyle="1" w:styleId="Ttulo4Car">
    <w:name w:val="Título 4 Car"/>
    <w:basedOn w:val="Fuentedeprrafopredeter"/>
    <w:link w:val="Ttulo4"/>
    <w:uiPriority w:val="9"/>
    <w:rsid w:val="00B524CE"/>
    <w:rPr>
      <w:rFonts w:ascii="Verdana" w:eastAsia="MS Mincho" w:hAnsi="Verdana" w:cs="Times New Roman"/>
      <w:sz w:val="20"/>
      <w:szCs w:val="24"/>
      <w:u w:val="single"/>
      <w:lang w:val="es-CR"/>
    </w:rPr>
  </w:style>
  <w:style w:type="paragraph" w:styleId="NormalWeb">
    <w:name w:val="Normal (Web)"/>
    <w:basedOn w:val="Normal"/>
    <w:uiPriority w:val="99"/>
    <w:unhideWhenUsed/>
    <w:rsid w:val="00427466"/>
    <w:pPr>
      <w:spacing w:before="100" w:beforeAutospacing="1" w:after="100" w:afterAutospacing="1"/>
    </w:pPr>
    <w:rPr>
      <w:lang w:eastAsia="es-CR"/>
    </w:rPr>
  </w:style>
  <w:style w:type="paragraph" w:customStyle="1" w:styleId="1">
    <w:name w:val="1"/>
    <w:basedOn w:val="Normal"/>
    <w:rsid w:val="00852D2F"/>
    <w:pPr>
      <w:spacing w:after="160" w:line="240" w:lineRule="exact"/>
    </w:pPr>
    <w:rPr>
      <w:sz w:val="16"/>
      <w:szCs w:val="22"/>
      <w:vertAlign w:val="superscript"/>
    </w:rPr>
  </w:style>
  <w:style w:type="paragraph" w:customStyle="1" w:styleId="Numberedparagraphs">
    <w:name w:val="Numbered paragraphs"/>
    <w:basedOn w:val="Normal"/>
    <w:link w:val="NumberedparagraphsCar"/>
    <w:qFormat/>
    <w:rsid w:val="00B86E74"/>
    <w:pPr>
      <w:numPr>
        <w:numId w:val="6"/>
      </w:numPr>
      <w:jc w:val="both"/>
    </w:pPr>
    <w:rPr>
      <w:rFonts w:eastAsia="MS Mincho"/>
      <w:color w:val="000000"/>
      <w:lang w:val="es-ES_tradnl"/>
    </w:rPr>
  </w:style>
  <w:style w:type="character" w:customStyle="1" w:styleId="s6b621b36">
    <w:name w:val="s6b621b36"/>
    <w:basedOn w:val="Fuentedeprrafopredeter"/>
    <w:rsid w:val="00547188"/>
  </w:style>
  <w:style w:type="paragraph" w:customStyle="1" w:styleId="s30eec3f8">
    <w:name w:val="s30eec3f8"/>
    <w:basedOn w:val="Normal"/>
    <w:rsid w:val="00547188"/>
    <w:pPr>
      <w:spacing w:before="100" w:beforeAutospacing="1" w:after="100" w:afterAutospacing="1"/>
    </w:pPr>
  </w:style>
  <w:style w:type="character" w:customStyle="1" w:styleId="apple-converted-space">
    <w:name w:val="apple-converted-space"/>
    <w:basedOn w:val="Fuentedeprrafopredeter"/>
    <w:rsid w:val="003B31C2"/>
  </w:style>
  <w:style w:type="table" w:styleId="Tablaconcuadrcula">
    <w:name w:val="Table Grid"/>
    <w:basedOn w:val="Tablanormal"/>
    <w:uiPriority w:val="59"/>
    <w:rsid w:val="006B02FE"/>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103DF4"/>
    <w:pPr>
      <w:widowControl w:val="0"/>
      <w:tabs>
        <w:tab w:val="left" w:pos="426"/>
        <w:tab w:val="left" w:pos="1276"/>
        <w:tab w:val="right" w:pos="9394"/>
      </w:tabs>
      <w:jc w:val="both"/>
    </w:pPr>
    <w:rPr>
      <w:rFonts w:eastAsia="MS Mincho" w:cstheme="minorHAnsi"/>
      <w:b/>
      <w:bCs/>
      <w:noProof/>
    </w:rPr>
  </w:style>
  <w:style w:type="paragraph" w:styleId="TDC2">
    <w:name w:val="toc 2"/>
    <w:basedOn w:val="Normal"/>
    <w:next w:val="Normal"/>
    <w:autoRedefine/>
    <w:uiPriority w:val="39"/>
    <w:unhideWhenUsed/>
    <w:rsid w:val="0055118B"/>
    <w:pPr>
      <w:tabs>
        <w:tab w:val="left" w:pos="600"/>
        <w:tab w:val="right" w:pos="9394"/>
      </w:tabs>
      <w:spacing w:before="80" w:after="80"/>
      <w:ind w:left="198"/>
      <w:jc w:val="both"/>
    </w:pPr>
    <w:rPr>
      <w:rFonts w:eastAsia="MS Mincho" w:cstheme="minorHAnsi"/>
      <w:b/>
      <w:bCs/>
      <w:i/>
      <w:iCs/>
      <w:noProof/>
      <w:snapToGrid w:val="0"/>
      <w:lang w:eastAsia="es-ES"/>
    </w:rPr>
  </w:style>
  <w:style w:type="paragraph" w:styleId="TDC3">
    <w:name w:val="toc 3"/>
    <w:basedOn w:val="Normal"/>
    <w:next w:val="Normal"/>
    <w:autoRedefine/>
    <w:uiPriority w:val="39"/>
    <w:unhideWhenUsed/>
    <w:rsid w:val="00D41F3C"/>
    <w:pPr>
      <w:ind w:left="400"/>
    </w:pPr>
    <w:rPr>
      <w:rFonts w:asciiTheme="minorHAnsi" w:eastAsia="MS Mincho" w:hAnsiTheme="minorHAnsi" w:cstheme="minorHAnsi"/>
    </w:rPr>
  </w:style>
  <w:style w:type="paragraph" w:styleId="TDC4">
    <w:name w:val="toc 4"/>
    <w:basedOn w:val="Normal"/>
    <w:next w:val="Normal"/>
    <w:autoRedefine/>
    <w:uiPriority w:val="39"/>
    <w:unhideWhenUsed/>
    <w:rsid w:val="00D41F3C"/>
    <w:pPr>
      <w:ind w:left="600"/>
    </w:pPr>
    <w:rPr>
      <w:rFonts w:asciiTheme="minorHAnsi" w:eastAsia="MS Mincho" w:hAnsiTheme="minorHAnsi" w:cstheme="minorHAnsi"/>
    </w:rPr>
  </w:style>
  <w:style w:type="paragraph" w:styleId="TDC5">
    <w:name w:val="toc 5"/>
    <w:basedOn w:val="Normal"/>
    <w:next w:val="Normal"/>
    <w:autoRedefine/>
    <w:uiPriority w:val="39"/>
    <w:unhideWhenUsed/>
    <w:rsid w:val="00D41F3C"/>
    <w:pPr>
      <w:ind w:left="800"/>
    </w:pPr>
    <w:rPr>
      <w:rFonts w:asciiTheme="minorHAnsi" w:eastAsia="MS Mincho" w:hAnsiTheme="minorHAnsi" w:cstheme="minorHAnsi"/>
    </w:rPr>
  </w:style>
  <w:style w:type="paragraph" w:styleId="TDC6">
    <w:name w:val="toc 6"/>
    <w:basedOn w:val="Normal"/>
    <w:next w:val="Normal"/>
    <w:autoRedefine/>
    <w:uiPriority w:val="39"/>
    <w:unhideWhenUsed/>
    <w:rsid w:val="00D41F3C"/>
    <w:pPr>
      <w:ind w:left="1000"/>
    </w:pPr>
    <w:rPr>
      <w:rFonts w:asciiTheme="minorHAnsi" w:eastAsia="MS Mincho" w:hAnsiTheme="minorHAnsi" w:cstheme="minorHAnsi"/>
    </w:rPr>
  </w:style>
  <w:style w:type="paragraph" w:styleId="TDC7">
    <w:name w:val="toc 7"/>
    <w:basedOn w:val="Normal"/>
    <w:next w:val="Normal"/>
    <w:autoRedefine/>
    <w:uiPriority w:val="39"/>
    <w:unhideWhenUsed/>
    <w:rsid w:val="00D41F3C"/>
    <w:pPr>
      <w:ind w:left="1200"/>
    </w:pPr>
    <w:rPr>
      <w:rFonts w:asciiTheme="minorHAnsi" w:eastAsia="MS Mincho" w:hAnsiTheme="minorHAnsi" w:cstheme="minorHAnsi"/>
    </w:rPr>
  </w:style>
  <w:style w:type="paragraph" w:styleId="TDC8">
    <w:name w:val="toc 8"/>
    <w:basedOn w:val="Normal"/>
    <w:next w:val="Normal"/>
    <w:autoRedefine/>
    <w:uiPriority w:val="39"/>
    <w:unhideWhenUsed/>
    <w:rsid w:val="00D41F3C"/>
    <w:pPr>
      <w:ind w:left="1400"/>
    </w:pPr>
    <w:rPr>
      <w:rFonts w:asciiTheme="minorHAnsi" w:eastAsia="MS Mincho" w:hAnsiTheme="minorHAnsi" w:cstheme="minorHAnsi"/>
    </w:rPr>
  </w:style>
  <w:style w:type="paragraph" w:styleId="TDC9">
    <w:name w:val="toc 9"/>
    <w:basedOn w:val="Normal"/>
    <w:next w:val="Normal"/>
    <w:autoRedefine/>
    <w:uiPriority w:val="39"/>
    <w:unhideWhenUsed/>
    <w:rsid w:val="00D41F3C"/>
    <w:pPr>
      <w:ind w:left="1600"/>
    </w:pPr>
    <w:rPr>
      <w:rFonts w:asciiTheme="minorHAnsi" w:eastAsia="MS Mincho" w:hAnsiTheme="minorHAnsi" w:cstheme="minorHAnsi"/>
    </w:rPr>
  </w:style>
  <w:style w:type="paragraph" w:styleId="TtuloTDC">
    <w:name w:val="TOC Heading"/>
    <w:basedOn w:val="Ttulo1"/>
    <w:next w:val="Normal"/>
    <w:uiPriority w:val="39"/>
    <w:unhideWhenUsed/>
    <w:qFormat/>
    <w:rsid w:val="00D41F3C"/>
    <w:pPr>
      <w:spacing w:after="0" w:line="259" w:lineRule="auto"/>
      <w:contextualSpacing w:val="0"/>
      <w:jc w:val="left"/>
      <w:outlineLvl w:val="9"/>
    </w:pPr>
    <w:rPr>
      <w:rFonts w:asciiTheme="majorHAnsi" w:hAnsiTheme="majorHAnsi"/>
      <w:b w:val="0"/>
      <w:color w:val="2E74B5" w:themeColor="accent1" w:themeShade="BF"/>
      <w:sz w:val="32"/>
      <w:szCs w:val="32"/>
      <w:lang w:val="en-US"/>
    </w:rPr>
  </w:style>
  <w:style w:type="character" w:customStyle="1" w:styleId="NumberedparagraphsCar">
    <w:name w:val="Numbered paragraphs Car"/>
    <w:basedOn w:val="Fuentedeprrafopredeter"/>
    <w:link w:val="Numberedparagraphs"/>
    <w:rsid w:val="003B01D3"/>
    <w:rPr>
      <w:rFonts w:eastAsia="MS Mincho"/>
      <w:color w:val="000000"/>
      <w:lang w:val="es-ES_tradnl"/>
    </w:rPr>
  </w:style>
  <w:style w:type="paragraph" w:styleId="Subttulo">
    <w:name w:val="Subtitle"/>
    <w:basedOn w:val="Normal"/>
    <w:next w:val="Normal"/>
    <w:link w:val="SubttuloCar"/>
    <w:qFormat/>
    <w:rsid w:val="00837178"/>
    <w:pPr>
      <w:numPr>
        <w:ilvl w:val="1"/>
      </w:numPr>
      <w:jc w:val="center"/>
    </w:pPr>
    <w:rPr>
      <w:b/>
      <w:i/>
      <w:iCs/>
      <w:spacing w:val="15"/>
      <w:lang w:val="es-ES_tradnl"/>
    </w:rPr>
  </w:style>
  <w:style w:type="character" w:customStyle="1" w:styleId="SubttuloCar">
    <w:name w:val="Subtítulo Car"/>
    <w:basedOn w:val="Fuentedeprrafopredeter"/>
    <w:link w:val="Subttulo"/>
    <w:rsid w:val="00837178"/>
    <w:rPr>
      <w:rFonts w:ascii="Verdana" w:eastAsia="Times New Roman" w:hAnsi="Verdana" w:cs="Times New Roman"/>
      <w:b/>
      <w:i/>
      <w:iCs/>
      <w:spacing w:val="15"/>
      <w:sz w:val="20"/>
      <w:szCs w:val="24"/>
      <w:lang w:val="es-ES_tradnl"/>
    </w:rPr>
  </w:style>
  <w:style w:type="paragraph" w:customStyle="1" w:styleId="Footnotes">
    <w:name w:val="**. Footnotes"/>
    <w:basedOn w:val="Textonotapie"/>
    <w:link w:val="FootnotesChar"/>
    <w:qFormat/>
    <w:rsid w:val="00727A55"/>
    <w:pPr>
      <w:spacing w:before="0" w:after="0"/>
    </w:pPr>
    <w:rPr>
      <w:rFonts w:eastAsia="Times New Roman" w:cs="Palatino-Italic"/>
      <w:iCs/>
      <w:spacing w:val="-4"/>
      <w:lang w:val="es-ES" w:bidi="en-US"/>
    </w:rPr>
  </w:style>
  <w:style w:type="character" w:customStyle="1" w:styleId="FootnotesChar">
    <w:name w:val="**. Footnotes Char"/>
    <w:basedOn w:val="Fuentedeprrafopredeter"/>
    <w:link w:val="Footnotes"/>
    <w:rsid w:val="00727A55"/>
    <w:rPr>
      <w:rFonts w:ascii="Verdana" w:eastAsia="Times New Roman" w:hAnsi="Verdana" w:cs="Palatino-Italic"/>
      <w:iCs/>
      <w:spacing w:val="-4"/>
      <w:sz w:val="16"/>
      <w:szCs w:val="16"/>
      <w:lang w:val="es-ES" w:bidi="en-US"/>
    </w:rPr>
  </w:style>
  <w:style w:type="character" w:customStyle="1" w:styleId="uxksbf">
    <w:name w:val="uxksbf"/>
    <w:basedOn w:val="Fuentedeprrafopredeter"/>
    <w:rsid w:val="004D4904"/>
  </w:style>
  <w:style w:type="paragraph" w:customStyle="1" w:styleId="Default">
    <w:name w:val="Default"/>
    <w:rsid w:val="004D4904"/>
    <w:pPr>
      <w:autoSpaceDE w:val="0"/>
      <w:autoSpaceDN w:val="0"/>
      <w:adjustRightInd w:val="0"/>
      <w:spacing w:after="0" w:line="240" w:lineRule="auto"/>
    </w:pPr>
    <w:rPr>
      <w:rFonts w:cs="Verdana"/>
      <w:color w:val="000000"/>
      <w:sz w:val="24"/>
      <w:szCs w:val="24"/>
      <w:lang w:val="es-CR"/>
    </w:rPr>
  </w:style>
  <w:style w:type="paragraph" w:customStyle="1" w:styleId="id5">
    <w:name w:val="id5"/>
    <w:basedOn w:val="Normal"/>
    <w:rsid w:val="00BC5EA4"/>
    <w:pPr>
      <w:spacing w:before="100" w:beforeAutospacing="1" w:after="100" w:afterAutospacing="1"/>
    </w:pPr>
    <w:rPr>
      <w:lang w:eastAsia="es-CR"/>
    </w:rPr>
  </w:style>
  <w:style w:type="paragraph" w:customStyle="1" w:styleId="id6">
    <w:name w:val="id6"/>
    <w:basedOn w:val="Normal"/>
    <w:rsid w:val="00BC5EA4"/>
    <w:pPr>
      <w:spacing w:before="100" w:beforeAutospacing="1" w:after="100" w:afterAutospacing="1"/>
    </w:pPr>
    <w:rPr>
      <w:lang w:eastAsia="es-CR"/>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qFormat/>
    <w:rsid w:val="00EB4E44"/>
    <w:rPr>
      <w:rFonts w:ascii="Verdana" w:eastAsia="Batang" w:hAnsi="Verdana" w:cs="Times"/>
      <w:noProof/>
      <w:sz w:val="16"/>
      <w:szCs w:val="20"/>
      <w:lang w:val="es-ES_tradnl"/>
    </w:rPr>
  </w:style>
  <w:style w:type="paragraph" w:styleId="Textoindependiente">
    <w:name w:val="Body Text"/>
    <w:basedOn w:val="Normal"/>
    <w:link w:val="TextoindependienteCar"/>
    <w:rsid w:val="004F7704"/>
    <w:pPr>
      <w:widowControl w:val="0"/>
      <w:overflowPunct w:val="0"/>
      <w:autoSpaceDE w:val="0"/>
      <w:autoSpaceDN w:val="0"/>
      <w:adjustRightInd w:val="0"/>
      <w:jc w:val="both"/>
      <w:textAlignment w:val="baseline"/>
    </w:pPr>
    <w:rPr>
      <w:lang w:val="es-ES" w:eastAsia="es-ES"/>
    </w:rPr>
  </w:style>
  <w:style w:type="character" w:customStyle="1" w:styleId="TextoindependienteCar">
    <w:name w:val="Texto independiente Car"/>
    <w:basedOn w:val="Fuentedeprrafopredeter"/>
    <w:link w:val="Textoindependiente"/>
    <w:rsid w:val="004F7704"/>
    <w:rPr>
      <w:rFonts w:ascii="Times New Roman" w:eastAsia="Times New Roman" w:hAnsi="Times New Roman" w:cs="Times New Roman"/>
      <w:sz w:val="24"/>
      <w:szCs w:val="20"/>
      <w:lang w:val="es-ES" w:eastAsia="es-ES"/>
    </w:rPr>
  </w:style>
  <w:style w:type="character" w:styleId="nfasis">
    <w:name w:val="Emphasis"/>
    <w:basedOn w:val="Fuentedeprrafopredeter"/>
    <w:uiPriority w:val="20"/>
    <w:qFormat/>
    <w:rsid w:val="00B52283"/>
    <w:rPr>
      <w:i/>
      <w:iCs/>
    </w:rPr>
  </w:style>
  <w:style w:type="paragraph" w:customStyle="1" w:styleId="Estilo8">
    <w:name w:val="Estilo8"/>
    <w:basedOn w:val="PrrafodeSentencia"/>
    <w:link w:val="Estilo8Car"/>
    <w:qFormat/>
    <w:rsid w:val="00B04223"/>
    <w:pPr>
      <w:numPr>
        <w:numId w:val="0"/>
      </w:numPr>
      <w:tabs>
        <w:tab w:val="left" w:pos="851"/>
        <w:tab w:val="num" w:pos="1530"/>
      </w:tabs>
      <w:spacing w:before="120" w:after="120"/>
      <w:ind w:left="1530" w:hanging="180"/>
    </w:pPr>
    <w:rPr>
      <w:rFonts w:cs="Times New Roman"/>
      <w:szCs w:val="20"/>
      <w:lang w:val="es-ES_tradnl"/>
    </w:rPr>
  </w:style>
  <w:style w:type="character" w:customStyle="1" w:styleId="Estilo8Car">
    <w:name w:val="Estilo8 Car"/>
    <w:basedOn w:val="PrrafodeSentenciaChar"/>
    <w:link w:val="Estilo8"/>
    <w:rsid w:val="00B04223"/>
    <w:rPr>
      <w:rFonts w:ascii="Verdana" w:eastAsia="Batang" w:hAnsi="Verdana" w:cs="Times New Roman"/>
      <w:spacing w:val="-4"/>
      <w:sz w:val="20"/>
      <w:szCs w:val="20"/>
      <w:lang w:val="es-ES_tradnl" w:eastAsia="es-MX"/>
    </w:rPr>
  </w:style>
  <w:style w:type="character" w:customStyle="1" w:styleId="Smbolodenotaalpie">
    <w:name w:val="Símbolo de nota al pie"/>
    <w:rsid w:val="00537952"/>
    <w:rPr>
      <w:rFonts w:cs="Times New Roman"/>
      <w:szCs w:val="20"/>
      <w:vertAlign w:val="superscript"/>
    </w:rPr>
  </w:style>
  <w:style w:type="paragraph" w:styleId="Textoindependiente2">
    <w:name w:val="Body Text 2"/>
    <w:basedOn w:val="Normal"/>
    <w:link w:val="Textoindependiente2Car"/>
    <w:uiPriority w:val="99"/>
    <w:semiHidden/>
    <w:unhideWhenUsed/>
    <w:rsid w:val="002A01B5"/>
    <w:pPr>
      <w:spacing w:after="120" w:line="480" w:lineRule="auto"/>
    </w:pPr>
  </w:style>
  <w:style w:type="character" w:customStyle="1" w:styleId="Textoindependiente2Car">
    <w:name w:val="Texto independiente 2 Car"/>
    <w:basedOn w:val="Fuentedeprrafopredeter"/>
    <w:link w:val="Textoindependiente2"/>
    <w:uiPriority w:val="99"/>
    <w:semiHidden/>
    <w:rsid w:val="002A01B5"/>
    <w:rPr>
      <w:lang w:val="es-GT"/>
    </w:rPr>
  </w:style>
  <w:style w:type="character" w:customStyle="1" w:styleId="None">
    <w:name w:val="None"/>
    <w:rsid w:val="008920D4"/>
  </w:style>
  <w:style w:type="paragraph" w:styleId="Revisin">
    <w:name w:val="Revision"/>
    <w:hidden/>
    <w:uiPriority w:val="99"/>
    <w:semiHidden/>
    <w:rsid w:val="00103DF4"/>
    <w:pPr>
      <w:spacing w:after="0" w:line="240" w:lineRule="auto"/>
    </w:pPr>
    <w:rPr>
      <w:lang w:val="es-GT"/>
    </w:rPr>
  </w:style>
  <w:style w:type="paragraph" w:customStyle="1" w:styleId="gmail-msolistparagraph">
    <w:name w:val="gmail-msolistparagraph"/>
    <w:basedOn w:val="Normal"/>
    <w:rsid w:val="00E55EFC"/>
    <w:pPr>
      <w:spacing w:before="100" w:beforeAutospacing="1" w:after="100" w:afterAutospacing="1"/>
    </w:pPr>
    <w:rPr>
      <w:rFonts w:ascii="Times New Roman" w:hAnsi="Times New Roman"/>
      <w:sz w:val="24"/>
      <w:szCs w:val="24"/>
      <w:lang w:eastAsia="es-CR"/>
    </w:rPr>
  </w:style>
  <w:style w:type="character" w:customStyle="1" w:styleId="gmail-msofootnotereference">
    <w:name w:val="gmail-msofootnotereference"/>
    <w:basedOn w:val="Fuentedeprrafopredeter"/>
    <w:rsid w:val="00E55EFC"/>
  </w:style>
  <w:style w:type="character" w:customStyle="1" w:styleId="gmail-textonotapiecar">
    <w:name w:val="gmail-textonotapiecar"/>
    <w:basedOn w:val="Fuentedeprrafopredeter"/>
    <w:rsid w:val="00E55EFC"/>
  </w:style>
  <w:style w:type="paragraph" w:customStyle="1" w:styleId="gmail-msofootnotetext">
    <w:name w:val="gmail-msofootnotetext"/>
    <w:basedOn w:val="Normal"/>
    <w:rsid w:val="00E55EFC"/>
    <w:pPr>
      <w:spacing w:before="100" w:beforeAutospacing="1" w:after="100" w:afterAutospacing="1"/>
    </w:pPr>
    <w:rPr>
      <w:rFonts w:ascii="Times New Roman" w:hAnsi="Times New Roman"/>
      <w:sz w:val="24"/>
      <w:szCs w:val="24"/>
      <w:lang w:eastAsia="es-CR"/>
    </w:rPr>
  </w:style>
  <w:style w:type="character" w:styleId="Hipervnculovisitado">
    <w:name w:val="FollowedHyperlink"/>
    <w:basedOn w:val="Fuentedeprrafopredeter"/>
    <w:uiPriority w:val="99"/>
    <w:semiHidden/>
    <w:unhideWhenUsed/>
    <w:rsid w:val="00F23E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0362">
      <w:bodyDiv w:val="1"/>
      <w:marLeft w:val="0"/>
      <w:marRight w:val="0"/>
      <w:marTop w:val="0"/>
      <w:marBottom w:val="0"/>
      <w:divBdr>
        <w:top w:val="none" w:sz="0" w:space="0" w:color="auto"/>
        <w:left w:val="none" w:sz="0" w:space="0" w:color="auto"/>
        <w:bottom w:val="none" w:sz="0" w:space="0" w:color="auto"/>
        <w:right w:val="none" w:sz="0" w:space="0" w:color="auto"/>
      </w:divBdr>
    </w:div>
    <w:div w:id="112942648">
      <w:bodyDiv w:val="1"/>
      <w:marLeft w:val="0"/>
      <w:marRight w:val="0"/>
      <w:marTop w:val="0"/>
      <w:marBottom w:val="0"/>
      <w:divBdr>
        <w:top w:val="none" w:sz="0" w:space="0" w:color="auto"/>
        <w:left w:val="none" w:sz="0" w:space="0" w:color="auto"/>
        <w:bottom w:val="none" w:sz="0" w:space="0" w:color="auto"/>
        <w:right w:val="none" w:sz="0" w:space="0" w:color="auto"/>
      </w:divBdr>
    </w:div>
    <w:div w:id="115682777">
      <w:bodyDiv w:val="1"/>
      <w:marLeft w:val="0"/>
      <w:marRight w:val="0"/>
      <w:marTop w:val="0"/>
      <w:marBottom w:val="0"/>
      <w:divBdr>
        <w:top w:val="none" w:sz="0" w:space="0" w:color="auto"/>
        <w:left w:val="none" w:sz="0" w:space="0" w:color="auto"/>
        <w:bottom w:val="none" w:sz="0" w:space="0" w:color="auto"/>
        <w:right w:val="none" w:sz="0" w:space="0" w:color="auto"/>
      </w:divBdr>
    </w:div>
    <w:div w:id="173880937">
      <w:bodyDiv w:val="1"/>
      <w:marLeft w:val="0"/>
      <w:marRight w:val="0"/>
      <w:marTop w:val="0"/>
      <w:marBottom w:val="0"/>
      <w:divBdr>
        <w:top w:val="none" w:sz="0" w:space="0" w:color="auto"/>
        <w:left w:val="none" w:sz="0" w:space="0" w:color="auto"/>
        <w:bottom w:val="none" w:sz="0" w:space="0" w:color="auto"/>
        <w:right w:val="none" w:sz="0" w:space="0" w:color="auto"/>
      </w:divBdr>
    </w:div>
    <w:div w:id="244531717">
      <w:bodyDiv w:val="1"/>
      <w:marLeft w:val="0"/>
      <w:marRight w:val="0"/>
      <w:marTop w:val="0"/>
      <w:marBottom w:val="0"/>
      <w:divBdr>
        <w:top w:val="none" w:sz="0" w:space="0" w:color="auto"/>
        <w:left w:val="none" w:sz="0" w:space="0" w:color="auto"/>
        <w:bottom w:val="none" w:sz="0" w:space="0" w:color="auto"/>
        <w:right w:val="none" w:sz="0" w:space="0" w:color="auto"/>
      </w:divBdr>
      <w:divsChild>
        <w:div w:id="40447109">
          <w:marLeft w:val="0"/>
          <w:marRight w:val="0"/>
          <w:marTop w:val="0"/>
          <w:marBottom w:val="0"/>
          <w:divBdr>
            <w:top w:val="none" w:sz="0" w:space="0" w:color="auto"/>
            <w:left w:val="none" w:sz="0" w:space="0" w:color="auto"/>
            <w:bottom w:val="none" w:sz="0" w:space="0" w:color="auto"/>
            <w:right w:val="none" w:sz="0" w:space="0" w:color="auto"/>
          </w:divBdr>
        </w:div>
        <w:div w:id="171070482">
          <w:marLeft w:val="0"/>
          <w:marRight w:val="0"/>
          <w:marTop w:val="0"/>
          <w:marBottom w:val="0"/>
          <w:divBdr>
            <w:top w:val="none" w:sz="0" w:space="0" w:color="auto"/>
            <w:left w:val="none" w:sz="0" w:space="0" w:color="auto"/>
            <w:bottom w:val="none" w:sz="0" w:space="0" w:color="auto"/>
            <w:right w:val="none" w:sz="0" w:space="0" w:color="auto"/>
          </w:divBdr>
        </w:div>
        <w:div w:id="284390736">
          <w:marLeft w:val="0"/>
          <w:marRight w:val="0"/>
          <w:marTop w:val="0"/>
          <w:marBottom w:val="0"/>
          <w:divBdr>
            <w:top w:val="none" w:sz="0" w:space="0" w:color="auto"/>
            <w:left w:val="none" w:sz="0" w:space="0" w:color="auto"/>
            <w:bottom w:val="none" w:sz="0" w:space="0" w:color="auto"/>
            <w:right w:val="none" w:sz="0" w:space="0" w:color="auto"/>
          </w:divBdr>
        </w:div>
        <w:div w:id="336159764">
          <w:marLeft w:val="0"/>
          <w:marRight w:val="0"/>
          <w:marTop w:val="0"/>
          <w:marBottom w:val="0"/>
          <w:divBdr>
            <w:top w:val="none" w:sz="0" w:space="0" w:color="auto"/>
            <w:left w:val="none" w:sz="0" w:space="0" w:color="auto"/>
            <w:bottom w:val="none" w:sz="0" w:space="0" w:color="auto"/>
            <w:right w:val="none" w:sz="0" w:space="0" w:color="auto"/>
          </w:divBdr>
        </w:div>
        <w:div w:id="440147343">
          <w:marLeft w:val="0"/>
          <w:marRight w:val="0"/>
          <w:marTop w:val="0"/>
          <w:marBottom w:val="0"/>
          <w:divBdr>
            <w:top w:val="none" w:sz="0" w:space="0" w:color="auto"/>
            <w:left w:val="none" w:sz="0" w:space="0" w:color="auto"/>
            <w:bottom w:val="none" w:sz="0" w:space="0" w:color="auto"/>
            <w:right w:val="none" w:sz="0" w:space="0" w:color="auto"/>
          </w:divBdr>
        </w:div>
        <w:div w:id="670066081">
          <w:marLeft w:val="0"/>
          <w:marRight w:val="0"/>
          <w:marTop w:val="0"/>
          <w:marBottom w:val="0"/>
          <w:divBdr>
            <w:top w:val="none" w:sz="0" w:space="0" w:color="auto"/>
            <w:left w:val="none" w:sz="0" w:space="0" w:color="auto"/>
            <w:bottom w:val="none" w:sz="0" w:space="0" w:color="auto"/>
            <w:right w:val="none" w:sz="0" w:space="0" w:color="auto"/>
          </w:divBdr>
        </w:div>
        <w:div w:id="682977686">
          <w:marLeft w:val="0"/>
          <w:marRight w:val="0"/>
          <w:marTop w:val="0"/>
          <w:marBottom w:val="0"/>
          <w:divBdr>
            <w:top w:val="none" w:sz="0" w:space="0" w:color="auto"/>
            <w:left w:val="none" w:sz="0" w:space="0" w:color="auto"/>
            <w:bottom w:val="none" w:sz="0" w:space="0" w:color="auto"/>
            <w:right w:val="none" w:sz="0" w:space="0" w:color="auto"/>
          </w:divBdr>
        </w:div>
        <w:div w:id="953754452">
          <w:marLeft w:val="0"/>
          <w:marRight w:val="0"/>
          <w:marTop w:val="0"/>
          <w:marBottom w:val="0"/>
          <w:divBdr>
            <w:top w:val="none" w:sz="0" w:space="0" w:color="auto"/>
            <w:left w:val="none" w:sz="0" w:space="0" w:color="auto"/>
            <w:bottom w:val="none" w:sz="0" w:space="0" w:color="auto"/>
            <w:right w:val="none" w:sz="0" w:space="0" w:color="auto"/>
          </w:divBdr>
        </w:div>
        <w:div w:id="1095326340">
          <w:marLeft w:val="0"/>
          <w:marRight w:val="0"/>
          <w:marTop w:val="0"/>
          <w:marBottom w:val="0"/>
          <w:divBdr>
            <w:top w:val="none" w:sz="0" w:space="0" w:color="auto"/>
            <w:left w:val="none" w:sz="0" w:space="0" w:color="auto"/>
            <w:bottom w:val="none" w:sz="0" w:space="0" w:color="auto"/>
            <w:right w:val="none" w:sz="0" w:space="0" w:color="auto"/>
          </w:divBdr>
        </w:div>
        <w:div w:id="1278759121">
          <w:marLeft w:val="0"/>
          <w:marRight w:val="0"/>
          <w:marTop w:val="0"/>
          <w:marBottom w:val="0"/>
          <w:divBdr>
            <w:top w:val="none" w:sz="0" w:space="0" w:color="auto"/>
            <w:left w:val="none" w:sz="0" w:space="0" w:color="auto"/>
            <w:bottom w:val="none" w:sz="0" w:space="0" w:color="auto"/>
            <w:right w:val="none" w:sz="0" w:space="0" w:color="auto"/>
          </w:divBdr>
        </w:div>
        <w:div w:id="1705519804">
          <w:marLeft w:val="0"/>
          <w:marRight w:val="0"/>
          <w:marTop w:val="0"/>
          <w:marBottom w:val="0"/>
          <w:divBdr>
            <w:top w:val="none" w:sz="0" w:space="0" w:color="auto"/>
            <w:left w:val="none" w:sz="0" w:space="0" w:color="auto"/>
            <w:bottom w:val="none" w:sz="0" w:space="0" w:color="auto"/>
            <w:right w:val="none" w:sz="0" w:space="0" w:color="auto"/>
          </w:divBdr>
        </w:div>
        <w:div w:id="1737968864">
          <w:marLeft w:val="0"/>
          <w:marRight w:val="0"/>
          <w:marTop w:val="0"/>
          <w:marBottom w:val="0"/>
          <w:divBdr>
            <w:top w:val="none" w:sz="0" w:space="0" w:color="auto"/>
            <w:left w:val="none" w:sz="0" w:space="0" w:color="auto"/>
            <w:bottom w:val="none" w:sz="0" w:space="0" w:color="auto"/>
            <w:right w:val="none" w:sz="0" w:space="0" w:color="auto"/>
          </w:divBdr>
        </w:div>
        <w:div w:id="1747991109">
          <w:marLeft w:val="0"/>
          <w:marRight w:val="0"/>
          <w:marTop w:val="0"/>
          <w:marBottom w:val="0"/>
          <w:divBdr>
            <w:top w:val="none" w:sz="0" w:space="0" w:color="auto"/>
            <w:left w:val="none" w:sz="0" w:space="0" w:color="auto"/>
            <w:bottom w:val="none" w:sz="0" w:space="0" w:color="auto"/>
            <w:right w:val="none" w:sz="0" w:space="0" w:color="auto"/>
          </w:divBdr>
        </w:div>
        <w:div w:id="1792361808">
          <w:marLeft w:val="0"/>
          <w:marRight w:val="0"/>
          <w:marTop w:val="0"/>
          <w:marBottom w:val="0"/>
          <w:divBdr>
            <w:top w:val="none" w:sz="0" w:space="0" w:color="auto"/>
            <w:left w:val="none" w:sz="0" w:space="0" w:color="auto"/>
            <w:bottom w:val="none" w:sz="0" w:space="0" w:color="auto"/>
            <w:right w:val="none" w:sz="0" w:space="0" w:color="auto"/>
          </w:divBdr>
        </w:div>
        <w:div w:id="1938713324">
          <w:marLeft w:val="0"/>
          <w:marRight w:val="0"/>
          <w:marTop w:val="0"/>
          <w:marBottom w:val="0"/>
          <w:divBdr>
            <w:top w:val="none" w:sz="0" w:space="0" w:color="auto"/>
            <w:left w:val="none" w:sz="0" w:space="0" w:color="auto"/>
            <w:bottom w:val="none" w:sz="0" w:space="0" w:color="auto"/>
            <w:right w:val="none" w:sz="0" w:space="0" w:color="auto"/>
          </w:divBdr>
        </w:div>
        <w:div w:id="2045280044">
          <w:marLeft w:val="0"/>
          <w:marRight w:val="0"/>
          <w:marTop w:val="0"/>
          <w:marBottom w:val="0"/>
          <w:divBdr>
            <w:top w:val="none" w:sz="0" w:space="0" w:color="auto"/>
            <w:left w:val="none" w:sz="0" w:space="0" w:color="auto"/>
            <w:bottom w:val="none" w:sz="0" w:space="0" w:color="auto"/>
            <w:right w:val="none" w:sz="0" w:space="0" w:color="auto"/>
          </w:divBdr>
        </w:div>
        <w:div w:id="2062317142">
          <w:marLeft w:val="0"/>
          <w:marRight w:val="0"/>
          <w:marTop w:val="0"/>
          <w:marBottom w:val="0"/>
          <w:divBdr>
            <w:top w:val="none" w:sz="0" w:space="0" w:color="auto"/>
            <w:left w:val="none" w:sz="0" w:space="0" w:color="auto"/>
            <w:bottom w:val="none" w:sz="0" w:space="0" w:color="auto"/>
            <w:right w:val="none" w:sz="0" w:space="0" w:color="auto"/>
          </w:divBdr>
        </w:div>
        <w:div w:id="2094744525">
          <w:marLeft w:val="0"/>
          <w:marRight w:val="0"/>
          <w:marTop w:val="0"/>
          <w:marBottom w:val="0"/>
          <w:divBdr>
            <w:top w:val="none" w:sz="0" w:space="0" w:color="auto"/>
            <w:left w:val="none" w:sz="0" w:space="0" w:color="auto"/>
            <w:bottom w:val="none" w:sz="0" w:space="0" w:color="auto"/>
            <w:right w:val="none" w:sz="0" w:space="0" w:color="auto"/>
          </w:divBdr>
        </w:div>
        <w:div w:id="2108229429">
          <w:marLeft w:val="0"/>
          <w:marRight w:val="0"/>
          <w:marTop w:val="0"/>
          <w:marBottom w:val="0"/>
          <w:divBdr>
            <w:top w:val="none" w:sz="0" w:space="0" w:color="auto"/>
            <w:left w:val="none" w:sz="0" w:space="0" w:color="auto"/>
            <w:bottom w:val="none" w:sz="0" w:space="0" w:color="auto"/>
            <w:right w:val="none" w:sz="0" w:space="0" w:color="auto"/>
          </w:divBdr>
        </w:div>
      </w:divsChild>
    </w:div>
    <w:div w:id="261110462">
      <w:bodyDiv w:val="1"/>
      <w:marLeft w:val="0"/>
      <w:marRight w:val="0"/>
      <w:marTop w:val="0"/>
      <w:marBottom w:val="0"/>
      <w:divBdr>
        <w:top w:val="none" w:sz="0" w:space="0" w:color="auto"/>
        <w:left w:val="none" w:sz="0" w:space="0" w:color="auto"/>
        <w:bottom w:val="none" w:sz="0" w:space="0" w:color="auto"/>
        <w:right w:val="none" w:sz="0" w:space="0" w:color="auto"/>
      </w:divBdr>
    </w:div>
    <w:div w:id="304705324">
      <w:bodyDiv w:val="1"/>
      <w:marLeft w:val="0"/>
      <w:marRight w:val="0"/>
      <w:marTop w:val="0"/>
      <w:marBottom w:val="0"/>
      <w:divBdr>
        <w:top w:val="none" w:sz="0" w:space="0" w:color="auto"/>
        <w:left w:val="none" w:sz="0" w:space="0" w:color="auto"/>
        <w:bottom w:val="none" w:sz="0" w:space="0" w:color="auto"/>
        <w:right w:val="none" w:sz="0" w:space="0" w:color="auto"/>
      </w:divBdr>
    </w:div>
    <w:div w:id="358169144">
      <w:bodyDiv w:val="1"/>
      <w:marLeft w:val="0"/>
      <w:marRight w:val="0"/>
      <w:marTop w:val="0"/>
      <w:marBottom w:val="0"/>
      <w:divBdr>
        <w:top w:val="none" w:sz="0" w:space="0" w:color="auto"/>
        <w:left w:val="none" w:sz="0" w:space="0" w:color="auto"/>
        <w:bottom w:val="none" w:sz="0" w:space="0" w:color="auto"/>
        <w:right w:val="none" w:sz="0" w:space="0" w:color="auto"/>
      </w:divBdr>
    </w:div>
    <w:div w:id="373429455">
      <w:bodyDiv w:val="1"/>
      <w:marLeft w:val="0"/>
      <w:marRight w:val="0"/>
      <w:marTop w:val="0"/>
      <w:marBottom w:val="0"/>
      <w:divBdr>
        <w:top w:val="none" w:sz="0" w:space="0" w:color="auto"/>
        <w:left w:val="none" w:sz="0" w:space="0" w:color="auto"/>
        <w:bottom w:val="none" w:sz="0" w:space="0" w:color="auto"/>
        <w:right w:val="none" w:sz="0" w:space="0" w:color="auto"/>
      </w:divBdr>
    </w:div>
    <w:div w:id="407921682">
      <w:bodyDiv w:val="1"/>
      <w:marLeft w:val="0"/>
      <w:marRight w:val="0"/>
      <w:marTop w:val="0"/>
      <w:marBottom w:val="0"/>
      <w:divBdr>
        <w:top w:val="none" w:sz="0" w:space="0" w:color="auto"/>
        <w:left w:val="none" w:sz="0" w:space="0" w:color="auto"/>
        <w:bottom w:val="none" w:sz="0" w:space="0" w:color="auto"/>
        <w:right w:val="none" w:sz="0" w:space="0" w:color="auto"/>
      </w:divBdr>
    </w:div>
    <w:div w:id="514807850">
      <w:bodyDiv w:val="1"/>
      <w:marLeft w:val="0"/>
      <w:marRight w:val="0"/>
      <w:marTop w:val="0"/>
      <w:marBottom w:val="0"/>
      <w:divBdr>
        <w:top w:val="none" w:sz="0" w:space="0" w:color="auto"/>
        <w:left w:val="none" w:sz="0" w:space="0" w:color="auto"/>
        <w:bottom w:val="none" w:sz="0" w:space="0" w:color="auto"/>
        <w:right w:val="none" w:sz="0" w:space="0" w:color="auto"/>
      </w:divBdr>
    </w:div>
    <w:div w:id="544566569">
      <w:bodyDiv w:val="1"/>
      <w:marLeft w:val="0"/>
      <w:marRight w:val="0"/>
      <w:marTop w:val="0"/>
      <w:marBottom w:val="0"/>
      <w:divBdr>
        <w:top w:val="none" w:sz="0" w:space="0" w:color="auto"/>
        <w:left w:val="none" w:sz="0" w:space="0" w:color="auto"/>
        <w:bottom w:val="none" w:sz="0" w:space="0" w:color="auto"/>
        <w:right w:val="none" w:sz="0" w:space="0" w:color="auto"/>
      </w:divBdr>
      <w:divsChild>
        <w:div w:id="391971531">
          <w:marLeft w:val="-225"/>
          <w:marRight w:val="-225"/>
          <w:marTop w:val="45"/>
          <w:marBottom w:val="45"/>
          <w:divBdr>
            <w:top w:val="none" w:sz="0" w:space="0" w:color="auto"/>
            <w:left w:val="none" w:sz="0" w:space="0" w:color="auto"/>
            <w:bottom w:val="none" w:sz="0" w:space="0" w:color="auto"/>
            <w:right w:val="none" w:sz="0" w:space="0" w:color="auto"/>
          </w:divBdr>
          <w:divsChild>
            <w:div w:id="984041454">
              <w:marLeft w:val="0"/>
              <w:marRight w:val="0"/>
              <w:marTop w:val="45"/>
              <w:marBottom w:val="45"/>
              <w:divBdr>
                <w:top w:val="none" w:sz="0" w:space="0" w:color="auto"/>
                <w:left w:val="none" w:sz="0" w:space="0" w:color="auto"/>
                <w:bottom w:val="none" w:sz="0" w:space="0" w:color="auto"/>
                <w:right w:val="none" w:sz="0" w:space="0" w:color="auto"/>
              </w:divBdr>
            </w:div>
          </w:divsChild>
        </w:div>
        <w:div w:id="629745763">
          <w:marLeft w:val="-225"/>
          <w:marRight w:val="-225"/>
          <w:marTop w:val="45"/>
          <w:marBottom w:val="45"/>
          <w:divBdr>
            <w:top w:val="none" w:sz="0" w:space="0" w:color="auto"/>
            <w:left w:val="none" w:sz="0" w:space="0" w:color="auto"/>
            <w:bottom w:val="none" w:sz="0" w:space="0" w:color="auto"/>
            <w:right w:val="none" w:sz="0" w:space="0" w:color="auto"/>
          </w:divBdr>
        </w:div>
        <w:div w:id="1041789050">
          <w:marLeft w:val="-225"/>
          <w:marRight w:val="-225"/>
          <w:marTop w:val="45"/>
          <w:marBottom w:val="45"/>
          <w:divBdr>
            <w:top w:val="none" w:sz="0" w:space="0" w:color="auto"/>
            <w:left w:val="none" w:sz="0" w:space="0" w:color="auto"/>
            <w:bottom w:val="none" w:sz="0" w:space="0" w:color="auto"/>
            <w:right w:val="none" w:sz="0" w:space="0" w:color="auto"/>
          </w:divBdr>
          <w:divsChild>
            <w:div w:id="972490017">
              <w:marLeft w:val="0"/>
              <w:marRight w:val="0"/>
              <w:marTop w:val="45"/>
              <w:marBottom w:val="45"/>
              <w:divBdr>
                <w:top w:val="none" w:sz="0" w:space="0" w:color="auto"/>
                <w:left w:val="none" w:sz="0" w:space="0" w:color="auto"/>
                <w:bottom w:val="none" w:sz="0" w:space="0" w:color="auto"/>
                <w:right w:val="none" w:sz="0" w:space="0" w:color="auto"/>
              </w:divBdr>
              <w:divsChild>
                <w:div w:id="1730302923">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sChild>
    </w:div>
    <w:div w:id="619150124">
      <w:bodyDiv w:val="1"/>
      <w:marLeft w:val="0"/>
      <w:marRight w:val="0"/>
      <w:marTop w:val="0"/>
      <w:marBottom w:val="0"/>
      <w:divBdr>
        <w:top w:val="none" w:sz="0" w:space="0" w:color="auto"/>
        <w:left w:val="none" w:sz="0" w:space="0" w:color="auto"/>
        <w:bottom w:val="none" w:sz="0" w:space="0" w:color="auto"/>
        <w:right w:val="none" w:sz="0" w:space="0" w:color="auto"/>
      </w:divBdr>
      <w:divsChild>
        <w:div w:id="501240996">
          <w:marLeft w:val="-225"/>
          <w:marRight w:val="-225"/>
          <w:marTop w:val="45"/>
          <w:marBottom w:val="45"/>
          <w:divBdr>
            <w:top w:val="none" w:sz="0" w:space="0" w:color="auto"/>
            <w:left w:val="none" w:sz="0" w:space="0" w:color="auto"/>
            <w:bottom w:val="none" w:sz="0" w:space="0" w:color="auto"/>
            <w:right w:val="none" w:sz="0" w:space="0" w:color="auto"/>
          </w:divBdr>
          <w:divsChild>
            <w:div w:id="1863324147">
              <w:marLeft w:val="0"/>
              <w:marRight w:val="0"/>
              <w:marTop w:val="45"/>
              <w:marBottom w:val="45"/>
              <w:divBdr>
                <w:top w:val="none" w:sz="0" w:space="0" w:color="auto"/>
                <w:left w:val="none" w:sz="0" w:space="0" w:color="auto"/>
                <w:bottom w:val="none" w:sz="0" w:space="0" w:color="auto"/>
                <w:right w:val="none" w:sz="0" w:space="0" w:color="auto"/>
              </w:divBdr>
            </w:div>
          </w:divsChild>
        </w:div>
        <w:div w:id="1023094318">
          <w:marLeft w:val="-225"/>
          <w:marRight w:val="-225"/>
          <w:marTop w:val="45"/>
          <w:marBottom w:val="45"/>
          <w:divBdr>
            <w:top w:val="none" w:sz="0" w:space="0" w:color="auto"/>
            <w:left w:val="none" w:sz="0" w:space="0" w:color="auto"/>
            <w:bottom w:val="none" w:sz="0" w:space="0" w:color="auto"/>
            <w:right w:val="none" w:sz="0" w:space="0" w:color="auto"/>
          </w:divBdr>
        </w:div>
        <w:div w:id="1447238398">
          <w:marLeft w:val="-225"/>
          <w:marRight w:val="-225"/>
          <w:marTop w:val="45"/>
          <w:marBottom w:val="45"/>
          <w:divBdr>
            <w:top w:val="none" w:sz="0" w:space="0" w:color="auto"/>
            <w:left w:val="none" w:sz="0" w:space="0" w:color="auto"/>
            <w:bottom w:val="none" w:sz="0" w:space="0" w:color="auto"/>
            <w:right w:val="none" w:sz="0" w:space="0" w:color="auto"/>
          </w:divBdr>
          <w:divsChild>
            <w:div w:id="492137889">
              <w:marLeft w:val="0"/>
              <w:marRight w:val="0"/>
              <w:marTop w:val="45"/>
              <w:marBottom w:val="45"/>
              <w:divBdr>
                <w:top w:val="none" w:sz="0" w:space="0" w:color="auto"/>
                <w:left w:val="none" w:sz="0" w:space="0" w:color="auto"/>
                <w:bottom w:val="none" w:sz="0" w:space="0" w:color="auto"/>
                <w:right w:val="none" w:sz="0" w:space="0" w:color="auto"/>
              </w:divBdr>
              <w:divsChild>
                <w:div w:id="1119496952">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sChild>
    </w:div>
    <w:div w:id="658466493">
      <w:bodyDiv w:val="1"/>
      <w:marLeft w:val="0"/>
      <w:marRight w:val="0"/>
      <w:marTop w:val="0"/>
      <w:marBottom w:val="0"/>
      <w:divBdr>
        <w:top w:val="none" w:sz="0" w:space="0" w:color="auto"/>
        <w:left w:val="none" w:sz="0" w:space="0" w:color="auto"/>
        <w:bottom w:val="none" w:sz="0" w:space="0" w:color="auto"/>
        <w:right w:val="none" w:sz="0" w:space="0" w:color="auto"/>
      </w:divBdr>
      <w:divsChild>
        <w:div w:id="669285737">
          <w:marLeft w:val="-225"/>
          <w:marRight w:val="-225"/>
          <w:marTop w:val="45"/>
          <w:marBottom w:val="45"/>
          <w:divBdr>
            <w:top w:val="none" w:sz="0" w:space="0" w:color="auto"/>
            <w:left w:val="none" w:sz="0" w:space="0" w:color="auto"/>
            <w:bottom w:val="none" w:sz="0" w:space="0" w:color="auto"/>
            <w:right w:val="none" w:sz="0" w:space="0" w:color="auto"/>
          </w:divBdr>
          <w:divsChild>
            <w:div w:id="651063388">
              <w:marLeft w:val="0"/>
              <w:marRight w:val="0"/>
              <w:marTop w:val="45"/>
              <w:marBottom w:val="45"/>
              <w:divBdr>
                <w:top w:val="none" w:sz="0" w:space="0" w:color="auto"/>
                <w:left w:val="none" w:sz="0" w:space="0" w:color="auto"/>
                <w:bottom w:val="none" w:sz="0" w:space="0" w:color="auto"/>
                <w:right w:val="none" w:sz="0" w:space="0" w:color="auto"/>
              </w:divBdr>
            </w:div>
          </w:divsChild>
        </w:div>
        <w:div w:id="1641111049">
          <w:marLeft w:val="-225"/>
          <w:marRight w:val="-225"/>
          <w:marTop w:val="45"/>
          <w:marBottom w:val="45"/>
          <w:divBdr>
            <w:top w:val="none" w:sz="0" w:space="0" w:color="auto"/>
            <w:left w:val="none" w:sz="0" w:space="0" w:color="auto"/>
            <w:bottom w:val="none" w:sz="0" w:space="0" w:color="auto"/>
            <w:right w:val="none" w:sz="0" w:space="0" w:color="auto"/>
          </w:divBdr>
        </w:div>
        <w:div w:id="1627156692">
          <w:marLeft w:val="-225"/>
          <w:marRight w:val="-225"/>
          <w:marTop w:val="45"/>
          <w:marBottom w:val="45"/>
          <w:divBdr>
            <w:top w:val="none" w:sz="0" w:space="0" w:color="auto"/>
            <w:left w:val="none" w:sz="0" w:space="0" w:color="auto"/>
            <w:bottom w:val="none" w:sz="0" w:space="0" w:color="auto"/>
            <w:right w:val="none" w:sz="0" w:space="0" w:color="auto"/>
          </w:divBdr>
          <w:divsChild>
            <w:div w:id="1373575042">
              <w:marLeft w:val="0"/>
              <w:marRight w:val="0"/>
              <w:marTop w:val="45"/>
              <w:marBottom w:val="45"/>
              <w:divBdr>
                <w:top w:val="none" w:sz="0" w:space="0" w:color="auto"/>
                <w:left w:val="none" w:sz="0" w:space="0" w:color="auto"/>
                <w:bottom w:val="none" w:sz="0" w:space="0" w:color="auto"/>
                <w:right w:val="none" w:sz="0" w:space="0" w:color="auto"/>
              </w:divBdr>
              <w:divsChild>
                <w:div w:id="765921843">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sChild>
    </w:div>
    <w:div w:id="663512677">
      <w:bodyDiv w:val="1"/>
      <w:marLeft w:val="0"/>
      <w:marRight w:val="0"/>
      <w:marTop w:val="0"/>
      <w:marBottom w:val="0"/>
      <w:divBdr>
        <w:top w:val="none" w:sz="0" w:space="0" w:color="auto"/>
        <w:left w:val="none" w:sz="0" w:space="0" w:color="auto"/>
        <w:bottom w:val="none" w:sz="0" w:space="0" w:color="auto"/>
        <w:right w:val="none" w:sz="0" w:space="0" w:color="auto"/>
      </w:divBdr>
    </w:div>
    <w:div w:id="693461843">
      <w:bodyDiv w:val="1"/>
      <w:marLeft w:val="0"/>
      <w:marRight w:val="0"/>
      <w:marTop w:val="0"/>
      <w:marBottom w:val="0"/>
      <w:divBdr>
        <w:top w:val="none" w:sz="0" w:space="0" w:color="auto"/>
        <w:left w:val="none" w:sz="0" w:space="0" w:color="auto"/>
        <w:bottom w:val="none" w:sz="0" w:space="0" w:color="auto"/>
        <w:right w:val="none" w:sz="0" w:space="0" w:color="auto"/>
      </w:divBdr>
      <w:divsChild>
        <w:div w:id="908885123">
          <w:marLeft w:val="0"/>
          <w:marRight w:val="0"/>
          <w:marTop w:val="0"/>
          <w:marBottom w:val="0"/>
          <w:divBdr>
            <w:top w:val="none" w:sz="0" w:space="0" w:color="auto"/>
            <w:left w:val="none" w:sz="0" w:space="0" w:color="auto"/>
            <w:bottom w:val="none" w:sz="0" w:space="0" w:color="auto"/>
            <w:right w:val="none" w:sz="0" w:space="0" w:color="auto"/>
          </w:divBdr>
        </w:div>
        <w:div w:id="1423137666">
          <w:marLeft w:val="0"/>
          <w:marRight w:val="0"/>
          <w:marTop w:val="0"/>
          <w:marBottom w:val="0"/>
          <w:divBdr>
            <w:top w:val="none" w:sz="0" w:space="0" w:color="auto"/>
            <w:left w:val="none" w:sz="0" w:space="0" w:color="auto"/>
            <w:bottom w:val="none" w:sz="0" w:space="0" w:color="auto"/>
            <w:right w:val="none" w:sz="0" w:space="0" w:color="auto"/>
          </w:divBdr>
        </w:div>
        <w:div w:id="1449467704">
          <w:marLeft w:val="0"/>
          <w:marRight w:val="0"/>
          <w:marTop w:val="0"/>
          <w:marBottom w:val="0"/>
          <w:divBdr>
            <w:top w:val="none" w:sz="0" w:space="0" w:color="auto"/>
            <w:left w:val="none" w:sz="0" w:space="0" w:color="auto"/>
            <w:bottom w:val="none" w:sz="0" w:space="0" w:color="auto"/>
            <w:right w:val="none" w:sz="0" w:space="0" w:color="auto"/>
          </w:divBdr>
        </w:div>
        <w:div w:id="1525703766">
          <w:marLeft w:val="0"/>
          <w:marRight w:val="0"/>
          <w:marTop w:val="0"/>
          <w:marBottom w:val="0"/>
          <w:divBdr>
            <w:top w:val="none" w:sz="0" w:space="0" w:color="auto"/>
            <w:left w:val="none" w:sz="0" w:space="0" w:color="auto"/>
            <w:bottom w:val="none" w:sz="0" w:space="0" w:color="auto"/>
            <w:right w:val="none" w:sz="0" w:space="0" w:color="auto"/>
          </w:divBdr>
        </w:div>
        <w:div w:id="1799764745">
          <w:marLeft w:val="0"/>
          <w:marRight w:val="0"/>
          <w:marTop w:val="0"/>
          <w:marBottom w:val="0"/>
          <w:divBdr>
            <w:top w:val="none" w:sz="0" w:space="0" w:color="auto"/>
            <w:left w:val="none" w:sz="0" w:space="0" w:color="auto"/>
            <w:bottom w:val="none" w:sz="0" w:space="0" w:color="auto"/>
            <w:right w:val="none" w:sz="0" w:space="0" w:color="auto"/>
          </w:divBdr>
        </w:div>
      </w:divsChild>
    </w:div>
    <w:div w:id="708337216">
      <w:bodyDiv w:val="1"/>
      <w:marLeft w:val="0"/>
      <w:marRight w:val="0"/>
      <w:marTop w:val="0"/>
      <w:marBottom w:val="0"/>
      <w:divBdr>
        <w:top w:val="none" w:sz="0" w:space="0" w:color="auto"/>
        <w:left w:val="none" w:sz="0" w:space="0" w:color="auto"/>
        <w:bottom w:val="none" w:sz="0" w:space="0" w:color="auto"/>
        <w:right w:val="none" w:sz="0" w:space="0" w:color="auto"/>
      </w:divBdr>
    </w:div>
    <w:div w:id="741374921">
      <w:bodyDiv w:val="1"/>
      <w:marLeft w:val="0"/>
      <w:marRight w:val="0"/>
      <w:marTop w:val="0"/>
      <w:marBottom w:val="0"/>
      <w:divBdr>
        <w:top w:val="none" w:sz="0" w:space="0" w:color="auto"/>
        <w:left w:val="none" w:sz="0" w:space="0" w:color="auto"/>
        <w:bottom w:val="none" w:sz="0" w:space="0" w:color="auto"/>
        <w:right w:val="none" w:sz="0" w:space="0" w:color="auto"/>
      </w:divBdr>
      <w:divsChild>
        <w:div w:id="857699014">
          <w:marLeft w:val="-225"/>
          <w:marRight w:val="-225"/>
          <w:marTop w:val="45"/>
          <w:marBottom w:val="45"/>
          <w:divBdr>
            <w:top w:val="none" w:sz="0" w:space="0" w:color="auto"/>
            <w:left w:val="none" w:sz="0" w:space="0" w:color="auto"/>
            <w:bottom w:val="none" w:sz="0" w:space="0" w:color="auto"/>
            <w:right w:val="none" w:sz="0" w:space="0" w:color="auto"/>
          </w:divBdr>
        </w:div>
        <w:div w:id="936907498">
          <w:marLeft w:val="-225"/>
          <w:marRight w:val="-225"/>
          <w:marTop w:val="45"/>
          <w:marBottom w:val="45"/>
          <w:divBdr>
            <w:top w:val="none" w:sz="0" w:space="0" w:color="auto"/>
            <w:left w:val="none" w:sz="0" w:space="0" w:color="auto"/>
            <w:bottom w:val="none" w:sz="0" w:space="0" w:color="auto"/>
            <w:right w:val="none" w:sz="0" w:space="0" w:color="auto"/>
          </w:divBdr>
          <w:divsChild>
            <w:div w:id="772943009">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778259635">
      <w:bodyDiv w:val="1"/>
      <w:marLeft w:val="0"/>
      <w:marRight w:val="0"/>
      <w:marTop w:val="0"/>
      <w:marBottom w:val="0"/>
      <w:divBdr>
        <w:top w:val="none" w:sz="0" w:space="0" w:color="auto"/>
        <w:left w:val="none" w:sz="0" w:space="0" w:color="auto"/>
        <w:bottom w:val="none" w:sz="0" w:space="0" w:color="auto"/>
        <w:right w:val="none" w:sz="0" w:space="0" w:color="auto"/>
      </w:divBdr>
      <w:divsChild>
        <w:div w:id="170683553">
          <w:marLeft w:val="-225"/>
          <w:marRight w:val="-225"/>
          <w:marTop w:val="45"/>
          <w:marBottom w:val="45"/>
          <w:divBdr>
            <w:top w:val="none" w:sz="0" w:space="0" w:color="auto"/>
            <w:left w:val="none" w:sz="0" w:space="0" w:color="auto"/>
            <w:bottom w:val="none" w:sz="0" w:space="0" w:color="auto"/>
            <w:right w:val="none" w:sz="0" w:space="0" w:color="auto"/>
          </w:divBdr>
          <w:divsChild>
            <w:div w:id="193882620">
              <w:marLeft w:val="0"/>
              <w:marRight w:val="0"/>
              <w:marTop w:val="45"/>
              <w:marBottom w:val="45"/>
              <w:divBdr>
                <w:top w:val="none" w:sz="0" w:space="0" w:color="auto"/>
                <w:left w:val="none" w:sz="0" w:space="0" w:color="auto"/>
                <w:bottom w:val="none" w:sz="0" w:space="0" w:color="auto"/>
                <w:right w:val="none" w:sz="0" w:space="0" w:color="auto"/>
              </w:divBdr>
            </w:div>
          </w:divsChild>
        </w:div>
        <w:div w:id="1257709821">
          <w:marLeft w:val="-225"/>
          <w:marRight w:val="-225"/>
          <w:marTop w:val="45"/>
          <w:marBottom w:val="45"/>
          <w:divBdr>
            <w:top w:val="none" w:sz="0" w:space="0" w:color="auto"/>
            <w:left w:val="none" w:sz="0" w:space="0" w:color="auto"/>
            <w:bottom w:val="none" w:sz="0" w:space="0" w:color="auto"/>
            <w:right w:val="none" w:sz="0" w:space="0" w:color="auto"/>
          </w:divBdr>
          <w:divsChild>
            <w:div w:id="1210411284">
              <w:marLeft w:val="0"/>
              <w:marRight w:val="0"/>
              <w:marTop w:val="45"/>
              <w:marBottom w:val="45"/>
              <w:divBdr>
                <w:top w:val="none" w:sz="0" w:space="0" w:color="auto"/>
                <w:left w:val="none" w:sz="0" w:space="0" w:color="auto"/>
                <w:bottom w:val="none" w:sz="0" w:space="0" w:color="auto"/>
                <w:right w:val="none" w:sz="0" w:space="0" w:color="auto"/>
              </w:divBdr>
              <w:divsChild>
                <w:div w:id="291446147">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2054570269">
          <w:marLeft w:val="-225"/>
          <w:marRight w:val="-225"/>
          <w:marTop w:val="45"/>
          <w:marBottom w:val="45"/>
          <w:divBdr>
            <w:top w:val="none" w:sz="0" w:space="0" w:color="auto"/>
            <w:left w:val="none" w:sz="0" w:space="0" w:color="auto"/>
            <w:bottom w:val="none" w:sz="0" w:space="0" w:color="auto"/>
            <w:right w:val="none" w:sz="0" w:space="0" w:color="auto"/>
          </w:divBdr>
        </w:div>
      </w:divsChild>
    </w:div>
    <w:div w:id="819619159">
      <w:bodyDiv w:val="1"/>
      <w:marLeft w:val="0"/>
      <w:marRight w:val="0"/>
      <w:marTop w:val="0"/>
      <w:marBottom w:val="0"/>
      <w:divBdr>
        <w:top w:val="none" w:sz="0" w:space="0" w:color="auto"/>
        <w:left w:val="none" w:sz="0" w:space="0" w:color="auto"/>
        <w:bottom w:val="none" w:sz="0" w:space="0" w:color="auto"/>
        <w:right w:val="none" w:sz="0" w:space="0" w:color="auto"/>
      </w:divBdr>
    </w:div>
    <w:div w:id="857082622">
      <w:bodyDiv w:val="1"/>
      <w:marLeft w:val="0"/>
      <w:marRight w:val="0"/>
      <w:marTop w:val="0"/>
      <w:marBottom w:val="0"/>
      <w:divBdr>
        <w:top w:val="none" w:sz="0" w:space="0" w:color="auto"/>
        <w:left w:val="none" w:sz="0" w:space="0" w:color="auto"/>
        <w:bottom w:val="none" w:sz="0" w:space="0" w:color="auto"/>
        <w:right w:val="none" w:sz="0" w:space="0" w:color="auto"/>
      </w:divBdr>
    </w:div>
    <w:div w:id="876700979">
      <w:bodyDiv w:val="1"/>
      <w:marLeft w:val="0"/>
      <w:marRight w:val="0"/>
      <w:marTop w:val="0"/>
      <w:marBottom w:val="0"/>
      <w:divBdr>
        <w:top w:val="none" w:sz="0" w:space="0" w:color="auto"/>
        <w:left w:val="none" w:sz="0" w:space="0" w:color="auto"/>
        <w:bottom w:val="none" w:sz="0" w:space="0" w:color="auto"/>
        <w:right w:val="none" w:sz="0" w:space="0" w:color="auto"/>
      </w:divBdr>
    </w:div>
    <w:div w:id="884021621">
      <w:bodyDiv w:val="1"/>
      <w:marLeft w:val="0"/>
      <w:marRight w:val="0"/>
      <w:marTop w:val="0"/>
      <w:marBottom w:val="0"/>
      <w:divBdr>
        <w:top w:val="none" w:sz="0" w:space="0" w:color="auto"/>
        <w:left w:val="none" w:sz="0" w:space="0" w:color="auto"/>
        <w:bottom w:val="none" w:sz="0" w:space="0" w:color="auto"/>
        <w:right w:val="none" w:sz="0" w:space="0" w:color="auto"/>
      </w:divBdr>
    </w:div>
    <w:div w:id="886331438">
      <w:bodyDiv w:val="1"/>
      <w:marLeft w:val="0"/>
      <w:marRight w:val="0"/>
      <w:marTop w:val="0"/>
      <w:marBottom w:val="0"/>
      <w:divBdr>
        <w:top w:val="none" w:sz="0" w:space="0" w:color="auto"/>
        <w:left w:val="none" w:sz="0" w:space="0" w:color="auto"/>
        <w:bottom w:val="none" w:sz="0" w:space="0" w:color="auto"/>
        <w:right w:val="none" w:sz="0" w:space="0" w:color="auto"/>
      </w:divBdr>
    </w:div>
    <w:div w:id="888151922">
      <w:bodyDiv w:val="1"/>
      <w:marLeft w:val="0"/>
      <w:marRight w:val="0"/>
      <w:marTop w:val="0"/>
      <w:marBottom w:val="0"/>
      <w:divBdr>
        <w:top w:val="none" w:sz="0" w:space="0" w:color="auto"/>
        <w:left w:val="none" w:sz="0" w:space="0" w:color="auto"/>
        <w:bottom w:val="none" w:sz="0" w:space="0" w:color="auto"/>
        <w:right w:val="none" w:sz="0" w:space="0" w:color="auto"/>
      </w:divBdr>
    </w:div>
    <w:div w:id="991248864">
      <w:bodyDiv w:val="1"/>
      <w:marLeft w:val="0"/>
      <w:marRight w:val="0"/>
      <w:marTop w:val="0"/>
      <w:marBottom w:val="0"/>
      <w:divBdr>
        <w:top w:val="none" w:sz="0" w:space="0" w:color="auto"/>
        <w:left w:val="none" w:sz="0" w:space="0" w:color="auto"/>
        <w:bottom w:val="none" w:sz="0" w:space="0" w:color="auto"/>
        <w:right w:val="none" w:sz="0" w:space="0" w:color="auto"/>
      </w:divBdr>
    </w:div>
    <w:div w:id="1035698038">
      <w:bodyDiv w:val="1"/>
      <w:marLeft w:val="0"/>
      <w:marRight w:val="0"/>
      <w:marTop w:val="0"/>
      <w:marBottom w:val="0"/>
      <w:divBdr>
        <w:top w:val="none" w:sz="0" w:space="0" w:color="auto"/>
        <w:left w:val="none" w:sz="0" w:space="0" w:color="auto"/>
        <w:bottom w:val="none" w:sz="0" w:space="0" w:color="auto"/>
        <w:right w:val="none" w:sz="0" w:space="0" w:color="auto"/>
      </w:divBdr>
    </w:div>
    <w:div w:id="1065226071">
      <w:bodyDiv w:val="1"/>
      <w:marLeft w:val="0"/>
      <w:marRight w:val="0"/>
      <w:marTop w:val="0"/>
      <w:marBottom w:val="0"/>
      <w:divBdr>
        <w:top w:val="none" w:sz="0" w:space="0" w:color="auto"/>
        <w:left w:val="none" w:sz="0" w:space="0" w:color="auto"/>
        <w:bottom w:val="none" w:sz="0" w:space="0" w:color="auto"/>
        <w:right w:val="none" w:sz="0" w:space="0" w:color="auto"/>
      </w:divBdr>
    </w:div>
    <w:div w:id="1070809706">
      <w:bodyDiv w:val="1"/>
      <w:marLeft w:val="0"/>
      <w:marRight w:val="0"/>
      <w:marTop w:val="0"/>
      <w:marBottom w:val="0"/>
      <w:divBdr>
        <w:top w:val="none" w:sz="0" w:space="0" w:color="auto"/>
        <w:left w:val="none" w:sz="0" w:space="0" w:color="auto"/>
        <w:bottom w:val="none" w:sz="0" w:space="0" w:color="auto"/>
        <w:right w:val="none" w:sz="0" w:space="0" w:color="auto"/>
      </w:divBdr>
    </w:div>
    <w:div w:id="1078405043">
      <w:bodyDiv w:val="1"/>
      <w:marLeft w:val="0"/>
      <w:marRight w:val="0"/>
      <w:marTop w:val="0"/>
      <w:marBottom w:val="0"/>
      <w:divBdr>
        <w:top w:val="none" w:sz="0" w:space="0" w:color="auto"/>
        <w:left w:val="none" w:sz="0" w:space="0" w:color="auto"/>
        <w:bottom w:val="none" w:sz="0" w:space="0" w:color="auto"/>
        <w:right w:val="none" w:sz="0" w:space="0" w:color="auto"/>
      </w:divBdr>
    </w:div>
    <w:div w:id="1110396983">
      <w:bodyDiv w:val="1"/>
      <w:marLeft w:val="0"/>
      <w:marRight w:val="0"/>
      <w:marTop w:val="0"/>
      <w:marBottom w:val="0"/>
      <w:divBdr>
        <w:top w:val="none" w:sz="0" w:space="0" w:color="auto"/>
        <w:left w:val="none" w:sz="0" w:space="0" w:color="auto"/>
        <w:bottom w:val="none" w:sz="0" w:space="0" w:color="auto"/>
        <w:right w:val="none" w:sz="0" w:space="0" w:color="auto"/>
      </w:divBdr>
    </w:div>
    <w:div w:id="1134568617">
      <w:bodyDiv w:val="1"/>
      <w:marLeft w:val="0"/>
      <w:marRight w:val="0"/>
      <w:marTop w:val="0"/>
      <w:marBottom w:val="0"/>
      <w:divBdr>
        <w:top w:val="none" w:sz="0" w:space="0" w:color="auto"/>
        <w:left w:val="none" w:sz="0" w:space="0" w:color="auto"/>
        <w:bottom w:val="none" w:sz="0" w:space="0" w:color="auto"/>
        <w:right w:val="none" w:sz="0" w:space="0" w:color="auto"/>
      </w:divBdr>
    </w:div>
    <w:div w:id="1186097341">
      <w:bodyDiv w:val="1"/>
      <w:marLeft w:val="0"/>
      <w:marRight w:val="0"/>
      <w:marTop w:val="0"/>
      <w:marBottom w:val="0"/>
      <w:divBdr>
        <w:top w:val="none" w:sz="0" w:space="0" w:color="auto"/>
        <w:left w:val="none" w:sz="0" w:space="0" w:color="auto"/>
        <w:bottom w:val="none" w:sz="0" w:space="0" w:color="auto"/>
        <w:right w:val="none" w:sz="0" w:space="0" w:color="auto"/>
      </w:divBdr>
    </w:div>
    <w:div w:id="1225525810">
      <w:bodyDiv w:val="1"/>
      <w:marLeft w:val="0"/>
      <w:marRight w:val="0"/>
      <w:marTop w:val="0"/>
      <w:marBottom w:val="0"/>
      <w:divBdr>
        <w:top w:val="none" w:sz="0" w:space="0" w:color="auto"/>
        <w:left w:val="none" w:sz="0" w:space="0" w:color="auto"/>
        <w:bottom w:val="none" w:sz="0" w:space="0" w:color="auto"/>
        <w:right w:val="none" w:sz="0" w:space="0" w:color="auto"/>
      </w:divBdr>
      <w:divsChild>
        <w:div w:id="1328093926">
          <w:marLeft w:val="-225"/>
          <w:marRight w:val="-225"/>
          <w:marTop w:val="45"/>
          <w:marBottom w:val="45"/>
          <w:divBdr>
            <w:top w:val="none" w:sz="0" w:space="0" w:color="auto"/>
            <w:left w:val="none" w:sz="0" w:space="0" w:color="auto"/>
            <w:bottom w:val="none" w:sz="0" w:space="0" w:color="auto"/>
            <w:right w:val="none" w:sz="0" w:space="0" w:color="auto"/>
          </w:divBdr>
        </w:div>
        <w:div w:id="1552692867">
          <w:marLeft w:val="-225"/>
          <w:marRight w:val="-225"/>
          <w:marTop w:val="45"/>
          <w:marBottom w:val="45"/>
          <w:divBdr>
            <w:top w:val="none" w:sz="0" w:space="0" w:color="auto"/>
            <w:left w:val="none" w:sz="0" w:space="0" w:color="auto"/>
            <w:bottom w:val="none" w:sz="0" w:space="0" w:color="auto"/>
            <w:right w:val="none" w:sz="0" w:space="0" w:color="auto"/>
          </w:divBdr>
          <w:divsChild>
            <w:div w:id="2044550386">
              <w:marLeft w:val="0"/>
              <w:marRight w:val="0"/>
              <w:marTop w:val="45"/>
              <w:marBottom w:val="45"/>
              <w:divBdr>
                <w:top w:val="none" w:sz="0" w:space="0" w:color="auto"/>
                <w:left w:val="none" w:sz="0" w:space="0" w:color="auto"/>
                <w:bottom w:val="none" w:sz="0" w:space="0" w:color="auto"/>
                <w:right w:val="none" w:sz="0" w:space="0" w:color="auto"/>
              </w:divBdr>
              <w:divsChild>
                <w:div w:id="1991324782">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966158773">
          <w:marLeft w:val="-225"/>
          <w:marRight w:val="-225"/>
          <w:marTop w:val="45"/>
          <w:marBottom w:val="45"/>
          <w:divBdr>
            <w:top w:val="none" w:sz="0" w:space="0" w:color="auto"/>
            <w:left w:val="none" w:sz="0" w:space="0" w:color="auto"/>
            <w:bottom w:val="none" w:sz="0" w:space="0" w:color="auto"/>
            <w:right w:val="none" w:sz="0" w:space="0" w:color="auto"/>
          </w:divBdr>
          <w:divsChild>
            <w:div w:id="162649772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1274286193">
      <w:bodyDiv w:val="1"/>
      <w:marLeft w:val="0"/>
      <w:marRight w:val="0"/>
      <w:marTop w:val="0"/>
      <w:marBottom w:val="0"/>
      <w:divBdr>
        <w:top w:val="none" w:sz="0" w:space="0" w:color="auto"/>
        <w:left w:val="none" w:sz="0" w:space="0" w:color="auto"/>
        <w:bottom w:val="none" w:sz="0" w:space="0" w:color="auto"/>
        <w:right w:val="none" w:sz="0" w:space="0" w:color="auto"/>
      </w:divBdr>
    </w:div>
    <w:div w:id="1274748720">
      <w:bodyDiv w:val="1"/>
      <w:marLeft w:val="0"/>
      <w:marRight w:val="0"/>
      <w:marTop w:val="0"/>
      <w:marBottom w:val="0"/>
      <w:divBdr>
        <w:top w:val="none" w:sz="0" w:space="0" w:color="auto"/>
        <w:left w:val="none" w:sz="0" w:space="0" w:color="auto"/>
        <w:bottom w:val="none" w:sz="0" w:space="0" w:color="auto"/>
        <w:right w:val="none" w:sz="0" w:space="0" w:color="auto"/>
      </w:divBdr>
    </w:div>
    <w:div w:id="1294218850">
      <w:bodyDiv w:val="1"/>
      <w:marLeft w:val="0"/>
      <w:marRight w:val="0"/>
      <w:marTop w:val="0"/>
      <w:marBottom w:val="0"/>
      <w:divBdr>
        <w:top w:val="none" w:sz="0" w:space="0" w:color="auto"/>
        <w:left w:val="none" w:sz="0" w:space="0" w:color="auto"/>
        <w:bottom w:val="none" w:sz="0" w:space="0" w:color="auto"/>
        <w:right w:val="none" w:sz="0" w:space="0" w:color="auto"/>
      </w:divBdr>
    </w:div>
    <w:div w:id="1414007918">
      <w:bodyDiv w:val="1"/>
      <w:marLeft w:val="0"/>
      <w:marRight w:val="0"/>
      <w:marTop w:val="0"/>
      <w:marBottom w:val="0"/>
      <w:divBdr>
        <w:top w:val="none" w:sz="0" w:space="0" w:color="auto"/>
        <w:left w:val="none" w:sz="0" w:space="0" w:color="auto"/>
        <w:bottom w:val="none" w:sz="0" w:space="0" w:color="auto"/>
        <w:right w:val="none" w:sz="0" w:space="0" w:color="auto"/>
      </w:divBdr>
    </w:div>
    <w:div w:id="1450706175">
      <w:bodyDiv w:val="1"/>
      <w:marLeft w:val="0"/>
      <w:marRight w:val="0"/>
      <w:marTop w:val="0"/>
      <w:marBottom w:val="0"/>
      <w:divBdr>
        <w:top w:val="none" w:sz="0" w:space="0" w:color="auto"/>
        <w:left w:val="none" w:sz="0" w:space="0" w:color="auto"/>
        <w:bottom w:val="none" w:sz="0" w:space="0" w:color="auto"/>
        <w:right w:val="none" w:sz="0" w:space="0" w:color="auto"/>
      </w:divBdr>
    </w:div>
    <w:div w:id="1503469084">
      <w:bodyDiv w:val="1"/>
      <w:marLeft w:val="0"/>
      <w:marRight w:val="0"/>
      <w:marTop w:val="0"/>
      <w:marBottom w:val="0"/>
      <w:divBdr>
        <w:top w:val="none" w:sz="0" w:space="0" w:color="auto"/>
        <w:left w:val="none" w:sz="0" w:space="0" w:color="auto"/>
        <w:bottom w:val="none" w:sz="0" w:space="0" w:color="auto"/>
        <w:right w:val="none" w:sz="0" w:space="0" w:color="auto"/>
      </w:divBdr>
    </w:div>
    <w:div w:id="1572497206">
      <w:bodyDiv w:val="1"/>
      <w:marLeft w:val="0"/>
      <w:marRight w:val="0"/>
      <w:marTop w:val="0"/>
      <w:marBottom w:val="0"/>
      <w:divBdr>
        <w:top w:val="none" w:sz="0" w:space="0" w:color="auto"/>
        <w:left w:val="none" w:sz="0" w:space="0" w:color="auto"/>
        <w:bottom w:val="none" w:sz="0" w:space="0" w:color="auto"/>
        <w:right w:val="none" w:sz="0" w:space="0" w:color="auto"/>
      </w:divBdr>
    </w:div>
    <w:div w:id="1574464829">
      <w:bodyDiv w:val="1"/>
      <w:marLeft w:val="0"/>
      <w:marRight w:val="0"/>
      <w:marTop w:val="0"/>
      <w:marBottom w:val="0"/>
      <w:divBdr>
        <w:top w:val="none" w:sz="0" w:space="0" w:color="auto"/>
        <w:left w:val="none" w:sz="0" w:space="0" w:color="auto"/>
        <w:bottom w:val="none" w:sz="0" w:space="0" w:color="auto"/>
        <w:right w:val="none" w:sz="0" w:space="0" w:color="auto"/>
      </w:divBdr>
    </w:div>
    <w:div w:id="1614821613">
      <w:bodyDiv w:val="1"/>
      <w:marLeft w:val="0"/>
      <w:marRight w:val="0"/>
      <w:marTop w:val="0"/>
      <w:marBottom w:val="0"/>
      <w:divBdr>
        <w:top w:val="none" w:sz="0" w:space="0" w:color="auto"/>
        <w:left w:val="none" w:sz="0" w:space="0" w:color="auto"/>
        <w:bottom w:val="none" w:sz="0" w:space="0" w:color="auto"/>
        <w:right w:val="none" w:sz="0" w:space="0" w:color="auto"/>
      </w:divBdr>
      <w:divsChild>
        <w:div w:id="1239444364">
          <w:marLeft w:val="-225"/>
          <w:marRight w:val="-225"/>
          <w:marTop w:val="45"/>
          <w:marBottom w:val="45"/>
          <w:divBdr>
            <w:top w:val="none" w:sz="0" w:space="0" w:color="auto"/>
            <w:left w:val="none" w:sz="0" w:space="0" w:color="auto"/>
            <w:bottom w:val="none" w:sz="0" w:space="0" w:color="auto"/>
            <w:right w:val="none" w:sz="0" w:space="0" w:color="auto"/>
          </w:divBdr>
          <w:divsChild>
            <w:div w:id="1400591034">
              <w:marLeft w:val="0"/>
              <w:marRight w:val="0"/>
              <w:marTop w:val="45"/>
              <w:marBottom w:val="45"/>
              <w:divBdr>
                <w:top w:val="none" w:sz="0" w:space="0" w:color="auto"/>
                <w:left w:val="none" w:sz="0" w:space="0" w:color="auto"/>
                <w:bottom w:val="none" w:sz="0" w:space="0" w:color="auto"/>
                <w:right w:val="none" w:sz="0" w:space="0" w:color="auto"/>
              </w:divBdr>
            </w:div>
          </w:divsChild>
        </w:div>
        <w:div w:id="1746879819">
          <w:marLeft w:val="-225"/>
          <w:marRight w:val="-225"/>
          <w:marTop w:val="45"/>
          <w:marBottom w:val="45"/>
          <w:divBdr>
            <w:top w:val="none" w:sz="0" w:space="0" w:color="auto"/>
            <w:left w:val="none" w:sz="0" w:space="0" w:color="auto"/>
            <w:bottom w:val="none" w:sz="0" w:space="0" w:color="auto"/>
            <w:right w:val="none" w:sz="0" w:space="0" w:color="auto"/>
          </w:divBdr>
          <w:divsChild>
            <w:div w:id="761951506">
              <w:marLeft w:val="0"/>
              <w:marRight w:val="0"/>
              <w:marTop w:val="45"/>
              <w:marBottom w:val="45"/>
              <w:divBdr>
                <w:top w:val="none" w:sz="0" w:space="0" w:color="auto"/>
                <w:left w:val="none" w:sz="0" w:space="0" w:color="auto"/>
                <w:bottom w:val="none" w:sz="0" w:space="0" w:color="auto"/>
                <w:right w:val="none" w:sz="0" w:space="0" w:color="auto"/>
              </w:divBdr>
              <w:divsChild>
                <w:div w:id="492523887">
                  <w:marLeft w:val="-225"/>
                  <w:marRight w:val="-225"/>
                  <w:marTop w:val="45"/>
                  <w:marBottom w:val="45"/>
                  <w:divBdr>
                    <w:top w:val="none" w:sz="0" w:space="0" w:color="auto"/>
                    <w:left w:val="none" w:sz="0" w:space="0" w:color="auto"/>
                    <w:bottom w:val="none" w:sz="0" w:space="0" w:color="auto"/>
                    <w:right w:val="none" w:sz="0" w:space="0" w:color="auto"/>
                  </w:divBdr>
                </w:div>
              </w:divsChild>
            </w:div>
          </w:divsChild>
        </w:div>
        <w:div w:id="1902979869">
          <w:marLeft w:val="-225"/>
          <w:marRight w:val="-225"/>
          <w:marTop w:val="45"/>
          <w:marBottom w:val="45"/>
          <w:divBdr>
            <w:top w:val="none" w:sz="0" w:space="0" w:color="auto"/>
            <w:left w:val="none" w:sz="0" w:space="0" w:color="auto"/>
            <w:bottom w:val="none" w:sz="0" w:space="0" w:color="auto"/>
            <w:right w:val="none" w:sz="0" w:space="0" w:color="auto"/>
          </w:divBdr>
        </w:div>
      </w:divsChild>
    </w:div>
    <w:div w:id="1625230659">
      <w:bodyDiv w:val="1"/>
      <w:marLeft w:val="0"/>
      <w:marRight w:val="0"/>
      <w:marTop w:val="0"/>
      <w:marBottom w:val="0"/>
      <w:divBdr>
        <w:top w:val="none" w:sz="0" w:space="0" w:color="auto"/>
        <w:left w:val="none" w:sz="0" w:space="0" w:color="auto"/>
        <w:bottom w:val="none" w:sz="0" w:space="0" w:color="auto"/>
        <w:right w:val="none" w:sz="0" w:space="0" w:color="auto"/>
      </w:divBdr>
    </w:div>
    <w:div w:id="1646472085">
      <w:bodyDiv w:val="1"/>
      <w:marLeft w:val="0"/>
      <w:marRight w:val="0"/>
      <w:marTop w:val="0"/>
      <w:marBottom w:val="0"/>
      <w:divBdr>
        <w:top w:val="none" w:sz="0" w:space="0" w:color="auto"/>
        <w:left w:val="none" w:sz="0" w:space="0" w:color="auto"/>
        <w:bottom w:val="none" w:sz="0" w:space="0" w:color="auto"/>
        <w:right w:val="none" w:sz="0" w:space="0" w:color="auto"/>
      </w:divBdr>
    </w:div>
    <w:div w:id="1720477062">
      <w:bodyDiv w:val="1"/>
      <w:marLeft w:val="0"/>
      <w:marRight w:val="0"/>
      <w:marTop w:val="0"/>
      <w:marBottom w:val="0"/>
      <w:divBdr>
        <w:top w:val="none" w:sz="0" w:space="0" w:color="auto"/>
        <w:left w:val="none" w:sz="0" w:space="0" w:color="auto"/>
        <w:bottom w:val="none" w:sz="0" w:space="0" w:color="auto"/>
        <w:right w:val="none" w:sz="0" w:space="0" w:color="auto"/>
      </w:divBdr>
    </w:div>
    <w:div w:id="1763605474">
      <w:bodyDiv w:val="1"/>
      <w:marLeft w:val="0"/>
      <w:marRight w:val="0"/>
      <w:marTop w:val="0"/>
      <w:marBottom w:val="0"/>
      <w:divBdr>
        <w:top w:val="none" w:sz="0" w:space="0" w:color="auto"/>
        <w:left w:val="none" w:sz="0" w:space="0" w:color="auto"/>
        <w:bottom w:val="none" w:sz="0" w:space="0" w:color="auto"/>
        <w:right w:val="none" w:sz="0" w:space="0" w:color="auto"/>
      </w:divBdr>
    </w:div>
    <w:div w:id="1845707806">
      <w:bodyDiv w:val="1"/>
      <w:marLeft w:val="0"/>
      <w:marRight w:val="0"/>
      <w:marTop w:val="0"/>
      <w:marBottom w:val="0"/>
      <w:divBdr>
        <w:top w:val="none" w:sz="0" w:space="0" w:color="auto"/>
        <w:left w:val="none" w:sz="0" w:space="0" w:color="auto"/>
        <w:bottom w:val="none" w:sz="0" w:space="0" w:color="auto"/>
        <w:right w:val="none" w:sz="0" w:space="0" w:color="auto"/>
      </w:divBdr>
    </w:div>
    <w:div w:id="1851488788">
      <w:bodyDiv w:val="1"/>
      <w:marLeft w:val="0"/>
      <w:marRight w:val="0"/>
      <w:marTop w:val="0"/>
      <w:marBottom w:val="0"/>
      <w:divBdr>
        <w:top w:val="none" w:sz="0" w:space="0" w:color="auto"/>
        <w:left w:val="none" w:sz="0" w:space="0" w:color="auto"/>
        <w:bottom w:val="none" w:sz="0" w:space="0" w:color="auto"/>
        <w:right w:val="none" w:sz="0" w:space="0" w:color="auto"/>
      </w:divBdr>
    </w:div>
    <w:div w:id="1879312465">
      <w:bodyDiv w:val="1"/>
      <w:marLeft w:val="0"/>
      <w:marRight w:val="0"/>
      <w:marTop w:val="0"/>
      <w:marBottom w:val="0"/>
      <w:divBdr>
        <w:top w:val="none" w:sz="0" w:space="0" w:color="auto"/>
        <w:left w:val="none" w:sz="0" w:space="0" w:color="auto"/>
        <w:bottom w:val="none" w:sz="0" w:space="0" w:color="auto"/>
        <w:right w:val="none" w:sz="0" w:space="0" w:color="auto"/>
      </w:divBdr>
    </w:div>
    <w:div w:id="1897472649">
      <w:bodyDiv w:val="1"/>
      <w:marLeft w:val="0"/>
      <w:marRight w:val="0"/>
      <w:marTop w:val="0"/>
      <w:marBottom w:val="0"/>
      <w:divBdr>
        <w:top w:val="none" w:sz="0" w:space="0" w:color="auto"/>
        <w:left w:val="none" w:sz="0" w:space="0" w:color="auto"/>
        <w:bottom w:val="none" w:sz="0" w:space="0" w:color="auto"/>
        <w:right w:val="none" w:sz="0" w:space="0" w:color="auto"/>
      </w:divBdr>
    </w:div>
    <w:div w:id="1909077233">
      <w:bodyDiv w:val="1"/>
      <w:marLeft w:val="0"/>
      <w:marRight w:val="0"/>
      <w:marTop w:val="0"/>
      <w:marBottom w:val="0"/>
      <w:divBdr>
        <w:top w:val="none" w:sz="0" w:space="0" w:color="auto"/>
        <w:left w:val="none" w:sz="0" w:space="0" w:color="auto"/>
        <w:bottom w:val="none" w:sz="0" w:space="0" w:color="auto"/>
        <w:right w:val="none" w:sz="0" w:space="0" w:color="auto"/>
      </w:divBdr>
      <w:divsChild>
        <w:div w:id="89663700">
          <w:marLeft w:val="0"/>
          <w:marRight w:val="0"/>
          <w:marTop w:val="0"/>
          <w:marBottom w:val="0"/>
          <w:divBdr>
            <w:top w:val="none" w:sz="0" w:space="0" w:color="auto"/>
            <w:left w:val="none" w:sz="0" w:space="0" w:color="auto"/>
            <w:bottom w:val="none" w:sz="0" w:space="0" w:color="auto"/>
            <w:right w:val="none" w:sz="0" w:space="0" w:color="auto"/>
          </w:divBdr>
        </w:div>
        <w:div w:id="486938051">
          <w:marLeft w:val="0"/>
          <w:marRight w:val="0"/>
          <w:marTop w:val="0"/>
          <w:marBottom w:val="0"/>
          <w:divBdr>
            <w:top w:val="none" w:sz="0" w:space="0" w:color="auto"/>
            <w:left w:val="none" w:sz="0" w:space="0" w:color="auto"/>
            <w:bottom w:val="none" w:sz="0" w:space="0" w:color="auto"/>
            <w:right w:val="none" w:sz="0" w:space="0" w:color="auto"/>
          </w:divBdr>
          <w:divsChild>
            <w:div w:id="1363895771">
              <w:marLeft w:val="0"/>
              <w:marRight w:val="0"/>
              <w:marTop w:val="0"/>
              <w:marBottom w:val="0"/>
              <w:divBdr>
                <w:top w:val="none" w:sz="0" w:space="0" w:color="auto"/>
                <w:left w:val="none" w:sz="0" w:space="0" w:color="auto"/>
                <w:bottom w:val="none" w:sz="0" w:space="0" w:color="auto"/>
                <w:right w:val="none" w:sz="0" w:space="0" w:color="auto"/>
              </w:divBdr>
            </w:div>
            <w:div w:id="545487810">
              <w:marLeft w:val="0"/>
              <w:marRight w:val="0"/>
              <w:marTop w:val="0"/>
              <w:marBottom w:val="0"/>
              <w:divBdr>
                <w:top w:val="none" w:sz="0" w:space="0" w:color="auto"/>
                <w:left w:val="none" w:sz="0" w:space="0" w:color="auto"/>
                <w:bottom w:val="none" w:sz="0" w:space="0" w:color="auto"/>
                <w:right w:val="none" w:sz="0" w:space="0" w:color="auto"/>
              </w:divBdr>
            </w:div>
            <w:div w:id="2146435484">
              <w:marLeft w:val="0"/>
              <w:marRight w:val="0"/>
              <w:marTop w:val="0"/>
              <w:marBottom w:val="0"/>
              <w:divBdr>
                <w:top w:val="none" w:sz="0" w:space="0" w:color="auto"/>
                <w:left w:val="none" w:sz="0" w:space="0" w:color="auto"/>
                <w:bottom w:val="none" w:sz="0" w:space="0" w:color="auto"/>
                <w:right w:val="none" w:sz="0" w:space="0" w:color="auto"/>
              </w:divBdr>
            </w:div>
            <w:div w:id="142691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23979">
      <w:bodyDiv w:val="1"/>
      <w:marLeft w:val="0"/>
      <w:marRight w:val="0"/>
      <w:marTop w:val="0"/>
      <w:marBottom w:val="0"/>
      <w:divBdr>
        <w:top w:val="none" w:sz="0" w:space="0" w:color="auto"/>
        <w:left w:val="none" w:sz="0" w:space="0" w:color="auto"/>
        <w:bottom w:val="none" w:sz="0" w:space="0" w:color="auto"/>
        <w:right w:val="none" w:sz="0" w:space="0" w:color="auto"/>
      </w:divBdr>
    </w:div>
    <w:div w:id="1999074859">
      <w:bodyDiv w:val="1"/>
      <w:marLeft w:val="0"/>
      <w:marRight w:val="0"/>
      <w:marTop w:val="0"/>
      <w:marBottom w:val="0"/>
      <w:divBdr>
        <w:top w:val="none" w:sz="0" w:space="0" w:color="auto"/>
        <w:left w:val="none" w:sz="0" w:space="0" w:color="auto"/>
        <w:bottom w:val="none" w:sz="0" w:space="0" w:color="auto"/>
        <w:right w:val="none" w:sz="0" w:space="0" w:color="auto"/>
      </w:divBdr>
    </w:div>
    <w:div w:id="2041973552">
      <w:bodyDiv w:val="1"/>
      <w:marLeft w:val="0"/>
      <w:marRight w:val="0"/>
      <w:marTop w:val="0"/>
      <w:marBottom w:val="0"/>
      <w:divBdr>
        <w:top w:val="none" w:sz="0" w:space="0" w:color="auto"/>
        <w:left w:val="none" w:sz="0" w:space="0" w:color="auto"/>
        <w:bottom w:val="none" w:sz="0" w:space="0" w:color="auto"/>
        <w:right w:val="none" w:sz="0" w:space="0" w:color="auto"/>
      </w:divBdr>
    </w:div>
    <w:div w:id="211420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oas.org/es/cidh/ppl/docs/pdf/ppl2011esp.pdf" TargetMode="External"/><Relationship Id="rId3" Type="http://schemas.openxmlformats.org/officeDocument/2006/relationships/hyperlink" Target="http://www.corteidh.or.cr/docs/asuntos/olivares_29_07_20.pdf" TargetMode="External"/><Relationship Id="rId7" Type="http://schemas.openxmlformats.org/officeDocument/2006/relationships/hyperlink" Target="http://www.cidh.oas.org/pdf%20files/RESOLUCION%201-08%20ESP%20FINAL.pdf" TargetMode="External"/><Relationship Id="rId12" Type="http://schemas.openxmlformats.org/officeDocument/2006/relationships/hyperlink" Target="https://app.box.com/s/rwt9cr90jhk3c1dv0jhwo9ahd6hmx7oi" TargetMode="External"/><Relationship Id="rId2" Type="http://schemas.openxmlformats.org/officeDocument/2006/relationships/hyperlink" Target="https://www.corteidh.or.cr/docs/asuntos/olivaresmu&#241;ozyotros_30_06_20.pdf" TargetMode="External"/><Relationship Id="rId1" Type="http://schemas.openxmlformats.org/officeDocument/2006/relationships/hyperlink" Target="http://www.corteidh.or.cr/docs/asuntos/olivares_munoz_y_otros_21_02_2020.pdf" TargetMode="External"/><Relationship Id="rId6" Type="http://schemas.openxmlformats.org/officeDocument/2006/relationships/hyperlink" Target="https://www.ohchr.org/documents/publications/training5add3sp.pdf" TargetMode="External"/><Relationship Id="rId11" Type="http://schemas.openxmlformats.org/officeDocument/2006/relationships/hyperlink" Target="https://app.box.com/s/saw02yb982bvz15pwexaec1bhovn7tn0" TargetMode="External"/><Relationship Id="rId5" Type="http://schemas.openxmlformats.org/officeDocument/2006/relationships/hyperlink" Target="https://tbinternet.ohchr.org/_layouts/15/treatybodyexternal/Download.aspx?symbolno=CCPR%2fC%2fGC%2f36&amp;Lang=es" TargetMode="External"/><Relationship Id="rId10" Type="http://schemas.openxmlformats.org/officeDocument/2006/relationships/hyperlink" Target="https://data.miraquetemiro.org/sites/default/files/documentos/Codigo%20Organico%20Penitenciario%202.pdf" TargetMode="External"/><Relationship Id="rId4" Type="http://schemas.openxmlformats.org/officeDocument/2006/relationships/hyperlink" Target="https://asambleanacional-media.s3.amazonaws.com/documentos/botones/constitucion-nacional-20191205135853.PDF" TargetMode="External"/><Relationship Id="rId9" Type="http://schemas.openxmlformats.org/officeDocument/2006/relationships/hyperlink" Target="https://rm.coe.int/16804cc2f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AF147B-FF78-4ABD-8372-4A77FD9E6A0A}">
  <we:reference id="wa104099688" version="1.3.0.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0EADC-6B87-4E04-A2AE-2DA1C7EDD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56</Pages>
  <Words>22745</Words>
  <Characters>125098</Characters>
  <Application>Microsoft Office Word</Application>
  <DocSecurity>0</DocSecurity>
  <Lines>1042</Lines>
  <Paragraphs>295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2020-12-17T20:39:00Z</cp:lastPrinted>
  <dcterms:created xsi:type="dcterms:W3CDTF">2020-12-21T17:15:00Z</dcterms:created>
  <dcterms:modified xsi:type="dcterms:W3CDTF">2020-12-21T17:15:00Z</dcterms:modified>
</cp:coreProperties>
</file>