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01FBC" w14:textId="77777777" w:rsidR="007B5E63" w:rsidRDefault="007B5E63" w:rsidP="00716618">
      <w:pPr>
        <w:pStyle w:val="NormalWeb"/>
        <w:jc w:val="center"/>
        <w:rPr>
          <w:rFonts w:ascii="Verdana" w:hAnsi="Verdana" w:cs="Calibri"/>
          <w:b/>
          <w:color w:val="000000"/>
          <w:sz w:val="20"/>
          <w:szCs w:val="20"/>
        </w:rPr>
      </w:pPr>
    </w:p>
    <w:p w14:paraId="4739311D" w14:textId="67C2641B" w:rsidR="00716618" w:rsidRPr="00716618" w:rsidRDefault="00716618" w:rsidP="00716618">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RESOLUCIÓN DE LA </w:t>
      </w:r>
    </w:p>
    <w:p w14:paraId="20F1DDE2" w14:textId="49A288A6" w:rsidR="002712EB" w:rsidRDefault="00716618" w:rsidP="00716618">
      <w:pPr>
        <w:pStyle w:val="NormalWeb"/>
        <w:jc w:val="center"/>
        <w:rPr>
          <w:rFonts w:ascii="Verdana" w:hAnsi="Verdana" w:cs="Calibri"/>
          <w:b/>
          <w:color w:val="000000"/>
          <w:sz w:val="20"/>
          <w:szCs w:val="20"/>
        </w:rPr>
      </w:pPr>
      <w:r w:rsidRPr="00716618">
        <w:rPr>
          <w:rFonts w:ascii="Verdana" w:hAnsi="Verdana" w:cs="Calibri"/>
          <w:b/>
          <w:color w:val="000000"/>
          <w:sz w:val="20"/>
          <w:szCs w:val="20"/>
        </w:rPr>
        <w:t>CORTE INTERAMERICANA DE DERECHOS HUMANOS</w:t>
      </w:r>
      <w:r w:rsidR="009445DD" w:rsidRPr="00B41EB5">
        <w:rPr>
          <w:rFonts w:ascii="Verdana" w:hAnsi="Verdana"/>
          <w:b/>
          <w:sz w:val="20"/>
          <w:szCs w:val="20"/>
          <w:vertAlign w:val="superscript"/>
        </w:rPr>
        <w:t>*</w:t>
      </w:r>
    </w:p>
    <w:p w14:paraId="781DEE96" w14:textId="2A5A232D" w:rsidR="00716618" w:rsidRPr="00716618" w:rsidRDefault="00716618" w:rsidP="009445DD">
      <w:pPr>
        <w:pStyle w:val="NormalWeb"/>
        <w:rPr>
          <w:rFonts w:ascii="Verdana" w:hAnsi="Verdana" w:cs="Calibri"/>
          <w:b/>
          <w:color w:val="000000"/>
          <w:sz w:val="20"/>
          <w:szCs w:val="20"/>
        </w:rPr>
      </w:pPr>
    </w:p>
    <w:p w14:paraId="2F56F484" w14:textId="7BEAB628" w:rsidR="00716618" w:rsidRPr="00716618" w:rsidRDefault="00716618" w:rsidP="00716618">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DE </w:t>
      </w:r>
      <w:r w:rsidR="00B53148">
        <w:rPr>
          <w:rFonts w:ascii="Verdana" w:hAnsi="Verdana" w:cs="Calibri"/>
          <w:b/>
          <w:color w:val="000000"/>
          <w:sz w:val="20"/>
          <w:szCs w:val="20"/>
        </w:rPr>
        <w:t>19</w:t>
      </w:r>
      <w:r w:rsidR="00B53148" w:rsidRPr="00716618">
        <w:rPr>
          <w:rFonts w:ascii="Verdana" w:hAnsi="Verdana" w:cs="Calibri"/>
          <w:b/>
          <w:color w:val="000000"/>
          <w:sz w:val="20"/>
          <w:szCs w:val="20"/>
        </w:rPr>
        <w:t xml:space="preserve"> </w:t>
      </w:r>
      <w:r w:rsidRPr="00716618">
        <w:rPr>
          <w:rFonts w:ascii="Verdana" w:hAnsi="Verdana" w:cs="Calibri"/>
          <w:b/>
          <w:color w:val="000000"/>
          <w:sz w:val="20"/>
          <w:szCs w:val="20"/>
        </w:rPr>
        <w:t xml:space="preserve">DE </w:t>
      </w:r>
      <w:r w:rsidR="00221C74" w:rsidRPr="00F21EA9">
        <w:rPr>
          <w:rFonts w:ascii="Verdana" w:hAnsi="Verdana" w:cs="Calibri"/>
          <w:b/>
          <w:color w:val="000000"/>
          <w:sz w:val="20"/>
          <w:szCs w:val="20"/>
        </w:rPr>
        <w:t>NOVIEMBRE</w:t>
      </w:r>
      <w:r w:rsidRPr="00716618">
        <w:rPr>
          <w:rFonts w:ascii="Verdana" w:hAnsi="Verdana" w:cs="Calibri"/>
          <w:b/>
          <w:color w:val="000000"/>
          <w:sz w:val="20"/>
          <w:szCs w:val="20"/>
        </w:rPr>
        <w:t xml:space="preserve"> DE 20</w:t>
      </w:r>
      <w:r>
        <w:rPr>
          <w:rFonts w:ascii="Verdana" w:hAnsi="Verdana" w:cs="Calibri"/>
          <w:b/>
          <w:color w:val="000000"/>
          <w:sz w:val="20"/>
          <w:szCs w:val="20"/>
        </w:rPr>
        <w:t>20</w:t>
      </w:r>
    </w:p>
    <w:p w14:paraId="35EF47E4" w14:textId="5C2613AB" w:rsidR="00716618" w:rsidRDefault="00716618" w:rsidP="00716618">
      <w:pPr>
        <w:pStyle w:val="NormalWeb"/>
        <w:jc w:val="center"/>
        <w:rPr>
          <w:rFonts w:ascii="Verdana" w:hAnsi="Verdana" w:cs="Calibri"/>
          <w:b/>
          <w:color w:val="000000"/>
          <w:sz w:val="20"/>
          <w:szCs w:val="20"/>
        </w:rPr>
      </w:pPr>
    </w:p>
    <w:p w14:paraId="6E61CD32" w14:textId="5396193C" w:rsidR="00716618" w:rsidRPr="00277672" w:rsidRDefault="00716618" w:rsidP="00716618">
      <w:pPr>
        <w:pStyle w:val="NormalWeb"/>
        <w:jc w:val="center"/>
        <w:rPr>
          <w:rFonts w:ascii="Verdana" w:hAnsi="Verdana" w:cs="Calibri"/>
          <w:b/>
          <w:i/>
          <w:iCs/>
          <w:color w:val="000000"/>
          <w:sz w:val="20"/>
          <w:szCs w:val="20"/>
        </w:rPr>
      </w:pPr>
      <w:r w:rsidRPr="00277672">
        <w:rPr>
          <w:rFonts w:ascii="Verdana" w:hAnsi="Verdana" w:cs="Calibri"/>
          <w:b/>
          <w:i/>
          <w:iCs/>
          <w:color w:val="000000"/>
          <w:sz w:val="20"/>
          <w:szCs w:val="20"/>
        </w:rPr>
        <w:t>CASO GELMAN VS. URUGUAY</w:t>
      </w:r>
    </w:p>
    <w:p w14:paraId="3909F63E" w14:textId="77777777" w:rsidR="00716618" w:rsidRPr="00716618" w:rsidRDefault="00716618" w:rsidP="00716618">
      <w:pPr>
        <w:pStyle w:val="NormalWeb"/>
        <w:jc w:val="center"/>
        <w:rPr>
          <w:rFonts w:ascii="Verdana" w:hAnsi="Verdana" w:cs="Calibri"/>
          <w:b/>
          <w:color w:val="000000"/>
          <w:sz w:val="20"/>
          <w:szCs w:val="20"/>
        </w:rPr>
      </w:pPr>
    </w:p>
    <w:p w14:paraId="6949F751" w14:textId="77777777" w:rsidR="00716618" w:rsidRPr="00716618" w:rsidRDefault="00716618" w:rsidP="00716618">
      <w:pPr>
        <w:pStyle w:val="NormalWeb"/>
        <w:jc w:val="center"/>
        <w:rPr>
          <w:rFonts w:ascii="Verdana" w:hAnsi="Verdana" w:cs="Calibri"/>
          <w:b/>
          <w:color w:val="000000"/>
          <w:sz w:val="20"/>
          <w:szCs w:val="20"/>
        </w:rPr>
      </w:pPr>
      <w:r w:rsidRPr="00716618">
        <w:rPr>
          <w:rFonts w:ascii="Verdana" w:hAnsi="Verdana" w:cs="Calibri"/>
          <w:b/>
          <w:color w:val="000000"/>
          <w:sz w:val="20"/>
          <w:szCs w:val="20"/>
        </w:rPr>
        <w:t>SUPERVISIÓN DE CUMPLIMIENTO DE SENTENCIA</w:t>
      </w:r>
    </w:p>
    <w:p w14:paraId="55A1CD65" w14:textId="77777777" w:rsidR="00716618" w:rsidRPr="00716618" w:rsidRDefault="00716618" w:rsidP="00716618">
      <w:pPr>
        <w:pStyle w:val="NormalWeb"/>
        <w:jc w:val="center"/>
        <w:rPr>
          <w:rFonts w:ascii="Verdana" w:hAnsi="Verdana" w:cs="Calibri"/>
          <w:color w:val="000000"/>
          <w:sz w:val="20"/>
          <w:szCs w:val="20"/>
        </w:rPr>
      </w:pPr>
    </w:p>
    <w:p w14:paraId="3B5175E8" w14:textId="77777777" w:rsidR="00716618" w:rsidRPr="00716618" w:rsidRDefault="00716618" w:rsidP="00716618">
      <w:pPr>
        <w:pStyle w:val="NormalWeb"/>
        <w:rPr>
          <w:rFonts w:ascii="Verdana" w:hAnsi="Verdana" w:cs="Calibri"/>
          <w:b/>
          <w:color w:val="000000"/>
          <w:sz w:val="20"/>
          <w:szCs w:val="20"/>
        </w:rPr>
      </w:pPr>
      <w:r w:rsidRPr="00716618">
        <w:rPr>
          <w:rFonts w:ascii="Verdana" w:hAnsi="Verdana" w:cs="Calibri"/>
          <w:b/>
          <w:color w:val="000000"/>
          <w:sz w:val="20"/>
          <w:szCs w:val="20"/>
        </w:rPr>
        <w:t xml:space="preserve">VISTO: </w:t>
      </w:r>
    </w:p>
    <w:p w14:paraId="6CEFD382" w14:textId="37540EBD" w:rsidR="00514A9E" w:rsidRPr="00E222CB" w:rsidRDefault="00716618" w:rsidP="00E222CB">
      <w:pPr>
        <w:numPr>
          <w:ilvl w:val="0"/>
          <w:numId w:val="10"/>
        </w:numPr>
        <w:spacing w:before="120" w:after="120" w:line="240" w:lineRule="auto"/>
        <w:ind w:left="0" w:firstLine="0"/>
        <w:jc w:val="both"/>
        <w:rPr>
          <w:rFonts w:ascii="Verdana" w:hAnsi="Verdana"/>
          <w:sz w:val="20"/>
          <w:szCs w:val="20"/>
        </w:rPr>
      </w:pPr>
      <w:r w:rsidRPr="00E222CB">
        <w:rPr>
          <w:rFonts w:ascii="Verdana" w:hAnsi="Verdana" w:cs="Calibri"/>
          <w:sz w:val="20"/>
          <w:szCs w:val="20"/>
        </w:rPr>
        <w:t>La Sentencia de fondo y reparaciones dictada por la Corte Interamericana de Derechos Humanos (en adelante “la Corte Interamericana”, “la Corte” o “el Tribunal”) el 24 de febrero de 2011</w:t>
      </w:r>
      <w:r w:rsidR="00277672" w:rsidRPr="00E222CB">
        <w:rPr>
          <w:rStyle w:val="Refdenotaalpie"/>
          <w:rFonts w:ascii="Verdana" w:hAnsi="Verdana" w:cs="Calibri"/>
          <w:sz w:val="20"/>
          <w:szCs w:val="20"/>
        </w:rPr>
        <w:footnoteReference w:id="1"/>
      </w:r>
      <w:r w:rsidRPr="00E222CB">
        <w:rPr>
          <w:rFonts w:ascii="Verdana" w:hAnsi="Verdana" w:cs="Calibri"/>
          <w:sz w:val="20"/>
          <w:szCs w:val="20"/>
        </w:rPr>
        <w:t xml:space="preserve">. </w:t>
      </w:r>
      <w:r w:rsidR="005341BC">
        <w:rPr>
          <w:rFonts w:ascii="Verdana" w:hAnsi="Verdana" w:cs="Calibri"/>
          <w:sz w:val="20"/>
          <w:szCs w:val="20"/>
        </w:rPr>
        <w:t xml:space="preserve">Tomando en cuenta el reconocimiento parcial de responsabilidad internacional efectuado por </w:t>
      </w:r>
      <w:r w:rsidR="009C56FD" w:rsidRPr="00E222CB">
        <w:rPr>
          <w:rFonts w:ascii="Verdana" w:hAnsi="Verdana" w:cs="Calibri"/>
          <w:sz w:val="20"/>
          <w:szCs w:val="20"/>
        </w:rPr>
        <w:t xml:space="preserve">la República </w:t>
      </w:r>
      <w:r w:rsidR="00A17449">
        <w:rPr>
          <w:rFonts w:ascii="Verdana" w:hAnsi="Verdana" w:cs="Calibri"/>
          <w:sz w:val="20"/>
          <w:szCs w:val="20"/>
        </w:rPr>
        <w:t xml:space="preserve">Oriental </w:t>
      </w:r>
      <w:r w:rsidR="009C56FD" w:rsidRPr="00E222CB">
        <w:rPr>
          <w:rFonts w:ascii="Verdana" w:hAnsi="Verdana" w:cs="Calibri"/>
          <w:sz w:val="20"/>
          <w:szCs w:val="20"/>
        </w:rPr>
        <w:t>del Uruguay (en adelante “el Estado” o “Uruguay”)</w:t>
      </w:r>
      <w:r w:rsidR="005341BC">
        <w:rPr>
          <w:rFonts w:ascii="Verdana" w:hAnsi="Verdana" w:cs="Calibri"/>
          <w:sz w:val="20"/>
          <w:szCs w:val="20"/>
        </w:rPr>
        <w:t>, l</w:t>
      </w:r>
      <w:r w:rsidR="005341BC" w:rsidRPr="00E222CB">
        <w:rPr>
          <w:rFonts w:ascii="Verdana" w:hAnsi="Verdana" w:cs="Calibri"/>
          <w:sz w:val="20"/>
          <w:szCs w:val="20"/>
        </w:rPr>
        <w:t xml:space="preserve">a Corte </w:t>
      </w:r>
      <w:r w:rsidR="0054712E">
        <w:rPr>
          <w:rFonts w:ascii="Verdana" w:hAnsi="Verdana" w:cs="Calibri"/>
          <w:sz w:val="20"/>
          <w:szCs w:val="20"/>
        </w:rPr>
        <w:t>l</w:t>
      </w:r>
      <w:r w:rsidR="00B2431E">
        <w:rPr>
          <w:rFonts w:ascii="Verdana" w:hAnsi="Verdana" w:cs="Calibri"/>
          <w:sz w:val="20"/>
          <w:szCs w:val="20"/>
        </w:rPr>
        <w:t>a</w:t>
      </w:r>
      <w:r w:rsidR="0054712E">
        <w:rPr>
          <w:rFonts w:ascii="Verdana" w:hAnsi="Verdana" w:cs="Calibri"/>
          <w:sz w:val="20"/>
          <w:szCs w:val="20"/>
        </w:rPr>
        <w:t xml:space="preserve"> </w:t>
      </w:r>
      <w:r w:rsidR="005341BC" w:rsidRPr="00E222CB">
        <w:rPr>
          <w:rFonts w:ascii="Verdana" w:hAnsi="Verdana" w:cs="Calibri"/>
          <w:sz w:val="20"/>
          <w:szCs w:val="20"/>
        </w:rPr>
        <w:t xml:space="preserve">declaró </w:t>
      </w:r>
      <w:r w:rsidR="009C56FD" w:rsidRPr="00E222CB">
        <w:rPr>
          <w:rFonts w:ascii="Verdana" w:hAnsi="Verdana" w:cs="Calibri"/>
          <w:sz w:val="20"/>
          <w:szCs w:val="20"/>
        </w:rPr>
        <w:t xml:space="preserve">responsable internacionalmente </w:t>
      </w:r>
      <w:r w:rsidR="00B70A27">
        <w:rPr>
          <w:rFonts w:ascii="Verdana" w:hAnsi="Verdana" w:cs="Calibri"/>
          <w:sz w:val="20"/>
          <w:szCs w:val="20"/>
        </w:rPr>
        <w:t>por la violación de diversos derechos humanos derivados de</w:t>
      </w:r>
      <w:r w:rsidR="00B979E0">
        <w:rPr>
          <w:rFonts w:ascii="Verdana" w:hAnsi="Verdana" w:cs="Calibri"/>
          <w:sz w:val="20"/>
          <w:szCs w:val="20"/>
        </w:rPr>
        <w:t xml:space="preserve"> la desaparición forzada</w:t>
      </w:r>
      <w:r w:rsidR="009C56FD" w:rsidRPr="00E222CB">
        <w:rPr>
          <w:rFonts w:ascii="Verdana" w:hAnsi="Verdana" w:cs="Calibri"/>
          <w:sz w:val="20"/>
          <w:szCs w:val="20"/>
        </w:rPr>
        <w:t xml:space="preserve"> de María Claudia García </w:t>
      </w:r>
      <w:proofErr w:type="spellStart"/>
      <w:r w:rsidR="00B70A27">
        <w:rPr>
          <w:rFonts w:ascii="Verdana" w:hAnsi="Verdana" w:cs="Calibri"/>
          <w:sz w:val="20"/>
          <w:szCs w:val="20"/>
        </w:rPr>
        <w:t>Iruretagoyen</w:t>
      </w:r>
      <w:proofErr w:type="spellEnd"/>
      <w:r w:rsidR="00B70A27">
        <w:rPr>
          <w:rFonts w:ascii="Verdana" w:hAnsi="Verdana" w:cs="Calibri"/>
          <w:sz w:val="20"/>
          <w:szCs w:val="20"/>
        </w:rPr>
        <w:t xml:space="preserve"> y de</w:t>
      </w:r>
      <w:r w:rsidR="0054712E" w:rsidRPr="0054712E">
        <w:rPr>
          <w:rFonts w:ascii="Verdana" w:hAnsi="Verdana"/>
          <w:sz w:val="20"/>
          <w:szCs w:val="20"/>
        </w:rPr>
        <w:t xml:space="preserve"> la supresión y</w:t>
      </w:r>
      <w:r w:rsidR="0054712E" w:rsidRPr="0068558F">
        <w:rPr>
          <w:rFonts w:ascii="Verdana" w:hAnsi="Verdana"/>
          <w:sz w:val="20"/>
          <w:szCs w:val="20"/>
        </w:rPr>
        <w:t xml:space="preserve"> </w:t>
      </w:r>
      <w:r w:rsidR="0054712E" w:rsidRPr="0054712E">
        <w:rPr>
          <w:rFonts w:ascii="Verdana" w:hAnsi="Verdana"/>
          <w:sz w:val="20"/>
          <w:szCs w:val="20"/>
        </w:rPr>
        <w:t>sustitución</w:t>
      </w:r>
      <w:r w:rsidR="0054712E" w:rsidRPr="0054712E">
        <w:rPr>
          <w:rFonts w:ascii="Verdana" w:hAnsi="Verdana"/>
          <w:b/>
          <w:sz w:val="20"/>
          <w:szCs w:val="20"/>
        </w:rPr>
        <w:t xml:space="preserve"> </w:t>
      </w:r>
      <w:r w:rsidR="0054712E" w:rsidRPr="0054712E">
        <w:rPr>
          <w:rFonts w:ascii="Verdana" w:hAnsi="Verdana"/>
          <w:sz w:val="20"/>
          <w:szCs w:val="20"/>
        </w:rPr>
        <w:t>de identidad</w:t>
      </w:r>
      <w:r w:rsidR="0054712E" w:rsidRPr="0054712E">
        <w:rPr>
          <w:rFonts w:ascii="Verdana" w:hAnsi="Verdana"/>
          <w:b/>
          <w:sz w:val="20"/>
          <w:szCs w:val="20"/>
        </w:rPr>
        <w:t xml:space="preserve"> </w:t>
      </w:r>
      <w:r w:rsidR="0054712E" w:rsidRPr="0054712E">
        <w:rPr>
          <w:rFonts w:ascii="Verdana" w:hAnsi="Verdana"/>
          <w:sz w:val="20"/>
          <w:szCs w:val="20"/>
        </w:rPr>
        <w:t>de su hija María Macarena Gelman García</w:t>
      </w:r>
      <w:r w:rsidR="00B70A27">
        <w:rPr>
          <w:rFonts w:ascii="Verdana" w:hAnsi="Verdana"/>
          <w:sz w:val="20"/>
          <w:szCs w:val="20"/>
        </w:rPr>
        <w:t>, así como</w:t>
      </w:r>
      <w:r w:rsidR="0054712E" w:rsidRPr="0054712E">
        <w:rPr>
          <w:rFonts w:ascii="Verdana" w:hAnsi="Verdana"/>
          <w:sz w:val="20"/>
          <w:szCs w:val="20"/>
        </w:rPr>
        <w:t xml:space="preserve"> por la violación a los derechos a la integridad personal y a la protección de la familia en perjuicio del señor Juan Gelman, abuelo de María Macarena</w:t>
      </w:r>
      <w:r w:rsidR="004C7807" w:rsidRPr="00E222CB">
        <w:rPr>
          <w:rFonts w:ascii="Verdana" w:hAnsi="Verdana" w:cs="Calibri"/>
          <w:sz w:val="20"/>
          <w:szCs w:val="20"/>
        </w:rPr>
        <w:t xml:space="preserve">. </w:t>
      </w:r>
      <w:r w:rsidR="009C56FD" w:rsidRPr="00E222CB">
        <w:rPr>
          <w:rFonts w:ascii="Verdana" w:hAnsi="Verdana" w:cs="Calibri"/>
          <w:sz w:val="20"/>
          <w:szCs w:val="20"/>
        </w:rPr>
        <w:t xml:space="preserve">También </w:t>
      </w:r>
      <w:r w:rsidR="005341BC">
        <w:rPr>
          <w:rFonts w:ascii="Verdana" w:hAnsi="Verdana" w:cs="Calibri"/>
          <w:sz w:val="20"/>
          <w:szCs w:val="20"/>
        </w:rPr>
        <w:t xml:space="preserve">lo declaró responsable de </w:t>
      </w:r>
      <w:r w:rsidR="009C56FD" w:rsidRPr="00E222CB">
        <w:rPr>
          <w:rFonts w:ascii="Verdana" w:hAnsi="Verdana" w:cs="Calibri"/>
          <w:sz w:val="20"/>
          <w:szCs w:val="20"/>
        </w:rPr>
        <w:t>la violación de los derechos a las garantías judiciales y a la protección judicial, derivada de la falta de investigación efectiva de los hechos del presente caso, en perjuicio de Juan Gelman y de María Macarena Gelman.</w:t>
      </w:r>
      <w:r w:rsidR="004C7807" w:rsidRPr="00E222CB">
        <w:rPr>
          <w:rFonts w:ascii="Verdana" w:hAnsi="Verdana" w:cs="Calibri"/>
          <w:sz w:val="20"/>
          <w:szCs w:val="20"/>
        </w:rPr>
        <w:t xml:space="preserve"> </w:t>
      </w:r>
      <w:r w:rsidR="00E222CB" w:rsidRPr="00E222CB">
        <w:rPr>
          <w:rFonts w:ascii="Verdana" w:hAnsi="Verdana"/>
          <w:sz w:val="20"/>
          <w:szCs w:val="20"/>
        </w:rPr>
        <w:t xml:space="preserve">Los hechos del presente caso ocurrieron durante la dictadura cívico-militar que gobernó Uruguay entre 1973 y 1985, </w:t>
      </w:r>
      <w:r w:rsidR="00B82077">
        <w:rPr>
          <w:rFonts w:ascii="Verdana" w:hAnsi="Verdana"/>
          <w:sz w:val="20"/>
          <w:szCs w:val="20"/>
        </w:rPr>
        <w:t xml:space="preserve">en </w:t>
      </w:r>
      <w:r w:rsidR="00200D25">
        <w:rPr>
          <w:rFonts w:ascii="Verdana" w:hAnsi="Verdana"/>
          <w:sz w:val="20"/>
          <w:szCs w:val="20"/>
        </w:rPr>
        <w:t xml:space="preserve">un contexto de </w:t>
      </w:r>
      <w:r w:rsidR="00E222CB" w:rsidRPr="00E222CB">
        <w:rPr>
          <w:rFonts w:ascii="Verdana" w:hAnsi="Verdana"/>
          <w:sz w:val="20"/>
          <w:szCs w:val="20"/>
        </w:rPr>
        <w:t>práctica sistemática de graves violaciones de derechos humanos por fuerzas de seguridad e inteligencia de la dictadura uruguaya en colaboración con autoridades argentinas, en el marco de la doctrina de seguridad nacional y de la llamada “Operación Cóndor”.</w:t>
      </w:r>
      <w:r w:rsidR="00E222CB" w:rsidRPr="00E222CB">
        <w:rPr>
          <w:rFonts w:ascii="Verdana" w:hAnsi="Verdana" w:cs="Calibri"/>
          <w:sz w:val="20"/>
          <w:szCs w:val="20"/>
        </w:rPr>
        <w:t xml:space="preserve"> </w:t>
      </w:r>
      <w:r w:rsidR="004620D8">
        <w:rPr>
          <w:rFonts w:ascii="Verdana" w:hAnsi="Verdana" w:cs="Calibri"/>
          <w:sz w:val="20"/>
          <w:szCs w:val="20"/>
        </w:rPr>
        <w:t xml:space="preserve">El 24 de agosto de 1976 </w:t>
      </w:r>
      <w:r w:rsidR="00E222CB" w:rsidRPr="00E222CB">
        <w:rPr>
          <w:rFonts w:ascii="Verdana" w:hAnsi="Verdana" w:cs="Calibri"/>
          <w:sz w:val="20"/>
          <w:szCs w:val="20"/>
        </w:rPr>
        <w:t>militares uruguayos y argentinos</w:t>
      </w:r>
      <w:r w:rsidR="004620D8">
        <w:rPr>
          <w:rFonts w:ascii="Verdana" w:hAnsi="Verdana" w:cs="Calibri"/>
          <w:sz w:val="20"/>
          <w:szCs w:val="20"/>
        </w:rPr>
        <w:t xml:space="preserve"> privaron de su libertad </w:t>
      </w:r>
      <w:r w:rsidR="0054712E">
        <w:rPr>
          <w:rFonts w:ascii="Verdana" w:hAnsi="Verdana" w:cs="Calibri"/>
          <w:sz w:val="20"/>
          <w:szCs w:val="20"/>
        </w:rPr>
        <w:t xml:space="preserve">de forma ilegal </w:t>
      </w:r>
      <w:r w:rsidR="004620D8">
        <w:rPr>
          <w:rFonts w:ascii="Verdana" w:hAnsi="Verdana" w:cs="Calibri"/>
          <w:sz w:val="20"/>
          <w:szCs w:val="20"/>
        </w:rPr>
        <w:t>a</w:t>
      </w:r>
      <w:r w:rsidR="00E222CB" w:rsidRPr="00E222CB">
        <w:rPr>
          <w:rFonts w:ascii="Verdana" w:hAnsi="Verdana" w:cs="Calibri"/>
          <w:sz w:val="20"/>
          <w:szCs w:val="20"/>
        </w:rPr>
        <w:t xml:space="preserve"> </w:t>
      </w:r>
      <w:r w:rsidR="00B979E0">
        <w:rPr>
          <w:rFonts w:ascii="Verdana" w:hAnsi="Verdana" w:cs="Calibri"/>
          <w:sz w:val="20"/>
          <w:szCs w:val="20"/>
        </w:rPr>
        <w:t>María Claudia García</w:t>
      </w:r>
      <w:r w:rsidR="004620D8">
        <w:rPr>
          <w:rFonts w:ascii="Verdana" w:hAnsi="Verdana" w:cs="Calibri"/>
          <w:sz w:val="20"/>
          <w:szCs w:val="20"/>
        </w:rPr>
        <w:t xml:space="preserve"> y a su esposo</w:t>
      </w:r>
      <w:r w:rsidR="004620D8" w:rsidRPr="004620D8">
        <w:rPr>
          <w:rFonts w:ascii="Verdana" w:hAnsi="Verdana"/>
          <w:sz w:val="20"/>
          <w:szCs w:val="20"/>
        </w:rPr>
        <w:t xml:space="preserve"> </w:t>
      </w:r>
      <w:r w:rsidR="004620D8" w:rsidRPr="004362F5">
        <w:rPr>
          <w:rFonts w:ascii="Verdana" w:hAnsi="Verdana"/>
          <w:sz w:val="20"/>
          <w:szCs w:val="20"/>
        </w:rPr>
        <w:t xml:space="preserve">Marcelo Ariel Gelman </w:t>
      </w:r>
      <w:proofErr w:type="spellStart"/>
      <w:r w:rsidR="004620D8" w:rsidRPr="004362F5">
        <w:rPr>
          <w:rFonts w:ascii="Verdana" w:hAnsi="Verdana"/>
          <w:sz w:val="20"/>
          <w:szCs w:val="20"/>
        </w:rPr>
        <w:t>Schubaroff</w:t>
      </w:r>
      <w:proofErr w:type="spellEnd"/>
      <w:r w:rsidR="004620D8">
        <w:rPr>
          <w:rFonts w:ascii="Verdana" w:hAnsi="Verdana" w:cs="Calibri"/>
          <w:sz w:val="20"/>
          <w:szCs w:val="20"/>
        </w:rPr>
        <w:t>, ambos de nacionalidad argentina.</w:t>
      </w:r>
      <w:r w:rsidR="00B2431E">
        <w:rPr>
          <w:rFonts w:ascii="Verdana" w:hAnsi="Verdana" w:cs="Calibri"/>
          <w:sz w:val="20"/>
          <w:szCs w:val="20"/>
        </w:rPr>
        <w:t xml:space="preserve"> </w:t>
      </w:r>
      <w:r w:rsidR="004620D8">
        <w:rPr>
          <w:rFonts w:ascii="Verdana" w:hAnsi="Verdana" w:cs="Calibri"/>
          <w:sz w:val="20"/>
          <w:szCs w:val="20"/>
        </w:rPr>
        <w:t xml:space="preserve">María Claudia </w:t>
      </w:r>
      <w:r w:rsidR="00E222CB" w:rsidRPr="00E222CB">
        <w:rPr>
          <w:rFonts w:ascii="Verdana" w:hAnsi="Verdana" w:cs="Calibri"/>
          <w:sz w:val="20"/>
          <w:szCs w:val="20"/>
        </w:rPr>
        <w:t>tenía 19 años de edad y se encontraba en avanzado estado de embarazo.</w:t>
      </w:r>
      <w:r w:rsidR="00E222CB" w:rsidRPr="00E222CB">
        <w:rPr>
          <w:rFonts w:ascii="Verdana" w:hAnsi="Verdana"/>
          <w:sz w:val="20"/>
          <w:szCs w:val="20"/>
        </w:rPr>
        <w:t xml:space="preserve"> </w:t>
      </w:r>
      <w:r w:rsidR="004620D8">
        <w:rPr>
          <w:rFonts w:ascii="Verdana" w:hAnsi="Verdana"/>
          <w:sz w:val="20"/>
          <w:szCs w:val="20"/>
        </w:rPr>
        <w:t xml:space="preserve">El esposo de María Claudia fue ejecutado </w:t>
      </w:r>
      <w:r w:rsidR="001D73E0">
        <w:rPr>
          <w:rFonts w:ascii="Verdana" w:hAnsi="Verdana"/>
          <w:sz w:val="20"/>
          <w:szCs w:val="20"/>
        </w:rPr>
        <w:t xml:space="preserve">(sus restos fueron descubiertos en 1989) </w:t>
      </w:r>
      <w:r w:rsidR="004620D8">
        <w:rPr>
          <w:rFonts w:ascii="Verdana" w:hAnsi="Verdana"/>
          <w:sz w:val="20"/>
          <w:szCs w:val="20"/>
        </w:rPr>
        <w:t>y, e</w:t>
      </w:r>
      <w:r w:rsidR="004C7807" w:rsidRPr="00E222CB">
        <w:rPr>
          <w:rFonts w:ascii="Verdana" w:hAnsi="Verdana"/>
          <w:sz w:val="20"/>
          <w:szCs w:val="20"/>
        </w:rPr>
        <w:t>n octubre de 1976</w:t>
      </w:r>
      <w:r w:rsidR="004620D8">
        <w:rPr>
          <w:rFonts w:ascii="Verdana" w:hAnsi="Verdana"/>
          <w:sz w:val="20"/>
          <w:szCs w:val="20"/>
        </w:rPr>
        <w:t>, ella</w:t>
      </w:r>
      <w:r w:rsidR="004C7807" w:rsidRPr="00E222CB">
        <w:rPr>
          <w:rFonts w:ascii="Verdana" w:hAnsi="Verdana"/>
          <w:sz w:val="20"/>
          <w:szCs w:val="20"/>
        </w:rPr>
        <w:t xml:space="preserve"> fue trasladada </w:t>
      </w:r>
      <w:r w:rsidR="001D73E0" w:rsidRPr="00E222CB">
        <w:rPr>
          <w:rFonts w:ascii="Verdana" w:hAnsi="Verdana"/>
          <w:sz w:val="20"/>
          <w:szCs w:val="20"/>
        </w:rPr>
        <w:t xml:space="preserve">por autoridades uruguayas </w:t>
      </w:r>
      <w:r w:rsidR="004C7807" w:rsidRPr="00E222CB">
        <w:rPr>
          <w:rFonts w:ascii="Verdana" w:hAnsi="Verdana"/>
          <w:sz w:val="20"/>
          <w:szCs w:val="20"/>
        </w:rPr>
        <w:t xml:space="preserve">en un vuelo de forma clandestina a Montevideo, Uruguay, </w:t>
      </w:r>
      <w:r w:rsidR="00BC42D6">
        <w:rPr>
          <w:rFonts w:ascii="Verdana" w:hAnsi="Verdana"/>
          <w:sz w:val="20"/>
          <w:szCs w:val="20"/>
        </w:rPr>
        <w:t xml:space="preserve">donde </w:t>
      </w:r>
      <w:r w:rsidR="001D73E0">
        <w:rPr>
          <w:rFonts w:ascii="Verdana" w:hAnsi="Verdana"/>
          <w:sz w:val="20"/>
          <w:szCs w:val="20"/>
        </w:rPr>
        <w:t xml:space="preserve">permaneció detenida </w:t>
      </w:r>
      <w:r w:rsidR="004C7807" w:rsidRPr="00E222CB">
        <w:rPr>
          <w:rFonts w:ascii="Verdana" w:hAnsi="Verdana"/>
          <w:sz w:val="20"/>
          <w:szCs w:val="20"/>
        </w:rPr>
        <w:t>en la sede del Servicio de Información de Defensa del Uruguay, luego dio a luz a una niña, quien le fue sustraída recién nacida</w:t>
      </w:r>
      <w:r w:rsidR="001D73E0">
        <w:rPr>
          <w:rFonts w:ascii="Verdana" w:hAnsi="Verdana"/>
          <w:sz w:val="20"/>
          <w:szCs w:val="20"/>
        </w:rPr>
        <w:t>.</w:t>
      </w:r>
      <w:r w:rsidR="004C7807" w:rsidRPr="00E222CB">
        <w:rPr>
          <w:rFonts w:ascii="Verdana" w:hAnsi="Verdana"/>
          <w:sz w:val="20"/>
          <w:szCs w:val="20"/>
        </w:rPr>
        <w:t xml:space="preserve"> </w:t>
      </w:r>
      <w:r w:rsidR="001D73E0">
        <w:rPr>
          <w:rFonts w:ascii="Verdana" w:hAnsi="Verdana"/>
          <w:sz w:val="20"/>
          <w:szCs w:val="20"/>
        </w:rPr>
        <w:t>La niña fue</w:t>
      </w:r>
      <w:r w:rsidR="004C7807" w:rsidRPr="00E222CB">
        <w:rPr>
          <w:rFonts w:ascii="Verdana" w:hAnsi="Verdana"/>
          <w:sz w:val="20"/>
          <w:szCs w:val="20"/>
        </w:rPr>
        <w:t xml:space="preserve"> entregada </w:t>
      </w:r>
      <w:r w:rsidR="00C64856">
        <w:rPr>
          <w:rFonts w:ascii="Verdana" w:hAnsi="Verdana"/>
          <w:sz w:val="20"/>
          <w:szCs w:val="20"/>
        </w:rPr>
        <w:t xml:space="preserve">ilegalmente a otra familia en el Uruguay, </w:t>
      </w:r>
      <w:r w:rsidR="004C7807" w:rsidRPr="00E222CB">
        <w:rPr>
          <w:rFonts w:ascii="Verdana" w:hAnsi="Verdana"/>
          <w:sz w:val="20"/>
          <w:szCs w:val="20"/>
        </w:rPr>
        <w:t xml:space="preserve">quienes la registraron como hija propia y le dieron el nombre de María Macarena. Desde entonces María Claudia García se encuentra desaparecida. </w:t>
      </w:r>
      <w:r w:rsidR="001D73E0">
        <w:rPr>
          <w:rFonts w:ascii="Verdana" w:hAnsi="Verdana"/>
          <w:sz w:val="20"/>
          <w:szCs w:val="20"/>
        </w:rPr>
        <w:t>Durante décadas l</w:t>
      </w:r>
      <w:r w:rsidR="00E222CB" w:rsidRPr="00E222CB">
        <w:rPr>
          <w:rFonts w:ascii="Verdana" w:hAnsi="Verdana"/>
          <w:sz w:val="20"/>
          <w:szCs w:val="20"/>
        </w:rPr>
        <w:t>os suegros de María Claudia (e</w:t>
      </w:r>
      <w:r w:rsidR="004C7807" w:rsidRPr="00E222CB">
        <w:rPr>
          <w:rFonts w:ascii="Verdana" w:hAnsi="Verdana"/>
          <w:sz w:val="20"/>
          <w:szCs w:val="20"/>
        </w:rPr>
        <w:t>l señor Juan Gelman y</w:t>
      </w:r>
      <w:r w:rsidR="001D73E0">
        <w:rPr>
          <w:rFonts w:ascii="Verdana" w:hAnsi="Verdana"/>
          <w:sz w:val="20"/>
          <w:szCs w:val="20"/>
        </w:rPr>
        <w:t xml:space="preserve"> </w:t>
      </w:r>
      <w:r w:rsidR="001D73E0" w:rsidRPr="001D73E0">
        <w:rPr>
          <w:rFonts w:ascii="Verdana" w:hAnsi="Verdana"/>
          <w:sz w:val="20"/>
          <w:szCs w:val="20"/>
        </w:rPr>
        <w:t xml:space="preserve">la señora Mara Elda Magdalena La Madrid </w:t>
      </w:r>
      <w:proofErr w:type="spellStart"/>
      <w:r w:rsidR="001D73E0" w:rsidRPr="001D73E0">
        <w:rPr>
          <w:rFonts w:ascii="Verdana" w:hAnsi="Verdana"/>
          <w:sz w:val="20"/>
          <w:szCs w:val="20"/>
        </w:rPr>
        <w:t>Daltoe</w:t>
      </w:r>
      <w:proofErr w:type="spellEnd"/>
      <w:r w:rsidR="00E222CB" w:rsidRPr="00E222CB">
        <w:rPr>
          <w:rFonts w:ascii="Verdana" w:hAnsi="Verdana"/>
          <w:sz w:val="20"/>
          <w:szCs w:val="20"/>
        </w:rPr>
        <w:t>)</w:t>
      </w:r>
      <w:r w:rsidR="004C7807" w:rsidRPr="00E222CB">
        <w:rPr>
          <w:rFonts w:ascii="Verdana" w:hAnsi="Verdana"/>
          <w:sz w:val="20"/>
          <w:szCs w:val="20"/>
        </w:rPr>
        <w:t xml:space="preserve"> realizaron por su cuenta averiguaciones </w:t>
      </w:r>
      <w:r w:rsidR="001D73E0">
        <w:rPr>
          <w:rFonts w:ascii="Verdana" w:hAnsi="Verdana"/>
          <w:sz w:val="20"/>
          <w:szCs w:val="20"/>
        </w:rPr>
        <w:t>sobre lo ocurrido</w:t>
      </w:r>
      <w:r w:rsidR="00BC42D6">
        <w:rPr>
          <w:rFonts w:ascii="Verdana" w:hAnsi="Verdana"/>
          <w:sz w:val="20"/>
          <w:szCs w:val="20"/>
        </w:rPr>
        <w:t xml:space="preserve"> a los tres. </w:t>
      </w:r>
      <w:r w:rsidR="001D73E0">
        <w:rPr>
          <w:rFonts w:ascii="Verdana" w:hAnsi="Verdana"/>
          <w:sz w:val="20"/>
          <w:szCs w:val="20"/>
        </w:rPr>
        <w:t xml:space="preserve"> </w:t>
      </w:r>
      <w:r w:rsidR="00BC42D6">
        <w:rPr>
          <w:rFonts w:ascii="Verdana" w:hAnsi="Verdana"/>
          <w:sz w:val="20"/>
          <w:szCs w:val="20"/>
        </w:rPr>
        <w:t>E</w:t>
      </w:r>
      <w:r w:rsidR="004C7807" w:rsidRPr="00E222CB">
        <w:rPr>
          <w:rFonts w:ascii="Verdana" w:hAnsi="Verdana"/>
          <w:sz w:val="20"/>
          <w:szCs w:val="20"/>
        </w:rPr>
        <w:t>n el 2000</w:t>
      </w:r>
      <w:r w:rsidR="00BC42D6">
        <w:rPr>
          <w:rFonts w:ascii="Verdana" w:hAnsi="Verdana"/>
          <w:sz w:val="20"/>
          <w:szCs w:val="20"/>
        </w:rPr>
        <w:t>, a la edad de 23 años, por primera vez</w:t>
      </w:r>
      <w:r w:rsidR="003C2CF4">
        <w:rPr>
          <w:rFonts w:ascii="Verdana" w:hAnsi="Verdana"/>
          <w:sz w:val="20"/>
          <w:szCs w:val="20"/>
        </w:rPr>
        <w:t>,</w:t>
      </w:r>
      <w:r w:rsidR="00BC42D6">
        <w:rPr>
          <w:rFonts w:ascii="Verdana" w:hAnsi="Verdana"/>
          <w:sz w:val="20"/>
          <w:szCs w:val="20"/>
        </w:rPr>
        <w:t xml:space="preserve"> </w:t>
      </w:r>
      <w:r w:rsidR="004C7807" w:rsidRPr="00E222CB">
        <w:rPr>
          <w:rFonts w:ascii="Verdana" w:hAnsi="Verdana"/>
          <w:sz w:val="20"/>
          <w:szCs w:val="20"/>
        </w:rPr>
        <w:t>María Macarena</w:t>
      </w:r>
      <w:r w:rsidR="00BC42D6">
        <w:rPr>
          <w:rFonts w:ascii="Verdana" w:hAnsi="Verdana"/>
          <w:sz w:val="20"/>
          <w:szCs w:val="20"/>
        </w:rPr>
        <w:t xml:space="preserve"> </w:t>
      </w:r>
      <w:r w:rsidR="0054712E">
        <w:rPr>
          <w:rFonts w:ascii="Verdana" w:hAnsi="Verdana"/>
          <w:sz w:val="20"/>
          <w:szCs w:val="20"/>
        </w:rPr>
        <w:t xml:space="preserve">tuvo </w:t>
      </w:r>
      <w:r w:rsidR="00BC42D6">
        <w:rPr>
          <w:rFonts w:ascii="Verdana" w:hAnsi="Verdana"/>
          <w:sz w:val="20"/>
          <w:szCs w:val="20"/>
        </w:rPr>
        <w:t>contacto con su abuelo Juan Gelman</w:t>
      </w:r>
      <w:r w:rsidR="00215EA8">
        <w:rPr>
          <w:rFonts w:ascii="Verdana" w:hAnsi="Verdana"/>
          <w:sz w:val="20"/>
          <w:szCs w:val="20"/>
        </w:rPr>
        <w:t>, a partir de lo cual conoció su verdad</w:t>
      </w:r>
      <w:r w:rsidR="003C2CF4">
        <w:rPr>
          <w:rFonts w:ascii="Verdana" w:hAnsi="Verdana"/>
          <w:sz w:val="20"/>
          <w:szCs w:val="20"/>
        </w:rPr>
        <w:t>era</w:t>
      </w:r>
      <w:r w:rsidR="00215EA8">
        <w:rPr>
          <w:rFonts w:ascii="Verdana" w:hAnsi="Verdana"/>
          <w:sz w:val="20"/>
          <w:szCs w:val="20"/>
        </w:rPr>
        <w:t xml:space="preserve"> identidad y lo sucedido a su madre y padre </w:t>
      </w:r>
      <w:r w:rsidR="00B70A27">
        <w:rPr>
          <w:rFonts w:ascii="Verdana" w:hAnsi="Verdana"/>
          <w:sz w:val="20"/>
          <w:szCs w:val="20"/>
        </w:rPr>
        <w:t>biológicos.</w:t>
      </w:r>
      <w:r w:rsidR="00C72EB4">
        <w:rPr>
          <w:rFonts w:ascii="Verdana" w:hAnsi="Verdana"/>
          <w:sz w:val="20"/>
          <w:szCs w:val="20"/>
        </w:rPr>
        <w:t xml:space="preserve"> </w:t>
      </w:r>
      <w:r w:rsidR="00BC42D6">
        <w:rPr>
          <w:rFonts w:ascii="Verdana" w:hAnsi="Verdana"/>
          <w:sz w:val="20"/>
          <w:szCs w:val="20"/>
        </w:rPr>
        <w:t xml:space="preserve">En el </w:t>
      </w:r>
      <w:r w:rsidR="004C7807" w:rsidRPr="00E222CB">
        <w:rPr>
          <w:rFonts w:ascii="Verdana" w:hAnsi="Verdana"/>
          <w:sz w:val="20"/>
          <w:szCs w:val="20"/>
        </w:rPr>
        <w:t>2005</w:t>
      </w:r>
      <w:r w:rsidR="00215EA8">
        <w:rPr>
          <w:rFonts w:ascii="Verdana" w:hAnsi="Verdana"/>
          <w:sz w:val="20"/>
          <w:szCs w:val="20"/>
        </w:rPr>
        <w:t xml:space="preserve">, a partir de una acción judicial interpuesta </w:t>
      </w:r>
      <w:r w:rsidR="00C64856">
        <w:rPr>
          <w:rFonts w:ascii="Verdana" w:hAnsi="Verdana"/>
          <w:sz w:val="20"/>
          <w:szCs w:val="20"/>
        </w:rPr>
        <w:t xml:space="preserve">en el Uruguay </w:t>
      </w:r>
      <w:r w:rsidR="00215EA8">
        <w:rPr>
          <w:rFonts w:ascii="Verdana" w:hAnsi="Verdana"/>
          <w:sz w:val="20"/>
          <w:szCs w:val="20"/>
        </w:rPr>
        <w:lastRenderedPageBreak/>
        <w:t xml:space="preserve">por </w:t>
      </w:r>
      <w:r w:rsidR="00BC42D6">
        <w:rPr>
          <w:rFonts w:ascii="Verdana" w:hAnsi="Verdana"/>
          <w:sz w:val="20"/>
          <w:szCs w:val="20"/>
        </w:rPr>
        <w:t>María Macarena</w:t>
      </w:r>
      <w:r w:rsidR="00215EA8">
        <w:rPr>
          <w:rFonts w:ascii="Verdana" w:hAnsi="Verdana"/>
          <w:sz w:val="20"/>
          <w:szCs w:val="20"/>
        </w:rPr>
        <w:t>, se aprueba su inscripción</w:t>
      </w:r>
      <w:r w:rsidR="00BC42D6">
        <w:rPr>
          <w:rFonts w:ascii="Verdana" w:hAnsi="Verdana"/>
          <w:sz w:val="20"/>
          <w:szCs w:val="20"/>
        </w:rPr>
        <w:t xml:space="preserve"> </w:t>
      </w:r>
      <w:r w:rsidR="00C72EB4">
        <w:rPr>
          <w:rFonts w:ascii="Verdana" w:hAnsi="Verdana"/>
          <w:sz w:val="20"/>
          <w:szCs w:val="20"/>
        </w:rPr>
        <w:t xml:space="preserve">como hija de su madre y padre biológicos y </w:t>
      </w:r>
      <w:r w:rsidR="004C7807" w:rsidRPr="00E222CB">
        <w:rPr>
          <w:rFonts w:ascii="Verdana" w:hAnsi="Verdana"/>
          <w:sz w:val="20"/>
          <w:szCs w:val="20"/>
        </w:rPr>
        <w:t xml:space="preserve">ella </w:t>
      </w:r>
      <w:r w:rsidR="00BC42D6">
        <w:rPr>
          <w:rFonts w:ascii="Verdana" w:hAnsi="Verdana"/>
          <w:sz w:val="20"/>
          <w:szCs w:val="20"/>
        </w:rPr>
        <w:t xml:space="preserve">decide cambiar su </w:t>
      </w:r>
      <w:r w:rsidR="004C7807" w:rsidRPr="00E222CB">
        <w:rPr>
          <w:rFonts w:ascii="Verdana" w:hAnsi="Verdana"/>
          <w:sz w:val="20"/>
          <w:szCs w:val="20"/>
        </w:rPr>
        <w:t xml:space="preserve">nombre </w:t>
      </w:r>
      <w:r w:rsidR="00215EA8">
        <w:rPr>
          <w:rFonts w:ascii="Verdana" w:hAnsi="Verdana"/>
          <w:sz w:val="20"/>
          <w:szCs w:val="20"/>
        </w:rPr>
        <w:t>a</w:t>
      </w:r>
      <w:r w:rsidR="004C7807" w:rsidRPr="00E222CB">
        <w:rPr>
          <w:rFonts w:ascii="Verdana" w:hAnsi="Verdana"/>
          <w:sz w:val="20"/>
          <w:szCs w:val="20"/>
        </w:rPr>
        <w:t xml:space="preserve"> María Macarena Gelman García Iruretagoyena</w:t>
      </w:r>
      <w:r w:rsidR="00BC42D6">
        <w:rPr>
          <w:rFonts w:ascii="Verdana" w:hAnsi="Verdana"/>
          <w:sz w:val="20"/>
          <w:szCs w:val="20"/>
        </w:rPr>
        <w:t xml:space="preserve"> en toda documentación y registro</w:t>
      </w:r>
      <w:r w:rsidR="004C7807" w:rsidRPr="00E222CB">
        <w:rPr>
          <w:rFonts w:ascii="Verdana" w:hAnsi="Verdana"/>
          <w:sz w:val="20"/>
          <w:szCs w:val="20"/>
        </w:rPr>
        <w:t xml:space="preserve">. </w:t>
      </w:r>
      <w:r w:rsidR="009C56FD" w:rsidRPr="00E222CB">
        <w:rPr>
          <w:rFonts w:ascii="Verdana" w:hAnsi="Verdana" w:cs="Calibri"/>
          <w:sz w:val="20"/>
          <w:szCs w:val="20"/>
        </w:rPr>
        <w:t xml:space="preserve">Asimismo, </w:t>
      </w:r>
      <w:r w:rsidR="00E222CB" w:rsidRPr="00E222CB">
        <w:rPr>
          <w:rFonts w:ascii="Verdana" w:hAnsi="Verdana" w:cs="Calibri"/>
          <w:sz w:val="20"/>
          <w:szCs w:val="20"/>
        </w:rPr>
        <w:t xml:space="preserve">en la Sentencia </w:t>
      </w:r>
      <w:r w:rsidR="009C56FD" w:rsidRPr="00E222CB">
        <w:rPr>
          <w:rFonts w:ascii="Verdana" w:hAnsi="Verdana" w:cs="Calibri"/>
          <w:sz w:val="20"/>
          <w:szCs w:val="20"/>
        </w:rPr>
        <w:t>se estableció que Uruguay incumplió con su obligación de adecuar su derecho interno a la Convención Americana sobre Derechos Humanos, como consecuencia de la interpretación y aplicación que ha</w:t>
      </w:r>
      <w:r w:rsidR="0005355C">
        <w:rPr>
          <w:rFonts w:ascii="Verdana" w:hAnsi="Verdana" w:cs="Calibri"/>
          <w:sz w:val="20"/>
          <w:szCs w:val="20"/>
        </w:rPr>
        <w:t>bía</w:t>
      </w:r>
      <w:r w:rsidR="009C56FD" w:rsidRPr="00E222CB">
        <w:rPr>
          <w:rFonts w:ascii="Verdana" w:hAnsi="Verdana" w:cs="Calibri"/>
          <w:sz w:val="20"/>
          <w:szCs w:val="20"/>
        </w:rPr>
        <w:t xml:space="preserve"> dado a la Ley de Caducidad de Pretensión Punitiva del Estado (Ley No. </w:t>
      </w:r>
      <w:r w:rsidR="00E222CB" w:rsidRPr="00E222CB">
        <w:rPr>
          <w:rFonts w:ascii="Verdana" w:eastAsia="Times New Roman" w:hAnsi="Verdana"/>
          <w:sz w:val="20"/>
          <w:szCs w:val="20"/>
        </w:rPr>
        <w:t>15.848</w:t>
      </w:r>
      <w:r w:rsidR="009C56FD" w:rsidRPr="00E222CB">
        <w:rPr>
          <w:rFonts w:ascii="Verdana" w:hAnsi="Verdana" w:cs="Calibri"/>
          <w:sz w:val="20"/>
          <w:szCs w:val="20"/>
        </w:rPr>
        <w:t>)</w:t>
      </w:r>
      <w:r w:rsidR="00B979E0">
        <w:rPr>
          <w:rFonts w:ascii="Verdana" w:hAnsi="Verdana" w:cs="Calibri"/>
          <w:sz w:val="20"/>
          <w:szCs w:val="20"/>
        </w:rPr>
        <w:t>,</w:t>
      </w:r>
      <w:r w:rsidR="009C56FD" w:rsidRPr="00E222CB">
        <w:rPr>
          <w:rFonts w:ascii="Verdana" w:hAnsi="Verdana"/>
          <w:sz w:val="20"/>
          <w:szCs w:val="20"/>
        </w:rPr>
        <w:t xml:space="preserve"> </w:t>
      </w:r>
      <w:r w:rsidR="009C56FD" w:rsidRPr="00E222CB">
        <w:rPr>
          <w:rFonts w:ascii="Verdana" w:hAnsi="Verdana" w:cs="Calibri"/>
          <w:sz w:val="20"/>
          <w:szCs w:val="20"/>
        </w:rPr>
        <w:t>respecto de graves violaciones a derechos humanos cometidas durante la dictadura militar</w:t>
      </w:r>
      <w:r w:rsidR="00E222CB">
        <w:rPr>
          <w:rFonts w:ascii="Verdana" w:hAnsi="Verdana" w:cs="Calibri"/>
          <w:sz w:val="20"/>
          <w:szCs w:val="20"/>
        </w:rPr>
        <w:t>.</w:t>
      </w:r>
      <w:r w:rsidR="009C56FD" w:rsidRPr="00E222CB">
        <w:rPr>
          <w:rFonts w:ascii="Verdana" w:hAnsi="Verdana" w:cs="Calibri"/>
          <w:sz w:val="20"/>
          <w:szCs w:val="20"/>
        </w:rPr>
        <w:t xml:space="preserve"> </w:t>
      </w:r>
      <w:r w:rsidR="00514A9E" w:rsidRPr="00E222CB">
        <w:rPr>
          <w:rFonts w:ascii="Verdana" w:hAnsi="Verdana"/>
          <w:sz w:val="20"/>
          <w:szCs w:val="20"/>
        </w:rPr>
        <w:t>El Tribunal estableció que su Sentencia constituía por sí misma una forma de reparación y, adicionalmente, ordenó al Estado determinadas medidas de reparación (</w:t>
      </w:r>
      <w:r w:rsidR="00514A9E" w:rsidRPr="00E222CB">
        <w:rPr>
          <w:rFonts w:ascii="Verdana" w:hAnsi="Verdana"/>
          <w:i/>
          <w:sz w:val="20"/>
          <w:szCs w:val="20"/>
        </w:rPr>
        <w:t xml:space="preserve">infra </w:t>
      </w:r>
      <w:r w:rsidR="00514A9E" w:rsidRPr="00E222CB">
        <w:rPr>
          <w:rFonts w:ascii="Verdana" w:hAnsi="Verdana"/>
          <w:sz w:val="20"/>
          <w:szCs w:val="20"/>
        </w:rPr>
        <w:t>Considerando</w:t>
      </w:r>
      <w:r w:rsidR="00B53148">
        <w:rPr>
          <w:rFonts w:ascii="Verdana" w:hAnsi="Verdana"/>
          <w:sz w:val="20"/>
          <w:szCs w:val="20"/>
        </w:rPr>
        <w:t>s</w:t>
      </w:r>
      <w:r w:rsidR="00514A9E" w:rsidRPr="00E222CB">
        <w:rPr>
          <w:rFonts w:ascii="Verdana" w:hAnsi="Verdana"/>
          <w:sz w:val="20"/>
          <w:szCs w:val="20"/>
        </w:rPr>
        <w:t xml:space="preserve"> 1</w:t>
      </w:r>
      <w:r w:rsidR="00B53148">
        <w:rPr>
          <w:rFonts w:ascii="Verdana" w:hAnsi="Verdana"/>
          <w:sz w:val="20"/>
          <w:szCs w:val="20"/>
        </w:rPr>
        <w:t xml:space="preserve"> y 4</w:t>
      </w:r>
      <w:r w:rsidR="00514A9E" w:rsidRPr="00E222CB">
        <w:rPr>
          <w:rFonts w:ascii="Verdana" w:hAnsi="Verdana"/>
          <w:sz w:val="20"/>
          <w:szCs w:val="20"/>
        </w:rPr>
        <w:t xml:space="preserve">). </w:t>
      </w:r>
    </w:p>
    <w:p w14:paraId="60CC5395" w14:textId="77777777" w:rsidR="007F736F" w:rsidRDefault="003376A7" w:rsidP="007F736F">
      <w:pPr>
        <w:numPr>
          <w:ilvl w:val="0"/>
          <w:numId w:val="10"/>
        </w:numPr>
        <w:spacing w:before="120" w:after="120" w:line="240" w:lineRule="auto"/>
        <w:ind w:left="0" w:firstLine="0"/>
        <w:jc w:val="both"/>
        <w:rPr>
          <w:rFonts w:ascii="Verdana" w:hAnsi="Verdana"/>
          <w:sz w:val="20"/>
          <w:szCs w:val="20"/>
        </w:rPr>
      </w:pPr>
      <w:r w:rsidRPr="00514A9E">
        <w:rPr>
          <w:rFonts w:ascii="Verdana" w:hAnsi="Verdana"/>
          <w:sz w:val="20"/>
          <w:szCs w:val="20"/>
        </w:rPr>
        <w:t>La Resolución de supervisión de cumplimiento de sentencia emitida por la Corte el 20 de marzo de 2013</w:t>
      </w:r>
      <w:r>
        <w:rPr>
          <w:rStyle w:val="Refdenotaalpie"/>
          <w:rFonts w:ascii="Verdana" w:hAnsi="Verdana"/>
          <w:sz w:val="20"/>
          <w:szCs w:val="20"/>
        </w:rPr>
        <w:footnoteReference w:id="2"/>
      </w:r>
      <w:r w:rsidRPr="00514A9E">
        <w:rPr>
          <w:rFonts w:ascii="Verdana" w:hAnsi="Verdana"/>
          <w:sz w:val="20"/>
          <w:szCs w:val="20"/>
        </w:rPr>
        <w:t xml:space="preserve">. </w:t>
      </w:r>
    </w:p>
    <w:p w14:paraId="3FC40D70" w14:textId="2A133023" w:rsidR="007F736F" w:rsidRPr="007F736F" w:rsidRDefault="00514A9E" w:rsidP="007F736F">
      <w:pPr>
        <w:numPr>
          <w:ilvl w:val="0"/>
          <w:numId w:val="10"/>
        </w:numPr>
        <w:spacing w:before="120" w:after="120" w:line="240" w:lineRule="auto"/>
        <w:ind w:left="0" w:firstLine="0"/>
        <w:jc w:val="both"/>
        <w:rPr>
          <w:rFonts w:ascii="Verdana" w:hAnsi="Verdana"/>
          <w:sz w:val="20"/>
          <w:szCs w:val="20"/>
        </w:rPr>
      </w:pPr>
      <w:r w:rsidRPr="007F736F">
        <w:rPr>
          <w:rFonts w:ascii="Verdana" w:hAnsi="Verdana"/>
          <w:sz w:val="20"/>
          <w:szCs w:val="20"/>
        </w:rPr>
        <w:t>Los informes presentados por el Estado entre julio de 2013 y febrero de 2019</w:t>
      </w:r>
      <w:r w:rsidR="00B979E0">
        <w:rPr>
          <w:rFonts w:ascii="Verdana" w:hAnsi="Verdana"/>
          <w:sz w:val="20"/>
          <w:szCs w:val="20"/>
        </w:rPr>
        <w:t>.</w:t>
      </w:r>
      <w:r w:rsidRPr="007F736F">
        <w:rPr>
          <w:rFonts w:ascii="Verdana" w:hAnsi="Verdana"/>
          <w:sz w:val="20"/>
          <w:szCs w:val="20"/>
        </w:rPr>
        <w:t xml:space="preserve"> </w:t>
      </w:r>
    </w:p>
    <w:p w14:paraId="4252B446" w14:textId="3B179A22" w:rsidR="00514A9E" w:rsidRPr="007F736F" w:rsidRDefault="007F736F" w:rsidP="00514A9E">
      <w:pPr>
        <w:numPr>
          <w:ilvl w:val="0"/>
          <w:numId w:val="10"/>
        </w:numPr>
        <w:spacing w:before="120" w:after="120" w:line="240" w:lineRule="auto"/>
        <w:ind w:left="0" w:firstLine="0"/>
        <w:jc w:val="both"/>
        <w:rPr>
          <w:rFonts w:ascii="Verdana" w:hAnsi="Verdana"/>
          <w:sz w:val="20"/>
          <w:szCs w:val="20"/>
        </w:rPr>
      </w:pPr>
      <w:r>
        <w:rPr>
          <w:rFonts w:ascii="Verdana" w:hAnsi="Verdana"/>
          <w:sz w:val="20"/>
          <w:szCs w:val="20"/>
        </w:rPr>
        <w:t>Los escritos de observaciones presentados por los representantes de las víctimas (en adelante “los representantes”)</w:t>
      </w:r>
      <w:r>
        <w:rPr>
          <w:rStyle w:val="Refdenotaalpie"/>
          <w:rFonts w:ascii="Verdana" w:hAnsi="Verdana"/>
          <w:sz w:val="20"/>
          <w:szCs w:val="20"/>
        </w:rPr>
        <w:footnoteReference w:id="3"/>
      </w:r>
      <w:r>
        <w:rPr>
          <w:rFonts w:ascii="Verdana" w:hAnsi="Verdana"/>
          <w:sz w:val="20"/>
          <w:szCs w:val="20"/>
        </w:rPr>
        <w:t xml:space="preserve"> entre agosto de 2013 </w:t>
      </w:r>
      <w:r w:rsidRPr="007F736F">
        <w:rPr>
          <w:rFonts w:ascii="Verdana" w:hAnsi="Verdana" w:cs="Calibri"/>
          <w:bCs/>
          <w:color w:val="000000"/>
          <w:sz w:val="20"/>
          <w:szCs w:val="20"/>
        </w:rPr>
        <w:t>y</w:t>
      </w:r>
      <w:r w:rsidRPr="00F21EA9">
        <w:rPr>
          <w:rFonts w:ascii="Verdana" w:hAnsi="Verdana" w:cs="Calibri"/>
          <w:color w:val="000000"/>
          <w:sz w:val="20"/>
          <w:szCs w:val="20"/>
        </w:rPr>
        <w:t xml:space="preserve"> </w:t>
      </w:r>
      <w:r w:rsidRPr="007F736F">
        <w:rPr>
          <w:rFonts w:ascii="Verdana" w:hAnsi="Verdana" w:cs="Calibri"/>
          <w:bCs/>
          <w:color w:val="000000"/>
          <w:sz w:val="20"/>
          <w:szCs w:val="20"/>
        </w:rPr>
        <w:t>mayo de 2019.</w:t>
      </w:r>
    </w:p>
    <w:p w14:paraId="1F14A0B3" w14:textId="31641F6A" w:rsidR="00FA0B3E" w:rsidRDefault="007F736F" w:rsidP="00FA0B3E">
      <w:pPr>
        <w:numPr>
          <w:ilvl w:val="0"/>
          <w:numId w:val="10"/>
        </w:numPr>
        <w:spacing w:before="120" w:after="120" w:line="240" w:lineRule="auto"/>
        <w:ind w:left="0" w:firstLine="0"/>
        <w:jc w:val="both"/>
        <w:rPr>
          <w:rFonts w:ascii="Verdana" w:hAnsi="Verdana"/>
          <w:sz w:val="20"/>
          <w:szCs w:val="20"/>
        </w:rPr>
      </w:pPr>
      <w:r w:rsidRPr="007F736F">
        <w:rPr>
          <w:rFonts w:ascii="Verdana" w:hAnsi="Verdana" w:cs="Calibri"/>
          <w:bCs/>
          <w:color w:val="000000"/>
          <w:sz w:val="20"/>
          <w:szCs w:val="20"/>
        </w:rPr>
        <w:t>Los escritos de observaciones presentados por la Comisión Interamericana de Derechos Humanos (en adelante “la Comisión Interamericana” o “la Comisión”) entre julio de 2013</w:t>
      </w:r>
      <w:r w:rsidRPr="00F21EA9">
        <w:rPr>
          <w:rFonts w:ascii="Verdana" w:hAnsi="Verdana" w:cs="Calibri"/>
          <w:color w:val="000000"/>
          <w:sz w:val="20"/>
          <w:szCs w:val="20"/>
        </w:rPr>
        <w:t xml:space="preserve"> </w:t>
      </w:r>
      <w:r w:rsidRPr="007F736F">
        <w:rPr>
          <w:rFonts w:ascii="Verdana" w:hAnsi="Verdana" w:cs="Calibri"/>
          <w:bCs/>
          <w:color w:val="000000"/>
          <w:sz w:val="20"/>
          <w:szCs w:val="20"/>
        </w:rPr>
        <w:t>y mayo de 2019.</w:t>
      </w:r>
    </w:p>
    <w:p w14:paraId="29B26F14" w14:textId="48390DE1" w:rsidR="007F736F" w:rsidRPr="00783907" w:rsidRDefault="007F736F" w:rsidP="00FA0B3E">
      <w:pPr>
        <w:numPr>
          <w:ilvl w:val="0"/>
          <w:numId w:val="10"/>
        </w:numPr>
        <w:spacing w:before="120" w:after="120" w:line="240" w:lineRule="auto"/>
        <w:ind w:left="0" w:firstLine="0"/>
        <w:jc w:val="both"/>
        <w:rPr>
          <w:rFonts w:ascii="Verdana" w:hAnsi="Verdana"/>
          <w:sz w:val="20"/>
          <w:szCs w:val="20"/>
        </w:rPr>
      </w:pPr>
      <w:r w:rsidRPr="00783907">
        <w:rPr>
          <w:rFonts w:ascii="Verdana" w:hAnsi="Verdana"/>
          <w:sz w:val="20"/>
        </w:rPr>
        <w:t xml:space="preserve">La audiencia </w:t>
      </w:r>
      <w:r w:rsidR="00FA0B3E" w:rsidRPr="00783907">
        <w:rPr>
          <w:rFonts w:ascii="Verdana" w:hAnsi="Verdana"/>
          <w:sz w:val="20"/>
        </w:rPr>
        <w:t xml:space="preserve">privada sobre supervisión de cumplimiento de Sentencia, celebrada el </w:t>
      </w:r>
      <w:r w:rsidR="00880C76">
        <w:rPr>
          <w:rFonts w:ascii="Verdana" w:hAnsi="Verdana"/>
          <w:sz w:val="20"/>
        </w:rPr>
        <w:t>5</w:t>
      </w:r>
      <w:r w:rsidR="00880C76" w:rsidRPr="00783907">
        <w:rPr>
          <w:rFonts w:ascii="Verdana" w:hAnsi="Verdana"/>
          <w:sz w:val="20"/>
        </w:rPr>
        <w:t xml:space="preserve"> </w:t>
      </w:r>
      <w:r w:rsidR="00FA0B3E" w:rsidRPr="00783907">
        <w:rPr>
          <w:rFonts w:ascii="Verdana" w:hAnsi="Verdana"/>
          <w:sz w:val="20"/>
        </w:rPr>
        <w:t>de septiembre de 2019</w:t>
      </w:r>
      <w:r w:rsidR="00B979E0">
        <w:rPr>
          <w:rStyle w:val="Refdenotaalpie"/>
          <w:rFonts w:ascii="Verdana" w:hAnsi="Verdana"/>
          <w:sz w:val="20"/>
        </w:rPr>
        <w:footnoteReference w:id="4"/>
      </w:r>
      <w:r w:rsidR="00783907" w:rsidRPr="00783907">
        <w:rPr>
          <w:rFonts w:ascii="Verdana" w:hAnsi="Verdana"/>
          <w:sz w:val="20"/>
        </w:rPr>
        <w:t>, en Bogotá, Colombia, durante el 62° Período Extraordinario de Sesiones</w:t>
      </w:r>
      <w:r w:rsidR="00783907">
        <w:rPr>
          <w:rStyle w:val="Refdenotaalpie"/>
          <w:rFonts w:ascii="Verdana" w:hAnsi="Verdana"/>
          <w:sz w:val="20"/>
        </w:rPr>
        <w:footnoteReference w:id="5"/>
      </w:r>
      <w:r w:rsidR="00D724BE">
        <w:rPr>
          <w:rFonts w:ascii="Verdana" w:hAnsi="Verdana"/>
          <w:sz w:val="20"/>
        </w:rPr>
        <w:t>, y los escritos presentados por el Estado y los representantes el día de esta audiencia.</w:t>
      </w:r>
    </w:p>
    <w:p w14:paraId="79E2E9C1" w14:textId="3C54492C" w:rsidR="009F1A3F" w:rsidRPr="00CA0F9D" w:rsidRDefault="009F1A3F" w:rsidP="009F1A3F">
      <w:pPr>
        <w:numPr>
          <w:ilvl w:val="0"/>
          <w:numId w:val="10"/>
        </w:numPr>
        <w:spacing w:before="120" w:after="120" w:line="240" w:lineRule="auto"/>
        <w:ind w:left="0" w:firstLine="0"/>
        <w:jc w:val="both"/>
        <w:rPr>
          <w:rFonts w:ascii="Verdana" w:hAnsi="Verdana"/>
          <w:sz w:val="20"/>
          <w:szCs w:val="20"/>
        </w:rPr>
      </w:pPr>
      <w:r w:rsidRPr="00CA0F9D">
        <w:rPr>
          <w:rFonts w:ascii="Verdana" w:hAnsi="Verdana"/>
          <w:sz w:val="20"/>
          <w:szCs w:val="20"/>
        </w:rPr>
        <w:t>El escrito de observaciones presentado por los representantes el 11 de noviembre de 2019.</w:t>
      </w:r>
    </w:p>
    <w:p w14:paraId="6AC6DF87" w14:textId="78EA3EEF" w:rsidR="009F1A3F" w:rsidRPr="00CA0F9D" w:rsidRDefault="00FD11DF" w:rsidP="00CA0F9D">
      <w:pPr>
        <w:numPr>
          <w:ilvl w:val="0"/>
          <w:numId w:val="10"/>
        </w:numPr>
        <w:spacing w:before="120" w:after="120" w:line="240" w:lineRule="auto"/>
        <w:ind w:left="0" w:firstLine="0"/>
        <w:jc w:val="both"/>
        <w:rPr>
          <w:rFonts w:ascii="Verdana" w:hAnsi="Verdana"/>
          <w:sz w:val="20"/>
          <w:szCs w:val="20"/>
        </w:rPr>
      </w:pPr>
      <w:r w:rsidRPr="00CA0F9D">
        <w:rPr>
          <w:rFonts w:ascii="Verdana" w:hAnsi="Verdana" w:cs="Calibri"/>
          <w:color w:val="000000"/>
          <w:sz w:val="20"/>
          <w:szCs w:val="20"/>
        </w:rPr>
        <w:t xml:space="preserve">El escrito de </w:t>
      </w:r>
      <w:proofErr w:type="spellStart"/>
      <w:r w:rsidRPr="00CA0F9D">
        <w:rPr>
          <w:rFonts w:ascii="Verdana" w:hAnsi="Verdana" w:cs="Calibri"/>
          <w:i/>
          <w:color w:val="000000"/>
          <w:sz w:val="20"/>
          <w:szCs w:val="20"/>
        </w:rPr>
        <w:t>amicus</w:t>
      </w:r>
      <w:proofErr w:type="spellEnd"/>
      <w:r w:rsidRPr="00CA0F9D">
        <w:rPr>
          <w:rFonts w:ascii="Verdana" w:hAnsi="Verdana" w:cs="Calibri"/>
          <w:i/>
          <w:color w:val="000000"/>
          <w:sz w:val="20"/>
          <w:szCs w:val="20"/>
        </w:rPr>
        <w:t xml:space="preserve"> </w:t>
      </w:r>
      <w:proofErr w:type="spellStart"/>
      <w:r w:rsidRPr="00CA0F9D">
        <w:rPr>
          <w:rFonts w:ascii="Verdana" w:hAnsi="Verdana" w:cs="Calibri"/>
          <w:i/>
          <w:color w:val="000000"/>
          <w:sz w:val="20"/>
          <w:szCs w:val="20"/>
        </w:rPr>
        <w:t>curiae</w:t>
      </w:r>
      <w:proofErr w:type="spellEnd"/>
      <w:r w:rsidRPr="00CA0F9D">
        <w:rPr>
          <w:rFonts w:ascii="Verdana" w:hAnsi="Verdana" w:cs="Calibri"/>
          <w:color w:val="000000"/>
          <w:sz w:val="20"/>
          <w:szCs w:val="20"/>
        </w:rPr>
        <w:t xml:space="preserve"> presentado por el Observatorio Luz Ibarburu</w:t>
      </w:r>
      <w:r w:rsidR="009F1A3F" w:rsidRPr="00CA0F9D">
        <w:rPr>
          <w:rStyle w:val="Refdenotaalpie"/>
          <w:rFonts w:ascii="Verdana" w:hAnsi="Verdana" w:cs="Calibri"/>
          <w:color w:val="000000"/>
          <w:sz w:val="20"/>
          <w:szCs w:val="20"/>
        </w:rPr>
        <w:footnoteReference w:id="6"/>
      </w:r>
      <w:r w:rsidRPr="00CA0F9D">
        <w:rPr>
          <w:rFonts w:ascii="Verdana" w:hAnsi="Verdana" w:cs="Calibri"/>
          <w:color w:val="000000"/>
          <w:sz w:val="20"/>
          <w:szCs w:val="20"/>
        </w:rPr>
        <w:t xml:space="preserve"> el </w:t>
      </w:r>
      <w:r w:rsidR="00B17984">
        <w:rPr>
          <w:rFonts w:ascii="Verdana" w:hAnsi="Verdana" w:cs="Calibri"/>
          <w:color w:val="000000"/>
          <w:sz w:val="20"/>
          <w:szCs w:val="20"/>
        </w:rPr>
        <w:t xml:space="preserve">7 </w:t>
      </w:r>
      <w:r w:rsidRPr="00CA0F9D">
        <w:rPr>
          <w:rFonts w:ascii="Verdana" w:hAnsi="Verdana" w:cs="Calibri"/>
          <w:color w:val="000000"/>
          <w:sz w:val="20"/>
          <w:szCs w:val="20"/>
        </w:rPr>
        <w:t xml:space="preserve">de </w:t>
      </w:r>
      <w:r w:rsidR="00B17984">
        <w:rPr>
          <w:rFonts w:ascii="Verdana" w:hAnsi="Verdana" w:cs="Calibri"/>
          <w:color w:val="000000"/>
          <w:sz w:val="20"/>
          <w:szCs w:val="20"/>
        </w:rPr>
        <w:t>octubre</w:t>
      </w:r>
      <w:r w:rsidRPr="00CA0F9D">
        <w:rPr>
          <w:rFonts w:ascii="Verdana" w:hAnsi="Verdana" w:cs="Calibri"/>
          <w:color w:val="000000"/>
          <w:sz w:val="20"/>
          <w:szCs w:val="20"/>
        </w:rPr>
        <w:t xml:space="preserve"> de 2019.</w:t>
      </w:r>
    </w:p>
    <w:p w14:paraId="497B1280" w14:textId="60BC488C" w:rsidR="003376A7" w:rsidRDefault="003376A7" w:rsidP="0080098C">
      <w:pPr>
        <w:pStyle w:val="NormalWeb"/>
        <w:spacing w:before="120" w:after="120"/>
        <w:contextualSpacing/>
        <w:jc w:val="both"/>
        <w:rPr>
          <w:rFonts w:ascii="Verdana" w:hAnsi="Verdana" w:cs="Calibri"/>
          <w:color w:val="000000"/>
          <w:sz w:val="20"/>
          <w:szCs w:val="20"/>
        </w:rPr>
      </w:pPr>
    </w:p>
    <w:p w14:paraId="3238174D" w14:textId="43736B6D" w:rsidR="00B70A27" w:rsidRDefault="00B70A27" w:rsidP="0080098C">
      <w:pPr>
        <w:pStyle w:val="NormalWeb"/>
        <w:spacing w:before="120" w:after="120"/>
        <w:contextualSpacing/>
        <w:jc w:val="both"/>
        <w:rPr>
          <w:rFonts w:ascii="Verdana" w:hAnsi="Verdana" w:cs="Calibri"/>
          <w:color w:val="000000"/>
          <w:sz w:val="20"/>
          <w:szCs w:val="20"/>
        </w:rPr>
      </w:pPr>
    </w:p>
    <w:p w14:paraId="3DED085E" w14:textId="56CD47EC" w:rsidR="00B70A27" w:rsidRDefault="00B70A27" w:rsidP="0080098C">
      <w:pPr>
        <w:pStyle w:val="NormalWeb"/>
        <w:spacing w:before="120" w:after="120"/>
        <w:contextualSpacing/>
        <w:jc w:val="both"/>
        <w:rPr>
          <w:rFonts w:ascii="Verdana" w:hAnsi="Verdana" w:cs="Calibri"/>
          <w:color w:val="000000"/>
          <w:sz w:val="20"/>
          <w:szCs w:val="20"/>
        </w:rPr>
      </w:pPr>
    </w:p>
    <w:p w14:paraId="1C4D01FA" w14:textId="77777777" w:rsidR="00B70A27" w:rsidRPr="00F21EA9" w:rsidRDefault="00B70A27" w:rsidP="0080098C">
      <w:pPr>
        <w:pStyle w:val="NormalWeb"/>
        <w:spacing w:before="120" w:after="120"/>
        <w:contextualSpacing/>
        <w:jc w:val="both"/>
        <w:rPr>
          <w:rFonts w:ascii="Verdana" w:hAnsi="Verdana" w:cs="Calibri"/>
          <w:color w:val="000000"/>
          <w:sz w:val="20"/>
          <w:szCs w:val="20"/>
        </w:rPr>
      </w:pPr>
    </w:p>
    <w:p w14:paraId="11819ABC" w14:textId="77777777" w:rsidR="00C52DAF" w:rsidRDefault="00C52DAF" w:rsidP="0080098C">
      <w:pPr>
        <w:spacing w:before="120" w:after="120" w:line="240" w:lineRule="auto"/>
        <w:contextualSpacing/>
        <w:jc w:val="both"/>
        <w:rPr>
          <w:rFonts w:ascii="Verdana" w:hAnsi="Verdana"/>
          <w:b/>
          <w:sz w:val="20"/>
        </w:rPr>
      </w:pPr>
      <w:r w:rsidRPr="00C52DAF">
        <w:rPr>
          <w:rFonts w:ascii="Verdana" w:hAnsi="Verdana"/>
          <w:b/>
          <w:sz w:val="20"/>
        </w:rPr>
        <w:t xml:space="preserve">CONSIDERANDO QUE: </w:t>
      </w:r>
    </w:p>
    <w:p w14:paraId="5E5201EF" w14:textId="34174381" w:rsidR="00C52DAF" w:rsidRPr="00C52DAF" w:rsidRDefault="00C52DAF" w:rsidP="0080098C">
      <w:pPr>
        <w:pStyle w:val="NormalWeb"/>
        <w:numPr>
          <w:ilvl w:val="0"/>
          <w:numId w:val="4"/>
        </w:numPr>
        <w:spacing w:before="120" w:after="120"/>
        <w:ind w:left="0" w:firstLine="0"/>
        <w:jc w:val="both"/>
        <w:rPr>
          <w:rFonts w:ascii="Verdana" w:hAnsi="Verdana" w:cs="Calibri"/>
          <w:color w:val="000000"/>
          <w:sz w:val="16"/>
          <w:szCs w:val="20"/>
        </w:rPr>
      </w:pPr>
      <w:r w:rsidRPr="00C52DAF">
        <w:rPr>
          <w:rFonts w:ascii="Verdana" w:hAnsi="Verdana"/>
          <w:sz w:val="20"/>
        </w:rPr>
        <w:t xml:space="preserve">En el ejercicio de su función jurisdiccional de supervisar el </w:t>
      </w:r>
      <w:r>
        <w:rPr>
          <w:rFonts w:ascii="Verdana" w:hAnsi="Verdana"/>
          <w:sz w:val="20"/>
        </w:rPr>
        <w:t>cumplimiento de sus decisiones</w:t>
      </w:r>
      <w:r>
        <w:rPr>
          <w:rStyle w:val="Refdenotaalpie"/>
          <w:rFonts w:ascii="Verdana" w:hAnsi="Verdana"/>
          <w:sz w:val="20"/>
        </w:rPr>
        <w:footnoteReference w:id="7"/>
      </w:r>
      <w:r w:rsidRPr="00C52DAF">
        <w:rPr>
          <w:rFonts w:ascii="Verdana" w:hAnsi="Verdana"/>
          <w:sz w:val="20"/>
        </w:rPr>
        <w:t xml:space="preserve">, la Corte ha venido supervisando la ejecución de la Sentencia emitida en el </w:t>
      </w:r>
      <w:r w:rsidRPr="00C52DAF">
        <w:rPr>
          <w:rFonts w:ascii="Verdana" w:hAnsi="Verdana"/>
          <w:sz w:val="20"/>
        </w:rPr>
        <w:lastRenderedPageBreak/>
        <w:t xml:space="preserve">presente caso hace más de </w:t>
      </w:r>
      <w:r w:rsidR="009A3509">
        <w:rPr>
          <w:rFonts w:ascii="Verdana" w:hAnsi="Verdana"/>
          <w:sz w:val="20"/>
        </w:rPr>
        <w:t>nueve</w:t>
      </w:r>
      <w:r w:rsidRPr="00C52DAF">
        <w:rPr>
          <w:rFonts w:ascii="Verdana" w:hAnsi="Verdana"/>
          <w:sz w:val="20"/>
        </w:rPr>
        <w:t xml:space="preserve"> años (</w:t>
      </w:r>
      <w:r w:rsidRPr="009A3509">
        <w:rPr>
          <w:rFonts w:ascii="Verdana" w:hAnsi="Verdana"/>
          <w:i/>
          <w:iCs/>
          <w:sz w:val="20"/>
        </w:rPr>
        <w:t>supra</w:t>
      </w:r>
      <w:r w:rsidRPr="00C52DAF">
        <w:rPr>
          <w:rFonts w:ascii="Verdana" w:hAnsi="Verdana"/>
          <w:sz w:val="20"/>
        </w:rPr>
        <w:t xml:space="preserve"> Visto 1). </w:t>
      </w:r>
      <w:r w:rsidRPr="00A03810">
        <w:rPr>
          <w:rFonts w:ascii="Verdana" w:hAnsi="Verdana"/>
          <w:sz w:val="20"/>
        </w:rPr>
        <w:t xml:space="preserve">En la Sentencia, la Corte ordenó </w:t>
      </w:r>
      <w:r w:rsidR="009A3509">
        <w:rPr>
          <w:rFonts w:ascii="Verdana" w:hAnsi="Verdana"/>
          <w:sz w:val="20"/>
        </w:rPr>
        <w:t>d</w:t>
      </w:r>
      <w:r w:rsidR="00A22676">
        <w:rPr>
          <w:rFonts w:ascii="Verdana" w:hAnsi="Verdana"/>
          <w:sz w:val="20"/>
        </w:rPr>
        <w:t>oce</w:t>
      </w:r>
      <w:r w:rsidRPr="00A03810">
        <w:rPr>
          <w:rFonts w:ascii="Verdana" w:hAnsi="Verdana"/>
          <w:sz w:val="20"/>
        </w:rPr>
        <w:t xml:space="preserve"> medidas de reparación. El Tribunal emitió una resolución de supervisión de cumplimiento en el 2013 (</w:t>
      </w:r>
      <w:r w:rsidRPr="009A3509">
        <w:rPr>
          <w:rFonts w:ascii="Verdana" w:hAnsi="Verdana"/>
          <w:i/>
          <w:iCs/>
          <w:sz w:val="20"/>
        </w:rPr>
        <w:t xml:space="preserve">supra </w:t>
      </w:r>
      <w:r w:rsidRPr="00A03810">
        <w:rPr>
          <w:rFonts w:ascii="Verdana" w:hAnsi="Verdana"/>
          <w:sz w:val="20"/>
        </w:rPr>
        <w:t xml:space="preserve">Visto 2), en la cual declaró que Uruguay dio cumplimiento total a </w:t>
      </w:r>
      <w:r w:rsidR="009A3509">
        <w:rPr>
          <w:rFonts w:ascii="Verdana" w:hAnsi="Verdana"/>
          <w:sz w:val="20"/>
        </w:rPr>
        <w:t>cinco</w:t>
      </w:r>
      <w:r w:rsidRPr="00A03810">
        <w:rPr>
          <w:rFonts w:ascii="Verdana" w:hAnsi="Verdana"/>
          <w:sz w:val="20"/>
        </w:rPr>
        <w:t xml:space="preserve"> medidas</w:t>
      </w:r>
      <w:r w:rsidR="009A3509">
        <w:rPr>
          <w:rFonts w:ascii="Verdana" w:hAnsi="Verdana"/>
          <w:sz w:val="20"/>
        </w:rPr>
        <w:t xml:space="preserve"> de reparación</w:t>
      </w:r>
      <w:r w:rsidRPr="00A03810">
        <w:rPr>
          <w:rStyle w:val="Refdenotaalpie"/>
          <w:rFonts w:ascii="Verdana" w:hAnsi="Verdana"/>
          <w:sz w:val="20"/>
        </w:rPr>
        <w:footnoteReference w:id="8"/>
      </w:r>
      <w:r w:rsidR="00A22676">
        <w:rPr>
          <w:rFonts w:ascii="Verdana" w:hAnsi="Verdana"/>
          <w:sz w:val="20"/>
        </w:rPr>
        <w:t>.</w:t>
      </w:r>
      <w:r w:rsidRPr="00A03810">
        <w:rPr>
          <w:rFonts w:ascii="Verdana" w:hAnsi="Verdana"/>
          <w:sz w:val="20"/>
        </w:rPr>
        <w:t xml:space="preserve"> </w:t>
      </w:r>
      <w:r w:rsidR="00A22676">
        <w:rPr>
          <w:rFonts w:ascii="Verdana" w:hAnsi="Verdana"/>
          <w:sz w:val="20"/>
        </w:rPr>
        <w:t>S</w:t>
      </w:r>
      <w:r w:rsidRPr="00A03810">
        <w:rPr>
          <w:rFonts w:ascii="Verdana" w:hAnsi="Verdana"/>
          <w:sz w:val="20"/>
        </w:rPr>
        <w:t xml:space="preserve">e encontraban pendientes de cumplimiento otras </w:t>
      </w:r>
      <w:r w:rsidR="00A22676">
        <w:rPr>
          <w:rFonts w:ascii="Verdana" w:hAnsi="Verdana"/>
          <w:sz w:val="20"/>
        </w:rPr>
        <w:t>siete</w:t>
      </w:r>
      <w:r w:rsidR="009A3509">
        <w:rPr>
          <w:rFonts w:ascii="Verdana" w:hAnsi="Verdana"/>
          <w:sz w:val="20"/>
        </w:rPr>
        <w:t xml:space="preserve"> </w:t>
      </w:r>
      <w:r w:rsidR="009A3509" w:rsidRPr="00B97E82">
        <w:rPr>
          <w:rFonts w:ascii="Verdana" w:hAnsi="Verdana"/>
          <w:sz w:val="20"/>
        </w:rPr>
        <w:t>(</w:t>
      </w:r>
      <w:r w:rsidR="009A3509" w:rsidRPr="00B97E82">
        <w:rPr>
          <w:rFonts w:ascii="Verdana" w:hAnsi="Verdana"/>
          <w:i/>
          <w:iCs/>
          <w:sz w:val="20"/>
        </w:rPr>
        <w:t>infra</w:t>
      </w:r>
      <w:r w:rsidR="009A3509" w:rsidRPr="00B97E82">
        <w:rPr>
          <w:rFonts w:ascii="Verdana" w:hAnsi="Verdana"/>
          <w:sz w:val="20"/>
        </w:rPr>
        <w:t xml:space="preserve"> Considerandos </w:t>
      </w:r>
      <w:r w:rsidR="00880C76" w:rsidRPr="009836D5">
        <w:rPr>
          <w:rFonts w:ascii="Verdana" w:hAnsi="Verdana"/>
          <w:sz w:val="20"/>
        </w:rPr>
        <w:t>4,</w:t>
      </w:r>
      <w:r w:rsidR="00FF1D7B" w:rsidRPr="00F21EA9">
        <w:rPr>
          <w:rFonts w:ascii="Verdana" w:hAnsi="Verdana"/>
          <w:sz w:val="20"/>
        </w:rPr>
        <w:t xml:space="preserve"> 5, 21, 34, 42, 50 y 57</w:t>
      </w:r>
      <w:r w:rsidR="00880C76" w:rsidRPr="00B97E82">
        <w:rPr>
          <w:rFonts w:ascii="Verdana" w:hAnsi="Verdana"/>
          <w:sz w:val="20"/>
        </w:rPr>
        <w:t>).</w:t>
      </w:r>
      <w:r w:rsidR="00880C76">
        <w:rPr>
          <w:rFonts w:ascii="Verdana" w:hAnsi="Verdana"/>
          <w:sz w:val="20"/>
        </w:rPr>
        <w:t xml:space="preserve"> </w:t>
      </w:r>
    </w:p>
    <w:p w14:paraId="11BC020E" w14:textId="19156505" w:rsidR="00C52DAF" w:rsidRPr="00C52DAF" w:rsidRDefault="00C52DAF" w:rsidP="0080098C">
      <w:pPr>
        <w:pStyle w:val="NormalWeb"/>
        <w:numPr>
          <w:ilvl w:val="0"/>
          <w:numId w:val="4"/>
        </w:numPr>
        <w:spacing w:before="120" w:after="120"/>
        <w:ind w:left="0" w:firstLine="0"/>
        <w:jc w:val="both"/>
        <w:rPr>
          <w:rFonts w:ascii="Verdana" w:hAnsi="Verdana" w:cs="Calibri"/>
          <w:color w:val="000000"/>
          <w:sz w:val="16"/>
          <w:szCs w:val="20"/>
        </w:rPr>
      </w:pPr>
      <w:r w:rsidRPr="00C52DAF">
        <w:rPr>
          <w:rFonts w:ascii="Verdana" w:hAnsi="Verdana"/>
          <w:sz w:val="20"/>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rPr>
        <w:t>de la Sentencia en su conjunto</w:t>
      </w:r>
      <w:r>
        <w:rPr>
          <w:rStyle w:val="Refdenotaalpie"/>
          <w:rFonts w:ascii="Verdana" w:hAnsi="Verdana"/>
          <w:sz w:val="20"/>
        </w:rPr>
        <w:footnoteReference w:id="9"/>
      </w:r>
      <w:r w:rsidRPr="00C52DAF">
        <w:rPr>
          <w:rFonts w:ascii="Verdana" w:hAnsi="Verdana"/>
          <w:sz w:val="20"/>
        </w:rPr>
        <w:t>. Los Estados Parte en la Convención deben garantizar el cumplimiento de las disposiciones convencionales y sus efectos propios (</w:t>
      </w:r>
      <w:proofErr w:type="spellStart"/>
      <w:r w:rsidRPr="00C52DAF">
        <w:rPr>
          <w:rFonts w:ascii="Verdana" w:hAnsi="Verdana"/>
          <w:i/>
          <w:sz w:val="20"/>
        </w:rPr>
        <w:t>effet</w:t>
      </w:r>
      <w:proofErr w:type="spellEnd"/>
      <w:r w:rsidRPr="00C52DAF">
        <w:rPr>
          <w:rFonts w:ascii="Verdana" w:hAnsi="Verdana"/>
          <w:i/>
          <w:sz w:val="20"/>
        </w:rPr>
        <w:t xml:space="preserve"> </w:t>
      </w:r>
      <w:proofErr w:type="spellStart"/>
      <w:r w:rsidRPr="00C52DAF">
        <w:rPr>
          <w:rFonts w:ascii="Verdana" w:hAnsi="Verdana"/>
          <w:i/>
          <w:sz w:val="20"/>
        </w:rPr>
        <w:t>utile</w:t>
      </w:r>
      <w:proofErr w:type="spellEnd"/>
      <w:r w:rsidRPr="00C52DAF">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los trat</w:t>
      </w:r>
      <w:r w:rsidR="00600F0E">
        <w:rPr>
          <w:rFonts w:ascii="Verdana" w:hAnsi="Verdana"/>
          <w:sz w:val="20"/>
        </w:rPr>
        <w:t>ados de derechos humanos</w:t>
      </w:r>
      <w:r w:rsidR="00600F0E">
        <w:rPr>
          <w:rStyle w:val="Refdenotaalpie"/>
          <w:rFonts w:ascii="Verdana" w:hAnsi="Verdana"/>
          <w:sz w:val="20"/>
        </w:rPr>
        <w:footnoteReference w:id="10"/>
      </w:r>
      <w:r>
        <w:rPr>
          <w:rFonts w:ascii="Verdana" w:hAnsi="Verdana"/>
          <w:sz w:val="20"/>
        </w:rPr>
        <w:t xml:space="preserve">. </w:t>
      </w:r>
    </w:p>
    <w:p w14:paraId="38FE9EBE" w14:textId="0211E600" w:rsidR="00652C00" w:rsidRPr="00A37A6A" w:rsidRDefault="00C52DAF" w:rsidP="0080098C">
      <w:pPr>
        <w:pStyle w:val="NormalWeb"/>
        <w:numPr>
          <w:ilvl w:val="0"/>
          <w:numId w:val="4"/>
        </w:numPr>
        <w:spacing w:before="120" w:after="120"/>
        <w:ind w:left="0" w:firstLine="0"/>
        <w:jc w:val="both"/>
        <w:rPr>
          <w:rFonts w:ascii="Verdana" w:hAnsi="Verdana" w:cs="Calibri"/>
          <w:color w:val="000000"/>
          <w:sz w:val="18"/>
          <w:szCs w:val="18"/>
        </w:rPr>
      </w:pPr>
      <w:r w:rsidRPr="00C52DAF">
        <w:rPr>
          <w:rFonts w:ascii="Verdana" w:hAnsi="Verdana"/>
          <w:sz w:val="20"/>
        </w:rPr>
        <w:t xml:space="preserve">En </w:t>
      </w:r>
      <w:r w:rsidR="00D537DF">
        <w:rPr>
          <w:rFonts w:ascii="Verdana" w:hAnsi="Verdana"/>
          <w:sz w:val="20"/>
        </w:rPr>
        <w:t xml:space="preserve">la presente </w:t>
      </w:r>
      <w:r w:rsidRPr="00C52DAF">
        <w:rPr>
          <w:rFonts w:ascii="Verdana" w:hAnsi="Verdana"/>
          <w:sz w:val="20"/>
        </w:rPr>
        <w:t xml:space="preserve">Resolución, la Corte valorará la información presentada por las partes y la Comisión respecto de </w:t>
      </w:r>
      <w:r w:rsidR="00D537DF">
        <w:rPr>
          <w:rFonts w:ascii="Verdana" w:hAnsi="Verdana"/>
          <w:sz w:val="20"/>
        </w:rPr>
        <w:t>siete</w:t>
      </w:r>
      <w:r w:rsidRPr="00C52DAF">
        <w:rPr>
          <w:rFonts w:ascii="Verdana" w:hAnsi="Verdana"/>
          <w:sz w:val="20"/>
        </w:rPr>
        <w:t xml:space="preserve"> medidas</w:t>
      </w:r>
      <w:r w:rsidR="00D537DF">
        <w:rPr>
          <w:rFonts w:ascii="Verdana" w:hAnsi="Verdana"/>
          <w:sz w:val="20"/>
        </w:rPr>
        <w:t xml:space="preserve"> de reparación </w:t>
      </w:r>
      <w:r w:rsidRPr="00C52DAF">
        <w:rPr>
          <w:rFonts w:ascii="Verdana" w:hAnsi="Verdana"/>
          <w:sz w:val="20"/>
        </w:rPr>
        <w:t>pendientes en este caso</w:t>
      </w:r>
      <w:r w:rsidRPr="004C7807">
        <w:rPr>
          <w:rFonts w:ascii="Verdana" w:hAnsi="Verdana"/>
          <w:sz w:val="20"/>
        </w:rPr>
        <w:t xml:space="preserve">. </w:t>
      </w:r>
      <w:r w:rsidR="00652C00" w:rsidRPr="004C7807">
        <w:rPr>
          <w:rFonts w:ascii="Verdana" w:hAnsi="Verdana"/>
          <w:sz w:val="20"/>
        </w:rPr>
        <w:t>Para ello, se tomará en cuenta fundamentalmente la información recibida durante la audiencia privada de supervisión celebrada en septiembre de 2019 y con posterioridad a la misma.</w:t>
      </w:r>
      <w:r w:rsidR="00652C00">
        <w:rPr>
          <w:rFonts w:ascii="Verdana" w:hAnsi="Verdana" w:cs="Calibri"/>
          <w:color w:val="000000"/>
          <w:sz w:val="20"/>
          <w:szCs w:val="20"/>
        </w:rPr>
        <w:t xml:space="preserve"> </w:t>
      </w:r>
      <w:r w:rsidR="00001366" w:rsidRPr="0043404E">
        <w:rPr>
          <w:rFonts w:ascii="Verdana" w:hAnsi="Verdana" w:cs="Calibri"/>
          <w:color w:val="000000"/>
          <w:sz w:val="20"/>
          <w:szCs w:val="20"/>
        </w:rPr>
        <w:t xml:space="preserve">En </w:t>
      </w:r>
      <w:r w:rsidR="00AD5B63" w:rsidRPr="0043404E">
        <w:rPr>
          <w:rFonts w:ascii="Verdana" w:hAnsi="Verdana" w:cs="Calibri"/>
          <w:color w:val="000000"/>
          <w:sz w:val="20"/>
          <w:szCs w:val="20"/>
        </w:rPr>
        <w:t>dicha audiencia el Estado reconoci</w:t>
      </w:r>
      <w:r w:rsidR="00001366" w:rsidRPr="0043404E">
        <w:rPr>
          <w:rFonts w:ascii="Verdana" w:hAnsi="Verdana" w:cs="Calibri"/>
          <w:color w:val="000000"/>
          <w:sz w:val="20"/>
          <w:szCs w:val="20"/>
        </w:rPr>
        <w:t>ó</w:t>
      </w:r>
      <w:r w:rsidR="00AD5B63" w:rsidRPr="0043404E">
        <w:rPr>
          <w:rFonts w:ascii="Verdana" w:hAnsi="Verdana" w:cs="Calibri"/>
          <w:color w:val="000000"/>
          <w:sz w:val="20"/>
          <w:szCs w:val="20"/>
        </w:rPr>
        <w:t xml:space="preserve"> que los avances en las reparaciones pendientes no son suficientes para alcanzar</w:t>
      </w:r>
      <w:r w:rsidR="006D3B1C" w:rsidRPr="0043404E">
        <w:rPr>
          <w:rFonts w:ascii="Verdana" w:hAnsi="Verdana" w:cs="Calibri"/>
          <w:color w:val="000000"/>
          <w:sz w:val="20"/>
          <w:szCs w:val="20"/>
        </w:rPr>
        <w:t xml:space="preserve"> aún</w:t>
      </w:r>
      <w:r w:rsidR="00AD5B63" w:rsidRPr="0043404E">
        <w:rPr>
          <w:rFonts w:ascii="Verdana" w:hAnsi="Verdana" w:cs="Calibri"/>
          <w:color w:val="000000"/>
          <w:sz w:val="20"/>
          <w:szCs w:val="20"/>
        </w:rPr>
        <w:t xml:space="preserve"> su total cumplimiento</w:t>
      </w:r>
      <w:r w:rsidR="00001366" w:rsidRPr="0043404E">
        <w:rPr>
          <w:rFonts w:ascii="Verdana" w:hAnsi="Verdana" w:cs="Calibri"/>
          <w:color w:val="000000"/>
          <w:sz w:val="20"/>
          <w:szCs w:val="20"/>
        </w:rPr>
        <w:t xml:space="preserve">. Aun cuando la Corte valora el </w:t>
      </w:r>
      <w:r w:rsidR="001937E7" w:rsidRPr="0043404E">
        <w:rPr>
          <w:rFonts w:ascii="Verdana" w:hAnsi="Verdana" w:cs="Calibri"/>
          <w:color w:val="000000"/>
          <w:sz w:val="20"/>
          <w:szCs w:val="20"/>
        </w:rPr>
        <w:t xml:space="preserve">compromiso expresado </w:t>
      </w:r>
      <w:r w:rsidR="00001366" w:rsidRPr="0043404E">
        <w:rPr>
          <w:rFonts w:ascii="Verdana" w:hAnsi="Verdana" w:cs="Calibri"/>
          <w:color w:val="000000"/>
          <w:sz w:val="20"/>
          <w:szCs w:val="20"/>
        </w:rPr>
        <w:t xml:space="preserve">por Uruguay </w:t>
      </w:r>
      <w:r w:rsidR="001937E7" w:rsidRPr="0043404E">
        <w:rPr>
          <w:rFonts w:ascii="Verdana" w:hAnsi="Verdana" w:cs="Calibri"/>
          <w:color w:val="000000"/>
          <w:sz w:val="20"/>
          <w:szCs w:val="20"/>
        </w:rPr>
        <w:t>en dicha audiencia</w:t>
      </w:r>
      <w:r w:rsidR="00001366" w:rsidRPr="0043404E">
        <w:rPr>
          <w:rFonts w:ascii="Verdana" w:hAnsi="Verdana" w:cs="Calibri"/>
          <w:color w:val="000000"/>
          <w:sz w:val="20"/>
          <w:szCs w:val="20"/>
        </w:rPr>
        <w:t xml:space="preserve"> respecto a </w:t>
      </w:r>
      <w:r w:rsidR="001937E7" w:rsidRPr="0043404E">
        <w:rPr>
          <w:rFonts w:ascii="Verdana" w:hAnsi="Verdana" w:cs="Calibri"/>
          <w:color w:val="000000"/>
          <w:sz w:val="20"/>
          <w:szCs w:val="20"/>
        </w:rPr>
        <w:t>implementa</w:t>
      </w:r>
      <w:r w:rsidR="00FA704A" w:rsidRPr="0043404E">
        <w:rPr>
          <w:rFonts w:ascii="Verdana" w:hAnsi="Verdana" w:cs="Calibri"/>
          <w:color w:val="000000"/>
          <w:sz w:val="20"/>
          <w:szCs w:val="20"/>
        </w:rPr>
        <w:t>r</w:t>
      </w:r>
      <w:r w:rsidR="001937E7" w:rsidRPr="0043404E">
        <w:rPr>
          <w:rFonts w:ascii="Verdana" w:hAnsi="Verdana" w:cs="Calibri"/>
          <w:color w:val="000000"/>
          <w:sz w:val="20"/>
          <w:szCs w:val="20"/>
        </w:rPr>
        <w:t xml:space="preserve"> </w:t>
      </w:r>
      <w:r w:rsidR="00001366" w:rsidRPr="0043404E">
        <w:rPr>
          <w:rFonts w:ascii="Verdana" w:hAnsi="Verdana" w:cs="Calibri"/>
          <w:color w:val="000000"/>
          <w:sz w:val="20"/>
          <w:szCs w:val="20"/>
        </w:rPr>
        <w:t xml:space="preserve">las reparaciones </w:t>
      </w:r>
      <w:r w:rsidR="006D3B1C" w:rsidRPr="0043404E">
        <w:rPr>
          <w:rFonts w:ascii="Verdana" w:hAnsi="Verdana" w:cs="Calibri"/>
          <w:color w:val="000000"/>
          <w:sz w:val="20"/>
          <w:szCs w:val="20"/>
        </w:rPr>
        <w:t xml:space="preserve">en su totalidad </w:t>
      </w:r>
      <w:r w:rsidR="001937E7" w:rsidRPr="0043404E">
        <w:rPr>
          <w:rFonts w:ascii="Verdana" w:hAnsi="Verdana" w:cs="Calibri"/>
          <w:color w:val="000000"/>
          <w:sz w:val="20"/>
          <w:szCs w:val="20"/>
        </w:rPr>
        <w:t>con mayor celeridad</w:t>
      </w:r>
      <w:r w:rsidR="00001366" w:rsidRPr="0043404E">
        <w:rPr>
          <w:rFonts w:ascii="Verdana" w:hAnsi="Verdana" w:cs="Calibri"/>
          <w:color w:val="000000"/>
          <w:sz w:val="20"/>
          <w:szCs w:val="20"/>
        </w:rPr>
        <w:t>, el Tribunal considera preocupante que han transcurrido más de siete años desde la primera resolución de supervisión de cumplimiento (</w:t>
      </w:r>
      <w:r w:rsidR="00001366" w:rsidRPr="0043404E">
        <w:rPr>
          <w:rFonts w:ascii="Verdana" w:hAnsi="Verdana" w:cs="Calibri"/>
          <w:i/>
          <w:color w:val="000000"/>
          <w:sz w:val="20"/>
          <w:szCs w:val="20"/>
        </w:rPr>
        <w:t>supra</w:t>
      </w:r>
      <w:r w:rsidR="00001366" w:rsidRPr="0043404E">
        <w:rPr>
          <w:rFonts w:ascii="Verdana" w:hAnsi="Verdana" w:cs="Calibri"/>
          <w:color w:val="000000"/>
          <w:sz w:val="20"/>
          <w:szCs w:val="20"/>
        </w:rPr>
        <w:t xml:space="preserve"> Visto 2) sin que el Estado haya logrado dar cumplimiento total a las reparaciones que desde ese entonces estaban pendientes (</w:t>
      </w:r>
      <w:r w:rsidR="00001366" w:rsidRPr="0043404E">
        <w:rPr>
          <w:rFonts w:ascii="Verdana" w:hAnsi="Verdana" w:cs="Calibri"/>
          <w:i/>
          <w:color w:val="000000"/>
          <w:sz w:val="20"/>
          <w:szCs w:val="20"/>
        </w:rPr>
        <w:t>infra</w:t>
      </w:r>
      <w:r w:rsidR="00001366" w:rsidRPr="0043404E">
        <w:rPr>
          <w:rFonts w:ascii="Verdana" w:hAnsi="Verdana" w:cs="Calibri"/>
          <w:color w:val="000000"/>
          <w:sz w:val="20"/>
          <w:szCs w:val="20"/>
        </w:rPr>
        <w:t xml:space="preserve"> puntos resolutivos 1 a 3). </w:t>
      </w:r>
    </w:p>
    <w:p w14:paraId="5CA8140A" w14:textId="4F002D35" w:rsidR="00FD11DF" w:rsidRPr="000111C2" w:rsidRDefault="00FD11DF" w:rsidP="0080098C">
      <w:pPr>
        <w:pStyle w:val="NormalWeb"/>
        <w:numPr>
          <w:ilvl w:val="0"/>
          <w:numId w:val="4"/>
        </w:numPr>
        <w:spacing w:before="120" w:after="120"/>
        <w:ind w:left="0" w:firstLine="0"/>
        <w:jc w:val="both"/>
        <w:rPr>
          <w:rFonts w:ascii="Verdana" w:hAnsi="Verdana" w:cs="Calibri"/>
          <w:color w:val="000000"/>
          <w:sz w:val="16"/>
          <w:szCs w:val="20"/>
        </w:rPr>
      </w:pPr>
      <w:r w:rsidRPr="00FD11DF">
        <w:rPr>
          <w:rFonts w:ascii="Verdana" w:hAnsi="Verdana"/>
          <w:sz w:val="20"/>
        </w:rPr>
        <w:t xml:space="preserve">La </w:t>
      </w:r>
      <w:r w:rsidR="00652C00">
        <w:rPr>
          <w:rFonts w:ascii="Verdana" w:hAnsi="Verdana"/>
          <w:sz w:val="20"/>
        </w:rPr>
        <w:t xml:space="preserve">Corte </w:t>
      </w:r>
      <w:r w:rsidRPr="00FD11DF">
        <w:rPr>
          <w:rFonts w:ascii="Verdana" w:hAnsi="Verdana"/>
          <w:sz w:val="20"/>
        </w:rPr>
        <w:t xml:space="preserve">estructurará </w:t>
      </w:r>
      <w:r w:rsidR="00652C00">
        <w:rPr>
          <w:rFonts w:ascii="Verdana" w:hAnsi="Verdana"/>
          <w:sz w:val="20"/>
        </w:rPr>
        <w:t xml:space="preserve">sus consideraciones </w:t>
      </w:r>
      <w:r w:rsidRPr="00FD11DF">
        <w:rPr>
          <w:rFonts w:ascii="Verdana" w:hAnsi="Verdana"/>
          <w:sz w:val="20"/>
        </w:rPr>
        <w:t xml:space="preserve">en el siguiente orden: </w:t>
      </w:r>
    </w:p>
    <w:p w14:paraId="2BC46B46" w14:textId="38252490" w:rsidR="00003773" w:rsidRPr="00B82875" w:rsidRDefault="003060A6" w:rsidP="00B82875">
      <w:pPr>
        <w:pStyle w:val="TDC1"/>
        <w:ind w:right="1043"/>
        <w:rPr>
          <w:rFonts w:eastAsiaTheme="minorEastAsia"/>
          <w:noProof/>
          <w:sz w:val="16"/>
          <w:szCs w:val="16"/>
          <w:lang w:eastAsia="es-CR"/>
        </w:rPr>
      </w:pPr>
      <w:r w:rsidRPr="00891B14">
        <w:rPr>
          <w:rFonts w:cs="Calibri"/>
          <w:color w:val="000000"/>
        </w:rPr>
        <w:fldChar w:fldCharType="begin"/>
      </w:r>
      <w:r w:rsidRPr="00891B14">
        <w:rPr>
          <w:rFonts w:cs="Calibri"/>
          <w:color w:val="000000"/>
        </w:rPr>
        <w:instrText xml:space="preserve"> TOC \o "1-1" \h \z \u </w:instrText>
      </w:r>
      <w:r w:rsidRPr="00891B14">
        <w:rPr>
          <w:rFonts w:cs="Calibri"/>
          <w:color w:val="000000"/>
        </w:rPr>
        <w:fldChar w:fldCharType="separate"/>
      </w:r>
      <w:hyperlink w:anchor="_Toc51857566" w:history="1">
        <w:r w:rsidR="00003773" w:rsidRPr="00B82875">
          <w:rPr>
            <w:rStyle w:val="Hipervnculo"/>
            <w:rFonts w:ascii="Verdana" w:hAnsi="Verdana"/>
            <w:i/>
            <w:noProof/>
            <w:sz w:val="16"/>
            <w:szCs w:val="16"/>
          </w:rPr>
          <w:t>A.</w:t>
        </w:r>
        <w:r w:rsidR="00003773" w:rsidRPr="00B82875">
          <w:rPr>
            <w:rFonts w:eastAsiaTheme="minorEastAsia"/>
            <w:noProof/>
            <w:sz w:val="16"/>
            <w:szCs w:val="16"/>
            <w:lang w:eastAsia="es-CR"/>
          </w:rPr>
          <w:tab/>
        </w:r>
        <w:r w:rsidR="00003773" w:rsidRPr="00B82875">
          <w:rPr>
            <w:rStyle w:val="Hipervnculo"/>
            <w:rFonts w:ascii="Verdana" w:hAnsi="Verdana"/>
            <w:i/>
            <w:noProof/>
            <w:sz w:val="16"/>
            <w:szCs w:val="16"/>
          </w:rPr>
          <w:t>Investigar los hechos del caso, determinar las correspondientes responsabilidades y aplicar las sanciones que la ley prevea</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_Toc51857566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4</w:t>
        </w:r>
        <w:r w:rsidR="00003773" w:rsidRPr="00B82875">
          <w:rPr>
            <w:noProof/>
            <w:webHidden/>
            <w:sz w:val="16"/>
            <w:szCs w:val="16"/>
          </w:rPr>
          <w:fldChar w:fldCharType="end"/>
        </w:r>
      </w:hyperlink>
    </w:p>
    <w:p w14:paraId="29542CFB" w14:textId="536C5B2D" w:rsidR="00003773" w:rsidRPr="00B82875" w:rsidRDefault="00946CB0" w:rsidP="00B82875">
      <w:pPr>
        <w:pStyle w:val="TDC1"/>
        <w:ind w:right="1043"/>
        <w:rPr>
          <w:rFonts w:eastAsiaTheme="minorEastAsia"/>
          <w:noProof/>
          <w:sz w:val="16"/>
          <w:szCs w:val="16"/>
          <w:lang w:eastAsia="es-CR"/>
        </w:rPr>
      </w:pPr>
      <w:hyperlink w:anchor="_Toc51857567" w:history="1">
        <w:r w:rsidR="00003773" w:rsidRPr="00B82875">
          <w:rPr>
            <w:rStyle w:val="Hipervnculo"/>
            <w:rFonts w:ascii="Verdana" w:hAnsi="Verdana"/>
            <w:i/>
            <w:noProof/>
            <w:sz w:val="16"/>
            <w:szCs w:val="16"/>
          </w:rPr>
          <w:t>B.</w:t>
        </w:r>
        <w:r w:rsidR="00003773" w:rsidRPr="00B82875">
          <w:rPr>
            <w:rFonts w:eastAsiaTheme="minorEastAsia"/>
            <w:noProof/>
            <w:sz w:val="16"/>
            <w:szCs w:val="16"/>
            <w:lang w:eastAsia="es-CR"/>
          </w:rPr>
          <w:tab/>
        </w:r>
        <w:r w:rsidR="00003773" w:rsidRPr="00B82875">
          <w:rPr>
            <w:rStyle w:val="Hipervnculo"/>
            <w:rFonts w:ascii="Verdana" w:hAnsi="Verdana"/>
            <w:i/>
            <w:noProof/>
            <w:sz w:val="16"/>
            <w:szCs w:val="16"/>
          </w:rPr>
          <w:t>Garantizar que la Ley de Caducidad de la Pretensión Punitiva del Estado no vuelva a representar un obstáculo</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_Toc51857567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9</w:t>
        </w:r>
        <w:r w:rsidR="00003773" w:rsidRPr="00B82875">
          <w:rPr>
            <w:noProof/>
            <w:webHidden/>
            <w:sz w:val="16"/>
            <w:szCs w:val="16"/>
          </w:rPr>
          <w:fldChar w:fldCharType="end"/>
        </w:r>
      </w:hyperlink>
    </w:p>
    <w:p w14:paraId="1D4E56C7" w14:textId="3D18F8B7" w:rsidR="00003773" w:rsidRPr="00B82875" w:rsidRDefault="00946CB0" w:rsidP="00B82875">
      <w:pPr>
        <w:pStyle w:val="TDC1"/>
        <w:ind w:right="1043"/>
        <w:rPr>
          <w:rFonts w:eastAsiaTheme="minorEastAsia"/>
          <w:noProof/>
          <w:sz w:val="16"/>
          <w:szCs w:val="16"/>
          <w:lang w:eastAsia="es-CR"/>
        </w:rPr>
      </w:pPr>
      <w:hyperlink w:anchor="_Toc51857568" w:history="1">
        <w:r w:rsidR="00003773" w:rsidRPr="00B82875">
          <w:rPr>
            <w:rStyle w:val="Hipervnculo"/>
            <w:rFonts w:ascii="Verdana" w:hAnsi="Verdana"/>
            <w:i/>
            <w:noProof/>
            <w:sz w:val="16"/>
            <w:szCs w:val="16"/>
          </w:rPr>
          <w:t>C.</w:t>
        </w:r>
        <w:r w:rsidR="00003773" w:rsidRPr="00B82875">
          <w:rPr>
            <w:rFonts w:eastAsiaTheme="minorEastAsia"/>
            <w:noProof/>
            <w:sz w:val="16"/>
            <w:szCs w:val="16"/>
            <w:lang w:eastAsia="es-CR"/>
          </w:rPr>
          <w:tab/>
        </w:r>
        <w:r w:rsidR="00003773" w:rsidRPr="00B82875">
          <w:rPr>
            <w:rStyle w:val="Hipervnculo"/>
            <w:rFonts w:ascii="Verdana" w:hAnsi="Verdana" w:cs="Calibri"/>
            <w:i/>
            <w:noProof/>
            <w:sz w:val="16"/>
            <w:szCs w:val="16"/>
          </w:rPr>
          <w:t>Búsqueda y localización de María Claudia García o de sus restos mortales</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_Toc51857568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13</w:t>
        </w:r>
        <w:r w:rsidR="00003773" w:rsidRPr="00B82875">
          <w:rPr>
            <w:noProof/>
            <w:webHidden/>
            <w:sz w:val="16"/>
            <w:szCs w:val="16"/>
          </w:rPr>
          <w:fldChar w:fldCharType="end"/>
        </w:r>
      </w:hyperlink>
    </w:p>
    <w:p w14:paraId="6163CF9B" w14:textId="61A64EE9" w:rsidR="00003773" w:rsidRPr="00B82875" w:rsidRDefault="00946CB0" w:rsidP="00B82875">
      <w:pPr>
        <w:pStyle w:val="TDC1"/>
        <w:ind w:right="1043"/>
        <w:rPr>
          <w:rFonts w:eastAsiaTheme="minorEastAsia"/>
          <w:noProof/>
          <w:sz w:val="16"/>
          <w:szCs w:val="16"/>
          <w:lang w:eastAsia="es-CR"/>
        </w:rPr>
      </w:pPr>
      <w:hyperlink w:anchor="_Toc51857569" w:history="1">
        <w:r w:rsidR="00003773" w:rsidRPr="00B82875">
          <w:rPr>
            <w:rStyle w:val="Hipervnculo"/>
            <w:rFonts w:ascii="Verdana" w:hAnsi="Verdana"/>
            <w:i/>
            <w:noProof/>
            <w:sz w:val="16"/>
            <w:szCs w:val="16"/>
          </w:rPr>
          <w:t>D.</w:t>
        </w:r>
        <w:r w:rsidR="00003773" w:rsidRPr="00B82875">
          <w:rPr>
            <w:rFonts w:eastAsiaTheme="minorEastAsia"/>
            <w:noProof/>
            <w:sz w:val="16"/>
            <w:szCs w:val="16"/>
            <w:lang w:eastAsia="es-CR"/>
          </w:rPr>
          <w:tab/>
        </w:r>
        <w:r w:rsidR="00003773" w:rsidRPr="00B82875">
          <w:rPr>
            <w:rStyle w:val="Hipervnculo"/>
            <w:rFonts w:ascii="Verdana" w:hAnsi="Verdana"/>
            <w:i/>
            <w:noProof/>
            <w:sz w:val="16"/>
            <w:szCs w:val="16"/>
          </w:rPr>
          <w:t>Capacitación en derechos humanos dirigida a agentes del Ministerio Público y jueces del Poder Judicial</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_Toc51857569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16</w:t>
        </w:r>
        <w:r w:rsidR="00003773" w:rsidRPr="00B82875">
          <w:rPr>
            <w:noProof/>
            <w:webHidden/>
            <w:sz w:val="16"/>
            <w:szCs w:val="16"/>
          </w:rPr>
          <w:fldChar w:fldCharType="end"/>
        </w:r>
      </w:hyperlink>
    </w:p>
    <w:p w14:paraId="4D2059CE" w14:textId="38A6A51E" w:rsidR="00003773" w:rsidRPr="00B82875" w:rsidRDefault="00946CB0" w:rsidP="00B82875">
      <w:pPr>
        <w:pStyle w:val="TDC1"/>
        <w:ind w:right="1043"/>
        <w:rPr>
          <w:rFonts w:eastAsiaTheme="minorEastAsia"/>
          <w:noProof/>
          <w:sz w:val="16"/>
          <w:szCs w:val="16"/>
          <w:lang w:eastAsia="es-CR"/>
        </w:rPr>
      </w:pPr>
      <w:hyperlink w:anchor="_Toc51857570" w:history="1">
        <w:r w:rsidR="00003773" w:rsidRPr="00B82875">
          <w:rPr>
            <w:rStyle w:val="Hipervnculo"/>
            <w:rFonts w:ascii="Verdana" w:hAnsi="Verdana"/>
            <w:i/>
            <w:noProof/>
            <w:sz w:val="16"/>
            <w:szCs w:val="16"/>
          </w:rPr>
          <w:t>E.</w:t>
        </w:r>
        <w:r w:rsidR="00003773" w:rsidRPr="00B82875">
          <w:rPr>
            <w:rFonts w:eastAsiaTheme="minorEastAsia"/>
            <w:noProof/>
            <w:sz w:val="16"/>
            <w:szCs w:val="16"/>
            <w:lang w:eastAsia="es-CR"/>
          </w:rPr>
          <w:tab/>
        </w:r>
        <w:r w:rsidR="00003773" w:rsidRPr="00B82875">
          <w:rPr>
            <w:rStyle w:val="Hipervnculo"/>
            <w:rFonts w:ascii="Verdana" w:hAnsi="Verdana"/>
            <w:i/>
            <w:noProof/>
            <w:sz w:val="16"/>
            <w:szCs w:val="16"/>
          </w:rPr>
          <w:t xml:space="preserve">Garantizar </w:t>
        </w:r>
        <w:r w:rsidR="00FE60FD" w:rsidRPr="00B82875">
          <w:rPr>
            <w:rStyle w:val="Hipervnculo"/>
            <w:rFonts w:ascii="Verdana" w:hAnsi="Verdana"/>
            <w:i/>
            <w:noProof/>
            <w:sz w:val="16"/>
            <w:szCs w:val="16"/>
          </w:rPr>
          <w:t xml:space="preserve">el </w:t>
        </w:r>
        <w:r w:rsidR="00003773" w:rsidRPr="00B82875">
          <w:rPr>
            <w:rStyle w:val="Hipervnculo"/>
            <w:rFonts w:ascii="Verdana" w:hAnsi="Verdana"/>
            <w:i/>
            <w:noProof/>
            <w:sz w:val="16"/>
            <w:szCs w:val="16"/>
          </w:rPr>
          <w:t>acceso a información acerca de las graves violaciones de derechos humanos ocurridas durante la dictadura</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_Toc51857570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18</w:t>
        </w:r>
        <w:r w:rsidR="00003773" w:rsidRPr="00B82875">
          <w:rPr>
            <w:noProof/>
            <w:webHidden/>
            <w:sz w:val="16"/>
            <w:szCs w:val="16"/>
          </w:rPr>
          <w:fldChar w:fldCharType="end"/>
        </w:r>
      </w:hyperlink>
    </w:p>
    <w:p w14:paraId="6D220E46" w14:textId="20DB4D16" w:rsidR="00003773" w:rsidRPr="00B82875" w:rsidRDefault="00946CB0" w:rsidP="00B82875">
      <w:pPr>
        <w:pStyle w:val="TDC1"/>
        <w:ind w:right="1043"/>
        <w:rPr>
          <w:rFonts w:eastAsiaTheme="minorEastAsia"/>
          <w:noProof/>
          <w:sz w:val="16"/>
          <w:szCs w:val="16"/>
          <w:lang w:eastAsia="es-CR"/>
        </w:rPr>
      </w:pPr>
      <w:hyperlink w:anchor="_Toc51857571" w:history="1">
        <w:r w:rsidR="00003773" w:rsidRPr="00B82875">
          <w:rPr>
            <w:rStyle w:val="Hipervnculo"/>
            <w:rFonts w:ascii="Verdana" w:hAnsi="Verdana"/>
            <w:i/>
            <w:noProof/>
            <w:sz w:val="16"/>
            <w:szCs w:val="16"/>
          </w:rPr>
          <w:t>F.</w:t>
        </w:r>
        <w:r w:rsidR="00003773" w:rsidRPr="00B82875">
          <w:rPr>
            <w:rFonts w:eastAsiaTheme="minorEastAsia"/>
            <w:noProof/>
            <w:sz w:val="16"/>
            <w:szCs w:val="16"/>
            <w:lang w:eastAsia="es-CR"/>
          </w:rPr>
          <w:tab/>
        </w:r>
        <w:r w:rsidR="00003773" w:rsidRPr="00B82875">
          <w:rPr>
            <w:rStyle w:val="Hipervnculo"/>
            <w:rFonts w:ascii="Verdana" w:hAnsi="Verdana"/>
            <w:i/>
            <w:noProof/>
            <w:sz w:val="16"/>
            <w:szCs w:val="16"/>
          </w:rPr>
          <w:t xml:space="preserve">Creación de </w:t>
        </w:r>
        <w:r w:rsidR="00EA3BB9" w:rsidRPr="00B82875">
          <w:rPr>
            <w:rStyle w:val="Hipervnculo"/>
            <w:rFonts w:ascii="Verdana" w:hAnsi="Verdana"/>
            <w:i/>
            <w:noProof/>
            <w:sz w:val="16"/>
            <w:szCs w:val="16"/>
          </w:rPr>
          <w:t xml:space="preserve">una </w:t>
        </w:r>
        <w:r w:rsidR="00003773" w:rsidRPr="00B82875">
          <w:rPr>
            <w:rStyle w:val="Hipervnculo"/>
            <w:rFonts w:ascii="Verdana" w:hAnsi="Verdana"/>
            <w:i/>
            <w:noProof/>
            <w:sz w:val="16"/>
            <w:szCs w:val="16"/>
          </w:rPr>
          <w:t xml:space="preserve">Comisión Interministerial para </w:t>
        </w:r>
        <w:r w:rsidR="00EA3BB9" w:rsidRPr="00B82875">
          <w:rPr>
            <w:rStyle w:val="Hipervnculo"/>
            <w:rFonts w:ascii="Verdana" w:hAnsi="Verdana"/>
            <w:i/>
            <w:noProof/>
            <w:sz w:val="16"/>
            <w:szCs w:val="16"/>
          </w:rPr>
          <w:t xml:space="preserve">dar </w:t>
        </w:r>
        <w:r w:rsidR="00003773" w:rsidRPr="00B82875">
          <w:rPr>
            <w:rStyle w:val="Hipervnculo"/>
            <w:rFonts w:ascii="Verdana" w:hAnsi="Verdana"/>
            <w:i/>
            <w:noProof/>
            <w:sz w:val="16"/>
            <w:szCs w:val="16"/>
          </w:rPr>
          <w:t xml:space="preserve">impulso a investigaciones sobre desaparecidos y </w:t>
        </w:r>
        <w:r w:rsidR="009322F2" w:rsidRPr="00B82875">
          <w:rPr>
            <w:rStyle w:val="Hipervnculo"/>
            <w:rFonts w:ascii="Verdana" w:hAnsi="Verdana"/>
            <w:i/>
            <w:noProof/>
            <w:sz w:val="16"/>
            <w:szCs w:val="16"/>
          </w:rPr>
          <w:t xml:space="preserve">adopción de un </w:t>
        </w:r>
        <w:r w:rsidR="00003773" w:rsidRPr="00B82875">
          <w:rPr>
            <w:rStyle w:val="Hipervnculo"/>
            <w:rFonts w:ascii="Verdana" w:hAnsi="Verdana"/>
            <w:i/>
            <w:noProof/>
            <w:sz w:val="16"/>
            <w:szCs w:val="16"/>
          </w:rPr>
          <w:t>protocolo para recolección e identificación de restos de personas desaparecidas</w:t>
        </w:r>
        <w:r w:rsidR="00003773" w:rsidRPr="00B82875">
          <w:rPr>
            <w:noProof/>
            <w:webHidden/>
            <w:sz w:val="16"/>
            <w:szCs w:val="16"/>
          </w:rPr>
          <w:tab/>
        </w:r>
        <w:r w:rsidR="00003773" w:rsidRPr="00B82875">
          <w:rPr>
            <w:noProof/>
            <w:webHidden/>
            <w:sz w:val="16"/>
            <w:szCs w:val="16"/>
          </w:rPr>
          <w:fldChar w:fldCharType="begin"/>
        </w:r>
        <w:r w:rsidR="00003773" w:rsidRPr="00B82875">
          <w:rPr>
            <w:noProof/>
            <w:webHidden/>
            <w:sz w:val="16"/>
            <w:szCs w:val="16"/>
          </w:rPr>
          <w:instrText xml:space="preserve"> PAGEREF _Toc51857571 \h </w:instrText>
        </w:r>
        <w:r w:rsidR="00003773" w:rsidRPr="00B82875">
          <w:rPr>
            <w:noProof/>
            <w:webHidden/>
            <w:sz w:val="16"/>
            <w:szCs w:val="16"/>
          </w:rPr>
        </w:r>
        <w:r w:rsidR="00003773" w:rsidRPr="00B82875">
          <w:rPr>
            <w:noProof/>
            <w:webHidden/>
            <w:sz w:val="16"/>
            <w:szCs w:val="16"/>
          </w:rPr>
          <w:fldChar w:fldCharType="separate"/>
        </w:r>
        <w:r w:rsidR="007F45CD">
          <w:rPr>
            <w:noProof/>
            <w:webHidden/>
            <w:sz w:val="16"/>
            <w:szCs w:val="16"/>
          </w:rPr>
          <w:t>20</w:t>
        </w:r>
        <w:r w:rsidR="00003773" w:rsidRPr="00B82875">
          <w:rPr>
            <w:noProof/>
            <w:webHidden/>
            <w:sz w:val="16"/>
            <w:szCs w:val="16"/>
          </w:rPr>
          <w:fldChar w:fldCharType="end"/>
        </w:r>
      </w:hyperlink>
    </w:p>
    <w:p w14:paraId="67583E74" w14:textId="74B438A6" w:rsidR="006D3B1C" w:rsidRPr="00F72688" w:rsidRDefault="003060A6" w:rsidP="00003773">
      <w:pPr>
        <w:pStyle w:val="NormalWeb"/>
        <w:spacing w:before="40" w:after="40"/>
        <w:rPr>
          <w:rFonts w:ascii="Verdana" w:hAnsi="Verdana" w:cs="Calibri"/>
          <w:color w:val="000000"/>
          <w:sz w:val="16"/>
          <w:szCs w:val="16"/>
        </w:rPr>
      </w:pPr>
      <w:r w:rsidRPr="00891B14">
        <w:rPr>
          <w:rFonts w:ascii="Verdana" w:hAnsi="Verdana" w:cs="Calibri"/>
          <w:color w:val="000000"/>
          <w:sz w:val="16"/>
          <w:szCs w:val="16"/>
        </w:rPr>
        <w:fldChar w:fldCharType="end"/>
      </w:r>
    </w:p>
    <w:p w14:paraId="0F02A829" w14:textId="4CA8DCEB" w:rsidR="005A64AA" w:rsidRPr="00505DA7" w:rsidRDefault="00E62AE4" w:rsidP="00E87B29">
      <w:pPr>
        <w:pStyle w:val="NormalWeb"/>
        <w:numPr>
          <w:ilvl w:val="0"/>
          <w:numId w:val="5"/>
        </w:numPr>
        <w:tabs>
          <w:tab w:val="left" w:pos="1134"/>
        </w:tabs>
        <w:spacing w:before="120" w:after="120"/>
        <w:jc w:val="both"/>
        <w:outlineLvl w:val="0"/>
        <w:rPr>
          <w:rFonts w:ascii="Verdana" w:hAnsi="Verdana" w:cs="Calibri"/>
          <w:b/>
          <w:i/>
          <w:color w:val="000000"/>
          <w:sz w:val="20"/>
          <w:szCs w:val="20"/>
        </w:rPr>
      </w:pPr>
      <w:bookmarkStart w:id="0" w:name="_Toc51857566"/>
      <w:r w:rsidRPr="00505DA7">
        <w:rPr>
          <w:rFonts w:ascii="Verdana" w:hAnsi="Verdana"/>
          <w:b/>
          <w:i/>
          <w:sz w:val="20"/>
        </w:rPr>
        <w:lastRenderedPageBreak/>
        <w:t xml:space="preserve">Investigar los hechos </w:t>
      </w:r>
      <w:r w:rsidR="003060A6" w:rsidRPr="00505DA7">
        <w:rPr>
          <w:rFonts w:ascii="Verdana" w:hAnsi="Verdana"/>
          <w:b/>
          <w:i/>
          <w:sz w:val="20"/>
        </w:rPr>
        <w:t>del caso, determinar las correspondientes responsabilidades y aplicar las sanciones que la ley prevea</w:t>
      </w:r>
      <w:bookmarkEnd w:id="0"/>
      <w:r w:rsidR="00A94D0B" w:rsidRPr="00505DA7">
        <w:rPr>
          <w:rFonts w:ascii="Verdana" w:hAnsi="Verdana"/>
          <w:b/>
          <w:i/>
          <w:sz w:val="20"/>
        </w:rPr>
        <w:t xml:space="preserve"> </w:t>
      </w:r>
    </w:p>
    <w:p w14:paraId="0007F802" w14:textId="250827F5" w:rsidR="00E62AE4" w:rsidRPr="005A64AA" w:rsidRDefault="00E62AE4" w:rsidP="00D460CF">
      <w:pPr>
        <w:pStyle w:val="NormalWeb"/>
        <w:spacing w:before="120" w:after="120"/>
        <w:ind w:left="851"/>
        <w:jc w:val="both"/>
        <w:rPr>
          <w:rFonts w:ascii="Verdana" w:hAnsi="Verdana" w:cs="Calibri"/>
          <w:b/>
          <w:i/>
          <w:color w:val="000000"/>
          <w:sz w:val="20"/>
          <w:szCs w:val="20"/>
        </w:rPr>
      </w:pPr>
      <w:bookmarkStart w:id="1" w:name="_Toc51266021"/>
      <w:r w:rsidRPr="005A64AA">
        <w:rPr>
          <w:rFonts w:ascii="Verdana" w:hAnsi="Verdana" w:cs="Calibri"/>
          <w:i/>
          <w:color w:val="000000"/>
          <w:sz w:val="20"/>
          <w:szCs w:val="20"/>
        </w:rPr>
        <w:t xml:space="preserve">A.1. </w:t>
      </w:r>
      <w:r w:rsidRPr="005A64AA">
        <w:rPr>
          <w:rFonts w:ascii="Verdana" w:hAnsi="Verdana"/>
          <w:i/>
          <w:sz w:val="20"/>
          <w:szCs w:val="20"/>
        </w:rPr>
        <w:t>Medida ordenada por la Corte y supervisión realizada en resolución anterior</w:t>
      </w:r>
      <w:bookmarkEnd w:id="1"/>
    </w:p>
    <w:p w14:paraId="11E393C3" w14:textId="29B01492" w:rsidR="009F5D0C" w:rsidRDefault="009F5D0C" w:rsidP="00D460CF">
      <w:pPr>
        <w:pStyle w:val="NormalWeb"/>
        <w:numPr>
          <w:ilvl w:val="0"/>
          <w:numId w:val="4"/>
        </w:numPr>
        <w:spacing w:before="120" w:after="120"/>
        <w:ind w:left="0" w:firstLine="0"/>
        <w:jc w:val="both"/>
        <w:rPr>
          <w:rFonts w:ascii="Verdana" w:hAnsi="Verdana" w:cs="Calibri"/>
          <w:color w:val="000000"/>
          <w:sz w:val="20"/>
          <w:szCs w:val="20"/>
        </w:rPr>
      </w:pPr>
      <w:r w:rsidRPr="009F5D0C">
        <w:rPr>
          <w:rFonts w:ascii="Verdana" w:hAnsi="Verdana" w:cs="Calibri"/>
          <w:color w:val="000000"/>
          <w:sz w:val="20"/>
          <w:szCs w:val="20"/>
        </w:rPr>
        <w:t xml:space="preserve">En el punto resolutivo noveno y los párrafos 252 a 256, 274 y 275 de la Sentencia, se dispuso que “[e]n un plazo razonable, el Estado debe conducir y llevar a término eficazmente la investigación de los hechos del presente caso, a fin de esclarecerlos, determinar las correspondientes responsabilidades penales y administrativas y aplicar las consecuentes </w:t>
      </w:r>
      <w:r w:rsidR="00CA3CF3">
        <w:rPr>
          <w:rFonts w:ascii="Verdana" w:hAnsi="Verdana" w:cs="Calibri"/>
          <w:color w:val="000000"/>
          <w:sz w:val="20"/>
          <w:szCs w:val="20"/>
        </w:rPr>
        <w:t>sanc</w:t>
      </w:r>
      <w:r w:rsidRPr="009F5D0C">
        <w:rPr>
          <w:rFonts w:ascii="Verdana" w:hAnsi="Verdana" w:cs="Calibri"/>
          <w:color w:val="000000"/>
          <w:sz w:val="20"/>
          <w:szCs w:val="20"/>
        </w:rPr>
        <w:t>iones que la ley prevea”.</w:t>
      </w:r>
      <w:r>
        <w:rPr>
          <w:rFonts w:ascii="Verdana" w:hAnsi="Verdana" w:cs="Calibri"/>
          <w:color w:val="000000"/>
          <w:sz w:val="20"/>
          <w:szCs w:val="20"/>
        </w:rPr>
        <w:t xml:space="preserve"> El Tribunal indicó que “en vista de los hechos probados y de conformidad con las violaciones declaradas […], el Estado debe investigar </w:t>
      </w:r>
      <w:r w:rsidR="00E73DE5">
        <w:rPr>
          <w:rFonts w:ascii="Verdana" w:hAnsi="Verdana" w:cs="Calibri"/>
          <w:color w:val="000000"/>
          <w:sz w:val="20"/>
          <w:szCs w:val="20"/>
        </w:rPr>
        <w:t>[…]</w:t>
      </w:r>
      <w:r>
        <w:rPr>
          <w:rFonts w:ascii="Verdana" w:hAnsi="Verdana" w:cs="Calibri"/>
          <w:color w:val="000000"/>
          <w:sz w:val="20"/>
          <w:szCs w:val="20"/>
        </w:rPr>
        <w:t xml:space="preserve"> la desaparición forzada de María Claudia García,</w:t>
      </w:r>
      <w:r w:rsidR="009836D5">
        <w:rPr>
          <w:rFonts w:ascii="Verdana" w:hAnsi="Verdana" w:cs="Calibri"/>
          <w:color w:val="000000"/>
          <w:sz w:val="20"/>
          <w:szCs w:val="20"/>
        </w:rPr>
        <w:t xml:space="preserve"> [y]</w:t>
      </w:r>
      <w:r>
        <w:rPr>
          <w:rFonts w:ascii="Verdana" w:hAnsi="Verdana" w:cs="Calibri"/>
          <w:color w:val="000000"/>
          <w:sz w:val="20"/>
          <w:szCs w:val="20"/>
        </w:rPr>
        <w:t xml:space="preserve"> la de María Macarena Gelman, esta última como consecuencia de la sustracción, supresión y sustitución de identidad, así como</w:t>
      </w:r>
      <w:r w:rsidR="009836D5">
        <w:rPr>
          <w:rFonts w:ascii="Verdana" w:hAnsi="Verdana" w:cs="Calibri"/>
          <w:color w:val="000000"/>
          <w:sz w:val="20"/>
          <w:szCs w:val="20"/>
        </w:rPr>
        <w:t xml:space="preserve"> de</w:t>
      </w:r>
      <w:r>
        <w:rPr>
          <w:rFonts w:ascii="Verdana" w:hAnsi="Verdana" w:cs="Calibri"/>
          <w:color w:val="000000"/>
          <w:sz w:val="20"/>
          <w:szCs w:val="20"/>
        </w:rPr>
        <w:t xml:space="preserve"> los hechos conexos”.</w:t>
      </w:r>
    </w:p>
    <w:p w14:paraId="54145E1C" w14:textId="7F6A9714" w:rsidR="007960AE" w:rsidRPr="00404E24" w:rsidRDefault="005A64AA" w:rsidP="00D460CF">
      <w:pPr>
        <w:pStyle w:val="NormalWeb"/>
        <w:numPr>
          <w:ilvl w:val="0"/>
          <w:numId w:val="4"/>
        </w:numPr>
        <w:spacing w:before="120" w:after="120"/>
        <w:ind w:left="0" w:firstLine="0"/>
        <w:jc w:val="both"/>
        <w:rPr>
          <w:rFonts w:ascii="Verdana" w:hAnsi="Verdana" w:cs="Calibri"/>
          <w:color w:val="000000"/>
          <w:sz w:val="20"/>
          <w:szCs w:val="20"/>
        </w:rPr>
      </w:pPr>
      <w:r>
        <w:rPr>
          <w:rFonts w:ascii="Verdana" w:hAnsi="Verdana" w:cs="Calibri"/>
          <w:color w:val="000000"/>
          <w:sz w:val="20"/>
          <w:szCs w:val="20"/>
        </w:rPr>
        <w:t>E</w:t>
      </w:r>
      <w:r w:rsidR="00E73DE5" w:rsidRPr="00404E24">
        <w:rPr>
          <w:rFonts w:ascii="Verdana" w:hAnsi="Verdana" w:cs="Calibri"/>
          <w:color w:val="000000"/>
          <w:sz w:val="20"/>
          <w:szCs w:val="20"/>
        </w:rPr>
        <w:t xml:space="preserve">n la Resolución de marzo de 2013, </w:t>
      </w:r>
      <w:r w:rsidR="007960AE" w:rsidRPr="00404E24">
        <w:rPr>
          <w:rFonts w:ascii="Verdana" w:hAnsi="Verdana" w:cs="Calibri"/>
          <w:color w:val="000000"/>
          <w:sz w:val="20"/>
          <w:szCs w:val="20"/>
        </w:rPr>
        <w:t>la Corte observó que “</w:t>
      </w:r>
      <w:r w:rsidR="007960AE" w:rsidRPr="00404E24">
        <w:rPr>
          <w:rFonts w:ascii="Verdana" w:hAnsi="Verdana"/>
          <w:sz w:val="20"/>
          <w:szCs w:val="20"/>
        </w:rPr>
        <w:t>el Estado ha</w:t>
      </w:r>
      <w:r w:rsidR="009836D5">
        <w:rPr>
          <w:rFonts w:ascii="Verdana" w:hAnsi="Verdana"/>
          <w:sz w:val="20"/>
          <w:szCs w:val="20"/>
        </w:rPr>
        <w:t>[</w:t>
      </w:r>
      <w:proofErr w:type="spellStart"/>
      <w:r w:rsidR="009836D5">
        <w:rPr>
          <w:rFonts w:ascii="Verdana" w:hAnsi="Verdana"/>
          <w:sz w:val="20"/>
          <w:szCs w:val="20"/>
        </w:rPr>
        <w:t>bía</w:t>
      </w:r>
      <w:proofErr w:type="spellEnd"/>
      <w:r w:rsidR="009836D5">
        <w:rPr>
          <w:rFonts w:ascii="Verdana" w:hAnsi="Verdana"/>
          <w:sz w:val="20"/>
          <w:szCs w:val="20"/>
        </w:rPr>
        <w:t>]</w:t>
      </w:r>
      <w:r w:rsidR="007960AE" w:rsidRPr="00404E24">
        <w:rPr>
          <w:rFonts w:ascii="Verdana" w:hAnsi="Verdana"/>
          <w:sz w:val="20"/>
          <w:szCs w:val="20"/>
        </w:rPr>
        <w:t xml:space="preserve"> iniciado acciones encaminadas al procesamiento de cinco de los presuntos responsables de los hechos del caso, pero aún se </w:t>
      </w:r>
      <w:proofErr w:type="spellStart"/>
      <w:r w:rsidR="009836D5" w:rsidRPr="00404E24">
        <w:rPr>
          <w:rFonts w:ascii="Verdana" w:hAnsi="Verdana"/>
          <w:sz w:val="20"/>
          <w:szCs w:val="20"/>
        </w:rPr>
        <w:t>enc</w:t>
      </w:r>
      <w:proofErr w:type="spellEnd"/>
      <w:r w:rsidR="009836D5">
        <w:rPr>
          <w:rFonts w:ascii="Verdana" w:hAnsi="Verdana"/>
          <w:sz w:val="20"/>
          <w:szCs w:val="20"/>
        </w:rPr>
        <w:t>[</w:t>
      </w:r>
      <w:proofErr w:type="spellStart"/>
      <w:r w:rsidR="009836D5">
        <w:rPr>
          <w:rFonts w:ascii="Verdana" w:hAnsi="Verdana"/>
          <w:sz w:val="20"/>
          <w:szCs w:val="20"/>
        </w:rPr>
        <w:t>ontraba</w:t>
      </w:r>
      <w:proofErr w:type="spellEnd"/>
      <w:r w:rsidR="009836D5">
        <w:rPr>
          <w:rFonts w:ascii="Verdana" w:hAnsi="Verdana"/>
          <w:sz w:val="20"/>
          <w:szCs w:val="20"/>
        </w:rPr>
        <w:t>]</w:t>
      </w:r>
      <w:r w:rsidR="009836D5" w:rsidRPr="00404E24">
        <w:rPr>
          <w:rFonts w:ascii="Verdana" w:hAnsi="Verdana"/>
          <w:sz w:val="20"/>
          <w:szCs w:val="20"/>
        </w:rPr>
        <w:t xml:space="preserve"> </w:t>
      </w:r>
      <w:r w:rsidR="007960AE" w:rsidRPr="00404E24">
        <w:rPr>
          <w:rFonts w:ascii="Verdana" w:hAnsi="Verdana"/>
          <w:sz w:val="20"/>
          <w:szCs w:val="20"/>
        </w:rPr>
        <w:t xml:space="preserve">en las fases iniciales y las víctimas </w:t>
      </w:r>
      <w:r w:rsidR="009836D5" w:rsidRPr="00404E24">
        <w:rPr>
          <w:rFonts w:ascii="Verdana" w:hAnsi="Verdana"/>
          <w:sz w:val="20"/>
          <w:szCs w:val="20"/>
        </w:rPr>
        <w:t>ha</w:t>
      </w:r>
      <w:r w:rsidR="009836D5">
        <w:rPr>
          <w:rFonts w:ascii="Verdana" w:hAnsi="Verdana"/>
          <w:sz w:val="20"/>
          <w:szCs w:val="20"/>
        </w:rPr>
        <w:t>[</w:t>
      </w:r>
      <w:proofErr w:type="spellStart"/>
      <w:r w:rsidR="009836D5">
        <w:rPr>
          <w:rFonts w:ascii="Verdana" w:hAnsi="Verdana"/>
          <w:sz w:val="20"/>
          <w:szCs w:val="20"/>
        </w:rPr>
        <w:t>bían</w:t>
      </w:r>
      <w:proofErr w:type="spellEnd"/>
      <w:r w:rsidR="009836D5">
        <w:rPr>
          <w:rFonts w:ascii="Verdana" w:hAnsi="Verdana"/>
          <w:sz w:val="20"/>
          <w:szCs w:val="20"/>
        </w:rPr>
        <w:t>]</w:t>
      </w:r>
      <w:r w:rsidR="009836D5" w:rsidRPr="00404E24">
        <w:rPr>
          <w:rFonts w:ascii="Verdana" w:hAnsi="Verdana"/>
          <w:sz w:val="20"/>
          <w:szCs w:val="20"/>
        </w:rPr>
        <w:t xml:space="preserve"> </w:t>
      </w:r>
      <w:r w:rsidR="007960AE" w:rsidRPr="00404E24">
        <w:rPr>
          <w:rFonts w:ascii="Verdana" w:hAnsi="Verdana"/>
          <w:sz w:val="20"/>
          <w:szCs w:val="20"/>
        </w:rPr>
        <w:t xml:space="preserve">tenido un acceso restringido al contenido de las actuaciones procesales”. Hizo notar que “[d]icho procesamiento se </w:t>
      </w:r>
      <w:proofErr w:type="spellStart"/>
      <w:r w:rsidR="009836D5" w:rsidRPr="00404E24">
        <w:rPr>
          <w:rFonts w:ascii="Verdana" w:hAnsi="Verdana"/>
          <w:sz w:val="20"/>
          <w:szCs w:val="20"/>
        </w:rPr>
        <w:t>ref</w:t>
      </w:r>
      <w:proofErr w:type="spellEnd"/>
      <w:r w:rsidR="009836D5">
        <w:rPr>
          <w:rFonts w:ascii="Verdana" w:hAnsi="Verdana"/>
          <w:sz w:val="20"/>
          <w:szCs w:val="20"/>
        </w:rPr>
        <w:t>[ería]</w:t>
      </w:r>
      <w:r w:rsidR="009836D5" w:rsidRPr="00404E24">
        <w:rPr>
          <w:rFonts w:ascii="Verdana" w:hAnsi="Verdana"/>
          <w:sz w:val="20"/>
          <w:szCs w:val="20"/>
        </w:rPr>
        <w:t xml:space="preserve"> </w:t>
      </w:r>
      <w:r w:rsidR="007960AE" w:rsidRPr="00404E24">
        <w:rPr>
          <w:rFonts w:ascii="Verdana" w:hAnsi="Verdana"/>
          <w:sz w:val="20"/>
          <w:szCs w:val="20"/>
        </w:rPr>
        <w:t>únicamente a los hechos cometidos contra María Claudia García Iruretagoyena, pero no abarca</w:t>
      </w:r>
      <w:r w:rsidR="009836D5">
        <w:rPr>
          <w:rFonts w:ascii="Verdana" w:hAnsi="Verdana"/>
          <w:sz w:val="20"/>
          <w:szCs w:val="20"/>
        </w:rPr>
        <w:t>[</w:t>
      </w:r>
      <w:proofErr w:type="spellStart"/>
      <w:r w:rsidR="009836D5">
        <w:rPr>
          <w:rFonts w:ascii="Verdana" w:hAnsi="Verdana"/>
          <w:sz w:val="20"/>
          <w:szCs w:val="20"/>
        </w:rPr>
        <w:t>ba</w:t>
      </w:r>
      <w:proofErr w:type="spellEnd"/>
      <w:r w:rsidR="009836D5">
        <w:rPr>
          <w:rFonts w:ascii="Verdana" w:hAnsi="Verdana"/>
          <w:sz w:val="20"/>
          <w:szCs w:val="20"/>
        </w:rPr>
        <w:t>]</w:t>
      </w:r>
      <w:r w:rsidR="007960AE" w:rsidRPr="00404E24">
        <w:rPr>
          <w:rFonts w:ascii="Verdana" w:hAnsi="Verdana"/>
          <w:sz w:val="20"/>
          <w:szCs w:val="20"/>
        </w:rPr>
        <w:t xml:space="preserve"> otras conductas constitutivas de graves violaciones a los derechos humanos, ni </w:t>
      </w:r>
      <w:r w:rsidR="007960AE" w:rsidRPr="00404E24">
        <w:rPr>
          <w:rFonts w:ascii="Verdana" w:eastAsia="Times New Roman" w:hAnsi="Verdana"/>
          <w:color w:val="000000"/>
          <w:sz w:val="20"/>
          <w:szCs w:val="20"/>
        </w:rPr>
        <w:t>se estarían investigando los hechos de la desaparición por supresión de identidad de María Macarena Gelman”</w:t>
      </w:r>
      <w:r w:rsidR="007960AE" w:rsidRPr="00404E24">
        <w:rPr>
          <w:rStyle w:val="Refdenotaalpie"/>
          <w:rFonts w:ascii="Verdana" w:eastAsia="Times New Roman" w:hAnsi="Verdana"/>
          <w:color w:val="000000"/>
          <w:sz w:val="20"/>
          <w:szCs w:val="20"/>
        </w:rPr>
        <w:footnoteReference w:id="11"/>
      </w:r>
      <w:r w:rsidR="007960AE" w:rsidRPr="00404E24">
        <w:rPr>
          <w:rFonts w:ascii="Verdana" w:eastAsia="Times New Roman" w:hAnsi="Verdana"/>
          <w:color w:val="000000"/>
          <w:sz w:val="20"/>
          <w:szCs w:val="20"/>
        </w:rPr>
        <w:t xml:space="preserve">. </w:t>
      </w:r>
    </w:p>
    <w:p w14:paraId="556999BC" w14:textId="0FF6D1C3" w:rsidR="009E16A4" w:rsidRDefault="009E16A4" w:rsidP="00D460CF">
      <w:pPr>
        <w:pStyle w:val="NormalWeb"/>
        <w:spacing w:before="120" w:after="120"/>
        <w:ind w:left="851"/>
        <w:jc w:val="both"/>
        <w:rPr>
          <w:rFonts w:ascii="Verdana" w:hAnsi="Verdana" w:cs="Calibri"/>
          <w:i/>
          <w:iCs/>
          <w:color w:val="000000"/>
          <w:sz w:val="20"/>
          <w:szCs w:val="20"/>
        </w:rPr>
      </w:pPr>
      <w:r w:rsidRPr="009E16A4">
        <w:rPr>
          <w:rFonts w:ascii="Verdana" w:hAnsi="Verdana" w:cs="Calibri"/>
          <w:i/>
          <w:iCs/>
          <w:color w:val="000000"/>
          <w:sz w:val="20"/>
          <w:szCs w:val="20"/>
        </w:rPr>
        <w:t>A.2. Consideraciones de la Corte</w:t>
      </w:r>
    </w:p>
    <w:p w14:paraId="543BA013" w14:textId="0DF79EF8" w:rsidR="00057160" w:rsidRPr="0084216E" w:rsidRDefault="0084216E" w:rsidP="0084216E">
      <w:pPr>
        <w:pStyle w:val="NormalWeb"/>
        <w:numPr>
          <w:ilvl w:val="0"/>
          <w:numId w:val="4"/>
        </w:numPr>
        <w:spacing w:before="120" w:after="120"/>
        <w:ind w:left="0" w:firstLine="0"/>
        <w:jc w:val="both"/>
        <w:rPr>
          <w:rFonts w:ascii="Verdana" w:hAnsi="Verdana" w:cs="Calibri"/>
          <w:sz w:val="20"/>
          <w:szCs w:val="20"/>
        </w:rPr>
      </w:pPr>
      <w:r>
        <w:rPr>
          <w:rFonts w:ascii="Verdana" w:hAnsi="Verdana" w:cs="Calibri"/>
          <w:sz w:val="20"/>
          <w:szCs w:val="20"/>
        </w:rPr>
        <w:t>L</w:t>
      </w:r>
      <w:r w:rsidR="001C39C4" w:rsidRPr="00131CAF">
        <w:rPr>
          <w:rFonts w:ascii="Verdana" w:hAnsi="Verdana" w:cs="Calibri"/>
          <w:sz w:val="20"/>
          <w:szCs w:val="20"/>
        </w:rPr>
        <w:t xml:space="preserve">a Corte constata que el 6 de marzo de 2017 </w:t>
      </w:r>
      <w:r w:rsidR="00B14BAB" w:rsidRPr="00131CAF">
        <w:rPr>
          <w:rFonts w:ascii="Verdana" w:hAnsi="Verdana" w:cs="Calibri"/>
          <w:sz w:val="20"/>
          <w:szCs w:val="20"/>
        </w:rPr>
        <w:t>el Juzgado Letrado de Primera Instancia en lo Penal 27° emitió</w:t>
      </w:r>
      <w:r w:rsidR="00FA5E86">
        <w:rPr>
          <w:rFonts w:ascii="Verdana" w:hAnsi="Verdana" w:cs="Calibri"/>
          <w:sz w:val="20"/>
          <w:szCs w:val="20"/>
        </w:rPr>
        <w:t xml:space="preserve"> </w:t>
      </w:r>
      <w:r w:rsidR="00B14BAB" w:rsidRPr="00131CAF">
        <w:rPr>
          <w:rFonts w:ascii="Verdana" w:hAnsi="Verdana" w:cs="Calibri"/>
          <w:sz w:val="20"/>
          <w:szCs w:val="20"/>
        </w:rPr>
        <w:t xml:space="preserve">una sentencia </w:t>
      </w:r>
      <w:r w:rsidR="00440D3E" w:rsidRPr="00131CAF">
        <w:rPr>
          <w:rFonts w:ascii="Verdana" w:hAnsi="Verdana" w:cs="Calibri"/>
          <w:sz w:val="20"/>
          <w:szCs w:val="20"/>
        </w:rPr>
        <w:t xml:space="preserve">condenatoria </w:t>
      </w:r>
      <w:r w:rsidR="001C39C4" w:rsidRPr="00131CAF">
        <w:rPr>
          <w:rFonts w:ascii="Verdana" w:hAnsi="Verdana" w:cs="Calibri"/>
          <w:sz w:val="20"/>
          <w:szCs w:val="20"/>
        </w:rPr>
        <w:t>en la causa</w:t>
      </w:r>
      <w:r w:rsidR="00FA5E86">
        <w:rPr>
          <w:rFonts w:ascii="Verdana" w:hAnsi="Verdana" w:cs="Calibri"/>
          <w:sz w:val="20"/>
          <w:szCs w:val="20"/>
        </w:rPr>
        <w:t xml:space="preserve"> penal</w:t>
      </w:r>
      <w:r w:rsidR="001C39C4" w:rsidRPr="00131CAF">
        <w:rPr>
          <w:rFonts w:ascii="Verdana" w:hAnsi="Verdana" w:cs="Calibri"/>
          <w:sz w:val="20"/>
          <w:szCs w:val="20"/>
        </w:rPr>
        <w:t xml:space="preserve"> </w:t>
      </w:r>
      <w:r w:rsidR="00544145" w:rsidRPr="00131CAF">
        <w:rPr>
          <w:rFonts w:ascii="Verdana" w:hAnsi="Verdana" w:cs="Calibri"/>
          <w:sz w:val="20"/>
          <w:szCs w:val="20"/>
        </w:rPr>
        <w:t>abierta por los hechos del presente caso</w:t>
      </w:r>
      <w:r w:rsidR="00440D3E" w:rsidRPr="00131CAF">
        <w:rPr>
          <w:rFonts w:ascii="Verdana" w:hAnsi="Verdana" w:cs="Calibri"/>
          <w:sz w:val="20"/>
          <w:szCs w:val="20"/>
        </w:rPr>
        <w:t xml:space="preserve">. Se condenó </w:t>
      </w:r>
      <w:r w:rsidR="00440D3E" w:rsidRPr="00F8644E">
        <w:rPr>
          <w:rFonts w:ascii="Verdana" w:hAnsi="Verdana" w:cs="Calibri"/>
          <w:sz w:val="20"/>
          <w:szCs w:val="20"/>
        </w:rPr>
        <w:t xml:space="preserve">a cinco </w:t>
      </w:r>
      <w:r w:rsidR="004C1CA6" w:rsidRPr="00F8644E">
        <w:rPr>
          <w:rFonts w:ascii="Verdana" w:hAnsi="Verdana" w:cs="Calibri"/>
          <w:sz w:val="20"/>
          <w:szCs w:val="20"/>
        </w:rPr>
        <w:t>ex</w:t>
      </w:r>
      <w:r w:rsidR="00440D3E" w:rsidRPr="00F8644E">
        <w:rPr>
          <w:rFonts w:ascii="Verdana" w:hAnsi="Verdana" w:cs="Calibri"/>
          <w:sz w:val="20"/>
          <w:szCs w:val="20"/>
        </w:rPr>
        <w:t>militares</w:t>
      </w:r>
      <w:r w:rsidR="00440D3E" w:rsidRPr="00131CAF">
        <w:rPr>
          <w:rFonts w:ascii="Verdana" w:hAnsi="Verdana" w:cs="Calibri"/>
          <w:sz w:val="20"/>
          <w:szCs w:val="20"/>
        </w:rPr>
        <w:t xml:space="preserve"> </w:t>
      </w:r>
      <w:r w:rsidR="00F20564" w:rsidRPr="00131CAF">
        <w:rPr>
          <w:rFonts w:ascii="Verdana" w:hAnsi="Verdana" w:cs="Calibri"/>
          <w:sz w:val="20"/>
          <w:szCs w:val="20"/>
        </w:rPr>
        <w:t>a la pena</w:t>
      </w:r>
      <w:r w:rsidR="004F33B1" w:rsidRPr="00131CAF">
        <w:rPr>
          <w:rFonts w:ascii="Verdana" w:hAnsi="Verdana" w:cs="Calibri"/>
          <w:sz w:val="20"/>
          <w:szCs w:val="20"/>
        </w:rPr>
        <w:t xml:space="preserve"> </w:t>
      </w:r>
      <w:r w:rsidR="00F20564" w:rsidRPr="00131CAF">
        <w:rPr>
          <w:rFonts w:ascii="Verdana" w:hAnsi="Verdana" w:cs="Calibri"/>
          <w:sz w:val="20"/>
          <w:szCs w:val="20"/>
        </w:rPr>
        <w:t>de 30 años de penitenciaría</w:t>
      </w:r>
      <w:r w:rsidR="00D64922" w:rsidRPr="00131CAF">
        <w:rPr>
          <w:rFonts w:ascii="Verdana" w:hAnsi="Verdana" w:cs="Calibri"/>
          <w:sz w:val="20"/>
          <w:szCs w:val="20"/>
        </w:rPr>
        <w:t xml:space="preserve"> por ser coautores del delito de homicidio</w:t>
      </w:r>
      <w:r w:rsidR="00FA5E86">
        <w:rPr>
          <w:rFonts w:ascii="Verdana" w:hAnsi="Verdana" w:cs="Calibri"/>
          <w:sz w:val="20"/>
          <w:szCs w:val="20"/>
        </w:rPr>
        <w:t xml:space="preserve"> </w:t>
      </w:r>
      <w:r w:rsidR="00D64922" w:rsidRPr="00131CAF">
        <w:rPr>
          <w:rFonts w:ascii="Verdana" w:hAnsi="Verdana" w:cs="Calibri"/>
          <w:sz w:val="20"/>
          <w:szCs w:val="20"/>
        </w:rPr>
        <w:t xml:space="preserve">especialmente agravado, </w:t>
      </w:r>
      <w:r w:rsidR="00544145" w:rsidRPr="00131CAF">
        <w:rPr>
          <w:rFonts w:ascii="Verdana" w:hAnsi="Verdana" w:cs="Calibri"/>
          <w:sz w:val="20"/>
          <w:szCs w:val="20"/>
        </w:rPr>
        <w:t xml:space="preserve">cometido en perjuicio de </w:t>
      </w:r>
      <w:r w:rsidR="00544145" w:rsidRPr="00131CAF">
        <w:rPr>
          <w:rFonts w:ascii="Verdana" w:hAnsi="Verdana"/>
          <w:sz w:val="20"/>
          <w:szCs w:val="20"/>
        </w:rPr>
        <w:t xml:space="preserve">María Claudia García </w:t>
      </w:r>
      <w:r w:rsidR="00C940CE" w:rsidRPr="00131CAF">
        <w:rPr>
          <w:rFonts w:ascii="Verdana" w:hAnsi="Verdana"/>
          <w:sz w:val="20"/>
          <w:szCs w:val="20"/>
        </w:rPr>
        <w:t>Iruretagoyena</w:t>
      </w:r>
      <w:r w:rsidR="00F6558B">
        <w:rPr>
          <w:rStyle w:val="Refdenotaalpie"/>
          <w:rFonts w:ascii="Verdana" w:hAnsi="Verdana"/>
          <w:sz w:val="20"/>
          <w:szCs w:val="20"/>
        </w:rPr>
        <w:footnoteReference w:id="12"/>
      </w:r>
      <w:r w:rsidR="00B14BAB" w:rsidRPr="00131CAF">
        <w:rPr>
          <w:rFonts w:ascii="Verdana" w:hAnsi="Verdana" w:cs="Calibri"/>
          <w:sz w:val="20"/>
          <w:szCs w:val="20"/>
        </w:rPr>
        <w:t xml:space="preserve">. </w:t>
      </w:r>
      <w:r>
        <w:rPr>
          <w:rFonts w:ascii="Verdana" w:hAnsi="Verdana" w:cs="Calibri"/>
          <w:sz w:val="20"/>
          <w:szCs w:val="20"/>
        </w:rPr>
        <w:t xml:space="preserve">Las respectivas defensas de los condenados </w:t>
      </w:r>
      <w:r w:rsidR="00440D3E" w:rsidRPr="0084216E">
        <w:rPr>
          <w:rFonts w:ascii="Verdana" w:hAnsi="Verdana" w:cs="Calibri"/>
          <w:sz w:val="20"/>
          <w:szCs w:val="20"/>
        </w:rPr>
        <w:t xml:space="preserve">interpusieron recursos de apelación, los cuales fueron resueltos mediante sentencia de 20 de diciembre de 2018 del </w:t>
      </w:r>
      <w:r w:rsidR="00FA5E86">
        <w:rPr>
          <w:rFonts w:ascii="Verdana" w:hAnsi="Verdana" w:cs="Calibri"/>
          <w:sz w:val="20"/>
          <w:szCs w:val="20"/>
        </w:rPr>
        <w:t>t</w:t>
      </w:r>
      <w:r w:rsidR="00440D3E" w:rsidRPr="0084216E">
        <w:rPr>
          <w:rFonts w:ascii="Verdana" w:hAnsi="Verdana" w:cs="Calibri"/>
          <w:sz w:val="20"/>
          <w:szCs w:val="20"/>
        </w:rPr>
        <w:t xml:space="preserve">ribunal de </w:t>
      </w:r>
      <w:r w:rsidR="00FA5E86">
        <w:rPr>
          <w:rFonts w:ascii="Verdana" w:hAnsi="Verdana" w:cs="Calibri"/>
          <w:sz w:val="20"/>
          <w:szCs w:val="20"/>
        </w:rPr>
        <w:t>a</w:t>
      </w:r>
      <w:r w:rsidR="00440D3E" w:rsidRPr="0084216E">
        <w:rPr>
          <w:rFonts w:ascii="Verdana" w:hAnsi="Verdana" w:cs="Calibri"/>
          <w:sz w:val="20"/>
          <w:szCs w:val="20"/>
        </w:rPr>
        <w:t>pelaciones interviniente en la causa</w:t>
      </w:r>
      <w:r w:rsidR="00C76CC5" w:rsidRPr="0084216E">
        <w:rPr>
          <w:rFonts w:ascii="Verdana" w:hAnsi="Verdana" w:cs="Calibri"/>
          <w:sz w:val="20"/>
          <w:szCs w:val="20"/>
        </w:rPr>
        <w:t>,</w:t>
      </w:r>
      <w:r w:rsidR="009F48F4" w:rsidRPr="0084216E">
        <w:rPr>
          <w:rFonts w:ascii="Verdana" w:hAnsi="Verdana" w:cs="Calibri"/>
          <w:sz w:val="20"/>
          <w:szCs w:val="20"/>
        </w:rPr>
        <w:t xml:space="preserve"> el cual </w:t>
      </w:r>
      <w:r w:rsidR="00C76CC5" w:rsidRPr="0084216E">
        <w:rPr>
          <w:rFonts w:ascii="Verdana" w:hAnsi="Verdana" w:cs="Calibri"/>
          <w:sz w:val="20"/>
          <w:szCs w:val="20"/>
        </w:rPr>
        <w:t>“</w:t>
      </w:r>
      <w:proofErr w:type="spellStart"/>
      <w:r w:rsidR="00C76CC5" w:rsidRPr="0084216E">
        <w:rPr>
          <w:rFonts w:ascii="Verdana" w:hAnsi="Verdana" w:cs="Calibri"/>
          <w:sz w:val="20"/>
          <w:szCs w:val="20"/>
        </w:rPr>
        <w:t>confirm</w:t>
      </w:r>
      <w:proofErr w:type="spellEnd"/>
      <w:r w:rsidR="00C76CC5" w:rsidRPr="0084216E">
        <w:rPr>
          <w:rFonts w:ascii="Verdana" w:hAnsi="Verdana" w:cs="Calibri"/>
          <w:sz w:val="20"/>
          <w:szCs w:val="20"/>
        </w:rPr>
        <w:t>[</w:t>
      </w:r>
      <w:proofErr w:type="spellStart"/>
      <w:r w:rsidR="00C76CC5" w:rsidRPr="0084216E">
        <w:rPr>
          <w:rFonts w:ascii="Verdana" w:hAnsi="Verdana" w:cs="Calibri"/>
          <w:sz w:val="20"/>
          <w:szCs w:val="20"/>
        </w:rPr>
        <w:t>ó</w:t>
      </w:r>
      <w:proofErr w:type="spellEnd"/>
      <w:r w:rsidR="00C76CC5" w:rsidRPr="0084216E">
        <w:rPr>
          <w:rFonts w:ascii="Verdana" w:hAnsi="Verdana" w:cs="Calibri"/>
          <w:sz w:val="20"/>
          <w:szCs w:val="20"/>
        </w:rPr>
        <w:t>] la sentencia de primera instancia”</w:t>
      </w:r>
      <w:r w:rsidR="00C76CC5" w:rsidRPr="00131CAF">
        <w:rPr>
          <w:rStyle w:val="Refdenotaalpie"/>
          <w:rFonts w:ascii="Verdana" w:hAnsi="Verdana" w:cs="Calibri"/>
          <w:sz w:val="20"/>
          <w:szCs w:val="20"/>
        </w:rPr>
        <w:footnoteReference w:id="13"/>
      </w:r>
      <w:r w:rsidR="009F48F4" w:rsidRPr="0084216E">
        <w:rPr>
          <w:rFonts w:ascii="Verdana" w:hAnsi="Verdana" w:cs="Calibri"/>
          <w:sz w:val="20"/>
          <w:szCs w:val="20"/>
        </w:rPr>
        <w:t xml:space="preserve">. </w:t>
      </w:r>
      <w:r w:rsidR="00C76CC5" w:rsidRPr="0084216E">
        <w:rPr>
          <w:rFonts w:ascii="Verdana" w:hAnsi="Verdana" w:cs="Calibri"/>
          <w:sz w:val="20"/>
          <w:szCs w:val="20"/>
        </w:rPr>
        <w:t>A septiembre de 2019, dichas condenas aún no se encontraban en firme, debido a que estaban pendientes de resolución recursos de casación y acciones de inconstitucionalidad</w:t>
      </w:r>
      <w:r w:rsidR="009F2665" w:rsidRPr="0084216E">
        <w:rPr>
          <w:rFonts w:ascii="Verdana" w:hAnsi="Verdana" w:cs="Calibri"/>
          <w:sz w:val="20"/>
          <w:szCs w:val="20"/>
        </w:rPr>
        <w:t xml:space="preserve"> respecto de la “Ley No. 19.550 que creó la Fiscalía </w:t>
      </w:r>
      <w:r w:rsidR="00032D9F">
        <w:rPr>
          <w:rFonts w:ascii="Verdana" w:hAnsi="Verdana" w:cs="Calibri"/>
          <w:sz w:val="20"/>
          <w:szCs w:val="20"/>
        </w:rPr>
        <w:t xml:space="preserve">[Especializada en Crímenes] </w:t>
      </w:r>
      <w:r w:rsidR="009F2665" w:rsidRPr="0084216E">
        <w:rPr>
          <w:rFonts w:ascii="Verdana" w:hAnsi="Verdana" w:cs="Calibri"/>
          <w:sz w:val="20"/>
          <w:szCs w:val="20"/>
        </w:rPr>
        <w:t>de Lesa Humanidad”</w:t>
      </w:r>
      <w:r w:rsidR="009F2665" w:rsidRPr="00131CAF">
        <w:rPr>
          <w:rStyle w:val="Refdenotaalpie"/>
          <w:rFonts w:ascii="Verdana" w:hAnsi="Verdana" w:cs="Calibri"/>
          <w:sz w:val="20"/>
          <w:szCs w:val="20"/>
        </w:rPr>
        <w:footnoteReference w:id="14"/>
      </w:r>
      <w:r w:rsidR="009F2665" w:rsidRPr="0084216E">
        <w:rPr>
          <w:rFonts w:ascii="Verdana" w:hAnsi="Verdana" w:cs="Calibri"/>
          <w:sz w:val="20"/>
          <w:szCs w:val="20"/>
        </w:rPr>
        <w:t>, que fueron</w:t>
      </w:r>
      <w:r w:rsidR="00C76CC5" w:rsidRPr="0084216E">
        <w:rPr>
          <w:rFonts w:ascii="Verdana" w:hAnsi="Verdana" w:cs="Calibri"/>
          <w:sz w:val="20"/>
          <w:szCs w:val="20"/>
        </w:rPr>
        <w:t xml:space="preserve"> </w:t>
      </w:r>
      <w:r w:rsidR="009F2665" w:rsidRPr="0084216E">
        <w:rPr>
          <w:rFonts w:ascii="Verdana" w:hAnsi="Verdana" w:cs="Calibri"/>
          <w:sz w:val="20"/>
          <w:szCs w:val="20"/>
        </w:rPr>
        <w:t>interpuestos por los condenados.</w:t>
      </w:r>
    </w:p>
    <w:p w14:paraId="07CC35B0" w14:textId="3EE4F96D" w:rsidR="00057160" w:rsidRDefault="00D64922" w:rsidP="00D460CF">
      <w:pPr>
        <w:pStyle w:val="NormalWeb"/>
        <w:numPr>
          <w:ilvl w:val="0"/>
          <w:numId w:val="4"/>
        </w:numPr>
        <w:spacing w:before="120" w:after="120"/>
        <w:ind w:left="0" w:firstLine="0"/>
        <w:jc w:val="both"/>
        <w:rPr>
          <w:rFonts w:ascii="Verdana" w:hAnsi="Verdana" w:cs="Calibri"/>
          <w:sz w:val="20"/>
          <w:szCs w:val="20"/>
        </w:rPr>
      </w:pPr>
      <w:r w:rsidRPr="00057160">
        <w:rPr>
          <w:rFonts w:ascii="Verdana" w:hAnsi="Verdana" w:cs="Calibri"/>
          <w:sz w:val="20"/>
          <w:szCs w:val="20"/>
        </w:rPr>
        <w:t xml:space="preserve">Los </w:t>
      </w:r>
      <w:r w:rsidRPr="00F21EA9">
        <w:rPr>
          <w:rFonts w:ascii="Verdana" w:hAnsi="Verdana" w:cs="Calibri"/>
          <w:i/>
          <w:sz w:val="20"/>
          <w:szCs w:val="20"/>
        </w:rPr>
        <w:t xml:space="preserve">representantes </w:t>
      </w:r>
      <w:r w:rsidR="00565888" w:rsidRPr="00057160">
        <w:rPr>
          <w:rFonts w:ascii="Verdana" w:hAnsi="Verdana" w:cs="Calibri"/>
          <w:sz w:val="20"/>
          <w:szCs w:val="20"/>
        </w:rPr>
        <w:t>sostuvieron</w:t>
      </w:r>
      <w:r w:rsidRPr="00057160">
        <w:rPr>
          <w:rFonts w:ascii="Verdana" w:hAnsi="Verdana" w:cs="Calibri"/>
          <w:sz w:val="20"/>
          <w:szCs w:val="20"/>
        </w:rPr>
        <w:t xml:space="preserve"> que la referida condena “</w:t>
      </w:r>
      <w:r w:rsidR="004F33B1" w:rsidRPr="00057160">
        <w:rPr>
          <w:rFonts w:ascii="Verdana" w:hAnsi="Verdana" w:cs="Calibri"/>
          <w:sz w:val="20"/>
          <w:szCs w:val="20"/>
        </w:rPr>
        <w:t>representa un avance importante, especialmente considerando los más de 40 años de impunidad que han transcurrido desde los hechos</w:t>
      </w:r>
      <w:r w:rsidRPr="00057160">
        <w:rPr>
          <w:rFonts w:ascii="Verdana" w:hAnsi="Verdana" w:cs="Calibri"/>
          <w:sz w:val="20"/>
          <w:szCs w:val="20"/>
        </w:rPr>
        <w:t xml:space="preserve">”. Sin embargo, </w:t>
      </w:r>
      <w:r w:rsidR="00D549AA" w:rsidRPr="00057160">
        <w:rPr>
          <w:rFonts w:ascii="Verdana" w:hAnsi="Verdana" w:cs="Calibri"/>
          <w:sz w:val="20"/>
          <w:szCs w:val="20"/>
        </w:rPr>
        <w:t xml:space="preserve">explicaron los “diversos factores” por los cuales </w:t>
      </w:r>
      <w:r w:rsidR="00565888" w:rsidRPr="00057160">
        <w:rPr>
          <w:rFonts w:ascii="Verdana" w:hAnsi="Verdana" w:cs="Calibri"/>
          <w:sz w:val="20"/>
          <w:szCs w:val="20"/>
        </w:rPr>
        <w:t>“</w:t>
      </w:r>
      <w:r w:rsidR="00A70803" w:rsidRPr="00057160">
        <w:rPr>
          <w:rFonts w:ascii="Verdana" w:hAnsi="Verdana" w:cs="Calibri"/>
          <w:sz w:val="20"/>
          <w:szCs w:val="20"/>
        </w:rPr>
        <w:t>aun cuando quede firme</w:t>
      </w:r>
      <w:r w:rsidR="00B70A27">
        <w:rPr>
          <w:rFonts w:ascii="Verdana" w:hAnsi="Verdana" w:cs="Calibri"/>
          <w:sz w:val="20"/>
          <w:szCs w:val="20"/>
        </w:rPr>
        <w:t xml:space="preserve"> </w:t>
      </w:r>
      <w:r w:rsidR="00565888" w:rsidRPr="00057160">
        <w:rPr>
          <w:rFonts w:ascii="Verdana" w:hAnsi="Verdana" w:cs="Calibri"/>
          <w:sz w:val="20"/>
          <w:szCs w:val="20"/>
        </w:rPr>
        <w:t>[dicha condena</w:t>
      </w:r>
      <w:r w:rsidR="00560ACC">
        <w:rPr>
          <w:rFonts w:ascii="Verdana" w:hAnsi="Verdana" w:cs="Calibri"/>
          <w:sz w:val="20"/>
          <w:szCs w:val="20"/>
        </w:rPr>
        <w:t>,</w:t>
      </w:r>
      <w:r w:rsidR="00565888" w:rsidRPr="00057160">
        <w:rPr>
          <w:rFonts w:ascii="Verdana" w:hAnsi="Verdana" w:cs="Calibri"/>
          <w:sz w:val="20"/>
          <w:szCs w:val="20"/>
        </w:rPr>
        <w:t xml:space="preserve">] </w:t>
      </w:r>
      <w:r w:rsidR="00A70803" w:rsidRPr="00057160">
        <w:rPr>
          <w:rFonts w:ascii="Verdana" w:hAnsi="Verdana" w:cs="Calibri"/>
          <w:sz w:val="20"/>
          <w:szCs w:val="20"/>
        </w:rPr>
        <w:t xml:space="preserve">no </w:t>
      </w:r>
      <w:r w:rsidR="00D549AA" w:rsidRPr="00057160">
        <w:rPr>
          <w:rFonts w:ascii="Verdana" w:hAnsi="Verdana" w:cs="Calibri"/>
          <w:sz w:val="20"/>
          <w:szCs w:val="20"/>
        </w:rPr>
        <w:t xml:space="preserve">[se han] </w:t>
      </w:r>
      <w:r w:rsidR="00A70803" w:rsidRPr="00057160">
        <w:rPr>
          <w:rFonts w:ascii="Verdana" w:hAnsi="Verdana" w:cs="Calibri"/>
          <w:sz w:val="20"/>
          <w:szCs w:val="20"/>
        </w:rPr>
        <w:t>agota</w:t>
      </w:r>
      <w:r w:rsidR="00D549AA" w:rsidRPr="00057160">
        <w:rPr>
          <w:rFonts w:ascii="Verdana" w:hAnsi="Verdana" w:cs="Calibri"/>
          <w:sz w:val="20"/>
          <w:szCs w:val="20"/>
        </w:rPr>
        <w:t>[do]</w:t>
      </w:r>
      <w:r w:rsidR="00A70803" w:rsidRPr="00057160">
        <w:rPr>
          <w:rFonts w:ascii="Verdana" w:hAnsi="Verdana" w:cs="Calibri"/>
          <w:sz w:val="20"/>
          <w:szCs w:val="20"/>
        </w:rPr>
        <w:t xml:space="preserve"> los deberes del Estado […] y, por lo tanto, no cumple plenamente con lo ordenado por la Corte en [la] Sentencia”</w:t>
      </w:r>
      <w:r w:rsidR="00D549AA" w:rsidRPr="00057160">
        <w:rPr>
          <w:rFonts w:ascii="Verdana" w:hAnsi="Verdana" w:cs="Calibri"/>
          <w:sz w:val="20"/>
          <w:szCs w:val="20"/>
        </w:rPr>
        <w:t xml:space="preserve"> (</w:t>
      </w:r>
      <w:r w:rsidR="00D549AA" w:rsidRPr="00057160">
        <w:rPr>
          <w:rFonts w:ascii="Verdana" w:hAnsi="Verdana" w:cs="Calibri"/>
          <w:i/>
          <w:iCs/>
          <w:sz w:val="20"/>
          <w:szCs w:val="20"/>
        </w:rPr>
        <w:t xml:space="preserve">infra </w:t>
      </w:r>
      <w:r w:rsidR="00D549AA" w:rsidRPr="00057160">
        <w:rPr>
          <w:rFonts w:ascii="Verdana" w:hAnsi="Verdana" w:cs="Calibri"/>
          <w:sz w:val="20"/>
          <w:szCs w:val="20"/>
        </w:rPr>
        <w:t xml:space="preserve">Considerandos </w:t>
      </w:r>
      <w:r w:rsidR="00560ACC">
        <w:rPr>
          <w:rFonts w:ascii="Verdana" w:hAnsi="Verdana" w:cs="Calibri"/>
          <w:sz w:val="20"/>
          <w:szCs w:val="20"/>
        </w:rPr>
        <w:t>10, 12, 16, 18 y 19</w:t>
      </w:r>
      <w:r w:rsidR="00D549AA" w:rsidRPr="00057160">
        <w:rPr>
          <w:rFonts w:ascii="Verdana" w:hAnsi="Verdana" w:cs="Calibri"/>
          <w:sz w:val="20"/>
          <w:szCs w:val="20"/>
        </w:rPr>
        <w:t>)</w:t>
      </w:r>
      <w:r w:rsidR="00A70803" w:rsidRPr="00057160">
        <w:rPr>
          <w:rFonts w:ascii="Verdana" w:hAnsi="Verdana" w:cs="Calibri"/>
          <w:sz w:val="20"/>
          <w:szCs w:val="20"/>
        </w:rPr>
        <w:t xml:space="preserve">. </w:t>
      </w:r>
      <w:r w:rsidR="00D549AA" w:rsidRPr="00057160">
        <w:rPr>
          <w:rFonts w:ascii="Verdana" w:hAnsi="Verdana" w:cs="Calibri"/>
          <w:sz w:val="20"/>
          <w:szCs w:val="20"/>
        </w:rPr>
        <w:t xml:space="preserve">La </w:t>
      </w:r>
      <w:r w:rsidR="00D549AA" w:rsidRPr="00F21EA9">
        <w:rPr>
          <w:rFonts w:ascii="Verdana" w:hAnsi="Verdana" w:cs="Calibri"/>
          <w:i/>
          <w:sz w:val="20"/>
          <w:szCs w:val="20"/>
        </w:rPr>
        <w:t>Comisión</w:t>
      </w:r>
      <w:r w:rsidR="00D549AA" w:rsidRPr="00057160">
        <w:rPr>
          <w:rFonts w:ascii="Verdana" w:hAnsi="Verdana" w:cs="Calibri"/>
          <w:sz w:val="20"/>
          <w:szCs w:val="20"/>
        </w:rPr>
        <w:t xml:space="preserve"> coincidió con la mayoría de las observaciones presentadas por los representantes. </w:t>
      </w:r>
    </w:p>
    <w:p w14:paraId="32E7360C" w14:textId="3E438498" w:rsidR="00057160" w:rsidRPr="00C82701" w:rsidRDefault="00D549AA" w:rsidP="00D460CF">
      <w:pPr>
        <w:pStyle w:val="NormalWeb"/>
        <w:numPr>
          <w:ilvl w:val="0"/>
          <w:numId w:val="4"/>
        </w:numPr>
        <w:spacing w:before="120" w:after="120"/>
        <w:ind w:left="0" w:firstLine="0"/>
        <w:jc w:val="both"/>
        <w:rPr>
          <w:rFonts w:ascii="Verdana" w:hAnsi="Verdana" w:cs="Calibri"/>
          <w:sz w:val="20"/>
          <w:szCs w:val="20"/>
        </w:rPr>
      </w:pPr>
      <w:r w:rsidRPr="00057160">
        <w:rPr>
          <w:rFonts w:ascii="Verdana" w:hAnsi="Verdana" w:cs="Calibri"/>
          <w:sz w:val="20"/>
          <w:szCs w:val="20"/>
        </w:rPr>
        <w:t xml:space="preserve">La </w:t>
      </w:r>
      <w:r w:rsidRPr="00267147">
        <w:rPr>
          <w:rFonts w:ascii="Verdana" w:hAnsi="Verdana" w:cs="Calibri"/>
          <w:sz w:val="20"/>
          <w:szCs w:val="20"/>
        </w:rPr>
        <w:t xml:space="preserve">Corte valora positivamente </w:t>
      </w:r>
      <w:r w:rsidR="00495EE5" w:rsidRPr="00267147">
        <w:rPr>
          <w:rFonts w:ascii="Verdana" w:hAnsi="Verdana" w:cs="Calibri"/>
          <w:sz w:val="20"/>
          <w:szCs w:val="20"/>
        </w:rPr>
        <w:t xml:space="preserve">que el Estado haya avanzado en la determinación de </w:t>
      </w:r>
      <w:r w:rsidR="00EB7C82">
        <w:rPr>
          <w:rFonts w:ascii="Verdana" w:hAnsi="Verdana" w:cs="Calibri"/>
          <w:sz w:val="20"/>
          <w:szCs w:val="20"/>
        </w:rPr>
        <w:t xml:space="preserve">la </w:t>
      </w:r>
      <w:r w:rsidR="00495EE5" w:rsidRPr="00267147">
        <w:rPr>
          <w:rFonts w:ascii="Verdana" w:hAnsi="Verdana" w:cs="Calibri"/>
          <w:sz w:val="20"/>
          <w:szCs w:val="20"/>
        </w:rPr>
        <w:t xml:space="preserve">responsabilidad penal y condena </w:t>
      </w:r>
      <w:r w:rsidR="00495EE5" w:rsidRPr="00F8644E">
        <w:rPr>
          <w:rFonts w:ascii="Verdana" w:hAnsi="Verdana" w:cs="Calibri"/>
          <w:sz w:val="20"/>
          <w:szCs w:val="20"/>
        </w:rPr>
        <w:t xml:space="preserve">de </w:t>
      </w:r>
      <w:r w:rsidR="00F8644E" w:rsidRPr="00F8644E">
        <w:rPr>
          <w:rFonts w:ascii="Verdana" w:hAnsi="Verdana" w:cs="Calibri"/>
          <w:sz w:val="20"/>
          <w:szCs w:val="20"/>
        </w:rPr>
        <w:t xml:space="preserve">cinco </w:t>
      </w:r>
      <w:r w:rsidR="00495EE5" w:rsidRPr="00F8644E">
        <w:rPr>
          <w:rFonts w:ascii="Verdana" w:hAnsi="Verdana" w:cs="Calibri"/>
          <w:sz w:val="20"/>
          <w:szCs w:val="20"/>
        </w:rPr>
        <w:t>exmilitares</w:t>
      </w:r>
      <w:r w:rsidR="00495EE5" w:rsidRPr="00267147">
        <w:rPr>
          <w:rFonts w:ascii="Verdana" w:hAnsi="Verdana" w:cs="Calibri"/>
          <w:sz w:val="20"/>
          <w:szCs w:val="20"/>
        </w:rPr>
        <w:t xml:space="preserve"> en relación con los hechos </w:t>
      </w:r>
      <w:r w:rsidR="000C7D51" w:rsidRPr="00267147">
        <w:rPr>
          <w:rFonts w:ascii="Verdana" w:hAnsi="Verdana" w:cs="Calibri"/>
          <w:sz w:val="20"/>
          <w:szCs w:val="20"/>
        </w:rPr>
        <w:t xml:space="preserve">de </w:t>
      </w:r>
      <w:r w:rsidR="000C7D51" w:rsidRPr="00267147">
        <w:rPr>
          <w:rFonts w:ascii="Verdana" w:hAnsi="Verdana" w:cs="Calibri"/>
          <w:sz w:val="20"/>
          <w:szCs w:val="20"/>
        </w:rPr>
        <w:lastRenderedPageBreak/>
        <w:t>desaparición de</w:t>
      </w:r>
      <w:r w:rsidR="00495EE5" w:rsidRPr="00267147">
        <w:rPr>
          <w:rFonts w:ascii="Verdana" w:hAnsi="Verdana" w:cs="Calibri"/>
          <w:sz w:val="20"/>
          <w:szCs w:val="20"/>
        </w:rPr>
        <w:t xml:space="preserve"> María Claudia Gar</w:t>
      </w:r>
      <w:r w:rsidR="00384833" w:rsidRPr="00267147">
        <w:rPr>
          <w:rFonts w:ascii="Verdana" w:hAnsi="Verdana" w:cs="Calibri"/>
          <w:sz w:val="20"/>
          <w:szCs w:val="20"/>
        </w:rPr>
        <w:t>c</w:t>
      </w:r>
      <w:r w:rsidR="00495EE5" w:rsidRPr="00267147">
        <w:rPr>
          <w:rFonts w:ascii="Verdana" w:hAnsi="Verdana" w:cs="Calibri"/>
          <w:sz w:val="20"/>
          <w:szCs w:val="20"/>
        </w:rPr>
        <w:t xml:space="preserve">ía </w:t>
      </w:r>
      <w:r w:rsidR="00495EE5" w:rsidRPr="00267147">
        <w:rPr>
          <w:rFonts w:ascii="Verdana" w:hAnsi="Verdana"/>
          <w:sz w:val="20"/>
          <w:szCs w:val="20"/>
        </w:rPr>
        <w:t>Iruretagoyena</w:t>
      </w:r>
      <w:r w:rsidR="00AE451F" w:rsidRPr="00267147">
        <w:rPr>
          <w:rFonts w:ascii="Verdana" w:hAnsi="Verdana"/>
          <w:sz w:val="20"/>
          <w:szCs w:val="20"/>
        </w:rPr>
        <w:t>, ya qu</w:t>
      </w:r>
      <w:r w:rsidR="0084216E">
        <w:rPr>
          <w:rFonts w:ascii="Verdana" w:hAnsi="Verdana"/>
          <w:sz w:val="20"/>
          <w:szCs w:val="20"/>
        </w:rPr>
        <w:t xml:space="preserve">e ello </w:t>
      </w:r>
      <w:r w:rsidR="00AE451F" w:rsidRPr="00267147">
        <w:rPr>
          <w:rFonts w:ascii="Verdana" w:hAnsi="Verdana"/>
          <w:sz w:val="20"/>
          <w:szCs w:val="20"/>
        </w:rPr>
        <w:t>permitió superar la impunidad que imper</w:t>
      </w:r>
      <w:r w:rsidR="003C63E6" w:rsidRPr="00267147">
        <w:rPr>
          <w:rFonts w:ascii="Verdana" w:hAnsi="Verdana"/>
          <w:sz w:val="20"/>
          <w:szCs w:val="20"/>
        </w:rPr>
        <w:t>ó</w:t>
      </w:r>
      <w:r w:rsidR="00AE451F" w:rsidRPr="00267147">
        <w:rPr>
          <w:rFonts w:ascii="Verdana" w:hAnsi="Verdana"/>
          <w:sz w:val="20"/>
          <w:szCs w:val="20"/>
        </w:rPr>
        <w:t xml:space="preserve"> en este caso por varias décadas</w:t>
      </w:r>
      <w:r w:rsidR="00495EE5" w:rsidRPr="00267147">
        <w:rPr>
          <w:rFonts w:ascii="Verdana" w:hAnsi="Verdana" w:cs="Calibri"/>
          <w:sz w:val="20"/>
          <w:szCs w:val="20"/>
        </w:rPr>
        <w:t xml:space="preserve">. </w:t>
      </w:r>
      <w:r w:rsidR="00784518" w:rsidRPr="00267147">
        <w:rPr>
          <w:rFonts w:ascii="Verdana" w:hAnsi="Verdana" w:cs="Calibri"/>
          <w:sz w:val="20"/>
          <w:szCs w:val="20"/>
        </w:rPr>
        <w:t xml:space="preserve">Asimismo, </w:t>
      </w:r>
      <w:r w:rsidR="0084216E">
        <w:rPr>
          <w:rFonts w:ascii="Verdana" w:hAnsi="Verdana" w:cs="Calibri"/>
          <w:sz w:val="20"/>
          <w:szCs w:val="20"/>
        </w:rPr>
        <w:t xml:space="preserve">se hace </w:t>
      </w:r>
      <w:r w:rsidR="00784518" w:rsidRPr="00267147">
        <w:rPr>
          <w:rFonts w:ascii="Verdana" w:hAnsi="Verdana" w:cs="Calibri"/>
          <w:sz w:val="20"/>
          <w:szCs w:val="20"/>
        </w:rPr>
        <w:t>nota</w:t>
      </w:r>
      <w:r w:rsidR="0084216E">
        <w:rPr>
          <w:rFonts w:ascii="Verdana" w:hAnsi="Verdana" w:cs="Calibri"/>
          <w:sz w:val="20"/>
          <w:szCs w:val="20"/>
        </w:rPr>
        <w:t>r</w:t>
      </w:r>
      <w:r w:rsidR="00784518" w:rsidRPr="00267147">
        <w:rPr>
          <w:rFonts w:ascii="Verdana" w:hAnsi="Verdana" w:cs="Calibri"/>
          <w:sz w:val="20"/>
          <w:szCs w:val="20"/>
        </w:rPr>
        <w:t xml:space="preserve"> que este es uno de los pocos casos sobre </w:t>
      </w:r>
      <w:r w:rsidR="00267147" w:rsidRPr="00267147">
        <w:rPr>
          <w:rFonts w:ascii="Verdana" w:hAnsi="Verdana" w:cs="Calibri"/>
          <w:sz w:val="20"/>
          <w:szCs w:val="20"/>
        </w:rPr>
        <w:t>delitos</w:t>
      </w:r>
      <w:r w:rsidR="00784518" w:rsidRPr="00267147">
        <w:rPr>
          <w:rFonts w:ascii="Verdana" w:hAnsi="Verdana" w:cs="Calibri"/>
          <w:sz w:val="20"/>
          <w:szCs w:val="20"/>
        </w:rPr>
        <w:t xml:space="preserve"> cometid</w:t>
      </w:r>
      <w:r w:rsidR="00267147" w:rsidRPr="00267147">
        <w:rPr>
          <w:rFonts w:ascii="Verdana" w:hAnsi="Verdana" w:cs="Calibri"/>
          <w:sz w:val="20"/>
          <w:szCs w:val="20"/>
        </w:rPr>
        <w:t>o</w:t>
      </w:r>
      <w:r w:rsidR="00784518" w:rsidRPr="00267147">
        <w:rPr>
          <w:rFonts w:ascii="Verdana" w:hAnsi="Verdana" w:cs="Calibri"/>
          <w:sz w:val="20"/>
          <w:szCs w:val="20"/>
        </w:rPr>
        <w:t>s durante la dictadura que ha avanzado hasta esta etapa procesal</w:t>
      </w:r>
      <w:r w:rsidR="00267147" w:rsidRPr="00267147">
        <w:rPr>
          <w:rFonts w:ascii="Verdana" w:hAnsi="Verdana" w:cs="Calibri"/>
          <w:sz w:val="20"/>
          <w:szCs w:val="20"/>
        </w:rPr>
        <w:t xml:space="preserve"> y</w:t>
      </w:r>
      <w:r w:rsidR="00EB7C82">
        <w:rPr>
          <w:rFonts w:ascii="Verdana" w:hAnsi="Verdana" w:cs="Calibri"/>
          <w:sz w:val="20"/>
          <w:szCs w:val="20"/>
        </w:rPr>
        <w:t xml:space="preserve"> en los cuales</w:t>
      </w:r>
      <w:r w:rsidR="00267147" w:rsidRPr="00267147">
        <w:rPr>
          <w:rFonts w:ascii="Verdana" w:hAnsi="Verdana" w:cs="Calibri"/>
          <w:sz w:val="20"/>
          <w:szCs w:val="20"/>
        </w:rPr>
        <w:t xml:space="preserve"> se ha dictado sentencia condenatoria</w:t>
      </w:r>
      <w:r w:rsidR="00267147" w:rsidRPr="00267147">
        <w:rPr>
          <w:rStyle w:val="Refdenotaalpie"/>
          <w:rFonts w:ascii="Verdana" w:hAnsi="Verdana" w:cs="Calibri"/>
          <w:sz w:val="20"/>
          <w:szCs w:val="20"/>
        </w:rPr>
        <w:footnoteReference w:id="15"/>
      </w:r>
      <w:r w:rsidR="00784518" w:rsidRPr="00267147">
        <w:rPr>
          <w:rFonts w:ascii="Verdana" w:hAnsi="Verdana" w:cs="Calibri"/>
          <w:sz w:val="20"/>
          <w:szCs w:val="20"/>
        </w:rPr>
        <w:t xml:space="preserve">. </w:t>
      </w:r>
      <w:r w:rsidR="009B0B3E" w:rsidRPr="00267147">
        <w:rPr>
          <w:rFonts w:ascii="Verdana" w:hAnsi="Verdana" w:cs="Calibri"/>
          <w:sz w:val="20"/>
          <w:szCs w:val="20"/>
        </w:rPr>
        <w:t>Debido a que</w:t>
      </w:r>
      <w:r w:rsidR="00E35DD1">
        <w:rPr>
          <w:rFonts w:ascii="Verdana" w:hAnsi="Verdana" w:cs="Calibri"/>
          <w:sz w:val="20"/>
          <w:szCs w:val="20"/>
        </w:rPr>
        <w:t>, según la última información presentada por las partes,</w:t>
      </w:r>
      <w:r w:rsidR="009B0B3E" w:rsidRPr="00267147">
        <w:rPr>
          <w:rFonts w:ascii="Verdana" w:hAnsi="Verdana" w:cs="Calibri"/>
          <w:sz w:val="20"/>
          <w:szCs w:val="20"/>
        </w:rPr>
        <w:t xml:space="preserve"> esas condenas aún no </w:t>
      </w:r>
      <w:r w:rsidR="0084216E">
        <w:rPr>
          <w:rFonts w:ascii="Verdana" w:hAnsi="Verdana" w:cs="Calibri"/>
          <w:sz w:val="20"/>
          <w:szCs w:val="20"/>
        </w:rPr>
        <w:t>están en</w:t>
      </w:r>
      <w:r w:rsidR="009B0B3E" w:rsidRPr="00267147">
        <w:rPr>
          <w:rFonts w:ascii="Verdana" w:hAnsi="Verdana" w:cs="Calibri"/>
          <w:sz w:val="20"/>
          <w:szCs w:val="20"/>
        </w:rPr>
        <w:t xml:space="preserve"> firme</w:t>
      </w:r>
      <w:r w:rsidR="000C7D51" w:rsidRPr="00267147">
        <w:rPr>
          <w:rFonts w:ascii="Verdana" w:hAnsi="Verdana" w:cs="Calibri"/>
          <w:sz w:val="20"/>
          <w:szCs w:val="20"/>
        </w:rPr>
        <w:t>,</w:t>
      </w:r>
      <w:r w:rsidR="009B0B3E" w:rsidRPr="00267147">
        <w:rPr>
          <w:rFonts w:ascii="Verdana" w:hAnsi="Verdana" w:cs="Calibri"/>
          <w:sz w:val="20"/>
          <w:szCs w:val="20"/>
        </w:rPr>
        <w:t xml:space="preserve"> se solicita al Estado que </w:t>
      </w:r>
      <w:r w:rsidR="000C7D51" w:rsidRPr="00267147">
        <w:rPr>
          <w:rFonts w:ascii="Verdana" w:hAnsi="Verdana" w:cs="Calibri"/>
          <w:sz w:val="20"/>
          <w:szCs w:val="20"/>
        </w:rPr>
        <w:t>presente</w:t>
      </w:r>
      <w:r w:rsidR="000C7D51" w:rsidRPr="00057160">
        <w:rPr>
          <w:rFonts w:ascii="Verdana" w:hAnsi="Verdana" w:cs="Calibri"/>
          <w:sz w:val="20"/>
          <w:szCs w:val="20"/>
        </w:rPr>
        <w:t xml:space="preserve"> información actualizada respecto al estado en que se encuentra</w:t>
      </w:r>
      <w:r w:rsidR="00AE451F" w:rsidRPr="00057160">
        <w:rPr>
          <w:rFonts w:ascii="Verdana" w:hAnsi="Verdana" w:cs="Calibri"/>
          <w:sz w:val="20"/>
          <w:szCs w:val="20"/>
        </w:rPr>
        <w:t xml:space="preserve"> el trámite de</w:t>
      </w:r>
      <w:r w:rsidR="000C7D51" w:rsidRPr="00057160">
        <w:rPr>
          <w:rFonts w:ascii="Verdana" w:hAnsi="Verdana" w:cs="Calibri"/>
          <w:sz w:val="20"/>
          <w:szCs w:val="20"/>
        </w:rPr>
        <w:t xml:space="preserve"> </w:t>
      </w:r>
      <w:r w:rsidR="003C63E6" w:rsidRPr="00057160">
        <w:rPr>
          <w:rFonts w:ascii="Verdana" w:hAnsi="Verdana" w:cs="Calibri"/>
          <w:sz w:val="20"/>
          <w:szCs w:val="20"/>
        </w:rPr>
        <w:t>los</w:t>
      </w:r>
      <w:r w:rsidR="000C7D51" w:rsidRPr="00057160">
        <w:rPr>
          <w:rFonts w:ascii="Verdana" w:hAnsi="Verdana" w:cs="Calibri"/>
          <w:sz w:val="20"/>
          <w:szCs w:val="20"/>
        </w:rPr>
        <w:t xml:space="preserve"> recursos</w:t>
      </w:r>
      <w:r w:rsidR="003C63E6" w:rsidRPr="00057160">
        <w:rPr>
          <w:rFonts w:ascii="Verdana" w:hAnsi="Verdana" w:cs="Calibri"/>
          <w:sz w:val="20"/>
          <w:szCs w:val="20"/>
        </w:rPr>
        <w:t xml:space="preserve"> de casación</w:t>
      </w:r>
      <w:r w:rsidR="000C7D51" w:rsidRPr="00057160">
        <w:rPr>
          <w:rFonts w:ascii="Verdana" w:hAnsi="Verdana" w:cs="Calibri"/>
          <w:sz w:val="20"/>
          <w:szCs w:val="20"/>
        </w:rPr>
        <w:t xml:space="preserve"> y acciones</w:t>
      </w:r>
      <w:r w:rsidR="003C63E6" w:rsidRPr="00057160">
        <w:rPr>
          <w:rFonts w:ascii="Verdana" w:hAnsi="Verdana" w:cs="Calibri"/>
          <w:sz w:val="20"/>
          <w:szCs w:val="20"/>
        </w:rPr>
        <w:t xml:space="preserve"> de inconstitucionalidad interpuestas por los condenados</w:t>
      </w:r>
      <w:r w:rsidR="000C7D51" w:rsidRPr="00057160">
        <w:rPr>
          <w:rFonts w:ascii="Verdana" w:hAnsi="Verdana" w:cs="Calibri"/>
          <w:sz w:val="20"/>
          <w:szCs w:val="20"/>
        </w:rPr>
        <w:t xml:space="preserve">, así como que adopte las medidas necesarias para que sean resueltos con </w:t>
      </w:r>
      <w:r w:rsidR="00E43621">
        <w:rPr>
          <w:rFonts w:ascii="Verdana" w:hAnsi="Verdana" w:cs="Calibri"/>
          <w:sz w:val="20"/>
          <w:szCs w:val="20"/>
        </w:rPr>
        <w:t xml:space="preserve">la </w:t>
      </w:r>
      <w:r w:rsidR="000C7D51" w:rsidRPr="00057160">
        <w:rPr>
          <w:rFonts w:ascii="Verdana" w:hAnsi="Verdana" w:cs="Calibri"/>
          <w:sz w:val="20"/>
          <w:szCs w:val="20"/>
        </w:rPr>
        <w:t xml:space="preserve">debida diligencia y celeridad. Ello es especialmente importante en un caso como este, en el cual </w:t>
      </w:r>
      <w:r w:rsidR="003C63E6" w:rsidRPr="00057160">
        <w:rPr>
          <w:rFonts w:ascii="Verdana" w:hAnsi="Verdana" w:cs="Calibri"/>
          <w:sz w:val="20"/>
          <w:szCs w:val="20"/>
        </w:rPr>
        <w:t>desde la</w:t>
      </w:r>
      <w:r w:rsidR="000C7D51" w:rsidRPr="00057160">
        <w:rPr>
          <w:rFonts w:ascii="Verdana" w:hAnsi="Verdana" w:cs="Calibri"/>
          <w:sz w:val="20"/>
          <w:szCs w:val="20"/>
        </w:rPr>
        <w:t xml:space="preserve"> </w:t>
      </w:r>
      <w:r w:rsidR="003C63E6" w:rsidRPr="00057160">
        <w:rPr>
          <w:rFonts w:ascii="Verdana" w:hAnsi="Verdana" w:cs="Calibri"/>
          <w:sz w:val="20"/>
          <w:szCs w:val="20"/>
        </w:rPr>
        <w:t>S</w:t>
      </w:r>
      <w:r w:rsidR="000C7D51" w:rsidRPr="00057160">
        <w:rPr>
          <w:rFonts w:ascii="Verdana" w:hAnsi="Verdana" w:cs="Calibri"/>
          <w:sz w:val="20"/>
          <w:szCs w:val="20"/>
        </w:rPr>
        <w:t xml:space="preserve">entencia </w:t>
      </w:r>
      <w:r w:rsidR="003C63E6" w:rsidRPr="00057160">
        <w:rPr>
          <w:rFonts w:ascii="Verdana" w:hAnsi="Verdana" w:cs="Calibri"/>
          <w:sz w:val="20"/>
          <w:szCs w:val="20"/>
        </w:rPr>
        <w:t xml:space="preserve">se </w:t>
      </w:r>
      <w:r w:rsidR="000C7D51" w:rsidRPr="00057160">
        <w:rPr>
          <w:rFonts w:ascii="Verdana" w:hAnsi="Verdana" w:cs="Calibri"/>
          <w:sz w:val="20"/>
          <w:szCs w:val="20"/>
        </w:rPr>
        <w:t xml:space="preserve">constató </w:t>
      </w:r>
      <w:r w:rsidR="000C7D51" w:rsidRPr="00C82701">
        <w:rPr>
          <w:rFonts w:ascii="Verdana" w:hAnsi="Verdana" w:cs="Calibri"/>
          <w:sz w:val="20"/>
          <w:szCs w:val="20"/>
        </w:rPr>
        <w:t>que la duración de los procedimientos</w:t>
      </w:r>
      <w:r w:rsidR="00AE451F" w:rsidRPr="00C82701">
        <w:rPr>
          <w:rFonts w:ascii="Verdana" w:hAnsi="Verdana" w:cs="Calibri"/>
          <w:sz w:val="20"/>
          <w:szCs w:val="20"/>
        </w:rPr>
        <w:t xml:space="preserve"> de investigación de estas graves violaciones,</w:t>
      </w:r>
      <w:r w:rsidR="000C7D51" w:rsidRPr="00C82701">
        <w:rPr>
          <w:rFonts w:ascii="Verdana" w:hAnsi="Verdana" w:cs="Calibri"/>
          <w:sz w:val="20"/>
          <w:szCs w:val="20"/>
        </w:rPr>
        <w:t xml:space="preserve"> ya había sobrepasado cualquier parámetro de razonabilidad</w:t>
      </w:r>
      <w:r w:rsidR="00AE451F" w:rsidRPr="00C82701">
        <w:rPr>
          <w:rStyle w:val="Refdenotaalpie"/>
          <w:rFonts w:ascii="Verdana" w:hAnsi="Verdana" w:cs="Calibri"/>
          <w:sz w:val="20"/>
          <w:szCs w:val="20"/>
        </w:rPr>
        <w:footnoteReference w:id="16"/>
      </w:r>
      <w:r w:rsidR="00AE451F" w:rsidRPr="00C82701">
        <w:rPr>
          <w:rFonts w:ascii="Verdana" w:hAnsi="Verdana" w:cs="Calibri"/>
          <w:sz w:val="20"/>
          <w:szCs w:val="20"/>
        </w:rPr>
        <w:t>.</w:t>
      </w:r>
    </w:p>
    <w:p w14:paraId="576EEE8C" w14:textId="68F81954" w:rsidR="00057160" w:rsidRPr="0075269B" w:rsidRDefault="00AE451F" w:rsidP="00D460CF">
      <w:pPr>
        <w:pStyle w:val="NormalWeb"/>
        <w:numPr>
          <w:ilvl w:val="0"/>
          <w:numId w:val="4"/>
        </w:numPr>
        <w:spacing w:before="120" w:after="120"/>
        <w:ind w:left="0" w:firstLine="0"/>
        <w:jc w:val="both"/>
        <w:rPr>
          <w:rFonts w:ascii="Verdana" w:hAnsi="Verdana" w:cs="Calibri"/>
          <w:sz w:val="20"/>
          <w:szCs w:val="20"/>
        </w:rPr>
      </w:pPr>
      <w:r w:rsidRPr="00B0112D">
        <w:rPr>
          <w:rFonts w:ascii="Verdana" w:hAnsi="Verdana" w:cs="Calibri"/>
          <w:sz w:val="20"/>
          <w:szCs w:val="20"/>
        </w:rPr>
        <w:t xml:space="preserve">Por otra parte, la Corte observa que los </w:t>
      </w:r>
      <w:r w:rsidRPr="00F21EA9">
        <w:rPr>
          <w:rFonts w:ascii="Verdana" w:hAnsi="Verdana" w:cs="Calibri"/>
          <w:i/>
          <w:sz w:val="20"/>
          <w:szCs w:val="20"/>
        </w:rPr>
        <w:t>representantes</w:t>
      </w:r>
      <w:r w:rsidRPr="00B0112D">
        <w:rPr>
          <w:rFonts w:ascii="Verdana" w:hAnsi="Verdana" w:cs="Calibri"/>
          <w:sz w:val="20"/>
          <w:szCs w:val="20"/>
        </w:rPr>
        <w:t xml:space="preserve"> sostuvieron que acciones de inconstituc</w:t>
      </w:r>
      <w:r w:rsidRPr="00057160">
        <w:rPr>
          <w:rFonts w:ascii="Verdana" w:hAnsi="Verdana" w:cs="Calibri"/>
          <w:sz w:val="20"/>
          <w:szCs w:val="20"/>
        </w:rPr>
        <w:t>ionalidad tales como la planteada por los condenados</w:t>
      </w:r>
      <w:r w:rsidR="00032D9F">
        <w:rPr>
          <w:rFonts w:ascii="Verdana" w:hAnsi="Verdana" w:cs="Calibri"/>
          <w:sz w:val="20"/>
          <w:szCs w:val="20"/>
        </w:rPr>
        <w:t xml:space="preserve"> (</w:t>
      </w:r>
      <w:r w:rsidR="00032D9F" w:rsidRPr="00F21EA9">
        <w:rPr>
          <w:rFonts w:ascii="Verdana" w:hAnsi="Verdana" w:cs="Calibri"/>
          <w:i/>
          <w:sz w:val="20"/>
          <w:szCs w:val="20"/>
        </w:rPr>
        <w:t xml:space="preserve">supra </w:t>
      </w:r>
      <w:r w:rsidR="00032D9F">
        <w:rPr>
          <w:rFonts w:ascii="Verdana" w:hAnsi="Verdana" w:cs="Calibri"/>
          <w:sz w:val="20"/>
          <w:szCs w:val="20"/>
        </w:rPr>
        <w:t>Considerando 7)</w:t>
      </w:r>
      <w:r w:rsidR="00144056" w:rsidRPr="00057160">
        <w:rPr>
          <w:rFonts w:ascii="Verdana" w:hAnsi="Verdana" w:cs="Calibri"/>
          <w:sz w:val="20"/>
          <w:szCs w:val="20"/>
        </w:rPr>
        <w:t>, “hacen parte de las estrategias claramente dilatorias que impulsan las defensas de los condenados e imputados en casi todas las causas por graves violaciones de derechos humanos cometidas durante la dictadura, y que son permitidas por los operadores de Justicia”</w:t>
      </w:r>
      <w:r w:rsidR="00384833" w:rsidRPr="00E85B33">
        <w:rPr>
          <w:rStyle w:val="Refdenotaalpie"/>
          <w:rFonts w:ascii="Verdana" w:hAnsi="Verdana" w:cs="Calibri"/>
          <w:sz w:val="20"/>
          <w:szCs w:val="20"/>
        </w:rPr>
        <w:footnoteReference w:id="17"/>
      </w:r>
      <w:r w:rsidR="00144056" w:rsidRPr="00057160">
        <w:rPr>
          <w:rFonts w:ascii="Verdana" w:hAnsi="Verdana" w:cs="Calibri"/>
          <w:sz w:val="20"/>
          <w:szCs w:val="20"/>
        </w:rPr>
        <w:t>. En este caso, señalaron que “[p]</w:t>
      </w:r>
      <w:proofErr w:type="spellStart"/>
      <w:r w:rsidR="00144056" w:rsidRPr="00057160">
        <w:rPr>
          <w:rFonts w:ascii="Verdana" w:hAnsi="Verdana" w:cs="Calibri"/>
          <w:sz w:val="20"/>
          <w:szCs w:val="20"/>
        </w:rPr>
        <w:t>ese</w:t>
      </w:r>
      <w:proofErr w:type="spellEnd"/>
      <w:r w:rsidR="00144056" w:rsidRPr="00057160">
        <w:rPr>
          <w:rFonts w:ascii="Verdana" w:hAnsi="Verdana" w:cs="Calibri"/>
          <w:sz w:val="20"/>
          <w:szCs w:val="20"/>
        </w:rPr>
        <w:t xml:space="preserve"> a que </w:t>
      </w:r>
      <w:r w:rsidR="00384833" w:rsidRPr="00057160">
        <w:rPr>
          <w:rFonts w:ascii="Verdana" w:hAnsi="Verdana" w:cs="Calibri"/>
          <w:sz w:val="20"/>
          <w:szCs w:val="20"/>
        </w:rPr>
        <w:t>[la]</w:t>
      </w:r>
      <w:r w:rsidR="00144056" w:rsidRPr="00057160">
        <w:rPr>
          <w:rFonts w:ascii="Verdana" w:hAnsi="Verdana" w:cs="Calibri"/>
          <w:sz w:val="20"/>
          <w:szCs w:val="20"/>
        </w:rPr>
        <w:t xml:space="preserve"> Ley </w:t>
      </w:r>
      <w:r w:rsidR="00384833" w:rsidRPr="00057160">
        <w:rPr>
          <w:rFonts w:ascii="Verdana" w:hAnsi="Verdana" w:cs="Calibri"/>
          <w:sz w:val="20"/>
          <w:szCs w:val="20"/>
        </w:rPr>
        <w:t xml:space="preserve">[que creó la Fiscalía </w:t>
      </w:r>
      <w:r w:rsidR="00032D9F">
        <w:rPr>
          <w:rFonts w:ascii="Verdana" w:hAnsi="Verdana" w:cs="Calibri"/>
          <w:sz w:val="20"/>
          <w:szCs w:val="20"/>
        </w:rPr>
        <w:t xml:space="preserve">Especializada en Crímenes </w:t>
      </w:r>
      <w:r w:rsidR="00384833" w:rsidRPr="00057160">
        <w:rPr>
          <w:rFonts w:ascii="Verdana" w:hAnsi="Verdana" w:cs="Calibri"/>
          <w:sz w:val="20"/>
          <w:szCs w:val="20"/>
        </w:rPr>
        <w:t xml:space="preserve">de Lesa Humanidad] </w:t>
      </w:r>
      <w:r w:rsidR="00144056" w:rsidRPr="00057160">
        <w:rPr>
          <w:rFonts w:ascii="Verdana" w:hAnsi="Verdana" w:cs="Calibri"/>
          <w:sz w:val="20"/>
          <w:szCs w:val="20"/>
        </w:rPr>
        <w:t xml:space="preserve">ya fue declarada constitucional por la Corte Suprema de Justicia en al menos dos oportunidades, </w:t>
      </w:r>
      <w:r w:rsidR="00384833" w:rsidRPr="00057160">
        <w:rPr>
          <w:rFonts w:ascii="Verdana" w:hAnsi="Verdana" w:cs="Calibri"/>
          <w:sz w:val="20"/>
          <w:szCs w:val="20"/>
        </w:rPr>
        <w:t xml:space="preserve">[dicho tribunal] no ha recurrido aún a los mecanismos de decisiones anticipadas o de rechazo </w:t>
      </w:r>
      <w:r w:rsidR="00384833" w:rsidRPr="00057160">
        <w:rPr>
          <w:rFonts w:ascii="Verdana" w:hAnsi="Verdana" w:cs="Calibri"/>
          <w:i/>
          <w:iCs/>
          <w:sz w:val="20"/>
          <w:szCs w:val="20"/>
        </w:rPr>
        <w:t>in limine</w:t>
      </w:r>
      <w:r w:rsidR="00384833" w:rsidRPr="00057160">
        <w:rPr>
          <w:rFonts w:ascii="Verdana" w:hAnsi="Verdana" w:cs="Calibri"/>
          <w:sz w:val="20"/>
          <w:szCs w:val="20"/>
        </w:rPr>
        <w:t xml:space="preserve"> para poner fin a estos reclamo</w:t>
      </w:r>
      <w:r w:rsidR="00E35DD1">
        <w:rPr>
          <w:rFonts w:ascii="Verdana" w:hAnsi="Verdana" w:cs="Calibri"/>
          <w:sz w:val="20"/>
          <w:szCs w:val="20"/>
        </w:rPr>
        <w:t>s</w:t>
      </w:r>
      <w:r w:rsidR="00384833" w:rsidRPr="00057160">
        <w:rPr>
          <w:rFonts w:ascii="Verdana" w:hAnsi="Verdana" w:cs="Calibri"/>
          <w:sz w:val="20"/>
          <w:szCs w:val="20"/>
        </w:rPr>
        <w:t xml:space="preserve"> dilatorios”</w:t>
      </w:r>
      <w:r w:rsidR="00F47B58">
        <w:rPr>
          <w:rFonts w:ascii="Verdana" w:hAnsi="Verdana" w:cs="Calibri"/>
          <w:sz w:val="20"/>
          <w:szCs w:val="20"/>
        </w:rPr>
        <w:t>.</w:t>
      </w:r>
      <w:r w:rsidR="00384833" w:rsidRPr="00057160">
        <w:rPr>
          <w:rFonts w:ascii="Verdana" w:hAnsi="Verdana" w:cs="Calibri"/>
          <w:sz w:val="20"/>
          <w:szCs w:val="20"/>
        </w:rPr>
        <w:t xml:space="preserve"> </w:t>
      </w:r>
      <w:r w:rsidR="00F47B58">
        <w:rPr>
          <w:rFonts w:ascii="Verdana" w:hAnsi="Verdana" w:cs="Calibri"/>
          <w:sz w:val="20"/>
          <w:szCs w:val="20"/>
        </w:rPr>
        <w:t>E</w:t>
      </w:r>
      <w:r w:rsidR="00384833" w:rsidRPr="00057160">
        <w:rPr>
          <w:rFonts w:ascii="Verdana" w:hAnsi="Verdana" w:cs="Calibri"/>
          <w:sz w:val="20"/>
          <w:szCs w:val="20"/>
        </w:rPr>
        <w:t>n su lugar</w:t>
      </w:r>
      <w:r w:rsidR="00E43621">
        <w:rPr>
          <w:rFonts w:ascii="Verdana" w:hAnsi="Verdana" w:cs="Calibri"/>
          <w:sz w:val="20"/>
          <w:szCs w:val="20"/>
        </w:rPr>
        <w:t>,</w:t>
      </w:r>
      <w:r w:rsidR="00384833" w:rsidRPr="00057160">
        <w:rPr>
          <w:rFonts w:ascii="Verdana" w:hAnsi="Verdana" w:cs="Calibri"/>
          <w:sz w:val="20"/>
          <w:szCs w:val="20"/>
        </w:rPr>
        <w:t xml:space="preserve"> “cada pedido […] se tramita de manera individual con el efecto de suspender el proceso para todos los imputados o condenados mientras […] se pronuncia en cada caso”. </w:t>
      </w:r>
      <w:r w:rsidR="00384833" w:rsidRPr="00C82701">
        <w:rPr>
          <w:rFonts w:ascii="Verdana" w:hAnsi="Verdana" w:cs="Calibri"/>
          <w:sz w:val="20"/>
          <w:szCs w:val="20"/>
        </w:rPr>
        <w:t xml:space="preserve">Al respecto, este Tribunal estima pertinente </w:t>
      </w:r>
      <w:r w:rsidR="00C4508D" w:rsidRPr="00C82701">
        <w:rPr>
          <w:rFonts w:ascii="Verdana" w:hAnsi="Verdana" w:cs="Calibri"/>
          <w:sz w:val="20"/>
          <w:szCs w:val="20"/>
        </w:rPr>
        <w:t xml:space="preserve">recordar que el Estado debe cumplir con su </w:t>
      </w:r>
      <w:r w:rsidR="00C4508D" w:rsidRPr="0075269B">
        <w:rPr>
          <w:rFonts w:ascii="Verdana" w:hAnsi="Verdana" w:cs="Calibri"/>
          <w:sz w:val="20"/>
          <w:szCs w:val="20"/>
        </w:rPr>
        <w:t xml:space="preserve">obligación de investigar, enjuiciar y sancionar sin permitir que el ejercicio de </w:t>
      </w:r>
      <w:r w:rsidR="00E85B33" w:rsidRPr="0075269B">
        <w:rPr>
          <w:rFonts w:ascii="Verdana" w:hAnsi="Verdana" w:cs="Calibri"/>
          <w:sz w:val="20"/>
          <w:szCs w:val="20"/>
        </w:rPr>
        <w:t xml:space="preserve">acciones o recursos de esta naturaleza </w:t>
      </w:r>
      <w:r w:rsidR="00E11D4E" w:rsidRPr="0058289D">
        <w:rPr>
          <w:rFonts w:ascii="Verdana" w:hAnsi="Verdana" w:cs="Calibri"/>
          <w:sz w:val="20"/>
          <w:szCs w:val="20"/>
        </w:rPr>
        <w:t xml:space="preserve">tengan efectos dilatorios y entorpecedores en los procesos y </w:t>
      </w:r>
      <w:r w:rsidR="00E85B33" w:rsidRPr="0058289D">
        <w:rPr>
          <w:rFonts w:ascii="Verdana" w:hAnsi="Verdana" w:cs="Calibri"/>
          <w:sz w:val="20"/>
          <w:szCs w:val="20"/>
        </w:rPr>
        <w:t>c</w:t>
      </w:r>
      <w:r w:rsidR="00E85B33" w:rsidRPr="001A0C99">
        <w:rPr>
          <w:rFonts w:ascii="Verdana" w:hAnsi="Verdana" w:cs="Calibri"/>
          <w:sz w:val="20"/>
          <w:szCs w:val="20"/>
        </w:rPr>
        <w:t>onstituy</w:t>
      </w:r>
      <w:r w:rsidR="00E11D4E" w:rsidRPr="001A0C99">
        <w:rPr>
          <w:rFonts w:ascii="Verdana" w:hAnsi="Verdana" w:cs="Calibri"/>
          <w:sz w:val="20"/>
          <w:szCs w:val="20"/>
        </w:rPr>
        <w:t>an</w:t>
      </w:r>
      <w:r w:rsidR="00E85B33" w:rsidRPr="001A0C99">
        <w:rPr>
          <w:rFonts w:ascii="Verdana" w:hAnsi="Verdana" w:cs="Calibri"/>
          <w:sz w:val="20"/>
          <w:szCs w:val="20"/>
        </w:rPr>
        <w:t xml:space="preserve"> un obstáculo en el acceso a la justicia de las víctimas</w:t>
      </w:r>
      <w:r w:rsidR="00E85B33" w:rsidRPr="0075269B">
        <w:rPr>
          <w:rStyle w:val="Refdenotaalpie"/>
          <w:rFonts w:ascii="Verdana" w:hAnsi="Verdana" w:cs="Calibri"/>
          <w:sz w:val="20"/>
          <w:szCs w:val="20"/>
        </w:rPr>
        <w:footnoteReference w:id="18"/>
      </w:r>
      <w:r w:rsidR="00E85B33" w:rsidRPr="0075269B">
        <w:rPr>
          <w:rFonts w:ascii="Verdana" w:hAnsi="Verdana" w:cs="Calibri"/>
          <w:sz w:val="20"/>
          <w:szCs w:val="20"/>
        </w:rPr>
        <w:t xml:space="preserve">. </w:t>
      </w:r>
      <w:r w:rsidR="00F230AB" w:rsidRPr="0075269B">
        <w:rPr>
          <w:rFonts w:ascii="Verdana" w:hAnsi="Verdana" w:cs="Calibri"/>
          <w:sz w:val="20"/>
          <w:szCs w:val="20"/>
        </w:rPr>
        <w:t>Para hacer efectivo tal derecho de las víctimas, la Corte ha resaltado el rol que deben asumir los jueces</w:t>
      </w:r>
      <w:r w:rsidR="00453FF3" w:rsidRPr="0058289D">
        <w:rPr>
          <w:rFonts w:ascii="Verdana" w:hAnsi="Verdana" w:cs="Calibri"/>
          <w:sz w:val="20"/>
          <w:szCs w:val="20"/>
        </w:rPr>
        <w:t xml:space="preserve">, </w:t>
      </w:r>
      <w:proofErr w:type="gramStart"/>
      <w:r w:rsidR="00453FF3" w:rsidRPr="0058289D">
        <w:rPr>
          <w:rFonts w:ascii="Verdana" w:hAnsi="Verdana" w:cs="Calibri"/>
          <w:sz w:val="20"/>
          <w:szCs w:val="20"/>
        </w:rPr>
        <w:t>quienes</w:t>
      </w:r>
      <w:proofErr w:type="gramEnd"/>
      <w:r w:rsidR="00453FF3" w:rsidRPr="0058289D">
        <w:rPr>
          <w:rFonts w:ascii="Verdana" w:hAnsi="Verdana" w:cs="Calibri"/>
          <w:sz w:val="20"/>
          <w:szCs w:val="20"/>
        </w:rPr>
        <w:t xml:space="preserve"> </w:t>
      </w:r>
      <w:r w:rsidR="00F230AB" w:rsidRPr="0058289D">
        <w:rPr>
          <w:rFonts w:ascii="Verdana" w:hAnsi="Verdana" w:cs="Calibri"/>
          <w:sz w:val="20"/>
          <w:szCs w:val="20"/>
        </w:rPr>
        <w:t>como rectores del proceso, tienen que dirigir y encausar los procedimien</w:t>
      </w:r>
      <w:r w:rsidR="00F230AB" w:rsidRPr="001A0C99">
        <w:rPr>
          <w:rFonts w:ascii="Verdana" w:hAnsi="Verdana" w:cs="Calibri"/>
          <w:sz w:val="20"/>
          <w:szCs w:val="20"/>
        </w:rPr>
        <w:t>tos judiciales con el fin de no sacrificar la justicia y el debido proceso en pro del formalismo y de la impunidad, así como tramitar los recursos judiciales de manera tal que se restrinja el uso desproporcionado de acciones que puedan tener efectos dilatorios o entorpecedores</w:t>
      </w:r>
      <w:r w:rsidR="00F230AB" w:rsidRPr="0075269B">
        <w:rPr>
          <w:rStyle w:val="Refdenotaalpie"/>
          <w:rFonts w:ascii="Verdana" w:hAnsi="Verdana" w:cs="Calibri"/>
          <w:sz w:val="20"/>
          <w:szCs w:val="20"/>
        </w:rPr>
        <w:footnoteReference w:id="19"/>
      </w:r>
      <w:r w:rsidR="00F230AB" w:rsidRPr="0075269B">
        <w:rPr>
          <w:rFonts w:ascii="Verdana" w:hAnsi="Verdana" w:cs="Calibri"/>
          <w:sz w:val="20"/>
          <w:szCs w:val="20"/>
        </w:rPr>
        <w:t>.</w:t>
      </w:r>
    </w:p>
    <w:p w14:paraId="16F0C877" w14:textId="4F75808B" w:rsidR="009401C3" w:rsidRPr="006A2391" w:rsidRDefault="00057160" w:rsidP="009401C3">
      <w:pPr>
        <w:pStyle w:val="NormalWeb"/>
        <w:numPr>
          <w:ilvl w:val="0"/>
          <w:numId w:val="4"/>
        </w:numPr>
        <w:spacing w:before="120" w:after="120"/>
        <w:ind w:left="0" w:firstLine="0"/>
        <w:jc w:val="both"/>
        <w:rPr>
          <w:rFonts w:ascii="Verdana" w:hAnsi="Verdana" w:cs="Calibri"/>
          <w:sz w:val="20"/>
          <w:szCs w:val="20"/>
        </w:rPr>
      </w:pPr>
      <w:r w:rsidRPr="00453FF3">
        <w:rPr>
          <w:rFonts w:ascii="Verdana" w:hAnsi="Verdana" w:cs="Calibri"/>
          <w:sz w:val="20"/>
          <w:szCs w:val="20"/>
        </w:rPr>
        <w:t>Si bien</w:t>
      </w:r>
      <w:r w:rsidR="002E19AB" w:rsidRPr="00453FF3">
        <w:rPr>
          <w:rFonts w:ascii="Verdana" w:hAnsi="Verdana" w:cs="Calibri"/>
          <w:sz w:val="20"/>
          <w:szCs w:val="20"/>
        </w:rPr>
        <w:t xml:space="preserve"> la Corte valora </w:t>
      </w:r>
      <w:r w:rsidR="005530D9" w:rsidRPr="00453FF3">
        <w:rPr>
          <w:rFonts w:ascii="Verdana" w:hAnsi="Verdana" w:cs="Calibri"/>
          <w:sz w:val="20"/>
          <w:szCs w:val="20"/>
        </w:rPr>
        <w:t xml:space="preserve">el referido </w:t>
      </w:r>
      <w:r w:rsidR="002E19AB" w:rsidRPr="00453FF3">
        <w:rPr>
          <w:rFonts w:ascii="Verdana" w:hAnsi="Verdana" w:cs="Calibri"/>
          <w:sz w:val="20"/>
          <w:szCs w:val="20"/>
        </w:rPr>
        <w:t>avance</w:t>
      </w:r>
      <w:r w:rsidR="005530D9" w:rsidRPr="00453FF3">
        <w:rPr>
          <w:rFonts w:ascii="Verdana" w:hAnsi="Verdana" w:cs="Calibri"/>
          <w:sz w:val="20"/>
          <w:szCs w:val="20"/>
        </w:rPr>
        <w:t xml:space="preserve"> en</w:t>
      </w:r>
      <w:r w:rsidR="002E19AB" w:rsidRPr="00453FF3">
        <w:rPr>
          <w:rFonts w:ascii="Verdana" w:hAnsi="Verdana" w:cs="Calibri"/>
          <w:sz w:val="20"/>
          <w:szCs w:val="20"/>
        </w:rPr>
        <w:t xml:space="preserve"> la investigación, juzgamiento y sanción de responsables de los hechos del presente caso, se advierte </w:t>
      </w:r>
      <w:r w:rsidR="005530D9" w:rsidRPr="00453FF3">
        <w:rPr>
          <w:rFonts w:ascii="Verdana" w:hAnsi="Verdana" w:cs="Calibri"/>
          <w:sz w:val="20"/>
          <w:szCs w:val="20"/>
        </w:rPr>
        <w:t>que</w:t>
      </w:r>
      <w:r w:rsidR="002E19AB" w:rsidRPr="00453FF3">
        <w:rPr>
          <w:rFonts w:ascii="Verdana" w:hAnsi="Verdana" w:cs="Calibri"/>
          <w:sz w:val="20"/>
          <w:szCs w:val="20"/>
        </w:rPr>
        <w:t xml:space="preserve"> </w:t>
      </w:r>
      <w:r w:rsidR="00E041E0" w:rsidRPr="00453FF3">
        <w:rPr>
          <w:rFonts w:ascii="Verdana" w:hAnsi="Verdana" w:cs="Calibri"/>
          <w:sz w:val="20"/>
          <w:szCs w:val="20"/>
        </w:rPr>
        <w:t xml:space="preserve">no es suficiente para satisfacer el derecho al acceso a la justicia de las víctimas, ya que continúa sin conocerse el paradero de María Claudia García </w:t>
      </w:r>
      <w:r w:rsidR="00E041E0" w:rsidRPr="00453FF3">
        <w:rPr>
          <w:rFonts w:ascii="Verdana" w:hAnsi="Verdana"/>
          <w:sz w:val="20"/>
          <w:szCs w:val="20"/>
        </w:rPr>
        <w:t xml:space="preserve">Iruretagoyena y sin encontrarse e </w:t>
      </w:r>
      <w:r w:rsidR="00E041E0" w:rsidRPr="00453FF3">
        <w:rPr>
          <w:rFonts w:ascii="Verdana" w:hAnsi="Verdana"/>
          <w:sz w:val="20"/>
          <w:szCs w:val="20"/>
        </w:rPr>
        <w:lastRenderedPageBreak/>
        <w:t>identificarse sus restos para ser entregados a sus familiares</w:t>
      </w:r>
      <w:r w:rsidR="00E43621" w:rsidRPr="00453FF3">
        <w:rPr>
          <w:rStyle w:val="Refdenotaalpie"/>
          <w:rFonts w:ascii="Verdana" w:hAnsi="Verdana"/>
          <w:sz w:val="20"/>
          <w:szCs w:val="20"/>
        </w:rPr>
        <w:footnoteReference w:id="20"/>
      </w:r>
      <w:r w:rsidR="00E041E0" w:rsidRPr="00453FF3">
        <w:rPr>
          <w:rFonts w:ascii="Verdana" w:hAnsi="Verdana"/>
          <w:sz w:val="20"/>
          <w:szCs w:val="20"/>
        </w:rPr>
        <w:t xml:space="preserve"> (</w:t>
      </w:r>
      <w:r w:rsidR="00E041E0" w:rsidRPr="00453FF3">
        <w:rPr>
          <w:rFonts w:ascii="Verdana" w:hAnsi="Verdana"/>
          <w:i/>
          <w:iCs/>
          <w:sz w:val="20"/>
          <w:szCs w:val="20"/>
        </w:rPr>
        <w:t>infra</w:t>
      </w:r>
      <w:r w:rsidR="00E041E0" w:rsidRPr="00453FF3">
        <w:rPr>
          <w:rFonts w:ascii="Verdana" w:hAnsi="Verdana"/>
          <w:sz w:val="20"/>
          <w:szCs w:val="20"/>
        </w:rPr>
        <w:t xml:space="preserve"> Considerando </w:t>
      </w:r>
      <w:r w:rsidR="00C82701">
        <w:rPr>
          <w:rFonts w:ascii="Verdana" w:hAnsi="Verdana"/>
          <w:sz w:val="20"/>
          <w:szCs w:val="20"/>
        </w:rPr>
        <w:t>39 y 41</w:t>
      </w:r>
      <w:r w:rsidR="00C82701" w:rsidRPr="00453FF3">
        <w:rPr>
          <w:rFonts w:ascii="Verdana" w:hAnsi="Verdana"/>
          <w:sz w:val="20"/>
          <w:szCs w:val="20"/>
        </w:rPr>
        <w:t xml:space="preserve">). </w:t>
      </w:r>
      <w:r w:rsidR="00453FF3" w:rsidRPr="00E11C4F">
        <w:rPr>
          <w:rFonts w:ascii="Verdana" w:hAnsi="Verdana"/>
          <w:sz w:val="20"/>
          <w:szCs w:val="20"/>
        </w:rPr>
        <w:t xml:space="preserve">En casos de graves violaciones a derechos humanos, los familiares de las víctimas y la sociedad tienen el derecho a conocer la verdad, lo </w:t>
      </w:r>
      <w:proofErr w:type="gramStart"/>
      <w:r w:rsidR="00453FF3" w:rsidRPr="00E11C4F">
        <w:rPr>
          <w:rFonts w:ascii="Verdana" w:hAnsi="Verdana"/>
          <w:sz w:val="20"/>
          <w:szCs w:val="20"/>
        </w:rPr>
        <w:t>cual</w:t>
      </w:r>
      <w:proofErr w:type="gramEnd"/>
      <w:r w:rsidR="00453FF3" w:rsidRPr="00E11C4F">
        <w:rPr>
          <w:rFonts w:ascii="Verdana" w:hAnsi="Verdana"/>
          <w:sz w:val="20"/>
          <w:szCs w:val="20"/>
        </w:rPr>
        <w:t xml:space="preserve"> en casos de desaparición forzada, como este, </w:t>
      </w:r>
      <w:r w:rsidR="009401C3" w:rsidRPr="00E11C4F">
        <w:rPr>
          <w:rFonts w:ascii="Verdana" w:hAnsi="Verdana"/>
          <w:sz w:val="20"/>
          <w:szCs w:val="20"/>
        </w:rPr>
        <w:t>implica el derecho de los familiares de la víctima de conocer cuál fue el destino de ésta y, en su caso, dónde se encuentran sus restos</w:t>
      </w:r>
      <w:r w:rsidR="00453FF3" w:rsidRPr="00E11C4F">
        <w:rPr>
          <w:rStyle w:val="Refdenotaalpie"/>
          <w:rFonts w:ascii="Verdana" w:hAnsi="Verdana"/>
          <w:sz w:val="20"/>
          <w:szCs w:val="20"/>
        </w:rPr>
        <w:footnoteReference w:id="21"/>
      </w:r>
      <w:r w:rsidR="009401C3" w:rsidRPr="00E11C4F">
        <w:rPr>
          <w:rFonts w:ascii="Verdana" w:hAnsi="Verdana"/>
          <w:sz w:val="20"/>
          <w:szCs w:val="20"/>
        </w:rPr>
        <w:t>.</w:t>
      </w:r>
    </w:p>
    <w:p w14:paraId="4E20BB58" w14:textId="7A54B78B" w:rsidR="006A2391" w:rsidRDefault="006A2391" w:rsidP="006A2391">
      <w:pPr>
        <w:pStyle w:val="NormalWeb"/>
        <w:numPr>
          <w:ilvl w:val="0"/>
          <w:numId w:val="4"/>
        </w:numPr>
        <w:spacing w:before="120" w:after="120"/>
        <w:ind w:left="0" w:firstLine="0"/>
        <w:jc w:val="both"/>
        <w:rPr>
          <w:rFonts w:ascii="Verdana" w:hAnsi="Verdana" w:cs="Calibri"/>
          <w:sz w:val="20"/>
          <w:szCs w:val="20"/>
        </w:rPr>
      </w:pPr>
      <w:r>
        <w:rPr>
          <w:rFonts w:ascii="Verdana" w:hAnsi="Verdana" w:cs="Calibri"/>
          <w:sz w:val="20"/>
          <w:szCs w:val="20"/>
        </w:rPr>
        <w:t xml:space="preserve">Aunado a lo anterior, los </w:t>
      </w:r>
      <w:r w:rsidRPr="00F21EA9">
        <w:rPr>
          <w:rFonts w:ascii="Verdana" w:hAnsi="Verdana" w:cs="Calibri"/>
          <w:i/>
          <w:sz w:val="20"/>
          <w:szCs w:val="20"/>
        </w:rPr>
        <w:t>representantes</w:t>
      </w:r>
      <w:r>
        <w:rPr>
          <w:rFonts w:ascii="Verdana" w:hAnsi="Verdana" w:cs="Calibri"/>
          <w:sz w:val="20"/>
          <w:szCs w:val="20"/>
        </w:rPr>
        <w:t xml:space="preserve"> también sostuvieron que la condena de los militares por el delito de homicidio especialmente agravado no cumple con lo establecido en la Sentencia respecto a que, “siendo este ‘</w:t>
      </w:r>
      <w:r w:rsidRPr="00514F8D">
        <w:rPr>
          <w:rFonts w:ascii="Verdana" w:hAnsi="Verdana" w:cs="Calibri"/>
          <w:sz w:val="20"/>
          <w:szCs w:val="20"/>
        </w:rPr>
        <w:t xml:space="preserve">un caso de graves violaciones de derechos humanos, en particular desapariciones forzadas, […] es ésta la tipificación que debe primar en las investigaciones </w:t>
      </w:r>
      <w:r>
        <w:rPr>
          <w:rFonts w:ascii="Verdana" w:hAnsi="Verdana" w:cs="Calibri"/>
          <w:sz w:val="20"/>
          <w:szCs w:val="20"/>
        </w:rPr>
        <w:t>[…]</w:t>
      </w:r>
      <w:r w:rsidRPr="00514F8D">
        <w:rPr>
          <w:rFonts w:ascii="Verdana" w:hAnsi="Verdana" w:cs="Calibri"/>
          <w:sz w:val="20"/>
          <w:szCs w:val="20"/>
        </w:rPr>
        <w:t xml:space="preserve"> a nivel interno</w:t>
      </w:r>
      <w:r>
        <w:rPr>
          <w:rFonts w:ascii="Verdana" w:hAnsi="Verdana" w:cs="Calibri"/>
          <w:sz w:val="20"/>
          <w:szCs w:val="20"/>
        </w:rPr>
        <w:t>’</w:t>
      </w:r>
      <w:r w:rsidRPr="00514F8D">
        <w:rPr>
          <w:rFonts w:ascii="Verdana" w:hAnsi="Verdana" w:cs="Calibri"/>
          <w:sz w:val="20"/>
          <w:szCs w:val="20"/>
        </w:rPr>
        <w:t>”</w:t>
      </w:r>
      <w:r>
        <w:rPr>
          <w:rStyle w:val="Refdenotaalpie"/>
          <w:rFonts w:ascii="Verdana" w:hAnsi="Verdana" w:cs="Calibri"/>
          <w:sz w:val="20"/>
          <w:szCs w:val="20"/>
        </w:rPr>
        <w:footnoteReference w:id="22"/>
      </w:r>
      <w:r w:rsidRPr="00514F8D">
        <w:rPr>
          <w:rFonts w:ascii="Verdana" w:hAnsi="Verdana" w:cs="Calibri"/>
          <w:sz w:val="20"/>
          <w:szCs w:val="20"/>
        </w:rPr>
        <w:t>.</w:t>
      </w:r>
      <w:r>
        <w:rPr>
          <w:rFonts w:ascii="Verdana" w:hAnsi="Verdana" w:cs="Calibri"/>
          <w:sz w:val="20"/>
          <w:szCs w:val="20"/>
        </w:rPr>
        <w:t xml:space="preserve"> Añadieron que, aunque en este caso “la calificación jurídica ya ha sido determinada”, se debe reconocer que “la condena por un delito distinto a la desaparición forzada afecta directamente el derecho a la verdad y la justicia […], desconociendo el reconocimiento de los hechos […] tal y como ocurrieron, es decir, como crímenes de lesa humanidad”. </w:t>
      </w:r>
      <w:r w:rsidRPr="00DF3C14">
        <w:rPr>
          <w:rFonts w:ascii="Verdana" w:hAnsi="Verdana" w:cs="Calibri"/>
          <w:sz w:val="20"/>
          <w:szCs w:val="20"/>
        </w:rPr>
        <w:t>Solicitaron que se requiera al Estado “información sobre las opciones procesales que pudieran existir en el caso concreto para cumplir cabalmente con lo ordenado por la Corte”.</w:t>
      </w:r>
      <w:r>
        <w:rPr>
          <w:rFonts w:ascii="Verdana" w:hAnsi="Verdana" w:cs="Calibri"/>
          <w:b/>
          <w:bCs/>
          <w:sz w:val="16"/>
          <w:szCs w:val="16"/>
        </w:rPr>
        <w:t xml:space="preserve"> </w:t>
      </w:r>
      <w:r w:rsidRPr="008C4742">
        <w:rPr>
          <w:rFonts w:ascii="Verdana" w:hAnsi="Verdana" w:cs="Calibri"/>
          <w:sz w:val="20"/>
          <w:szCs w:val="20"/>
        </w:rPr>
        <w:t xml:space="preserve">Al respecto, </w:t>
      </w:r>
      <w:r>
        <w:rPr>
          <w:rFonts w:ascii="Verdana" w:hAnsi="Verdana" w:cs="Calibri"/>
          <w:sz w:val="20"/>
          <w:szCs w:val="20"/>
        </w:rPr>
        <w:t>Uruguay</w:t>
      </w:r>
      <w:r w:rsidRPr="008C4742">
        <w:rPr>
          <w:rFonts w:ascii="Verdana" w:hAnsi="Verdana" w:cs="Calibri"/>
          <w:sz w:val="20"/>
          <w:szCs w:val="20"/>
        </w:rPr>
        <w:t xml:space="preserve"> indicó que “es de resorte exclusivo de los tribunales competentes subsumir el hecho delictivo en la figura del homicidio o de la desaparición forzada”.</w:t>
      </w:r>
      <w:r w:rsidRPr="008C4742">
        <w:rPr>
          <w:rFonts w:ascii="Verdana" w:hAnsi="Verdana" w:cs="Calibri"/>
          <w:b/>
          <w:bCs/>
          <w:color w:val="00B050"/>
          <w:sz w:val="16"/>
          <w:szCs w:val="16"/>
        </w:rPr>
        <w:t xml:space="preserve"> </w:t>
      </w:r>
    </w:p>
    <w:p w14:paraId="58C0010C" w14:textId="317DB68B" w:rsidR="006A2391" w:rsidRPr="00357D49" w:rsidRDefault="007B4930" w:rsidP="006A2391">
      <w:pPr>
        <w:pStyle w:val="NormalWeb"/>
        <w:numPr>
          <w:ilvl w:val="0"/>
          <w:numId w:val="4"/>
        </w:numPr>
        <w:spacing w:before="120" w:after="120"/>
        <w:ind w:left="0" w:firstLine="0"/>
        <w:jc w:val="both"/>
        <w:rPr>
          <w:rFonts w:ascii="Verdana" w:hAnsi="Verdana" w:cs="Calibri"/>
          <w:sz w:val="20"/>
          <w:szCs w:val="20"/>
        </w:rPr>
      </w:pPr>
      <w:r>
        <w:rPr>
          <w:rFonts w:ascii="Verdana" w:hAnsi="Verdana" w:cs="Calibri"/>
          <w:sz w:val="20"/>
          <w:szCs w:val="20"/>
        </w:rPr>
        <w:t xml:space="preserve">Los </w:t>
      </w:r>
      <w:r w:rsidRPr="00F21EA9">
        <w:rPr>
          <w:rFonts w:ascii="Verdana" w:hAnsi="Verdana" w:cs="Calibri"/>
          <w:i/>
          <w:sz w:val="20"/>
          <w:szCs w:val="20"/>
        </w:rPr>
        <w:t>representante</w:t>
      </w:r>
      <w:r w:rsidR="006937E4" w:rsidRPr="00F21EA9">
        <w:rPr>
          <w:rFonts w:ascii="Verdana" w:hAnsi="Verdana" w:cs="Calibri"/>
          <w:i/>
          <w:sz w:val="20"/>
          <w:szCs w:val="20"/>
        </w:rPr>
        <w:t>s</w:t>
      </w:r>
      <w:r>
        <w:rPr>
          <w:rFonts w:ascii="Verdana" w:hAnsi="Verdana" w:cs="Calibri"/>
          <w:sz w:val="20"/>
          <w:szCs w:val="20"/>
        </w:rPr>
        <w:t xml:space="preserve"> advirtieron que s</w:t>
      </w:r>
      <w:r w:rsidR="006A2391" w:rsidRPr="00A309D3">
        <w:rPr>
          <w:rFonts w:ascii="Verdana" w:hAnsi="Verdana" w:cs="Calibri"/>
          <w:sz w:val="20"/>
          <w:szCs w:val="20"/>
        </w:rPr>
        <w:t>i bien las sentencias penales internas no explican por</w:t>
      </w:r>
      <w:r w:rsidR="006A2391">
        <w:rPr>
          <w:rFonts w:ascii="Verdana" w:hAnsi="Verdana" w:cs="Calibri"/>
          <w:sz w:val="20"/>
          <w:szCs w:val="20"/>
        </w:rPr>
        <w:t xml:space="preserve"> </w:t>
      </w:r>
      <w:r w:rsidR="006A2391" w:rsidRPr="00A309D3">
        <w:rPr>
          <w:rFonts w:ascii="Verdana" w:hAnsi="Verdana" w:cs="Calibri"/>
          <w:sz w:val="20"/>
          <w:szCs w:val="20"/>
        </w:rPr>
        <w:t>qué se omitió aplicar la tipificación de desaparición forzada</w:t>
      </w:r>
      <w:r w:rsidR="006A2391">
        <w:rPr>
          <w:rFonts w:ascii="Verdana" w:hAnsi="Verdana" w:cs="Calibri"/>
          <w:sz w:val="20"/>
          <w:szCs w:val="20"/>
        </w:rPr>
        <w:t xml:space="preserve">, a pesar de que </w:t>
      </w:r>
      <w:r w:rsidR="006A2391" w:rsidRPr="00A309D3">
        <w:rPr>
          <w:rFonts w:ascii="Verdana" w:hAnsi="Verdana" w:cs="Calibri"/>
          <w:sz w:val="20"/>
          <w:szCs w:val="20"/>
        </w:rPr>
        <w:t xml:space="preserve">dicho tipo penal existe en el ordenamiento uruguayo, ello puede deberse a la interpretación que </w:t>
      </w:r>
      <w:r w:rsidR="006A2391">
        <w:rPr>
          <w:rFonts w:ascii="Verdana" w:hAnsi="Verdana" w:cs="Calibri"/>
          <w:sz w:val="20"/>
          <w:szCs w:val="20"/>
        </w:rPr>
        <w:t>ha</w:t>
      </w:r>
      <w:r w:rsidR="006A2391" w:rsidRPr="00A309D3">
        <w:rPr>
          <w:rFonts w:ascii="Verdana" w:hAnsi="Verdana" w:cs="Calibri"/>
          <w:sz w:val="20"/>
          <w:szCs w:val="20"/>
        </w:rPr>
        <w:t xml:space="preserve"> hecho la </w:t>
      </w:r>
      <w:r w:rsidR="006A2391">
        <w:rPr>
          <w:rFonts w:ascii="Verdana" w:hAnsi="Verdana" w:cs="Calibri"/>
          <w:sz w:val="20"/>
          <w:szCs w:val="20"/>
        </w:rPr>
        <w:t>Suprema Corte de Justicia de Uruguay (en adelante también “la Suprema Corte de Justicia”) en su jurisprudencia, “estableciendo que, dado que el tipo penal de desaparición forzada fue incorporado a la legislación uruguaya con posterioridad a los hechos, su utilización implicaría una aplicación retroactiva de la ley penal”</w:t>
      </w:r>
      <w:r w:rsidR="006A2391" w:rsidRPr="00A309D3">
        <w:rPr>
          <w:rFonts w:ascii="Verdana" w:hAnsi="Verdana" w:cs="Calibri"/>
          <w:sz w:val="20"/>
          <w:szCs w:val="20"/>
        </w:rPr>
        <w:t xml:space="preserve">. Tomando en cuenta </w:t>
      </w:r>
      <w:r w:rsidR="006A2391">
        <w:rPr>
          <w:rFonts w:ascii="Verdana" w:hAnsi="Verdana" w:cs="Calibri"/>
          <w:sz w:val="20"/>
          <w:szCs w:val="20"/>
        </w:rPr>
        <w:t xml:space="preserve">tal </w:t>
      </w:r>
      <w:r w:rsidR="006A2391" w:rsidRPr="00A309D3">
        <w:rPr>
          <w:rFonts w:ascii="Verdana" w:hAnsi="Verdana" w:cs="Calibri"/>
          <w:sz w:val="20"/>
          <w:szCs w:val="20"/>
        </w:rPr>
        <w:t xml:space="preserve">posibilidad, </w:t>
      </w:r>
      <w:r w:rsidR="000D10BA">
        <w:rPr>
          <w:rFonts w:ascii="Verdana" w:hAnsi="Verdana" w:cs="Calibri"/>
          <w:sz w:val="20"/>
          <w:szCs w:val="20"/>
        </w:rPr>
        <w:t>esta</w:t>
      </w:r>
      <w:r w:rsidR="000D10BA" w:rsidRPr="00A309D3">
        <w:rPr>
          <w:rFonts w:ascii="Verdana" w:hAnsi="Verdana" w:cs="Calibri"/>
          <w:sz w:val="20"/>
          <w:szCs w:val="20"/>
        </w:rPr>
        <w:t xml:space="preserve"> </w:t>
      </w:r>
      <w:r w:rsidR="006A2391" w:rsidRPr="00A309D3">
        <w:rPr>
          <w:rFonts w:ascii="Verdana" w:hAnsi="Verdana" w:cs="Calibri"/>
          <w:sz w:val="20"/>
          <w:szCs w:val="20"/>
        </w:rPr>
        <w:t xml:space="preserve">Corte estima pertinente reiterar lo indicado en la Resolución emitida en marzo de 2013 respecto a </w:t>
      </w:r>
      <w:r w:rsidR="006A2391" w:rsidRPr="00A309D3">
        <w:rPr>
          <w:rFonts w:ascii="Verdana" w:hAnsi="Verdana"/>
          <w:sz w:val="20"/>
          <w:szCs w:val="20"/>
        </w:rPr>
        <w:t xml:space="preserve">la manera en que debe ser entendido el principio de irretroactividad </w:t>
      </w:r>
      <w:r w:rsidR="006A2391" w:rsidRPr="00891B14">
        <w:rPr>
          <w:rFonts w:ascii="Verdana" w:hAnsi="Verdana"/>
          <w:sz w:val="20"/>
          <w:szCs w:val="20"/>
        </w:rPr>
        <w:t>de la ley penal en relación con lo ordenado en la Sentencia</w:t>
      </w:r>
      <w:r w:rsidR="000D10BA">
        <w:rPr>
          <w:rFonts w:ascii="Verdana" w:hAnsi="Verdana"/>
          <w:sz w:val="20"/>
          <w:szCs w:val="20"/>
        </w:rPr>
        <w:t xml:space="preserve"> de este caso</w:t>
      </w:r>
      <w:r w:rsidR="006A2391" w:rsidRPr="00891B14">
        <w:rPr>
          <w:rFonts w:ascii="Verdana" w:hAnsi="Verdana"/>
          <w:sz w:val="20"/>
          <w:szCs w:val="20"/>
        </w:rPr>
        <w:t>, el Derecho Internacional, la naturaleza de los hechos cometidos y el carácter del delito de desaparición forzada</w:t>
      </w:r>
      <w:r w:rsidR="006A2391" w:rsidRPr="00891B14">
        <w:rPr>
          <w:rStyle w:val="Refdenotaalpie"/>
          <w:rFonts w:ascii="Verdana" w:hAnsi="Verdana"/>
          <w:sz w:val="20"/>
          <w:szCs w:val="20"/>
        </w:rPr>
        <w:footnoteReference w:id="23"/>
      </w:r>
      <w:r w:rsidR="006A2391" w:rsidRPr="00891B14">
        <w:rPr>
          <w:rFonts w:ascii="Verdana" w:hAnsi="Verdana"/>
          <w:sz w:val="20"/>
          <w:szCs w:val="20"/>
        </w:rPr>
        <w:t xml:space="preserve">. </w:t>
      </w:r>
      <w:r w:rsidR="006A2391" w:rsidRPr="00357D49">
        <w:rPr>
          <w:rFonts w:ascii="Verdana" w:hAnsi="Verdana"/>
          <w:sz w:val="20"/>
          <w:szCs w:val="20"/>
        </w:rPr>
        <w:t>En particular, se reitera la jurisprudencia constante de este Tribunal respecto a que la desaparición forzada es un delito de ejecución permanente, es decir, su consumación permanece mientras no se conozca el paradero de la persona desaparecida o se identifiquen con certeza sus restos</w:t>
      </w:r>
      <w:r w:rsidR="006A2391" w:rsidRPr="00357D49">
        <w:rPr>
          <w:rStyle w:val="Refdenotaalpie"/>
          <w:rFonts w:ascii="Verdana" w:hAnsi="Verdana"/>
          <w:sz w:val="20"/>
          <w:szCs w:val="20"/>
        </w:rPr>
        <w:footnoteReference w:id="24"/>
      </w:r>
      <w:r w:rsidR="006A2391" w:rsidRPr="00357D49">
        <w:rPr>
          <w:rFonts w:ascii="Verdana" w:hAnsi="Verdana"/>
          <w:sz w:val="20"/>
          <w:szCs w:val="20"/>
        </w:rPr>
        <w:t>. Entonces, al entrar en vigor la tipificación del delito de desaparición for</w:t>
      </w:r>
      <w:r w:rsidR="006A2391" w:rsidRPr="0058289D">
        <w:rPr>
          <w:rFonts w:ascii="Verdana" w:hAnsi="Verdana"/>
          <w:sz w:val="20"/>
          <w:szCs w:val="20"/>
        </w:rPr>
        <w:t xml:space="preserve">zada de personas, por mantenerse en ejecución la conducta delictiva, la nueva ley resulta aplicable, sin que ello represente su aplicación </w:t>
      </w:r>
      <w:r w:rsidR="006A2391" w:rsidRPr="001A0C99">
        <w:rPr>
          <w:rFonts w:ascii="Verdana" w:hAnsi="Verdana"/>
          <w:sz w:val="20"/>
          <w:szCs w:val="20"/>
        </w:rPr>
        <w:t>retroactiva</w:t>
      </w:r>
      <w:r w:rsidR="006A2391" w:rsidRPr="00357D49">
        <w:rPr>
          <w:rStyle w:val="Refdenotaalpie"/>
          <w:rFonts w:ascii="Verdana" w:hAnsi="Verdana"/>
          <w:sz w:val="20"/>
          <w:szCs w:val="20"/>
        </w:rPr>
        <w:footnoteReference w:id="25"/>
      </w:r>
      <w:r w:rsidR="006A2391" w:rsidRPr="00357D49">
        <w:rPr>
          <w:rFonts w:ascii="Verdana" w:hAnsi="Verdana"/>
          <w:sz w:val="20"/>
          <w:szCs w:val="20"/>
        </w:rPr>
        <w:t>.</w:t>
      </w:r>
    </w:p>
    <w:p w14:paraId="58F520A5" w14:textId="77777777" w:rsidR="006A2391" w:rsidRPr="00357D49" w:rsidRDefault="006A2391" w:rsidP="006A2391">
      <w:pPr>
        <w:pStyle w:val="NormalWeb"/>
        <w:numPr>
          <w:ilvl w:val="0"/>
          <w:numId w:val="4"/>
        </w:numPr>
        <w:spacing w:before="120" w:after="120"/>
        <w:ind w:left="0" w:firstLine="0"/>
        <w:jc w:val="both"/>
        <w:rPr>
          <w:rFonts w:ascii="Verdana" w:hAnsi="Verdana" w:cs="Calibri"/>
          <w:sz w:val="20"/>
          <w:szCs w:val="20"/>
        </w:rPr>
      </w:pPr>
      <w:r w:rsidRPr="0058289D">
        <w:rPr>
          <w:rFonts w:ascii="Verdana" w:hAnsi="Verdana" w:cs="Calibri"/>
          <w:sz w:val="20"/>
          <w:szCs w:val="20"/>
        </w:rPr>
        <w:lastRenderedPageBreak/>
        <w:t>Esta Corte ha establecido que la desaparición forzada es un fenómeno diferenciado, caracterizado por la violación múltiple de varios derechos protegidos en la Convención Americana</w:t>
      </w:r>
      <w:r w:rsidRPr="00357D49">
        <w:rPr>
          <w:rStyle w:val="Refdenotaalpie"/>
          <w:rFonts w:ascii="Verdana" w:hAnsi="Verdana" w:cs="Calibri"/>
          <w:sz w:val="20"/>
          <w:szCs w:val="20"/>
        </w:rPr>
        <w:footnoteReference w:id="26"/>
      </w:r>
      <w:r w:rsidRPr="00357D49">
        <w:rPr>
          <w:rFonts w:ascii="Verdana" w:hAnsi="Verdana" w:cs="Calibri"/>
          <w:sz w:val="20"/>
          <w:szCs w:val="20"/>
        </w:rPr>
        <w:t>. En tal sentido, se ha considerado en diversos casos, que delitos como la privación ilegal de la libertad, el plagio o secuestro, la tortura o el homicidio, entre otros, no satisfacen el deber del Estado de sancionar una conducta pluriofensiva y particularmente grave como la desaparición forzada</w:t>
      </w:r>
      <w:r w:rsidRPr="00357D49">
        <w:rPr>
          <w:rStyle w:val="Refdenotaalpie"/>
          <w:rFonts w:ascii="Verdana" w:hAnsi="Verdana" w:cs="Calibri"/>
          <w:sz w:val="20"/>
          <w:szCs w:val="20"/>
        </w:rPr>
        <w:footnoteReference w:id="27"/>
      </w:r>
      <w:r w:rsidRPr="00357D49">
        <w:rPr>
          <w:rFonts w:ascii="Verdana" w:hAnsi="Verdana" w:cs="Calibri"/>
          <w:sz w:val="20"/>
          <w:szCs w:val="20"/>
        </w:rPr>
        <w:t xml:space="preserve">. Asimismo, se ha establecido que </w:t>
      </w:r>
      <w:r w:rsidRPr="0058289D">
        <w:rPr>
          <w:rFonts w:ascii="Verdana" w:hAnsi="Verdana"/>
          <w:sz w:val="20"/>
          <w:szCs w:val="20"/>
        </w:rPr>
        <w:t>una apreciación incorrecta a nivel interno sobre el contenido jurídico de la desaparición forzada obstaculiza el desarrollo efectivo del proceso penal en detrimento del deber de investigar del Estado y del derecho de acceso a la justicia a favor de las víctimas</w:t>
      </w:r>
      <w:r w:rsidRPr="00357D49">
        <w:rPr>
          <w:rStyle w:val="Refdenotaalpie"/>
          <w:rFonts w:ascii="Verdana" w:hAnsi="Verdana"/>
          <w:sz w:val="20"/>
          <w:szCs w:val="20"/>
        </w:rPr>
        <w:footnoteReference w:id="28"/>
      </w:r>
      <w:r w:rsidRPr="00357D49">
        <w:rPr>
          <w:rFonts w:ascii="Verdana" w:hAnsi="Verdana"/>
          <w:sz w:val="20"/>
          <w:szCs w:val="20"/>
        </w:rPr>
        <w:t>.</w:t>
      </w:r>
    </w:p>
    <w:p w14:paraId="4EF23A60" w14:textId="275CAB53" w:rsidR="006A2391" w:rsidRDefault="006A2391" w:rsidP="006A2391">
      <w:pPr>
        <w:pStyle w:val="NormalWeb"/>
        <w:numPr>
          <w:ilvl w:val="0"/>
          <w:numId w:val="4"/>
        </w:numPr>
        <w:spacing w:before="120" w:after="120"/>
        <w:ind w:left="0" w:firstLine="0"/>
        <w:jc w:val="both"/>
        <w:rPr>
          <w:rFonts w:ascii="Verdana" w:hAnsi="Verdana" w:cs="Calibri"/>
          <w:sz w:val="20"/>
          <w:szCs w:val="20"/>
        </w:rPr>
      </w:pPr>
      <w:r w:rsidRPr="001A3D20">
        <w:rPr>
          <w:rFonts w:ascii="Verdana" w:hAnsi="Verdana" w:cs="Calibri"/>
          <w:sz w:val="20"/>
          <w:szCs w:val="20"/>
        </w:rPr>
        <w:t xml:space="preserve">Si bien no se condenó a los responsables </w:t>
      </w:r>
      <w:r w:rsidR="00F5777C">
        <w:rPr>
          <w:rFonts w:ascii="Verdana" w:hAnsi="Verdana" w:cs="Calibri"/>
          <w:sz w:val="20"/>
          <w:szCs w:val="20"/>
        </w:rPr>
        <w:t xml:space="preserve">de los hechos ocurridos a María Claudia </w:t>
      </w:r>
      <w:r w:rsidR="00F5777C" w:rsidRPr="00453FF3">
        <w:rPr>
          <w:rFonts w:ascii="Verdana" w:hAnsi="Verdana" w:cs="Calibri"/>
          <w:sz w:val="20"/>
          <w:szCs w:val="20"/>
        </w:rPr>
        <w:t xml:space="preserve">García </w:t>
      </w:r>
      <w:r w:rsidR="00F5777C" w:rsidRPr="00453FF3">
        <w:rPr>
          <w:rFonts w:ascii="Verdana" w:hAnsi="Verdana"/>
          <w:sz w:val="20"/>
          <w:szCs w:val="20"/>
        </w:rPr>
        <w:t>Iruretagoyena</w:t>
      </w:r>
      <w:r w:rsidR="00F5777C" w:rsidRPr="001A3D20">
        <w:rPr>
          <w:rFonts w:ascii="Verdana" w:hAnsi="Verdana" w:cs="Calibri"/>
          <w:sz w:val="20"/>
          <w:szCs w:val="20"/>
        </w:rPr>
        <w:t xml:space="preserve"> </w:t>
      </w:r>
      <w:r w:rsidRPr="001A3D20">
        <w:rPr>
          <w:rFonts w:ascii="Verdana" w:hAnsi="Verdana" w:cs="Calibri"/>
          <w:sz w:val="20"/>
          <w:szCs w:val="20"/>
        </w:rPr>
        <w:t>por el delito de desaparición forzada,</w:t>
      </w:r>
      <w:r w:rsidRPr="001555C1">
        <w:rPr>
          <w:rFonts w:ascii="Verdana" w:hAnsi="Verdana" w:cs="Calibri"/>
          <w:sz w:val="20"/>
          <w:szCs w:val="20"/>
        </w:rPr>
        <w:t xml:space="preserve"> la Corte observa</w:t>
      </w:r>
      <w:r>
        <w:rPr>
          <w:rFonts w:ascii="Verdana" w:hAnsi="Verdana" w:cs="Calibri"/>
          <w:sz w:val="20"/>
          <w:szCs w:val="20"/>
        </w:rPr>
        <w:t xml:space="preserve"> que,</w:t>
      </w:r>
      <w:r w:rsidRPr="001555C1">
        <w:rPr>
          <w:rFonts w:ascii="Verdana" w:hAnsi="Verdana" w:cs="Calibri"/>
          <w:sz w:val="20"/>
          <w:szCs w:val="20"/>
        </w:rPr>
        <w:t xml:space="preserve"> </w:t>
      </w:r>
      <w:r w:rsidRPr="001555C1">
        <w:rPr>
          <w:rFonts w:ascii="Verdana" w:eastAsia="Times New Roman" w:hAnsi="Verdana"/>
          <w:color w:val="000000"/>
          <w:sz w:val="20"/>
          <w:szCs w:val="20"/>
          <w:lang w:val="es-ES" w:eastAsia="es-ES"/>
        </w:rPr>
        <w:t>en el marco de la investigación penal, se han realizado actuaciones tendientes a develar la participación de agentes estatales en estos hechos,</w:t>
      </w:r>
      <w:r>
        <w:rPr>
          <w:rFonts w:ascii="Verdana" w:eastAsia="Times New Roman" w:hAnsi="Verdana"/>
          <w:color w:val="000000"/>
          <w:sz w:val="20"/>
          <w:szCs w:val="20"/>
          <w:lang w:val="es-ES" w:eastAsia="es-ES"/>
        </w:rPr>
        <w:t xml:space="preserve"> </w:t>
      </w:r>
      <w:r w:rsidRPr="001555C1">
        <w:rPr>
          <w:rFonts w:ascii="Verdana" w:eastAsia="Times New Roman" w:hAnsi="Verdana"/>
          <w:color w:val="000000"/>
          <w:sz w:val="20"/>
          <w:szCs w:val="20"/>
          <w:lang w:val="es-ES" w:eastAsia="es-ES"/>
        </w:rPr>
        <w:t>así como a la determinación del paradero de la víctima. Lo anterior demuestra que</w:t>
      </w:r>
      <w:r w:rsidR="00FA704A">
        <w:rPr>
          <w:rFonts w:ascii="Verdana" w:eastAsia="Times New Roman" w:hAnsi="Verdana"/>
          <w:color w:val="000000"/>
          <w:sz w:val="20"/>
          <w:szCs w:val="20"/>
          <w:lang w:val="es-ES" w:eastAsia="es-ES"/>
        </w:rPr>
        <w:t>,</w:t>
      </w:r>
      <w:r w:rsidRPr="001555C1">
        <w:rPr>
          <w:rFonts w:ascii="Verdana" w:eastAsia="Times New Roman" w:hAnsi="Verdana"/>
          <w:color w:val="000000"/>
          <w:sz w:val="20"/>
          <w:szCs w:val="20"/>
          <w:lang w:val="es-ES" w:eastAsia="es-ES"/>
        </w:rPr>
        <w:t xml:space="preserve"> independiente del</w:t>
      </w:r>
      <w:r>
        <w:rPr>
          <w:rFonts w:ascii="Verdana" w:eastAsia="Times New Roman" w:hAnsi="Verdana"/>
          <w:color w:val="000000"/>
          <w:sz w:val="20"/>
          <w:szCs w:val="20"/>
          <w:lang w:val="es-ES" w:eastAsia="es-ES"/>
        </w:rPr>
        <w:t xml:space="preserve"> </w:t>
      </w:r>
      <w:proofErr w:type="spellStart"/>
      <w:r w:rsidRPr="001555C1">
        <w:rPr>
          <w:rFonts w:ascii="Verdana" w:eastAsia="Times New Roman" w:hAnsi="Verdana"/>
          <w:i/>
          <w:iCs/>
          <w:color w:val="000000"/>
          <w:sz w:val="20"/>
          <w:szCs w:val="20"/>
          <w:lang w:val="es-ES" w:eastAsia="es-ES"/>
        </w:rPr>
        <w:t>nomen</w:t>
      </w:r>
      <w:proofErr w:type="spellEnd"/>
      <w:r w:rsidRPr="001555C1">
        <w:rPr>
          <w:rFonts w:ascii="Verdana" w:eastAsia="Times New Roman" w:hAnsi="Verdana"/>
          <w:i/>
          <w:iCs/>
          <w:color w:val="000000"/>
          <w:sz w:val="20"/>
          <w:szCs w:val="20"/>
          <w:lang w:val="es-ES" w:eastAsia="es-ES"/>
        </w:rPr>
        <w:t xml:space="preserve"> iuris</w:t>
      </w:r>
      <w:r>
        <w:rPr>
          <w:rFonts w:ascii="Verdana" w:eastAsia="Times New Roman" w:hAnsi="Verdana"/>
          <w:color w:val="000000"/>
          <w:sz w:val="20"/>
          <w:szCs w:val="20"/>
          <w:lang w:val="es-ES" w:eastAsia="es-ES"/>
        </w:rPr>
        <w:t xml:space="preserve"> </w:t>
      </w:r>
      <w:r w:rsidRPr="001555C1">
        <w:rPr>
          <w:rFonts w:ascii="Verdana" w:eastAsia="Times New Roman" w:hAnsi="Verdana"/>
          <w:color w:val="000000"/>
          <w:sz w:val="20"/>
          <w:szCs w:val="20"/>
          <w:lang w:val="es-ES" w:eastAsia="es-ES"/>
        </w:rPr>
        <w:t xml:space="preserve">imputado, la investigación fue realizada y orientada a la determinación de las circunstancias fácticas y en la misma se han investigado elementos propios de </w:t>
      </w:r>
      <w:r w:rsidR="00FA704A" w:rsidRPr="00364AEC">
        <w:rPr>
          <w:rFonts w:ascii="Verdana" w:eastAsia="Times New Roman" w:hAnsi="Verdana"/>
          <w:color w:val="000000"/>
          <w:sz w:val="20"/>
          <w:szCs w:val="20"/>
          <w:lang w:val="es-ES" w:eastAsia="es-ES"/>
        </w:rPr>
        <w:t xml:space="preserve">la </w:t>
      </w:r>
      <w:r w:rsidRPr="001555C1">
        <w:rPr>
          <w:rFonts w:ascii="Verdana" w:eastAsia="Times New Roman" w:hAnsi="Verdana"/>
          <w:color w:val="000000"/>
          <w:sz w:val="20"/>
          <w:szCs w:val="20"/>
          <w:lang w:val="es-ES" w:eastAsia="es-ES"/>
        </w:rPr>
        <w:t>desaparición forzada</w:t>
      </w:r>
      <w:r w:rsidRPr="001555C1">
        <w:rPr>
          <w:rStyle w:val="Refdenotaalpie"/>
          <w:rFonts w:ascii="Verdana" w:eastAsia="Times New Roman" w:hAnsi="Verdana"/>
          <w:color w:val="000000"/>
          <w:sz w:val="20"/>
          <w:szCs w:val="20"/>
          <w:lang w:val="es-ES" w:eastAsia="es-ES"/>
        </w:rPr>
        <w:footnoteReference w:id="29"/>
      </w:r>
      <w:r w:rsidRPr="001555C1">
        <w:rPr>
          <w:rFonts w:ascii="Verdana" w:eastAsia="Times New Roman" w:hAnsi="Verdana"/>
          <w:color w:val="000000"/>
          <w:sz w:val="20"/>
          <w:szCs w:val="20"/>
          <w:lang w:val="es-ES" w:eastAsia="es-ES"/>
        </w:rPr>
        <w:t xml:space="preserve">. Adicionalmente, </w:t>
      </w:r>
      <w:r w:rsidRPr="001555C1">
        <w:rPr>
          <w:rFonts w:ascii="Verdana" w:hAnsi="Verdana" w:cs="Calibri"/>
          <w:sz w:val="20"/>
          <w:szCs w:val="20"/>
        </w:rPr>
        <w:t>los hechos ocurridos a María Claudia García no han quedado en total impunidad mediante la aplicación de otra figura penal</w:t>
      </w:r>
      <w:r w:rsidRPr="001555C1">
        <w:rPr>
          <w:rStyle w:val="Refdenotaalpie"/>
          <w:rFonts w:ascii="Verdana" w:hAnsi="Verdana" w:cs="Calibri"/>
          <w:sz w:val="20"/>
          <w:szCs w:val="20"/>
        </w:rPr>
        <w:footnoteReference w:id="30"/>
      </w:r>
      <w:r w:rsidRPr="001555C1">
        <w:rPr>
          <w:rFonts w:ascii="Verdana" w:hAnsi="Verdana" w:cs="Calibri"/>
          <w:sz w:val="20"/>
          <w:szCs w:val="20"/>
        </w:rPr>
        <w:t xml:space="preserve">; </w:t>
      </w:r>
      <w:r w:rsidR="00482B41">
        <w:rPr>
          <w:rFonts w:ascii="Verdana" w:hAnsi="Verdana" w:cs="Calibri"/>
          <w:sz w:val="20"/>
          <w:szCs w:val="20"/>
        </w:rPr>
        <w:t>toda vez que se ha condenado a</w:t>
      </w:r>
      <w:r w:rsidRPr="00DA3EDE">
        <w:rPr>
          <w:rFonts w:ascii="Verdana" w:hAnsi="Verdana" w:cs="Calibri"/>
          <w:sz w:val="20"/>
          <w:szCs w:val="20"/>
        </w:rPr>
        <w:t xml:space="preserve"> </w:t>
      </w:r>
      <w:r>
        <w:rPr>
          <w:rFonts w:ascii="Verdana" w:hAnsi="Verdana" w:cs="Calibri"/>
          <w:sz w:val="20"/>
          <w:szCs w:val="20"/>
        </w:rPr>
        <w:t>cinco de los</w:t>
      </w:r>
      <w:r w:rsidRPr="001555C1">
        <w:rPr>
          <w:rFonts w:ascii="Verdana" w:hAnsi="Verdana" w:cs="Calibri"/>
          <w:sz w:val="20"/>
          <w:szCs w:val="20"/>
        </w:rPr>
        <w:t xml:space="preserve"> responsables por el delito de homicidio especialmente agravado</w:t>
      </w:r>
      <w:r>
        <w:rPr>
          <w:rFonts w:ascii="Verdana" w:hAnsi="Verdana" w:cs="Calibri"/>
          <w:sz w:val="20"/>
          <w:szCs w:val="20"/>
        </w:rPr>
        <w:t xml:space="preserve">. </w:t>
      </w:r>
      <w:r w:rsidRPr="00F21EA9">
        <w:rPr>
          <w:rFonts w:ascii="Verdana" w:hAnsi="Verdana" w:cs="Calibri"/>
          <w:sz w:val="20"/>
          <w:szCs w:val="20"/>
        </w:rPr>
        <w:t>Por último, la Corte subraya que</w:t>
      </w:r>
      <w:r w:rsidR="008907DA" w:rsidRPr="00F21EA9">
        <w:rPr>
          <w:rFonts w:ascii="Verdana" w:hAnsi="Verdana" w:cs="Calibri"/>
          <w:sz w:val="20"/>
          <w:szCs w:val="20"/>
        </w:rPr>
        <w:t xml:space="preserve"> a nivel interno ambos delitos están sancionados con </w:t>
      </w:r>
      <w:r w:rsidR="0058289D" w:rsidRPr="00364AEC">
        <w:rPr>
          <w:rFonts w:ascii="Verdana" w:hAnsi="Verdana" w:cs="Calibri"/>
          <w:sz w:val="20"/>
          <w:szCs w:val="20"/>
        </w:rPr>
        <w:t>similar</w:t>
      </w:r>
      <w:r w:rsidR="008907DA" w:rsidRPr="00364AEC">
        <w:rPr>
          <w:rFonts w:ascii="Verdana" w:hAnsi="Verdana" w:cs="Calibri"/>
          <w:sz w:val="20"/>
          <w:szCs w:val="20"/>
        </w:rPr>
        <w:t xml:space="preserve"> gravedad</w:t>
      </w:r>
      <w:r w:rsidR="0058289D" w:rsidRPr="00364AEC">
        <w:rPr>
          <w:rFonts w:ascii="Verdana" w:hAnsi="Verdana" w:cs="Calibri"/>
          <w:sz w:val="20"/>
          <w:szCs w:val="20"/>
        </w:rPr>
        <w:t>.</w:t>
      </w:r>
      <w:r w:rsidR="008907DA" w:rsidRPr="00364AEC">
        <w:rPr>
          <w:rFonts w:ascii="Verdana" w:hAnsi="Verdana" w:cs="Calibri"/>
          <w:sz w:val="20"/>
          <w:szCs w:val="20"/>
        </w:rPr>
        <w:t xml:space="preserve"> </w:t>
      </w:r>
      <w:r w:rsidR="00DC1CFB" w:rsidRPr="00364AEC">
        <w:rPr>
          <w:rFonts w:ascii="Verdana" w:hAnsi="Verdana" w:cs="Calibri"/>
          <w:sz w:val="20"/>
          <w:szCs w:val="20"/>
        </w:rPr>
        <w:t>En la legislación uruguaya l</w:t>
      </w:r>
      <w:r w:rsidRPr="00364AEC">
        <w:rPr>
          <w:rFonts w:ascii="Verdana" w:hAnsi="Verdana" w:cs="Calibri"/>
          <w:sz w:val="20"/>
          <w:szCs w:val="20"/>
        </w:rPr>
        <w:t xml:space="preserve">a pena máxima del delito de homicidio especialmente agravado </w:t>
      </w:r>
      <w:r w:rsidR="0058289D" w:rsidRPr="00364AEC">
        <w:rPr>
          <w:rFonts w:ascii="Verdana" w:hAnsi="Verdana" w:cs="Calibri"/>
          <w:sz w:val="20"/>
          <w:szCs w:val="20"/>
        </w:rPr>
        <w:t xml:space="preserve">es de treinta años de penitenciaría y </w:t>
      </w:r>
      <w:r w:rsidRPr="00364AEC">
        <w:rPr>
          <w:rFonts w:ascii="Verdana" w:hAnsi="Verdana" w:cs="Calibri"/>
          <w:sz w:val="20"/>
          <w:szCs w:val="20"/>
        </w:rPr>
        <w:t xml:space="preserve">para </w:t>
      </w:r>
      <w:r w:rsidR="0058289D" w:rsidRPr="00364AEC">
        <w:rPr>
          <w:rFonts w:ascii="Verdana" w:hAnsi="Verdana" w:cs="Calibri"/>
          <w:sz w:val="20"/>
          <w:szCs w:val="20"/>
        </w:rPr>
        <w:t xml:space="preserve">el delito de </w:t>
      </w:r>
      <w:r w:rsidRPr="00364AEC">
        <w:rPr>
          <w:rFonts w:ascii="Verdana" w:hAnsi="Verdana" w:cs="Calibri"/>
          <w:sz w:val="20"/>
          <w:szCs w:val="20"/>
        </w:rPr>
        <w:t>desaparición forzada</w:t>
      </w:r>
      <w:r w:rsidR="0058289D" w:rsidRPr="00364AEC">
        <w:rPr>
          <w:rFonts w:ascii="Verdana" w:hAnsi="Verdana" w:cs="Calibri"/>
          <w:sz w:val="20"/>
          <w:szCs w:val="20"/>
        </w:rPr>
        <w:t xml:space="preserve"> la pena máxima es de veinticinco años de penitenciaría</w:t>
      </w:r>
      <w:r w:rsidRPr="00364AEC">
        <w:rPr>
          <w:rStyle w:val="Refdenotaalpie"/>
          <w:rFonts w:ascii="Verdana" w:hAnsi="Verdana" w:cs="Calibri"/>
          <w:sz w:val="20"/>
          <w:szCs w:val="20"/>
        </w:rPr>
        <w:footnoteReference w:id="31"/>
      </w:r>
      <w:r w:rsidRPr="00364AEC">
        <w:rPr>
          <w:rFonts w:ascii="Verdana" w:hAnsi="Verdana" w:cs="Calibri"/>
          <w:sz w:val="20"/>
          <w:szCs w:val="20"/>
        </w:rPr>
        <w:t>.</w:t>
      </w:r>
      <w:r w:rsidRPr="00F21EA9">
        <w:rPr>
          <w:rFonts w:ascii="Verdana" w:hAnsi="Verdana" w:cs="Calibri"/>
          <w:sz w:val="18"/>
          <w:szCs w:val="18"/>
        </w:rPr>
        <w:t xml:space="preserve"> </w:t>
      </w:r>
    </w:p>
    <w:p w14:paraId="1A8DECA4" w14:textId="484A8BB1" w:rsidR="00057160" w:rsidRPr="001A3D20" w:rsidRDefault="001A3D20" w:rsidP="001A3D20">
      <w:pPr>
        <w:pStyle w:val="NormalWeb"/>
        <w:numPr>
          <w:ilvl w:val="0"/>
          <w:numId w:val="4"/>
        </w:numPr>
        <w:spacing w:before="120" w:after="120"/>
        <w:ind w:left="0" w:firstLine="0"/>
        <w:jc w:val="both"/>
        <w:rPr>
          <w:rFonts w:ascii="Verdana" w:hAnsi="Verdana" w:cs="Calibri"/>
          <w:sz w:val="20"/>
          <w:szCs w:val="20"/>
        </w:rPr>
      </w:pPr>
      <w:r>
        <w:rPr>
          <w:rFonts w:ascii="Verdana" w:hAnsi="Verdana" w:cs="Calibri"/>
          <w:sz w:val="20"/>
          <w:szCs w:val="20"/>
        </w:rPr>
        <w:lastRenderedPageBreak/>
        <w:t xml:space="preserve">Por otra parte, este Tribunal observa que </w:t>
      </w:r>
      <w:r w:rsidR="00C054F7" w:rsidRPr="001A3D20">
        <w:rPr>
          <w:rFonts w:ascii="Verdana" w:hAnsi="Verdana"/>
          <w:sz w:val="20"/>
          <w:szCs w:val="20"/>
        </w:rPr>
        <w:t xml:space="preserve">aún no se ha agotado la investigación ni la determinación de responsabilidades por los hechos del presente caso, ya que </w:t>
      </w:r>
      <w:r w:rsidR="009D3284" w:rsidRPr="001A3D20">
        <w:rPr>
          <w:rFonts w:ascii="Verdana" w:hAnsi="Verdana"/>
          <w:sz w:val="20"/>
          <w:szCs w:val="20"/>
        </w:rPr>
        <w:t xml:space="preserve">el referido proceso y condenas penales únicamente se refieren a hechos cometidos contra María Claudia García Iruretagoyena, pero </w:t>
      </w:r>
      <w:r w:rsidR="005A0132" w:rsidRPr="001A3D20">
        <w:rPr>
          <w:rFonts w:ascii="Verdana" w:hAnsi="Verdana"/>
          <w:sz w:val="20"/>
          <w:szCs w:val="20"/>
        </w:rPr>
        <w:t xml:space="preserve">no abarca </w:t>
      </w:r>
      <w:r w:rsidR="009D3284" w:rsidRPr="001A3D20">
        <w:rPr>
          <w:rFonts w:ascii="Verdana" w:hAnsi="Verdana"/>
          <w:sz w:val="20"/>
          <w:szCs w:val="20"/>
        </w:rPr>
        <w:t xml:space="preserve">otras conductas constitutivas de graves violaciones a derechos humanos ni hechos sobre los cuales </w:t>
      </w:r>
      <w:r w:rsidR="00C054F7" w:rsidRPr="001A3D20">
        <w:rPr>
          <w:rFonts w:ascii="Verdana" w:hAnsi="Verdana"/>
          <w:sz w:val="20"/>
          <w:szCs w:val="20"/>
        </w:rPr>
        <w:t xml:space="preserve">esta Corte </w:t>
      </w:r>
      <w:r w:rsidR="009D3284" w:rsidRPr="001A3D20">
        <w:rPr>
          <w:rFonts w:ascii="Verdana" w:hAnsi="Verdana"/>
          <w:sz w:val="20"/>
          <w:szCs w:val="20"/>
        </w:rPr>
        <w:t xml:space="preserve">ordenó al Estado investigar, como los </w:t>
      </w:r>
      <w:r w:rsidR="00E53FC4" w:rsidRPr="001A3D20">
        <w:rPr>
          <w:rFonts w:ascii="Verdana" w:hAnsi="Verdana"/>
          <w:sz w:val="20"/>
          <w:szCs w:val="20"/>
        </w:rPr>
        <w:t>relacionados con</w:t>
      </w:r>
      <w:r w:rsidR="009D3284" w:rsidRPr="001A3D20">
        <w:rPr>
          <w:rFonts w:ascii="Verdana" w:hAnsi="Verdana"/>
          <w:sz w:val="20"/>
          <w:szCs w:val="20"/>
        </w:rPr>
        <w:t xml:space="preserve"> la desaparición por </w:t>
      </w:r>
      <w:r w:rsidR="0099661D">
        <w:rPr>
          <w:rFonts w:ascii="Verdana" w:hAnsi="Verdana" w:cs="Calibri"/>
          <w:color w:val="000000"/>
          <w:sz w:val="20"/>
          <w:szCs w:val="20"/>
        </w:rPr>
        <w:t>sustracción,</w:t>
      </w:r>
      <w:r w:rsidR="0099661D" w:rsidRPr="001A3D20">
        <w:rPr>
          <w:rFonts w:ascii="Verdana" w:hAnsi="Verdana"/>
          <w:sz w:val="20"/>
          <w:szCs w:val="20"/>
        </w:rPr>
        <w:t xml:space="preserve"> </w:t>
      </w:r>
      <w:r w:rsidR="009D3284" w:rsidRPr="001A3D20">
        <w:rPr>
          <w:rFonts w:ascii="Verdana" w:hAnsi="Verdana"/>
          <w:sz w:val="20"/>
          <w:szCs w:val="20"/>
        </w:rPr>
        <w:t xml:space="preserve">supresión </w:t>
      </w:r>
      <w:r w:rsidR="0099661D">
        <w:rPr>
          <w:rFonts w:ascii="Verdana" w:hAnsi="Verdana"/>
          <w:sz w:val="20"/>
          <w:szCs w:val="20"/>
        </w:rPr>
        <w:t xml:space="preserve">y sustitución </w:t>
      </w:r>
      <w:r w:rsidR="009D3284" w:rsidRPr="001A3D20">
        <w:rPr>
          <w:rFonts w:ascii="Verdana" w:hAnsi="Verdana"/>
          <w:sz w:val="20"/>
          <w:szCs w:val="20"/>
        </w:rPr>
        <w:t>de identidad de María Macarena Gelman</w:t>
      </w:r>
      <w:r w:rsidR="0099661D">
        <w:rPr>
          <w:rFonts w:ascii="Verdana" w:hAnsi="Verdana"/>
          <w:sz w:val="20"/>
          <w:szCs w:val="20"/>
        </w:rPr>
        <w:t xml:space="preserve"> (</w:t>
      </w:r>
      <w:r w:rsidR="0099661D" w:rsidRPr="007B5E63">
        <w:rPr>
          <w:rFonts w:ascii="Verdana" w:hAnsi="Verdana"/>
          <w:i/>
          <w:sz w:val="20"/>
          <w:szCs w:val="20"/>
        </w:rPr>
        <w:t>supra</w:t>
      </w:r>
      <w:r w:rsidR="0099661D">
        <w:rPr>
          <w:rFonts w:ascii="Verdana" w:hAnsi="Verdana"/>
          <w:sz w:val="20"/>
          <w:szCs w:val="20"/>
        </w:rPr>
        <w:t xml:space="preserve"> Considerando 5)</w:t>
      </w:r>
      <w:r w:rsidR="009D3284" w:rsidRPr="001A3D20">
        <w:rPr>
          <w:rFonts w:ascii="Verdana" w:hAnsi="Verdana"/>
          <w:sz w:val="20"/>
          <w:szCs w:val="20"/>
        </w:rPr>
        <w:t xml:space="preserve">. Los </w:t>
      </w:r>
      <w:r w:rsidR="009D3284" w:rsidRPr="007B5E63">
        <w:rPr>
          <w:rFonts w:ascii="Verdana" w:hAnsi="Verdana"/>
          <w:i/>
          <w:sz w:val="20"/>
          <w:szCs w:val="20"/>
        </w:rPr>
        <w:t>representantes</w:t>
      </w:r>
      <w:r w:rsidR="009D3284" w:rsidRPr="001A3D20">
        <w:rPr>
          <w:rFonts w:ascii="Verdana" w:hAnsi="Verdana"/>
          <w:sz w:val="20"/>
          <w:szCs w:val="20"/>
        </w:rPr>
        <w:t xml:space="preserve"> </w:t>
      </w:r>
      <w:r w:rsidR="005A0132" w:rsidRPr="001A3D20">
        <w:rPr>
          <w:rFonts w:ascii="Verdana" w:hAnsi="Verdana"/>
          <w:sz w:val="20"/>
          <w:szCs w:val="20"/>
        </w:rPr>
        <w:t>sostuvieron</w:t>
      </w:r>
      <w:r w:rsidR="009D3284" w:rsidRPr="001A3D20">
        <w:rPr>
          <w:rFonts w:ascii="Verdana" w:hAnsi="Verdana"/>
          <w:sz w:val="20"/>
          <w:szCs w:val="20"/>
        </w:rPr>
        <w:t xml:space="preserve"> que </w:t>
      </w:r>
      <w:r w:rsidR="005530D9" w:rsidRPr="001A3D20">
        <w:rPr>
          <w:rFonts w:ascii="Verdana" w:hAnsi="Verdana"/>
          <w:sz w:val="20"/>
          <w:szCs w:val="20"/>
        </w:rPr>
        <w:t>e</w:t>
      </w:r>
      <w:r w:rsidR="009D3284" w:rsidRPr="001A3D20">
        <w:rPr>
          <w:rFonts w:ascii="Verdana" w:hAnsi="Verdana"/>
          <w:sz w:val="20"/>
          <w:szCs w:val="20"/>
        </w:rPr>
        <w:t xml:space="preserve">ste es uno de los factores por los cuales </w:t>
      </w:r>
      <w:r w:rsidR="005A0132" w:rsidRPr="001A3D20">
        <w:rPr>
          <w:rFonts w:ascii="Verdana" w:hAnsi="Verdana"/>
          <w:sz w:val="20"/>
          <w:szCs w:val="20"/>
        </w:rPr>
        <w:t>no puede declararse que el Estado ha</w:t>
      </w:r>
      <w:r w:rsidR="0097194A" w:rsidRPr="001A3D20">
        <w:rPr>
          <w:rFonts w:ascii="Verdana" w:hAnsi="Verdana"/>
          <w:sz w:val="20"/>
          <w:szCs w:val="20"/>
        </w:rPr>
        <w:t>ya</w:t>
      </w:r>
      <w:r w:rsidR="005A0132" w:rsidRPr="001A3D20">
        <w:rPr>
          <w:rFonts w:ascii="Verdana" w:hAnsi="Verdana"/>
          <w:sz w:val="20"/>
          <w:szCs w:val="20"/>
        </w:rPr>
        <w:t xml:space="preserve"> cumplido con esta medida. Enfatizaron que</w:t>
      </w:r>
      <w:r w:rsidR="0097194A" w:rsidRPr="001A3D20">
        <w:rPr>
          <w:rFonts w:ascii="Verdana" w:hAnsi="Verdana"/>
          <w:sz w:val="20"/>
          <w:szCs w:val="20"/>
        </w:rPr>
        <w:t>,</w:t>
      </w:r>
      <w:r w:rsidR="005A0132" w:rsidRPr="001A3D20">
        <w:rPr>
          <w:rFonts w:ascii="Verdana" w:hAnsi="Verdana"/>
          <w:sz w:val="20"/>
          <w:szCs w:val="20"/>
        </w:rPr>
        <w:t xml:space="preserve"> “aun cuando las sentencias condenatorias de primera y segunda instancia confirma</w:t>
      </w:r>
      <w:r w:rsidR="00F62790" w:rsidRPr="001A3D20">
        <w:rPr>
          <w:rFonts w:ascii="Verdana" w:hAnsi="Verdana"/>
          <w:sz w:val="20"/>
          <w:szCs w:val="20"/>
        </w:rPr>
        <w:t>[ron]</w:t>
      </w:r>
      <w:r w:rsidR="005A0132" w:rsidRPr="001A3D20">
        <w:rPr>
          <w:rFonts w:ascii="Verdana" w:hAnsi="Verdana"/>
          <w:sz w:val="20"/>
          <w:szCs w:val="20"/>
        </w:rPr>
        <w:t xml:space="preserve"> la relación entre la desaparición de María Claudia García y la sustracción de identidad de Macarena Gelman, las autoridades </w:t>
      </w:r>
      <w:proofErr w:type="spellStart"/>
      <w:r w:rsidR="005A0132" w:rsidRPr="001A3D20">
        <w:rPr>
          <w:rFonts w:ascii="Verdana" w:hAnsi="Verdana"/>
          <w:sz w:val="20"/>
          <w:szCs w:val="20"/>
        </w:rPr>
        <w:t>omit</w:t>
      </w:r>
      <w:proofErr w:type="spellEnd"/>
      <w:r w:rsidR="00F62790" w:rsidRPr="001A3D20">
        <w:rPr>
          <w:rFonts w:ascii="Verdana" w:hAnsi="Verdana"/>
          <w:sz w:val="20"/>
          <w:szCs w:val="20"/>
        </w:rPr>
        <w:t>[</w:t>
      </w:r>
      <w:proofErr w:type="spellStart"/>
      <w:r w:rsidR="00F62790" w:rsidRPr="001A3D20">
        <w:rPr>
          <w:rFonts w:ascii="Verdana" w:hAnsi="Verdana"/>
          <w:sz w:val="20"/>
          <w:szCs w:val="20"/>
        </w:rPr>
        <w:t>ieron</w:t>
      </w:r>
      <w:proofErr w:type="spellEnd"/>
      <w:r w:rsidR="00F62790" w:rsidRPr="001A3D20">
        <w:rPr>
          <w:rFonts w:ascii="Verdana" w:hAnsi="Verdana"/>
          <w:sz w:val="20"/>
          <w:szCs w:val="20"/>
        </w:rPr>
        <w:t>]</w:t>
      </w:r>
      <w:r w:rsidR="005A0132" w:rsidRPr="001A3D20">
        <w:rPr>
          <w:rFonts w:ascii="Verdana" w:hAnsi="Verdana"/>
          <w:sz w:val="20"/>
          <w:szCs w:val="20"/>
        </w:rPr>
        <w:t xml:space="preserve"> castigar esa conducta y ordenar otras investigaciones”. </w:t>
      </w:r>
      <w:r w:rsidR="0097194A" w:rsidRPr="001A3D20">
        <w:rPr>
          <w:rFonts w:ascii="Verdana" w:hAnsi="Verdana"/>
          <w:sz w:val="20"/>
          <w:szCs w:val="20"/>
        </w:rPr>
        <w:t>También</w:t>
      </w:r>
      <w:r w:rsidR="005530D9" w:rsidRPr="001A3D20">
        <w:rPr>
          <w:rFonts w:ascii="Verdana" w:hAnsi="Verdana"/>
          <w:sz w:val="20"/>
          <w:szCs w:val="20"/>
        </w:rPr>
        <w:t>,</w:t>
      </w:r>
      <w:r w:rsidR="0097194A" w:rsidRPr="001A3D20">
        <w:rPr>
          <w:rFonts w:ascii="Verdana" w:hAnsi="Verdana"/>
          <w:sz w:val="20"/>
          <w:szCs w:val="20"/>
        </w:rPr>
        <w:t xml:space="preserve"> destacaron </w:t>
      </w:r>
      <w:proofErr w:type="gramStart"/>
      <w:r w:rsidR="0097194A" w:rsidRPr="001A3D20">
        <w:rPr>
          <w:rFonts w:ascii="Verdana" w:hAnsi="Verdana"/>
          <w:sz w:val="20"/>
          <w:szCs w:val="20"/>
        </w:rPr>
        <w:t>que</w:t>
      </w:r>
      <w:proofErr w:type="gramEnd"/>
      <w:r w:rsidR="0097194A" w:rsidRPr="001A3D20">
        <w:rPr>
          <w:rFonts w:ascii="Verdana" w:hAnsi="Verdana"/>
          <w:sz w:val="20"/>
          <w:szCs w:val="20"/>
        </w:rPr>
        <w:t xml:space="preserve"> con la referida sentencia condenatoria</w:t>
      </w:r>
      <w:r w:rsidR="00C054F7" w:rsidRPr="001A3D20">
        <w:rPr>
          <w:rFonts w:ascii="Verdana" w:hAnsi="Verdana"/>
          <w:sz w:val="20"/>
          <w:szCs w:val="20"/>
        </w:rPr>
        <w:t>,</w:t>
      </w:r>
      <w:r w:rsidR="0097194A" w:rsidRPr="001A3D20">
        <w:rPr>
          <w:rFonts w:ascii="Verdana" w:hAnsi="Verdana"/>
          <w:sz w:val="20"/>
          <w:szCs w:val="20"/>
        </w:rPr>
        <w:t xml:space="preserve"> el Estado “parece haber puesto punto final a [su] actividad investigativa”, ya que “no ha impulsado de oficio nuevos procesos o nuevas investigaciones”, aun cuando </w:t>
      </w:r>
      <w:r w:rsidR="00C054F7" w:rsidRPr="001A3D20">
        <w:rPr>
          <w:rFonts w:ascii="Verdana" w:hAnsi="Verdana"/>
          <w:sz w:val="20"/>
          <w:szCs w:val="20"/>
        </w:rPr>
        <w:t>es una de sus obligaciones y</w:t>
      </w:r>
      <w:r w:rsidR="0099661D">
        <w:rPr>
          <w:rFonts w:ascii="Verdana" w:hAnsi="Verdana"/>
          <w:sz w:val="20"/>
          <w:szCs w:val="20"/>
        </w:rPr>
        <w:t>, además,</w:t>
      </w:r>
      <w:r w:rsidR="00C054F7" w:rsidRPr="001A3D20">
        <w:rPr>
          <w:rFonts w:ascii="Verdana" w:hAnsi="Verdana"/>
          <w:sz w:val="20"/>
          <w:szCs w:val="20"/>
        </w:rPr>
        <w:t xml:space="preserve"> </w:t>
      </w:r>
      <w:r w:rsidR="00B52E91" w:rsidRPr="001A3D20">
        <w:rPr>
          <w:rFonts w:ascii="Verdana" w:hAnsi="Verdana"/>
          <w:sz w:val="20"/>
          <w:szCs w:val="20"/>
        </w:rPr>
        <w:t>en el 2019 surgió</w:t>
      </w:r>
      <w:r w:rsidR="0097194A" w:rsidRPr="001A3D20">
        <w:rPr>
          <w:rFonts w:ascii="Verdana" w:hAnsi="Verdana"/>
          <w:sz w:val="20"/>
          <w:szCs w:val="20"/>
        </w:rPr>
        <w:t xml:space="preserve"> información </w:t>
      </w:r>
      <w:r w:rsidR="00973B75" w:rsidRPr="001A3D20">
        <w:rPr>
          <w:rFonts w:ascii="Verdana" w:hAnsi="Verdana"/>
          <w:sz w:val="20"/>
          <w:szCs w:val="20"/>
        </w:rPr>
        <w:t>de conocimiento público</w:t>
      </w:r>
      <w:r w:rsidR="0097194A" w:rsidRPr="001A3D20">
        <w:rPr>
          <w:rFonts w:ascii="Verdana" w:hAnsi="Verdana"/>
          <w:sz w:val="20"/>
          <w:szCs w:val="20"/>
        </w:rPr>
        <w:t xml:space="preserve"> </w:t>
      </w:r>
      <w:r w:rsidR="00515933" w:rsidRPr="001A3D20">
        <w:rPr>
          <w:rFonts w:ascii="Verdana" w:hAnsi="Verdana"/>
          <w:sz w:val="20"/>
          <w:szCs w:val="20"/>
        </w:rPr>
        <w:t xml:space="preserve">en relación con los hechos del presente caso </w:t>
      </w:r>
      <w:r w:rsidR="0097194A" w:rsidRPr="001A3D20">
        <w:rPr>
          <w:rFonts w:ascii="Verdana" w:hAnsi="Verdana"/>
          <w:sz w:val="20"/>
          <w:szCs w:val="20"/>
        </w:rPr>
        <w:t xml:space="preserve">que </w:t>
      </w:r>
      <w:r w:rsidR="0099661D" w:rsidRPr="001A3D20">
        <w:rPr>
          <w:rFonts w:ascii="Verdana" w:hAnsi="Verdana"/>
          <w:sz w:val="20"/>
          <w:szCs w:val="20"/>
        </w:rPr>
        <w:t>amerita</w:t>
      </w:r>
      <w:r w:rsidR="0099661D">
        <w:rPr>
          <w:rFonts w:ascii="Verdana" w:hAnsi="Verdana"/>
          <w:sz w:val="20"/>
          <w:szCs w:val="20"/>
        </w:rPr>
        <w:t>ría</w:t>
      </w:r>
      <w:r w:rsidR="0099661D" w:rsidRPr="001A3D20">
        <w:rPr>
          <w:rFonts w:ascii="Verdana" w:hAnsi="Verdana"/>
          <w:sz w:val="20"/>
          <w:szCs w:val="20"/>
        </w:rPr>
        <w:t xml:space="preserve"> </w:t>
      </w:r>
      <w:r w:rsidR="00515933" w:rsidRPr="001A3D20">
        <w:rPr>
          <w:rFonts w:ascii="Verdana" w:hAnsi="Verdana"/>
          <w:sz w:val="20"/>
          <w:szCs w:val="20"/>
        </w:rPr>
        <w:t>la actuación inmediata y de oficio de las autoridades</w:t>
      </w:r>
      <w:r w:rsidR="00973B75" w:rsidRPr="001A3D20">
        <w:rPr>
          <w:rFonts w:ascii="Verdana" w:hAnsi="Verdana"/>
          <w:sz w:val="20"/>
          <w:szCs w:val="20"/>
        </w:rPr>
        <w:t>. Al respecto</w:t>
      </w:r>
      <w:r w:rsidR="00EC18E8" w:rsidRPr="001A3D20">
        <w:rPr>
          <w:rFonts w:ascii="Verdana" w:hAnsi="Verdana"/>
          <w:sz w:val="20"/>
          <w:szCs w:val="20"/>
        </w:rPr>
        <w:t>,</w:t>
      </w:r>
      <w:r w:rsidR="00973B75" w:rsidRPr="001A3D20">
        <w:rPr>
          <w:rFonts w:ascii="Verdana" w:hAnsi="Verdana"/>
          <w:sz w:val="20"/>
          <w:szCs w:val="20"/>
        </w:rPr>
        <w:t xml:space="preserve"> </w:t>
      </w:r>
      <w:r w:rsidR="00C054F7" w:rsidRPr="001A3D20">
        <w:rPr>
          <w:rFonts w:ascii="Verdana" w:hAnsi="Verdana"/>
          <w:sz w:val="20"/>
          <w:szCs w:val="20"/>
        </w:rPr>
        <w:t>detallaron</w:t>
      </w:r>
      <w:r w:rsidR="00B52E91" w:rsidRPr="001A3D20">
        <w:rPr>
          <w:rFonts w:ascii="Verdana" w:hAnsi="Verdana"/>
          <w:sz w:val="20"/>
          <w:szCs w:val="20"/>
        </w:rPr>
        <w:t xml:space="preserve"> que Uruguay debería investigar si los datos sobre la desaparición de María Claudia García y la sustracción de Macarena Gelman que se desprenden</w:t>
      </w:r>
      <w:r w:rsidR="00973B75" w:rsidRPr="001A3D20">
        <w:rPr>
          <w:rFonts w:ascii="Verdana" w:hAnsi="Verdana"/>
          <w:sz w:val="20"/>
          <w:szCs w:val="20"/>
        </w:rPr>
        <w:t xml:space="preserve"> </w:t>
      </w:r>
      <w:r w:rsidR="00B52E91" w:rsidRPr="001A3D20">
        <w:rPr>
          <w:rFonts w:ascii="Verdana" w:hAnsi="Verdana"/>
          <w:sz w:val="20"/>
          <w:szCs w:val="20"/>
        </w:rPr>
        <w:t xml:space="preserve">de las </w:t>
      </w:r>
      <w:r w:rsidR="00973B75" w:rsidRPr="001A3D20">
        <w:rPr>
          <w:rFonts w:ascii="Verdana" w:hAnsi="Verdana"/>
          <w:sz w:val="20"/>
          <w:szCs w:val="20"/>
        </w:rPr>
        <w:t>“declaraciones” de tres militares “en un proceso que se tramitó ante un Tribunal de Honor de las Fuerzas Armadas”</w:t>
      </w:r>
      <w:r w:rsidR="00BE4084" w:rsidRPr="006D6760">
        <w:rPr>
          <w:rStyle w:val="Refdenotaalpie"/>
          <w:rFonts w:ascii="Verdana" w:hAnsi="Verdana"/>
          <w:sz w:val="20"/>
          <w:szCs w:val="20"/>
        </w:rPr>
        <w:footnoteReference w:id="32"/>
      </w:r>
      <w:r w:rsidR="00973B75" w:rsidRPr="001A3D20">
        <w:rPr>
          <w:rFonts w:ascii="Verdana" w:hAnsi="Verdana"/>
          <w:sz w:val="20"/>
          <w:szCs w:val="20"/>
        </w:rPr>
        <w:t xml:space="preserve">, y </w:t>
      </w:r>
      <w:r w:rsidR="00B52E91" w:rsidRPr="001A3D20">
        <w:rPr>
          <w:rFonts w:ascii="Verdana" w:hAnsi="Verdana"/>
          <w:sz w:val="20"/>
          <w:szCs w:val="20"/>
        </w:rPr>
        <w:t xml:space="preserve">de las </w:t>
      </w:r>
      <w:r w:rsidR="00515933" w:rsidRPr="001A3D20">
        <w:rPr>
          <w:rFonts w:ascii="Verdana" w:hAnsi="Verdana"/>
          <w:sz w:val="20"/>
          <w:szCs w:val="20"/>
        </w:rPr>
        <w:t>entrevistas que</w:t>
      </w:r>
      <w:r w:rsidR="00B52E91" w:rsidRPr="001A3D20">
        <w:rPr>
          <w:rFonts w:ascii="Verdana" w:hAnsi="Verdana"/>
          <w:sz w:val="20"/>
          <w:szCs w:val="20"/>
        </w:rPr>
        <w:t xml:space="preserve"> </w:t>
      </w:r>
      <w:r w:rsidR="00515933" w:rsidRPr="001A3D20">
        <w:rPr>
          <w:rFonts w:ascii="Verdana" w:hAnsi="Verdana"/>
          <w:sz w:val="20"/>
          <w:szCs w:val="20"/>
        </w:rPr>
        <w:t>brindó a la prensa uno de los condenados a nivel interno por el homicidio de María Claudia García</w:t>
      </w:r>
      <w:r w:rsidR="00973B75" w:rsidRPr="006D6760">
        <w:rPr>
          <w:rStyle w:val="Refdenotaalpie"/>
          <w:rFonts w:ascii="Verdana" w:hAnsi="Verdana"/>
          <w:sz w:val="20"/>
          <w:szCs w:val="20"/>
        </w:rPr>
        <w:footnoteReference w:id="33"/>
      </w:r>
      <w:r w:rsidR="00515933" w:rsidRPr="001A3D20">
        <w:rPr>
          <w:rFonts w:ascii="Verdana" w:hAnsi="Verdana"/>
          <w:sz w:val="20"/>
          <w:szCs w:val="20"/>
        </w:rPr>
        <w:t xml:space="preserve">, </w:t>
      </w:r>
      <w:r w:rsidR="00B52E91" w:rsidRPr="001A3D20">
        <w:rPr>
          <w:rFonts w:ascii="Verdana" w:hAnsi="Verdana"/>
          <w:sz w:val="20"/>
          <w:szCs w:val="20"/>
        </w:rPr>
        <w:t xml:space="preserve">“son </w:t>
      </w:r>
      <w:proofErr w:type="spellStart"/>
      <w:r w:rsidR="00B52E91" w:rsidRPr="001A3D20">
        <w:rPr>
          <w:rFonts w:ascii="Verdana" w:hAnsi="Verdana"/>
          <w:sz w:val="20"/>
          <w:szCs w:val="20"/>
        </w:rPr>
        <w:t>ciert</w:t>
      </w:r>
      <w:proofErr w:type="spellEnd"/>
      <w:r w:rsidR="00B52E91" w:rsidRPr="001A3D20">
        <w:rPr>
          <w:rFonts w:ascii="Verdana" w:hAnsi="Verdana"/>
          <w:sz w:val="20"/>
          <w:szCs w:val="20"/>
        </w:rPr>
        <w:t xml:space="preserve">[as,] pueden ayudar a esclarecer la verdad” y permiten “la identificación de otros responsables en este caso”. </w:t>
      </w:r>
    </w:p>
    <w:p w14:paraId="614935D1" w14:textId="39A2CB4D" w:rsidR="00E11C4F" w:rsidRPr="00E11C4F" w:rsidRDefault="00B52E91" w:rsidP="00D460CF">
      <w:pPr>
        <w:pStyle w:val="NormalWeb"/>
        <w:numPr>
          <w:ilvl w:val="0"/>
          <w:numId w:val="4"/>
        </w:numPr>
        <w:spacing w:before="120" w:after="120"/>
        <w:ind w:left="0" w:firstLine="0"/>
        <w:jc w:val="both"/>
        <w:rPr>
          <w:rFonts w:ascii="Verdana" w:hAnsi="Verdana" w:cs="Calibri"/>
          <w:sz w:val="20"/>
          <w:szCs w:val="20"/>
        </w:rPr>
      </w:pPr>
      <w:r w:rsidRPr="00057160">
        <w:rPr>
          <w:rFonts w:ascii="Verdana" w:hAnsi="Verdana"/>
          <w:sz w:val="20"/>
          <w:szCs w:val="20"/>
        </w:rPr>
        <w:t xml:space="preserve">La Corte recuerda que, </w:t>
      </w:r>
      <w:r w:rsidR="00F62790" w:rsidRPr="00057160">
        <w:rPr>
          <w:rFonts w:ascii="Verdana" w:hAnsi="Verdana"/>
          <w:sz w:val="20"/>
          <w:szCs w:val="20"/>
        </w:rPr>
        <w:t xml:space="preserve">desde </w:t>
      </w:r>
      <w:r w:rsidRPr="00057160">
        <w:rPr>
          <w:rFonts w:ascii="Verdana" w:hAnsi="Verdana"/>
          <w:sz w:val="20"/>
          <w:szCs w:val="20"/>
        </w:rPr>
        <w:t>la Resolución de marzo de 2013, había advertido sobre la falta de investigación de todos los hechos del presente caso</w:t>
      </w:r>
      <w:r w:rsidR="00485C70">
        <w:rPr>
          <w:rFonts w:ascii="Verdana" w:hAnsi="Verdana"/>
          <w:sz w:val="20"/>
          <w:szCs w:val="20"/>
        </w:rPr>
        <w:t xml:space="preserve"> (</w:t>
      </w:r>
      <w:r w:rsidR="00485C70" w:rsidRPr="007B5E63">
        <w:rPr>
          <w:rFonts w:ascii="Verdana" w:hAnsi="Verdana"/>
          <w:i/>
          <w:sz w:val="20"/>
          <w:szCs w:val="20"/>
        </w:rPr>
        <w:t>supra</w:t>
      </w:r>
      <w:r w:rsidR="00485C70">
        <w:rPr>
          <w:rFonts w:ascii="Verdana" w:hAnsi="Verdana"/>
          <w:sz w:val="20"/>
          <w:szCs w:val="20"/>
        </w:rPr>
        <w:t xml:space="preserve"> Considerando 6)</w:t>
      </w:r>
      <w:r w:rsidR="00E35DD1">
        <w:rPr>
          <w:rFonts w:ascii="Verdana" w:hAnsi="Verdana"/>
          <w:sz w:val="20"/>
          <w:szCs w:val="20"/>
        </w:rPr>
        <w:t>.</w:t>
      </w:r>
      <w:r w:rsidR="006F6CD3">
        <w:rPr>
          <w:rFonts w:ascii="Verdana" w:hAnsi="Verdana"/>
          <w:sz w:val="20"/>
          <w:szCs w:val="20"/>
        </w:rPr>
        <w:t xml:space="preserve"> </w:t>
      </w:r>
      <w:r w:rsidR="00E35DD1">
        <w:rPr>
          <w:rFonts w:ascii="Verdana" w:hAnsi="Verdana"/>
          <w:sz w:val="20"/>
          <w:szCs w:val="20"/>
        </w:rPr>
        <w:t>H</w:t>
      </w:r>
      <w:r w:rsidRPr="00057160">
        <w:rPr>
          <w:rFonts w:ascii="Verdana" w:hAnsi="Verdana"/>
          <w:sz w:val="20"/>
          <w:szCs w:val="20"/>
        </w:rPr>
        <w:t xml:space="preserve">an transcurrido más de siete años desde entonces, sin que Uruguay haya </w:t>
      </w:r>
      <w:r w:rsidR="00E11C4F">
        <w:rPr>
          <w:rFonts w:ascii="Verdana" w:hAnsi="Verdana"/>
          <w:sz w:val="20"/>
          <w:szCs w:val="20"/>
        </w:rPr>
        <w:t>informado sobre</w:t>
      </w:r>
      <w:r w:rsidRPr="00057160">
        <w:rPr>
          <w:rFonts w:ascii="Verdana" w:hAnsi="Verdana"/>
          <w:sz w:val="20"/>
          <w:szCs w:val="20"/>
        </w:rPr>
        <w:t xml:space="preserve"> acción alguna para ello.</w:t>
      </w:r>
      <w:r w:rsidR="00F62790" w:rsidRPr="00057160">
        <w:rPr>
          <w:rFonts w:ascii="Verdana" w:hAnsi="Verdana"/>
          <w:sz w:val="20"/>
          <w:szCs w:val="20"/>
        </w:rPr>
        <w:t xml:space="preserve"> </w:t>
      </w:r>
      <w:r w:rsidR="00F62790" w:rsidRPr="00E11C4F">
        <w:rPr>
          <w:rFonts w:ascii="Verdana" w:hAnsi="Verdana"/>
          <w:sz w:val="20"/>
          <w:szCs w:val="20"/>
        </w:rPr>
        <w:t xml:space="preserve">Tomando en cuenta que, </w:t>
      </w:r>
      <w:r w:rsidR="00BE4084" w:rsidRPr="00E11C4F">
        <w:rPr>
          <w:rFonts w:ascii="Verdana" w:hAnsi="Verdana"/>
          <w:sz w:val="20"/>
          <w:szCs w:val="20"/>
        </w:rPr>
        <w:t xml:space="preserve">al ordenar esta reparación, la Corte dispuso que el Estado debía asegurar que </w:t>
      </w:r>
      <w:r w:rsidR="00485C70">
        <w:rPr>
          <w:rFonts w:ascii="Verdana" w:hAnsi="Verdana"/>
          <w:sz w:val="20"/>
          <w:szCs w:val="20"/>
        </w:rPr>
        <w:t xml:space="preserve">las </w:t>
      </w:r>
      <w:r w:rsidR="00BE4084" w:rsidRPr="00E11C4F">
        <w:rPr>
          <w:rFonts w:ascii="Verdana" w:hAnsi="Verdana"/>
          <w:sz w:val="20"/>
          <w:szCs w:val="20"/>
        </w:rPr>
        <w:t xml:space="preserve">autoridades competentes realizaran las investigaciones correspondientes </w:t>
      </w:r>
      <w:r w:rsidR="00BE4084" w:rsidRPr="00E11C4F">
        <w:rPr>
          <w:rFonts w:ascii="Verdana" w:hAnsi="Verdana"/>
          <w:i/>
          <w:iCs/>
          <w:sz w:val="20"/>
          <w:szCs w:val="20"/>
        </w:rPr>
        <w:t xml:space="preserve">ex </w:t>
      </w:r>
      <w:proofErr w:type="spellStart"/>
      <w:r w:rsidR="00BE4084" w:rsidRPr="00E11C4F">
        <w:rPr>
          <w:rFonts w:ascii="Verdana" w:hAnsi="Verdana"/>
          <w:i/>
          <w:iCs/>
          <w:sz w:val="20"/>
          <w:szCs w:val="20"/>
        </w:rPr>
        <w:t>officio</w:t>
      </w:r>
      <w:proofErr w:type="spellEnd"/>
      <w:r w:rsidR="00BE4084" w:rsidRPr="00E11C4F">
        <w:rPr>
          <w:rStyle w:val="Refdenotaalpie"/>
          <w:rFonts w:ascii="Verdana" w:hAnsi="Verdana"/>
          <w:i/>
          <w:iCs/>
          <w:sz w:val="20"/>
          <w:szCs w:val="20"/>
        </w:rPr>
        <w:footnoteReference w:id="34"/>
      </w:r>
      <w:r w:rsidR="00BE4084" w:rsidRPr="00E11C4F">
        <w:rPr>
          <w:rFonts w:ascii="Verdana" w:hAnsi="Verdana"/>
          <w:sz w:val="20"/>
          <w:szCs w:val="20"/>
        </w:rPr>
        <w:t xml:space="preserve">, se solita a Uruguay que </w:t>
      </w:r>
      <w:r w:rsidR="00E11C4F" w:rsidRPr="00E11C4F">
        <w:rPr>
          <w:rFonts w:ascii="Verdana" w:hAnsi="Verdana"/>
          <w:sz w:val="20"/>
          <w:szCs w:val="20"/>
        </w:rPr>
        <w:t>informe de manera actualizada y detallada sobre</w:t>
      </w:r>
      <w:r w:rsidR="00BE4084" w:rsidRPr="00E11C4F">
        <w:rPr>
          <w:rFonts w:ascii="Verdana" w:hAnsi="Verdana"/>
          <w:sz w:val="20"/>
          <w:szCs w:val="20"/>
        </w:rPr>
        <w:t xml:space="preserve"> a </w:t>
      </w:r>
      <w:r w:rsidR="00E53FC4" w:rsidRPr="00E11C4F">
        <w:rPr>
          <w:rFonts w:ascii="Verdana" w:hAnsi="Verdana"/>
          <w:sz w:val="20"/>
          <w:szCs w:val="20"/>
        </w:rPr>
        <w:t>las acciones que</w:t>
      </w:r>
      <w:r w:rsidR="00E11C4F" w:rsidRPr="00E11C4F">
        <w:rPr>
          <w:rFonts w:ascii="Verdana" w:hAnsi="Verdana"/>
          <w:sz w:val="20"/>
          <w:szCs w:val="20"/>
        </w:rPr>
        <w:t xml:space="preserve"> ha implementado con el fin de investigar los hechos relacionados con la desaparición por </w:t>
      </w:r>
      <w:r w:rsidR="00485C70">
        <w:rPr>
          <w:rFonts w:ascii="Verdana" w:hAnsi="Verdana" w:cs="Calibri"/>
          <w:color w:val="000000"/>
          <w:sz w:val="20"/>
          <w:szCs w:val="20"/>
        </w:rPr>
        <w:t>sustracción,</w:t>
      </w:r>
      <w:r w:rsidR="00485C70" w:rsidRPr="00E11C4F">
        <w:rPr>
          <w:rFonts w:ascii="Verdana" w:hAnsi="Verdana"/>
          <w:sz w:val="20"/>
          <w:szCs w:val="20"/>
        </w:rPr>
        <w:t xml:space="preserve"> </w:t>
      </w:r>
      <w:r w:rsidR="00E11C4F" w:rsidRPr="00E11C4F">
        <w:rPr>
          <w:rFonts w:ascii="Verdana" w:hAnsi="Verdana"/>
          <w:sz w:val="20"/>
          <w:szCs w:val="20"/>
        </w:rPr>
        <w:t xml:space="preserve">supresión </w:t>
      </w:r>
      <w:r w:rsidR="00485C70">
        <w:rPr>
          <w:rFonts w:ascii="Verdana" w:hAnsi="Verdana"/>
          <w:sz w:val="20"/>
          <w:szCs w:val="20"/>
        </w:rPr>
        <w:t xml:space="preserve">y sustitución </w:t>
      </w:r>
      <w:r w:rsidR="00E11C4F" w:rsidRPr="00E11C4F">
        <w:rPr>
          <w:rFonts w:ascii="Verdana" w:hAnsi="Verdana"/>
          <w:sz w:val="20"/>
          <w:szCs w:val="20"/>
        </w:rPr>
        <w:t>de identidad de María Macarena Gelman y hechos conexos. Asimismo, se solicita que se refiera a lo sostenido por los representantes respecto a la disponibilidad de información reciente sobre hechos de este caso que ameritaría de manera inmediata el impulso de oficio de nuevas investigaciones</w:t>
      </w:r>
      <w:r w:rsidR="00485C70">
        <w:rPr>
          <w:rFonts w:ascii="Verdana" w:hAnsi="Verdana"/>
          <w:sz w:val="20"/>
          <w:szCs w:val="20"/>
        </w:rPr>
        <w:t>.</w:t>
      </w:r>
    </w:p>
    <w:p w14:paraId="1173CAB8" w14:textId="1856B904" w:rsidR="00660A40" w:rsidRPr="00FE0C3C" w:rsidRDefault="00B02730" w:rsidP="00FE0C3C">
      <w:pPr>
        <w:pStyle w:val="NormalWeb"/>
        <w:numPr>
          <w:ilvl w:val="0"/>
          <w:numId w:val="4"/>
        </w:numPr>
        <w:spacing w:before="120" w:after="120"/>
        <w:ind w:left="0" w:firstLine="0"/>
        <w:jc w:val="both"/>
        <w:rPr>
          <w:rFonts w:ascii="Verdana" w:hAnsi="Verdana" w:cs="Calibri"/>
          <w:sz w:val="20"/>
          <w:szCs w:val="20"/>
        </w:rPr>
      </w:pPr>
      <w:r w:rsidRPr="007D663B">
        <w:rPr>
          <w:rFonts w:ascii="Verdana" w:hAnsi="Verdana" w:cs="Calibri"/>
          <w:sz w:val="20"/>
          <w:szCs w:val="20"/>
        </w:rPr>
        <w:t>Adicionalmente</w:t>
      </w:r>
      <w:r w:rsidR="001555C1" w:rsidRPr="007D663B">
        <w:rPr>
          <w:rFonts w:ascii="Verdana" w:hAnsi="Verdana" w:cs="Calibri"/>
          <w:sz w:val="20"/>
          <w:szCs w:val="20"/>
        </w:rPr>
        <w:t xml:space="preserve">, los </w:t>
      </w:r>
      <w:r w:rsidR="001555C1" w:rsidRPr="007B5E63">
        <w:rPr>
          <w:rFonts w:ascii="Verdana" w:hAnsi="Verdana" w:cs="Calibri"/>
          <w:i/>
          <w:sz w:val="20"/>
          <w:szCs w:val="20"/>
        </w:rPr>
        <w:t>representantes</w:t>
      </w:r>
      <w:r w:rsidR="001555C1" w:rsidRPr="007D663B">
        <w:rPr>
          <w:rFonts w:ascii="Verdana" w:hAnsi="Verdana" w:cs="Calibri"/>
          <w:sz w:val="20"/>
          <w:szCs w:val="20"/>
        </w:rPr>
        <w:t xml:space="preserve"> </w:t>
      </w:r>
      <w:r w:rsidR="001517C7" w:rsidRPr="007D663B">
        <w:rPr>
          <w:rFonts w:ascii="Verdana" w:hAnsi="Verdana" w:cs="Calibri"/>
          <w:sz w:val="20"/>
          <w:szCs w:val="20"/>
        </w:rPr>
        <w:t xml:space="preserve">también </w:t>
      </w:r>
      <w:r w:rsidR="00A11098" w:rsidRPr="007D663B">
        <w:rPr>
          <w:rFonts w:ascii="Verdana" w:hAnsi="Verdana" w:cs="Calibri"/>
          <w:sz w:val="20"/>
          <w:szCs w:val="20"/>
        </w:rPr>
        <w:t xml:space="preserve">expresaron su “preocupación ante hechos que demuestran la falta de medidas del Estado para garantizar que la ejecución de la pena de [los exmilitares condenados en este caso] se realice en conformidad con los recaudos de seguridad necesarios y contemplando estándares internacionales que deben guiar la ejecución de las condenas de personas responsables por graves violaciones a derechos humanos”. </w:t>
      </w:r>
      <w:r w:rsidR="00FE0C3C" w:rsidRPr="007D663B">
        <w:rPr>
          <w:rFonts w:ascii="Verdana" w:hAnsi="Verdana" w:cs="Calibri"/>
          <w:sz w:val="20"/>
          <w:szCs w:val="20"/>
        </w:rPr>
        <w:t>Fundamentaron tal preocupación en el presente caso, debido a que actualmente</w:t>
      </w:r>
      <w:r w:rsidR="00A11098" w:rsidRPr="007D663B">
        <w:rPr>
          <w:rFonts w:ascii="Verdana" w:hAnsi="Verdana" w:cs="Calibri"/>
          <w:sz w:val="20"/>
          <w:szCs w:val="20"/>
        </w:rPr>
        <w:t xml:space="preserve"> al menos dos de los condenados </w:t>
      </w:r>
      <w:r w:rsidR="00FE0C3C" w:rsidRPr="007D663B">
        <w:rPr>
          <w:rFonts w:ascii="Verdana" w:hAnsi="Verdana" w:cs="Calibri"/>
          <w:sz w:val="20"/>
          <w:szCs w:val="20"/>
        </w:rPr>
        <w:t>por los hechos ocurridos a María Claudia García</w:t>
      </w:r>
      <w:r w:rsidR="00A11098" w:rsidRPr="007D663B">
        <w:rPr>
          <w:rFonts w:ascii="Verdana" w:hAnsi="Verdana" w:cs="Calibri"/>
          <w:sz w:val="20"/>
          <w:szCs w:val="20"/>
        </w:rPr>
        <w:t>, se encuentran cumpliendo condenas en sus domicilios por otros delitos cometidos en el marco de la dictadura</w:t>
      </w:r>
      <w:r w:rsidR="00FE0C3C" w:rsidRPr="007D663B">
        <w:rPr>
          <w:rFonts w:ascii="Verdana" w:hAnsi="Verdana" w:cs="Calibri"/>
          <w:sz w:val="20"/>
          <w:szCs w:val="20"/>
        </w:rPr>
        <w:t>,</w:t>
      </w:r>
      <w:r w:rsidR="00CE4D7C" w:rsidRPr="007D663B">
        <w:rPr>
          <w:rFonts w:ascii="Verdana" w:hAnsi="Verdana" w:cs="Calibri"/>
          <w:sz w:val="20"/>
          <w:szCs w:val="20"/>
        </w:rPr>
        <w:t xml:space="preserve"> </w:t>
      </w:r>
      <w:r w:rsidR="00FE0C3C" w:rsidRPr="007D663B">
        <w:rPr>
          <w:rFonts w:ascii="Verdana" w:hAnsi="Verdana" w:cs="Calibri"/>
          <w:sz w:val="20"/>
          <w:szCs w:val="20"/>
        </w:rPr>
        <w:t>“</w:t>
      </w:r>
      <w:r w:rsidR="00CE4D7C" w:rsidRPr="007D663B">
        <w:rPr>
          <w:rFonts w:ascii="Verdana" w:hAnsi="Verdana" w:cs="Calibri"/>
          <w:sz w:val="20"/>
          <w:szCs w:val="20"/>
        </w:rPr>
        <w:t xml:space="preserve">sin que existan garantías de que esa determinación se haya realizado o revisado con apego a los estándares internacionales” </w:t>
      </w:r>
      <w:r w:rsidR="00C86909">
        <w:rPr>
          <w:rFonts w:ascii="Verdana" w:hAnsi="Verdana" w:cs="Calibri"/>
          <w:sz w:val="20"/>
          <w:szCs w:val="20"/>
        </w:rPr>
        <w:lastRenderedPageBreak/>
        <w:t>“</w:t>
      </w:r>
      <w:r w:rsidR="00CE4D7C" w:rsidRPr="007D663B">
        <w:rPr>
          <w:rFonts w:ascii="Verdana" w:hAnsi="Verdana" w:cs="Calibri"/>
          <w:sz w:val="20"/>
          <w:szCs w:val="20"/>
        </w:rPr>
        <w:t>sobre el otorgamiento de beneficios penitenciarios en casos de graves violaciones a derechos humanos que han sido desarrollados por la Corte Interamericana</w:t>
      </w:r>
      <w:r w:rsidR="00FE0C3C" w:rsidRPr="007D663B">
        <w:rPr>
          <w:rFonts w:ascii="Verdana" w:hAnsi="Verdana" w:cs="Calibri"/>
          <w:sz w:val="20"/>
          <w:szCs w:val="20"/>
        </w:rPr>
        <w:t>”</w:t>
      </w:r>
      <w:r w:rsidR="00CE4D7C" w:rsidRPr="007D663B">
        <w:rPr>
          <w:rFonts w:ascii="Verdana" w:hAnsi="Verdana" w:cs="Calibri"/>
          <w:sz w:val="20"/>
          <w:szCs w:val="20"/>
        </w:rPr>
        <w:t xml:space="preserve">. </w:t>
      </w:r>
      <w:r w:rsidR="00630E5B" w:rsidRPr="007D663B">
        <w:rPr>
          <w:rFonts w:ascii="Verdana" w:hAnsi="Verdana" w:cs="Calibri"/>
          <w:sz w:val="20"/>
          <w:szCs w:val="20"/>
        </w:rPr>
        <w:t>E</w:t>
      </w:r>
      <w:r w:rsidR="001517C7" w:rsidRPr="007D663B">
        <w:rPr>
          <w:rFonts w:ascii="Verdana" w:hAnsi="Verdana" w:cs="Calibri"/>
          <w:sz w:val="20"/>
          <w:szCs w:val="20"/>
        </w:rPr>
        <w:t>ste Tribunal</w:t>
      </w:r>
      <w:r w:rsidR="00193395" w:rsidRPr="007D663B">
        <w:rPr>
          <w:rFonts w:ascii="Verdana" w:hAnsi="Verdana" w:cs="Calibri"/>
          <w:sz w:val="20"/>
          <w:szCs w:val="20"/>
        </w:rPr>
        <w:t xml:space="preserve"> </w:t>
      </w:r>
      <w:r w:rsidR="00FE0C3C" w:rsidRPr="007D663B">
        <w:rPr>
          <w:rFonts w:ascii="Verdana" w:hAnsi="Verdana" w:cs="Calibri"/>
          <w:sz w:val="20"/>
          <w:szCs w:val="20"/>
        </w:rPr>
        <w:t xml:space="preserve">considera relevante que en su próximo informe el Estado se refiera a esta objeción </w:t>
      </w:r>
      <w:r w:rsidR="00193395" w:rsidRPr="007D663B">
        <w:rPr>
          <w:rFonts w:ascii="Verdana" w:hAnsi="Verdana" w:cs="Calibri"/>
          <w:sz w:val="20"/>
          <w:szCs w:val="20"/>
        </w:rPr>
        <w:t>de los representantes</w:t>
      </w:r>
      <w:r w:rsidR="006F6CD3" w:rsidRPr="007D663B">
        <w:rPr>
          <w:rStyle w:val="Refdenotaalpie"/>
          <w:rFonts w:ascii="Verdana" w:hAnsi="Verdana" w:cs="Calibri"/>
          <w:sz w:val="20"/>
          <w:szCs w:val="20"/>
        </w:rPr>
        <w:footnoteReference w:id="35"/>
      </w:r>
      <w:r w:rsidR="006F6CD3" w:rsidRPr="007D663B">
        <w:rPr>
          <w:rFonts w:ascii="Verdana" w:hAnsi="Verdana" w:cs="Calibri"/>
          <w:sz w:val="20"/>
          <w:szCs w:val="20"/>
        </w:rPr>
        <w:t>.</w:t>
      </w:r>
      <w:r w:rsidR="00F1311C" w:rsidRPr="007D663B">
        <w:rPr>
          <w:rFonts w:ascii="Verdana" w:hAnsi="Verdana" w:cs="Calibri"/>
          <w:sz w:val="20"/>
          <w:szCs w:val="20"/>
        </w:rPr>
        <w:t xml:space="preserve"> </w:t>
      </w:r>
    </w:p>
    <w:p w14:paraId="6AAF6CC9" w14:textId="675184A8" w:rsidR="00BA560D" w:rsidRPr="007F1E15" w:rsidRDefault="006D6760" w:rsidP="009A53D2">
      <w:pPr>
        <w:pStyle w:val="NormalWeb"/>
        <w:numPr>
          <w:ilvl w:val="0"/>
          <w:numId w:val="4"/>
        </w:numPr>
        <w:spacing w:before="120" w:after="120"/>
        <w:ind w:left="0" w:firstLine="0"/>
        <w:jc w:val="both"/>
        <w:rPr>
          <w:rFonts w:ascii="Verdana" w:hAnsi="Verdana" w:cs="Calibri"/>
          <w:sz w:val="20"/>
          <w:szCs w:val="20"/>
        </w:rPr>
      </w:pPr>
      <w:r w:rsidRPr="00004D22">
        <w:rPr>
          <w:rFonts w:ascii="Verdana" w:hAnsi="Verdana" w:cs="Calibri"/>
          <w:sz w:val="20"/>
          <w:szCs w:val="20"/>
        </w:rPr>
        <w:t xml:space="preserve">Finalmente, los </w:t>
      </w:r>
      <w:r w:rsidRPr="007B5E63">
        <w:rPr>
          <w:rFonts w:ascii="Verdana" w:hAnsi="Verdana" w:cs="Calibri"/>
          <w:i/>
          <w:sz w:val="20"/>
          <w:szCs w:val="20"/>
        </w:rPr>
        <w:t>representantes</w:t>
      </w:r>
      <w:r w:rsidRPr="00004D22">
        <w:rPr>
          <w:rFonts w:ascii="Verdana" w:hAnsi="Verdana" w:cs="Calibri"/>
          <w:sz w:val="20"/>
          <w:szCs w:val="20"/>
        </w:rPr>
        <w:t xml:space="preserve"> </w:t>
      </w:r>
      <w:r w:rsidR="00BA560D" w:rsidRPr="00004D22">
        <w:rPr>
          <w:rFonts w:ascii="Verdana" w:hAnsi="Verdana" w:cs="Calibri"/>
          <w:sz w:val="20"/>
          <w:szCs w:val="20"/>
        </w:rPr>
        <w:t>han sostenido durante toda la etapa de supervisión de cumplimiento, que</w:t>
      </w:r>
      <w:r w:rsidRPr="00004D22">
        <w:rPr>
          <w:rFonts w:ascii="Verdana" w:hAnsi="Verdana" w:cs="Calibri"/>
          <w:sz w:val="20"/>
          <w:szCs w:val="20"/>
        </w:rPr>
        <w:t xml:space="preserve"> el Estado no está cumpliendo con</w:t>
      </w:r>
      <w:r w:rsidR="001517C7">
        <w:rPr>
          <w:rFonts w:ascii="Verdana" w:hAnsi="Verdana" w:cs="Calibri"/>
          <w:sz w:val="20"/>
          <w:szCs w:val="20"/>
        </w:rPr>
        <w:t xml:space="preserve"> </w:t>
      </w:r>
      <w:r w:rsidR="00DC1CFB">
        <w:rPr>
          <w:rFonts w:ascii="Verdana" w:hAnsi="Verdana" w:cs="Calibri"/>
          <w:sz w:val="20"/>
          <w:szCs w:val="20"/>
        </w:rPr>
        <w:t xml:space="preserve">lo </w:t>
      </w:r>
      <w:r w:rsidR="001517C7">
        <w:rPr>
          <w:rFonts w:ascii="Verdana" w:hAnsi="Verdana" w:cs="Calibri"/>
          <w:sz w:val="20"/>
          <w:szCs w:val="20"/>
        </w:rPr>
        <w:t>dispuesto en la Sentencia respecto al</w:t>
      </w:r>
      <w:r w:rsidRPr="00004D22">
        <w:rPr>
          <w:rFonts w:ascii="Verdana" w:hAnsi="Verdana" w:cs="Calibri"/>
          <w:sz w:val="20"/>
          <w:szCs w:val="20"/>
        </w:rPr>
        <w:t xml:space="preserve"> “deber de garantizar la participación efectiva de la víctima en el proceso”</w:t>
      </w:r>
      <w:r w:rsidR="001517C7" w:rsidRPr="00004D22">
        <w:rPr>
          <w:rStyle w:val="Refdenotaalpie"/>
          <w:rFonts w:ascii="Verdana" w:hAnsi="Verdana" w:cs="Calibri"/>
          <w:sz w:val="20"/>
          <w:szCs w:val="20"/>
        </w:rPr>
        <w:footnoteReference w:id="36"/>
      </w:r>
      <w:r w:rsidR="00BA560D" w:rsidRPr="00004D22">
        <w:rPr>
          <w:rFonts w:ascii="Verdana" w:hAnsi="Verdana" w:cs="Calibri"/>
          <w:sz w:val="20"/>
          <w:szCs w:val="20"/>
        </w:rPr>
        <w:t xml:space="preserve">. Explicaron que </w:t>
      </w:r>
      <w:r w:rsidR="00DC1CFB">
        <w:rPr>
          <w:rFonts w:ascii="Verdana" w:hAnsi="Verdana" w:cs="Calibri"/>
          <w:sz w:val="20"/>
          <w:szCs w:val="20"/>
        </w:rPr>
        <w:t xml:space="preserve">ello </w:t>
      </w:r>
      <w:r w:rsidR="00BA560D" w:rsidRPr="00004D22">
        <w:rPr>
          <w:rFonts w:ascii="Verdana" w:hAnsi="Verdana" w:cs="Calibri"/>
          <w:sz w:val="20"/>
          <w:szCs w:val="20"/>
        </w:rPr>
        <w:t>se debe “en gran medida [a] las limitaciones que el proceso penal impone a las víctimas”.</w:t>
      </w:r>
      <w:r w:rsidR="00BA560D" w:rsidRPr="00004D22">
        <w:rPr>
          <w:rFonts w:ascii="Verdana" w:hAnsi="Verdana" w:cs="Calibri"/>
          <w:b/>
          <w:bCs/>
          <w:sz w:val="20"/>
          <w:szCs w:val="20"/>
        </w:rPr>
        <w:t xml:space="preserve"> </w:t>
      </w:r>
      <w:r w:rsidR="009A53D2" w:rsidRPr="007F1E15">
        <w:rPr>
          <w:rFonts w:ascii="Verdana" w:hAnsi="Verdana" w:cs="Calibri"/>
          <w:bCs/>
          <w:sz w:val="20"/>
          <w:szCs w:val="20"/>
        </w:rPr>
        <w:t xml:space="preserve">Al respecto, se solicita al Estado que se refiera al respecto, explicando cuáles son las limitaciones </w:t>
      </w:r>
      <w:r w:rsidR="007F1E15" w:rsidRPr="007F1E15">
        <w:rPr>
          <w:rFonts w:ascii="Verdana" w:hAnsi="Verdana" w:cs="Calibri"/>
          <w:bCs/>
          <w:sz w:val="20"/>
          <w:szCs w:val="20"/>
        </w:rPr>
        <w:t>en el conocimiento y participación efectiva que</w:t>
      </w:r>
      <w:r w:rsidR="009A53D2" w:rsidRPr="007F1E15">
        <w:rPr>
          <w:rFonts w:ascii="Verdana" w:hAnsi="Verdana" w:cs="Calibri"/>
          <w:bCs/>
          <w:sz w:val="20"/>
          <w:szCs w:val="20"/>
        </w:rPr>
        <w:t xml:space="preserve"> </w:t>
      </w:r>
      <w:r w:rsidR="00DC1CFB">
        <w:rPr>
          <w:rFonts w:ascii="Verdana" w:hAnsi="Verdana" w:cs="Calibri"/>
          <w:bCs/>
          <w:sz w:val="20"/>
          <w:szCs w:val="20"/>
        </w:rPr>
        <w:t xml:space="preserve">estaría </w:t>
      </w:r>
      <w:r w:rsidR="007F1E15" w:rsidRPr="007F1E15">
        <w:rPr>
          <w:rFonts w:ascii="Verdana" w:hAnsi="Verdana" w:cs="Calibri"/>
          <w:bCs/>
          <w:sz w:val="20"/>
          <w:szCs w:val="20"/>
        </w:rPr>
        <w:t>enfrentando la</w:t>
      </w:r>
      <w:r w:rsidR="009A53D2" w:rsidRPr="007F1E15">
        <w:rPr>
          <w:rFonts w:ascii="Verdana" w:hAnsi="Verdana" w:cs="Calibri"/>
          <w:bCs/>
          <w:sz w:val="20"/>
          <w:szCs w:val="20"/>
        </w:rPr>
        <w:t xml:space="preserve"> víctima</w:t>
      </w:r>
      <w:r w:rsidR="005775EA">
        <w:rPr>
          <w:rFonts w:ascii="Verdana" w:hAnsi="Verdana" w:cs="Calibri"/>
          <w:bCs/>
          <w:sz w:val="20"/>
          <w:szCs w:val="20"/>
        </w:rPr>
        <w:t xml:space="preserve"> Macarena Gelman</w:t>
      </w:r>
      <w:r w:rsidR="009A53D2" w:rsidRPr="007F1E15">
        <w:rPr>
          <w:rFonts w:ascii="Verdana" w:hAnsi="Verdana" w:cs="Calibri"/>
          <w:bCs/>
          <w:sz w:val="20"/>
          <w:szCs w:val="20"/>
        </w:rPr>
        <w:t xml:space="preserve"> </w:t>
      </w:r>
      <w:r w:rsidR="007F1E15" w:rsidRPr="007F1E15">
        <w:rPr>
          <w:rFonts w:ascii="Verdana" w:hAnsi="Verdana" w:cs="Calibri"/>
          <w:bCs/>
          <w:sz w:val="20"/>
          <w:szCs w:val="20"/>
        </w:rPr>
        <w:t>en el marco de las</w:t>
      </w:r>
      <w:r w:rsidR="007F1E15" w:rsidRPr="007B5E63">
        <w:rPr>
          <w:rFonts w:ascii="Verdana" w:hAnsi="Verdana" w:cs="Calibri"/>
          <w:bCs/>
          <w:sz w:val="20"/>
          <w:szCs w:val="20"/>
        </w:rPr>
        <w:t xml:space="preserve"> </w:t>
      </w:r>
      <w:r w:rsidR="00C879D2" w:rsidRPr="007F1E15">
        <w:rPr>
          <w:rFonts w:ascii="Verdana" w:hAnsi="Verdana" w:cs="Calibri"/>
          <w:sz w:val="20"/>
          <w:szCs w:val="20"/>
        </w:rPr>
        <w:t>actuaciones procesales que involucren las investigaciones de los hechos del presente caso.</w:t>
      </w:r>
    </w:p>
    <w:p w14:paraId="68315683" w14:textId="236D25F3" w:rsidR="00C879D2" w:rsidRPr="00B41FE2" w:rsidRDefault="00C879D2" w:rsidP="00C879D2">
      <w:pPr>
        <w:pStyle w:val="NormalWeb"/>
        <w:numPr>
          <w:ilvl w:val="0"/>
          <w:numId w:val="4"/>
        </w:numPr>
        <w:spacing w:before="120" w:after="120"/>
        <w:ind w:left="0" w:firstLine="0"/>
        <w:jc w:val="both"/>
        <w:rPr>
          <w:rFonts w:ascii="Verdana" w:hAnsi="Verdana" w:cs="Calibri"/>
          <w:sz w:val="20"/>
          <w:szCs w:val="20"/>
        </w:rPr>
      </w:pPr>
      <w:r w:rsidRPr="0029215C">
        <w:rPr>
          <w:rFonts w:ascii="Verdana" w:hAnsi="Verdana" w:cs="Calibri"/>
          <w:sz w:val="20"/>
          <w:szCs w:val="20"/>
        </w:rPr>
        <w:t>Aun cuando no se ha investigado todos los hechos del presente caso (</w:t>
      </w:r>
      <w:r w:rsidRPr="0029215C">
        <w:rPr>
          <w:rFonts w:ascii="Verdana" w:hAnsi="Verdana" w:cs="Calibri"/>
          <w:i/>
          <w:iCs/>
          <w:sz w:val="20"/>
          <w:szCs w:val="20"/>
        </w:rPr>
        <w:t>supra</w:t>
      </w:r>
      <w:r w:rsidRPr="00B41FE2">
        <w:rPr>
          <w:rFonts w:ascii="Verdana" w:hAnsi="Verdana" w:cs="Calibri"/>
          <w:sz w:val="20"/>
          <w:szCs w:val="20"/>
        </w:rPr>
        <w:t xml:space="preserve"> Considerando </w:t>
      </w:r>
      <w:r w:rsidR="005775EA" w:rsidRPr="00362BE8">
        <w:rPr>
          <w:rFonts w:ascii="Verdana" w:hAnsi="Verdana" w:cs="Calibri"/>
          <w:sz w:val="20"/>
          <w:szCs w:val="20"/>
        </w:rPr>
        <w:t xml:space="preserve">16), </w:t>
      </w:r>
      <w:r w:rsidRPr="000C7471">
        <w:rPr>
          <w:rFonts w:ascii="Verdana" w:hAnsi="Verdana" w:cs="Calibri"/>
          <w:sz w:val="20"/>
          <w:szCs w:val="20"/>
        </w:rPr>
        <w:t>la Corte</w:t>
      </w:r>
      <w:r w:rsidR="00CA3CF3" w:rsidRPr="000C7471">
        <w:rPr>
          <w:rFonts w:ascii="Verdana" w:hAnsi="Verdana" w:cs="Calibri"/>
          <w:sz w:val="20"/>
          <w:szCs w:val="20"/>
        </w:rPr>
        <w:t xml:space="preserve"> reitera que </w:t>
      </w:r>
      <w:r w:rsidR="006C4D03" w:rsidRPr="00D56006">
        <w:rPr>
          <w:rFonts w:ascii="Verdana" w:hAnsi="Verdana" w:cs="Calibri"/>
          <w:sz w:val="20"/>
          <w:szCs w:val="20"/>
        </w:rPr>
        <w:t>éste</w:t>
      </w:r>
      <w:r w:rsidR="00CA3CF3" w:rsidRPr="00B77ED0">
        <w:rPr>
          <w:rFonts w:ascii="Verdana" w:hAnsi="Verdana" w:cs="Calibri"/>
          <w:sz w:val="20"/>
          <w:szCs w:val="20"/>
        </w:rPr>
        <w:t xml:space="preserve"> ya no se encuentra en la situación de impunidad que imperó por décadas</w:t>
      </w:r>
      <w:r w:rsidR="005775EA" w:rsidRPr="00B77ED0">
        <w:rPr>
          <w:rFonts w:ascii="Verdana" w:hAnsi="Verdana" w:cs="Calibri"/>
          <w:sz w:val="20"/>
          <w:szCs w:val="20"/>
        </w:rPr>
        <w:t xml:space="preserve"> (</w:t>
      </w:r>
      <w:r w:rsidR="005775EA" w:rsidRPr="007B5E63">
        <w:rPr>
          <w:rFonts w:ascii="Verdana" w:hAnsi="Verdana" w:cs="Calibri"/>
          <w:i/>
          <w:sz w:val="20"/>
          <w:szCs w:val="20"/>
        </w:rPr>
        <w:t xml:space="preserve">supra </w:t>
      </w:r>
      <w:r w:rsidR="005775EA" w:rsidRPr="0029215C">
        <w:rPr>
          <w:rFonts w:ascii="Verdana" w:hAnsi="Verdana" w:cs="Calibri"/>
          <w:sz w:val="20"/>
          <w:szCs w:val="20"/>
        </w:rPr>
        <w:t>Considerandos</w:t>
      </w:r>
      <w:r w:rsidR="005775EA" w:rsidRPr="00B41FE2">
        <w:rPr>
          <w:rFonts w:ascii="Verdana" w:hAnsi="Verdana" w:cs="Calibri"/>
          <w:sz w:val="20"/>
          <w:szCs w:val="20"/>
        </w:rPr>
        <w:t xml:space="preserve"> 9 y 15)</w:t>
      </w:r>
      <w:r w:rsidR="00CA3CF3" w:rsidRPr="00D01830">
        <w:rPr>
          <w:rFonts w:ascii="Verdana" w:hAnsi="Verdana" w:cs="Calibri"/>
          <w:sz w:val="20"/>
          <w:szCs w:val="20"/>
        </w:rPr>
        <w:t xml:space="preserve">. Teniendo en cuenta </w:t>
      </w:r>
      <w:r w:rsidRPr="00362BE8">
        <w:rPr>
          <w:rFonts w:ascii="Verdana" w:hAnsi="Verdana" w:cs="Calibri"/>
          <w:sz w:val="20"/>
          <w:szCs w:val="20"/>
        </w:rPr>
        <w:t xml:space="preserve">la determinación de responsabilidad penal y condena de </w:t>
      </w:r>
      <w:r w:rsidR="00F8644E" w:rsidRPr="00362BE8">
        <w:rPr>
          <w:rFonts w:ascii="Verdana" w:hAnsi="Verdana" w:cs="Calibri"/>
          <w:sz w:val="20"/>
          <w:szCs w:val="20"/>
        </w:rPr>
        <w:t xml:space="preserve">cinco </w:t>
      </w:r>
      <w:r w:rsidRPr="000C7471">
        <w:rPr>
          <w:rFonts w:ascii="Verdana" w:hAnsi="Verdana" w:cs="Calibri"/>
          <w:sz w:val="20"/>
          <w:szCs w:val="20"/>
        </w:rPr>
        <w:t>militares en relación con los hechos ocurridos a María Claudia García Iruretagoyena</w:t>
      </w:r>
      <w:r w:rsidR="00CA3CF3" w:rsidRPr="00D56006">
        <w:rPr>
          <w:rFonts w:ascii="Verdana" w:hAnsi="Verdana" w:cs="Calibri"/>
          <w:sz w:val="20"/>
          <w:szCs w:val="20"/>
        </w:rPr>
        <w:t xml:space="preserve">, este Tribunal considera que el Estado ha dado cumplimiento parcial a la medida de reparación ordenada en el punto resolutivo noveno de la Sentencia, relativa a </w:t>
      </w:r>
      <w:r w:rsidR="00CA3CF3" w:rsidRPr="0058289D">
        <w:rPr>
          <w:rFonts w:ascii="Verdana" w:hAnsi="Verdana" w:cs="Calibri"/>
          <w:color w:val="000000"/>
          <w:sz w:val="20"/>
          <w:szCs w:val="20"/>
        </w:rPr>
        <w:t>conducir y llevar a término la investigación de los hechos del presente caso.</w:t>
      </w:r>
      <w:r w:rsidR="00505DA7" w:rsidRPr="0058289D">
        <w:rPr>
          <w:rFonts w:ascii="Verdana" w:hAnsi="Verdana" w:cs="Calibri"/>
          <w:sz w:val="20"/>
          <w:szCs w:val="20"/>
        </w:rPr>
        <w:t xml:space="preserve"> </w:t>
      </w:r>
      <w:r w:rsidRPr="0058289D">
        <w:rPr>
          <w:rFonts w:ascii="Verdana" w:hAnsi="Verdana"/>
          <w:sz w:val="20"/>
          <w:szCs w:val="20"/>
        </w:rPr>
        <w:t xml:space="preserve">A fin de continuar valorando su implementación, se requiere al Estado que presente información actualizada y detallada, que tome en cuenta lo indicado en los Considerandos </w:t>
      </w:r>
      <w:r w:rsidR="00F10C51" w:rsidRPr="007B5E63">
        <w:rPr>
          <w:rFonts w:ascii="Verdana" w:hAnsi="Verdana"/>
          <w:sz w:val="20"/>
          <w:szCs w:val="20"/>
        </w:rPr>
        <w:t>9, 17, 18 y 19</w:t>
      </w:r>
      <w:r w:rsidR="00F10C51" w:rsidRPr="0029215C">
        <w:rPr>
          <w:rFonts w:ascii="Verdana" w:hAnsi="Verdana"/>
          <w:sz w:val="20"/>
          <w:szCs w:val="20"/>
        </w:rPr>
        <w:t xml:space="preserve"> </w:t>
      </w:r>
      <w:r w:rsidRPr="0029215C">
        <w:rPr>
          <w:rFonts w:ascii="Verdana" w:hAnsi="Verdana"/>
          <w:sz w:val="20"/>
          <w:szCs w:val="20"/>
        </w:rPr>
        <w:t>de la presente Resolución.</w:t>
      </w:r>
    </w:p>
    <w:p w14:paraId="629F4132" w14:textId="77777777" w:rsidR="00B41FE2" w:rsidRPr="00B41FE2" w:rsidRDefault="00B41FE2" w:rsidP="007B5E63">
      <w:pPr>
        <w:pStyle w:val="NormalWeb"/>
        <w:spacing w:before="120" w:after="120"/>
        <w:jc w:val="both"/>
        <w:rPr>
          <w:rFonts w:ascii="Verdana" w:hAnsi="Verdana" w:cs="Calibri"/>
          <w:sz w:val="20"/>
          <w:szCs w:val="20"/>
        </w:rPr>
      </w:pPr>
    </w:p>
    <w:p w14:paraId="0A9C9F62" w14:textId="2E84AA60" w:rsidR="005A64AA" w:rsidRPr="006C4D03" w:rsidRDefault="005A64AA" w:rsidP="00E87B29">
      <w:pPr>
        <w:pStyle w:val="NormalWeb"/>
        <w:numPr>
          <w:ilvl w:val="0"/>
          <w:numId w:val="5"/>
        </w:numPr>
        <w:tabs>
          <w:tab w:val="left" w:pos="1134"/>
        </w:tabs>
        <w:spacing w:before="120" w:after="120"/>
        <w:jc w:val="both"/>
        <w:outlineLvl w:val="0"/>
        <w:rPr>
          <w:rFonts w:ascii="Verdana" w:hAnsi="Verdana"/>
          <w:b/>
          <w:i/>
          <w:sz w:val="20"/>
        </w:rPr>
      </w:pPr>
      <w:bookmarkStart w:id="2" w:name="_Toc51857567"/>
      <w:r w:rsidRPr="006C4D03">
        <w:rPr>
          <w:rFonts w:ascii="Verdana" w:hAnsi="Verdana"/>
          <w:b/>
          <w:i/>
          <w:sz w:val="20"/>
        </w:rPr>
        <w:t>Garantizar que la Ley de Caducidad de la Pretensión Punitiva del Estado no vuelva a representar un obstáculo</w:t>
      </w:r>
      <w:bookmarkEnd w:id="2"/>
      <w:r w:rsidR="001873B2" w:rsidRPr="006C4D03">
        <w:rPr>
          <w:rFonts w:ascii="Verdana" w:hAnsi="Verdana"/>
          <w:b/>
          <w:i/>
          <w:sz w:val="20"/>
        </w:rPr>
        <w:t xml:space="preserve"> </w:t>
      </w:r>
    </w:p>
    <w:p w14:paraId="3DD23537" w14:textId="18928408" w:rsidR="005A64AA" w:rsidRPr="005A64AA" w:rsidRDefault="005A64AA" w:rsidP="001E2F0B">
      <w:pPr>
        <w:pStyle w:val="NormalWeb"/>
        <w:spacing w:before="120" w:after="120"/>
        <w:ind w:left="851"/>
        <w:jc w:val="both"/>
        <w:rPr>
          <w:rFonts w:ascii="Verdana" w:hAnsi="Verdana" w:cs="Calibri"/>
          <w:b/>
          <w:i/>
          <w:color w:val="000000"/>
          <w:sz w:val="20"/>
          <w:szCs w:val="20"/>
        </w:rPr>
      </w:pPr>
      <w:bookmarkStart w:id="3" w:name="_Toc51266023"/>
      <w:r>
        <w:rPr>
          <w:rFonts w:ascii="Verdana" w:hAnsi="Verdana" w:cs="Calibri"/>
          <w:i/>
          <w:color w:val="000000"/>
          <w:sz w:val="20"/>
          <w:szCs w:val="20"/>
        </w:rPr>
        <w:t>B</w:t>
      </w:r>
      <w:r w:rsidRPr="005A64AA">
        <w:rPr>
          <w:rFonts w:ascii="Verdana" w:hAnsi="Verdana" w:cs="Calibri"/>
          <w:i/>
          <w:color w:val="000000"/>
          <w:sz w:val="20"/>
          <w:szCs w:val="20"/>
        </w:rPr>
        <w:t xml:space="preserve">.1. </w:t>
      </w:r>
      <w:r w:rsidRPr="005A64AA">
        <w:rPr>
          <w:rFonts w:ascii="Verdana" w:hAnsi="Verdana"/>
          <w:i/>
          <w:sz w:val="20"/>
          <w:szCs w:val="20"/>
        </w:rPr>
        <w:t>Medida ordenada por la Corte y supervisión realizada en resolución anterior</w:t>
      </w:r>
      <w:bookmarkEnd w:id="3"/>
    </w:p>
    <w:p w14:paraId="5ACAF22F" w14:textId="4E3C0E84" w:rsidR="005A64AA" w:rsidRDefault="00730789" w:rsidP="001E2F0B">
      <w:pPr>
        <w:pStyle w:val="NormalWeb"/>
        <w:numPr>
          <w:ilvl w:val="0"/>
          <w:numId w:val="4"/>
        </w:numPr>
        <w:spacing w:before="120" w:after="120"/>
        <w:ind w:left="0" w:firstLine="0"/>
        <w:jc w:val="both"/>
        <w:rPr>
          <w:rFonts w:ascii="Verdana" w:hAnsi="Verdana" w:cs="Calibri"/>
          <w:color w:val="000000"/>
          <w:sz w:val="20"/>
          <w:szCs w:val="20"/>
        </w:rPr>
      </w:pPr>
      <w:r>
        <w:rPr>
          <w:rFonts w:ascii="Verdana" w:hAnsi="Verdana" w:cs="Calibri"/>
          <w:color w:val="000000"/>
          <w:sz w:val="20"/>
          <w:szCs w:val="20"/>
        </w:rPr>
        <w:t>E</w:t>
      </w:r>
      <w:r w:rsidR="005A64AA">
        <w:rPr>
          <w:rFonts w:ascii="Verdana" w:hAnsi="Verdana" w:cs="Calibri"/>
          <w:color w:val="000000"/>
          <w:sz w:val="20"/>
          <w:szCs w:val="20"/>
        </w:rPr>
        <w:t xml:space="preserve">n el punto resolutivo décimo primero y los párrafos 253 y 254 de la Sentencia, se estableció que “dado que la Ley de Caducidad </w:t>
      </w:r>
      <w:r w:rsidR="00EE7035" w:rsidRPr="00EE7035">
        <w:rPr>
          <w:rFonts w:ascii="Verdana" w:hAnsi="Verdana" w:cs="Calibri"/>
          <w:color w:val="000000"/>
          <w:sz w:val="20"/>
          <w:szCs w:val="20"/>
        </w:rPr>
        <w:t>[</w:t>
      </w:r>
      <w:r w:rsidR="00EE7035" w:rsidRPr="007B5E63">
        <w:rPr>
          <w:rFonts w:ascii="Verdana" w:hAnsi="Verdana"/>
          <w:sz w:val="20"/>
          <w:szCs w:val="20"/>
        </w:rPr>
        <w:t>de la Pretensión Punitiva del Estado</w:t>
      </w:r>
      <w:r w:rsidR="00EE7035" w:rsidRPr="00EE7035">
        <w:rPr>
          <w:rFonts w:ascii="Verdana" w:eastAsia="Times New Roman" w:hAnsi="Verdana"/>
          <w:color w:val="000000"/>
          <w:sz w:val="20"/>
          <w:szCs w:val="20"/>
        </w:rPr>
        <w:t xml:space="preserve"> </w:t>
      </w:r>
      <w:r w:rsidR="00EE7035" w:rsidRPr="00362BE8">
        <w:rPr>
          <w:rFonts w:ascii="Verdana" w:eastAsia="Times New Roman" w:hAnsi="Verdana"/>
          <w:color w:val="000000"/>
          <w:sz w:val="20"/>
          <w:szCs w:val="20"/>
        </w:rPr>
        <w:t>(Ley N</w:t>
      </w:r>
      <w:r w:rsidR="00EE7035" w:rsidRPr="000C7471">
        <w:rPr>
          <w:rFonts w:ascii="Verdana" w:eastAsia="Times New Roman" w:hAnsi="Verdana"/>
          <w:color w:val="000000"/>
          <w:sz w:val="20"/>
          <w:szCs w:val="20"/>
        </w:rPr>
        <w:t>o. 15.848</w:t>
      </w:r>
      <w:r w:rsidR="00EE7035" w:rsidRPr="00D56006">
        <w:rPr>
          <w:rFonts w:ascii="Verdana" w:eastAsia="Times New Roman" w:hAnsi="Verdana"/>
          <w:color w:val="000000"/>
          <w:sz w:val="20"/>
          <w:szCs w:val="20"/>
        </w:rPr>
        <w:t>) de</w:t>
      </w:r>
      <w:r w:rsidR="00EE7035" w:rsidRPr="00B77ED0">
        <w:rPr>
          <w:rFonts w:ascii="Verdana" w:eastAsia="Times New Roman" w:hAnsi="Verdana"/>
          <w:color w:val="000000"/>
          <w:sz w:val="20"/>
          <w:szCs w:val="20"/>
        </w:rPr>
        <w:t xml:space="preserve"> 1986,]</w:t>
      </w:r>
      <w:r w:rsidR="00EE7035" w:rsidRPr="007916A6">
        <w:rPr>
          <w:rFonts w:ascii="Verdana" w:eastAsia="Times New Roman" w:hAnsi="Verdana"/>
          <w:color w:val="000000"/>
          <w:sz w:val="20"/>
          <w:szCs w:val="20"/>
        </w:rPr>
        <w:t xml:space="preserve"> </w:t>
      </w:r>
      <w:r w:rsidR="005A64AA">
        <w:rPr>
          <w:rFonts w:ascii="Verdana" w:hAnsi="Verdana" w:cs="Calibri"/>
          <w:color w:val="000000"/>
          <w:sz w:val="20"/>
          <w:szCs w:val="20"/>
        </w:rPr>
        <w:t xml:space="preserve">carece de efectos por su incompatibilidad con la Convención Americana y la Convención Interamericana sobre Desaparición Forzada de Personas, en cuanto puede impedir la investigación y eventual sanción de los responsables de graves violaciones de derechos humanos, el Estado deberá asegurar que aquella no vuelva a representar un obstáculo para la investigación de los hechos materia del presente </w:t>
      </w:r>
      <w:r w:rsidR="00D01830">
        <w:rPr>
          <w:rFonts w:ascii="Verdana" w:hAnsi="Verdana" w:cs="Calibri"/>
          <w:color w:val="000000"/>
          <w:sz w:val="20"/>
          <w:szCs w:val="20"/>
        </w:rPr>
        <w:t xml:space="preserve">caso </w:t>
      </w:r>
      <w:r w:rsidR="005A64AA">
        <w:rPr>
          <w:rFonts w:ascii="Verdana" w:hAnsi="Verdana" w:cs="Calibri"/>
          <w:color w:val="000000"/>
          <w:sz w:val="20"/>
          <w:szCs w:val="20"/>
        </w:rPr>
        <w:t>ni para la identificación y, si procede, sanción de los responsables de los mismos y de otras graves violaciones de derechos humanos similares acontecidas en Uruguay”</w:t>
      </w:r>
      <w:r>
        <w:rPr>
          <w:rFonts w:ascii="Verdana" w:hAnsi="Verdana" w:cs="Calibri"/>
          <w:color w:val="000000"/>
          <w:sz w:val="20"/>
          <w:szCs w:val="20"/>
        </w:rPr>
        <w:t xml:space="preserve">. </w:t>
      </w:r>
      <w:r w:rsidRPr="00730789">
        <w:rPr>
          <w:rFonts w:ascii="Verdana" w:hAnsi="Verdana" w:cs="Calibri"/>
          <w:color w:val="000000"/>
          <w:sz w:val="20"/>
          <w:szCs w:val="20"/>
        </w:rPr>
        <w:t xml:space="preserve">Asimismo, </w:t>
      </w:r>
      <w:r w:rsidR="004E55EA">
        <w:rPr>
          <w:rFonts w:ascii="Verdana" w:hAnsi="Verdana" w:cs="Calibri"/>
          <w:color w:val="000000"/>
          <w:sz w:val="20"/>
          <w:szCs w:val="20"/>
        </w:rPr>
        <w:t>indicó</w:t>
      </w:r>
      <w:r w:rsidRPr="00730789">
        <w:rPr>
          <w:rFonts w:ascii="Verdana" w:hAnsi="Verdana" w:cs="Calibri"/>
          <w:color w:val="000000"/>
          <w:sz w:val="20"/>
          <w:szCs w:val="20"/>
        </w:rPr>
        <w:t xml:space="preserve"> que</w:t>
      </w:r>
      <w:r w:rsidR="000D5745">
        <w:rPr>
          <w:rFonts w:ascii="Verdana" w:hAnsi="Verdana" w:cs="Calibri"/>
          <w:color w:val="000000"/>
          <w:sz w:val="20"/>
          <w:szCs w:val="20"/>
        </w:rPr>
        <w:t>,</w:t>
      </w:r>
      <w:r w:rsidRPr="00730789">
        <w:rPr>
          <w:rFonts w:ascii="Verdana" w:hAnsi="Verdana" w:cs="Calibri"/>
          <w:color w:val="000000"/>
          <w:sz w:val="20"/>
          <w:szCs w:val="20"/>
        </w:rPr>
        <w:t xml:space="preserve"> “[e]n consecuencia, el Estado debe disponer que ninguna otra norma análoga, como prescripción, irretroactividad de la ley penal, cosa juzgada, </w:t>
      </w:r>
      <w:proofErr w:type="spellStart"/>
      <w:r w:rsidRPr="00730789">
        <w:rPr>
          <w:rFonts w:ascii="Verdana" w:hAnsi="Verdana" w:cs="Calibri"/>
          <w:i/>
          <w:iCs/>
          <w:color w:val="000000"/>
          <w:sz w:val="20"/>
          <w:szCs w:val="20"/>
        </w:rPr>
        <w:t>ne</w:t>
      </w:r>
      <w:proofErr w:type="spellEnd"/>
      <w:r w:rsidRPr="00730789">
        <w:rPr>
          <w:rFonts w:ascii="Verdana" w:hAnsi="Verdana" w:cs="Calibri"/>
          <w:i/>
          <w:iCs/>
          <w:color w:val="000000"/>
          <w:sz w:val="20"/>
          <w:szCs w:val="20"/>
        </w:rPr>
        <w:t xml:space="preserve"> bis in </w:t>
      </w:r>
      <w:proofErr w:type="spellStart"/>
      <w:r w:rsidRPr="00730789">
        <w:rPr>
          <w:rFonts w:ascii="Verdana" w:hAnsi="Verdana" w:cs="Calibri"/>
          <w:i/>
          <w:iCs/>
          <w:color w:val="000000"/>
          <w:sz w:val="20"/>
          <w:szCs w:val="20"/>
        </w:rPr>
        <w:t>idem</w:t>
      </w:r>
      <w:proofErr w:type="spellEnd"/>
      <w:r w:rsidRPr="00730789">
        <w:rPr>
          <w:rFonts w:ascii="Verdana" w:hAnsi="Verdana" w:cs="Calibri"/>
          <w:color w:val="000000"/>
          <w:sz w:val="20"/>
          <w:szCs w:val="20"/>
        </w:rPr>
        <w:t xml:space="preserve"> o cualquier excluyente similar de responsabilidad, sea aplicada y que las autoridades se abstengan de realizar actos que impliquen la obstrucción del proceso investigativo”</w:t>
      </w:r>
      <w:r w:rsidR="005A64AA" w:rsidRPr="00730789">
        <w:rPr>
          <w:rFonts w:ascii="Verdana" w:hAnsi="Verdana" w:cs="Calibri"/>
          <w:color w:val="000000"/>
          <w:sz w:val="20"/>
          <w:szCs w:val="20"/>
        </w:rPr>
        <w:t>.</w:t>
      </w:r>
      <w:r w:rsidR="005A64AA">
        <w:rPr>
          <w:rFonts w:ascii="Verdana" w:hAnsi="Verdana" w:cs="Calibri"/>
          <w:color w:val="000000"/>
          <w:sz w:val="20"/>
          <w:szCs w:val="20"/>
        </w:rPr>
        <w:t xml:space="preserve"> </w:t>
      </w:r>
    </w:p>
    <w:p w14:paraId="7C1168B9" w14:textId="3CC70CE5" w:rsidR="007916A6" w:rsidRPr="007916A6" w:rsidRDefault="007916A6" w:rsidP="001E2F0B">
      <w:pPr>
        <w:pStyle w:val="NormalWeb"/>
        <w:numPr>
          <w:ilvl w:val="0"/>
          <w:numId w:val="4"/>
        </w:numPr>
        <w:spacing w:before="120" w:after="120"/>
        <w:ind w:left="0" w:firstLine="0"/>
        <w:jc w:val="both"/>
        <w:rPr>
          <w:rFonts w:ascii="Verdana" w:hAnsi="Verdana" w:cs="Calibri"/>
          <w:color w:val="000000"/>
          <w:sz w:val="20"/>
          <w:szCs w:val="20"/>
        </w:rPr>
      </w:pPr>
      <w:r w:rsidRPr="007916A6">
        <w:rPr>
          <w:rFonts w:ascii="Verdana" w:eastAsia="Times New Roman" w:hAnsi="Verdana"/>
          <w:color w:val="000000"/>
          <w:sz w:val="20"/>
          <w:szCs w:val="20"/>
        </w:rPr>
        <w:t xml:space="preserve">En la Resolución de marzo de 2013, la Corte observó que Uruguay “había dado pasos concretos y claros hacia el cumplimiento de la Sentencia […], en particular mediante la expedición del Decreto </w:t>
      </w:r>
      <w:r w:rsidRPr="007916A6">
        <w:rPr>
          <w:rFonts w:ascii="Verdana" w:hAnsi="Verdana"/>
          <w:sz w:val="20"/>
          <w:szCs w:val="20"/>
        </w:rPr>
        <w:t>323 de 30 de junio de 2011</w:t>
      </w:r>
      <w:r w:rsidR="00730789" w:rsidRPr="00AB0EA9">
        <w:rPr>
          <w:rStyle w:val="Refdenotaalpie"/>
          <w:rFonts w:ascii="Verdana" w:eastAsia="Times New Roman" w:hAnsi="Verdana"/>
          <w:color w:val="000000"/>
          <w:sz w:val="20"/>
          <w:szCs w:val="20"/>
        </w:rPr>
        <w:footnoteReference w:id="37"/>
      </w:r>
      <w:r w:rsidRPr="007916A6">
        <w:rPr>
          <w:rFonts w:ascii="Verdana" w:hAnsi="Verdana"/>
          <w:sz w:val="20"/>
          <w:szCs w:val="20"/>
        </w:rPr>
        <w:t xml:space="preserve"> y de la Ley 18.831 de </w:t>
      </w:r>
      <w:r w:rsidRPr="007916A6">
        <w:rPr>
          <w:rFonts w:ascii="Verdana" w:hAnsi="Verdana"/>
          <w:sz w:val="20"/>
          <w:szCs w:val="20"/>
        </w:rPr>
        <w:lastRenderedPageBreak/>
        <w:t>27 de octubre de 2011”</w:t>
      </w:r>
      <w:r w:rsidR="0080375A">
        <w:rPr>
          <w:rFonts w:ascii="Verdana" w:hAnsi="Verdana"/>
          <w:sz w:val="20"/>
          <w:szCs w:val="20"/>
        </w:rPr>
        <w:t>,</w:t>
      </w:r>
      <w:r w:rsidRPr="007916A6">
        <w:rPr>
          <w:rFonts w:ascii="Verdana" w:eastAsia="Times New Roman" w:hAnsi="Verdana"/>
          <w:color w:val="000000"/>
          <w:sz w:val="20"/>
          <w:szCs w:val="20"/>
        </w:rPr>
        <w:t xml:space="preserve"> </w:t>
      </w:r>
      <w:r w:rsidR="004E55EA">
        <w:rPr>
          <w:rFonts w:ascii="Verdana" w:eastAsia="Times New Roman" w:hAnsi="Verdana"/>
          <w:color w:val="000000"/>
          <w:sz w:val="20"/>
          <w:szCs w:val="20"/>
        </w:rPr>
        <w:t>denominada</w:t>
      </w:r>
      <w:r w:rsidRPr="007916A6">
        <w:rPr>
          <w:rFonts w:ascii="Verdana" w:eastAsia="Times New Roman" w:hAnsi="Verdana"/>
          <w:color w:val="000000"/>
          <w:sz w:val="20"/>
          <w:szCs w:val="20"/>
        </w:rPr>
        <w:t xml:space="preserve"> </w:t>
      </w:r>
      <w:r w:rsidRPr="007916A6">
        <w:rPr>
          <w:rFonts w:ascii="Verdana" w:eastAsia="Times New Roman" w:hAnsi="Verdana"/>
          <w:i/>
          <w:iCs/>
          <w:color w:val="000000"/>
          <w:sz w:val="20"/>
          <w:szCs w:val="20"/>
        </w:rPr>
        <w:t>“Pretensión Punitiva del Estado: Restablecimiento para los delitos cometidos en aplicación del terrorismo de Estado hasta el 1° marzo de 1985”</w:t>
      </w:r>
      <w:r w:rsidRPr="007916A6">
        <w:rPr>
          <w:rFonts w:ascii="Verdana" w:hAnsi="Verdana"/>
          <w:sz w:val="20"/>
          <w:szCs w:val="20"/>
        </w:rPr>
        <w:t xml:space="preserve">. </w:t>
      </w:r>
      <w:r w:rsidR="004E55EA">
        <w:rPr>
          <w:rFonts w:ascii="Verdana" w:hAnsi="Verdana"/>
          <w:sz w:val="20"/>
          <w:szCs w:val="20"/>
        </w:rPr>
        <w:t xml:space="preserve">Asimismo, reconoció que </w:t>
      </w:r>
      <w:r w:rsidR="004E55EA">
        <w:rPr>
          <w:rFonts w:ascii="Verdana" w:eastAsia="Times New Roman" w:hAnsi="Verdana"/>
          <w:color w:val="000000"/>
          <w:sz w:val="20"/>
          <w:szCs w:val="20"/>
        </w:rPr>
        <w:t>c</w:t>
      </w:r>
      <w:r w:rsidR="00730789">
        <w:rPr>
          <w:rFonts w:ascii="Verdana" w:eastAsia="Times New Roman" w:hAnsi="Verdana"/>
          <w:color w:val="000000"/>
          <w:sz w:val="20"/>
          <w:szCs w:val="20"/>
        </w:rPr>
        <w:t xml:space="preserve">on dicha ley </w:t>
      </w:r>
      <w:r w:rsidRPr="007916A6">
        <w:rPr>
          <w:rFonts w:ascii="Verdana" w:eastAsia="Times New Roman" w:hAnsi="Verdana"/>
          <w:color w:val="000000"/>
          <w:sz w:val="20"/>
          <w:szCs w:val="20"/>
        </w:rPr>
        <w:t>se “estaría dejando sin efectos la Ley de Caducidad (Ley 15.848) y, a la vez, allanaría la vía de las investigaciones al superar el tema de la supuesta aplicabilidad de la prescripción en causas abiertas respecto de graves violaciones a derechos humanos”</w:t>
      </w:r>
      <w:r w:rsidRPr="00AB0EA9">
        <w:rPr>
          <w:rStyle w:val="Refdenotaalpie"/>
          <w:rFonts w:ascii="Verdana" w:eastAsia="Times New Roman" w:hAnsi="Verdana"/>
          <w:color w:val="000000"/>
          <w:sz w:val="20"/>
          <w:szCs w:val="20"/>
        </w:rPr>
        <w:footnoteReference w:id="38"/>
      </w:r>
      <w:r w:rsidRPr="007916A6">
        <w:rPr>
          <w:rFonts w:ascii="Verdana" w:eastAsia="Times New Roman" w:hAnsi="Verdana"/>
          <w:color w:val="000000"/>
          <w:sz w:val="20"/>
          <w:szCs w:val="20"/>
        </w:rPr>
        <w:t>.</w:t>
      </w:r>
    </w:p>
    <w:p w14:paraId="2A3C11C0" w14:textId="39DADD07" w:rsidR="00705440" w:rsidRDefault="007916A6" w:rsidP="00705440">
      <w:pPr>
        <w:pStyle w:val="NormalWeb"/>
        <w:numPr>
          <w:ilvl w:val="0"/>
          <w:numId w:val="4"/>
        </w:numPr>
        <w:spacing w:before="120" w:after="120"/>
        <w:ind w:left="0" w:firstLine="0"/>
        <w:jc w:val="both"/>
        <w:rPr>
          <w:rFonts w:ascii="Verdana" w:eastAsia="Times New Roman" w:hAnsi="Verdana"/>
          <w:sz w:val="20"/>
          <w:szCs w:val="20"/>
        </w:rPr>
      </w:pPr>
      <w:r w:rsidRPr="00AB0EA9">
        <w:rPr>
          <w:rFonts w:ascii="Verdana" w:eastAsia="Times New Roman" w:hAnsi="Verdana"/>
          <w:sz w:val="20"/>
          <w:szCs w:val="20"/>
        </w:rPr>
        <w:t>No obstante lo anterior, la Corte constató que</w:t>
      </w:r>
      <w:r w:rsidR="004E55EA">
        <w:rPr>
          <w:rFonts w:ascii="Verdana" w:eastAsia="Times New Roman" w:hAnsi="Verdana"/>
          <w:sz w:val="20"/>
          <w:szCs w:val="20"/>
        </w:rPr>
        <w:t>,</w:t>
      </w:r>
      <w:r w:rsidR="0080375A">
        <w:rPr>
          <w:rFonts w:ascii="Verdana" w:eastAsia="Times New Roman" w:hAnsi="Verdana"/>
          <w:sz w:val="20"/>
          <w:szCs w:val="20"/>
        </w:rPr>
        <w:t xml:space="preserve"> en</w:t>
      </w:r>
      <w:r w:rsidRPr="00AB0EA9">
        <w:rPr>
          <w:rFonts w:ascii="Verdana" w:eastAsia="Times New Roman" w:hAnsi="Verdana"/>
          <w:sz w:val="20"/>
          <w:szCs w:val="20"/>
        </w:rPr>
        <w:t xml:space="preserve"> una decisión emitida el 20 de febrero de 2013</w:t>
      </w:r>
      <w:r w:rsidR="000D5745">
        <w:rPr>
          <w:rFonts w:ascii="Verdana" w:eastAsia="Times New Roman" w:hAnsi="Verdana"/>
          <w:sz w:val="20"/>
          <w:szCs w:val="20"/>
        </w:rPr>
        <w:t>,</w:t>
      </w:r>
      <w:r w:rsidRPr="00AB0EA9">
        <w:rPr>
          <w:rFonts w:ascii="Verdana" w:eastAsia="Times New Roman" w:hAnsi="Verdana"/>
          <w:sz w:val="20"/>
          <w:szCs w:val="20"/>
        </w:rPr>
        <w:t xml:space="preserve"> la Suprema</w:t>
      </w:r>
      <w:r w:rsidR="00705440">
        <w:rPr>
          <w:rFonts w:ascii="Verdana" w:eastAsia="Times New Roman" w:hAnsi="Verdana"/>
          <w:sz w:val="20"/>
          <w:szCs w:val="20"/>
        </w:rPr>
        <w:t xml:space="preserve"> Corte</w:t>
      </w:r>
      <w:r w:rsidRPr="00AB0EA9">
        <w:rPr>
          <w:rFonts w:ascii="Verdana" w:eastAsia="Times New Roman" w:hAnsi="Verdana"/>
          <w:sz w:val="20"/>
          <w:szCs w:val="20"/>
        </w:rPr>
        <w:t xml:space="preserve"> de Justicia de Uruguay </w:t>
      </w:r>
      <w:r w:rsidRPr="00AB0EA9">
        <w:rPr>
          <w:rFonts w:ascii="Verdana" w:hAnsi="Verdana"/>
          <w:sz w:val="20"/>
          <w:szCs w:val="20"/>
        </w:rPr>
        <w:t>-actuando como contralor de constitucionalidad-</w:t>
      </w:r>
      <w:r w:rsidRPr="00AB0EA9">
        <w:rPr>
          <w:rFonts w:ascii="Verdana" w:eastAsia="Times New Roman" w:hAnsi="Verdana"/>
          <w:sz w:val="20"/>
          <w:szCs w:val="20"/>
        </w:rPr>
        <w:t xml:space="preserve"> en otro caso que también se refería a desapariciones forzadas, realizó una serie de reflexiones que, por la manera en que estaban expuestas</w:t>
      </w:r>
      <w:r w:rsidR="004E55EA">
        <w:rPr>
          <w:rFonts w:ascii="Verdana" w:eastAsia="Times New Roman" w:hAnsi="Verdana"/>
          <w:sz w:val="20"/>
          <w:szCs w:val="20"/>
        </w:rPr>
        <w:t>,</w:t>
      </w:r>
      <w:r w:rsidRPr="00AB0EA9">
        <w:rPr>
          <w:rFonts w:ascii="Verdana" w:eastAsia="Times New Roman" w:hAnsi="Verdana"/>
          <w:sz w:val="20"/>
          <w:szCs w:val="20"/>
        </w:rPr>
        <w:t xml:space="preserve"> constituían </w:t>
      </w:r>
      <w:r w:rsidRPr="00AB0EA9">
        <w:rPr>
          <w:rFonts w:ascii="Verdana" w:eastAsia="Times New Roman" w:hAnsi="Verdana"/>
          <w:color w:val="000000"/>
          <w:sz w:val="20"/>
          <w:szCs w:val="20"/>
        </w:rPr>
        <w:t xml:space="preserve">un obstáculo para el pleno cumplimiento de la misma y </w:t>
      </w:r>
      <w:r w:rsidR="00705440">
        <w:rPr>
          <w:rFonts w:ascii="Verdana" w:eastAsia="Times New Roman" w:hAnsi="Verdana"/>
          <w:color w:val="000000"/>
          <w:sz w:val="20"/>
          <w:szCs w:val="20"/>
        </w:rPr>
        <w:t xml:space="preserve">podían </w:t>
      </w:r>
      <w:r w:rsidRPr="00AB0EA9">
        <w:rPr>
          <w:rFonts w:ascii="Verdana" w:eastAsia="Times New Roman" w:hAnsi="Verdana"/>
          <w:color w:val="000000"/>
          <w:sz w:val="20"/>
          <w:szCs w:val="20"/>
        </w:rPr>
        <w:t xml:space="preserve">producir un quebrantamiento </w:t>
      </w:r>
      <w:r w:rsidR="00705440">
        <w:rPr>
          <w:rFonts w:ascii="Verdana" w:eastAsia="Times New Roman" w:hAnsi="Verdana"/>
          <w:color w:val="000000"/>
          <w:sz w:val="20"/>
          <w:szCs w:val="20"/>
        </w:rPr>
        <w:t>en el</w:t>
      </w:r>
      <w:r w:rsidRPr="00AB0EA9">
        <w:rPr>
          <w:rFonts w:ascii="Verdana" w:eastAsia="Times New Roman" w:hAnsi="Verdana"/>
          <w:color w:val="000000"/>
          <w:sz w:val="20"/>
          <w:szCs w:val="20"/>
        </w:rPr>
        <w:t xml:space="preserve"> acceso a la justicia de las víctimas de graves violaciones de derechos humanos que se encuentran amparadas por una sentencia de la Corte Interamericana. En esa decisión, la Suprema </w:t>
      </w:r>
      <w:r w:rsidR="00705440">
        <w:rPr>
          <w:rFonts w:ascii="Verdana" w:eastAsia="Times New Roman" w:hAnsi="Verdana"/>
          <w:color w:val="000000"/>
          <w:sz w:val="20"/>
          <w:szCs w:val="20"/>
        </w:rPr>
        <w:t xml:space="preserve">Corte </w:t>
      </w:r>
      <w:r w:rsidRPr="00AB0EA9">
        <w:rPr>
          <w:rFonts w:ascii="Verdana" w:eastAsia="Times New Roman" w:hAnsi="Verdana"/>
          <w:color w:val="000000"/>
          <w:sz w:val="20"/>
          <w:szCs w:val="20"/>
        </w:rPr>
        <w:t>de Justicia</w:t>
      </w:r>
      <w:r w:rsidRPr="00AB0EA9">
        <w:rPr>
          <w:rFonts w:ascii="Verdana" w:eastAsia="Times New Roman" w:hAnsi="Verdana"/>
          <w:sz w:val="20"/>
          <w:szCs w:val="20"/>
        </w:rPr>
        <w:t xml:space="preserve"> hizo lugar parcialmente a una excepción de inconstitucionalidad planteada por los imputados y “</w:t>
      </w:r>
      <w:r w:rsidR="0080375A">
        <w:rPr>
          <w:rFonts w:ascii="Verdana" w:eastAsia="Times New Roman" w:hAnsi="Verdana"/>
          <w:sz w:val="20"/>
          <w:szCs w:val="20"/>
        </w:rPr>
        <w:t>‘</w:t>
      </w:r>
      <w:proofErr w:type="spellStart"/>
      <w:r w:rsidRPr="00AB0EA9">
        <w:rPr>
          <w:rFonts w:ascii="Verdana" w:eastAsia="Times New Roman" w:hAnsi="Verdana"/>
          <w:sz w:val="20"/>
          <w:szCs w:val="20"/>
        </w:rPr>
        <w:t>declar</w:t>
      </w:r>
      <w:proofErr w:type="spellEnd"/>
      <w:r w:rsidRPr="00AB0EA9">
        <w:rPr>
          <w:rFonts w:ascii="Verdana" w:eastAsia="Times New Roman" w:hAnsi="Verdana"/>
          <w:sz w:val="20"/>
          <w:szCs w:val="20"/>
        </w:rPr>
        <w:t>[</w:t>
      </w:r>
      <w:proofErr w:type="spellStart"/>
      <w:r w:rsidRPr="00AB0EA9">
        <w:rPr>
          <w:rFonts w:ascii="Verdana" w:eastAsia="Times New Roman" w:hAnsi="Verdana"/>
          <w:sz w:val="20"/>
          <w:szCs w:val="20"/>
        </w:rPr>
        <w:t>ó</w:t>
      </w:r>
      <w:proofErr w:type="spellEnd"/>
      <w:r w:rsidRPr="00AB0EA9">
        <w:rPr>
          <w:rFonts w:ascii="Verdana" w:eastAsia="Times New Roman" w:hAnsi="Verdana"/>
          <w:sz w:val="20"/>
          <w:szCs w:val="20"/>
        </w:rPr>
        <w:t xml:space="preserve">] inconstitucionales y, por ende, inaplicables a los </w:t>
      </w:r>
      <w:proofErr w:type="spellStart"/>
      <w:r w:rsidRPr="00AB0EA9">
        <w:rPr>
          <w:rFonts w:ascii="Verdana" w:eastAsia="Times New Roman" w:hAnsi="Verdana"/>
          <w:sz w:val="20"/>
          <w:szCs w:val="20"/>
        </w:rPr>
        <w:t>excepcionantes</w:t>
      </w:r>
      <w:proofErr w:type="spellEnd"/>
      <w:r w:rsidRPr="00AB0EA9">
        <w:rPr>
          <w:rFonts w:ascii="Verdana" w:eastAsia="Times New Roman" w:hAnsi="Verdana"/>
          <w:sz w:val="20"/>
          <w:szCs w:val="20"/>
        </w:rPr>
        <w:t xml:space="preserve"> los artículos 2 y 3 de la Ley No. 18.831’”, los cuales establecen, respectivamente, la imprescriptibilidad de delitos cometidos en aplicación del terrorismo de Estado hasta el 1º de marzo de 1985, y que dichos delitos constituyen crímenes de lesa humanidad. En razón de esta decisión, la Corte Interamericana determinó que “la emisión del Decreto 323 y la cesación de los efectos de la Ley de Caducidad en los términos del artículo 1° de la Ley 18.831, no serían suficientes para despejar todos los obstáculos a las investigaciones dado que, [según dicha decisión</w:t>
      </w:r>
      <w:r w:rsidR="0080375A">
        <w:rPr>
          <w:rFonts w:ascii="Verdana" w:eastAsia="Times New Roman" w:hAnsi="Verdana"/>
          <w:sz w:val="20"/>
          <w:szCs w:val="20"/>
        </w:rPr>
        <w:t xml:space="preserve"> de la Suprema Corte de Justicia</w:t>
      </w:r>
      <w:r w:rsidRPr="00AB0EA9">
        <w:rPr>
          <w:rFonts w:ascii="Verdana" w:eastAsia="Times New Roman" w:hAnsi="Verdana"/>
          <w:sz w:val="20"/>
          <w:szCs w:val="20"/>
        </w:rPr>
        <w:t>], la vigencia de la Ley de Caducidad no habría afectado los términos de prescripción de los delitos referidos a hechos constitutivos de graves violaciones de derechos humanos cometidos durante la dictadura[, y] no serían aplicables a esos hechos otras calificaciones legales, como la desaparición forzada o los crímenes de lesa humanidad, a pesar de estar contemplados en su legislación, por considerar que fueron tipificados con posterioridad a esos hechos y, por ende, tal calificación implicaría su aplicación en forma retroactiva atentando contra el principio de legalidad</w:t>
      </w:r>
      <w:r w:rsidRPr="00AB0EA9">
        <w:rPr>
          <w:rFonts w:ascii="Verdana" w:hAnsi="Verdana"/>
          <w:sz w:val="20"/>
          <w:szCs w:val="20"/>
        </w:rPr>
        <w:t>”</w:t>
      </w:r>
      <w:r w:rsidRPr="00AB0EA9">
        <w:rPr>
          <w:rStyle w:val="Refdenotaalpie"/>
          <w:rFonts w:ascii="Verdana" w:hAnsi="Verdana"/>
          <w:sz w:val="20"/>
          <w:szCs w:val="20"/>
        </w:rPr>
        <w:footnoteReference w:id="39"/>
      </w:r>
      <w:r w:rsidRPr="00AB0EA9">
        <w:rPr>
          <w:rFonts w:ascii="Verdana" w:eastAsia="Times New Roman" w:hAnsi="Verdana"/>
          <w:sz w:val="20"/>
          <w:szCs w:val="20"/>
        </w:rPr>
        <w:t xml:space="preserve">. </w:t>
      </w:r>
    </w:p>
    <w:p w14:paraId="73EE6983" w14:textId="10FEB6D3" w:rsidR="001873B2" w:rsidRPr="00705440" w:rsidRDefault="007916A6" w:rsidP="00705440">
      <w:pPr>
        <w:pStyle w:val="NormalWeb"/>
        <w:numPr>
          <w:ilvl w:val="0"/>
          <w:numId w:val="4"/>
        </w:numPr>
        <w:spacing w:before="120" w:after="120"/>
        <w:ind w:left="0" w:firstLine="0"/>
        <w:jc w:val="both"/>
        <w:rPr>
          <w:rFonts w:ascii="Verdana" w:eastAsia="Times New Roman" w:hAnsi="Verdana"/>
          <w:sz w:val="20"/>
          <w:szCs w:val="20"/>
        </w:rPr>
      </w:pPr>
      <w:r w:rsidRPr="00705440">
        <w:rPr>
          <w:rFonts w:ascii="Verdana" w:eastAsia="Times New Roman" w:hAnsi="Verdana"/>
          <w:sz w:val="20"/>
          <w:szCs w:val="20"/>
        </w:rPr>
        <w:t xml:space="preserve">Aun cuando la referida decisión de la </w:t>
      </w:r>
      <w:r w:rsidR="00705440">
        <w:rPr>
          <w:rFonts w:ascii="Verdana" w:eastAsia="Times New Roman" w:hAnsi="Verdana"/>
          <w:sz w:val="20"/>
          <w:szCs w:val="20"/>
        </w:rPr>
        <w:t xml:space="preserve">Suprema </w:t>
      </w:r>
      <w:r w:rsidRPr="00705440">
        <w:rPr>
          <w:rFonts w:ascii="Verdana" w:eastAsia="Times New Roman" w:hAnsi="Verdana"/>
          <w:sz w:val="20"/>
          <w:szCs w:val="20"/>
        </w:rPr>
        <w:t>Corte de Justicia únicamente t</w:t>
      </w:r>
      <w:r w:rsidR="00705440">
        <w:rPr>
          <w:rFonts w:ascii="Verdana" w:eastAsia="Times New Roman" w:hAnsi="Verdana"/>
          <w:sz w:val="20"/>
          <w:szCs w:val="20"/>
        </w:rPr>
        <w:t>enía</w:t>
      </w:r>
      <w:r w:rsidRPr="00705440">
        <w:rPr>
          <w:rFonts w:ascii="Verdana" w:eastAsia="Times New Roman" w:hAnsi="Verdana"/>
          <w:sz w:val="20"/>
          <w:szCs w:val="20"/>
        </w:rPr>
        <w:t xml:space="preserve"> efectos en el caso concreto, la Corte Interamericana tomó en cuenta que “en la práctica tales decisiones pueden ser reiteradas posteriormente sin mayor consideración en casos análogos mediante el mecanismo de ‘resolución anticipada' o por la emisión de decisiones similares”. Al respecto, este Tribunal </w:t>
      </w:r>
      <w:r w:rsidR="00AA6D88">
        <w:rPr>
          <w:rFonts w:ascii="Verdana" w:eastAsia="Times New Roman" w:hAnsi="Verdana"/>
          <w:sz w:val="20"/>
          <w:szCs w:val="20"/>
        </w:rPr>
        <w:t>indicó</w:t>
      </w:r>
      <w:r w:rsidRPr="00705440">
        <w:rPr>
          <w:rFonts w:ascii="Verdana" w:eastAsia="Times New Roman" w:hAnsi="Verdana"/>
          <w:sz w:val="20"/>
          <w:szCs w:val="20"/>
        </w:rPr>
        <w:t xml:space="preserve"> que la reiteración de </w:t>
      </w:r>
      <w:r w:rsidR="00AE47E6">
        <w:rPr>
          <w:rFonts w:ascii="Verdana" w:eastAsia="Times New Roman" w:hAnsi="Verdana"/>
          <w:sz w:val="20"/>
          <w:szCs w:val="20"/>
        </w:rPr>
        <w:t xml:space="preserve">tales </w:t>
      </w:r>
      <w:r w:rsidRPr="00705440">
        <w:rPr>
          <w:rFonts w:ascii="Verdana" w:eastAsia="Times New Roman" w:hAnsi="Verdana"/>
          <w:sz w:val="20"/>
          <w:szCs w:val="20"/>
        </w:rPr>
        <w:t>consideraciones, “por la forma en que están expuestas, en particular sobre una interpretación de la obligación de los Estados de ejercer el control de convencionalidad”</w:t>
      </w:r>
      <w:r w:rsidR="0080375A">
        <w:rPr>
          <w:rFonts w:ascii="Verdana" w:eastAsia="Times New Roman" w:hAnsi="Verdana"/>
          <w:sz w:val="20"/>
          <w:szCs w:val="20"/>
        </w:rPr>
        <w:t>,</w:t>
      </w:r>
      <w:r w:rsidRPr="00705440">
        <w:rPr>
          <w:rFonts w:ascii="Verdana" w:eastAsia="Times New Roman" w:hAnsi="Verdana"/>
          <w:sz w:val="20"/>
          <w:szCs w:val="20"/>
        </w:rPr>
        <w:t xml:space="preserve"> “pueden implicar un serio obstáculo para las investigaciones de las graves violaciones de derechos humanos</w:t>
      </w:r>
      <w:r w:rsidR="0080375A">
        <w:rPr>
          <w:rFonts w:ascii="Verdana" w:eastAsia="Times New Roman" w:hAnsi="Verdana"/>
          <w:sz w:val="20"/>
          <w:szCs w:val="20"/>
        </w:rPr>
        <w:t xml:space="preserve"> cometidas</w:t>
      </w:r>
      <w:r w:rsidRPr="00705440">
        <w:rPr>
          <w:rFonts w:ascii="Verdana" w:eastAsia="Times New Roman" w:hAnsi="Verdana"/>
          <w:sz w:val="20"/>
          <w:szCs w:val="20"/>
        </w:rPr>
        <w:t>”</w:t>
      </w:r>
      <w:r w:rsidR="0080375A">
        <w:rPr>
          <w:rFonts w:ascii="Verdana" w:eastAsia="Times New Roman" w:hAnsi="Verdana"/>
          <w:sz w:val="20"/>
          <w:szCs w:val="20"/>
        </w:rPr>
        <w:t xml:space="preserve"> en la dictadura</w:t>
      </w:r>
      <w:r w:rsidRPr="00705440">
        <w:rPr>
          <w:rFonts w:ascii="Verdana" w:eastAsia="Times New Roman" w:hAnsi="Verdana"/>
          <w:sz w:val="20"/>
          <w:szCs w:val="20"/>
        </w:rPr>
        <w:t xml:space="preserve"> y abren la posibilidad de que éstas “queden en la impunidad”, haciendo</w:t>
      </w:r>
      <w:r w:rsidR="00C86909">
        <w:rPr>
          <w:rFonts w:ascii="Verdana" w:eastAsia="Times New Roman" w:hAnsi="Verdana"/>
          <w:sz w:val="20"/>
          <w:szCs w:val="20"/>
        </w:rPr>
        <w:t xml:space="preserve"> </w:t>
      </w:r>
      <w:r w:rsidRPr="00705440">
        <w:rPr>
          <w:rFonts w:ascii="Verdana" w:eastAsia="Times New Roman" w:hAnsi="Verdana"/>
          <w:sz w:val="20"/>
          <w:szCs w:val="20"/>
        </w:rPr>
        <w:t xml:space="preserve">ilusorio el cumplimiento de la Sentencia de este caso. Por consiguiente, la Corte consideró que “no está claro si, en acatamiento de la Sentencia […] el Estado ha adoptado todas las medidas y acciones necesarias para que los efectos que </w:t>
      </w:r>
      <w:r w:rsidRPr="00705440">
        <w:rPr>
          <w:rFonts w:ascii="Verdana" w:hAnsi="Verdana"/>
          <w:sz w:val="20"/>
          <w:szCs w:val="20"/>
        </w:rPr>
        <w:t xml:space="preserve">la Ley de Caducidad </w:t>
      </w:r>
      <w:proofErr w:type="spellStart"/>
      <w:r w:rsidRPr="00705440">
        <w:rPr>
          <w:rFonts w:ascii="Verdana" w:hAnsi="Verdana"/>
          <w:sz w:val="20"/>
          <w:szCs w:val="20"/>
        </w:rPr>
        <w:t>produj</w:t>
      </w:r>
      <w:proofErr w:type="spellEnd"/>
      <w:r w:rsidR="000D5745">
        <w:rPr>
          <w:rFonts w:ascii="Verdana" w:hAnsi="Verdana"/>
          <w:sz w:val="20"/>
          <w:szCs w:val="20"/>
        </w:rPr>
        <w:t>[o]</w:t>
      </w:r>
      <w:r w:rsidRPr="00705440">
        <w:rPr>
          <w:rFonts w:ascii="Verdana" w:hAnsi="Verdana"/>
          <w:sz w:val="20"/>
          <w:szCs w:val="20"/>
        </w:rPr>
        <w:t xml:space="preserve"> durante más de dos décadas ya no representen un obstáculo para las investigaciones de hechos constitutivos de graves violaciones de derechos humanos”</w:t>
      </w:r>
      <w:r w:rsidR="00AE47E6">
        <w:rPr>
          <w:rFonts w:ascii="Verdana" w:hAnsi="Verdana"/>
          <w:sz w:val="20"/>
          <w:szCs w:val="20"/>
        </w:rPr>
        <w:t>. A</w:t>
      </w:r>
      <w:r w:rsidRPr="00705440">
        <w:rPr>
          <w:rFonts w:ascii="Verdana" w:hAnsi="Verdana"/>
          <w:sz w:val="20"/>
          <w:szCs w:val="20"/>
        </w:rPr>
        <w:t xml:space="preserve">demás, estimó pertinente recordar: “a) el carácter obligatorio de la Sentencia dictada en [este] caso y determinados alcances de la obligación de los Estados de ejercer el control de convencionalidad, y b) determinados </w:t>
      </w:r>
      <w:r w:rsidRPr="00705440">
        <w:rPr>
          <w:rFonts w:ascii="Verdana" w:hAnsi="Verdana"/>
          <w:sz w:val="20"/>
          <w:szCs w:val="20"/>
        </w:rPr>
        <w:lastRenderedPageBreak/>
        <w:t xml:space="preserve">estándares aplicables a la cuestión de </w:t>
      </w:r>
      <w:r w:rsidRPr="00705440">
        <w:rPr>
          <w:rFonts w:ascii="Verdana" w:eastAsia="Times New Roman" w:hAnsi="Verdana"/>
          <w:sz w:val="20"/>
          <w:szCs w:val="20"/>
        </w:rPr>
        <w:t>si, respecto de los delitos cometidos durante la dictadura y que fueron amparados por la Ley de Caducidad, son aplicables los términos ordinarios de prescripción, así como la manera en que debe ser entendido el principio de irretroactividad de la ley penal en relación con lo ordenado en la Sentencia, el Derecho Internacional, la naturaleza de los hechos cometidos y el carácter del delito de desaparición forzada”</w:t>
      </w:r>
      <w:r w:rsidRPr="00AB0EA9">
        <w:rPr>
          <w:rStyle w:val="Refdenotaalpie"/>
          <w:rFonts w:ascii="Verdana" w:eastAsia="Times New Roman" w:hAnsi="Verdana"/>
          <w:sz w:val="20"/>
          <w:szCs w:val="20"/>
        </w:rPr>
        <w:footnoteReference w:id="40"/>
      </w:r>
      <w:r w:rsidRPr="00705440">
        <w:rPr>
          <w:rFonts w:ascii="Verdana" w:eastAsia="Times New Roman" w:hAnsi="Verdana"/>
          <w:sz w:val="20"/>
          <w:szCs w:val="20"/>
        </w:rPr>
        <w:t>.</w:t>
      </w:r>
    </w:p>
    <w:p w14:paraId="3FB06324" w14:textId="4143C6D4" w:rsidR="001873B2" w:rsidRDefault="001873B2" w:rsidP="001E2F0B">
      <w:pPr>
        <w:pStyle w:val="NormalWeb"/>
        <w:spacing w:before="120" w:after="120"/>
        <w:ind w:left="851"/>
        <w:jc w:val="both"/>
        <w:rPr>
          <w:rFonts w:ascii="Verdana" w:hAnsi="Verdana" w:cs="Calibri"/>
          <w:i/>
          <w:color w:val="000000"/>
          <w:sz w:val="20"/>
          <w:szCs w:val="20"/>
        </w:rPr>
      </w:pPr>
      <w:bookmarkStart w:id="4" w:name="_Toc51266024"/>
      <w:r w:rsidRPr="001873B2">
        <w:rPr>
          <w:rFonts w:ascii="Verdana" w:hAnsi="Verdana" w:cs="Calibri"/>
          <w:i/>
          <w:color w:val="000000"/>
          <w:sz w:val="20"/>
          <w:szCs w:val="20"/>
        </w:rPr>
        <w:t xml:space="preserve">B.2. </w:t>
      </w:r>
      <w:r w:rsidR="001B6DB5">
        <w:rPr>
          <w:rFonts w:ascii="Verdana" w:hAnsi="Verdana" w:cs="Calibri"/>
          <w:i/>
          <w:color w:val="000000"/>
          <w:sz w:val="20"/>
          <w:szCs w:val="20"/>
        </w:rPr>
        <w:t>Información y observaciones de las partes y de la Comisión Interamericana</w:t>
      </w:r>
      <w:bookmarkEnd w:id="4"/>
    </w:p>
    <w:p w14:paraId="6D7FC8F7" w14:textId="1B8FCDCA" w:rsidR="00057160" w:rsidRPr="00DB55A5" w:rsidRDefault="001B6DB5" w:rsidP="00DB55A5">
      <w:pPr>
        <w:pStyle w:val="NormalWeb"/>
        <w:numPr>
          <w:ilvl w:val="0"/>
          <w:numId w:val="4"/>
        </w:numPr>
        <w:spacing w:before="120" w:after="120"/>
        <w:ind w:left="0" w:firstLine="0"/>
        <w:jc w:val="both"/>
        <w:rPr>
          <w:rFonts w:ascii="Verdana" w:hAnsi="Verdana" w:cs="Calibri"/>
          <w:sz w:val="20"/>
          <w:szCs w:val="20"/>
        </w:rPr>
      </w:pPr>
      <w:r w:rsidRPr="006564CB">
        <w:rPr>
          <w:rFonts w:ascii="Verdana" w:hAnsi="Verdana" w:cs="Calibri"/>
          <w:sz w:val="20"/>
          <w:szCs w:val="20"/>
        </w:rPr>
        <w:t xml:space="preserve">El </w:t>
      </w:r>
      <w:r w:rsidRPr="007B5E63">
        <w:rPr>
          <w:rFonts w:ascii="Verdana" w:hAnsi="Verdana" w:cs="Calibri"/>
          <w:i/>
          <w:sz w:val="20"/>
          <w:szCs w:val="20"/>
        </w:rPr>
        <w:t>Estado</w:t>
      </w:r>
      <w:r w:rsidRPr="006564CB">
        <w:rPr>
          <w:rFonts w:ascii="Verdana" w:hAnsi="Verdana" w:cs="Calibri"/>
          <w:sz w:val="20"/>
          <w:szCs w:val="20"/>
        </w:rPr>
        <w:t xml:space="preserve"> </w:t>
      </w:r>
      <w:r w:rsidR="000A30DE" w:rsidRPr="006564CB">
        <w:rPr>
          <w:rFonts w:ascii="Verdana" w:hAnsi="Verdana" w:cs="Calibri"/>
          <w:sz w:val="20"/>
          <w:szCs w:val="20"/>
        </w:rPr>
        <w:t xml:space="preserve">informó que la Ley de Caducidad no está representando un obstáculo para la investigación de graves violaciones a derechos humanos. </w:t>
      </w:r>
      <w:r w:rsidR="00DB55A5">
        <w:rPr>
          <w:rFonts w:ascii="Verdana" w:hAnsi="Verdana" w:cs="Calibri"/>
          <w:sz w:val="20"/>
          <w:szCs w:val="20"/>
        </w:rPr>
        <w:t xml:space="preserve">Al respecto, </w:t>
      </w:r>
      <w:r w:rsidR="00DB55A5" w:rsidRPr="006564CB">
        <w:rPr>
          <w:rFonts w:ascii="Verdana" w:hAnsi="Verdana" w:cs="Calibri"/>
          <w:sz w:val="20"/>
          <w:szCs w:val="20"/>
        </w:rPr>
        <w:t xml:space="preserve">reiteró que desde el 2009 la Suprema </w:t>
      </w:r>
      <w:r w:rsidR="00C97B12">
        <w:rPr>
          <w:rFonts w:ascii="Verdana" w:hAnsi="Verdana" w:cs="Calibri"/>
          <w:sz w:val="20"/>
          <w:szCs w:val="20"/>
        </w:rPr>
        <w:t xml:space="preserve">Corte </w:t>
      </w:r>
      <w:r w:rsidR="00DB55A5" w:rsidRPr="006564CB">
        <w:rPr>
          <w:rFonts w:ascii="Verdana" w:hAnsi="Verdana" w:cs="Calibri"/>
          <w:sz w:val="20"/>
          <w:szCs w:val="20"/>
        </w:rPr>
        <w:t>de Justicia declaró</w:t>
      </w:r>
      <w:r w:rsidR="00BE5FE8">
        <w:rPr>
          <w:rFonts w:ascii="Verdana" w:hAnsi="Verdana" w:cs="Calibri"/>
          <w:sz w:val="20"/>
          <w:szCs w:val="20"/>
        </w:rPr>
        <w:t>,</w:t>
      </w:r>
      <w:r w:rsidR="00DB55A5" w:rsidRPr="006564CB">
        <w:rPr>
          <w:rFonts w:ascii="Verdana" w:hAnsi="Verdana" w:cs="Calibri"/>
          <w:sz w:val="20"/>
          <w:szCs w:val="20"/>
        </w:rPr>
        <w:t xml:space="preserve"> para un caso en concreto, la inconstitucionalidad de dicha ley y que esa “jurisprudencia [se ha] </w:t>
      </w:r>
      <w:proofErr w:type="spellStart"/>
      <w:r w:rsidR="00DB55A5" w:rsidRPr="006564CB">
        <w:rPr>
          <w:rFonts w:ascii="Verdana" w:hAnsi="Verdana" w:cs="Calibri"/>
          <w:sz w:val="20"/>
          <w:szCs w:val="20"/>
        </w:rPr>
        <w:t>mant</w:t>
      </w:r>
      <w:proofErr w:type="spellEnd"/>
      <w:r w:rsidR="00DB55A5" w:rsidRPr="006564CB">
        <w:rPr>
          <w:rFonts w:ascii="Verdana" w:hAnsi="Verdana" w:cs="Calibri"/>
          <w:sz w:val="20"/>
          <w:szCs w:val="20"/>
        </w:rPr>
        <w:t>[</w:t>
      </w:r>
      <w:proofErr w:type="spellStart"/>
      <w:r w:rsidR="00DB55A5" w:rsidRPr="006564CB">
        <w:rPr>
          <w:rFonts w:ascii="Verdana" w:hAnsi="Verdana" w:cs="Calibri"/>
          <w:sz w:val="20"/>
          <w:szCs w:val="20"/>
        </w:rPr>
        <w:t>enido</w:t>
      </w:r>
      <w:proofErr w:type="spellEnd"/>
      <w:r w:rsidR="00DB55A5" w:rsidRPr="006564CB">
        <w:rPr>
          <w:rFonts w:ascii="Verdana" w:hAnsi="Verdana" w:cs="Calibri"/>
          <w:sz w:val="20"/>
          <w:szCs w:val="20"/>
        </w:rPr>
        <w:t>] a lo largo de otros fallos”</w:t>
      </w:r>
      <w:r w:rsidR="00DB55A5" w:rsidRPr="006564CB">
        <w:rPr>
          <w:rStyle w:val="Refdenotaalpie"/>
          <w:rFonts w:ascii="Verdana" w:hAnsi="Verdana" w:cs="Calibri"/>
          <w:sz w:val="20"/>
          <w:szCs w:val="20"/>
        </w:rPr>
        <w:footnoteReference w:id="41"/>
      </w:r>
      <w:r w:rsidR="00DB55A5" w:rsidRPr="006564CB">
        <w:rPr>
          <w:rFonts w:ascii="Verdana" w:hAnsi="Verdana" w:cs="Calibri"/>
          <w:sz w:val="20"/>
          <w:szCs w:val="20"/>
        </w:rPr>
        <w:t>. Asimismo, reiteró que mediante el artículo 1 de la Ley No. 18.831 promulgada en 2011 se “</w:t>
      </w:r>
      <w:proofErr w:type="spellStart"/>
      <w:r w:rsidR="00DB55A5" w:rsidRPr="006564CB">
        <w:rPr>
          <w:rFonts w:ascii="Verdana" w:hAnsi="Verdana" w:cs="Calibri"/>
          <w:sz w:val="20"/>
          <w:szCs w:val="20"/>
        </w:rPr>
        <w:t>derog</w:t>
      </w:r>
      <w:proofErr w:type="spellEnd"/>
      <w:r w:rsidR="00DB55A5" w:rsidRPr="006564CB">
        <w:rPr>
          <w:rFonts w:ascii="Verdana" w:hAnsi="Verdana" w:cs="Calibri"/>
          <w:sz w:val="20"/>
          <w:szCs w:val="20"/>
        </w:rPr>
        <w:t>[</w:t>
      </w:r>
      <w:proofErr w:type="spellStart"/>
      <w:r w:rsidR="00DB55A5" w:rsidRPr="006564CB">
        <w:rPr>
          <w:rFonts w:ascii="Verdana" w:hAnsi="Verdana" w:cs="Calibri"/>
          <w:sz w:val="20"/>
          <w:szCs w:val="20"/>
        </w:rPr>
        <w:t>ó</w:t>
      </w:r>
      <w:proofErr w:type="spellEnd"/>
      <w:r w:rsidR="00DB55A5" w:rsidRPr="006564CB">
        <w:rPr>
          <w:rFonts w:ascii="Verdana" w:hAnsi="Verdana" w:cs="Calibri"/>
          <w:sz w:val="20"/>
          <w:szCs w:val="20"/>
        </w:rPr>
        <w:t>] tácitamente el artículo 1° de la Ley [de Caducidad]” (</w:t>
      </w:r>
      <w:r w:rsidR="00DB55A5" w:rsidRPr="006564CB">
        <w:rPr>
          <w:rFonts w:ascii="Verdana" w:hAnsi="Verdana" w:cs="Calibri"/>
          <w:i/>
          <w:iCs/>
          <w:sz w:val="20"/>
          <w:szCs w:val="20"/>
        </w:rPr>
        <w:t>supra</w:t>
      </w:r>
      <w:r w:rsidR="00DB55A5" w:rsidRPr="006564CB">
        <w:rPr>
          <w:rFonts w:ascii="Verdana" w:hAnsi="Verdana" w:cs="Calibri"/>
          <w:sz w:val="20"/>
          <w:szCs w:val="20"/>
        </w:rPr>
        <w:t xml:space="preserve"> Considerando </w:t>
      </w:r>
      <w:r w:rsidR="00700EFC">
        <w:rPr>
          <w:rFonts w:ascii="Verdana" w:hAnsi="Verdana" w:cs="Calibri"/>
          <w:sz w:val="20"/>
          <w:szCs w:val="20"/>
        </w:rPr>
        <w:t>22</w:t>
      </w:r>
      <w:r w:rsidR="00DB55A5" w:rsidRPr="006564CB">
        <w:rPr>
          <w:rFonts w:ascii="Verdana" w:hAnsi="Verdana" w:cs="Calibri"/>
          <w:sz w:val="20"/>
          <w:szCs w:val="20"/>
        </w:rPr>
        <w:t xml:space="preserve">). </w:t>
      </w:r>
      <w:r w:rsidR="00DB55A5">
        <w:rPr>
          <w:rFonts w:ascii="Verdana" w:hAnsi="Verdana" w:cs="Calibri"/>
          <w:sz w:val="20"/>
          <w:szCs w:val="20"/>
        </w:rPr>
        <w:t>Además, indicó que</w:t>
      </w:r>
      <w:r w:rsidR="00BE5FE8">
        <w:rPr>
          <w:rFonts w:ascii="Verdana" w:hAnsi="Verdana" w:cs="Calibri"/>
          <w:sz w:val="20"/>
          <w:szCs w:val="20"/>
        </w:rPr>
        <w:t>,</w:t>
      </w:r>
      <w:r w:rsidR="00DB55A5">
        <w:rPr>
          <w:rFonts w:ascii="Verdana" w:hAnsi="Verdana" w:cs="Calibri"/>
          <w:sz w:val="20"/>
          <w:szCs w:val="20"/>
        </w:rPr>
        <w:t xml:space="preserve"> “</w:t>
      </w:r>
      <w:r w:rsidR="00DB55A5" w:rsidRPr="006564CB">
        <w:rPr>
          <w:rFonts w:ascii="Verdana" w:hAnsi="Verdana" w:cs="Calibri"/>
          <w:sz w:val="20"/>
          <w:szCs w:val="20"/>
        </w:rPr>
        <w:t>desde el punto de vista de la jurisprudencia de la Suprema Corte de Justicia, no existe ningún obstáculo legal que impida investigar, perseguir y castigar los delitos que hayan sido cometidos” durante la dictadura</w:t>
      </w:r>
      <w:r w:rsidR="00DB55A5">
        <w:rPr>
          <w:rFonts w:ascii="Verdana" w:hAnsi="Verdana" w:cs="Calibri"/>
          <w:sz w:val="20"/>
          <w:szCs w:val="20"/>
        </w:rPr>
        <w:t>,</w:t>
      </w:r>
      <w:r w:rsidR="00DB55A5" w:rsidRPr="006564CB">
        <w:rPr>
          <w:rFonts w:ascii="Verdana" w:hAnsi="Verdana" w:cs="Calibri"/>
          <w:sz w:val="20"/>
          <w:szCs w:val="20"/>
        </w:rPr>
        <w:t xml:space="preserve"> </w:t>
      </w:r>
      <w:r w:rsidR="00DB55A5" w:rsidRPr="00DB55A5">
        <w:rPr>
          <w:rFonts w:ascii="Verdana" w:hAnsi="Verdana" w:cs="Calibri"/>
          <w:sz w:val="20"/>
          <w:szCs w:val="20"/>
        </w:rPr>
        <w:t xml:space="preserve">y </w:t>
      </w:r>
      <w:r w:rsidR="00DB55A5">
        <w:rPr>
          <w:rFonts w:ascii="Verdana" w:hAnsi="Verdana" w:cs="Calibri"/>
          <w:sz w:val="20"/>
          <w:szCs w:val="20"/>
        </w:rPr>
        <w:t xml:space="preserve">que </w:t>
      </w:r>
      <w:r w:rsidR="00057160" w:rsidRPr="00DB55A5">
        <w:rPr>
          <w:rFonts w:ascii="Verdana" w:hAnsi="Verdana" w:cs="Calibri"/>
          <w:sz w:val="20"/>
          <w:szCs w:val="20"/>
        </w:rPr>
        <w:t xml:space="preserve">la Ley de Caducidad tampoco está siendo un obstáculo para la Fiscalía General de la Nación, ya que “todas las causas </w:t>
      </w:r>
      <w:r w:rsidR="00DB55A5">
        <w:rPr>
          <w:rFonts w:ascii="Verdana" w:hAnsi="Verdana" w:cs="Calibri"/>
          <w:sz w:val="20"/>
          <w:szCs w:val="20"/>
        </w:rPr>
        <w:t xml:space="preserve">[…] </w:t>
      </w:r>
      <w:r w:rsidR="00057160" w:rsidRPr="00DB55A5">
        <w:rPr>
          <w:rFonts w:ascii="Verdana" w:hAnsi="Verdana" w:cs="Calibri"/>
          <w:sz w:val="20"/>
          <w:szCs w:val="20"/>
        </w:rPr>
        <w:t xml:space="preserve">se encuentran en </w:t>
      </w:r>
      <w:proofErr w:type="gramStart"/>
      <w:r w:rsidR="00057160" w:rsidRPr="00DB55A5">
        <w:rPr>
          <w:rFonts w:ascii="Verdana" w:hAnsi="Verdana" w:cs="Calibri"/>
          <w:sz w:val="20"/>
          <w:szCs w:val="20"/>
        </w:rPr>
        <w:t>curso[</w:t>
      </w:r>
      <w:proofErr w:type="gramEnd"/>
      <w:r w:rsidR="00057160" w:rsidRPr="00DB55A5">
        <w:rPr>
          <w:rFonts w:ascii="Verdana" w:hAnsi="Verdana" w:cs="Calibri"/>
          <w:sz w:val="20"/>
          <w:szCs w:val="20"/>
        </w:rPr>
        <w:t>,] en distintos estadios procesales”</w:t>
      </w:r>
      <w:r w:rsidR="00057160" w:rsidRPr="006564CB">
        <w:rPr>
          <w:rStyle w:val="Refdenotaalpie"/>
          <w:rFonts w:ascii="Verdana" w:hAnsi="Verdana" w:cs="Calibri"/>
          <w:sz w:val="20"/>
          <w:szCs w:val="20"/>
        </w:rPr>
        <w:footnoteReference w:id="42"/>
      </w:r>
      <w:r w:rsidR="00057160" w:rsidRPr="00DB55A5">
        <w:rPr>
          <w:rFonts w:ascii="Verdana" w:hAnsi="Verdana" w:cs="Calibri"/>
          <w:sz w:val="20"/>
          <w:szCs w:val="20"/>
        </w:rPr>
        <w:t>.</w:t>
      </w:r>
    </w:p>
    <w:p w14:paraId="0BEC4B3A" w14:textId="44355713" w:rsidR="00C97B12" w:rsidRPr="00C97B12" w:rsidRDefault="00706AEB" w:rsidP="00E52428">
      <w:pPr>
        <w:pStyle w:val="NormalWeb"/>
        <w:numPr>
          <w:ilvl w:val="0"/>
          <w:numId w:val="4"/>
        </w:numPr>
        <w:spacing w:before="120" w:after="120"/>
        <w:ind w:left="0" w:firstLine="0"/>
        <w:jc w:val="both"/>
        <w:rPr>
          <w:rFonts w:ascii="Verdana" w:hAnsi="Verdana" w:cs="Calibri"/>
          <w:sz w:val="20"/>
          <w:szCs w:val="20"/>
        </w:rPr>
      </w:pPr>
      <w:r w:rsidRPr="00C97B12">
        <w:rPr>
          <w:rFonts w:ascii="Verdana" w:hAnsi="Verdana" w:cs="Calibri"/>
          <w:sz w:val="20"/>
          <w:szCs w:val="20"/>
        </w:rPr>
        <w:t xml:space="preserve">Los </w:t>
      </w:r>
      <w:r w:rsidRPr="007B5E63">
        <w:rPr>
          <w:rFonts w:ascii="Verdana" w:hAnsi="Verdana" w:cs="Calibri"/>
          <w:i/>
          <w:sz w:val="20"/>
          <w:szCs w:val="20"/>
        </w:rPr>
        <w:t>representantes</w:t>
      </w:r>
      <w:r w:rsidRPr="00C97B12">
        <w:rPr>
          <w:rFonts w:ascii="Verdana" w:hAnsi="Verdana" w:cs="Calibri"/>
          <w:sz w:val="20"/>
          <w:szCs w:val="20"/>
        </w:rPr>
        <w:t xml:space="preserve"> </w:t>
      </w:r>
      <w:r w:rsidR="006530EC" w:rsidRPr="00C97B12">
        <w:rPr>
          <w:rFonts w:ascii="Verdana" w:hAnsi="Verdana" w:cs="Calibri"/>
          <w:sz w:val="20"/>
          <w:szCs w:val="20"/>
        </w:rPr>
        <w:t xml:space="preserve">sostuvieron que “si bien se han tomado diversas medidas para favorecer el avance de los procesos, incluyendo dejar sin efecto la Ley de Caducidad, las investigaciones de graves violaciones a derechos humanos </w:t>
      </w:r>
      <w:r w:rsidR="00CE5C9A" w:rsidRPr="00C97B12">
        <w:rPr>
          <w:rFonts w:ascii="Verdana" w:hAnsi="Verdana" w:cs="Calibri"/>
          <w:sz w:val="20"/>
          <w:szCs w:val="20"/>
        </w:rPr>
        <w:t xml:space="preserve">cometidas durante la dictadura </w:t>
      </w:r>
      <w:r w:rsidR="006530EC" w:rsidRPr="00C97B12">
        <w:rPr>
          <w:rFonts w:ascii="Verdana" w:hAnsi="Verdana" w:cs="Calibri"/>
          <w:sz w:val="20"/>
          <w:szCs w:val="20"/>
        </w:rPr>
        <w:t xml:space="preserve">siguen encontrando numerosos obstáculos que el Estado, principalmente a través de la actuación de su Poder Judicial y del Ministerio Público, no ha sabido superar”. Indicaron que esos </w:t>
      </w:r>
      <w:r w:rsidR="000D2395" w:rsidRPr="00C97B12">
        <w:rPr>
          <w:rFonts w:ascii="Verdana" w:hAnsi="Verdana" w:cs="Calibri"/>
          <w:sz w:val="20"/>
          <w:szCs w:val="20"/>
        </w:rPr>
        <w:t>obstáculos</w:t>
      </w:r>
      <w:r w:rsidR="006530EC" w:rsidRPr="00C97B12">
        <w:rPr>
          <w:rFonts w:ascii="Verdana" w:hAnsi="Verdana" w:cs="Calibri"/>
          <w:sz w:val="20"/>
          <w:szCs w:val="20"/>
        </w:rPr>
        <w:t xml:space="preserve"> “se reflejan en los pocos </w:t>
      </w:r>
      <w:r w:rsidR="00A244EA">
        <w:rPr>
          <w:rFonts w:ascii="Verdana" w:hAnsi="Verdana" w:cs="Calibri"/>
          <w:sz w:val="20"/>
          <w:szCs w:val="20"/>
        </w:rPr>
        <w:t>resultados</w:t>
      </w:r>
      <w:r w:rsidR="00A244EA" w:rsidRPr="00C97B12">
        <w:rPr>
          <w:rFonts w:ascii="Verdana" w:hAnsi="Verdana" w:cs="Calibri"/>
          <w:sz w:val="20"/>
          <w:szCs w:val="20"/>
        </w:rPr>
        <w:t xml:space="preserve"> </w:t>
      </w:r>
      <w:r w:rsidR="006530EC" w:rsidRPr="00C97B12">
        <w:rPr>
          <w:rFonts w:ascii="Verdana" w:hAnsi="Verdana" w:cs="Calibri"/>
          <w:sz w:val="20"/>
          <w:szCs w:val="20"/>
        </w:rPr>
        <w:t xml:space="preserve">que demuestran los procesos”. Entre ellos, se refirieron a </w:t>
      </w:r>
      <w:r w:rsidR="006564CB" w:rsidRPr="00C97B12">
        <w:rPr>
          <w:rFonts w:ascii="Verdana" w:hAnsi="Verdana" w:cs="Calibri"/>
          <w:sz w:val="20"/>
          <w:szCs w:val="20"/>
        </w:rPr>
        <w:t>que “los delitos [cometidos durante la dictadura] siguen sin ser reconocidos como imprescriptibles y no se utilizan las figuras penales adecuadas”, lo cual se debe a que “la justicia [no] ha cambiado su jurisprudencia respecto de los crímenes de lesa humanidad o la imprescriptibilidad de los mismos”</w:t>
      </w:r>
      <w:r w:rsidR="005A197C" w:rsidRPr="00E21202">
        <w:rPr>
          <w:rStyle w:val="Refdenotaalpie"/>
          <w:rFonts w:ascii="Verdana" w:hAnsi="Verdana" w:cs="Calibri"/>
          <w:sz w:val="20"/>
          <w:szCs w:val="20"/>
        </w:rPr>
        <w:footnoteReference w:id="43"/>
      </w:r>
      <w:r w:rsidR="005A197C" w:rsidRPr="00C97B12">
        <w:rPr>
          <w:rFonts w:ascii="Verdana" w:hAnsi="Verdana" w:cs="Calibri"/>
          <w:sz w:val="20"/>
          <w:szCs w:val="20"/>
        </w:rPr>
        <w:t>.</w:t>
      </w:r>
    </w:p>
    <w:p w14:paraId="59622130" w14:textId="1D737EEB" w:rsidR="00706AEB" w:rsidRPr="00C97B12" w:rsidRDefault="00706AEB" w:rsidP="00E52428">
      <w:pPr>
        <w:pStyle w:val="NormalWeb"/>
        <w:numPr>
          <w:ilvl w:val="0"/>
          <w:numId w:val="4"/>
        </w:numPr>
        <w:spacing w:before="120" w:after="120"/>
        <w:ind w:left="0" w:firstLine="0"/>
        <w:jc w:val="both"/>
        <w:rPr>
          <w:rFonts w:ascii="Verdana" w:hAnsi="Verdana" w:cs="Calibri"/>
          <w:sz w:val="20"/>
          <w:szCs w:val="20"/>
        </w:rPr>
      </w:pPr>
      <w:r w:rsidRPr="00C97B12">
        <w:rPr>
          <w:rFonts w:ascii="Verdana" w:hAnsi="Verdana" w:cs="Calibri"/>
          <w:sz w:val="20"/>
          <w:szCs w:val="20"/>
        </w:rPr>
        <w:t xml:space="preserve">La </w:t>
      </w:r>
      <w:r w:rsidRPr="007B5E63">
        <w:rPr>
          <w:rFonts w:ascii="Verdana" w:hAnsi="Verdana" w:cs="Calibri"/>
          <w:i/>
          <w:sz w:val="20"/>
          <w:szCs w:val="20"/>
        </w:rPr>
        <w:t>Comisión</w:t>
      </w:r>
      <w:r w:rsidRPr="00C97B12">
        <w:rPr>
          <w:rFonts w:ascii="Verdana" w:hAnsi="Verdana" w:cs="Calibri"/>
          <w:sz w:val="20"/>
          <w:szCs w:val="20"/>
        </w:rPr>
        <w:t xml:space="preserve"> </w:t>
      </w:r>
      <w:r w:rsidR="00332886" w:rsidRPr="00C97B12">
        <w:rPr>
          <w:rFonts w:ascii="Verdana" w:hAnsi="Verdana" w:cs="Calibri"/>
          <w:sz w:val="20"/>
          <w:szCs w:val="20"/>
        </w:rPr>
        <w:t>observó que la jurisprudencia de la Suprema</w:t>
      </w:r>
      <w:r w:rsidR="00C97B12" w:rsidRPr="00C97B12">
        <w:rPr>
          <w:rFonts w:ascii="Verdana" w:hAnsi="Verdana" w:cs="Calibri"/>
          <w:sz w:val="20"/>
          <w:szCs w:val="20"/>
        </w:rPr>
        <w:t xml:space="preserve"> Corte</w:t>
      </w:r>
      <w:r w:rsidR="00332886" w:rsidRPr="00C97B12">
        <w:rPr>
          <w:rFonts w:ascii="Verdana" w:hAnsi="Verdana" w:cs="Calibri"/>
          <w:sz w:val="20"/>
          <w:szCs w:val="20"/>
        </w:rPr>
        <w:t xml:space="preserve"> de Justicia</w:t>
      </w:r>
      <w:r w:rsidR="00660A40">
        <w:rPr>
          <w:rFonts w:ascii="Verdana" w:hAnsi="Verdana" w:cs="Calibri"/>
          <w:sz w:val="20"/>
          <w:szCs w:val="20"/>
        </w:rPr>
        <w:t xml:space="preserve"> sobre</w:t>
      </w:r>
      <w:r w:rsidR="00C97B12">
        <w:rPr>
          <w:rFonts w:ascii="Verdana" w:hAnsi="Verdana" w:cs="Calibri"/>
          <w:sz w:val="20"/>
          <w:szCs w:val="20"/>
        </w:rPr>
        <w:t xml:space="preserve"> “</w:t>
      </w:r>
      <w:r w:rsidR="00C97B12" w:rsidRPr="00C97B12">
        <w:rPr>
          <w:rFonts w:ascii="Verdana" w:hAnsi="Verdana" w:cs="Calibri"/>
          <w:sz w:val="20"/>
          <w:szCs w:val="20"/>
        </w:rPr>
        <w:t>la imprescriptibilidad en crímenes de lesa humanidad cometidos durante la dictadura”</w:t>
      </w:r>
      <w:r w:rsidR="00332886" w:rsidRPr="00C97B12">
        <w:rPr>
          <w:rFonts w:ascii="Verdana" w:hAnsi="Verdana" w:cs="Calibri"/>
          <w:sz w:val="20"/>
          <w:szCs w:val="20"/>
        </w:rPr>
        <w:t xml:space="preserve"> “es dispar, lo que no genera una situación de seguridad jurídica a los familiares de las víctimas”. Asimismo, hizo notar que “el Estado no aborda directamente [este] problema, </w:t>
      </w:r>
      <w:r w:rsidR="00332886" w:rsidRPr="00C97B12">
        <w:rPr>
          <w:rFonts w:ascii="Verdana" w:hAnsi="Verdana" w:cs="Calibri"/>
          <w:sz w:val="20"/>
          <w:szCs w:val="20"/>
        </w:rPr>
        <w:lastRenderedPageBreak/>
        <w:t xml:space="preserve">ni se refiere a las medidas que estaría implementando para solucionarlo y garantizar el cumplimiento de esta </w:t>
      </w:r>
      <w:r w:rsidR="00D67B61">
        <w:rPr>
          <w:rFonts w:ascii="Verdana" w:hAnsi="Verdana" w:cs="Calibri"/>
          <w:sz w:val="20"/>
          <w:szCs w:val="20"/>
        </w:rPr>
        <w:t>[reparación]</w:t>
      </w:r>
      <w:r w:rsidR="00332886" w:rsidRPr="00C97B12">
        <w:rPr>
          <w:rFonts w:ascii="Verdana" w:hAnsi="Verdana" w:cs="Calibri"/>
          <w:sz w:val="20"/>
          <w:szCs w:val="20"/>
        </w:rPr>
        <w:t xml:space="preserve">”. </w:t>
      </w:r>
    </w:p>
    <w:p w14:paraId="2147BC30" w14:textId="39B7EDD8" w:rsidR="00E21202" w:rsidRPr="00E21202" w:rsidRDefault="00E21202" w:rsidP="00E21202">
      <w:pPr>
        <w:pStyle w:val="NormalWeb"/>
        <w:spacing w:before="120" w:after="120"/>
        <w:ind w:left="851"/>
        <w:jc w:val="both"/>
        <w:rPr>
          <w:rFonts w:ascii="Verdana" w:hAnsi="Verdana" w:cs="Calibri"/>
          <w:sz w:val="20"/>
          <w:szCs w:val="20"/>
        </w:rPr>
      </w:pPr>
      <w:r w:rsidRPr="001873B2">
        <w:rPr>
          <w:rFonts w:ascii="Verdana" w:hAnsi="Verdana" w:cs="Calibri"/>
          <w:i/>
          <w:color w:val="000000"/>
          <w:sz w:val="20"/>
          <w:szCs w:val="20"/>
        </w:rPr>
        <w:t>B.</w:t>
      </w:r>
      <w:r>
        <w:rPr>
          <w:rFonts w:ascii="Verdana" w:hAnsi="Verdana" w:cs="Calibri"/>
          <w:i/>
          <w:color w:val="000000"/>
          <w:sz w:val="20"/>
          <w:szCs w:val="20"/>
        </w:rPr>
        <w:t>3</w:t>
      </w:r>
      <w:r w:rsidRPr="001873B2">
        <w:rPr>
          <w:rFonts w:ascii="Verdana" w:hAnsi="Verdana" w:cs="Calibri"/>
          <w:i/>
          <w:color w:val="000000"/>
          <w:sz w:val="20"/>
          <w:szCs w:val="20"/>
        </w:rPr>
        <w:t xml:space="preserve">. </w:t>
      </w:r>
      <w:r>
        <w:rPr>
          <w:rFonts w:ascii="Verdana" w:hAnsi="Verdana" w:cs="Calibri"/>
          <w:i/>
          <w:color w:val="000000"/>
          <w:sz w:val="20"/>
          <w:szCs w:val="20"/>
        </w:rPr>
        <w:t>Consideraciones de la Corte</w:t>
      </w:r>
    </w:p>
    <w:p w14:paraId="5A4D9AA0" w14:textId="547757A1" w:rsidR="00057160" w:rsidRPr="003A6106" w:rsidRDefault="00D67B61" w:rsidP="001E2F0B">
      <w:pPr>
        <w:pStyle w:val="NormalWeb"/>
        <w:numPr>
          <w:ilvl w:val="0"/>
          <w:numId w:val="4"/>
        </w:numPr>
        <w:spacing w:before="120" w:after="120"/>
        <w:ind w:left="0" w:firstLine="0"/>
        <w:jc w:val="both"/>
        <w:rPr>
          <w:rFonts w:ascii="Verdana" w:hAnsi="Verdana" w:cs="Calibri"/>
          <w:sz w:val="20"/>
          <w:szCs w:val="20"/>
        </w:rPr>
      </w:pPr>
      <w:r>
        <w:rPr>
          <w:rFonts w:ascii="Verdana" w:hAnsi="Verdana" w:cs="Calibri"/>
          <w:sz w:val="20"/>
          <w:szCs w:val="20"/>
        </w:rPr>
        <w:t>La Corte observa que l</w:t>
      </w:r>
      <w:r w:rsidR="003A6106">
        <w:rPr>
          <w:rFonts w:ascii="Verdana" w:hAnsi="Verdana" w:cs="Calibri"/>
          <w:sz w:val="20"/>
          <w:szCs w:val="20"/>
        </w:rPr>
        <w:t>as partes coinciden en que la Ley de Caducidad no está sien</w:t>
      </w:r>
      <w:r w:rsidR="00A05EA3">
        <w:rPr>
          <w:rFonts w:ascii="Verdana" w:hAnsi="Verdana" w:cs="Calibri"/>
          <w:sz w:val="20"/>
          <w:szCs w:val="20"/>
        </w:rPr>
        <w:t>d</w:t>
      </w:r>
      <w:r w:rsidR="003A6106">
        <w:rPr>
          <w:rFonts w:ascii="Verdana" w:hAnsi="Verdana" w:cs="Calibri"/>
          <w:sz w:val="20"/>
          <w:szCs w:val="20"/>
        </w:rPr>
        <w:t xml:space="preserve">o un obstáculo para la investigación </w:t>
      </w:r>
      <w:r w:rsidR="00660A40">
        <w:rPr>
          <w:rFonts w:ascii="Verdana" w:hAnsi="Verdana" w:cs="Calibri"/>
          <w:sz w:val="20"/>
          <w:szCs w:val="20"/>
        </w:rPr>
        <w:t xml:space="preserve">de los hechos del presente caso, </w:t>
      </w:r>
      <w:r w:rsidR="00A05EA3">
        <w:rPr>
          <w:rFonts w:ascii="Verdana" w:hAnsi="Verdana" w:cs="Calibri"/>
          <w:sz w:val="20"/>
          <w:szCs w:val="20"/>
        </w:rPr>
        <w:t>ni de</w:t>
      </w:r>
      <w:r w:rsidR="003A6106">
        <w:rPr>
          <w:rFonts w:ascii="Verdana" w:hAnsi="Verdana" w:cs="Calibri"/>
          <w:sz w:val="20"/>
          <w:szCs w:val="20"/>
        </w:rPr>
        <w:t xml:space="preserve"> otras graves violaciones a derechos humanos. </w:t>
      </w:r>
      <w:r w:rsidR="00A05EA3">
        <w:rPr>
          <w:rFonts w:ascii="Verdana" w:hAnsi="Verdana" w:cs="Calibri"/>
          <w:sz w:val="20"/>
          <w:szCs w:val="20"/>
        </w:rPr>
        <w:t>Fundamentalmente, e</w:t>
      </w:r>
      <w:r w:rsidR="003A6106">
        <w:rPr>
          <w:rFonts w:ascii="Verdana" w:hAnsi="Verdana" w:cs="Calibri"/>
          <w:sz w:val="20"/>
          <w:szCs w:val="20"/>
        </w:rPr>
        <w:t xml:space="preserve">llo se debe a que, a través de sus Poderes Ejecutivo y Legislativo, Uruguay adoptó acciones concretas orientadas a dar cumplimiento a esta medida, a saber: la aprobación del </w:t>
      </w:r>
      <w:r w:rsidR="003A6106" w:rsidRPr="003A6106">
        <w:rPr>
          <w:rFonts w:ascii="Verdana" w:eastAsia="Times New Roman" w:hAnsi="Verdana"/>
          <w:color w:val="000000"/>
          <w:sz w:val="20"/>
          <w:szCs w:val="20"/>
        </w:rPr>
        <w:t xml:space="preserve">Decreto </w:t>
      </w:r>
      <w:r w:rsidR="003A6106" w:rsidRPr="003A6106">
        <w:rPr>
          <w:rFonts w:ascii="Verdana" w:hAnsi="Verdana"/>
          <w:sz w:val="20"/>
          <w:szCs w:val="20"/>
        </w:rPr>
        <w:t>323 de 30 de junio de 2011 y de la Ley 18.831 de 27 de octubre de 2011</w:t>
      </w:r>
      <w:r w:rsidR="003A6106">
        <w:rPr>
          <w:rFonts w:ascii="Verdana" w:eastAsia="Times New Roman" w:hAnsi="Verdana"/>
          <w:i/>
          <w:iCs/>
          <w:color w:val="000000"/>
          <w:sz w:val="20"/>
          <w:szCs w:val="20"/>
        </w:rPr>
        <w:t xml:space="preserve">, </w:t>
      </w:r>
      <w:r w:rsidR="003A6106" w:rsidRPr="00A05EA3">
        <w:rPr>
          <w:rFonts w:ascii="Verdana" w:eastAsia="Times New Roman" w:hAnsi="Verdana"/>
          <w:color w:val="000000"/>
          <w:sz w:val="20"/>
          <w:szCs w:val="20"/>
        </w:rPr>
        <w:t>la cual en su artículo 1 dej</w:t>
      </w:r>
      <w:r w:rsidR="00730B01">
        <w:rPr>
          <w:rFonts w:ascii="Verdana" w:eastAsia="Times New Roman" w:hAnsi="Verdana"/>
          <w:color w:val="000000"/>
          <w:sz w:val="20"/>
          <w:szCs w:val="20"/>
        </w:rPr>
        <w:t>ó</w:t>
      </w:r>
      <w:r w:rsidR="003A6106" w:rsidRPr="00A05EA3">
        <w:rPr>
          <w:rFonts w:ascii="Verdana" w:eastAsia="Times New Roman" w:hAnsi="Verdana"/>
          <w:color w:val="000000"/>
          <w:sz w:val="20"/>
          <w:szCs w:val="20"/>
        </w:rPr>
        <w:t xml:space="preserve"> sin efecto la Ley de Caducidad</w:t>
      </w:r>
      <w:r w:rsidR="003A6106" w:rsidRPr="00A05EA3">
        <w:rPr>
          <w:rFonts w:ascii="Verdana" w:hAnsi="Verdana"/>
          <w:sz w:val="20"/>
          <w:szCs w:val="20"/>
        </w:rPr>
        <w:t>.</w:t>
      </w:r>
      <w:r w:rsidR="003A6106">
        <w:rPr>
          <w:rFonts w:ascii="Verdana" w:hAnsi="Verdana"/>
          <w:sz w:val="20"/>
          <w:szCs w:val="20"/>
        </w:rPr>
        <w:t xml:space="preserve"> </w:t>
      </w:r>
      <w:r w:rsidR="00A05EA3">
        <w:rPr>
          <w:rFonts w:ascii="Verdana" w:hAnsi="Verdana"/>
          <w:sz w:val="20"/>
          <w:szCs w:val="20"/>
        </w:rPr>
        <w:t xml:space="preserve">Ambas ya fueron valoradas positivamente por este Tribunal en la Resolución de </w:t>
      </w:r>
      <w:r w:rsidR="00730B01">
        <w:rPr>
          <w:rFonts w:ascii="Verdana" w:hAnsi="Verdana"/>
          <w:sz w:val="20"/>
          <w:szCs w:val="20"/>
        </w:rPr>
        <w:t xml:space="preserve">marzo de </w:t>
      </w:r>
      <w:r w:rsidR="00A05EA3">
        <w:rPr>
          <w:rFonts w:ascii="Verdana" w:hAnsi="Verdana"/>
          <w:sz w:val="20"/>
          <w:szCs w:val="20"/>
        </w:rPr>
        <w:t>2013</w:t>
      </w:r>
      <w:r w:rsidR="00730B01">
        <w:rPr>
          <w:rFonts w:ascii="Verdana" w:hAnsi="Verdana"/>
          <w:sz w:val="20"/>
          <w:szCs w:val="20"/>
        </w:rPr>
        <w:t>,</w:t>
      </w:r>
      <w:r w:rsidR="00A05EA3">
        <w:rPr>
          <w:rFonts w:ascii="Verdana" w:hAnsi="Verdana"/>
          <w:sz w:val="20"/>
          <w:szCs w:val="20"/>
        </w:rPr>
        <w:t xml:space="preserve"> al ser pasos concretos orientados al cumplimiento de la reparación ordenada</w:t>
      </w:r>
      <w:r>
        <w:rPr>
          <w:rFonts w:ascii="Verdana" w:hAnsi="Verdana"/>
          <w:sz w:val="20"/>
          <w:szCs w:val="20"/>
        </w:rPr>
        <w:t xml:space="preserve"> (</w:t>
      </w:r>
      <w:r w:rsidRPr="007B5E63">
        <w:rPr>
          <w:rFonts w:ascii="Verdana" w:hAnsi="Verdana"/>
          <w:i/>
          <w:sz w:val="20"/>
          <w:szCs w:val="20"/>
        </w:rPr>
        <w:t xml:space="preserve">supra </w:t>
      </w:r>
      <w:r>
        <w:rPr>
          <w:rFonts w:ascii="Verdana" w:hAnsi="Verdana"/>
          <w:sz w:val="20"/>
          <w:szCs w:val="20"/>
        </w:rPr>
        <w:t>Considerando 22)</w:t>
      </w:r>
      <w:r w:rsidR="00A05EA3">
        <w:rPr>
          <w:rFonts w:ascii="Verdana" w:hAnsi="Verdana"/>
          <w:sz w:val="20"/>
          <w:szCs w:val="20"/>
        </w:rPr>
        <w:t xml:space="preserve">, por lo cual, la Corte considera en esta oportunidad que la expedición de estas normas </w:t>
      </w:r>
      <w:r w:rsidR="000525B0">
        <w:rPr>
          <w:rFonts w:ascii="Verdana" w:hAnsi="Verdana"/>
          <w:sz w:val="20"/>
          <w:szCs w:val="20"/>
        </w:rPr>
        <w:t xml:space="preserve">constituye un cumplimiento parcial de </w:t>
      </w:r>
      <w:r w:rsidR="00A05EA3">
        <w:rPr>
          <w:rFonts w:ascii="Verdana" w:hAnsi="Verdana"/>
          <w:sz w:val="20"/>
          <w:szCs w:val="20"/>
        </w:rPr>
        <w:t xml:space="preserve">esta </w:t>
      </w:r>
      <w:r w:rsidR="000525B0">
        <w:rPr>
          <w:rFonts w:ascii="Verdana" w:hAnsi="Verdana"/>
          <w:sz w:val="20"/>
          <w:szCs w:val="20"/>
        </w:rPr>
        <w:t>medida</w:t>
      </w:r>
      <w:r>
        <w:rPr>
          <w:rFonts w:ascii="Verdana" w:hAnsi="Verdana"/>
          <w:sz w:val="20"/>
          <w:szCs w:val="20"/>
        </w:rPr>
        <w:t xml:space="preserve"> de reparación</w:t>
      </w:r>
      <w:r w:rsidR="00A05EA3">
        <w:rPr>
          <w:rFonts w:ascii="Verdana" w:hAnsi="Verdana"/>
          <w:sz w:val="20"/>
          <w:szCs w:val="20"/>
        </w:rPr>
        <w:t>.</w:t>
      </w:r>
      <w:r w:rsidR="00397F9D">
        <w:rPr>
          <w:rFonts w:ascii="Verdana" w:hAnsi="Verdana"/>
          <w:sz w:val="20"/>
          <w:szCs w:val="20"/>
        </w:rPr>
        <w:t xml:space="preserve"> </w:t>
      </w:r>
    </w:p>
    <w:p w14:paraId="1B8AD1DF" w14:textId="0169AA76" w:rsidR="004F4979" w:rsidRPr="008A7493" w:rsidRDefault="000525B0" w:rsidP="00F35002">
      <w:pPr>
        <w:pStyle w:val="NormalWeb"/>
        <w:numPr>
          <w:ilvl w:val="0"/>
          <w:numId w:val="4"/>
        </w:numPr>
        <w:spacing w:before="120" w:after="120"/>
        <w:ind w:left="0" w:firstLine="0"/>
        <w:jc w:val="both"/>
        <w:rPr>
          <w:rFonts w:ascii="Verdana" w:hAnsi="Verdana" w:cs="Calibri"/>
          <w:sz w:val="16"/>
          <w:szCs w:val="16"/>
        </w:rPr>
      </w:pPr>
      <w:r w:rsidRPr="00BC77B7">
        <w:rPr>
          <w:rFonts w:ascii="Verdana" w:hAnsi="Verdana" w:cs="Calibri"/>
          <w:sz w:val="20"/>
          <w:szCs w:val="20"/>
        </w:rPr>
        <w:t>Este Tribunal no puede valorar el cumplimiento total de esta medida porque, a p</w:t>
      </w:r>
      <w:r w:rsidR="003A6106" w:rsidRPr="00BC77B7">
        <w:rPr>
          <w:rFonts w:ascii="Verdana" w:hAnsi="Verdana" w:cs="Calibri"/>
          <w:sz w:val="20"/>
          <w:szCs w:val="20"/>
        </w:rPr>
        <w:t>es</w:t>
      </w:r>
      <w:r w:rsidRPr="00BC77B7">
        <w:rPr>
          <w:rFonts w:ascii="Verdana" w:hAnsi="Verdana" w:cs="Calibri"/>
          <w:sz w:val="20"/>
          <w:szCs w:val="20"/>
        </w:rPr>
        <w:t xml:space="preserve">ar de </w:t>
      </w:r>
      <w:r w:rsidR="003A6106" w:rsidRPr="00BC77B7">
        <w:rPr>
          <w:rFonts w:ascii="Verdana" w:hAnsi="Verdana" w:cs="Calibri"/>
          <w:sz w:val="20"/>
          <w:szCs w:val="20"/>
        </w:rPr>
        <w:t>dichos esfuerzos</w:t>
      </w:r>
      <w:r w:rsidR="007325DA">
        <w:rPr>
          <w:rFonts w:ascii="Verdana" w:hAnsi="Verdana" w:cs="Calibri"/>
          <w:sz w:val="20"/>
          <w:szCs w:val="20"/>
        </w:rPr>
        <w:t xml:space="preserve"> normativos</w:t>
      </w:r>
      <w:r w:rsidR="003A6106" w:rsidRPr="00BC77B7">
        <w:rPr>
          <w:rFonts w:ascii="Verdana" w:hAnsi="Verdana" w:cs="Calibri"/>
          <w:sz w:val="20"/>
          <w:szCs w:val="20"/>
        </w:rPr>
        <w:t xml:space="preserve">, la información brindada por las partes y la Comisión </w:t>
      </w:r>
      <w:r w:rsidR="000C3C71" w:rsidRPr="00BC77B7">
        <w:rPr>
          <w:rFonts w:ascii="Verdana" w:hAnsi="Verdana" w:cs="Calibri"/>
          <w:sz w:val="20"/>
          <w:szCs w:val="20"/>
        </w:rPr>
        <w:t xml:space="preserve">da cuenta de </w:t>
      </w:r>
      <w:r w:rsidR="003A6106" w:rsidRPr="00BC77B7">
        <w:rPr>
          <w:rFonts w:ascii="Verdana" w:hAnsi="Verdana" w:cs="Calibri"/>
          <w:sz w:val="20"/>
          <w:szCs w:val="20"/>
        </w:rPr>
        <w:t>que persisten interpretaciones judiciales que</w:t>
      </w:r>
      <w:r w:rsidR="004F4979">
        <w:rPr>
          <w:rFonts w:ascii="Verdana" w:hAnsi="Verdana" w:cs="Calibri"/>
          <w:sz w:val="20"/>
          <w:szCs w:val="20"/>
        </w:rPr>
        <w:t xml:space="preserve"> </w:t>
      </w:r>
      <w:r w:rsidR="003A6106" w:rsidRPr="00BC77B7">
        <w:rPr>
          <w:rFonts w:ascii="Verdana" w:hAnsi="Verdana" w:cs="Calibri"/>
          <w:sz w:val="20"/>
          <w:szCs w:val="20"/>
        </w:rPr>
        <w:t xml:space="preserve">podrían representar un obstáculo para la investigación de graves violaciones a derechos humanos cometidas durante la dictadura. </w:t>
      </w:r>
      <w:r w:rsidR="005C1774" w:rsidRPr="00BC77B7">
        <w:rPr>
          <w:rFonts w:ascii="Verdana" w:hAnsi="Verdana" w:cs="Calibri"/>
          <w:sz w:val="20"/>
          <w:szCs w:val="20"/>
        </w:rPr>
        <w:t xml:space="preserve">Esta situación también fue expuesta en detalle en el escrito </w:t>
      </w:r>
      <w:r w:rsidR="004F4979">
        <w:rPr>
          <w:rFonts w:ascii="Verdana" w:hAnsi="Verdana" w:cs="Calibri"/>
          <w:sz w:val="20"/>
          <w:szCs w:val="20"/>
        </w:rPr>
        <w:t xml:space="preserve">presentado en calidad </w:t>
      </w:r>
      <w:r w:rsidR="005C1774" w:rsidRPr="00BC77B7">
        <w:rPr>
          <w:rFonts w:ascii="Verdana" w:hAnsi="Verdana" w:cs="Calibri"/>
          <w:sz w:val="20"/>
          <w:szCs w:val="20"/>
        </w:rPr>
        <w:t xml:space="preserve">de </w:t>
      </w:r>
      <w:proofErr w:type="spellStart"/>
      <w:r w:rsidR="005C1774" w:rsidRPr="00BC77B7">
        <w:rPr>
          <w:rFonts w:ascii="Verdana" w:hAnsi="Verdana" w:cs="Calibri"/>
          <w:i/>
          <w:iCs/>
          <w:sz w:val="20"/>
          <w:szCs w:val="20"/>
        </w:rPr>
        <w:t>amicus</w:t>
      </w:r>
      <w:proofErr w:type="spellEnd"/>
      <w:r w:rsidR="005C1774" w:rsidRPr="00BC77B7">
        <w:rPr>
          <w:rFonts w:ascii="Verdana" w:hAnsi="Verdana" w:cs="Calibri"/>
          <w:i/>
          <w:iCs/>
          <w:sz w:val="20"/>
          <w:szCs w:val="20"/>
        </w:rPr>
        <w:t xml:space="preserve"> </w:t>
      </w:r>
      <w:proofErr w:type="spellStart"/>
      <w:r w:rsidR="005C1774" w:rsidRPr="00BC77B7">
        <w:rPr>
          <w:rFonts w:ascii="Verdana" w:hAnsi="Verdana" w:cs="Calibri"/>
          <w:i/>
          <w:iCs/>
          <w:sz w:val="20"/>
          <w:szCs w:val="20"/>
        </w:rPr>
        <w:t>curiae</w:t>
      </w:r>
      <w:proofErr w:type="spellEnd"/>
      <w:r w:rsidR="005C1774" w:rsidRPr="00BC77B7">
        <w:rPr>
          <w:rFonts w:ascii="Verdana" w:hAnsi="Verdana" w:cs="Calibri"/>
          <w:sz w:val="20"/>
          <w:szCs w:val="20"/>
        </w:rPr>
        <w:t xml:space="preserve"> por el Observatorio Luz </w:t>
      </w:r>
      <w:proofErr w:type="spellStart"/>
      <w:r w:rsidR="005C1774" w:rsidRPr="00BC77B7">
        <w:rPr>
          <w:rFonts w:ascii="Verdana" w:hAnsi="Verdana" w:cs="Calibri"/>
          <w:sz w:val="20"/>
          <w:szCs w:val="20"/>
        </w:rPr>
        <w:t>Ibarburú</w:t>
      </w:r>
      <w:proofErr w:type="spellEnd"/>
      <w:r w:rsidR="007325DA">
        <w:rPr>
          <w:rFonts w:ascii="Verdana" w:hAnsi="Verdana" w:cs="Calibri"/>
          <w:sz w:val="20"/>
          <w:szCs w:val="20"/>
        </w:rPr>
        <w:t xml:space="preserve"> (</w:t>
      </w:r>
      <w:r w:rsidR="007325DA" w:rsidRPr="007B5E63">
        <w:rPr>
          <w:rFonts w:ascii="Verdana" w:hAnsi="Verdana" w:cs="Calibri"/>
          <w:i/>
          <w:sz w:val="20"/>
          <w:szCs w:val="20"/>
        </w:rPr>
        <w:t xml:space="preserve">supra </w:t>
      </w:r>
      <w:r w:rsidR="007325DA">
        <w:rPr>
          <w:rFonts w:ascii="Verdana" w:hAnsi="Verdana" w:cs="Calibri"/>
          <w:sz w:val="20"/>
          <w:szCs w:val="20"/>
        </w:rPr>
        <w:t>Visto 8)</w:t>
      </w:r>
      <w:r w:rsidR="005C1774" w:rsidRPr="00BC77B7">
        <w:rPr>
          <w:rFonts w:ascii="Verdana" w:hAnsi="Verdana" w:cs="Calibri"/>
          <w:sz w:val="20"/>
          <w:szCs w:val="20"/>
        </w:rPr>
        <w:t>.</w:t>
      </w:r>
      <w:r w:rsidR="004F4979">
        <w:rPr>
          <w:rFonts w:ascii="Verdana" w:hAnsi="Verdana" w:cs="Calibri"/>
          <w:sz w:val="20"/>
          <w:szCs w:val="20"/>
        </w:rPr>
        <w:t xml:space="preserve"> </w:t>
      </w:r>
    </w:p>
    <w:p w14:paraId="360F15DD" w14:textId="00332AE4" w:rsidR="0008250C" w:rsidRPr="00FC1F40" w:rsidRDefault="003A6106" w:rsidP="0008250C">
      <w:pPr>
        <w:pStyle w:val="NormalWeb"/>
        <w:numPr>
          <w:ilvl w:val="0"/>
          <w:numId w:val="4"/>
        </w:numPr>
        <w:spacing w:before="120" w:after="120"/>
        <w:ind w:left="0" w:firstLine="0"/>
        <w:jc w:val="both"/>
        <w:rPr>
          <w:rFonts w:ascii="Verdana" w:hAnsi="Verdana" w:cs="Calibri"/>
          <w:sz w:val="20"/>
          <w:szCs w:val="20"/>
        </w:rPr>
      </w:pPr>
      <w:r w:rsidRPr="00FC1F40">
        <w:rPr>
          <w:rFonts w:ascii="Verdana" w:hAnsi="Verdana" w:cs="Calibri"/>
          <w:sz w:val="20"/>
          <w:szCs w:val="20"/>
        </w:rPr>
        <w:t>En particular,</w:t>
      </w:r>
      <w:r w:rsidR="0033373E" w:rsidRPr="00FC1F40">
        <w:rPr>
          <w:rFonts w:ascii="Verdana" w:hAnsi="Verdana" w:cs="Calibri"/>
          <w:sz w:val="20"/>
          <w:szCs w:val="20"/>
        </w:rPr>
        <w:t xml:space="preserve"> se ha advertido que, salvo algunas excepciones</w:t>
      </w:r>
      <w:r w:rsidR="00EC3DEA" w:rsidRPr="00FC1F40">
        <w:rPr>
          <w:rFonts w:ascii="Verdana" w:hAnsi="Verdana" w:cs="Calibri"/>
          <w:sz w:val="20"/>
          <w:szCs w:val="20"/>
        </w:rPr>
        <w:t xml:space="preserve"> </w:t>
      </w:r>
      <w:r w:rsidR="005C0723">
        <w:rPr>
          <w:rFonts w:ascii="Verdana" w:hAnsi="Verdana" w:cs="Calibri"/>
          <w:sz w:val="20"/>
          <w:szCs w:val="20"/>
        </w:rPr>
        <w:t>que</w:t>
      </w:r>
      <w:r w:rsidR="005C7E4D">
        <w:rPr>
          <w:rFonts w:ascii="Verdana" w:hAnsi="Verdana" w:cs="Calibri"/>
          <w:sz w:val="20"/>
          <w:szCs w:val="20"/>
        </w:rPr>
        <w:t>,</w:t>
      </w:r>
      <w:r w:rsidR="005C0723">
        <w:rPr>
          <w:rFonts w:ascii="Verdana" w:hAnsi="Verdana" w:cs="Calibri"/>
          <w:sz w:val="20"/>
          <w:szCs w:val="20"/>
        </w:rPr>
        <w:t xml:space="preserve"> </w:t>
      </w:r>
      <w:r w:rsidR="00EC3DEA" w:rsidRPr="00FC1F40">
        <w:rPr>
          <w:rFonts w:ascii="Verdana" w:hAnsi="Verdana" w:cs="Calibri"/>
          <w:sz w:val="20"/>
          <w:szCs w:val="20"/>
        </w:rPr>
        <w:t>según el Estado se dieron entre 2014 y 2017</w:t>
      </w:r>
      <w:r w:rsidR="0033373E" w:rsidRPr="00FC1F40">
        <w:rPr>
          <w:rFonts w:ascii="Verdana" w:hAnsi="Verdana" w:cs="Calibri"/>
          <w:sz w:val="20"/>
          <w:szCs w:val="20"/>
        </w:rPr>
        <w:t xml:space="preserve">, se ha mantenido la interpretación realizada en </w:t>
      </w:r>
      <w:r w:rsidR="005C0723">
        <w:rPr>
          <w:rFonts w:ascii="Verdana" w:hAnsi="Verdana" w:cs="Calibri"/>
          <w:sz w:val="20"/>
          <w:szCs w:val="20"/>
        </w:rPr>
        <w:t xml:space="preserve">la decisión emitida en febrero de </w:t>
      </w:r>
      <w:r w:rsidR="0033373E" w:rsidRPr="00FC1F40">
        <w:rPr>
          <w:rFonts w:ascii="Verdana" w:hAnsi="Verdana" w:cs="Calibri"/>
          <w:sz w:val="20"/>
          <w:szCs w:val="20"/>
        </w:rPr>
        <w:t xml:space="preserve">2013 por </w:t>
      </w:r>
      <w:r w:rsidR="00503055">
        <w:rPr>
          <w:rFonts w:ascii="Verdana" w:hAnsi="Verdana" w:cs="Calibri"/>
          <w:sz w:val="20"/>
          <w:szCs w:val="20"/>
        </w:rPr>
        <w:t xml:space="preserve">la </w:t>
      </w:r>
      <w:r w:rsidR="0033373E" w:rsidRPr="00FC1F40">
        <w:rPr>
          <w:rFonts w:ascii="Verdana" w:hAnsi="Verdana" w:cs="Calibri"/>
          <w:sz w:val="20"/>
          <w:szCs w:val="20"/>
        </w:rPr>
        <w:t xml:space="preserve">Suprema </w:t>
      </w:r>
      <w:r w:rsidR="005C0723">
        <w:rPr>
          <w:rFonts w:ascii="Verdana" w:hAnsi="Verdana" w:cs="Calibri"/>
          <w:sz w:val="20"/>
          <w:szCs w:val="20"/>
        </w:rPr>
        <w:t xml:space="preserve">Corte </w:t>
      </w:r>
      <w:r w:rsidR="0033373E" w:rsidRPr="00FC1F40">
        <w:rPr>
          <w:rFonts w:ascii="Verdana" w:hAnsi="Verdana" w:cs="Calibri"/>
          <w:sz w:val="20"/>
          <w:szCs w:val="20"/>
        </w:rPr>
        <w:t>de Justicia, en cuanto a la inconstitucionalidad de los artículos 2 y 3 de la Ley No. 18.831, que se refieren a la imprescriptibilidad y carácter de crímenes de lesa humanidad de las violaciones ocurridas durante la dictadura</w:t>
      </w:r>
      <w:r w:rsidR="00012053">
        <w:rPr>
          <w:rFonts w:ascii="Verdana" w:hAnsi="Verdana" w:cs="Calibri"/>
          <w:sz w:val="20"/>
          <w:szCs w:val="20"/>
        </w:rPr>
        <w:t xml:space="preserve"> (</w:t>
      </w:r>
      <w:r w:rsidR="00012053" w:rsidRPr="007B5E63">
        <w:rPr>
          <w:rFonts w:ascii="Verdana" w:hAnsi="Verdana" w:cs="Calibri"/>
          <w:i/>
          <w:sz w:val="20"/>
          <w:szCs w:val="20"/>
        </w:rPr>
        <w:t xml:space="preserve">supra </w:t>
      </w:r>
      <w:r w:rsidR="00012053">
        <w:rPr>
          <w:rFonts w:ascii="Verdana" w:hAnsi="Verdana" w:cs="Calibri"/>
          <w:sz w:val="20"/>
          <w:szCs w:val="20"/>
        </w:rPr>
        <w:t>Considerandos 23 y 24)</w:t>
      </w:r>
      <w:r w:rsidR="0033373E" w:rsidRPr="00FC1F40">
        <w:rPr>
          <w:rFonts w:ascii="Verdana" w:hAnsi="Verdana" w:cs="Calibri"/>
          <w:sz w:val="20"/>
          <w:szCs w:val="20"/>
        </w:rPr>
        <w:t xml:space="preserve">. </w:t>
      </w:r>
      <w:r w:rsidR="00EC3DEA" w:rsidRPr="00FC1F40">
        <w:rPr>
          <w:rFonts w:ascii="Verdana" w:hAnsi="Verdana" w:cs="Calibri"/>
          <w:sz w:val="20"/>
          <w:szCs w:val="20"/>
        </w:rPr>
        <w:t>En 2019</w:t>
      </w:r>
      <w:r w:rsidR="00012053">
        <w:rPr>
          <w:rFonts w:ascii="Verdana" w:hAnsi="Verdana" w:cs="Calibri"/>
          <w:sz w:val="20"/>
          <w:szCs w:val="20"/>
        </w:rPr>
        <w:t>,</w:t>
      </w:r>
      <w:r w:rsidR="00EC3DEA" w:rsidRPr="00FC1F40">
        <w:rPr>
          <w:rFonts w:ascii="Verdana" w:hAnsi="Verdana" w:cs="Calibri"/>
          <w:sz w:val="20"/>
          <w:szCs w:val="20"/>
        </w:rPr>
        <w:t xml:space="preserve"> dicho máximo tribunal interno emitió una decisión</w:t>
      </w:r>
      <w:r w:rsidR="0008250C" w:rsidRPr="00FC1F40">
        <w:rPr>
          <w:rFonts w:ascii="Verdana" w:hAnsi="Verdana" w:cs="Calibri"/>
          <w:sz w:val="20"/>
          <w:szCs w:val="20"/>
        </w:rPr>
        <w:t>, en el marco de un recurso de casación interpuesto por la defensa de un imputado en un caso por el delito de homicidio especialmente agravado,</w:t>
      </w:r>
      <w:r w:rsidR="00EC3DEA" w:rsidRPr="00FC1F40">
        <w:rPr>
          <w:rFonts w:ascii="Verdana" w:hAnsi="Verdana" w:cs="Calibri"/>
          <w:sz w:val="20"/>
          <w:szCs w:val="20"/>
        </w:rPr>
        <w:t xml:space="preserve"> en la </w:t>
      </w:r>
      <w:r w:rsidR="000D5692">
        <w:rPr>
          <w:rFonts w:ascii="Verdana" w:hAnsi="Verdana" w:cs="Calibri"/>
          <w:sz w:val="20"/>
          <w:szCs w:val="20"/>
        </w:rPr>
        <w:t>cual</w:t>
      </w:r>
      <w:r w:rsidR="00EC3DEA" w:rsidRPr="00FC1F40">
        <w:rPr>
          <w:rFonts w:ascii="Verdana" w:hAnsi="Verdana" w:cs="Calibri"/>
          <w:sz w:val="20"/>
          <w:szCs w:val="20"/>
        </w:rPr>
        <w:t xml:space="preserve"> modificó </w:t>
      </w:r>
      <w:r w:rsidR="003E4E89">
        <w:rPr>
          <w:rFonts w:ascii="Verdana" w:hAnsi="Verdana" w:cs="Calibri"/>
          <w:sz w:val="20"/>
          <w:szCs w:val="20"/>
        </w:rPr>
        <w:t>en parte</w:t>
      </w:r>
      <w:r w:rsidR="00EC3DEA" w:rsidRPr="00FC1F40">
        <w:rPr>
          <w:rFonts w:ascii="Verdana" w:hAnsi="Verdana" w:cs="Calibri"/>
          <w:sz w:val="20"/>
          <w:szCs w:val="20"/>
        </w:rPr>
        <w:t xml:space="preserve"> su postura en cuanto a la prescripción de tales violaciones</w:t>
      </w:r>
      <w:r w:rsidR="00012053">
        <w:rPr>
          <w:rFonts w:ascii="Verdana" w:hAnsi="Verdana" w:cs="Calibri"/>
          <w:sz w:val="20"/>
          <w:szCs w:val="20"/>
        </w:rPr>
        <w:t xml:space="preserve"> ocurridas en la dictadura</w:t>
      </w:r>
      <w:r w:rsidR="00EC3DEA" w:rsidRPr="00FC1F40">
        <w:rPr>
          <w:rFonts w:ascii="Verdana" w:hAnsi="Verdana" w:cs="Calibri"/>
          <w:sz w:val="20"/>
          <w:szCs w:val="20"/>
        </w:rPr>
        <w:t xml:space="preserve">, al considerar que “no es computable el período del régimen </w:t>
      </w:r>
      <w:r w:rsidR="00EC3DEA" w:rsidRPr="007B5E63">
        <w:rPr>
          <w:rFonts w:ascii="Verdana" w:hAnsi="Verdana" w:cs="Calibri"/>
          <w:i/>
          <w:sz w:val="20"/>
          <w:szCs w:val="20"/>
        </w:rPr>
        <w:t>de facto</w:t>
      </w:r>
      <w:r w:rsidR="00EC3DEA" w:rsidRPr="00FC1F40">
        <w:rPr>
          <w:rFonts w:ascii="Verdana" w:hAnsi="Verdana" w:cs="Calibri"/>
          <w:sz w:val="20"/>
          <w:szCs w:val="20"/>
        </w:rPr>
        <w:t xml:space="preserve"> para calcular el plazo de la prescripción penal, ya que durante ese tiempo su titular estuvo impedido de promover las investigaciones correspondientes”</w:t>
      </w:r>
      <w:r w:rsidR="00EC3DEA" w:rsidRPr="00FC1F40">
        <w:rPr>
          <w:rStyle w:val="Refdenotaalpie"/>
          <w:rFonts w:ascii="Verdana" w:hAnsi="Verdana" w:cs="Calibri"/>
          <w:sz w:val="20"/>
          <w:szCs w:val="20"/>
        </w:rPr>
        <w:footnoteReference w:id="44"/>
      </w:r>
      <w:r w:rsidR="0008250C" w:rsidRPr="00FC1F40">
        <w:rPr>
          <w:rFonts w:ascii="Verdana" w:hAnsi="Verdana" w:cs="Calibri"/>
          <w:sz w:val="20"/>
          <w:szCs w:val="20"/>
        </w:rPr>
        <w:t xml:space="preserve">. </w:t>
      </w:r>
      <w:r w:rsidR="00130E1D" w:rsidRPr="00FC1F40">
        <w:rPr>
          <w:rFonts w:ascii="Verdana" w:hAnsi="Verdana" w:cs="Calibri"/>
          <w:sz w:val="20"/>
          <w:szCs w:val="20"/>
        </w:rPr>
        <w:t xml:space="preserve">Tal decisión no reconoce el carácter imprescriptible de las graves violaciones a derechos humanos cometidas durante la dictadura, solamente interpreta cómo debe computarse su plazo de prescripción. </w:t>
      </w:r>
    </w:p>
    <w:p w14:paraId="681C9A5B" w14:textId="48C3D677" w:rsidR="00C60606" w:rsidRPr="00C60606" w:rsidRDefault="005C1774" w:rsidP="00C60606">
      <w:pPr>
        <w:pStyle w:val="NormalWeb"/>
        <w:numPr>
          <w:ilvl w:val="0"/>
          <w:numId w:val="4"/>
        </w:numPr>
        <w:spacing w:before="120" w:after="120"/>
        <w:ind w:left="0" w:firstLine="0"/>
        <w:jc w:val="both"/>
        <w:rPr>
          <w:rFonts w:ascii="Verdana" w:hAnsi="Verdana" w:cs="Calibri"/>
          <w:sz w:val="20"/>
          <w:szCs w:val="20"/>
        </w:rPr>
      </w:pPr>
      <w:r w:rsidRPr="00C60606">
        <w:rPr>
          <w:rFonts w:ascii="Verdana" w:hAnsi="Verdana" w:cs="Calibri"/>
          <w:sz w:val="20"/>
          <w:szCs w:val="20"/>
        </w:rPr>
        <w:t xml:space="preserve">Al respecto, </w:t>
      </w:r>
      <w:r w:rsidR="0008250C" w:rsidRPr="00C60606">
        <w:rPr>
          <w:rFonts w:ascii="Verdana" w:hAnsi="Verdana" w:cs="Calibri"/>
          <w:sz w:val="20"/>
          <w:szCs w:val="20"/>
        </w:rPr>
        <w:t xml:space="preserve">este Tribunal advierte que la </w:t>
      </w:r>
      <w:r w:rsidR="00FC1F40" w:rsidRPr="00C60606">
        <w:rPr>
          <w:rFonts w:ascii="Verdana" w:hAnsi="Verdana" w:cs="Calibri"/>
          <w:sz w:val="20"/>
          <w:szCs w:val="20"/>
        </w:rPr>
        <w:t xml:space="preserve">postura </w:t>
      </w:r>
      <w:r w:rsidR="0008250C" w:rsidRPr="00C60606">
        <w:rPr>
          <w:rFonts w:ascii="Verdana" w:hAnsi="Verdana" w:cs="Calibri"/>
          <w:sz w:val="20"/>
          <w:szCs w:val="20"/>
        </w:rPr>
        <w:t xml:space="preserve">de la Suprema </w:t>
      </w:r>
      <w:r w:rsidR="006A69D6">
        <w:rPr>
          <w:rFonts w:ascii="Verdana" w:hAnsi="Verdana" w:cs="Calibri"/>
          <w:sz w:val="20"/>
          <w:szCs w:val="20"/>
        </w:rPr>
        <w:t xml:space="preserve">Corte </w:t>
      </w:r>
      <w:r w:rsidR="0008250C" w:rsidRPr="00C60606">
        <w:rPr>
          <w:rFonts w:ascii="Verdana" w:hAnsi="Verdana" w:cs="Calibri"/>
          <w:sz w:val="20"/>
          <w:szCs w:val="20"/>
        </w:rPr>
        <w:t>de Justicia</w:t>
      </w:r>
      <w:r w:rsidR="00FC1F40" w:rsidRPr="00C60606">
        <w:rPr>
          <w:rFonts w:ascii="Verdana" w:hAnsi="Verdana" w:cs="Calibri"/>
          <w:sz w:val="20"/>
          <w:szCs w:val="20"/>
        </w:rPr>
        <w:t xml:space="preserve"> en cuanto a la prescripción y calificación jurídica de las graves violaciones a derechos humanos cometidas durante la dictadura continúa sin ser acorde con lo ordenado en el párrafo 254 de la Sentencia</w:t>
      </w:r>
      <w:r w:rsidR="00503055">
        <w:rPr>
          <w:rFonts w:ascii="Verdana" w:hAnsi="Verdana" w:cs="Calibri"/>
          <w:sz w:val="20"/>
          <w:szCs w:val="20"/>
        </w:rPr>
        <w:t>,</w:t>
      </w:r>
      <w:r w:rsidR="00FC1F40" w:rsidRPr="00C60606">
        <w:rPr>
          <w:rFonts w:ascii="Verdana" w:hAnsi="Verdana" w:cs="Calibri"/>
          <w:sz w:val="20"/>
          <w:szCs w:val="20"/>
        </w:rPr>
        <w:t xml:space="preserve"> en cuanto al </w:t>
      </w:r>
      <w:r w:rsidR="00762A53" w:rsidRPr="00C60606">
        <w:rPr>
          <w:rFonts w:ascii="Verdana" w:hAnsi="Verdana" w:cs="Calibri"/>
          <w:sz w:val="20"/>
          <w:szCs w:val="20"/>
        </w:rPr>
        <w:t xml:space="preserve">deber estatal de “disponer que ninguna otra norma análoga [a la Ley de Caducidad], como prescripción, irretroactividad de la ley penal, cosa juzgada, </w:t>
      </w:r>
      <w:proofErr w:type="spellStart"/>
      <w:r w:rsidR="00762A53" w:rsidRPr="00C60606">
        <w:rPr>
          <w:rFonts w:ascii="Verdana" w:hAnsi="Verdana" w:cs="Calibri"/>
          <w:i/>
          <w:iCs/>
          <w:sz w:val="20"/>
          <w:szCs w:val="20"/>
        </w:rPr>
        <w:t>ne</w:t>
      </w:r>
      <w:proofErr w:type="spellEnd"/>
      <w:r w:rsidR="00762A53" w:rsidRPr="00C60606">
        <w:rPr>
          <w:rFonts w:ascii="Verdana" w:hAnsi="Verdana" w:cs="Calibri"/>
          <w:i/>
          <w:iCs/>
          <w:sz w:val="20"/>
          <w:szCs w:val="20"/>
        </w:rPr>
        <w:t xml:space="preserve"> bis in </w:t>
      </w:r>
      <w:proofErr w:type="spellStart"/>
      <w:r w:rsidR="00762A53" w:rsidRPr="00C60606">
        <w:rPr>
          <w:rFonts w:ascii="Verdana" w:hAnsi="Verdana" w:cs="Calibri"/>
          <w:i/>
          <w:iCs/>
          <w:sz w:val="20"/>
          <w:szCs w:val="20"/>
        </w:rPr>
        <w:t>idem</w:t>
      </w:r>
      <w:proofErr w:type="spellEnd"/>
      <w:r w:rsidR="00762A53" w:rsidRPr="00C60606">
        <w:rPr>
          <w:rFonts w:ascii="Verdana" w:hAnsi="Verdana" w:cs="Calibri"/>
          <w:sz w:val="20"/>
          <w:szCs w:val="20"/>
        </w:rPr>
        <w:t xml:space="preserve"> o cualquier excluyente similar de responsabilidad, sea aplicada y que las autoridades se abstengan de realizar actos que impliquen obstrucción del proceso investigativo”</w:t>
      </w:r>
      <w:r w:rsidR="00AB3B85">
        <w:rPr>
          <w:rFonts w:ascii="Verdana" w:hAnsi="Verdana" w:cs="Calibri"/>
          <w:sz w:val="20"/>
          <w:szCs w:val="20"/>
        </w:rPr>
        <w:t xml:space="preserve"> (</w:t>
      </w:r>
      <w:r w:rsidR="00AB3B85" w:rsidRPr="007B5E63">
        <w:rPr>
          <w:rFonts w:ascii="Verdana" w:hAnsi="Verdana" w:cs="Calibri"/>
          <w:i/>
          <w:sz w:val="20"/>
          <w:szCs w:val="20"/>
        </w:rPr>
        <w:t>supra</w:t>
      </w:r>
      <w:r w:rsidR="00AB3B85">
        <w:rPr>
          <w:rFonts w:ascii="Verdana" w:hAnsi="Verdana" w:cs="Calibri"/>
          <w:sz w:val="20"/>
          <w:szCs w:val="20"/>
        </w:rPr>
        <w:t xml:space="preserve"> Considerando 21)</w:t>
      </w:r>
      <w:r w:rsidR="00762A53" w:rsidRPr="00C60606">
        <w:rPr>
          <w:rFonts w:ascii="Verdana" w:hAnsi="Verdana" w:cs="Calibri"/>
          <w:sz w:val="20"/>
          <w:szCs w:val="20"/>
        </w:rPr>
        <w:t xml:space="preserve">. En ese sentido, no existe seguridad jurídica suficiente de que, a pesar de las normas aprobadas por el Estado, </w:t>
      </w:r>
      <w:r w:rsidR="00C60606" w:rsidRPr="00C60606">
        <w:rPr>
          <w:rFonts w:ascii="Verdana" w:hAnsi="Verdana" w:cs="Calibri"/>
          <w:sz w:val="20"/>
          <w:szCs w:val="20"/>
        </w:rPr>
        <w:t xml:space="preserve">se hayan adoptado todas las medidas y acciones necesarias para que los efectos </w:t>
      </w:r>
      <w:r w:rsidR="00C60606" w:rsidRPr="00C60606">
        <w:rPr>
          <w:rFonts w:ascii="Verdana" w:hAnsi="Verdana" w:cs="Calibri"/>
          <w:sz w:val="20"/>
          <w:szCs w:val="20"/>
        </w:rPr>
        <w:lastRenderedPageBreak/>
        <w:t>de la Ley de Caducidad ya no representen un obstáculo y no queden en impunidad hechos constitutivos</w:t>
      </w:r>
      <w:r w:rsidR="00762A53" w:rsidRPr="00C60606">
        <w:rPr>
          <w:rFonts w:ascii="Verdana" w:hAnsi="Verdana" w:cs="Calibri"/>
          <w:sz w:val="20"/>
          <w:szCs w:val="20"/>
        </w:rPr>
        <w:t xml:space="preserve"> </w:t>
      </w:r>
      <w:r w:rsidR="00AA6D88">
        <w:rPr>
          <w:rFonts w:ascii="Verdana" w:hAnsi="Verdana" w:cs="Calibri"/>
          <w:sz w:val="20"/>
          <w:szCs w:val="20"/>
        </w:rPr>
        <w:t xml:space="preserve">de </w:t>
      </w:r>
      <w:r w:rsidR="00762A53" w:rsidRPr="00C60606">
        <w:rPr>
          <w:rFonts w:ascii="Verdana" w:hAnsi="Verdana" w:cs="Calibri"/>
          <w:sz w:val="20"/>
          <w:szCs w:val="20"/>
        </w:rPr>
        <w:t>graves violaciones a derechos humanos</w:t>
      </w:r>
      <w:r w:rsidR="006A69D6">
        <w:rPr>
          <w:rFonts w:ascii="Verdana" w:hAnsi="Verdana" w:cs="Calibri"/>
          <w:sz w:val="20"/>
          <w:szCs w:val="20"/>
        </w:rPr>
        <w:t xml:space="preserve"> cometidos en la dictadura</w:t>
      </w:r>
      <w:r w:rsidR="00C60606" w:rsidRPr="00C60606">
        <w:rPr>
          <w:rFonts w:ascii="Verdana" w:hAnsi="Verdana" w:cs="Calibri"/>
          <w:sz w:val="20"/>
          <w:szCs w:val="20"/>
        </w:rPr>
        <w:t xml:space="preserve">. </w:t>
      </w:r>
    </w:p>
    <w:p w14:paraId="17F66951" w14:textId="3796BE67" w:rsidR="003A6106" w:rsidRPr="006A69D6" w:rsidRDefault="00762A53" w:rsidP="00CB5FF8">
      <w:pPr>
        <w:pStyle w:val="NormalWeb"/>
        <w:numPr>
          <w:ilvl w:val="0"/>
          <w:numId w:val="4"/>
        </w:numPr>
        <w:spacing w:before="120" w:after="120"/>
        <w:ind w:left="0" w:firstLine="0"/>
        <w:jc w:val="both"/>
        <w:rPr>
          <w:rFonts w:ascii="Verdana" w:hAnsi="Verdana" w:cs="Calibri"/>
          <w:sz w:val="20"/>
          <w:szCs w:val="20"/>
        </w:rPr>
      </w:pPr>
      <w:r w:rsidRPr="006A69D6">
        <w:rPr>
          <w:rFonts w:ascii="Verdana" w:hAnsi="Verdana" w:cs="Calibri"/>
          <w:sz w:val="20"/>
          <w:szCs w:val="20"/>
        </w:rPr>
        <w:t xml:space="preserve">Por lo anterior, la Corte reitera las consideraciones expuestas en su Resolución de </w:t>
      </w:r>
      <w:r w:rsidR="00AB3B85">
        <w:rPr>
          <w:rFonts w:ascii="Verdana" w:hAnsi="Verdana" w:cs="Calibri"/>
          <w:sz w:val="20"/>
          <w:szCs w:val="20"/>
        </w:rPr>
        <w:t xml:space="preserve">marzo de </w:t>
      </w:r>
      <w:r w:rsidRPr="006A69D6">
        <w:rPr>
          <w:rFonts w:ascii="Verdana" w:hAnsi="Verdana" w:cs="Calibri"/>
          <w:sz w:val="20"/>
          <w:szCs w:val="20"/>
        </w:rPr>
        <w:t>2013 en cuanto a</w:t>
      </w:r>
      <w:r w:rsidR="00CB5FF8" w:rsidRPr="006A69D6">
        <w:rPr>
          <w:rFonts w:ascii="Verdana" w:hAnsi="Verdana" w:cs="Calibri"/>
          <w:sz w:val="20"/>
          <w:szCs w:val="20"/>
        </w:rPr>
        <w:t xml:space="preserve">l carácter obligatorio de </w:t>
      </w:r>
      <w:r w:rsidR="00AA6D88">
        <w:rPr>
          <w:rFonts w:ascii="Verdana" w:hAnsi="Verdana" w:cs="Calibri"/>
          <w:sz w:val="20"/>
          <w:szCs w:val="20"/>
        </w:rPr>
        <w:t>su</w:t>
      </w:r>
      <w:r w:rsidR="00CB5FF8" w:rsidRPr="006A69D6">
        <w:rPr>
          <w:rFonts w:ascii="Verdana" w:hAnsi="Verdana" w:cs="Calibri"/>
          <w:sz w:val="20"/>
          <w:szCs w:val="20"/>
        </w:rPr>
        <w:t xml:space="preserve"> Sentencia, los alcances de la obligación estatal de ejercer un control de convencionalidad y estándares sobre la aplicación de la prescripción de graves violaciones a derechos humanos (</w:t>
      </w:r>
      <w:r w:rsidR="00CB5FF8" w:rsidRPr="006A69D6">
        <w:rPr>
          <w:rFonts w:ascii="Verdana" w:hAnsi="Verdana" w:cs="Calibri"/>
          <w:i/>
          <w:iCs/>
          <w:sz w:val="20"/>
          <w:szCs w:val="20"/>
        </w:rPr>
        <w:t>supra</w:t>
      </w:r>
      <w:r w:rsidR="00CB5FF8" w:rsidRPr="006A69D6">
        <w:rPr>
          <w:rFonts w:ascii="Verdana" w:hAnsi="Verdana" w:cs="Calibri"/>
          <w:sz w:val="20"/>
          <w:szCs w:val="20"/>
        </w:rPr>
        <w:t xml:space="preserve"> Considerando </w:t>
      </w:r>
      <w:r w:rsidR="00AB3B85">
        <w:rPr>
          <w:rFonts w:ascii="Verdana" w:hAnsi="Verdana" w:cs="Calibri"/>
          <w:sz w:val="20"/>
          <w:szCs w:val="20"/>
        </w:rPr>
        <w:t>24</w:t>
      </w:r>
      <w:r w:rsidR="00CB5FF8" w:rsidRPr="006A69D6">
        <w:rPr>
          <w:rFonts w:ascii="Verdana" w:hAnsi="Verdana" w:cs="Calibri"/>
          <w:sz w:val="20"/>
          <w:szCs w:val="20"/>
        </w:rPr>
        <w:t>)</w:t>
      </w:r>
      <w:r w:rsidRPr="006A69D6">
        <w:rPr>
          <w:rFonts w:ascii="Verdana" w:hAnsi="Verdana" w:cs="Calibri"/>
          <w:sz w:val="20"/>
          <w:szCs w:val="20"/>
        </w:rPr>
        <w:t xml:space="preserve">. Asimismo, reitera </w:t>
      </w:r>
      <w:r w:rsidR="00CB5FF8" w:rsidRPr="006A69D6">
        <w:rPr>
          <w:rFonts w:ascii="Verdana" w:hAnsi="Verdana" w:cs="Calibri"/>
          <w:sz w:val="20"/>
          <w:szCs w:val="20"/>
        </w:rPr>
        <w:t>el importante rol que</w:t>
      </w:r>
      <w:r w:rsidR="006A69D6" w:rsidRPr="006A69D6">
        <w:rPr>
          <w:rFonts w:ascii="Verdana" w:hAnsi="Verdana" w:cs="Calibri"/>
          <w:sz w:val="20"/>
          <w:szCs w:val="20"/>
        </w:rPr>
        <w:t xml:space="preserve"> </w:t>
      </w:r>
      <w:r w:rsidR="00CB5FF8" w:rsidRPr="006A69D6">
        <w:rPr>
          <w:rFonts w:ascii="Verdana" w:hAnsi="Verdana" w:cs="Calibri"/>
          <w:sz w:val="20"/>
          <w:szCs w:val="20"/>
        </w:rPr>
        <w:t xml:space="preserve">la Suprema </w:t>
      </w:r>
      <w:r w:rsidR="006A69D6" w:rsidRPr="006A69D6">
        <w:rPr>
          <w:rFonts w:ascii="Verdana" w:hAnsi="Verdana" w:cs="Calibri"/>
          <w:sz w:val="20"/>
          <w:szCs w:val="20"/>
        </w:rPr>
        <w:t xml:space="preserve">Corte </w:t>
      </w:r>
      <w:r w:rsidR="00CB5FF8" w:rsidRPr="006A69D6">
        <w:rPr>
          <w:rFonts w:ascii="Verdana" w:hAnsi="Verdana" w:cs="Calibri"/>
          <w:sz w:val="20"/>
          <w:szCs w:val="20"/>
        </w:rPr>
        <w:t>de Justicia de Uruguay- como tribunal nacional de más alta jerarquía- tiene, en el ámbito de sus competencias, en el cumplimiento o implementación de la Sentencia de la Corte Interamericana</w:t>
      </w:r>
      <w:r w:rsidR="00CB5FF8" w:rsidRPr="006A69D6">
        <w:rPr>
          <w:rStyle w:val="Refdenotaalpie"/>
          <w:rFonts w:ascii="Verdana" w:hAnsi="Verdana" w:cs="Calibri"/>
          <w:sz w:val="20"/>
          <w:szCs w:val="20"/>
        </w:rPr>
        <w:footnoteReference w:id="45"/>
      </w:r>
      <w:r w:rsidR="00CB5FF8" w:rsidRPr="006A69D6">
        <w:rPr>
          <w:rFonts w:ascii="Verdana" w:hAnsi="Verdana" w:cs="Calibri"/>
          <w:sz w:val="20"/>
          <w:szCs w:val="20"/>
        </w:rPr>
        <w:t>.</w:t>
      </w:r>
    </w:p>
    <w:p w14:paraId="2D6A7100" w14:textId="2D1353D4" w:rsidR="00CB5FF8" w:rsidRPr="006F6CD3" w:rsidRDefault="00CB5FF8" w:rsidP="00CB5FF8">
      <w:pPr>
        <w:pStyle w:val="NormalWeb"/>
        <w:numPr>
          <w:ilvl w:val="0"/>
          <w:numId w:val="4"/>
        </w:numPr>
        <w:spacing w:before="120" w:after="120"/>
        <w:ind w:left="0" w:firstLine="0"/>
        <w:jc w:val="both"/>
        <w:rPr>
          <w:rFonts w:ascii="Verdana" w:hAnsi="Verdana" w:cs="Calibri"/>
          <w:sz w:val="20"/>
          <w:szCs w:val="20"/>
        </w:rPr>
      </w:pPr>
      <w:r w:rsidRPr="006A69D6">
        <w:rPr>
          <w:rFonts w:ascii="Verdana" w:hAnsi="Verdana" w:cs="Calibri"/>
          <w:sz w:val="20"/>
          <w:szCs w:val="20"/>
        </w:rPr>
        <w:t>En consecuencia, la Corte considera que el Estado ha dado cumplimiento parcial a la medida ordena</w:t>
      </w:r>
      <w:r w:rsidR="00495C26" w:rsidRPr="006A69D6">
        <w:rPr>
          <w:rFonts w:ascii="Verdana" w:hAnsi="Verdana" w:cs="Calibri"/>
          <w:sz w:val="20"/>
          <w:szCs w:val="20"/>
        </w:rPr>
        <w:t xml:space="preserve">da en el punto resolutivo décimo primero de la </w:t>
      </w:r>
      <w:r w:rsidR="007F18BA">
        <w:rPr>
          <w:rFonts w:ascii="Verdana" w:hAnsi="Verdana" w:cs="Calibri"/>
          <w:sz w:val="20"/>
          <w:szCs w:val="20"/>
        </w:rPr>
        <w:t xml:space="preserve">Sentencia, en tanto adoptó acciones normativas concretas para dejar sin efecto la Ley de Caducidad. Sin embargo, persisten interpretaciones judiciales respecto de dicha normativa que no brindan seguridad jurídica suficiente de que </w:t>
      </w:r>
      <w:r w:rsidR="007F18BA" w:rsidRPr="00C60606">
        <w:rPr>
          <w:rFonts w:ascii="Verdana" w:hAnsi="Verdana" w:cs="Calibri"/>
          <w:sz w:val="20"/>
          <w:szCs w:val="20"/>
        </w:rPr>
        <w:t xml:space="preserve">los efectos de la Ley de Caducidad ya no representen un obstáculo </w:t>
      </w:r>
      <w:r w:rsidR="007F18BA">
        <w:rPr>
          <w:rFonts w:ascii="Verdana" w:hAnsi="Verdana" w:cs="Calibri"/>
          <w:sz w:val="20"/>
          <w:szCs w:val="20"/>
        </w:rPr>
        <w:t xml:space="preserve">para la investigación, juzgamiento y sanción de </w:t>
      </w:r>
      <w:r w:rsidR="007F18BA" w:rsidRPr="00C60606">
        <w:rPr>
          <w:rFonts w:ascii="Verdana" w:hAnsi="Verdana" w:cs="Calibri"/>
          <w:sz w:val="20"/>
          <w:szCs w:val="20"/>
        </w:rPr>
        <w:t xml:space="preserve">hechos constitutivos </w:t>
      </w:r>
      <w:r w:rsidR="00AA6D88">
        <w:rPr>
          <w:rFonts w:ascii="Verdana" w:hAnsi="Verdana" w:cs="Calibri"/>
          <w:sz w:val="20"/>
          <w:szCs w:val="20"/>
        </w:rPr>
        <w:t xml:space="preserve">de </w:t>
      </w:r>
      <w:r w:rsidR="007F18BA" w:rsidRPr="00C60606">
        <w:rPr>
          <w:rFonts w:ascii="Verdana" w:hAnsi="Verdana" w:cs="Calibri"/>
          <w:sz w:val="20"/>
          <w:szCs w:val="20"/>
        </w:rPr>
        <w:t>graves violaciones a derechos humanos</w:t>
      </w:r>
      <w:r w:rsidR="007F18BA">
        <w:rPr>
          <w:rFonts w:ascii="Verdana" w:hAnsi="Verdana" w:cs="Calibri"/>
          <w:sz w:val="20"/>
          <w:szCs w:val="20"/>
        </w:rPr>
        <w:t xml:space="preserve"> cometidos </w:t>
      </w:r>
      <w:r w:rsidR="00AA6D88">
        <w:rPr>
          <w:rFonts w:ascii="Verdana" w:hAnsi="Verdana" w:cs="Calibri"/>
          <w:sz w:val="20"/>
          <w:szCs w:val="20"/>
        </w:rPr>
        <w:t>durante</w:t>
      </w:r>
      <w:r w:rsidR="007F18BA">
        <w:rPr>
          <w:rFonts w:ascii="Verdana" w:hAnsi="Verdana" w:cs="Calibri"/>
          <w:sz w:val="20"/>
          <w:szCs w:val="20"/>
        </w:rPr>
        <w:t xml:space="preserve"> la dictadura</w:t>
      </w:r>
      <w:r w:rsidR="007F18BA" w:rsidRPr="00C60606">
        <w:rPr>
          <w:rFonts w:ascii="Verdana" w:hAnsi="Verdana" w:cs="Calibri"/>
          <w:sz w:val="20"/>
          <w:szCs w:val="20"/>
        </w:rPr>
        <w:t>.</w:t>
      </w:r>
      <w:r w:rsidR="007F18BA">
        <w:rPr>
          <w:rFonts w:ascii="Verdana" w:hAnsi="Verdana" w:cs="Calibri"/>
          <w:sz w:val="20"/>
          <w:szCs w:val="20"/>
        </w:rPr>
        <w:t xml:space="preserve"> </w:t>
      </w:r>
    </w:p>
    <w:p w14:paraId="15BD985A" w14:textId="77777777" w:rsidR="0026027E" w:rsidRPr="00D973DD" w:rsidRDefault="0026027E" w:rsidP="006F6CD3">
      <w:pPr>
        <w:pStyle w:val="NormalWeb"/>
        <w:spacing w:before="120" w:after="120"/>
        <w:jc w:val="both"/>
        <w:rPr>
          <w:rFonts w:ascii="Verdana" w:hAnsi="Verdana" w:cs="Calibri"/>
          <w:sz w:val="20"/>
          <w:szCs w:val="20"/>
        </w:rPr>
      </w:pPr>
    </w:p>
    <w:p w14:paraId="16A72D0E" w14:textId="2F1C2577" w:rsidR="00127825" w:rsidRPr="00C8543F" w:rsidRDefault="0051062A" w:rsidP="00E87B29">
      <w:pPr>
        <w:pStyle w:val="NormalWeb"/>
        <w:numPr>
          <w:ilvl w:val="0"/>
          <w:numId w:val="5"/>
        </w:numPr>
        <w:tabs>
          <w:tab w:val="left" w:pos="1134"/>
        </w:tabs>
        <w:spacing w:before="120" w:after="120"/>
        <w:jc w:val="both"/>
        <w:outlineLvl w:val="0"/>
        <w:rPr>
          <w:rFonts w:ascii="Verdana" w:hAnsi="Verdana" w:cs="Calibri"/>
          <w:b/>
          <w:i/>
          <w:color w:val="000000"/>
          <w:sz w:val="20"/>
          <w:szCs w:val="20"/>
        </w:rPr>
      </w:pPr>
      <w:bookmarkStart w:id="5" w:name="_Toc51857568"/>
      <w:r>
        <w:rPr>
          <w:rFonts w:ascii="Verdana" w:hAnsi="Verdana" w:cs="Calibri"/>
          <w:b/>
          <w:i/>
          <w:color w:val="000000"/>
          <w:sz w:val="20"/>
          <w:szCs w:val="20"/>
        </w:rPr>
        <w:t>B</w:t>
      </w:r>
      <w:r w:rsidR="00127825" w:rsidRPr="00916788">
        <w:rPr>
          <w:rFonts w:ascii="Verdana" w:hAnsi="Verdana" w:cs="Calibri"/>
          <w:b/>
          <w:i/>
          <w:color w:val="000000"/>
          <w:sz w:val="20"/>
          <w:szCs w:val="20"/>
        </w:rPr>
        <w:t xml:space="preserve">úsqueda </w:t>
      </w:r>
      <w:r>
        <w:rPr>
          <w:rFonts w:ascii="Verdana" w:hAnsi="Verdana" w:cs="Calibri"/>
          <w:b/>
          <w:i/>
          <w:color w:val="000000"/>
          <w:sz w:val="20"/>
          <w:szCs w:val="20"/>
        </w:rPr>
        <w:t xml:space="preserve">y localización </w:t>
      </w:r>
      <w:r w:rsidR="00127825" w:rsidRPr="00916788">
        <w:rPr>
          <w:rFonts w:ascii="Verdana" w:hAnsi="Verdana" w:cs="Calibri"/>
          <w:b/>
          <w:i/>
          <w:color w:val="000000"/>
          <w:sz w:val="20"/>
          <w:szCs w:val="20"/>
        </w:rPr>
        <w:t>de María Claudia García o de sus restos mortales</w:t>
      </w:r>
      <w:bookmarkEnd w:id="5"/>
      <w:r w:rsidR="00127825" w:rsidRPr="00916788">
        <w:rPr>
          <w:rFonts w:ascii="Verdana" w:hAnsi="Verdana"/>
          <w:b/>
          <w:sz w:val="20"/>
          <w:szCs w:val="20"/>
        </w:rPr>
        <w:t xml:space="preserve"> </w:t>
      </w:r>
    </w:p>
    <w:p w14:paraId="6DD50DFC" w14:textId="4D979156" w:rsidR="00127825" w:rsidRPr="001B134B" w:rsidRDefault="006A2FBB" w:rsidP="003E40E9">
      <w:pPr>
        <w:pStyle w:val="Prrafodelista"/>
        <w:autoSpaceDE w:val="0"/>
        <w:autoSpaceDN w:val="0"/>
        <w:adjustRightInd w:val="0"/>
        <w:spacing w:before="120" w:after="120" w:line="240" w:lineRule="auto"/>
        <w:ind w:left="851"/>
        <w:contextualSpacing w:val="0"/>
        <w:jc w:val="both"/>
        <w:rPr>
          <w:rFonts w:ascii="Verdana" w:hAnsi="Verdana"/>
          <w:i/>
          <w:sz w:val="20"/>
          <w:szCs w:val="20"/>
        </w:rPr>
      </w:pPr>
      <w:r>
        <w:rPr>
          <w:rFonts w:ascii="Verdana" w:hAnsi="Verdana" w:cs="Calibri"/>
          <w:i/>
          <w:color w:val="000000"/>
          <w:sz w:val="20"/>
          <w:szCs w:val="20"/>
        </w:rPr>
        <w:t>C</w:t>
      </w:r>
      <w:r w:rsidR="00127825" w:rsidRPr="001B134B">
        <w:rPr>
          <w:rFonts w:ascii="Verdana" w:hAnsi="Verdana" w:cs="Calibri"/>
          <w:i/>
          <w:color w:val="000000"/>
          <w:sz w:val="20"/>
          <w:szCs w:val="20"/>
        </w:rPr>
        <w:t xml:space="preserve">.1. </w:t>
      </w:r>
      <w:r w:rsidR="00127825" w:rsidRPr="001B134B">
        <w:rPr>
          <w:rFonts w:ascii="Verdana" w:hAnsi="Verdana"/>
          <w:i/>
          <w:sz w:val="20"/>
          <w:szCs w:val="20"/>
        </w:rPr>
        <w:t>Medida ordenada por la Corte y supervisión realizada en resolución anterior</w:t>
      </w:r>
    </w:p>
    <w:p w14:paraId="3A2DCBAF" w14:textId="1AE2FB29" w:rsidR="005C0833" w:rsidRPr="005C0833" w:rsidRDefault="00592B07" w:rsidP="003E40E9">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5C0833">
        <w:rPr>
          <w:rFonts w:ascii="Verdana" w:hAnsi="Verdana" w:cs="Cambria"/>
          <w:sz w:val="20"/>
          <w:szCs w:val="20"/>
        </w:rPr>
        <w:t>En el punto resolutivo décimo y los párrafos 259 a 260 de la Sentencia, se dispuso que “[e]l Estado debe continuar y acelerar la búsqueda y localización inmediata de María Claudia García Iruretagoyena, o de sus restos mortales</w:t>
      </w:r>
      <w:r w:rsidR="005C0833">
        <w:rPr>
          <w:rFonts w:ascii="Verdana" w:hAnsi="Verdana" w:cs="Cambria"/>
          <w:sz w:val="20"/>
          <w:szCs w:val="20"/>
        </w:rPr>
        <w:t xml:space="preserve"> </w:t>
      </w:r>
      <w:r w:rsidRPr="005C0833">
        <w:rPr>
          <w:rFonts w:ascii="Verdana" w:hAnsi="Verdana" w:cs="Cambria"/>
          <w:sz w:val="20"/>
          <w:szCs w:val="20"/>
        </w:rPr>
        <w:t>y, en su caso, entregarlos a sus familiares, previa comprobación genética de filiación”</w:t>
      </w:r>
      <w:r w:rsidRPr="005C0833">
        <w:rPr>
          <w:rStyle w:val="Refdenotaalpie"/>
          <w:rFonts w:ascii="Verdana" w:hAnsi="Verdana" w:cs="Cambria"/>
          <w:sz w:val="20"/>
          <w:szCs w:val="20"/>
        </w:rPr>
        <w:footnoteReference w:id="46"/>
      </w:r>
      <w:r w:rsidRPr="005C0833">
        <w:rPr>
          <w:rFonts w:ascii="Verdana" w:hAnsi="Verdana" w:cs="Cambria"/>
          <w:sz w:val="20"/>
          <w:szCs w:val="20"/>
        </w:rPr>
        <w:t>.</w:t>
      </w:r>
      <w:r w:rsidR="005C0833" w:rsidRPr="005C0833">
        <w:rPr>
          <w:rFonts w:ascii="Verdana" w:hAnsi="Verdana" w:cs="Cambria"/>
          <w:sz w:val="20"/>
          <w:szCs w:val="20"/>
        </w:rPr>
        <w:t xml:space="preserve"> Se estableció</w:t>
      </w:r>
      <w:r w:rsidR="0094193B">
        <w:rPr>
          <w:rFonts w:ascii="Verdana" w:hAnsi="Verdana" w:cs="Cambria"/>
          <w:sz w:val="20"/>
          <w:szCs w:val="20"/>
        </w:rPr>
        <w:t>,</w:t>
      </w:r>
      <w:r w:rsidR="005C0833" w:rsidRPr="005C0833">
        <w:rPr>
          <w:rFonts w:ascii="Verdana" w:hAnsi="Verdana" w:cs="Cambria"/>
          <w:sz w:val="20"/>
          <w:szCs w:val="20"/>
        </w:rPr>
        <w:t xml:space="preserve"> además</w:t>
      </w:r>
      <w:r w:rsidR="0094193B">
        <w:rPr>
          <w:rFonts w:ascii="Verdana" w:hAnsi="Verdana" w:cs="Cambria"/>
          <w:sz w:val="20"/>
          <w:szCs w:val="20"/>
        </w:rPr>
        <w:t>,</w:t>
      </w:r>
      <w:r w:rsidR="005C0833" w:rsidRPr="005C0833">
        <w:rPr>
          <w:rFonts w:ascii="Verdana" w:hAnsi="Verdana" w:cs="Cambria"/>
          <w:sz w:val="20"/>
          <w:szCs w:val="20"/>
        </w:rPr>
        <w:t xml:space="preserve"> que la búsqueda debía ser realizada “</w:t>
      </w:r>
      <w:r w:rsidR="005C0833" w:rsidRPr="005C0833">
        <w:rPr>
          <w:rFonts w:ascii="Verdana" w:hAnsi="Verdana"/>
          <w:sz w:val="20"/>
          <w:szCs w:val="20"/>
        </w:rPr>
        <w:t xml:space="preserve">a través de la investigación penal o mediante otro procedimiento adecuado y efectivo”, que “[l]a realización de dichas diligencias </w:t>
      </w:r>
      <w:proofErr w:type="spellStart"/>
      <w:r w:rsidR="005C0833" w:rsidRPr="005C0833">
        <w:rPr>
          <w:rFonts w:ascii="Verdana" w:hAnsi="Verdana"/>
          <w:sz w:val="20"/>
          <w:szCs w:val="20"/>
        </w:rPr>
        <w:t>deb</w:t>
      </w:r>
      <w:proofErr w:type="spellEnd"/>
      <w:r w:rsidR="005C0833" w:rsidRPr="005C0833">
        <w:rPr>
          <w:rFonts w:ascii="Verdana" w:hAnsi="Verdana"/>
          <w:sz w:val="20"/>
          <w:szCs w:val="20"/>
        </w:rPr>
        <w:t>[</w:t>
      </w:r>
      <w:proofErr w:type="spellStart"/>
      <w:r w:rsidR="005C0833" w:rsidRPr="005C0833">
        <w:rPr>
          <w:rFonts w:ascii="Verdana" w:hAnsi="Verdana"/>
          <w:sz w:val="20"/>
          <w:szCs w:val="20"/>
        </w:rPr>
        <w:t>ía</w:t>
      </w:r>
      <w:proofErr w:type="spellEnd"/>
      <w:r w:rsidR="005C0833" w:rsidRPr="005C0833">
        <w:rPr>
          <w:rFonts w:ascii="Verdana" w:hAnsi="Verdana"/>
          <w:sz w:val="20"/>
          <w:szCs w:val="20"/>
        </w:rPr>
        <w:t>] ser efectuada acorde a los estándares internacionales” y que éstas “</w:t>
      </w:r>
      <w:proofErr w:type="spellStart"/>
      <w:r w:rsidR="005C0833" w:rsidRPr="005C0833">
        <w:rPr>
          <w:rFonts w:ascii="Verdana" w:hAnsi="Verdana"/>
          <w:sz w:val="20"/>
          <w:szCs w:val="20"/>
        </w:rPr>
        <w:t>deb</w:t>
      </w:r>
      <w:proofErr w:type="spellEnd"/>
      <w:r w:rsidR="005C0833" w:rsidRPr="005C0833">
        <w:rPr>
          <w:rFonts w:ascii="Verdana" w:hAnsi="Verdana"/>
          <w:sz w:val="20"/>
          <w:szCs w:val="20"/>
        </w:rPr>
        <w:t>[</w:t>
      </w:r>
      <w:proofErr w:type="spellStart"/>
      <w:r w:rsidR="005C0833" w:rsidRPr="005C0833">
        <w:rPr>
          <w:rFonts w:ascii="Verdana" w:hAnsi="Verdana"/>
          <w:sz w:val="20"/>
          <w:szCs w:val="20"/>
        </w:rPr>
        <w:t>ían</w:t>
      </w:r>
      <w:proofErr w:type="spellEnd"/>
      <w:r w:rsidR="005C0833" w:rsidRPr="005C0833">
        <w:rPr>
          <w:rFonts w:ascii="Verdana" w:hAnsi="Verdana"/>
          <w:sz w:val="20"/>
          <w:szCs w:val="20"/>
        </w:rPr>
        <w:t>] ser informadas a sus familiares y en lo posible procurar su presencia”.</w:t>
      </w:r>
    </w:p>
    <w:p w14:paraId="3F0DC7D7" w14:textId="126F899A" w:rsidR="00CC587C" w:rsidRPr="00201723" w:rsidRDefault="00F51996" w:rsidP="003E40E9">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7F6D57">
        <w:rPr>
          <w:rFonts w:ascii="Verdana" w:hAnsi="Verdana" w:cs="Cambria"/>
          <w:sz w:val="20"/>
          <w:szCs w:val="20"/>
        </w:rPr>
        <w:t>En la Resolución de marzo de 2013 la Corte “valor[</w:t>
      </w:r>
      <w:proofErr w:type="spellStart"/>
      <w:r w:rsidRPr="007F6D57">
        <w:rPr>
          <w:rFonts w:ascii="Verdana" w:hAnsi="Verdana" w:cs="Cambria"/>
          <w:sz w:val="20"/>
          <w:szCs w:val="20"/>
        </w:rPr>
        <w:t>ó</w:t>
      </w:r>
      <w:proofErr w:type="spellEnd"/>
      <w:r w:rsidRPr="007F6D57">
        <w:rPr>
          <w:rFonts w:ascii="Verdana" w:hAnsi="Verdana" w:cs="Cambria"/>
          <w:sz w:val="20"/>
          <w:szCs w:val="20"/>
        </w:rPr>
        <w:t>] que se h[</w:t>
      </w:r>
      <w:proofErr w:type="spellStart"/>
      <w:r w:rsidRPr="007F6D57">
        <w:rPr>
          <w:rFonts w:ascii="Verdana" w:hAnsi="Verdana" w:cs="Cambria"/>
          <w:sz w:val="20"/>
          <w:szCs w:val="20"/>
        </w:rPr>
        <w:t>ubieran</w:t>
      </w:r>
      <w:proofErr w:type="spellEnd"/>
      <w:r w:rsidRPr="007F6D57">
        <w:rPr>
          <w:rFonts w:ascii="Verdana" w:hAnsi="Verdana" w:cs="Cambria"/>
          <w:sz w:val="20"/>
          <w:szCs w:val="20"/>
        </w:rPr>
        <w:t xml:space="preserve">] </w:t>
      </w:r>
      <w:r w:rsidR="00127825" w:rsidRPr="007F6D57">
        <w:rPr>
          <w:rFonts w:ascii="Verdana" w:hAnsi="Verdana"/>
          <w:sz w:val="20"/>
          <w:szCs w:val="20"/>
        </w:rPr>
        <w:t>llevado a cabo ciertas diligencias de prospección, de exhumación y que en el curso de las mismas se pudieran identificar restos de otras personas desaparecidas</w:t>
      </w:r>
      <w:r w:rsidRPr="007F6D57">
        <w:rPr>
          <w:rFonts w:ascii="Verdana" w:hAnsi="Verdana"/>
          <w:sz w:val="20"/>
          <w:szCs w:val="20"/>
        </w:rPr>
        <w:t>”</w:t>
      </w:r>
      <w:r w:rsidR="006A6877" w:rsidRPr="001B134B">
        <w:rPr>
          <w:rStyle w:val="Refdenotaalpie"/>
          <w:rFonts w:ascii="Verdana" w:hAnsi="Verdana"/>
          <w:sz w:val="20"/>
          <w:szCs w:val="20"/>
        </w:rPr>
        <w:footnoteReference w:id="47"/>
      </w:r>
      <w:r w:rsidR="00127825" w:rsidRPr="007F6D57">
        <w:rPr>
          <w:rFonts w:ascii="Verdana" w:hAnsi="Verdana"/>
          <w:sz w:val="20"/>
          <w:szCs w:val="20"/>
        </w:rPr>
        <w:t>. En ese sentido,</w:t>
      </w:r>
      <w:r w:rsidRPr="007F6D57">
        <w:rPr>
          <w:rFonts w:ascii="Verdana" w:hAnsi="Verdana"/>
          <w:sz w:val="20"/>
          <w:szCs w:val="20"/>
        </w:rPr>
        <w:t xml:space="preserve"> </w:t>
      </w:r>
      <w:r w:rsidR="0062215A">
        <w:rPr>
          <w:rFonts w:ascii="Verdana" w:hAnsi="Verdana"/>
          <w:sz w:val="20"/>
          <w:szCs w:val="20"/>
        </w:rPr>
        <w:t xml:space="preserve">el Tribunal </w:t>
      </w:r>
      <w:r w:rsidRPr="007F6D57">
        <w:rPr>
          <w:rFonts w:ascii="Verdana" w:hAnsi="Verdana"/>
          <w:sz w:val="20"/>
          <w:szCs w:val="20"/>
        </w:rPr>
        <w:t>consideró que</w:t>
      </w:r>
      <w:r w:rsidR="0094193B">
        <w:rPr>
          <w:rFonts w:ascii="Verdana" w:hAnsi="Verdana"/>
          <w:sz w:val="20"/>
          <w:szCs w:val="20"/>
        </w:rPr>
        <w:t>,</w:t>
      </w:r>
      <w:r w:rsidRPr="007F6D57">
        <w:rPr>
          <w:rFonts w:ascii="Verdana" w:hAnsi="Verdana"/>
          <w:sz w:val="20"/>
          <w:szCs w:val="20"/>
        </w:rPr>
        <w:t xml:space="preserve"> “s</w:t>
      </w:r>
      <w:r w:rsidR="00127825" w:rsidRPr="007F6D57">
        <w:rPr>
          <w:rFonts w:ascii="Verdana" w:hAnsi="Verdana"/>
          <w:sz w:val="20"/>
          <w:szCs w:val="20"/>
        </w:rPr>
        <w:t>i bien se ha</w:t>
      </w:r>
      <w:r w:rsidRPr="007F6D57">
        <w:rPr>
          <w:rFonts w:ascii="Verdana" w:hAnsi="Verdana"/>
          <w:sz w:val="20"/>
          <w:szCs w:val="20"/>
        </w:rPr>
        <w:t>[</w:t>
      </w:r>
      <w:proofErr w:type="spellStart"/>
      <w:r w:rsidRPr="007F6D57">
        <w:rPr>
          <w:rFonts w:ascii="Verdana" w:hAnsi="Verdana"/>
          <w:sz w:val="20"/>
          <w:szCs w:val="20"/>
        </w:rPr>
        <w:t>bían</w:t>
      </w:r>
      <w:proofErr w:type="spellEnd"/>
      <w:r w:rsidRPr="007F6D57">
        <w:rPr>
          <w:rFonts w:ascii="Verdana" w:hAnsi="Verdana"/>
          <w:sz w:val="20"/>
          <w:szCs w:val="20"/>
        </w:rPr>
        <w:t xml:space="preserve">] </w:t>
      </w:r>
      <w:proofErr w:type="gramStart"/>
      <w:r w:rsidR="00127825" w:rsidRPr="007F6D57">
        <w:rPr>
          <w:rFonts w:ascii="Verdana" w:hAnsi="Verdana"/>
          <w:sz w:val="20"/>
          <w:szCs w:val="20"/>
        </w:rPr>
        <w:t>verificado esfuerzos</w:t>
      </w:r>
      <w:proofErr w:type="gramEnd"/>
      <w:r w:rsidR="00127825" w:rsidRPr="007F6D57">
        <w:rPr>
          <w:rFonts w:ascii="Verdana" w:hAnsi="Verdana"/>
          <w:sz w:val="20"/>
          <w:szCs w:val="20"/>
        </w:rPr>
        <w:t xml:space="preserve"> para asegurar que las diligencias practicadas </w:t>
      </w:r>
      <w:proofErr w:type="spellStart"/>
      <w:r w:rsidR="00127825" w:rsidRPr="007F6D57">
        <w:rPr>
          <w:rFonts w:ascii="Verdana" w:hAnsi="Verdana"/>
          <w:sz w:val="20"/>
          <w:szCs w:val="20"/>
        </w:rPr>
        <w:t>cumpl</w:t>
      </w:r>
      <w:proofErr w:type="spellEnd"/>
      <w:r w:rsidRPr="007F6D57">
        <w:rPr>
          <w:rFonts w:ascii="Verdana" w:hAnsi="Verdana"/>
          <w:sz w:val="20"/>
          <w:szCs w:val="20"/>
        </w:rPr>
        <w:t>[</w:t>
      </w:r>
      <w:proofErr w:type="spellStart"/>
      <w:r w:rsidRPr="007F6D57">
        <w:rPr>
          <w:rFonts w:ascii="Verdana" w:hAnsi="Verdana"/>
          <w:sz w:val="20"/>
          <w:szCs w:val="20"/>
        </w:rPr>
        <w:t>ieran</w:t>
      </w:r>
      <w:proofErr w:type="spellEnd"/>
      <w:r w:rsidRPr="007F6D57">
        <w:rPr>
          <w:rFonts w:ascii="Verdana" w:hAnsi="Verdana"/>
          <w:sz w:val="20"/>
          <w:szCs w:val="20"/>
        </w:rPr>
        <w:t>]</w:t>
      </w:r>
      <w:r w:rsidR="00127825" w:rsidRPr="007F6D57">
        <w:rPr>
          <w:rFonts w:ascii="Verdana" w:hAnsi="Verdana"/>
          <w:sz w:val="20"/>
          <w:szCs w:val="20"/>
        </w:rPr>
        <w:t xml:space="preserve"> con lo ordenado en la Sentencia </w:t>
      </w:r>
      <w:r w:rsidR="0062215A">
        <w:rPr>
          <w:rFonts w:ascii="Verdana" w:hAnsi="Verdana"/>
          <w:sz w:val="20"/>
          <w:szCs w:val="20"/>
        </w:rPr>
        <w:t>[…]</w:t>
      </w:r>
      <w:r w:rsidR="00127825" w:rsidRPr="007F6D57">
        <w:rPr>
          <w:rFonts w:ascii="Verdana" w:hAnsi="Verdana"/>
          <w:sz w:val="20"/>
          <w:szCs w:val="20"/>
        </w:rPr>
        <w:t>, aún no se ha</w:t>
      </w:r>
      <w:r w:rsidRPr="007F6D57">
        <w:rPr>
          <w:rFonts w:ascii="Verdana" w:hAnsi="Verdana"/>
          <w:sz w:val="20"/>
          <w:szCs w:val="20"/>
        </w:rPr>
        <w:t>[</w:t>
      </w:r>
      <w:proofErr w:type="spellStart"/>
      <w:r w:rsidRPr="007F6D57">
        <w:rPr>
          <w:rFonts w:ascii="Verdana" w:hAnsi="Verdana"/>
          <w:sz w:val="20"/>
          <w:szCs w:val="20"/>
        </w:rPr>
        <w:t>bía</w:t>
      </w:r>
      <w:proofErr w:type="spellEnd"/>
      <w:r w:rsidRPr="007F6D57">
        <w:rPr>
          <w:rFonts w:ascii="Verdana" w:hAnsi="Verdana"/>
          <w:sz w:val="20"/>
          <w:szCs w:val="20"/>
        </w:rPr>
        <w:t>]</w:t>
      </w:r>
      <w:r w:rsidR="00127825" w:rsidRPr="007F6D57">
        <w:rPr>
          <w:rFonts w:ascii="Verdana" w:hAnsi="Verdana"/>
          <w:sz w:val="20"/>
          <w:szCs w:val="20"/>
        </w:rPr>
        <w:t xml:space="preserve"> presentado un plan estructurado con información adecuada sobre los recursos técnicos, institucionales y presupuestarios destinados a dar cumplimiento con esta </w:t>
      </w:r>
      <w:r w:rsidR="00127825" w:rsidRPr="007F6D57">
        <w:rPr>
          <w:rFonts w:ascii="Verdana" w:hAnsi="Verdana"/>
          <w:sz w:val="20"/>
          <w:szCs w:val="20"/>
        </w:rPr>
        <w:lastRenderedPageBreak/>
        <w:t>medida de reparación</w:t>
      </w:r>
      <w:r w:rsidR="006A6877" w:rsidRPr="007F6D57">
        <w:rPr>
          <w:rFonts w:ascii="Verdana" w:hAnsi="Verdana"/>
          <w:sz w:val="20"/>
          <w:szCs w:val="20"/>
        </w:rPr>
        <w:t>”. Por ello, indicó que “continuar[</w:t>
      </w:r>
      <w:proofErr w:type="spellStart"/>
      <w:r w:rsidR="006A6877" w:rsidRPr="007F6D57">
        <w:rPr>
          <w:rFonts w:ascii="Verdana" w:hAnsi="Verdana"/>
          <w:sz w:val="20"/>
          <w:szCs w:val="20"/>
        </w:rPr>
        <w:t>ía</w:t>
      </w:r>
      <w:proofErr w:type="spellEnd"/>
      <w:r w:rsidR="006A6877" w:rsidRPr="007F6D57">
        <w:rPr>
          <w:rFonts w:ascii="Verdana" w:hAnsi="Verdana"/>
          <w:sz w:val="20"/>
          <w:szCs w:val="20"/>
        </w:rPr>
        <w:t>] supervisando el cumpl</w:t>
      </w:r>
      <w:r w:rsidR="00044049">
        <w:rPr>
          <w:rFonts w:ascii="Verdana" w:hAnsi="Verdana"/>
          <w:sz w:val="20"/>
          <w:szCs w:val="20"/>
        </w:rPr>
        <w:t>i</w:t>
      </w:r>
      <w:r w:rsidR="006A6877" w:rsidRPr="00201723">
        <w:rPr>
          <w:rFonts w:ascii="Verdana" w:hAnsi="Verdana"/>
          <w:sz w:val="20"/>
          <w:szCs w:val="20"/>
        </w:rPr>
        <w:t xml:space="preserve">miento de esta medida y </w:t>
      </w:r>
      <w:proofErr w:type="spellStart"/>
      <w:r w:rsidR="006A6877" w:rsidRPr="00201723">
        <w:rPr>
          <w:rFonts w:ascii="Verdana" w:hAnsi="Verdana"/>
          <w:sz w:val="20"/>
          <w:szCs w:val="20"/>
        </w:rPr>
        <w:t>requi</w:t>
      </w:r>
      <w:proofErr w:type="spellEnd"/>
      <w:r w:rsidR="006A6877" w:rsidRPr="00201723">
        <w:rPr>
          <w:rFonts w:ascii="Verdana" w:hAnsi="Verdana"/>
          <w:sz w:val="20"/>
          <w:szCs w:val="20"/>
        </w:rPr>
        <w:t>[</w:t>
      </w:r>
      <w:proofErr w:type="spellStart"/>
      <w:r w:rsidR="006A6877" w:rsidRPr="00201723">
        <w:rPr>
          <w:rFonts w:ascii="Verdana" w:hAnsi="Verdana"/>
          <w:sz w:val="20"/>
          <w:szCs w:val="20"/>
        </w:rPr>
        <w:t>rió</w:t>
      </w:r>
      <w:proofErr w:type="spellEnd"/>
      <w:r w:rsidR="006A6877" w:rsidRPr="00201723">
        <w:rPr>
          <w:rFonts w:ascii="Verdana" w:hAnsi="Verdana"/>
          <w:sz w:val="20"/>
          <w:szCs w:val="20"/>
        </w:rPr>
        <w:t xml:space="preserve">] al Estado que en su próximo informe se </w:t>
      </w:r>
      <w:proofErr w:type="spellStart"/>
      <w:r w:rsidR="006A6877" w:rsidRPr="00201723">
        <w:rPr>
          <w:rFonts w:ascii="Verdana" w:hAnsi="Verdana"/>
          <w:sz w:val="20"/>
          <w:szCs w:val="20"/>
        </w:rPr>
        <w:t>refi</w:t>
      </w:r>
      <w:proofErr w:type="spellEnd"/>
      <w:r w:rsidR="007A5812">
        <w:rPr>
          <w:rFonts w:ascii="Verdana" w:hAnsi="Verdana"/>
          <w:sz w:val="20"/>
          <w:szCs w:val="20"/>
        </w:rPr>
        <w:t>[riera]</w:t>
      </w:r>
      <w:r w:rsidR="006A6877" w:rsidRPr="00201723">
        <w:rPr>
          <w:rFonts w:ascii="Verdana" w:hAnsi="Verdana"/>
          <w:sz w:val="20"/>
          <w:szCs w:val="20"/>
        </w:rPr>
        <w:t xml:space="preserve"> a las medidas adoptadas y que </w:t>
      </w:r>
      <w:proofErr w:type="spellStart"/>
      <w:r w:rsidR="006A6877" w:rsidRPr="00201723">
        <w:rPr>
          <w:rFonts w:ascii="Verdana" w:hAnsi="Verdana"/>
          <w:sz w:val="20"/>
          <w:szCs w:val="20"/>
        </w:rPr>
        <w:t>especifi</w:t>
      </w:r>
      <w:proofErr w:type="spellEnd"/>
      <w:r w:rsidR="006A6877" w:rsidRPr="00201723">
        <w:rPr>
          <w:rFonts w:ascii="Verdana" w:hAnsi="Verdana"/>
          <w:sz w:val="20"/>
          <w:szCs w:val="20"/>
        </w:rPr>
        <w:t xml:space="preserve">[cara] otras medidas idóneas que </w:t>
      </w:r>
      <w:proofErr w:type="spellStart"/>
      <w:r w:rsidR="006A6877" w:rsidRPr="00201723">
        <w:rPr>
          <w:rFonts w:ascii="Verdana" w:hAnsi="Verdana"/>
          <w:sz w:val="20"/>
          <w:szCs w:val="20"/>
        </w:rPr>
        <w:t>pu</w:t>
      </w:r>
      <w:proofErr w:type="spellEnd"/>
      <w:r w:rsidR="006A6877" w:rsidRPr="00201723">
        <w:rPr>
          <w:rFonts w:ascii="Verdana" w:hAnsi="Verdana"/>
          <w:sz w:val="20"/>
          <w:szCs w:val="20"/>
        </w:rPr>
        <w:t>[dieran] implementarse con [esta] finalidad”</w:t>
      </w:r>
      <w:r w:rsidR="00127825" w:rsidRPr="00201723">
        <w:rPr>
          <w:rStyle w:val="Refdenotaalpie"/>
          <w:rFonts w:ascii="Verdana" w:hAnsi="Verdana"/>
          <w:sz w:val="20"/>
          <w:szCs w:val="20"/>
        </w:rPr>
        <w:footnoteReference w:id="48"/>
      </w:r>
      <w:r w:rsidR="00127825" w:rsidRPr="00201723">
        <w:rPr>
          <w:rFonts w:ascii="Verdana" w:hAnsi="Verdana"/>
          <w:sz w:val="20"/>
          <w:szCs w:val="20"/>
        </w:rPr>
        <w:t>.</w:t>
      </w:r>
      <w:r w:rsidRPr="00201723">
        <w:rPr>
          <w:rFonts w:ascii="Verdana" w:hAnsi="Verdana"/>
          <w:sz w:val="20"/>
          <w:szCs w:val="20"/>
        </w:rPr>
        <w:t xml:space="preserve"> </w:t>
      </w:r>
    </w:p>
    <w:p w14:paraId="4830EFDF" w14:textId="43F87444" w:rsidR="001B134B" w:rsidRPr="00201723" w:rsidRDefault="006A2FBB" w:rsidP="003E40E9">
      <w:pPr>
        <w:pStyle w:val="Prrafodelista"/>
        <w:autoSpaceDE w:val="0"/>
        <w:autoSpaceDN w:val="0"/>
        <w:adjustRightInd w:val="0"/>
        <w:spacing w:before="120" w:after="120" w:line="240" w:lineRule="auto"/>
        <w:ind w:left="851"/>
        <w:contextualSpacing w:val="0"/>
        <w:jc w:val="both"/>
        <w:rPr>
          <w:rFonts w:ascii="Verdana" w:hAnsi="Verdana" w:cs="Cambria"/>
          <w:i/>
          <w:iCs/>
          <w:sz w:val="20"/>
          <w:szCs w:val="20"/>
        </w:rPr>
      </w:pPr>
      <w:r>
        <w:rPr>
          <w:rFonts w:ascii="Verdana" w:hAnsi="Verdana"/>
          <w:i/>
          <w:iCs/>
          <w:sz w:val="20"/>
          <w:szCs w:val="20"/>
        </w:rPr>
        <w:t>C</w:t>
      </w:r>
      <w:r w:rsidR="001B134B" w:rsidRPr="00201723">
        <w:rPr>
          <w:rFonts w:ascii="Verdana" w:hAnsi="Verdana"/>
          <w:i/>
          <w:iCs/>
          <w:sz w:val="20"/>
          <w:szCs w:val="20"/>
        </w:rPr>
        <w:t xml:space="preserve">.2. Consideraciones de Corte </w:t>
      </w:r>
    </w:p>
    <w:p w14:paraId="5BE987E0" w14:textId="5A5089D9" w:rsidR="005B5CA5" w:rsidRPr="00201723" w:rsidRDefault="00BA3E6D" w:rsidP="003E40E9">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b/>
          <w:bCs/>
          <w:sz w:val="20"/>
          <w:szCs w:val="20"/>
        </w:rPr>
      </w:pPr>
      <w:r w:rsidRPr="00201723">
        <w:rPr>
          <w:rFonts w:ascii="Verdana" w:hAnsi="Verdana" w:cs="Cambria"/>
          <w:sz w:val="20"/>
          <w:szCs w:val="20"/>
        </w:rPr>
        <w:t xml:space="preserve">La Corte observa que el Estado ha presentado información sobre </w:t>
      </w:r>
      <w:r w:rsidR="00380AA2" w:rsidRPr="00201723">
        <w:rPr>
          <w:rFonts w:ascii="Verdana" w:hAnsi="Verdana" w:cs="Cambria"/>
          <w:sz w:val="20"/>
          <w:szCs w:val="20"/>
        </w:rPr>
        <w:t xml:space="preserve">diversas </w:t>
      </w:r>
      <w:r w:rsidRPr="00201723">
        <w:rPr>
          <w:rFonts w:ascii="Verdana" w:hAnsi="Verdana" w:cs="Cambria"/>
          <w:sz w:val="20"/>
          <w:szCs w:val="20"/>
        </w:rPr>
        <w:t xml:space="preserve">acciones </w:t>
      </w:r>
      <w:r w:rsidR="00C25408" w:rsidRPr="00201723">
        <w:rPr>
          <w:rFonts w:ascii="Verdana" w:hAnsi="Verdana" w:cs="Cambria"/>
          <w:sz w:val="20"/>
          <w:szCs w:val="20"/>
        </w:rPr>
        <w:t xml:space="preserve">de carácter general </w:t>
      </w:r>
      <w:r w:rsidRPr="00201723">
        <w:rPr>
          <w:rFonts w:ascii="Verdana" w:hAnsi="Verdana" w:cs="Cambria"/>
          <w:sz w:val="20"/>
          <w:szCs w:val="20"/>
        </w:rPr>
        <w:t>que ha implementado en relación con la</w:t>
      </w:r>
      <w:r w:rsidR="00C319BE" w:rsidRPr="00201723">
        <w:rPr>
          <w:rFonts w:ascii="Verdana" w:hAnsi="Verdana" w:cs="Cambria"/>
          <w:sz w:val="20"/>
          <w:szCs w:val="20"/>
        </w:rPr>
        <w:t xml:space="preserve"> </w:t>
      </w:r>
      <w:r w:rsidR="00380AA2" w:rsidRPr="00201723">
        <w:rPr>
          <w:rFonts w:ascii="Verdana" w:hAnsi="Verdana" w:cs="Cambria"/>
          <w:sz w:val="20"/>
          <w:szCs w:val="20"/>
        </w:rPr>
        <w:t xml:space="preserve">investigación de </w:t>
      </w:r>
      <w:r w:rsidR="007A5812">
        <w:rPr>
          <w:rFonts w:ascii="Verdana" w:hAnsi="Verdana" w:cs="Cambria"/>
          <w:sz w:val="20"/>
          <w:szCs w:val="20"/>
        </w:rPr>
        <w:t xml:space="preserve">violaciones </w:t>
      </w:r>
      <w:r w:rsidR="00380AA2" w:rsidRPr="00201723">
        <w:rPr>
          <w:rFonts w:ascii="Verdana" w:hAnsi="Verdana" w:cs="Cambria"/>
          <w:sz w:val="20"/>
          <w:szCs w:val="20"/>
        </w:rPr>
        <w:t>cometid</w:t>
      </w:r>
      <w:r w:rsidR="007A5812">
        <w:rPr>
          <w:rFonts w:ascii="Verdana" w:hAnsi="Verdana" w:cs="Cambria"/>
          <w:sz w:val="20"/>
          <w:szCs w:val="20"/>
        </w:rPr>
        <w:t>a</w:t>
      </w:r>
      <w:r w:rsidR="00380AA2" w:rsidRPr="00201723">
        <w:rPr>
          <w:rFonts w:ascii="Verdana" w:hAnsi="Verdana" w:cs="Cambria"/>
          <w:sz w:val="20"/>
          <w:szCs w:val="20"/>
        </w:rPr>
        <w:t>s durante la dictadura</w:t>
      </w:r>
      <w:r w:rsidR="00C319BE" w:rsidRPr="00201723">
        <w:rPr>
          <w:rFonts w:ascii="Verdana" w:hAnsi="Verdana" w:cs="Cambria"/>
          <w:sz w:val="20"/>
          <w:szCs w:val="20"/>
        </w:rPr>
        <w:t xml:space="preserve"> y </w:t>
      </w:r>
      <w:r w:rsidR="00846BA2" w:rsidRPr="00201723">
        <w:rPr>
          <w:rFonts w:ascii="Verdana" w:hAnsi="Verdana" w:cs="Cambria"/>
          <w:sz w:val="20"/>
          <w:szCs w:val="20"/>
        </w:rPr>
        <w:t xml:space="preserve">para </w:t>
      </w:r>
      <w:r w:rsidR="00C319BE" w:rsidRPr="00201723">
        <w:rPr>
          <w:rFonts w:ascii="Verdana" w:hAnsi="Verdana" w:cs="Cambria"/>
          <w:sz w:val="20"/>
          <w:szCs w:val="20"/>
        </w:rPr>
        <w:t>la</w:t>
      </w:r>
      <w:r w:rsidRPr="00201723">
        <w:rPr>
          <w:rFonts w:ascii="Verdana" w:hAnsi="Verdana" w:cs="Cambria"/>
          <w:sz w:val="20"/>
          <w:szCs w:val="20"/>
        </w:rPr>
        <w:t xml:space="preserve"> “búsqueda de personas detenidas desaparecidas”</w:t>
      </w:r>
      <w:r w:rsidR="00ED186B" w:rsidRPr="00201723">
        <w:rPr>
          <w:rStyle w:val="Refdenotaalpie"/>
          <w:rFonts w:ascii="Verdana" w:hAnsi="Verdana" w:cs="Cambria"/>
          <w:sz w:val="20"/>
          <w:szCs w:val="20"/>
        </w:rPr>
        <w:footnoteReference w:id="49"/>
      </w:r>
      <w:r w:rsidR="00ED186B" w:rsidRPr="00201723">
        <w:rPr>
          <w:rFonts w:ascii="Verdana" w:hAnsi="Verdana" w:cs="Cambria"/>
          <w:sz w:val="20"/>
          <w:szCs w:val="20"/>
        </w:rPr>
        <w:t xml:space="preserve">. </w:t>
      </w:r>
      <w:r w:rsidR="005B5CA5" w:rsidRPr="00201723">
        <w:rPr>
          <w:rFonts w:ascii="Verdana" w:hAnsi="Verdana" w:cs="Cambria"/>
          <w:sz w:val="20"/>
          <w:szCs w:val="20"/>
        </w:rPr>
        <w:t>Los representantes han presentado observaciones</w:t>
      </w:r>
      <w:r w:rsidR="003D5CC7" w:rsidRPr="00201723">
        <w:rPr>
          <w:rFonts w:ascii="Verdana" w:hAnsi="Verdana" w:cs="Cambria"/>
          <w:sz w:val="20"/>
          <w:szCs w:val="20"/>
        </w:rPr>
        <w:t xml:space="preserve"> específicas</w:t>
      </w:r>
      <w:r w:rsidR="005B5CA5" w:rsidRPr="00201723">
        <w:rPr>
          <w:rFonts w:ascii="Verdana" w:hAnsi="Verdana" w:cs="Cambria"/>
          <w:sz w:val="20"/>
          <w:szCs w:val="20"/>
        </w:rPr>
        <w:t xml:space="preserve"> respecto </w:t>
      </w:r>
      <w:r w:rsidR="003D5CC7" w:rsidRPr="00201723">
        <w:rPr>
          <w:rFonts w:ascii="Verdana" w:hAnsi="Verdana" w:cs="Cambria"/>
          <w:sz w:val="20"/>
          <w:szCs w:val="20"/>
        </w:rPr>
        <w:t xml:space="preserve">de cada una de estas </w:t>
      </w:r>
      <w:r w:rsidR="005B5CA5" w:rsidRPr="00201723">
        <w:rPr>
          <w:rFonts w:ascii="Verdana" w:hAnsi="Verdana" w:cs="Cambria"/>
          <w:sz w:val="20"/>
          <w:szCs w:val="20"/>
        </w:rPr>
        <w:t xml:space="preserve">acciones y han resaltado </w:t>
      </w:r>
      <w:r w:rsidR="008A030C">
        <w:rPr>
          <w:rFonts w:ascii="Verdana" w:hAnsi="Verdana" w:cs="Cambria"/>
          <w:sz w:val="20"/>
          <w:szCs w:val="20"/>
        </w:rPr>
        <w:t>que</w:t>
      </w:r>
      <w:r w:rsidR="007A5812">
        <w:rPr>
          <w:rFonts w:ascii="Verdana" w:hAnsi="Verdana" w:cs="Cambria"/>
          <w:sz w:val="20"/>
          <w:szCs w:val="20"/>
        </w:rPr>
        <w:t>,</w:t>
      </w:r>
      <w:r w:rsidR="005B5CA5" w:rsidRPr="00201723">
        <w:rPr>
          <w:rFonts w:ascii="Verdana" w:hAnsi="Verdana" w:cs="Cambria"/>
          <w:sz w:val="20"/>
          <w:szCs w:val="20"/>
        </w:rPr>
        <w:t xml:space="preserve"> a pesar de que “el Estado ha adoptado medidas </w:t>
      </w:r>
      <w:r w:rsidR="003D5CC7" w:rsidRPr="00201723">
        <w:rPr>
          <w:rFonts w:ascii="Verdana" w:hAnsi="Verdana" w:cs="Cambria"/>
          <w:sz w:val="20"/>
          <w:szCs w:val="20"/>
        </w:rPr>
        <w:t>[y ha] creado diversas instituciones o mecanismos con facultades” para la búsqueda de desaparecidos</w:t>
      </w:r>
      <w:r w:rsidR="007A5812">
        <w:rPr>
          <w:rFonts w:ascii="Verdana" w:hAnsi="Verdana" w:cs="Cambria"/>
          <w:sz w:val="20"/>
          <w:szCs w:val="20"/>
        </w:rPr>
        <w:t>,</w:t>
      </w:r>
      <w:r w:rsidR="003D5CC7" w:rsidRPr="00201723">
        <w:rPr>
          <w:rFonts w:ascii="Verdana" w:hAnsi="Verdana" w:cs="Cambria"/>
          <w:sz w:val="20"/>
          <w:szCs w:val="20"/>
        </w:rPr>
        <w:t xml:space="preserve"> “ninguna de éstas […]</w:t>
      </w:r>
      <w:r w:rsidR="00F275AB" w:rsidRPr="00201723">
        <w:rPr>
          <w:rFonts w:ascii="Verdana" w:hAnsi="Verdana" w:cs="Cambria"/>
          <w:sz w:val="20"/>
          <w:szCs w:val="20"/>
        </w:rPr>
        <w:t xml:space="preserve"> ha resultado suficiente y efectiva, ni pueden considerarse constitutivas de una política integral”. Afirmaron que la ausencia de una política integral para la búsqueda de personas desaparecidas en Uruguay es uno de los aspectos que “han obstaculizado el cumplimiento de la obligación del Estado de buscar efectivamente [a estas] personas”.</w:t>
      </w:r>
    </w:p>
    <w:p w14:paraId="0101C073" w14:textId="06470D61" w:rsidR="001E170A" w:rsidRPr="0026027E" w:rsidRDefault="00F275AB" w:rsidP="003E40E9">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26027E">
        <w:rPr>
          <w:rFonts w:ascii="Verdana" w:hAnsi="Verdana" w:cs="Cambria"/>
          <w:sz w:val="20"/>
          <w:szCs w:val="20"/>
        </w:rPr>
        <w:t>Este Tribunal toma nota de la información de carácter general presentada por el Estado y</w:t>
      </w:r>
      <w:r w:rsidR="0090032A" w:rsidRPr="0026027E">
        <w:rPr>
          <w:rFonts w:ascii="Verdana" w:hAnsi="Verdana" w:cs="Cambria"/>
          <w:sz w:val="20"/>
          <w:szCs w:val="20"/>
        </w:rPr>
        <w:t xml:space="preserve"> de las</w:t>
      </w:r>
      <w:r w:rsidRPr="0026027E">
        <w:rPr>
          <w:rFonts w:ascii="Verdana" w:hAnsi="Verdana" w:cs="Cambria"/>
          <w:sz w:val="20"/>
          <w:szCs w:val="20"/>
        </w:rPr>
        <w:t xml:space="preserve"> observaciones de los representantes respecto a la</w:t>
      </w:r>
      <w:r w:rsidR="00F8344B" w:rsidRPr="0026027E">
        <w:rPr>
          <w:rFonts w:ascii="Verdana" w:hAnsi="Verdana" w:cs="Cambria"/>
          <w:sz w:val="20"/>
          <w:szCs w:val="20"/>
        </w:rPr>
        <w:t>s medidas que se han adoptado para la</w:t>
      </w:r>
      <w:r w:rsidRPr="0026027E">
        <w:rPr>
          <w:rFonts w:ascii="Verdana" w:hAnsi="Verdana" w:cs="Cambria"/>
          <w:sz w:val="20"/>
          <w:szCs w:val="20"/>
        </w:rPr>
        <w:t xml:space="preserve"> búsqueda de personas desaparecidas en Uruguay</w:t>
      </w:r>
      <w:r w:rsidR="00F8344B" w:rsidRPr="0026027E">
        <w:rPr>
          <w:rFonts w:ascii="Verdana" w:hAnsi="Verdana" w:cs="Cambria"/>
          <w:sz w:val="20"/>
          <w:szCs w:val="20"/>
        </w:rPr>
        <w:t xml:space="preserve"> durante la dictadura</w:t>
      </w:r>
      <w:r w:rsidRPr="0026027E">
        <w:rPr>
          <w:rFonts w:ascii="Verdana" w:hAnsi="Verdana" w:cs="Cambria"/>
          <w:sz w:val="20"/>
          <w:szCs w:val="20"/>
        </w:rPr>
        <w:t>.</w:t>
      </w:r>
      <w:r w:rsidR="00F8344B" w:rsidRPr="0026027E">
        <w:rPr>
          <w:rFonts w:ascii="Verdana" w:hAnsi="Verdana" w:cs="Cambria"/>
          <w:sz w:val="20"/>
          <w:szCs w:val="20"/>
        </w:rPr>
        <w:t xml:space="preserve"> En particular, se toma nota de que</w:t>
      </w:r>
      <w:r w:rsidR="00A73D62" w:rsidRPr="0026027E">
        <w:rPr>
          <w:rFonts w:ascii="Verdana" w:hAnsi="Verdana" w:cs="Cambria"/>
          <w:sz w:val="20"/>
          <w:szCs w:val="20"/>
        </w:rPr>
        <w:t>,</w:t>
      </w:r>
      <w:r w:rsidR="00F8344B" w:rsidRPr="0026027E">
        <w:rPr>
          <w:rFonts w:ascii="Verdana" w:hAnsi="Verdana" w:cs="Cambria"/>
          <w:sz w:val="20"/>
          <w:szCs w:val="20"/>
        </w:rPr>
        <w:t xml:space="preserve"> </w:t>
      </w:r>
      <w:r w:rsidR="00A73D62" w:rsidRPr="0026027E">
        <w:rPr>
          <w:rFonts w:ascii="Verdana" w:hAnsi="Verdana" w:cs="Cambria"/>
          <w:sz w:val="20"/>
          <w:szCs w:val="20"/>
        </w:rPr>
        <w:t xml:space="preserve">con la aprobación </w:t>
      </w:r>
      <w:r w:rsidR="00362BE8">
        <w:rPr>
          <w:rFonts w:ascii="Verdana" w:hAnsi="Verdana" w:cs="Cambria"/>
          <w:sz w:val="20"/>
          <w:szCs w:val="20"/>
        </w:rPr>
        <w:t xml:space="preserve">en 2019 </w:t>
      </w:r>
      <w:r w:rsidR="00A73D62" w:rsidRPr="0026027E">
        <w:rPr>
          <w:rFonts w:ascii="Verdana" w:hAnsi="Verdana" w:cs="Cambria"/>
          <w:sz w:val="20"/>
          <w:szCs w:val="20"/>
        </w:rPr>
        <w:t>de la Ley No. 19.822, la búsqueda de las personas detenidas desaparecidas en el marco de dictadura es actualmente competencia de</w:t>
      </w:r>
      <w:r w:rsidR="0026027E" w:rsidRPr="0026027E">
        <w:rPr>
          <w:rFonts w:ascii="Verdana" w:hAnsi="Verdana" w:cs="Cambria"/>
          <w:sz w:val="20"/>
          <w:szCs w:val="20"/>
        </w:rPr>
        <w:t xml:space="preserve"> </w:t>
      </w:r>
      <w:r w:rsidR="00A73D62" w:rsidRPr="0026027E">
        <w:rPr>
          <w:rFonts w:ascii="Verdana" w:hAnsi="Verdana" w:cs="Cambria"/>
          <w:sz w:val="20"/>
          <w:szCs w:val="20"/>
        </w:rPr>
        <w:t>l</w:t>
      </w:r>
      <w:r w:rsidR="0026027E" w:rsidRPr="0026027E">
        <w:rPr>
          <w:rFonts w:ascii="Verdana" w:hAnsi="Verdana" w:cs="Cambria"/>
          <w:sz w:val="20"/>
          <w:szCs w:val="20"/>
        </w:rPr>
        <w:t>a Institución</w:t>
      </w:r>
      <w:r w:rsidR="00A73D62" w:rsidRPr="0026027E">
        <w:rPr>
          <w:rFonts w:ascii="Verdana" w:hAnsi="Verdana" w:cs="Cambria"/>
          <w:sz w:val="20"/>
          <w:szCs w:val="20"/>
        </w:rPr>
        <w:t xml:space="preserve"> Nacional de Derechos Humanos y Defensoría del Pueblo de Uruguay (INDDHH)</w:t>
      </w:r>
      <w:r w:rsidR="00A73D62" w:rsidRPr="0026027E">
        <w:rPr>
          <w:rStyle w:val="Refdenotaalpie"/>
          <w:rFonts w:ascii="Verdana" w:hAnsi="Verdana" w:cs="Cambria"/>
          <w:sz w:val="20"/>
          <w:szCs w:val="20"/>
        </w:rPr>
        <w:footnoteReference w:id="50"/>
      </w:r>
      <w:r w:rsidR="00A73D62" w:rsidRPr="0026027E">
        <w:rPr>
          <w:rFonts w:ascii="Verdana" w:hAnsi="Verdana" w:cs="Cambria"/>
          <w:sz w:val="20"/>
          <w:szCs w:val="20"/>
        </w:rPr>
        <w:t>.</w:t>
      </w:r>
      <w:r w:rsidRPr="0026027E">
        <w:rPr>
          <w:rFonts w:ascii="Verdana" w:hAnsi="Verdana" w:cs="Cambria"/>
          <w:sz w:val="20"/>
          <w:szCs w:val="20"/>
        </w:rPr>
        <w:t xml:space="preserve"> </w:t>
      </w:r>
      <w:r w:rsidR="00C821B6" w:rsidRPr="0026027E">
        <w:rPr>
          <w:rFonts w:ascii="Verdana" w:hAnsi="Verdana" w:cs="Cambria"/>
          <w:sz w:val="20"/>
          <w:szCs w:val="20"/>
        </w:rPr>
        <w:t>Esas medidas generales e institucionales pueden tener un impacto</w:t>
      </w:r>
      <w:r w:rsidR="00F8344B" w:rsidRPr="0026027E">
        <w:rPr>
          <w:rFonts w:ascii="Verdana" w:hAnsi="Verdana" w:cs="Cambria"/>
          <w:sz w:val="20"/>
          <w:szCs w:val="20"/>
        </w:rPr>
        <w:t xml:space="preserve"> importante</w:t>
      </w:r>
      <w:r w:rsidR="00C821B6" w:rsidRPr="0026027E">
        <w:rPr>
          <w:rFonts w:ascii="Verdana" w:hAnsi="Verdana" w:cs="Cambria"/>
          <w:sz w:val="20"/>
          <w:szCs w:val="20"/>
        </w:rPr>
        <w:t xml:space="preserve"> en este caso concreto</w:t>
      </w:r>
      <w:r w:rsidR="00F8344B" w:rsidRPr="0026027E">
        <w:rPr>
          <w:rFonts w:ascii="Verdana" w:hAnsi="Verdana" w:cs="Cambria"/>
          <w:sz w:val="20"/>
          <w:szCs w:val="20"/>
        </w:rPr>
        <w:t>, en la medida en que la desaparición forzada de María Claudia</w:t>
      </w:r>
      <w:r w:rsidR="00A73D62" w:rsidRPr="0026027E">
        <w:rPr>
          <w:rFonts w:ascii="Verdana" w:hAnsi="Verdana" w:cs="Cambria"/>
          <w:sz w:val="20"/>
          <w:szCs w:val="20"/>
        </w:rPr>
        <w:t xml:space="preserve"> García</w:t>
      </w:r>
      <w:r w:rsidR="00064FB2" w:rsidRPr="0026027E">
        <w:rPr>
          <w:rFonts w:ascii="Verdana" w:hAnsi="Verdana" w:cs="Cambria"/>
          <w:sz w:val="20"/>
          <w:szCs w:val="20"/>
        </w:rPr>
        <w:t xml:space="preserve"> se enmarca en un contexto de práctica sistemática de graves violaciones a derechos humanos, entre ellas desapariciones forzadas, </w:t>
      </w:r>
      <w:r w:rsidR="00064FB2" w:rsidRPr="0026027E">
        <w:rPr>
          <w:rFonts w:ascii="Verdana" w:hAnsi="Verdana"/>
          <w:sz w:val="20"/>
          <w:szCs w:val="20"/>
        </w:rPr>
        <w:t>perpetrada por las fuerzas de seguridad e inteligencia de la dictadura uruguaya</w:t>
      </w:r>
      <w:r w:rsidR="00064FB2" w:rsidRPr="0026027E">
        <w:rPr>
          <w:rStyle w:val="Refdenotaalpie"/>
          <w:rFonts w:ascii="Verdana" w:hAnsi="Verdana"/>
          <w:sz w:val="20"/>
          <w:szCs w:val="20"/>
        </w:rPr>
        <w:footnoteReference w:id="51"/>
      </w:r>
      <w:r w:rsidR="00C821B6" w:rsidRPr="0026027E">
        <w:rPr>
          <w:rFonts w:ascii="Verdana" w:hAnsi="Verdana" w:cs="Cambria"/>
          <w:sz w:val="20"/>
          <w:szCs w:val="20"/>
        </w:rPr>
        <w:t xml:space="preserve">. </w:t>
      </w:r>
      <w:r w:rsidR="00064FB2" w:rsidRPr="0026027E">
        <w:rPr>
          <w:rFonts w:ascii="Verdana" w:hAnsi="Verdana" w:cs="Cambria"/>
          <w:sz w:val="20"/>
          <w:szCs w:val="20"/>
        </w:rPr>
        <w:t xml:space="preserve">La Corte valorará estas medidas generales para la búsqueda de personas desaparecidas en relación con la medida ordenada en </w:t>
      </w:r>
      <w:r w:rsidR="0048481B">
        <w:rPr>
          <w:rFonts w:ascii="Verdana" w:hAnsi="Verdana" w:cs="Cambria"/>
          <w:sz w:val="20"/>
          <w:szCs w:val="20"/>
        </w:rPr>
        <w:t xml:space="preserve">el párrafo 274 de </w:t>
      </w:r>
      <w:r w:rsidR="00064FB2" w:rsidRPr="0026027E">
        <w:rPr>
          <w:rFonts w:ascii="Verdana" w:hAnsi="Verdana" w:cs="Cambria"/>
          <w:sz w:val="20"/>
          <w:szCs w:val="20"/>
        </w:rPr>
        <w:t xml:space="preserve">la Sentencia relativa a la creación de una Comisión Interministerial </w:t>
      </w:r>
      <w:r w:rsidR="0026027E" w:rsidRPr="0026027E">
        <w:rPr>
          <w:rFonts w:ascii="Verdana" w:hAnsi="Verdana"/>
          <w:sz w:val="20"/>
          <w:szCs w:val="20"/>
        </w:rPr>
        <w:t>para dar impulso</w:t>
      </w:r>
      <w:r w:rsidR="00064FB2" w:rsidRPr="0026027E">
        <w:rPr>
          <w:rFonts w:ascii="Verdana" w:hAnsi="Verdana"/>
          <w:sz w:val="20"/>
          <w:szCs w:val="20"/>
        </w:rPr>
        <w:t xml:space="preserve"> a investigaciones sobre desaparecidos (</w:t>
      </w:r>
      <w:r w:rsidR="00064FB2" w:rsidRPr="0026027E">
        <w:rPr>
          <w:rFonts w:ascii="Verdana" w:hAnsi="Verdana"/>
          <w:i/>
          <w:sz w:val="20"/>
          <w:szCs w:val="20"/>
        </w:rPr>
        <w:t>infra</w:t>
      </w:r>
      <w:r w:rsidR="00064FB2" w:rsidRPr="0026027E">
        <w:rPr>
          <w:rFonts w:ascii="Verdana" w:hAnsi="Verdana"/>
          <w:sz w:val="20"/>
          <w:szCs w:val="20"/>
        </w:rPr>
        <w:t xml:space="preserve"> Considerandos </w:t>
      </w:r>
      <w:r w:rsidR="0048481B">
        <w:rPr>
          <w:rFonts w:ascii="Verdana" w:hAnsi="Verdana"/>
          <w:sz w:val="20"/>
          <w:szCs w:val="20"/>
        </w:rPr>
        <w:t>57 y 60 a 63</w:t>
      </w:r>
      <w:r w:rsidR="00064FB2" w:rsidRPr="0026027E">
        <w:rPr>
          <w:rFonts w:ascii="Verdana" w:hAnsi="Verdana"/>
          <w:sz w:val="20"/>
          <w:szCs w:val="20"/>
        </w:rPr>
        <w:t>)</w:t>
      </w:r>
      <w:r w:rsidR="00064FB2" w:rsidRPr="0026027E">
        <w:rPr>
          <w:rFonts w:ascii="Verdana" w:hAnsi="Verdana" w:cs="Cambria"/>
          <w:sz w:val="20"/>
          <w:szCs w:val="20"/>
        </w:rPr>
        <w:t>.</w:t>
      </w:r>
    </w:p>
    <w:p w14:paraId="7C42994F" w14:textId="7D9EC79F" w:rsidR="00FF1D7B" w:rsidRDefault="00845A6F" w:rsidP="00FF1D7B">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201723">
        <w:rPr>
          <w:rFonts w:ascii="Verdana" w:hAnsi="Verdana" w:cs="Cambria"/>
          <w:sz w:val="20"/>
          <w:szCs w:val="20"/>
        </w:rPr>
        <w:t>En lo que se refiere específicamente a la búsqueda y localización de María Claudia García Iruretagoyena o de sus restos mortales</w:t>
      </w:r>
      <w:r>
        <w:rPr>
          <w:rFonts w:ascii="Verdana" w:hAnsi="Verdana" w:cs="Cambria"/>
          <w:sz w:val="20"/>
          <w:szCs w:val="20"/>
        </w:rPr>
        <w:t>, e</w:t>
      </w:r>
      <w:r w:rsidR="00380AA2" w:rsidRPr="00F275AB">
        <w:rPr>
          <w:rFonts w:ascii="Verdana" w:hAnsi="Verdana" w:cs="Cambria"/>
          <w:sz w:val="20"/>
          <w:szCs w:val="20"/>
        </w:rPr>
        <w:t xml:space="preserve">l Estado </w:t>
      </w:r>
      <w:r w:rsidR="00F275AB" w:rsidRPr="00F275AB">
        <w:rPr>
          <w:rFonts w:ascii="Verdana" w:hAnsi="Verdana" w:cs="Cambria"/>
          <w:sz w:val="20"/>
          <w:szCs w:val="20"/>
        </w:rPr>
        <w:t>ha reiterado que se continúa</w:t>
      </w:r>
      <w:r w:rsidR="0090032A">
        <w:rPr>
          <w:rFonts w:ascii="Verdana" w:hAnsi="Verdana" w:cs="Cambria"/>
          <w:sz w:val="20"/>
          <w:szCs w:val="20"/>
        </w:rPr>
        <w:t>,</w:t>
      </w:r>
      <w:r w:rsidR="00F275AB" w:rsidRPr="00F275AB">
        <w:rPr>
          <w:rFonts w:ascii="Verdana" w:hAnsi="Verdana" w:cs="Cambria"/>
          <w:sz w:val="20"/>
          <w:szCs w:val="20"/>
        </w:rPr>
        <w:t xml:space="preserve"> </w:t>
      </w:r>
      <w:r w:rsidR="00F275AB" w:rsidRPr="00F275AB">
        <w:rPr>
          <w:rFonts w:ascii="Verdana" w:hAnsi="Verdana" w:cs="Cambria"/>
          <w:sz w:val="20"/>
          <w:szCs w:val="20"/>
        </w:rPr>
        <w:lastRenderedPageBreak/>
        <w:t>de manera constante</w:t>
      </w:r>
      <w:r w:rsidR="0090032A">
        <w:rPr>
          <w:rFonts w:ascii="Verdana" w:hAnsi="Verdana" w:cs="Cambria"/>
          <w:sz w:val="20"/>
          <w:szCs w:val="20"/>
        </w:rPr>
        <w:t>,</w:t>
      </w:r>
      <w:r w:rsidR="00F275AB" w:rsidRPr="00F275AB">
        <w:rPr>
          <w:rFonts w:ascii="Verdana" w:hAnsi="Verdana" w:cs="Cambria"/>
          <w:sz w:val="20"/>
          <w:szCs w:val="20"/>
        </w:rPr>
        <w:t xml:space="preserve"> con</w:t>
      </w:r>
      <w:r w:rsidR="00846BA2" w:rsidRPr="00F275AB">
        <w:rPr>
          <w:rFonts w:ascii="Verdana" w:hAnsi="Verdana" w:cs="Cambria"/>
          <w:sz w:val="20"/>
          <w:szCs w:val="20"/>
        </w:rPr>
        <w:t xml:space="preserve"> </w:t>
      </w:r>
      <w:r w:rsidR="0090032A">
        <w:rPr>
          <w:rFonts w:ascii="Verdana" w:hAnsi="Verdana" w:cs="Cambria"/>
          <w:sz w:val="20"/>
          <w:szCs w:val="20"/>
        </w:rPr>
        <w:t xml:space="preserve">la </w:t>
      </w:r>
      <w:r w:rsidR="00846BA2" w:rsidRPr="00F275AB">
        <w:rPr>
          <w:rFonts w:ascii="Verdana" w:hAnsi="Verdana" w:cs="Cambria"/>
          <w:sz w:val="20"/>
          <w:szCs w:val="20"/>
        </w:rPr>
        <w:t>realización de diversas excavaciones en predios militares para la búsqueda de restos de detenidos desaparecidos, en las cuales se ha podido identificar</w:t>
      </w:r>
      <w:r w:rsidR="005B5CA5" w:rsidRPr="00F275AB">
        <w:rPr>
          <w:rFonts w:ascii="Verdana" w:hAnsi="Verdana" w:cs="Cambria"/>
          <w:sz w:val="20"/>
          <w:szCs w:val="20"/>
        </w:rPr>
        <w:t>, al menos, los</w:t>
      </w:r>
      <w:r w:rsidR="00846BA2" w:rsidRPr="00F275AB">
        <w:rPr>
          <w:rFonts w:ascii="Verdana" w:hAnsi="Verdana" w:cs="Cambria"/>
          <w:sz w:val="20"/>
          <w:szCs w:val="20"/>
        </w:rPr>
        <w:t xml:space="preserve"> restos de </w:t>
      </w:r>
      <w:r>
        <w:rPr>
          <w:rFonts w:ascii="Verdana" w:hAnsi="Verdana" w:cs="Cambria"/>
          <w:sz w:val="20"/>
          <w:szCs w:val="20"/>
        </w:rPr>
        <w:t xml:space="preserve">otras </w:t>
      </w:r>
      <w:r w:rsidR="005B5CA5" w:rsidRPr="00F275AB">
        <w:rPr>
          <w:rFonts w:ascii="Verdana" w:hAnsi="Verdana" w:cs="Cambria"/>
          <w:sz w:val="20"/>
          <w:szCs w:val="20"/>
        </w:rPr>
        <w:t xml:space="preserve">cuatro </w:t>
      </w:r>
      <w:r w:rsidR="00846BA2" w:rsidRPr="00F275AB">
        <w:rPr>
          <w:rFonts w:ascii="Verdana" w:hAnsi="Verdana" w:cs="Cambria"/>
          <w:sz w:val="20"/>
          <w:szCs w:val="20"/>
        </w:rPr>
        <w:t>personas desaparecidas</w:t>
      </w:r>
      <w:r w:rsidR="0090032A">
        <w:rPr>
          <w:rFonts w:ascii="Verdana" w:hAnsi="Verdana" w:cs="Cambria"/>
          <w:sz w:val="20"/>
          <w:szCs w:val="20"/>
        </w:rPr>
        <w:t>.</w:t>
      </w:r>
      <w:r w:rsidR="005B5CA5" w:rsidRPr="00F275AB">
        <w:rPr>
          <w:rFonts w:ascii="Verdana" w:hAnsi="Verdana" w:cs="Cambria"/>
          <w:sz w:val="20"/>
          <w:szCs w:val="20"/>
        </w:rPr>
        <w:t xml:space="preserve"> </w:t>
      </w:r>
      <w:r>
        <w:rPr>
          <w:rFonts w:ascii="Verdana" w:hAnsi="Verdana" w:cs="Cambria"/>
          <w:sz w:val="20"/>
          <w:szCs w:val="20"/>
        </w:rPr>
        <w:t>Asimismo,</w:t>
      </w:r>
      <w:r w:rsidR="003C2307" w:rsidRPr="00201723">
        <w:rPr>
          <w:rFonts w:ascii="Verdana" w:hAnsi="Verdana" w:cs="Cambria"/>
          <w:sz w:val="20"/>
          <w:szCs w:val="20"/>
        </w:rPr>
        <w:t xml:space="preserve"> Uruguay ha informado que </w:t>
      </w:r>
      <w:r w:rsidR="00D545F8" w:rsidRPr="00201723">
        <w:rPr>
          <w:rFonts w:ascii="Verdana" w:hAnsi="Verdana" w:cs="Cambria"/>
          <w:sz w:val="20"/>
          <w:szCs w:val="20"/>
        </w:rPr>
        <w:t xml:space="preserve">existe ante el Juzgado Letrado de Primera Instancia en lo Penal de </w:t>
      </w:r>
      <w:r w:rsidR="000C7471" w:rsidRPr="00201723">
        <w:rPr>
          <w:rFonts w:ascii="Verdana" w:hAnsi="Verdana" w:cs="Cambria"/>
          <w:sz w:val="20"/>
          <w:szCs w:val="20"/>
        </w:rPr>
        <w:t>2</w:t>
      </w:r>
      <w:r w:rsidR="000C7471">
        <w:rPr>
          <w:rFonts w:ascii="Verdana" w:hAnsi="Verdana" w:cs="Cambria"/>
          <w:sz w:val="20"/>
          <w:szCs w:val="20"/>
        </w:rPr>
        <w:t>7</w:t>
      </w:r>
      <w:r w:rsidR="00D545F8" w:rsidRPr="00201723">
        <w:rPr>
          <w:rFonts w:ascii="Verdana" w:hAnsi="Verdana" w:cs="Cambria"/>
          <w:sz w:val="20"/>
          <w:szCs w:val="20"/>
        </w:rPr>
        <w:t>° turno</w:t>
      </w:r>
      <w:r w:rsidR="007A5812">
        <w:rPr>
          <w:rFonts w:ascii="Verdana" w:hAnsi="Verdana" w:cs="Cambria"/>
          <w:sz w:val="20"/>
          <w:szCs w:val="20"/>
        </w:rPr>
        <w:t>,</w:t>
      </w:r>
      <w:r w:rsidR="00D545F8" w:rsidRPr="00201723">
        <w:rPr>
          <w:rFonts w:ascii="Verdana" w:hAnsi="Verdana" w:cs="Cambria"/>
          <w:sz w:val="20"/>
          <w:szCs w:val="20"/>
        </w:rPr>
        <w:t xml:space="preserve"> </w:t>
      </w:r>
      <w:r w:rsidR="007A5812">
        <w:rPr>
          <w:rFonts w:ascii="Verdana" w:hAnsi="Verdana" w:cs="Cambria"/>
          <w:sz w:val="20"/>
          <w:szCs w:val="20"/>
        </w:rPr>
        <w:t>una</w:t>
      </w:r>
      <w:r w:rsidR="00D545F8" w:rsidRPr="00201723">
        <w:rPr>
          <w:rFonts w:ascii="Verdana" w:hAnsi="Verdana" w:cs="Cambria"/>
          <w:sz w:val="20"/>
          <w:szCs w:val="20"/>
        </w:rPr>
        <w:t xml:space="preserve"> </w:t>
      </w:r>
      <w:r w:rsidR="00432263" w:rsidRPr="00201723">
        <w:rPr>
          <w:rFonts w:ascii="Verdana" w:hAnsi="Verdana" w:cs="Cambria"/>
          <w:sz w:val="20"/>
          <w:szCs w:val="20"/>
        </w:rPr>
        <w:t xml:space="preserve">pieza incidental del proceso penal </w:t>
      </w:r>
      <w:r w:rsidR="000C7471">
        <w:rPr>
          <w:rFonts w:ascii="Verdana" w:hAnsi="Verdana" w:cs="Cambria"/>
          <w:sz w:val="20"/>
          <w:szCs w:val="20"/>
        </w:rPr>
        <w:t>por los hechos de este caso</w:t>
      </w:r>
      <w:r w:rsidR="00432263" w:rsidRPr="00201723">
        <w:rPr>
          <w:rStyle w:val="Refdenotaalpie"/>
          <w:rFonts w:ascii="Verdana" w:hAnsi="Verdana" w:cs="Cambria"/>
          <w:sz w:val="20"/>
          <w:szCs w:val="20"/>
        </w:rPr>
        <w:footnoteReference w:id="52"/>
      </w:r>
      <w:r w:rsidR="00432263" w:rsidRPr="00201723">
        <w:rPr>
          <w:rFonts w:ascii="Verdana" w:hAnsi="Verdana" w:cs="Cambria"/>
          <w:sz w:val="20"/>
          <w:szCs w:val="20"/>
        </w:rPr>
        <w:t xml:space="preserve">, en la cual se encuentran cautelados dos predios militares y que en uno de ellos “el Grupo de Investigación de Antropología Forense [está] realizando excavaciones en procura de ubicar a María Claudia García […], así como otros detenidos desaparecidos”. Indicó que, aunque se han continuado las excavaciones dispuestas en sede penal para </w:t>
      </w:r>
      <w:r w:rsidR="00432263" w:rsidRPr="002E4C3D">
        <w:rPr>
          <w:rFonts w:ascii="Verdana" w:hAnsi="Verdana" w:cs="Cambria"/>
          <w:sz w:val="20"/>
          <w:szCs w:val="20"/>
        </w:rPr>
        <w:t xml:space="preserve">encontrar sus restos, “hasta el momento los resultados han sido infructuosos”. </w:t>
      </w:r>
      <w:r w:rsidR="002E4C3D" w:rsidRPr="002E4C3D">
        <w:rPr>
          <w:rFonts w:ascii="Verdana" w:hAnsi="Verdana" w:cs="Cambria"/>
          <w:sz w:val="20"/>
          <w:szCs w:val="20"/>
        </w:rPr>
        <w:t>Los representantes y la Comisión han reconocido los esfuerzos que ha realizado el Estado, principalmente a través de las actividades de excavación</w:t>
      </w:r>
      <w:r w:rsidR="0090032A">
        <w:rPr>
          <w:rFonts w:ascii="Verdana" w:hAnsi="Verdana" w:cs="Cambria"/>
          <w:sz w:val="20"/>
          <w:szCs w:val="20"/>
        </w:rPr>
        <w:t xml:space="preserve"> que se han ordenado tanto administrativamente como de manera judicial</w:t>
      </w:r>
      <w:r w:rsidR="002E4C3D" w:rsidRPr="002E4C3D">
        <w:rPr>
          <w:rFonts w:ascii="Verdana" w:hAnsi="Verdana" w:cs="Cambria"/>
          <w:sz w:val="20"/>
          <w:szCs w:val="20"/>
        </w:rPr>
        <w:t xml:space="preserve">. Sin </w:t>
      </w:r>
      <w:r w:rsidR="002E4C3D" w:rsidRPr="00C41747">
        <w:rPr>
          <w:rFonts w:ascii="Verdana" w:hAnsi="Verdana" w:cs="Cambria"/>
          <w:sz w:val="20"/>
          <w:szCs w:val="20"/>
        </w:rPr>
        <w:t xml:space="preserve">embargo, han hecho notar que tales esfuerzos y actividades </w:t>
      </w:r>
      <w:r w:rsidR="002E4C3D" w:rsidRPr="008B0CE2">
        <w:rPr>
          <w:rFonts w:ascii="Verdana" w:hAnsi="Verdana" w:cs="Cambria"/>
          <w:sz w:val="20"/>
          <w:szCs w:val="20"/>
        </w:rPr>
        <w:t xml:space="preserve">parecen no ser parte de un plan o estrategia específica de búsqueda para el presente caso. </w:t>
      </w:r>
    </w:p>
    <w:p w14:paraId="0FA0A4FC" w14:textId="42E4169E" w:rsidR="00FF1D7B" w:rsidRDefault="005B5CA5" w:rsidP="00FF1D7B">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FF1D7B">
        <w:rPr>
          <w:rFonts w:ascii="Verdana" w:hAnsi="Verdana" w:cs="Cambria"/>
          <w:sz w:val="20"/>
          <w:szCs w:val="20"/>
        </w:rPr>
        <w:t xml:space="preserve">Si bien el Estado ha realizado algunas acciones para la búsqueda de María Claudia García Iruretagoyena, </w:t>
      </w:r>
      <w:r w:rsidR="007A5812" w:rsidRPr="00FF1D7B">
        <w:rPr>
          <w:rFonts w:ascii="Verdana" w:hAnsi="Verdana" w:cs="Cambria"/>
          <w:sz w:val="20"/>
          <w:szCs w:val="20"/>
        </w:rPr>
        <w:t>é</w:t>
      </w:r>
      <w:r w:rsidR="00300DCB" w:rsidRPr="00FF1D7B">
        <w:rPr>
          <w:rFonts w:ascii="Verdana" w:hAnsi="Verdana" w:cs="Cambria"/>
          <w:sz w:val="20"/>
          <w:szCs w:val="20"/>
        </w:rPr>
        <w:t>stas se han limitado a la realización de excavaciones en predios militares donde podrían encontrarse sus restos o los de otros desaparecidos. Dichas acciones no son suficientes para acreditar que</w:t>
      </w:r>
      <w:r w:rsidR="00C41747" w:rsidRPr="00FF1D7B">
        <w:rPr>
          <w:rFonts w:ascii="Verdana" w:hAnsi="Verdana" w:cs="Cambria"/>
          <w:sz w:val="20"/>
          <w:szCs w:val="20"/>
        </w:rPr>
        <w:t xml:space="preserve"> en este caso</w:t>
      </w:r>
      <w:r w:rsidR="00300DCB" w:rsidRPr="00FF1D7B">
        <w:rPr>
          <w:rFonts w:ascii="Verdana" w:hAnsi="Verdana" w:cs="Cambria"/>
          <w:sz w:val="20"/>
          <w:szCs w:val="20"/>
        </w:rPr>
        <w:t xml:space="preserve"> el Estado esté realizando todos sus esfuerzos para llevar a cabo una búsqueda seria, </w:t>
      </w:r>
      <w:r w:rsidR="003B1B48">
        <w:rPr>
          <w:rFonts w:ascii="Verdana" w:hAnsi="Verdana" w:cs="Cambria"/>
          <w:sz w:val="20"/>
          <w:szCs w:val="20"/>
        </w:rPr>
        <w:t xml:space="preserve">exhaustiva, </w:t>
      </w:r>
      <w:r w:rsidR="00300DCB" w:rsidRPr="00FF1D7B">
        <w:rPr>
          <w:rFonts w:ascii="Verdana" w:hAnsi="Verdana" w:cs="Cambria"/>
          <w:sz w:val="20"/>
          <w:szCs w:val="20"/>
        </w:rPr>
        <w:t>sistemática y rigurosa</w:t>
      </w:r>
      <w:r w:rsidR="00300DCB" w:rsidRPr="00C41747">
        <w:rPr>
          <w:rStyle w:val="Refdenotaalpie"/>
          <w:rFonts w:ascii="Verdana" w:hAnsi="Verdana" w:cs="Cambria"/>
          <w:sz w:val="20"/>
          <w:szCs w:val="20"/>
        </w:rPr>
        <w:footnoteReference w:id="53"/>
      </w:r>
      <w:r w:rsidR="00300DCB" w:rsidRPr="00FF1D7B">
        <w:rPr>
          <w:rFonts w:ascii="Verdana" w:hAnsi="Verdana" w:cs="Cambria"/>
          <w:sz w:val="20"/>
          <w:szCs w:val="20"/>
        </w:rPr>
        <w:t>.</w:t>
      </w:r>
      <w:r w:rsidR="00DC34B8" w:rsidRPr="00FF1D7B">
        <w:rPr>
          <w:rFonts w:ascii="Verdana" w:hAnsi="Verdana" w:cs="Cambria"/>
          <w:sz w:val="20"/>
          <w:szCs w:val="20"/>
        </w:rPr>
        <w:t xml:space="preserve"> </w:t>
      </w:r>
      <w:r w:rsidR="00300DCB" w:rsidRPr="00FF1D7B">
        <w:rPr>
          <w:rFonts w:ascii="Verdana" w:hAnsi="Verdana" w:cs="Cambria"/>
          <w:sz w:val="20"/>
          <w:szCs w:val="20"/>
        </w:rPr>
        <w:t>Desde la Resolución de marzo de 2013, la Corte advirtió que el Estado no había presentado un plan integral de búsqueda específico para este caso (</w:t>
      </w:r>
      <w:r w:rsidR="00300DCB" w:rsidRPr="00FF1D7B">
        <w:rPr>
          <w:rFonts w:ascii="Verdana" w:hAnsi="Verdana" w:cs="Cambria"/>
          <w:i/>
          <w:iCs/>
          <w:sz w:val="20"/>
          <w:szCs w:val="20"/>
        </w:rPr>
        <w:t>supra</w:t>
      </w:r>
      <w:r w:rsidR="00300DCB" w:rsidRPr="00FF1D7B">
        <w:rPr>
          <w:rFonts w:ascii="Verdana" w:hAnsi="Verdana" w:cs="Cambria"/>
          <w:sz w:val="20"/>
          <w:szCs w:val="20"/>
        </w:rPr>
        <w:t xml:space="preserve"> Considerando </w:t>
      </w:r>
      <w:r w:rsidR="00D56006">
        <w:rPr>
          <w:rFonts w:ascii="Verdana" w:hAnsi="Verdana" w:cs="Cambria"/>
          <w:sz w:val="20"/>
          <w:szCs w:val="20"/>
        </w:rPr>
        <w:t>35</w:t>
      </w:r>
      <w:r w:rsidR="00300DCB" w:rsidRPr="00FF1D7B">
        <w:rPr>
          <w:rFonts w:ascii="Verdana" w:hAnsi="Verdana" w:cs="Cambria"/>
          <w:sz w:val="20"/>
          <w:szCs w:val="20"/>
        </w:rPr>
        <w:t xml:space="preserve">), tal como lo requiere la implementación y cumplimiento de esta obligación. A la fecha, han transcurrido más de siete años desde esa </w:t>
      </w:r>
      <w:r w:rsidR="007A5812" w:rsidRPr="00FF1D7B">
        <w:rPr>
          <w:rFonts w:ascii="Verdana" w:hAnsi="Verdana" w:cs="Cambria"/>
          <w:sz w:val="20"/>
          <w:szCs w:val="20"/>
        </w:rPr>
        <w:t xml:space="preserve">resolución </w:t>
      </w:r>
      <w:r w:rsidR="00C41747" w:rsidRPr="00FF1D7B">
        <w:rPr>
          <w:rFonts w:ascii="Verdana" w:hAnsi="Verdana" w:cs="Cambria"/>
          <w:sz w:val="20"/>
          <w:szCs w:val="20"/>
        </w:rPr>
        <w:t xml:space="preserve">y </w:t>
      </w:r>
      <w:r w:rsidR="00300DCB" w:rsidRPr="00FF1D7B">
        <w:rPr>
          <w:rFonts w:ascii="Verdana" w:hAnsi="Verdana" w:cs="Cambria"/>
          <w:sz w:val="20"/>
          <w:szCs w:val="20"/>
        </w:rPr>
        <w:t>más</w:t>
      </w:r>
      <w:r w:rsidR="00D56006">
        <w:rPr>
          <w:rFonts w:ascii="Verdana" w:hAnsi="Verdana" w:cs="Cambria"/>
          <w:sz w:val="20"/>
          <w:szCs w:val="20"/>
        </w:rPr>
        <w:t xml:space="preserve"> de</w:t>
      </w:r>
      <w:r w:rsidR="00300DCB" w:rsidRPr="00FF1D7B">
        <w:rPr>
          <w:rFonts w:ascii="Verdana" w:hAnsi="Verdana" w:cs="Cambria"/>
          <w:sz w:val="20"/>
          <w:szCs w:val="20"/>
        </w:rPr>
        <w:t xml:space="preserve"> nueve desde la emisión de la Sentencia, y Uruguay contin</w:t>
      </w:r>
      <w:r w:rsidR="00D56006">
        <w:rPr>
          <w:rFonts w:ascii="Verdana" w:hAnsi="Verdana" w:cs="Cambria"/>
          <w:sz w:val="20"/>
          <w:szCs w:val="20"/>
        </w:rPr>
        <w:t>ú</w:t>
      </w:r>
      <w:r w:rsidR="00300DCB" w:rsidRPr="00FF1D7B">
        <w:rPr>
          <w:rFonts w:ascii="Verdana" w:hAnsi="Verdana" w:cs="Cambria"/>
          <w:sz w:val="20"/>
          <w:szCs w:val="20"/>
        </w:rPr>
        <w:t xml:space="preserve">a sin diseñar un plan específico para la localización del paradero de María Claudia García. </w:t>
      </w:r>
    </w:p>
    <w:p w14:paraId="2391BA4E" w14:textId="3A6E9FA4" w:rsidR="00FF1D7B" w:rsidRDefault="00C41747" w:rsidP="00FF1D7B">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FF1D7B">
        <w:rPr>
          <w:rFonts w:ascii="Verdana" w:hAnsi="Verdana" w:cs="Cambria"/>
          <w:sz w:val="20"/>
          <w:szCs w:val="20"/>
        </w:rPr>
        <w:t>En consecuencia</w:t>
      </w:r>
      <w:r w:rsidR="00300DCB" w:rsidRPr="00FF1D7B">
        <w:rPr>
          <w:rFonts w:ascii="Verdana" w:hAnsi="Verdana" w:cs="Cambria"/>
          <w:sz w:val="20"/>
          <w:szCs w:val="20"/>
        </w:rPr>
        <w:t xml:space="preserve">, </w:t>
      </w:r>
      <w:r w:rsidRPr="00FF1D7B">
        <w:rPr>
          <w:rFonts w:ascii="Verdana" w:hAnsi="Verdana" w:cs="Cambria"/>
          <w:sz w:val="20"/>
          <w:szCs w:val="20"/>
        </w:rPr>
        <w:t>el</w:t>
      </w:r>
      <w:r w:rsidR="00300DCB" w:rsidRPr="00FF1D7B">
        <w:rPr>
          <w:rFonts w:ascii="Verdana" w:hAnsi="Verdana" w:cs="Cambria"/>
          <w:sz w:val="20"/>
          <w:szCs w:val="20"/>
        </w:rPr>
        <w:t xml:space="preserve"> Estado </w:t>
      </w:r>
      <w:r w:rsidRPr="00FF1D7B">
        <w:rPr>
          <w:rFonts w:ascii="Verdana" w:hAnsi="Verdana" w:cs="Cambria"/>
          <w:sz w:val="20"/>
          <w:szCs w:val="20"/>
        </w:rPr>
        <w:t xml:space="preserve">debe, de manera inmediata, </w:t>
      </w:r>
      <w:r w:rsidR="00C25408" w:rsidRPr="00FF1D7B">
        <w:rPr>
          <w:rFonts w:ascii="Verdana" w:hAnsi="Verdana" w:cs="Cambria"/>
          <w:sz w:val="20"/>
          <w:szCs w:val="20"/>
        </w:rPr>
        <w:t xml:space="preserve">diseñar un plan integral de búsqueda específico para </w:t>
      </w:r>
      <w:r w:rsidRPr="00FF1D7B">
        <w:rPr>
          <w:rFonts w:ascii="Verdana" w:hAnsi="Verdana" w:cs="Cambria"/>
          <w:sz w:val="20"/>
          <w:szCs w:val="20"/>
        </w:rPr>
        <w:t xml:space="preserve">la localización del paradero de </w:t>
      </w:r>
      <w:r w:rsidR="00C25408" w:rsidRPr="00FF1D7B">
        <w:rPr>
          <w:rFonts w:ascii="Verdana" w:hAnsi="Verdana" w:cs="Cambria"/>
          <w:sz w:val="20"/>
          <w:szCs w:val="20"/>
        </w:rPr>
        <w:t>María Claudia</w:t>
      </w:r>
      <w:r w:rsidRPr="00FF1D7B">
        <w:rPr>
          <w:rFonts w:ascii="Verdana" w:hAnsi="Verdana" w:cs="Cambria"/>
          <w:sz w:val="20"/>
          <w:szCs w:val="20"/>
        </w:rPr>
        <w:t xml:space="preserve"> o de sus restos mortales</w:t>
      </w:r>
      <w:r w:rsidR="00C25408" w:rsidRPr="00FF1D7B">
        <w:rPr>
          <w:rFonts w:ascii="Verdana" w:hAnsi="Verdana" w:cs="Cambria"/>
          <w:sz w:val="20"/>
          <w:szCs w:val="20"/>
        </w:rPr>
        <w:t>, lo cual implica, entre otros aspectos, establecer posibles líneas de investigación que tomen en cuenta: los hechos del caso; el contexto en que ocurrieron; la prueba recabada en el proceso penal (</w:t>
      </w:r>
      <w:r w:rsidR="00C25408" w:rsidRPr="00FF1D7B">
        <w:rPr>
          <w:rFonts w:ascii="Verdana" w:hAnsi="Verdana" w:cs="Cambria"/>
          <w:i/>
          <w:iCs/>
          <w:sz w:val="20"/>
          <w:szCs w:val="20"/>
        </w:rPr>
        <w:t>supra</w:t>
      </w:r>
      <w:r w:rsidR="00C25408" w:rsidRPr="00FF1D7B">
        <w:rPr>
          <w:rFonts w:ascii="Verdana" w:hAnsi="Verdana" w:cs="Cambria"/>
          <w:sz w:val="20"/>
          <w:szCs w:val="20"/>
        </w:rPr>
        <w:t xml:space="preserve"> Considerandos </w:t>
      </w:r>
      <w:r w:rsidR="00B77ED0">
        <w:rPr>
          <w:rFonts w:ascii="Verdana" w:hAnsi="Verdana" w:cs="Cambria"/>
          <w:sz w:val="20"/>
          <w:szCs w:val="20"/>
        </w:rPr>
        <w:t>7 y 38</w:t>
      </w:r>
      <w:r w:rsidR="00C25408" w:rsidRPr="00FF1D7B">
        <w:rPr>
          <w:rFonts w:ascii="Verdana" w:hAnsi="Verdana" w:cs="Cambria"/>
          <w:sz w:val="20"/>
          <w:szCs w:val="20"/>
        </w:rPr>
        <w:t xml:space="preserve">), y la información que </w:t>
      </w:r>
      <w:r w:rsidR="008A7493">
        <w:rPr>
          <w:rFonts w:ascii="Verdana" w:hAnsi="Verdana" w:cs="Cambria"/>
          <w:sz w:val="20"/>
          <w:szCs w:val="20"/>
        </w:rPr>
        <w:t>sea</w:t>
      </w:r>
      <w:r w:rsidR="00C25408" w:rsidRPr="00FF1D7B">
        <w:rPr>
          <w:rFonts w:ascii="Verdana" w:hAnsi="Verdana" w:cs="Cambria"/>
          <w:sz w:val="20"/>
          <w:szCs w:val="20"/>
        </w:rPr>
        <w:t xml:space="preserve"> suministrada </w:t>
      </w:r>
      <w:r w:rsidR="00C22A46" w:rsidRPr="00FF1D7B">
        <w:rPr>
          <w:rFonts w:ascii="Verdana" w:hAnsi="Verdana" w:cs="Cambria"/>
          <w:sz w:val="20"/>
          <w:szCs w:val="20"/>
        </w:rPr>
        <w:t xml:space="preserve">por otras fuentes que pudiera ser de relevancia para </w:t>
      </w:r>
      <w:r w:rsidR="007A5812" w:rsidRPr="00FF1D7B">
        <w:rPr>
          <w:rFonts w:ascii="Verdana" w:hAnsi="Verdana" w:cs="Cambria"/>
          <w:sz w:val="20"/>
          <w:szCs w:val="20"/>
        </w:rPr>
        <w:t>su</w:t>
      </w:r>
      <w:r w:rsidR="00C22A46" w:rsidRPr="00FF1D7B">
        <w:rPr>
          <w:rFonts w:ascii="Verdana" w:hAnsi="Verdana" w:cs="Cambria"/>
          <w:sz w:val="20"/>
          <w:szCs w:val="20"/>
        </w:rPr>
        <w:t xml:space="preserve"> búsqueda</w:t>
      </w:r>
      <w:r w:rsidR="00C25408" w:rsidRPr="00FF1D7B">
        <w:rPr>
          <w:rFonts w:ascii="Verdana" w:hAnsi="Verdana" w:cs="Cambria"/>
          <w:sz w:val="20"/>
          <w:szCs w:val="20"/>
        </w:rPr>
        <w:t>, así como definir un cronograma de las gestiones que se realizarán, las posibles fechas de las mismas y las instituciones o personas que las llevarán a cabo</w:t>
      </w:r>
      <w:r w:rsidR="00C25408" w:rsidRPr="00C22A46">
        <w:rPr>
          <w:rFonts w:ascii="Verdana" w:hAnsi="Verdana" w:cs="Cambria"/>
          <w:sz w:val="20"/>
          <w:szCs w:val="20"/>
          <w:vertAlign w:val="superscript"/>
        </w:rPr>
        <w:footnoteReference w:id="54"/>
      </w:r>
      <w:r w:rsidR="00C25408" w:rsidRPr="00FF1D7B">
        <w:rPr>
          <w:rFonts w:ascii="Verdana" w:hAnsi="Verdana" w:cs="Cambria"/>
          <w:sz w:val="20"/>
          <w:szCs w:val="20"/>
        </w:rPr>
        <w:t>.</w:t>
      </w:r>
      <w:r w:rsidR="00C22A46" w:rsidRPr="00FF1D7B">
        <w:rPr>
          <w:rFonts w:ascii="Verdana" w:hAnsi="Verdana" w:cs="Cambria"/>
          <w:sz w:val="20"/>
          <w:szCs w:val="20"/>
        </w:rPr>
        <w:t xml:space="preserve"> </w:t>
      </w:r>
      <w:r w:rsidR="00C22A46" w:rsidRPr="00FF1D7B">
        <w:rPr>
          <w:rFonts w:ascii="Verdana" w:hAnsi="Verdana"/>
          <w:sz w:val="20"/>
          <w:szCs w:val="20"/>
        </w:rPr>
        <w:t xml:space="preserve">Además, para la elaboración de este plan integral de búsqueda, el Estado debe establecer una estrategia de comunicación con </w:t>
      </w:r>
      <w:r w:rsidR="00DA3EDE" w:rsidRPr="00FF1D7B">
        <w:rPr>
          <w:rFonts w:ascii="Verdana" w:hAnsi="Verdana"/>
          <w:sz w:val="20"/>
          <w:szCs w:val="20"/>
        </w:rPr>
        <w:t>la víctima Macarena Gelman</w:t>
      </w:r>
      <w:r w:rsidR="00C22A46" w:rsidRPr="00C22A46">
        <w:rPr>
          <w:rStyle w:val="Refdenotaalpie"/>
          <w:rFonts w:ascii="Verdana" w:hAnsi="Verdana"/>
          <w:sz w:val="20"/>
          <w:szCs w:val="20"/>
        </w:rPr>
        <w:footnoteReference w:id="55"/>
      </w:r>
      <w:r w:rsidR="00C22A46" w:rsidRPr="00FF1D7B">
        <w:rPr>
          <w:rFonts w:ascii="Verdana" w:hAnsi="Verdana"/>
          <w:sz w:val="20"/>
          <w:szCs w:val="20"/>
        </w:rPr>
        <w:t xml:space="preserve">. </w:t>
      </w:r>
      <w:r w:rsidR="00C22A46" w:rsidRPr="00FF1D7B">
        <w:rPr>
          <w:rFonts w:ascii="Verdana" w:hAnsi="Verdana" w:cs="Cambria"/>
          <w:sz w:val="20"/>
          <w:szCs w:val="20"/>
        </w:rPr>
        <w:t xml:space="preserve">La realización </w:t>
      </w:r>
      <w:r w:rsidR="00B77ED0" w:rsidRPr="00FF1D7B">
        <w:rPr>
          <w:rFonts w:ascii="Verdana" w:hAnsi="Verdana" w:cs="Cambria"/>
          <w:sz w:val="20"/>
          <w:szCs w:val="20"/>
        </w:rPr>
        <w:t>de</w:t>
      </w:r>
      <w:r w:rsidR="00B77ED0">
        <w:rPr>
          <w:rFonts w:ascii="Verdana" w:hAnsi="Verdana" w:cs="Cambria"/>
          <w:sz w:val="20"/>
          <w:szCs w:val="20"/>
        </w:rPr>
        <w:t xml:space="preserve"> este</w:t>
      </w:r>
      <w:r w:rsidR="00B77ED0" w:rsidRPr="00FF1D7B">
        <w:rPr>
          <w:rFonts w:ascii="Verdana" w:hAnsi="Verdana" w:cs="Cambria"/>
          <w:sz w:val="20"/>
          <w:szCs w:val="20"/>
        </w:rPr>
        <w:t xml:space="preserve"> </w:t>
      </w:r>
      <w:r w:rsidR="00C22A46" w:rsidRPr="00FF1D7B">
        <w:rPr>
          <w:rFonts w:ascii="Verdana" w:hAnsi="Verdana" w:cs="Cambria"/>
          <w:sz w:val="20"/>
          <w:szCs w:val="20"/>
        </w:rPr>
        <w:t xml:space="preserve">plan integral de búsqueda para el caso debe implementarse independientemente de otras acciones de carácter general que realice el Estado para la búsqueda de desaparecidos. </w:t>
      </w:r>
    </w:p>
    <w:p w14:paraId="3073E064" w14:textId="194D805F" w:rsidR="005A64AA" w:rsidRPr="00FF1D7B" w:rsidRDefault="008F0C24" w:rsidP="00FF1D7B">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Cambria"/>
          <w:sz w:val="20"/>
          <w:szCs w:val="20"/>
        </w:rPr>
      </w:pPr>
      <w:r w:rsidRPr="00FF1D7B">
        <w:rPr>
          <w:rFonts w:ascii="Verdana" w:hAnsi="Verdana" w:cs="Calibri"/>
          <w:bCs/>
          <w:iCs/>
          <w:color w:val="000000"/>
          <w:sz w:val="20"/>
          <w:szCs w:val="20"/>
        </w:rPr>
        <w:lastRenderedPageBreak/>
        <w:t>Por</w:t>
      </w:r>
      <w:r w:rsidR="00D42F59" w:rsidRPr="00FF1D7B">
        <w:rPr>
          <w:rFonts w:ascii="Verdana" w:hAnsi="Verdana" w:cs="Calibri"/>
          <w:bCs/>
          <w:iCs/>
          <w:color w:val="000000"/>
          <w:sz w:val="20"/>
          <w:szCs w:val="20"/>
        </w:rPr>
        <w:t xml:space="preserve"> lo anterior,</w:t>
      </w:r>
      <w:r w:rsidR="00D42F59" w:rsidRPr="00FF1D7B">
        <w:rPr>
          <w:rFonts w:ascii="Verdana" w:hAnsi="Verdana" w:cs="Calibri"/>
          <w:b/>
          <w:i/>
          <w:color w:val="000000"/>
          <w:sz w:val="20"/>
          <w:szCs w:val="20"/>
        </w:rPr>
        <w:t xml:space="preserve"> </w:t>
      </w:r>
      <w:r w:rsidR="00D42F59" w:rsidRPr="00FF1D7B">
        <w:rPr>
          <w:rFonts w:ascii="Verdana" w:hAnsi="Verdana"/>
          <w:sz w:val="20"/>
          <w:szCs w:val="20"/>
        </w:rPr>
        <w:t>la Corte considera que se encuentra pendiente de cumplimiento la medida ordenada en el punto resolutivo décimo de la Sentencia</w:t>
      </w:r>
      <w:r w:rsidR="00C821B6" w:rsidRPr="00FF1D7B">
        <w:rPr>
          <w:rFonts w:ascii="Verdana" w:hAnsi="Verdana"/>
          <w:sz w:val="20"/>
          <w:szCs w:val="20"/>
        </w:rPr>
        <w:t xml:space="preserve">, por lo que </w:t>
      </w:r>
      <w:r w:rsidR="00D42F59" w:rsidRPr="00FF1D7B">
        <w:rPr>
          <w:rFonts w:ascii="Verdana" w:hAnsi="Verdana"/>
          <w:sz w:val="20"/>
          <w:szCs w:val="20"/>
        </w:rPr>
        <w:t xml:space="preserve">se le requiere que presente información actualizada y detallada al respecto, que tome particularmente en cuenta lo indicado en </w:t>
      </w:r>
      <w:r w:rsidR="0003313C">
        <w:rPr>
          <w:rFonts w:ascii="Verdana" w:hAnsi="Verdana"/>
          <w:sz w:val="20"/>
          <w:szCs w:val="20"/>
        </w:rPr>
        <w:t>los</w:t>
      </w:r>
      <w:r w:rsidR="00D42F59" w:rsidRPr="00FF1D7B">
        <w:rPr>
          <w:rFonts w:ascii="Verdana" w:hAnsi="Verdana"/>
          <w:sz w:val="20"/>
          <w:szCs w:val="20"/>
        </w:rPr>
        <w:t xml:space="preserve"> Considerandos </w:t>
      </w:r>
      <w:r w:rsidR="00727867">
        <w:rPr>
          <w:rFonts w:ascii="Verdana" w:hAnsi="Verdana"/>
          <w:sz w:val="20"/>
          <w:szCs w:val="20"/>
        </w:rPr>
        <w:t>39 y 40</w:t>
      </w:r>
      <w:r w:rsidR="00727867" w:rsidRPr="00FF1D7B">
        <w:rPr>
          <w:rFonts w:ascii="Verdana" w:hAnsi="Verdana"/>
          <w:sz w:val="20"/>
          <w:szCs w:val="20"/>
        </w:rPr>
        <w:t xml:space="preserve"> </w:t>
      </w:r>
      <w:r w:rsidR="00D42F59" w:rsidRPr="00FF1D7B">
        <w:rPr>
          <w:rFonts w:ascii="Verdana" w:hAnsi="Verdana"/>
          <w:sz w:val="20"/>
          <w:szCs w:val="20"/>
        </w:rPr>
        <w:t>de la presente Resolución.</w:t>
      </w:r>
    </w:p>
    <w:p w14:paraId="0C17D6CE" w14:textId="77777777" w:rsidR="009E197A" w:rsidRPr="000D2395" w:rsidRDefault="009E197A" w:rsidP="003E40E9">
      <w:pPr>
        <w:pStyle w:val="Prrafodelista"/>
        <w:autoSpaceDE w:val="0"/>
        <w:autoSpaceDN w:val="0"/>
        <w:adjustRightInd w:val="0"/>
        <w:spacing w:before="120" w:after="120" w:line="240" w:lineRule="auto"/>
        <w:ind w:left="0"/>
        <w:contextualSpacing w:val="0"/>
        <w:jc w:val="both"/>
        <w:rPr>
          <w:rFonts w:ascii="Verdana" w:hAnsi="Verdana" w:cs="Calibri"/>
          <w:b/>
          <w:i/>
          <w:color w:val="000000"/>
          <w:sz w:val="10"/>
          <w:szCs w:val="10"/>
        </w:rPr>
      </w:pPr>
    </w:p>
    <w:p w14:paraId="148E8C1D" w14:textId="72EBB084" w:rsidR="00B75642" w:rsidRPr="00C8543F" w:rsidRDefault="003060A6" w:rsidP="00F35002">
      <w:pPr>
        <w:pStyle w:val="NormalWeb"/>
        <w:numPr>
          <w:ilvl w:val="0"/>
          <w:numId w:val="5"/>
        </w:numPr>
        <w:tabs>
          <w:tab w:val="left" w:pos="1134"/>
        </w:tabs>
        <w:spacing w:before="120" w:after="120"/>
        <w:jc w:val="both"/>
        <w:outlineLvl w:val="0"/>
        <w:rPr>
          <w:rFonts w:ascii="Verdana" w:hAnsi="Verdana"/>
          <w:b/>
          <w:i/>
          <w:sz w:val="20"/>
          <w:szCs w:val="20"/>
        </w:rPr>
      </w:pPr>
      <w:r w:rsidRPr="00C8543F">
        <w:rPr>
          <w:rFonts w:ascii="Verdana" w:hAnsi="Verdana"/>
          <w:b/>
          <w:i/>
          <w:sz w:val="20"/>
          <w:szCs w:val="20"/>
        </w:rPr>
        <w:t xml:space="preserve"> </w:t>
      </w:r>
      <w:bookmarkStart w:id="6" w:name="_Toc51857569"/>
      <w:r w:rsidR="002A0A0F">
        <w:rPr>
          <w:rFonts w:ascii="Verdana" w:hAnsi="Verdana"/>
          <w:b/>
          <w:i/>
          <w:sz w:val="20"/>
          <w:szCs w:val="20"/>
        </w:rPr>
        <w:t xml:space="preserve">Capacitación </w:t>
      </w:r>
      <w:r w:rsidR="005F3B06">
        <w:rPr>
          <w:rFonts w:ascii="Verdana" w:hAnsi="Verdana"/>
          <w:b/>
          <w:i/>
          <w:sz w:val="20"/>
          <w:szCs w:val="20"/>
        </w:rPr>
        <w:t xml:space="preserve">en derechos humanos </w:t>
      </w:r>
      <w:r w:rsidR="002A0A0F">
        <w:rPr>
          <w:rFonts w:ascii="Verdana" w:hAnsi="Verdana"/>
          <w:b/>
          <w:i/>
          <w:sz w:val="20"/>
          <w:szCs w:val="20"/>
        </w:rPr>
        <w:t xml:space="preserve">dirigida a </w:t>
      </w:r>
      <w:r w:rsidR="00B75642" w:rsidRPr="00C8543F">
        <w:rPr>
          <w:rFonts w:ascii="Verdana" w:hAnsi="Verdana"/>
          <w:b/>
          <w:i/>
          <w:sz w:val="20"/>
          <w:szCs w:val="20"/>
        </w:rPr>
        <w:t>agentes del Ministerio Público</w:t>
      </w:r>
      <w:r w:rsidR="008938B0">
        <w:rPr>
          <w:rFonts w:ascii="Verdana" w:hAnsi="Verdana"/>
          <w:b/>
          <w:i/>
          <w:sz w:val="20"/>
          <w:szCs w:val="20"/>
        </w:rPr>
        <w:t xml:space="preserve"> y</w:t>
      </w:r>
      <w:r w:rsidR="00B75642" w:rsidRPr="00C8543F">
        <w:rPr>
          <w:rFonts w:ascii="Verdana" w:hAnsi="Verdana"/>
          <w:b/>
          <w:i/>
          <w:sz w:val="20"/>
          <w:szCs w:val="20"/>
        </w:rPr>
        <w:t xml:space="preserve"> jueces</w:t>
      </w:r>
      <w:r w:rsidR="00AA7F06">
        <w:rPr>
          <w:rFonts w:ascii="Verdana" w:hAnsi="Verdana"/>
          <w:b/>
          <w:i/>
          <w:sz w:val="20"/>
          <w:szCs w:val="20"/>
        </w:rPr>
        <w:t xml:space="preserve"> del Poder Judicial</w:t>
      </w:r>
      <w:bookmarkEnd w:id="6"/>
    </w:p>
    <w:p w14:paraId="4ECCDB90" w14:textId="77777777" w:rsidR="00B75642" w:rsidRPr="00754E13" w:rsidRDefault="00B75642" w:rsidP="007E0D61">
      <w:pPr>
        <w:pStyle w:val="Prrafodelista"/>
        <w:autoSpaceDE w:val="0"/>
        <w:autoSpaceDN w:val="0"/>
        <w:adjustRightInd w:val="0"/>
        <w:spacing w:before="120" w:after="120" w:line="240" w:lineRule="auto"/>
        <w:ind w:left="851"/>
        <w:contextualSpacing w:val="0"/>
        <w:jc w:val="both"/>
        <w:rPr>
          <w:rFonts w:ascii="Verdana" w:hAnsi="Verdana"/>
          <w:i/>
          <w:sz w:val="20"/>
          <w:szCs w:val="20"/>
        </w:rPr>
      </w:pPr>
      <w:r w:rsidRPr="00754E13">
        <w:rPr>
          <w:rFonts w:ascii="Verdana" w:hAnsi="Verdana" w:cs="Calibri"/>
          <w:i/>
          <w:color w:val="000000"/>
          <w:sz w:val="20"/>
          <w:szCs w:val="20"/>
        </w:rPr>
        <w:t xml:space="preserve">D.1. </w:t>
      </w:r>
      <w:r w:rsidRPr="00754E13">
        <w:rPr>
          <w:rFonts w:ascii="Verdana" w:hAnsi="Verdana"/>
          <w:i/>
          <w:sz w:val="20"/>
          <w:szCs w:val="20"/>
        </w:rPr>
        <w:t>Medida ordenada por la Corte y supervisión realizada en resolución anterior</w:t>
      </w:r>
    </w:p>
    <w:p w14:paraId="0B8FC524" w14:textId="1C7CAC5A" w:rsidR="00754E13" w:rsidRDefault="00754E13" w:rsidP="007E0D61">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el punto resolutivo décimo quinto y el párrafo 278 de la Sentencia, se dispuso que “el Estado debe implementar, en el Centro de Estudios Judiciales del Uruguay, en un plazo razonable y con la respectiva asignación presupuestaria, programas </w:t>
      </w:r>
      <w:r w:rsidRPr="00FE6EA1">
        <w:rPr>
          <w:rFonts w:ascii="Verdana" w:hAnsi="Verdana"/>
          <w:sz w:val="20"/>
          <w:szCs w:val="20"/>
        </w:rPr>
        <w:t>permanentes sobre Derechos Humanos dirigidos a los agentes del Ministerio Público y a los jueces del Poder Judicial del Uruguay, que contemplen cursos o módulos sobre la debida investigación y juzgamiento de hechos constitutivos de desaparición forzada y sustracción de niños y niñas”.</w:t>
      </w:r>
      <w:r>
        <w:rPr>
          <w:rFonts w:ascii="Verdana" w:hAnsi="Verdana"/>
          <w:sz w:val="20"/>
          <w:szCs w:val="20"/>
        </w:rPr>
        <w:t xml:space="preserve"> </w:t>
      </w:r>
    </w:p>
    <w:p w14:paraId="75ECC2CC" w14:textId="5D93E2E1" w:rsidR="00486DFE" w:rsidRDefault="00486DFE" w:rsidP="007E0D61">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9724D">
        <w:rPr>
          <w:rFonts w:ascii="Verdana" w:hAnsi="Verdana"/>
          <w:sz w:val="20"/>
          <w:szCs w:val="20"/>
        </w:rPr>
        <w:t>En la Resolución de marzo de 2013,</w:t>
      </w:r>
      <w:r w:rsidR="00B9724D" w:rsidRPr="00B9724D">
        <w:rPr>
          <w:rFonts w:ascii="Verdana" w:hAnsi="Verdana"/>
          <w:sz w:val="20"/>
          <w:szCs w:val="20"/>
        </w:rPr>
        <w:t xml:space="preserve"> la Corte “constató que el Estado se refirió a la organización de cursos de derechos humanos destinados a funcionarios del Poder Judicial y del Ministerio Público”</w:t>
      </w:r>
      <w:r w:rsidR="00B9724D" w:rsidRPr="00B9724D">
        <w:rPr>
          <w:rStyle w:val="Refdenotaalpie"/>
          <w:rFonts w:ascii="Verdana" w:hAnsi="Verdana"/>
          <w:sz w:val="20"/>
          <w:szCs w:val="20"/>
        </w:rPr>
        <w:footnoteReference w:id="56"/>
      </w:r>
      <w:r w:rsidR="00B9724D" w:rsidRPr="00B9724D">
        <w:rPr>
          <w:rFonts w:ascii="Verdana" w:hAnsi="Verdana"/>
          <w:sz w:val="20"/>
          <w:szCs w:val="20"/>
        </w:rPr>
        <w:t xml:space="preserve">. No obstante, </w:t>
      </w:r>
      <w:r w:rsidR="002A0A0F">
        <w:rPr>
          <w:rFonts w:ascii="Verdana" w:hAnsi="Verdana"/>
          <w:sz w:val="20"/>
          <w:szCs w:val="20"/>
        </w:rPr>
        <w:t xml:space="preserve">debido a que </w:t>
      </w:r>
      <w:r w:rsidR="00B9724D" w:rsidRPr="00B9724D">
        <w:rPr>
          <w:rFonts w:ascii="Verdana" w:hAnsi="Verdana"/>
          <w:sz w:val="20"/>
          <w:szCs w:val="20"/>
        </w:rPr>
        <w:t>“la información brindada por el Estado e[</w:t>
      </w:r>
      <w:proofErr w:type="spellStart"/>
      <w:r w:rsidR="00B9724D" w:rsidRPr="00B9724D">
        <w:rPr>
          <w:rFonts w:ascii="Verdana" w:hAnsi="Verdana"/>
          <w:sz w:val="20"/>
          <w:szCs w:val="20"/>
        </w:rPr>
        <w:t>ra</w:t>
      </w:r>
      <w:proofErr w:type="spellEnd"/>
      <w:r w:rsidR="00B9724D" w:rsidRPr="00B9724D">
        <w:rPr>
          <w:rFonts w:ascii="Verdana" w:hAnsi="Verdana"/>
          <w:sz w:val="20"/>
          <w:szCs w:val="20"/>
        </w:rPr>
        <w:t>] insuficiente, puesto que no informa[</w:t>
      </w:r>
      <w:proofErr w:type="spellStart"/>
      <w:r w:rsidR="00B9724D" w:rsidRPr="00B9724D">
        <w:rPr>
          <w:rFonts w:ascii="Verdana" w:hAnsi="Verdana"/>
          <w:sz w:val="20"/>
          <w:szCs w:val="20"/>
        </w:rPr>
        <w:t>ba</w:t>
      </w:r>
      <w:proofErr w:type="spellEnd"/>
      <w:r w:rsidR="00B9724D" w:rsidRPr="00B9724D">
        <w:rPr>
          <w:rFonts w:ascii="Verdana" w:hAnsi="Verdana"/>
          <w:sz w:val="20"/>
          <w:szCs w:val="20"/>
        </w:rPr>
        <w:t>] sobre el carácter permanente de dicho programa ni brinda[</w:t>
      </w:r>
      <w:proofErr w:type="spellStart"/>
      <w:r w:rsidR="00B9724D" w:rsidRPr="00B9724D">
        <w:rPr>
          <w:rFonts w:ascii="Verdana" w:hAnsi="Verdana"/>
          <w:sz w:val="20"/>
          <w:szCs w:val="20"/>
        </w:rPr>
        <w:t>ba</w:t>
      </w:r>
      <w:proofErr w:type="spellEnd"/>
      <w:r w:rsidR="00B9724D" w:rsidRPr="00B9724D">
        <w:rPr>
          <w:rFonts w:ascii="Verdana" w:hAnsi="Verdana"/>
          <w:sz w:val="20"/>
          <w:szCs w:val="20"/>
        </w:rPr>
        <w:t>] el plan de estudios y contenidos de los referidos cursos”</w:t>
      </w:r>
      <w:r w:rsidR="00663E0B">
        <w:rPr>
          <w:rFonts w:ascii="Verdana" w:hAnsi="Verdana"/>
          <w:sz w:val="20"/>
          <w:szCs w:val="20"/>
        </w:rPr>
        <w:t>, le solicitó que brindara “</w:t>
      </w:r>
      <w:r w:rsidR="00B9724D" w:rsidRPr="00B9724D">
        <w:rPr>
          <w:rFonts w:ascii="Verdana" w:hAnsi="Verdana"/>
          <w:sz w:val="20"/>
          <w:szCs w:val="20"/>
        </w:rPr>
        <w:t>información más precisa y detallada en relación con el cumplimiento de esa medida de reparación”</w:t>
      </w:r>
      <w:r w:rsidR="00563E4E">
        <w:rPr>
          <w:rStyle w:val="Refdenotaalpie"/>
          <w:rFonts w:ascii="Verdana" w:hAnsi="Verdana"/>
          <w:sz w:val="20"/>
          <w:szCs w:val="20"/>
        </w:rPr>
        <w:footnoteReference w:id="57"/>
      </w:r>
      <w:r w:rsidR="00B9724D" w:rsidRPr="00B9724D">
        <w:rPr>
          <w:rFonts w:ascii="Verdana" w:hAnsi="Verdana"/>
          <w:sz w:val="20"/>
          <w:szCs w:val="20"/>
        </w:rPr>
        <w:t>.</w:t>
      </w:r>
    </w:p>
    <w:p w14:paraId="3CDCE6D0" w14:textId="6BDE4A7C" w:rsidR="00563E4E" w:rsidRPr="00BD2FC5" w:rsidRDefault="00563E4E" w:rsidP="007E0D61">
      <w:pPr>
        <w:pStyle w:val="Prrafodelista"/>
        <w:autoSpaceDE w:val="0"/>
        <w:autoSpaceDN w:val="0"/>
        <w:adjustRightInd w:val="0"/>
        <w:spacing w:before="120" w:after="120" w:line="240" w:lineRule="auto"/>
        <w:ind w:left="851"/>
        <w:contextualSpacing w:val="0"/>
        <w:jc w:val="both"/>
        <w:rPr>
          <w:rFonts w:ascii="Verdana" w:hAnsi="Verdana"/>
          <w:i/>
          <w:iCs/>
          <w:sz w:val="20"/>
          <w:szCs w:val="20"/>
        </w:rPr>
      </w:pPr>
      <w:r w:rsidRPr="00BD2FC5">
        <w:rPr>
          <w:rFonts w:ascii="Verdana" w:hAnsi="Verdana"/>
          <w:i/>
          <w:iCs/>
          <w:sz w:val="20"/>
          <w:szCs w:val="20"/>
        </w:rPr>
        <w:t>D.2. Consideraciones de la Corte</w:t>
      </w:r>
    </w:p>
    <w:p w14:paraId="4A5FD6F7" w14:textId="7D23DEB2" w:rsidR="004E3C26" w:rsidRPr="00167C29" w:rsidRDefault="00A14632" w:rsidP="00B64FF6">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167C29">
        <w:rPr>
          <w:rFonts w:ascii="Verdana" w:hAnsi="Verdana"/>
          <w:sz w:val="20"/>
          <w:szCs w:val="20"/>
        </w:rPr>
        <w:t xml:space="preserve">El Estado ha </w:t>
      </w:r>
      <w:r w:rsidR="00AA7F06" w:rsidRPr="00167C29">
        <w:rPr>
          <w:rFonts w:ascii="Verdana" w:hAnsi="Verdana"/>
          <w:sz w:val="20"/>
          <w:szCs w:val="20"/>
        </w:rPr>
        <w:t>reconocido que “este punto continúa siendo una materia pendiente del cumplimiento de la Sentencia”.</w:t>
      </w:r>
      <w:r w:rsidR="006F6CD3">
        <w:rPr>
          <w:rFonts w:ascii="Verdana" w:hAnsi="Verdana"/>
          <w:b/>
          <w:bCs/>
          <w:color w:val="000000" w:themeColor="text1"/>
          <w:sz w:val="16"/>
          <w:szCs w:val="16"/>
        </w:rPr>
        <w:t xml:space="preserve"> </w:t>
      </w:r>
      <w:r w:rsidR="00167C29" w:rsidRPr="00167C29">
        <w:rPr>
          <w:rFonts w:ascii="Verdana" w:hAnsi="Verdana"/>
          <w:bCs/>
          <w:color w:val="000000" w:themeColor="text1"/>
          <w:sz w:val="20"/>
          <w:szCs w:val="20"/>
        </w:rPr>
        <w:t xml:space="preserve">En sus informes y en la audiencia de supervisión </w:t>
      </w:r>
      <w:r w:rsidR="00C06009">
        <w:rPr>
          <w:rFonts w:ascii="Verdana" w:hAnsi="Verdana"/>
          <w:bCs/>
          <w:color w:val="000000" w:themeColor="text1"/>
          <w:sz w:val="20"/>
          <w:szCs w:val="20"/>
        </w:rPr>
        <w:t>celebrada en</w:t>
      </w:r>
      <w:r w:rsidR="00C06009" w:rsidRPr="00167C29">
        <w:rPr>
          <w:rFonts w:ascii="Verdana" w:hAnsi="Verdana"/>
          <w:bCs/>
          <w:color w:val="000000" w:themeColor="text1"/>
          <w:sz w:val="20"/>
          <w:szCs w:val="20"/>
        </w:rPr>
        <w:t xml:space="preserve"> </w:t>
      </w:r>
      <w:r w:rsidR="00167C29" w:rsidRPr="00167C29">
        <w:rPr>
          <w:rFonts w:ascii="Verdana" w:hAnsi="Verdana"/>
          <w:bCs/>
          <w:color w:val="000000" w:themeColor="text1"/>
          <w:sz w:val="20"/>
          <w:szCs w:val="20"/>
        </w:rPr>
        <w:t xml:space="preserve">septiembre 2019, informó </w:t>
      </w:r>
      <w:r w:rsidRPr="00167C29">
        <w:rPr>
          <w:rFonts w:ascii="Verdana" w:hAnsi="Verdana"/>
          <w:sz w:val="20"/>
          <w:szCs w:val="20"/>
        </w:rPr>
        <w:t>sobre capacitaciones en derechos humanos destinadas a funcionarios del Poder Judicial y del Ministerio Público. En cuanto a</w:t>
      </w:r>
      <w:r w:rsidR="00772CFB" w:rsidRPr="00167C29">
        <w:rPr>
          <w:rFonts w:ascii="Verdana" w:hAnsi="Verdana"/>
          <w:sz w:val="20"/>
          <w:szCs w:val="20"/>
        </w:rPr>
        <w:t xml:space="preserve"> la capacitación de jueces del</w:t>
      </w:r>
      <w:r w:rsidRPr="00167C29">
        <w:rPr>
          <w:rFonts w:ascii="Verdana" w:hAnsi="Verdana"/>
          <w:sz w:val="20"/>
          <w:szCs w:val="20"/>
        </w:rPr>
        <w:t xml:space="preserve"> Poder Judicial</w:t>
      </w:r>
      <w:r w:rsidR="00154CD2" w:rsidRPr="00167C29">
        <w:rPr>
          <w:rFonts w:ascii="Verdana" w:hAnsi="Verdana"/>
          <w:sz w:val="20"/>
          <w:szCs w:val="20"/>
        </w:rPr>
        <w:t xml:space="preserve"> aportó un documento con el detalle de las capacitaciones realizadas </w:t>
      </w:r>
      <w:r w:rsidR="0003313C">
        <w:rPr>
          <w:rFonts w:ascii="Verdana" w:hAnsi="Verdana"/>
          <w:sz w:val="20"/>
          <w:szCs w:val="20"/>
        </w:rPr>
        <w:t>d</w:t>
      </w:r>
      <w:r w:rsidR="00154CD2" w:rsidRPr="00167C29">
        <w:rPr>
          <w:rFonts w:ascii="Verdana" w:hAnsi="Verdana"/>
          <w:sz w:val="20"/>
          <w:szCs w:val="20"/>
        </w:rPr>
        <w:t>el 2013 al 2017. Asimismo,</w:t>
      </w:r>
      <w:r w:rsidRPr="00167C29">
        <w:rPr>
          <w:rFonts w:ascii="Verdana" w:hAnsi="Verdana"/>
          <w:sz w:val="20"/>
          <w:szCs w:val="20"/>
        </w:rPr>
        <w:t xml:space="preserve"> indicó que: </w:t>
      </w:r>
      <w:r w:rsidR="00772CFB" w:rsidRPr="00167C29">
        <w:rPr>
          <w:rFonts w:ascii="Verdana" w:hAnsi="Verdana"/>
          <w:sz w:val="20"/>
          <w:szCs w:val="20"/>
        </w:rPr>
        <w:t xml:space="preserve">(i) </w:t>
      </w:r>
      <w:r w:rsidRPr="00167C29">
        <w:rPr>
          <w:rFonts w:ascii="Verdana" w:hAnsi="Verdana"/>
          <w:sz w:val="20"/>
          <w:szCs w:val="20"/>
        </w:rPr>
        <w:t xml:space="preserve">“el área de formación inicial que </w:t>
      </w:r>
      <w:r w:rsidR="00571BC3" w:rsidRPr="00167C29">
        <w:rPr>
          <w:rFonts w:ascii="Verdana" w:hAnsi="Verdana"/>
          <w:sz w:val="20"/>
          <w:szCs w:val="20"/>
        </w:rPr>
        <w:t>s</w:t>
      </w:r>
      <w:r w:rsidRPr="00167C29">
        <w:rPr>
          <w:rFonts w:ascii="Verdana" w:hAnsi="Verdana"/>
          <w:sz w:val="20"/>
          <w:szCs w:val="20"/>
        </w:rPr>
        <w:t>e dedica a la selección y formación de futuros jueces” dicta</w:t>
      </w:r>
      <w:r w:rsidR="00571BC3" w:rsidRPr="00167C29">
        <w:rPr>
          <w:rFonts w:ascii="Verdana" w:hAnsi="Verdana"/>
          <w:sz w:val="20"/>
          <w:szCs w:val="20"/>
        </w:rPr>
        <w:t>,</w:t>
      </w:r>
      <w:r w:rsidRPr="00167C29">
        <w:rPr>
          <w:rFonts w:ascii="Verdana" w:hAnsi="Verdana"/>
          <w:sz w:val="20"/>
          <w:szCs w:val="20"/>
        </w:rPr>
        <w:t xml:space="preserve"> a través del Centro de Estudios Judiciales del Uruguay</w:t>
      </w:r>
      <w:r w:rsidR="00571BC3" w:rsidRPr="00167C29">
        <w:rPr>
          <w:rFonts w:ascii="Verdana" w:hAnsi="Verdana"/>
          <w:sz w:val="20"/>
          <w:szCs w:val="20"/>
        </w:rPr>
        <w:t>,</w:t>
      </w:r>
      <w:r w:rsidRPr="00167C29">
        <w:rPr>
          <w:rFonts w:ascii="Verdana" w:hAnsi="Verdana"/>
          <w:sz w:val="20"/>
          <w:szCs w:val="20"/>
        </w:rPr>
        <w:t xml:space="preserve"> un “módulo específico, de carácter fijo […] que reciben todas las generaciones de [a</w:t>
      </w:r>
      <w:r w:rsidR="00772CFB" w:rsidRPr="00167C29">
        <w:rPr>
          <w:rFonts w:ascii="Verdana" w:hAnsi="Verdana"/>
          <w:sz w:val="20"/>
          <w:szCs w:val="20"/>
        </w:rPr>
        <w:t>]</w:t>
      </w:r>
      <w:proofErr w:type="spellStart"/>
      <w:r w:rsidRPr="00167C29">
        <w:rPr>
          <w:rFonts w:ascii="Verdana" w:hAnsi="Verdana"/>
          <w:sz w:val="20"/>
          <w:szCs w:val="20"/>
        </w:rPr>
        <w:t>spirantes</w:t>
      </w:r>
      <w:proofErr w:type="spellEnd"/>
      <w:r w:rsidR="00772CFB" w:rsidRPr="00167C29">
        <w:rPr>
          <w:rFonts w:ascii="Verdana" w:hAnsi="Verdana"/>
          <w:sz w:val="20"/>
          <w:szCs w:val="20"/>
        </w:rPr>
        <w:t xml:space="preserve"> denominado ‘Derechos Humanos: Aplicación de Instrumentos Internacionales y Constitucionales de Protección’”; y que </w:t>
      </w:r>
      <w:r w:rsidR="00571BC3" w:rsidRPr="00167C29">
        <w:rPr>
          <w:rFonts w:ascii="Verdana" w:hAnsi="Verdana"/>
          <w:sz w:val="20"/>
          <w:szCs w:val="20"/>
        </w:rPr>
        <w:t xml:space="preserve">en </w:t>
      </w:r>
      <w:r w:rsidR="00772CFB" w:rsidRPr="00167C29">
        <w:rPr>
          <w:rFonts w:ascii="Verdana" w:hAnsi="Verdana"/>
          <w:sz w:val="20"/>
          <w:szCs w:val="20"/>
        </w:rPr>
        <w:t xml:space="preserve">“el área de formación continua, que se dedica a la formación permanente de los jueces que ya ejercen la magistratura, se han […] realizado distintas instancias de capacitación”. Respecto a la capacitación de agentes del Ministerio Público, indicó que “desde el dictado de la Sentencia </w:t>
      </w:r>
      <w:r w:rsidR="00571BC3" w:rsidRPr="00167C29">
        <w:rPr>
          <w:rFonts w:ascii="Verdana" w:hAnsi="Verdana"/>
          <w:sz w:val="20"/>
          <w:szCs w:val="20"/>
        </w:rPr>
        <w:t>[…]</w:t>
      </w:r>
      <w:r w:rsidR="00772CFB" w:rsidRPr="00167C29">
        <w:rPr>
          <w:rFonts w:ascii="Verdana" w:hAnsi="Verdana"/>
          <w:sz w:val="20"/>
          <w:szCs w:val="20"/>
        </w:rPr>
        <w:t xml:space="preserve"> en [este] caso […], la Fiscalía [General de la Nación] ha capacitado anualmente de manera ininterrumpida, a sus equipos de fiscales en materia de derechos humanos”. Adicionalmente, </w:t>
      </w:r>
      <w:r w:rsidR="004E3C26" w:rsidRPr="00167C29">
        <w:rPr>
          <w:rFonts w:ascii="Verdana" w:hAnsi="Verdana"/>
          <w:sz w:val="20"/>
          <w:szCs w:val="20"/>
        </w:rPr>
        <w:t>informó que “en 2018 y 2019 la Ofici</w:t>
      </w:r>
      <w:r w:rsidR="005F3B06" w:rsidRPr="00167C29">
        <w:rPr>
          <w:rFonts w:ascii="Verdana" w:hAnsi="Verdana"/>
          <w:sz w:val="20"/>
          <w:szCs w:val="20"/>
        </w:rPr>
        <w:t>n</w:t>
      </w:r>
      <w:r w:rsidR="004E3C26" w:rsidRPr="00167C29">
        <w:rPr>
          <w:rFonts w:ascii="Verdana" w:hAnsi="Verdana"/>
          <w:sz w:val="20"/>
          <w:szCs w:val="20"/>
        </w:rPr>
        <w:t xml:space="preserve">a de la ONU en Uruguay desarrolló un intenso trabajo de capacitación junto a </w:t>
      </w:r>
      <w:r w:rsidR="008A7493">
        <w:rPr>
          <w:rFonts w:ascii="Verdana" w:hAnsi="Verdana"/>
          <w:sz w:val="20"/>
          <w:szCs w:val="20"/>
        </w:rPr>
        <w:t>J</w:t>
      </w:r>
      <w:r w:rsidR="004E3C26" w:rsidRPr="00167C29">
        <w:rPr>
          <w:rFonts w:ascii="Verdana" w:hAnsi="Verdana"/>
          <w:sz w:val="20"/>
          <w:szCs w:val="20"/>
        </w:rPr>
        <w:t xml:space="preserve">ueces, </w:t>
      </w:r>
      <w:r w:rsidR="008A7493">
        <w:rPr>
          <w:rFonts w:ascii="Verdana" w:hAnsi="Verdana"/>
          <w:sz w:val="20"/>
          <w:szCs w:val="20"/>
        </w:rPr>
        <w:t>F</w:t>
      </w:r>
      <w:r w:rsidR="004E3C26" w:rsidRPr="00167C29">
        <w:rPr>
          <w:rFonts w:ascii="Verdana" w:hAnsi="Verdana"/>
          <w:sz w:val="20"/>
          <w:szCs w:val="20"/>
        </w:rPr>
        <w:t xml:space="preserve">iscales y </w:t>
      </w:r>
      <w:r w:rsidR="008A7493">
        <w:rPr>
          <w:rFonts w:ascii="Verdana" w:hAnsi="Verdana"/>
          <w:sz w:val="20"/>
          <w:szCs w:val="20"/>
        </w:rPr>
        <w:t>D</w:t>
      </w:r>
      <w:r w:rsidR="004E3C26" w:rsidRPr="00167C29">
        <w:rPr>
          <w:rFonts w:ascii="Verdana" w:hAnsi="Verdana"/>
          <w:sz w:val="20"/>
          <w:szCs w:val="20"/>
        </w:rPr>
        <w:t xml:space="preserve">efensores </w:t>
      </w:r>
      <w:r w:rsidR="008A7493">
        <w:rPr>
          <w:rFonts w:ascii="Verdana" w:hAnsi="Verdana"/>
          <w:sz w:val="20"/>
          <w:szCs w:val="20"/>
        </w:rPr>
        <w:t>P</w:t>
      </w:r>
      <w:r w:rsidR="004E3C26" w:rsidRPr="00167C29">
        <w:rPr>
          <w:rFonts w:ascii="Verdana" w:hAnsi="Verdana"/>
          <w:sz w:val="20"/>
          <w:szCs w:val="20"/>
        </w:rPr>
        <w:t>úblicos, en línea con la Sentencia de la Corte”</w:t>
      </w:r>
      <w:r w:rsidR="00167C29">
        <w:rPr>
          <w:rFonts w:ascii="Verdana" w:hAnsi="Verdana"/>
          <w:sz w:val="20"/>
          <w:szCs w:val="20"/>
        </w:rPr>
        <w:t>. También,</w:t>
      </w:r>
      <w:r w:rsidR="004E3C26" w:rsidRPr="00167C29">
        <w:rPr>
          <w:rFonts w:ascii="Verdana" w:hAnsi="Verdana"/>
          <w:sz w:val="20"/>
          <w:szCs w:val="20"/>
        </w:rPr>
        <w:t xml:space="preserve"> </w:t>
      </w:r>
      <w:r w:rsidR="00167C29">
        <w:rPr>
          <w:rFonts w:ascii="Verdana" w:hAnsi="Verdana"/>
          <w:sz w:val="20"/>
          <w:szCs w:val="20"/>
        </w:rPr>
        <w:t xml:space="preserve">se refirió al </w:t>
      </w:r>
      <w:r w:rsidR="004E3C26" w:rsidRPr="00167C29">
        <w:rPr>
          <w:rFonts w:ascii="Verdana" w:hAnsi="Verdana"/>
          <w:sz w:val="20"/>
          <w:szCs w:val="20"/>
        </w:rPr>
        <w:t>artículo 165 de la Ley 19.149</w:t>
      </w:r>
      <w:r w:rsidR="00C06009">
        <w:rPr>
          <w:rFonts w:ascii="Verdana" w:hAnsi="Verdana"/>
          <w:sz w:val="20"/>
          <w:szCs w:val="20"/>
        </w:rPr>
        <w:t>,</w:t>
      </w:r>
      <w:r w:rsidR="00167C29">
        <w:rPr>
          <w:rFonts w:ascii="Verdana" w:hAnsi="Verdana"/>
          <w:sz w:val="20"/>
          <w:szCs w:val="20"/>
        </w:rPr>
        <w:t xml:space="preserve"> publicada en 2013</w:t>
      </w:r>
      <w:r w:rsidR="00167C29">
        <w:rPr>
          <w:rStyle w:val="Refdenotaalpie"/>
          <w:rFonts w:ascii="Verdana" w:hAnsi="Verdana"/>
          <w:sz w:val="20"/>
          <w:szCs w:val="20"/>
        </w:rPr>
        <w:footnoteReference w:id="58"/>
      </w:r>
      <w:r w:rsidR="004E3C26" w:rsidRPr="00167C29">
        <w:rPr>
          <w:rFonts w:ascii="Verdana" w:hAnsi="Verdana"/>
          <w:sz w:val="20"/>
          <w:szCs w:val="20"/>
        </w:rPr>
        <w:t xml:space="preserve">, </w:t>
      </w:r>
      <w:r w:rsidR="00167C29">
        <w:rPr>
          <w:rFonts w:ascii="Verdana" w:hAnsi="Verdana"/>
          <w:sz w:val="20"/>
          <w:szCs w:val="20"/>
        </w:rPr>
        <w:t>“</w:t>
      </w:r>
      <w:r w:rsidR="004E3C26" w:rsidRPr="00167C29">
        <w:rPr>
          <w:rFonts w:ascii="Verdana" w:hAnsi="Verdana"/>
          <w:sz w:val="20"/>
          <w:szCs w:val="20"/>
        </w:rPr>
        <w:t>que encomiend</w:t>
      </w:r>
      <w:r w:rsidR="0003313C">
        <w:rPr>
          <w:rFonts w:ascii="Verdana" w:hAnsi="Verdana"/>
          <w:sz w:val="20"/>
          <w:szCs w:val="20"/>
        </w:rPr>
        <w:t>a</w:t>
      </w:r>
      <w:r w:rsidR="004E3C26" w:rsidRPr="00167C29">
        <w:rPr>
          <w:rFonts w:ascii="Verdana" w:hAnsi="Verdana"/>
          <w:sz w:val="20"/>
          <w:szCs w:val="20"/>
        </w:rPr>
        <w:t xml:space="preserve"> </w:t>
      </w:r>
      <w:r w:rsidR="00167C29">
        <w:rPr>
          <w:rFonts w:ascii="Verdana" w:hAnsi="Verdana"/>
          <w:sz w:val="20"/>
          <w:szCs w:val="20"/>
        </w:rPr>
        <w:t>al</w:t>
      </w:r>
      <w:r w:rsidR="00154CD2" w:rsidRPr="00167C29">
        <w:rPr>
          <w:rFonts w:ascii="Verdana" w:hAnsi="Verdana"/>
          <w:sz w:val="20"/>
          <w:szCs w:val="20"/>
        </w:rPr>
        <w:t xml:space="preserve"> </w:t>
      </w:r>
      <w:r w:rsidR="004E3C26" w:rsidRPr="00167C29">
        <w:rPr>
          <w:rFonts w:ascii="Verdana" w:hAnsi="Verdana"/>
          <w:sz w:val="20"/>
          <w:szCs w:val="20"/>
        </w:rPr>
        <w:t>Ministerio</w:t>
      </w:r>
      <w:r w:rsidR="00167C29">
        <w:rPr>
          <w:rFonts w:ascii="Verdana" w:hAnsi="Verdana"/>
          <w:sz w:val="20"/>
          <w:szCs w:val="20"/>
        </w:rPr>
        <w:t xml:space="preserve"> de Relaciones Exteriores,</w:t>
      </w:r>
      <w:r w:rsidR="004E3C26" w:rsidRPr="00167C29">
        <w:rPr>
          <w:rFonts w:ascii="Verdana" w:hAnsi="Verdana"/>
          <w:sz w:val="20"/>
          <w:szCs w:val="20"/>
        </w:rPr>
        <w:t xml:space="preserve"> a través del Instituto Artigas del Servicio Exterior ‘la </w:t>
      </w:r>
      <w:r w:rsidR="004E3C26" w:rsidRPr="00167C29">
        <w:rPr>
          <w:rFonts w:ascii="Verdana" w:hAnsi="Verdana" w:cs="Arial"/>
          <w:color w:val="000000"/>
          <w:sz w:val="20"/>
          <w:szCs w:val="20"/>
          <w:shd w:val="clear" w:color="auto" w:fill="FFFFFF"/>
        </w:rPr>
        <w:t>creación de un programa permanente de formación en materia de Derechos Humanos, para dar cumplimiento a la sentencia de la Corte Interamericana</w:t>
      </w:r>
      <w:r w:rsidR="00167C29">
        <w:rPr>
          <w:rFonts w:ascii="Verdana" w:hAnsi="Verdana" w:cs="Arial"/>
          <w:color w:val="000000"/>
          <w:sz w:val="20"/>
          <w:szCs w:val="20"/>
          <w:shd w:val="clear" w:color="auto" w:fill="FFFFFF"/>
        </w:rPr>
        <w:t>’</w:t>
      </w:r>
      <w:r w:rsidR="00571BC3" w:rsidRPr="00167C29">
        <w:rPr>
          <w:rFonts w:ascii="Verdana" w:hAnsi="Verdana" w:cs="Arial"/>
          <w:color w:val="000000"/>
          <w:sz w:val="20"/>
          <w:szCs w:val="20"/>
          <w:shd w:val="clear" w:color="auto" w:fill="FFFFFF"/>
        </w:rPr>
        <w:t>”</w:t>
      </w:r>
      <w:r w:rsidR="004E3C26" w:rsidRPr="00167C29">
        <w:rPr>
          <w:rFonts w:ascii="Verdana" w:hAnsi="Verdana" w:cs="Arial"/>
          <w:color w:val="000000"/>
          <w:sz w:val="20"/>
          <w:szCs w:val="20"/>
          <w:shd w:val="clear" w:color="auto" w:fill="FFFFFF"/>
        </w:rPr>
        <w:t xml:space="preserve">. Agregó que, a tal </w:t>
      </w:r>
      <w:r w:rsidR="004E3C26" w:rsidRPr="00167C29">
        <w:rPr>
          <w:rFonts w:ascii="Verdana" w:hAnsi="Verdana" w:cs="Arial"/>
          <w:color w:val="000000"/>
          <w:sz w:val="20"/>
          <w:szCs w:val="20"/>
          <w:shd w:val="clear" w:color="auto" w:fill="FFFFFF"/>
        </w:rPr>
        <w:lastRenderedPageBreak/>
        <w:t>efecto, “se busca coordinar con el Centro de Estudios Judiciales […] un programa conjunto”.</w:t>
      </w:r>
    </w:p>
    <w:p w14:paraId="1850665F" w14:textId="2E0137A0" w:rsidR="004E3C26" w:rsidRDefault="00100A09" w:rsidP="007E0D61">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b/>
          <w:bCs/>
          <w:sz w:val="16"/>
          <w:szCs w:val="16"/>
        </w:rPr>
      </w:pPr>
      <w:r w:rsidRPr="00BD2FC5">
        <w:rPr>
          <w:rFonts w:ascii="Verdana" w:hAnsi="Verdana"/>
          <w:sz w:val="20"/>
          <w:szCs w:val="20"/>
        </w:rPr>
        <w:t>Las objeciones presentadas por los representantes y la Comisión IDH guardan relación con que</w:t>
      </w:r>
      <w:r w:rsidR="00B64FF6">
        <w:rPr>
          <w:rFonts w:ascii="Verdana" w:hAnsi="Verdana"/>
          <w:sz w:val="20"/>
          <w:szCs w:val="20"/>
        </w:rPr>
        <w:t>:</w:t>
      </w:r>
      <w:r w:rsidRPr="00BD2FC5">
        <w:rPr>
          <w:rFonts w:ascii="Verdana" w:hAnsi="Verdana"/>
          <w:sz w:val="20"/>
          <w:szCs w:val="20"/>
        </w:rPr>
        <w:t xml:space="preserve"> </w:t>
      </w:r>
      <w:r w:rsidR="00167C29">
        <w:rPr>
          <w:rFonts w:ascii="Verdana" w:hAnsi="Verdana"/>
          <w:sz w:val="20"/>
          <w:szCs w:val="20"/>
        </w:rPr>
        <w:t xml:space="preserve">“la mayoría de los cursos [sobre los cuales ha informado el Estado] no se relacionan con </w:t>
      </w:r>
      <w:r w:rsidR="00B64FF6">
        <w:rPr>
          <w:rFonts w:ascii="Verdana" w:hAnsi="Verdana"/>
          <w:sz w:val="20"/>
          <w:szCs w:val="20"/>
        </w:rPr>
        <w:t>[los temas que son]</w:t>
      </w:r>
      <w:r w:rsidR="00167C29">
        <w:rPr>
          <w:rFonts w:ascii="Verdana" w:hAnsi="Verdana"/>
          <w:sz w:val="20"/>
          <w:szCs w:val="20"/>
        </w:rPr>
        <w:t xml:space="preserve"> objeto principal de esta reparación”; </w:t>
      </w:r>
      <w:r w:rsidRPr="00BD2FC5">
        <w:rPr>
          <w:rFonts w:ascii="Verdana" w:hAnsi="Verdana"/>
          <w:sz w:val="20"/>
          <w:szCs w:val="20"/>
        </w:rPr>
        <w:t xml:space="preserve">no es posible </w:t>
      </w:r>
      <w:r w:rsidR="00B64FF6">
        <w:rPr>
          <w:rFonts w:ascii="Verdana" w:hAnsi="Verdana"/>
          <w:sz w:val="20"/>
          <w:szCs w:val="20"/>
        </w:rPr>
        <w:t>verificar que “alguno o todos [é]</w:t>
      </w:r>
      <w:proofErr w:type="spellStart"/>
      <w:r w:rsidR="00B64FF6">
        <w:rPr>
          <w:rFonts w:ascii="Verdana" w:hAnsi="Verdana"/>
          <w:sz w:val="20"/>
          <w:szCs w:val="20"/>
        </w:rPr>
        <w:t>stos</w:t>
      </w:r>
      <w:proofErr w:type="spellEnd"/>
      <w:r w:rsidR="00B64FF6">
        <w:rPr>
          <w:rFonts w:ascii="Verdana" w:hAnsi="Verdana"/>
          <w:sz w:val="20"/>
          <w:szCs w:val="20"/>
        </w:rPr>
        <w:t xml:space="preserve"> […] tengan carácter permanente</w:t>
      </w:r>
      <w:r w:rsidRPr="00BD2FC5">
        <w:rPr>
          <w:rFonts w:ascii="Verdana" w:hAnsi="Verdana"/>
          <w:sz w:val="20"/>
          <w:szCs w:val="20"/>
        </w:rPr>
        <w:t>”</w:t>
      </w:r>
      <w:r w:rsidR="00571BC3">
        <w:rPr>
          <w:rFonts w:ascii="Verdana" w:hAnsi="Verdana"/>
          <w:sz w:val="20"/>
          <w:szCs w:val="20"/>
        </w:rPr>
        <w:t xml:space="preserve">, </w:t>
      </w:r>
      <w:r w:rsidR="00BD2FC5" w:rsidRPr="00BD2FC5">
        <w:rPr>
          <w:rFonts w:ascii="Verdana" w:hAnsi="Verdana"/>
          <w:sz w:val="20"/>
          <w:szCs w:val="20"/>
        </w:rPr>
        <w:t xml:space="preserve">ni que se </w:t>
      </w:r>
      <w:r w:rsidR="000A2FD1" w:rsidRPr="00BD2FC5">
        <w:rPr>
          <w:rFonts w:ascii="Verdana" w:hAnsi="Verdana"/>
          <w:sz w:val="20"/>
          <w:szCs w:val="20"/>
        </w:rPr>
        <w:t>cuent</w:t>
      </w:r>
      <w:r w:rsidR="000A2FD1">
        <w:rPr>
          <w:rFonts w:ascii="Verdana" w:hAnsi="Verdana"/>
          <w:sz w:val="20"/>
          <w:szCs w:val="20"/>
        </w:rPr>
        <w:t>a</w:t>
      </w:r>
      <w:r w:rsidR="000A2FD1" w:rsidRPr="00BD2FC5">
        <w:rPr>
          <w:rFonts w:ascii="Verdana" w:hAnsi="Verdana"/>
          <w:sz w:val="20"/>
          <w:szCs w:val="20"/>
        </w:rPr>
        <w:t xml:space="preserve">n </w:t>
      </w:r>
      <w:r w:rsidR="00BD2FC5" w:rsidRPr="00BD2FC5">
        <w:rPr>
          <w:rFonts w:ascii="Verdana" w:hAnsi="Verdana"/>
          <w:sz w:val="20"/>
          <w:szCs w:val="20"/>
        </w:rPr>
        <w:t xml:space="preserve">con los recursos presupuestarios necesarios para la implementación </w:t>
      </w:r>
      <w:r w:rsidR="00571BC3">
        <w:rPr>
          <w:rFonts w:ascii="Verdana" w:hAnsi="Verdana"/>
          <w:sz w:val="20"/>
          <w:szCs w:val="20"/>
        </w:rPr>
        <w:t xml:space="preserve">permanente </w:t>
      </w:r>
      <w:r w:rsidR="00BD2FC5" w:rsidRPr="00BD2FC5">
        <w:rPr>
          <w:rFonts w:ascii="Verdana" w:hAnsi="Verdana"/>
          <w:sz w:val="20"/>
          <w:szCs w:val="20"/>
        </w:rPr>
        <w:t>de estos cursos</w:t>
      </w:r>
      <w:r w:rsidR="00B64FF6">
        <w:rPr>
          <w:rFonts w:ascii="Verdana" w:hAnsi="Verdana"/>
          <w:sz w:val="20"/>
          <w:szCs w:val="20"/>
        </w:rPr>
        <w:t>, según fue ordenado por la Corte</w:t>
      </w:r>
      <w:r w:rsidR="00BD2FC5" w:rsidRPr="00BD2FC5">
        <w:rPr>
          <w:rFonts w:ascii="Verdana" w:hAnsi="Verdana"/>
          <w:sz w:val="20"/>
          <w:szCs w:val="20"/>
        </w:rPr>
        <w:t>.</w:t>
      </w:r>
    </w:p>
    <w:p w14:paraId="10358BCA" w14:textId="30C378CA" w:rsidR="00381483" w:rsidRPr="00055C7F" w:rsidRDefault="00B64FF6" w:rsidP="00B64FF6">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Aunque el Estado informó que a través de la </w:t>
      </w:r>
      <w:r w:rsidR="009A134B" w:rsidRPr="00B64FF6">
        <w:rPr>
          <w:rFonts w:ascii="Verdana" w:hAnsi="Verdana"/>
          <w:sz w:val="20"/>
          <w:szCs w:val="20"/>
        </w:rPr>
        <w:t>Ley 19.149</w:t>
      </w:r>
      <w:r>
        <w:rPr>
          <w:rFonts w:ascii="Verdana" w:hAnsi="Verdana"/>
          <w:sz w:val="20"/>
          <w:szCs w:val="20"/>
        </w:rPr>
        <w:t xml:space="preserve"> se procuró</w:t>
      </w:r>
      <w:r w:rsidR="009A134B" w:rsidRPr="00B64FF6">
        <w:rPr>
          <w:rFonts w:ascii="Verdana" w:hAnsi="Verdana"/>
          <w:sz w:val="20"/>
          <w:szCs w:val="20"/>
        </w:rPr>
        <w:t xml:space="preserve"> asegurar los recursos presupuestarios para la implementación de esta medida de reparación</w:t>
      </w:r>
      <w:r>
        <w:rPr>
          <w:rFonts w:ascii="Verdana" w:hAnsi="Verdana"/>
          <w:sz w:val="20"/>
          <w:szCs w:val="20"/>
        </w:rPr>
        <w:t xml:space="preserve"> y se encomendó su ejecución al Ministerio de Relaciones Exteriores</w:t>
      </w:r>
      <w:r w:rsidR="000A2FD1">
        <w:rPr>
          <w:rFonts w:ascii="Verdana" w:hAnsi="Verdana"/>
          <w:sz w:val="20"/>
          <w:szCs w:val="20"/>
        </w:rPr>
        <w:t xml:space="preserve"> (</w:t>
      </w:r>
      <w:r w:rsidR="000A2FD1" w:rsidRPr="007B5E63">
        <w:rPr>
          <w:rFonts w:ascii="Verdana" w:hAnsi="Verdana"/>
          <w:i/>
          <w:sz w:val="20"/>
          <w:szCs w:val="20"/>
        </w:rPr>
        <w:t>supra</w:t>
      </w:r>
      <w:r w:rsidR="000A2FD1">
        <w:rPr>
          <w:rFonts w:ascii="Verdana" w:hAnsi="Verdana"/>
          <w:sz w:val="20"/>
          <w:szCs w:val="20"/>
        </w:rPr>
        <w:t xml:space="preserve"> Considerando 44)</w:t>
      </w:r>
      <w:r>
        <w:rPr>
          <w:rFonts w:ascii="Verdana" w:hAnsi="Verdana"/>
          <w:sz w:val="20"/>
          <w:szCs w:val="20"/>
        </w:rPr>
        <w:t>, la Corte observa que han transcurrido siete años desde su publicación, sin que el Estado haya aportado información de que va a dar cumplimiento a esta reparación siguiendo lo allí establecido. Sin embargo, la Corte nota que</w:t>
      </w:r>
      <w:r w:rsidR="003314FF">
        <w:rPr>
          <w:rFonts w:ascii="Verdana" w:hAnsi="Verdana"/>
          <w:sz w:val="20"/>
          <w:szCs w:val="20"/>
        </w:rPr>
        <w:t>,</w:t>
      </w:r>
      <w:r>
        <w:rPr>
          <w:rFonts w:ascii="Verdana" w:hAnsi="Verdana"/>
          <w:sz w:val="20"/>
          <w:szCs w:val="20"/>
        </w:rPr>
        <w:t xml:space="preserve"> a través del </w:t>
      </w:r>
      <w:r w:rsidRPr="008C4715">
        <w:rPr>
          <w:rFonts w:ascii="Verdana" w:hAnsi="Verdana"/>
          <w:sz w:val="20"/>
          <w:szCs w:val="20"/>
        </w:rPr>
        <w:t xml:space="preserve">Centro de Estudios Judiciales y </w:t>
      </w:r>
      <w:r>
        <w:rPr>
          <w:rFonts w:ascii="Verdana" w:hAnsi="Verdana"/>
          <w:sz w:val="20"/>
          <w:szCs w:val="20"/>
        </w:rPr>
        <w:t>del Centro de Formación de la Fiscalía General de la Nación</w:t>
      </w:r>
      <w:r w:rsidR="003314FF">
        <w:rPr>
          <w:rFonts w:ascii="Verdana" w:hAnsi="Verdana"/>
          <w:sz w:val="20"/>
          <w:szCs w:val="20"/>
        </w:rPr>
        <w:t>,</w:t>
      </w:r>
      <w:r>
        <w:rPr>
          <w:rFonts w:ascii="Verdana" w:hAnsi="Verdana"/>
          <w:sz w:val="20"/>
          <w:szCs w:val="20"/>
        </w:rPr>
        <w:t xml:space="preserve"> se habrían realizado diversas capacitaciones en derechos humanos para jueces y agentes del Ministerio Público. Al respecto, se hace notar </w:t>
      </w:r>
      <w:r w:rsidR="00A6035B" w:rsidRPr="00B64FF6">
        <w:rPr>
          <w:rFonts w:ascii="Verdana" w:hAnsi="Verdana"/>
          <w:color w:val="000000" w:themeColor="text1"/>
          <w:sz w:val="20"/>
          <w:szCs w:val="20"/>
        </w:rPr>
        <w:t xml:space="preserve">que Uruguay también podría dar cumplimiento a esta reparación a través de los cursos de formación </w:t>
      </w:r>
      <w:r w:rsidR="00381483" w:rsidRPr="00B64FF6">
        <w:rPr>
          <w:rFonts w:ascii="Verdana" w:hAnsi="Verdana"/>
          <w:color w:val="000000" w:themeColor="text1"/>
          <w:sz w:val="20"/>
          <w:szCs w:val="20"/>
        </w:rPr>
        <w:t xml:space="preserve">con los que cuente </w:t>
      </w:r>
      <w:r w:rsidR="00A6035B" w:rsidRPr="00B64FF6">
        <w:rPr>
          <w:rFonts w:ascii="Verdana" w:hAnsi="Verdana"/>
          <w:color w:val="000000" w:themeColor="text1"/>
          <w:sz w:val="20"/>
          <w:szCs w:val="20"/>
        </w:rPr>
        <w:t>actualmente</w:t>
      </w:r>
      <w:r w:rsidR="00055C7F">
        <w:rPr>
          <w:rFonts w:ascii="Verdana" w:hAnsi="Verdana"/>
          <w:color w:val="000000" w:themeColor="text1"/>
          <w:sz w:val="20"/>
          <w:szCs w:val="20"/>
        </w:rPr>
        <w:t xml:space="preserve"> en dichos centros</w:t>
      </w:r>
      <w:r w:rsidR="00A6035B" w:rsidRPr="00B64FF6">
        <w:rPr>
          <w:rFonts w:ascii="Verdana" w:hAnsi="Verdana"/>
          <w:color w:val="000000" w:themeColor="text1"/>
          <w:sz w:val="20"/>
          <w:szCs w:val="20"/>
        </w:rPr>
        <w:t xml:space="preserve">, </w:t>
      </w:r>
      <w:r w:rsidR="00055C7F">
        <w:rPr>
          <w:rFonts w:ascii="Verdana" w:hAnsi="Verdana"/>
          <w:color w:val="000000" w:themeColor="text1"/>
          <w:sz w:val="20"/>
          <w:szCs w:val="20"/>
        </w:rPr>
        <w:t>siempre que compruebe</w:t>
      </w:r>
      <w:r w:rsidR="00A6035B" w:rsidRPr="00B64FF6">
        <w:rPr>
          <w:rFonts w:ascii="Verdana" w:hAnsi="Verdana"/>
          <w:color w:val="000000" w:themeColor="text1"/>
          <w:sz w:val="20"/>
          <w:szCs w:val="20"/>
        </w:rPr>
        <w:t xml:space="preserve"> que éstos cumplan con los criterios de permanencia y temáticas </w:t>
      </w:r>
      <w:r w:rsidR="00571BC3" w:rsidRPr="00B64FF6">
        <w:rPr>
          <w:rFonts w:ascii="Verdana" w:hAnsi="Verdana"/>
          <w:color w:val="000000" w:themeColor="text1"/>
          <w:sz w:val="20"/>
          <w:szCs w:val="20"/>
        </w:rPr>
        <w:t xml:space="preserve">específicas </w:t>
      </w:r>
      <w:r w:rsidR="00A6035B" w:rsidRPr="00B64FF6">
        <w:rPr>
          <w:rFonts w:ascii="Verdana" w:hAnsi="Verdana"/>
          <w:color w:val="000000" w:themeColor="text1"/>
          <w:sz w:val="20"/>
          <w:szCs w:val="20"/>
        </w:rPr>
        <w:t>fijadas por este Tribunal en la Sentencia (</w:t>
      </w:r>
      <w:r w:rsidR="00A6035B" w:rsidRPr="00B64FF6">
        <w:rPr>
          <w:rFonts w:ascii="Verdana" w:hAnsi="Verdana"/>
          <w:i/>
          <w:iCs/>
          <w:color w:val="000000" w:themeColor="text1"/>
          <w:sz w:val="20"/>
          <w:szCs w:val="20"/>
        </w:rPr>
        <w:t>supra</w:t>
      </w:r>
      <w:r w:rsidR="00A6035B" w:rsidRPr="00B64FF6">
        <w:rPr>
          <w:rFonts w:ascii="Verdana" w:hAnsi="Verdana"/>
          <w:color w:val="000000" w:themeColor="text1"/>
          <w:sz w:val="20"/>
          <w:szCs w:val="20"/>
        </w:rPr>
        <w:t xml:space="preserve"> Considerando </w:t>
      </w:r>
      <w:r w:rsidR="000A2FD1">
        <w:rPr>
          <w:rFonts w:ascii="Verdana" w:hAnsi="Verdana"/>
          <w:color w:val="000000" w:themeColor="text1"/>
          <w:sz w:val="20"/>
          <w:szCs w:val="20"/>
        </w:rPr>
        <w:t>42</w:t>
      </w:r>
      <w:r w:rsidR="00A6035B" w:rsidRPr="00B64FF6">
        <w:rPr>
          <w:rFonts w:ascii="Verdana" w:hAnsi="Verdana"/>
          <w:color w:val="000000" w:themeColor="text1"/>
          <w:sz w:val="20"/>
          <w:szCs w:val="20"/>
        </w:rPr>
        <w:t xml:space="preserve">). </w:t>
      </w:r>
    </w:p>
    <w:p w14:paraId="54BE4461" w14:textId="17EBDEC1" w:rsidR="009A134B" w:rsidRDefault="009A134B" w:rsidP="00055C7F">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9A134B">
        <w:rPr>
          <w:rFonts w:ascii="Verdana" w:hAnsi="Verdana"/>
          <w:sz w:val="20"/>
          <w:szCs w:val="20"/>
        </w:rPr>
        <w:t>Efectuando una revisión de la documentación aportada por el Estado</w:t>
      </w:r>
      <w:r w:rsidR="00A6035B">
        <w:rPr>
          <w:rFonts w:ascii="Verdana" w:hAnsi="Verdana"/>
          <w:sz w:val="20"/>
          <w:szCs w:val="20"/>
        </w:rPr>
        <w:t xml:space="preserve"> sobre las capacitaciones que se implementan actualmente</w:t>
      </w:r>
      <w:r w:rsidRPr="009A134B">
        <w:rPr>
          <w:rFonts w:ascii="Verdana" w:hAnsi="Verdana"/>
          <w:sz w:val="20"/>
          <w:szCs w:val="20"/>
        </w:rPr>
        <w:t>, la Corte constata que</w:t>
      </w:r>
      <w:r w:rsidR="00D4348E">
        <w:rPr>
          <w:rFonts w:ascii="Verdana" w:hAnsi="Verdana"/>
          <w:sz w:val="20"/>
          <w:szCs w:val="20"/>
        </w:rPr>
        <w:t>,</w:t>
      </w:r>
      <w:r w:rsidRPr="009A134B">
        <w:rPr>
          <w:rFonts w:ascii="Verdana" w:hAnsi="Verdana"/>
          <w:sz w:val="20"/>
          <w:szCs w:val="20"/>
        </w:rPr>
        <w:t xml:space="preserve"> </w:t>
      </w:r>
      <w:r w:rsidR="00A6035B">
        <w:rPr>
          <w:rFonts w:ascii="Verdana" w:hAnsi="Verdana"/>
          <w:sz w:val="20"/>
          <w:szCs w:val="20"/>
        </w:rPr>
        <w:t>a</w:t>
      </w:r>
      <w:r w:rsidR="00571BC3">
        <w:rPr>
          <w:rFonts w:ascii="Verdana" w:hAnsi="Verdana"/>
          <w:sz w:val="20"/>
          <w:szCs w:val="20"/>
        </w:rPr>
        <w:t>u</w:t>
      </w:r>
      <w:r w:rsidR="00A6035B">
        <w:rPr>
          <w:rFonts w:ascii="Verdana" w:hAnsi="Verdana"/>
          <w:sz w:val="20"/>
          <w:szCs w:val="20"/>
        </w:rPr>
        <w:t xml:space="preserve">n cuando el área de formación inicial del Centro de Estudios Judiciales dicta de </w:t>
      </w:r>
      <w:r w:rsidR="00F92964">
        <w:rPr>
          <w:rFonts w:ascii="Verdana" w:hAnsi="Verdana"/>
          <w:sz w:val="20"/>
          <w:szCs w:val="20"/>
        </w:rPr>
        <w:t xml:space="preserve">manera </w:t>
      </w:r>
      <w:r w:rsidR="00A6035B">
        <w:rPr>
          <w:rFonts w:ascii="Verdana" w:hAnsi="Verdana"/>
          <w:sz w:val="20"/>
          <w:szCs w:val="20"/>
        </w:rPr>
        <w:t xml:space="preserve">permanente un módulo de derechos humanos para los </w:t>
      </w:r>
      <w:r w:rsidR="00F92964">
        <w:rPr>
          <w:rFonts w:ascii="Verdana" w:hAnsi="Verdana"/>
          <w:sz w:val="20"/>
          <w:szCs w:val="20"/>
        </w:rPr>
        <w:t xml:space="preserve">“todas las generaciones de </w:t>
      </w:r>
      <w:r w:rsidR="00A6035B">
        <w:rPr>
          <w:rFonts w:ascii="Verdana" w:hAnsi="Verdana"/>
          <w:sz w:val="20"/>
          <w:szCs w:val="20"/>
        </w:rPr>
        <w:t>aspirantes</w:t>
      </w:r>
      <w:r w:rsidR="00F92964">
        <w:rPr>
          <w:rFonts w:ascii="Verdana" w:hAnsi="Verdana"/>
          <w:sz w:val="20"/>
          <w:szCs w:val="20"/>
        </w:rPr>
        <w:t>”</w:t>
      </w:r>
      <w:r w:rsidR="00A6035B">
        <w:rPr>
          <w:rFonts w:ascii="Verdana" w:hAnsi="Verdana"/>
          <w:sz w:val="20"/>
          <w:szCs w:val="20"/>
        </w:rPr>
        <w:t xml:space="preserve"> a la judicatura, </w:t>
      </w:r>
      <w:r w:rsidR="00D4348E">
        <w:rPr>
          <w:rFonts w:ascii="Verdana" w:hAnsi="Verdana"/>
          <w:sz w:val="20"/>
          <w:szCs w:val="20"/>
        </w:rPr>
        <w:t xml:space="preserve">no ha aportado </w:t>
      </w:r>
      <w:r w:rsidR="00571BC3">
        <w:rPr>
          <w:rFonts w:ascii="Verdana" w:hAnsi="Verdana"/>
          <w:sz w:val="20"/>
          <w:szCs w:val="20"/>
        </w:rPr>
        <w:t>un plan de estudios o de contenidos qu</w:t>
      </w:r>
      <w:r w:rsidR="00D4348E">
        <w:rPr>
          <w:rFonts w:ascii="Verdana" w:hAnsi="Verdana"/>
          <w:sz w:val="20"/>
          <w:szCs w:val="20"/>
        </w:rPr>
        <w:t>e permita acreditar que en dicho módulo se impartan las temáticas específicas dispuestas en la Sentencia</w:t>
      </w:r>
      <w:r w:rsidR="00D4348E">
        <w:rPr>
          <w:rStyle w:val="Refdenotaalpie"/>
          <w:rFonts w:ascii="Verdana" w:hAnsi="Verdana"/>
          <w:sz w:val="20"/>
          <w:szCs w:val="20"/>
        </w:rPr>
        <w:footnoteReference w:id="59"/>
      </w:r>
      <w:r w:rsidR="00D4348E">
        <w:rPr>
          <w:rFonts w:ascii="Verdana" w:hAnsi="Verdana"/>
          <w:sz w:val="20"/>
          <w:szCs w:val="20"/>
        </w:rPr>
        <w:t xml:space="preserve">. Respecto al área de formación continua de dicho </w:t>
      </w:r>
      <w:r w:rsidR="00AB53AA">
        <w:rPr>
          <w:rFonts w:ascii="Verdana" w:hAnsi="Verdana"/>
          <w:sz w:val="20"/>
          <w:szCs w:val="20"/>
        </w:rPr>
        <w:t>c</w:t>
      </w:r>
      <w:r w:rsidR="00D4348E">
        <w:rPr>
          <w:rFonts w:ascii="Verdana" w:hAnsi="Verdana"/>
          <w:sz w:val="20"/>
          <w:szCs w:val="20"/>
        </w:rPr>
        <w:t xml:space="preserve">entro, </w:t>
      </w:r>
      <w:r w:rsidR="00AB53AA">
        <w:rPr>
          <w:rFonts w:ascii="Verdana" w:hAnsi="Verdana"/>
          <w:sz w:val="20"/>
          <w:szCs w:val="20"/>
        </w:rPr>
        <w:t xml:space="preserve">el Estado ha presentado el listado de las capacitaciones que se han desarrollado entre el 2013 y </w:t>
      </w:r>
      <w:r w:rsidR="003314FF">
        <w:rPr>
          <w:rFonts w:ascii="Verdana" w:hAnsi="Verdana"/>
          <w:sz w:val="20"/>
          <w:szCs w:val="20"/>
        </w:rPr>
        <w:t xml:space="preserve">el </w:t>
      </w:r>
      <w:r w:rsidR="00AB53AA">
        <w:rPr>
          <w:rFonts w:ascii="Verdana" w:hAnsi="Verdana"/>
          <w:sz w:val="20"/>
          <w:szCs w:val="20"/>
        </w:rPr>
        <w:t>2019</w:t>
      </w:r>
      <w:r w:rsidR="00AB53AA">
        <w:rPr>
          <w:rStyle w:val="Refdenotaalpie"/>
          <w:rFonts w:ascii="Verdana" w:hAnsi="Verdana"/>
          <w:sz w:val="20"/>
          <w:szCs w:val="20"/>
        </w:rPr>
        <w:footnoteReference w:id="60"/>
      </w:r>
      <w:r w:rsidR="00AB53AA">
        <w:rPr>
          <w:rFonts w:ascii="Verdana" w:hAnsi="Verdana"/>
          <w:sz w:val="20"/>
          <w:szCs w:val="20"/>
        </w:rPr>
        <w:t>. Dicha información da cuenta de que se trata de capacitaciones puntuales sobre distintas temáticas de derecho internacional y nacion</w:t>
      </w:r>
      <w:r w:rsidR="00381483">
        <w:rPr>
          <w:rFonts w:ascii="Verdana" w:hAnsi="Verdana"/>
          <w:sz w:val="20"/>
          <w:szCs w:val="20"/>
        </w:rPr>
        <w:t>al. Si bien en algunas de ellas se impartieron cursos relacionados con la Sentencia de este caso u otros asuntos relacionados con derechos humanos,</w:t>
      </w:r>
      <w:r w:rsidR="00AB53AA">
        <w:rPr>
          <w:rFonts w:ascii="Verdana" w:hAnsi="Verdana"/>
          <w:sz w:val="20"/>
          <w:szCs w:val="20"/>
        </w:rPr>
        <w:t xml:space="preserve"> no </w:t>
      </w:r>
      <w:r w:rsidR="00571BC3">
        <w:rPr>
          <w:rFonts w:ascii="Verdana" w:hAnsi="Verdana"/>
          <w:sz w:val="20"/>
          <w:szCs w:val="20"/>
        </w:rPr>
        <w:t>se tratan de un curso permanente que aborde</w:t>
      </w:r>
      <w:r w:rsidR="00381483">
        <w:rPr>
          <w:rFonts w:ascii="Verdana" w:hAnsi="Verdana"/>
          <w:sz w:val="20"/>
          <w:szCs w:val="20"/>
        </w:rPr>
        <w:t xml:space="preserve"> </w:t>
      </w:r>
      <w:r w:rsidR="00AB53AA">
        <w:rPr>
          <w:rFonts w:ascii="Verdana" w:hAnsi="Verdana"/>
          <w:sz w:val="20"/>
          <w:szCs w:val="20"/>
        </w:rPr>
        <w:t xml:space="preserve">los ejes temáticos dispuestos </w:t>
      </w:r>
      <w:r w:rsidR="00571BC3">
        <w:rPr>
          <w:rFonts w:ascii="Verdana" w:hAnsi="Verdana"/>
          <w:sz w:val="20"/>
          <w:szCs w:val="20"/>
        </w:rPr>
        <w:t>en la Sentencia</w:t>
      </w:r>
      <w:r w:rsidR="00AB53AA">
        <w:rPr>
          <w:rFonts w:ascii="Verdana" w:hAnsi="Verdana"/>
          <w:sz w:val="20"/>
          <w:szCs w:val="20"/>
        </w:rPr>
        <w:t>.</w:t>
      </w:r>
      <w:r w:rsidR="00381483">
        <w:rPr>
          <w:rFonts w:ascii="Verdana" w:hAnsi="Verdana"/>
          <w:sz w:val="20"/>
          <w:szCs w:val="20"/>
        </w:rPr>
        <w:t xml:space="preserve"> Finalmente, en cuanto a la capacitación de agentes del Ministerio Público, este Tribunal hace notar que la información aportada por el Estado no permite evaluar si en el programa de carácter permanente de capacitación que la Fiscalía General de la Nación estaría implementando se incluye el estudio de los temas indicados por la Corte en la Sentencia</w:t>
      </w:r>
      <w:r w:rsidR="00381483">
        <w:rPr>
          <w:rStyle w:val="Refdenotaalpie"/>
          <w:rFonts w:ascii="Verdana" w:hAnsi="Verdana"/>
          <w:sz w:val="20"/>
          <w:szCs w:val="20"/>
        </w:rPr>
        <w:footnoteReference w:id="61"/>
      </w:r>
      <w:r w:rsidR="00381483">
        <w:rPr>
          <w:rFonts w:ascii="Verdana" w:hAnsi="Verdana"/>
          <w:sz w:val="20"/>
          <w:szCs w:val="20"/>
        </w:rPr>
        <w:t>.</w:t>
      </w:r>
    </w:p>
    <w:p w14:paraId="7BBE2745" w14:textId="7FBFCF7C" w:rsidR="00AA2B84" w:rsidRDefault="00E3045B" w:rsidP="00AA2B84">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Tomando en cuenta que en </w:t>
      </w:r>
      <w:r w:rsidRPr="008C4715">
        <w:rPr>
          <w:rFonts w:ascii="Verdana" w:hAnsi="Verdana"/>
          <w:sz w:val="20"/>
          <w:szCs w:val="20"/>
        </w:rPr>
        <w:t xml:space="preserve">el Centro de Estudios Judiciales y </w:t>
      </w:r>
      <w:r w:rsidR="003314FF">
        <w:rPr>
          <w:rFonts w:ascii="Verdana" w:hAnsi="Verdana"/>
          <w:sz w:val="20"/>
          <w:szCs w:val="20"/>
        </w:rPr>
        <w:t xml:space="preserve">en </w:t>
      </w:r>
      <w:r>
        <w:rPr>
          <w:rFonts w:ascii="Verdana" w:hAnsi="Verdana"/>
          <w:sz w:val="20"/>
          <w:szCs w:val="20"/>
        </w:rPr>
        <w:t xml:space="preserve">el Centro de Formación de la </w:t>
      </w:r>
      <w:r w:rsidRPr="008C4715">
        <w:rPr>
          <w:rFonts w:ascii="Verdana" w:hAnsi="Verdana"/>
          <w:sz w:val="20"/>
          <w:szCs w:val="20"/>
        </w:rPr>
        <w:t>Fiscalía General de la Nación</w:t>
      </w:r>
      <w:r>
        <w:rPr>
          <w:rFonts w:ascii="Verdana" w:hAnsi="Verdana"/>
          <w:sz w:val="20"/>
          <w:szCs w:val="20"/>
        </w:rPr>
        <w:t xml:space="preserve"> se imparten de manera permanente cursos </w:t>
      </w:r>
      <w:r>
        <w:rPr>
          <w:rFonts w:ascii="Verdana" w:hAnsi="Verdana"/>
          <w:sz w:val="20"/>
          <w:szCs w:val="20"/>
        </w:rPr>
        <w:lastRenderedPageBreak/>
        <w:t xml:space="preserve">de formación en derechos humanos para jueces y agentes del Ministerio Público, la Corte considera que el Estado ha dado cumplimiento parcial a esta medida. </w:t>
      </w:r>
    </w:p>
    <w:p w14:paraId="07447051" w14:textId="440ADDFE" w:rsidR="00381483" w:rsidRPr="00AA2B84" w:rsidRDefault="00E3045B" w:rsidP="00AA2B84">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Para valorar el cumplimiento total de esta reparación, se requiere que Uruguay acredite que en esos cursos o programas de formación</w:t>
      </w:r>
      <w:r w:rsidR="00AA2B84">
        <w:rPr>
          <w:rFonts w:ascii="Verdana" w:hAnsi="Verdana"/>
          <w:sz w:val="20"/>
          <w:szCs w:val="20"/>
        </w:rPr>
        <w:t xml:space="preserve"> s</w:t>
      </w:r>
      <w:r>
        <w:rPr>
          <w:rFonts w:ascii="Verdana" w:hAnsi="Verdana"/>
          <w:sz w:val="20"/>
          <w:szCs w:val="20"/>
        </w:rPr>
        <w:t xml:space="preserve">e ha incluido </w:t>
      </w:r>
      <w:r w:rsidRPr="008C4715">
        <w:rPr>
          <w:rFonts w:ascii="Verdana" w:hAnsi="Verdana"/>
          <w:sz w:val="20"/>
          <w:szCs w:val="20"/>
        </w:rPr>
        <w:t>el estudio</w:t>
      </w:r>
      <w:r>
        <w:rPr>
          <w:rFonts w:ascii="Verdana" w:hAnsi="Verdana"/>
          <w:sz w:val="20"/>
          <w:szCs w:val="20"/>
        </w:rPr>
        <w:t xml:space="preserve"> de los temas</w:t>
      </w:r>
      <w:r w:rsidR="00AA2B84">
        <w:rPr>
          <w:rFonts w:ascii="Verdana" w:hAnsi="Verdana"/>
          <w:sz w:val="20"/>
          <w:szCs w:val="20"/>
        </w:rPr>
        <w:t xml:space="preserve"> indicados en la Sentencia de este caso,</w:t>
      </w:r>
      <w:r>
        <w:rPr>
          <w:rFonts w:ascii="Verdana" w:hAnsi="Verdana"/>
          <w:sz w:val="20"/>
          <w:szCs w:val="20"/>
        </w:rPr>
        <w:t xml:space="preserve"> relativos a </w:t>
      </w:r>
      <w:r w:rsidRPr="00FE6EA1">
        <w:rPr>
          <w:rFonts w:ascii="Verdana" w:hAnsi="Verdana"/>
          <w:sz w:val="20"/>
          <w:szCs w:val="20"/>
        </w:rPr>
        <w:t>la debida investigación y juzgamiento de hechos constitutivos de desaparición forzada y sustracción de niños y niñas</w:t>
      </w:r>
      <w:r w:rsidRPr="008C4715">
        <w:rPr>
          <w:rFonts w:ascii="Verdana" w:hAnsi="Verdana"/>
          <w:sz w:val="20"/>
          <w:szCs w:val="20"/>
        </w:rPr>
        <w:t>.</w:t>
      </w:r>
      <w:r w:rsidR="00AA2B84">
        <w:rPr>
          <w:rFonts w:ascii="Verdana" w:hAnsi="Verdana"/>
          <w:sz w:val="20"/>
          <w:szCs w:val="20"/>
        </w:rPr>
        <w:t xml:space="preserve"> Si bien la Corte valora que </w:t>
      </w:r>
      <w:r w:rsidR="008C4715" w:rsidRPr="00AA2B84">
        <w:rPr>
          <w:rFonts w:ascii="Verdana" w:hAnsi="Verdana"/>
          <w:sz w:val="20"/>
          <w:szCs w:val="20"/>
        </w:rPr>
        <w:t xml:space="preserve">el Estado reconozca </w:t>
      </w:r>
      <w:r w:rsidR="003314FF">
        <w:rPr>
          <w:rFonts w:ascii="Verdana" w:hAnsi="Verdana"/>
          <w:sz w:val="20"/>
          <w:szCs w:val="20"/>
        </w:rPr>
        <w:t xml:space="preserve">que </w:t>
      </w:r>
      <w:r w:rsidR="00055C7F" w:rsidRPr="00AA2B84">
        <w:rPr>
          <w:rFonts w:ascii="Verdana" w:hAnsi="Verdana"/>
          <w:sz w:val="20"/>
          <w:szCs w:val="20"/>
        </w:rPr>
        <w:t>este punto está pendiente de cumplimiento</w:t>
      </w:r>
      <w:r w:rsidR="00571BC3" w:rsidRPr="00AA2B84">
        <w:rPr>
          <w:rFonts w:ascii="Verdana" w:hAnsi="Verdana"/>
          <w:color w:val="000000" w:themeColor="text1"/>
          <w:sz w:val="20"/>
          <w:szCs w:val="20"/>
        </w:rPr>
        <w:t>,</w:t>
      </w:r>
      <w:r w:rsidR="00571BC3" w:rsidRPr="00AA2B84">
        <w:rPr>
          <w:rFonts w:ascii="Verdana" w:hAnsi="Verdana"/>
          <w:b/>
          <w:bCs/>
          <w:color w:val="000000" w:themeColor="text1"/>
          <w:sz w:val="16"/>
          <w:szCs w:val="16"/>
        </w:rPr>
        <w:t xml:space="preserve"> </w:t>
      </w:r>
      <w:r w:rsidR="008C4715" w:rsidRPr="00AA2B84">
        <w:rPr>
          <w:rFonts w:ascii="Verdana" w:hAnsi="Verdana"/>
          <w:sz w:val="20"/>
          <w:szCs w:val="20"/>
        </w:rPr>
        <w:t>se advierte que esta medida debía ser cumplida “en un plazo razonable” y han transcurrido más de nueve años desde la notificación de la Sentencia, sin que el Estado</w:t>
      </w:r>
      <w:r w:rsidR="00571BC3" w:rsidRPr="00AA2B84">
        <w:rPr>
          <w:rFonts w:ascii="Verdana" w:hAnsi="Verdana"/>
          <w:sz w:val="20"/>
          <w:szCs w:val="20"/>
        </w:rPr>
        <w:t xml:space="preserve"> la</w:t>
      </w:r>
      <w:r w:rsidR="00AA2B84">
        <w:rPr>
          <w:rFonts w:ascii="Verdana" w:hAnsi="Verdana"/>
          <w:sz w:val="20"/>
          <w:szCs w:val="20"/>
        </w:rPr>
        <w:t xml:space="preserve"> haya implementado de manera completa.</w:t>
      </w:r>
    </w:p>
    <w:p w14:paraId="5BE5F9A1" w14:textId="77777777" w:rsidR="00A14632" w:rsidRPr="000D2395" w:rsidRDefault="00A14632" w:rsidP="00754E13">
      <w:pPr>
        <w:pStyle w:val="Prrafodelista"/>
        <w:autoSpaceDE w:val="0"/>
        <w:autoSpaceDN w:val="0"/>
        <w:adjustRightInd w:val="0"/>
        <w:spacing w:before="120" w:after="120" w:line="240" w:lineRule="auto"/>
        <w:ind w:left="0"/>
        <w:contextualSpacing w:val="0"/>
        <w:jc w:val="both"/>
        <w:rPr>
          <w:rFonts w:ascii="Verdana" w:hAnsi="Verdana"/>
          <w:sz w:val="10"/>
          <w:szCs w:val="10"/>
        </w:rPr>
      </w:pPr>
    </w:p>
    <w:p w14:paraId="5F444DA3" w14:textId="12CC3D4F" w:rsidR="00E212C9" w:rsidRPr="00C8543F" w:rsidRDefault="003060A6" w:rsidP="0008168D">
      <w:pPr>
        <w:pStyle w:val="NormalWeb"/>
        <w:numPr>
          <w:ilvl w:val="0"/>
          <w:numId w:val="5"/>
        </w:numPr>
        <w:tabs>
          <w:tab w:val="left" w:pos="1134"/>
        </w:tabs>
        <w:spacing w:before="120" w:after="120"/>
        <w:jc w:val="both"/>
        <w:outlineLvl w:val="0"/>
        <w:rPr>
          <w:rFonts w:ascii="Verdana" w:hAnsi="Verdana"/>
          <w:b/>
          <w:i/>
          <w:sz w:val="20"/>
          <w:szCs w:val="20"/>
        </w:rPr>
      </w:pPr>
      <w:bookmarkStart w:id="7" w:name="_Toc51857570"/>
      <w:r w:rsidRPr="00750589">
        <w:rPr>
          <w:rFonts w:ascii="Verdana" w:hAnsi="Verdana"/>
          <w:b/>
          <w:i/>
          <w:sz w:val="20"/>
          <w:szCs w:val="20"/>
        </w:rPr>
        <w:t>G</w:t>
      </w:r>
      <w:r w:rsidR="00E212C9" w:rsidRPr="00C8543F">
        <w:rPr>
          <w:rFonts w:ascii="Verdana" w:hAnsi="Verdana"/>
          <w:b/>
          <w:i/>
          <w:sz w:val="20"/>
          <w:szCs w:val="20"/>
        </w:rPr>
        <w:t>arantizar</w:t>
      </w:r>
      <w:r w:rsidR="00FE60FD">
        <w:rPr>
          <w:rFonts w:ascii="Verdana" w:hAnsi="Verdana"/>
          <w:b/>
          <w:i/>
          <w:sz w:val="20"/>
          <w:szCs w:val="20"/>
        </w:rPr>
        <w:t xml:space="preserve"> el</w:t>
      </w:r>
      <w:r w:rsidR="00E212C9" w:rsidRPr="00C8543F">
        <w:rPr>
          <w:rFonts w:ascii="Verdana" w:hAnsi="Verdana"/>
          <w:b/>
          <w:i/>
          <w:sz w:val="20"/>
          <w:szCs w:val="20"/>
        </w:rPr>
        <w:t xml:space="preserve"> acceso a información acerca de las graves violaciones de derechos humanos ocurridas durante la dictadura</w:t>
      </w:r>
      <w:bookmarkEnd w:id="7"/>
      <w:r w:rsidR="00E212C9" w:rsidRPr="00C8543F">
        <w:rPr>
          <w:rFonts w:ascii="Verdana" w:hAnsi="Verdana"/>
          <w:b/>
          <w:i/>
          <w:sz w:val="20"/>
          <w:szCs w:val="20"/>
        </w:rPr>
        <w:t xml:space="preserve"> </w:t>
      </w:r>
    </w:p>
    <w:p w14:paraId="2F94089E" w14:textId="77777777" w:rsidR="00E212C9" w:rsidRPr="00750589" w:rsidRDefault="00E212C9" w:rsidP="00332F9D">
      <w:pPr>
        <w:pStyle w:val="Prrafodelista"/>
        <w:autoSpaceDE w:val="0"/>
        <w:autoSpaceDN w:val="0"/>
        <w:adjustRightInd w:val="0"/>
        <w:spacing w:before="120" w:after="120" w:line="240" w:lineRule="auto"/>
        <w:ind w:left="851"/>
        <w:contextualSpacing w:val="0"/>
        <w:jc w:val="both"/>
        <w:rPr>
          <w:rFonts w:ascii="Verdana" w:hAnsi="Verdana"/>
          <w:i/>
          <w:sz w:val="20"/>
          <w:szCs w:val="20"/>
        </w:rPr>
      </w:pPr>
      <w:r w:rsidRPr="00750589">
        <w:rPr>
          <w:rFonts w:ascii="Verdana" w:hAnsi="Verdana" w:cs="Calibri"/>
          <w:i/>
          <w:color w:val="000000"/>
          <w:sz w:val="20"/>
          <w:szCs w:val="20"/>
        </w:rPr>
        <w:t xml:space="preserve">E.1. </w:t>
      </w:r>
      <w:r w:rsidRPr="00750589">
        <w:rPr>
          <w:rFonts w:ascii="Verdana" w:hAnsi="Verdana"/>
          <w:i/>
          <w:sz w:val="20"/>
          <w:szCs w:val="20"/>
        </w:rPr>
        <w:t>Medida ordenada por la Corte y supervisión realizada en resolución anterior</w:t>
      </w:r>
    </w:p>
    <w:p w14:paraId="23CB3C86" w14:textId="3D0D09D5" w:rsidR="00750589" w:rsidRDefault="00BF0704"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F0704">
        <w:rPr>
          <w:rFonts w:ascii="Verdana" w:hAnsi="Verdana"/>
          <w:sz w:val="20"/>
          <w:szCs w:val="20"/>
        </w:rPr>
        <w:t>En la Sentencia, la Corte “valor[</w:t>
      </w:r>
      <w:proofErr w:type="spellStart"/>
      <w:r w:rsidRPr="00BF0704">
        <w:rPr>
          <w:rFonts w:ascii="Verdana" w:hAnsi="Verdana"/>
          <w:sz w:val="20"/>
          <w:szCs w:val="20"/>
        </w:rPr>
        <w:t>ó</w:t>
      </w:r>
      <w:proofErr w:type="spellEnd"/>
      <w:r w:rsidRPr="00BF0704">
        <w:rPr>
          <w:rFonts w:ascii="Verdana" w:hAnsi="Verdana"/>
          <w:sz w:val="20"/>
          <w:szCs w:val="20"/>
        </w:rPr>
        <w:t>] positivamente que exista una ley en Uruguay que proteja el derecho al acceso a la información pública, como lo ha informado el Estado” y observó que “una de las limitaciones para avanzar en la investigación es que la información acerca de las graves violaciones de derechos humanos ocurridas durante la dictadura reposa en diferentes archivos de seguridad nacional que se encuentran disgregados y cuyo control no es adecuado”. En consecuencia, e</w:t>
      </w:r>
      <w:r w:rsidR="00750589">
        <w:rPr>
          <w:rFonts w:ascii="Verdana" w:hAnsi="Verdana"/>
          <w:sz w:val="20"/>
          <w:szCs w:val="20"/>
        </w:rPr>
        <w:t>n el punto resolutivo décimo sexto y los párrafos 274, 275 y 282</w:t>
      </w:r>
      <w:r w:rsidR="00342AD2">
        <w:rPr>
          <w:rFonts w:ascii="Verdana" w:hAnsi="Verdana"/>
          <w:sz w:val="20"/>
          <w:szCs w:val="20"/>
        </w:rPr>
        <w:t xml:space="preserve"> de la Sentencia</w:t>
      </w:r>
      <w:r w:rsidR="00750589">
        <w:rPr>
          <w:rFonts w:ascii="Verdana" w:hAnsi="Verdana"/>
          <w:sz w:val="20"/>
          <w:szCs w:val="20"/>
        </w:rPr>
        <w:t>,</w:t>
      </w:r>
      <w:r w:rsidR="00D772A8">
        <w:rPr>
          <w:rFonts w:ascii="Verdana" w:hAnsi="Verdana"/>
          <w:sz w:val="20"/>
          <w:szCs w:val="20"/>
        </w:rPr>
        <w:t xml:space="preserve"> dispuso que </w:t>
      </w:r>
      <w:r w:rsidR="00D41B66">
        <w:rPr>
          <w:rFonts w:ascii="Verdana" w:hAnsi="Verdana"/>
          <w:sz w:val="20"/>
          <w:szCs w:val="20"/>
        </w:rPr>
        <w:t>“</w:t>
      </w:r>
      <w:r w:rsidR="00D772A8">
        <w:rPr>
          <w:rFonts w:ascii="Verdana" w:hAnsi="Verdana"/>
          <w:sz w:val="20"/>
          <w:szCs w:val="20"/>
        </w:rPr>
        <w:t xml:space="preserve">el Estado debe adoptar, en el plazo de dos años y con las asignaciones presupuestarias adecuadas, las medidas pertinentes para garantizar el acceso técnico y sistematizado a información acerca de graves violaciones de derechos humanos ocurridas durante la dictadura </w:t>
      </w:r>
      <w:r w:rsidR="00342AD2">
        <w:rPr>
          <w:rFonts w:ascii="Verdana" w:hAnsi="Verdana"/>
          <w:sz w:val="20"/>
          <w:szCs w:val="20"/>
        </w:rPr>
        <w:t>[…]</w:t>
      </w:r>
      <w:r w:rsidR="00D41B66">
        <w:rPr>
          <w:rFonts w:ascii="Verdana" w:hAnsi="Verdana"/>
          <w:sz w:val="20"/>
          <w:szCs w:val="20"/>
        </w:rPr>
        <w:t>”</w:t>
      </w:r>
      <w:r w:rsidR="00D772A8">
        <w:rPr>
          <w:rFonts w:ascii="Verdana" w:hAnsi="Verdana"/>
          <w:sz w:val="20"/>
          <w:szCs w:val="20"/>
        </w:rPr>
        <w:t>.</w:t>
      </w:r>
    </w:p>
    <w:p w14:paraId="02E473DA" w14:textId="6B2D6BFD" w:rsidR="00971404" w:rsidRPr="00420312" w:rsidRDefault="00971404"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420312">
        <w:rPr>
          <w:rFonts w:ascii="Verdana" w:hAnsi="Verdana"/>
          <w:sz w:val="20"/>
          <w:szCs w:val="20"/>
        </w:rPr>
        <w:t xml:space="preserve">En la Resolución de marzo de 2013, </w:t>
      </w:r>
      <w:r w:rsidR="009A04EA" w:rsidRPr="00420312">
        <w:rPr>
          <w:rFonts w:ascii="Verdana" w:hAnsi="Verdana"/>
          <w:sz w:val="20"/>
          <w:szCs w:val="20"/>
        </w:rPr>
        <w:t xml:space="preserve">se tomó nota de que “[e]l Estado informó que se </w:t>
      </w:r>
      <w:proofErr w:type="spellStart"/>
      <w:r w:rsidR="009A04EA" w:rsidRPr="00420312">
        <w:rPr>
          <w:rFonts w:ascii="Verdana" w:hAnsi="Verdana"/>
          <w:sz w:val="20"/>
          <w:szCs w:val="20"/>
        </w:rPr>
        <w:t>esta</w:t>
      </w:r>
      <w:proofErr w:type="spellEnd"/>
      <w:r w:rsidR="009A04EA" w:rsidRPr="00420312">
        <w:rPr>
          <w:rFonts w:ascii="Verdana" w:hAnsi="Verdana"/>
          <w:sz w:val="20"/>
          <w:szCs w:val="20"/>
        </w:rPr>
        <w:t>[</w:t>
      </w:r>
      <w:proofErr w:type="spellStart"/>
      <w:r w:rsidR="009A04EA" w:rsidRPr="00420312">
        <w:rPr>
          <w:rFonts w:ascii="Verdana" w:hAnsi="Verdana"/>
          <w:sz w:val="20"/>
          <w:szCs w:val="20"/>
        </w:rPr>
        <w:t>ba</w:t>
      </w:r>
      <w:proofErr w:type="spellEnd"/>
      <w:r w:rsidR="009A04EA" w:rsidRPr="00420312">
        <w:rPr>
          <w:rFonts w:ascii="Verdana" w:hAnsi="Verdana"/>
          <w:sz w:val="20"/>
          <w:szCs w:val="20"/>
        </w:rPr>
        <w:t xml:space="preserve">] actualizando la investigación histórica, la cual se encuentra disponible en la página electrónica de la Presidencia de la República de Uruguay” y que “se creó un equipo de archivólogos con el objeto de ‘ordenar, catalogar, clasificar, digitalizar y sistematizar’ todo el fondo documental que obra en la Secretaría de Seguimiento de la Comisión para la Paz desde agosto de 2000”. Al respecto, </w:t>
      </w:r>
      <w:r w:rsidRPr="00420312">
        <w:rPr>
          <w:rFonts w:ascii="Verdana" w:hAnsi="Verdana"/>
          <w:sz w:val="20"/>
          <w:szCs w:val="20"/>
        </w:rPr>
        <w:t>la Corte “</w:t>
      </w:r>
      <w:proofErr w:type="spellStart"/>
      <w:r w:rsidRPr="00420312">
        <w:rPr>
          <w:rFonts w:ascii="Verdana" w:hAnsi="Verdana"/>
          <w:sz w:val="20"/>
          <w:szCs w:val="20"/>
        </w:rPr>
        <w:t>solicit</w:t>
      </w:r>
      <w:proofErr w:type="spellEnd"/>
      <w:r w:rsidRPr="00420312">
        <w:rPr>
          <w:rFonts w:ascii="Verdana" w:hAnsi="Verdana"/>
          <w:sz w:val="20"/>
          <w:szCs w:val="20"/>
        </w:rPr>
        <w:t>[</w:t>
      </w:r>
      <w:proofErr w:type="spellStart"/>
      <w:r w:rsidRPr="00420312">
        <w:rPr>
          <w:rFonts w:ascii="Verdana" w:hAnsi="Verdana"/>
          <w:sz w:val="20"/>
          <w:szCs w:val="20"/>
        </w:rPr>
        <w:t>ó</w:t>
      </w:r>
      <w:proofErr w:type="spellEnd"/>
      <w:r w:rsidRPr="00420312">
        <w:rPr>
          <w:rFonts w:ascii="Verdana" w:hAnsi="Verdana"/>
          <w:sz w:val="20"/>
          <w:szCs w:val="20"/>
        </w:rPr>
        <w:t xml:space="preserve">] al Estado que en su próximo informe </w:t>
      </w:r>
      <w:proofErr w:type="spellStart"/>
      <w:r w:rsidRPr="00420312">
        <w:rPr>
          <w:rFonts w:ascii="Verdana" w:hAnsi="Verdana"/>
          <w:sz w:val="20"/>
          <w:szCs w:val="20"/>
        </w:rPr>
        <w:t>brind</w:t>
      </w:r>
      <w:proofErr w:type="spellEnd"/>
      <w:r w:rsidRPr="00420312">
        <w:rPr>
          <w:rFonts w:ascii="Verdana" w:hAnsi="Verdana"/>
          <w:sz w:val="20"/>
          <w:szCs w:val="20"/>
        </w:rPr>
        <w:t>[ara] información más precisa y detallada en relación con el cumplimiento de esta medida de reparación”</w:t>
      </w:r>
      <w:r w:rsidR="009A04EA" w:rsidRPr="00420312">
        <w:rPr>
          <w:rStyle w:val="Refdenotaalpie"/>
          <w:rFonts w:ascii="Verdana" w:hAnsi="Verdana"/>
          <w:sz w:val="20"/>
          <w:szCs w:val="20"/>
        </w:rPr>
        <w:footnoteReference w:id="62"/>
      </w:r>
      <w:r w:rsidRPr="00420312">
        <w:rPr>
          <w:rFonts w:ascii="Verdana" w:hAnsi="Verdana"/>
          <w:sz w:val="20"/>
          <w:szCs w:val="20"/>
        </w:rPr>
        <w:t xml:space="preserve">. </w:t>
      </w:r>
    </w:p>
    <w:p w14:paraId="66C53D16" w14:textId="28ABBFFB" w:rsidR="009A04EA" w:rsidRPr="009A04EA" w:rsidRDefault="009A04EA" w:rsidP="00332F9D">
      <w:pPr>
        <w:pStyle w:val="Prrafodelista"/>
        <w:autoSpaceDE w:val="0"/>
        <w:autoSpaceDN w:val="0"/>
        <w:adjustRightInd w:val="0"/>
        <w:spacing w:before="120" w:after="120" w:line="240" w:lineRule="auto"/>
        <w:ind w:left="708"/>
        <w:contextualSpacing w:val="0"/>
        <w:jc w:val="both"/>
        <w:rPr>
          <w:rFonts w:ascii="Verdana" w:hAnsi="Verdana"/>
          <w:i/>
          <w:iCs/>
          <w:sz w:val="20"/>
          <w:szCs w:val="20"/>
        </w:rPr>
      </w:pPr>
      <w:r w:rsidRPr="009A04EA">
        <w:rPr>
          <w:rFonts w:ascii="Verdana" w:hAnsi="Verdana"/>
          <w:i/>
          <w:iCs/>
          <w:sz w:val="20"/>
          <w:szCs w:val="20"/>
        </w:rPr>
        <w:t>E.</w:t>
      </w:r>
      <w:r w:rsidR="005D35B4">
        <w:rPr>
          <w:rFonts w:ascii="Verdana" w:hAnsi="Verdana"/>
          <w:i/>
          <w:iCs/>
          <w:sz w:val="20"/>
          <w:szCs w:val="20"/>
        </w:rPr>
        <w:t>2</w:t>
      </w:r>
      <w:r w:rsidRPr="009A04EA">
        <w:rPr>
          <w:rFonts w:ascii="Verdana" w:hAnsi="Verdana"/>
          <w:i/>
          <w:iCs/>
          <w:sz w:val="20"/>
          <w:szCs w:val="20"/>
        </w:rPr>
        <w:t>. Consideraciones de la Corte</w:t>
      </w:r>
    </w:p>
    <w:p w14:paraId="0ECC7DE3" w14:textId="64E25EBD" w:rsidR="009A04EA" w:rsidRPr="00426D56" w:rsidRDefault="00F70A4C"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426D56">
        <w:rPr>
          <w:rFonts w:ascii="Verdana" w:hAnsi="Verdana"/>
          <w:sz w:val="20"/>
          <w:szCs w:val="20"/>
        </w:rPr>
        <w:t>Con base en la información estatal y las observaciones de los representantes, este Tribunal observa que Uruguay</w:t>
      </w:r>
      <w:r w:rsidR="00104C82">
        <w:rPr>
          <w:rFonts w:ascii="Verdana" w:hAnsi="Verdana"/>
          <w:sz w:val="20"/>
          <w:szCs w:val="20"/>
        </w:rPr>
        <w:t xml:space="preserve"> </w:t>
      </w:r>
      <w:r w:rsidRPr="00426D56">
        <w:rPr>
          <w:rFonts w:ascii="Verdana" w:hAnsi="Verdana"/>
          <w:sz w:val="20"/>
          <w:szCs w:val="20"/>
        </w:rPr>
        <w:t>ha implementado diversas iniciativas orientadas a recabar</w:t>
      </w:r>
      <w:r w:rsidR="006A447D">
        <w:rPr>
          <w:rFonts w:ascii="Verdana" w:hAnsi="Verdana"/>
          <w:sz w:val="20"/>
          <w:szCs w:val="20"/>
        </w:rPr>
        <w:t>, sistematizar y digitalizar</w:t>
      </w:r>
      <w:r w:rsidRPr="00426D56">
        <w:rPr>
          <w:rFonts w:ascii="Verdana" w:hAnsi="Verdana"/>
          <w:sz w:val="20"/>
          <w:szCs w:val="20"/>
        </w:rPr>
        <w:t xml:space="preserve"> información sobre hechos cometidos durante la dictadura que estaban en diversas dependencias estatales. Al respecto, se ha informado:</w:t>
      </w:r>
    </w:p>
    <w:p w14:paraId="6976FCAF" w14:textId="0FCB174F" w:rsidR="006A3F58" w:rsidRPr="00332F9D" w:rsidRDefault="00DF58DC" w:rsidP="00332F9D">
      <w:pPr>
        <w:pStyle w:val="Prrafodelista"/>
        <w:numPr>
          <w:ilvl w:val="0"/>
          <w:numId w:val="19"/>
        </w:numPr>
        <w:autoSpaceDE w:val="0"/>
        <w:autoSpaceDN w:val="0"/>
        <w:adjustRightInd w:val="0"/>
        <w:spacing w:before="120" w:after="120" w:line="240" w:lineRule="auto"/>
        <w:ind w:left="851" w:hanging="425"/>
        <w:contextualSpacing w:val="0"/>
        <w:jc w:val="both"/>
        <w:rPr>
          <w:rFonts w:ascii="Verdana" w:hAnsi="Verdana"/>
          <w:sz w:val="19"/>
          <w:szCs w:val="19"/>
        </w:rPr>
      </w:pPr>
      <w:r>
        <w:rPr>
          <w:rFonts w:ascii="Verdana" w:hAnsi="Verdana"/>
          <w:sz w:val="19"/>
          <w:szCs w:val="19"/>
        </w:rPr>
        <w:t xml:space="preserve">que </w:t>
      </w:r>
      <w:r w:rsidR="006A3F58" w:rsidRPr="00332F9D">
        <w:rPr>
          <w:rFonts w:ascii="Verdana" w:hAnsi="Verdana"/>
          <w:sz w:val="19"/>
          <w:szCs w:val="19"/>
        </w:rPr>
        <w:t xml:space="preserve">dentro de los </w:t>
      </w:r>
      <w:r w:rsidR="00FB71AE" w:rsidRPr="00332F9D">
        <w:rPr>
          <w:rFonts w:ascii="Verdana" w:hAnsi="Verdana"/>
          <w:sz w:val="19"/>
          <w:szCs w:val="19"/>
        </w:rPr>
        <w:t>“los acervos documentales del Grupo de Trabajo [de Verdad y Justicia]</w:t>
      </w:r>
      <w:r w:rsidR="00C93A3F" w:rsidRPr="00332F9D">
        <w:rPr>
          <w:rFonts w:ascii="Verdana" w:hAnsi="Verdana"/>
          <w:sz w:val="19"/>
          <w:szCs w:val="19"/>
        </w:rPr>
        <w:t xml:space="preserve"> y </w:t>
      </w:r>
      <w:r w:rsidR="006A3F58" w:rsidRPr="00332F9D">
        <w:rPr>
          <w:rFonts w:ascii="Verdana" w:hAnsi="Verdana"/>
          <w:sz w:val="19"/>
          <w:szCs w:val="19"/>
        </w:rPr>
        <w:t>d</w:t>
      </w:r>
      <w:r w:rsidR="00C93A3F" w:rsidRPr="00332F9D">
        <w:rPr>
          <w:rFonts w:ascii="Verdana" w:hAnsi="Verdana"/>
          <w:sz w:val="19"/>
          <w:szCs w:val="19"/>
        </w:rPr>
        <w:t>e la Secretaría de Derechos Humanos del Pasado Reciente”, se encuentran digitalizados y accesibles documentos del “Servicio de Inteligencia Policial en la órbita de la Dirección Nacional de Inteligencia del Ministerio del Interior” y “material de inteligencia que estaba en la Escuela de Inteligencia del Ejército”</w:t>
      </w:r>
      <w:r w:rsidR="00C93A3F" w:rsidRPr="00332F9D">
        <w:rPr>
          <w:rStyle w:val="Refdenotaalpie"/>
          <w:rFonts w:ascii="Verdana" w:hAnsi="Verdana"/>
          <w:sz w:val="19"/>
          <w:szCs w:val="19"/>
        </w:rPr>
        <w:footnoteReference w:id="63"/>
      </w:r>
      <w:r w:rsidR="00C93A3F" w:rsidRPr="00332F9D">
        <w:rPr>
          <w:rFonts w:ascii="Verdana" w:hAnsi="Verdana"/>
          <w:sz w:val="19"/>
          <w:szCs w:val="19"/>
        </w:rPr>
        <w:t xml:space="preserve">. </w:t>
      </w:r>
      <w:r w:rsidR="006A3F58" w:rsidRPr="00332F9D">
        <w:rPr>
          <w:rFonts w:ascii="Verdana" w:hAnsi="Verdana"/>
          <w:sz w:val="19"/>
          <w:szCs w:val="19"/>
        </w:rPr>
        <w:t xml:space="preserve">Asimismo, </w:t>
      </w:r>
      <w:r>
        <w:rPr>
          <w:rFonts w:ascii="Verdana" w:hAnsi="Verdana"/>
          <w:sz w:val="19"/>
          <w:szCs w:val="19"/>
        </w:rPr>
        <w:t xml:space="preserve">que </w:t>
      </w:r>
      <w:r w:rsidR="006A3F58" w:rsidRPr="00332F9D">
        <w:rPr>
          <w:rFonts w:ascii="Verdana" w:hAnsi="Verdana"/>
          <w:sz w:val="19"/>
          <w:szCs w:val="19"/>
        </w:rPr>
        <w:t>dicho Grupo</w:t>
      </w:r>
      <w:r w:rsidR="006A3F58" w:rsidRPr="00332F9D">
        <w:rPr>
          <w:rFonts w:ascii="Verdana" w:hAnsi="Verdana"/>
          <w:b/>
          <w:bCs/>
          <w:sz w:val="19"/>
          <w:szCs w:val="19"/>
        </w:rPr>
        <w:t xml:space="preserve"> </w:t>
      </w:r>
      <w:r w:rsidR="008A7493" w:rsidRPr="008A7493">
        <w:rPr>
          <w:rFonts w:ascii="Verdana" w:hAnsi="Verdana"/>
          <w:bCs/>
          <w:sz w:val="19"/>
          <w:szCs w:val="19"/>
        </w:rPr>
        <w:t>“</w:t>
      </w:r>
      <w:r w:rsidR="00C93A3F" w:rsidRPr="00332F9D">
        <w:rPr>
          <w:rFonts w:ascii="Verdana" w:hAnsi="Verdana"/>
          <w:sz w:val="19"/>
          <w:szCs w:val="19"/>
        </w:rPr>
        <w:t>ha instrumentado el ingreso al archivo de la Inteligencia de la Armada Nacional con acceso a los archivos de la época particular de los Fusileros Navales</w:t>
      </w:r>
      <w:r w:rsidR="00BF0753" w:rsidRPr="00332F9D">
        <w:rPr>
          <w:rFonts w:ascii="Verdana" w:hAnsi="Verdana"/>
          <w:sz w:val="19"/>
          <w:szCs w:val="19"/>
        </w:rPr>
        <w:t>, pero con la posibilidad de cotejar y consultar con el archivo base de Inteligencia Naval, con cierta amplitud” y que “[e]</w:t>
      </w:r>
      <w:proofErr w:type="spellStart"/>
      <w:r w:rsidR="00BF0753" w:rsidRPr="00332F9D">
        <w:rPr>
          <w:rFonts w:ascii="Verdana" w:hAnsi="Verdana"/>
          <w:sz w:val="19"/>
          <w:szCs w:val="19"/>
        </w:rPr>
        <w:t>sta</w:t>
      </w:r>
      <w:proofErr w:type="spellEnd"/>
      <w:r w:rsidR="00BF0753" w:rsidRPr="00332F9D">
        <w:rPr>
          <w:rFonts w:ascii="Verdana" w:hAnsi="Verdana"/>
          <w:sz w:val="19"/>
          <w:szCs w:val="19"/>
        </w:rPr>
        <w:t xml:space="preserve"> experiencia se intenta </w:t>
      </w:r>
      <w:r w:rsidR="00BF0753" w:rsidRPr="00332F9D">
        <w:rPr>
          <w:rFonts w:ascii="Verdana" w:hAnsi="Verdana"/>
          <w:sz w:val="19"/>
          <w:szCs w:val="19"/>
        </w:rPr>
        <w:lastRenderedPageBreak/>
        <w:t>replicar de acuerdo a las disponibilidades de personal y logística en los acervos documentales de la Prefectura Naval, Ejército y de la Aviación”</w:t>
      </w:r>
      <w:r w:rsidR="00BF0753" w:rsidRPr="00332F9D">
        <w:rPr>
          <w:rStyle w:val="Refdenotaalpie"/>
          <w:rFonts w:ascii="Verdana" w:hAnsi="Verdana"/>
          <w:sz w:val="19"/>
          <w:szCs w:val="19"/>
        </w:rPr>
        <w:footnoteReference w:id="64"/>
      </w:r>
      <w:r w:rsidR="00BF0753" w:rsidRPr="00332F9D">
        <w:rPr>
          <w:rFonts w:ascii="Verdana" w:hAnsi="Verdana"/>
          <w:sz w:val="19"/>
          <w:szCs w:val="19"/>
        </w:rPr>
        <w:t>.</w:t>
      </w:r>
      <w:r w:rsidR="00BF0753" w:rsidRPr="00332F9D">
        <w:rPr>
          <w:rFonts w:ascii="Verdana" w:hAnsi="Verdana"/>
          <w:b/>
          <w:bCs/>
          <w:sz w:val="19"/>
          <w:szCs w:val="19"/>
        </w:rPr>
        <w:t xml:space="preserve"> </w:t>
      </w:r>
    </w:p>
    <w:p w14:paraId="507157EE" w14:textId="60E8C427" w:rsidR="006A3F58" w:rsidRPr="00332F9D" w:rsidRDefault="006A3F58" w:rsidP="00332F9D">
      <w:pPr>
        <w:pStyle w:val="Prrafodelista"/>
        <w:numPr>
          <w:ilvl w:val="0"/>
          <w:numId w:val="19"/>
        </w:numPr>
        <w:autoSpaceDE w:val="0"/>
        <w:autoSpaceDN w:val="0"/>
        <w:adjustRightInd w:val="0"/>
        <w:spacing w:before="120" w:after="120" w:line="240" w:lineRule="auto"/>
        <w:ind w:left="851" w:hanging="425"/>
        <w:contextualSpacing w:val="0"/>
        <w:jc w:val="both"/>
        <w:rPr>
          <w:rFonts w:ascii="Verdana" w:hAnsi="Verdana"/>
          <w:sz w:val="19"/>
          <w:szCs w:val="19"/>
        </w:rPr>
      </w:pPr>
      <w:r w:rsidRPr="00332F9D">
        <w:rPr>
          <w:rFonts w:ascii="Verdana" w:hAnsi="Verdana"/>
          <w:sz w:val="19"/>
          <w:szCs w:val="19"/>
        </w:rPr>
        <w:t>Las gestiones realizadas por el Grupo de Trabajo por Verdad y Justicia para acceder a los archivos del Estado del Vaticano, así como a “archivos desclasificados que el gobierno de Estados Unidos remitió a Argentina”.</w:t>
      </w:r>
      <w:r w:rsidRPr="00332F9D">
        <w:rPr>
          <w:rFonts w:ascii="Verdana" w:hAnsi="Verdana"/>
          <w:b/>
          <w:bCs/>
          <w:sz w:val="19"/>
          <w:szCs w:val="19"/>
        </w:rPr>
        <w:t xml:space="preserve"> </w:t>
      </w:r>
    </w:p>
    <w:p w14:paraId="6C333F97" w14:textId="6BA470F2" w:rsidR="00A13192" w:rsidRPr="00332F9D" w:rsidRDefault="00A13192" w:rsidP="00332F9D">
      <w:pPr>
        <w:pStyle w:val="Prrafodelista"/>
        <w:numPr>
          <w:ilvl w:val="0"/>
          <w:numId w:val="19"/>
        </w:numPr>
        <w:autoSpaceDE w:val="0"/>
        <w:autoSpaceDN w:val="0"/>
        <w:adjustRightInd w:val="0"/>
        <w:spacing w:before="120" w:after="120" w:line="240" w:lineRule="auto"/>
        <w:ind w:left="851" w:hanging="425"/>
        <w:contextualSpacing w:val="0"/>
        <w:jc w:val="both"/>
        <w:rPr>
          <w:rFonts w:ascii="Verdana" w:hAnsi="Verdana"/>
          <w:sz w:val="19"/>
          <w:szCs w:val="19"/>
        </w:rPr>
      </w:pPr>
      <w:r w:rsidRPr="00332F9D">
        <w:rPr>
          <w:rFonts w:ascii="Verdana" w:hAnsi="Verdana"/>
          <w:sz w:val="19"/>
          <w:szCs w:val="19"/>
        </w:rPr>
        <w:t>El proyecto</w:t>
      </w:r>
      <w:r w:rsidR="00104C82" w:rsidRPr="00332F9D">
        <w:rPr>
          <w:rFonts w:ascii="Verdana" w:hAnsi="Verdana"/>
          <w:sz w:val="19"/>
          <w:szCs w:val="19"/>
        </w:rPr>
        <w:t xml:space="preserve"> del Poder Judicial</w:t>
      </w:r>
      <w:r w:rsidRPr="00332F9D">
        <w:rPr>
          <w:rFonts w:ascii="Verdana" w:hAnsi="Verdana"/>
          <w:sz w:val="19"/>
          <w:szCs w:val="19"/>
        </w:rPr>
        <w:t xml:space="preserve"> “Archivo Judicial de expedientes provenientes de la Justicia Militar” (AJPROJUMI) que posee un acervo documental </w:t>
      </w:r>
      <w:r w:rsidR="00426D56" w:rsidRPr="00332F9D">
        <w:rPr>
          <w:rFonts w:ascii="Verdana" w:hAnsi="Verdana"/>
          <w:sz w:val="19"/>
          <w:szCs w:val="19"/>
        </w:rPr>
        <w:t xml:space="preserve">digitalizado </w:t>
      </w:r>
      <w:r w:rsidRPr="00332F9D">
        <w:rPr>
          <w:rFonts w:ascii="Verdana" w:hAnsi="Verdana"/>
          <w:sz w:val="19"/>
          <w:szCs w:val="19"/>
        </w:rPr>
        <w:t>de más de 3.000 expedientes referentes a personas detenidas y/o procesadas por esa jurisdicción</w:t>
      </w:r>
      <w:r w:rsidR="00426D56" w:rsidRPr="00332F9D">
        <w:rPr>
          <w:rFonts w:ascii="Verdana" w:hAnsi="Verdana"/>
          <w:sz w:val="19"/>
          <w:szCs w:val="19"/>
        </w:rPr>
        <w:t>, durante el período 1973-1985, el cual puede ser consultado por sedes competentes o por quienes demuestren tener un interés legítimo según la normativa de protección de datos sensibles.</w:t>
      </w:r>
      <w:r w:rsidR="00426D56" w:rsidRPr="00332F9D">
        <w:rPr>
          <w:rFonts w:ascii="Verdana" w:hAnsi="Verdana"/>
          <w:b/>
          <w:bCs/>
          <w:sz w:val="19"/>
          <w:szCs w:val="19"/>
        </w:rPr>
        <w:t xml:space="preserve"> </w:t>
      </w:r>
      <w:r w:rsidR="00D41B66" w:rsidRPr="00332F9D">
        <w:rPr>
          <w:rFonts w:ascii="Verdana" w:hAnsi="Verdana"/>
          <w:sz w:val="19"/>
          <w:szCs w:val="19"/>
        </w:rPr>
        <w:t xml:space="preserve">Asimismo, se están realizando gestiones para que sean digitalizados como parte de este archivo “expedientes tramitados por los Tribunales de Ética Médica relacionados con comportamientos inadecuados de distintos integrantes de </w:t>
      </w:r>
      <w:r w:rsidR="00EE2650">
        <w:rPr>
          <w:rFonts w:ascii="Verdana" w:hAnsi="Verdana"/>
          <w:sz w:val="19"/>
          <w:szCs w:val="19"/>
        </w:rPr>
        <w:t>ese</w:t>
      </w:r>
      <w:r w:rsidR="00D41B66" w:rsidRPr="00332F9D">
        <w:rPr>
          <w:rFonts w:ascii="Verdana" w:hAnsi="Verdana"/>
          <w:sz w:val="19"/>
          <w:szCs w:val="19"/>
        </w:rPr>
        <w:t xml:space="preserve"> colectivo durante la dictadura militar”.</w:t>
      </w:r>
      <w:r w:rsidR="00D41B66" w:rsidRPr="00332F9D">
        <w:rPr>
          <w:rFonts w:ascii="Verdana" w:hAnsi="Verdana"/>
          <w:b/>
          <w:bCs/>
          <w:sz w:val="19"/>
          <w:szCs w:val="19"/>
        </w:rPr>
        <w:t xml:space="preserve"> </w:t>
      </w:r>
    </w:p>
    <w:p w14:paraId="24385F71" w14:textId="4F7291EB" w:rsidR="00AF293C" w:rsidRPr="00386A39" w:rsidRDefault="006A3F58"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58080D">
        <w:rPr>
          <w:rFonts w:ascii="Verdana" w:hAnsi="Verdana"/>
          <w:sz w:val="20"/>
          <w:szCs w:val="20"/>
        </w:rPr>
        <w:t xml:space="preserve">Tanto los representantes como </w:t>
      </w:r>
      <w:r w:rsidR="00505A6A" w:rsidRPr="0058080D">
        <w:rPr>
          <w:rFonts w:ascii="Verdana" w:hAnsi="Verdana"/>
          <w:sz w:val="20"/>
          <w:szCs w:val="20"/>
        </w:rPr>
        <w:t>l</w:t>
      </w:r>
      <w:r w:rsidRPr="0058080D">
        <w:rPr>
          <w:rFonts w:ascii="Verdana" w:hAnsi="Verdana"/>
          <w:sz w:val="20"/>
          <w:szCs w:val="20"/>
        </w:rPr>
        <w:t xml:space="preserve">a Comisión han reconocido los esfuerzos que ha realizado el Estado para implementar esta reparación. </w:t>
      </w:r>
      <w:r w:rsidR="0090762F" w:rsidRPr="0058080D">
        <w:rPr>
          <w:rFonts w:ascii="Verdana" w:hAnsi="Verdana"/>
          <w:sz w:val="20"/>
          <w:szCs w:val="20"/>
        </w:rPr>
        <w:t xml:space="preserve">Sin embargo, </w:t>
      </w:r>
      <w:r w:rsidR="00505A6A" w:rsidRPr="0058080D">
        <w:rPr>
          <w:rFonts w:ascii="Verdana" w:hAnsi="Verdana"/>
          <w:sz w:val="20"/>
          <w:szCs w:val="20"/>
        </w:rPr>
        <w:t xml:space="preserve">los representantes </w:t>
      </w:r>
      <w:r w:rsidR="0058080D" w:rsidRPr="0058080D">
        <w:rPr>
          <w:rFonts w:ascii="Verdana" w:hAnsi="Verdana"/>
          <w:sz w:val="20"/>
          <w:szCs w:val="20"/>
        </w:rPr>
        <w:t xml:space="preserve">explicaron las razones por las cuales consideran que </w:t>
      </w:r>
      <w:r w:rsidR="00505A6A" w:rsidRPr="0058080D">
        <w:rPr>
          <w:rFonts w:ascii="Verdana" w:hAnsi="Verdana"/>
          <w:sz w:val="20"/>
          <w:szCs w:val="20"/>
        </w:rPr>
        <w:t xml:space="preserve">la información brindada por </w:t>
      </w:r>
      <w:r w:rsidR="00016F5A">
        <w:rPr>
          <w:rFonts w:ascii="Verdana" w:hAnsi="Verdana"/>
          <w:sz w:val="20"/>
          <w:szCs w:val="20"/>
        </w:rPr>
        <w:t>Uruguay</w:t>
      </w:r>
      <w:r w:rsidR="00505A6A" w:rsidRPr="0058080D">
        <w:rPr>
          <w:rFonts w:ascii="Verdana" w:hAnsi="Verdana"/>
          <w:sz w:val="20"/>
          <w:szCs w:val="20"/>
        </w:rPr>
        <w:t xml:space="preserve"> no es suficiente para valorar su cumplimiento</w:t>
      </w:r>
      <w:r w:rsidR="0058080D" w:rsidRPr="0058080D">
        <w:rPr>
          <w:rStyle w:val="Refdenotaalpie"/>
          <w:rFonts w:ascii="Verdana" w:hAnsi="Verdana"/>
          <w:sz w:val="20"/>
          <w:szCs w:val="20"/>
        </w:rPr>
        <w:footnoteReference w:id="65"/>
      </w:r>
      <w:r w:rsidR="00505A6A" w:rsidRPr="0058080D">
        <w:rPr>
          <w:rFonts w:ascii="Verdana" w:hAnsi="Verdana"/>
          <w:sz w:val="20"/>
          <w:szCs w:val="20"/>
        </w:rPr>
        <w:t xml:space="preserve">. </w:t>
      </w:r>
      <w:r w:rsidR="00016F5A">
        <w:rPr>
          <w:rFonts w:ascii="Verdana" w:hAnsi="Verdana"/>
          <w:sz w:val="20"/>
          <w:szCs w:val="20"/>
        </w:rPr>
        <w:t>Al respecto, solicitaron que el Estado “presente información detallada sobre cómo implementará un plan integral de desclasificación, sistematización y digitalización de archivos, el equipo humano que estará a cargo del mismo</w:t>
      </w:r>
      <w:r w:rsidR="00386A39">
        <w:rPr>
          <w:rFonts w:ascii="Verdana" w:hAnsi="Verdana"/>
          <w:sz w:val="20"/>
          <w:szCs w:val="20"/>
        </w:rPr>
        <w:t xml:space="preserve"> y el presupuesto con el que contará, debiendo informar un cronograma detallando cuáles archivos son los que aún no se encuentran accesibles y en qué tiempo podrán ser incorporados en poder de la institución encargada de administrarlos”. </w:t>
      </w:r>
    </w:p>
    <w:p w14:paraId="07642435" w14:textId="1531FF98" w:rsidR="00104C82" w:rsidRPr="00BA0139" w:rsidRDefault="00386A39"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A0139">
        <w:rPr>
          <w:rFonts w:ascii="Verdana" w:hAnsi="Verdana"/>
          <w:sz w:val="20"/>
          <w:szCs w:val="20"/>
        </w:rPr>
        <w:t xml:space="preserve">En cuanto a lo sostenido por los representantes, la Corte recuerda que ordenó esta medida </w:t>
      </w:r>
      <w:r w:rsidR="00DF58DC">
        <w:rPr>
          <w:rFonts w:ascii="Verdana" w:hAnsi="Verdana"/>
          <w:sz w:val="20"/>
          <w:szCs w:val="20"/>
        </w:rPr>
        <w:t xml:space="preserve">de reparación </w:t>
      </w:r>
      <w:r w:rsidRPr="00BA0139">
        <w:rPr>
          <w:rFonts w:ascii="Verdana" w:hAnsi="Verdana"/>
          <w:sz w:val="20"/>
          <w:szCs w:val="20"/>
        </w:rPr>
        <w:t xml:space="preserve">con el fin de que el Estado emprendiera acciones orientadas a sistematizar información sobre graves violaciones a derechos humanos ocurridas </w:t>
      </w:r>
      <w:r w:rsidR="0065217A">
        <w:rPr>
          <w:rFonts w:ascii="Verdana" w:hAnsi="Verdana"/>
          <w:sz w:val="20"/>
          <w:szCs w:val="20"/>
        </w:rPr>
        <w:t>durante</w:t>
      </w:r>
      <w:r w:rsidRPr="00BA0139">
        <w:rPr>
          <w:rFonts w:ascii="Verdana" w:hAnsi="Verdana"/>
          <w:sz w:val="20"/>
          <w:szCs w:val="20"/>
        </w:rPr>
        <w:t xml:space="preserve"> la dictadura que estaba disgregada en varios archivos de seguridad nacional y </w:t>
      </w:r>
      <w:r w:rsidR="0065217A">
        <w:rPr>
          <w:rFonts w:ascii="Verdana" w:hAnsi="Verdana"/>
          <w:sz w:val="20"/>
          <w:szCs w:val="20"/>
        </w:rPr>
        <w:t xml:space="preserve">a </w:t>
      </w:r>
      <w:r w:rsidRPr="00BA0139">
        <w:rPr>
          <w:rFonts w:ascii="Verdana" w:hAnsi="Verdana"/>
          <w:sz w:val="20"/>
          <w:szCs w:val="20"/>
        </w:rPr>
        <w:t>garantizar su acceso.</w:t>
      </w:r>
      <w:r w:rsidR="00104C82" w:rsidRPr="00BA0139">
        <w:rPr>
          <w:rFonts w:ascii="Verdana" w:hAnsi="Verdana"/>
          <w:sz w:val="20"/>
          <w:szCs w:val="20"/>
        </w:rPr>
        <w:t xml:space="preserve"> En ese sentido, es preciso indicar que este Tribunal no supervisará esta medida </w:t>
      </w:r>
      <w:r w:rsidR="00505A6A" w:rsidRPr="00BA0139">
        <w:rPr>
          <w:rFonts w:ascii="Verdana" w:hAnsi="Verdana"/>
          <w:sz w:val="20"/>
          <w:szCs w:val="20"/>
        </w:rPr>
        <w:t>hasta su total implementación, tomando en cuenta la amplitud de la misma</w:t>
      </w:r>
      <w:r w:rsidR="003313FD">
        <w:rPr>
          <w:rFonts w:ascii="Verdana" w:hAnsi="Verdana"/>
          <w:sz w:val="20"/>
          <w:szCs w:val="20"/>
        </w:rPr>
        <w:t>,</w:t>
      </w:r>
      <w:r w:rsidR="00505A6A" w:rsidRPr="00BA0139">
        <w:rPr>
          <w:rFonts w:ascii="Verdana" w:hAnsi="Verdana"/>
          <w:sz w:val="20"/>
          <w:szCs w:val="20"/>
        </w:rPr>
        <w:t xml:space="preserve"> y que lo que es materia de supervisión consiste en que el Estado </w:t>
      </w:r>
      <w:r w:rsidR="00104C82" w:rsidRPr="00BA0139">
        <w:rPr>
          <w:rFonts w:ascii="Verdana" w:hAnsi="Verdana"/>
          <w:sz w:val="20"/>
          <w:szCs w:val="20"/>
        </w:rPr>
        <w:t xml:space="preserve">se encuentre desarrollando acciones e iniciativas </w:t>
      </w:r>
      <w:r w:rsidR="006A447D">
        <w:rPr>
          <w:rFonts w:ascii="Verdana" w:hAnsi="Verdana"/>
          <w:sz w:val="20"/>
          <w:szCs w:val="20"/>
        </w:rPr>
        <w:t xml:space="preserve">pertinentes </w:t>
      </w:r>
      <w:r w:rsidR="00104C82" w:rsidRPr="00BA0139">
        <w:rPr>
          <w:rFonts w:ascii="Verdana" w:hAnsi="Verdana"/>
          <w:sz w:val="20"/>
          <w:szCs w:val="20"/>
        </w:rPr>
        <w:t>en este sentido</w:t>
      </w:r>
      <w:r w:rsidR="00104C82" w:rsidRPr="00BA0139">
        <w:rPr>
          <w:rStyle w:val="Refdenotaalpie"/>
          <w:rFonts w:ascii="Verdana" w:hAnsi="Verdana"/>
          <w:sz w:val="20"/>
          <w:szCs w:val="20"/>
        </w:rPr>
        <w:footnoteReference w:id="66"/>
      </w:r>
      <w:r w:rsidR="00104C82" w:rsidRPr="00BA0139">
        <w:rPr>
          <w:rFonts w:ascii="Verdana" w:hAnsi="Verdana"/>
          <w:sz w:val="20"/>
          <w:szCs w:val="20"/>
        </w:rPr>
        <w:t>.</w:t>
      </w:r>
    </w:p>
    <w:p w14:paraId="13416FCE" w14:textId="7954D13D" w:rsidR="00BA0139" w:rsidRPr="00BA0139" w:rsidRDefault="00104C82"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A0139">
        <w:rPr>
          <w:rFonts w:ascii="Verdana" w:hAnsi="Verdana"/>
          <w:sz w:val="20"/>
          <w:szCs w:val="20"/>
        </w:rPr>
        <w:t>La Corte considera que</w:t>
      </w:r>
      <w:r w:rsidR="00EE2650">
        <w:rPr>
          <w:rFonts w:ascii="Verdana" w:hAnsi="Verdana"/>
          <w:sz w:val="20"/>
          <w:szCs w:val="20"/>
        </w:rPr>
        <w:t>,</w:t>
      </w:r>
      <w:r w:rsidRPr="00BA0139">
        <w:rPr>
          <w:rFonts w:ascii="Verdana" w:hAnsi="Verdana"/>
          <w:sz w:val="20"/>
          <w:szCs w:val="20"/>
        </w:rPr>
        <w:t xml:space="preserve"> a través de las gestiones desarrolladas hasta el momento</w:t>
      </w:r>
      <w:r w:rsidR="00EE2650">
        <w:rPr>
          <w:rFonts w:ascii="Verdana" w:hAnsi="Verdana"/>
          <w:sz w:val="20"/>
          <w:szCs w:val="20"/>
        </w:rPr>
        <w:t>,</w:t>
      </w:r>
      <w:r w:rsidRPr="00BA0139">
        <w:rPr>
          <w:rFonts w:ascii="Verdana" w:hAnsi="Verdana"/>
          <w:sz w:val="20"/>
          <w:szCs w:val="20"/>
        </w:rPr>
        <w:t xml:space="preserve"> el Estado ha venido dando cumplimiento a la presente reparación</w:t>
      </w:r>
      <w:r w:rsidR="00EE2650">
        <w:rPr>
          <w:rFonts w:ascii="Verdana" w:hAnsi="Verdana"/>
          <w:sz w:val="20"/>
          <w:szCs w:val="20"/>
        </w:rPr>
        <w:t xml:space="preserve">. </w:t>
      </w:r>
      <w:r w:rsidR="00AA2B84">
        <w:rPr>
          <w:rFonts w:ascii="Verdana" w:hAnsi="Verdana"/>
          <w:sz w:val="20"/>
          <w:szCs w:val="20"/>
        </w:rPr>
        <w:t>E</w:t>
      </w:r>
      <w:r w:rsidR="00EE2650">
        <w:rPr>
          <w:rFonts w:ascii="Verdana" w:hAnsi="Verdana"/>
          <w:sz w:val="20"/>
          <w:szCs w:val="20"/>
        </w:rPr>
        <w:t xml:space="preserve">l </w:t>
      </w:r>
      <w:r w:rsidRPr="00BA0139">
        <w:rPr>
          <w:rFonts w:ascii="Verdana" w:hAnsi="Verdana"/>
          <w:sz w:val="20"/>
          <w:szCs w:val="20"/>
        </w:rPr>
        <w:t xml:space="preserve">Grupo de Trabajo por Verdad y Justicia y </w:t>
      </w:r>
      <w:r w:rsidR="00BA0139" w:rsidRPr="00BA0139">
        <w:rPr>
          <w:rFonts w:ascii="Verdana" w:hAnsi="Verdana"/>
          <w:sz w:val="20"/>
          <w:szCs w:val="20"/>
        </w:rPr>
        <w:t xml:space="preserve">el Poder Judicial </w:t>
      </w:r>
      <w:r w:rsidR="00AA2B84">
        <w:rPr>
          <w:rFonts w:ascii="Verdana" w:hAnsi="Verdana"/>
          <w:sz w:val="20"/>
          <w:szCs w:val="20"/>
        </w:rPr>
        <w:t>han efectuado</w:t>
      </w:r>
      <w:r w:rsidR="00EE2650">
        <w:rPr>
          <w:rFonts w:ascii="Verdana" w:hAnsi="Verdana"/>
          <w:sz w:val="20"/>
          <w:szCs w:val="20"/>
        </w:rPr>
        <w:t xml:space="preserve"> acciones para</w:t>
      </w:r>
      <w:r w:rsidR="00BA0139" w:rsidRPr="00BA0139">
        <w:rPr>
          <w:rFonts w:ascii="Verdana" w:hAnsi="Verdana"/>
          <w:sz w:val="20"/>
          <w:szCs w:val="20"/>
        </w:rPr>
        <w:t xml:space="preserve"> recupera</w:t>
      </w:r>
      <w:r w:rsidR="00EE2650">
        <w:rPr>
          <w:rFonts w:ascii="Verdana" w:hAnsi="Verdana"/>
          <w:sz w:val="20"/>
          <w:szCs w:val="20"/>
        </w:rPr>
        <w:t>r</w:t>
      </w:r>
      <w:r w:rsidR="00BA0139" w:rsidRPr="00BA0139">
        <w:rPr>
          <w:rFonts w:ascii="Verdana" w:hAnsi="Verdana"/>
          <w:sz w:val="20"/>
          <w:szCs w:val="20"/>
        </w:rPr>
        <w:t xml:space="preserve"> y digitaliza</w:t>
      </w:r>
      <w:r w:rsidR="00EE2650">
        <w:rPr>
          <w:rFonts w:ascii="Verdana" w:hAnsi="Verdana"/>
          <w:sz w:val="20"/>
          <w:szCs w:val="20"/>
        </w:rPr>
        <w:t>r</w:t>
      </w:r>
      <w:r w:rsidR="00BA0139" w:rsidRPr="00BA0139">
        <w:rPr>
          <w:rFonts w:ascii="Verdana" w:hAnsi="Verdana"/>
          <w:sz w:val="20"/>
          <w:szCs w:val="20"/>
        </w:rPr>
        <w:t xml:space="preserve"> información de varias fuentes</w:t>
      </w:r>
      <w:r w:rsidR="00AD7831">
        <w:rPr>
          <w:rFonts w:ascii="Verdana" w:hAnsi="Verdana"/>
          <w:sz w:val="20"/>
          <w:szCs w:val="20"/>
        </w:rPr>
        <w:t xml:space="preserve"> de carácter militar y policial que podría tener una incidencia en el esclarecimiento de graves violaciones ocurridas durante el período </w:t>
      </w:r>
      <w:r w:rsidR="00AD7831">
        <w:rPr>
          <w:rFonts w:ascii="Verdana" w:hAnsi="Verdana"/>
          <w:sz w:val="20"/>
          <w:szCs w:val="20"/>
        </w:rPr>
        <w:lastRenderedPageBreak/>
        <w:t>de dictadura</w:t>
      </w:r>
      <w:r w:rsidR="00BA0139" w:rsidRPr="00BA0139">
        <w:rPr>
          <w:rFonts w:ascii="Verdana" w:hAnsi="Verdana"/>
          <w:sz w:val="20"/>
          <w:szCs w:val="20"/>
        </w:rPr>
        <w:t xml:space="preserve">, y habrían adoptado medidas para garantizar su acceso. </w:t>
      </w:r>
      <w:r w:rsidR="008F167A">
        <w:rPr>
          <w:rFonts w:ascii="Verdana" w:hAnsi="Verdana"/>
          <w:sz w:val="20"/>
          <w:szCs w:val="20"/>
        </w:rPr>
        <w:t>Uruguay</w:t>
      </w:r>
      <w:r w:rsidR="00BA0139" w:rsidRPr="00AD7831">
        <w:rPr>
          <w:rFonts w:ascii="Verdana" w:hAnsi="Verdana"/>
          <w:sz w:val="20"/>
          <w:szCs w:val="20"/>
        </w:rPr>
        <w:t xml:space="preserve"> debe continuar implementando esta medida de la forma más completa posible, para lo cual es recomendable que tome en cuenta estándares relevantes de expertos y órganos internacionales sobre esta materia</w:t>
      </w:r>
      <w:r w:rsidR="00BA0139" w:rsidRPr="00AD7831">
        <w:rPr>
          <w:rStyle w:val="Refdenotaalpie"/>
          <w:rFonts w:ascii="Verdana" w:hAnsi="Verdana"/>
          <w:sz w:val="20"/>
          <w:szCs w:val="20"/>
        </w:rPr>
        <w:footnoteReference w:id="67"/>
      </w:r>
      <w:r w:rsidR="00BA0139" w:rsidRPr="00AD7831">
        <w:rPr>
          <w:rFonts w:ascii="Verdana" w:hAnsi="Verdana"/>
          <w:sz w:val="20"/>
          <w:szCs w:val="20"/>
        </w:rPr>
        <w:t>.</w:t>
      </w:r>
      <w:r w:rsidR="00BA0139">
        <w:t xml:space="preserve"> </w:t>
      </w:r>
    </w:p>
    <w:p w14:paraId="39977B26" w14:textId="4C610282" w:rsidR="00104C82" w:rsidRDefault="00BA0139" w:rsidP="00332F9D">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A0139">
        <w:rPr>
          <w:rFonts w:ascii="Verdana" w:hAnsi="Verdana"/>
          <w:sz w:val="20"/>
          <w:szCs w:val="20"/>
        </w:rPr>
        <w:t>No obstante</w:t>
      </w:r>
      <w:r w:rsidR="00EB4564">
        <w:rPr>
          <w:rFonts w:ascii="Verdana" w:hAnsi="Verdana"/>
          <w:sz w:val="20"/>
          <w:szCs w:val="20"/>
        </w:rPr>
        <w:t xml:space="preserve"> lo anterior, tomando en cuenta las observaciones presentadas por los representantes (</w:t>
      </w:r>
      <w:r w:rsidR="00EB4564" w:rsidRPr="00EB4564">
        <w:rPr>
          <w:rFonts w:ascii="Verdana" w:hAnsi="Verdana"/>
          <w:i/>
          <w:iCs/>
          <w:sz w:val="20"/>
          <w:szCs w:val="20"/>
        </w:rPr>
        <w:t>supra</w:t>
      </w:r>
      <w:r w:rsidR="00EB4564">
        <w:rPr>
          <w:rFonts w:ascii="Verdana" w:hAnsi="Verdana"/>
          <w:sz w:val="20"/>
          <w:szCs w:val="20"/>
        </w:rPr>
        <w:t xml:space="preserve"> </w:t>
      </w:r>
      <w:r w:rsidR="008F167A">
        <w:rPr>
          <w:rFonts w:ascii="Verdana" w:hAnsi="Verdana"/>
          <w:sz w:val="20"/>
          <w:szCs w:val="20"/>
        </w:rPr>
        <w:t xml:space="preserve">Considerando  53 y </w:t>
      </w:r>
      <w:r w:rsidR="00EB4564">
        <w:rPr>
          <w:rFonts w:ascii="Verdana" w:hAnsi="Verdana"/>
          <w:sz w:val="20"/>
          <w:szCs w:val="20"/>
        </w:rPr>
        <w:t xml:space="preserve">nota al pie </w:t>
      </w:r>
      <w:r w:rsidR="008F167A">
        <w:rPr>
          <w:rFonts w:ascii="Verdana" w:hAnsi="Verdana"/>
          <w:sz w:val="20"/>
          <w:szCs w:val="20"/>
        </w:rPr>
        <w:t>65</w:t>
      </w:r>
      <w:r w:rsidR="00EB4564">
        <w:rPr>
          <w:rFonts w:ascii="Verdana" w:hAnsi="Verdana"/>
          <w:sz w:val="20"/>
          <w:szCs w:val="20"/>
        </w:rPr>
        <w:t>), la Corte considera necesario, a efectos de v</w:t>
      </w:r>
      <w:r w:rsidRPr="00BA0139">
        <w:rPr>
          <w:rFonts w:ascii="Verdana" w:hAnsi="Verdana"/>
          <w:sz w:val="20"/>
          <w:szCs w:val="20"/>
        </w:rPr>
        <w:t xml:space="preserve">alorar el </w:t>
      </w:r>
      <w:r w:rsidR="00EB4564">
        <w:rPr>
          <w:rFonts w:ascii="Verdana" w:hAnsi="Verdana"/>
          <w:sz w:val="20"/>
          <w:szCs w:val="20"/>
        </w:rPr>
        <w:t xml:space="preserve">cumplimiento total de esta reparación en una posterior </w:t>
      </w:r>
      <w:r w:rsidR="0046223B">
        <w:rPr>
          <w:rFonts w:ascii="Verdana" w:hAnsi="Verdana"/>
          <w:sz w:val="20"/>
          <w:szCs w:val="20"/>
        </w:rPr>
        <w:t>resolución</w:t>
      </w:r>
      <w:r w:rsidR="00EB4564">
        <w:rPr>
          <w:rFonts w:ascii="Verdana" w:hAnsi="Verdana"/>
          <w:sz w:val="20"/>
          <w:szCs w:val="20"/>
        </w:rPr>
        <w:t xml:space="preserve">, que el Estado: i) presente un informe pormenorizado de cuáles son todos archivos que se integraron al acervo documental del Grupo de Trabajo por Verdad y Justicia; </w:t>
      </w:r>
      <w:proofErr w:type="spellStart"/>
      <w:r w:rsidR="00EB4564">
        <w:rPr>
          <w:rFonts w:ascii="Verdana" w:hAnsi="Verdana"/>
          <w:sz w:val="20"/>
          <w:szCs w:val="20"/>
        </w:rPr>
        <w:t>ii</w:t>
      </w:r>
      <w:proofErr w:type="spellEnd"/>
      <w:r w:rsidR="00EB4564">
        <w:rPr>
          <w:rFonts w:ascii="Verdana" w:hAnsi="Verdana"/>
          <w:sz w:val="20"/>
          <w:szCs w:val="20"/>
        </w:rPr>
        <w:t>) explique</w:t>
      </w:r>
      <w:r w:rsidR="00890F50">
        <w:rPr>
          <w:rFonts w:ascii="Verdana" w:hAnsi="Verdana"/>
          <w:sz w:val="20"/>
          <w:szCs w:val="20"/>
        </w:rPr>
        <w:t>,</w:t>
      </w:r>
      <w:r w:rsidR="00EB4564">
        <w:rPr>
          <w:rFonts w:ascii="Verdana" w:hAnsi="Verdana"/>
          <w:sz w:val="20"/>
          <w:szCs w:val="20"/>
        </w:rPr>
        <w:t xml:space="preserve"> en virtud de l</w:t>
      </w:r>
      <w:r w:rsidR="00890F50">
        <w:rPr>
          <w:rFonts w:ascii="Verdana" w:hAnsi="Verdana"/>
          <w:sz w:val="20"/>
          <w:szCs w:val="20"/>
        </w:rPr>
        <w:t>o informado sobre la supuesta disolución de dicho Grupo y de la</w:t>
      </w:r>
      <w:r w:rsidR="00EB4564">
        <w:rPr>
          <w:rFonts w:ascii="Verdana" w:hAnsi="Verdana"/>
          <w:sz w:val="20"/>
          <w:szCs w:val="20"/>
        </w:rPr>
        <w:t xml:space="preserve"> aprobación </w:t>
      </w:r>
      <w:r w:rsidR="0046223B">
        <w:rPr>
          <w:rFonts w:ascii="Verdana" w:hAnsi="Verdana"/>
          <w:sz w:val="20"/>
          <w:szCs w:val="20"/>
        </w:rPr>
        <w:t xml:space="preserve">en 2019 </w:t>
      </w:r>
      <w:r w:rsidR="00EB4564">
        <w:rPr>
          <w:rFonts w:ascii="Verdana" w:hAnsi="Verdana"/>
          <w:sz w:val="20"/>
          <w:szCs w:val="20"/>
        </w:rPr>
        <w:t xml:space="preserve">de la Ley </w:t>
      </w:r>
      <w:r w:rsidR="00EB4564" w:rsidRPr="00A27FBF">
        <w:rPr>
          <w:rFonts w:ascii="Verdana" w:hAnsi="Verdana"/>
          <w:sz w:val="20"/>
          <w:szCs w:val="20"/>
        </w:rPr>
        <w:t>19.822</w:t>
      </w:r>
      <w:r w:rsidR="00EB4564">
        <w:rPr>
          <w:rFonts w:ascii="Verdana" w:hAnsi="Verdana"/>
          <w:sz w:val="20"/>
          <w:szCs w:val="20"/>
        </w:rPr>
        <w:t xml:space="preserve"> que transfiere determinadas competencias de </w:t>
      </w:r>
      <w:r w:rsidR="00890F50">
        <w:rPr>
          <w:rFonts w:ascii="Verdana" w:hAnsi="Verdana"/>
          <w:sz w:val="20"/>
          <w:szCs w:val="20"/>
        </w:rPr>
        <w:t>éste</w:t>
      </w:r>
      <w:r w:rsidR="00EB4564">
        <w:rPr>
          <w:rFonts w:ascii="Verdana" w:hAnsi="Verdana"/>
          <w:sz w:val="20"/>
          <w:szCs w:val="20"/>
        </w:rPr>
        <w:t xml:space="preserve"> a</w:t>
      </w:r>
      <w:r w:rsidR="00AB2652">
        <w:rPr>
          <w:rFonts w:ascii="Verdana" w:hAnsi="Verdana"/>
          <w:sz w:val="20"/>
          <w:szCs w:val="20"/>
        </w:rPr>
        <w:t xml:space="preserve"> </w:t>
      </w:r>
      <w:r w:rsidR="00EB4564">
        <w:rPr>
          <w:rFonts w:ascii="Verdana" w:hAnsi="Verdana"/>
          <w:sz w:val="20"/>
          <w:szCs w:val="20"/>
        </w:rPr>
        <w:t>l</w:t>
      </w:r>
      <w:r w:rsidR="00AB2652">
        <w:rPr>
          <w:rFonts w:ascii="Verdana" w:hAnsi="Verdana"/>
          <w:sz w:val="20"/>
          <w:szCs w:val="20"/>
        </w:rPr>
        <w:t>a</w:t>
      </w:r>
      <w:r w:rsidR="00EB4564">
        <w:rPr>
          <w:rFonts w:ascii="Verdana" w:hAnsi="Verdana"/>
          <w:sz w:val="20"/>
          <w:szCs w:val="20"/>
        </w:rPr>
        <w:t xml:space="preserve"> </w:t>
      </w:r>
      <w:r w:rsidR="00AB2652">
        <w:rPr>
          <w:rFonts w:ascii="Verdana" w:hAnsi="Verdana"/>
          <w:sz w:val="20"/>
          <w:szCs w:val="20"/>
        </w:rPr>
        <w:t xml:space="preserve">Institución </w:t>
      </w:r>
      <w:r w:rsidR="00EB4564">
        <w:rPr>
          <w:rFonts w:ascii="Verdana" w:hAnsi="Verdana"/>
          <w:sz w:val="20"/>
          <w:szCs w:val="20"/>
        </w:rPr>
        <w:t>Nacional de Derechos Humanos</w:t>
      </w:r>
      <w:r w:rsidR="0046223B">
        <w:rPr>
          <w:rFonts w:ascii="Verdana" w:hAnsi="Verdana"/>
          <w:sz w:val="20"/>
          <w:szCs w:val="20"/>
        </w:rPr>
        <w:t xml:space="preserve"> y Defensoría del Pueblo</w:t>
      </w:r>
      <w:r w:rsidR="00EB4564">
        <w:rPr>
          <w:rFonts w:ascii="Verdana" w:hAnsi="Verdana"/>
          <w:sz w:val="20"/>
          <w:szCs w:val="20"/>
        </w:rPr>
        <w:t xml:space="preserve">, </w:t>
      </w:r>
      <w:r w:rsidR="00890F50">
        <w:rPr>
          <w:rFonts w:ascii="Verdana" w:hAnsi="Verdana"/>
          <w:sz w:val="20"/>
          <w:szCs w:val="20"/>
        </w:rPr>
        <w:t>cómo se garantizará</w:t>
      </w:r>
      <w:r w:rsidR="00EB4564">
        <w:rPr>
          <w:rFonts w:ascii="Verdana" w:hAnsi="Verdana"/>
          <w:sz w:val="20"/>
          <w:szCs w:val="20"/>
        </w:rPr>
        <w:t xml:space="preserve"> el resguardo </w:t>
      </w:r>
      <w:r w:rsidR="00890F50">
        <w:rPr>
          <w:rFonts w:ascii="Verdana" w:hAnsi="Verdana"/>
          <w:sz w:val="20"/>
          <w:szCs w:val="20"/>
        </w:rPr>
        <w:t>y acceso a</w:t>
      </w:r>
      <w:r w:rsidR="00EB4564">
        <w:rPr>
          <w:rFonts w:ascii="Verdana" w:hAnsi="Verdana"/>
          <w:sz w:val="20"/>
          <w:szCs w:val="20"/>
        </w:rPr>
        <w:t xml:space="preserve"> los acervos documentales recabados por </w:t>
      </w:r>
      <w:r w:rsidR="00890F50">
        <w:rPr>
          <w:rFonts w:ascii="Verdana" w:hAnsi="Verdana"/>
          <w:sz w:val="20"/>
          <w:szCs w:val="20"/>
        </w:rPr>
        <w:t>el Grupo de Trabajo por Verdad y Justicia</w:t>
      </w:r>
      <w:r w:rsidR="006A447D">
        <w:rPr>
          <w:rFonts w:ascii="Verdana" w:hAnsi="Verdana"/>
          <w:sz w:val="20"/>
          <w:szCs w:val="20"/>
        </w:rPr>
        <w:t xml:space="preserve">, y </w:t>
      </w:r>
      <w:proofErr w:type="spellStart"/>
      <w:r w:rsidR="006A447D">
        <w:rPr>
          <w:rFonts w:ascii="Verdana" w:hAnsi="Verdana"/>
          <w:sz w:val="20"/>
          <w:szCs w:val="20"/>
        </w:rPr>
        <w:t>iii</w:t>
      </w:r>
      <w:proofErr w:type="spellEnd"/>
      <w:r w:rsidR="006A447D">
        <w:rPr>
          <w:rFonts w:ascii="Verdana" w:hAnsi="Verdana"/>
          <w:sz w:val="20"/>
          <w:szCs w:val="20"/>
        </w:rPr>
        <w:t>) qué archivos son los que aún no se encuentran accesibles</w:t>
      </w:r>
      <w:r w:rsidR="00EB4564">
        <w:rPr>
          <w:rFonts w:ascii="Verdana" w:hAnsi="Verdana"/>
          <w:sz w:val="20"/>
          <w:szCs w:val="20"/>
        </w:rPr>
        <w:t xml:space="preserve"> </w:t>
      </w:r>
      <w:r w:rsidR="006A447D">
        <w:rPr>
          <w:rFonts w:ascii="Verdana" w:hAnsi="Verdana"/>
          <w:sz w:val="20"/>
          <w:szCs w:val="20"/>
        </w:rPr>
        <w:t>por estar disgregados en otros archivos de seguridad nacional</w:t>
      </w:r>
      <w:r w:rsidR="00EE2650" w:rsidRPr="00EE2650">
        <w:rPr>
          <w:rFonts w:ascii="Verdana" w:hAnsi="Verdana"/>
          <w:sz w:val="20"/>
          <w:szCs w:val="20"/>
        </w:rPr>
        <w:t>, entre ellos</w:t>
      </w:r>
      <w:r w:rsidR="0046223B">
        <w:rPr>
          <w:rFonts w:ascii="Verdana" w:hAnsi="Verdana"/>
          <w:sz w:val="20"/>
          <w:szCs w:val="20"/>
        </w:rPr>
        <w:t>,</w:t>
      </w:r>
      <w:r w:rsidR="00EE2650" w:rsidRPr="00EE2650">
        <w:rPr>
          <w:rFonts w:ascii="Verdana" w:hAnsi="Verdana"/>
          <w:sz w:val="20"/>
          <w:szCs w:val="20"/>
        </w:rPr>
        <w:t xml:space="preserve"> los registros de la Prefectura Naval, el Ejército y de la Aviación,</w:t>
      </w:r>
      <w:r w:rsidR="006A447D" w:rsidRPr="00EE2650">
        <w:rPr>
          <w:rFonts w:ascii="Verdana" w:hAnsi="Verdana"/>
          <w:sz w:val="20"/>
          <w:szCs w:val="20"/>
        </w:rPr>
        <w:t xml:space="preserve"> </w:t>
      </w:r>
      <w:r w:rsidR="00EB4564">
        <w:rPr>
          <w:rFonts w:ascii="Verdana" w:hAnsi="Verdana"/>
          <w:sz w:val="20"/>
          <w:szCs w:val="20"/>
        </w:rPr>
        <w:t xml:space="preserve">y </w:t>
      </w:r>
      <w:r w:rsidR="00890F50">
        <w:rPr>
          <w:rFonts w:ascii="Verdana" w:hAnsi="Verdana"/>
          <w:sz w:val="20"/>
          <w:szCs w:val="20"/>
        </w:rPr>
        <w:t>qué</w:t>
      </w:r>
      <w:r w:rsidR="00EB4564">
        <w:rPr>
          <w:rFonts w:ascii="Verdana" w:hAnsi="Verdana"/>
          <w:sz w:val="20"/>
          <w:szCs w:val="20"/>
        </w:rPr>
        <w:t xml:space="preserve"> acciones </w:t>
      </w:r>
      <w:r w:rsidR="00890F50">
        <w:rPr>
          <w:rFonts w:ascii="Verdana" w:hAnsi="Verdana"/>
          <w:sz w:val="20"/>
          <w:szCs w:val="20"/>
        </w:rPr>
        <w:t xml:space="preserve">se implementarán </w:t>
      </w:r>
      <w:r w:rsidR="006A447D">
        <w:rPr>
          <w:rFonts w:ascii="Verdana" w:hAnsi="Verdana"/>
          <w:sz w:val="20"/>
          <w:szCs w:val="20"/>
        </w:rPr>
        <w:t>al respecto</w:t>
      </w:r>
      <w:r w:rsidR="00EB4564">
        <w:rPr>
          <w:rFonts w:ascii="Verdana" w:hAnsi="Verdana"/>
          <w:sz w:val="20"/>
          <w:szCs w:val="20"/>
        </w:rPr>
        <w:t>.</w:t>
      </w:r>
    </w:p>
    <w:p w14:paraId="785E9E23" w14:textId="7F35F8B2" w:rsidR="005B4999" w:rsidRDefault="005B4999" w:rsidP="000D2395">
      <w:pPr>
        <w:pStyle w:val="Prrafodelista"/>
        <w:autoSpaceDE w:val="0"/>
        <w:autoSpaceDN w:val="0"/>
        <w:adjustRightInd w:val="0"/>
        <w:spacing w:before="120" w:after="0" w:line="240" w:lineRule="auto"/>
        <w:ind w:left="0"/>
        <w:contextualSpacing w:val="0"/>
        <w:jc w:val="both"/>
        <w:rPr>
          <w:rFonts w:ascii="Verdana" w:hAnsi="Verdana"/>
          <w:sz w:val="10"/>
          <w:szCs w:val="10"/>
        </w:rPr>
      </w:pPr>
    </w:p>
    <w:p w14:paraId="0E5B0193" w14:textId="0DC7862F" w:rsidR="00485E74" w:rsidRPr="00C8543F" w:rsidRDefault="00485E74" w:rsidP="00565D9B">
      <w:pPr>
        <w:pStyle w:val="NormalWeb"/>
        <w:numPr>
          <w:ilvl w:val="0"/>
          <w:numId w:val="5"/>
        </w:numPr>
        <w:tabs>
          <w:tab w:val="left" w:pos="1134"/>
        </w:tabs>
        <w:spacing w:before="120" w:after="120"/>
        <w:jc w:val="both"/>
        <w:outlineLvl w:val="0"/>
        <w:rPr>
          <w:rFonts w:ascii="Verdana" w:hAnsi="Verdana"/>
          <w:b/>
          <w:i/>
          <w:sz w:val="20"/>
          <w:szCs w:val="20"/>
        </w:rPr>
      </w:pPr>
      <w:bookmarkStart w:id="8" w:name="_Toc51857571"/>
      <w:r>
        <w:rPr>
          <w:rFonts w:ascii="Verdana" w:hAnsi="Verdana"/>
          <w:b/>
          <w:i/>
          <w:sz w:val="20"/>
          <w:szCs w:val="20"/>
        </w:rPr>
        <w:t xml:space="preserve">Creación de </w:t>
      </w:r>
      <w:r w:rsidR="00EA3BB9">
        <w:rPr>
          <w:rFonts w:ascii="Verdana" w:hAnsi="Verdana"/>
          <w:b/>
          <w:i/>
          <w:sz w:val="20"/>
          <w:szCs w:val="20"/>
        </w:rPr>
        <w:t xml:space="preserve">una </w:t>
      </w:r>
      <w:r>
        <w:rPr>
          <w:rFonts w:ascii="Verdana" w:hAnsi="Verdana"/>
          <w:b/>
          <w:i/>
          <w:sz w:val="20"/>
          <w:szCs w:val="20"/>
        </w:rPr>
        <w:t xml:space="preserve">Comisión Interministerial para </w:t>
      </w:r>
      <w:r w:rsidR="00EA3BB9">
        <w:rPr>
          <w:rFonts w:ascii="Verdana" w:hAnsi="Verdana"/>
          <w:b/>
          <w:i/>
          <w:sz w:val="20"/>
          <w:szCs w:val="20"/>
        </w:rPr>
        <w:t xml:space="preserve">dar </w:t>
      </w:r>
      <w:r>
        <w:rPr>
          <w:rFonts w:ascii="Verdana" w:hAnsi="Verdana"/>
          <w:b/>
          <w:i/>
          <w:sz w:val="20"/>
          <w:szCs w:val="20"/>
        </w:rPr>
        <w:t xml:space="preserve">impulso a investigaciones sobre desaparecidos y </w:t>
      </w:r>
      <w:r w:rsidR="009322F2">
        <w:rPr>
          <w:rFonts w:ascii="Verdana" w:hAnsi="Verdana"/>
          <w:b/>
          <w:i/>
          <w:sz w:val="20"/>
          <w:szCs w:val="20"/>
        </w:rPr>
        <w:t xml:space="preserve">adopción de un </w:t>
      </w:r>
      <w:r>
        <w:rPr>
          <w:rFonts w:ascii="Verdana" w:hAnsi="Verdana"/>
          <w:b/>
          <w:i/>
          <w:sz w:val="20"/>
          <w:szCs w:val="20"/>
        </w:rPr>
        <w:t>protocolo para recolección e identificación de restos</w:t>
      </w:r>
      <w:r w:rsidR="00F41688">
        <w:rPr>
          <w:rFonts w:ascii="Verdana" w:hAnsi="Verdana"/>
          <w:b/>
          <w:i/>
          <w:sz w:val="20"/>
          <w:szCs w:val="20"/>
        </w:rPr>
        <w:t xml:space="preserve"> de personas desaparecidas</w:t>
      </w:r>
      <w:bookmarkEnd w:id="8"/>
    </w:p>
    <w:p w14:paraId="5C1926AC" w14:textId="02BE0829" w:rsidR="005D35B4" w:rsidRPr="009E197A" w:rsidRDefault="00B574E7" w:rsidP="000D2395">
      <w:pPr>
        <w:autoSpaceDE w:val="0"/>
        <w:autoSpaceDN w:val="0"/>
        <w:adjustRightInd w:val="0"/>
        <w:spacing w:before="120" w:after="120" w:line="240" w:lineRule="auto"/>
        <w:ind w:left="851"/>
        <w:jc w:val="both"/>
        <w:rPr>
          <w:rFonts w:ascii="Verdana" w:hAnsi="Verdana"/>
          <w:i/>
          <w:iCs/>
          <w:sz w:val="20"/>
          <w:szCs w:val="20"/>
        </w:rPr>
      </w:pPr>
      <w:r w:rsidRPr="009E197A">
        <w:rPr>
          <w:rFonts w:ascii="Verdana" w:hAnsi="Verdana"/>
          <w:i/>
          <w:iCs/>
          <w:sz w:val="20"/>
          <w:szCs w:val="20"/>
        </w:rPr>
        <w:t>F.1. Medidas ordenadas por la Corte y supervisión realizada en resolución anterior</w:t>
      </w:r>
    </w:p>
    <w:p w14:paraId="10A1FC87" w14:textId="106E53CF" w:rsidR="00205070" w:rsidRPr="008E2134" w:rsidRDefault="00205070" w:rsidP="008E2134">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8E2134">
        <w:rPr>
          <w:rFonts w:ascii="Verdana" w:hAnsi="Verdana"/>
          <w:sz w:val="20"/>
          <w:szCs w:val="20"/>
        </w:rPr>
        <w:t>En los puntos resolutivos noveno y décimo sexto y en los párrafos 274 y 275</w:t>
      </w:r>
      <w:r w:rsidR="00195348">
        <w:rPr>
          <w:rFonts w:ascii="Verdana" w:hAnsi="Verdana"/>
          <w:sz w:val="20"/>
          <w:szCs w:val="20"/>
        </w:rPr>
        <w:t xml:space="preserve"> de la Sentencia</w:t>
      </w:r>
      <w:r w:rsidRPr="008E2134">
        <w:rPr>
          <w:rFonts w:ascii="Verdana" w:hAnsi="Verdana"/>
          <w:sz w:val="20"/>
          <w:szCs w:val="20"/>
        </w:rPr>
        <w:t xml:space="preserve">, la Corte, respectivamente, </w:t>
      </w:r>
      <w:r w:rsidR="008E2134" w:rsidRPr="008E2134">
        <w:rPr>
          <w:rFonts w:ascii="Verdana" w:hAnsi="Verdana"/>
          <w:sz w:val="20"/>
          <w:szCs w:val="20"/>
        </w:rPr>
        <w:t>dispuso la creación de una “Comisión Interministerial que se encargue de dar impulso a las investigaciones para esclarecer el destino de los desaparecidos entre los años 1973 a 1985”</w:t>
      </w:r>
      <w:r w:rsidR="008E2134" w:rsidRPr="008E2134">
        <w:rPr>
          <w:rStyle w:val="Refdenotaalpie"/>
          <w:rFonts w:ascii="Verdana" w:hAnsi="Verdana"/>
          <w:sz w:val="20"/>
          <w:szCs w:val="20"/>
        </w:rPr>
        <w:footnoteReference w:id="68"/>
      </w:r>
      <w:r w:rsidR="008E2134" w:rsidRPr="008E2134">
        <w:rPr>
          <w:rFonts w:ascii="Verdana" w:hAnsi="Verdana"/>
          <w:sz w:val="20"/>
          <w:szCs w:val="20"/>
        </w:rPr>
        <w:t>, y la adopción de “un</w:t>
      </w:r>
      <w:r w:rsidRPr="008E2134">
        <w:rPr>
          <w:rFonts w:ascii="Verdana" w:hAnsi="Verdana"/>
          <w:sz w:val="20"/>
          <w:szCs w:val="20"/>
        </w:rPr>
        <w:t xml:space="preserve"> ‘Protocolo para la recolección e información de restos de personas desaparecidas’</w:t>
      </w:r>
      <w:r w:rsidR="008E2134" w:rsidRPr="008E2134">
        <w:rPr>
          <w:rFonts w:ascii="Verdana" w:hAnsi="Verdana"/>
          <w:sz w:val="20"/>
          <w:szCs w:val="20"/>
        </w:rPr>
        <w:t>”, el cual tenía que ser “</w:t>
      </w:r>
      <w:r w:rsidRPr="008E2134">
        <w:rPr>
          <w:rFonts w:ascii="Verdana" w:hAnsi="Verdana"/>
          <w:sz w:val="20"/>
          <w:szCs w:val="20"/>
        </w:rPr>
        <w:t>p</w:t>
      </w:r>
      <w:r w:rsidR="008E2134" w:rsidRPr="008E2134">
        <w:rPr>
          <w:rFonts w:ascii="Verdana" w:hAnsi="Verdana"/>
          <w:sz w:val="20"/>
          <w:szCs w:val="20"/>
        </w:rPr>
        <w:t>uesto</w:t>
      </w:r>
      <w:r w:rsidRPr="008E2134">
        <w:rPr>
          <w:rFonts w:ascii="Verdana" w:hAnsi="Verdana"/>
          <w:sz w:val="20"/>
          <w:szCs w:val="20"/>
        </w:rPr>
        <w:t xml:space="preserve"> en conocimiento de las autoridades encargadas para su inmediata ejecución”.</w:t>
      </w:r>
    </w:p>
    <w:p w14:paraId="7104B3C7" w14:textId="7B19C761" w:rsidR="005A0EF2" w:rsidRPr="005A0EF2" w:rsidRDefault="008E2134" w:rsidP="000D2395">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E</w:t>
      </w:r>
      <w:r w:rsidR="00420312" w:rsidRPr="005A0EF2">
        <w:rPr>
          <w:rFonts w:ascii="Verdana" w:hAnsi="Verdana"/>
          <w:sz w:val="20"/>
          <w:szCs w:val="20"/>
        </w:rPr>
        <w:t xml:space="preserve">n la Resolución de marzo de 2013, la Corte tomó nota de la información presentada por el Estado </w:t>
      </w:r>
      <w:r w:rsidR="00C546E0" w:rsidRPr="005A0EF2">
        <w:rPr>
          <w:rFonts w:ascii="Verdana" w:hAnsi="Verdana"/>
          <w:sz w:val="20"/>
          <w:szCs w:val="20"/>
        </w:rPr>
        <w:t xml:space="preserve">respecto a </w:t>
      </w:r>
      <w:r>
        <w:rPr>
          <w:rFonts w:ascii="Verdana" w:hAnsi="Verdana"/>
          <w:sz w:val="20"/>
          <w:szCs w:val="20"/>
        </w:rPr>
        <w:t>la creación</w:t>
      </w:r>
      <w:r w:rsidR="00C546E0" w:rsidRPr="005A0EF2">
        <w:rPr>
          <w:rFonts w:ascii="Verdana" w:hAnsi="Verdana"/>
          <w:sz w:val="20"/>
          <w:szCs w:val="20"/>
        </w:rPr>
        <w:t xml:space="preserve">, mediante resolución presidencial de 31 de agosto de 2011, de dicha </w:t>
      </w:r>
      <w:r>
        <w:rPr>
          <w:rFonts w:ascii="Verdana" w:hAnsi="Verdana"/>
          <w:sz w:val="20"/>
          <w:szCs w:val="20"/>
        </w:rPr>
        <w:t>C</w:t>
      </w:r>
      <w:r w:rsidR="00C546E0" w:rsidRPr="005A0EF2">
        <w:rPr>
          <w:rFonts w:ascii="Verdana" w:hAnsi="Verdana"/>
          <w:sz w:val="20"/>
          <w:szCs w:val="20"/>
        </w:rPr>
        <w:t>omisión</w:t>
      </w:r>
      <w:r>
        <w:rPr>
          <w:rFonts w:ascii="Verdana" w:hAnsi="Verdana"/>
          <w:sz w:val="20"/>
          <w:szCs w:val="20"/>
        </w:rPr>
        <w:t xml:space="preserve"> Interministerial</w:t>
      </w:r>
      <w:r w:rsidR="005A0EF2" w:rsidRPr="005A0EF2">
        <w:rPr>
          <w:rFonts w:ascii="Verdana" w:hAnsi="Verdana"/>
          <w:sz w:val="20"/>
          <w:szCs w:val="20"/>
        </w:rPr>
        <w:t xml:space="preserve">, </w:t>
      </w:r>
      <w:r>
        <w:rPr>
          <w:rFonts w:ascii="Verdana" w:hAnsi="Verdana"/>
          <w:sz w:val="20"/>
          <w:szCs w:val="20"/>
        </w:rPr>
        <w:t>con</w:t>
      </w:r>
      <w:r w:rsidR="005A0EF2" w:rsidRPr="005A0EF2">
        <w:rPr>
          <w:rFonts w:ascii="Verdana" w:hAnsi="Verdana"/>
          <w:sz w:val="20"/>
          <w:szCs w:val="20"/>
        </w:rPr>
        <w:t xml:space="preserve"> “[e]l objetivo de […] supervisar el cumplimiento por parte del Estado de la </w:t>
      </w:r>
      <w:r>
        <w:rPr>
          <w:rFonts w:ascii="Verdana" w:hAnsi="Verdana"/>
          <w:sz w:val="20"/>
          <w:szCs w:val="20"/>
        </w:rPr>
        <w:t>S</w:t>
      </w:r>
      <w:r w:rsidR="005A0EF2" w:rsidRPr="005A0EF2">
        <w:rPr>
          <w:rFonts w:ascii="Verdana" w:hAnsi="Verdana"/>
          <w:sz w:val="20"/>
          <w:szCs w:val="20"/>
        </w:rPr>
        <w:t>entencia de la Corte, definir las políticas tendientes a esclarecer las desapariciones forzadas y los homicidios ocurridos en iguales circunstancias durante la dictadura militar, fortalecer la integración y los cometidos de la Secretaría de seguimiento de la Comisión para la Paz y crear una base de datos unificada de detenidos desaparecidos”</w:t>
      </w:r>
      <w:r w:rsidR="005A0EF2" w:rsidRPr="005A0EF2">
        <w:rPr>
          <w:rStyle w:val="Refdenotaalpie"/>
          <w:rFonts w:ascii="Verdana" w:hAnsi="Verdana"/>
          <w:sz w:val="20"/>
          <w:szCs w:val="20"/>
        </w:rPr>
        <w:footnoteReference w:id="69"/>
      </w:r>
      <w:r w:rsidR="005A0EF2" w:rsidRPr="005A0EF2">
        <w:rPr>
          <w:rFonts w:ascii="Verdana" w:hAnsi="Verdana"/>
          <w:sz w:val="20"/>
          <w:szCs w:val="20"/>
        </w:rPr>
        <w:t xml:space="preserve">. Asimismo, se tomó nota de las </w:t>
      </w:r>
      <w:r w:rsidR="005A0EF2" w:rsidRPr="005A0EF2">
        <w:rPr>
          <w:rFonts w:ascii="Verdana" w:hAnsi="Verdana"/>
          <w:sz w:val="20"/>
          <w:szCs w:val="20"/>
        </w:rPr>
        <w:lastRenderedPageBreak/>
        <w:t>observaciones de la Comisión y los representantes</w:t>
      </w:r>
      <w:r w:rsidR="005A0EF2" w:rsidRPr="005A0EF2">
        <w:rPr>
          <w:rStyle w:val="Refdenotaalpie"/>
          <w:rFonts w:ascii="Verdana" w:hAnsi="Verdana"/>
          <w:sz w:val="20"/>
          <w:szCs w:val="20"/>
        </w:rPr>
        <w:footnoteReference w:id="70"/>
      </w:r>
      <w:r w:rsidR="005A0EF2" w:rsidRPr="005A0EF2">
        <w:rPr>
          <w:rFonts w:ascii="Verdana" w:hAnsi="Verdana"/>
          <w:sz w:val="20"/>
          <w:szCs w:val="20"/>
        </w:rPr>
        <w:t xml:space="preserve">. En particular, </w:t>
      </w:r>
      <w:r w:rsidR="0079143F">
        <w:rPr>
          <w:rFonts w:ascii="Verdana" w:hAnsi="Verdana"/>
          <w:sz w:val="20"/>
          <w:szCs w:val="20"/>
        </w:rPr>
        <w:t xml:space="preserve">se dejó constando </w:t>
      </w:r>
      <w:r w:rsidR="005A0EF2" w:rsidRPr="005A0EF2">
        <w:rPr>
          <w:rFonts w:ascii="Verdana" w:hAnsi="Verdana"/>
          <w:sz w:val="20"/>
          <w:szCs w:val="20"/>
        </w:rPr>
        <w:t xml:space="preserve">que éstos últimos observaron que “el Estado no presentó documentación que </w:t>
      </w:r>
      <w:proofErr w:type="spellStart"/>
      <w:r w:rsidR="00DB06A3" w:rsidRPr="005A0EF2">
        <w:rPr>
          <w:rFonts w:ascii="Verdana" w:hAnsi="Verdana"/>
          <w:sz w:val="20"/>
          <w:szCs w:val="20"/>
        </w:rPr>
        <w:t>permit</w:t>
      </w:r>
      <w:proofErr w:type="spellEnd"/>
      <w:r w:rsidR="00DB06A3">
        <w:rPr>
          <w:rFonts w:ascii="Verdana" w:hAnsi="Verdana"/>
          <w:sz w:val="20"/>
          <w:szCs w:val="20"/>
        </w:rPr>
        <w:t>[</w:t>
      </w:r>
      <w:proofErr w:type="spellStart"/>
      <w:r w:rsidR="00DB06A3">
        <w:rPr>
          <w:rFonts w:ascii="Verdana" w:hAnsi="Verdana"/>
          <w:sz w:val="20"/>
          <w:szCs w:val="20"/>
        </w:rPr>
        <w:t>iera</w:t>
      </w:r>
      <w:proofErr w:type="spellEnd"/>
      <w:r w:rsidR="00DB06A3">
        <w:rPr>
          <w:rFonts w:ascii="Verdana" w:hAnsi="Verdana"/>
          <w:sz w:val="20"/>
          <w:szCs w:val="20"/>
        </w:rPr>
        <w:t>]</w:t>
      </w:r>
      <w:r w:rsidR="00DB06A3" w:rsidRPr="005A0EF2">
        <w:rPr>
          <w:rFonts w:ascii="Verdana" w:hAnsi="Verdana"/>
          <w:sz w:val="20"/>
          <w:szCs w:val="20"/>
        </w:rPr>
        <w:t xml:space="preserve"> </w:t>
      </w:r>
      <w:r w:rsidR="005A0EF2" w:rsidRPr="005A0EF2">
        <w:rPr>
          <w:rFonts w:ascii="Verdana" w:hAnsi="Verdana"/>
          <w:sz w:val="20"/>
          <w:szCs w:val="20"/>
        </w:rPr>
        <w:t>conocer la forma en que dicha Comisión se ha</w:t>
      </w:r>
      <w:r>
        <w:rPr>
          <w:rFonts w:ascii="Verdana" w:hAnsi="Verdana"/>
          <w:sz w:val="20"/>
          <w:szCs w:val="20"/>
        </w:rPr>
        <w:t>[</w:t>
      </w:r>
      <w:proofErr w:type="spellStart"/>
      <w:r>
        <w:rPr>
          <w:rFonts w:ascii="Verdana" w:hAnsi="Verdana"/>
          <w:sz w:val="20"/>
          <w:szCs w:val="20"/>
        </w:rPr>
        <w:t>bía</w:t>
      </w:r>
      <w:proofErr w:type="spellEnd"/>
      <w:r>
        <w:rPr>
          <w:rFonts w:ascii="Verdana" w:hAnsi="Verdana"/>
          <w:sz w:val="20"/>
          <w:szCs w:val="20"/>
        </w:rPr>
        <w:t>]</w:t>
      </w:r>
      <w:r w:rsidR="005A0EF2" w:rsidRPr="005A0EF2">
        <w:rPr>
          <w:rFonts w:ascii="Verdana" w:hAnsi="Verdana"/>
          <w:sz w:val="20"/>
          <w:szCs w:val="20"/>
        </w:rPr>
        <w:t xml:space="preserve"> organizado, su plan de trabajo, cronograma, ni tampoco las políticas de Estado definidas para garantizar su cometido de esclarecer las desapariciones y ejecuciones ocurridas durante la última dictadura militar. También, hicieron notar que “a diferencia de lo indicado por la Corte en su Sentencia, ni representantes del Ministerio Público ni de las víctimas fueron integrados a la Comisión Interministerial</w:t>
      </w:r>
      <w:r w:rsidR="00F7671D">
        <w:rPr>
          <w:rFonts w:ascii="Verdana" w:hAnsi="Verdana"/>
          <w:sz w:val="20"/>
          <w:szCs w:val="20"/>
        </w:rPr>
        <w:t>,</w:t>
      </w:r>
      <w:r w:rsidR="005A0EF2" w:rsidRPr="005A0EF2">
        <w:rPr>
          <w:rFonts w:ascii="Verdana" w:hAnsi="Verdana"/>
          <w:sz w:val="20"/>
          <w:szCs w:val="20"/>
        </w:rPr>
        <w:t xml:space="preserve"> sino que fueron incorporados a la Secretaría de Seguimiento de la Comisión para la Paz”.</w:t>
      </w:r>
    </w:p>
    <w:p w14:paraId="411AE69B" w14:textId="17B37C22" w:rsidR="005A0EF2" w:rsidRPr="0079143F" w:rsidRDefault="0079143F" w:rsidP="000D2395">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79143F">
        <w:rPr>
          <w:rFonts w:ascii="Verdana" w:hAnsi="Verdana"/>
          <w:sz w:val="20"/>
          <w:szCs w:val="20"/>
        </w:rPr>
        <w:t xml:space="preserve">En relación </w:t>
      </w:r>
      <w:r w:rsidR="00AA2B84">
        <w:rPr>
          <w:rFonts w:ascii="Verdana" w:hAnsi="Verdana"/>
          <w:sz w:val="20"/>
          <w:szCs w:val="20"/>
        </w:rPr>
        <w:t>con el</w:t>
      </w:r>
      <w:r w:rsidRPr="0079143F">
        <w:rPr>
          <w:rFonts w:ascii="Verdana" w:hAnsi="Verdana"/>
          <w:sz w:val="20"/>
          <w:szCs w:val="20"/>
        </w:rPr>
        <w:t xml:space="preserve"> “Protocolo para la recolección e información de restos de personas desaparecidas”, en la </w:t>
      </w:r>
      <w:r w:rsidR="008E2134">
        <w:rPr>
          <w:rFonts w:ascii="Verdana" w:hAnsi="Verdana"/>
          <w:sz w:val="20"/>
          <w:szCs w:val="20"/>
        </w:rPr>
        <w:t xml:space="preserve">referida </w:t>
      </w:r>
      <w:r w:rsidRPr="0079143F">
        <w:rPr>
          <w:rFonts w:ascii="Verdana" w:hAnsi="Verdana"/>
          <w:sz w:val="20"/>
          <w:szCs w:val="20"/>
        </w:rPr>
        <w:t>Resolución, solamente se dejó constando la observación de los representantes relativa a “que el Estado no presentó información respecto de [su] adopción”</w:t>
      </w:r>
      <w:r w:rsidRPr="0079143F">
        <w:rPr>
          <w:rStyle w:val="Refdenotaalpie"/>
          <w:rFonts w:ascii="Verdana" w:hAnsi="Verdana"/>
          <w:sz w:val="20"/>
          <w:szCs w:val="20"/>
        </w:rPr>
        <w:footnoteReference w:id="71"/>
      </w:r>
      <w:r w:rsidRPr="0079143F">
        <w:rPr>
          <w:rFonts w:ascii="Verdana" w:hAnsi="Verdana"/>
          <w:sz w:val="20"/>
          <w:szCs w:val="20"/>
        </w:rPr>
        <w:t xml:space="preserve">. </w:t>
      </w:r>
    </w:p>
    <w:p w14:paraId="609635B1" w14:textId="646F16B7" w:rsidR="00B574E7" w:rsidRPr="00B574E7" w:rsidRDefault="00B574E7" w:rsidP="000D2395">
      <w:pPr>
        <w:pStyle w:val="Prrafodelista"/>
        <w:autoSpaceDE w:val="0"/>
        <w:autoSpaceDN w:val="0"/>
        <w:adjustRightInd w:val="0"/>
        <w:spacing w:before="120" w:after="120" w:line="240" w:lineRule="auto"/>
        <w:ind w:left="708"/>
        <w:contextualSpacing w:val="0"/>
        <w:jc w:val="both"/>
        <w:rPr>
          <w:rFonts w:ascii="Verdana" w:hAnsi="Verdana"/>
          <w:i/>
          <w:iCs/>
          <w:sz w:val="20"/>
          <w:szCs w:val="20"/>
        </w:rPr>
      </w:pPr>
      <w:r w:rsidRPr="00B574E7">
        <w:rPr>
          <w:rFonts w:ascii="Verdana" w:hAnsi="Verdana"/>
          <w:i/>
          <w:iCs/>
          <w:sz w:val="20"/>
          <w:szCs w:val="20"/>
        </w:rPr>
        <w:t>F.2. Consideraciones de la Corte</w:t>
      </w:r>
    </w:p>
    <w:p w14:paraId="24A4BF62" w14:textId="1583881B" w:rsidR="007D2F5F" w:rsidRPr="00766CCA" w:rsidRDefault="00A165B7" w:rsidP="000D2395">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A27FBF">
        <w:rPr>
          <w:rFonts w:ascii="Verdana" w:hAnsi="Verdana"/>
          <w:sz w:val="20"/>
          <w:szCs w:val="20"/>
        </w:rPr>
        <w:t>En cuanto a la creación de una Comisión Interministerial que dé impulso a las investigaciones para esclarecer el destino de los desaparecidos, la Corte observa</w:t>
      </w:r>
      <w:r w:rsidR="00DE261D" w:rsidRPr="00A27FBF">
        <w:rPr>
          <w:rFonts w:ascii="Verdana" w:hAnsi="Verdana"/>
          <w:sz w:val="20"/>
          <w:szCs w:val="20"/>
        </w:rPr>
        <w:t>, con base en lo señalado por los representantes</w:t>
      </w:r>
      <w:r w:rsidR="00DE261D" w:rsidRPr="00A27FBF">
        <w:rPr>
          <w:rStyle w:val="Refdenotaalpie"/>
          <w:rFonts w:ascii="Verdana" w:hAnsi="Verdana"/>
          <w:sz w:val="20"/>
          <w:szCs w:val="20"/>
        </w:rPr>
        <w:footnoteReference w:id="72"/>
      </w:r>
      <w:r w:rsidR="00DE261D" w:rsidRPr="00A27FBF">
        <w:rPr>
          <w:rFonts w:ascii="Verdana" w:hAnsi="Verdana"/>
          <w:sz w:val="20"/>
          <w:szCs w:val="20"/>
        </w:rPr>
        <w:t>,</w:t>
      </w:r>
      <w:r w:rsidRPr="00A27FBF">
        <w:rPr>
          <w:rFonts w:ascii="Verdana" w:hAnsi="Verdana"/>
          <w:sz w:val="20"/>
          <w:szCs w:val="20"/>
        </w:rPr>
        <w:t xml:space="preserve"> que </w:t>
      </w:r>
      <w:r w:rsidR="006C3379" w:rsidRPr="00A27FBF">
        <w:rPr>
          <w:rFonts w:ascii="Verdana" w:hAnsi="Verdana"/>
          <w:sz w:val="20"/>
          <w:szCs w:val="20"/>
        </w:rPr>
        <w:t>“existía una Comisión Interministerial a cargo de dar seguimiento al cumplimiento de la Sentencia en este caso y una instancia de la Presidencia (Secretaría para el Pasado Reciente) con competencia en la materia y la búsqueda se realiza</w:t>
      </w:r>
      <w:r w:rsidR="00305CB1">
        <w:rPr>
          <w:rFonts w:ascii="Verdana" w:hAnsi="Verdana"/>
          <w:sz w:val="20"/>
          <w:szCs w:val="20"/>
        </w:rPr>
        <w:t>b</w:t>
      </w:r>
      <w:r w:rsidR="006C3379" w:rsidRPr="00A27FBF">
        <w:rPr>
          <w:rFonts w:ascii="Verdana" w:hAnsi="Verdana"/>
          <w:sz w:val="20"/>
          <w:szCs w:val="20"/>
        </w:rPr>
        <w:t xml:space="preserve">a casi que exclusivamente por vía de los procesos judiciales”. Dicha comisión </w:t>
      </w:r>
      <w:r w:rsidRPr="00A27FBF">
        <w:rPr>
          <w:rFonts w:ascii="Verdana" w:hAnsi="Verdana"/>
          <w:sz w:val="20"/>
          <w:szCs w:val="20"/>
        </w:rPr>
        <w:t>existió hasta el 2015</w:t>
      </w:r>
      <w:r w:rsidR="0033095A">
        <w:rPr>
          <w:rFonts w:ascii="Verdana" w:hAnsi="Verdana"/>
          <w:sz w:val="20"/>
          <w:szCs w:val="20"/>
        </w:rPr>
        <w:t>,</w:t>
      </w:r>
      <w:r w:rsidRPr="00A27FBF">
        <w:rPr>
          <w:rFonts w:ascii="Verdana" w:hAnsi="Verdana"/>
          <w:sz w:val="20"/>
          <w:szCs w:val="20"/>
        </w:rPr>
        <w:t xml:space="preserve"> cuando </w:t>
      </w:r>
      <w:r w:rsidR="00DE261D" w:rsidRPr="00A27FBF">
        <w:rPr>
          <w:rFonts w:ascii="Verdana" w:hAnsi="Verdana"/>
          <w:sz w:val="20"/>
          <w:szCs w:val="20"/>
        </w:rPr>
        <w:t>fue creado el Grupo de</w:t>
      </w:r>
      <w:r w:rsidR="008D1526" w:rsidRPr="00A27FBF">
        <w:rPr>
          <w:rFonts w:ascii="Verdana" w:hAnsi="Verdana"/>
          <w:sz w:val="20"/>
          <w:szCs w:val="20"/>
        </w:rPr>
        <w:t xml:space="preserve"> Trabajo por </w:t>
      </w:r>
      <w:r w:rsidR="00DE261D" w:rsidRPr="00A27FBF">
        <w:rPr>
          <w:rFonts w:ascii="Verdana" w:hAnsi="Verdana"/>
          <w:sz w:val="20"/>
          <w:szCs w:val="20"/>
        </w:rPr>
        <w:t>Verdad y Justicia al cual se le asignaron “competencias específicas para la investigación de las graves violaciones de derechos humanos” y</w:t>
      </w:r>
      <w:r w:rsidR="00E615B9">
        <w:rPr>
          <w:rFonts w:ascii="Verdana" w:hAnsi="Verdana"/>
          <w:sz w:val="20"/>
          <w:szCs w:val="20"/>
        </w:rPr>
        <w:t>,</w:t>
      </w:r>
      <w:r w:rsidR="00DE261D" w:rsidRPr="00A27FBF">
        <w:rPr>
          <w:rFonts w:ascii="Verdana" w:hAnsi="Verdana"/>
          <w:sz w:val="20"/>
          <w:szCs w:val="20"/>
        </w:rPr>
        <w:t xml:space="preserve"> en materia de búsqueda de desaparecidos</w:t>
      </w:r>
      <w:r w:rsidR="006C3379" w:rsidRPr="00A27FBF">
        <w:rPr>
          <w:rFonts w:ascii="Verdana" w:hAnsi="Verdana"/>
          <w:sz w:val="20"/>
          <w:szCs w:val="20"/>
        </w:rPr>
        <w:t xml:space="preserve">, </w:t>
      </w:r>
      <w:r w:rsidR="00E615B9">
        <w:rPr>
          <w:rFonts w:ascii="Verdana" w:hAnsi="Verdana"/>
          <w:sz w:val="20"/>
          <w:szCs w:val="20"/>
        </w:rPr>
        <w:t>tenía facultad de</w:t>
      </w:r>
      <w:r w:rsidR="0019173A">
        <w:rPr>
          <w:rFonts w:ascii="Verdana" w:hAnsi="Verdana"/>
          <w:sz w:val="20"/>
          <w:szCs w:val="20"/>
        </w:rPr>
        <w:t xml:space="preserve"> </w:t>
      </w:r>
      <w:r w:rsidR="006C3379" w:rsidRPr="00A27FBF">
        <w:rPr>
          <w:rFonts w:ascii="Verdana" w:hAnsi="Verdana"/>
          <w:sz w:val="20"/>
          <w:szCs w:val="20"/>
        </w:rPr>
        <w:t xml:space="preserve">“coordinar equipos técnicos de búsqueda” </w:t>
      </w:r>
      <w:r w:rsidR="00E615B9">
        <w:rPr>
          <w:rFonts w:ascii="Verdana" w:hAnsi="Verdana"/>
          <w:sz w:val="20"/>
          <w:szCs w:val="20"/>
        </w:rPr>
        <w:t>e</w:t>
      </w:r>
      <w:r w:rsidR="00E615B9" w:rsidRPr="00A27FBF">
        <w:rPr>
          <w:rFonts w:ascii="Verdana" w:hAnsi="Verdana"/>
          <w:sz w:val="20"/>
          <w:szCs w:val="20"/>
        </w:rPr>
        <w:t xml:space="preserve"> </w:t>
      </w:r>
      <w:r w:rsidR="006C3379" w:rsidRPr="00A27FBF">
        <w:rPr>
          <w:rFonts w:ascii="Verdana" w:hAnsi="Verdana"/>
          <w:sz w:val="20"/>
          <w:szCs w:val="20"/>
        </w:rPr>
        <w:t xml:space="preserve">“impulsar esfuerzos de búsqueda por la vía administrativa en función de la información que </w:t>
      </w:r>
      <w:proofErr w:type="spellStart"/>
      <w:r w:rsidR="00E615B9" w:rsidRPr="00A27FBF">
        <w:rPr>
          <w:rFonts w:ascii="Verdana" w:hAnsi="Verdana"/>
          <w:sz w:val="20"/>
          <w:szCs w:val="20"/>
        </w:rPr>
        <w:t>disp</w:t>
      </w:r>
      <w:proofErr w:type="spellEnd"/>
      <w:r w:rsidR="00E615B9">
        <w:rPr>
          <w:rFonts w:ascii="Verdana" w:hAnsi="Verdana"/>
          <w:sz w:val="20"/>
          <w:szCs w:val="20"/>
        </w:rPr>
        <w:t>[</w:t>
      </w:r>
      <w:proofErr w:type="spellStart"/>
      <w:r w:rsidR="00E615B9">
        <w:rPr>
          <w:rFonts w:ascii="Verdana" w:hAnsi="Verdana"/>
          <w:sz w:val="20"/>
          <w:szCs w:val="20"/>
        </w:rPr>
        <w:t>usiera</w:t>
      </w:r>
      <w:proofErr w:type="spellEnd"/>
      <w:r w:rsidR="00E615B9">
        <w:rPr>
          <w:rFonts w:ascii="Verdana" w:hAnsi="Verdana"/>
          <w:sz w:val="20"/>
          <w:szCs w:val="20"/>
        </w:rPr>
        <w:t>]</w:t>
      </w:r>
      <w:r w:rsidR="006C3379" w:rsidRPr="00A27FBF">
        <w:rPr>
          <w:rFonts w:ascii="Verdana" w:hAnsi="Verdana"/>
          <w:sz w:val="20"/>
          <w:szCs w:val="20"/>
        </w:rPr>
        <w:t>”</w:t>
      </w:r>
      <w:r w:rsidR="00DE261D" w:rsidRPr="00A27FBF">
        <w:rPr>
          <w:rFonts w:ascii="Verdana" w:hAnsi="Verdana"/>
          <w:sz w:val="20"/>
          <w:szCs w:val="20"/>
        </w:rPr>
        <w:t xml:space="preserve">. En la integración </w:t>
      </w:r>
      <w:r w:rsidR="00305CB1">
        <w:rPr>
          <w:rFonts w:ascii="Verdana" w:hAnsi="Verdana"/>
          <w:sz w:val="20"/>
          <w:szCs w:val="20"/>
        </w:rPr>
        <w:t xml:space="preserve">de dicho </w:t>
      </w:r>
      <w:r w:rsidR="00E615B9">
        <w:rPr>
          <w:rFonts w:ascii="Verdana" w:hAnsi="Verdana"/>
          <w:sz w:val="20"/>
          <w:szCs w:val="20"/>
        </w:rPr>
        <w:t>Grupo de Trabajo</w:t>
      </w:r>
      <w:r w:rsidR="00DE261D" w:rsidRPr="00A27FBF">
        <w:rPr>
          <w:rFonts w:ascii="Verdana" w:hAnsi="Verdana"/>
          <w:sz w:val="20"/>
          <w:szCs w:val="20"/>
        </w:rPr>
        <w:t>, tuvo participación</w:t>
      </w:r>
      <w:r w:rsidR="00791EE0">
        <w:rPr>
          <w:rFonts w:ascii="Verdana" w:hAnsi="Verdana"/>
          <w:sz w:val="20"/>
          <w:szCs w:val="20"/>
        </w:rPr>
        <w:t xml:space="preserve"> por varios años</w:t>
      </w:r>
      <w:r w:rsidR="00DE261D" w:rsidRPr="00A27FBF">
        <w:rPr>
          <w:rFonts w:ascii="Verdana" w:hAnsi="Verdana"/>
          <w:sz w:val="20"/>
          <w:szCs w:val="20"/>
        </w:rPr>
        <w:t xml:space="preserve"> la señora Macarena Gelman, víctima del presente caso. </w:t>
      </w:r>
      <w:r w:rsidR="007D2F5F">
        <w:rPr>
          <w:rFonts w:ascii="Verdana" w:hAnsi="Verdana"/>
          <w:sz w:val="20"/>
          <w:szCs w:val="20"/>
        </w:rPr>
        <w:t>De acuerdo con lo sostenido por los representantes</w:t>
      </w:r>
      <w:r w:rsidR="00305CB1">
        <w:rPr>
          <w:rFonts w:ascii="Verdana" w:hAnsi="Verdana"/>
          <w:sz w:val="20"/>
          <w:szCs w:val="20"/>
        </w:rPr>
        <w:t xml:space="preserve"> en el 2019</w:t>
      </w:r>
      <w:r w:rsidR="007D2F5F">
        <w:rPr>
          <w:rFonts w:ascii="Verdana" w:hAnsi="Verdana"/>
          <w:sz w:val="20"/>
          <w:szCs w:val="20"/>
        </w:rPr>
        <w:t xml:space="preserve">, este Grupo de Trabajo </w:t>
      </w:r>
      <w:r w:rsidR="00E615B9">
        <w:rPr>
          <w:rFonts w:ascii="Verdana" w:hAnsi="Verdana"/>
          <w:sz w:val="20"/>
          <w:szCs w:val="20"/>
        </w:rPr>
        <w:t>iba</w:t>
      </w:r>
      <w:r w:rsidR="007D2F5F">
        <w:rPr>
          <w:rFonts w:ascii="Verdana" w:hAnsi="Verdana"/>
          <w:sz w:val="20"/>
          <w:szCs w:val="20"/>
        </w:rPr>
        <w:t xml:space="preserve"> a </w:t>
      </w:r>
      <w:r w:rsidR="00305CB1">
        <w:rPr>
          <w:rFonts w:ascii="Verdana" w:hAnsi="Verdana"/>
          <w:sz w:val="20"/>
          <w:szCs w:val="20"/>
        </w:rPr>
        <w:t>“</w:t>
      </w:r>
      <w:r w:rsidR="007D2F5F">
        <w:rPr>
          <w:rFonts w:ascii="Verdana" w:hAnsi="Verdana"/>
          <w:sz w:val="20"/>
          <w:szCs w:val="20"/>
        </w:rPr>
        <w:t>disolverse en marzo de 2020</w:t>
      </w:r>
      <w:r w:rsidR="00305CB1">
        <w:rPr>
          <w:rFonts w:ascii="Verdana" w:hAnsi="Verdana"/>
          <w:sz w:val="20"/>
          <w:szCs w:val="20"/>
        </w:rPr>
        <w:t>”</w:t>
      </w:r>
      <w:r w:rsidR="007D2F5F">
        <w:rPr>
          <w:rFonts w:ascii="Verdana" w:hAnsi="Verdana"/>
          <w:sz w:val="20"/>
          <w:szCs w:val="20"/>
        </w:rPr>
        <w:t xml:space="preserve">, ya que los recursos </w:t>
      </w:r>
      <w:r w:rsidR="00E615B9">
        <w:rPr>
          <w:rFonts w:ascii="Verdana" w:hAnsi="Verdana"/>
          <w:sz w:val="20"/>
          <w:szCs w:val="20"/>
        </w:rPr>
        <w:t xml:space="preserve">estaban </w:t>
      </w:r>
      <w:r w:rsidR="007D2F5F">
        <w:rPr>
          <w:rFonts w:ascii="Verdana" w:hAnsi="Verdana"/>
          <w:sz w:val="20"/>
          <w:szCs w:val="20"/>
        </w:rPr>
        <w:t>garantizados hasta esa fecha por un fideicomiso de</w:t>
      </w:r>
      <w:r w:rsidR="00305CB1">
        <w:rPr>
          <w:rFonts w:ascii="Verdana" w:hAnsi="Verdana"/>
          <w:sz w:val="20"/>
          <w:szCs w:val="20"/>
        </w:rPr>
        <w:t xml:space="preserve"> la</w:t>
      </w:r>
      <w:r w:rsidR="007D2F5F">
        <w:rPr>
          <w:rFonts w:ascii="Verdana" w:hAnsi="Verdana"/>
          <w:sz w:val="20"/>
          <w:szCs w:val="20"/>
        </w:rPr>
        <w:t xml:space="preserve"> Presidencia. </w:t>
      </w:r>
      <w:r w:rsidR="00305CB1">
        <w:rPr>
          <w:rFonts w:ascii="Verdana" w:hAnsi="Verdana"/>
          <w:sz w:val="20"/>
          <w:szCs w:val="20"/>
        </w:rPr>
        <w:t>Aunado a esto</w:t>
      </w:r>
      <w:r w:rsidR="00A27FBF" w:rsidRPr="00A27FBF">
        <w:rPr>
          <w:rFonts w:ascii="Verdana" w:hAnsi="Verdana"/>
          <w:sz w:val="20"/>
          <w:szCs w:val="20"/>
        </w:rPr>
        <w:t>,</w:t>
      </w:r>
      <w:r w:rsidR="00DE261D" w:rsidRPr="00A27FBF">
        <w:rPr>
          <w:rFonts w:ascii="Verdana" w:hAnsi="Verdana"/>
          <w:sz w:val="20"/>
          <w:szCs w:val="20"/>
        </w:rPr>
        <w:t xml:space="preserve"> la Corte entiende que</w:t>
      </w:r>
      <w:r w:rsidR="008D1526" w:rsidRPr="00A27FBF">
        <w:rPr>
          <w:rFonts w:ascii="Verdana" w:hAnsi="Verdana"/>
          <w:sz w:val="20"/>
          <w:szCs w:val="20"/>
        </w:rPr>
        <w:t xml:space="preserve">, </w:t>
      </w:r>
      <w:r w:rsidR="001D36F8" w:rsidRPr="00A27FBF">
        <w:rPr>
          <w:rFonts w:ascii="Verdana" w:hAnsi="Verdana"/>
          <w:sz w:val="20"/>
          <w:szCs w:val="20"/>
        </w:rPr>
        <w:t xml:space="preserve">con la promulgación en septiembre de 2019 de la Ley No. 19.822, la </w:t>
      </w:r>
      <w:r w:rsidR="008D1526" w:rsidRPr="00A27FBF">
        <w:rPr>
          <w:rFonts w:ascii="Verdana" w:hAnsi="Verdana"/>
          <w:sz w:val="20"/>
          <w:szCs w:val="20"/>
        </w:rPr>
        <w:t xml:space="preserve">competencia para búsqueda de los desaparecidos durante la dictadura militar </w:t>
      </w:r>
      <w:r w:rsidR="00A27FBF" w:rsidRPr="00A27FBF">
        <w:rPr>
          <w:rFonts w:ascii="Verdana" w:hAnsi="Verdana"/>
          <w:sz w:val="20"/>
          <w:szCs w:val="20"/>
        </w:rPr>
        <w:t xml:space="preserve">se traspasó del referido </w:t>
      </w:r>
      <w:r w:rsidR="00305CB1">
        <w:rPr>
          <w:rFonts w:ascii="Verdana" w:hAnsi="Verdana"/>
          <w:sz w:val="20"/>
          <w:szCs w:val="20"/>
        </w:rPr>
        <w:t>g</w:t>
      </w:r>
      <w:r w:rsidR="00A27FBF" w:rsidRPr="00A27FBF">
        <w:rPr>
          <w:rFonts w:ascii="Verdana" w:hAnsi="Verdana"/>
          <w:sz w:val="20"/>
          <w:szCs w:val="20"/>
        </w:rPr>
        <w:t xml:space="preserve">rupo </w:t>
      </w:r>
      <w:r w:rsidR="008D1526" w:rsidRPr="00A27FBF">
        <w:rPr>
          <w:rFonts w:ascii="Verdana" w:hAnsi="Verdana"/>
          <w:sz w:val="20"/>
          <w:szCs w:val="20"/>
        </w:rPr>
        <w:t>a</w:t>
      </w:r>
      <w:r w:rsidR="008B0CE2">
        <w:rPr>
          <w:rFonts w:ascii="Verdana" w:hAnsi="Verdana"/>
          <w:sz w:val="20"/>
          <w:szCs w:val="20"/>
        </w:rPr>
        <w:t xml:space="preserve"> </w:t>
      </w:r>
      <w:r w:rsidR="008D1526" w:rsidRPr="00A27FBF">
        <w:rPr>
          <w:rFonts w:ascii="Verdana" w:hAnsi="Verdana"/>
          <w:sz w:val="20"/>
          <w:szCs w:val="20"/>
        </w:rPr>
        <w:t>l</w:t>
      </w:r>
      <w:r w:rsidR="008B0CE2">
        <w:rPr>
          <w:rFonts w:ascii="Verdana" w:hAnsi="Verdana"/>
          <w:sz w:val="20"/>
          <w:szCs w:val="20"/>
        </w:rPr>
        <w:t xml:space="preserve">a Institución </w:t>
      </w:r>
      <w:r w:rsidR="008D1526" w:rsidRPr="00A27FBF">
        <w:rPr>
          <w:rFonts w:ascii="Verdana" w:hAnsi="Verdana"/>
          <w:sz w:val="20"/>
          <w:szCs w:val="20"/>
        </w:rPr>
        <w:t>Nacional de Derechos Humanos</w:t>
      </w:r>
      <w:r w:rsidR="0019045E">
        <w:rPr>
          <w:rFonts w:ascii="Verdana" w:hAnsi="Verdana"/>
          <w:sz w:val="20"/>
          <w:szCs w:val="20"/>
        </w:rPr>
        <w:t xml:space="preserve"> y Defensoría del Pueblo</w:t>
      </w:r>
      <w:r w:rsidR="00A27FBF" w:rsidRPr="00A27FBF">
        <w:rPr>
          <w:rFonts w:ascii="Verdana" w:hAnsi="Verdana"/>
          <w:sz w:val="20"/>
          <w:szCs w:val="20"/>
        </w:rPr>
        <w:t>,</w:t>
      </w:r>
      <w:r w:rsidR="008D1526" w:rsidRPr="00A27FBF">
        <w:rPr>
          <w:rFonts w:ascii="Verdana" w:hAnsi="Verdana"/>
          <w:sz w:val="20"/>
          <w:szCs w:val="20"/>
        </w:rPr>
        <w:t xml:space="preserve"> a fin de dar a tal mandato “mayor solidez y permanencia institucional […] dentro de la estructura estatal”</w:t>
      </w:r>
      <w:r w:rsidR="008D1526" w:rsidRPr="00A27FBF">
        <w:rPr>
          <w:rStyle w:val="Refdenotaalpie"/>
          <w:rFonts w:ascii="Verdana" w:hAnsi="Verdana"/>
          <w:sz w:val="20"/>
          <w:szCs w:val="20"/>
        </w:rPr>
        <w:footnoteReference w:id="73"/>
      </w:r>
      <w:r w:rsidR="008D1526" w:rsidRPr="00A27FBF">
        <w:rPr>
          <w:rFonts w:ascii="Verdana" w:hAnsi="Verdana"/>
          <w:sz w:val="20"/>
          <w:szCs w:val="20"/>
        </w:rPr>
        <w:t xml:space="preserve">. </w:t>
      </w:r>
      <w:r w:rsidR="00791EE0" w:rsidRPr="00766CCA">
        <w:rPr>
          <w:rFonts w:ascii="Verdana" w:hAnsi="Verdana"/>
          <w:sz w:val="20"/>
          <w:szCs w:val="20"/>
        </w:rPr>
        <w:t xml:space="preserve">Los representantes </w:t>
      </w:r>
      <w:r w:rsidR="007D2F5F">
        <w:rPr>
          <w:rFonts w:ascii="Verdana" w:hAnsi="Verdana"/>
          <w:sz w:val="20"/>
          <w:szCs w:val="20"/>
        </w:rPr>
        <w:t xml:space="preserve">consideran que dicha ley tiene aspectos positivos, tales como “el hecho de que se deposita, por mandato legal, la responsabilidad de buscar a las personas desaparecidas en una institución independiente con competencia en derechos humanos y se le asigna amplias facultades de investigación”. No obstante, </w:t>
      </w:r>
      <w:r w:rsidR="00791EE0" w:rsidRPr="00766CCA">
        <w:rPr>
          <w:rFonts w:ascii="Verdana" w:hAnsi="Verdana"/>
          <w:sz w:val="20"/>
          <w:szCs w:val="20"/>
        </w:rPr>
        <w:t xml:space="preserve">han </w:t>
      </w:r>
      <w:r w:rsidR="007D2F5F">
        <w:rPr>
          <w:rFonts w:ascii="Verdana" w:hAnsi="Verdana"/>
          <w:sz w:val="20"/>
          <w:szCs w:val="20"/>
        </w:rPr>
        <w:t>expresado su preocupación por dudas relacionadas con la implementación de esa ley</w:t>
      </w:r>
      <w:r w:rsidR="007D2F5F">
        <w:rPr>
          <w:rStyle w:val="Refdenotaalpie"/>
          <w:rFonts w:ascii="Verdana" w:hAnsi="Verdana"/>
          <w:sz w:val="20"/>
          <w:szCs w:val="20"/>
        </w:rPr>
        <w:footnoteReference w:id="74"/>
      </w:r>
      <w:r w:rsidR="007D2F5F">
        <w:rPr>
          <w:rFonts w:ascii="Verdana" w:hAnsi="Verdana"/>
          <w:sz w:val="20"/>
          <w:szCs w:val="20"/>
        </w:rPr>
        <w:t xml:space="preserve"> y solicitado que la Corte se pronuncie al respecto </w:t>
      </w:r>
      <w:r w:rsidR="007D2F5F" w:rsidRPr="00766CCA">
        <w:rPr>
          <w:rFonts w:ascii="Verdana" w:hAnsi="Verdana"/>
          <w:sz w:val="20"/>
          <w:szCs w:val="20"/>
        </w:rPr>
        <w:t>para que sean consideradas en su etapa de reglamentación.</w:t>
      </w:r>
    </w:p>
    <w:p w14:paraId="0BB9B837" w14:textId="415CAC2B" w:rsidR="00B22062" w:rsidRDefault="00BB602E" w:rsidP="00B22062">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B602E">
        <w:rPr>
          <w:rFonts w:ascii="Verdana" w:hAnsi="Verdana"/>
          <w:sz w:val="20"/>
          <w:szCs w:val="20"/>
        </w:rPr>
        <w:lastRenderedPageBreak/>
        <w:t xml:space="preserve">De acuerdo con lo anterior, la Corte considera que, en su momento, el Estado </w:t>
      </w:r>
      <w:r w:rsidR="00B22062">
        <w:rPr>
          <w:rFonts w:ascii="Verdana" w:hAnsi="Verdana"/>
          <w:sz w:val="20"/>
          <w:szCs w:val="20"/>
        </w:rPr>
        <w:t xml:space="preserve">creó, sin todas las especificaciones indicadas </w:t>
      </w:r>
      <w:r w:rsidR="00B22062" w:rsidRPr="00BB602E">
        <w:rPr>
          <w:rFonts w:ascii="Verdana" w:hAnsi="Verdana"/>
          <w:sz w:val="20"/>
          <w:szCs w:val="20"/>
        </w:rPr>
        <w:t xml:space="preserve">en </w:t>
      </w:r>
      <w:r w:rsidR="00B22062">
        <w:rPr>
          <w:rFonts w:ascii="Verdana" w:hAnsi="Verdana"/>
          <w:sz w:val="20"/>
          <w:szCs w:val="20"/>
        </w:rPr>
        <w:t>el párrafo 274 de la</w:t>
      </w:r>
      <w:r w:rsidR="00B22062" w:rsidRPr="00BB602E">
        <w:rPr>
          <w:rFonts w:ascii="Verdana" w:hAnsi="Verdana"/>
          <w:sz w:val="20"/>
          <w:szCs w:val="20"/>
        </w:rPr>
        <w:t xml:space="preserve"> Sentencia</w:t>
      </w:r>
      <w:r w:rsidR="00B22062">
        <w:rPr>
          <w:rFonts w:ascii="Verdana" w:hAnsi="Verdana"/>
          <w:sz w:val="20"/>
          <w:szCs w:val="20"/>
        </w:rPr>
        <w:t xml:space="preserve"> (</w:t>
      </w:r>
      <w:r w:rsidR="00B22062" w:rsidRPr="00B22062">
        <w:rPr>
          <w:rFonts w:ascii="Verdana" w:hAnsi="Verdana"/>
          <w:i/>
          <w:sz w:val="20"/>
          <w:szCs w:val="20"/>
        </w:rPr>
        <w:t>supra</w:t>
      </w:r>
      <w:r w:rsidR="00B22062">
        <w:rPr>
          <w:rFonts w:ascii="Verdana" w:hAnsi="Verdana"/>
          <w:sz w:val="20"/>
          <w:szCs w:val="20"/>
        </w:rPr>
        <w:t xml:space="preserve"> nota al pie </w:t>
      </w:r>
      <w:r w:rsidR="0019045E">
        <w:rPr>
          <w:rFonts w:ascii="Verdana" w:hAnsi="Verdana"/>
          <w:sz w:val="20"/>
          <w:szCs w:val="20"/>
        </w:rPr>
        <w:t>68</w:t>
      </w:r>
      <w:r w:rsidR="00B22062">
        <w:rPr>
          <w:rFonts w:ascii="Verdana" w:hAnsi="Verdana"/>
          <w:sz w:val="20"/>
          <w:szCs w:val="20"/>
        </w:rPr>
        <w:t xml:space="preserve">), </w:t>
      </w:r>
      <w:r w:rsidR="00B22062" w:rsidRPr="00BB602E">
        <w:rPr>
          <w:rFonts w:ascii="Verdana" w:hAnsi="Verdana"/>
          <w:sz w:val="20"/>
          <w:szCs w:val="20"/>
        </w:rPr>
        <w:t xml:space="preserve">la Comisión Interinstitucional que había ofrecido en la etapa </w:t>
      </w:r>
      <w:r w:rsidR="00B22062">
        <w:rPr>
          <w:rFonts w:ascii="Verdana" w:hAnsi="Verdana"/>
          <w:sz w:val="20"/>
          <w:szCs w:val="20"/>
        </w:rPr>
        <w:t xml:space="preserve">de fondo </w:t>
      </w:r>
      <w:r w:rsidR="00B22062" w:rsidRPr="00BB602E">
        <w:rPr>
          <w:rFonts w:ascii="Verdana" w:hAnsi="Verdana"/>
          <w:sz w:val="20"/>
          <w:szCs w:val="20"/>
        </w:rPr>
        <w:t>del presente caso, a fin de dar impulso a las investigaciones para esclarecer el destino de los desaparecidos.</w:t>
      </w:r>
      <w:r w:rsidR="00B22062">
        <w:rPr>
          <w:rFonts w:ascii="Verdana" w:hAnsi="Verdana"/>
          <w:sz w:val="20"/>
          <w:szCs w:val="20"/>
        </w:rPr>
        <w:t xml:space="preserve"> En la actualidad dicha comisión no está en funcionamiento debido a que durante la etapa de supervisión de cumplimiento </w:t>
      </w:r>
      <w:r w:rsidRPr="00B22062">
        <w:rPr>
          <w:rFonts w:ascii="Verdana" w:hAnsi="Verdana"/>
          <w:sz w:val="20"/>
          <w:szCs w:val="20"/>
        </w:rPr>
        <w:t>Uruguay</w:t>
      </w:r>
      <w:r w:rsidR="00E02EE9">
        <w:rPr>
          <w:rFonts w:ascii="Verdana" w:hAnsi="Verdana"/>
          <w:sz w:val="20"/>
          <w:szCs w:val="20"/>
        </w:rPr>
        <w:t>,</w:t>
      </w:r>
      <w:r w:rsidRPr="00B22062">
        <w:rPr>
          <w:rFonts w:ascii="Verdana" w:hAnsi="Verdana"/>
          <w:sz w:val="20"/>
          <w:szCs w:val="20"/>
        </w:rPr>
        <w:t xml:space="preserve"> progresivamente</w:t>
      </w:r>
      <w:r w:rsidR="00E02EE9">
        <w:rPr>
          <w:rFonts w:ascii="Verdana" w:hAnsi="Verdana"/>
          <w:sz w:val="20"/>
          <w:szCs w:val="20"/>
        </w:rPr>
        <w:t>,</w:t>
      </w:r>
      <w:r w:rsidRPr="00B22062">
        <w:rPr>
          <w:rFonts w:ascii="Verdana" w:hAnsi="Verdana"/>
          <w:sz w:val="20"/>
          <w:szCs w:val="20"/>
        </w:rPr>
        <w:t xml:space="preserve"> ha ido adoptando otras medidas, incluyendo normativa, para dotar la búsqueda de personas desaparecidas durante la dictadura de una mayor institucionalidad. </w:t>
      </w:r>
      <w:r w:rsidR="00B22062">
        <w:rPr>
          <w:rFonts w:ascii="Verdana" w:hAnsi="Verdana"/>
          <w:sz w:val="20"/>
          <w:szCs w:val="20"/>
        </w:rPr>
        <w:t xml:space="preserve">Actualmente, en virtud de la aprobación de la Ley </w:t>
      </w:r>
      <w:r w:rsidR="00B22062" w:rsidRPr="00A27FBF">
        <w:rPr>
          <w:rFonts w:ascii="Verdana" w:hAnsi="Verdana"/>
          <w:sz w:val="20"/>
          <w:szCs w:val="20"/>
        </w:rPr>
        <w:t>No. 19.822</w:t>
      </w:r>
      <w:r w:rsidR="00B22062">
        <w:rPr>
          <w:rFonts w:ascii="Verdana" w:hAnsi="Verdana"/>
          <w:sz w:val="20"/>
          <w:szCs w:val="20"/>
        </w:rPr>
        <w:t>, el impulso de tales investigaciones compete a la Institución Nacional de Derechos Humanos</w:t>
      </w:r>
      <w:r w:rsidR="00E02EE9">
        <w:rPr>
          <w:rFonts w:ascii="Verdana" w:hAnsi="Verdana"/>
          <w:sz w:val="20"/>
          <w:szCs w:val="20"/>
        </w:rPr>
        <w:t xml:space="preserve"> y Defensoría del Pueblo</w:t>
      </w:r>
      <w:r w:rsidR="00B22062">
        <w:rPr>
          <w:rFonts w:ascii="Verdana" w:hAnsi="Verdana"/>
          <w:sz w:val="20"/>
          <w:szCs w:val="20"/>
        </w:rPr>
        <w:t xml:space="preserve">. </w:t>
      </w:r>
    </w:p>
    <w:p w14:paraId="750A7F5B" w14:textId="1695EA34" w:rsidR="00B22062" w:rsidRDefault="00B22062" w:rsidP="00B22062">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Tomando en cuenta lo </w:t>
      </w:r>
      <w:r w:rsidRPr="00B07997">
        <w:rPr>
          <w:rFonts w:ascii="Verdana" w:hAnsi="Verdana"/>
          <w:sz w:val="20"/>
          <w:szCs w:val="20"/>
        </w:rPr>
        <w:t xml:space="preserve">anterior y el impacto que </w:t>
      </w:r>
      <w:r w:rsidR="00054720" w:rsidRPr="00B07997">
        <w:rPr>
          <w:rFonts w:ascii="Verdana" w:hAnsi="Verdana"/>
          <w:sz w:val="20"/>
          <w:szCs w:val="20"/>
        </w:rPr>
        <w:t>podría tener la Institución Nacional de Derechos Humanos</w:t>
      </w:r>
      <w:r w:rsidR="00E02EE9">
        <w:rPr>
          <w:rFonts w:ascii="Verdana" w:hAnsi="Verdana"/>
          <w:sz w:val="20"/>
          <w:szCs w:val="20"/>
        </w:rPr>
        <w:t xml:space="preserve"> y Defensoría del Pueblo</w:t>
      </w:r>
      <w:r w:rsidR="00054720" w:rsidRPr="00B07997">
        <w:rPr>
          <w:rFonts w:ascii="Verdana" w:hAnsi="Verdana"/>
          <w:sz w:val="20"/>
          <w:szCs w:val="20"/>
        </w:rPr>
        <w:t xml:space="preserve"> en la implementación de reparaciones</w:t>
      </w:r>
      <w:r w:rsidR="00054720">
        <w:rPr>
          <w:rFonts w:ascii="Verdana" w:hAnsi="Verdana"/>
          <w:sz w:val="20"/>
          <w:szCs w:val="20"/>
        </w:rPr>
        <w:t xml:space="preserve"> ordenadas en la </w:t>
      </w:r>
      <w:r w:rsidR="00054720" w:rsidRPr="00B07997">
        <w:rPr>
          <w:rFonts w:ascii="Verdana" w:hAnsi="Verdana"/>
          <w:sz w:val="20"/>
          <w:szCs w:val="20"/>
        </w:rPr>
        <w:t>Sentencia</w:t>
      </w:r>
      <w:r w:rsidRPr="00B07997">
        <w:rPr>
          <w:rFonts w:ascii="Verdana" w:hAnsi="Verdana"/>
          <w:sz w:val="20"/>
          <w:szCs w:val="20"/>
        </w:rPr>
        <w:t xml:space="preserve">, de conformidad con </w:t>
      </w:r>
      <w:r w:rsidR="00E02EE9">
        <w:rPr>
          <w:rFonts w:ascii="Verdana" w:hAnsi="Verdana"/>
          <w:sz w:val="20"/>
          <w:szCs w:val="20"/>
        </w:rPr>
        <w:t xml:space="preserve">lo establecido en </w:t>
      </w:r>
      <w:r w:rsidRPr="00B07997">
        <w:rPr>
          <w:rFonts w:ascii="Verdana" w:hAnsi="Verdana"/>
          <w:sz w:val="20"/>
          <w:szCs w:val="20"/>
        </w:rPr>
        <w:t>el artículo 69.2 del Reglamento de la Corte</w:t>
      </w:r>
      <w:r w:rsidRPr="00B07997">
        <w:rPr>
          <w:rStyle w:val="Refdenotaalpie"/>
          <w:rFonts w:ascii="Verdana" w:hAnsi="Verdana"/>
          <w:sz w:val="20"/>
          <w:szCs w:val="20"/>
        </w:rPr>
        <w:footnoteReference w:id="75"/>
      </w:r>
      <w:r w:rsidRPr="00B07997">
        <w:rPr>
          <w:rFonts w:ascii="Verdana" w:hAnsi="Verdana"/>
          <w:sz w:val="20"/>
          <w:szCs w:val="20"/>
        </w:rPr>
        <w:t xml:space="preserve">, </w:t>
      </w:r>
      <w:r w:rsidR="00054720" w:rsidRPr="00B07997">
        <w:rPr>
          <w:rFonts w:ascii="Verdana" w:hAnsi="Verdana"/>
          <w:sz w:val="20"/>
          <w:szCs w:val="20"/>
        </w:rPr>
        <w:t>ésta considera oportuno solicitar a dicha institución que presente un informe en el que explique sus</w:t>
      </w:r>
      <w:r w:rsidR="00B07997" w:rsidRPr="00B07997">
        <w:rPr>
          <w:rFonts w:ascii="Verdana" w:hAnsi="Verdana"/>
          <w:sz w:val="20"/>
          <w:szCs w:val="20"/>
        </w:rPr>
        <w:t xml:space="preserve"> facultades, </w:t>
      </w:r>
      <w:r w:rsidR="00054720" w:rsidRPr="00B07997">
        <w:rPr>
          <w:rFonts w:ascii="Verdana" w:hAnsi="Verdana"/>
          <w:sz w:val="20"/>
          <w:szCs w:val="20"/>
        </w:rPr>
        <w:t>labores</w:t>
      </w:r>
      <w:r w:rsidR="00B07997" w:rsidRPr="00B07997">
        <w:rPr>
          <w:rFonts w:ascii="Verdana" w:hAnsi="Verdana"/>
          <w:sz w:val="20"/>
          <w:szCs w:val="20"/>
        </w:rPr>
        <w:t xml:space="preserve"> y posibles obstáculos</w:t>
      </w:r>
      <w:r w:rsidR="00054720" w:rsidRPr="00B07997">
        <w:rPr>
          <w:rFonts w:ascii="Verdana" w:hAnsi="Verdana"/>
          <w:sz w:val="20"/>
          <w:szCs w:val="20"/>
        </w:rPr>
        <w:t xml:space="preserve"> en </w:t>
      </w:r>
      <w:r w:rsidR="00B07997" w:rsidRPr="00B07997">
        <w:rPr>
          <w:rFonts w:ascii="Verdana" w:hAnsi="Verdana"/>
          <w:sz w:val="20"/>
          <w:szCs w:val="20"/>
        </w:rPr>
        <w:t xml:space="preserve">el desempeño de esta nueva competencia en materia de </w:t>
      </w:r>
      <w:r w:rsidR="00054720" w:rsidRPr="00B07997">
        <w:rPr>
          <w:rFonts w:ascii="Verdana" w:hAnsi="Verdana"/>
          <w:sz w:val="20"/>
          <w:szCs w:val="20"/>
        </w:rPr>
        <w:t xml:space="preserve">búsqueda de personas desaparecidas durante la dictadura, así como la incidencia de </w:t>
      </w:r>
      <w:r w:rsidR="00B07997" w:rsidRPr="00B07997">
        <w:rPr>
          <w:rFonts w:ascii="Verdana" w:hAnsi="Verdana"/>
          <w:sz w:val="20"/>
          <w:szCs w:val="20"/>
        </w:rPr>
        <w:t>ésta</w:t>
      </w:r>
      <w:r w:rsidR="00054720" w:rsidRPr="00B07997">
        <w:rPr>
          <w:rFonts w:ascii="Verdana" w:hAnsi="Verdana"/>
          <w:sz w:val="20"/>
          <w:szCs w:val="20"/>
        </w:rPr>
        <w:t xml:space="preserve"> en el cumplimiento de las reparaciones ordenadas en este caso relativas a la búsqueda y localización de María Claudia García o sus restos mortales y a garantizar acceso técnico y sistematizado a información acerca de las graves violaciones de derechos humanos ocurridas durante la dictadura qu</w:t>
      </w:r>
      <w:r w:rsidR="00B07997" w:rsidRPr="00B07997">
        <w:rPr>
          <w:rFonts w:ascii="Verdana" w:hAnsi="Verdana"/>
          <w:sz w:val="20"/>
          <w:szCs w:val="20"/>
        </w:rPr>
        <w:t>e reposa en archivos estatales</w:t>
      </w:r>
      <w:r w:rsidR="00E02EE9">
        <w:rPr>
          <w:rFonts w:ascii="Verdana" w:hAnsi="Verdana"/>
          <w:sz w:val="20"/>
          <w:szCs w:val="20"/>
        </w:rPr>
        <w:t xml:space="preserve"> (</w:t>
      </w:r>
      <w:r w:rsidR="00E02EE9" w:rsidRPr="007B5E63">
        <w:rPr>
          <w:rFonts w:ascii="Verdana" w:hAnsi="Verdana"/>
          <w:i/>
          <w:sz w:val="20"/>
          <w:szCs w:val="20"/>
        </w:rPr>
        <w:t>supra</w:t>
      </w:r>
      <w:r w:rsidR="00E02EE9">
        <w:rPr>
          <w:rFonts w:ascii="Verdana" w:hAnsi="Verdana"/>
          <w:sz w:val="20"/>
          <w:szCs w:val="20"/>
        </w:rPr>
        <w:t xml:space="preserve"> Considerandos 34 y 50)</w:t>
      </w:r>
      <w:r w:rsidR="00B07997" w:rsidRPr="00B07997">
        <w:rPr>
          <w:rFonts w:ascii="Verdana" w:hAnsi="Verdana"/>
          <w:sz w:val="20"/>
          <w:szCs w:val="20"/>
        </w:rPr>
        <w:t xml:space="preserve">. Una vez </w:t>
      </w:r>
      <w:r w:rsidR="00E02EE9">
        <w:rPr>
          <w:rFonts w:ascii="Verdana" w:hAnsi="Verdana"/>
          <w:sz w:val="20"/>
          <w:szCs w:val="20"/>
        </w:rPr>
        <w:t xml:space="preserve">sea </w:t>
      </w:r>
      <w:r w:rsidR="00B07997" w:rsidRPr="00B07997">
        <w:rPr>
          <w:rFonts w:ascii="Verdana" w:hAnsi="Verdana"/>
          <w:sz w:val="20"/>
          <w:szCs w:val="20"/>
        </w:rPr>
        <w:t>recibido dicho informe, se solicitará al Estado su opinión al respecto y las observaciones de las representantes de las víctimas y la Comisión.</w:t>
      </w:r>
    </w:p>
    <w:p w14:paraId="7EA0994A" w14:textId="56F259C0" w:rsidR="00B07997" w:rsidRPr="00B07997" w:rsidRDefault="00B07997" w:rsidP="00B22062">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B07997">
        <w:rPr>
          <w:rFonts w:ascii="Verdana" w:hAnsi="Verdana"/>
          <w:sz w:val="20"/>
          <w:szCs w:val="20"/>
        </w:rPr>
        <w:t xml:space="preserve">Por lo expuesto, esta Corte </w:t>
      </w:r>
      <w:r>
        <w:rPr>
          <w:rFonts w:ascii="Verdana" w:hAnsi="Verdana"/>
          <w:sz w:val="20"/>
          <w:szCs w:val="20"/>
        </w:rPr>
        <w:t>mantiene abierta</w:t>
      </w:r>
      <w:r w:rsidRPr="00B07997">
        <w:rPr>
          <w:rFonts w:ascii="Verdana" w:hAnsi="Verdana"/>
          <w:sz w:val="20"/>
          <w:szCs w:val="20"/>
        </w:rPr>
        <w:t xml:space="preserve"> la supervisión de cumplimiento </w:t>
      </w:r>
      <w:r>
        <w:rPr>
          <w:rFonts w:ascii="Verdana" w:hAnsi="Verdana"/>
          <w:sz w:val="20"/>
          <w:szCs w:val="20"/>
        </w:rPr>
        <w:t xml:space="preserve">de </w:t>
      </w:r>
      <w:r w:rsidRPr="00B07997">
        <w:rPr>
          <w:rFonts w:ascii="Verdana" w:hAnsi="Verdana"/>
          <w:sz w:val="20"/>
          <w:szCs w:val="20"/>
        </w:rPr>
        <w:t xml:space="preserve">la medida de reparación ordenada en el </w:t>
      </w:r>
      <w:r>
        <w:rPr>
          <w:rFonts w:ascii="Verdana" w:hAnsi="Verdana"/>
          <w:sz w:val="20"/>
          <w:szCs w:val="20"/>
        </w:rPr>
        <w:t>párrafo</w:t>
      </w:r>
      <w:r w:rsidRPr="00B07997">
        <w:rPr>
          <w:rFonts w:ascii="Verdana" w:hAnsi="Verdana"/>
          <w:sz w:val="20"/>
          <w:szCs w:val="20"/>
        </w:rPr>
        <w:t xml:space="preserve"> 274 y el punto resolutivo noveno de la Sentencia.</w:t>
      </w:r>
    </w:p>
    <w:p w14:paraId="6DA32967" w14:textId="4D9FC3BA" w:rsidR="000C346F" w:rsidRDefault="00B07997" w:rsidP="000D2395">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Por otra parte, e</w:t>
      </w:r>
      <w:r w:rsidR="00EA0570" w:rsidRPr="003F78F1">
        <w:rPr>
          <w:rFonts w:ascii="Verdana" w:hAnsi="Verdana"/>
          <w:sz w:val="20"/>
          <w:szCs w:val="20"/>
        </w:rPr>
        <w:t>n cuanto a la adopción del protocolo</w:t>
      </w:r>
      <w:r w:rsidR="00305CB1">
        <w:rPr>
          <w:rFonts w:ascii="Verdana" w:hAnsi="Verdana"/>
          <w:sz w:val="20"/>
          <w:szCs w:val="20"/>
        </w:rPr>
        <w:t xml:space="preserve"> dispuesto en el párrafo 275 de la Sentencia</w:t>
      </w:r>
      <w:r w:rsidR="00615641" w:rsidRPr="003F78F1">
        <w:rPr>
          <w:rFonts w:ascii="Verdana" w:hAnsi="Verdana"/>
          <w:sz w:val="20"/>
          <w:szCs w:val="20"/>
        </w:rPr>
        <w:t xml:space="preserve">, de acuerdo con la información aportada por las partes, la Corte constata que la Secretaría de Derechos Humanos </w:t>
      </w:r>
      <w:r w:rsidR="00E02EE9">
        <w:rPr>
          <w:rFonts w:ascii="Verdana" w:hAnsi="Verdana"/>
          <w:sz w:val="20"/>
          <w:szCs w:val="20"/>
        </w:rPr>
        <w:t xml:space="preserve">de Uruguay </w:t>
      </w:r>
      <w:r w:rsidR="00615641" w:rsidRPr="003F78F1">
        <w:rPr>
          <w:rFonts w:ascii="Verdana" w:hAnsi="Verdana"/>
          <w:sz w:val="20"/>
          <w:szCs w:val="20"/>
        </w:rPr>
        <w:t xml:space="preserve">formuló una propuesta de </w:t>
      </w:r>
      <w:r w:rsidR="00615641" w:rsidRPr="007B5E63">
        <w:rPr>
          <w:rFonts w:ascii="Verdana" w:hAnsi="Verdana"/>
          <w:i/>
          <w:sz w:val="20"/>
          <w:szCs w:val="20"/>
        </w:rPr>
        <w:t xml:space="preserve">“Protocolo de Procedimientos a </w:t>
      </w:r>
      <w:r w:rsidR="00A83A3D" w:rsidRPr="007B5E63">
        <w:rPr>
          <w:rFonts w:ascii="Verdana" w:hAnsi="Verdana"/>
          <w:i/>
          <w:sz w:val="20"/>
          <w:szCs w:val="20"/>
        </w:rPr>
        <w:t>seguir en la búsqueda, recuperación y análisis de los restos óseos que podrían pertenecer a personas detenidas desaparecidas”</w:t>
      </w:r>
      <w:r w:rsidR="00A83A3D" w:rsidRPr="003F78F1">
        <w:rPr>
          <w:rFonts w:ascii="Verdana" w:hAnsi="Verdana"/>
          <w:sz w:val="20"/>
          <w:szCs w:val="20"/>
        </w:rPr>
        <w:t>, el cual fue aprobado mediante resolución presidencial en diciembre de 2013</w:t>
      </w:r>
      <w:r w:rsidR="00A83A3D" w:rsidRPr="003F78F1">
        <w:rPr>
          <w:rStyle w:val="Refdenotaalpie"/>
          <w:rFonts w:ascii="Verdana" w:hAnsi="Verdana"/>
          <w:sz w:val="20"/>
          <w:szCs w:val="20"/>
        </w:rPr>
        <w:footnoteReference w:id="76"/>
      </w:r>
      <w:r w:rsidR="00A83A3D" w:rsidRPr="003F78F1">
        <w:rPr>
          <w:rFonts w:ascii="Verdana" w:hAnsi="Verdana"/>
          <w:sz w:val="20"/>
          <w:szCs w:val="20"/>
        </w:rPr>
        <w:t xml:space="preserve">. </w:t>
      </w:r>
      <w:r w:rsidR="006911FD" w:rsidRPr="003F78F1">
        <w:rPr>
          <w:rFonts w:ascii="Verdana" w:hAnsi="Verdana"/>
          <w:sz w:val="20"/>
          <w:szCs w:val="20"/>
        </w:rPr>
        <w:t>Los representantes reconocieron que “[e]</w:t>
      </w:r>
      <w:proofErr w:type="spellStart"/>
      <w:r w:rsidR="006911FD" w:rsidRPr="003F78F1">
        <w:rPr>
          <w:rFonts w:ascii="Verdana" w:hAnsi="Verdana"/>
          <w:sz w:val="20"/>
          <w:szCs w:val="20"/>
        </w:rPr>
        <w:t>ste</w:t>
      </w:r>
      <w:proofErr w:type="spellEnd"/>
      <w:r w:rsidR="006911FD" w:rsidRPr="003F78F1">
        <w:rPr>
          <w:rFonts w:ascii="Verdana" w:hAnsi="Verdana"/>
          <w:sz w:val="20"/>
          <w:szCs w:val="20"/>
        </w:rPr>
        <w:t xml:space="preserve"> protocolo constituyó un paso importante que […] pretende cumplir con un aspecto de lo ordenado por la Corte en su Sentencia”</w:t>
      </w:r>
      <w:r w:rsidR="00337B30" w:rsidRPr="003F78F1">
        <w:rPr>
          <w:rFonts w:ascii="Verdana" w:hAnsi="Verdana"/>
          <w:sz w:val="20"/>
          <w:szCs w:val="20"/>
        </w:rPr>
        <w:t xml:space="preserve"> y destacaron que contiene </w:t>
      </w:r>
      <w:r w:rsidR="0008370A" w:rsidRPr="003F78F1">
        <w:rPr>
          <w:rFonts w:ascii="Verdana" w:hAnsi="Verdana"/>
          <w:sz w:val="20"/>
          <w:szCs w:val="20"/>
        </w:rPr>
        <w:t>“</w:t>
      </w:r>
      <w:r w:rsidR="00337B30" w:rsidRPr="003F78F1">
        <w:rPr>
          <w:rFonts w:ascii="Verdana" w:hAnsi="Verdana"/>
          <w:sz w:val="20"/>
          <w:szCs w:val="20"/>
        </w:rPr>
        <w:t xml:space="preserve">criterios y metodologías de trabajo </w:t>
      </w:r>
      <w:r w:rsidR="0008370A" w:rsidRPr="003F78F1">
        <w:rPr>
          <w:rFonts w:ascii="Verdana" w:hAnsi="Verdana"/>
          <w:sz w:val="20"/>
          <w:szCs w:val="20"/>
        </w:rPr>
        <w:t>[</w:t>
      </w:r>
      <w:r w:rsidR="00337B30" w:rsidRPr="003F78F1">
        <w:rPr>
          <w:rFonts w:ascii="Verdana" w:hAnsi="Verdana"/>
          <w:sz w:val="20"/>
          <w:szCs w:val="20"/>
        </w:rPr>
        <w:t>para</w:t>
      </w:r>
      <w:r w:rsidR="0008370A" w:rsidRPr="003F78F1">
        <w:rPr>
          <w:rFonts w:ascii="Verdana" w:hAnsi="Verdana"/>
          <w:sz w:val="20"/>
          <w:szCs w:val="20"/>
        </w:rPr>
        <w:t>]</w:t>
      </w:r>
      <w:r w:rsidR="00337B30" w:rsidRPr="003F78F1">
        <w:rPr>
          <w:rFonts w:ascii="Verdana" w:hAnsi="Verdana"/>
          <w:sz w:val="20"/>
          <w:szCs w:val="20"/>
        </w:rPr>
        <w:t xml:space="preserve"> quienes tienen funciones relacionadas con la búsqueda de personas desaparecidas</w:t>
      </w:r>
      <w:r w:rsidR="0008370A" w:rsidRPr="003F78F1">
        <w:rPr>
          <w:rFonts w:ascii="Verdana" w:hAnsi="Verdana"/>
          <w:sz w:val="20"/>
          <w:szCs w:val="20"/>
        </w:rPr>
        <w:t>”</w:t>
      </w:r>
      <w:r w:rsidR="00337B30" w:rsidRPr="003F78F1">
        <w:rPr>
          <w:rStyle w:val="Refdenotaalpie"/>
          <w:rFonts w:ascii="Verdana" w:hAnsi="Verdana"/>
          <w:sz w:val="20"/>
          <w:szCs w:val="20"/>
        </w:rPr>
        <w:footnoteReference w:id="77"/>
      </w:r>
      <w:r w:rsidR="006911FD" w:rsidRPr="003F78F1">
        <w:rPr>
          <w:rFonts w:ascii="Verdana" w:hAnsi="Verdana"/>
          <w:sz w:val="20"/>
          <w:szCs w:val="20"/>
        </w:rPr>
        <w:t xml:space="preserve">. </w:t>
      </w:r>
      <w:r w:rsidR="0008370A" w:rsidRPr="003F78F1">
        <w:rPr>
          <w:rFonts w:ascii="Verdana" w:hAnsi="Verdana"/>
          <w:sz w:val="20"/>
          <w:szCs w:val="20"/>
        </w:rPr>
        <w:t>A</w:t>
      </w:r>
      <w:r w:rsidR="00337B30" w:rsidRPr="003F78F1">
        <w:rPr>
          <w:rFonts w:ascii="Verdana" w:hAnsi="Verdana"/>
          <w:sz w:val="20"/>
          <w:szCs w:val="20"/>
        </w:rPr>
        <w:t xml:space="preserve">unque entienden que este protocolo está vigente, </w:t>
      </w:r>
      <w:r w:rsidR="0008370A" w:rsidRPr="003F78F1">
        <w:rPr>
          <w:rFonts w:ascii="Verdana" w:hAnsi="Verdana"/>
          <w:sz w:val="20"/>
          <w:szCs w:val="20"/>
        </w:rPr>
        <w:t xml:space="preserve">indicaron que </w:t>
      </w:r>
      <w:r w:rsidR="00EB2FAF" w:rsidRPr="003F78F1">
        <w:rPr>
          <w:rFonts w:ascii="Verdana" w:hAnsi="Verdana"/>
          <w:sz w:val="20"/>
          <w:szCs w:val="20"/>
        </w:rPr>
        <w:t>desconocen si está siendo aplicado y si se ha avanzado en la implementación de algunos puntos específicos del mismo. Asimismo, hicieron notar que fue aprobado en 2013</w:t>
      </w:r>
      <w:r w:rsidR="00305CB1">
        <w:rPr>
          <w:rFonts w:ascii="Verdana" w:hAnsi="Verdana"/>
          <w:sz w:val="20"/>
          <w:szCs w:val="20"/>
        </w:rPr>
        <w:t>,</w:t>
      </w:r>
      <w:r w:rsidR="00EB2FAF" w:rsidRPr="003F78F1">
        <w:rPr>
          <w:rFonts w:ascii="Verdana" w:hAnsi="Verdana"/>
          <w:sz w:val="20"/>
          <w:szCs w:val="20"/>
        </w:rPr>
        <w:t xml:space="preserve"> antes de la creación</w:t>
      </w:r>
      <w:r w:rsidR="00DE261D" w:rsidRPr="003F78F1">
        <w:rPr>
          <w:rFonts w:ascii="Verdana" w:hAnsi="Verdana"/>
          <w:sz w:val="20"/>
          <w:szCs w:val="20"/>
        </w:rPr>
        <w:t xml:space="preserve"> </w:t>
      </w:r>
      <w:r w:rsidR="00EB2FAF" w:rsidRPr="003F78F1">
        <w:rPr>
          <w:rFonts w:ascii="Verdana" w:hAnsi="Verdana"/>
          <w:sz w:val="20"/>
          <w:szCs w:val="20"/>
        </w:rPr>
        <w:t>del Grupo de Verdad y Justicia</w:t>
      </w:r>
      <w:r w:rsidR="00DD1B6C" w:rsidRPr="003F78F1">
        <w:rPr>
          <w:rFonts w:ascii="Verdana" w:hAnsi="Verdana"/>
          <w:sz w:val="20"/>
          <w:szCs w:val="20"/>
        </w:rPr>
        <w:t>,</w:t>
      </w:r>
      <w:r w:rsidR="00EB2FAF" w:rsidRPr="003F78F1">
        <w:rPr>
          <w:rFonts w:ascii="Verdana" w:hAnsi="Verdana"/>
          <w:sz w:val="20"/>
          <w:szCs w:val="20"/>
        </w:rPr>
        <w:t xml:space="preserve"> el cual tuvo funciones en la coordinación de equipos de búsqueda, con lo cual “no resulta claro si el protocolo ha sido actualizado o revisado, o si todos los aspectos del mismo siguen sien</w:t>
      </w:r>
      <w:r w:rsidR="00305CB1">
        <w:rPr>
          <w:rFonts w:ascii="Verdana" w:hAnsi="Verdana"/>
          <w:sz w:val="20"/>
          <w:szCs w:val="20"/>
        </w:rPr>
        <w:t>d</w:t>
      </w:r>
      <w:r w:rsidR="00EB2FAF" w:rsidRPr="003F78F1">
        <w:rPr>
          <w:rFonts w:ascii="Verdana" w:hAnsi="Verdana"/>
          <w:sz w:val="20"/>
          <w:szCs w:val="20"/>
        </w:rPr>
        <w:t xml:space="preserve">o aplicables”. </w:t>
      </w:r>
      <w:r w:rsidR="00DD1B6C" w:rsidRPr="003F78F1">
        <w:rPr>
          <w:rFonts w:ascii="Verdana" w:hAnsi="Verdana"/>
          <w:sz w:val="20"/>
          <w:szCs w:val="20"/>
        </w:rPr>
        <w:t xml:space="preserve">En consecuencia, solicitaron que el Estado </w:t>
      </w:r>
      <w:r w:rsidR="001D0774" w:rsidRPr="003F78F1">
        <w:rPr>
          <w:rFonts w:ascii="Verdana" w:hAnsi="Verdana"/>
          <w:sz w:val="20"/>
          <w:szCs w:val="20"/>
        </w:rPr>
        <w:t>confirme</w:t>
      </w:r>
      <w:r w:rsidR="00DD1B6C" w:rsidRPr="003F78F1">
        <w:rPr>
          <w:rFonts w:ascii="Verdana" w:hAnsi="Verdana"/>
          <w:sz w:val="20"/>
          <w:szCs w:val="20"/>
        </w:rPr>
        <w:t xml:space="preserve"> </w:t>
      </w:r>
      <w:r w:rsidR="00DD1B6C" w:rsidRPr="003F78F1">
        <w:rPr>
          <w:rFonts w:ascii="Verdana" w:hAnsi="Verdana"/>
          <w:sz w:val="20"/>
          <w:szCs w:val="20"/>
        </w:rPr>
        <w:lastRenderedPageBreak/>
        <w:t>si este protocolo “continúa vigente, y si existen otras guías o practicas desarrolladas en el marco del Grupo de Trabajo de Verdad y Justicia respecto a la organización de la búsqueda de personas desaparecidas”. También</w:t>
      </w:r>
      <w:r w:rsidR="0019173A">
        <w:rPr>
          <w:rFonts w:ascii="Verdana" w:hAnsi="Verdana"/>
          <w:sz w:val="20"/>
          <w:szCs w:val="20"/>
        </w:rPr>
        <w:t xml:space="preserve"> solicitaron </w:t>
      </w:r>
      <w:r w:rsidR="00DD1B6C" w:rsidRPr="003F78F1">
        <w:rPr>
          <w:rFonts w:ascii="Verdana" w:hAnsi="Verdana"/>
          <w:sz w:val="20"/>
          <w:szCs w:val="20"/>
        </w:rPr>
        <w:t xml:space="preserve">que se “ordene al Estado revisar y actualizar dicho protocolo a la luz de las buenas prácticas que puedan haberse generado, y teniendo en cuenta los estándares internacionales en la materia”. </w:t>
      </w:r>
    </w:p>
    <w:p w14:paraId="429E8DBF" w14:textId="5241F8F2" w:rsidR="008B7CC3" w:rsidRPr="00F30934" w:rsidRDefault="003F78F1" w:rsidP="00F30934">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sz w:val="20"/>
          <w:szCs w:val="20"/>
        </w:rPr>
      </w:pPr>
      <w:r w:rsidRPr="000C346F">
        <w:rPr>
          <w:rFonts w:ascii="Verdana" w:hAnsi="Verdana"/>
          <w:sz w:val="20"/>
          <w:szCs w:val="20"/>
        </w:rPr>
        <w:t xml:space="preserve">La Corte considera que Uruguay cumplió con adoptar un protocolo relativo a los </w:t>
      </w:r>
      <w:r w:rsidRPr="00F30934">
        <w:rPr>
          <w:rFonts w:ascii="Verdana" w:hAnsi="Verdana"/>
          <w:sz w:val="20"/>
          <w:szCs w:val="20"/>
        </w:rPr>
        <w:t>procedimientos a seguir para la búsqueda, recuperación y análisis de restos óseos de personas desaparecidas, lo cual es acorde con el sentido de lo ordenado en la Sentencia</w:t>
      </w:r>
      <w:r w:rsidR="00291185" w:rsidRPr="00F30934">
        <w:rPr>
          <w:rFonts w:ascii="Verdana" w:hAnsi="Verdana"/>
          <w:sz w:val="20"/>
          <w:szCs w:val="20"/>
        </w:rPr>
        <w:t xml:space="preserve">, con lo cual ha dado cumplimiento </w:t>
      </w:r>
      <w:r w:rsidR="00D30700">
        <w:rPr>
          <w:rFonts w:ascii="Verdana" w:hAnsi="Verdana"/>
          <w:sz w:val="20"/>
          <w:szCs w:val="20"/>
        </w:rPr>
        <w:t>parcial</w:t>
      </w:r>
      <w:r w:rsidR="00D30700" w:rsidRPr="00F30934">
        <w:rPr>
          <w:rFonts w:ascii="Verdana" w:hAnsi="Verdana"/>
          <w:sz w:val="20"/>
          <w:szCs w:val="20"/>
        </w:rPr>
        <w:t xml:space="preserve"> </w:t>
      </w:r>
      <w:r w:rsidR="00291185" w:rsidRPr="00F30934">
        <w:rPr>
          <w:rFonts w:ascii="Verdana" w:hAnsi="Verdana"/>
          <w:sz w:val="20"/>
          <w:szCs w:val="20"/>
        </w:rPr>
        <w:t xml:space="preserve">a la reparación ordenada en el </w:t>
      </w:r>
      <w:r w:rsidR="00AA2B84" w:rsidRPr="00F30934">
        <w:rPr>
          <w:rFonts w:ascii="Verdana" w:hAnsi="Verdana"/>
          <w:sz w:val="20"/>
          <w:szCs w:val="20"/>
        </w:rPr>
        <w:t xml:space="preserve">párrafo 275 y el </w:t>
      </w:r>
      <w:r w:rsidR="00291185" w:rsidRPr="00F30934">
        <w:rPr>
          <w:rFonts w:ascii="Verdana" w:hAnsi="Verdana"/>
          <w:sz w:val="20"/>
          <w:szCs w:val="20"/>
        </w:rPr>
        <w:t>punto resolutivo décimo sexto de la</w:t>
      </w:r>
      <w:r w:rsidR="00291185">
        <w:rPr>
          <w:rFonts w:ascii="Verdana" w:hAnsi="Verdana"/>
          <w:sz w:val="20"/>
          <w:szCs w:val="20"/>
        </w:rPr>
        <w:t xml:space="preserve"> Sentencia</w:t>
      </w:r>
      <w:r w:rsidRPr="000C346F">
        <w:rPr>
          <w:rFonts w:ascii="Verdana" w:hAnsi="Verdana"/>
          <w:sz w:val="20"/>
          <w:szCs w:val="20"/>
        </w:rPr>
        <w:t xml:space="preserve">. </w:t>
      </w:r>
      <w:r w:rsidR="00F30934" w:rsidRPr="00AA2B84">
        <w:rPr>
          <w:rFonts w:ascii="Verdana" w:hAnsi="Verdana"/>
          <w:sz w:val="20"/>
          <w:szCs w:val="20"/>
        </w:rPr>
        <w:t xml:space="preserve"> </w:t>
      </w:r>
      <w:r w:rsidR="00D30700" w:rsidRPr="00B2431E">
        <w:rPr>
          <w:rFonts w:ascii="Verdana" w:hAnsi="Verdana"/>
          <w:sz w:val="20"/>
          <w:szCs w:val="20"/>
        </w:rPr>
        <w:t>Para valorar el cumplimiento total de esta reparación en una posterior Resolución se solicita al Estado que se refiera a las observaciones que han sido expuestas por los representantes (</w:t>
      </w:r>
      <w:r w:rsidR="00D30700" w:rsidRPr="00B2431E">
        <w:rPr>
          <w:rFonts w:ascii="Verdana" w:hAnsi="Verdana"/>
          <w:i/>
          <w:sz w:val="20"/>
          <w:szCs w:val="20"/>
        </w:rPr>
        <w:t xml:space="preserve">supra </w:t>
      </w:r>
      <w:r w:rsidR="00D30700" w:rsidRPr="00B2431E">
        <w:rPr>
          <w:rFonts w:ascii="Verdana" w:hAnsi="Verdana"/>
          <w:sz w:val="20"/>
          <w:szCs w:val="20"/>
        </w:rPr>
        <w:t xml:space="preserve">Considerando 64). En particular se requiere que informe si dicho protocolo fue puesto en conocimiento de las autoridades encargadas de la búsqueda de personas desaparecidas y, considerando que esté se aprobó hace casi siete años, que aclare si se encuentra vigente aún. </w:t>
      </w:r>
    </w:p>
    <w:p w14:paraId="51F4B432" w14:textId="77777777" w:rsidR="0019173A" w:rsidRDefault="0019173A" w:rsidP="00305CB1">
      <w:pPr>
        <w:spacing w:before="120" w:after="120" w:line="240" w:lineRule="auto"/>
        <w:jc w:val="both"/>
        <w:rPr>
          <w:rFonts w:ascii="Verdana" w:hAnsi="Verdana"/>
          <w:b/>
          <w:sz w:val="20"/>
          <w:lang w:val="es-MX"/>
        </w:rPr>
      </w:pPr>
    </w:p>
    <w:p w14:paraId="234DD0FE" w14:textId="64CF09F0" w:rsidR="00036CC6" w:rsidRPr="001731F5" w:rsidRDefault="00036CC6" w:rsidP="00305CB1">
      <w:pPr>
        <w:spacing w:before="120" w:after="120" w:line="240" w:lineRule="auto"/>
        <w:jc w:val="both"/>
        <w:rPr>
          <w:rFonts w:ascii="Verdana" w:hAnsi="Verdana"/>
          <w:b/>
          <w:sz w:val="20"/>
          <w:lang w:val="es-MX"/>
        </w:rPr>
      </w:pPr>
      <w:r w:rsidRPr="001731F5">
        <w:rPr>
          <w:rFonts w:ascii="Verdana" w:hAnsi="Verdana"/>
          <w:b/>
          <w:sz w:val="20"/>
          <w:lang w:val="es-MX"/>
        </w:rPr>
        <w:t>POR TANTO:</w:t>
      </w:r>
    </w:p>
    <w:p w14:paraId="7B57583E" w14:textId="77777777" w:rsidR="00036CC6" w:rsidRPr="001731F5" w:rsidRDefault="00036CC6" w:rsidP="00305CB1">
      <w:pPr>
        <w:spacing w:before="120" w:after="120" w:line="240" w:lineRule="auto"/>
        <w:jc w:val="both"/>
        <w:rPr>
          <w:rFonts w:ascii="Verdana" w:hAnsi="Verdana"/>
          <w:b/>
          <w:sz w:val="20"/>
          <w:lang w:val="es-MX"/>
        </w:rPr>
      </w:pPr>
      <w:r w:rsidRPr="001731F5">
        <w:rPr>
          <w:rFonts w:ascii="Verdana" w:hAnsi="Verdana"/>
          <w:b/>
          <w:sz w:val="20"/>
          <w:lang w:val="es-MX"/>
        </w:rPr>
        <w:t>LA CORTE INTERAMERICANA DE DERECHOS HUMANOS,</w:t>
      </w:r>
    </w:p>
    <w:p w14:paraId="60E136A9" w14:textId="77777777" w:rsidR="00036CC6" w:rsidRPr="001731F5" w:rsidRDefault="00036CC6" w:rsidP="00305CB1">
      <w:pPr>
        <w:spacing w:before="120" w:after="120" w:line="240" w:lineRule="auto"/>
        <w:jc w:val="both"/>
        <w:rPr>
          <w:rFonts w:ascii="Verdana" w:hAnsi="Verdana"/>
          <w:sz w:val="20"/>
        </w:rPr>
      </w:pPr>
      <w:r>
        <w:rPr>
          <w:rFonts w:ascii="Verdana" w:hAnsi="Verdana"/>
          <w:sz w:val="20"/>
        </w:rPr>
        <w:t>e</w:t>
      </w:r>
      <w:r w:rsidRPr="001731F5">
        <w:rPr>
          <w:rFonts w:ascii="Verdana" w:hAnsi="Verdana"/>
          <w:sz w:val="20"/>
        </w:rPr>
        <w:t>n el ejercicio de sus atribuciones de supervisión del cumplimiento de sus decisiones y de conformidad con los artículos 33, 62.1, 62.3, 65, 67 y 68.1 de la Convención Americana sobre Derechos Humanos, 24, 25 y 30 del Estatuto, y 31.2 y 69 de su Reglamento,</w:t>
      </w:r>
    </w:p>
    <w:p w14:paraId="45786A42" w14:textId="5A2392BA" w:rsidR="00036CC6" w:rsidRDefault="00036CC6" w:rsidP="00036CC6">
      <w:pPr>
        <w:spacing w:before="120" w:after="120"/>
        <w:ind w:right="4"/>
        <w:jc w:val="both"/>
        <w:rPr>
          <w:rFonts w:ascii="Verdana" w:hAnsi="Verdana"/>
          <w:b/>
          <w:sz w:val="20"/>
          <w:lang w:val="es-MX"/>
        </w:rPr>
      </w:pPr>
      <w:r w:rsidRPr="001731F5">
        <w:rPr>
          <w:rFonts w:ascii="Verdana" w:hAnsi="Verdana"/>
          <w:b/>
          <w:sz w:val="20"/>
          <w:lang w:val="es-MX"/>
        </w:rPr>
        <w:t xml:space="preserve">RESUELVE: </w:t>
      </w:r>
    </w:p>
    <w:p w14:paraId="6A78E582" w14:textId="6780EAED" w:rsidR="00036CC6" w:rsidRPr="00AE1E0D" w:rsidRDefault="00036CC6" w:rsidP="00036CC6">
      <w:pPr>
        <w:pStyle w:val="Prrafodelista"/>
        <w:numPr>
          <w:ilvl w:val="0"/>
          <w:numId w:val="20"/>
        </w:numPr>
        <w:spacing w:before="120" w:after="120" w:line="240" w:lineRule="auto"/>
        <w:ind w:left="0" w:right="4" w:firstLine="0"/>
        <w:contextualSpacing w:val="0"/>
        <w:jc w:val="both"/>
        <w:rPr>
          <w:rFonts w:ascii="Verdana" w:hAnsi="Verdana"/>
          <w:b/>
          <w:sz w:val="20"/>
          <w:lang w:val="es-MX"/>
        </w:rPr>
      </w:pPr>
      <w:r>
        <w:rPr>
          <w:rFonts w:ascii="Verdana" w:hAnsi="Verdana"/>
          <w:sz w:val="20"/>
        </w:rPr>
        <w:t xml:space="preserve">Declarar, de conformidad con lo señalado en los Considerandos </w:t>
      </w:r>
      <w:r w:rsidR="00F8351B">
        <w:rPr>
          <w:rFonts w:ascii="Verdana" w:hAnsi="Verdana"/>
          <w:sz w:val="20"/>
        </w:rPr>
        <w:t>20, 33, 48 y 65</w:t>
      </w:r>
      <w:r>
        <w:rPr>
          <w:rFonts w:ascii="Verdana" w:hAnsi="Verdana"/>
          <w:sz w:val="20"/>
        </w:rPr>
        <w:t xml:space="preserve"> de la presente Resolución, que el Estado ha dado cumplimiento parcial a las medidas relativas a: </w:t>
      </w:r>
    </w:p>
    <w:p w14:paraId="1444EE01" w14:textId="166DC3E1" w:rsidR="00036CC6" w:rsidRPr="00305CB1" w:rsidRDefault="00EC6B81" w:rsidP="00036CC6">
      <w:pPr>
        <w:pStyle w:val="Prrafodelista"/>
        <w:numPr>
          <w:ilvl w:val="0"/>
          <w:numId w:val="22"/>
        </w:numPr>
        <w:spacing w:before="120" w:after="120" w:line="240" w:lineRule="auto"/>
        <w:ind w:right="4"/>
        <w:contextualSpacing w:val="0"/>
        <w:jc w:val="both"/>
        <w:rPr>
          <w:rFonts w:ascii="Verdana" w:hAnsi="Verdana"/>
          <w:b/>
          <w:sz w:val="19"/>
          <w:szCs w:val="19"/>
          <w:lang w:val="es-MX"/>
        </w:rPr>
      </w:pPr>
      <w:r w:rsidRPr="00305CB1">
        <w:rPr>
          <w:rFonts w:ascii="Verdana" w:hAnsi="Verdana"/>
          <w:sz w:val="19"/>
          <w:szCs w:val="19"/>
          <w:lang w:val="es-MX"/>
        </w:rPr>
        <w:t>“</w:t>
      </w:r>
      <w:r w:rsidRPr="00305CB1">
        <w:rPr>
          <w:rFonts w:ascii="Verdana" w:hAnsi="Verdana"/>
          <w:sz w:val="19"/>
          <w:szCs w:val="19"/>
        </w:rPr>
        <w:t xml:space="preserve">conducir y llevar a término eficazmente la investigación de los hechos del presente caso, a fin de esclarecerlos, determinar las correspondientes responsabilidades penales y administrativas y aplicar las consecuentes sanciones que la ley prevea” </w:t>
      </w:r>
      <w:r w:rsidRPr="00305CB1">
        <w:rPr>
          <w:rFonts w:ascii="Verdana" w:hAnsi="Verdana"/>
          <w:i/>
          <w:iCs/>
          <w:sz w:val="19"/>
          <w:szCs w:val="19"/>
        </w:rPr>
        <w:t>(punto resolutivo noveno de la Sentencia)</w:t>
      </w:r>
      <w:r w:rsidR="00AA2B84">
        <w:rPr>
          <w:rFonts w:ascii="Verdana" w:hAnsi="Verdana"/>
          <w:sz w:val="19"/>
          <w:szCs w:val="19"/>
        </w:rPr>
        <w:t xml:space="preserve">; </w:t>
      </w:r>
    </w:p>
    <w:p w14:paraId="384FCC5B" w14:textId="57C163D5" w:rsidR="00036CC6" w:rsidRPr="00AA2B84" w:rsidRDefault="00293386" w:rsidP="00036CC6">
      <w:pPr>
        <w:pStyle w:val="Prrafodelista"/>
        <w:numPr>
          <w:ilvl w:val="0"/>
          <w:numId w:val="22"/>
        </w:numPr>
        <w:spacing w:before="120" w:after="120" w:line="240" w:lineRule="auto"/>
        <w:ind w:right="4"/>
        <w:contextualSpacing w:val="0"/>
        <w:jc w:val="both"/>
        <w:rPr>
          <w:rFonts w:ascii="Verdana" w:hAnsi="Verdana"/>
          <w:b/>
          <w:sz w:val="19"/>
          <w:szCs w:val="19"/>
          <w:lang w:val="es-MX"/>
        </w:rPr>
      </w:pPr>
      <w:r w:rsidRPr="00305CB1">
        <w:rPr>
          <w:rFonts w:ascii="Verdana" w:hAnsi="Verdana"/>
          <w:sz w:val="19"/>
          <w:szCs w:val="19"/>
        </w:rPr>
        <w:t xml:space="preserve">“garantizar que la Ley de Caducidad de la Pretensión Punitiva del Estado […] no vuelva a representar un obstáculo” </w:t>
      </w:r>
      <w:r w:rsidRPr="00305CB1">
        <w:rPr>
          <w:rFonts w:ascii="Verdana" w:hAnsi="Verdana"/>
          <w:i/>
          <w:iCs/>
          <w:sz w:val="19"/>
          <w:szCs w:val="19"/>
        </w:rPr>
        <w:t>(punto resolutivo décimo primero de la Sentencia)</w:t>
      </w:r>
      <w:r w:rsidR="00F95AFE">
        <w:rPr>
          <w:rFonts w:ascii="Verdana" w:hAnsi="Verdana"/>
          <w:sz w:val="19"/>
          <w:szCs w:val="19"/>
        </w:rPr>
        <w:t>;</w:t>
      </w:r>
    </w:p>
    <w:p w14:paraId="2DE72906" w14:textId="60611AD0" w:rsidR="00F95AFE" w:rsidRPr="007B5E63" w:rsidRDefault="00AA2B84" w:rsidP="00036CC6">
      <w:pPr>
        <w:pStyle w:val="Prrafodelista"/>
        <w:numPr>
          <w:ilvl w:val="0"/>
          <w:numId w:val="22"/>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rPr>
        <w:t>“implementar […] un programa permanente de derechos humanos dirigido a los agentes del Ministerio Público y a los jueces del Poder Judicial de Uruguay</w:t>
      </w:r>
      <w:r w:rsidR="00F8351B">
        <w:rPr>
          <w:rFonts w:ascii="Verdana" w:hAnsi="Verdana"/>
          <w:sz w:val="19"/>
          <w:szCs w:val="19"/>
        </w:rPr>
        <w:t>, de conformidad con el párrafo 278 de la Sentencia</w:t>
      </w:r>
      <w:r w:rsidRPr="00150B5A">
        <w:rPr>
          <w:rFonts w:ascii="Verdana" w:hAnsi="Verdana"/>
          <w:sz w:val="19"/>
          <w:szCs w:val="19"/>
        </w:rPr>
        <w:t xml:space="preserve">” </w:t>
      </w:r>
      <w:r w:rsidRPr="00150B5A">
        <w:rPr>
          <w:rFonts w:ascii="Verdana" w:hAnsi="Verdana"/>
          <w:i/>
          <w:iCs/>
          <w:sz w:val="19"/>
          <w:szCs w:val="19"/>
        </w:rPr>
        <w:t>(punto resolutivo décimo quinto de la Sentencia)</w:t>
      </w:r>
      <w:r w:rsidR="00F95AFE" w:rsidRPr="007B5E63">
        <w:rPr>
          <w:rFonts w:ascii="Verdana" w:hAnsi="Verdana"/>
          <w:iCs/>
          <w:sz w:val="19"/>
          <w:szCs w:val="19"/>
        </w:rPr>
        <w:t xml:space="preserve">, y a </w:t>
      </w:r>
    </w:p>
    <w:p w14:paraId="16A076A2" w14:textId="22DE8CEB" w:rsidR="00AA2B84" w:rsidRPr="00670105" w:rsidRDefault="00F95AFE" w:rsidP="00036CC6">
      <w:pPr>
        <w:pStyle w:val="Prrafodelista"/>
        <w:numPr>
          <w:ilvl w:val="0"/>
          <w:numId w:val="22"/>
        </w:numPr>
        <w:spacing w:before="120" w:after="120" w:line="240" w:lineRule="auto"/>
        <w:ind w:right="4"/>
        <w:contextualSpacing w:val="0"/>
        <w:jc w:val="both"/>
        <w:rPr>
          <w:rFonts w:ascii="Verdana" w:hAnsi="Verdana"/>
          <w:b/>
          <w:sz w:val="19"/>
          <w:szCs w:val="19"/>
          <w:lang w:val="es-MX"/>
        </w:rPr>
      </w:pPr>
      <w:r w:rsidRPr="007B5E63">
        <w:rPr>
          <w:rFonts w:ascii="Verdana" w:hAnsi="Verdana"/>
          <w:iCs/>
          <w:sz w:val="19"/>
          <w:szCs w:val="19"/>
        </w:rPr>
        <w:t>adoptar “un Protocolo para la recolección e información de restos de personas desaparecidas</w:t>
      </w:r>
      <w:r>
        <w:rPr>
          <w:rFonts w:ascii="Verdana" w:hAnsi="Verdana"/>
          <w:i/>
          <w:iCs/>
          <w:sz w:val="19"/>
          <w:szCs w:val="19"/>
        </w:rPr>
        <w:t xml:space="preserve"> (párrafo 275 y punto resolutivo décimo sexto de la Sentencia)</w:t>
      </w:r>
      <w:r w:rsidR="00AA2B84">
        <w:rPr>
          <w:rFonts w:ascii="Verdana" w:hAnsi="Verdana"/>
          <w:i/>
          <w:iCs/>
          <w:sz w:val="19"/>
          <w:szCs w:val="19"/>
        </w:rPr>
        <w:t>.</w:t>
      </w:r>
    </w:p>
    <w:p w14:paraId="4ED0E56B" w14:textId="77777777" w:rsidR="00670105" w:rsidRPr="00670105" w:rsidRDefault="00670105" w:rsidP="00670105">
      <w:pPr>
        <w:pStyle w:val="Prrafodelista"/>
        <w:spacing w:before="120" w:after="120" w:line="240" w:lineRule="auto"/>
        <w:ind w:right="4"/>
        <w:contextualSpacing w:val="0"/>
        <w:jc w:val="both"/>
        <w:rPr>
          <w:rFonts w:ascii="Verdana" w:hAnsi="Verdana"/>
          <w:b/>
          <w:sz w:val="8"/>
          <w:szCs w:val="8"/>
          <w:lang w:val="es-MX"/>
        </w:rPr>
      </w:pPr>
    </w:p>
    <w:p w14:paraId="360E555C" w14:textId="311FC523" w:rsidR="00EC6B81" w:rsidRPr="00EC6B81" w:rsidRDefault="00EC6B81" w:rsidP="00EC6B81">
      <w:pPr>
        <w:pStyle w:val="Prrafodelista"/>
        <w:numPr>
          <w:ilvl w:val="0"/>
          <w:numId w:val="20"/>
        </w:numPr>
        <w:spacing w:before="120" w:after="120" w:line="240" w:lineRule="auto"/>
        <w:ind w:left="0" w:right="4" w:firstLine="0"/>
        <w:contextualSpacing w:val="0"/>
        <w:jc w:val="both"/>
        <w:rPr>
          <w:rFonts w:ascii="Verdana" w:hAnsi="Verdana"/>
          <w:b/>
          <w:sz w:val="20"/>
          <w:szCs w:val="20"/>
          <w:lang w:val="es-MX"/>
        </w:rPr>
      </w:pPr>
      <w:r w:rsidRPr="00EC6B81">
        <w:rPr>
          <w:rFonts w:ascii="Verdana" w:hAnsi="Verdana"/>
          <w:sz w:val="20"/>
          <w:szCs w:val="20"/>
        </w:rPr>
        <w:t xml:space="preserve">Declarar, de conformidad con lo señalado en el Considerando </w:t>
      </w:r>
      <w:r w:rsidR="00F8351B">
        <w:rPr>
          <w:rFonts w:ascii="Verdana" w:hAnsi="Verdana"/>
          <w:sz w:val="20"/>
          <w:szCs w:val="20"/>
        </w:rPr>
        <w:t>55</w:t>
      </w:r>
      <w:r w:rsidRPr="00EC6B81">
        <w:rPr>
          <w:rFonts w:ascii="Verdana" w:hAnsi="Verdana"/>
          <w:sz w:val="20"/>
          <w:szCs w:val="20"/>
        </w:rPr>
        <w:t xml:space="preserve"> de la presente Resolución, que el Estado ha venido dando cumplimiento y debe continuar implementando la medida relativa a “adoptar […] las medidas pertinentes para garantizar el acceso técnico y sistematizado a información acerca de las graves violaciones de derechos humanos ocurridas durante la dictadura que reposa en archivos estatales</w:t>
      </w:r>
      <w:r>
        <w:rPr>
          <w:rFonts w:ascii="Verdana" w:hAnsi="Verdana"/>
          <w:sz w:val="20"/>
          <w:szCs w:val="20"/>
        </w:rPr>
        <w:t>”</w:t>
      </w:r>
      <w:r w:rsidRPr="00EC6B81">
        <w:rPr>
          <w:rFonts w:ascii="Verdana" w:hAnsi="Verdana"/>
          <w:sz w:val="20"/>
          <w:szCs w:val="20"/>
        </w:rPr>
        <w:t xml:space="preserve"> </w:t>
      </w:r>
      <w:r w:rsidRPr="00EC6B81">
        <w:rPr>
          <w:rFonts w:ascii="Verdana" w:hAnsi="Verdana"/>
          <w:i/>
          <w:iCs/>
          <w:sz w:val="20"/>
          <w:szCs w:val="20"/>
        </w:rPr>
        <w:t>(punto resolutivo décimo sexto de la Sentencia)</w:t>
      </w:r>
      <w:r w:rsidRPr="00EC6B81">
        <w:rPr>
          <w:rFonts w:ascii="Verdana" w:hAnsi="Verdana"/>
          <w:sz w:val="20"/>
          <w:szCs w:val="20"/>
        </w:rPr>
        <w:t>.</w:t>
      </w:r>
    </w:p>
    <w:p w14:paraId="685F7FCB" w14:textId="77777777" w:rsidR="00036CC6" w:rsidRPr="00BA0B83" w:rsidRDefault="00036CC6" w:rsidP="00036CC6">
      <w:pPr>
        <w:pStyle w:val="Prrafodelista"/>
        <w:numPr>
          <w:ilvl w:val="0"/>
          <w:numId w:val="20"/>
        </w:numPr>
        <w:spacing w:before="120" w:after="120" w:line="240" w:lineRule="auto"/>
        <w:ind w:left="0" w:right="4" w:firstLine="0"/>
        <w:contextualSpacing w:val="0"/>
        <w:jc w:val="both"/>
        <w:rPr>
          <w:rFonts w:ascii="Verdana" w:hAnsi="Verdana"/>
          <w:b/>
          <w:sz w:val="20"/>
          <w:lang w:val="es-MX"/>
        </w:rPr>
      </w:pPr>
      <w:r w:rsidRPr="00BA0B83">
        <w:rPr>
          <w:rFonts w:ascii="Verdana" w:hAnsi="Verdana"/>
          <w:sz w:val="20"/>
        </w:rPr>
        <w:t>Mantener abierto el procedimiento de supervisión de cumplimiento respecto de las siguientes medidas de reparación pendientes de acatamiento:</w:t>
      </w:r>
    </w:p>
    <w:p w14:paraId="402AD7DC" w14:textId="2F254E33" w:rsidR="00036CC6" w:rsidRPr="00150B5A" w:rsidRDefault="00EC6B81" w:rsidP="00036CC6">
      <w:pPr>
        <w:pStyle w:val="Prrafodelista"/>
        <w:numPr>
          <w:ilvl w:val="0"/>
          <w:numId w:val="21"/>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lang w:val="es-MX"/>
        </w:rPr>
        <w:lastRenderedPageBreak/>
        <w:t>“</w:t>
      </w:r>
      <w:r w:rsidRPr="00150B5A">
        <w:rPr>
          <w:rFonts w:ascii="Verdana" w:hAnsi="Verdana"/>
          <w:sz w:val="19"/>
          <w:szCs w:val="19"/>
        </w:rPr>
        <w:t xml:space="preserve">conducir y llevar a término eficazmente la investigación de los hechos del presente caso, a fin de esclarecerlos, determinar las correspondientes responsabilidades penales y administrativas y aplicar las consecuentes sanciones que la ley prevea” </w:t>
      </w:r>
      <w:r w:rsidRPr="00150B5A">
        <w:rPr>
          <w:rFonts w:ascii="Verdana" w:hAnsi="Verdana"/>
          <w:i/>
          <w:iCs/>
          <w:sz w:val="19"/>
          <w:szCs w:val="19"/>
        </w:rPr>
        <w:t>(punto resolutivo noveno de la Sentencia);</w:t>
      </w:r>
    </w:p>
    <w:p w14:paraId="4535C84E" w14:textId="28DFF925" w:rsidR="00EC6B81" w:rsidRPr="00150B5A" w:rsidRDefault="00EC6B81" w:rsidP="00036CC6">
      <w:pPr>
        <w:pStyle w:val="Prrafodelista"/>
        <w:numPr>
          <w:ilvl w:val="0"/>
          <w:numId w:val="21"/>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rPr>
        <w:t xml:space="preserve">“continuar y acelerar la búsqueda y localización inmediata de María Claudia García Iruretagoyena, o de sus restos mortales” </w:t>
      </w:r>
      <w:r w:rsidRPr="00150B5A">
        <w:rPr>
          <w:rFonts w:ascii="Verdana" w:hAnsi="Verdana"/>
          <w:i/>
          <w:iCs/>
          <w:sz w:val="19"/>
          <w:szCs w:val="19"/>
        </w:rPr>
        <w:t>(punto resolutivo décimo de la Sentencia)</w:t>
      </w:r>
      <w:r w:rsidRPr="00150B5A">
        <w:rPr>
          <w:rFonts w:ascii="Verdana" w:hAnsi="Verdana"/>
          <w:sz w:val="19"/>
          <w:szCs w:val="19"/>
        </w:rPr>
        <w:t>;</w:t>
      </w:r>
    </w:p>
    <w:p w14:paraId="3365DA95" w14:textId="203B756D" w:rsidR="00EC6B81" w:rsidRPr="00150B5A" w:rsidRDefault="00EC6B81" w:rsidP="00036CC6">
      <w:pPr>
        <w:pStyle w:val="Prrafodelista"/>
        <w:numPr>
          <w:ilvl w:val="0"/>
          <w:numId w:val="21"/>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rPr>
        <w:t xml:space="preserve">“garantizar que la Ley de Caducidad de la Pretensión Punitiva del Estado […] no vuelva a representar un obstáculo” </w:t>
      </w:r>
      <w:r w:rsidRPr="00150B5A">
        <w:rPr>
          <w:rFonts w:ascii="Verdana" w:hAnsi="Verdana"/>
          <w:i/>
          <w:iCs/>
          <w:sz w:val="19"/>
          <w:szCs w:val="19"/>
        </w:rPr>
        <w:t>(punto resolutivo décimo primero de la Sentencia)</w:t>
      </w:r>
      <w:r w:rsidRPr="00150B5A">
        <w:rPr>
          <w:rFonts w:ascii="Verdana" w:hAnsi="Verdana"/>
          <w:sz w:val="19"/>
          <w:szCs w:val="19"/>
        </w:rPr>
        <w:t>;</w:t>
      </w:r>
    </w:p>
    <w:p w14:paraId="145F4BE4" w14:textId="7FC708B5" w:rsidR="00EC6B81" w:rsidRPr="00150B5A" w:rsidRDefault="00EC6B81" w:rsidP="00036CC6">
      <w:pPr>
        <w:pStyle w:val="Prrafodelista"/>
        <w:numPr>
          <w:ilvl w:val="0"/>
          <w:numId w:val="21"/>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rPr>
        <w:t>“implementar […] un programa permanente de derechos humanos dirigido a los agentes del Ministerio Público y a los jueces del Poder Judicial de Uruguay</w:t>
      </w:r>
      <w:r w:rsidR="00F8351B">
        <w:rPr>
          <w:rFonts w:ascii="Verdana" w:hAnsi="Verdana"/>
          <w:sz w:val="19"/>
          <w:szCs w:val="19"/>
        </w:rPr>
        <w:t>, de conformidad con el párrafo 278 de la Sentencia</w:t>
      </w:r>
      <w:r w:rsidRPr="00150B5A">
        <w:rPr>
          <w:rFonts w:ascii="Verdana" w:hAnsi="Verdana"/>
          <w:sz w:val="19"/>
          <w:szCs w:val="19"/>
        </w:rPr>
        <w:t xml:space="preserve">” </w:t>
      </w:r>
      <w:r w:rsidRPr="00150B5A">
        <w:rPr>
          <w:rFonts w:ascii="Verdana" w:hAnsi="Verdana"/>
          <w:i/>
          <w:iCs/>
          <w:sz w:val="19"/>
          <w:szCs w:val="19"/>
        </w:rPr>
        <w:t>(punto resolutivo décimo quinto de la Sentencia)</w:t>
      </w:r>
      <w:r w:rsidR="00232F0C">
        <w:rPr>
          <w:rFonts w:ascii="Verdana" w:hAnsi="Verdana"/>
          <w:sz w:val="19"/>
          <w:szCs w:val="19"/>
        </w:rPr>
        <w:t>;</w:t>
      </w:r>
    </w:p>
    <w:p w14:paraId="49DCFD17" w14:textId="2ADA92A1" w:rsidR="00EC6B81" w:rsidRPr="00232F0C" w:rsidRDefault="00EC6B81" w:rsidP="00036CC6">
      <w:pPr>
        <w:pStyle w:val="Prrafodelista"/>
        <w:numPr>
          <w:ilvl w:val="0"/>
          <w:numId w:val="21"/>
        </w:numPr>
        <w:spacing w:before="120" w:after="120" w:line="240" w:lineRule="auto"/>
        <w:ind w:right="4"/>
        <w:contextualSpacing w:val="0"/>
        <w:jc w:val="both"/>
        <w:rPr>
          <w:rFonts w:ascii="Verdana" w:hAnsi="Verdana"/>
          <w:b/>
          <w:sz w:val="19"/>
          <w:szCs w:val="19"/>
          <w:lang w:val="es-MX"/>
        </w:rPr>
      </w:pPr>
      <w:r w:rsidRPr="00150B5A">
        <w:rPr>
          <w:rFonts w:ascii="Verdana" w:hAnsi="Verdana"/>
          <w:sz w:val="19"/>
          <w:szCs w:val="19"/>
        </w:rPr>
        <w:t xml:space="preserve">“adoptar […] las medidas pertinentes para garantizar el acceso técnico y sistematizado a información acerca de las graves violaciones de derechos humanos ocurridas durante la dictadura que reposa en archivos estatales” </w:t>
      </w:r>
      <w:r w:rsidRPr="00150B5A">
        <w:rPr>
          <w:rFonts w:ascii="Verdana" w:hAnsi="Verdana"/>
          <w:i/>
          <w:iCs/>
          <w:sz w:val="19"/>
          <w:szCs w:val="19"/>
        </w:rPr>
        <w:t>(punto resolutiv</w:t>
      </w:r>
      <w:r w:rsidR="00232F0C">
        <w:rPr>
          <w:rFonts w:ascii="Verdana" w:hAnsi="Verdana"/>
          <w:i/>
          <w:iCs/>
          <w:sz w:val="19"/>
          <w:szCs w:val="19"/>
        </w:rPr>
        <w:t>o décimo sexto de la Sentencia)</w:t>
      </w:r>
      <w:r w:rsidR="00F8351B">
        <w:rPr>
          <w:rFonts w:ascii="Verdana" w:hAnsi="Verdana"/>
          <w:i/>
          <w:iCs/>
          <w:sz w:val="19"/>
          <w:szCs w:val="19"/>
        </w:rPr>
        <w:t>;</w:t>
      </w:r>
    </w:p>
    <w:p w14:paraId="67F68152" w14:textId="24C80865" w:rsidR="00232F0C" w:rsidRDefault="0019173A" w:rsidP="00036CC6">
      <w:pPr>
        <w:pStyle w:val="Prrafodelista"/>
        <w:numPr>
          <w:ilvl w:val="0"/>
          <w:numId w:val="21"/>
        </w:numPr>
        <w:spacing w:before="120" w:after="120" w:line="240" w:lineRule="auto"/>
        <w:ind w:right="4"/>
        <w:contextualSpacing w:val="0"/>
        <w:jc w:val="both"/>
        <w:rPr>
          <w:rFonts w:ascii="Verdana" w:hAnsi="Verdana"/>
          <w:sz w:val="19"/>
          <w:szCs w:val="19"/>
        </w:rPr>
      </w:pPr>
      <w:r w:rsidRPr="0019173A">
        <w:rPr>
          <w:rFonts w:ascii="Verdana" w:hAnsi="Verdana"/>
          <w:sz w:val="19"/>
          <w:szCs w:val="19"/>
        </w:rPr>
        <w:t>creación de una “Comisión Interministerial que se encargue de</w:t>
      </w:r>
      <w:r w:rsidRPr="008E2134">
        <w:rPr>
          <w:rFonts w:ascii="Verdana" w:hAnsi="Verdana"/>
          <w:sz w:val="20"/>
          <w:szCs w:val="20"/>
        </w:rPr>
        <w:t xml:space="preserve"> </w:t>
      </w:r>
      <w:r w:rsidR="00232F0C" w:rsidRPr="00232F0C">
        <w:rPr>
          <w:rFonts w:ascii="Verdana" w:hAnsi="Verdana"/>
          <w:sz w:val="19"/>
          <w:szCs w:val="19"/>
        </w:rPr>
        <w:t xml:space="preserve">dar impulso a las investigaciones para esclarecer el destino de los desaparecidos entre los años 1973 a 1985 </w:t>
      </w:r>
      <w:r w:rsidR="00232F0C" w:rsidRPr="00232F0C">
        <w:rPr>
          <w:rFonts w:ascii="Verdana" w:hAnsi="Verdana"/>
          <w:i/>
          <w:sz w:val="19"/>
          <w:szCs w:val="19"/>
        </w:rPr>
        <w:t xml:space="preserve">(párrafo </w:t>
      </w:r>
      <w:r w:rsidR="00F8351B" w:rsidRPr="00232F0C">
        <w:rPr>
          <w:rFonts w:ascii="Verdana" w:hAnsi="Verdana"/>
          <w:i/>
          <w:sz w:val="19"/>
          <w:szCs w:val="19"/>
        </w:rPr>
        <w:t>27</w:t>
      </w:r>
      <w:r w:rsidR="00F8351B">
        <w:rPr>
          <w:rFonts w:ascii="Verdana" w:hAnsi="Verdana"/>
          <w:i/>
          <w:sz w:val="19"/>
          <w:szCs w:val="19"/>
        </w:rPr>
        <w:t>4</w:t>
      </w:r>
      <w:r w:rsidR="00F8351B" w:rsidRPr="00232F0C">
        <w:rPr>
          <w:rFonts w:ascii="Verdana" w:hAnsi="Verdana"/>
          <w:i/>
          <w:sz w:val="19"/>
          <w:szCs w:val="19"/>
        </w:rPr>
        <w:t xml:space="preserve"> </w:t>
      </w:r>
      <w:r w:rsidR="00232F0C" w:rsidRPr="00232F0C">
        <w:rPr>
          <w:rFonts w:ascii="Verdana" w:hAnsi="Verdana"/>
          <w:i/>
          <w:sz w:val="19"/>
          <w:szCs w:val="19"/>
        </w:rPr>
        <w:t>de la Sentencia y punto resolutivo noveno de la Sentencia)</w:t>
      </w:r>
      <w:r w:rsidR="00F8351B">
        <w:rPr>
          <w:rFonts w:ascii="Verdana" w:hAnsi="Verdana"/>
          <w:sz w:val="19"/>
          <w:szCs w:val="19"/>
        </w:rPr>
        <w:t>,</w:t>
      </w:r>
      <w:r w:rsidR="00B82077">
        <w:rPr>
          <w:rFonts w:ascii="Verdana" w:hAnsi="Verdana"/>
          <w:sz w:val="19"/>
          <w:szCs w:val="19"/>
        </w:rPr>
        <w:t xml:space="preserve"> </w:t>
      </w:r>
      <w:r w:rsidR="00F8351B">
        <w:rPr>
          <w:rFonts w:ascii="Verdana" w:hAnsi="Verdana"/>
          <w:sz w:val="19"/>
          <w:szCs w:val="19"/>
        </w:rPr>
        <w:t>y</w:t>
      </w:r>
    </w:p>
    <w:p w14:paraId="3AFA5048" w14:textId="55919715" w:rsidR="00F8351B" w:rsidRPr="00670105" w:rsidRDefault="00F8351B" w:rsidP="00036CC6">
      <w:pPr>
        <w:pStyle w:val="Prrafodelista"/>
        <w:numPr>
          <w:ilvl w:val="0"/>
          <w:numId w:val="21"/>
        </w:numPr>
        <w:spacing w:before="120" w:after="120" w:line="240" w:lineRule="auto"/>
        <w:ind w:right="4"/>
        <w:contextualSpacing w:val="0"/>
        <w:jc w:val="both"/>
        <w:rPr>
          <w:rFonts w:ascii="Verdana" w:hAnsi="Verdana"/>
          <w:sz w:val="19"/>
          <w:szCs w:val="19"/>
        </w:rPr>
      </w:pPr>
      <w:r>
        <w:rPr>
          <w:rFonts w:ascii="Verdana" w:hAnsi="Verdana"/>
          <w:iCs/>
          <w:sz w:val="19"/>
          <w:szCs w:val="19"/>
        </w:rPr>
        <w:t xml:space="preserve"> </w:t>
      </w:r>
      <w:r w:rsidRPr="008F4809">
        <w:rPr>
          <w:rFonts w:ascii="Verdana" w:hAnsi="Verdana"/>
          <w:iCs/>
          <w:sz w:val="19"/>
          <w:szCs w:val="19"/>
        </w:rPr>
        <w:t>adoptar “un Protocolo para la recolección e información de restos de personas desaparecidas</w:t>
      </w:r>
      <w:r>
        <w:rPr>
          <w:rFonts w:ascii="Verdana" w:hAnsi="Verdana"/>
          <w:i/>
          <w:iCs/>
          <w:sz w:val="19"/>
          <w:szCs w:val="19"/>
        </w:rPr>
        <w:t xml:space="preserve"> (párrafo 275 y punto resolutivo décimo sexto de la Sentencia).</w:t>
      </w:r>
    </w:p>
    <w:p w14:paraId="4D5DE183" w14:textId="77777777" w:rsidR="00670105" w:rsidRPr="00670105" w:rsidRDefault="00670105" w:rsidP="00670105">
      <w:pPr>
        <w:pStyle w:val="Prrafodelista"/>
        <w:spacing w:before="120" w:after="120" w:line="240" w:lineRule="auto"/>
        <w:ind w:right="4"/>
        <w:contextualSpacing w:val="0"/>
        <w:jc w:val="both"/>
        <w:rPr>
          <w:rFonts w:ascii="Verdana" w:hAnsi="Verdana"/>
          <w:sz w:val="8"/>
          <w:szCs w:val="8"/>
        </w:rPr>
      </w:pPr>
    </w:p>
    <w:p w14:paraId="46A7DC47" w14:textId="111A1865" w:rsidR="00036CC6" w:rsidRPr="00CB3874" w:rsidRDefault="00036CC6" w:rsidP="00036CC6">
      <w:pPr>
        <w:pStyle w:val="Prrafodelista"/>
        <w:numPr>
          <w:ilvl w:val="0"/>
          <w:numId w:val="20"/>
        </w:numPr>
        <w:spacing w:before="120" w:after="120" w:line="240" w:lineRule="auto"/>
        <w:ind w:left="0" w:right="4" w:firstLine="0"/>
        <w:contextualSpacing w:val="0"/>
        <w:jc w:val="both"/>
        <w:rPr>
          <w:rFonts w:ascii="Verdana" w:hAnsi="Verdana"/>
          <w:b/>
          <w:sz w:val="20"/>
          <w:lang w:val="es-MX"/>
        </w:rPr>
      </w:pPr>
      <w:r w:rsidRPr="005D1F1A">
        <w:rPr>
          <w:rFonts w:ascii="Verdana" w:hAnsi="Verdana"/>
          <w:sz w:val="20"/>
        </w:rPr>
        <w:t xml:space="preserve">Disponer que el Estado de </w:t>
      </w:r>
      <w:r>
        <w:rPr>
          <w:rFonts w:ascii="Verdana" w:hAnsi="Verdana"/>
          <w:sz w:val="20"/>
        </w:rPr>
        <w:t>Uruguay</w:t>
      </w:r>
      <w:r w:rsidRPr="005D1F1A">
        <w:rPr>
          <w:rFonts w:ascii="Verdana" w:hAnsi="Verdana"/>
          <w:sz w:val="20"/>
        </w:rPr>
        <w:t xml:space="preserve"> adopte, en definitiva y a la mayor brevedad posible, las medidas que sean necesarias para dar efectivo y pronto cumplimiento a las reparaciones indicadas en el punto resolutivo </w:t>
      </w:r>
      <w:r w:rsidRPr="00CB3874">
        <w:rPr>
          <w:rFonts w:ascii="Verdana" w:hAnsi="Verdana"/>
          <w:sz w:val="20"/>
        </w:rPr>
        <w:t>anterior, de acuerdo con lo considerado en la presente Resolución, y con lo estipulado en el artículo 68.1 de la Convención Americana sobre Derechos Humanos.</w:t>
      </w:r>
    </w:p>
    <w:p w14:paraId="31268C4C" w14:textId="5E712306" w:rsidR="00232F0C" w:rsidRPr="00CB3874" w:rsidRDefault="00232F0C" w:rsidP="00036CC6">
      <w:pPr>
        <w:pStyle w:val="Prrafodelista"/>
        <w:numPr>
          <w:ilvl w:val="0"/>
          <w:numId w:val="20"/>
        </w:numPr>
        <w:spacing w:before="120" w:after="120" w:line="240" w:lineRule="auto"/>
        <w:ind w:left="0" w:right="4" w:firstLine="0"/>
        <w:contextualSpacing w:val="0"/>
        <w:jc w:val="both"/>
        <w:rPr>
          <w:rFonts w:ascii="Verdana" w:hAnsi="Verdana"/>
          <w:b/>
          <w:sz w:val="20"/>
          <w:szCs w:val="20"/>
          <w:lang w:val="es-MX"/>
        </w:rPr>
      </w:pPr>
      <w:r w:rsidRPr="00CB3874">
        <w:rPr>
          <w:rFonts w:ascii="Verdana" w:hAnsi="Verdana"/>
          <w:sz w:val="20"/>
          <w:szCs w:val="20"/>
        </w:rPr>
        <w:t>En aplicación del artículo 69.2 de su Reglamento, solicitar a la Institución Nacional de Derechos Humanos y Defensoría del Pueblo de Uruguay que</w:t>
      </w:r>
      <w:r w:rsidR="001F2CE8" w:rsidRPr="00CB3874">
        <w:rPr>
          <w:rFonts w:ascii="Verdana" w:hAnsi="Verdana"/>
          <w:sz w:val="20"/>
          <w:szCs w:val="20"/>
        </w:rPr>
        <w:t>,</w:t>
      </w:r>
      <w:r w:rsidRPr="00CB3874">
        <w:rPr>
          <w:rFonts w:ascii="Verdana" w:hAnsi="Verdana"/>
          <w:sz w:val="20"/>
          <w:szCs w:val="20"/>
        </w:rPr>
        <w:t xml:space="preserve"> en el plazo de </w:t>
      </w:r>
      <w:r w:rsidR="00F8351B" w:rsidRPr="00CB3874">
        <w:rPr>
          <w:rFonts w:ascii="Verdana" w:hAnsi="Verdana"/>
          <w:sz w:val="20"/>
          <w:szCs w:val="20"/>
        </w:rPr>
        <w:t xml:space="preserve">tres </w:t>
      </w:r>
      <w:r w:rsidRPr="00CB3874">
        <w:rPr>
          <w:rFonts w:ascii="Verdana" w:hAnsi="Verdana"/>
          <w:sz w:val="20"/>
          <w:szCs w:val="20"/>
        </w:rPr>
        <w:t xml:space="preserve">meses a partir de la notificación de la presente Resolución, presente un informe que tome en cuenta lo indicado en el Considerando </w:t>
      </w:r>
      <w:r w:rsidR="00F8351B" w:rsidRPr="00CB3874">
        <w:rPr>
          <w:rFonts w:ascii="Verdana" w:hAnsi="Verdana"/>
          <w:sz w:val="20"/>
          <w:szCs w:val="20"/>
        </w:rPr>
        <w:t xml:space="preserve">62 </w:t>
      </w:r>
      <w:r w:rsidRPr="00CB3874">
        <w:rPr>
          <w:rFonts w:ascii="Verdana" w:hAnsi="Verdana"/>
          <w:sz w:val="20"/>
          <w:szCs w:val="20"/>
        </w:rPr>
        <w:t>de la misma.</w:t>
      </w:r>
    </w:p>
    <w:p w14:paraId="28C1B66F" w14:textId="71B75101" w:rsidR="00232F0C" w:rsidRPr="00670105" w:rsidRDefault="00232F0C" w:rsidP="00232F0C">
      <w:pPr>
        <w:pStyle w:val="Prrafodelista"/>
        <w:numPr>
          <w:ilvl w:val="0"/>
          <w:numId w:val="20"/>
        </w:numPr>
        <w:spacing w:before="120" w:after="120" w:line="240" w:lineRule="auto"/>
        <w:ind w:left="0" w:right="4" w:firstLine="0"/>
        <w:contextualSpacing w:val="0"/>
        <w:jc w:val="both"/>
        <w:rPr>
          <w:rFonts w:ascii="Verdana" w:hAnsi="Verdana"/>
          <w:b/>
          <w:sz w:val="20"/>
          <w:szCs w:val="20"/>
          <w:lang w:val="es-MX"/>
        </w:rPr>
      </w:pPr>
      <w:r w:rsidRPr="00CB3874">
        <w:rPr>
          <w:rFonts w:ascii="Verdana" w:hAnsi="Verdana"/>
          <w:sz w:val="20"/>
          <w:szCs w:val="20"/>
        </w:rPr>
        <w:t>Disponer que cuando la Institución Nacional de Derechos Humanos y Defensoría del Pueblo del Uruguay aporte el informe referido en el punto resolutivo anterior, la Presidencia del Tribunal otorgue un plazo al Estado para que brinde su op</w:t>
      </w:r>
      <w:r w:rsidR="00024637" w:rsidRPr="00CB3874">
        <w:rPr>
          <w:rFonts w:ascii="Verdana" w:hAnsi="Verdana"/>
          <w:sz w:val="20"/>
          <w:szCs w:val="20"/>
        </w:rPr>
        <w:t>inión al respecto, y plazos a lo</w:t>
      </w:r>
      <w:r w:rsidRPr="00CB3874">
        <w:rPr>
          <w:rFonts w:ascii="Verdana" w:hAnsi="Verdana"/>
          <w:sz w:val="20"/>
          <w:szCs w:val="20"/>
        </w:rPr>
        <w:t>s representantes de las víctimas y a la Comisión Interamericana para que presenten las observaciones que estimen pertinentes.</w:t>
      </w:r>
    </w:p>
    <w:p w14:paraId="20AB7A8B" w14:textId="77777777" w:rsidR="00670105" w:rsidRPr="00CB3874" w:rsidRDefault="00670105" w:rsidP="00670105">
      <w:pPr>
        <w:pStyle w:val="Prrafodelista"/>
        <w:spacing w:before="120" w:after="120" w:line="240" w:lineRule="auto"/>
        <w:ind w:left="0" w:right="4"/>
        <w:contextualSpacing w:val="0"/>
        <w:jc w:val="both"/>
        <w:rPr>
          <w:rFonts w:ascii="Verdana" w:hAnsi="Verdana"/>
          <w:b/>
          <w:sz w:val="20"/>
          <w:szCs w:val="20"/>
          <w:lang w:val="es-MX"/>
        </w:rPr>
      </w:pPr>
    </w:p>
    <w:p w14:paraId="30BA62F7" w14:textId="6BC86D6B" w:rsidR="00036CC6" w:rsidRPr="00CB3874" w:rsidRDefault="00036CC6" w:rsidP="00036CC6">
      <w:pPr>
        <w:pStyle w:val="Prrafodelista"/>
        <w:numPr>
          <w:ilvl w:val="0"/>
          <w:numId w:val="20"/>
        </w:numPr>
        <w:spacing w:before="120" w:after="120" w:line="240" w:lineRule="auto"/>
        <w:ind w:left="0" w:right="4" w:firstLine="0"/>
        <w:contextualSpacing w:val="0"/>
        <w:jc w:val="both"/>
        <w:rPr>
          <w:rFonts w:ascii="Verdana" w:hAnsi="Verdana"/>
          <w:sz w:val="20"/>
        </w:rPr>
      </w:pPr>
      <w:r w:rsidRPr="00CB3874">
        <w:rPr>
          <w:rFonts w:ascii="Verdana" w:hAnsi="Verdana"/>
          <w:sz w:val="20"/>
        </w:rPr>
        <w:t xml:space="preserve">Disponer que el Estado presente a la Corte Interamericana de Derechos Humanos, a más tardar el </w:t>
      </w:r>
      <w:r w:rsidR="006762B2" w:rsidRPr="00CB3874">
        <w:rPr>
          <w:rFonts w:ascii="Verdana" w:hAnsi="Verdana"/>
          <w:sz w:val="20"/>
        </w:rPr>
        <w:t>15</w:t>
      </w:r>
      <w:r w:rsidR="00F8351B" w:rsidRPr="00CB3874">
        <w:rPr>
          <w:rFonts w:ascii="Verdana" w:hAnsi="Verdana"/>
          <w:sz w:val="20"/>
        </w:rPr>
        <w:t xml:space="preserve"> </w:t>
      </w:r>
      <w:r w:rsidRPr="00CB3874">
        <w:rPr>
          <w:rFonts w:ascii="Verdana" w:hAnsi="Verdana"/>
          <w:sz w:val="20"/>
        </w:rPr>
        <w:t xml:space="preserve">de </w:t>
      </w:r>
      <w:r w:rsidR="00F8351B" w:rsidRPr="00CB3874">
        <w:rPr>
          <w:rFonts w:ascii="Verdana" w:hAnsi="Verdana"/>
          <w:sz w:val="20"/>
        </w:rPr>
        <w:t xml:space="preserve">abril </w:t>
      </w:r>
      <w:r w:rsidRPr="00CB3874">
        <w:rPr>
          <w:rFonts w:ascii="Verdana" w:hAnsi="Verdana"/>
          <w:sz w:val="20"/>
        </w:rPr>
        <w:t xml:space="preserve">de 2021, un informe sobre todas las medidas pendientes de cumplimiento, de conformidad con lo indicado en el punto resolutivos </w:t>
      </w:r>
      <w:r w:rsidR="00F8351B" w:rsidRPr="00CB3874">
        <w:rPr>
          <w:rFonts w:ascii="Verdana" w:hAnsi="Verdana"/>
          <w:sz w:val="20"/>
        </w:rPr>
        <w:t xml:space="preserve">primero </w:t>
      </w:r>
      <w:r w:rsidRPr="00CB3874">
        <w:rPr>
          <w:rFonts w:ascii="Verdana" w:hAnsi="Verdana"/>
          <w:sz w:val="20"/>
        </w:rPr>
        <w:t xml:space="preserve">a </w:t>
      </w:r>
      <w:r w:rsidR="00F8351B" w:rsidRPr="00CB3874">
        <w:rPr>
          <w:rFonts w:ascii="Verdana" w:hAnsi="Verdana"/>
          <w:sz w:val="20"/>
        </w:rPr>
        <w:t xml:space="preserve">tercero </w:t>
      </w:r>
      <w:r w:rsidRPr="00CB3874">
        <w:rPr>
          <w:rFonts w:ascii="Verdana" w:hAnsi="Verdana"/>
          <w:sz w:val="20"/>
        </w:rPr>
        <w:t xml:space="preserve">y los Considerandos </w:t>
      </w:r>
      <w:r w:rsidR="00163E41" w:rsidRPr="00CB3874">
        <w:rPr>
          <w:rFonts w:ascii="Verdana" w:hAnsi="Verdana"/>
          <w:sz w:val="20"/>
        </w:rPr>
        <w:t>20, 33, 41, 49, 56, 63 y 65</w:t>
      </w:r>
      <w:r w:rsidRPr="00CB3874">
        <w:rPr>
          <w:rFonts w:ascii="Verdana" w:hAnsi="Verdana"/>
          <w:sz w:val="20"/>
        </w:rPr>
        <w:t xml:space="preserve"> de la presente Resolución. </w:t>
      </w:r>
    </w:p>
    <w:p w14:paraId="79736908" w14:textId="0CD3D9A0" w:rsidR="00036CC6" w:rsidRPr="00CB3874" w:rsidRDefault="00036CC6" w:rsidP="00036CC6">
      <w:pPr>
        <w:pStyle w:val="Prrafodelista"/>
        <w:numPr>
          <w:ilvl w:val="0"/>
          <w:numId w:val="20"/>
        </w:numPr>
        <w:spacing w:before="120" w:after="120" w:line="240" w:lineRule="auto"/>
        <w:ind w:left="0" w:right="4" w:firstLine="0"/>
        <w:contextualSpacing w:val="0"/>
        <w:jc w:val="both"/>
        <w:rPr>
          <w:rFonts w:ascii="Verdana" w:hAnsi="Verdana"/>
          <w:sz w:val="20"/>
        </w:rPr>
      </w:pPr>
      <w:r w:rsidRPr="00CB3874">
        <w:rPr>
          <w:rFonts w:ascii="Verdana" w:hAnsi="Verdana"/>
          <w:sz w:val="20"/>
        </w:rPr>
        <w:t xml:space="preserve">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 </w:t>
      </w:r>
    </w:p>
    <w:p w14:paraId="684E8FDE" w14:textId="050770FF" w:rsidR="009F3A03" w:rsidRDefault="00036CC6" w:rsidP="001478DB">
      <w:pPr>
        <w:pStyle w:val="Prrafodelista"/>
        <w:numPr>
          <w:ilvl w:val="0"/>
          <w:numId w:val="20"/>
        </w:numPr>
        <w:spacing w:before="120" w:after="120" w:line="240" w:lineRule="auto"/>
        <w:ind w:left="0" w:right="4" w:firstLine="0"/>
        <w:contextualSpacing w:val="0"/>
        <w:jc w:val="both"/>
        <w:rPr>
          <w:rFonts w:ascii="Verdana" w:hAnsi="Verdana"/>
          <w:sz w:val="20"/>
        </w:rPr>
      </w:pPr>
      <w:r w:rsidRPr="005F1481">
        <w:rPr>
          <w:rFonts w:ascii="Verdana" w:hAnsi="Verdana"/>
          <w:sz w:val="20"/>
        </w:rPr>
        <w:t>Disponer que la Secretaría de la Corte notifique la presente Resolución al Estado, a l</w:t>
      </w:r>
      <w:r w:rsidR="00305CB1">
        <w:rPr>
          <w:rFonts w:ascii="Verdana" w:hAnsi="Verdana"/>
          <w:sz w:val="20"/>
        </w:rPr>
        <w:t xml:space="preserve">os </w:t>
      </w:r>
      <w:r w:rsidRPr="005F1481">
        <w:rPr>
          <w:rFonts w:ascii="Verdana" w:hAnsi="Verdana"/>
          <w:sz w:val="20"/>
        </w:rPr>
        <w:t>representante</w:t>
      </w:r>
      <w:r w:rsidR="00305CB1">
        <w:rPr>
          <w:rFonts w:ascii="Verdana" w:hAnsi="Verdana"/>
          <w:sz w:val="20"/>
        </w:rPr>
        <w:t>s</w:t>
      </w:r>
      <w:r w:rsidRPr="005F1481">
        <w:rPr>
          <w:rFonts w:ascii="Verdana" w:hAnsi="Verdana"/>
          <w:sz w:val="20"/>
        </w:rPr>
        <w:t xml:space="preserve"> de las víctimas</w:t>
      </w:r>
      <w:r w:rsidR="00F8351B">
        <w:rPr>
          <w:rFonts w:ascii="Verdana" w:hAnsi="Verdana"/>
          <w:sz w:val="20"/>
        </w:rPr>
        <w:t>,</w:t>
      </w:r>
      <w:r w:rsidRPr="005F1481">
        <w:rPr>
          <w:rFonts w:ascii="Verdana" w:hAnsi="Verdana"/>
          <w:sz w:val="20"/>
        </w:rPr>
        <w:t xml:space="preserve"> a la Comisión Interamericana de Derechos </w:t>
      </w:r>
      <w:r w:rsidRPr="005F1481">
        <w:rPr>
          <w:rFonts w:ascii="Verdana" w:hAnsi="Verdana"/>
          <w:sz w:val="20"/>
        </w:rPr>
        <w:lastRenderedPageBreak/>
        <w:t>Humanos</w:t>
      </w:r>
      <w:r w:rsidR="00F8351B">
        <w:rPr>
          <w:rFonts w:ascii="Verdana" w:hAnsi="Verdana"/>
          <w:sz w:val="20"/>
        </w:rPr>
        <w:t xml:space="preserve"> y a la </w:t>
      </w:r>
      <w:r w:rsidR="00F8351B" w:rsidRPr="00232F0C">
        <w:rPr>
          <w:rFonts w:ascii="Verdana" w:hAnsi="Verdana"/>
          <w:sz w:val="20"/>
          <w:szCs w:val="20"/>
        </w:rPr>
        <w:t>Institución Nacional de Derechos Humanos y Defensoría del Pueblo de Uruguay</w:t>
      </w:r>
      <w:r w:rsidRPr="005F1481">
        <w:rPr>
          <w:rFonts w:ascii="Verdana" w:hAnsi="Verdana"/>
          <w:sz w:val="20"/>
        </w:rPr>
        <w:t>.</w:t>
      </w:r>
    </w:p>
    <w:p w14:paraId="0986A20F" w14:textId="3885CEB4" w:rsidR="009F3A03" w:rsidRDefault="009F3A03">
      <w:pPr>
        <w:rPr>
          <w:rFonts w:ascii="Verdana" w:hAnsi="Verdana"/>
          <w:sz w:val="20"/>
        </w:rPr>
      </w:pPr>
    </w:p>
    <w:p w14:paraId="07E2C8EC" w14:textId="77777777" w:rsidR="009F3A03" w:rsidRDefault="009F3A03" w:rsidP="009F3A03">
      <w:pPr>
        <w:spacing w:after="0" w:line="240" w:lineRule="auto"/>
        <w:jc w:val="both"/>
        <w:rPr>
          <w:rFonts w:ascii="Verdana" w:hAnsi="Verdana"/>
          <w:sz w:val="20"/>
          <w:lang w:val="es-ES"/>
        </w:rPr>
      </w:pPr>
      <w:r w:rsidRPr="00C73BBD">
        <w:rPr>
          <w:rFonts w:ascii="Verdana" w:hAnsi="Verdana"/>
          <w:sz w:val="20"/>
        </w:rPr>
        <w:t xml:space="preserve">Corte IDH. </w:t>
      </w:r>
      <w:r w:rsidRPr="00C73BBD">
        <w:rPr>
          <w:rFonts w:ascii="Verdana" w:hAnsi="Verdana"/>
          <w:i/>
          <w:iCs/>
          <w:sz w:val="20"/>
        </w:rPr>
        <w:t xml:space="preserve">Caso </w:t>
      </w:r>
      <w:r>
        <w:rPr>
          <w:rFonts w:ascii="Verdana" w:hAnsi="Verdana"/>
          <w:i/>
          <w:iCs/>
          <w:sz w:val="20"/>
        </w:rPr>
        <w:t>Gelman</w:t>
      </w:r>
      <w:r w:rsidRPr="00C73BBD">
        <w:rPr>
          <w:rFonts w:ascii="Verdana" w:hAnsi="Verdana"/>
          <w:i/>
          <w:iCs/>
          <w:sz w:val="20"/>
        </w:rPr>
        <w:t xml:space="preserve"> Vs</w:t>
      </w:r>
      <w:r>
        <w:rPr>
          <w:rFonts w:ascii="Verdana" w:hAnsi="Verdana"/>
          <w:i/>
          <w:iCs/>
          <w:sz w:val="20"/>
        </w:rPr>
        <w:t>.</w:t>
      </w:r>
      <w:r w:rsidRPr="00C73BBD">
        <w:rPr>
          <w:rFonts w:ascii="Verdana" w:hAnsi="Verdana"/>
          <w:i/>
          <w:iCs/>
          <w:sz w:val="20"/>
        </w:rPr>
        <w:t xml:space="preserve"> </w:t>
      </w:r>
      <w:r>
        <w:rPr>
          <w:rFonts w:ascii="Verdana" w:hAnsi="Verdana"/>
          <w:i/>
          <w:iCs/>
          <w:sz w:val="20"/>
        </w:rPr>
        <w:t>Uruguay</w:t>
      </w:r>
      <w:r w:rsidRPr="00C73BBD">
        <w:rPr>
          <w:rFonts w:ascii="Verdana" w:hAnsi="Verdana"/>
          <w:i/>
          <w:iCs/>
          <w:sz w:val="20"/>
        </w:rPr>
        <w:t>. Supervisión de Cumplimiento de Sentencia.</w:t>
      </w:r>
      <w:r w:rsidRPr="00C73BBD">
        <w:rPr>
          <w:rFonts w:ascii="Verdana" w:hAnsi="Verdana"/>
          <w:sz w:val="20"/>
        </w:rPr>
        <w:t xml:space="preserve"> Resolución de la Corte Interamericana de Derechos Humanos de 19 de noviembre de 20</w:t>
      </w:r>
      <w:r>
        <w:rPr>
          <w:rFonts w:ascii="Verdana" w:hAnsi="Verdana"/>
          <w:sz w:val="20"/>
        </w:rPr>
        <w:t>20</w:t>
      </w:r>
      <w:r w:rsidRPr="00C73BBD">
        <w:rPr>
          <w:rFonts w:ascii="Verdana" w:hAnsi="Verdana"/>
          <w:sz w:val="20"/>
        </w:rPr>
        <w:t>. Resolución adoptada en San José de Costa Rica por medio de sesión virtual.</w:t>
      </w:r>
    </w:p>
    <w:p w14:paraId="2242B11F" w14:textId="77777777" w:rsidR="009F3A03" w:rsidRPr="00C73BBD" w:rsidRDefault="009F3A03" w:rsidP="009F3A03">
      <w:pPr>
        <w:spacing w:after="0" w:line="240" w:lineRule="auto"/>
        <w:jc w:val="center"/>
        <w:rPr>
          <w:rFonts w:ascii="Verdana" w:hAnsi="Verdana"/>
          <w:sz w:val="20"/>
          <w:lang w:val="es-ES"/>
        </w:rPr>
      </w:pPr>
    </w:p>
    <w:p w14:paraId="7391AC41" w14:textId="77777777" w:rsidR="009F3A03" w:rsidRDefault="009F3A03" w:rsidP="009F3A03">
      <w:pPr>
        <w:spacing w:after="0" w:line="240" w:lineRule="auto"/>
        <w:jc w:val="center"/>
        <w:rPr>
          <w:rFonts w:ascii="Verdana" w:hAnsi="Verdana"/>
          <w:sz w:val="20"/>
          <w:lang w:val="pt-BR"/>
        </w:rPr>
      </w:pPr>
    </w:p>
    <w:p w14:paraId="10FB43FF" w14:textId="77777777" w:rsidR="009F3A03" w:rsidRDefault="009F3A03" w:rsidP="009F3A03">
      <w:pPr>
        <w:spacing w:after="0" w:line="240" w:lineRule="auto"/>
        <w:jc w:val="center"/>
        <w:rPr>
          <w:rFonts w:ascii="Verdana" w:hAnsi="Verdana"/>
          <w:sz w:val="20"/>
          <w:lang w:val="pt-BR"/>
        </w:rPr>
      </w:pPr>
    </w:p>
    <w:p w14:paraId="126C3E1E" w14:textId="77777777" w:rsidR="009F3A03" w:rsidRDefault="009F3A03" w:rsidP="009F3A03">
      <w:pPr>
        <w:spacing w:after="0" w:line="240" w:lineRule="auto"/>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5D97CC61" w14:textId="77777777" w:rsidR="009F3A03" w:rsidRDefault="009F3A03" w:rsidP="009F3A03">
      <w:pPr>
        <w:spacing w:after="0" w:line="240" w:lineRule="auto"/>
        <w:jc w:val="center"/>
        <w:rPr>
          <w:rFonts w:ascii="Verdana" w:hAnsi="Verdana"/>
          <w:sz w:val="20"/>
          <w:lang w:val="pt-BR"/>
        </w:rPr>
      </w:pPr>
      <w:r>
        <w:rPr>
          <w:rFonts w:ascii="Verdana" w:hAnsi="Verdana"/>
          <w:sz w:val="20"/>
          <w:lang w:val="pt-BR"/>
        </w:rPr>
        <w:t>Presidenta</w:t>
      </w:r>
    </w:p>
    <w:p w14:paraId="23888A05" w14:textId="77777777" w:rsidR="009F3A03" w:rsidRDefault="009F3A03" w:rsidP="009F3A03">
      <w:pPr>
        <w:spacing w:after="0" w:line="240" w:lineRule="auto"/>
        <w:jc w:val="center"/>
        <w:rPr>
          <w:rFonts w:ascii="Verdana" w:hAnsi="Verdana"/>
          <w:sz w:val="20"/>
          <w:lang w:val="pt-BR"/>
        </w:rPr>
      </w:pPr>
    </w:p>
    <w:p w14:paraId="3A211498" w14:textId="77777777" w:rsidR="009F3A03" w:rsidRDefault="009F3A03" w:rsidP="009F3A03">
      <w:pPr>
        <w:spacing w:after="0" w:line="240" w:lineRule="auto"/>
        <w:rPr>
          <w:rFonts w:ascii="Verdana" w:hAnsi="Verdana"/>
          <w:sz w:val="20"/>
          <w:lang w:val="pt-BR"/>
        </w:rPr>
      </w:pPr>
    </w:p>
    <w:p w14:paraId="221FEDE7" w14:textId="77777777" w:rsidR="009F3A03" w:rsidRDefault="009F3A03" w:rsidP="009F3A03">
      <w:pPr>
        <w:spacing w:after="0" w:line="240" w:lineRule="auto"/>
        <w:rPr>
          <w:rFonts w:ascii="Verdana" w:hAnsi="Verdana"/>
          <w:sz w:val="20"/>
          <w:lang w:val="pt-BR"/>
        </w:rPr>
      </w:pPr>
    </w:p>
    <w:p w14:paraId="3DF672DC" w14:textId="139D35DE" w:rsidR="009F3A03" w:rsidRDefault="009F3A03" w:rsidP="009F3A03">
      <w:pPr>
        <w:spacing w:after="0" w:line="240" w:lineRule="auto"/>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32A147C0" w14:textId="77777777" w:rsidR="009F3A03" w:rsidRDefault="009F3A03" w:rsidP="009F3A03">
      <w:pPr>
        <w:spacing w:after="0" w:line="240" w:lineRule="auto"/>
        <w:rPr>
          <w:rFonts w:ascii="Verdana" w:hAnsi="Verdana"/>
          <w:sz w:val="20"/>
          <w:lang w:val="pt-BR"/>
        </w:rPr>
      </w:pPr>
    </w:p>
    <w:p w14:paraId="704A64D1" w14:textId="77777777" w:rsidR="009F3A03" w:rsidRDefault="009F3A03" w:rsidP="009F3A03">
      <w:pPr>
        <w:spacing w:after="0" w:line="240" w:lineRule="auto"/>
        <w:rPr>
          <w:rFonts w:ascii="Verdana" w:hAnsi="Verdana"/>
          <w:sz w:val="20"/>
          <w:lang w:val="pt-BR"/>
        </w:rPr>
      </w:pPr>
    </w:p>
    <w:p w14:paraId="710A9E7C" w14:textId="77777777" w:rsidR="009F3A03" w:rsidRDefault="009F3A03" w:rsidP="009F3A03">
      <w:pPr>
        <w:spacing w:after="0" w:line="240" w:lineRule="auto"/>
        <w:rPr>
          <w:rFonts w:ascii="Verdana" w:hAnsi="Verdana"/>
          <w:sz w:val="20"/>
          <w:lang w:val="pt-BR"/>
        </w:rPr>
      </w:pPr>
    </w:p>
    <w:p w14:paraId="52D47CBF" w14:textId="61024F27" w:rsidR="009F3A03" w:rsidRDefault="009F3A03" w:rsidP="009F3A03">
      <w:pPr>
        <w:spacing w:after="0" w:line="240" w:lineRule="auto"/>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t xml:space="preserve">Eduardo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sidRPr="0019261A">
        <w:rPr>
          <w:rFonts w:ascii="Verdana" w:hAnsi="Verdana"/>
          <w:sz w:val="20"/>
          <w:lang w:val="pt-BR"/>
        </w:rPr>
        <w:tab/>
      </w:r>
      <w:r>
        <w:rPr>
          <w:rFonts w:ascii="Verdana" w:hAnsi="Verdana"/>
          <w:sz w:val="20"/>
          <w:lang w:val="pt-BR"/>
        </w:rPr>
        <w:t xml:space="preserve">                                                   </w:t>
      </w:r>
    </w:p>
    <w:p w14:paraId="3CC27BEF" w14:textId="77777777" w:rsidR="009F3A03" w:rsidRDefault="009F3A03" w:rsidP="009F3A03">
      <w:pPr>
        <w:spacing w:after="0" w:line="240" w:lineRule="auto"/>
        <w:rPr>
          <w:rFonts w:ascii="Verdana" w:hAnsi="Verdana"/>
          <w:sz w:val="20"/>
          <w:lang w:val="pt-BR"/>
        </w:rPr>
      </w:pPr>
    </w:p>
    <w:p w14:paraId="0C1963C8" w14:textId="77777777" w:rsidR="009F3A03" w:rsidRDefault="009F3A03" w:rsidP="009F3A03">
      <w:pPr>
        <w:spacing w:after="0" w:line="240" w:lineRule="auto"/>
        <w:rPr>
          <w:rFonts w:ascii="Verdana" w:hAnsi="Verdana"/>
          <w:sz w:val="20"/>
          <w:lang w:val="pt-BR"/>
        </w:rPr>
      </w:pPr>
    </w:p>
    <w:p w14:paraId="4515AEF8" w14:textId="77777777" w:rsidR="009F3A03" w:rsidRDefault="009F3A03" w:rsidP="009F3A03">
      <w:pPr>
        <w:spacing w:after="0" w:line="240" w:lineRule="auto"/>
        <w:rPr>
          <w:rFonts w:ascii="Verdana" w:hAnsi="Verdana"/>
          <w:sz w:val="20"/>
          <w:lang w:val="pt-BR"/>
        </w:rPr>
      </w:pPr>
    </w:p>
    <w:p w14:paraId="6BE64C96" w14:textId="77777777" w:rsidR="009F3A03" w:rsidRDefault="009F3A03" w:rsidP="009F3A03">
      <w:pPr>
        <w:spacing w:after="0" w:line="240" w:lineRule="auto"/>
        <w:rPr>
          <w:rFonts w:ascii="Verdana" w:hAnsi="Verdana"/>
          <w:sz w:val="20"/>
          <w:lang w:val="pt-BR"/>
        </w:rPr>
      </w:pPr>
    </w:p>
    <w:p w14:paraId="56B38876" w14:textId="77777777" w:rsidR="009F3A03" w:rsidRPr="0019261A" w:rsidRDefault="009F3A03" w:rsidP="009F3A03">
      <w:pPr>
        <w:spacing w:after="0" w:line="240" w:lineRule="auto"/>
        <w:jc w:val="both"/>
        <w:rPr>
          <w:rFonts w:ascii="Verdana" w:hAnsi="Verdana"/>
          <w:sz w:val="20"/>
          <w:lang w:val="pt-BR"/>
        </w:rPr>
      </w:pPr>
    </w:p>
    <w:p w14:paraId="4086E937" w14:textId="77777777" w:rsidR="009F3A03" w:rsidRPr="00FC4051" w:rsidRDefault="009F3A03" w:rsidP="009F3A03">
      <w:pPr>
        <w:spacing w:after="0" w:line="240" w:lineRule="auto"/>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12ADAE5D" w14:textId="77777777" w:rsidR="009F3A03" w:rsidRDefault="009F3A03" w:rsidP="009F3A03">
      <w:pPr>
        <w:spacing w:after="0" w:line="240" w:lineRule="auto"/>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2C06CEEC" w14:textId="77777777" w:rsidR="009F3A03" w:rsidRPr="00FC4051" w:rsidRDefault="009F3A03" w:rsidP="009F3A03">
      <w:pPr>
        <w:pStyle w:val="Textonotapie"/>
        <w:rPr>
          <w:rFonts w:ascii="Verdana" w:hAnsi="Verdana"/>
          <w:lang w:val="pt-BR"/>
        </w:rPr>
      </w:pPr>
    </w:p>
    <w:p w14:paraId="1C3D02DC" w14:textId="77777777" w:rsidR="009F3A03" w:rsidRPr="00FC4051" w:rsidRDefault="009F3A03" w:rsidP="009F3A03">
      <w:pPr>
        <w:pStyle w:val="Textonotapie"/>
        <w:rPr>
          <w:rFonts w:ascii="Verdana" w:hAnsi="Verdana"/>
          <w:lang w:val="pt-BR"/>
        </w:rPr>
      </w:pPr>
    </w:p>
    <w:p w14:paraId="6BA38491" w14:textId="77777777" w:rsidR="009F3A03" w:rsidRPr="00FC4051" w:rsidRDefault="009F3A03" w:rsidP="009F3A03">
      <w:pPr>
        <w:spacing w:after="0" w:line="240" w:lineRule="auto"/>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7B2195EC" w14:textId="77777777" w:rsidR="009F3A03" w:rsidRPr="00FC4051" w:rsidRDefault="009F3A03" w:rsidP="009F3A03">
      <w:pPr>
        <w:spacing w:after="0" w:line="240" w:lineRule="auto"/>
        <w:rPr>
          <w:rFonts w:ascii="Verdana" w:hAnsi="Verdana"/>
          <w:sz w:val="20"/>
          <w:lang w:val="pt-BR"/>
        </w:rPr>
      </w:pPr>
    </w:p>
    <w:p w14:paraId="52818AA0" w14:textId="77777777" w:rsidR="009F3A03" w:rsidRDefault="009F3A03" w:rsidP="009F3A03">
      <w:pPr>
        <w:spacing w:after="0" w:line="240" w:lineRule="auto"/>
        <w:rPr>
          <w:rFonts w:ascii="Verdana" w:hAnsi="Verdana"/>
          <w:sz w:val="20"/>
          <w:lang w:val="pt-BR"/>
        </w:rPr>
      </w:pPr>
    </w:p>
    <w:p w14:paraId="4EAFFAC2" w14:textId="77777777" w:rsidR="009F3A03" w:rsidRPr="00FC4051" w:rsidRDefault="009F3A03" w:rsidP="009F3A03">
      <w:pPr>
        <w:spacing w:after="0" w:line="240" w:lineRule="auto"/>
        <w:rPr>
          <w:rFonts w:ascii="Verdana" w:hAnsi="Verdana"/>
          <w:sz w:val="20"/>
          <w:lang w:val="pt-BR"/>
        </w:rPr>
      </w:pPr>
    </w:p>
    <w:p w14:paraId="5033CE20" w14:textId="7E1E692E" w:rsidR="009F3A03" w:rsidRDefault="009F3A03" w:rsidP="009F3A03">
      <w:pPr>
        <w:spacing w:after="0" w:line="240" w:lineRule="auto"/>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6E777FCF" w14:textId="678D8603" w:rsidR="009F3A03" w:rsidRPr="00FC4051" w:rsidRDefault="009F3A03" w:rsidP="009F3A03">
      <w:pPr>
        <w:spacing w:after="0" w:line="240" w:lineRule="auto"/>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Presidenta</w:t>
      </w:r>
    </w:p>
    <w:p w14:paraId="796F0E66" w14:textId="77777777" w:rsidR="009F3A03" w:rsidRDefault="009F3A03" w:rsidP="009F3A03">
      <w:pPr>
        <w:spacing w:after="0" w:line="240" w:lineRule="auto"/>
        <w:jc w:val="both"/>
        <w:rPr>
          <w:rFonts w:ascii="Verdana" w:hAnsi="Verdana"/>
          <w:sz w:val="20"/>
          <w:lang w:val="pt-BR"/>
        </w:rPr>
      </w:pPr>
    </w:p>
    <w:p w14:paraId="348855F8" w14:textId="77777777" w:rsidR="009F3A03" w:rsidRDefault="009F3A03" w:rsidP="009F3A03">
      <w:pPr>
        <w:spacing w:after="0" w:line="240" w:lineRule="auto"/>
        <w:jc w:val="both"/>
        <w:rPr>
          <w:rFonts w:ascii="Verdana" w:hAnsi="Verdana"/>
          <w:sz w:val="20"/>
          <w:lang w:val="pt-BR"/>
        </w:rPr>
      </w:pPr>
    </w:p>
    <w:p w14:paraId="6D56C8C2" w14:textId="77777777" w:rsidR="009F3A03" w:rsidRDefault="009F3A03" w:rsidP="009F3A03">
      <w:pPr>
        <w:spacing w:after="0" w:line="240" w:lineRule="auto"/>
        <w:jc w:val="both"/>
        <w:rPr>
          <w:rFonts w:ascii="Verdana" w:hAnsi="Verdana"/>
          <w:sz w:val="20"/>
          <w:lang w:val="pt-BR"/>
        </w:rPr>
      </w:pPr>
    </w:p>
    <w:p w14:paraId="3560A720" w14:textId="77777777" w:rsidR="009F3A03" w:rsidRDefault="009F3A03" w:rsidP="009F3A03">
      <w:pPr>
        <w:spacing w:after="0" w:line="240" w:lineRule="auto"/>
        <w:jc w:val="both"/>
        <w:rPr>
          <w:rFonts w:ascii="Verdana" w:hAnsi="Verdana"/>
          <w:sz w:val="20"/>
          <w:lang w:val="pt-BR"/>
        </w:rPr>
      </w:pPr>
    </w:p>
    <w:p w14:paraId="57F838C9" w14:textId="77777777" w:rsidR="009F3A03" w:rsidRDefault="009F3A03" w:rsidP="009F3A03">
      <w:pPr>
        <w:spacing w:after="0" w:line="240" w:lineRule="auto"/>
        <w:jc w:val="both"/>
        <w:rPr>
          <w:rFonts w:ascii="Verdana" w:hAnsi="Verdana"/>
          <w:sz w:val="20"/>
          <w:lang w:val="pt-BR"/>
        </w:rPr>
      </w:pPr>
    </w:p>
    <w:p w14:paraId="68A75FC4" w14:textId="77777777" w:rsidR="009F3A03" w:rsidRPr="00FC4051" w:rsidRDefault="009F3A03" w:rsidP="009F3A03">
      <w:pPr>
        <w:spacing w:after="0" w:line="240" w:lineRule="auto"/>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7811DFDB" w14:textId="77777777" w:rsidR="009F3A03" w:rsidRDefault="009F3A03" w:rsidP="009F3A03">
      <w:pPr>
        <w:spacing w:after="0" w:line="240" w:lineRule="auto"/>
        <w:rPr>
          <w:rFonts w:ascii="Verdana" w:hAnsi="Verdana"/>
          <w:sz w:val="20"/>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47CFAC07" w14:textId="77777777" w:rsidR="00036CC6" w:rsidRPr="001478DB" w:rsidRDefault="00036CC6" w:rsidP="009F3A03">
      <w:pPr>
        <w:pStyle w:val="Prrafodelista"/>
        <w:spacing w:after="0" w:line="240" w:lineRule="auto"/>
        <w:ind w:left="0"/>
        <w:contextualSpacing w:val="0"/>
        <w:jc w:val="both"/>
        <w:rPr>
          <w:rFonts w:ascii="Verdana" w:hAnsi="Verdana"/>
          <w:sz w:val="20"/>
        </w:rPr>
      </w:pPr>
    </w:p>
    <w:sectPr w:rsidR="00036CC6" w:rsidRPr="001478DB" w:rsidSect="00F21EA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253B7" w14:textId="77777777" w:rsidR="00946CB0" w:rsidRDefault="00946CB0" w:rsidP="00D5463C">
      <w:pPr>
        <w:spacing w:after="0" w:line="240" w:lineRule="auto"/>
      </w:pPr>
      <w:r>
        <w:separator/>
      </w:r>
    </w:p>
  </w:endnote>
  <w:endnote w:type="continuationSeparator" w:id="0">
    <w:p w14:paraId="1B4BA4E3" w14:textId="77777777" w:rsidR="00946CB0" w:rsidRDefault="00946CB0" w:rsidP="00D5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1608994"/>
      <w:docPartObj>
        <w:docPartGallery w:val="Page Numbers (Bottom of Page)"/>
        <w:docPartUnique/>
      </w:docPartObj>
    </w:sdtPr>
    <w:sdtEndPr/>
    <w:sdtContent>
      <w:p w14:paraId="3E7FA7D2" w14:textId="49880A01" w:rsidR="00C64856" w:rsidRDefault="00C64856" w:rsidP="00B92DBF">
        <w:pPr>
          <w:pStyle w:val="Piedepgina"/>
          <w:jc w:val="center"/>
        </w:pPr>
        <w:r w:rsidRPr="000111C2">
          <w:rPr>
            <w:rFonts w:ascii="Verdana" w:hAnsi="Verdana"/>
            <w:sz w:val="20"/>
            <w:szCs w:val="20"/>
          </w:rPr>
          <w:t>-</w:t>
        </w:r>
        <w:r w:rsidRPr="000111C2">
          <w:rPr>
            <w:rFonts w:ascii="Verdana" w:hAnsi="Verdana"/>
            <w:sz w:val="20"/>
            <w:szCs w:val="20"/>
          </w:rPr>
          <w:fldChar w:fldCharType="begin"/>
        </w:r>
        <w:r w:rsidRPr="000111C2">
          <w:rPr>
            <w:rFonts w:ascii="Verdana" w:hAnsi="Verdana"/>
            <w:sz w:val="20"/>
            <w:szCs w:val="20"/>
          </w:rPr>
          <w:instrText>PAGE   \* MERGEFORMAT</w:instrText>
        </w:r>
        <w:r w:rsidRPr="000111C2">
          <w:rPr>
            <w:rFonts w:ascii="Verdana" w:hAnsi="Verdana"/>
            <w:sz w:val="20"/>
            <w:szCs w:val="20"/>
          </w:rPr>
          <w:fldChar w:fldCharType="separate"/>
        </w:r>
        <w:r w:rsidR="00363D78" w:rsidRPr="00363D78">
          <w:rPr>
            <w:rFonts w:ascii="Verdana" w:hAnsi="Verdana"/>
            <w:noProof/>
            <w:sz w:val="20"/>
            <w:szCs w:val="20"/>
            <w:lang w:val="es-ES"/>
          </w:rPr>
          <w:t>20</w:t>
        </w:r>
        <w:r w:rsidRPr="000111C2">
          <w:rPr>
            <w:rFonts w:ascii="Verdana" w:hAnsi="Verdana"/>
            <w:sz w:val="20"/>
            <w:szCs w:val="20"/>
          </w:rPr>
          <w:fldChar w:fldCharType="end"/>
        </w:r>
        <w:r w:rsidRPr="000111C2">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4A907" w14:textId="77777777" w:rsidR="00946CB0" w:rsidRDefault="00946CB0" w:rsidP="00D5463C">
      <w:pPr>
        <w:spacing w:after="0" w:line="240" w:lineRule="auto"/>
      </w:pPr>
      <w:r>
        <w:separator/>
      </w:r>
    </w:p>
  </w:footnote>
  <w:footnote w:type="continuationSeparator" w:id="0">
    <w:p w14:paraId="4C2AA88D" w14:textId="77777777" w:rsidR="00946CB0" w:rsidRDefault="00946CB0" w:rsidP="00D5463C">
      <w:pPr>
        <w:spacing w:after="0" w:line="240" w:lineRule="auto"/>
      </w:pPr>
      <w:r>
        <w:continuationSeparator/>
      </w:r>
    </w:p>
  </w:footnote>
  <w:footnote w:id="1">
    <w:p w14:paraId="0C43072D" w14:textId="342EA79E" w:rsidR="00C64856" w:rsidRPr="000111C2" w:rsidRDefault="00C64856" w:rsidP="003C2CF4">
      <w:pPr>
        <w:pStyle w:val="Textonotapie"/>
        <w:tabs>
          <w:tab w:val="left" w:pos="426"/>
        </w:tabs>
        <w:ind w:right="51"/>
        <w:jc w:val="both"/>
        <w:rPr>
          <w:rFonts w:ascii="Verdana" w:hAnsi="Verdana"/>
          <w:color w:val="000000"/>
          <w:sz w:val="16"/>
          <w:szCs w:val="16"/>
          <w:shd w:val="clear" w:color="auto" w:fill="FFFFFF"/>
        </w:rPr>
      </w:pPr>
      <w:r w:rsidRPr="00221C74">
        <w:rPr>
          <w:rFonts w:ascii="Verdana" w:hAnsi="Verdana"/>
          <w:iCs/>
          <w:sz w:val="16"/>
          <w:szCs w:val="16"/>
          <w:vertAlign w:val="superscript"/>
        </w:rPr>
        <w:t>*</w:t>
      </w:r>
      <w:r w:rsidRPr="00221C74">
        <w:rPr>
          <w:rFonts w:ascii="Verdana" w:hAnsi="Verdana"/>
          <w:iCs/>
          <w:sz w:val="16"/>
          <w:szCs w:val="16"/>
        </w:rPr>
        <w:tab/>
      </w:r>
      <w:r w:rsidRPr="000111C2">
        <w:rPr>
          <w:rFonts w:ascii="Verdana" w:hAnsi="Verdana"/>
          <w:iCs/>
          <w:sz w:val="16"/>
          <w:szCs w:val="16"/>
        </w:rPr>
        <w:t>El Juez Ricardo C. Pérez Manrique, de nacionalidad uruguaya, no participó en el conocimiento y deliberación de la presente Resolución, de conformidad con lo dispuesto en el artículo 19.1 del Reglamento de la Corte.</w:t>
      </w:r>
      <w:r>
        <w:rPr>
          <w:rFonts w:ascii="Verdana" w:hAnsi="Verdana"/>
          <w:iCs/>
          <w:sz w:val="16"/>
          <w:szCs w:val="16"/>
        </w:rPr>
        <w:t xml:space="preserve"> </w:t>
      </w:r>
      <w:r w:rsidRPr="00221C74">
        <w:rPr>
          <w:rFonts w:ascii="Verdana" w:hAnsi="Verdana"/>
          <w:sz w:val="16"/>
          <w:szCs w:val="16"/>
        </w:rPr>
        <w:t>El Juez Eugenio Raúl Zaffaroni no participó en la deliberación y firma de la presente Resolución, debido a que, con base en el artículo 19 del Estatuto de la Corte, solicitó excusarse en este caso en etapa de supervisión de cumplimiento, lo cual fue aceptado por la Corte.</w:t>
      </w:r>
      <w:r>
        <w:t xml:space="preserve"> </w:t>
      </w:r>
      <w:r w:rsidR="003C2CF4" w:rsidRPr="000111C2">
        <w:rPr>
          <w:rFonts w:ascii="Verdana" w:hAnsi="Verdana"/>
          <w:color w:val="000000"/>
          <w:sz w:val="16"/>
          <w:szCs w:val="16"/>
          <w:shd w:val="clear" w:color="auto" w:fill="FFFFFF"/>
        </w:rPr>
        <w:t xml:space="preserve">Debido a las circunstancias excepcionales ocasionadas por la pandemia COVID-19, esta Resolución fue deliberada y aprobada durante el </w:t>
      </w:r>
      <w:r w:rsidR="003C2CF4" w:rsidRPr="00F21EA9">
        <w:rPr>
          <w:rFonts w:ascii="Verdana" w:hAnsi="Verdana"/>
          <w:color w:val="000000"/>
          <w:sz w:val="16"/>
          <w:szCs w:val="16"/>
          <w:shd w:val="clear" w:color="auto" w:fill="FFFFFF"/>
        </w:rPr>
        <w:t>138</w:t>
      </w:r>
      <w:r w:rsidR="003C2CF4" w:rsidRPr="000111C2">
        <w:rPr>
          <w:rFonts w:ascii="Verdana" w:hAnsi="Verdana"/>
          <w:color w:val="000000"/>
          <w:sz w:val="16"/>
          <w:szCs w:val="16"/>
          <w:shd w:val="clear" w:color="auto" w:fill="FFFFFF"/>
        </w:rPr>
        <w:t xml:space="preserve"> Período Ordinario de Sesiones, el cual se llevó a cabo de forma no presencial utilizando medios tecnológicos de conformidad con lo establecido en el Reglamento de la Corte.</w:t>
      </w:r>
    </w:p>
    <w:p w14:paraId="76941732" w14:textId="50A01A66"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 xml:space="preserve">Cfr. </w:t>
      </w:r>
      <w:r w:rsidRPr="000111C2">
        <w:rPr>
          <w:rFonts w:ascii="Verdana" w:hAnsi="Verdana" w:cs="Arial"/>
          <w:i/>
          <w:iCs/>
          <w:sz w:val="16"/>
          <w:szCs w:val="16"/>
          <w:shd w:val="clear" w:color="auto" w:fill="FFFFFF"/>
        </w:rPr>
        <w:t>Caso Gelman Vs. Uruguay. Fondo y Reparaciones.</w:t>
      </w:r>
      <w:r w:rsidRPr="000111C2">
        <w:rPr>
          <w:rFonts w:ascii="Verdana" w:hAnsi="Verdana" w:cs="Arial"/>
          <w:sz w:val="16"/>
          <w:szCs w:val="16"/>
          <w:shd w:val="clear" w:color="auto" w:fill="FFFFFF"/>
        </w:rPr>
        <w:t xml:space="preserve"> Sentencia de 24 de febrero de 2011. Serie C No. 221. Disponible en: </w:t>
      </w:r>
      <w:hyperlink r:id="rId1" w:history="1">
        <w:r w:rsidRPr="000111C2">
          <w:rPr>
            <w:rStyle w:val="Hipervnculo"/>
            <w:rFonts w:ascii="Verdana" w:hAnsi="Verdana"/>
            <w:sz w:val="16"/>
            <w:szCs w:val="16"/>
          </w:rPr>
          <w:t>http://www.corteidh.or.cr/docs/casos/articulos/seriec_221_esp1.pdf</w:t>
        </w:r>
      </w:hyperlink>
      <w:r w:rsidRPr="000111C2">
        <w:rPr>
          <w:rFonts w:ascii="Verdana" w:hAnsi="Verdana"/>
          <w:sz w:val="16"/>
          <w:szCs w:val="16"/>
        </w:rPr>
        <w:t xml:space="preserve">. </w:t>
      </w:r>
      <w:r w:rsidRPr="0026027E">
        <w:rPr>
          <w:rFonts w:ascii="Verdana" w:hAnsi="Verdana"/>
          <w:sz w:val="16"/>
          <w:szCs w:val="16"/>
        </w:rPr>
        <w:t xml:space="preserve">La Sentencia fue notificada al Estado el </w:t>
      </w:r>
      <w:r w:rsidRPr="00F21EA9">
        <w:rPr>
          <w:rFonts w:ascii="Verdana" w:hAnsi="Verdana"/>
          <w:sz w:val="16"/>
          <w:szCs w:val="16"/>
        </w:rPr>
        <w:t xml:space="preserve">23 de </w:t>
      </w:r>
      <w:r>
        <w:rPr>
          <w:rFonts w:ascii="Verdana" w:hAnsi="Verdana"/>
          <w:sz w:val="16"/>
          <w:szCs w:val="16"/>
        </w:rPr>
        <w:t>marzo</w:t>
      </w:r>
      <w:r w:rsidRPr="0026027E">
        <w:rPr>
          <w:rFonts w:ascii="Verdana" w:hAnsi="Verdana"/>
          <w:sz w:val="16"/>
          <w:szCs w:val="16"/>
        </w:rPr>
        <w:t xml:space="preserve"> de 2011.</w:t>
      </w:r>
    </w:p>
  </w:footnote>
  <w:footnote w:id="2">
    <w:p w14:paraId="41BECA92" w14:textId="144EF955" w:rsidR="00C64856" w:rsidRPr="00B979E0" w:rsidRDefault="00C64856" w:rsidP="00B979E0">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Caso Gelman Vs. Uruguay. Supervisión de Cumplimiento de Sentencia.</w:t>
      </w:r>
      <w:r w:rsidRPr="000111C2">
        <w:rPr>
          <w:rStyle w:val="Textoennegrita"/>
          <w:rFonts w:ascii="Verdana" w:hAnsi="Verdana"/>
          <w:b w:val="0"/>
          <w:color w:val="000000"/>
          <w:sz w:val="16"/>
          <w:szCs w:val="16"/>
          <w:shd w:val="clear" w:color="auto" w:fill="FFFFFF"/>
        </w:rPr>
        <w:t xml:space="preserve"> Resolución de la Corte </w:t>
      </w:r>
      <w:r w:rsidRPr="00B979E0">
        <w:rPr>
          <w:rStyle w:val="Textoennegrita"/>
          <w:rFonts w:ascii="Verdana" w:hAnsi="Verdana"/>
          <w:b w:val="0"/>
          <w:color w:val="000000"/>
          <w:sz w:val="16"/>
          <w:szCs w:val="16"/>
          <w:shd w:val="clear" w:color="auto" w:fill="FFFFFF"/>
        </w:rPr>
        <w:t xml:space="preserve">Interamericana de Derechos Humanos de 20 de marzo de 2013. </w:t>
      </w:r>
      <w:r w:rsidRPr="00B979E0">
        <w:rPr>
          <w:rFonts w:ascii="Verdana" w:hAnsi="Verdana"/>
          <w:sz w:val="16"/>
          <w:szCs w:val="16"/>
        </w:rPr>
        <w:t xml:space="preserve">Disponible en: </w:t>
      </w:r>
      <w:hyperlink r:id="rId2" w:history="1">
        <w:r w:rsidRPr="00B979E0">
          <w:rPr>
            <w:rStyle w:val="Hipervnculo"/>
            <w:rFonts w:ascii="Verdana" w:hAnsi="Verdana"/>
            <w:sz w:val="16"/>
            <w:szCs w:val="16"/>
          </w:rPr>
          <w:t>http://www.corteidh.or.cr/docs/supervisiones/gelman_20_03_13.pdf</w:t>
        </w:r>
      </w:hyperlink>
      <w:r w:rsidRPr="007B5E63">
        <w:rPr>
          <w:rStyle w:val="Textoennegrita"/>
          <w:b w:val="0"/>
          <w:color w:val="000000"/>
          <w:shd w:val="clear" w:color="auto" w:fill="FFFFFF"/>
        </w:rPr>
        <w:t>.</w:t>
      </w:r>
    </w:p>
  </w:footnote>
  <w:footnote w:id="3">
    <w:p w14:paraId="44EB4F3A" w14:textId="1AD374EC" w:rsidR="00C64856" w:rsidRPr="00B979E0" w:rsidRDefault="00C64856" w:rsidP="00B979E0">
      <w:pPr>
        <w:pStyle w:val="Textonotapie"/>
        <w:tabs>
          <w:tab w:val="left" w:pos="426"/>
        </w:tabs>
        <w:ind w:right="49"/>
        <w:jc w:val="both"/>
        <w:rPr>
          <w:rFonts w:ascii="Verdana" w:hAnsi="Verdana"/>
          <w:sz w:val="16"/>
          <w:szCs w:val="16"/>
        </w:rPr>
      </w:pPr>
      <w:r w:rsidRPr="00B979E0">
        <w:rPr>
          <w:rStyle w:val="Refdenotaalpie"/>
          <w:rFonts w:ascii="Verdana" w:hAnsi="Verdana"/>
          <w:sz w:val="16"/>
          <w:szCs w:val="16"/>
        </w:rPr>
        <w:footnoteRef/>
      </w:r>
      <w:r w:rsidRPr="00B979E0">
        <w:rPr>
          <w:rFonts w:ascii="Verdana" w:hAnsi="Verdana"/>
          <w:sz w:val="16"/>
          <w:szCs w:val="16"/>
        </w:rPr>
        <w:t xml:space="preserve"> </w:t>
      </w:r>
      <w:r w:rsidRPr="00B979E0">
        <w:rPr>
          <w:rFonts w:ascii="Verdana" w:hAnsi="Verdana"/>
          <w:sz w:val="16"/>
          <w:szCs w:val="16"/>
        </w:rPr>
        <w:tab/>
        <w:t>Macarena Gelman García Iruretagoyena y el Centro por la Justicia y el Derecho Internacional (CEJIL).</w:t>
      </w:r>
    </w:p>
  </w:footnote>
  <w:footnote w:id="4">
    <w:p w14:paraId="34E65AF7" w14:textId="2C91876F" w:rsidR="00C64856" w:rsidRPr="00B979E0" w:rsidRDefault="00C64856" w:rsidP="00B979E0">
      <w:pPr>
        <w:pStyle w:val="Textonotapie"/>
        <w:tabs>
          <w:tab w:val="left" w:pos="426"/>
        </w:tabs>
        <w:ind w:right="49"/>
        <w:jc w:val="both"/>
        <w:rPr>
          <w:rFonts w:ascii="Verdana" w:hAnsi="Verdana"/>
          <w:strike/>
        </w:rPr>
      </w:pPr>
      <w:r w:rsidRPr="00B979E0">
        <w:rPr>
          <w:rStyle w:val="Refdenotaalpie"/>
          <w:rFonts w:ascii="Verdana" w:hAnsi="Verdana"/>
          <w:sz w:val="16"/>
          <w:szCs w:val="16"/>
        </w:rPr>
        <w:footnoteRef/>
      </w:r>
      <w:r w:rsidRPr="00B979E0">
        <w:rPr>
          <w:rFonts w:ascii="Verdana" w:hAnsi="Verdana"/>
          <w:sz w:val="16"/>
          <w:szCs w:val="16"/>
        </w:rPr>
        <w:t xml:space="preserve"> </w:t>
      </w:r>
      <w:r w:rsidRPr="00B979E0">
        <w:rPr>
          <w:rFonts w:ascii="Verdana" w:hAnsi="Verdana"/>
          <w:sz w:val="16"/>
          <w:szCs w:val="16"/>
        </w:rPr>
        <w:tab/>
        <w:t xml:space="preserve">Mediante </w:t>
      </w:r>
      <w:r w:rsidRPr="00B979E0">
        <w:rPr>
          <w:rFonts w:ascii="Verdana" w:hAnsi="Verdana" w:cs="Calibri"/>
          <w:bCs/>
          <w:color w:val="000000"/>
          <w:sz w:val="16"/>
          <w:szCs w:val="16"/>
        </w:rPr>
        <w:t>nota de la Secretaría del Tribunal de 12 de julio de 2019,</w:t>
      </w:r>
      <w:r w:rsidRPr="007B5E63">
        <w:rPr>
          <w:rFonts w:ascii="Verdana" w:hAnsi="Verdana" w:cs="Calibri"/>
          <w:color w:val="000000"/>
          <w:sz w:val="16"/>
          <w:szCs w:val="16"/>
        </w:rPr>
        <w:t xml:space="preserve"> </w:t>
      </w:r>
      <w:r w:rsidRPr="00B979E0">
        <w:rPr>
          <w:rFonts w:ascii="Verdana" w:hAnsi="Verdana"/>
          <w:sz w:val="16"/>
          <w:szCs w:val="16"/>
        </w:rPr>
        <w:t xml:space="preserve">se comunicó que la Presidencia del Tribunal había decidido convocar a las partes y a la Comisión a </w:t>
      </w:r>
      <w:r>
        <w:rPr>
          <w:rFonts w:ascii="Verdana" w:hAnsi="Verdana"/>
          <w:sz w:val="16"/>
          <w:szCs w:val="16"/>
        </w:rPr>
        <w:t>esta</w:t>
      </w:r>
      <w:r w:rsidRPr="00B979E0">
        <w:rPr>
          <w:rFonts w:ascii="Verdana" w:hAnsi="Verdana"/>
          <w:sz w:val="16"/>
          <w:szCs w:val="16"/>
        </w:rPr>
        <w:t xml:space="preserve"> audiencia. </w:t>
      </w:r>
    </w:p>
  </w:footnote>
  <w:footnote w:id="5">
    <w:p w14:paraId="317B8882" w14:textId="7C44B1C1"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A esta audiencia comparecieron: a) por el Estado: Alfredo </w:t>
      </w:r>
      <w:proofErr w:type="spellStart"/>
      <w:r w:rsidRPr="000111C2">
        <w:rPr>
          <w:rFonts w:ascii="Verdana" w:hAnsi="Verdana"/>
          <w:sz w:val="16"/>
          <w:szCs w:val="16"/>
        </w:rPr>
        <w:t>Bogliaccini</w:t>
      </w:r>
      <w:proofErr w:type="spellEnd"/>
      <w:r w:rsidRPr="000111C2">
        <w:rPr>
          <w:rFonts w:ascii="Verdana" w:hAnsi="Verdana"/>
          <w:sz w:val="16"/>
          <w:szCs w:val="16"/>
        </w:rPr>
        <w:t xml:space="preserve">, Embajador del Uruguay en Colombia, y </w:t>
      </w:r>
      <w:proofErr w:type="spellStart"/>
      <w:r w:rsidRPr="000111C2">
        <w:rPr>
          <w:rFonts w:ascii="Verdana" w:hAnsi="Verdana"/>
          <w:sz w:val="16"/>
          <w:szCs w:val="16"/>
        </w:rPr>
        <w:t>Dianela</w:t>
      </w:r>
      <w:proofErr w:type="spellEnd"/>
      <w:r w:rsidRPr="000111C2">
        <w:rPr>
          <w:rFonts w:ascii="Verdana" w:hAnsi="Verdana"/>
          <w:sz w:val="16"/>
          <w:szCs w:val="16"/>
        </w:rPr>
        <w:t xml:space="preserve"> Pi, Directora de Derechos Humanos y Derecho Humanitario del Ministerio de Relaciones Exteriores del Uruguay; b) por la representación de las víctimas: la víctima Macarena Gelman y las señoras Viviana Krsticevic y María Noel Leoni, de CEJIL, y c) por la Comisión Interamericana: Christian González Chacón, asesor de la Secretaría Ejecutiva.</w:t>
      </w:r>
    </w:p>
  </w:footnote>
  <w:footnote w:id="6">
    <w:p w14:paraId="36953465" w14:textId="58365BC2"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w:t>
      </w:r>
      <w:r>
        <w:rPr>
          <w:rFonts w:ascii="Verdana" w:hAnsi="Verdana"/>
          <w:sz w:val="16"/>
          <w:szCs w:val="16"/>
        </w:rPr>
        <w:t>E</w:t>
      </w:r>
      <w:r w:rsidRPr="000111C2">
        <w:rPr>
          <w:rFonts w:ascii="Verdana" w:hAnsi="Verdana"/>
          <w:sz w:val="16"/>
          <w:szCs w:val="16"/>
        </w:rPr>
        <w:t>s una red de 19 organizaciones de la sociedad civil que trabaja en los derechos humanos relacionados con el pasado reciente en Uruguay”, creada en el 2012, “para impulsar el cumplimiento de la sentencia de la Corte Interamericana […] en el caso Gelman vs. Uruguay”.</w:t>
      </w:r>
    </w:p>
  </w:footnote>
  <w:footnote w:id="7">
    <w:p w14:paraId="4F6E2771" w14:textId="2C44E854"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Facultad que además se desprende de lo dispuesto en los artículos 33, 62.1, 62.3 y 65 de la Convención Americana</w:t>
      </w:r>
      <w:r>
        <w:rPr>
          <w:rFonts w:ascii="Verdana" w:hAnsi="Verdana"/>
          <w:sz w:val="16"/>
          <w:szCs w:val="16"/>
        </w:rPr>
        <w:t xml:space="preserve"> sobre Derechos Humanos</w:t>
      </w:r>
      <w:r w:rsidRPr="000111C2">
        <w:rPr>
          <w:rFonts w:ascii="Verdana" w:hAnsi="Verdana"/>
          <w:sz w:val="16"/>
          <w:szCs w:val="16"/>
        </w:rPr>
        <w:t xml:space="preserve"> y 30 de su Estatuto y se encuentra regulada en el artículo 69 de su Reglamento.</w:t>
      </w:r>
    </w:p>
  </w:footnote>
  <w:footnote w:id="8">
    <w:p w14:paraId="4FEC032D" w14:textId="7D600B43" w:rsidR="00C64856" w:rsidRPr="000111C2" w:rsidRDefault="00C64856" w:rsidP="000111C2">
      <w:pPr>
        <w:pStyle w:val="Textonotapie"/>
        <w:tabs>
          <w:tab w:val="left" w:pos="426"/>
        </w:tabs>
        <w:ind w:right="49"/>
        <w:jc w:val="both"/>
        <w:rPr>
          <w:rFonts w:ascii="Verdana" w:hAnsi="Verdana"/>
          <w:sz w:val="16"/>
          <w:szCs w:val="16"/>
          <w:highlight w:val="yellow"/>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Dio cumplimiento total a las medidas relativas a: i) realizar un acto público de reconocimiento de responsabilidad internacional </w:t>
      </w:r>
      <w:r w:rsidRPr="000111C2">
        <w:rPr>
          <w:rFonts w:ascii="Verdana" w:hAnsi="Verdana"/>
          <w:i/>
          <w:iCs/>
          <w:sz w:val="16"/>
          <w:szCs w:val="16"/>
        </w:rPr>
        <w:t>(punto resolutivo décimo segundo)</w:t>
      </w:r>
      <w:r w:rsidRPr="000111C2">
        <w:rPr>
          <w:rFonts w:ascii="Verdana" w:hAnsi="Verdana"/>
          <w:sz w:val="16"/>
          <w:szCs w:val="16"/>
        </w:rPr>
        <w:t xml:space="preserve">; </w:t>
      </w:r>
      <w:proofErr w:type="spellStart"/>
      <w:r w:rsidRPr="000111C2">
        <w:rPr>
          <w:rFonts w:ascii="Verdana" w:hAnsi="Verdana"/>
          <w:sz w:val="16"/>
          <w:szCs w:val="16"/>
        </w:rPr>
        <w:t>ii</w:t>
      </w:r>
      <w:proofErr w:type="spellEnd"/>
      <w:r w:rsidRPr="000111C2">
        <w:rPr>
          <w:rFonts w:ascii="Verdana" w:hAnsi="Verdana"/>
          <w:sz w:val="16"/>
          <w:szCs w:val="16"/>
        </w:rPr>
        <w:t xml:space="preserve">) colocar una placa en el edificio del Sistema de Información de Defensa </w:t>
      </w:r>
      <w:r w:rsidRPr="000111C2">
        <w:rPr>
          <w:rFonts w:ascii="Verdana" w:hAnsi="Verdana"/>
          <w:i/>
          <w:iCs/>
          <w:sz w:val="16"/>
          <w:szCs w:val="16"/>
        </w:rPr>
        <w:t>(punto resolutivo décimo tercero)</w:t>
      </w:r>
      <w:r w:rsidRPr="000111C2">
        <w:rPr>
          <w:rFonts w:ascii="Verdana" w:hAnsi="Verdana"/>
          <w:sz w:val="16"/>
          <w:szCs w:val="16"/>
        </w:rPr>
        <w:t xml:space="preserve">; </w:t>
      </w:r>
      <w:proofErr w:type="spellStart"/>
      <w:r w:rsidRPr="000111C2">
        <w:rPr>
          <w:rFonts w:ascii="Verdana" w:hAnsi="Verdana"/>
          <w:sz w:val="16"/>
          <w:szCs w:val="16"/>
        </w:rPr>
        <w:t>iii</w:t>
      </w:r>
      <w:proofErr w:type="spellEnd"/>
      <w:r w:rsidRPr="000111C2">
        <w:rPr>
          <w:rFonts w:ascii="Verdana" w:hAnsi="Verdana"/>
          <w:sz w:val="16"/>
          <w:szCs w:val="16"/>
        </w:rPr>
        <w:t xml:space="preserve">) publicación y difusión de la Sentencia y de su resumen oficial </w:t>
      </w:r>
      <w:r w:rsidRPr="000111C2">
        <w:rPr>
          <w:rFonts w:ascii="Verdana" w:hAnsi="Verdana"/>
          <w:i/>
          <w:iCs/>
          <w:sz w:val="16"/>
          <w:szCs w:val="16"/>
        </w:rPr>
        <w:t>(punto resolutivo décimo cuarto)</w:t>
      </w:r>
      <w:r>
        <w:rPr>
          <w:rFonts w:ascii="Verdana" w:hAnsi="Verdana"/>
          <w:sz w:val="16"/>
          <w:szCs w:val="16"/>
        </w:rPr>
        <w:t>;</w:t>
      </w:r>
      <w:r w:rsidRPr="000111C2">
        <w:rPr>
          <w:rFonts w:ascii="Verdana" w:hAnsi="Verdana"/>
          <w:sz w:val="16"/>
          <w:szCs w:val="16"/>
        </w:rPr>
        <w:t xml:space="preserve"> </w:t>
      </w:r>
      <w:proofErr w:type="spellStart"/>
      <w:r w:rsidRPr="000111C2">
        <w:rPr>
          <w:rFonts w:ascii="Verdana" w:hAnsi="Verdana"/>
          <w:sz w:val="16"/>
          <w:szCs w:val="16"/>
        </w:rPr>
        <w:t>iv</w:t>
      </w:r>
      <w:proofErr w:type="spellEnd"/>
      <w:r w:rsidRPr="000111C2">
        <w:rPr>
          <w:rFonts w:ascii="Verdana" w:hAnsi="Verdana"/>
          <w:sz w:val="16"/>
          <w:szCs w:val="16"/>
        </w:rPr>
        <w:t xml:space="preserve">) pagar </w:t>
      </w:r>
      <w:r>
        <w:rPr>
          <w:rFonts w:ascii="Verdana" w:hAnsi="Verdana"/>
          <w:sz w:val="16"/>
          <w:szCs w:val="16"/>
        </w:rPr>
        <w:t xml:space="preserve">las </w:t>
      </w:r>
      <w:r w:rsidRPr="000111C2">
        <w:rPr>
          <w:rFonts w:ascii="Verdana" w:hAnsi="Verdana"/>
          <w:sz w:val="16"/>
          <w:szCs w:val="16"/>
        </w:rPr>
        <w:t xml:space="preserve">indemnizaciones por daño material e inmaterial, y v) realizar el reintegro de costas y gastos </w:t>
      </w:r>
      <w:r w:rsidRPr="000111C2">
        <w:rPr>
          <w:rFonts w:ascii="Verdana" w:hAnsi="Verdana"/>
          <w:i/>
          <w:iCs/>
          <w:sz w:val="16"/>
          <w:szCs w:val="16"/>
        </w:rPr>
        <w:t>(punto resolutivo décimo séptimo)</w:t>
      </w:r>
      <w:r w:rsidRPr="000111C2">
        <w:rPr>
          <w:rFonts w:ascii="Verdana" w:hAnsi="Verdana"/>
          <w:sz w:val="16"/>
          <w:szCs w:val="16"/>
        </w:rPr>
        <w:t>.</w:t>
      </w:r>
    </w:p>
  </w:footnote>
  <w:footnote w:id="9">
    <w:p w14:paraId="2C42A91E" w14:textId="3C075DF2"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Fonts w:ascii="Verdana" w:hAnsi="Verdana"/>
          <w:i/>
          <w:sz w:val="16"/>
          <w:szCs w:val="16"/>
        </w:rPr>
        <w:t>Caso Cinco Pensionistas Vs. Perú. Supervisión de Cumplimiento de Sentenci</w:t>
      </w:r>
      <w:r w:rsidRPr="000111C2">
        <w:rPr>
          <w:rFonts w:ascii="Verdana" w:hAnsi="Verdana"/>
          <w:sz w:val="16"/>
          <w:szCs w:val="16"/>
        </w:rPr>
        <w:t xml:space="preserve">a. Resolución de la Corte Interamericana de Derechos Humanos de 17 de noviembre de 2004, Considerando 5, y </w:t>
      </w:r>
      <w:r w:rsidRPr="000111C2">
        <w:rPr>
          <w:rFonts w:ascii="Verdana" w:hAnsi="Verdana"/>
          <w:i/>
          <w:sz w:val="16"/>
          <w:szCs w:val="16"/>
        </w:rPr>
        <w:t xml:space="preserve">Caso </w:t>
      </w:r>
      <w:r>
        <w:rPr>
          <w:rFonts w:ascii="Verdana" w:hAnsi="Verdana"/>
          <w:i/>
          <w:sz w:val="16"/>
          <w:szCs w:val="16"/>
        </w:rPr>
        <w:t>Galindo Cárdenas</w:t>
      </w:r>
      <w:r w:rsidRPr="000111C2">
        <w:rPr>
          <w:rFonts w:ascii="Verdana" w:hAnsi="Verdana"/>
          <w:i/>
          <w:sz w:val="16"/>
          <w:szCs w:val="16"/>
        </w:rPr>
        <w:t xml:space="preserve"> y otros Vs. </w:t>
      </w:r>
      <w:r>
        <w:rPr>
          <w:rFonts w:ascii="Verdana" w:hAnsi="Verdana"/>
          <w:i/>
          <w:sz w:val="16"/>
          <w:szCs w:val="16"/>
        </w:rPr>
        <w:t>Perú</w:t>
      </w:r>
      <w:r w:rsidRPr="000111C2">
        <w:rPr>
          <w:rFonts w:ascii="Verdana" w:hAnsi="Verdana"/>
          <w:i/>
          <w:sz w:val="16"/>
          <w:szCs w:val="16"/>
        </w:rPr>
        <w:t xml:space="preserve">. Supervisión Cumplimiento de Sentencia. </w:t>
      </w:r>
      <w:r w:rsidRPr="000111C2">
        <w:rPr>
          <w:rFonts w:ascii="Verdana" w:hAnsi="Verdana"/>
          <w:sz w:val="16"/>
          <w:szCs w:val="16"/>
        </w:rPr>
        <w:t xml:space="preserve">Resolución de la Corte Interamericana de Derechos Humanos de </w:t>
      </w:r>
      <w:r>
        <w:rPr>
          <w:rFonts w:ascii="Verdana" w:hAnsi="Verdana"/>
          <w:sz w:val="16"/>
          <w:szCs w:val="16"/>
        </w:rPr>
        <w:t>8</w:t>
      </w:r>
      <w:r w:rsidRPr="000111C2">
        <w:rPr>
          <w:rFonts w:ascii="Verdana" w:hAnsi="Verdana"/>
          <w:sz w:val="16"/>
          <w:szCs w:val="16"/>
        </w:rPr>
        <w:t xml:space="preserve"> de </w:t>
      </w:r>
      <w:r>
        <w:rPr>
          <w:rFonts w:ascii="Verdana" w:hAnsi="Verdana"/>
          <w:sz w:val="16"/>
          <w:szCs w:val="16"/>
        </w:rPr>
        <w:t>octubre</w:t>
      </w:r>
      <w:r w:rsidRPr="000111C2">
        <w:rPr>
          <w:rFonts w:ascii="Verdana" w:hAnsi="Verdana"/>
          <w:sz w:val="16"/>
          <w:szCs w:val="16"/>
        </w:rPr>
        <w:t xml:space="preserve"> de 2020. Considerando 2.</w:t>
      </w:r>
    </w:p>
  </w:footnote>
  <w:footnote w:id="10">
    <w:p w14:paraId="145EC096" w14:textId="397B7A66"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Fonts w:ascii="Verdana" w:hAnsi="Verdana"/>
          <w:i/>
          <w:sz w:val="16"/>
          <w:szCs w:val="16"/>
        </w:rPr>
        <w:t xml:space="preserve">Caso </w:t>
      </w:r>
      <w:proofErr w:type="spellStart"/>
      <w:r w:rsidRPr="000111C2">
        <w:rPr>
          <w:rFonts w:ascii="Verdana" w:hAnsi="Verdana"/>
          <w:i/>
          <w:sz w:val="16"/>
          <w:szCs w:val="16"/>
        </w:rPr>
        <w:t>Ivcher</w:t>
      </w:r>
      <w:proofErr w:type="spellEnd"/>
      <w:r w:rsidRPr="000111C2">
        <w:rPr>
          <w:rFonts w:ascii="Verdana" w:hAnsi="Verdana"/>
          <w:i/>
          <w:sz w:val="16"/>
          <w:szCs w:val="16"/>
        </w:rPr>
        <w:t xml:space="preserve"> </w:t>
      </w:r>
      <w:proofErr w:type="spellStart"/>
      <w:r w:rsidRPr="000111C2">
        <w:rPr>
          <w:rFonts w:ascii="Verdana" w:hAnsi="Verdana"/>
          <w:i/>
          <w:sz w:val="16"/>
          <w:szCs w:val="16"/>
        </w:rPr>
        <w:t>Bronstein</w:t>
      </w:r>
      <w:proofErr w:type="spellEnd"/>
      <w:r w:rsidRPr="000111C2">
        <w:rPr>
          <w:rFonts w:ascii="Verdana" w:hAnsi="Verdana"/>
          <w:i/>
          <w:sz w:val="16"/>
          <w:szCs w:val="16"/>
        </w:rPr>
        <w:t xml:space="preserve"> Vs. Perú. Competencia</w:t>
      </w:r>
      <w:r w:rsidRPr="000111C2">
        <w:rPr>
          <w:rFonts w:ascii="Verdana" w:hAnsi="Verdana"/>
          <w:sz w:val="16"/>
          <w:szCs w:val="16"/>
        </w:rPr>
        <w:t xml:space="preserve">. Sentencia de la Corte Interamericana de Derechos Humanos de 24 de septiembre de 1999. Serie C No. 54, párr. 37, y </w:t>
      </w:r>
      <w:r w:rsidRPr="000111C2">
        <w:rPr>
          <w:rFonts w:ascii="Verdana" w:hAnsi="Verdana"/>
          <w:i/>
          <w:sz w:val="16"/>
          <w:szCs w:val="16"/>
        </w:rPr>
        <w:t xml:space="preserve">Caso </w:t>
      </w:r>
      <w:r>
        <w:rPr>
          <w:rFonts w:ascii="Verdana" w:hAnsi="Verdana"/>
          <w:i/>
          <w:sz w:val="16"/>
          <w:szCs w:val="16"/>
        </w:rPr>
        <w:t>Galindo Cárdenas</w:t>
      </w:r>
      <w:r w:rsidRPr="000111C2">
        <w:rPr>
          <w:rFonts w:ascii="Verdana" w:hAnsi="Verdana"/>
          <w:i/>
          <w:sz w:val="16"/>
          <w:szCs w:val="16"/>
        </w:rPr>
        <w:t xml:space="preserve"> y otros Vs. </w:t>
      </w:r>
      <w:r>
        <w:rPr>
          <w:rFonts w:ascii="Verdana" w:hAnsi="Verdana"/>
          <w:i/>
          <w:sz w:val="16"/>
          <w:szCs w:val="16"/>
        </w:rPr>
        <w:t xml:space="preserve">Perú, supra </w:t>
      </w:r>
      <w:r w:rsidRPr="00F21EA9">
        <w:rPr>
          <w:rFonts w:ascii="Verdana" w:hAnsi="Verdana"/>
          <w:sz w:val="16"/>
          <w:szCs w:val="16"/>
        </w:rPr>
        <w:t>nota 9</w:t>
      </w:r>
      <w:r>
        <w:rPr>
          <w:rFonts w:ascii="Verdana" w:hAnsi="Verdana"/>
          <w:i/>
          <w:sz w:val="16"/>
          <w:szCs w:val="16"/>
        </w:rPr>
        <w:t>,</w:t>
      </w:r>
      <w:r w:rsidRPr="000111C2">
        <w:rPr>
          <w:rFonts w:ascii="Verdana" w:hAnsi="Verdana"/>
          <w:sz w:val="16"/>
          <w:szCs w:val="16"/>
        </w:rPr>
        <w:t xml:space="preserve"> Considerando 2.</w:t>
      </w:r>
    </w:p>
  </w:footnote>
  <w:footnote w:id="11">
    <w:p w14:paraId="5E97C443" w14:textId="435018F1" w:rsidR="00C64856" w:rsidRPr="00FA5E86" w:rsidRDefault="00C64856" w:rsidP="000111C2">
      <w:pPr>
        <w:pStyle w:val="Textonotapie"/>
        <w:tabs>
          <w:tab w:val="left" w:pos="426"/>
        </w:tabs>
        <w:ind w:right="49"/>
        <w:jc w:val="both"/>
        <w:rPr>
          <w:rFonts w:ascii="Verdana" w:hAnsi="Verdana"/>
          <w:sz w:val="16"/>
          <w:szCs w:val="16"/>
        </w:rPr>
      </w:pPr>
      <w:r w:rsidRPr="00F21EA9">
        <w:rPr>
          <w:rStyle w:val="Refdenotaalpie"/>
          <w:rFonts w:ascii="Verdana" w:hAnsi="Verdana"/>
          <w:sz w:val="16"/>
          <w:szCs w:val="16"/>
        </w:rPr>
        <w:footnoteRef/>
      </w:r>
      <w:r w:rsidRPr="00F21EA9">
        <w:rPr>
          <w:rFonts w:ascii="Verdana" w:hAnsi="Verdana"/>
          <w:sz w:val="16"/>
          <w:szCs w:val="16"/>
        </w:rPr>
        <w:t xml:space="preserve"> </w:t>
      </w:r>
      <w:r w:rsidRPr="00F21EA9">
        <w:rPr>
          <w:rFonts w:ascii="Verdana" w:hAnsi="Verdana"/>
          <w:sz w:val="16"/>
          <w:szCs w:val="16"/>
        </w:rPr>
        <w:tab/>
      </w:r>
      <w:r w:rsidRPr="00FA5E86">
        <w:rPr>
          <w:rFonts w:ascii="Verdana" w:hAnsi="Verdana"/>
          <w:i/>
          <w:sz w:val="16"/>
          <w:szCs w:val="16"/>
        </w:rPr>
        <w:t>Cfr</w:t>
      </w:r>
      <w:r w:rsidRPr="00FA5E86">
        <w:rPr>
          <w:rFonts w:ascii="Verdana" w:hAnsi="Verdana"/>
          <w:sz w:val="16"/>
          <w:szCs w:val="16"/>
        </w:rPr>
        <w:t xml:space="preserve">. </w:t>
      </w:r>
      <w:r w:rsidRPr="00FA5E86">
        <w:rPr>
          <w:rStyle w:val="Textoennegrita"/>
          <w:rFonts w:ascii="Verdana" w:hAnsi="Verdana"/>
          <w:b w:val="0"/>
          <w:i/>
          <w:sz w:val="16"/>
          <w:szCs w:val="16"/>
          <w:shd w:val="clear" w:color="auto" w:fill="FFFFFF"/>
        </w:rPr>
        <w:t xml:space="preserve">Caso Gelman Vs. Uruguay, supra </w:t>
      </w:r>
      <w:r w:rsidRPr="00FA5E86">
        <w:rPr>
          <w:rStyle w:val="Textoennegrita"/>
          <w:rFonts w:ascii="Verdana" w:hAnsi="Verdana"/>
          <w:b w:val="0"/>
          <w:sz w:val="16"/>
          <w:szCs w:val="16"/>
          <w:shd w:val="clear" w:color="auto" w:fill="FFFFFF"/>
        </w:rPr>
        <w:t>nota 2, Considerandos 29 a 31 y 41.</w:t>
      </w:r>
    </w:p>
  </w:footnote>
  <w:footnote w:id="12">
    <w:p w14:paraId="37D55229" w14:textId="0B9E6839" w:rsidR="00C64856" w:rsidRPr="00F21EA9" w:rsidRDefault="00C64856" w:rsidP="000111C2">
      <w:pPr>
        <w:pStyle w:val="Textonotapie"/>
        <w:tabs>
          <w:tab w:val="left" w:pos="426"/>
        </w:tabs>
        <w:ind w:right="49"/>
        <w:jc w:val="both"/>
        <w:rPr>
          <w:rFonts w:ascii="Verdana" w:hAnsi="Verdana"/>
          <w:sz w:val="16"/>
          <w:szCs w:val="16"/>
        </w:rPr>
      </w:pPr>
      <w:r w:rsidRPr="00F21EA9">
        <w:rPr>
          <w:rStyle w:val="Refdenotaalpie"/>
          <w:rFonts w:ascii="Verdana" w:hAnsi="Verdana"/>
          <w:sz w:val="16"/>
          <w:szCs w:val="16"/>
        </w:rPr>
        <w:footnoteRef/>
      </w:r>
      <w:r w:rsidRPr="00F21EA9">
        <w:rPr>
          <w:rFonts w:ascii="Verdana" w:hAnsi="Verdana"/>
          <w:sz w:val="16"/>
          <w:szCs w:val="16"/>
        </w:rPr>
        <w:t xml:space="preserve"> </w:t>
      </w:r>
      <w:r w:rsidRPr="00F21EA9">
        <w:rPr>
          <w:rFonts w:ascii="Verdana" w:hAnsi="Verdana"/>
          <w:sz w:val="16"/>
          <w:szCs w:val="16"/>
        </w:rPr>
        <w:tab/>
      </w:r>
      <w:r w:rsidRPr="00F21EA9">
        <w:rPr>
          <w:rFonts w:ascii="Verdana" w:hAnsi="Verdana"/>
          <w:i/>
          <w:sz w:val="16"/>
          <w:szCs w:val="16"/>
        </w:rPr>
        <w:t>Cfr</w:t>
      </w:r>
      <w:r w:rsidRPr="00F21EA9">
        <w:rPr>
          <w:rFonts w:ascii="Verdana" w:hAnsi="Verdana"/>
          <w:sz w:val="16"/>
          <w:szCs w:val="16"/>
        </w:rPr>
        <w:t xml:space="preserve">. </w:t>
      </w:r>
      <w:r w:rsidRPr="00FA5E86">
        <w:rPr>
          <w:rFonts w:ascii="Verdana" w:hAnsi="Verdana" w:cs="Arial"/>
          <w:sz w:val="16"/>
        </w:rPr>
        <w:t>Sentencia condenatoria de fecha 6 de marzo de 2017 el Juzgado Letrado de Primera Instancia en lo Penal de 27°, ficha No. 90-10462/2002.</w:t>
      </w:r>
    </w:p>
  </w:footnote>
  <w:footnote w:id="13">
    <w:p w14:paraId="68828993" w14:textId="57111ADD" w:rsidR="00C64856" w:rsidRPr="00C054F7" w:rsidRDefault="00C64856" w:rsidP="000111C2">
      <w:pPr>
        <w:pStyle w:val="Textonotapie"/>
        <w:tabs>
          <w:tab w:val="left" w:pos="426"/>
        </w:tabs>
        <w:ind w:right="49"/>
        <w:jc w:val="both"/>
        <w:rPr>
          <w:rFonts w:ascii="Verdana" w:hAnsi="Verdana"/>
          <w:sz w:val="16"/>
          <w:szCs w:val="16"/>
        </w:rPr>
      </w:pPr>
      <w:r w:rsidRPr="00C054F7">
        <w:rPr>
          <w:rStyle w:val="Refdenotaalpie"/>
          <w:rFonts w:ascii="Verdana" w:hAnsi="Verdana"/>
          <w:sz w:val="16"/>
          <w:szCs w:val="16"/>
        </w:rPr>
        <w:footnoteRef/>
      </w:r>
      <w:r w:rsidRPr="00C054F7">
        <w:rPr>
          <w:rFonts w:ascii="Verdana" w:hAnsi="Verdana"/>
          <w:sz w:val="16"/>
          <w:szCs w:val="16"/>
        </w:rPr>
        <w:t xml:space="preserve"> </w:t>
      </w:r>
      <w:r w:rsidRPr="00C054F7">
        <w:rPr>
          <w:rFonts w:ascii="Verdana" w:hAnsi="Verdana"/>
          <w:sz w:val="16"/>
          <w:szCs w:val="16"/>
        </w:rPr>
        <w:tab/>
      </w:r>
      <w:r w:rsidRPr="00C054F7">
        <w:rPr>
          <w:rFonts w:ascii="Verdana" w:hAnsi="Verdana"/>
          <w:i/>
          <w:iCs/>
          <w:sz w:val="16"/>
          <w:szCs w:val="16"/>
        </w:rPr>
        <w:t>Cfr.</w:t>
      </w:r>
      <w:r w:rsidRPr="00C054F7">
        <w:rPr>
          <w:rFonts w:ascii="Verdana" w:hAnsi="Verdana"/>
          <w:sz w:val="16"/>
          <w:szCs w:val="16"/>
        </w:rPr>
        <w:t xml:space="preserve"> Sentencia Nro. 402/2018 emitida el 20 de diciembre de 2018 en la causa IUE 90-10462/2002 (anexo al escrito de los representantes de septiembre de 2019). </w:t>
      </w:r>
    </w:p>
  </w:footnote>
  <w:footnote w:id="14">
    <w:p w14:paraId="19423D8F" w14:textId="2FBE449A" w:rsidR="00C64856" w:rsidRPr="00C054F7" w:rsidRDefault="00C64856" w:rsidP="000111C2">
      <w:pPr>
        <w:pStyle w:val="Textonotapie"/>
        <w:tabs>
          <w:tab w:val="left" w:pos="426"/>
        </w:tabs>
        <w:ind w:right="49"/>
        <w:jc w:val="both"/>
        <w:rPr>
          <w:rFonts w:ascii="Verdana" w:hAnsi="Verdana"/>
          <w:sz w:val="16"/>
          <w:szCs w:val="16"/>
        </w:rPr>
      </w:pPr>
      <w:r w:rsidRPr="00C054F7">
        <w:rPr>
          <w:rStyle w:val="Refdenotaalpie"/>
          <w:rFonts w:ascii="Verdana" w:hAnsi="Verdana"/>
          <w:sz w:val="16"/>
          <w:szCs w:val="16"/>
        </w:rPr>
        <w:footnoteRef/>
      </w:r>
      <w:r w:rsidRPr="00C054F7">
        <w:rPr>
          <w:rFonts w:ascii="Verdana" w:hAnsi="Verdana"/>
          <w:sz w:val="16"/>
          <w:szCs w:val="16"/>
        </w:rPr>
        <w:t xml:space="preserve"> </w:t>
      </w:r>
      <w:r w:rsidRPr="00C054F7">
        <w:rPr>
          <w:rFonts w:ascii="Verdana" w:hAnsi="Verdana"/>
          <w:sz w:val="16"/>
          <w:szCs w:val="16"/>
        </w:rPr>
        <w:tab/>
      </w:r>
      <w:r w:rsidRPr="00C054F7">
        <w:rPr>
          <w:rFonts w:ascii="Verdana" w:hAnsi="Verdana"/>
          <w:i/>
          <w:iCs/>
          <w:sz w:val="16"/>
          <w:szCs w:val="16"/>
        </w:rPr>
        <w:t>Cfr</w:t>
      </w:r>
      <w:r w:rsidRPr="00C054F7">
        <w:rPr>
          <w:rFonts w:ascii="Verdana" w:hAnsi="Verdana"/>
          <w:sz w:val="16"/>
          <w:szCs w:val="16"/>
        </w:rPr>
        <w:t xml:space="preserve">. Contestación del Fiscal Letrado Nacional de Crímenes de Lesa Humanidad al planteo de inconstitucionalidad de la Ley 19.550 interpuesto en el presente caso (anexo al escrito de los representantes de septiembre de 2019). </w:t>
      </w:r>
    </w:p>
  </w:footnote>
  <w:footnote w:id="15">
    <w:p w14:paraId="2A9EE054" w14:textId="5E4CFD9D" w:rsidR="00C64856" w:rsidRPr="00267147" w:rsidRDefault="00C64856" w:rsidP="00267147">
      <w:pPr>
        <w:pStyle w:val="Textonotapie"/>
        <w:tabs>
          <w:tab w:val="left" w:pos="426"/>
        </w:tabs>
        <w:ind w:right="49"/>
        <w:jc w:val="both"/>
        <w:rPr>
          <w:rFonts w:ascii="Verdana" w:hAnsi="Verdana"/>
          <w:sz w:val="16"/>
          <w:szCs w:val="16"/>
        </w:rPr>
      </w:pPr>
      <w:r w:rsidRPr="00267147">
        <w:rPr>
          <w:rStyle w:val="Refdenotaalpie"/>
          <w:rFonts w:ascii="Verdana" w:hAnsi="Verdana"/>
          <w:sz w:val="16"/>
          <w:szCs w:val="16"/>
        </w:rPr>
        <w:footnoteRef/>
      </w:r>
      <w:r w:rsidRPr="00267147">
        <w:rPr>
          <w:rFonts w:ascii="Verdana" w:hAnsi="Verdana"/>
          <w:sz w:val="16"/>
          <w:szCs w:val="16"/>
        </w:rPr>
        <w:t xml:space="preserve"> </w:t>
      </w:r>
      <w:r w:rsidRPr="00267147">
        <w:rPr>
          <w:rFonts w:ascii="Verdana" w:hAnsi="Verdana"/>
          <w:sz w:val="16"/>
          <w:szCs w:val="16"/>
        </w:rPr>
        <w:tab/>
      </w:r>
      <w:r w:rsidRPr="00267147">
        <w:rPr>
          <w:rFonts w:ascii="Verdana" w:hAnsi="Verdana"/>
          <w:i/>
          <w:iCs/>
          <w:sz w:val="16"/>
          <w:szCs w:val="16"/>
        </w:rPr>
        <w:t>Cfr.</w:t>
      </w:r>
      <w:r w:rsidRPr="00267147">
        <w:rPr>
          <w:rFonts w:ascii="Verdana" w:hAnsi="Verdana"/>
          <w:sz w:val="16"/>
          <w:szCs w:val="16"/>
        </w:rPr>
        <w:t xml:space="preserve"> Escrito de </w:t>
      </w:r>
      <w:proofErr w:type="spellStart"/>
      <w:r w:rsidRPr="00267147">
        <w:rPr>
          <w:rFonts w:ascii="Verdana" w:hAnsi="Verdana"/>
          <w:i/>
          <w:iCs/>
          <w:sz w:val="16"/>
          <w:szCs w:val="16"/>
        </w:rPr>
        <w:t>amicus</w:t>
      </w:r>
      <w:proofErr w:type="spellEnd"/>
      <w:r w:rsidRPr="00267147">
        <w:rPr>
          <w:rFonts w:ascii="Verdana" w:hAnsi="Verdana"/>
          <w:i/>
          <w:iCs/>
          <w:sz w:val="16"/>
          <w:szCs w:val="16"/>
        </w:rPr>
        <w:t xml:space="preserve"> </w:t>
      </w:r>
      <w:proofErr w:type="spellStart"/>
      <w:r w:rsidRPr="00267147">
        <w:rPr>
          <w:rFonts w:ascii="Verdana" w:hAnsi="Verdana"/>
          <w:i/>
          <w:iCs/>
          <w:sz w:val="16"/>
          <w:szCs w:val="16"/>
        </w:rPr>
        <w:t>curiae</w:t>
      </w:r>
      <w:proofErr w:type="spellEnd"/>
      <w:r w:rsidRPr="00267147">
        <w:rPr>
          <w:rFonts w:ascii="Verdana" w:hAnsi="Verdana"/>
          <w:sz w:val="16"/>
          <w:szCs w:val="16"/>
        </w:rPr>
        <w:t xml:space="preserve"> presentado por el Observatorio Luz </w:t>
      </w:r>
      <w:proofErr w:type="spellStart"/>
      <w:r w:rsidRPr="00267147">
        <w:rPr>
          <w:rFonts w:ascii="Verdana" w:hAnsi="Verdana"/>
          <w:sz w:val="16"/>
          <w:szCs w:val="16"/>
        </w:rPr>
        <w:t>Ibarburú</w:t>
      </w:r>
      <w:proofErr w:type="spellEnd"/>
      <w:r>
        <w:rPr>
          <w:rFonts w:ascii="Verdana" w:hAnsi="Verdana"/>
          <w:sz w:val="16"/>
          <w:szCs w:val="16"/>
        </w:rPr>
        <w:t xml:space="preserve">, y Boletín junio-julio 2019 del Observatorio Luz </w:t>
      </w:r>
      <w:proofErr w:type="spellStart"/>
      <w:r>
        <w:rPr>
          <w:rFonts w:ascii="Verdana" w:hAnsi="Verdana"/>
          <w:sz w:val="16"/>
          <w:szCs w:val="16"/>
        </w:rPr>
        <w:t>Ibarburú</w:t>
      </w:r>
      <w:proofErr w:type="spellEnd"/>
      <w:r>
        <w:rPr>
          <w:rFonts w:ascii="Verdana" w:hAnsi="Verdana"/>
          <w:sz w:val="16"/>
          <w:szCs w:val="16"/>
        </w:rPr>
        <w:t xml:space="preserve"> (anexo al escrito de los representantes de septiembre de 2019)</w:t>
      </w:r>
      <w:r w:rsidRPr="00F21EA9">
        <w:rPr>
          <w:rFonts w:ascii="Verdana" w:hAnsi="Verdana"/>
          <w:bCs/>
          <w:sz w:val="16"/>
          <w:szCs w:val="16"/>
        </w:rPr>
        <w:t>.</w:t>
      </w:r>
    </w:p>
  </w:footnote>
  <w:footnote w:id="16">
    <w:p w14:paraId="24C26EF3" w14:textId="1F88A764"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 xml:space="preserve">Cfr. </w:t>
      </w:r>
      <w:r w:rsidRPr="000111C2">
        <w:rPr>
          <w:rFonts w:ascii="Verdana" w:hAnsi="Verdana" w:cs="Arial"/>
          <w:i/>
          <w:iCs/>
          <w:sz w:val="16"/>
          <w:szCs w:val="16"/>
          <w:shd w:val="clear" w:color="auto" w:fill="FFFFFF"/>
        </w:rPr>
        <w:t xml:space="preserve">Caso Gelman Vs. Uruguay, supra </w:t>
      </w:r>
      <w:r w:rsidRPr="000111C2">
        <w:rPr>
          <w:rFonts w:ascii="Verdana" w:hAnsi="Verdana" w:cs="Arial"/>
          <w:sz w:val="16"/>
          <w:szCs w:val="16"/>
          <w:shd w:val="clear" w:color="auto" w:fill="FFFFFF"/>
        </w:rPr>
        <w:t xml:space="preserve">nota 1, </w:t>
      </w:r>
      <w:r w:rsidRPr="000111C2">
        <w:rPr>
          <w:rFonts w:ascii="Verdana" w:hAnsi="Verdana"/>
          <w:sz w:val="16"/>
          <w:szCs w:val="16"/>
        </w:rPr>
        <w:t>párr. 242.</w:t>
      </w:r>
    </w:p>
  </w:footnote>
  <w:footnote w:id="17">
    <w:p w14:paraId="11C271AF" w14:textId="73BDD5B2"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Detallaron que “desde la sanción de la Ley 19.550 en el año 2017, comenzaron a interponerse acciones de inconstitucionalidad [</w:t>
      </w:r>
      <w:r>
        <w:rPr>
          <w:rFonts w:ascii="Verdana" w:hAnsi="Verdana"/>
          <w:sz w:val="16"/>
          <w:szCs w:val="16"/>
        </w:rPr>
        <w:t xml:space="preserve">a </w:t>
      </w:r>
      <w:r w:rsidRPr="000111C2">
        <w:rPr>
          <w:rFonts w:ascii="Verdana" w:hAnsi="Verdana"/>
          <w:sz w:val="16"/>
          <w:szCs w:val="16"/>
        </w:rPr>
        <w:t xml:space="preserve">esta] ley, que creó la Fiscalía Especializada en Crímenes de Lesa Humanidad. Antes de eso, los planteos versaban en su mayoría sobre la inconstitucionalidad de la </w:t>
      </w:r>
      <w:r>
        <w:rPr>
          <w:rFonts w:ascii="Verdana" w:hAnsi="Verdana"/>
          <w:sz w:val="16"/>
          <w:szCs w:val="16"/>
        </w:rPr>
        <w:t>L</w:t>
      </w:r>
      <w:r w:rsidRPr="000111C2">
        <w:rPr>
          <w:rFonts w:ascii="Verdana" w:hAnsi="Verdana"/>
          <w:sz w:val="16"/>
          <w:szCs w:val="16"/>
        </w:rPr>
        <w:t>ey 18.831 que deja sin efecto la Ley de Caducidad</w:t>
      </w:r>
      <w:r>
        <w:rPr>
          <w:rFonts w:ascii="Verdana" w:hAnsi="Verdana"/>
          <w:sz w:val="16"/>
          <w:szCs w:val="16"/>
        </w:rPr>
        <w:t xml:space="preserve"> […]</w:t>
      </w:r>
      <w:r w:rsidRPr="000111C2">
        <w:rPr>
          <w:rFonts w:ascii="Verdana" w:hAnsi="Verdana"/>
          <w:sz w:val="16"/>
          <w:szCs w:val="16"/>
        </w:rPr>
        <w:t xml:space="preserve">, lo cual también continúa siendo un recurso recurrente”. </w:t>
      </w:r>
    </w:p>
  </w:footnote>
  <w:footnote w:id="18">
    <w:p w14:paraId="1EA1AD1F" w14:textId="40556AF5"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w:t>
      </w:r>
      <w:r w:rsidRPr="00F21EA9">
        <w:rPr>
          <w:rFonts w:ascii="Verdana" w:hAnsi="Verdana"/>
          <w:i/>
          <w:sz w:val="16"/>
          <w:szCs w:val="16"/>
        </w:rPr>
        <w:t>Caso Myrna Mack Chang Vs. Guatemala. Fondo, Reparaciones y Costas.</w:t>
      </w:r>
      <w:r w:rsidRPr="00F21EA9">
        <w:rPr>
          <w:rFonts w:ascii="Verdana" w:hAnsi="Verdana"/>
          <w:sz w:val="16"/>
          <w:szCs w:val="16"/>
        </w:rPr>
        <w:t xml:space="preserve"> Sentencia de 25 de noviembre de 2003. Serie C No. 101, párr. 207 y 211; </w:t>
      </w:r>
      <w:r w:rsidRPr="002810A2">
        <w:rPr>
          <w:rFonts w:ascii="Verdana" w:hAnsi="Verdana"/>
          <w:i/>
          <w:iCs/>
          <w:sz w:val="16"/>
          <w:szCs w:val="16"/>
        </w:rPr>
        <w:t>Caso De la Masacre de las Dos Erres Vs. Guatemala. Excepción Preliminar, Fondo, Reparaciones y Costas.</w:t>
      </w:r>
      <w:r w:rsidRPr="002810A2">
        <w:rPr>
          <w:rFonts w:ascii="Verdana" w:hAnsi="Verdana"/>
          <w:sz w:val="16"/>
          <w:szCs w:val="16"/>
        </w:rPr>
        <w:t xml:space="preserve"> Sentencia de 24 de noviembre de 2009. Serie C No. 211, párr. 235, y </w:t>
      </w:r>
      <w:r w:rsidRPr="002810A2">
        <w:rPr>
          <w:rFonts w:ascii="Verdana" w:hAnsi="Verdana" w:cs="Arial"/>
          <w:i/>
          <w:iCs/>
          <w:sz w:val="16"/>
          <w:szCs w:val="16"/>
          <w:shd w:val="clear" w:color="auto" w:fill="FFFFFF"/>
        </w:rPr>
        <w:t xml:space="preserve">12 Casos Guatemaltecos Vs. Guatemala. Supervisión de Cumplimiento de Sentencia. </w:t>
      </w:r>
      <w:r w:rsidRPr="002810A2">
        <w:rPr>
          <w:rFonts w:ascii="Verdana" w:hAnsi="Verdana" w:cs="Arial"/>
          <w:sz w:val="16"/>
          <w:szCs w:val="16"/>
          <w:shd w:val="clear" w:color="auto" w:fill="FFFFFF"/>
        </w:rPr>
        <w:t>Resolución de la Corte Interamericana de Derechos Humanos de 24 de noviembre de 2015, Considerandos 134 y 136.</w:t>
      </w:r>
    </w:p>
  </w:footnote>
  <w:footnote w:id="19">
    <w:p w14:paraId="1CE5B250" w14:textId="4DA64CCF" w:rsidR="00C64856" w:rsidRPr="009401C3" w:rsidRDefault="00C64856" w:rsidP="009401C3">
      <w:pPr>
        <w:pStyle w:val="Textonotapie"/>
        <w:tabs>
          <w:tab w:val="left" w:pos="426"/>
        </w:tabs>
        <w:ind w:right="49"/>
        <w:jc w:val="both"/>
        <w:rPr>
          <w:rFonts w:ascii="Verdana" w:hAnsi="Verdana"/>
          <w:sz w:val="16"/>
          <w:szCs w:val="16"/>
        </w:rPr>
      </w:pPr>
      <w:r w:rsidRPr="009401C3">
        <w:rPr>
          <w:rStyle w:val="Refdenotaalpie"/>
          <w:rFonts w:ascii="Verdana" w:hAnsi="Verdana"/>
          <w:sz w:val="16"/>
          <w:szCs w:val="16"/>
        </w:rPr>
        <w:footnoteRef/>
      </w:r>
      <w:r w:rsidRPr="009401C3">
        <w:rPr>
          <w:rFonts w:ascii="Verdana" w:hAnsi="Verdana"/>
          <w:sz w:val="16"/>
          <w:szCs w:val="16"/>
        </w:rPr>
        <w:t xml:space="preserve"> </w:t>
      </w:r>
      <w:r w:rsidRPr="009401C3">
        <w:rPr>
          <w:rFonts w:ascii="Verdana" w:hAnsi="Verdana"/>
          <w:sz w:val="16"/>
          <w:szCs w:val="16"/>
        </w:rPr>
        <w:tab/>
      </w:r>
      <w:r w:rsidRPr="009401C3">
        <w:rPr>
          <w:rFonts w:ascii="Verdana" w:hAnsi="Verdana"/>
          <w:i/>
          <w:sz w:val="16"/>
          <w:szCs w:val="16"/>
        </w:rPr>
        <w:t xml:space="preserve">Cfr. </w:t>
      </w:r>
      <w:r w:rsidRPr="00B1662A">
        <w:rPr>
          <w:rFonts w:ascii="Verdana" w:hAnsi="Verdana"/>
          <w:i/>
          <w:sz w:val="16"/>
          <w:szCs w:val="16"/>
        </w:rPr>
        <w:t>Caso</w:t>
      </w:r>
      <w:r>
        <w:rPr>
          <w:rFonts w:ascii="Verdana" w:hAnsi="Verdana"/>
          <w:i/>
          <w:sz w:val="16"/>
          <w:szCs w:val="16"/>
        </w:rPr>
        <w:t xml:space="preserve"> Myrna Mack Chang Vs. Guatemala, supra </w:t>
      </w:r>
      <w:r>
        <w:rPr>
          <w:rFonts w:ascii="Verdana" w:hAnsi="Verdana"/>
          <w:sz w:val="16"/>
          <w:szCs w:val="16"/>
        </w:rPr>
        <w:t xml:space="preserve">nota 18, párr. 211; </w:t>
      </w:r>
      <w:r w:rsidRPr="009401C3">
        <w:rPr>
          <w:rFonts w:ascii="Verdana" w:hAnsi="Verdana"/>
          <w:i/>
          <w:sz w:val="16"/>
          <w:szCs w:val="16"/>
        </w:rPr>
        <w:t>Caso De la Masacre de las Dos Erres Vs. Guatemala</w:t>
      </w:r>
      <w:r w:rsidRPr="009401C3">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18, </w:t>
      </w:r>
      <w:r w:rsidRPr="009401C3">
        <w:rPr>
          <w:rFonts w:ascii="Verdana" w:hAnsi="Verdana"/>
          <w:sz w:val="16"/>
          <w:szCs w:val="16"/>
        </w:rPr>
        <w:t xml:space="preserve">párr. 235, y </w:t>
      </w:r>
      <w:r w:rsidRPr="009401C3">
        <w:rPr>
          <w:rFonts w:ascii="Verdana" w:hAnsi="Verdana" w:cs="Arial"/>
          <w:i/>
          <w:iCs/>
          <w:sz w:val="16"/>
          <w:szCs w:val="16"/>
          <w:shd w:val="clear" w:color="auto" w:fill="FFFFFF"/>
        </w:rPr>
        <w:t xml:space="preserve">12 Casos Guatemaltecos Vs. Guatemala, supra </w:t>
      </w:r>
      <w:r w:rsidRPr="00F21EA9">
        <w:rPr>
          <w:rFonts w:ascii="Verdana" w:hAnsi="Verdana" w:cs="Arial"/>
          <w:iCs/>
          <w:sz w:val="16"/>
          <w:szCs w:val="16"/>
          <w:shd w:val="clear" w:color="auto" w:fill="FFFFFF"/>
        </w:rPr>
        <w:t>nota</w:t>
      </w:r>
      <w:r>
        <w:rPr>
          <w:rFonts w:ascii="Verdana" w:hAnsi="Verdana" w:cs="Arial"/>
          <w:i/>
          <w:iCs/>
          <w:sz w:val="16"/>
          <w:szCs w:val="16"/>
          <w:shd w:val="clear" w:color="auto" w:fill="FFFFFF"/>
        </w:rPr>
        <w:t xml:space="preserve"> 18</w:t>
      </w:r>
      <w:r w:rsidRPr="009401C3">
        <w:rPr>
          <w:rFonts w:ascii="Verdana" w:hAnsi="Verdana" w:cs="Arial"/>
          <w:i/>
          <w:iCs/>
          <w:sz w:val="16"/>
          <w:szCs w:val="16"/>
          <w:shd w:val="clear" w:color="auto" w:fill="FFFFFF"/>
        </w:rPr>
        <w:t xml:space="preserve">, </w:t>
      </w:r>
      <w:r w:rsidRPr="00F21EA9">
        <w:rPr>
          <w:rFonts w:ascii="Verdana" w:hAnsi="Verdana" w:cs="Arial"/>
          <w:iCs/>
          <w:sz w:val="16"/>
          <w:szCs w:val="16"/>
          <w:shd w:val="clear" w:color="auto" w:fill="FFFFFF"/>
        </w:rPr>
        <w:t>Considerando 134.</w:t>
      </w:r>
    </w:p>
  </w:footnote>
  <w:footnote w:id="20">
    <w:p w14:paraId="15FA2547" w14:textId="1D6234F8" w:rsidR="00C64856" w:rsidRPr="00E43621" w:rsidRDefault="00C64856" w:rsidP="00E43621">
      <w:pPr>
        <w:pStyle w:val="Textonotapie"/>
        <w:tabs>
          <w:tab w:val="left" w:pos="426"/>
        </w:tabs>
        <w:ind w:right="49"/>
        <w:jc w:val="both"/>
        <w:rPr>
          <w:rFonts w:ascii="Verdana" w:hAnsi="Verdana"/>
          <w:sz w:val="16"/>
          <w:szCs w:val="16"/>
        </w:rPr>
      </w:pPr>
      <w:r w:rsidRPr="00E43621">
        <w:rPr>
          <w:rStyle w:val="Refdenotaalpie"/>
          <w:rFonts w:ascii="Verdana" w:hAnsi="Verdana"/>
          <w:sz w:val="16"/>
          <w:szCs w:val="16"/>
        </w:rPr>
        <w:footnoteRef/>
      </w:r>
      <w:r w:rsidRPr="00E43621">
        <w:rPr>
          <w:rFonts w:ascii="Verdana" w:hAnsi="Verdana"/>
          <w:sz w:val="16"/>
          <w:szCs w:val="16"/>
        </w:rPr>
        <w:t xml:space="preserve"> </w:t>
      </w:r>
      <w:r w:rsidRPr="00E43621">
        <w:rPr>
          <w:rFonts w:ascii="Verdana" w:hAnsi="Verdana"/>
          <w:sz w:val="16"/>
          <w:szCs w:val="16"/>
        </w:rPr>
        <w:tab/>
      </w:r>
      <w:r w:rsidRPr="00E43621">
        <w:rPr>
          <w:rFonts w:ascii="Verdana" w:hAnsi="Verdana"/>
          <w:i/>
          <w:iCs/>
          <w:sz w:val="16"/>
          <w:szCs w:val="16"/>
        </w:rPr>
        <w:t>Cfr. Caso Gelman Vs. Uruguay, supra</w:t>
      </w:r>
      <w:r w:rsidRPr="00E43621">
        <w:rPr>
          <w:rFonts w:ascii="Verdana" w:hAnsi="Verdana"/>
          <w:sz w:val="16"/>
          <w:szCs w:val="16"/>
        </w:rPr>
        <w:t xml:space="preserve"> nota 1, párr. 243; </w:t>
      </w:r>
      <w:r w:rsidRPr="00E43621">
        <w:rPr>
          <w:rFonts w:ascii="Verdana" w:hAnsi="Verdana"/>
          <w:i/>
          <w:iCs/>
          <w:sz w:val="16"/>
          <w:szCs w:val="16"/>
        </w:rPr>
        <w:t xml:space="preserve">Caso Garrido y Baigorria Vs. Argentina. Supervisión de Cumplimiento de Sentencia. </w:t>
      </w:r>
      <w:r w:rsidRPr="00E43621">
        <w:rPr>
          <w:rFonts w:ascii="Verdana" w:hAnsi="Verdana"/>
          <w:sz w:val="16"/>
          <w:szCs w:val="16"/>
        </w:rPr>
        <w:t xml:space="preserve">Resolución de la Corte Interamericana de Derechos Humanos de 30 de agosto de 2017, Considerando 29 y </w:t>
      </w:r>
      <w:r w:rsidRPr="00E43621">
        <w:rPr>
          <w:rFonts w:ascii="Verdana" w:hAnsi="Verdana" w:cs="Arial"/>
          <w:i/>
          <w:iCs/>
          <w:sz w:val="16"/>
          <w:szCs w:val="16"/>
          <w:shd w:val="clear" w:color="auto" w:fill="FFFFFF"/>
        </w:rPr>
        <w:t>Caso Torres Millacura y otros Vs. Argentina. Supervisión Cumplimiento de Sentencia y Reintegro al Fondo de Asistencia Legal de Víctimas.</w:t>
      </w:r>
      <w:r w:rsidRPr="00E43621">
        <w:rPr>
          <w:rFonts w:ascii="Verdana" w:hAnsi="Verdana" w:cs="Arial"/>
          <w:sz w:val="16"/>
          <w:szCs w:val="16"/>
          <w:shd w:val="clear" w:color="auto" w:fill="FFFFFF"/>
        </w:rPr>
        <w:t xml:space="preserve"> Resolución de la Corte Interamericana de Derechos Humanos de 21 de julio de 2020, Considerando 17.</w:t>
      </w:r>
    </w:p>
  </w:footnote>
  <w:footnote w:id="21">
    <w:p w14:paraId="69BE1AAA" w14:textId="18B9ABE0" w:rsidR="00C64856" w:rsidRPr="00453FF3" w:rsidRDefault="00C64856" w:rsidP="00453FF3">
      <w:pPr>
        <w:pStyle w:val="Textonotapie"/>
        <w:tabs>
          <w:tab w:val="left" w:pos="426"/>
        </w:tabs>
        <w:ind w:right="49"/>
        <w:jc w:val="both"/>
        <w:rPr>
          <w:rFonts w:ascii="Verdana" w:hAnsi="Verdana"/>
          <w:sz w:val="16"/>
          <w:szCs w:val="16"/>
        </w:rPr>
      </w:pPr>
      <w:r w:rsidRPr="00453FF3">
        <w:rPr>
          <w:rStyle w:val="Refdenotaalpie"/>
          <w:rFonts w:ascii="Verdana" w:hAnsi="Verdana"/>
          <w:sz w:val="16"/>
          <w:szCs w:val="16"/>
        </w:rPr>
        <w:footnoteRef/>
      </w:r>
      <w:r w:rsidRPr="00453FF3">
        <w:rPr>
          <w:rFonts w:ascii="Verdana" w:hAnsi="Verdana"/>
          <w:sz w:val="16"/>
          <w:szCs w:val="16"/>
        </w:rPr>
        <w:t xml:space="preserve"> </w:t>
      </w:r>
      <w:r w:rsidRPr="00453FF3">
        <w:rPr>
          <w:rFonts w:ascii="Verdana" w:hAnsi="Verdana"/>
          <w:sz w:val="16"/>
          <w:szCs w:val="16"/>
        </w:rPr>
        <w:tab/>
      </w:r>
      <w:r w:rsidRPr="00453FF3">
        <w:rPr>
          <w:rFonts w:ascii="Verdana" w:hAnsi="Verdana"/>
          <w:i/>
          <w:sz w:val="16"/>
          <w:szCs w:val="16"/>
        </w:rPr>
        <w:t>Cfr. Caso Velásquez Rodríguez Vs. Honduras. Fondo.</w:t>
      </w:r>
      <w:r w:rsidRPr="00453FF3">
        <w:rPr>
          <w:rFonts w:ascii="Verdana" w:hAnsi="Verdana"/>
          <w:sz w:val="16"/>
          <w:szCs w:val="16"/>
        </w:rPr>
        <w:t xml:space="preserve"> Sentencia de 29 de julio de 1988. Serie C No. 4, párr. 174; </w:t>
      </w:r>
      <w:r w:rsidRPr="00453FF3">
        <w:rPr>
          <w:rFonts w:ascii="Verdana" w:hAnsi="Verdana"/>
          <w:i/>
          <w:sz w:val="16"/>
          <w:szCs w:val="16"/>
        </w:rPr>
        <w:t xml:space="preserve">Caso Gelman Vs. Uruguay, supra </w:t>
      </w:r>
      <w:r w:rsidRPr="00453FF3">
        <w:rPr>
          <w:rFonts w:ascii="Verdana" w:hAnsi="Verdana"/>
          <w:sz w:val="16"/>
          <w:szCs w:val="16"/>
        </w:rPr>
        <w:t xml:space="preserve">nota 1, párr. 314, y </w:t>
      </w:r>
      <w:r w:rsidRPr="00453FF3">
        <w:rPr>
          <w:rFonts w:ascii="Verdana" w:hAnsi="Verdana"/>
          <w:i/>
          <w:sz w:val="16"/>
          <w:szCs w:val="16"/>
        </w:rPr>
        <w:t>Caso Terrones Silva y otros Vs. Perú. Excepciones Preliminares, Fondo, Reparaciones y Costas.</w:t>
      </w:r>
      <w:r w:rsidRPr="00453FF3">
        <w:rPr>
          <w:rFonts w:ascii="Verdana" w:hAnsi="Verdana"/>
          <w:sz w:val="16"/>
          <w:szCs w:val="16"/>
        </w:rPr>
        <w:t xml:space="preserve"> Sentencia de 26 de septiembre de 2018. Serie C No. 360, párr. 215</w:t>
      </w:r>
      <w:r>
        <w:rPr>
          <w:rFonts w:ascii="Verdana" w:hAnsi="Verdana"/>
          <w:sz w:val="16"/>
          <w:szCs w:val="16"/>
        </w:rPr>
        <w:t>.</w:t>
      </w:r>
    </w:p>
  </w:footnote>
  <w:footnote w:id="22">
    <w:p w14:paraId="6511E732" w14:textId="77777777" w:rsidR="00C64856" w:rsidRPr="000111C2" w:rsidRDefault="00C64856" w:rsidP="006A2391">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 xml:space="preserve">Cfr. </w:t>
      </w:r>
      <w:r w:rsidRPr="000111C2">
        <w:rPr>
          <w:rFonts w:ascii="Verdana" w:hAnsi="Verdana" w:cs="Arial"/>
          <w:i/>
          <w:iCs/>
          <w:sz w:val="16"/>
          <w:szCs w:val="16"/>
          <w:shd w:val="clear" w:color="auto" w:fill="FFFFFF"/>
        </w:rPr>
        <w:t xml:space="preserve">Caso Gelman Vs. Uruguay, supra </w:t>
      </w:r>
      <w:r w:rsidRPr="000111C2">
        <w:rPr>
          <w:rFonts w:ascii="Verdana" w:hAnsi="Verdana" w:cs="Arial"/>
          <w:sz w:val="16"/>
          <w:szCs w:val="16"/>
          <w:shd w:val="clear" w:color="auto" w:fill="FFFFFF"/>
        </w:rPr>
        <w:t xml:space="preserve">nota 1, </w:t>
      </w:r>
      <w:r w:rsidRPr="000111C2">
        <w:rPr>
          <w:rFonts w:ascii="Verdana" w:hAnsi="Verdana"/>
          <w:sz w:val="16"/>
          <w:szCs w:val="16"/>
          <w:lang w:val="es-ES_tradnl"/>
        </w:rPr>
        <w:t>párr. 236.</w:t>
      </w:r>
    </w:p>
  </w:footnote>
  <w:footnote w:id="23">
    <w:p w14:paraId="7ADF4792" w14:textId="77777777" w:rsidR="00C64856" w:rsidRPr="00A74B78" w:rsidRDefault="00C64856" w:rsidP="006A2391">
      <w:pPr>
        <w:pStyle w:val="Textonotapie"/>
        <w:tabs>
          <w:tab w:val="left" w:pos="426"/>
        </w:tabs>
        <w:ind w:right="49"/>
        <w:jc w:val="both"/>
        <w:rPr>
          <w:rFonts w:ascii="Verdana" w:hAnsi="Verdana"/>
          <w:sz w:val="16"/>
          <w:szCs w:val="16"/>
        </w:rPr>
      </w:pPr>
      <w:r w:rsidRPr="00A74B78">
        <w:rPr>
          <w:rStyle w:val="Refdenotaalpie"/>
          <w:rFonts w:ascii="Verdana" w:hAnsi="Verdana"/>
          <w:sz w:val="16"/>
          <w:szCs w:val="16"/>
        </w:rPr>
        <w:footnoteRef/>
      </w:r>
      <w:r w:rsidRPr="00A74B78">
        <w:rPr>
          <w:rFonts w:ascii="Verdana" w:hAnsi="Verdana"/>
          <w:sz w:val="16"/>
          <w:szCs w:val="16"/>
        </w:rPr>
        <w:t xml:space="preserve"> </w:t>
      </w:r>
      <w:r w:rsidRPr="00A74B78">
        <w:rPr>
          <w:rFonts w:ascii="Verdana" w:hAnsi="Verdana"/>
          <w:sz w:val="16"/>
          <w:szCs w:val="16"/>
        </w:rPr>
        <w:tab/>
      </w:r>
      <w:r w:rsidRPr="00A74B78">
        <w:rPr>
          <w:rFonts w:ascii="Verdana" w:hAnsi="Verdana"/>
          <w:i/>
          <w:iCs/>
          <w:sz w:val="16"/>
          <w:szCs w:val="16"/>
        </w:rPr>
        <w:t>Cfr</w:t>
      </w:r>
      <w:r w:rsidRPr="00A74B78">
        <w:rPr>
          <w:rFonts w:ascii="Verdana" w:hAnsi="Verdana"/>
          <w:sz w:val="16"/>
          <w:szCs w:val="16"/>
        </w:rPr>
        <w:t xml:space="preserve">. </w:t>
      </w:r>
      <w:r w:rsidRPr="00A74B78">
        <w:rPr>
          <w:rFonts w:ascii="Verdana" w:hAnsi="Verdana"/>
          <w:i/>
          <w:iCs/>
          <w:sz w:val="16"/>
          <w:szCs w:val="16"/>
        </w:rPr>
        <w:t>Caso Gelman Vs. Uruguay</w:t>
      </w:r>
      <w:r w:rsidRPr="00A74B78">
        <w:rPr>
          <w:rFonts w:ascii="Verdana" w:hAnsi="Verdana"/>
          <w:sz w:val="16"/>
          <w:szCs w:val="16"/>
        </w:rPr>
        <w:t>, supra nota 2, Considerandos 91 a 101.</w:t>
      </w:r>
    </w:p>
  </w:footnote>
  <w:footnote w:id="24">
    <w:p w14:paraId="62C9A725" w14:textId="7A4DF4D2" w:rsidR="00C64856" w:rsidRPr="00F21EA9" w:rsidRDefault="00C64856" w:rsidP="006A2391">
      <w:pPr>
        <w:pStyle w:val="Textonotapie"/>
        <w:tabs>
          <w:tab w:val="left" w:pos="426"/>
        </w:tabs>
        <w:ind w:right="49"/>
        <w:jc w:val="both"/>
        <w:rPr>
          <w:rFonts w:ascii="Verdana" w:hAnsi="Verdana"/>
          <w:sz w:val="16"/>
          <w:szCs w:val="16"/>
        </w:rPr>
      </w:pPr>
      <w:r w:rsidRPr="00A74B78">
        <w:rPr>
          <w:rStyle w:val="Refdenotaalpie"/>
          <w:rFonts w:ascii="Verdana" w:hAnsi="Verdana"/>
          <w:sz w:val="16"/>
          <w:szCs w:val="16"/>
        </w:rPr>
        <w:footnoteRef/>
      </w:r>
      <w:r w:rsidRPr="00A74B78">
        <w:rPr>
          <w:rFonts w:ascii="Verdana" w:hAnsi="Verdana"/>
          <w:sz w:val="16"/>
          <w:szCs w:val="16"/>
        </w:rPr>
        <w:t xml:space="preserve"> </w:t>
      </w:r>
      <w:r w:rsidRPr="00A74B78">
        <w:rPr>
          <w:rFonts w:ascii="Verdana" w:hAnsi="Verdana"/>
          <w:sz w:val="16"/>
          <w:szCs w:val="16"/>
        </w:rPr>
        <w:tab/>
      </w:r>
      <w:r w:rsidRPr="006F6CD3">
        <w:rPr>
          <w:rFonts w:ascii="Verdana" w:hAnsi="Verdana"/>
          <w:i/>
          <w:sz w:val="16"/>
          <w:szCs w:val="16"/>
        </w:rPr>
        <w:t>Cfr</w:t>
      </w:r>
      <w:r w:rsidRPr="00A74B78">
        <w:rPr>
          <w:rFonts w:ascii="Verdana" w:hAnsi="Verdana"/>
          <w:sz w:val="16"/>
          <w:szCs w:val="16"/>
        </w:rPr>
        <w:t xml:space="preserve">. </w:t>
      </w:r>
      <w:r w:rsidRPr="00A74B78">
        <w:rPr>
          <w:rFonts w:ascii="Verdana" w:hAnsi="Verdana"/>
          <w:i/>
          <w:sz w:val="16"/>
          <w:szCs w:val="16"/>
        </w:rPr>
        <w:t xml:space="preserve">inter </w:t>
      </w:r>
      <w:proofErr w:type="spellStart"/>
      <w:r w:rsidRPr="00A74B78">
        <w:rPr>
          <w:rFonts w:ascii="Verdana" w:hAnsi="Verdana"/>
          <w:i/>
          <w:sz w:val="16"/>
          <w:szCs w:val="16"/>
        </w:rPr>
        <w:t>alia</w:t>
      </w:r>
      <w:proofErr w:type="spellEnd"/>
      <w:r w:rsidRPr="00A74B78">
        <w:rPr>
          <w:rFonts w:ascii="Verdana" w:hAnsi="Verdana"/>
          <w:sz w:val="16"/>
          <w:szCs w:val="16"/>
        </w:rPr>
        <w:t xml:space="preserve">, </w:t>
      </w:r>
      <w:r w:rsidRPr="00A74B78">
        <w:rPr>
          <w:rFonts w:ascii="Verdana" w:hAnsi="Verdana"/>
          <w:i/>
          <w:sz w:val="16"/>
          <w:szCs w:val="16"/>
        </w:rPr>
        <w:t xml:space="preserve">Caso Velásquez Rodríguez Vs. Honduras. </w:t>
      </w:r>
      <w:r w:rsidRPr="00A74B78">
        <w:rPr>
          <w:rFonts w:ascii="Verdana" w:hAnsi="Verdana" w:cs="Arial"/>
          <w:i/>
          <w:sz w:val="16"/>
          <w:szCs w:val="16"/>
          <w:shd w:val="clear" w:color="auto" w:fill="FFFFFF"/>
        </w:rPr>
        <w:t>Fondo.</w:t>
      </w:r>
      <w:r w:rsidRPr="00A74B78">
        <w:rPr>
          <w:rFonts w:ascii="Verdana" w:hAnsi="Verdana" w:cs="Arial"/>
          <w:sz w:val="16"/>
          <w:szCs w:val="16"/>
          <w:shd w:val="clear" w:color="auto" w:fill="FFFFFF"/>
        </w:rPr>
        <w:t xml:space="preserve"> Sentencia de 29 de julio de 1988. Serie C No. 4, </w:t>
      </w:r>
      <w:proofErr w:type="spellStart"/>
      <w:r w:rsidRPr="00A74B78">
        <w:rPr>
          <w:rFonts w:ascii="Verdana" w:hAnsi="Verdana"/>
          <w:sz w:val="16"/>
          <w:szCs w:val="16"/>
        </w:rPr>
        <w:t>párrs</w:t>
      </w:r>
      <w:proofErr w:type="spellEnd"/>
      <w:r w:rsidRPr="00A74B78">
        <w:rPr>
          <w:rFonts w:ascii="Verdana" w:hAnsi="Verdana"/>
          <w:sz w:val="16"/>
          <w:szCs w:val="16"/>
        </w:rPr>
        <w:t>. 155 a 157</w:t>
      </w:r>
      <w:r>
        <w:rPr>
          <w:rFonts w:ascii="Verdana" w:hAnsi="Verdana"/>
          <w:sz w:val="16"/>
          <w:szCs w:val="16"/>
        </w:rPr>
        <w:t xml:space="preserve">; </w:t>
      </w:r>
      <w:r w:rsidRPr="00A74B78">
        <w:rPr>
          <w:rFonts w:ascii="Verdana" w:hAnsi="Verdana"/>
          <w:i/>
          <w:sz w:val="16"/>
          <w:szCs w:val="16"/>
        </w:rPr>
        <w:t>Caso Gelman Vs. Uruguay, supra</w:t>
      </w:r>
      <w:r>
        <w:rPr>
          <w:rFonts w:ascii="Verdana" w:hAnsi="Verdana"/>
          <w:sz w:val="16"/>
          <w:szCs w:val="16"/>
        </w:rPr>
        <w:t xml:space="preserve"> nota 1, párr. 73, </w:t>
      </w:r>
      <w:r w:rsidRPr="00A74B78">
        <w:rPr>
          <w:rFonts w:ascii="Verdana" w:hAnsi="Verdana"/>
          <w:i/>
          <w:sz w:val="16"/>
          <w:szCs w:val="16"/>
        </w:rPr>
        <w:t>Caso Gelman Vs. Uruguay, supra</w:t>
      </w:r>
      <w:r>
        <w:rPr>
          <w:rFonts w:ascii="Verdana" w:hAnsi="Verdana"/>
          <w:sz w:val="16"/>
          <w:szCs w:val="16"/>
        </w:rPr>
        <w:t xml:space="preserve"> nota 2, Considerando 99, </w:t>
      </w:r>
      <w:r w:rsidRPr="000D10BA">
        <w:rPr>
          <w:rFonts w:ascii="Verdana" w:hAnsi="Verdana"/>
          <w:sz w:val="16"/>
          <w:szCs w:val="16"/>
        </w:rPr>
        <w:t xml:space="preserve">y </w:t>
      </w:r>
      <w:r w:rsidRPr="00F21EA9">
        <w:rPr>
          <w:rFonts w:ascii="Verdana" w:hAnsi="Verdana" w:cs="Arial"/>
          <w:i/>
          <w:color w:val="494848"/>
          <w:sz w:val="16"/>
          <w:szCs w:val="16"/>
          <w:shd w:val="clear" w:color="auto" w:fill="FFFFFF"/>
        </w:rPr>
        <w:t>Caso Alvarado Espinoza y otros Vs. México. Fondo, Reparaciones y Costas.</w:t>
      </w:r>
      <w:r w:rsidRPr="00F21EA9">
        <w:rPr>
          <w:rFonts w:ascii="Verdana" w:hAnsi="Verdana" w:cs="Arial"/>
          <w:color w:val="494848"/>
          <w:sz w:val="16"/>
          <w:szCs w:val="16"/>
          <w:shd w:val="clear" w:color="auto" w:fill="FFFFFF"/>
        </w:rPr>
        <w:t xml:space="preserve"> Sentencia de 28 de noviembre de 2018. Serie C No. 370, párr. 165</w:t>
      </w:r>
    </w:p>
  </w:footnote>
  <w:footnote w:id="25">
    <w:p w14:paraId="6D1E2110" w14:textId="77777777" w:rsidR="00C64856" w:rsidRPr="00A74B78" w:rsidRDefault="00C64856" w:rsidP="006A2391">
      <w:pPr>
        <w:pStyle w:val="Textonotapie"/>
        <w:tabs>
          <w:tab w:val="left" w:pos="426"/>
        </w:tabs>
        <w:ind w:right="49"/>
        <w:jc w:val="both"/>
        <w:rPr>
          <w:rFonts w:ascii="Verdana" w:hAnsi="Verdana"/>
          <w:sz w:val="16"/>
          <w:szCs w:val="16"/>
        </w:rPr>
      </w:pPr>
      <w:r w:rsidRPr="00A74B78">
        <w:rPr>
          <w:rStyle w:val="Refdenotaalpie"/>
          <w:rFonts w:ascii="Verdana" w:hAnsi="Verdana"/>
          <w:sz w:val="16"/>
          <w:szCs w:val="16"/>
        </w:rPr>
        <w:footnoteRef/>
      </w:r>
      <w:r w:rsidRPr="00A74B78">
        <w:rPr>
          <w:rFonts w:ascii="Verdana" w:hAnsi="Verdana"/>
          <w:sz w:val="16"/>
          <w:szCs w:val="16"/>
        </w:rPr>
        <w:t xml:space="preserve"> </w:t>
      </w:r>
      <w:r w:rsidRPr="00A74B78">
        <w:rPr>
          <w:rFonts w:ascii="Verdana" w:hAnsi="Verdana"/>
          <w:sz w:val="16"/>
          <w:szCs w:val="16"/>
        </w:rPr>
        <w:tab/>
      </w:r>
      <w:r w:rsidRPr="00A74B78">
        <w:rPr>
          <w:rFonts w:ascii="Verdana" w:hAnsi="Verdana"/>
          <w:i/>
          <w:iCs/>
          <w:sz w:val="16"/>
          <w:szCs w:val="16"/>
        </w:rPr>
        <w:t>Cfr</w:t>
      </w:r>
      <w:r w:rsidRPr="00A74B78">
        <w:rPr>
          <w:rFonts w:ascii="Verdana" w:hAnsi="Verdana"/>
          <w:sz w:val="16"/>
          <w:szCs w:val="16"/>
        </w:rPr>
        <w:t xml:space="preserve">. </w:t>
      </w:r>
      <w:r w:rsidRPr="00A74B78">
        <w:rPr>
          <w:rFonts w:ascii="Verdana" w:hAnsi="Verdana"/>
          <w:i/>
          <w:sz w:val="16"/>
          <w:szCs w:val="16"/>
        </w:rPr>
        <w:t>Caso Gelman Vs. Uruguay, supra</w:t>
      </w:r>
      <w:r w:rsidRPr="00A74B78">
        <w:rPr>
          <w:rFonts w:ascii="Verdana" w:hAnsi="Verdana"/>
          <w:sz w:val="16"/>
          <w:szCs w:val="16"/>
        </w:rPr>
        <w:t xml:space="preserve"> nota 2, Considerando 100. </w:t>
      </w:r>
      <w:r w:rsidRPr="00660A40">
        <w:rPr>
          <w:rFonts w:ascii="Verdana" w:hAnsi="Verdana"/>
          <w:sz w:val="16"/>
          <w:szCs w:val="16"/>
        </w:rPr>
        <w:t xml:space="preserve">En igual sentido: </w:t>
      </w:r>
      <w:r w:rsidRPr="00660A40">
        <w:rPr>
          <w:rFonts w:ascii="Verdana" w:hAnsi="Verdana"/>
          <w:i/>
          <w:sz w:val="16"/>
          <w:szCs w:val="16"/>
        </w:rPr>
        <w:t xml:space="preserve">Caso Blake Vs. Guatemala. Excepciones Preliminares. </w:t>
      </w:r>
      <w:r w:rsidRPr="00660A40">
        <w:rPr>
          <w:rFonts w:ascii="Verdana" w:hAnsi="Verdana"/>
          <w:sz w:val="16"/>
          <w:szCs w:val="16"/>
        </w:rPr>
        <w:t xml:space="preserve">Sentencia de 2 de julio de 1996. Serie C No. 27, </w:t>
      </w:r>
      <w:proofErr w:type="spellStart"/>
      <w:r w:rsidRPr="00660A40">
        <w:rPr>
          <w:rFonts w:ascii="Verdana" w:hAnsi="Verdana"/>
          <w:sz w:val="16"/>
          <w:szCs w:val="16"/>
        </w:rPr>
        <w:t>párrs</w:t>
      </w:r>
      <w:proofErr w:type="spellEnd"/>
      <w:r w:rsidRPr="00660A40">
        <w:rPr>
          <w:rFonts w:ascii="Verdana" w:hAnsi="Verdana"/>
          <w:sz w:val="16"/>
          <w:szCs w:val="16"/>
        </w:rPr>
        <w:t xml:space="preserve">. 39 y 40; </w:t>
      </w:r>
      <w:r w:rsidRPr="00660A40">
        <w:rPr>
          <w:rFonts w:ascii="Verdana" w:hAnsi="Verdana"/>
          <w:i/>
          <w:sz w:val="16"/>
          <w:szCs w:val="16"/>
        </w:rPr>
        <w:t xml:space="preserve">Caso </w:t>
      </w:r>
      <w:proofErr w:type="spellStart"/>
      <w:r w:rsidRPr="00660A40">
        <w:rPr>
          <w:rFonts w:ascii="Verdana" w:hAnsi="Verdana"/>
          <w:i/>
          <w:sz w:val="16"/>
          <w:szCs w:val="16"/>
        </w:rPr>
        <w:t>Tiu</w:t>
      </w:r>
      <w:proofErr w:type="spellEnd"/>
      <w:r w:rsidRPr="00660A40">
        <w:rPr>
          <w:rFonts w:ascii="Verdana" w:hAnsi="Verdana"/>
          <w:i/>
          <w:sz w:val="16"/>
          <w:szCs w:val="16"/>
        </w:rPr>
        <w:t xml:space="preserve"> </w:t>
      </w:r>
      <w:proofErr w:type="spellStart"/>
      <w:r w:rsidRPr="00660A40">
        <w:rPr>
          <w:rFonts w:ascii="Verdana" w:hAnsi="Verdana"/>
          <w:i/>
          <w:sz w:val="16"/>
          <w:szCs w:val="16"/>
        </w:rPr>
        <w:t>Tojín</w:t>
      </w:r>
      <w:proofErr w:type="spellEnd"/>
      <w:r w:rsidRPr="00660A40">
        <w:rPr>
          <w:rFonts w:ascii="Verdana" w:hAnsi="Verdana"/>
          <w:i/>
          <w:sz w:val="16"/>
          <w:szCs w:val="16"/>
        </w:rPr>
        <w:t xml:space="preserve"> Vs. Guatemala. Fondo, Reparaciones y Costas.</w:t>
      </w:r>
      <w:r w:rsidRPr="00660A40">
        <w:rPr>
          <w:rFonts w:ascii="Verdana" w:hAnsi="Verdana"/>
          <w:sz w:val="16"/>
          <w:szCs w:val="16"/>
        </w:rPr>
        <w:t xml:space="preserve"> Sentencia de 26 de noviembre de 2008. Serie C No. 190, párr. 87; </w:t>
      </w:r>
      <w:r w:rsidRPr="00660A40">
        <w:rPr>
          <w:rFonts w:ascii="Verdana" w:hAnsi="Verdana"/>
          <w:i/>
          <w:sz w:val="16"/>
          <w:szCs w:val="16"/>
        </w:rPr>
        <w:t>Caso González Medina y familiares Vs. República Dominicana. Excepciones Preliminares, Fondo, Reparaciones y Costas.</w:t>
      </w:r>
      <w:r w:rsidRPr="00660A40">
        <w:rPr>
          <w:rFonts w:ascii="Verdana" w:hAnsi="Verdana"/>
          <w:sz w:val="16"/>
          <w:szCs w:val="16"/>
        </w:rPr>
        <w:t xml:space="preserve"> Sentencia de 27 de febrero de 2012, Serie C No. 240, párr. 48; </w:t>
      </w:r>
      <w:r w:rsidRPr="00660A40">
        <w:rPr>
          <w:rFonts w:ascii="Verdana" w:hAnsi="Verdana"/>
          <w:i/>
          <w:sz w:val="16"/>
          <w:szCs w:val="16"/>
        </w:rPr>
        <w:t xml:space="preserve">Caso Trujillo </w:t>
      </w:r>
      <w:proofErr w:type="spellStart"/>
      <w:r w:rsidRPr="00660A40">
        <w:rPr>
          <w:rFonts w:ascii="Verdana" w:hAnsi="Verdana"/>
          <w:i/>
          <w:sz w:val="16"/>
          <w:szCs w:val="16"/>
        </w:rPr>
        <w:t>Oroza</w:t>
      </w:r>
      <w:proofErr w:type="spellEnd"/>
      <w:r w:rsidRPr="00660A40">
        <w:rPr>
          <w:rFonts w:ascii="Verdana" w:hAnsi="Verdana"/>
          <w:i/>
          <w:sz w:val="16"/>
          <w:szCs w:val="16"/>
        </w:rPr>
        <w:t xml:space="preserve"> Vs. Bolivia. Supervisión de Cumplimiento de Sentencia.</w:t>
      </w:r>
      <w:r w:rsidRPr="00660A40">
        <w:rPr>
          <w:rFonts w:ascii="Verdana" w:hAnsi="Verdana"/>
          <w:sz w:val="16"/>
          <w:szCs w:val="16"/>
        </w:rPr>
        <w:t xml:space="preserve"> Resolución de la Corte Interamericana de 16 de noviembre de 2009, Considerando 38, y </w:t>
      </w:r>
      <w:r w:rsidRPr="00660A40">
        <w:rPr>
          <w:rFonts w:ascii="Verdana" w:hAnsi="Verdana" w:cs="Arial"/>
          <w:i/>
          <w:sz w:val="16"/>
          <w:szCs w:val="16"/>
          <w:shd w:val="clear" w:color="auto" w:fill="FFFFFF"/>
        </w:rPr>
        <w:t>Casos Masacres de Río Negro y Gudiel Álvarez y otros Vs. Guatemala.</w:t>
      </w:r>
      <w:r w:rsidRPr="00660A40">
        <w:rPr>
          <w:rFonts w:ascii="Verdana" w:hAnsi="Verdana" w:cs="Arial"/>
          <w:sz w:val="16"/>
          <w:szCs w:val="16"/>
          <w:shd w:val="clear" w:color="auto" w:fill="FFFFFF"/>
        </w:rPr>
        <w:t xml:space="preserve"> </w:t>
      </w:r>
      <w:r w:rsidRPr="00F21EA9">
        <w:rPr>
          <w:rFonts w:ascii="Verdana" w:hAnsi="Verdana" w:cs="Arial"/>
          <w:i/>
          <w:sz w:val="16"/>
          <w:szCs w:val="16"/>
          <w:shd w:val="clear" w:color="auto" w:fill="FFFFFF"/>
        </w:rPr>
        <w:t>Supervisión de Cumplimiento de Sentencia.</w:t>
      </w:r>
      <w:r w:rsidRPr="00660A40">
        <w:rPr>
          <w:rFonts w:ascii="Verdana" w:hAnsi="Verdana" w:cs="Arial"/>
          <w:sz w:val="16"/>
          <w:szCs w:val="16"/>
          <w:shd w:val="clear" w:color="auto" w:fill="FFFFFF"/>
        </w:rPr>
        <w:t xml:space="preserve"> Resolución de la Corte Interamericana de Derechos Humanos de 21 de agosto de 2014, Considerando 17.</w:t>
      </w:r>
    </w:p>
  </w:footnote>
  <w:footnote w:id="26">
    <w:p w14:paraId="37E74EDC" w14:textId="1BB60E8F" w:rsidR="00C64856" w:rsidRPr="00C758C0" w:rsidRDefault="00C64856" w:rsidP="006A2391">
      <w:pPr>
        <w:pStyle w:val="Textonotapie"/>
        <w:tabs>
          <w:tab w:val="left" w:pos="426"/>
        </w:tabs>
        <w:ind w:right="49"/>
        <w:jc w:val="both"/>
        <w:rPr>
          <w:rFonts w:ascii="Verdana" w:hAnsi="Verdana"/>
          <w:sz w:val="16"/>
          <w:szCs w:val="16"/>
        </w:rPr>
      </w:pPr>
      <w:r w:rsidRPr="00C758C0">
        <w:rPr>
          <w:rStyle w:val="Refdenotaalpie"/>
          <w:rFonts w:ascii="Verdana" w:hAnsi="Verdana"/>
          <w:sz w:val="16"/>
          <w:szCs w:val="16"/>
        </w:rPr>
        <w:footnoteRef/>
      </w:r>
      <w:r w:rsidRPr="00C758C0">
        <w:rPr>
          <w:rFonts w:ascii="Verdana" w:hAnsi="Verdana"/>
          <w:sz w:val="16"/>
          <w:szCs w:val="16"/>
        </w:rPr>
        <w:t xml:space="preserve"> </w:t>
      </w:r>
      <w:r w:rsidRPr="00C758C0">
        <w:rPr>
          <w:rFonts w:ascii="Verdana" w:hAnsi="Verdana"/>
          <w:sz w:val="16"/>
          <w:szCs w:val="16"/>
        </w:rPr>
        <w:tab/>
      </w:r>
      <w:r w:rsidRPr="00C758C0">
        <w:rPr>
          <w:rFonts w:ascii="Verdana" w:hAnsi="Verdana"/>
          <w:i/>
          <w:iCs/>
          <w:sz w:val="16"/>
          <w:szCs w:val="16"/>
        </w:rPr>
        <w:t xml:space="preserve">Cfr. </w:t>
      </w:r>
      <w:r w:rsidRPr="00C758C0">
        <w:rPr>
          <w:rFonts w:ascii="Verdana" w:hAnsi="Verdana" w:cs="Arial"/>
          <w:i/>
          <w:iCs/>
          <w:sz w:val="16"/>
          <w:szCs w:val="16"/>
          <w:shd w:val="clear" w:color="auto" w:fill="FFFFFF"/>
        </w:rPr>
        <w:t>Caso Gómez Palomino Vs. Perú. Fondo, Reparaciones y Costas.</w:t>
      </w:r>
      <w:r w:rsidRPr="00C758C0">
        <w:rPr>
          <w:rFonts w:ascii="Verdana" w:hAnsi="Verdana" w:cs="Arial"/>
          <w:sz w:val="16"/>
          <w:szCs w:val="16"/>
          <w:shd w:val="clear" w:color="auto" w:fill="FFFFFF"/>
        </w:rPr>
        <w:t xml:space="preserve"> Sentencia de 22 de noviembre de 2005. Serie C No. 136, párr. 92, y </w:t>
      </w:r>
      <w:r w:rsidRPr="00C758C0">
        <w:rPr>
          <w:rFonts w:ascii="Verdana" w:hAnsi="Verdana"/>
          <w:i/>
          <w:iCs/>
          <w:sz w:val="16"/>
          <w:szCs w:val="16"/>
        </w:rPr>
        <w:t xml:space="preserve">Caso </w:t>
      </w:r>
      <w:proofErr w:type="spellStart"/>
      <w:r w:rsidRPr="00C758C0">
        <w:rPr>
          <w:rFonts w:ascii="Verdana" w:hAnsi="Verdana"/>
          <w:i/>
          <w:iCs/>
          <w:sz w:val="16"/>
          <w:szCs w:val="16"/>
        </w:rPr>
        <w:t>Munárriz</w:t>
      </w:r>
      <w:proofErr w:type="spellEnd"/>
      <w:r w:rsidRPr="00C758C0">
        <w:rPr>
          <w:rFonts w:ascii="Verdana" w:hAnsi="Verdana"/>
          <w:i/>
          <w:iCs/>
          <w:sz w:val="16"/>
          <w:szCs w:val="16"/>
        </w:rPr>
        <w:t xml:space="preserve"> Escobar y otros Vs. Perú. Excepción Preliminar, Fondo, Reparaciones y Costas. </w:t>
      </w:r>
      <w:r w:rsidRPr="00C758C0">
        <w:rPr>
          <w:rFonts w:ascii="Verdana" w:hAnsi="Verdana"/>
          <w:sz w:val="16"/>
          <w:szCs w:val="16"/>
        </w:rPr>
        <w:t>Sentencia de 20 de agosto de 2018. Serie C No. 355, párr. 86.</w:t>
      </w:r>
    </w:p>
  </w:footnote>
  <w:footnote w:id="27">
    <w:p w14:paraId="3FC92510" w14:textId="14D39552" w:rsidR="00C64856" w:rsidRPr="00C758C0" w:rsidRDefault="00C64856" w:rsidP="006A2391">
      <w:pPr>
        <w:pStyle w:val="Textonotapie"/>
        <w:tabs>
          <w:tab w:val="left" w:pos="426"/>
        </w:tabs>
        <w:ind w:right="49"/>
        <w:jc w:val="both"/>
        <w:rPr>
          <w:rFonts w:ascii="Verdana" w:hAnsi="Verdana"/>
          <w:sz w:val="16"/>
          <w:szCs w:val="16"/>
        </w:rPr>
      </w:pPr>
      <w:r w:rsidRPr="00C758C0">
        <w:rPr>
          <w:rStyle w:val="Refdenotaalpie"/>
          <w:rFonts w:ascii="Verdana" w:hAnsi="Verdana"/>
          <w:sz w:val="16"/>
          <w:szCs w:val="16"/>
        </w:rPr>
        <w:footnoteRef/>
      </w:r>
      <w:r w:rsidRPr="00C758C0">
        <w:rPr>
          <w:rFonts w:ascii="Verdana" w:hAnsi="Verdana"/>
          <w:sz w:val="16"/>
          <w:szCs w:val="16"/>
        </w:rPr>
        <w:t xml:space="preserve"> </w:t>
      </w:r>
      <w:r w:rsidRPr="00C758C0">
        <w:rPr>
          <w:rFonts w:ascii="Verdana" w:hAnsi="Verdana"/>
          <w:sz w:val="16"/>
          <w:szCs w:val="16"/>
        </w:rPr>
        <w:tab/>
      </w:r>
      <w:r w:rsidRPr="00F37E97">
        <w:rPr>
          <w:rFonts w:ascii="Verdana" w:hAnsi="Verdana"/>
          <w:i/>
          <w:sz w:val="16"/>
          <w:szCs w:val="16"/>
        </w:rPr>
        <w:t>Cfr.</w:t>
      </w:r>
      <w:r w:rsidRPr="00C758C0">
        <w:rPr>
          <w:rFonts w:ascii="Verdana" w:hAnsi="Verdana"/>
          <w:sz w:val="16"/>
          <w:szCs w:val="16"/>
        </w:rPr>
        <w:t xml:space="preserve"> </w:t>
      </w:r>
      <w:r w:rsidRPr="00C758C0">
        <w:rPr>
          <w:rFonts w:ascii="Verdana" w:hAnsi="Verdana" w:cs="Arial"/>
          <w:i/>
          <w:iCs/>
          <w:sz w:val="16"/>
          <w:szCs w:val="16"/>
          <w:shd w:val="clear" w:color="auto" w:fill="FFFFFF"/>
        </w:rPr>
        <w:t>Caso Heliodoro Portugal Vs. Panamá. Excepciones Preliminares, Fondo, Reparaciones y Costas.</w:t>
      </w:r>
      <w:r w:rsidRPr="00C758C0">
        <w:rPr>
          <w:rFonts w:ascii="Verdana" w:hAnsi="Verdana" w:cs="Arial"/>
          <w:sz w:val="16"/>
          <w:szCs w:val="16"/>
          <w:shd w:val="clear" w:color="auto" w:fill="FFFFFF"/>
        </w:rPr>
        <w:t xml:space="preserve"> Sentencia de 12 de agosto de 2008. Serie C No. 186, párr. 181; </w:t>
      </w:r>
      <w:r w:rsidRPr="00C758C0">
        <w:rPr>
          <w:rFonts w:ascii="Verdana" w:hAnsi="Verdana" w:cs="Arial"/>
          <w:i/>
          <w:iCs/>
          <w:sz w:val="16"/>
          <w:szCs w:val="16"/>
          <w:shd w:val="clear" w:color="auto" w:fill="FFFFFF"/>
        </w:rPr>
        <w:t xml:space="preserve">Caso Trujillo </w:t>
      </w:r>
      <w:proofErr w:type="spellStart"/>
      <w:r w:rsidRPr="00C758C0">
        <w:rPr>
          <w:rFonts w:ascii="Verdana" w:hAnsi="Verdana" w:cs="Arial"/>
          <w:i/>
          <w:iCs/>
          <w:sz w:val="16"/>
          <w:szCs w:val="16"/>
          <w:shd w:val="clear" w:color="auto" w:fill="FFFFFF"/>
        </w:rPr>
        <w:t>Oroza</w:t>
      </w:r>
      <w:proofErr w:type="spellEnd"/>
      <w:r w:rsidRPr="00C758C0">
        <w:rPr>
          <w:rFonts w:ascii="Verdana" w:hAnsi="Verdana" w:cs="Arial"/>
          <w:i/>
          <w:iCs/>
          <w:sz w:val="16"/>
          <w:szCs w:val="16"/>
          <w:shd w:val="clear" w:color="auto" w:fill="FFFFFF"/>
        </w:rPr>
        <w:t xml:space="preserve"> Vs. Bolivia</w:t>
      </w:r>
      <w:r>
        <w:rPr>
          <w:rFonts w:ascii="Verdana" w:hAnsi="Verdana" w:cs="Arial"/>
          <w:i/>
          <w:iCs/>
          <w:sz w:val="16"/>
          <w:szCs w:val="16"/>
          <w:shd w:val="clear" w:color="auto" w:fill="FFFFFF"/>
        </w:rPr>
        <w:t xml:space="preserve">, supra </w:t>
      </w:r>
      <w:r w:rsidRPr="00F21EA9">
        <w:rPr>
          <w:rFonts w:ascii="Verdana" w:hAnsi="Verdana" w:cs="Arial"/>
          <w:iCs/>
          <w:sz w:val="16"/>
          <w:szCs w:val="16"/>
          <w:shd w:val="clear" w:color="auto" w:fill="FFFFFF"/>
        </w:rPr>
        <w:t>nota</w:t>
      </w:r>
      <w:r>
        <w:rPr>
          <w:rFonts w:ascii="Verdana" w:hAnsi="Verdana" w:cs="Arial"/>
          <w:sz w:val="16"/>
          <w:szCs w:val="16"/>
          <w:shd w:val="clear" w:color="auto" w:fill="FFFFFF"/>
        </w:rPr>
        <w:t xml:space="preserve"> 25</w:t>
      </w:r>
      <w:r w:rsidRPr="00C758C0">
        <w:rPr>
          <w:rFonts w:ascii="Verdana" w:hAnsi="Verdana" w:cs="Arial"/>
          <w:sz w:val="16"/>
          <w:szCs w:val="16"/>
          <w:shd w:val="clear" w:color="auto" w:fill="FFFFFF"/>
        </w:rPr>
        <w:t xml:space="preserve">, Considerando 38; </w:t>
      </w:r>
      <w:r w:rsidRPr="00C758C0">
        <w:rPr>
          <w:rFonts w:ascii="Verdana" w:hAnsi="Verdana" w:cs="Arial"/>
          <w:i/>
          <w:iCs/>
          <w:sz w:val="16"/>
          <w:szCs w:val="16"/>
          <w:shd w:val="clear" w:color="auto" w:fill="FFFFFF"/>
        </w:rPr>
        <w:t>Caso Radilla Pacheco Vs. México. Excepciones Preliminares, Fondo, Reparaciones y Costas.</w:t>
      </w:r>
      <w:r w:rsidRPr="00C758C0">
        <w:rPr>
          <w:rFonts w:ascii="Verdana" w:hAnsi="Verdana" w:cs="Arial"/>
          <w:sz w:val="16"/>
          <w:szCs w:val="16"/>
          <w:shd w:val="clear" w:color="auto" w:fill="FFFFFF"/>
        </w:rPr>
        <w:t xml:space="preserve"> Sentencia de 23 de noviembre de 2009. Serie C No. 209, párr. 238, y </w:t>
      </w:r>
      <w:r w:rsidRPr="00C758C0">
        <w:rPr>
          <w:rFonts w:ascii="Verdana" w:hAnsi="Verdana" w:cs="Arial"/>
          <w:i/>
          <w:iCs/>
          <w:sz w:val="16"/>
          <w:szCs w:val="16"/>
          <w:shd w:val="clear" w:color="auto" w:fill="FFFFFF"/>
        </w:rPr>
        <w:t>Caso Ibsen Cárdenas e Ibsen Peña Vs. Bolivia. Fondo, Reparaciones y Costas.</w:t>
      </w:r>
      <w:r w:rsidRPr="00C758C0">
        <w:rPr>
          <w:rFonts w:ascii="Verdana" w:hAnsi="Verdana" w:cs="Arial"/>
          <w:sz w:val="16"/>
          <w:szCs w:val="16"/>
          <w:shd w:val="clear" w:color="auto" w:fill="FFFFFF"/>
        </w:rPr>
        <w:t xml:space="preserve"> Sentencia de 1 de septiembre de 2010. Serie C No. 217, párr. 200.</w:t>
      </w:r>
    </w:p>
  </w:footnote>
  <w:footnote w:id="28">
    <w:p w14:paraId="229FBA2B" w14:textId="48F924EA" w:rsidR="00C64856" w:rsidRPr="00B92DBF" w:rsidRDefault="00C64856" w:rsidP="006A2391">
      <w:pPr>
        <w:pStyle w:val="Textonotapie"/>
        <w:tabs>
          <w:tab w:val="left" w:pos="426"/>
        </w:tabs>
        <w:ind w:right="49"/>
        <w:jc w:val="both"/>
        <w:rPr>
          <w:rFonts w:ascii="Verdana" w:hAnsi="Verdana"/>
          <w:sz w:val="16"/>
          <w:szCs w:val="16"/>
        </w:rPr>
      </w:pPr>
      <w:r w:rsidRPr="00C758C0">
        <w:rPr>
          <w:rStyle w:val="Refdenotaalpie"/>
          <w:rFonts w:ascii="Verdana" w:hAnsi="Verdana"/>
          <w:sz w:val="16"/>
          <w:szCs w:val="16"/>
        </w:rPr>
        <w:footnoteRef/>
      </w:r>
      <w:r w:rsidRPr="00C758C0">
        <w:rPr>
          <w:rFonts w:ascii="Verdana" w:hAnsi="Verdana"/>
          <w:sz w:val="16"/>
          <w:szCs w:val="16"/>
        </w:rPr>
        <w:t xml:space="preserve"> </w:t>
      </w:r>
      <w:r w:rsidRPr="00C758C0">
        <w:rPr>
          <w:rFonts w:ascii="Verdana" w:hAnsi="Verdana"/>
          <w:sz w:val="16"/>
          <w:szCs w:val="16"/>
        </w:rPr>
        <w:tab/>
      </w:r>
      <w:r w:rsidRPr="00BB01D0">
        <w:rPr>
          <w:rFonts w:ascii="Verdana" w:hAnsi="Verdana"/>
          <w:i/>
          <w:iCs/>
          <w:sz w:val="16"/>
          <w:szCs w:val="16"/>
        </w:rPr>
        <w:t>Cfr.</w:t>
      </w:r>
      <w:r w:rsidRPr="00C758C0">
        <w:rPr>
          <w:rFonts w:ascii="Verdana" w:hAnsi="Verdana"/>
          <w:sz w:val="16"/>
          <w:szCs w:val="16"/>
        </w:rPr>
        <w:t xml:space="preserve"> </w:t>
      </w:r>
      <w:r w:rsidRPr="00C758C0">
        <w:rPr>
          <w:rFonts w:ascii="Verdana" w:hAnsi="Verdana" w:cs="Arial"/>
          <w:i/>
          <w:iCs/>
          <w:sz w:val="16"/>
          <w:szCs w:val="16"/>
          <w:shd w:val="clear" w:color="auto" w:fill="FFFFFF"/>
        </w:rPr>
        <w:t xml:space="preserve">Caso Trujillo </w:t>
      </w:r>
      <w:proofErr w:type="spellStart"/>
      <w:r w:rsidRPr="00C758C0">
        <w:rPr>
          <w:rFonts w:ascii="Verdana" w:hAnsi="Verdana" w:cs="Arial"/>
          <w:i/>
          <w:iCs/>
          <w:sz w:val="16"/>
          <w:szCs w:val="16"/>
          <w:shd w:val="clear" w:color="auto" w:fill="FFFFFF"/>
        </w:rPr>
        <w:t>Oroza</w:t>
      </w:r>
      <w:proofErr w:type="spellEnd"/>
      <w:r w:rsidRPr="00C758C0">
        <w:rPr>
          <w:rFonts w:ascii="Verdana" w:hAnsi="Verdana" w:cs="Arial"/>
          <w:i/>
          <w:iCs/>
          <w:sz w:val="16"/>
          <w:szCs w:val="16"/>
          <w:shd w:val="clear" w:color="auto" w:fill="FFFFFF"/>
        </w:rPr>
        <w:t xml:space="preserve"> Vs. Bolivia, supra </w:t>
      </w:r>
      <w:r w:rsidRPr="00C758C0">
        <w:rPr>
          <w:rFonts w:ascii="Verdana" w:hAnsi="Verdana" w:cs="Arial"/>
          <w:sz w:val="16"/>
          <w:szCs w:val="16"/>
          <w:shd w:val="clear" w:color="auto" w:fill="FFFFFF"/>
        </w:rPr>
        <w:t>nota</w:t>
      </w:r>
      <w:r>
        <w:rPr>
          <w:rFonts w:ascii="Verdana" w:hAnsi="Verdana" w:cs="Arial"/>
          <w:sz w:val="16"/>
          <w:szCs w:val="16"/>
          <w:shd w:val="clear" w:color="auto" w:fill="FFFFFF"/>
        </w:rPr>
        <w:t xml:space="preserve"> 25</w:t>
      </w:r>
      <w:r w:rsidRPr="00C758C0">
        <w:rPr>
          <w:rFonts w:ascii="Verdana" w:hAnsi="Verdana" w:cs="Arial"/>
          <w:sz w:val="16"/>
          <w:szCs w:val="16"/>
          <w:shd w:val="clear" w:color="auto" w:fill="FFFFFF"/>
        </w:rPr>
        <w:t xml:space="preserve">, Considerando 38, y </w:t>
      </w:r>
      <w:r w:rsidRPr="00C758C0">
        <w:rPr>
          <w:rFonts w:ascii="Verdana" w:hAnsi="Verdana" w:cs="Arial"/>
          <w:i/>
          <w:iCs/>
          <w:sz w:val="16"/>
          <w:szCs w:val="16"/>
          <w:shd w:val="clear" w:color="auto" w:fill="FFFFFF"/>
        </w:rPr>
        <w:t xml:space="preserve">Caso Ibsen Cárdenas e Ibsen Peña Vs. Bolivia, supra </w:t>
      </w:r>
      <w:r w:rsidRPr="00C758C0">
        <w:rPr>
          <w:rFonts w:ascii="Verdana" w:hAnsi="Verdana" w:cs="Arial"/>
          <w:sz w:val="16"/>
          <w:szCs w:val="16"/>
          <w:shd w:val="clear" w:color="auto" w:fill="FFFFFF"/>
        </w:rPr>
        <w:t>nota</w:t>
      </w:r>
      <w:r>
        <w:rPr>
          <w:rFonts w:ascii="Verdana" w:hAnsi="Verdana" w:cs="Arial"/>
          <w:sz w:val="16"/>
          <w:szCs w:val="16"/>
          <w:shd w:val="clear" w:color="auto" w:fill="FFFFFF"/>
        </w:rPr>
        <w:t xml:space="preserve"> 27</w:t>
      </w:r>
      <w:r w:rsidRPr="00C758C0">
        <w:rPr>
          <w:rFonts w:ascii="Verdana" w:hAnsi="Verdana" w:cs="Arial"/>
          <w:sz w:val="16"/>
          <w:szCs w:val="16"/>
          <w:shd w:val="clear" w:color="auto" w:fill="FFFFFF"/>
        </w:rPr>
        <w:t>,</w:t>
      </w:r>
      <w:r w:rsidRPr="00C758C0">
        <w:rPr>
          <w:rFonts w:ascii="Verdana" w:hAnsi="Verdana" w:cs="Arial"/>
          <w:i/>
          <w:iCs/>
          <w:sz w:val="16"/>
          <w:szCs w:val="16"/>
          <w:shd w:val="clear" w:color="auto" w:fill="FFFFFF"/>
        </w:rPr>
        <w:t xml:space="preserve"> </w:t>
      </w:r>
      <w:r w:rsidRPr="00C758C0">
        <w:rPr>
          <w:rFonts w:ascii="Verdana" w:hAnsi="Verdana" w:cs="Arial"/>
          <w:sz w:val="16"/>
          <w:szCs w:val="16"/>
          <w:shd w:val="clear" w:color="auto" w:fill="FFFFFF"/>
        </w:rPr>
        <w:t>párr. 200.</w:t>
      </w:r>
    </w:p>
  </w:footnote>
  <w:footnote w:id="29">
    <w:p w14:paraId="64B5D7EA" w14:textId="77777777" w:rsidR="00C64856" w:rsidRPr="00193395" w:rsidRDefault="00C64856" w:rsidP="006A2391">
      <w:pPr>
        <w:pStyle w:val="Textonotapie"/>
        <w:tabs>
          <w:tab w:val="left" w:pos="426"/>
        </w:tabs>
        <w:ind w:right="49"/>
        <w:jc w:val="both"/>
        <w:rPr>
          <w:rFonts w:ascii="Verdana" w:hAnsi="Verdana"/>
          <w:sz w:val="16"/>
          <w:szCs w:val="16"/>
        </w:rPr>
      </w:pPr>
      <w:r w:rsidRPr="00193395">
        <w:rPr>
          <w:rStyle w:val="Refdenotaalpie"/>
          <w:rFonts w:ascii="Verdana" w:hAnsi="Verdana"/>
          <w:sz w:val="16"/>
          <w:szCs w:val="16"/>
        </w:rPr>
        <w:footnoteRef/>
      </w:r>
      <w:r w:rsidRPr="00193395">
        <w:rPr>
          <w:rFonts w:ascii="Verdana" w:hAnsi="Verdana"/>
          <w:sz w:val="16"/>
          <w:szCs w:val="16"/>
        </w:rPr>
        <w:t xml:space="preserve"> </w:t>
      </w:r>
      <w:r w:rsidRPr="00193395">
        <w:rPr>
          <w:rFonts w:ascii="Verdana" w:hAnsi="Verdana"/>
          <w:sz w:val="16"/>
          <w:szCs w:val="16"/>
        </w:rPr>
        <w:tab/>
      </w:r>
      <w:r w:rsidRPr="00193395">
        <w:rPr>
          <w:rFonts w:ascii="Verdana" w:hAnsi="Verdana"/>
          <w:i/>
          <w:iCs/>
          <w:sz w:val="16"/>
          <w:szCs w:val="16"/>
        </w:rPr>
        <w:t>Cfr.</w:t>
      </w:r>
      <w:r w:rsidRPr="00193395">
        <w:rPr>
          <w:rFonts w:ascii="Verdana" w:hAnsi="Verdana"/>
          <w:sz w:val="16"/>
          <w:szCs w:val="16"/>
        </w:rPr>
        <w:t xml:space="preserve"> </w:t>
      </w:r>
      <w:r w:rsidRPr="00193395">
        <w:rPr>
          <w:rFonts w:ascii="Verdana" w:hAnsi="Verdana" w:cs="Arial"/>
          <w:i/>
          <w:iCs/>
          <w:sz w:val="16"/>
          <w:szCs w:val="16"/>
          <w:shd w:val="clear" w:color="auto" w:fill="FFFFFF"/>
        </w:rPr>
        <w:t>Caso Vereda La Esperanza Vs. Colombia. Excepciones Preliminares, Fondo, Reparaciones y Costas.</w:t>
      </w:r>
      <w:r w:rsidRPr="00193395">
        <w:rPr>
          <w:rFonts w:ascii="Verdana" w:hAnsi="Verdana" w:cs="Arial"/>
          <w:sz w:val="16"/>
          <w:szCs w:val="16"/>
          <w:shd w:val="clear" w:color="auto" w:fill="FFFFFF"/>
        </w:rPr>
        <w:t xml:space="preserve"> Sentencia de 31 de agosto de 2017. Serie C No. 341, párr. 207. </w:t>
      </w:r>
    </w:p>
  </w:footnote>
  <w:footnote w:id="30">
    <w:p w14:paraId="2F29131C" w14:textId="77777777" w:rsidR="00C64856" w:rsidRPr="00193395" w:rsidRDefault="00C64856" w:rsidP="006A2391">
      <w:pPr>
        <w:pStyle w:val="Textonotapie"/>
        <w:tabs>
          <w:tab w:val="left" w:pos="426"/>
        </w:tabs>
        <w:ind w:right="49"/>
        <w:jc w:val="both"/>
        <w:rPr>
          <w:rFonts w:ascii="Verdana" w:hAnsi="Verdana" w:cs="Times New Roman"/>
          <w:sz w:val="16"/>
          <w:szCs w:val="16"/>
          <w:lang w:val="es-ES"/>
        </w:rPr>
      </w:pPr>
      <w:r w:rsidRPr="00193395">
        <w:rPr>
          <w:rStyle w:val="Refdenotaalpie"/>
          <w:rFonts w:ascii="Verdana" w:hAnsi="Verdana"/>
          <w:sz w:val="16"/>
          <w:szCs w:val="16"/>
        </w:rPr>
        <w:footnoteRef/>
      </w:r>
      <w:r w:rsidRPr="00193395">
        <w:rPr>
          <w:rFonts w:ascii="Verdana" w:hAnsi="Verdana"/>
          <w:sz w:val="16"/>
          <w:szCs w:val="16"/>
        </w:rPr>
        <w:t xml:space="preserve"> </w:t>
      </w:r>
      <w:r w:rsidRPr="00193395">
        <w:rPr>
          <w:rFonts w:ascii="Verdana" w:hAnsi="Verdana"/>
          <w:sz w:val="16"/>
          <w:szCs w:val="16"/>
        </w:rPr>
        <w:tab/>
      </w:r>
      <w:r w:rsidRPr="00193395">
        <w:rPr>
          <w:rFonts w:ascii="Verdana" w:hAnsi="Verdana"/>
          <w:i/>
          <w:iCs/>
          <w:sz w:val="16"/>
          <w:szCs w:val="16"/>
        </w:rPr>
        <w:t>Cfr.</w:t>
      </w:r>
      <w:r w:rsidRPr="00193395">
        <w:rPr>
          <w:rFonts w:ascii="Verdana" w:hAnsi="Verdana"/>
          <w:sz w:val="16"/>
          <w:szCs w:val="16"/>
        </w:rPr>
        <w:t xml:space="preserve"> </w:t>
      </w:r>
      <w:r w:rsidRPr="00193395">
        <w:rPr>
          <w:rFonts w:ascii="Verdana" w:hAnsi="Verdana" w:cs="Times New Roman"/>
          <w:i/>
          <w:iCs/>
          <w:sz w:val="16"/>
          <w:szCs w:val="16"/>
        </w:rPr>
        <w:t xml:space="preserve">Caso </w:t>
      </w:r>
      <w:proofErr w:type="spellStart"/>
      <w:r w:rsidRPr="00193395">
        <w:rPr>
          <w:rFonts w:ascii="Verdana" w:hAnsi="Verdana" w:cs="Times New Roman"/>
          <w:i/>
          <w:iCs/>
          <w:sz w:val="16"/>
          <w:szCs w:val="16"/>
        </w:rPr>
        <w:t>Goiburú</w:t>
      </w:r>
      <w:proofErr w:type="spellEnd"/>
      <w:r w:rsidRPr="00193395">
        <w:rPr>
          <w:rFonts w:ascii="Verdana" w:hAnsi="Verdana" w:cs="Times New Roman"/>
          <w:i/>
          <w:iCs/>
          <w:sz w:val="16"/>
          <w:szCs w:val="16"/>
        </w:rPr>
        <w:t xml:space="preserve"> y otros Vs. Paraguay. Fondo, Reparaciones y Costas.</w:t>
      </w:r>
      <w:r w:rsidRPr="00193395">
        <w:rPr>
          <w:rFonts w:ascii="Verdana" w:hAnsi="Verdana" w:cs="Times New Roman"/>
          <w:sz w:val="16"/>
          <w:szCs w:val="16"/>
        </w:rPr>
        <w:t xml:space="preserve"> Sentencia de 22 de septiembre de 2006. Serie C No. 153, párr. 92.</w:t>
      </w:r>
    </w:p>
  </w:footnote>
  <w:footnote w:id="31">
    <w:p w14:paraId="55CEF09D" w14:textId="07B03039" w:rsidR="00C64856" w:rsidRPr="00193395" w:rsidRDefault="00C64856" w:rsidP="001274F6">
      <w:pPr>
        <w:pStyle w:val="Textonotapie"/>
        <w:tabs>
          <w:tab w:val="left" w:pos="426"/>
        </w:tabs>
        <w:ind w:right="49"/>
        <w:jc w:val="both"/>
        <w:rPr>
          <w:rFonts w:ascii="Verdana" w:hAnsi="Verdana" w:cs="Arial"/>
          <w:color w:val="222222"/>
          <w:sz w:val="16"/>
          <w:szCs w:val="16"/>
          <w:shd w:val="clear" w:color="auto" w:fill="FFFFFF"/>
        </w:rPr>
      </w:pPr>
      <w:r w:rsidRPr="00F37E97">
        <w:rPr>
          <w:rStyle w:val="Refdenotaalpie"/>
          <w:rFonts w:ascii="Verdana" w:hAnsi="Verdana"/>
          <w:sz w:val="16"/>
          <w:szCs w:val="16"/>
        </w:rPr>
        <w:footnoteRef/>
      </w:r>
      <w:r w:rsidRPr="00F37E97">
        <w:rPr>
          <w:rFonts w:ascii="Verdana" w:hAnsi="Verdana"/>
          <w:sz w:val="16"/>
          <w:szCs w:val="16"/>
        </w:rPr>
        <w:t xml:space="preserve"> </w:t>
      </w:r>
      <w:r w:rsidRPr="00F37E97">
        <w:rPr>
          <w:rFonts w:ascii="Verdana" w:hAnsi="Verdana"/>
          <w:sz w:val="16"/>
          <w:szCs w:val="16"/>
        </w:rPr>
        <w:tab/>
      </w:r>
      <w:r w:rsidRPr="001274F6">
        <w:rPr>
          <w:rFonts w:ascii="Verdana" w:hAnsi="Verdana"/>
          <w:sz w:val="16"/>
          <w:szCs w:val="16"/>
        </w:rPr>
        <w:t xml:space="preserve">El artículo 312 del Código Penal de Uruguay establece que “se aplicará la pena de penitenciaría de quince a treinta años […]” para determinadas “circunstancias agravantes muy especiales” del delito de homicidio, tipificado en el artículo 310 de dicha norma. El artículo 21.1 de la Ley </w:t>
      </w:r>
      <w:r w:rsidRPr="001274F6">
        <w:rPr>
          <w:rFonts w:ascii="Verdana" w:hAnsi="Verdana" w:cs="Arial"/>
          <w:sz w:val="16"/>
          <w:szCs w:val="16"/>
          <w:shd w:val="clear" w:color="auto" w:fill="FFFFFF"/>
        </w:rPr>
        <w:t xml:space="preserve">No. 18.026 dispone lo siguiente: </w:t>
      </w:r>
      <w:r w:rsidRPr="001274F6">
        <w:rPr>
          <w:rFonts w:ascii="Verdana" w:hAnsi="Verdana"/>
          <w:sz w:val="16"/>
          <w:szCs w:val="16"/>
        </w:rPr>
        <w:t>“21.1. El que de cualquier manera y por cualquier motivo, siendo agente del Estado o sin serlo contando con la autorización, apoyo o aquiescencia de uno o más agentes del Estado, procediere a privar de libertad a una persona, seguido de la negativa a informar sobre la privación de libertad o el paradero o la suerte de la persona privada de libertad; o que omita y se niegue a brindar información sobre el hecho de la privación de libertad de una persona desaparecida, su paradero o suerte, será castigado con dos a veinticinco años de penitenciaría”.</w:t>
      </w:r>
      <w:r>
        <w:t xml:space="preserve"> </w:t>
      </w:r>
      <w:r w:rsidRPr="00343A54">
        <w:rPr>
          <w:rFonts w:ascii="Verdana" w:hAnsi="Verdana"/>
          <w:i/>
          <w:iCs/>
          <w:sz w:val="16"/>
          <w:szCs w:val="16"/>
        </w:rPr>
        <w:t>Cfr.</w:t>
      </w:r>
      <w:r w:rsidRPr="00343A54">
        <w:rPr>
          <w:rFonts w:ascii="Verdana" w:hAnsi="Verdana"/>
          <w:sz w:val="16"/>
          <w:szCs w:val="16"/>
        </w:rPr>
        <w:t xml:space="preserve"> Artículo</w:t>
      </w:r>
      <w:r w:rsidRPr="00F21EA9">
        <w:rPr>
          <w:rFonts w:ascii="Verdana" w:hAnsi="Verdana"/>
          <w:sz w:val="16"/>
          <w:szCs w:val="16"/>
        </w:rPr>
        <w:t>s</w:t>
      </w:r>
      <w:r w:rsidRPr="00343A54">
        <w:rPr>
          <w:rFonts w:ascii="Verdana" w:hAnsi="Verdana"/>
          <w:sz w:val="16"/>
          <w:szCs w:val="16"/>
        </w:rPr>
        <w:t xml:space="preserve"> 310 y 312 Código Penal de Uruguay</w:t>
      </w:r>
      <w:r w:rsidRPr="00F21EA9">
        <w:rPr>
          <w:rFonts w:ascii="Verdana" w:hAnsi="Verdana"/>
          <w:sz w:val="16"/>
          <w:szCs w:val="16"/>
        </w:rPr>
        <w:t>,</w:t>
      </w:r>
      <w:r w:rsidRPr="00343A54">
        <w:rPr>
          <w:rFonts w:ascii="Verdana" w:hAnsi="Verdana"/>
          <w:sz w:val="16"/>
          <w:szCs w:val="16"/>
        </w:rPr>
        <w:t xml:space="preserve"> </w:t>
      </w:r>
      <w:r w:rsidRPr="001A0C99">
        <w:rPr>
          <w:rFonts w:ascii="Verdana" w:hAnsi="Verdana"/>
          <w:sz w:val="16"/>
          <w:szCs w:val="16"/>
        </w:rPr>
        <w:t>promulgado por Ley 9.155 de 4 de diciembre de 1933</w:t>
      </w:r>
      <w:r w:rsidRPr="00F21EA9">
        <w:rPr>
          <w:rFonts w:ascii="Verdana" w:hAnsi="Verdana"/>
          <w:sz w:val="16"/>
          <w:szCs w:val="16"/>
        </w:rPr>
        <w:t xml:space="preserve">, disponible en: </w:t>
      </w:r>
      <w:hyperlink r:id="rId3" w:history="1">
        <w:r w:rsidRPr="00343A54">
          <w:rPr>
            <w:rStyle w:val="Hipervnculo"/>
            <w:rFonts w:ascii="Verdana" w:hAnsi="Verdana"/>
            <w:sz w:val="16"/>
            <w:szCs w:val="16"/>
          </w:rPr>
          <w:t>https://www.impo.com.uy/bases/codigo-penal/9155-1933</w:t>
        </w:r>
      </w:hyperlink>
      <w:r w:rsidR="00B70A27">
        <w:rPr>
          <w:rFonts w:ascii="Verdana" w:hAnsi="Verdana"/>
          <w:sz w:val="16"/>
          <w:szCs w:val="16"/>
        </w:rPr>
        <w:t xml:space="preserve"> </w:t>
      </w:r>
      <w:r w:rsidRPr="00343A54">
        <w:rPr>
          <w:rFonts w:ascii="Verdana" w:hAnsi="Verdana"/>
          <w:sz w:val="16"/>
          <w:szCs w:val="16"/>
        </w:rPr>
        <w:t>y artículo</w:t>
      </w:r>
      <w:r w:rsidRPr="001A0C99">
        <w:rPr>
          <w:rFonts w:ascii="Verdana" w:hAnsi="Verdana" w:cs="Arial"/>
          <w:sz w:val="16"/>
          <w:szCs w:val="16"/>
          <w:shd w:val="clear" w:color="auto" w:fill="FFFFFF"/>
        </w:rPr>
        <w:t xml:space="preserve"> 21 de la Ley </w:t>
      </w:r>
      <w:r>
        <w:rPr>
          <w:rFonts w:ascii="Verdana" w:hAnsi="Verdana" w:cs="Arial"/>
          <w:sz w:val="16"/>
          <w:szCs w:val="16"/>
          <w:shd w:val="clear" w:color="auto" w:fill="FFFFFF"/>
        </w:rPr>
        <w:t xml:space="preserve">No. </w:t>
      </w:r>
      <w:r w:rsidRPr="001A0C99">
        <w:rPr>
          <w:rFonts w:ascii="Verdana" w:hAnsi="Verdana" w:cs="Arial"/>
          <w:sz w:val="16"/>
          <w:szCs w:val="16"/>
          <w:shd w:val="clear" w:color="auto" w:fill="FFFFFF"/>
        </w:rPr>
        <w:t>18.026</w:t>
      </w:r>
      <w:r w:rsidRPr="00F21EA9">
        <w:rPr>
          <w:rFonts w:ascii="Verdana" w:hAnsi="Verdana" w:cs="Arial"/>
          <w:sz w:val="16"/>
          <w:szCs w:val="16"/>
          <w:shd w:val="clear" w:color="auto" w:fill="FFFFFF"/>
        </w:rPr>
        <w:t>,</w:t>
      </w:r>
      <w:r w:rsidRPr="00343A54">
        <w:rPr>
          <w:rFonts w:ascii="Verdana" w:hAnsi="Verdana" w:cs="Arial"/>
          <w:sz w:val="16"/>
          <w:szCs w:val="16"/>
          <w:shd w:val="clear" w:color="auto" w:fill="FFFFFF"/>
        </w:rPr>
        <w:t xml:space="preserve"> </w:t>
      </w:r>
      <w:r w:rsidRPr="00F21EA9">
        <w:rPr>
          <w:rFonts w:ascii="Verdana" w:hAnsi="Verdana" w:cs="Arial"/>
          <w:sz w:val="16"/>
          <w:szCs w:val="16"/>
          <w:shd w:val="clear" w:color="auto" w:fill="FFFFFF"/>
        </w:rPr>
        <w:t>promulgada el</w:t>
      </w:r>
      <w:r w:rsidRPr="00343A54">
        <w:rPr>
          <w:rFonts w:ascii="Verdana" w:hAnsi="Verdana" w:cs="Arial"/>
          <w:sz w:val="16"/>
          <w:szCs w:val="16"/>
          <w:shd w:val="clear" w:color="auto" w:fill="FFFFFF"/>
        </w:rPr>
        <w:t xml:space="preserve"> 25 de septiembre de 2006</w:t>
      </w:r>
      <w:r w:rsidRPr="00F21EA9">
        <w:rPr>
          <w:rFonts w:ascii="Verdana" w:hAnsi="Verdana" w:cs="Arial"/>
          <w:sz w:val="16"/>
          <w:szCs w:val="16"/>
          <w:shd w:val="clear" w:color="auto" w:fill="FFFFFF"/>
        </w:rPr>
        <w:t xml:space="preserve">, disponible en </w:t>
      </w:r>
      <w:hyperlink r:id="rId4" w:history="1">
        <w:r w:rsidRPr="00343A54">
          <w:rPr>
            <w:rStyle w:val="Hipervnculo"/>
            <w:rFonts w:ascii="Verdana" w:hAnsi="Verdana" w:cs="Arial"/>
            <w:sz w:val="16"/>
            <w:szCs w:val="16"/>
            <w:shd w:val="clear" w:color="auto" w:fill="FFFFFF"/>
          </w:rPr>
          <w:t>https://www.impo.com.uy/bases/leyes/18026-2006</w:t>
        </w:r>
      </w:hyperlink>
      <w:r w:rsidRPr="00343A54">
        <w:rPr>
          <w:rFonts w:ascii="Verdana" w:hAnsi="Verdana" w:cs="Arial"/>
          <w:sz w:val="16"/>
          <w:szCs w:val="16"/>
          <w:shd w:val="clear" w:color="auto" w:fill="FFFFFF"/>
        </w:rPr>
        <w:t xml:space="preserve"> </w:t>
      </w:r>
      <w:r w:rsidRPr="00343A54">
        <w:rPr>
          <w:rFonts w:ascii="Verdana" w:hAnsi="Verdana"/>
          <w:sz w:val="16"/>
          <w:szCs w:val="16"/>
        </w:rPr>
        <w:t>(</w:t>
      </w:r>
      <w:r w:rsidRPr="001A0C99">
        <w:rPr>
          <w:rFonts w:ascii="Verdana" w:hAnsi="Verdana"/>
          <w:sz w:val="16"/>
          <w:szCs w:val="16"/>
        </w:rPr>
        <w:t>enlaces consultados por última vez el 19 de noviembre de 2020)</w:t>
      </w:r>
      <w:r w:rsidRPr="001A0C99">
        <w:rPr>
          <w:rFonts w:ascii="Verdana" w:hAnsi="Verdana" w:cs="Arial"/>
          <w:sz w:val="16"/>
          <w:szCs w:val="16"/>
          <w:shd w:val="clear" w:color="auto" w:fill="FFFFFF"/>
        </w:rPr>
        <w:t>.</w:t>
      </w:r>
    </w:p>
  </w:footnote>
  <w:footnote w:id="32">
    <w:p w14:paraId="16C8D002" w14:textId="193631E3"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Pr>
          <w:rFonts w:ascii="Verdana" w:hAnsi="Verdana"/>
          <w:sz w:val="16"/>
          <w:szCs w:val="16"/>
        </w:rPr>
        <w:t>C</w:t>
      </w:r>
      <w:r w:rsidRPr="000111C2">
        <w:rPr>
          <w:rFonts w:ascii="Verdana" w:hAnsi="Verdana"/>
          <w:sz w:val="16"/>
          <w:szCs w:val="16"/>
        </w:rPr>
        <w:t xml:space="preserve">on sus escritos de </w:t>
      </w:r>
      <w:r>
        <w:rPr>
          <w:rFonts w:ascii="Verdana" w:hAnsi="Verdana"/>
          <w:sz w:val="16"/>
          <w:szCs w:val="16"/>
        </w:rPr>
        <w:t xml:space="preserve">observaciones de </w:t>
      </w:r>
      <w:r w:rsidRPr="000111C2">
        <w:rPr>
          <w:rFonts w:ascii="Verdana" w:hAnsi="Verdana"/>
          <w:sz w:val="16"/>
          <w:szCs w:val="16"/>
        </w:rPr>
        <w:t>mayo y septiembre de 2019</w:t>
      </w:r>
      <w:r>
        <w:rPr>
          <w:rFonts w:ascii="Verdana" w:hAnsi="Verdana"/>
          <w:sz w:val="16"/>
          <w:szCs w:val="16"/>
        </w:rPr>
        <w:t xml:space="preserve"> los representantes</w:t>
      </w:r>
      <w:r w:rsidRPr="000111C2">
        <w:rPr>
          <w:rFonts w:ascii="Verdana" w:hAnsi="Verdana"/>
          <w:sz w:val="16"/>
          <w:szCs w:val="16"/>
        </w:rPr>
        <w:t xml:space="preserve"> aportaron docum</w:t>
      </w:r>
      <w:r>
        <w:rPr>
          <w:rFonts w:ascii="Verdana" w:hAnsi="Verdana"/>
          <w:sz w:val="16"/>
          <w:szCs w:val="16"/>
        </w:rPr>
        <w:t>entos</w:t>
      </w:r>
      <w:r w:rsidRPr="000111C2">
        <w:rPr>
          <w:rFonts w:ascii="Verdana" w:hAnsi="Verdana"/>
          <w:sz w:val="16"/>
          <w:szCs w:val="16"/>
        </w:rPr>
        <w:t xml:space="preserve"> y extractos de las declaraciones que brindaron los tres militares ante el Tribunal de Honor de las Fuerzas Armadas.</w:t>
      </w:r>
    </w:p>
  </w:footnote>
  <w:footnote w:id="33">
    <w:p w14:paraId="56855F24" w14:textId="4AAED52C"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Como anexo a su escrito de septiembre de 2019 aportaron copia de notas de prensa sobre las entrevistas que brindó uno de los condenados por el homicidio de María Claudia García al diario El País en mayo de 2019. </w:t>
      </w:r>
    </w:p>
  </w:footnote>
  <w:footnote w:id="34">
    <w:p w14:paraId="25172473" w14:textId="004F736F"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 xml:space="preserve">Cfr. </w:t>
      </w:r>
      <w:r w:rsidRPr="000111C2">
        <w:rPr>
          <w:rFonts w:ascii="Verdana" w:hAnsi="Verdana" w:cs="Arial"/>
          <w:i/>
          <w:iCs/>
          <w:sz w:val="16"/>
          <w:szCs w:val="16"/>
          <w:shd w:val="clear" w:color="auto" w:fill="FFFFFF"/>
        </w:rPr>
        <w:t xml:space="preserve">Caso Gelman Vs. Uruguay, supra </w:t>
      </w:r>
      <w:r w:rsidRPr="000111C2">
        <w:rPr>
          <w:rFonts w:ascii="Verdana" w:hAnsi="Verdana" w:cs="Arial"/>
          <w:sz w:val="16"/>
          <w:szCs w:val="16"/>
          <w:shd w:val="clear" w:color="auto" w:fill="FFFFFF"/>
        </w:rPr>
        <w:t xml:space="preserve">nota 1, </w:t>
      </w:r>
      <w:r w:rsidRPr="000111C2">
        <w:rPr>
          <w:rFonts w:ascii="Verdana" w:hAnsi="Verdana"/>
          <w:sz w:val="16"/>
          <w:szCs w:val="16"/>
          <w:lang w:val="es-ES_tradnl"/>
        </w:rPr>
        <w:t>párr. 255.</w:t>
      </w:r>
    </w:p>
  </w:footnote>
  <w:footnote w:id="35">
    <w:p w14:paraId="53F97D6C" w14:textId="58DB45B1" w:rsidR="00C64856" w:rsidRPr="00193395" w:rsidRDefault="00C64856" w:rsidP="0013040E">
      <w:pPr>
        <w:pStyle w:val="Textonotapie"/>
        <w:tabs>
          <w:tab w:val="left" w:pos="426"/>
        </w:tabs>
        <w:ind w:right="49"/>
        <w:jc w:val="both"/>
        <w:rPr>
          <w:rFonts w:ascii="Verdana" w:hAnsi="Verdana"/>
          <w:sz w:val="16"/>
          <w:szCs w:val="16"/>
        </w:rPr>
      </w:pPr>
      <w:r w:rsidRPr="00193395">
        <w:rPr>
          <w:rStyle w:val="Refdenotaalpie"/>
          <w:rFonts w:ascii="Verdana" w:hAnsi="Verdana"/>
          <w:sz w:val="16"/>
          <w:szCs w:val="16"/>
        </w:rPr>
        <w:footnoteRef/>
      </w:r>
      <w:r w:rsidRPr="00193395">
        <w:rPr>
          <w:rFonts w:ascii="Verdana" w:hAnsi="Verdana"/>
          <w:sz w:val="16"/>
          <w:szCs w:val="16"/>
        </w:rPr>
        <w:t xml:space="preserve"> </w:t>
      </w:r>
      <w:r w:rsidRPr="00193395">
        <w:rPr>
          <w:rFonts w:ascii="Verdana" w:hAnsi="Verdana"/>
          <w:sz w:val="16"/>
          <w:szCs w:val="16"/>
        </w:rPr>
        <w:tab/>
        <w:t>Dichos argumentos se encuentran expuestos en las páginas 7 a 18 del escrito de los repre</w:t>
      </w:r>
      <w:r>
        <w:rPr>
          <w:rFonts w:ascii="Verdana" w:hAnsi="Verdana"/>
          <w:sz w:val="16"/>
          <w:szCs w:val="16"/>
        </w:rPr>
        <w:t>sentantes de 3 de mayo de 2019,</w:t>
      </w:r>
      <w:r w:rsidRPr="00193395">
        <w:rPr>
          <w:rFonts w:ascii="Verdana" w:hAnsi="Verdana"/>
          <w:sz w:val="16"/>
          <w:szCs w:val="16"/>
        </w:rPr>
        <w:t xml:space="preserve"> en el apartado A.3 del escrito de 5 de septiembre de 2019</w:t>
      </w:r>
      <w:r>
        <w:rPr>
          <w:rFonts w:ascii="Verdana" w:hAnsi="Verdana"/>
          <w:sz w:val="16"/>
          <w:szCs w:val="16"/>
        </w:rPr>
        <w:t xml:space="preserve"> y en la audiencia privada</w:t>
      </w:r>
      <w:r w:rsidRPr="00193395">
        <w:rPr>
          <w:rFonts w:ascii="Verdana" w:hAnsi="Verdana"/>
          <w:sz w:val="16"/>
          <w:szCs w:val="16"/>
        </w:rPr>
        <w:t xml:space="preserve">. </w:t>
      </w:r>
    </w:p>
  </w:footnote>
  <w:footnote w:id="36">
    <w:p w14:paraId="23485AC2" w14:textId="77777777" w:rsidR="00C64856" w:rsidRDefault="00C64856" w:rsidP="0013040E">
      <w:pPr>
        <w:pStyle w:val="Textonotapie"/>
        <w:tabs>
          <w:tab w:val="left" w:pos="426"/>
        </w:tabs>
        <w:ind w:right="49"/>
        <w:jc w:val="both"/>
      </w:pPr>
      <w:r>
        <w:rPr>
          <w:rStyle w:val="Refdenotaalpie"/>
        </w:rPr>
        <w:footnoteRef/>
      </w:r>
      <w:r>
        <w:t xml:space="preserve"> </w:t>
      </w:r>
      <w:r>
        <w:tab/>
      </w:r>
      <w:r w:rsidRPr="00193395">
        <w:rPr>
          <w:rFonts w:ascii="Verdana" w:hAnsi="Verdana"/>
          <w:i/>
          <w:iCs/>
          <w:sz w:val="16"/>
          <w:szCs w:val="16"/>
        </w:rPr>
        <w:t xml:space="preserve">Cfr. </w:t>
      </w:r>
      <w:r w:rsidRPr="00193395">
        <w:rPr>
          <w:rFonts w:ascii="Verdana" w:hAnsi="Verdana" w:cs="Arial"/>
          <w:i/>
          <w:iCs/>
          <w:sz w:val="16"/>
          <w:szCs w:val="16"/>
          <w:shd w:val="clear" w:color="auto" w:fill="FFFFFF"/>
        </w:rPr>
        <w:t xml:space="preserve">Caso Gelman Vs. Uruguay, supra </w:t>
      </w:r>
      <w:r w:rsidRPr="00193395">
        <w:rPr>
          <w:rFonts w:ascii="Verdana" w:hAnsi="Verdana" w:cs="Arial"/>
          <w:sz w:val="16"/>
          <w:szCs w:val="16"/>
          <w:shd w:val="clear" w:color="auto" w:fill="FFFFFF"/>
        </w:rPr>
        <w:t xml:space="preserve">nota </w:t>
      </w:r>
      <w:r>
        <w:rPr>
          <w:rFonts w:ascii="Verdana" w:hAnsi="Verdana" w:cs="Arial"/>
          <w:sz w:val="16"/>
          <w:szCs w:val="16"/>
          <w:shd w:val="clear" w:color="auto" w:fill="FFFFFF"/>
        </w:rPr>
        <w:t>1</w:t>
      </w:r>
      <w:r w:rsidRPr="00193395">
        <w:rPr>
          <w:rFonts w:ascii="Verdana" w:hAnsi="Verdana" w:cs="Arial"/>
          <w:sz w:val="16"/>
          <w:szCs w:val="16"/>
          <w:shd w:val="clear" w:color="auto" w:fill="FFFFFF"/>
        </w:rPr>
        <w:t>,</w:t>
      </w:r>
      <w:r>
        <w:rPr>
          <w:rFonts w:ascii="Verdana" w:hAnsi="Verdana" w:cs="Arial"/>
          <w:sz w:val="16"/>
          <w:szCs w:val="16"/>
          <w:shd w:val="clear" w:color="auto" w:fill="FFFFFF"/>
        </w:rPr>
        <w:t xml:space="preserve"> párr. 256.</w:t>
      </w:r>
    </w:p>
  </w:footnote>
  <w:footnote w:id="37">
    <w:p w14:paraId="0749F425" w14:textId="757518B6" w:rsidR="00C64856" w:rsidRPr="000111C2" w:rsidRDefault="00C64856" w:rsidP="00730789">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Pr>
          <w:rFonts w:ascii="Verdana" w:hAnsi="Verdana"/>
          <w:sz w:val="16"/>
          <w:szCs w:val="16"/>
        </w:rPr>
        <w:t>“[A]</w:t>
      </w:r>
      <w:r w:rsidRPr="000111C2">
        <w:rPr>
          <w:rFonts w:ascii="Verdana" w:hAnsi="Verdana"/>
          <w:sz w:val="16"/>
          <w:szCs w:val="16"/>
        </w:rPr>
        <w:t>l emitir el Decreto 323/2011, el Poder Ejecutivo uruguayo revocó, ‘por razones de legitimidad, los actos administrativos y Mensajes emanados del Poder Ejecutivo en aplicación del artículo 3º de la [Ley de Caducidad], que consideran que los hechos denunciados estaban comprendidos en las disposiciones del artículo 1º de la referida ley y en su lugar declárase que dichos hechos no estaban comprendidos en la citada norma legal</w:t>
      </w:r>
      <w:r>
        <w:rPr>
          <w:rFonts w:ascii="Verdana" w:hAnsi="Verdana"/>
          <w:sz w:val="16"/>
          <w:szCs w:val="16"/>
        </w:rPr>
        <w:t>’</w:t>
      </w:r>
      <w:r w:rsidRPr="000111C2">
        <w:rPr>
          <w:rFonts w:ascii="Verdana" w:hAnsi="Verdana"/>
          <w:sz w:val="16"/>
          <w:szCs w:val="16"/>
        </w:rPr>
        <w:t xml:space="preserve">”. </w:t>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Considerandos 43 y 44.</w:t>
      </w:r>
    </w:p>
  </w:footnote>
  <w:footnote w:id="38">
    <w:p w14:paraId="2EFB57F7" w14:textId="67FC2A7B"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Considerandos 45 y 46.</w:t>
      </w:r>
    </w:p>
  </w:footnote>
  <w:footnote w:id="39">
    <w:p w14:paraId="7B6A5F2A" w14:textId="10DAE7CE"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Considerandos 47, 48, 51, 55.</w:t>
      </w:r>
    </w:p>
  </w:footnote>
  <w:footnote w:id="40">
    <w:p w14:paraId="78968316" w14:textId="7059D1DC"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xml:space="preserve">, Considerandos </w:t>
      </w:r>
      <w:r>
        <w:rPr>
          <w:rStyle w:val="Textoennegrita"/>
          <w:rFonts w:ascii="Verdana" w:hAnsi="Verdana"/>
          <w:b w:val="0"/>
          <w:color w:val="000000"/>
          <w:sz w:val="16"/>
          <w:szCs w:val="16"/>
          <w:shd w:val="clear" w:color="auto" w:fill="FFFFFF"/>
        </w:rPr>
        <w:t>52, 54, 56 a 59</w:t>
      </w:r>
      <w:r w:rsidRPr="000111C2">
        <w:rPr>
          <w:rStyle w:val="Textoennegrita"/>
          <w:rFonts w:ascii="Verdana" w:hAnsi="Verdana"/>
          <w:b w:val="0"/>
          <w:color w:val="000000"/>
          <w:sz w:val="16"/>
          <w:szCs w:val="16"/>
          <w:shd w:val="clear" w:color="auto" w:fill="FFFFFF"/>
        </w:rPr>
        <w:t xml:space="preserve"> y 9</w:t>
      </w:r>
      <w:r>
        <w:rPr>
          <w:rStyle w:val="Textoennegrita"/>
          <w:rFonts w:ascii="Verdana" w:hAnsi="Verdana"/>
          <w:b w:val="0"/>
          <w:color w:val="000000"/>
          <w:sz w:val="16"/>
          <w:szCs w:val="16"/>
          <w:shd w:val="clear" w:color="auto" w:fill="FFFFFF"/>
        </w:rPr>
        <w:t>0</w:t>
      </w:r>
      <w:r w:rsidRPr="000111C2">
        <w:rPr>
          <w:rStyle w:val="Textoennegrita"/>
          <w:rFonts w:ascii="Verdana" w:hAnsi="Verdana"/>
          <w:b w:val="0"/>
          <w:color w:val="000000"/>
          <w:sz w:val="16"/>
          <w:szCs w:val="16"/>
          <w:shd w:val="clear" w:color="auto" w:fill="FFFFFF"/>
        </w:rPr>
        <w:t xml:space="preserve"> a 101.</w:t>
      </w:r>
    </w:p>
  </w:footnote>
  <w:footnote w:id="41">
    <w:p w14:paraId="48C26FF0" w14:textId="59707FF3" w:rsidR="00C64856" w:rsidRPr="000111C2" w:rsidRDefault="00C64856" w:rsidP="00DB55A5">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En la Sentencia, la Corte constató que el 19 de octubre de 2009 la Suprema Corte de Justicia dictó la sentencia No. 365 en la causa </w:t>
      </w:r>
      <w:r w:rsidRPr="000111C2">
        <w:rPr>
          <w:rFonts w:ascii="Verdana" w:hAnsi="Verdana"/>
          <w:i/>
          <w:iCs/>
          <w:sz w:val="16"/>
          <w:szCs w:val="16"/>
        </w:rPr>
        <w:t xml:space="preserve">Sabalsagaray </w:t>
      </w:r>
      <w:proofErr w:type="spellStart"/>
      <w:r w:rsidRPr="000111C2">
        <w:rPr>
          <w:rFonts w:ascii="Verdana" w:hAnsi="Verdana"/>
          <w:i/>
          <w:iCs/>
          <w:sz w:val="16"/>
          <w:szCs w:val="16"/>
        </w:rPr>
        <w:t>Curutchet</w:t>
      </w:r>
      <w:proofErr w:type="spellEnd"/>
      <w:r w:rsidRPr="000111C2">
        <w:rPr>
          <w:rFonts w:ascii="Verdana" w:hAnsi="Verdana"/>
          <w:i/>
          <w:iCs/>
          <w:sz w:val="16"/>
          <w:szCs w:val="16"/>
        </w:rPr>
        <w:t xml:space="preserve"> Blanca Stela</w:t>
      </w:r>
      <w:r w:rsidRPr="000111C2">
        <w:rPr>
          <w:rFonts w:ascii="Verdana" w:hAnsi="Verdana"/>
          <w:sz w:val="16"/>
          <w:szCs w:val="16"/>
        </w:rPr>
        <w:t xml:space="preserve">, en la que declaró la inconstitucionalidad de los artículos 1, 3 y 4 de la Ley de Caducidad y resolvió que son inaplicables al caso concreto que generó la acción. </w:t>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1</w:t>
      </w:r>
      <w:r w:rsidRPr="000111C2">
        <w:rPr>
          <w:rStyle w:val="Textoennegrita"/>
          <w:rFonts w:ascii="Verdana" w:hAnsi="Verdana"/>
          <w:b w:val="0"/>
          <w:color w:val="000000"/>
          <w:sz w:val="16"/>
          <w:szCs w:val="16"/>
          <w:shd w:val="clear" w:color="auto" w:fill="FFFFFF"/>
        </w:rPr>
        <w:t>, párr. 148.</w:t>
      </w:r>
    </w:p>
  </w:footnote>
  <w:footnote w:id="42">
    <w:p w14:paraId="154019AA" w14:textId="69C8DC9E" w:rsidR="00C64856" w:rsidRPr="000111C2" w:rsidRDefault="00C64856" w:rsidP="00CE5C9A">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Explicó que “[la] enorme mayoría [</w:t>
      </w:r>
      <w:r>
        <w:rPr>
          <w:rFonts w:ascii="Verdana" w:hAnsi="Verdana"/>
          <w:sz w:val="16"/>
          <w:szCs w:val="16"/>
        </w:rPr>
        <w:t xml:space="preserve">de causas </w:t>
      </w:r>
      <w:r w:rsidRPr="000111C2">
        <w:rPr>
          <w:rFonts w:ascii="Verdana" w:hAnsi="Verdana"/>
          <w:sz w:val="16"/>
          <w:szCs w:val="16"/>
        </w:rPr>
        <w:t>está</w:t>
      </w:r>
      <w:r>
        <w:rPr>
          <w:rFonts w:ascii="Verdana" w:hAnsi="Verdana"/>
          <w:sz w:val="16"/>
          <w:szCs w:val="16"/>
        </w:rPr>
        <w:t>n</w:t>
      </w:r>
      <w:r w:rsidRPr="000111C2">
        <w:rPr>
          <w:rFonts w:ascii="Verdana" w:hAnsi="Verdana"/>
          <w:sz w:val="16"/>
          <w:szCs w:val="16"/>
        </w:rPr>
        <w:t xml:space="preserve">] en etapa </w:t>
      </w:r>
      <w:proofErr w:type="spellStart"/>
      <w:r w:rsidRPr="000111C2">
        <w:rPr>
          <w:rFonts w:ascii="Verdana" w:hAnsi="Verdana"/>
          <w:sz w:val="16"/>
          <w:szCs w:val="16"/>
        </w:rPr>
        <w:t>presumarial</w:t>
      </w:r>
      <w:proofErr w:type="spellEnd"/>
      <w:r w:rsidRPr="000111C2">
        <w:rPr>
          <w:rFonts w:ascii="Verdana" w:hAnsi="Verdana"/>
          <w:sz w:val="16"/>
          <w:szCs w:val="16"/>
        </w:rPr>
        <w:t xml:space="preserve"> (de neto corte investigativo, en algunos casos con pedido de enjuiciamientos), un núcleo pequeño en sumario (donde existe auto de procesamiento), y otro cúmulo importante en etapa de ejecución, donde existen sentencias condenatorias firmes”. Agregó que la Fiscalía Especializada en Delitos de Lesa Humanidad, creada en febrero de 2018,</w:t>
      </w:r>
      <w:r w:rsidRPr="000111C2">
        <w:rPr>
          <w:rFonts w:ascii="Verdana" w:hAnsi="Verdana"/>
          <w:b/>
          <w:bCs/>
          <w:sz w:val="16"/>
          <w:szCs w:val="16"/>
        </w:rPr>
        <w:t xml:space="preserve"> </w:t>
      </w:r>
      <w:r w:rsidRPr="000111C2">
        <w:rPr>
          <w:rFonts w:ascii="Verdana" w:hAnsi="Verdana"/>
          <w:sz w:val="16"/>
          <w:szCs w:val="16"/>
        </w:rPr>
        <w:t xml:space="preserve">“relevó 220 causas de violaciones a los derechos humanos, ocurridas durante la dictadura (1973-1985), interviniendo en casi la </w:t>
      </w:r>
      <w:proofErr w:type="gramStart"/>
      <w:r w:rsidRPr="000111C2">
        <w:rPr>
          <w:rFonts w:ascii="Verdana" w:hAnsi="Verdana"/>
          <w:sz w:val="16"/>
          <w:szCs w:val="16"/>
        </w:rPr>
        <w:t>mitad[</w:t>
      </w:r>
      <w:proofErr w:type="gramEnd"/>
      <w:r w:rsidRPr="000111C2">
        <w:rPr>
          <w:rFonts w:ascii="Verdana" w:hAnsi="Verdana"/>
          <w:sz w:val="16"/>
          <w:szCs w:val="16"/>
        </w:rPr>
        <w:t>, y que] ha solicitado diversos procesamientos, ha realizado 7 solicitudes de archivo y 6 solicitudes de extradición con respecto a 3 personas”.</w:t>
      </w:r>
    </w:p>
  </w:footnote>
  <w:footnote w:id="43">
    <w:p w14:paraId="75FF5F81" w14:textId="35880DF3"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También mencionaron los siguientes obstáculos: “[e]l Estado no ha tomado medidas para impedir que maniobras dilatorias de las defensas [de los imputados, a través de la interposición de una enorme cantidad de recursos y acciones de inconstitucionalidad] obstaculicen el avance de efectivo de los procesos”; “[e]l Estado no impulsa las investigaciones de oficio”; “[l]a justicia no resuelve sobre los nuevos pedidos de procesamiento” que se refieren a graves violaciones a derechos humanos, aun cuando algunos de ellos “tienen más de dos o tres años de realizados”</w:t>
      </w:r>
      <w:r>
        <w:rPr>
          <w:rFonts w:ascii="Verdana" w:hAnsi="Verdana"/>
          <w:sz w:val="16"/>
          <w:szCs w:val="16"/>
        </w:rPr>
        <w:t>,</w:t>
      </w:r>
      <w:r w:rsidRPr="000111C2">
        <w:rPr>
          <w:rFonts w:ascii="Verdana" w:hAnsi="Verdana"/>
          <w:sz w:val="16"/>
          <w:szCs w:val="16"/>
        </w:rPr>
        <w:t xml:space="preserve"> con la consecuencia de que en ese tiempo algunos indagados han fallecido o abandonado el país; y la Fiscalía Especializada en Crímenes de Lesa Humanidad no cuenta con recursos suficientes y adecuados para dar impulso a los procesos en curso ni para iniciar nuevas causas de oficio</w:t>
      </w:r>
      <w:r>
        <w:rPr>
          <w:rFonts w:ascii="Verdana" w:hAnsi="Verdana"/>
          <w:sz w:val="16"/>
          <w:szCs w:val="16"/>
        </w:rPr>
        <w:t>,</w:t>
      </w:r>
      <w:r w:rsidRPr="000111C2">
        <w:rPr>
          <w:rFonts w:ascii="Verdana" w:hAnsi="Verdana"/>
          <w:sz w:val="16"/>
          <w:szCs w:val="16"/>
        </w:rPr>
        <w:t xml:space="preserve"> </w:t>
      </w:r>
      <w:r>
        <w:rPr>
          <w:rFonts w:ascii="Verdana" w:hAnsi="Verdana"/>
          <w:sz w:val="16"/>
          <w:szCs w:val="16"/>
        </w:rPr>
        <w:t>ni</w:t>
      </w:r>
      <w:r w:rsidRPr="000111C2">
        <w:rPr>
          <w:rFonts w:ascii="Verdana" w:hAnsi="Verdana"/>
          <w:sz w:val="16"/>
          <w:szCs w:val="16"/>
        </w:rPr>
        <w:t xml:space="preserve"> “con políticas que establezcan pautas claras para la investigación de crímenes de lesa humanidad”. </w:t>
      </w:r>
    </w:p>
  </w:footnote>
  <w:footnote w:id="44">
    <w:p w14:paraId="1E7F097B" w14:textId="1322E0FD" w:rsidR="00C64856" w:rsidRPr="0008250C" w:rsidRDefault="00C64856" w:rsidP="0008250C">
      <w:pPr>
        <w:pStyle w:val="Textonotapie"/>
        <w:tabs>
          <w:tab w:val="left" w:pos="426"/>
        </w:tabs>
        <w:ind w:right="49"/>
        <w:jc w:val="both"/>
        <w:rPr>
          <w:rFonts w:ascii="Verdana" w:hAnsi="Verdana"/>
          <w:sz w:val="16"/>
          <w:szCs w:val="16"/>
        </w:rPr>
      </w:pPr>
      <w:r w:rsidRPr="0008250C">
        <w:rPr>
          <w:rStyle w:val="Refdenotaalpie"/>
          <w:rFonts w:ascii="Verdana" w:hAnsi="Verdana"/>
          <w:sz w:val="16"/>
          <w:szCs w:val="16"/>
        </w:rPr>
        <w:footnoteRef/>
      </w:r>
      <w:r w:rsidRPr="0008250C">
        <w:rPr>
          <w:rFonts w:ascii="Verdana" w:hAnsi="Verdana"/>
          <w:sz w:val="16"/>
          <w:szCs w:val="16"/>
        </w:rPr>
        <w:t xml:space="preserve"> </w:t>
      </w:r>
      <w:r w:rsidRPr="0008250C">
        <w:rPr>
          <w:rFonts w:ascii="Verdana" w:hAnsi="Verdana"/>
          <w:sz w:val="16"/>
          <w:szCs w:val="16"/>
        </w:rPr>
        <w:tab/>
      </w:r>
      <w:r w:rsidRPr="0008250C">
        <w:rPr>
          <w:rFonts w:ascii="Verdana" w:hAnsi="Verdana"/>
          <w:i/>
          <w:iCs/>
          <w:sz w:val="16"/>
          <w:szCs w:val="16"/>
        </w:rPr>
        <w:t>Cfr.</w:t>
      </w:r>
      <w:r w:rsidRPr="0008250C">
        <w:rPr>
          <w:rFonts w:ascii="Verdana" w:hAnsi="Verdana"/>
          <w:sz w:val="16"/>
          <w:szCs w:val="16"/>
        </w:rPr>
        <w:t xml:space="preserve"> </w:t>
      </w:r>
      <w:r>
        <w:rPr>
          <w:rFonts w:ascii="Verdana" w:hAnsi="Verdana"/>
          <w:sz w:val="16"/>
          <w:szCs w:val="16"/>
        </w:rPr>
        <w:t xml:space="preserve">Comunicado de prensa 158/2019 de la Comisión Interamericana de Derechos Humanos titulado </w:t>
      </w:r>
      <w:r w:rsidRPr="007B5E63">
        <w:rPr>
          <w:rFonts w:ascii="Verdana" w:hAnsi="Verdana"/>
          <w:i/>
          <w:sz w:val="16"/>
          <w:szCs w:val="16"/>
        </w:rPr>
        <w:t xml:space="preserve">“CIDH toma nota de decisión judicial que limita la aplicación de la prescripción en </w:t>
      </w:r>
      <w:r w:rsidRPr="00292A28">
        <w:rPr>
          <w:rFonts w:ascii="Verdana" w:hAnsi="Verdana"/>
          <w:i/>
          <w:sz w:val="16"/>
          <w:szCs w:val="16"/>
        </w:rPr>
        <w:t>crimen</w:t>
      </w:r>
      <w:r w:rsidRPr="007B5E63">
        <w:rPr>
          <w:rFonts w:ascii="Verdana" w:hAnsi="Verdana"/>
          <w:i/>
          <w:sz w:val="16"/>
          <w:szCs w:val="16"/>
        </w:rPr>
        <w:t xml:space="preserve"> durante la dictadura cívico militar”</w:t>
      </w:r>
      <w:r>
        <w:rPr>
          <w:rFonts w:ascii="Verdana" w:hAnsi="Verdana"/>
          <w:sz w:val="16"/>
          <w:szCs w:val="16"/>
        </w:rPr>
        <w:t xml:space="preserve"> de 24 de junio de 2019 (mencionado en escrito de observaciones de los representantes de septiembre de 2019) y e</w:t>
      </w:r>
      <w:r w:rsidRPr="0008250C">
        <w:rPr>
          <w:rFonts w:ascii="Verdana" w:hAnsi="Verdana"/>
          <w:sz w:val="16"/>
          <w:szCs w:val="16"/>
        </w:rPr>
        <w:t xml:space="preserve">scrito de </w:t>
      </w:r>
      <w:proofErr w:type="spellStart"/>
      <w:r w:rsidRPr="0008250C">
        <w:rPr>
          <w:rFonts w:ascii="Verdana" w:hAnsi="Verdana"/>
          <w:i/>
          <w:iCs/>
          <w:sz w:val="16"/>
          <w:szCs w:val="16"/>
        </w:rPr>
        <w:t>amicus</w:t>
      </w:r>
      <w:proofErr w:type="spellEnd"/>
      <w:r w:rsidRPr="0008250C">
        <w:rPr>
          <w:rFonts w:ascii="Verdana" w:hAnsi="Verdana"/>
          <w:i/>
          <w:iCs/>
          <w:sz w:val="16"/>
          <w:szCs w:val="16"/>
        </w:rPr>
        <w:t xml:space="preserve"> </w:t>
      </w:r>
      <w:proofErr w:type="spellStart"/>
      <w:r w:rsidRPr="0008250C">
        <w:rPr>
          <w:rFonts w:ascii="Verdana" w:hAnsi="Verdana"/>
          <w:i/>
          <w:iCs/>
          <w:sz w:val="16"/>
          <w:szCs w:val="16"/>
        </w:rPr>
        <w:t>curiae</w:t>
      </w:r>
      <w:proofErr w:type="spellEnd"/>
      <w:r w:rsidRPr="0008250C">
        <w:rPr>
          <w:rFonts w:ascii="Verdana" w:hAnsi="Verdana"/>
          <w:sz w:val="16"/>
          <w:szCs w:val="16"/>
        </w:rPr>
        <w:t xml:space="preserve"> presentado por el Observatorio Luz </w:t>
      </w:r>
      <w:proofErr w:type="spellStart"/>
      <w:r w:rsidRPr="0008250C">
        <w:rPr>
          <w:rFonts w:ascii="Verdana" w:hAnsi="Verdana"/>
          <w:sz w:val="16"/>
          <w:szCs w:val="16"/>
        </w:rPr>
        <w:t>Ibarburú</w:t>
      </w:r>
      <w:proofErr w:type="spellEnd"/>
      <w:r>
        <w:rPr>
          <w:rFonts w:ascii="Verdana" w:hAnsi="Verdana"/>
          <w:sz w:val="16"/>
          <w:szCs w:val="16"/>
        </w:rPr>
        <w:t xml:space="preserve"> (</w:t>
      </w:r>
      <w:r w:rsidRPr="007B5E63">
        <w:rPr>
          <w:rFonts w:ascii="Verdana" w:hAnsi="Verdana"/>
          <w:i/>
          <w:sz w:val="16"/>
          <w:szCs w:val="16"/>
        </w:rPr>
        <w:t>supra</w:t>
      </w:r>
      <w:r>
        <w:rPr>
          <w:rFonts w:ascii="Verdana" w:hAnsi="Verdana"/>
          <w:sz w:val="16"/>
          <w:szCs w:val="16"/>
        </w:rPr>
        <w:t xml:space="preserve"> Visto 8). </w:t>
      </w:r>
    </w:p>
  </w:footnote>
  <w:footnote w:id="45">
    <w:p w14:paraId="2B91FBF6" w14:textId="09453A8D" w:rsidR="00C64856" w:rsidRDefault="00C64856" w:rsidP="006B440D">
      <w:pPr>
        <w:pStyle w:val="Textonotapie"/>
        <w:tabs>
          <w:tab w:val="left" w:pos="426"/>
        </w:tabs>
        <w:ind w:right="49"/>
        <w:jc w:val="both"/>
      </w:pPr>
      <w:r w:rsidRPr="008F168E">
        <w:rPr>
          <w:rStyle w:val="Refdenotaalpie"/>
        </w:rPr>
        <w:footnoteRef/>
      </w:r>
      <w:r w:rsidRPr="008F168E">
        <w:t xml:space="preserve"> </w:t>
      </w:r>
      <w:r w:rsidRPr="008F168E">
        <w:tab/>
      </w:r>
      <w:r w:rsidRPr="008F168E">
        <w:rPr>
          <w:rFonts w:ascii="Verdana" w:hAnsi="Verdana"/>
          <w:i/>
          <w:iCs/>
          <w:sz w:val="16"/>
          <w:szCs w:val="16"/>
        </w:rPr>
        <w:t>Cfr. Caso Gelman Vs. Uruguay, supra</w:t>
      </w:r>
      <w:r w:rsidRPr="008F168E">
        <w:rPr>
          <w:rFonts w:ascii="Verdana" w:hAnsi="Verdana"/>
          <w:sz w:val="16"/>
          <w:szCs w:val="16"/>
        </w:rPr>
        <w:t xml:space="preserve"> nota 2, Considerandos 65 a 68; </w:t>
      </w:r>
      <w:r w:rsidRPr="008F168E">
        <w:rPr>
          <w:rFonts w:ascii="Verdana" w:hAnsi="Verdana"/>
          <w:i/>
          <w:iCs/>
          <w:sz w:val="16"/>
          <w:szCs w:val="16"/>
        </w:rPr>
        <w:t>Caso Artavia Murillo y otros ("Fecundación In Vitro") Vs. Costa Rica. Supervisión de Cumplimiento de Sentencia.</w:t>
      </w:r>
      <w:r w:rsidRPr="008F168E">
        <w:rPr>
          <w:rFonts w:ascii="Verdana" w:hAnsi="Verdana"/>
          <w:sz w:val="16"/>
          <w:szCs w:val="16"/>
        </w:rPr>
        <w:t xml:space="preserve"> Resolución de la Corte Interamericana de Derechos Humanos de 26 de febrero de 2016, Considerando 12; </w:t>
      </w:r>
      <w:r w:rsidRPr="008F168E">
        <w:rPr>
          <w:rFonts w:ascii="Verdana" w:hAnsi="Verdana"/>
          <w:i/>
          <w:iCs/>
          <w:sz w:val="16"/>
          <w:szCs w:val="16"/>
        </w:rPr>
        <w:t>Caso 19 Comerciantes Vs. Colombia. Supervisión de Cumplimiento de Sentencia.</w:t>
      </w:r>
      <w:r w:rsidRPr="008F168E">
        <w:rPr>
          <w:rFonts w:ascii="Verdana" w:hAnsi="Verdana"/>
          <w:sz w:val="16"/>
          <w:szCs w:val="16"/>
        </w:rPr>
        <w:t xml:space="preserve"> Resolución de la Corte Interamericana de Derechos Humanos de 23 de junio de 2016, Considerando 10, y </w:t>
      </w:r>
      <w:r w:rsidRPr="008F168E">
        <w:rPr>
          <w:rFonts w:ascii="Verdana" w:hAnsi="Verdana" w:cs="Arial"/>
          <w:i/>
          <w:iCs/>
          <w:sz w:val="16"/>
          <w:szCs w:val="16"/>
          <w:shd w:val="clear" w:color="auto" w:fill="FFFFFF"/>
        </w:rPr>
        <w:t>Caso Maldonado Vargas y otros Vs. Chile. Supervisión de Cumplimiento de Sentencia.</w:t>
      </w:r>
      <w:r w:rsidRPr="008F168E">
        <w:rPr>
          <w:rFonts w:ascii="Verdana" w:hAnsi="Verdana" w:cs="Arial"/>
          <w:sz w:val="16"/>
          <w:szCs w:val="16"/>
          <w:shd w:val="clear" w:color="auto" w:fill="FFFFFF"/>
        </w:rPr>
        <w:t xml:space="preserve"> Resolución de la Corte Interamericana de Derechos Humanos de 30 de agosto de 2017, Considerando 43.</w:t>
      </w:r>
    </w:p>
  </w:footnote>
  <w:footnote w:id="46">
    <w:p w14:paraId="7C4F5771" w14:textId="1862EA59"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ab/>
        <w:t xml:space="preserve">Además, se indicó que “el Estado deberá asumir los gastos fúnebres, en su caso, de común acuerdo con sus familiares”. </w:t>
      </w:r>
    </w:p>
  </w:footnote>
  <w:footnote w:id="47">
    <w:p w14:paraId="4F9DDD5D" w14:textId="1D0F9AD6"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Se dejó constando que el Esta</w:t>
      </w:r>
      <w:r>
        <w:rPr>
          <w:rFonts w:ascii="Verdana" w:hAnsi="Verdana"/>
          <w:sz w:val="16"/>
          <w:szCs w:val="16"/>
        </w:rPr>
        <w:t>do</w:t>
      </w:r>
      <w:r w:rsidRPr="000111C2">
        <w:rPr>
          <w:rFonts w:ascii="Verdana" w:hAnsi="Verdana"/>
          <w:sz w:val="16"/>
          <w:szCs w:val="16"/>
        </w:rPr>
        <w:t xml:space="preserve"> informó que “bajo la causa ‘María Claudia García Iruretagoyena de Gelman y María Macarena Gelman García Iruretagoyena’ se </w:t>
      </w:r>
      <w:proofErr w:type="spellStart"/>
      <w:r w:rsidRPr="000111C2">
        <w:rPr>
          <w:rFonts w:ascii="Verdana" w:hAnsi="Verdana"/>
          <w:sz w:val="16"/>
          <w:szCs w:val="16"/>
        </w:rPr>
        <w:t>esta</w:t>
      </w:r>
      <w:proofErr w:type="spellEnd"/>
      <w:r w:rsidRPr="000111C2">
        <w:rPr>
          <w:rFonts w:ascii="Verdana" w:hAnsi="Verdana"/>
          <w:sz w:val="16"/>
          <w:szCs w:val="16"/>
        </w:rPr>
        <w:t>[</w:t>
      </w:r>
      <w:proofErr w:type="spellStart"/>
      <w:r w:rsidRPr="000111C2">
        <w:rPr>
          <w:rFonts w:ascii="Verdana" w:hAnsi="Verdana"/>
          <w:sz w:val="16"/>
          <w:szCs w:val="16"/>
        </w:rPr>
        <w:t>ban</w:t>
      </w:r>
      <w:proofErr w:type="spellEnd"/>
      <w:r w:rsidRPr="000111C2">
        <w:rPr>
          <w:rFonts w:ascii="Verdana" w:hAnsi="Verdana"/>
          <w:sz w:val="16"/>
          <w:szCs w:val="16"/>
        </w:rPr>
        <w:t>] realizando nuevas excavaciones, por un equipo de antropólogos, en búsqueda de restos de desaparecidos”, y “que en el marco de dichas excavaciones, el 21 de octubre de 2011, en un predio del Batallón de Paracaidistas No. 14 de Infantería del Ejército, se hallaron los restos óseos del Maestro Julio Castro, que ha derivado en sucesivos actos de investigación</w:t>
      </w:r>
      <w:r>
        <w:rPr>
          <w:rFonts w:ascii="Verdana" w:hAnsi="Verdana"/>
          <w:sz w:val="16"/>
          <w:szCs w:val="16"/>
        </w:rPr>
        <w:t>”</w:t>
      </w:r>
      <w:r w:rsidRPr="000111C2">
        <w:rPr>
          <w:rFonts w:ascii="Verdana" w:hAnsi="Verdana"/>
          <w:sz w:val="16"/>
          <w:szCs w:val="16"/>
        </w:rPr>
        <w:t xml:space="preserve">. </w:t>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 23.</w:t>
      </w:r>
    </w:p>
  </w:footnote>
  <w:footnote w:id="48">
    <w:p w14:paraId="0C4A3C4C" w14:textId="63BE321C"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w:t>
      </w:r>
      <w:r>
        <w:rPr>
          <w:rStyle w:val="Textoennegrita"/>
          <w:rFonts w:ascii="Verdana" w:hAnsi="Verdana"/>
          <w:b w:val="0"/>
          <w:color w:val="000000"/>
          <w:sz w:val="16"/>
          <w:szCs w:val="16"/>
          <w:shd w:val="clear" w:color="auto" w:fill="FFFFFF"/>
        </w:rPr>
        <w:t>s 23 y</w:t>
      </w:r>
      <w:r w:rsidRPr="000111C2">
        <w:rPr>
          <w:rStyle w:val="Textoennegrita"/>
          <w:rFonts w:ascii="Verdana" w:hAnsi="Verdana"/>
          <w:b w:val="0"/>
          <w:color w:val="000000"/>
          <w:sz w:val="16"/>
          <w:szCs w:val="16"/>
          <w:shd w:val="clear" w:color="auto" w:fill="FFFFFF"/>
        </w:rPr>
        <w:t xml:space="preserve"> 27.</w:t>
      </w:r>
    </w:p>
  </w:footnote>
  <w:footnote w:id="49">
    <w:p w14:paraId="121B47C3" w14:textId="1A1B6006"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cs="Cambria"/>
          <w:sz w:val="16"/>
          <w:szCs w:val="16"/>
        </w:rPr>
        <w:t xml:space="preserve">Tales como: la creación, en agosto de 2013, de la Secretaría de Derechos Humanos para el Pasado Reciente; la aprobación, en diciembre de 2013, del “Protocolo de Procedimientos </w:t>
      </w:r>
      <w:r>
        <w:rPr>
          <w:rFonts w:ascii="Verdana" w:hAnsi="Verdana" w:cs="Cambria"/>
          <w:sz w:val="16"/>
          <w:szCs w:val="16"/>
        </w:rPr>
        <w:t>a seguir en la</w:t>
      </w:r>
      <w:r w:rsidRPr="000111C2">
        <w:rPr>
          <w:rFonts w:ascii="Verdana" w:hAnsi="Verdana" w:cs="Cambria"/>
          <w:sz w:val="16"/>
          <w:szCs w:val="16"/>
        </w:rPr>
        <w:t xml:space="preserve"> búsqueda, recuperación y análisis de restos óseos que podrían pertenecer a personas detenidas desaparecidas” (</w:t>
      </w:r>
      <w:r w:rsidRPr="000111C2">
        <w:rPr>
          <w:rFonts w:ascii="Verdana" w:hAnsi="Verdana" w:cs="Cambria"/>
          <w:i/>
          <w:iCs/>
          <w:sz w:val="16"/>
          <w:szCs w:val="16"/>
        </w:rPr>
        <w:t>infra</w:t>
      </w:r>
      <w:r w:rsidRPr="000111C2">
        <w:rPr>
          <w:rFonts w:ascii="Verdana" w:hAnsi="Verdana" w:cs="Cambria"/>
          <w:sz w:val="16"/>
          <w:szCs w:val="16"/>
        </w:rPr>
        <w:t xml:space="preserve"> Considerando </w:t>
      </w:r>
      <w:r>
        <w:rPr>
          <w:rFonts w:ascii="Verdana" w:hAnsi="Verdana" w:cs="Cambria"/>
          <w:sz w:val="16"/>
          <w:szCs w:val="16"/>
        </w:rPr>
        <w:t>64</w:t>
      </w:r>
      <w:r w:rsidRPr="000111C2">
        <w:rPr>
          <w:rFonts w:ascii="Verdana" w:hAnsi="Verdana" w:cs="Cambria"/>
          <w:sz w:val="16"/>
          <w:szCs w:val="16"/>
        </w:rPr>
        <w:t xml:space="preserve">); la creación, en mayo de 2015, del “Grupo de Trabajo por Verdad y Justicia” con el fin de “investigar los crímenes de lesa humanidad cometidos […] en el marco de la actuación ilegítima del Estado y el terrorismo de </w:t>
      </w:r>
      <w:r>
        <w:rPr>
          <w:rFonts w:ascii="Verdana" w:hAnsi="Verdana" w:cs="Cambria"/>
          <w:sz w:val="16"/>
          <w:szCs w:val="16"/>
        </w:rPr>
        <w:t>E</w:t>
      </w:r>
      <w:r w:rsidRPr="000111C2">
        <w:rPr>
          <w:rFonts w:ascii="Verdana" w:hAnsi="Verdana" w:cs="Cambria"/>
          <w:sz w:val="16"/>
          <w:szCs w:val="16"/>
        </w:rPr>
        <w:t>stado, durante los períodos comprendidos entre 13 de junio de 1968 […] hasta el 28 de febrero de 1985”; la suscripción, en diciembre de 2015, del “Acuerdo Marco de Cooperación en materia de investigación entre el Grupo de Trabajo por Verdad y Justicia y el Equipo Argentino de Antropología Forense”; la aprobación, en diciembre de 2015, de la Ley No. 19355</w:t>
      </w:r>
      <w:r>
        <w:rPr>
          <w:rFonts w:ascii="Verdana" w:hAnsi="Verdana" w:cs="Cambria"/>
          <w:sz w:val="16"/>
          <w:szCs w:val="16"/>
        </w:rPr>
        <w:t>,</w:t>
      </w:r>
      <w:r w:rsidRPr="000111C2">
        <w:rPr>
          <w:rFonts w:ascii="Verdana" w:hAnsi="Verdana" w:cs="Cambria"/>
          <w:sz w:val="16"/>
          <w:szCs w:val="16"/>
        </w:rPr>
        <w:t xml:space="preserve"> mediante la cual “se creó en la órbita del Ministerio del Interior un ‘Equipo Especializado en Graves Violaciones a los Derechos Humanos’ […] que colabora en forma directa con operadores del Poder Judicial y la Fiscalía General de la Nación, a fin de adecuar trámites solicitados e investigaciones referidas a desapariciones forzadas”;</w:t>
      </w:r>
      <w:r w:rsidRPr="000111C2">
        <w:rPr>
          <w:rFonts w:ascii="Verdana" w:hAnsi="Verdana" w:cs="Cambria"/>
          <w:b/>
          <w:bCs/>
          <w:sz w:val="16"/>
          <w:szCs w:val="16"/>
        </w:rPr>
        <w:t xml:space="preserve"> </w:t>
      </w:r>
      <w:r w:rsidRPr="000111C2">
        <w:rPr>
          <w:rFonts w:ascii="Verdana" w:hAnsi="Verdana" w:cs="Cambria"/>
          <w:sz w:val="16"/>
          <w:szCs w:val="16"/>
        </w:rPr>
        <w:t>la aprobación, en octubre de 2017, de la Ley No.</w:t>
      </w:r>
      <w:r>
        <w:rPr>
          <w:rFonts w:ascii="Verdana" w:hAnsi="Verdana" w:cs="Cambria"/>
          <w:sz w:val="16"/>
          <w:szCs w:val="16"/>
        </w:rPr>
        <w:t xml:space="preserve"> </w:t>
      </w:r>
      <w:r w:rsidRPr="000111C2">
        <w:rPr>
          <w:rFonts w:ascii="Verdana" w:hAnsi="Verdana" w:cs="Cambria"/>
          <w:sz w:val="16"/>
          <w:szCs w:val="16"/>
        </w:rPr>
        <w:t>19550</w:t>
      </w:r>
      <w:r>
        <w:rPr>
          <w:rFonts w:ascii="Verdana" w:hAnsi="Verdana" w:cs="Cambria"/>
          <w:sz w:val="16"/>
          <w:szCs w:val="16"/>
        </w:rPr>
        <w:t>,</w:t>
      </w:r>
      <w:r w:rsidRPr="000111C2">
        <w:rPr>
          <w:rFonts w:ascii="Verdana" w:hAnsi="Verdana" w:cs="Cambria"/>
          <w:sz w:val="16"/>
          <w:szCs w:val="16"/>
        </w:rPr>
        <w:t xml:space="preserve"> mediante la cual se crea la Fiscalía Especializada en Crímenes de Lesa Humanidad;</w:t>
      </w:r>
      <w:r w:rsidRPr="000111C2">
        <w:rPr>
          <w:rFonts w:ascii="Verdana" w:hAnsi="Verdana" w:cs="Cambria"/>
          <w:b/>
          <w:bCs/>
          <w:sz w:val="16"/>
          <w:szCs w:val="16"/>
        </w:rPr>
        <w:t xml:space="preserve"> </w:t>
      </w:r>
      <w:r w:rsidRPr="000111C2">
        <w:rPr>
          <w:rFonts w:ascii="Verdana" w:hAnsi="Verdana" w:cs="Cambria"/>
          <w:sz w:val="16"/>
          <w:szCs w:val="16"/>
        </w:rPr>
        <w:t>y la promulgación de la Ley No. 19.822</w:t>
      </w:r>
      <w:r>
        <w:rPr>
          <w:rFonts w:ascii="Verdana" w:hAnsi="Verdana" w:cs="Cambria"/>
          <w:sz w:val="16"/>
          <w:szCs w:val="16"/>
        </w:rPr>
        <w:t>,</w:t>
      </w:r>
      <w:r w:rsidRPr="000111C2">
        <w:rPr>
          <w:rFonts w:ascii="Verdana" w:hAnsi="Verdana" w:cs="Cambria"/>
          <w:sz w:val="16"/>
          <w:szCs w:val="16"/>
        </w:rPr>
        <w:t xml:space="preserve"> mediante la cual se traspasa la competencia que antes tenía el Grupo de Trabajo por Verdad y Justicia para la búsqueda e investigación de hechos acontecidos durante la dictadura militar a</w:t>
      </w:r>
      <w:r>
        <w:rPr>
          <w:rFonts w:ascii="Verdana" w:hAnsi="Verdana" w:cs="Cambria"/>
          <w:sz w:val="16"/>
          <w:szCs w:val="16"/>
        </w:rPr>
        <w:t xml:space="preserve"> </w:t>
      </w:r>
      <w:r w:rsidRPr="000111C2">
        <w:rPr>
          <w:rFonts w:ascii="Verdana" w:hAnsi="Verdana" w:cs="Cambria"/>
          <w:sz w:val="16"/>
          <w:szCs w:val="16"/>
        </w:rPr>
        <w:t>l</w:t>
      </w:r>
      <w:r>
        <w:rPr>
          <w:rFonts w:ascii="Verdana" w:hAnsi="Verdana" w:cs="Cambria"/>
          <w:sz w:val="16"/>
          <w:szCs w:val="16"/>
        </w:rPr>
        <w:t>a</w:t>
      </w:r>
      <w:r w:rsidRPr="000111C2">
        <w:rPr>
          <w:rFonts w:ascii="Verdana" w:hAnsi="Verdana" w:cs="Cambria"/>
          <w:sz w:val="16"/>
          <w:szCs w:val="16"/>
        </w:rPr>
        <w:t xml:space="preserve"> Institu</w:t>
      </w:r>
      <w:r>
        <w:rPr>
          <w:rFonts w:ascii="Verdana" w:hAnsi="Verdana" w:cs="Cambria"/>
          <w:sz w:val="16"/>
          <w:szCs w:val="16"/>
        </w:rPr>
        <w:t>ción</w:t>
      </w:r>
      <w:r w:rsidRPr="000111C2">
        <w:rPr>
          <w:rFonts w:ascii="Verdana" w:hAnsi="Verdana" w:cs="Cambria"/>
          <w:sz w:val="16"/>
          <w:szCs w:val="16"/>
        </w:rPr>
        <w:t xml:space="preserve"> Nacional de Derechos Humanos</w:t>
      </w:r>
      <w:r>
        <w:rPr>
          <w:rFonts w:ascii="Verdana" w:hAnsi="Verdana" w:cs="Cambria"/>
          <w:sz w:val="16"/>
          <w:szCs w:val="16"/>
        </w:rPr>
        <w:t xml:space="preserve"> y Defensoría del Pueblo de Uruguay</w:t>
      </w:r>
      <w:r w:rsidRPr="000111C2">
        <w:rPr>
          <w:rFonts w:ascii="Verdana" w:hAnsi="Verdana" w:cs="Cambria"/>
          <w:sz w:val="16"/>
          <w:szCs w:val="16"/>
        </w:rPr>
        <w:t>.</w:t>
      </w:r>
    </w:p>
  </w:footnote>
  <w:footnote w:id="50">
    <w:p w14:paraId="7ADCA6BF" w14:textId="32BED375" w:rsidR="00C64856" w:rsidRPr="00064FB2" w:rsidRDefault="00C64856" w:rsidP="00A73D62">
      <w:pPr>
        <w:pStyle w:val="Textonotapie"/>
        <w:tabs>
          <w:tab w:val="left" w:pos="426"/>
        </w:tabs>
        <w:ind w:right="49"/>
        <w:jc w:val="both"/>
        <w:rPr>
          <w:rFonts w:ascii="Verdana" w:hAnsi="Verdana" w:cs="Cambria"/>
          <w:sz w:val="16"/>
          <w:szCs w:val="16"/>
        </w:rPr>
      </w:pPr>
      <w:r w:rsidRPr="00064FB2">
        <w:rPr>
          <w:rStyle w:val="Refdenotaalpie"/>
          <w:rFonts w:ascii="Verdana" w:hAnsi="Verdana"/>
          <w:sz w:val="16"/>
          <w:szCs w:val="16"/>
        </w:rPr>
        <w:footnoteRef/>
      </w:r>
      <w:r w:rsidRPr="00064FB2">
        <w:rPr>
          <w:rFonts w:ascii="Verdana" w:hAnsi="Verdana"/>
          <w:sz w:val="16"/>
          <w:szCs w:val="16"/>
        </w:rPr>
        <w:t xml:space="preserve"> </w:t>
      </w:r>
      <w:r w:rsidRPr="00064FB2">
        <w:rPr>
          <w:rFonts w:ascii="Verdana" w:hAnsi="Verdana"/>
          <w:sz w:val="16"/>
          <w:szCs w:val="16"/>
          <w:lang w:val="es-ES"/>
        </w:rPr>
        <w:tab/>
      </w:r>
      <w:r w:rsidRPr="00064FB2">
        <w:rPr>
          <w:rFonts w:ascii="Verdana" w:hAnsi="Verdana"/>
          <w:i/>
          <w:sz w:val="16"/>
          <w:szCs w:val="16"/>
          <w:lang w:val="es-ES"/>
        </w:rPr>
        <w:t>Cfr</w:t>
      </w:r>
      <w:r w:rsidRPr="00064FB2">
        <w:rPr>
          <w:rFonts w:ascii="Verdana" w:hAnsi="Verdana"/>
          <w:sz w:val="16"/>
          <w:szCs w:val="16"/>
          <w:lang w:val="es-ES"/>
        </w:rPr>
        <w:t xml:space="preserve">. </w:t>
      </w:r>
      <w:r w:rsidRPr="00064FB2">
        <w:rPr>
          <w:rFonts w:ascii="Verdana" w:hAnsi="Verdana" w:cs="Cambria"/>
          <w:sz w:val="16"/>
          <w:szCs w:val="16"/>
        </w:rPr>
        <w:t>Ley No. 19.822 “Detenidos Desaparecidos. Se comete su búsqueda a la Institución Nacional de Derechos Humanos y Defensoría del Pueblo”, publicada el 25 de septiembre de 2019 (mencionada en el escrito de los representantes de noviembre de 2019).</w:t>
      </w:r>
    </w:p>
  </w:footnote>
  <w:footnote w:id="51">
    <w:p w14:paraId="7C923409" w14:textId="743784A0" w:rsidR="00C64856" w:rsidRDefault="00C64856" w:rsidP="00064FB2">
      <w:pPr>
        <w:pStyle w:val="Textonotapie"/>
        <w:tabs>
          <w:tab w:val="left" w:pos="426"/>
        </w:tabs>
        <w:ind w:right="49"/>
        <w:jc w:val="both"/>
      </w:pPr>
      <w:r w:rsidRPr="00064FB2">
        <w:rPr>
          <w:rStyle w:val="Refdenotaalpie"/>
          <w:rFonts w:ascii="Verdana" w:hAnsi="Verdana"/>
          <w:sz w:val="16"/>
          <w:szCs w:val="16"/>
        </w:rPr>
        <w:footnoteRef/>
      </w:r>
      <w:r w:rsidRPr="00064FB2">
        <w:rPr>
          <w:rFonts w:ascii="Verdana" w:hAnsi="Verdana"/>
          <w:sz w:val="16"/>
          <w:szCs w:val="16"/>
        </w:rPr>
        <w:t xml:space="preserve"> </w:t>
      </w:r>
      <w:r w:rsidRPr="00064FB2">
        <w:rPr>
          <w:rFonts w:ascii="Verdana" w:hAnsi="Verdana"/>
          <w:sz w:val="16"/>
          <w:szCs w:val="16"/>
        </w:rPr>
        <w:tab/>
      </w:r>
      <w:r w:rsidRPr="00064FB2">
        <w:rPr>
          <w:rFonts w:ascii="Verdana" w:hAnsi="Verdana"/>
          <w:i/>
          <w:sz w:val="16"/>
          <w:szCs w:val="16"/>
        </w:rPr>
        <w:t>Cfr. Caso Gelman Vs. Uruguay, supra</w:t>
      </w:r>
      <w:r w:rsidRPr="00064FB2">
        <w:rPr>
          <w:rFonts w:ascii="Verdana" w:hAnsi="Verdana"/>
          <w:sz w:val="16"/>
          <w:szCs w:val="16"/>
        </w:rPr>
        <w:t xml:space="preserve"> nota 1, párr. 44.</w:t>
      </w:r>
    </w:p>
  </w:footnote>
  <w:footnote w:id="52">
    <w:p w14:paraId="7D8080D2" w14:textId="4AAC2260" w:rsidR="00C64856" w:rsidRPr="000111C2" w:rsidRDefault="00C64856" w:rsidP="000111C2">
      <w:pPr>
        <w:pStyle w:val="Textonotapie"/>
        <w:tabs>
          <w:tab w:val="left" w:pos="426"/>
        </w:tabs>
        <w:ind w:right="49"/>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Se trata de la causa “</w:t>
      </w:r>
      <w:r w:rsidRPr="000111C2">
        <w:rPr>
          <w:rFonts w:ascii="Verdana" w:hAnsi="Verdana" w:cs="Cambria"/>
          <w:sz w:val="16"/>
          <w:szCs w:val="16"/>
        </w:rPr>
        <w:t xml:space="preserve">Gonzales José Luis en Rep. De Gelman Juan </w:t>
      </w:r>
      <w:proofErr w:type="spellStart"/>
      <w:r w:rsidRPr="000111C2">
        <w:rPr>
          <w:rFonts w:ascii="Verdana" w:hAnsi="Verdana" w:cs="Cambria"/>
          <w:sz w:val="16"/>
          <w:szCs w:val="16"/>
        </w:rPr>
        <w:t>Dcia</w:t>
      </w:r>
      <w:proofErr w:type="spellEnd"/>
      <w:r w:rsidRPr="000111C2">
        <w:rPr>
          <w:rFonts w:ascii="Verdana" w:hAnsi="Verdana" w:cs="Cambria"/>
          <w:sz w:val="16"/>
          <w:szCs w:val="16"/>
        </w:rPr>
        <w:t xml:space="preserve">. Pieza Incidental con Testimonio Pericial de </w:t>
      </w:r>
      <w:proofErr w:type="spellStart"/>
      <w:r w:rsidRPr="000111C2">
        <w:rPr>
          <w:rFonts w:ascii="Verdana" w:hAnsi="Verdana" w:cs="Cambria"/>
          <w:sz w:val="16"/>
          <w:szCs w:val="16"/>
        </w:rPr>
        <w:t>Exp</w:t>
      </w:r>
      <w:proofErr w:type="spellEnd"/>
      <w:r w:rsidRPr="000111C2">
        <w:rPr>
          <w:rFonts w:ascii="Verdana" w:hAnsi="Verdana" w:cs="Cambria"/>
          <w:sz w:val="16"/>
          <w:szCs w:val="16"/>
        </w:rPr>
        <w:t>. 90-10462/2002 DCIA”.</w:t>
      </w:r>
    </w:p>
  </w:footnote>
  <w:footnote w:id="53">
    <w:p w14:paraId="0AAB86C8" w14:textId="347F7FA1" w:rsidR="00C64856" w:rsidRPr="000111C2" w:rsidRDefault="00C64856" w:rsidP="000111C2">
      <w:pPr>
        <w:pStyle w:val="Textonotapie"/>
        <w:tabs>
          <w:tab w:val="left" w:pos="426"/>
        </w:tabs>
        <w:jc w:val="both"/>
        <w:rPr>
          <w:rFonts w:ascii="Verdana" w:hAnsi="Verdana"/>
          <w:sz w:val="16"/>
          <w:szCs w:val="16"/>
          <w:lang w:val="es-ES"/>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Ver </w:t>
      </w:r>
      <w:r w:rsidRPr="000111C2">
        <w:rPr>
          <w:rFonts w:ascii="Verdana" w:hAnsi="Verdana"/>
          <w:i/>
          <w:iCs/>
          <w:sz w:val="16"/>
          <w:szCs w:val="16"/>
        </w:rPr>
        <w:t xml:space="preserve">inter </w:t>
      </w:r>
      <w:proofErr w:type="spellStart"/>
      <w:r w:rsidRPr="000111C2">
        <w:rPr>
          <w:rFonts w:ascii="Verdana" w:hAnsi="Verdana"/>
          <w:i/>
          <w:iCs/>
          <w:sz w:val="16"/>
          <w:szCs w:val="16"/>
        </w:rPr>
        <w:t>alia</w:t>
      </w:r>
      <w:proofErr w:type="spellEnd"/>
      <w:r w:rsidRPr="000111C2">
        <w:rPr>
          <w:rFonts w:ascii="Verdana" w:hAnsi="Verdana"/>
          <w:sz w:val="16"/>
          <w:szCs w:val="16"/>
        </w:rPr>
        <w:t xml:space="preserve">: </w:t>
      </w:r>
      <w:r w:rsidRPr="000111C2">
        <w:rPr>
          <w:rFonts w:ascii="Verdana" w:hAnsi="Verdana"/>
          <w:i/>
          <w:iCs/>
          <w:sz w:val="16"/>
          <w:szCs w:val="16"/>
        </w:rPr>
        <w:t>Caso de las Hermanas Serrano Cruz Vs. El Salvador. Fondo, Reparaciones y Costas.</w:t>
      </w:r>
      <w:r w:rsidRPr="000111C2">
        <w:rPr>
          <w:rFonts w:ascii="Verdana" w:hAnsi="Verdana"/>
          <w:sz w:val="16"/>
          <w:szCs w:val="16"/>
        </w:rPr>
        <w:t xml:space="preserve"> Sentencia de 1 de marzo de 2005. Serie C No. 120, párr. 181; </w:t>
      </w:r>
      <w:r w:rsidRPr="000111C2">
        <w:rPr>
          <w:rFonts w:ascii="Verdana" w:hAnsi="Verdana"/>
          <w:i/>
          <w:iCs/>
          <w:sz w:val="16"/>
          <w:szCs w:val="16"/>
        </w:rPr>
        <w:t>Caso Contreras y otros Vs. El Salvador. Fondo. Reparaciones y Costas.</w:t>
      </w:r>
      <w:r w:rsidRPr="000111C2">
        <w:rPr>
          <w:rFonts w:ascii="Verdana" w:hAnsi="Verdana"/>
          <w:sz w:val="16"/>
          <w:szCs w:val="16"/>
        </w:rPr>
        <w:t xml:space="preserve"> Sentencia de 31 de agosto de 2011. Serie C No. 232, párr. 191; </w:t>
      </w:r>
      <w:r w:rsidRPr="000111C2">
        <w:rPr>
          <w:rStyle w:val="Textoennegrita"/>
          <w:rFonts w:ascii="Verdana" w:hAnsi="Verdana"/>
          <w:b w:val="0"/>
          <w:bCs w:val="0"/>
          <w:i/>
          <w:iCs/>
          <w:sz w:val="16"/>
          <w:szCs w:val="16"/>
          <w:shd w:val="clear" w:color="auto" w:fill="FFFFFF"/>
        </w:rPr>
        <w:t>Caso Rodríguez Vera y otros (Desaparecidos del Palacio de Justicia) Vs. Colombia.</w:t>
      </w:r>
      <w:r w:rsidRPr="000111C2">
        <w:rPr>
          <w:rStyle w:val="Textoennegrita"/>
          <w:rFonts w:ascii="Verdana" w:hAnsi="Verdana"/>
          <w:b w:val="0"/>
          <w:bCs w:val="0"/>
          <w:sz w:val="16"/>
          <w:szCs w:val="16"/>
          <w:shd w:val="clear" w:color="auto" w:fill="FFFFFF"/>
        </w:rPr>
        <w:t xml:space="preserve"> </w:t>
      </w:r>
      <w:r w:rsidRPr="007B5E63">
        <w:rPr>
          <w:rStyle w:val="Textoennegrita"/>
          <w:rFonts w:ascii="Verdana" w:hAnsi="Verdana"/>
          <w:b w:val="0"/>
          <w:bCs w:val="0"/>
          <w:i/>
          <w:sz w:val="16"/>
          <w:szCs w:val="16"/>
          <w:shd w:val="clear" w:color="auto" w:fill="FFFFFF"/>
        </w:rPr>
        <w:t>Excepciones Preliminares, Fondo, Reparaciones y Costas.</w:t>
      </w:r>
      <w:r w:rsidRPr="000111C2">
        <w:rPr>
          <w:rStyle w:val="Textoennegrita"/>
          <w:rFonts w:ascii="Verdana" w:hAnsi="Verdana"/>
          <w:b w:val="0"/>
          <w:bCs w:val="0"/>
          <w:sz w:val="16"/>
          <w:szCs w:val="16"/>
          <w:shd w:val="clear" w:color="auto" w:fill="FFFFFF"/>
        </w:rPr>
        <w:t xml:space="preserve"> Sentencia de 14 de noviembre de 2014. Serie C No. 287,</w:t>
      </w:r>
      <w:r>
        <w:rPr>
          <w:rStyle w:val="Textoennegrita"/>
          <w:rFonts w:ascii="Verdana" w:hAnsi="Verdana"/>
          <w:b w:val="0"/>
          <w:bCs w:val="0"/>
          <w:sz w:val="16"/>
          <w:szCs w:val="16"/>
          <w:shd w:val="clear" w:color="auto" w:fill="FFFFFF"/>
        </w:rPr>
        <w:t xml:space="preserve"> párr. 480,</w:t>
      </w:r>
      <w:r w:rsidRPr="000111C2">
        <w:rPr>
          <w:rStyle w:val="Textoennegrita"/>
          <w:rFonts w:ascii="Verdana" w:hAnsi="Verdana"/>
          <w:b w:val="0"/>
          <w:bCs w:val="0"/>
          <w:sz w:val="16"/>
          <w:szCs w:val="16"/>
          <w:shd w:val="clear" w:color="auto" w:fill="FFFFFF"/>
        </w:rPr>
        <w:t xml:space="preserve"> y </w:t>
      </w:r>
      <w:r w:rsidRPr="000111C2">
        <w:rPr>
          <w:rStyle w:val="Textoennegrita"/>
          <w:rFonts w:ascii="Verdana" w:hAnsi="Verdana"/>
          <w:b w:val="0"/>
          <w:bCs w:val="0"/>
          <w:i/>
          <w:iCs/>
          <w:sz w:val="16"/>
          <w:szCs w:val="16"/>
          <w:shd w:val="clear" w:color="auto" w:fill="FFFFFF"/>
        </w:rPr>
        <w:t xml:space="preserve">Caso Alvarado Espinoza y otros Vs. México. Fondo, Reparaciones y Costas. </w:t>
      </w:r>
      <w:r w:rsidRPr="000111C2">
        <w:rPr>
          <w:rStyle w:val="Textoennegrita"/>
          <w:rFonts w:ascii="Verdana" w:hAnsi="Verdana"/>
          <w:b w:val="0"/>
          <w:bCs w:val="0"/>
          <w:sz w:val="16"/>
          <w:szCs w:val="16"/>
          <w:shd w:val="clear" w:color="auto" w:fill="FFFFFF"/>
        </w:rPr>
        <w:t>Sentencia de 28 de noviembre de 2018. Serie C No. 370, párr. 299.</w:t>
      </w:r>
    </w:p>
  </w:footnote>
  <w:footnote w:id="54">
    <w:p w14:paraId="781D7648" w14:textId="7649F44C"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Ver, por ejemplo: </w:t>
      </w:r>
      <w:r w:rsidRPr="000111C2">
        <w:rPr>
          <w:rStyle w:val="Textoennegrita"/>
          <w:rFonts w:ascii="Verdana" w:hAnsi="Verdana"/>
          <w:b w:val="0"/>
          <w:bCs w:val="0"/>
          <w:i/>
          <w:iCs/>
          <w:sz w:val="16"/>
          <w:szCs w:val="16"/>
          <w:shd w:val="clear" w:color="auto" w:fill="FFFFFF"/>
        </w:rPr>
        <w:t xml:space="preserve">Caso Trujillo </w:t>
      </w:r>
      <w:proofErr w:type="spellStart"/>
      <w:r w:rsidRPr="000111C2">
        <w:rPr>
          <w:rStyle w:val="Textoennegrita"/>
          <w:rFonts w:ascii="Verdana" w:hAnsi="Verdana"/>
          <w:b w:val="0"/>
          <w:bCs w:val="0"/>
          <w:i/>
          <w:iCs/>
          <w:sz w:val="16"/>
          <w:szCs w:val="16"/>
          <w:shd w:val="clear" w:color="auto" w:fill="FFFFFF"/>
        </w:rPr>
        <w:t>Oroza</w:t>
      </w:r>
      <w:proofErr w:type="spellEnd"/>
      <w:r w:rsidRPr="000111C2">
        <w:rPr>
          <w:rStyle w:val="Textoennegrita"/>
          <w:rFonts w:ascii="Verdana" w:hAnsi="Verdana"/>
          <w:b w:val="0"/>
          <w:bCs w:val="0"/>
          <w:i/>
          <w:iCs/>
          <w:sz w:val="16"/>
          <w:szCs w:val="16"/>
          <w:shd w:val="clear" w:color="auto" w:fill="FFFFFF"/>
        </w:rPr>
        <w:t xml:space="preserve"> Vs. Bolivia. Supervisión de Cumplimiento de Sentencia.</w:t>
      </w:r>
      <w:r w:rsidRPr="000111C2">
        <w:rPr>
          <w:rStyle w:val="Textoennegrita"/>
          <w:rFonts w:ascii="Verdana" w:hAnsi="Verdana"/>
          <w:b w:val="0"/>
          <w:bCs w:val="0"/>
          <w:sz w:val="16"/>
          <w:szCs w:val="16"/>
          <w:shd w:val="clear" w:color="auto" w:fill="FFFFFF"/>
        </w:rPr>
        <w:t xml:space="preserve"> Resolución de la Corte Interamericana de Derechos Humanos de 16 de noviembre de 2009, Considerando 18</w:t>
      </w:r>
      <w:r>
        <w:rPr>
          <w:rStyle w:val="Textoennegrita"/>
          <w:rFonts w:ascii="Verdana" w:hAnsi="Verdana"/>
          <w:b w:val="0"/>
          <w:bCs w:val="0"/>
          <w:sz w:val="16"/>
          <w:szCs w:val="16"/>
          <w:shd w:val="clear" w:color="auto" w:fill="FFFFFF"/>
        </w:rPr>
        <w:t>;</w:t>
      </w:r>
      <w:r w:rsidRPr="00B77ED0">
        <w:rPr>
          <w:rStyle w:val="Textoennegrita"/>
          <w:rFonts w:ascii="Verdana" w:hAnsi="Verdana"/>
          <w:b w:val="0"/>
          <w:bCs w:val="0"/>
          <w:sz w:val="16"/>
          <w:szCs w:val="16"/>
          <w:shd w:val="clear" w:color="auto" w:fill="FFFFFF"/>
        </w:rPr>
        <w:t xml:space="preserve"> </w:t>
      </w:r>
      <w:r w:rsidRPr="007B5E63">
        <w:rPr>
          <w:rFonts w:ascii="Verdana" w:hAnsi="Verdana"/>
          <w:i/>
          <w:sz w:val="16"/>
          <w:szCs w:val="16"/>
        </w:rPr>
        <w:t xml:space="preserve">Caso Molina </w:t>
      </w:r>
      <w:proofErr w:type="spellStart"/>
      <w:r w:rsidRPr="007B5E63">
        <w:rPr>
          <w:rFonts w:ascii="Verdana" w:hAnsi="Verdana"/>
          <w:i/>
          <w:sz w:val="16"/>
          <w:szCs w:val="16"/>
        </w:rPr>
        <w:t>Theissen</w:t>
      </w:r>
      <w:proofErr w:type="spellEnd"/>
      <w:r w:rsidRPr="007B5E63">
        <w:rPr>
          <w:rFonts w:ascii="Verdana" w:hAnsi="Verdana"/>
          <w:i/>
          <w:sz w:val="16"/>
          <w:szCs w:val="16"/>
        </w:rPr>
        <w:t xml:space="preserve"> Vs. Guatemala. Supervisión de Cumplimiento de Sentencia.</w:t>
      </w:r>
      <w:r w:rsidRPr="007B5E63">
        <w:rPr>
          <w:rFonts w:ascii="Verdana" w:hAnsi="Verdana"/>
          <w:sz w:val="16"/>
          <w:szCs w:val="16"/>
        </w:rPr>
        <w:t xml:space="preserve"> Resolución de la Corte Interamericana de Derechos Humanos de 16 de noviembre de 2009, Considerando 25, </w:t>
      </w:r>
      <w:r w:rsidRPr="000111C2">
        <w:rPr>
          <w:rStyle w:val="Textoennegrita"/>
          <w:rFonts w:ascii="Verdana" w:hAnsi="Verdana"/>
          <w:b w:val="0"/>
          <w:bCs w:val="0"/>
          <w:sz w:val="16"/>
          <w:szCs w:val="16"/>
          <w:shd w:val="clear" w:color="auto" w:fill="FFFFFF"/>
        </w:rPr>
        <w:t xml:space="preserve">y </w:t>
      </w:r>
      <w:r w:rsidRPr="000111C2">
        <w:rPr>
          <w:rFonts w:ascii="Verdana" w:hAnsi="Verdana" w:cs="Arial"/>
          <w:i/>
          <w:iCs/>
          <w:sz w:val="16"/>
          <w:szCs w:val="16"/>
          <w:shd w:val="clear" w:color="auto" w:fill="FFFFFF"/>
        </w:rPr>
        <w:t>Caso Torres Millacura y otros Vs. Argentina</w:t>
      </w:r>
      <w:r w:rsidRPr="000111C2">
        <w:rPr>
          <w:rFonts w:ascii="Verdana" w:hAnsi="Verdana" w:cs="Arial"/>
          <w:sz w:val="16"/>
          <w:szCs w:val="16"/>
          <w:shd w:val="clear" w:color="auto" w:fill="FFFFFF"/>
        </w:rPr>
        <w:t xml:space="preserve">, </w:t>
      </w:r>
      <w:r w:rsidRPr="007B5E63">
        <w:rPr>
          <w:rFonts w:ascii="Verdana" w:hAnsi="Verdana" w:cs="Arial"/>
          <w:i/>
          <w:sz w:val="16"/>
          <w:szCs w:val="16"/>
          <w:shd w:val="clear" w:color="auto" w:fill="FFFFFF"/>
        </w:rPr>
        <w:t>supra</w:t>
      </w:r>
      <w:r>
        <w:rPr>
          <w:rFonts w:ascii="Verdana" w:hAnsi="Verdana" w:cs="Arial"/>
          <w:sz w:val="16"/>
          <w:szCs w:val="16"/>
          <w:shd w:val="clear" w:color="auto" w:fill="FFFFFF"/>
        </w:rPr>
        <w:t xml:space="preserve"> nota 20, </w:t>
      </w:r>
      <w:r w:rsidRPr="000111C2">
        <w:rPr>
          <w:rFonts w:ascii="Verdana" w:hAnsi="Verdana" w:cs="Arial"/>
          <w:sz w:val="16"/>
          <w:szCs w:val="16"/>
          <w:shd w:val="clear" w:color="auto" w:fill="FFFFFF"/>
        </w:rPr>
        <w:t>Considerando 46.</w:t>
      </w:r>
    </w:p>
  </w:footnote>
  <w:footnote w:id="55">
    <w:p w14:paraId="2540F5A1" w14:textId="0DBFCC00"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w:t>
      </w:r>
      <w:r w:rsidRPr="000111C2">
        <w:rPr>
          <w:rFonts w:ascii="Verdana" w:hAnsi="Verdana"/>
          <w:i/>
          <w:iCs/>
          <w:sz w:val="16"/>
          <w:szCs w:val="16"/>
        </w:rPr>
        <w:t xml:space="preserve">Caso Contreras y otros Vs. El Salvador, supra </w:t>
      </w:r>
      <w:r w:rsidRPr="000111C2">
        <w:rPr>
          <w:rFonts w:ascii="Verdana" w:hAnsi="Verdana"/>
          <w:sz w:val="16"/>
          <w:szCs w:val="16"/>
        </w:rPr>
        <w:t>nota</w:t>
      </w:r>
      <w:r>
        <w:rPr>
          <w:rFonts w:ascii="Verdana" w:hAnsi="Verdana"/>
          <w:sz w:val="16"/>
          <w:szCs w:val="16"/>
        </w:rPr>
        <w:t xml:space="preserve"> 53</w:t>
      </w:r>
      <w:r w:rsidRPr="000111C2">
        <w:rPr>
          <w:rFonts w:ascii="Verdana" w:hAnsi="Verdana"/>
          <w:sz w:val="16"/>
          <w:szCs w:val="16"/>
        </w:rPr>
        <w:t xml:space="preserve">, párr. 191, y </w:t>
      </w:r>
      <w:r w:rsidRPr="000111C2">
        <w:rPr>
          <w:rFonts w:ascii="Verdana" w:hAnsi="Verdana" w:cs="Arial"/>
          <w:i/>
          <w:iCs/>
          <w:sz w:val="16"/>
          <w:szCs w:val="16"/>
          <w:shd w:val="clear" w:color="auto" w:fill="FFFFFF"/>
        </w:rPr>
        <w:t xml:space="preserve">Caso Torres Millacura y otros Vs. Argentina, supra </w:t>
      </w:r>
      <w:r w:rsidRPr="007B5E63">
        <w:rPr>
          <w:rFonts w:ascii="Verdana" w:hAnsi="Verdana" w:cs="Arial"/>
          <w:iCs/>
          <w:sz w:val="16"/>
          <w:szCs w:val="16"/>
          <w:shd w:val="clear" w:color="auto" w:fill="FFFFFF"/>
        </w:rPr>
        <w:t xml:space="preserve">nota </w:t>
      </w:r>
      <w:r>
        <w:rPr>
          <w:rFonts w:ascii="Verdana" w:hAnsi="Verdana" w:cs="Arial"/>
          <w:iCs/>
          <w:sz w:val="16"/>
          <w:szCs w:val="16"/>
          <w:shd w:val="clear" w:color="auto" w:fill="FFFFFF"/>
        </w:rPr>
        <w:t>20</w:t>
      </w:r>
      <w:r w:rsidRPr="000111C2">
        <w:rPr>
          <w:rFonts w:ascii="Verdana" w:hAnsi="Verdana" w:cs="Arial"/>
          <w:i/>
          <w:iCs/>
          <w:sz w:val="16"/>
          <w:szCs w:val="16"/>
          <w:shd w:val="clear" w:color="auto" w:fill="FFFFFF"/>
        </w:rPr>
        <w:t>, Considerando 46.</w:t>
      </w:r>
    </w:p>
  </w:footnote>
  <w:footnote w:id="56">
    <w:p w14:paraId="63C8B6B2" w14:textId="11EF5C5D"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0003313C" w:rsidRPr="008A7493">
        <w:rPr>
          <w:rFonts w:ascii="Verdana" w:hAnsi="Verdana"/>
          <w:i/>
          <w:sz w:val="16"/>
          <w:szCs w:val="16"/>
        </w:rPr>
        <w:t>C</w:t>
      </w:r>
      <w:r w:rsidRPr="000111C2">
        <w:rPr>
          <w:rFonts w:ascii="Verdana" w:hAnsi="Verdana"/>
          <w:i/>
          <w:sz w:val="16"/>
          <w:szCs w:val="16"/>
        </w:rPr>
        <w:t>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 20.</w:t>
      </w:r>
    </w:p>
  </w:footnote>
  <w:footnote w:id="57">
    <w:p w14:paraId="522539EF" w14:textId="0EC73F92"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2</w:t>
      </w:r>
      <w:r w:rsidRPr="000111C2">
        <w:rPr>
          <w:rStyle w:val="Textoennegrita"/>
          <w:rFonts w:ascii="Verdana" w:hAnsi="Verdana"/>
          <w:b w:val="0"/>
          <w:color w:val="000000"/>
          <w:sz w:val="16"/>
          <w:szCs w:val="16"/>
          <w:shd w:val="clear" w:color="auto" w:fill="FFFFFF"/>
        </w:rPr>
        <w:t>, Considerando 22.</w:t>
      </w:r>
    </w:p>
  </w:footnote>
  <w:footnote w:id="58">
    <w:p w14:paraId="1D96599A" w14:textId="0CDE7126" w:rsidR="00C64856" w:rsidRPr="00167C29" w:rsidRDefault="00C64856" w:rsidP="00167C29">
      <w:pPr>
        <w:pStyle w:val="Textonotapie"/>
        <w:tabs>
          <w:tab w:val="left" w:pos="426"/>
        </w:tabs>
        <w:jc w:val="both"/>
        <w:rPr>
          <w:rFonts w:ascii="Verdana" w:hAnsi="Verdana"/>
          <w:sz w:val="16"/>
          <w:szCs w:val="16"/>
        </w:rPr>
      </w:pPr>
      <w:r w:rsidRPr="00167C29">
        <w:rPr>
          <w:rStyle w:val="Refdenotaalpie"/>
          <w:rFonts w:ascii="Verdana" w:hAnsi="Verdana"/>
          <w:sz w:val="16"/>
          <w:szCs w:val="16"/>
        </w:rPr>
        <w:footnoteRef/>
      </w:r>
      <w:r w:rsidRPr="00167C29">
        <w:rPr>
          <w:rFonts w:ascii="Verdana" w:hAnsi="Verdana"/>
          <w:sz w:val="16"/>
          <w:szCs w:val="16"/>
        </w:rPr>
        <w:t xml:space="preserve"> </w:t>
      </w:r>
      <w:r w:rsidRPr="00167C29">
        <w:rPr>
          <w:rFonts w:ascii="Verdana" w:hAnsi="Verdana"/>
          <w:sz w:val="16"/>
          <w:szCs w:val="16"/>
        </w:rPr>
        <w:tab/>
      </w:r>
      <w:r w:rsidRPr="00167C29">
        <w:rPr>
          <w:rFonts w:ascii="Verdana" w:hAnsi="Verdana"/>
          <w:i/>
          <w:sz w:val="16"/>
          <w:szCs w:val="16"/>
        </w:rPr>
        <w:t xml:space="preserve">Cfr. </w:t>
      </w:r>
      <w:r w:rsidRPr="00167C29">
        <w:rPr>
          <w:rFonts w:ascii="Verdana" w:hAnsi="Verdana"/>
          <w:sz w:val="16"/>
          <w:szCs w:val="16"/>
        </w:rPr>
        <w:t xml:space="preserve">Ley </w:t>
      </w:r>
      <w:proofErr w:type="spellStart"/>
      <w:r w:rsidRPr="00167C29">
        <w:rPr>
          <w:rFonts w:ascii="Verdana" w:eastAsia="Times New Roman" w:hAnsi="Verdana" w:cs="Arial"/>
          <w:bCs/>
          <w:color w:val="000000"/>
          <w:sz w:val="16"/>
          <w:szCs w:val="16"/>
          <w:lang w:eastAsia="es-CR"/>
        </w:rPr>
        <w:t>N</w:t>
      </w:r>
      <w:r>
        <w:rPr>
          <w:rFonts w:ascii="Verdana" w:eastAsia="Times New Roman" w:hAnsi="Verdana" w:cs="Arial"/>
          <w:bCs/>
          <w:color w:val="000000"/>
          <w:sz w:val="16"/>
          <w:szCs w:val="16"/>
          <w:lang w:eastAsia="es-CR"/>
        </w:rPr>
        <w:t>°</w:t>
      </w:r>
      <w:proofErr w:type="spellEnd"/>
      <w:r w:rsidRPr="00167C29">
        <w:rPr>
          <w:rFonts w:ascii="Verdana" w:eastAsia="Times New Roman" w:hAnsi="Verdana" w:cs="Arial"/>
          <w:bCs/>
          <w:color w:val="000000"/>
          <w:sz w:val="16"/>
          <w:szCs w:val="16"/>
          <w:lang w:eastAsia="es-CR"/>
        </w:rPr>
        <w:t xml:space="preserve"> 19.149 “Rendición de cuentas y balance de ejecución presupuestal ejercicio 2012”, publicada el 11 de noviembre de 2013.</w:t>
      </w:r>
      <w:r w:rsidRPr="00167C29">
        <w:rPr>
          <w:rFonts w:ascii="Verdana" w:eastAsia="Times New Roman" w:hAnsi="Verdana" w:cs="Arial"/>
          <w:b/>
          <w:bCs/>
          <w:color w:val="000000"/>
          <w:sz w:val="16"/>
          <w:szCs w:val="16"/>
          <w:lang w:eastAsia="es-CR"/>
        </w:rPr>
        <w:t xml:space="preserve"> </w:t>
      </w:r>
    </w:p>
  </w:footnote>
  <w:footnote w:id="59">
    <w:p w14:paraId="3E96C575" w14:textId="50D7AECF"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Este curso </w:t>
      </w:r>
      <w:r>
        <w:rPr>
          <w:rFonts w:ascii="Verdana" w:hAnsi="Verdana"/>
          <w:sz w:val="16"/>
          <w:szCs w:val="16"/>
        </w:rPr>
        <w:t>s</w:t>
      </w:r>
      <w:r w:rsidRPr="000111C2">
        <w:rPr>
          <w:rFonts w:ascii="Verdana" w:hAnsi="Verdana"/>
          <w:sz w:val="16"/>
          <w:szCs w:val="16"/>
        </w:rPr>
        <w:t xml:space="preserve">e realiza de manera anual y tiene una duración de 15 horas. En el período comprendido entre 2017 y 2019 fue impartido a “60 Aspirantes a Magistrados”. </w:t>
      </w:r>
      <w:r w:rsidRPr="000111C2">
        <w:rPr>
          <w:rFonts w:ascii="Verdana" w:hAnsi="Verdana"/>
          <w:i/>
          <w:iCs/>
          <w:sz w:val="16"/>
          <w:szCs w:val="16"/>
        </w:rPr>
        <w:t>Cfr.</w:t>
      </w:r>
      <w:r w:rsidRPr="000111C2">
        <w:rPr>
          <w:rFonts w:ascii="Verdana" w:hAnsi="Verdana"/>
          <w:sz w:val="16"/>
          <w:szCs w:val="16"/>
        </w:rPr>
        <w:t xml:space="preserve"> Oficio de la </w:t>
      </w:r>
      <w:proofErr w:type="gramStart"/>
      <w:r w:rsidRPr="000111C2">
        <w:rPr>
          <w:rFonts w:ascii="Verdana" w:hAnsi="Verdana"/>
          <w:sz w:val="16"/>
          <w:szCs w:val="16"/>
        </w:rPr>
        <w:t>Directora</w:t>
      </w:r>
      <w:proofErr w:type="gramEnd"/>
      <w:r w:rsidRPr="000111C2">
        <w:rPr>
          <w:rFonts w:ascii="Verdana" w:hAnsi="Verdana"/>
          <w:sz w:val="16"/>
          <w:szCs w:val="16"/>
        </w:rPr>
        <w:t xml:space="preserve"> del Centro de Estudios Judiciales del Uruguay de 25 de julio de 2019 (anexo al informe estatal de septiembre de 2019). </w:t>
      </w:r>
    </w:p>
  </w:footnote>
  <w:footnote w:id="60">
    <w:p w14:paraId="1A97BEB5" w14:textId="5FDAB982"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El Estado indicó las fechas en las que se llevaron a cabo los talleres, cursos o mesas, la duración, costos, temas y expositores o ponentes de cada uno de ellos. </w:t>
      </w:r>
      <w:r w:rsidRPr="000111C2">
        <w:rPr>
          <w:rFonts w:ascii="Verdana" w:hAnsi="Verdana"/>
          <w:i/>
          <w:iCs/>
          <w:sz w:val="16"/>
          <w:szCs w:val="16"/>
        </w:rPr>
        <w:t>Cfr.</w:t>
      </w:r>
      <w:r w:rsidRPr="000111C2">
        <w:rPr>
          <w:rFonts w:ascii="Verdana" w:hAnsi="Verdana"/>
          <w:sz w:val="16"/>
          <w:szCs w:val="16"/>
        </w:rPr>
        <w:t xml:space="preserve"> Informe estatal de junio de 2017. </w:t>
      </w:r>
      <w:r w:rsidRPr="000111C2">
        <w:rPr>
          <w:rFonts w:ascii="Verdana" w:hAnsi="Verdana"/>
          <w:i/>
          <w:iCs/>
          <w:sz w:val="16"/>
          <w:szCs w:val="16"/>
        </w:rPr>
        <w:t>Cfr.</w:t>
      </w:r>
      <w:r w:rsidRPr="000111C2">
        <w:rPr>
          <w:rFonts w:ascii="Verdana" w:hAnsi="Verdana"/>
          <w:sz w:val="16"/>
          <w:szCs w:val="16"/>
        </w:rPr>
        <w:t xml:space="preserve"> Oficio de la </w:t>
      </w:r>
      <w:proofErr w:type="gramStart"/>
      <w:r w:rsidRPr="000111C2">
        <w:rPr>
          <w:rFonts w:ascii="Verdana" w:hAnsi="Verdana"/>
          <w:sz w:val="16"/>
          <w:szCs w:val="16"/>
        </w:rPr>
        <w:t>Directora</w:t>
      </w:r>
      <w:proofErr w:type="gramEnd"/>
      <w:r w:rsidRPr="000111C2">
        <w:rPr>
          <w:rFonts w:ascii="Verdana" w:hAnsi="Verdana"/>
          <w:sz w:val="16"/>
          <w:szCs w:val="16"/>
        </w:rPr>
        <w:t xml:space="preserve"> del Centro de Estudios Judiciales del Uruguay de 25 de julio de 2019, </w:t>
      </w:r>
      <w:r w:rsidRPr="000111C2">
        <w:rPr>
          <w:rFonts w:ascii="Verdana" w:hAnsi="Verdana"/>
          <w:i/>
          <w:iCs/>
          <w:sz w:val="16"/>
          <w:szCs w:val="16"/>
        </w:rPr>
        <w:t>supra</w:t>
      </w:r>
      <w:r w:rsidRPr="000111C2">
        <w:rPr>
          <w:rFonts w:ascii="Verdana" w:hAnsi="Verdana"/>
          <w:sz w:val="16"/>
          <w:szCs w:val="16"/>
        </w:rPr>
        <w:t xml:space="preserve"> nota</w:t>
      </w:r>
      <w:r>
        <w:rPr>
          <w:rFonts w:ascii="Verdana" w:hAnsi="Verdana"/>
          <w:sz w:val="16"/>
          <w:szCs w:val="16"/>
        </w:rPr>
        <w:t xml:space="preserve"> 59</w:t>
      </w:r>
      <w:r w:rsidRPr="000111C2">
        <w:rPr>
          <w:rFonts w:ascii="Verdana" w:hAnsi="Verdana"/>
          <w:sz w:val="16"/>
          <w:szCs w:val="16"/>
        </w:rPr>
        <w:t xml:space="preserve">. </w:t>
      </w:r>
    </w:p>
  </w:footnote>
  <w:footnote w:id="61">
    <w:p w14:paraId="4DDD4527" w14:textId="03227B1A"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De acuerdo con la información presentada por el Estado, en los “Seminarios en actualización en la Formación de DDHH” “se estudian las distintas intervenciones internacionales del sistema universal </w:t>
      </w:r>
      <w:proofErr w:type="gramStart"/>
      <w:r w:rsidRPr="000111C2">
        <w:rPr>
          <w:rFonts w:ascii="Verdana" w:hAnsi="Verdana"/>
          <w:sz w:val="16"/>
          <w:szCs w:val="16"/>
        </w:rPr>
        <w:t>e</w:t>
      </w:r>
      <w:proofErr w:type="gramEnd"/>
      <w:r w:rsidRPr="000111C2">
        <w:rPr>
          <w:rFonts w:ascii="Verdana" w:hAnsi="Verdana"/>
          <w:sz w:val="16"/>
          <w:szCs w:val="16"/>
        </w:rPr>
        <w:t xml:space="preserve"> americano, así como jurisprudencia y opiniones consultivas de la Corte Interamericana de Derechos Humanos”. </w:t>
      </w:r>
      <w:r w:rsidRPr="000111C2">
        <w:rPr>
          <w:rFonts w:ascii="Verdana" w:hAnsi="Verdana"/>
          <w:i/>
          <w:iCs/>
          <w:sz w:val="16"/>
          <w:szCs w:val="16"/>
        </w:rPr>
        <w:t>Cfr</w:t>
      </w:r>
      <w:r w:rsidRPr="000111C2">
        <w:rPr>
          <w:rFonts w:ascii="Verdana" w:hAnsi="Verdana"/>
          <w:sz w:val="16"/>
          <w:szCs w:val="16"/>
        </w:rPr>
        <w:t>. “Informe sobre información continua en derechos humanos para Fiscales” elaborado por el Centro de Formación de la Fiscalía General de la Nación de 2 de septiembre de 2019 (anexo al informe estatal de septiembre de 2019).</w:t>
      </w:r>
    </w:p>
  </w:footnote>
  <w:footnote w:id="62">
    <w:p w14:paraId="5505E34D" w14:textId="559DDF28"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w:t>
      </w:r>
      <w:r>
        <w:rPr>
          <w:rStyle w:val="Textoennegrita"/>
          <w:rFonts w:ascii="Verdana" w:hAnsi="Verdana"/>
          <w:b w:val="0"/>
          <w:color w:val="000000"/>
          <w:sz w:val="16"/>
          <w:szCs w:val="16"/>
          <w:shd w:val="clear" w:color="auto" w:fill="FFFFFF"/>
        </w:rPr>
        <w:t>s 14 y</w:t>
      </w:r>
      <w:r w:rsidRPr="000111C2">
        <w:rPr>
          <w:rStyle w:val="Textoennegrita"/>
          <w:rFonts w:ascii="Verdana" w:hAnsi="Verdana"/>
          <w:b w:val="0"/>
          <w:color w:val="000000"/>
          <w:sz w:val="16"/>
          <w:szCs w:val="16"/>
          <w:shd w:val="clear" w:color="auto" w:fill="FFFFFF"/>
        </w:rPr>
        <w:t xml:space="preserve"> 19.</w:t>
      </w:r>
    </w:p>
  </w:footnote>
  <w:footnote w:id="63">
    <w:p w14:paraId="283C8EEF" w14:textId="5CD9534F"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Informe del Grupo de Trabajo de Verdad y Justicia de la Presidencia de la República de 28 de enero de 2018 (anexo al informe estatal de febrero de 2019). </w:t>
      </w:r>
    </w:p>
  </w:footnote>
  <w:footnote w:id="64">
    <w:p w14:paraId="1C47B573" w14:textId="34870327"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Informe del Grupo de Trabajo de Verdad y Justicia de la Presidencia de la República de 28 de enero de 2018, </w:t>
      </w:r>
      <w:r w:rsidRPr="000111C2">
        <w:rPr>
          <w:rFonts w:ascii="Verdana" w:hAnsi="Verdana"/>
          <w:i/>
          <w:iCs/>
          <w:sz w:val="16"/>
          <w:szCs w:val="16"/>
        </w:rPr>
        <w:t>supra</w:t>
      </w:r>
      <w:r w:rsidRPr="000111C2">
        <w:rPr>
          <w:rFonts w:ascii="Verdana" w:hAnsi="Verdana"/>
          <w:sz w:val="16"/>
          <w:szCs w:val="16"/>
        </w:rPr>
        <w:t xml:space="preserve"> nota</w:t>
      </w:r>
      <w:r>
        <w:rPr>
          <w:rFonts w:ascii="Verdana" w:hAnsi="Verdana"/>
          <w:sz w:val="16"/>
          <w:szCs w:val="16"/>
        </w:rPr>
        <w:t xml:space="preserve"> 63</w:t>
      </w:r>
      <w:r w:rsidRPr="000111C2">
        <w:rPr>
          <w:rFonts w:ascii="Verdana" w:hAnsi="Verdana"/>
          <w:sz w:val="16"/>
          <w:szCs w:val="16"/>
        </w:rPr>
        <w:t xml:space="preserve">. </w:t>
      </w:r>
    </w:p>
  </w:footnote>
  <w:footnote w:id="65">
    <w:p w14:paraId="76DBDD90" w14:textId="24F67AA3" w:rsidR="00C64856" w:rsidRPr="006F6CD3" w:rsidRDefault="00C64856" w:rsidP="006F6CD3">
      <w:pPr>
        <w:pStyle w:val="Textonotapie"/>
        <w:tabs>
          <w:tab w:val="left" w:pos="426"/>
        </w:tabs>
        <w:jc w:val="both"/>
        <w:rPr>
          <w:rFonts w:ascii="Verdana" w:hAnsi="Verdana"/>
          <w:b/>
          <w:bCs/>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Al respecto, explicaron, entre otros aspectos, que “existen algunas imprecisiones e inconsistencias sobre cuál es exactamente la información que se encuentra en […] poder [del Grupo de Trabajo por Verdad y Justicia] físicamente, y cuál es la que permanece en la órbita de otras agencias estatales” y que “algunos acervos documentales […] no se han incluido dentro de sus registros, como los pertenecientes a la Prefectura Naval, Ejército y de la Aviación”. También consideraron necesario que el Estado aclare si los expedientes del proyecto AJPROJUMI “ha[n] sido incorporados en los archivos que administra el Grupo de Trabajo por Verdad y Justicia”. Además, se refirieron a la necesidad de que el Estado explique cómo </w:t>
      </w:r>
      <w:r>
        <w:rPr>
          <w:rFonts w:ascii="Verdana" w:hAnsi="Verdana"/>
          <w:sz w:val="16"/>
          <w:szCs w:val="16"/>
        </w:rPr>
        <w:t>la</w:t>
      </w:r>
      <w:r w:rsidRPr="000111C2">
        <w:rPr>
          <w:rFonts w:ascii="Verdana" w:hAnsi="Verdana"/>
          <w:sz w:val="16"/>
          <w:szCs w:val="16"/>
        </w:rPr>
        <w:t xml:space="preserve"> Institu</w:t>
      </w:r>
      <w:r>
        <w:rPr>
          <w:rFonts w:ascii="Verdana" w:hAnsi="Verdana"/>
          <w:sz w:val="16"/>
          <w:szCs w:val="16"/>
        </w:rPr>
        <w:t>ción</w:t>
      </w:r>
      <w:r w:rsidRPr="000111C2">
        <w:rPr>
          <w:rFonts w:ascii="Verdana" w:hAnsi="Verdana"/>
          <w:sz w:val="16"/>
          <w:szCs w:val="16"/>
        </w:rPr>
        <w:t xml:space="preserve"> Nacional de Derechos Humanos continuará con la gestión realizada por el Grupo de Trabajo por Verdad y Justicia, ya que, en virtud de la aprobación de una ley, los acervos documentales de éste pasarán en su totalidad a dich</w:t>
      </w:r>
      <w:r>
        <w:rPr>
          <w:rFonts w:ascii="Verdana" w:hAnsi="Verdana"/>
          <w:sz w:val="16"/>
          <w:szCs w:val="16"/>
        </w:rPr>
        <w:t>a</w:t>
      </w:r>
      <w:r w:rsidRPr="000111C2">
        <w:rPr>
          <w:rFonts w:ascii="Verdana" w:hAnsi="Verdana"/>
          <w:sz w:val="16"/>
          <w:szCs w:val="16"/>
        </w:rPr>
        <w:t xml:space="preserve"> institu</w:t>
      </w:r>
      <w:r>
        <w:rPr>
          <w:rFonts w:ascii="Verdana" w:hAnsi="Verdana"/>
          <w:sz w:val="16"/>
          <w:szCs w:val="16"/>
        </w:rPr>
        <w:t>ción</w:t>
      </w:r>
      <w:r w:rsidRPr="000111C2">
        <w:rPr>
          <w:rStyle w:val="Refdenotaalpie"/>
          <w:rFonts w:ascii="Verdana" w:hAnsi="Verdana"/>
          <w:sz w:val="16"/>
          <w:szCs w:val="16"/>
          <w:vertAlign w:val="baseline"/>
        </w:rPr>
        <w:t xml:space="preserve">, </w:t>
      </w:r>
      <w:r w:rsidRPr="000111C2">
        <w:rPr>
          <w:rFonts w:ascii="Verdana" w:hAnsi="Verdana"/>
          <w:sz w:val="16"/>
          <w:szCs w:val="16"/>
        </w:rPr>
        <w:t xml:space="preserve">y que explique cómo éste realizará “la búsqueda y sistematización de nuevos acervos documentales”. Adicionalmente, consideraron necesario que el Estado “presente información detallada sobre el funcionamiento del Archivo Nacional por la Memoria [creado en el 2008 y] sus competencias actuales”. </w:t>
      </w:r>
    </w:p>
  </w:footnote>
  <w:footnote w:id="66">
    <w:p w14:paraId="6FD9315F" w14:textId="68D5C53B"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 xml:space="preserve">Mutatis </w:t>
      </w:r>
      <w:proofErr w:type="spellStart"/>
      <w:r w:rsidRPr="000111C2">
        <w:rPr>
          <w:rFonts w:ascii="Verdana" w:hAnsi="Verdana"/>
          <w:i/>
          <w:iCs/>
          <w:sz w:val="16"/>
          <w:szCs w:val="16"/>
        </w:rPr>
        <w:t>Mutandi</w:t>
      </w:r>
      <w:proofErr w:type="spellEnd"/>
      <w:r w:rsidRPr="000111C2">
        <w:rPr>
          <w:rFonts w:ascii="Verdana" w:hAnsi="Verdana"/>
          <w:i/>
          <w:iCs/>
          <w:sz w:val="16"/>
          <w:szCs w:val="16"/>
        </w:rPr>
        <w:t xml:space="preserve">, </w:t>
      </w:r>
      <w:r w:rsidRPr="000111C2">
        <w:rPr>
          <w:rFonts w:ascii="Verdana" w:hAnsi="Verdana" w:cs="Arial"/>
          <w:i/>
          <w:iCs/>
          <w:sz w:val="16"/>
          <w:szCs w:val="16"/>
          <w:shd w:val="clear" w:color="auto" w:fill="FFFFFF"/>
        </w:rPr>
        <w:t>Caso Gomes Lund y otros ("</w:t>
      </w:r>
      <w:proofErr w:type="spellStart"/>
      <w:r w:rsidRPr="000111C2">
        <w:rPr>
          <w:rFonts w:ascii="Verdana" w:hAnsi="Verdana" w:cs="Arial"/>
          <w:i/>
          <w:iCs/>
          <w:sz w:val="16"/>
          <w:szCs w:val="16"/>
          <w:shd w:val="clear" w:color="auto" w:fill="FFFFFF"/>
        </w:rPr>
        <w:t>Guerrilha</w:t>
      </w:r>
      <w:proofErr w:type="spellEnd"/>
      <w:r w:rsidRPr="000111C2">
        <w:rPr>
          <w:rFonts w:ascii="Verdana" w:hAnsi="Verdana" w:cs="Arial"/>
          <w:i/>
          <w:iCs/>
          <w:sz w:val="16"/>
          <w:szCs w:val="16"/>
          <w:shd w:val="clear" w:color="auto" w:fill="FFFFFF"/>
        </w:rPr>
        <w:t xml:space="preserve"> do </w:t>
      </w:r>
      <w:proofErr w:type="spellStart"/>
      <w:r w:rsidRPr="000111C2">
        <w:rPr>
          <w:rFonts w:ascii="Verdana" w:hAnsi="Verdana" w:cs="Arial"/>
          <w:i/>
          <w:iCs/>
          <w:sz w:val="16"/>
          <w:szCs w:val="16"/>
          <w:shd w:val="clear" w:color="auto" w:fill="FFFFFF"/>
        </w:rPr>
        <w:t>Araguaia</w:t>
      </w:r>
      <w:proofErr w:type="spellEnd"/>
      <w:r w:rsidRPr="000111C2">
        <w:rPr>
          <w:rFonts w:ascii="Verdana" w:hAnsi="Verdana" w:cs="Arial"/>
          <w:i/>
          <w:iCs/>
          <w:sz w:val="16"/>
          <w:szCs w:val="16"/>
          <w:shd w:val="clear" w:color="auto" w:fill="FFFFFF"/>
        </w:rPr>
        <w:t>") Vs. Brasil. Supervisión de Cumplimiento de Sentencia.</w:t>
      </w:r>
      <w:r w:rsidRPr="000111C2">
        <w:rPr>
          <w:rFonts w:ascii="Verdana" w:hAnsi="Verdana" w:cs="Arial"/>
          <w:sz w:val="16"/>
          <w:szCs w:val="16"/>
          <w:shd w:val="clear" w:color="auto" w:fill="FFFFFF"/>
        </w:rPr>
        <w:t xml:space="preserve"> Resolución de la Corte Interamericana de Derechos Humanos de 17 de octubre de 2014, Considerando 91.</w:t>
      </w:r>
    </w:p>
  </w:footnote>
  <w:footnote w:id="67">
    <w:p w14:paraId="19B578DB" w14:textId="1ECB9097"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w:t>
      </w:r>
      <w:r w:rsidRPr="000111C2">
        <w:rPr>
          <w:rFonts w:ascii="Verdana" w:hAnsi="Verdana" w:cs="Arial"/>
          <w:i/>
          <w:iCs/>
          <w:sz w:val="16"/>
          <w:szCs w:val="16"/>
          <w:shd w:val="clear" w:color="auto" w:fill="FFFFFF"/>
        </w:rPr>
        <w:t>Caso Gomes Lund y otros ("</w:t>
      </w:r>
      <w:proofErr w:type="spellStart"/>
      <w:r w:rsidRPr="000111C2">
        <w:rPr>
          <w:rFonts w:ascii="Verdana" w:hAnsi="Verdana" w:cs="Arial"/>
          <w:i/>
          <w:iCs/>
          <w:sz w:val="16"/>
          <w:szCs w:val="16"/>
          <w:shd w:val="clear" w:color="auto" w:fill="FFFFFF"/>
        </w:rPr>
        <w:t>Guerrilha</w:t>
      </w:r>
      <w:proofErr w:type="spellEnd"/>
      <w:r w:rsidRPr="000111C2">
        <w:rPr>
          <w:rFonts w:ascii="Verdana" w:hAnsi="Verdana" w:cs="Arial"/>
          <w:i/>
          <w:iCs/>
          <w:sz w:val="16"/>
          <w:szCs w:val="16"/>
          <w:shd w:val="clear" w:color="auto" w:fill="FFFFFF"/>
        </w:rPr>
        <w:t xml:space="preserve"> do </w:t>
      </w:r>
      <w:proofErr w:type="spellStart"/>
      <w:r w:rsidRPr="000111C2">
        <w:rPr>
          <w:rFonts w:ascii="Verdana" w:hAnsi="Verdana" w:cs="Arial"/>
          <w:i/>
          <w:iCs/>
          <w:sz w:val="16"/>
          <w:szCs w:val="16"/>
          <w:shd w:val="clear" w:color="auto" w:fill="FFFFFF"/>
        </w:rPr>
        <w:t>Araguaia</w:t>
      </w:r>
      <w:proofErr w:type="spellEnd"/>
      <w:r w:rsidRPr="000111C2">
        <w:rPr>
          <w:rFonts w:ascii="Verdana" w:hAnsi="Verdana" w:cs="Arial"/>
          <w:i/>
          <w:iCs/>
          <w:sz w:val="16"/>
          <w:szCs w:val="16"/>
          <w:shd w:val="clear" w:color="auto" w:fill="FFFFFF"/>
        </w:rPr>
        <w:t xml:space="preserve">") Vs. Brasil, supra </w:t>
      </w:r>
      <w:r w:rsidRPr="000111C2">
        <w:rPr>
          <w:rFonts w:ascii="Verdana" w:hAnsi="Verdana" w:cs="Arial"/>
          <w:sz w:val="16"/>
          <w:szCs w:val="16"/>
          <w:shd w:val="clear" w:color="auto" w:fill="FFFFFF"/>
        </w:rPr>
        <w:t>nota</w:t>
      </w:r>
      <w:r>
        <w:rPr>
          <w:rFonts w:ascii="Verdana" w:hAnsi="Verdana" w:cs="Arial"/>
          <w:sz w:val="16"/>
          <w:szCs w:val="16"/>
          <w:shd w:val="clear" w:color="auto" w:fill="FFFFFF"/>
        </w:rPr>
        <w:t xml:space="preserve"> 66</w:t>
      </w:r>
      <w:r w:rsidRPr="000111C2">
        <w:rPr>
          <w:rFonts w:ascii="Verdana" w:hAnsi="Verdana" w:cs="Arial"/>
          <w:sz w:val="16"/>
          <w:szCs w:val="16"/>
          <w:shd w:val="clear" w:color="auto" w:fill="FFFFFF"/>
        </w:rPr>
        <w:t>, Considerando 91. Al respecto, los representantes “</w:t>
      </w:r>
      <w:proofErr w:type="spellStart"/>
      <w:r w:rsidRPr="000111C2">
        <w:rPr>
          <w:rFonts w:ascii="Verdana" w:hAnsi="Verdana" w:cs="Arial"/>
          <w:sz w:val="16"/>
          <w:szCs w:val="16"/>
          <w:shd w:val="clear" w:color="auto" w:fill="FFFFFF"/>
        </w:rPr>
        <w:t>recom</w:t>
      </w:r>
      <w:proofErr w:type="spellEnd"/>
      <w:r w:rsidRPr="000111C2">
        <w:rPr>
          <w:rFonts w:ascii="Verdana" w:hAnsi="Verdana" w:cs="Arial"/>
          <w:sz w:val="16"/>
          <w:szCs w:val="16"/>
          <w:shd w:val="clear" w:color="auto" w:fill="FFFFFF"/>
        </w:rPr>
        <w:t>[</w:t>
      </w:r>
      <w:proofErr w:type="spellStart"/>
      <w:r w:rsidRPr="000111C2">
        <w:rPr>
          <w:rFonts w:ascii="Verdana" w:hAnsi="Verdana" w:cs="Arial"/>
          <w:sz w:val="16"/>
          <w:szCs w:val="16"/>
          <w:shd w:val="clear" w:color="auto" w:fill="FFFFFF"/>
        </w:rPr>
        <w:t>endaron</w:t>
      </w:r>
      <w:proofErr w:type="spellEnd"/>
      <w:r w:rsidRPr="000111C2">
        <w:rPr>
          <w:rFonts w:ascii="Verdana" w:hAnsi="Verdana" w:cs="Arial"/>
          <w:sz w:val="16"/>
          <w:szCs w:val="16"/>
          <w:shd w:val="clear" w:color="auto" w:fill="FFFFFF"/>
        </w:rPr>
        <w:t xml:space="preserve">] tener en consideración las Recomendaciones sobre principios y obligaciones en el tratamiento de archivos de derechos humanos elaborada por la Red Latinoamericana de Justicia de Transición”. </w:t>
      </w:r>
    </w:p>
  </w:footnote>
  <w:footnote w:id="68">
    <w:p w14:paraId="745C95C4" w14:textId="1D48F023" w:rsidR="00C64856" w:rsidRPr="008E2134" w:rsidRDefault="00C64856" w:rsidP="008E2134">
      <w:pPr>
        <w:pStyle w:val="Textonotapie"/>
        <w:tabs>
          <w:tab w:val="left" w:pos="426"/>
        </w:tabs>
        <w:jc w:val="both"/>
        <w:rPr>
          <w:rFonts w:ascii="Verdana" w:hAnsi="Verdana"/>
          <w:sz w:val="16"/>
          <w:szCs w:val="16"/>
        </w:rPr>
      </w:pPr>
      <w:r w:rsidRPr="008E2134">
        <w:rPr>
          <w:rStyle w:val="Refdenotaalpie"/>
          <w:rFonts w:ascii="Verdana" w:hAnsi="Verdana"/>
          <w:sz w:val="16"/>
          <w:szCs w:val="16"/>
        </w:rPr>
        <w:footnoteRef/>
      </w:r>
      <w:r w:rsidRPr="008E2134">
        <w:rPr>
          <w:rFonts w:ascii="Verdana" w:hAnsi="Verdana"/>
          <w:sz w:val="16"/>
          <w:szCs w:val="16"/>
        </w:rPr>
        <w:t xml:space="preserve"> </w:t>
      </w:r>
      <w:r w:rsidRPr="008E2134">
        <w:rPr>
          <w:rFonts w:ascii="Verdana" w:hAnsi="Verdana"/>
          <w:sz w:val="16"/>
          <w:szCs w:val="16"/>
        </w:rPr>
        <w:tab/>
        <w:t>En el párrafo 274</w:t>
      </w:r>
      <w:r>
        <w:rPr>
          <w:rFonts w:ascii="Verdana" w:hAnsi="Verdana"/>
          <w:sz w:val="16"/>
          <w:szCs w:val="16"/>
        </w:rPr>
        <w:t xml:space="preserve"> de la Sentencia,</w:t>
      </w:r>
      <w:r w:rsidRPr="008E2134">
        <w:rPr>
          <w:rFonts w:ascii="Verdana" w:hAnsi="Verdana"/>
          <w:sz w:val="16"/>
          <w:szCs w:val="16"/>
        </w:rPr>
        <w:t xml:space="preserve"> se valoró “[…] la medida ofrecida por el Estado para crear una Comisión Interministerial que se encargue de dar impulso a las investigaciones para esclarecer el destino de los desaparecidos entre los años 1973 a 1985, por lo cual […] </w:t>
      </w:r>
      <w:proofErr w:type="spellStart"/>
      <w:r w:rsidRPr="008E2134">
        <w:rPr>
          <w:rFonts w:ascii="Verdana" w:hAnsi="Verdana"/>
          <w:sz w:val="16"/>
          <w:szCs w:val="16"/>
        </w:rPr>
        <w:t>disp</w:t>
      </w:r>
      <w:proofErr w:type="spellEnd"/>
      <w:r w:rsidRPr="008E2134">
        <w:rPr>
          <w:rFonts w:ascii="Verdana" w:hAnsi="Verdana"/>
          <w:sz w:val="16"/>
          <w:szCs w:val="16"/>
        </w:rPr>
        <w:t>[uso] que en dicha instancia el Estado debe asegurar la participación de una representación de las víctimas de dichos hechos, si éstas así lo determinan, la que podrá canalizar la aportación de información relevante” y que “[e]l actuar de la Comisión interministerial estará sujeto a la confidencialidad que la información requiere y contará con una representación del Ministerio Público que sirva de contacto para recopilar dicha información”.</w:t>
      </w:r>
    </w:p>
  </w:footnote>
  <w:footnote w:id="69">
    <w:p w14:paraId="2AA35A15" w14:textId="4822D2E9"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ab/>
        <w:t xml:space="preserve">Agregó que esta comisión “es dependiente de la Presidencia de la República [y está] integrada por los Ministros de Educación y Cultura, Relaciones Exteriores, Defensa Nacional e Interior, así como la Coordinadora Ejecutiva de la Secretaría de seguimiento de la Comisión para la Paz”. </w:t>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 23.</w:t>
      </w:r>
    </w:p>
  </w:footnote>
  <w:footnote w:id="70">
    <w:p w14:paraId="0C3A9B5A" w14:textId="557D9218"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Considerandos 24 y 25.</w:t>
      </w:r>
    </w:p>
  </w:footnote>
  <w:footnote w:id="71">
    <w:p w14:paraId="7DAC81FE" w14:textId="002EA25B"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sz w:val="16"/>
          <w:szCs w:val="16"/>
        </w:rPr>
        <w:t>Cfr</w:t>
      </w:r>
      <w:r w:rsidRPr="000111C2">
        <w:rPr>
          <w:rFonts w:ascii="Verdana" w:hAnsi="Verdana"/>
          <w:sz w:val="16"/>
          <w:szCs w:val="16"/>
        </w:rPr>
        <w:t xml:space="preserve">. </w:t>
      </w:r>
      <w:r w:rsidRPr="000111C2">
        <w:rPr>
          <w:rStyle w:val="Textoennegrita"/>
          <w:rFonts w:ascii="Verdana" w:hAnsi="Verdana"/>
          <w:b w:val="0"/>
          <w:i/>
          <w:color w:val="000000"/>
          <w:sz w:val="16"/>
          <w:szCs w:val="16"/>
          <w:shd w:val="clear" w:color="auto" w:fill="FFFFFF"/>
        </w:rPr>
        <w:t xml:space="preserve">Caso Gelman Vs. Uruguay, supra </w:t>
      </w:r>
      <w:r w:rsidRPr="000111C2">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2</w:t>
      </w:r>
      <w:r w:rsidRPr="000111C2">
        <w:rPr>
          <w:rStyle w:val="Textoennegrita"/>
          <w:rFonts w:ascii="Verdana" w:hAnsi="Verdana"/>
          <w:b w:val="0"/>
          <w:color w:val="000000"/>
          <w:sz w:val="16"/>
          <w:szCs w:val="16"/>
          <w:shd w:val="clear" w:color="auto" w:fill="FFFFFF"/>
        </w:rPr>
        <w:t>, Considerando 25.</w:t>
      </w:r>
    </w:p>
  </w:footnote>
  <w:footnote w:id="72">
    <w:p w14:paraId="323E98AA" w14:textId="3A90E616"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Escrito de observaciones de los representantes de septiembre de 2019.</w:t>
      </w:r>
    </w:p>
  </w:footnote>
  <w:footnote w:id="73">
    <w:p w14:paraId="6F153B5D" w14:textId="75EDFE77"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00CB787D">
        <w:rPr>
          <w:rFonts w:ascii="Verdana" w:hAnsi="Verdana"/>
          <w:i/>
          <w:iCs/>
          <w:sz w:val="16"/>
          <w:szCs w:val="16"/>
        </w:rPr>
        <w:t>.</w:t>
      </w:r>
      <w:r w:rsidRPr="0019045E">
        <w:rPr>
          <w:rFonts w:ascii="Verdana" w:hAnsi="Verdana"/>
          <w:sz w:val="16"/>
          <w:szCs w:val="16"/>
        </w:rPr>
        <w:t xml:space="preserve"> Ley </w:t>
      </w:r>
      <w:r w:rsidRPr="007B5E63">
        <w:rPr>
          <w:rFonts w:ascii="Verdana" w:hAnsi="Verdana"/>
          <w:sz w:val="16"/>
          <w:szCs w:val="16"/>
        </w:rPr>
        <w:t xml:space="preserve">19.822, </w:t>
      </w:r>
      <w:r w:rsidRPr="007B5E63">
        <w:rPr>
          <w:rFonts w:ascii="Verdana" w:hAnsi="Verdana"/>
          <w:i/>
          <w:sz w:val="16"/>
          <w:szCs w:val="16"/>
        </w:rPr>
        <w:t>supra</w:t>
      </w:r>
      <w:r w:rsidRPr="007B5E63">
        <w:rPr>
          <w:rFonts w:ascii="Verdana" w:hAnsi="Verdana"/>
          <w:sz w:val="16"/>
          <w:szCs w:val="16"/>
        </w:rPr>
        <w:t xml:space="preserve"> nota 50</w:t>
      </w:r>
      <w:r w:rsidRPr="000111C2">
        <w:rPr>
          <w:rFonts w:ascii="Verdana" w:hAnsi="Verdana"/>
          <w:sz w:val="16"/>
          <w:szCs w:val="16"/>
        </w:rPr>
        <w:t xml:space="preserve"> y escrito de observaciones de los representantes de noviembre de 2019.</w:t>
      </w:r>
    </w:p>
  </w:footnote>
  <w:footnote w:id="74">
    <w:p w14:paraId="68FF36D9" w14:textId="527F7DB4"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Han expresado su preocupación por los siguientes tres aspectos: i) cómo el Estado va a “garantizar la asignación suficiente y adecuada de recursos económicos, técnicos y humanos y garantías de seguridad” para que </w:t>
      </w:r>
      <w:r>
        <w:rPr>
          <w:rFonts w:ascii="Verdana" w:hAnsi="Verdana"/>
          <w:sz w:val="16"/>
          <w:szCs w:val="16"/>
        </w:rPr>
        <w:t>la</w:t>
      </w:r>
      <w:r w:rsidRPr="000111C2">
        <w:rPr>
          <w:rFonts w:ascii="Verdana" w:hAnsi="Verdana"/>
          <w:sz w:val="16"/>
          <w:szCs w:val="16"/>
        </w:rPr>
        <w:t xml:space="preserve"> Institu</w:t>
      </w:r>
      <w:r>
        <w:rPr>
          <w:rFonts w:ascii="Verdana" w:hAnsi="Verdana"/>
          <w:sz w:val="16"/>
          <w:szCs w:val="16"/>
        </w:rPr>
        <w:t>ción</w:t>
      </w:r>
      <w:r w:rsidRPr="000111C2">
        <w:rPr>
          <w:rFonts w:ascii="Verdana" w:hAnsi="Verdana"/>
          <w:sz w:val="16"/>
          <w:szCs w:val="16"/>
        </w:rPr>
        <w:t xml:space="preserve"> Nacional de Derechos Humanos pueda cumplir con este nuevo mandato; </w:t>
      </w:r>
      <w:proofErr w:type="spellStart"/>
      <w:r w:rsidRPr="000111C2">
        <w:rPr>
          <w:rFonts w:ascii="Verdana" w:hAnsi="Verdana"/>
          <w:sz w:val="16"/>
          <w:szCs w:val="16"/>
        </w:rPr>
        <w:t>ii</w:t>
      </w:r>
      <w:proofErr w:type="spellEnd"/>
      <w:r w:rsidRPr="000111C2">
        <w:rPr>
          <w:rFonts w:ascii="Verdana" w:hAnsi="Verdana"/>
          <w:sz w:val="16"/>
          <w:szCs w:val="16"/>
        </w:rPr>
        <w:t>) cómo el Estado va a “garantizar que el proceso de investigación y búsqueda que impulse [</w:t>
      </w:r>
      <w:r>
        <w:rPr>
          <w:rFonts w:ascii="Verdana" w:hAnsi="Verdana"/>
          <w:sz w:val="16"/>
          <w:szCs w:val="16"/>
        </w:rPr>
        <w:t>la</w:t>
      </w:r>
      <w:r w:rsidRPr="000111C2">
        <w:rPr>
          <w:rFonts w:ascii="Verdana" w:hAnsi="Verdana"/>
          <w:sz w:val="16"/>
          <w:szCs w:val="16"/>
        </w:rPr>
        <w:t xml:space="preserve"> Institu</w:t>
      </w:r>
      <w:r>
        <w:rPr>
          <w:rFonts w:ascii="Verdana" w:hAnsi="Verdana"/>
          <w:sz w:val="16"/>
          <w:szCs w:val="16"/>
        </w:rPr>
        <w:t>ción</w:t>
      </w:r>
      <w:r w:rsidRPr="000111C2">
        <w:rPr>
          <w:rFonts w:ascii="Verdana" w:hAnsi="Verdana"/>
          <w:sz w:val="16"/>
          <w:szCs w:val="16"/>
        </w:rPr>
        <w:t xml:space="preserve"> Nacional de Derechos Humanos] no retrase o afecte los procesos de justicia” y la interacción que va a tener dicha institución con el poder judicial, y </w:t>
      </w:r>
      <w:proofErr w:type="spellStart"/>
      <w:r w:rsidRPr="000111C2">
        <w:rPr>
          <w:rFonts w:ascii="Verdana" w:hAnsi="Verdana"/>
          <w:sz w:val="16"/>
          <w:szCs w:val="16"/>
        </w:rPr>
        <w:t>iii</w:t>
      </w:r>
      <w:proofErr w:type="spellEnd"/>
      <w:r w:rsidRPr="000111C2">
        <w:rPr>
          <w:rFonts w:ascii="Verdana" w:hAnsi="Verdana"/>
          <w:sz w:val="16"/>
          <w:szCs w:val="16"/>
        </w:rPr>
        <w:t>)</w:t>
      </w:r>
      <w:r w:rsidRPr="000111C2">
        <w:rPr>
          <w:rFonts w:ascii="Verdana" w:hAnsi="Verdana"/>
          <w:b/>
          <w:bCs/>
          <w:sz w:val="16"/>
          <w:szCs w:val="16"/>
        </w:rPr>
        <w:t xml:space="preserve"> </w:t>
      </w:r>
      <w:r w:rsidRPr="000111C2">
        <w:rPr>
          <w:rFonts w:ascii="Verdana" w:hAnsi="Verdana"/>
          <w:sz w:val="16"/>
          <w:szCs w:val="16"/>
        </w:rPr>
        <w:t>cómo el Estado va a “garantizar que la puesta en marcha de este mecanismo no generará mayores retrasos en el cumplimiento de una obligación [estatal] que ya lleva años sin cumplirse”.</w:t>
      </w:r>
    </w:p>
  </w:footnote>
  <w:footnote w:id="75">
    <w:p w14:paraId="781DF5E7" w14:textId="421DA150" w:rsidR="00C64856" w:rsidRPr="00B22062" w:rsidRDefault="00C64856" w:rsidP="00B22062">
      <w:pPr>
        <w:pStyle w:val="Textonotapie"/>
        <w:tabs>
          <w:tab w:val="left" w:pos="426"/>
        </w:tabs>
        <w:jc w:val="both"/>
        <w:rPr>
          <w:rFonts w:ascii="Verdana" w:hAnsi="Verdana"/>
          <w:sz w:val="16"/>
          <w:szCs w:val="16"/>
        </w:rPr>
      </w:pPr>
      <w:r w:rsidRPr="00B22062">
        <w:rPr>
          <w:rStyle w:val="Refdenotaalpie"/>
          <w:rFonts w:ascii="Verdana" w:hAnsi="Verdana"/>
          <w:sz w:val="16"/>
          <w:szCs w:val="16"/>
        </w:rPr>
        <w:footnoteRef/>
      </w:r>
      <w:r w:rsidRPr="00B22062">
        <w:rPr>
          <w:rFonts w:ascii="Verdana" w:hAnsi="Verdana"/>
          <w:sz w:val="16"/>
          <w:szCs w:val="16"/>
        </w:rPr>
        <w:t xml:space="preserve"> </w:t>
      </w:r>
      <w:r w:rsidRPr="00B22062">
        <w:rPr>
          <w:rFonts w:ascii="Verdana" w:hAnsi="Verdana"/>
          <w:sz w:val="16"/>
          <w:szCs w:val="16"/>
        </w:rPr>
        <w:tab/>
        <w:t>Dispone que: “[l]</w:t>
      </w:r>
      <w:r w:rsidRPr="00B22062">
        <w:rPr>
          <w:rFonts w:ascii="Verdana" w:hAnsi="Verdana" w:cs="Arial"/>
          <w:sz w:val="16"/>
          <w:szCs w:val="16"/>
          <w:shd w:val="clear" w:color="auto" w:fill="FFFFFF"/>
        </w:rPr>
        <w:t>a Corte podrá requerir a otras fuentes de información datos relevantes sobre el caso, que permitan apreciar el cumplimiento. Para los mismos efectos podrá también requerir los peritajes e informes que considere oportunos”.</w:t>
      </w:r>
    </w:p>
  </w:footnote>
  <w:footnote w:id="76">
    <w:p w14:paraId="41043B87" w14:textId="0161F3BD"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r>
      <w:r w:rsidRPr="000111C2">
        <w:rPr>
          <w:rFonts w:ascii="Verdana" w:hAnsi="Verdana"/>
          <w:i/>
          <w:iCs/>
          <w:sz w:val="16"/>
          <w:szCs w:val="16"/>
        </w:rPr>
        <w:t>Cfr.</w:t>
      </w:r>
      <w:r w:rsidRPr="000111C2">
        <w:rPr>
          <w:rFonts w:ascii="Verdana" w:hAnsi="Verdana"/>
          <w:sz w:val="16"/>
          <w:szCs w:val="16"/>
        </w:rPr>
        <w:t xml:space="preserve"> Propuesta de </w:t>
      </w:r>
      <w:r w:rsidRPr="007B5E63">
        <w:rPr>
          <w:rFonts w:ascii="Verdana" w:hAnsi="Verdana"/>
          <w:i/>
          <w:sz w:val="16"/>
          <w:szCs w:val="16"/>
        </w:rPr>
        <w:t>“Protocolo de procedimientos en la búsqueda, recuperación y análisis de restos óseos de personas detenidas-desaparecidas, víctimas de graves violaciones a los derechos humanos en Uruguay</w:t>
      </w:r>
      <w:r>
        <w:rPr>
          <w:rFonts w:ascii="Verdana" w:hAnsi="Verdana"/>
          <w:sz w:val="16"/>
          <w:szCs w:val="16"/>
        </w:rPr>
        <w:t>”</w:t>
      </w:r>
      <w:r w:rsidRPr="000111C2">
        <w:rPr>
          <w:rFonts w:ascii="Verdana" w:hAnsi="Verdana"/>
          <w:sz w:val="16"/>
          <w:szCs w:val="16"/>
        </w:rPr>
        <w:t xml:space="preserve"> (anexo al informe estatal de julio de 2013), y Resolución 805/013 de la Presidencia de la República de Uruguay actuando en Consejo de Ministros de 4 de diciembre de 2013 (anexo al escrito de observaciones de los representantes de septiembre de 2019). </w:t>
      </w:r>
    </w:p>
  </w:footnote>
  <w:footnote w:id="77">
    <w:p w14:paraId="1493921C" w14:textId="25D05A53" w:rsidR="00C64856" w:rsidRPr="000111C2" w:rsidRDefault="00C64856" w:rsidP="000111C2">
      <w:pPr>
        <w:pStyle w:val="Textonotapie"/>
        <w:tabs>
          <w:tab w:val="left" w:pos="426"/>
        </w:tabs>
        <w:jc w:val="both"/>
        <w:rPr>
          <w:rFonts w:ascii="Verdana" w:hAnsi="Verdana"/>
          <w:sz w:val="16"/>
          <w:szCs w:val="16"/>
        </w:rPr>
      </w:pPr>
      <w:r w:rsidRPr="000111C2">
        <w:rPr>
          <w:rStyle w:val="Refdenotaalpie"/>
          <w:rFonts w:ascii="Verdana" w:hAnsi="Verdana"/>
          <w:sz w:val="16"/>
          <w:szCs w:val="16"/>
        </w:rPr>
        <w:footnoteRef/>
      </w:r>
      <w:r w:rsidRPr="000111C2">
        <w:rPr>
          <w:rFonts w:ascii="Verdana" w:hAnsi="Verdana"/>
          <w:sz w:val="16"/>
          <w:szCs w:val="16"/>
        </w:rPr>
        <w:t xml:space="preserve"> </w:t>
      </w:r>
      <w:r w:rsidRPr="000111C2">
        <w:rPr>
          <w:rFonts w:ascii="Verdana" w:hAnsi="Verdana"/>
          <w:sz w:val="16"/>
          <w:szCs w:val="16"/>
        </w:rPr>
        <w:tab/>
        <w:t xml:space="preserve">Tales como “la identificación de distintas etapas de la investigación y algunos pasos necesarios en cada una de ellas, el derecho a la participación de los familiares en las diversas etapas, entre otras precisiones”.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838F" w14:textId="77777777" w:rsidR="00C64856" w:rsidRPr="002712EB" w:rsidRDefault="00C64856" w:rsidP="002712EB">
    <w:pPr>
      <w:pStyle w:val="Encabezado"/>
      <w:jc w:val="righ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5076D"/>
    <w:multiLevelType w:val="hybridMultilevel"/>
    <w:tmpl w:val="34E24F4E"/>
    <w:lvl w:ilvl="0" w:tplc="5F1EA06E">
      <w:start w:val="1"/>
      <w:numFmt w:val="upperLetter"/>
      <w:lvlText w:val="%1."/>
      <w:lvlJc w:val="left"/>
      <w:pPr>
        <w:ind w:left="1844" w:hanging="360"/>
      </w:pPr>
      <w:rPr>
        <w:rFonts w:cs="Times New Roman" w:hint="default"/>
        <w:color w:val="auto"/>
        <w:sz w:val="20"/>
      </w:rPr>
    </w:lvl>
    <w:lvl w:ilvl="1" w:tplc="140A0019">
      <w:start w:val="1"/>
      <w:numFmt w:val="lowerLetter"/>
      <w:lvlText w:val="%2."/>
      <w:lvlJc w:val="left"/>
      <w:pPr>
        <w:ind w:left="2564" w:hanging="360"/>
      </w:pPr>
    </w:lvl>
    <w:lvl w:ilvl="2" w:tplc="140A001B" w:tentative="1">
      <w:start w:val="1"/>
      <w:numFmt w:val="lowerRoman"/>
      <w:lvlText w:val="%3."/>
      <w:lvlJc w:val="right"/>
      <w:pPr>
        <w:ind w:left="3284" w:hanging="180"/>
      </w:pPr>
    </w:lvl>
    <w:lvl w:ilvl="3" w:tplc="140A000F" w:tentative="1">
      <w:start w:val="1"/>
      <w:numFmt w:val="decimal"/>
      <w:lvlText w:val="%4."/>
      <w:lvlJc w:val="left"/>
      <w:pPr>
        <w:ind w:left="4004" w:hanging="360"/>
      </w:pPr>
    </w:lvl>
    <w:lvl w:ilvl="4" w:tplc="140A0019" w:tentative="1">
      <w:start w:val="1"/>
      <w:numFmt w:val="lowerLetter"/>
      <w:lvlText w:val="%5."/>
      <w:lvlJc w:val="left"/>
      <w:pPr>
        <w:ind w:left="4724" w:hanging="360"/>
      </w:pPr>
    </w:lvl>
    <w:lvl w:ilvl="5" w:tplc="140A001B" w:tentative="1">
      <w:start w:val="1"/>
      <w:numFmt w:val="lowerRoman"/>
      <w:lvlText w:val="%6."/>
      <w:lvlJc w:val="right"/>
      <w:pPr>
        <w:ind w:left="5444" w:hanging="180"/>
      </w:pPr>
    </w:lvl>
    <w:lvl w:ilvl="6" w:tplc="140A000F" w:tentative="1">
      <w:start w:val="1"/>
      <w:numFmt w:val="decimal"/>
      <w:lvlText w:val="%7."/>
      <w:lvlJc w:val="left"/>
      <w:pPr>
        <w:ind w:left="6164" w:hanging="360"/>
      </w:pPr>
    </w:lvl>
    <w:lvl w:ilvl="7" w:tplc="140A0019" w:tentative="1">
      <w:start w:val="1"/>
      <w:numFmt w:val="lowerLetter"/>
      <w:lvlText w:val="%8."/>
      <w:lvlJc w:val="left"/>
      <w:pPr>
        <w:ind w:left="6884" w:hanging="360"/>
      </w:pPr>
    </w:lvl>
    <w:lvl w:ilvl="8" w:tplc="140A001B" w:tentative="1">
      <w:start w:val="1"/>
      <w:numFmt w:val="lowerRoman"/>
      <w:lvlText w:val="%9."/>
      <w:lvlJc w:val="right"/>
      <w:pPr>
        <w:ind w:left="7604" w:hanging="180"/>
      </w:pPr>
    </w:lvl>
  </w:abstractNum>
  <w:abstractNum w:abstractNumId="1" w15:restartNumberingAfterBreak="0">
    <w:nsid w:val="05084600"/>
    <w:multiLevelType w:val="hybridMultilevel"/>
    <w:tmpl w:val="8C60D010"/>
    <w:lvl w:ilvl="0" w:tplc="8D8EFCA4">
      <w:start w:val="6"/>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E7B76"/>
    <w:multiLevelType w:val="hybridMultilevel"/>
    <w:tmpl w:val="53902142"/>
    <w:lvl w:ilvl="0" w:tplc="BE8A673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D26552"/>
    <w:multiLevelType w:val="hybridMultilevel"/>
    <w:tmpl w:val="882EAC4C"/>
    <w:lvl w:ilvl="0" w:tplc="2348C364">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0ACB3B95"/>
    <w:multiLevelType w:val="hybridMultilevel"/>
    <w:tmpl w:val="D1FE978C"/>
    <w:lvl w:ilvl="0" w:tplc="3A88E15E">
      <w:start w:val="1"/>
      <w:numFmt w:val="decimal"/>
      <w:lvlText w:val="%1."/>
      <w:lvlJc w:val="left"/>
      <w:pPr>
        <w:ind w:left="720" w:hanging="360"/>
      </w:pPr>
      <w:rPr>
        <w:rFonts w:ascii="Verdana" w:eastAsiaTheme="minorHAnsi" w:hAnsi="Verdana" w:cs="Calibri"/>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F553093"/>
    <w:multiLevelType w:val="hybridMultilevel"/>
    <w:tmpl w:val="C5FE230E"/>
    <w:lvl w:ilvl="0" w:tplc="4D9E3BBA">
      <w:start w:val="1"/>
      <w:numFmt w:val="decimal"/>
      <w:lvlText w:val="%1."/>
      <w:lvlJc w:val="left"/>
      <w:pPr>
        <w:ind w:left="76" w:hanging="360"/>
      </w:pPr>
      <w:rPr>
        <w:rFonts w:hint="default"/>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6" w15:restartNumberingAfterBreak="0">
    <w:nsid w:val="20FC1DC9"/>
    <w:multiLevelType w:val="hybridMultilevel"/>
    <w:tmpl w:val="E378F840"/>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7" w15:restartNumberingAfterBreak="0">
    <w:nsid w:val="276C0734"/>
    <w:multiLevelType w:val="hybridMultilevel"/>
    <w:tmpl w:val="892854CE"/>
    <w:lvl w:ilvl="0" w:tplc="9C2E350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2556E6"/>
    <w:multiLevelType w:val="hybridMultilevel"/>
    <w:tmpl w:val="34E24F4E"/>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9" w15:restartNumberingAfterBreak="0">
    <w:nsid w:val="305F65B6"/>
    <w:multiLevelType w:val="hybridMultilevel"/>
    <w:tmpl w:val="19367C1A"/>
    <w:lvl w:ilvl="0" w:tplc="C6AA14FA">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6307ADD"/>
    <w:multiLevelType w:val="hybridMultilevel"/>
    <w:tmpl w:val="34E24F4E"/>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1" w15:restartNumberingAfterBreak="0">
    <w:nsid w:val="39B33CE1"/>
    <w:multiLevelType w:val="hybridMultilevel"/>
    <w:tmpl w:val="A2808C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47046E4"/>
    <w:multiLevelType w:val="hybridMultilevel"/>
    <w:tmpl w:val="34E24F4E"/>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3" w15:restartNumberingAfterBreak="0">
    <w:nsid w:val="46916131"/>
    <w:multiLevelType w:val="hybridMultilevel"/>
    <w:tmpl w:val="C81C7196"/>
    <w:lvl w:ilvl="0" w:tplc="E83C03D4">
      <w:start w:val="1"/>
      <w:numFmt w:val="decimal"/>
      <w:lvlText w:val="%1."/>
      <w:lvlJc w:val="left"/>
      <w:pPr>
        <w:ind w:left="720" w:hanging="360"/>
      </w:pPr>
      <w:rPr>
        <w:rFonts w:ascii="Verdana" w:eastAsia="Times" w:hAnsi="Verdana" w:cs="Times New Roman" w:hint="default"/>
        <w:b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4D26638C"/>
    <w:multiLevelType w:val="hybridMultilevel"/>
    <w:tmpl w:val="7874937C"/>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2BA65B8"/>
    <w:multiLevelType w:val="hybridMultilevel"/>
    <w:tmpl w:val="F342DA40"/>
    <w:lvl w:ilvl="0" w:tplc="74A4506E">
      <w:start w:val="1"/>
      <w:numFmt w:val="decimal"/>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CD44DC"/>
    <w:multiLevelType w:val="hybridMultilevel"/>
    <w:tmpl w:val="B212E506"/>
    <w:lvl w:ilvl="0" w:tplc="FE7223AC">
      <w:start w:val="1"/>
      <w:numFmt w:val="decimal"/>
      <w:lvlText w:val="%1."/>
      <w:lvlJc w:val="left"/>
      <w:pPr>
        <w:ind w:left="720" w:hanging="360"/>
      </w:pPr>
      <w:rPr>
        <w:rFonts w:cs="Times New Roman" w:hint="default"/>
        <w:b w:val="0"/>
        <w:color w:val="auto"/>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A076D3E"/>
    <w:multiLevelType w:val="hybridMultilevel"/>
    <w:tmpl w:val="DB9C6A14"/>
    <w:lvl w:ilvl="0" w:tplc="0F300B46">
      <w:start w:val="1"/>
      <w:numFmt w:val="lowerLetter"/>
      <w:lvlText w:val="%1)"/>
      <w:lvlJc w:val="left"/>
      <w:pPr>
        <w:ind w:left="720" w:hanging="360"/>
      </w:pPr>
      <w:rPr>
        <w:rFonts w:ascii="Verdana" w:hAnsi="Verdana" w:hint="default"/>
        <w:b w:val="0"/>
        <w:sz w:val="19"/>
        <w:szCs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18737B"/>
    <w:multiLevelType w:val="hybridMultilevel"/>
    <w:tmpl w:val="A6823F6E"/>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9" w15:restartNumberingAfterBreak="0">
    <w:nsid w:val="7C354239"/>
    <w:multiLevelType w:val="hybridMultilevel"/>
    <w:tmpl w:val="AD2CE23A"/>
    <w:lvl w:ilvl="0" w:tplc="56DCC44C">
      <w:start w:val="29"/>
      <w:numFmt w:val="decimal"/>
      <w:lvlText w:val="%1."/>
      <w:lvlJc w:val="left"/>
      <w:pPr>
        <w:ind w:left="720" w:hanging="360"/>
      </w:pPr>
      <w:rPr>
        <w:rFonts w:hint="default"/>
        <w:b w:val="0"/>
        <w:bCs w:val="0"/>
        <w:i w:val="0"/>
        <w:iCs/>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D3B212B"/>
    <w:multiLevelType w:val="hybridMultilevel"/>
    <w:tmpl w:val="34E24F4E"/>
    <w:lvl w:ilvl="0" w:tplc="5F1EA06E">
      <w:start w:val="1"/>
      <w:numFmt w:val="upperLetter"/>
      <w:lvlText w:val="%1."/>
      <w:lvlJc w:val="left"/>
      <w:pPr>
        <w:ind w:left="502" w:hanging="360"/>
      </w:pPr>
      <w:rPr>
        <w:rFonts w:cs="Times New Roman" w:hint="default"/>
        <w:color w:val="auto"/>
        <w:sz w:val="20"/>
      </w:rPr>
    </w:lvl>
    <w:lvl w:ilvl="1" w:tplc="140A0019">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abstractNumId w:val="5"/>
  </w:num>
  <w:num w:numId="2">
    <w:abstractNumId w:val="11"/>
  </w:num>
  <w:num w:numId="3">
    <w:abstractNumId w:val="9"/>
  </w:num>
  <w:num w:numId="4">
    <w:abstractNumId w:val="16"/>
  </w:num>
  <w:num w:numId="5">
    <w:abstractNumId w:val="18"/>
  </w:num>
  <w:num w:numId="6">
    <w:abstractNumId w:val="8"/>
  </w:num>
  <w:num w:numId="7">
    <w:abstractNumId w:val="12"/>
  </w:num>
  <w:num w:numId="8">
    <w:abstractNumId w:val="10"/>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
  </w:num>
  <w:num w:numId="15">
    <w:abstractNumId w:val="19"/>
  </w:num>
  <w:num w:numId="16">
    <w:abstractNumId w:val="6"/>
  </w:num>
  <w:num w:numId="1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5"/>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0" w:nlCheck="1" w:checkStyle="0"/>
  <w:activeWritingStyle w:appName="MSWord" w:lang="pt-BR" w:vendorID="64" w:dllVersion="0" w:nlCheck="1" w:checkStyle="0"/>
  <w:activeWritingStyle w:appName="MSWord" w:lang="es-ES"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5F5"/>
    <w:rsid w:val="00001366"/>
    <w:rsid w:val="00003773"/>
    <w:rsid w:val="000039AD"/>
    <w:rsid w:val="00004D22"/>
    <w:rsid w:val="000108CC"/>
    <w:rsid w:val="000111C2"/>
    <w:rsid w:val="00012053"/>
    <w:rsid w:val="000121A4"/>
    <w:rsid w:val="00016F5A"/>
    <w:rsid w:val="000242D2"/>
    <w:rsid w:val="00024637"/>
    <w:rsid w:val="00032D9F"/>
    <w:rsid w:val="0003313C"/>
    <w:rsid w:val="00036CC6"/>
    <w:rsid w:val="00042B5F"/>
    <w:rsid w:val="00044049"/>
    <w:rsid w:val="00046C46"/>
    <w:rsid w:val="0005064F"/>
    <w:rsid w:val="00050ED8"/>
    <w:rsid w:val="000525B0"/>
    <w:rsid w:val="00053408"/>
    <w:rsid w:val="0005355C"/>
    <w:rsid w:val="00054720"/>
    <w:rsid w:val="00055C7F"/>
    <w:rsid w:val="00057160"/>
    <w:rsid w:val="00064FB2"/>
    <w:rsid w:val="000707B0"/>
    <w:rsid w:val="000725F5"/>
    <w:rsid w:val="00080CBA"/>
    <w:rsid w:val="0008168D"/>
    <w:rsid w:val="0008250C"/>
    <w:rsid w:val="0008370A"/>
    <w:rsid w:val="00085DC8"/>
    <w:rsid w:val="00090E05"/>
    <w:rsid w:val="000A1D9D"/>
    <w:rsid w:val="000A2FD1"/>
    <w:rsid w:val="000A30DE"/>
    <w:rsid w:val="000B0F3E"/>
    <w:rsid w:val="000B3C9B"/>
    <w:rsid w:val="000B3F5F"/>
    <w:rsid w:val="000B4EAB"/>
    <w:rsid w:val="000B613A"/>
    <w:rsid w:val="000B6AF5"/>
    <w:rsid w:val="000C346F"/>
    <w:rsid w:val="000C3C71"/>
    <w:rsid w:val="000C3DCF"/>
    <w:rsid w:val="000C7471"/>
    <w:rsid w:val="000C7D51"/>
    <w:rsid w:val="000D10BA"/>
    <w:rsid w:val="000D2395"/>
    <w:rsid w:val="000D546F"/>
    <w:rsid w:val="000D55F5"/>
    <w:rsid w:val="000D5692"/>
    <w:rsid w:val="000D5745"/>
    <w:rsid w:val="000D6692"/>
    <w:rsid w:val="000E2F65"/>
    <w:rsid w:val="000E37E2"/>
    <w:rsid w:val="000E5B22"/>
    <w:rsid w:val="00100A09"/>
    <w:rsid w:val="001037F9"/>
    <w:rsid w:val="00104C82"/>
    <w:rsid w:val="00111E89"/>
    <w:rsid w:val="00120D1C"/>
    <w:rsid w:val="00126F7E"/>
    <w:rsid w:val="001274F6"/>
    <w:rsid w:val="00127825"/>
    <w:rsid w:val="0013040E"/>
    <w:rsid w:val="00130E1D"/>
    <w:rsid w:val="00131CAF"/>
    <w:rsid w:val="00133E98"/>
    <w:rsid w:val="00140B8B"/>
    <w:rsid w:val="0014174A"/>
    <w:rsid w:val="00144056"/>
    <w:rsid w:val="00145C0E"/>
    <w:rsid w:val="001478DB"/>
    <w:rsid w:val="00150B5A"/>
    <w:rsid w:val="001517C7"/>
    <w:rsid w:val="00153BCC"/>
    <w:rsid w:val="00153D81"/>
    <w:rsid w:val="00154CD2"/>
    <w:rsid w:val="001555C1"/>
    <w:rsid w:val="00156707"/>
    <w:rsid w:val="00156F4B"/>
    <w:rsid w:val="00163827"/>
    <w:rsid w:val="00163E41"/>
    <w:rsid w:val="00166927"/>
    <w:rsid w:val="00167C29"/>
    <w:rsid w:val="001801CB"/>
    <w:rsid w:val="00182C87"/>
    <w:rsid w:val="00182FDE"/>
    <w:rsid w:val="001853FB"/>
    <w:rsid w:val="00185779"/>
    <w:rsid w:val="001873B2"/>
    <w:rsid w:val="0019045E"/>
    <w:rsid w:val="0019173A"/>
    <w:rsid w:val="00191C9D"/>
    <w:rsid w:val="00193395"/>
    <w:rsid w:val="001937E7"/>
    <w:rsid w:val="00195348"/>
    <w:rsid w:val="001A0C99"/>
    <w:rsid w:val="001A3017"/>
    <w:rsid w:val="001A3D20"/>
    <w:rsid w:val="001A4657"/>
    <w:rsid w:val="001A48B4"/>
    <w:rsid w:val="001B0ED2"/>
    <w:rsid w:val="001B134B"/>
    <w:rsid w:val="001B6DB5"/>
    <w:rsid w:val="001C39C4"/>
    <w:rsid w:val="001C5470"/>
    <w:rsid w:val="001D0774"/>
    <w:rsid w:val="001D0B1B"/>
    <w:rsid w:val="001D36F8"/>
    <w:rsid w:val="001D73E0"/>
    <w:rsid w:val="001E1476"/>
    <w:rsid w:val="001E167D"/>
    <w:rsid w:val="001E170A"/>
    <w:rsid w:val="001E2F0B"/>
    <w:rsid w:val="001F2CE8"/>
    <w:rsid w:val="00200480"/>
    <w:rsid w:val="00200D25"/>
    <w:rsid w:val="00201723"/>
    <w:rsid w:val="00205070"/>
    <w:rsid w:val="00215EA8"/>
    <w:rsid w:val="00221C74"/>
    <w:rsid w:val="002310F5"/>
    <w:rsid w:val="00232F0C"/>
    <w:rsid w:val="00236130"/>
    <w:rsid w:val="002374D6"/>
    <w:rsid w:val="002455CC"/>
    <w:rsid w:val="002516E5"/>
    <w:rsid w:val="0025391B"/>
    <w:rsid w:val="00254961"/>
    <w:rsid w:val="0026027E"/>
    <w:rsid w:val="00263FD8"/>
    <w:rsid w:val="00267147"/>
    <w:rsid w:val="002712EB"/>
    <w:rsid w:val="00277672"/>
    <w:rsid w:val="002810A2"/>
    <w:rsid w:val="002846BA"/>
    <w:rsid w:val="00287865"/>
    <w:rsid w:val="00291185"/>
    <w:rsid w:val="0029215C"/>
    <w:rsid w:val="00292A28"/>
    <w:rsid w:val="00293386"/>
    <w:rsid w:val="002A0A0F"/>
    <w:rsid w:val="002A1228"/>
    <w:rsid w:val="002A1392"/>
    <w:rsid w:val="002A467F"/>
    <w:rsid w:val="002B0AF5"/>
    <w:rsid w:val="002B2608"/>
    <w:rsid w:val="002C1227"/>
    <w:rsid w:val="002D12F9"/>
    <w:rsid w:val="002E19AB"/>
    <w:rsid w:val="002E4C3D"/>
    <w:rsid w:val="002E5FC0"/>
    <w:rsid w:val="002E691F"/>
    <w:rsid w:val="002E7BD5"/>
    <w:rsid w:val="002F637E"/>
    <w:rsid w:val="00300DCB"/>
    <w:rsid w:val="00303D72"/>
    <w:rsid w:val="00305CB1"/>
    <w:rsid w:val="003060A6"/>
    <w:rsid w:val="00310ACF"/>
    <w:rsid w:val="003225EE"/>
    <w:rsid w:val="003242FC"/>
    <w:rsid w:val="0033095A"/>
    <w:rsid w:val="003313FD"/>
    <w:rsid w:val="003314FF"/>
    <w:rsid w:val="00332886"/>
    <w:rsid w:val="00332F9D"/>
    <w:rsid w:val="0033373E"/>
    <w:rsid w:val="00333B64"/>
    <w:rsid w:val="00336ADC"/>
    <w:rsid w:val="003376A7"/>
    <w:rsid w:val="00337B30"/>
    <w:rsid w:val="00342AD2"/>
    <w:rsid w:val="00343A54"/>
    <w:rsid w:val="003452B5"/>
    <w:rsid w:val="0034545B"/>
    <w:rsid w:val="003454D2"/>
    <w:rsid w:val="003471AA"/>
    <w:rsid w:val="00351C38"/>
    <w:rsid w:val="00357D49"/>
    <w:rsid w:val="00362BE8"/>
    <w:rsid w:val="00363D78"/>
    <w:rsid w:val="00364AEC"/>
    <w:rsid w:val="00372832"/>
    <w:rsid w:val="00380AA2"/>
    <w:rsid w:val="00381483"/>
    <w:rsid w:val="00384833"/>
    <w:rsid w:val="00386A39"/>
    <w:rsid w:val="00394306"/>
    <w:rsid w:val="003968FF"/>
    <w:rsid w:val="00397F9D"/>
    <w:rsid w:val="003A42AD"/>
    <w:rsid w:val="003A5C00"/>
    <w:rsid w:val="003A6106"/>
    <w:rsid w:val="003B1B48"/>
    <w:rsid w:val="003C02AD"/>
    <w:rsid w:val="003C2307"/>
    <w:rsid w:val="003C2CF4"/>
    <w:rsid w:val="003C63E6"/>
    <w:rsid w:val="003D03CD"/>
    <w:rsid w:val="003D2D59"/>
    <w:rsid w:val="003D5108"/>
    <w:rsid w:val="003D5544"/>
    <w:rsid w:val="003D5CC7"/>
    <w:rsid w:val="003E1AEE"/>
    <w:rsid w:val="003E2A32"/>
    <w:rsid w:val="003E3119"/>
    <w:rsid w:val="003E40E9"/>
    <w:rsid w:val="003E4E89"/>
    <w:rsid w:val="003E4FDB"/>
    <w:rsid w:val="003E6FDC"/>
    <w:rsid w:val="003F3BF8"/>
    <w:rsid w:val="003F78F1"/>
    <w:rsid w:val="00401D92"/>
    <w:rsid w:val="00401DE7"/>
    <w:rsid w:val="004045D9"/>
    <w:rsid w:val="00404E24"/>
    <w:rsid w:val="00407E64"/>
    <w:rsid w:val="00420312"/>
    <w:rsid w:val="00422FA8"/>
    <w:rsid w:val="00426D56"/>
    <w:rsid w:val="00430C87"/>
    <w:rsid w:val="00432263"/>
    <w:rsid w:val="0043404E"/>
    <w:rsid w:val="00440D3E"/>
    <w:rsid w:val="004417C2"/>
    <w:rsid w:val="0044180B"/>
    <w:rsid w:val="00453FF3"/>
    <w:rsid w:val="004563D0"/>
    <w:rsid w:val="004620D8"/>
    <w:rsid w:val="0046223B"/>
    <w:rsid w:val="00462E81"/>
    <w:rsid w:val="004701F7"/>
    <w:rsid w:val="00482B41"/>
    <w:rsid w:val="0048481B"/>
    <w:rsid w:val="00485C70"/>
    <w:rsid w:val="00485E74"/>
    <w:rsid w:val="00486DFE"/>
    <w:rsid w:val="00487338"/>
    <w:rsid w:val="0049320A"/>
    <w:rsid w:val="00495C26"/>
    <w:rsid w:val="00495EE5"/>
    <w:rsid w:val="004A44E2"/>
    <w:rsid w:val="004B4D02"/>
    <w:rsid w:val="004C1CA6"/>
    <w:rsid w:val="004C7807"/>
    <w:rsid w:val="004D1182"/>
    <w:rsid w:val="004D1FE5"/>
    <w:rsid w:val="004E3C26"/>
    <w:rsid w:val="004E55EA"/>
    <w:rsid w:val="004E6DA5"/>
    <w:rsid w:val="004F33B1"/>
    <w:rsid w:val="004F4979"/>
    <w:rsid w:val="00502A53"/>
    <w:rsid w:val="00503055"/>
    <w:rsid w:val="00504468"/>
    <w:rsid w:val="00505A6A"/>
    <w:rsid w:val="00505DA7"/>
    <w:rsid w:val="0051062A"/>
    <w:rsid w:val="00513D40"/>
    <w:rsid w:val="00514A9E"/>
    <w:rsid w:val="00514F8D"/>
    <w:rsid w:val="00515933"/>
    <w:rsid w:val="00523449"/>
    <w:rsid w:val="00532256"/>
    <w:rsid w:val="005341BC"/>
    <w:rsid w:val="00540205"/>
    <w:rsid w:val="00544145"/>
    <w:rsid w:val="0054712E"/>
    <w:rsid w:val="005530D9"/>
    <w:rsid w:val="005547CA"/>
    <w:rsid w:val="005600EB"/>
    <w:rsid w:val="00560ACC"/>
    <w:rsid w:val="00560BEC"/>
    <w:rsid w:val="00563E4E"/>
    <w:rsid w:val="00565888"/>
    <w:rsid w:val="00565D9B"/>
    <w:rsid w:val="00566D60"/>
    <w:rsid w:val="00571BC3"/>
    <w:rsid w:val="00573404"/>
    <w:rsid w:val="00576F19"/>
    <w:rsid w:val="005775EA"/>
    <w:rsid w:val="0058080D"/>
    <w:rsid w:val="0058289D"/>
    <w:rsid w:val="00592B07"/>
    <w:rsid w:val="00594D16"/>
    <w:rsid w:val="005A0118"/>
    <w:rsid w:val="005A0132"/>
    <w:rsid w:val="005A0EF2"/>
    <w:rsid w:val="005A197C"/>
    <w:rsid w:val="005A64AA"/>
    <w:rsid w:val="005B4999"/>
    <w:rsid w:val="005B5CA5"/>
    <w:rsid w:val="005C0723"/>
    <w:rsid w:val="005C0833"/>
    <w:rsid w:val="005C1774"/>
    <w:rsid w:val="005C7E4D"/>
    <w:rsid w:val="005D35B4"/>
    <w:rsid w:val="005D5A4A"/>
    <w:rsid w:val="005D6D21"/>
    <w:rsid w:val="005E1F51"/>
    <w:rsid w:val="005E4244"/>
    <w:rsid w:val="005E5020"/>
    <w:rsid w:val="005F3B06"/>
    <w:rsid w:val="00600F0E"/>
    <w:rsid w:val="0060629B"/>
    <w:rsid w:val="006076E2"/>
    <w:rsid w:val="00610225"/>
    <w:rsid w:val="0061235C"/>
    <w:rsid w:val="006145B5"/>
    <w:rsid w:val="00615641"/>
    <w:rsid w:val="0061686E"/>
    <w:rsid w:val="00620177"/>
    <w:rsid w:val="006215AB"/>
    <w:rsid w:val="0062215A"/>
    <w:rsid w:val="00627BC8"/>
    <w:rsid w:val="00627FFC"/>
    <w:rsid w:val="00630E5B"/>
    <w:rsid w:val="00641906"/>
    <w:rsid w:val="006451AC"/>
    <w:rsid w:val="00651017"/>
    <w:rsid w:val="0065217A"/>
    <w:rsid w:val="00652C00"/>
    <w:rsid w:val="006530EC"/>
    <w:rsid w:val="006564CB"/>
    <w:rsid w:val="00657FE0"/>
    <w:rsid w:val="00660A40"/>
    <w:rsid w:val="00663E0B"/>
    <w:rsid w:val="00670105"/>
    <w:rsid w:val="006722B9"/>
    <w:rsid w:val="006762B2"/>
    <w:rsid w:val="006763CD"/>
    <w:rsid w:val="0068558F"/>
    <w:rsid w:val="006911FD"/>
    <w:rsid w:val="006937E4"/>
    <w:rsid w:val="006A2391"/>
    <w:rsid w:val="006A2FBB"/>
    <w:rsid w:val="006A3F58"/>
    <w:rsid w:val="006A447D"/>
    <w:rsid w:val="006A6877"/>
    <w:rsid w:val="006A69D6"/>
    <w:rsid w:val="006B2888"/>
    <w:rsid w:val="006B440D"/>
    <w:rsid w:val="006C3379"/>
    <w:rsid w:val="006C3C0B"/>
    <w:rsid w:val="006C4D03"/>
    <w:rsid w:val="006D3B1C"/>
    <w:rsid w:val="006D42FF"/>
    <w:rsid w:val="006D6760"/>
    <w:rsid w:val="006F3C57"/>
    <w:rsid w:val="006F5AFA"/>
    <w:rsid w:val="006F6CD3"/>
    <w:rsid w:val="007007B1"/>
    <w:rsid w:val="00700EFC"/>
    <w:rsid w:val="00704FD9"/>
    <w:rsid w:val="00705440"/>
    <w:rsid w:val="00706AEB"/>
    <w:rsid w:val="00706CE8"/>
    <w:rsid w:val="00716618"/>
    <w:rsid w:val="00727867"/>
    <w:rsid w:val="00730789"/>
    <w:rsid w:val="00730B01"/>
    <w:rsid w:val="007325DA"/>
    <w:rsid w:val="00737208"/>
    <w:rsid w:val="00742BD2"/>
    <w:rsid w:val="00742C89"/>
    <w:rsid w:val="007443D1"/>
    <w:rsid w:val="00750589"/>
    <w:rsid w:val="007507CA"/>
    <w:rsid w:val="00750FDC"/>
    <w:rsid w:val="0075269B"/>
    <w:rsid w:val="007532F0"/>
    <w:rsid w:val="00754E13"/>
    <w:rsid w:val="007553D7"/>
    <w:rsid w:val="00762A53"/>
    <w:rsid w:val="007641D6"/>
    <w:rsid w:val="00766CCA"/>
    <w:rsid w:val="0076754A"/>
    <w:rsid w:val="00772CFB"/>
    <w:rsid w:val="00775879"/>
    <w:rsid w:val="00776F4D"/>
    <w:rsid w:val="00783907"/>
    <w:rsid w:val="00784518"/>
    <w:rsid w:val="0079143F"/>
    <w:rsid w:val="007916A6"/>
    <w:rsid w:val="00791EE0"/>
    <w:rsid w:val="00793405"/>
    <w:rsid w:val="00793FC4"/>
    <w:rsid w:val="007960AE"/>
    <w:rsid w:val="007A1509"/>
    <w:rsid w:val="007A19AF"/>
    <w:rsid w:val="007A4518"/>
    <w:rsid w:val="007A5812"/>
    <w:rsid w:val="007B085A"/>
    <w:rsid w:val="007B3C04"/>
    <w:rsid w:val="007B4930"/>
    <w:rsid w:val="007B507A"/>
    <w:rsid w:val="007B5E63"/>
    <w:rsid w:val="007C6D17"/>
    <w:rsid w:val="007C72F1"/>
    <w:rsid w:val="007D2F5F"/>
    <w:rsid w:val="007D663B"/>
    <w:rsid w:val="007D797D"/>
    <w:rsid w:val="007E0D61"/>
    <w:rsid w:val="007F0209"/>
    <w:rsid w:val="007F18BA"/>
    <w:rsid w:val="007F1E15"/>
    <w:rsid w:val="007F3778"/>
    <w:rsid w:val="007F45CD"/>
    <w:rsid w:val="007F6D57"/>
    <w:rsid w:val="007F736F"/>
    <w:rsid w:val="007F7371"/>
    <w:rsid w:val="0080098C"/>
    <w:rsid w:val="0080375A"/>
    <w:rsid w:val="008069D9"/>
    <w:rsid w:val="00825B9D"/>
    <w:rsid w:val="0082623D"/>
    <w:rsid w:val="008265B8"/>
    <w:rsid w:val="0083003E"/>
    <w:rsid w:val="008329AD"/>
    <w:rsid w:val="00835A40"/>
    <w:rsid w:val="0084216E"/>
    <w:rsid w:val="00845A6F"/>
    <w:rsid w:val="0084624A"/>
    <w:rsid w:val="00846BA2"/>
    <w:rsid w:val="0085162E"/>
    <w:rsid w:val="00852F6E"/>
    <w:rsid w:val="00856F72"/>
    <w:rsid w:val="00862085"/>
    <w:rsid w:val="00871D9D"/>
    <w:rsid w:val="00873B61"/>
    <w:rsid w:val="00880B0D"/>
    <w:rsid w:val="00880C76"/>
    <w:rsid w:val="00882AC7"/>
    <w:rsid w:val="00886D61"/>
    <w:rsid w:val="008907DA"/>
    <w:rsid w:val="00890926"/>
    <w:rsid w:val="00890F50"/>
    <w:rsid w:val="00891B14"/>
    <w:rsid w:val="008938B0"/>
    <w:rsid w:val="00893EF2"/>
    <w:rsid w:val="0089465B"/>
    <w:rsid w:val="00896FA0"/>
    <w:rsid w:val="008971A1"/>
    <w:rsid w:val="008A030C"/>
    <w:rsid w:val="008A7493"/>
    <w:rsid w:val="008B0CE2"/>
    <w:rsid w:val="008B7774"/>
    <w:rsid w:val="008B7CC3"/>
    <w:rsid w:val="008C2544"/>
    <w:rsid w:val="008C39E6"/>
    <w:rsid w:val="008C4715"/>
    <w:rsid w:val="008C4742"/>
    <w:rsid w:val="008D1526"/>
    <w:rsid w:val="008D37E6"/>
    <w:rsid w:val="008D5A6F"/>
    <w:rsid w:val="008D6E80"/>
    <w:rsid w:val="008E2134"/>
    <w:rsid w:val="008E47DD"/>
    <w:rsid w:val="008E48A7"/>
    <w:rsid w:val="008E4D6A"/>
    <w:rsid w:val="008F0C24"/>
    <w:rsid w:val="008F167A"/>
    <w:rsid w:val="008F168E"/>
    <w:rsid w:val="008F7FCE"/>
    <w:rsid w:val="0090032A"/>
    <w:rsid w:val="00906CD7"/>
    <w:rsid w:val="0090762F"/>
    <w:rsid w:val="00916788"/>
    <w:rsid w:val="009167FD"/>
    <w:rsid w:val="00931740"/>
    <w:rsid w:val="009322F2"/>
    <w:rsid w:val="009401C3"/>
    <w:rsid w:val="0094193B"/>
    <w:rsid w:val="009430AA"/>
    <w:rsid w:val="009445DD"/>
    <w:rsid w:val="00946CB0"/>
    <w:rsid w:val="009565F2"/>
    <w:rsid w:val="00964F52"/>
    <w:rsid w:val="00971404"/>
    <w:rsid w:val="0097194A"/>
    <w:rsid w:val="009722E3"/>
    <w:rsid w:val="00973B75"/>
    <w:rsid w:val="009836D5"/>
    <w:rsid w:val="009872FF"/>
    <w:rsid w:val="009876F0"/>
    <w:rsid w:val="0099661D"/>
    <w:rsid w:val="00997F6F"/>
    <w:rsid w:val="009A04EA"/>
    <w:rsid w:val="009A134B"/>
    <w:rsid w:val="009A3509"/>
    <w:rsid w:val="009A53D2"/>
    <w:rsid w:val="009B0B3E"/>
    <w:rsid w:val="009B27C8"/>
    <w:rsid w:val="009B2A04"/>
    <w:rsid w:val="009C2266"/>
    <w:rsid w:val="009C56FD"/>
    <w:rsid w:val="009D3284"/>
    <w:rsid w:val="009E16A4"/>
    <w:rsid w:val="009E197A"/>
    <w:rsid w:val="009F07E3"/>
    <w:rsid w:val="009F1A3F"/>
    <w:rsid w:val="009F2665"/>
    <w:rsid w:val="009F3A03"/>
    <w:rsid w:val="009F48F4"/>
    <w:rsid w:val="009F5D0C"/>
    <w:rsid w:val="00A03810"/>
    <w:rsid w:val="00A04202"/>
    <w:rsid w:val="00A05EA3"/>
    <w:rsid w:val="00A11098"/>
    <w:rsid w:val="00A13192"/>
    <w:rsid w:val="00A14632"/>
    <w:rsid w:val="00A165B7"/>
    <w:rsid w:val="00A17449"/>
    <w:rsid w:val="00A22676"/>
    <w:rsid w:val="00A2320B"/>
    <w:rsid w:val="00A244EA"/>
    <w:rsid w:val="00A27FBF"/>
    <w:rsid w:val="00A309D3"/>
    <w:rsid w:val="00A33EAF"/>
    <w:rsid w:val="00A37A6A"/>
    <w:rsid w:val="00A40B44"/>
    <w:rsid w:val="00A504C2"/>
    <w:rsid w:val="00A54400"/>
    <w:rsid w:val="00A55D2B"/>
    <w:rsid w:val="00A567D0"/>
    <w:rsid w:val="00A6035B"/>
    <w:rsid w:val="00A624FD"/>
    <w:rsid w:val="00A64659"/>
    <w:rsid w:val="00A70803"/>
    <w:rsid w:val="00A73D62"/>
    <w:rsid w:val="00A74B78"/>
    <w:rsid w:val="00A83A3D"/>
    <w:rsid w:val="00A85FFA"/>
    <w:rsid w:val="00A94D0B"/>
    <w:rsid w:val="00AA2B84"/>
    <w:rsid w:val="00AA3B1B"/>
    <w:rsid w:val="00AA6472"/>
    <w:rsid w:val="00AA6D88"/>
    <w:rsid w:val="00AA7F06"/>
    <w:rsid w:val="00AB11A2"/>
    <w:rsid w:val="00AB2652"/>
    <w:rsid w:val="00AB3B85"/>
    <w:rsid w:val="00AB4BE4"/>
    <w:rsid w:val="00AB53AA"/>
    <w:rsid w:val="00AB7A46"/>
    <w:rsid w:val="00AC519D"/>
    <w:rsid w:val="00AC687F"/>
    <w:rsid w:val="00AC7AD4"/>
    <w:rsid w:val="00AD0601"/>
    <w:rsid w:val="00AD47AD"/>
    <w:rsid w:val="00AD5B63"/>
    <w:rsid w:val="00AD72C9"/>
    <w:rsid w:val="00AD7831"/>
    <w:rsid w:val="00AE451F"/>
    <w:rsid w:val="00AE47E6"/>
    <w:rsid w:val="00AE6171"/>
    <w:rsid w:val="00AF293C"/>
    <w:rsid w:val="00AF3105"/>
    <w:rsid w:val="00AF5F29"/>
    <w:rsid w:val="00AF7824"/>
    <w:rsid w:val="00B0112D"/>
    <w:rsid w:val="00B02730"/>
    <w:rsid w:val="00B0338D"/>
    <w:rsid w:val="00B05F0E"/>
    <w:rsid w:val="00B07997"/>
    <w:rsid w:val="00B10113"/>
    <w:rsid w:val="00B105BC"/>
    <w:rsid w:val="00B14BAB"/>
    <w:rsid w:val="00B15F87"/>
    <w:rsid w:val="00B17984"/>
    <w:rsid w:val="00B22062"/>
    <w:rsid w:val="00B2431E"/>
    <w:rsid w:val="00B27C18"/>
    <w:rsid w:val="00B37165"/>
    <w:rsid w:val="00B37468"/>
    <w:rsid w:val="00B41FE2"/>
    <w:rsid w:val="00B50391"/>
    <w:rsid w:val="00B52E91"/>
    <w:rsid w:val="00B53148"/>
    <w:rsid w:val="00B55578"/>
    <w:rsid w:val="00B574E7"/>
    <w:rsid w:val="00B64FF6"/>
    <w:rsid w:val="00B70A27"/>
    <w:rsid w:val="00B75642"/>
    <w:rsid w:val="00B757E9"/>
    <w:rsid w:val="00B77ED0"/>
    <w:rsid w:val="00B82077"/>
    <w:rsid w:val="00B82875"/>
    <w:rsid w:val="00B848B1"/>
    <w:rsid w:val="00B87E6C"/>
    <w:rsid w:val="00B92DBF"/>
    <w:rsid w:val="00B9724D"/>
    <w:rsid w:val="00B979E0"/>
    <w:rsid w:val="00B97E82"/>
    <w:rsid w:val="00BA0139"/>
    <w:rsid w:val="00BA3E6D"/>
    <w:rsid w:val="00BA560D"/>
    <w:rsid w:val="00BB01D0"/>
    <w:rsid w:val="00BB0B79"/>
    <w:rsid w:val="00BB602E"/>
    <w:rsid w:val="00BB6B6E"/>
    <w:rsid w:val="00BC42D6"/>
    <w:rsid w:val="00BC63E2"/>
    <w:rsid w:val="00BC6663"/>
    <w:rsid w:val="00BC7368"/>
    <w:rsid w:val="00BC77B7"/>
    <w:rsid w:val="00BD1121"/>
    <w:rsid w:val="00BD2FC5"/>
    <w:rsid w:val="00BD3165"/>
    <w:rsid w:val="00BD3BBE"/>
    <w:rsid w:val="00BD4AC2"/>
    <w:rsid w:val="00BE4084"/>
    <w:rsid w:val="00BE594F"/>
    <w:rsid w:val="00BE5FE8"/>
    <w:rsid w:val="00BF0704"/>
    <w:rsid w:val="00BF0753"/>
    <w:rsid w:val="00C00EA5"/>
    <w:rsid w:val="00C054F7"/>
    <w:rsid w:val="00C06009"/>
    <w:rsid w:val="00C10469"/>
    <w:rsid w:val="00C13A6B"/>
    <w:rsid w:val="00C22A46"/>
    <w:rsid w:val="00C25408"/>
    <w:rsid w:val="00C26058"/>
    <w:rsid w:val="00C319BE"/>
    <w:rsid w:val="00C41747"/>
    <w:rsid w:val="00C4508D"/>
    <w:rsid w:val="00C46ABA"/>
    <w:rsid w:val="00C46DF7"/>
    <w:rsid w:val="00C52DAF"/>
    <w:rsid w:val="00C546E0"/>
    <w:rsid w:val="00C54DDF"/>
    <w:rsid w:val="00C60606"/>
    <w:rsid w:val="00C64856"/>
    <w:rsid w:val="00C668B3"/>
    <w:rsid w:val="00C71853"/>
    <w:rsid w:val="00C72EB4"/>
    <w:rsid w:val="00C7397C"/>
    <w:rsid w:val="00C758C0"/>
    <w:rsid w:val="00C76CC5"/>
    <w:rsid w:val="00C821B6"/>
    <w:rsid w:val="00C82701"/>
    <w:rsid w:val="00C8543F"/>
    <w:rsid w:val="00C86909"/>
    <w:rsid w:val="00C879D2"/>
    <w:rsid w:val="00C93A3F"/>
    <w:rsid w:val="00C940CE"/>
    <w:rsid w:val="00C97251"/>
    <w:rsid w:val="00C97B12"/>
    <w:rsid w:val="00CA0F9D"/>
    <w:rsid w:val="00CA1F76"/>
    <w:rsid w:val="00CA3CF3"/>
    <w:rsid w:val="00CB1E73"/>
    <w:rsid w:val="00CB3874"/>
    <w:rsid w:val="00CB5FF8"/>
    <w:rsid w:val="00CB6290"/>
    <w:rsid w:val="00CB787D"/>
    <w:rsid w:val="00CC1C3D"/>
    <w:rsid w:val="00CC2E26"/>
    <w:rsid w:val="00CC587C"/>
    <w:rsid w:val="00CD0B55"/>
    <w:rsid w:val="00CE20ED"/>
    <w:rsid w:val="00CE4D7C"/>
    <w:rsid w:val="00CE5C9A"/>
    <w:rsid w:val="00CE7FB3"/>
    <w:rsid w:val="00CF70A2"/>
    <w:rsid w:val="00CF7493"/>
    <w:rsid w:val="00D00608"/>
    <w:rsid w:val="00D01830"/>
    <w:rsid w:val="00D02C8A"/>
    <w:rsid w:val="00D05736"/>
    <w:rsid w:val="00D17A01"/>
    <w:rsid w:val="00D25C45"/>
    <w:rsid w:val="00D30700"/>
    <w:rsid w:val="00D3091D"/>
    <w:rsid w:val="00D40B8A"/>
    <w:rsid w:val="00D41B66"/>
    <w:rsid w:val="00D4269F"/>
    <w:rsid w:val="00D42C08"/>
    <w:rsid w:val="00D42F59"/>
    <w:rsid w:val="00D4348E"/>
    <w:rsid w:val="00D44682"/>
    <w:rsid w:val="00D4551E"/>
    <w:rsid w:val="00D4584E"/>
    <w:rsid w:val="00D460CF"/>
    <w:rsid w:val="00D47858"/>
    <w:rsid w:val="00D537DF"/>
    <w:rsid w:val="00D545F8"/>
    <w:rsid w:val="00D5463C"/>
    <w:rsid w:val="00D549AA"/>
    <w:rsid w:val="00D56006"/>
    <w:rsid w:val="00D572C5"/>
    <w:rsid w:val="00D64922"/>
    <w:rsid w:val="00D67B61"/>
    <w:rsid w:val="00D724BE"/>
    <w:rsid w:val="00D72C45"/>
    <w:rsid w:val="00D772A8"/>
    <w:rsid w:val="00D81A4E"/>
    <w:rsid w:val="00D85C2D"/>
    <w:rsid w:val="00D93260"/>
    <w:rsid w:val="00D973DD"/>
    <w:rsid w:val="00DA1448"/>
    <w:rsid w:val="00DA1ACE"/>
    <w:rsid w:val="00DA3EDE"/>
    <w:rsid w:val="00DB0527"/>
    <w:rsid w:val="00DB06A3"/>
    <w:rsid w:val="00DB4333"/>
    <w:rsid w:val="00DB55A5"/>
    <w:rsid w:val="00DB580D"/>
    <w:rsid w:val="00DC1CFB"/>
    <w:rsid w:val="00DC313F"/>
    <w:rsid w:val="00DC34B8"/>
    <w:rsid w:val="00DD1B6C"/>
    <w:rsid w:val="00DE229F"/>
    <w:rsid w:val="00DE261D"/>
    <w:rsid w:val="00DF0520"/>
    <w:rsid w:val="00DF3C14"/>
    <w:rsid w:val="00DF58DC"/>
    <w:rsid w:val="00E00CC0"/>
    <w:rsid w:val="00E02EE9"/>
    <w:rsid w:val="00E041E0"/>
    <w:rsid w:val="00E11C4F"/>
    <w:rsid w:val="00E11D4E"/>
    <w:rsid w:val="00E15B87"/>
    <w:rsid w:val="00E1666F"/>
    <w:rsid w:val="00E172CF"/>
    <w:rsid w:val="00E21202"/>
    <w:rsid w:val="00E2124F"/>
    <w:rsid w:val="00E212C9"/>
    <w:rsid w:val="00E222CB"/>
    <w:rsid w:val="00E3045B"/>
    <w:rsid w:val="00E32A93"/>
    <w:rsid w:val="00E35DD1"/>
    <w:rsid w:val="00E4237D"/>
    <w:rsid w:val="00E43621"/>
    <w:rsid w:val="00E52428"/>
    <w:rsid w:val="00E53FC4"/>
    <w:rsid w:val="00E561F6"/>
    <w:rsid w:val="00E571AA"/>
    <w:rsid w:val="00E615B9"/>
    <w:rsid w:val="00E62AE4"/>
    <w:rsid w:val="00E66FCA"/>
    <w:rsid w:val="00E67A70"/>
    <w:rsid w:val="00E73DE5"/>
    <w:rsid w:val="00E76D51"/>
    <w:rsid w:val="00E85B33"/>
    <w:rsid w:val="00E87B29"/>
    <w:rsid w:val="00EA0570"/>
    <w:rsid w:val="00EA3BB9"/>
    <w:rsid w:val="00EA4102"/>
    <w:rsid w:val="00EB01DE"/>
    <w:rsid w:val="00EB2FAF"/>
    <w:rsid w:val="00EB4564"/>
    <w:rsid w:val="00EB46CC"/>
    <w:rsid w:val="00EB7C82"/>
    <w:rsid w:val="00EC18E8"/>
    <w:rsid w:val="00EC3DEA"/>
    <w:rsid w:val="00EC5574"/>
    <w:rsid w:val="00EC6B81"/>
    <w:rsid w:val="00ED186B"/>
    <w:rsid w:val="00ED1EDE"/>
    <w:rsid w:val="00ED2EB9"/>
    <w:rsid w:val="00ED475F"/>
    <w:rsid w:val="00ED6E71"/>
    <w:rsid w:val="00EE2650"/>
    <w:rsid w:val="00EE7035"/>
    <w:rsid w:val="00F00C24"/>
    <w:rsid w:val="00F1068C"/>
    <w:rsid w:val="00F10B86"/>
    <w:rsid w:val="00F10C51"/>
    <w:rsid w:val="00F117C4"/>
    <w:rsid w:val="00F1311C"/>
    <w:rsid w:val="00F13297"/>
    <w:rsid w:val="00F137FF"/>
    <w:rsid w:val="00F17A8C"/>
    <w:rsid w:val="00F20564"/>
    <w:rsid w:val="00F20B47"/>
    <w:rsid w:val="00F20B99"/>
    <w:rsid w:val="00F21EA9"/>
    <w:rsid w:val="00F230AB"/>
    <w:rsid w:val="00F23CFC"/>
    <w:rsid w:val="00F275AB"/>
    <w:rsid w:val="00F30934"/>
    <w:rsid w:val="00F34548"/>
    <w:rsid w:val="00F35002"/>
    <w:rsid w:val="00F374A5"/>
    <w:rsid w:val="00F37B03"/>
    <w:rsid w:val="00F37E97"/>
    <w:rsid w:val="00F41688"/>
    <w:rsid w:val="00F47B58"/>
    <w:rsid w:val="00F51996"/>
    <w:rsid w:val="00F5777C"/>
    <w:rsid w:val="00F62790"/>
    <w:rsid w:val="00F6558B"/>
    <w:rsid w:val="00F67B2B"/>
    <w:rsid w:val="00F70A4C"/>
    <w:rsid w:val="00F72688"/>
    <w:rsid w:val="00F74E6A"/>
    <w:rsid w:val="00F7671D"/>
    <w:rsid w:val="00F8344B"/>
    <w:rsid w:val="00F8351B"/>
    <w:rsid w:val="00F8644E"/>
    <w:rsid w:val="00F9087E"/>
    <w:rsid w:val="00F92964"/>
    <w:rsid w:val="00F93D28"/>
    <w:rsid w:val="00F95AFE"/>
    <w:rsid w:val="00FA0B3E"/>
    <w:rsid w:val="00FA5E86"/>
    <w:rsid w:val="00FA704A"/>
    <w:rsid w:val="00FB71AE"/>
    <w:rsid w:val="00FC1F40"/>
    <w:rsid w:val="00FC537D"/>
    <w:rsid w:val="00FD11DF"/>
    <w:rsid w:val="00FD272E"/>
    <w:rsid w:val="00FD7D39"/>
    <w:rsid w:val="00FE0C3C"/>
    <w:rsid w:val="00FE3BBD"/>
    <w:rsid w:val="00FE60FD"/>
    <w:rsid w:val="00FE6EA1"/>
    <w:rsid w:val="00FF1D7B"/>
    <w:rsid w:val="00FF209F"/>
    <w:rsid w:val="00FF78BF"/>
    <w:rsid w:val="00FF7A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E91C"/>
  <w15:chartTrackingRefBased/>
  <w15:docId w15:val="{85FF5B5E-FC35-4D97-B89C-11F0037D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555C1"/>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link w:val="Ttulo3Car"/>
    <w:uiPriority w:val="9"/>
    <w:semiHidden/>
    <w:unhideWhenUsed/>
    <w:qFormat/>
    <w:rsid w:val="00A73D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F497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7A01"/>
    <w:pPr>
      <w:spacing w:after="0" w:line="240" w:lineRule="auto"/>
    </w:pPr>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D5463C"/>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D5463C"/>
    <w:rPr>
      <w:sz w:val="20"/>
      <w:szCs w:val="20"/>
    </w:rPr>
  </w:style>
  <w:style w:type="character" w:styleId="Refdenotaalpie">
    <w:name w:val="footnote reference"/>
    <w:aliases w:val="Texto de nota al pie,Appel note de bas de page,Footnotes refss,f,Footnote number,referencia nota al pie,BVI fnr,4_G,16 Point,Superscript 6 Point,Footnote Reference Char3,Footnote Reference Char1 Char,Footnote Reference Char Char Char"/>
    <w:basedOn w:val="Fuentedeprrafopredeter"/>
    <w:uiPriority w:val="99"/>
    <w:unhideWhenUsed/>
    <w:qFormat/>
    <w:rsid w:val="00D5463C"/>
    <w:rPr>
      <w:vertAlign w:val="superscript"/>
    </w:rPr>
  </w:style>
  <w:style w:type="paragraph" w:styleId="Prrafodelista">
    <w:name w:val="List Paragraph"/>
    <w:basedOn w:val="Normal"/>
    <w:link w:val="PrrafodelistaCar"/>
    <w:qFormat/>
    <w:rsid w:val="000242D2"/>
    <w:pPr>
      <w:ind w:left="720"/>
      <w:contextualSpacing/>
    </w:pPr>
  </w:style>
  <w:style w:type="character" w:styleId="Hipervnculo">
    <w:name w:val="Hyperlink"/>
    <w:basedOn w:val="Fuentedeprrafopredeter"/>
    <w:uiPriority w:val="99"/>
    <w:unhideWhenUsed/>
    <w:rsid w:val="003376A7"/>
    <w:rPr>
      <w:color w:val="0000FF"/>
      <w:u w:val="single"/>
    </w:rPr>
  </w:style>
  <w:style w:type="character" w:styleId="Textoennegrita">
    <w:name w:val="Strong"/>
    <w:basedOn w:val="Fuentedeprrafopredeter"/>
    <w:qFormat/>
    <w:rsid w:val="003376A7"/>
    <w:rPr>
      <w:b/>
      <w:bCs/>
    </w:rPr>
  </w:style>
  <w:style w:type="table" w:styleId="Tablaconcuadrcula">
    <w:name w:val="Table Grid"/>
    <w:basedOn w:val="Tablanormal"/>
    <w:uiPriority w:val="39"/>
    <w:rsid w:val="00254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B3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3F5F"/>
    <w:rPr>
      <w:rFonts w:ascii="Segoe UI" w:hAnsi="Segoe UI" w:cs="Segoe UI"/>
      <w:sz w:val="18"/>
      <w:szCs w:val="18"/>
    </w:rPr>
  </w:style>
  <w:style w:type="paragraph" w:styleId="Encabezado">
    <w:name w:val="header"/>
    <w:basedOn w:val="Normal"/>
    <w:link w:val="EncabezadoCar"/>
    <w:uiPriority w:val="99"/>
    <w:unhideWhenUsed/>
    <w:rsid w:val="002712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2EB"/>
  </w:style>
  <w:style w:type="paragraph" w:styleId="Piedepgina">
    <w:name w:val="footer"/>
    <w:basedOn w:val="Normal"/>
    <w:link w:val="PiedepginaCar"/>
    <w:uiPriority w:val="99"/>
    <w:unhideWhenUsed/>
    <w:rsid w:val="002712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2EB"/>
  </w:style>
  <w:style w:type="character" w:styleId="Nmerodelnea">
    <w:name w:val="line number"/>
    <w:basedOn w:val="Fuentedeprrafopredeter"/>
    <w:uiPriority w:val="99"/>
    <w:semiHidden/>
    <w:unhideWhenUsed/>
    <w:rsid w:val="009A3509"/>
  </w:style>
  <w:style w:type="paragraph" w:styleId="TDC1">
    <w:name w:val="toc 1"/>
    <w:basedOn w:val="Normal"/>
    <w:next w:val="Normal"/>
    <w:autoRedefine/>
    <w:uiPriority w:val="39"/>
    <w:unhideWhenUsed/>
    <w:rsid w:val="00B82875"/>
    <w:pPr>
      <w:tabs>
        <w:tab w:val="left" w:pos="660"/>
        <w:tab w:val="left" w:pos="1100"/>
        <w:tab w:val="right" w:leader="dot" w:pos="7795"/>
      </w:tabs>
      <w:spacing w:before="40" w:after="40" w:line="240" w:lineRule="auto"/>
      <w:ind w:left="709" w:right="1041"/>
      <w:jc w:val="both"/>
    </w:pPr>
  </w:style>
  <w:style w:type="character" w:styleId="Refdecomentario">
    <w:name w:val="annotation reference"/>
    <w:basedOn w:val="Fuentedeprrafopredeter"/>
    <w:uiPriority w:val="99"/>
    <w:semiHidden/>
    <w:unhideWhenUsed/>
    <w:rsid w:val="00592B07"/>
    <w:rPr>
      <w:sz w:val="16"/>
      <w:szCs w:val="16"/>
    </w:rPr>
  </w:style>
  <w:style w:type="paragraph" w:styleId="Textocomentario">
    <w:name w:val="annotation text"/>
    <w:basedOn w:val="Normal"/>
    <w:link w:val="TextocomentarioCar"/>
    <w:uiPriority w:val="99"/>
    <w:unhideWhenUsed/>
    <w:rsid w:val="00592B07"/>
    <w:pPr>
      <w:spacing w:line="240" w:lineRule="auto"/>
    </w:pPr>
    <w:rPr>
      <w:sz w:val="20"/>
      <w:szCs w:val="20"/>
    </w:rPr>
  </w:style>
  <w:style w:type="character" w:customStyle="1" w:styleId="TextocomentarioCar">
    <w:name w:val="Texto comentario Car"/>
    <w:basedOn w:val="Fuentedeprrafopredeter"/>
    <w:link w:val="Textocomentario"/>
    <w:uiPriority w:val="99"/>
    <w:rsid w:val="00592B07"/>
    <w:rPr>
      <w:sz w:val="20"/>
      <w:szCs w:val="20"/>
    </w:rPr>
  </w:style>
  <w:style w:type="paragraph" w:styleId="Asuntodelcomentario">
    <w:name w:val="annotation subject"/>
    <w:basedOn w:val="Textocomentario"/>
    <w:next w:val="Textocomentario"/>
    <w:link w:val="AsuntodelcomentarioCar"/>
    <w:uiPriority w:val="99"/>
    <w:semiHidden/>
    <w:unhideWhenUsed/>
    <w:rsid w:val="00592B07"/>
    <w:rPr>
      <w:b/>
      <w:bCs/>
    </w:rPr>
  </w:style>
  <w:style w:type="character" w:customStyle="1" w:styleId="AsuntodelcomentarioCar">
    <w:name w:val="Asunto del comentario Car"/>
    <w:basedOn w:val="TextocomentarioCar"/>
    <w:link w:val="Asuntodelcomentario"/>
    <w:uiPriority w:val="99"/>
    <w:semiHidden/>
    <w:rsid w:val="00592B07"/>
    <w:rPr>
      <w:b/>
      <w:bCs/>
      <w:sz w:val="20"/>
      <w:szCs w:val="20"/>
    </w:rPr>
  </w:style>
  <w:style w:type="character" w:customStyle="1" w:styleId="Mencinsinresolver1">
    <w:name w:val="Mención sin resolver1"/>
    <w:basedOn w:val="Fuentedeprrafopredeter"/>
    <w:uiPriority w:val="99"/>
    <w:semiHidden/>
    <w:unhideWhenUsed/>
    <w:rsid w:val="000C346F"/>
    <w:rPr>
      <w:color w:val="605E5C"/>
      <w:shd w:val="clear" w:color="auto" w:fill="E1DFDD"/>
    </w:rPr>
  </w:style>
  <w:style w:type="character" w:customStyle="1" w:styleId="Ttulo2Car">
    <w:name w:val="Título 2 Car"/>
    <w:basedOn w:val="Fuentedeprrafopredeter"/>
    <w:link w:val="Ttulo2"/>
    <w:uiPriority w:val="9"/>
    <w:rsid w:val="001555C1"/>
    <w:rPr>
      <w:rFonts w:ascii="Times New Roman" w:eastAsia="Times New Roman" w:hAnsi="Times New Roman" w:cs="Times New Roman"/>
      <w:b/>
      <w:bCs/>
      <w:sz w:val="36"/>
      <w:szCs w:val="36"/>
      <w:lang w:val="es-ES" w:eastAsia="es-ES"/>
    </w:rPr>
  </w:style>
  <w:style w:type="character" w:customStyle="1" w:styleId="PrrafodelistaCar">
    <w:name w:val="Párrafo de lista Car"/>
    <w:link w:val="Prrafodelista"/>
    <w:rsid w:val="00036CC6"/>
  </w:style>
  <w:style w:type="character" w:customStyle="1" w:styleId="Ttulo4Car">
    <w:name w:val="Título 4 Car"/>
    <w:basedOn w:val="Fuentedeprrafopredeter"/>
    <w:link w:val="Ttulo4"/>
    <w:uiPriority w:val="9"/>
    <w:semiHidden/>
    <w:rsid w:val="004F4979"/>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semiHidden/>
    <w:rsid w:val="00A73D62"/>
    <w:rPr>
      <w:rFonts w:asciiTheme="majorHAnsi" w:eastAsiaTheme="majorEastAsia" w:hAnsiTheme="majorHAnsi" w:cstheme="majorBidi"/>
      <w:color w:val="1F4D78" w:themeColor="accent1" w:themeShade="7F"/>
      <w:sz w:val="24"/>
      <w:szCs w:val="24"/>
    </w:rPr>
  </w:style>
  <w:style w:type="paragraph" w:styleId="HTMLconformatoprevio">
    <w:name w:val="HTML Preformatted"/>
    <w:basedOn w:val="Normal"/>
    <w:link w:val="HTMLconformatoprevioCar"/>
    <w:uiPriority w:val="99"/>
    <w:unhideWhenUsed/>
    <w:rsid w:val="001A0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rsid w:val="001A0C99"/>
    <w:rPr>
      <w:rFonts w:ascii="Courier New" w:eastAsia="Times New Roman" w:hAnsi="Courier New" w:cs="Courier New"/>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1435">
      <w:bodyDiv w:val="1"/>
      <w:marLeft w:val="0"/>
      <w:marRight w:val="0"/>
      <w:marTop w:val="0"/>
      <w:marBottom w:val="0"/>
      <w:divBdr>
        <w:top w:val="none" w:sz="0" w:space="0" w:color="auto"/>
        <w:left w:val="none" w:sz="0" w:space="0" w:color="auto"/>
        <w:bottom w:val="none" w:sz="0" w:space="0" w:color="auto"/>
        <w:right w:val="none" w:sz="0" w:space="0" w:color="auto"/>
      </w:divBdr>
    </w:div>
    <w:div w:id="126706643">
      <w:bodyDiv w:val="1"/>
      <w:marLeft w:val="0"/>
      <w:marRight w:val="0"/>
      <w:marTop w:val="0"/>
      <w:marBottom w:val="0"/>
      <w:divBdr>
        <w:top w:val="none" w:sz="0" w:space="0" w:color="auto"/>
        <w:left w:val="none" w:sz="0" w:space="0" w:color="auto"/>
        <w:bottom w:val="none" w:sz="0" w:space="0" w:color="auto"/>
        <w:right w:val="none" w:sz="0" w:space="0" w:color="auto"/>
      </w:divBdr>
    </w:div>
    <w:div w:id="250086420">
      <w:bodyDiv w:val="1"/>
      <w:marLeft w:val="0"/>
      <w:marRight w:val="0"/>
      <w:marTop w:val="0"/>
      <w:marBottom w:val="0"/>
      <w:divBdr>
        <w:top w:val="none" w:sz="0" w:space="0" w:color="auto"/>
        <w:left w:val="none" w:sz="0" w:space="0" w:color="auto"/>
        <w:bottom w:val="none" w:sz="0" w:space="0" w:color="auto"/>
        <w:right w:val="none" w:sz="0" w:space="0" w:color="auto"/>
      </w:divBdr>
    </w:div>
    <w:div w:id="390270181">
      <w:bodyDiv w:val="1"/>
      <w:marLeft w:val="0"/>
      <w:marRight w:val="0"/>
      <w:marTop w:val="0"/>
      <w:marBottom w:val="0"/>
      <w:divBdr>
        <w:top w:val="none" w:sz="0" w:space="0" w:color="auto"/>
        <w:left w:val="none" w:sz="0" w:space="0" w:color="auto"/>
        <w:bottom w:val="none" w:sz="0" w:space="0" w:color="auto"/>
        <w:right w:val="none" w:sz="0" w:space="0" w:color="auto"/>
      </w:divBdr>
      <w:divsChild>
        <w:div w:id="547381880">
          <w:marLeft w:val="0"/>
          <w:marRight w:val="0"/>
          <w:marTop w:val="0"/>
          <w:marBottom w:val="0"/>
          <w:divBdr>
            <w:top w:val="none" w:sz="0" w:space="0" w:color="auto"/>
            <w:left w:val="none" w:sz="0" w:space="0" w:color="auto"/>
            <w:bottom w:val="none" w:sz="0" w:space="0" w:color="auto"/>
            <w:right w:val="none" w:sz="0" w:space="0" w:color="auto"/>
          </w:divBdr>
        </w:div>
        <w:div w:id="787775322">
          <w:marLeft w:val="0"/>
          <w:marRight w:val="0"/>
          <w:marTop w:val="0"/>
          <w:marBottom w:val="0"/>
          <w:divBdr>
            <w:top w:val="none" w:sz="0" w:space="0" w:color="auto"/>
            <w:left w:val="none" w:sz="0" w:space="0" w:color="auto"/>
            <w:bottom w:val="none" w:sz="0" w:space="0" w:color="auto"/>
            <w:right w:val="none" w:sz="0" w:space="0" w:color="auto"/>
          </w:divBdr>
        </w:div>
        <w:div w:id="1152453714">
          <w:marLeft w:val="0"/>
          <w:marRight w:val="0"/>
          <w:marTop w:val="120"/>
          <w:marBottom w:val="120"/>
          <w:divBdr>
            <w:top w:val="none" w:sz="0" w:space="0" w:color="auto"/>
            <w:left w:val="none" w:sz="0" w:space="0" w:color="auto"/>
            <w:bottom w:val="none" w:sz="0" w:space="0" w:color="auto"/>
            <w:right w:val="none" w:sz="0" w:space="0" w:color="auto"/>
          </w:divBdr>
        </w:div>
        <w:div w:id="528446924">
          <w:marLeft w:val="0"/>
          <w:marRight w:val="0"/>
          <w:marTop w:val="0"/>
          <w:marBottom w:val="0"/>
          <w:divBdr>
            <w:top w:val="none" w:sz="0" w:space="0" w:color="auto"/>
            <w:left w:val="none" w:sz="0" w:space="0" w:color="auto"/>
            <w:bottom w:val="none" w:sz="0" w:space="0" w:color="auto"/>
            <w:right w:val="none" w:sz="0" w:space="0" w:color="auto"/>
          </w:divBdr>
        </w:div>
        <w:div w:id="859121851">
          <w:marLeft w:val="0"/>
          <w:marRight w:val="0"/>
          <w:marTop w:val="0"/>
          <w:marBottom w:val="0"/>
          <w:divBdr>
            <w:top w:val="none" w:sz="0" w:space="0" w:color="auto"/>
            <w:left w:val="none" w:sz="0" w:space="0" w:color="auto"/>
            <w:bottom w:val="none" w:sz="0" w:space="0" w:color="auto"/>
            <w:right w:val="none" w:sz="0" w:space="0" w:color="auto"/>
          </w:divBdr>
        </w:div>
      </w:divsChild>
    </w:div>
    <w:div w:id="466164498">
      <w:bodyDiv w:val="1"/>
      <w:marLeft w:val="0"/>
      <w:marRight w:val="0"/>
      <w:marTop w:val="0"/>
      <w:marBottom w:val="0"/>
      <w:divBdr>
        <w:top w:val="none" w:sz="0" w:space="0" w:color="auto"/>
        <w:left w:val="none" w:sz="0" w:space="0" w:color="auto"/>
        <w:bottom w:val="none" w:sz="0" w:space="0" w:color="auto"/>
        <w:right w:val="none" w:sz="0" w:space="0" w:color="auto"/>
      </w:divBdr>
    </w:div>
    <w:div w:id="474837790">
      <w:bodyDiv w:val="1"/>
      <w:marLeft w:val="0"/>
      <w:marRight w:val="0"/>
      <w:marTop w:val="0"/>
      <w:marBottom w:val="0"/>
      <w:divBdr>
        <w:top w:val="none" w:sz="0" w:space="0" w:color="auto"/>
        <w:left w:val="none" w:sz="0" w:space="0" w:color="auto"/>
        <w:bottom w:val="none" w:sz="0" w:space="0" w:color="auto"/>
        <w:right w:val="none" w:sz="0" w:space="0" w:color="auto"/>
      </w:divBdr>
    </w:div>
    <w:div w:id="821387341">
      <w:bodyDiv w:val="1"/>
      <w:marLeft w:val="0"/>
      <w:marRight w:val="0"/>
      <w:marTop w:val="0"/>
      <w:marBottom w:val="0"/>
      <w:divBdr>
        <w:top w:val="none" w:sz="0" w:space="0" w:color="auto"/>
        <w:left w:val="none" w:sz="0" w:space="0" w:color="auto"/>
        <w:bottom w:val="none" w:sz="0" w:space="0" w:color="auto"/>
        <w:right w:val="none" w:sz="0" w:space="0" w:color="auto"/>
      </w:divBdr>
    </w:div>
    <w:div w:id="866479387">
      <w:bodyDiv w:val="1"/>
      <w:marLeft w:val="0"/>
      <w:marRight w:val="0"/>
      <w:marTop w:val="0"/>
      <w:marBottom w:val="0"/>
      <w:divBdr>
        <w:top w:val="none" w:sz="0" w:space="0" w:color="auto"/>
        <w:left w:val="none" w:sz="0" w:space="0" w:color="auto"/>
        <w:bottom w:val="none" w:sz="0" w:space="0" w:color="auto"/>
        <w:right w:val="none" w:sz="0" w:space="0" w:color="auto"/>
      </w:divBdr>
    </w:div>
    <w:div w:id="872694587">
      <w:bodyDiv w:val="1"/>
      <w:marLeft w:val="0"/>
      <w:marRight w:val="0"/>
      <w:marTop w:val="0"/>
      <w:marBottom w:val="0"/>
      <w:divBdr>
        <w:top w:val="none" w:sz="0" w:space="0" w:color="auto"/>
        <w:left w:val="none" w:sz="0" w:space="0" w:color="auto"/>
        <w:bottom w:val="none" w:sz="0" w:space="0" w:color="auto"/>
        <w:right w:val="none" w:sz="0" w:space="0" w:color="auto"/>
      </w:divBdr>
    </w:div>
    <w:div w:id="915355530">
      <w:bodyDiv w:val="1"/>
      <w:marLeft w:val="0"/>
      <w:marRight w:val="0"/>
      <w:marTop w:val="0"/>
      <w:marBottom w:val="0"/>
      <w:divBdr>
        <w:top w:val="none" w:sz="0" w:space="0" w:color="auto"/>
        <w:left w:val="none" w:sz="0" w:space="0" w:color="auto"/>
        <w:bottom w:val="none" w:sz="0" w:space="0" w:color="auto"/>
        <w:right w:val="none" w:sz="0" w:space="0" w:color="auto"/>
      </w:divBdr>
    </w:div>
    <w:div w:id="1182669542">
      <w:bodyDiv w:val="1"/>
      <w:marLeft w:val="0"/>
      <w:marRight w:val="0"/>
      <w:marTop w:val="0"/>
      <w:marBottom w:val="0"/>
      <w:divBdr>
        <w:top w:val="none" w:sz="0" w:space="0" w:color="auto"/>
        <w:left w:val="none" w:sz="0" w:space="0" w:color="auto"/>
        <w:bottom w:val="none" w:sz="0" w:space="0" w:color="auto"/>
        <w:right w:val="none" w:sz="0" w:space="0" w:color="auto"/>
      </w:divBdr>
    </w:div>
    <w:div w:id="1199197003">
      <w:bodyDiv w:val="1"/>
      <w:marLeft w:val="0"/>
      <w:marRight w:val="0"/>
      <w:marTop w:val="0"/>
      <w:marBottom w:val="0"/>
      <w:divBdr>
        <w:top w:val="none" w:sz="0" w:space="0" w:color="auto"/>
        <w:left w:val="none" w:sz="0" w:space="0" w:color="auto"/>
        <w:bottom w:val="none" w:sz="0" w:space="0" w:color="auto"/>
        <w:right w:val="none" w:sz="0" w:space="0" w:color="auto"/>
      </w:divBdr>
    </w:div>
    <w:div w:id="1524443877">
      <w:bodyDiv w:val="1"/>
      <w:marLeft w:val="0"/>
      <w:marRight w:val="0"/>
      <w:marTop w:val="0"/>
      <w:marBottom w:val="0"/>
      <w:divBdr>
        <w:top w:val="none" w:sz="0" w:space="0" w:color="auto"/>
        <w:left w:val="none" w:sz="0" w:space="0" w:color="auto"/>
        <w:bottom w:val="none" w:sz="0" w:space="0" w:color="auto"/>
        <w:right w:val="none" w:sz="0" w:space="0" w:color="auto"/>
      </w:divBdr>
    </w:div>
    <w:div w:id="1556618359">
      <w:bodyDiv w:val="1"/>
      <w:marLeft w:val="0"/>
      <w:marRight w:val="0"/>
      <w:marTop w:val="0"/>
      <w:marBottom w:val="0"/>
      <w:divBdr>
        <w:top w:val="none" w:sz="0" w:space="0" w:color="auto"/>
        <w:left w:val="none" w:sz="0" w:space="0" w:color="auto"/>
        <w:bottom w:val="none" w:sz="0" w:space="0" w:color="auto"/>
        <w:right w:val="none" w:sz="0" w:space="0" w:color="auto"/>
      </w:divBdr>
    </w:div>
    <w:div w:id="1696154751">
      <w:bodyDiv w:val="1"/>
      <w:marLeft w:val="0"/>
      <w:marRight w:val="0"/>
      <w:marTop w:val="0"/>
      <w:marBottom w:val="0"/>
      <w:divBdr>
        <w:top w:val="none" w:sz="0" w:space="0" w:color="auto"/>
        <w:left w:val="none" w:sz="0" w:space="0" w:color="auto"/>
        <w:bottom w:val="none" w:sz="0" w:space="0" w:color="auto"/>
        <w:right w:val="none" w:sz="0" w:space="0" w:color="auto"/>
      </w:divBdr>
    </w:div>
    <w:div w:id="1696930610">
      <w:bodyDiv w:val="1"/>
      <w:marLeft w:val="0"/>
      <w:marRight w:val="0"/>
      <w:marTop w:val="0"/>
      <w:marBottom w:val="0"/>
      <w:divBdr>
        <w:top w:val="none" w:sz="0" w:space="0" w:color="auto"/>
        <w:left w:val="none" w:sz="0" w:space="0" w:color="auto"/>
        <w:bottom w:val="none" w:sz="0" w:space="0" w:color="auto"/>
        <w:right w:val="none" w:sz="0" w:space="0" w:color="auto"/>
      </w:divBdr>
    </w:div>
    <w:div w:id="1755931137">
      <w:bodyDiv w:val="1"/>
      <w:marLeft w:val="0"/>
      <w:marRight w:val="0"/>
      <w:marTop w:val="0"/>
      <w:marBottom w:val="0"/>
      <w:divBdr>
        <w:top w:val="none" w:sz="0" w:space="0" w:color="auto"/>
        <w:left w:val="none" w:sz="0" w:space="0" w:color="auto"/>
        <w:bottom w:val="none" w:sz="0" w:space="0" w:color="auto"/>
        <w:right w:val="none" w:sz="0" w:space="0" w:color="auto"/>
      </w:divBdr>
    </w:div>
    <w:div w:id="1842694948">
      <w:bodyDiv w:val="1"/>
      <w:marLeft w:val="0"/>
      <w:marRight w:val="0"/>
      <w:marTop w:val="0"/>
      <w:marBottom w:val="0"/>
      <w:divBdr>
        <w:top w:val="none" w:sz="0" w:space="0" w:color="auto"/>
        <w:left w:val="none" w:sz="0" w:space="0" w:color="auto"/>
        <w:bottom w:val="none" w:sz="0" w:space="0" w:color="auto"/>
        <w:right w:val="none" w:sz="0" w:space="0" w:color="auto"/>
      </w:divBdr>
    </w:div>
    <w:div w:id="18524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mpo.com.uy/bases/codigo-penal/9155-1933" TargetMode="External"/><Relationship Id="rId2" Type="http://schemas.openxmlformats.org/officeDocument/2006/relationships/hyperlink" Target="http://www.corteidh.or.cr/docs/supervisiones/gelman_20_03_13.pdf" TargetMode="External"/><Relationship Id="rId1" Type="http://schemas.openxmlformats.org/officeDocument/2006/relationships/hyperlink" Target="http://www.corteidh.or.cr/docs/casos/articulos/seriec_221_esp1.pdf" TargetMode="External"/><Relationship Id="rId4" Type="http://schemas.openxmlformats.org/officeDocument/2006/relationships/hyperlink" Target="https://www.impo.com.uy/bases/leyes/18026-20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C30F6-B0F2-4AB8-8502-7F256669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11633</Words>
  <Characters>63985</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2020-12-18T18:03:00Z</cp:lastPrinted>
  <dcterms:created xsi:type="dcterms:W3CDTF">2020-12-21T16:46:00Z</dcterms:created>
  <dcterms:modified xsi:type="dcterms:W3CDTF">2020-12-21T16:46:00Z</dcterms:modified>
</cp:coreProperties>
</file>