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70F1A" w14:textId="77777777" w:rsidR="00546B72" w:rsidRDefault="00546B72" w:rsidP="00ED32FF">
      <w:pPr>
        <w:jc w:val="center"/>
        <w:rPr>
          <w:rFonts w:ascii="Verdana" w:hAnsi="Verdana"/>
          <w:b/>
          <w:sz w:val="20"/>
          <w:szCs w:val="20"/>
        </w:rPr>
      </w:pPr>
    </w:p>
    <w:p w14:paraId="50A6404B" w14:textId="77777777" w:rsidR="00546B72" w:rsidRDefault="00546B72" w:rsidP="00ED32FF">
      <w:pPr>
        <w:jc w:val="center"/>
        <w:rPr>
          <w:rFonts w:ascii="Verdana" w:hAnsi="Verdana"/>
          <w:b/>
          <w:sz w:val="20"/>
          <w:szCs w:val="20"/>
        </w:rPr>
      </w:pPr>
    </w:p>
    <w:p w14:paraId="59BA2DDB" w14:textId="77777777" w:rsidR="00546B72" w:rsidRDefault="00546B72" w:rsidP="00ED32FF">
      <w:pPr>
        <w:jc w:val="center"/>
        <w:rPr>
          <w:rFonts w:ascii="Verdana" w:hAnsi="Verdana"/>
          <w:b/>
          <w:sz w:val="20"/>
          <w:szCs w:val="20"/>
        </w:rPr>
      </w:pPr>
    </w:p>
    <w:p w14:paraId="3DF6D225" w14:textId="77777777" w:rsidR="00546B72" w:rsidRDefault="00546B72" w:rsidP="00ED32FF">
      <w:pPr>
        <w:jc w:val="center"/>
        <w:rPr>
          <w:rFonts w:ascii="Verdana" w:hAnsi="Verdana"/>
          <w:b/>
          <w:sz w:val="20"/>
          <w:szCs w:val="20"/>
        </w:rPr>
      </w:pPr>
    </w:p>
    <w:p w14:paraId="5EDCB1C2" w14:textId="20454ED2" w:rsidR="00546B72" w:rsidRDefault="00546B72" w:rsidP="002A65CC">
      <w:pPr>
        <w:rPr>
          <w:rFonts w:ascii="Verdana" w:hAnsi="Verdana"/>
          <w:b/>
          <w:sz w:val="20"/>
          <w:szCs w:val="20"/>
        </w:rPr>
      </w:pPr>
    </w:p>
    <w:p w14:paraId="3319B918" w14:textId="77777777" w:rsidR="00546B72" w:rsidRDefault="00546B72" w:rsidP="00ED32FF">
      <w:pPr>
        <w:jc w:val="center"/>
        <w:rPr>
          <w:rFonts w:ascii="Verdana" w:hAnsi="Verdana"/>
          <w:b/>
          <w:sz w:val="20"/>
          <w:szCs w:val="20"/>
        </w:rPr>
      </w:pPr>
    </w:p>
    <w:p w14:paraId="23B4A9C4" w14:textId="77777777" w:rsidR="00546B72" w:rsidRDefault="00546B72" w:rsidP="00ED32FF">
      <w:pPr>
        <w:jc w:val="center"/>
        <w:rPr>
          <w:rFonts w:ascii="Verdana" w:hAnsi="Verdana"/>
          <w:b/>
          <w:sz w:val="20"/>
          <w:szCs w:val="20"/>
        </w:rPr>
      </w:pPr>
    </w:p>
    <w:p w14:paraId="6AD37B54" w14:textId="6248F38F" w:rsidR="00ED32FF" w:rsidRPr="00527BFA" w:rsidRDefault="00ED32FF" w:rsidP="00ED32FF">
      <w:pPr>
        <w:jc w:val="center"/>
        <w:rPr>
          <w:rFonts w:ascii="Verdana" w:hAnsi="Verdana"/>
          <w:b/>
          <w:sz w:val="20"/>
          <w:szCs w:val="20"/>
        </w:rPr>
      </w:pPr>
      <w:r w:rsidRPr="00527BFA">
        <w:rPr>
          <w:rFonts w:ascii="Verdana" w:hAnsi="Verdana"/>
          <w:b/>
          <w:sz w:val="20"/>
          <w:szCs w:val="20"/>
        </w:rPr>
        <w:t xml:space="preserve">RESOLUCIÓN DE LA </w:t>
      </w:r>
    </w:p>
    <w:p w14:paraId="4E2F3861" w14:textId="77777777" w:rsidR="00ED32FF" w:rsidRPr="00527BFA" w:rsidRDefault="00ED32FF" w:rsidP="00ED32FF">
      <w:pPr>
        <w:jc w:val="center"/>
        <w:rPr>
          <w:rFonts w:ascii="Verdana" w:hAnsi="Verdana"/>
          <w:b/>
          <w:sz w:val="20"/>
          <w:szCs w:val="20"/>
          <w:lang w:val="es-MX"/>
        </w:rPr>
      </w:pPr>
      <w:r w:rsidRPr="00527BFA">
        <w:rPr>
          <w:rFonts w:ascii="Verdana" w:hAnsi="Verdana"/>
          <w:b/>
          <w:sz w:val="20"/>
          <w:szCs w:val="20"/>
        </w:rPr>
        <w:t>CORTE INTERAMERICANA DE DERECHOS HUMANOS</w:t>
      </w:r>
      <w:r w:rsidRPr="00527BFA">
        <w:rPr>
          <w:rFonts w:ascii="Verdana" w:hAnsi="Verdana"/>
          <w:b/>
          <w:sz w:val="20"/>
          <w:szCs w:val="20"/>
          <w:lang w:val="es-MX"/>
        </w:rPr>
        <w:t>*</w:t>
      </w:r>
    </w:p>
    <w:p w14:paraId="0492CC9D" w14:textId="77777777" w:rsidR="00ED32FF" w:rsidRPr="00527BFA" w:rsidRDefault="00ED32FF" w:rsidP="00ED32FF">
      <w:pPr>
        <w:jc w:val="center"/>
        <w:rPr>
          <w:rFonts w:ascii="Verdana" w:hAnsi="Verdana"/>
          <w:b/>
          <w:sz w:val="20"/>
          <w:szCs w:val="20"/>
        </w:rPr>
      </w:pPr>
    </w:p>
    <w:p w14:paraId="0EC061AE" w14:textId="70C71B77" w:rsidR="00ED32FF" w:rsidRPr="00527BFA" w:rsidRDefault="00ED32FF" w:rsidP="00ED32FF">
      <w:pPr>
        <w:autoSpaceDE w:val="0"/>
        <w:autoSpaceDN w:val="0"/>
        <w:adjustRightInd w:val="0"/>
        <w:spacing w:after="120"/>
        <w:jc w:val="center"/>
        <w:rPr>
          <w:rFonts w:ascii="Verdana" w:hAnsi="Verdana" w:cs="Verdana"/>
          <w:b/>
          <w:bCs/>
          <w:sz w:val="20"/>
          <w:szCs w:val="20"/>
          <w:highlight w:val="yellow"/>
          <w:lang w:val="es-ES_tradnl"/>
        </w:rPr>
      </w:pPr>
      <w:r w:rsidRPr="00BB52F3">
        <w:rPr>
          <w:rFonts w:ascii="Verdana" w:hAnsi="Verdana" w:cs="Verdana"/>
          <w:b/>
          <w:bCs/>
          <w:sz w:val="20"/>
          <w:szCs w:val="20"/>
          <w:lang w:val="es-ES_tradnl"/>
        </w:rPr>
        <w:t xml:space="preserve">DE </w:t>
      </w:r>
      <w:r w:rsidR="00197F5C">
        <w:rPr>
          <w:rFonts w:ascii="Verdana" w:hAnsi="Verdana" w:cs="Verdana"/>
          <w:b/>
          <w:bCs/>
          <w:sz w:val="20"/>
          <w:szCs w:val="20"/>
          <w:lang w:val="es-ES_tradnl"/>
        </w:rPr>
        <w:t>18</w:t>
      </w:r>
      <w:r w:rsidR="00197F5C" w:rsidRPr="00BB52F3">
        <w:rPr>
          <w:rFonts w:ascii="Verdana" w:hAnsi="Verdana" w:cs="Verdana"/>
          <w:b/>
          <w:bCs/>
          <w:sz w:val="20"/>
          <w:szCs w:val="20"/>
          <w:lang w:val="es-ES_tradnl"/>
        </w:rPr>
        <w:t xml:space="preserve"> </w:t>
      </w:r>
      <w:r w:rsidRPr="00527BFA" w:rsidDel="00FC5076">
        <w:rPr>
          <w:rFonts w:ascii="Verdana" w:hAnsi="Verdana" w:cs="Verdana"/>
          <w:b/>
          <w:bCs/>
          <w:sz w:val="20"/>
          <w:szCs w:val="20"/>
          <w:lang w:val="es-ES_tradnl"/>
        </w:rPr>
        <w:t>D</w:t>
      </w:r>
      <w:r w:rsidRPr="00527BFA">
        <w:rPr>
          <w:rFonts w:ascii="Verdana" w:hAnsi="Verdana" w:cs="Verdana"/>
          <w:b/>
          <w:bCs/>
          <w:sz w:val="20"/>
          <w:szCs w:val="20"/>
          <w:lang w:val="es-ES_tradnl"/>
        </w:rPr>
        <w:t xml:space="preserve">E NOVIEMBRE </w:t>
      </w:r>
      <w:r w:rsidRPr="00527BFA" w:rsidDel="00FC5076">
        <w:rPr>
          <w:rFonts w:ascii="Verdana" w:hAnsi="Verdana" w:cs="Verdana"/>
          <w:b/>
          <w:bCs/>
          <w:sz w:val="20"/>
          <w:szCs w:val="20"/>
          <w:lang w:val="es-ES_tradnl"/>
        </w:rPr>
        <w:t>D</w:t>
      </w:r>
      <w:r w:rsidRPr="00527BFA">
        <w:rPr>
          <w:rFonts w:ascii="Verdana" w:hAnsi="Verdana" w:cs="Verdana"/>
          <w:b/>
          <w:bCs/>
          <w:sz w:val="20"/>
          <w:szCs w:val="20"/>
          <w:lang w:val="es-ES_tradnl"/>
        </w:rPr>
        <w:t>E 2020</w:t>
      </w:r>
    </w:p>
    <w:p w14:paraId="056FFDFF" w14:textId="77777777" w:rsidR="00ED32FF" w:rsidRPr="00527BFA" w:rsidRDefault="00ED32FF" w:rsidP="00ED32FF">
      <w:pPr>
        <w:autoSpaceDE w:val="0"/>
        <w:autoSpaceDN w:val="0"/>
        <w:adjustRightInd w:val="0"/>
        <w:spacing w:after="120"/>
        <w:jc w:val="center"/>
        <w:rPr>
          <w:rFonts w:ascii="Verdana" w:hAnsi="Verdana" w:cs="Verdana"/>
          <w:b/>
          <w:bCs/>
          <w:i/>
          <w:sz w:val="20"/>
          <w:szCs w:val="20"/>
          <w:lang w:val="es-ES_tradnl"/>
        </w:rPr>
      </w:pPr>
      <w:r w:rsidRPr="00527BFA">
        <w:rPr>
          <w:rFonts w:ascii="Verdana" w:hAnsi="Verdana" w:cs="Verdana"/>
          <w:b/>
          <w:bCs/>
          <w:i/>
          <w:sz w:val="20"/>
          <w:szCs w:val="20"/>
          <w:lang w:val="es-ES_tradnl"/>
        </w:rPr>
        <w:t>CASO DE LA MASACRE DE PUEBLO BELLO VS. COLOMBIA</w:t>
      </w:r>
    </w:p>
    <w:p w14:paraId="346FD270" w14:textId="77777777" w:rsidR="00ED32FF" w:rsidRPr="00527BFA" w:rsidRDefault="00ED32FF" w:rsidP="00ED32FF">
      <w:pPr>
        <w:autoSpaceDE w:val="0"/>
        <w:autoSpaceDN w:val="0"/>
        <w:adjustRightInd w:val="0"/>
        <w:spacing w:after="120"/>
        <w:jc w:val="center"/>
        <w:rPr>
          <w:rFonts w:ascii="Verdana" w:hAnsi="Verdana" w:cs="Verdana"/>
          <w:b/>
          <w:bCs/>
          <w:sz w:val="20"/>
          <w:szCs w:val="20"/>
          <w:lang w:val="es-ES_tradnl"/>
        </w:rPr>
      </w:pPr>
      <w:r w:rsidRPr="00527BFA">
        <w:rPr>
          <w:rFonts w:ascii="Verdana" w:hAnsi="Verdana" w:cs="Verdana"/>
          <w:b/>
          <w:bCs/>
          <w:sz w:val="20"/>
          <w:szCs w:val="20"/>
          <w:lang w:val="es-ES_tradnl"/>
        </w:rPr>
        <w:t>SUPERVISIÓN DE CUMPLIMIENTO DE SENTENCIA</w:t>
      </w:r>
    </w:p>
    <w:p w14:paraId="121C6BC2" w14:textId="77777777" w:rsidR="006152B7" w:rsidRDefault="006152B7" w:rsidP="00ED32FF">
      <w:pPr>
        <w:spacing w:before="120" w:after="120"/>
        <w:rPr>
          <w:rFonts w:ascii="Verdana" w:hAnsi="Verdana"/>
          <w:b/>
          <w:sz w:val="20"/>
          <w:szCs w:val="20"/>
        </w:rPr>
      </w:pPr>
    </w:p>
    <w:p w14:paraId="43A6FEA1" w14:textId="7CA2F19F" w:rsidR="00ED32FF" w:rsidRPr="00527BFA" w:rsidRDefault="00ED32FF" w:rsidP="00ED32FF">
      <w:pPr>
        <w:spacing w:before="120" w:after="120"/>
        <w:rPr>
          <w:rFonts w:ascii="Verdana" w:hAnsi="Verdana"/>
          <w:b/>
          <w:sz w:val="20"/>
          <w:szCs w:val="20"/>
        </w:rPr>
      </w:pPr>
      <w:r w:rsidRPr="00527BFA">
        <w:rPr>
          <w:rFonts w:ascii="Verdana" w:hAnsi="Verdana"/>
          <w:b/>
          <w:sz w:val="20"/>
          <w:szCs w:val="20"/>
        </w:rPr>
        <w:t>VISTO:</w:t>
      </w:r>
    </w:p>
    <w:p w14:paraId="78833157" w14:textId="7B42E526" w:rsidR="009E6DC2" w:rsidRPr="00527BFA" w:rsidRDefault="00ED32FF"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20"/>
          <w:szCs w:val="20"/>
          <w:lang w:val="es-ES_tradnl"/>
        </w:rPr>
      </w:pPr>
      <w:bookmarkStart w:id="0" w:name="_Ref26777377"/>
      <w:r w:rsidRPr="00527BFA">
        <w:rPr>
          <w:rFonts w:ascii="Verdana" w:hAnsi="Verdana"/>
          <w:sz w:val="20"/>
          <w:szCs w:val="20"/>
        </w:rPr>
        <w:t xml:space="preserve">La Sentencia de fondo, reparaciones y costas (en adelante “la Sentencia” o “el Fallo”) dictada por la Corte Interamericana de Derechos Humanos (en adelante “la Corte Interamericana”, “la Corte” o “el Tribunal”) el </w:t>
      </w:r>
      <w:r w:rsidR="009E6DC2" w:rsidRPr="00527BFA">
        <w:rPr>
          <w:rFonts w:ascii="Verdana" w:hAnsi="Verdana"/>
          <w:sz w:val="20"/>
          <w:szCs w:val="20"/>
        </w:rPr>
        <w:t>31</w:t>
      </w:r>
      <w:r w:rsidRPr="00527BFA">
        <w:rPr>
          <w:rFonts w:ascii="Verdana" w:hAnsi="Verdana"/>
          <w:sz w:val="20"/>
          <w:szCs w:val="20"/>
        </w:rPr>
        <w:t xml:space="preserve"> de </w:t>
      </w:r>
      <w:r w:rsidR="009E6DC2" w:rsidRPr="00527BFA">
        <w:rPr>
          <w:rFonts w:ascii="Verdana" w:hAnsi="Verdana"/>
          <w:sz w:val="20"/>
          <w:szCs w:val="20"/>
        </w:rPr>
        <w:t>enero</w:t>
      </w:r>
      <w:r w:rsidRPr="00527BFA">
        <w:rPr>
          <w:rFonts w:ascii="Verdana" w:hAnsi="Verdana"/>
          <w:sz w:val="20"/>
          <w:szCs w:val="20"/>
        </w:rPr>
        <w:t xml:space="preserve"> de </w:t>
      </w:r>
      <w:r w:rsidR="009E6DC2" w:rsidRPr="00527BFA">
        <w:rPr>
          <w:rFonts w:ascii="Verdana" w:hAnsi="Verdana"/>
          <w:sz w:val="20"/>
          <w:szCs w:val="20"/>
        </w:rPr>
        <w:t>2006</w:t>
      </w:r>
      <w:r w:rsidRPr="00527BFA">
        <w:rPr>
          <w:rStyle w:val="Refdenotaalpie"/>
          <w:rFonts w:ascii="Verdana" w:hAnsi="Verdana"/>
          <w:sz w:val="20"/>
          <w:szCs w:val="20"/>
        </w:rPr>
        <w:footnoteReference w:id="1"/>
      </w:r>
      <w:r w:rsidRPr="00527BFA">
        <w:rPr>
          <w:rFonts w:ascii="Verdana" w:hAnsi="Verdana"/>
          <w:sz w:val="20"/>
          <w:szCs w:val="20"/>
        </w:rPr>
        <w:t>.</w:t>
      </w:r>
      <w:bookmarkEnd w:id="0"/>
      <w:r w:rsidR="009E6DC2" w:rsidRPr="00527BFA">
        <w:rPr>
          <w:rFonts w:ascii="Verdana" w:hAnsi="Verdana"/>
          <w:sz w:val="20"/>
          <w:szCs w:val="20"/>
        </w:rPr>
        <w:t xml:space="preserve"> La Corte declaró la responsabilidad internacional de la República de Colombia (en adelante “</w:t>
      </w:r>
      <w:r w:rsidR="009E6DC2" w:rsidRPr="00527BFA">
        <w:rPr>
          <w:rFonts w:ascii="Verdana" w:hAnsi="Verdana"/>
          <w:sz w:val="20"/>
          <w:szCs w:val="20"/>
          <w:lang w:val="es-ES_tradnl"/>
        </w:rPr>
        <w:t>Colombia</w:t>
      </w:r>
      <w:r w:rsidR="009E6DC2" w:rsidRPr="00527BFA">
        <w:rPr>
          <w:rFonts w:ascii="Verdana" w:hAnsi="Verdana"/>
          <w:sz w:val="20"/>
          <w:szCs w:val="20"/>
        </w:rPr>
        <w:t>” o “el Estado”) por la violación de los derechos a la vida, a la integridad personal y a la libertad personal, en perjuicio de</w:t>
      </w:r>
      <w:r w:rsidR="00067FD7">
        <w:rPr>
          <w:rFonts w:ascii="Verdana" w:hAnsi="Verdana"/>
          <w:sz w:val="20"/>
          <w:szCs w:val="20"/>
        </w:rPr>
        <w:t xml:space="preserve"> </w:t>
      </w:r>
      <w:r w:rsidR="0003095C">
        <w:rPr>
          <w:rFonts w:ascii="Verdana" w:hAnsi="Verdana"/>
          <w:sz w:val="20"/>
          <w:szCs w:val="20"/>
        </w:rPr>
        <w:t>37</w:t>
      </w:r>
      <w:r w:rsidR="00067FD7">
        <w:rPr>
          <w:rFonts w:ascii="Verdana" w:hAnsi="Verdana"/>
          <w:sz w:val="20"/>
          <w:szCs w:val="20"/>
        </w:rPr>
        <w:t xml:space="preserve"> personas que fueron víctimas de desaparición forzada</w:t>
      </w:r>
      <w:r w:rsidR="00AD0DAE">
        <w:rPr>
          <w:rStyle w:val="Refdenotaalpie"/>
          <w:rFonts w:ascii="Verdana" w:hAnsi="Verdana"/>
          <w:sz w:val="20"/>
          <w:szCs w:val="20"/>
        </w:rPr>
        <w:footnoteReference w:id="2"/>
      </w:r>
      <w:r w:rsidR="00067FD7">
        <w:rPr>
          <w:rFonts w:ascii="Verdana" w:hAnsi="Verdana"/>
          <w:sz w:val="20"/>
          <w:szCs w:val="20"/>
        </w:rPr>
        <w:t xml:space="preserve"> y </w:t>
      </w:r>
      <w:r w:rsidR="0003095C">
        <w:rPr>
          <w:rFonts w:ascii="Verdana" w:hAnsi="Verdana"/>
          <w:sz w:val="20"/>
          <w:szCs w:val="20"/>
        </w:rPr>
        <w:t>6</w:t>
      </w:r>
      <w:r w:rsidR="00067FD7">
        <w:rPr>
          <w:rFonts w:ascii="Verdana" w:hAnsi="Verdana"/>
          <w:sz w:val="20"/>
          <w:szCs w:val="20"/>
        </w:rPr>
        <w:t xml:space="preserve"> personas que fueron víctimas de ejecución extrajudicial</w:t>
      </w:r>
      <w:r w:rsidR="00AD0DAE">
        <w:rPr>
          <w:rStyle w:val="Refdenotaalpie"/>
          <w:rFonts w:ascii="Verdana" w:hAnsi="Verdana"/>
          <w:sz w:val="20"/>
          <w:szCs w:val="20"/>
        </w:rPr>
        <w:footnoteReference w:id="3"/>
      </w:r>
      <w:r w:rsidR="0003095C">
        <w:rPr>
          <w:rFonts w:ascii="Verdana" w:hAnsi="Verdana"/>
          <w:sz w:val="20"/>
          <w:szCs w:val="20"/>
        </w:rPr>
        <w:t xml:space="preserve">, </w:t>
      </w:r>
      <w:r w:rsidR="0003095C" w:rsidRPr="0003095C">
        <w:rPr>
          <w:rFonts w:ascii="Verdana" w:hAnsi="Verdana"/>
          <w:sz w:val="20"/>
          <w:szCs w:val="20"/>
        </w:rPr>
        <w:t xml:space="preserve">debido a que </w:t>
      </w:r>
      <w:r w:rsidR="0003095C" w:rsidRPr="0003095C">
        <w:rPr>
          <w:rFonts w:ascii="Verdana" w:hAnsi="Verdana"/>
          <w:sz w:val="20"/>
          <w:szCs w:val="20"/>
          <w:lang w:val="es-ES_tradnl"/>
        </w:rPr>
        <w:t xml:space="preserve">incumplió </w:t>
      </w:r>
      <w:r w:rsidR="00B33704">
        <w:rPr>
          <w:rFonts w:ascii="Verdana" w:hAnsi="Verdana"/>
          <w:sz w:val="20"/>
          <w:szCs w:val="20"/>
          <w:lang w:val="es-ES_tradnl"/>
        </w:rPr>
        <w:t>su obligación de garantizar esos derechos</w:t>
      </w:r>
      <w:r w:rsidR="003B3BDD">
        <w:rPr>
          <w:rFonts w:ascii="Verdana" w:hAnsi="Verdana"/>
          <w:sz w:val="20"/>
          <w:szCs w:val="20"/>
          <w:lang w:val="es-ES_tradnl"/>
        </w:rPr>
        <w:t>,</w:t>
      </w:r>
      <w:r w:rsidR="00B33704">
        <w:rPr>
          <w:rFonts w:ascii="Verdana" w:hAnsi="Verdana"/>
          <w:sz w:val="20"/>
          <w:szCs w:val="20"/>
          <w:lang w:val="es-ES_tradnl"/>
        </w:rPr>
        <w:t xml:space="preserve"> al haber faltado a los </w:t>
      </w:r>
      <w:r w:rsidR="0003095C" w:rsidRPr="0003095C">
        <w:rPr>
          <w:rFonts w:ascii="Verdana" w:hAnsi="Verdana"/>
          <w:sz w:val="20"/>
          <w:szCs w:val="20"/>
          <w:lang w:val="es-ES_tradnl"/>
        </w:rPr>
        <w:t>deberes de prevención, protección e investigación</w:t>
      </w:r>
      <w:r w:rsidR="00067FD7" w:rsidRPr="0003095C">
        <w:rPr>
          <w:rFonts w:ascii="Verdana" w:hAnsi="Verdana"/>
          <w:sz w:val="20"/>
          <w:szCs w:val="20"/>
        </w:rPr>
        <w:t xml:space="preserve">. </w:t>
      </w:r>
      <w:r w:rsidR="00067FD7">
        <w:rPr>
          <w:rFonts w:ascii="Verdana" w:hAnsi="Verdana"/>
          <w:sz w:val="20"/>
          <w:szCs w:val="20"/>
        </w:rPr>
        <w:t xml:space="preserve">Tales violaciones fueron perpetradas en </w:t>
      </w:r>
      <w:r w:rsidR="00D01CDE">
        <w:rPr>
          <w:rFonts w:ascii="Verdana" w:hAnsi="Verdana"/>
          <w:sz w:val="20"/>
          <w:szCs w:val="20"/>
        </w:rPr>
        <w:t xml:space="preserve">el corregimiento de </w:t>
      </w:r>
      <w:r w:rsidR="00D70137" w:rsidRPr="00527BFA">
        <w:rPr>
          <w:rFonts w:ascii="Verdana" w:hAnsi="Verdana"/>
          <w:sz w:val="20"/>
          <w:szCs w:val="20"/>
        </w:rPr>
        <w:t>Pueblo Bello</w:t>
      </w:r>
      <w:r w:rsidR="00D01CDE">
        <w:rPr>
          <w:rFonts w:ascii="Verdana" w:hAnsi="Verdana"/>
          <w:sz w:val="20"/>
          <w:szCs w:val="20"/>
        </w:rPr>
        <w:t>, en el Departamento de Antioquía,</w:t>
      </w:r>
      <w:r w:rsidR="00D70137" w:rsidRPr="00527BFA">
        <w:rPr>
          <w:rFonts w:ascii="Verdana" w:hAnsi="Verdana"/>
          <w:sz w:val="20"/>
          <w:szCs w:val="20"/>
        </w:rPr>
        <w:t xml:space="preserve"> por parte de </w:t>
      </w:r>
      <w:r w:rsidR="00D01CDE">
        <w:rPr>
          <w:rFonts w:ascii="Verdana" w:hAnsi="Verdana"/>
          <w:sz w:val="20"/>
          <w:szCs w:val="20"/>
        </w:rPr>
        <w:t xml:space="preserve">aproximadamente sesenta miembros de </w:t>
      </w:r>
      <w:r w:rsidR="008D04F3">
        <w:rPr>
          <w:rFonts w:ascii="Verdana" w:hAnsi="Verdana"/>
          <w:sz w:val="20"/>
          <w:szCs w:val="20"/>
        </w:rPr>
        <w:t xml:space="preserve">un </w:t>
      </w:r>
      <w:r w:rsidR="00D70137" w:rsidRPr="00527BFA">
        <w:rPr>
          <w:rFonts w:ascii="Verdana" w:hAnsi="Verdana"/>
          <w:sz w:val="20"/>
          <w:szCs w:val="20"/>
        </w:rPr>
        <w:t xml:space="preserve">grupo paramilitar los días </w:t>
      </w:r>
      <w:r w:rsidR="00D70137" w:rsidRPr="00527BFA">
        <w:rPr>
          <w:rFonts w:ascii="Verdana" w:hAnsi="Verdana"/>
          <w:sz w:val="20"/>
          <w:szCs w:val="20"/>
          <w:lang w:val="es-ES_tradnl"/>
        </w:rPr>
        <w:t>14 y 15 de enero de 1990</w:t>
      </w:r>
      <w:r w:rsidR="00D01CDE">
        <w:rPr>
          <w:rFonts w:ascii="Verdana" w:hAnsi="Verdana"/>
          <w:sz w:val="20"/>
          <w:szCs w:val="20"/>
        </w:rPr>
        <w:t xml:space="preserve">. </w:t>
      </w:r>
      <w:r w:rsidR="000507C9">
        <w:rPr>
          <w:rFonts w:ascii="Verdana" w:hAnsi="Verdana"/>
          <w:sz w:val="20"/>
          <w:szCs w:val="20"/>
        </w:rPr>
        <w:t>En particular, l</w:t>
      </w:r>
      <w:r w:rsidR="000507C9">
        <w:rPr>
          <w:rFonts w:ascii="Verdana" w:hAnsi="Verdana"/>
          <w:sz w:val="20"/>
          <w:szCs w:val="20"/>
          <w:lang w:val="es-ES_tradnl"/>
        </w:rPr>
        <w:t xml:space="preserve">a Corte consideró que, si bien la masacre fue “organizada y perpetrada por miembros de grupos paramilitares, aquélla no habría podido ejecutarse si hubiere existido protección </w:t>
      </w:r>
      <w:r w:rsidR="000507C9">
        <w:rPr>
          <w:rFonts w:ascii="Verdana" w:hAnsi="Verdana"/>
          <w:sz w:val="20"/>
          <w:szCs w:val="20"/>
          <w:lang w:val="es-ES_tradnl"/>
        </w:rPr>
        <w:lastRenderedPageBreak/>
        <w:t>efectiva de la población civil en una situación de riesgo razonablemente previsible por parte de miembros de las Fuerzas Armadas o de seguridad del Estado”</w:t>
      </w:r>
      <w:r w:rsidR="000507C9">
        <w:rPr>
          <w:rStyle w:val="Refdenotaalpie"/>
          <w:rFonts w:ascii="Verdana" w:hAnsi="Verdana"/>
          <w:sz w:val="20"/>
          <w:szCs w:val="20"/>
          <w:lang w:val="es-ES_tradnl"/>
        </w:rPr>
        <w:footnoteReference w:id="4"/>
      </w:r>
      <w:r w:rsidR="000507C9">
        <w:rPr>
          <w:rFonts w:ascii="Verdana" w:hAnsi="Verdana"/>
          <w:sz w:val="20"/>
          <w:szCs w:val="20"/>
          <w:lang w:val="es-ES_tradnl"/>
        </w:rPr>
        <w:t xml:space="preserve">. A este respecto, la Corte </w:t>
      </w:r>
      <w:r w:rsidR="000507C9">
        <w:rPr>
          <w:rFonts w:ascii="Verdana" w:hAnsi="Verdana"/>
          <w:sz w:val="20"/>
        </w:rPr>
        <w:t xml:space="preserve">consideró que la responsabilidad por los actos realizados por este grupo paramilitar </w:t>
      </w:r>
      <w:r w:rsidR="000507C9">
        <w:rPr>
          <w:rFonts w:ascii="Verdana" w:hAnsi="Verdana"/>
          <w:color w:val="000000"/>
          <w:sz w:val="20"/>
        </w:rPr>
        <w:t>es atribuible al Estado “en la medida en que éste no adoptó diligentemente las medidas</w:t>
      </w:r>
      <w:r w:rsidR="000507C9">
        <w:rPr>
          <w:rFonts w:ascii="Verdana" w:hAnsi="Verdana"/>
          <w:sz w:val="20"/>
          <w:szCs w:val="20"/>
          <w:lang w:val="es-ES_tradnl"/>
        </w:rPr>
        <w:t xml:space="preserve"> </w:t>
      </w:r>
      <w:r w:rsidR="000507C9">
        <w:rPr>
          <w:rFonts w:ascii="Verdana" w:hAnsi="Verdana"/>
          <w:color w:val="000000"/>
          <w:sz w:val="20"/>
        </w:rPr>
        <w:t>necesarias</w:t>
      </w:r>
      <w:r w:rsidR="000507C9">
        <w:rPr>
          <w:rFonts w:ascii="Verdana" w:hAnsi="Verdana"/>
          <w:sz w:val="20"/>
        </w:rPr>
        <w:t xml:space="preserve"> para proteger a la población civil”</w:t>
      </w:r>
      <w:r w:rsidR="000507C9">
        <w:rPr>
          <w:rStyle w:val="Refdenotaalpie"/>
          <w:rFonts w:ascii="Verdana" w:hAnsi="Verdana"/>
          <w:sz w:val="20"/>
        </w:rPr>
        <w:footnoteReference w:id="5"/>
      </w:r>
      <w:r w:rsidR="000507C9">
        <w:rPr>
          <w:rFonts w:ascii="Verdana" w:hAnsi="Verdana"/>
          <w:sz w:val="20"/>
        </w:rPr>
        <w:t xml:space="preserve">. </w:t>
      </w:r>
      <w:r w:rsidR="00067FD7" w:rsidRPr="00527BFA">
        <w:rPr>
          <w:rFonts w:ascii="Verdana" w:hAnsi="Verdana"/>
          <w:sz w:val="20"/>
          <w:szCs w:val="20"/>
        </w:rPr>
        <w:t xml:space="preserve">Asimismo, el Tribunal declaró </w:t>
      </w:r>
      <w:r w:rsidR="00067FD7">
        <w:rPr>
          <w:rFonts w:ascii="Verdana" w:hAnsi="Verdana"/>
          <w:sz w:val="20"/>
          <w:szCs w:val="20"/>
        </w:rPr>
        <w:t>la</w:t>
      </w:r>
      <w:r w:rsidR="00067FD7" w:rsidRPr="00527BFA">
        <w:rPr>
          <w:rFonts w:ascii="Verdana" w:hAnsi="Verdana"/>
          <w:sz w:val="20"/>
          <w:szCs w:val="20"/>
        </w:rPr>
        <w:t xml:space="preserve"> </w:t>
      </w:r>
      <w:r w:rsidR="00067FD7" w:rsidRPr="00527BFA">
        <w:rPr>
          <w:rFonts w:ascii="Verdana" w:hAnsi="Verdana"/>
          <w:sz w:val="20"/>
          <w:szCs w:val="20"/>
          <w:lang w:val="es-ES_tradnl"/>
        </w:rPr>
        <w:t>responsabilidad</w:t>
      </w:r>
      <w:r w:rsidR="00067FD7" w:rsidRPr="00527BFA">
        <w:rPr>
          <w:rFonts w:ascii="Verdana" w:hAnsi="Verdana"/>
          <w:sz w:val="20"/>
          <w:szCs w:val="20"/>
        </w:rPr>
        <w:t xml:space="preserve"> </w:t>
      </w:r>
      <w:r w:rsidR="00067FD7">
        <w:rPr>
          <w:rFonts w:ascii="Verdana" w:hAnsi="Verdana"/>
          <w:sz w:val="20"/>
          <w:szCs w:val="20"/>
        </w:rPr>
        <w:t xml:space="preserve">internacional de Colombia </w:t>
      </w:r>
      <w:r w:rsidR="00067FD7" w:rsidRPr="00527BFA">
        <w:rPr>
          <w:rFonts w:ascii="Verdana" w:hAnsi="Verdana"/>
          <w:sz w:val="20"/>
          <w:szCs w:val="20"/>
        </w:rPr>
        <w:t xml:space="preserve">por la violación del derecho a la integridad personal, garantías judiciales y protección judicial de los familiares de </w:t>
      </w:r>
      <w:r w:rsidR="00067FD7">
        <w:rPr>
          <w:rFonts w:ascii="Verdana" w:hAnsi="Verdana"/>
          <w:sz w:val="20"/>
          <w:szCs w:val="20"/>
        </w:rPr>
        <w:t>dichas personas</w:t>
      </w:r>
      <w:r w:rsidR="00067FD7" w:rsidRPr="00527BFA">
        <w:rPr>
          <w:rFonts w:ascii="Verdana" w:hAnsi="Verdana"/>
          <w:sz w:val="20"/>
          <w:szCs w:val="20"/>
        </w:rPr>
        <w:t xml:space="preserve">. </w:t>
      </w:r>
      <w:r w:rsidR="00D70137" w:rsidRPr="00527BFA">
        <w:rPr>
          <w:rFonts w:ascii="Verdana" w:hAnsi="Verdana"/>
          <w:sz w:val="20"/>
        </w:rPr>
        <w:t>El Tribunal estableció que su Sentencia constituye por sí misma una forma de reparación y ordenó al Estado la adopción de diversas medidas de reparación adicionales (</w:t>
      </w:r>
      <w:r w:rsidR="00D70137" w:rsidRPr="00527BFA">
        <w:rPr>
          <w:rFonts w:ascii="Verdana" w:hAnsi="Verdana"/>
          <w:i/>
          <w:sz w:val="20"/>
        </w:rPr>
        <w:t>infra</w:t>
      </w:r>
      <w:r w:rsidR="00D70137" w:rsidRPr="00527BFA">
        <w:rPr>
          <w:rFonts w:ascii="Verdana" w:hAnsi="Verdana"/>
          <w:sz w:val="20"/>
        </w:rPr>
        <w:t xml:space="preserve"> Considerando </w:t>
      </w:r>
      <w:r w:rsidR="00BE6318">
        <w:rPr>
          <w:rFonts w:ascii="Verdana" w:hAnsi="Verdana"/>
          <w:sz w:val="20"/>
        </w:rPr>
        <w:t>1</w:t>
      </w:r>
      <w:r w:rsidR="003B3BDD">
        <w:rPr>
          <w:rFonts w:ascii="Verdana" w:hAnsi="Verdana"/>
          <w:sz w:val="20"/>
        </w:rPr>
        <w:t>).</w:t>
      </w:r>
    </w:p>
    <w:p w14:paraId="5C08C20D" w14:textId="77777777" w:rsidR="009E6DC2" w:rsidRPr="00527BFA" w:rsidRDefault="009E6DC2" w:rsidP="009E6DC2">
      <w:pPr>
        <w:widowControl w:val="0"/>
        <w:tabs>
          <w:tab w:val="left" w:pos="567"/>
          <w:tab w:val="num" w:pos="12305"/>
        </w:tabs>
        <w:adjustRightInd w:val="0"/>
        <w:jc w:val="both"/>
        <w:textAlignment w:val="baseline"/>
        <w:rPr>
          <w:rFonts w:ascii="Verdana" w:hAnsi="Verdana"/>
          <w:sz w:val="20"/>
          <w:szCs w:val="20"/>
          <w:lang w:val="es-ES_tradnl"/>
        </w:rPr>
      </w:pPr>
    </w:p>
    <w:p w14:paraId="570958D8" w14:textId="1E386FB9" w:rsidR="008C3B7F" w:rsidRPr="00527BFA" w:rsidRDefault="008C3B7F"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 xml:space="preserve">La Sentencia de interpretación de la Sentencia de fondo, reparaciones y costas, emitida por la Corte </w:t>
      </w:r>
      <w:r w:rsidRPr="00527BFA">
        <w:rPr>
          <w:rFonts w:ascii="Verdana" w:hAnsi="Verdana" w:cs="Verdana"/>
          <w:sz w:val="20"/>
          <w:szCs w:val="20"/>
          <w:lang w:val="es-ES_tradnl"/>
        </w:rPr>
        <w:t>el 25 de noviembre de 2006</w:t>
      </w:r>
      <w:r w:rsidR="000629E2">
        <w:rPr>
          <w:rFonts w:ascii="Verdana" w:hAnsi="Verdana" w:cs="Verdana"/>
          <w:sz w:val="20"/>
          <w:szCs w:val="20"/>
          <w:lang w:val="es-ES_tradnl"/>
        </w:rPr>
        <w:t xml:space="preserve"> </w:t>
      </w:r>
      <w:r w:rsidRPr="00527BFA">
        <w:rPr>
          <w:rFonts w:ascii="Verdana" w:hAnsi="Verdana" w:cs="Verdana"/>
          <w:sz w:val="20"/>
          <w:szCs w:val="20"/>
          <w:lang w:val="es-ES_tradnl"/>
        </w:rPr>
        <w:t xml:space="preserve">(en adelante “la Sentencia de interpretación”), </w:t>
      </w:r>
      <w:r w:rsidRPr="00527BFA">
        <w:rPr>
          <w:rFonts w:ascii="Verdana" w:hAnsi="Verdana"/>
          <w:sz w:val="20"/>
          <w:szCs w:val="20"/>
        </w:rPr>
        <w:t xml:space="preserve">en la cual </w:t>
      </w:r>
      <w:r w:rsidR="00D70137" w:rsidRPr="00527BFA">
        <w:rPr>
          <w:rFonts w:ascii="Verdana" w:hAnsi="Verdana"/>
          <w:sz w:val="20"/>
          <w:szCs w:val="20"/>
        </w:rPr>
        <w:t>el Tribunal se</w:t>
      </w:r>
      <w:r w:rsidRPr="00527BFA">
        <w:rPr>
          <w:rFonts w:ascii="Verdana" w:hAnsi="Verdana"/>
          <w:sz w:val="20"/>
          <w:szCs w:val="20"/>
        </w:rPr>
        <w:t xml:space="preserve"> pronunció sobre las solicitud</w:t>
      </w:r>
      <w:r w:rsidR="008D04F3">
        <w:rPr>
          <w:rFonts w:ascii="Verdana" w:hAnsi="Verdana"/>
          <w:sz w:val="20"/>
          <w:szCs w:val="20"/>
        </w:rPr>
        <w:t xml:space="preserve">es planteadas por el Estado y los </w:t>
      </w:r>
      <w:r w:rsidRPr="00527BFA">
        <w:rPr>
          <w:rFonts w:ascii="Verdana" w:hAnsi="Verdana"/>
          <w:sz w:val="20"/>
          <w:szCs w:val="20"/>
        </w:rPr>
        <w:t>representantes de las víctimas sobre el alcance de varios puntos del capítulo de reparaciones de la referida Sentencia</w:t>
      </w:r>
      <w:r w:rsidRPr="00527BFA">
        <w:rPr>
          <w:rStyle w:val="Refdenotaalpie"/>
          <w:rFonts w:ascii="Verdana" w:hAnsi="Verdana" w:cs="Verdana"/>
          <w:sz w:val="20"/>
          <w:szCs w:val="20"/>
          <w:lang w:val="es-ES_tradnl"/>
        </w:rPr>
        <w:footnoteReference w:id="6"/>
      </w:r>
      <w:r w:rsidRPr="00527BFA">
        <w:rPr>
          <w:rFonts w:ascii="Verdana" w:hAnsi="Verdana"/>
          <w:sz w:val="20"/>
          <w:szCs w:val="20"/>
        </w:rPr>
        <w:t>.</w:t>
      </w:r>
    </w:p>
    <w:p w14:paraId="1CA2346E" w14:textId="77777777" w:rsidR="002F0E41" w:rsidRPr="00527BFA" w:rsidRDefault="002F0E41" w:rsidP="002F0E41">
      <w:pPr>
        <w:widowControl w:val="0"/>
        <w:tabs>
          <w:tab w:val="left" w:pos="567"/>
          <w:tab w:val="num" w:pos="12305"/>
        </w:tabs>
        <w:adjustRightInd w:val="0"/>
        <w:jc w:val="both"/>
        <w:textAlignment w:val="baseline"/>
        <w:rPr>
          <w:rFonts w:ascii="Verdana" w:hAnsi="Verdana"/>
          <w:sz w:val="20"/>
          <w:szCs w:val="20"/>
          <w:highlight w:val="yellow"/>
        </w:rPr>
      </w:pPr>
    </w:p>
    <w:p w14:paraId="15C23143" w14:textId="73D749DF" w:rsidR="00876B18" w:rsidRPr="00527BFA" w:rsidRDefault="00876B18"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20"/>
          <w:szCs w:val="20"/>
          <w:lang w:val="es-ES_tradnl"/>
        </w:rPr>
      </w:pPr>
      <w:r w:rsidRPr="00527BFA">
        <w:rPr>
          <w:rFonts w:ascii="Verdana" w:hAnsi="Verdana" w:cs="Verdana"/>
          <w:sz w:val="20"/>
          <w:szCs w:val="20"/>
          <w:lang w:val="es-ES_tradnl"/>
        </w:rPr>
        <w:t>Las</w:t>
      </w:r>
      <w:r w:rsidRPr="00527BFA">
        <w:rPr>
          <w:rFonts w:ascii="Verdana" w:hAnsi="Verdana"/>
          <w:sz w:val="20"/>
          <w:szCs w:val="20"/>
          <w:lang w:val="es-ES_tradnl"/>
        </w:rPr>
        <w:t xml:space="preserve"> Resoluciones de </w:t>
      </w:r>
      <w:r w:rsidRPr="00527BFA">
        <w:rPr>
          <w:rFonts w:ascii="Verdana" w:hAnsi="Verdana" w:cs="Verdana"/>
          <w:sz w:val="20"/>
          <w:szCs w:val="20"/>
          <w:lang w:val="es-ES_tradnl"/>
        </w:rPr>
        <w:t>supervisión</w:t>
      </w:r>
      <w:r w:rsidR="00FE3FC5">
        <w:rPr>
          <w:rFonts w:ascii="Verdana" w:hAnsi="Verdana"/>
          <w:sz w:val="20"/>
          <w:szCs w:val="20"/>
          <w:lang w:val="es-ES_tradnl"/>
        </w:rPr>
        <w:t xml:space="preserve"> de cumplimiento de s</w:t>
      </w:r>
      <w:r w:rsidRPr="00527BFA">
        <w:rPr>
          <w:rFonts w:ascii="Verdana" w:hAnsi="Verdana"/>
          <w:sz w:val="20"/>
          <w:szCs w:val="20"/>
          <w:lang w:val="es-ES_tradnl"/>
        </w:rPr>
        <w:t xml:space="preserve">entencia emitidas por el </w:t>
      </w:r>
      <w:r w:rsidR="008D04F3">
        <w:rPr>
          <w:rFonts w:ascii="Verdana" w:hAnsi="Verdana"/>
          <w:sz w:val="20"/>
          <w:szCs w:val="20"/>
          <w:lang w:val="es-ES_tradnl"/>
        </w:rPr>
        <w:t>T</w:t>
      </w:r>
      <w:r w:rsidRPr="00527BFA">
        <w:rPr>
          <w:rFonts w:ascii="Verdana" w:hAnsi="Verdana"/>
          <w:sz w:val="20"/>
          <w:szCs w:val="20"/>
          <w:lang w:val="es-ES_tradnl"/>
        </w:rPr>
        <w:t xml:space="preserve">ribunal los días </w:t>
      </w:r>
      <w:r w:rsidR="00EF5066" w:rsidRPr="00527BFA">
        <w:rPr>
          <w:rFonts w:ascii="Verdana" w:hAnsi="Verdana"/>
          <w:sz w:val="20"/>
          <w:szCs w:val="20"/>
          <w:lang w:val="es-ES_tradnl"/>
        </w:rPr>
        <w:t>9 de julio de 2009</w:t>
      </w:r>
      <w:r w:rsidR="00E6565E" w:rsidRPr="00527BFA">
        <w:rPr>
          <w:rStyle w:val="Refdenotaalpie"/>
          <w:rFonts w:ascii="Verdana" w:hAnsi="Verdana"/>
          <w:sz w:val="20"/>
          <w:szCs w:val="20"/>
          <w:lang w:val="es-ES_tradnl"/>
        </w:rPr>
        <w:footnoteReference w:id="7"/>
      </w:r>
      <w:r w:rsidR="00E6565E" w:rsidRPr="00527BFA">
        <w:rPr>
          <w:rFonts w:ascii="Verdana" w:hAnsi="Verdana"/>
          <w:sz w:val="20"/>
          <w:szCs w:val="20"/>
          <w:lang w:val="es-ES_tradnl"/>
        </w:rPr>
        <w:t xml:space="preserve"> </w:t>
      </w:r>
      <w:r w:rsidR="00C62791" w:rsidRPr="00527BFA">
        <w:rPr>
          <w:rFonts w:ascii="Verdana" w:hAnsi="Verdana"/>
          <w:sz w:val="20"/>
          <w:szCs w:val="20"/>
          <w:lang w:val="es-ES_tradnl"/>
        </w:rPr>
        <w:t>y 3 de septiembre de 2020</w:t>
      </w:r>
      <w:r w:rsidR="00C62791" w:rsidRPr="00527BFA">
        <w:rPr>
          <w:rStyle w:val="Refdenotaalpie"/>
          <w:rFonts w:ascii="Verdana" w:hAnsi="Verdana"/>
          <w:sz w:val="20"/>
          <w:szCs w:val="20"/>
          <w:lang w:val="es-ES_tradnl"/>
        </w:rPr>
        <w:footnoteReference w:id="8"/>
      </w:r>
      <w:r w:rsidR="00582BD3" w:rsidRPr="00527BFA">
        <w:rPr>
          <w:rFonts w:ascii="Verdana" w:hAnsi="Verdana"/>
          <w:sz w:val="20"/>
          <w:szCs w:val="20"/>
          <w:lang w:val="es-ES_tradnl"/>
        </w:rPr>
        <w:t xml:space="preserve">. </w:t>
      </w:r>
    </w:p>
    <w:p w14:paraId="55E88DE3" w14:textId="77777777" w:rsidR="00EF5066" w:rsidRPr="00527BFA" w:rsidRDefault="00EF5066" w:rsidP="00A263E7">
      <w:pPr>
        <w:jc w:val="both"/>
        <w:rPr>
          <w:rFonts w:ascii="Verdana" w:hAnsi="Verdana"/>
          <w:sz w:val="20"/>
          <w:szCs w:val="20"/>
          <w:highlight w:val="yellow"/>
          <w:lang w:val="es-ES_tradnl"/>
        </w:rPr>
      </w:pPr>
    </w:p>
    <w:p w14:paraId="5598204B" w14:textId="5A419CC4" w:rsidR="002F0E41" w:rsidRPr="00527BFA" w:rsidRDefault="00EF5066"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20"/>
          <w:szCs w:val="20"/>
          <w:lang w:val="es-ES_tradnl"/>
        </w:rPr>
      </w:pPr>
      <w:r w:rsidRPr="00527BFA">
        <w:rPr>
          <w:rFonts w:ascii="Verdana" w:hAnsi="Verdana"/>
          <w:sz w:val="20"/>
          <w:szCs w:val="20"/>
          <w:lang w:val="es-ES_tradnl"/>
        </w:rPr>
        <w:t>La</w:t>
      </w:r>
      <w:r w:rsidR="00752A30" w:rsidRPr="00527BFA">
        <w:rPr>
          <w:rFonts w:ascii="Verdana" w:hAnsi="Verdana"/>
          <w:sz w:val="20"/>
          <w:szCs w:val="20"/>
          <w:lang w:val="es-ES_tradnl"/>
        </w:rPr>
        <w:t>s</w:t>
      </w:r>
      <w:r w:rsidRPr="00527BFA">
        <w:rPr>
          <w:rFonts w:ascii="Verdana" w:hAnsi="Verdana"/>
          <w:sz w:val="20"/>
          <w:szCs w:val="20"/>
          <w:lang w:val="es-ES_tradnl"/>
        </w:rPr>
        <w:t xml:space="preserve"> </w:t>
      </w:r>
      <w:r w:rsidR="00130494" w:rsidRPr="00527BFA">
        <w:rPr>
          <w:rFonts w:ascii="Verdana" w:hAnsi="Verdana"/>
          <w:sz w:val="20"/>
          <w:szCs w:val="20"/>
          <w:lang w:val="es-ES_tradnl"/>
        </w:rPr>
        <w:t xml:space="preserve">siete </w:t>
      </w:r>
      <w:r w:rsidRPr="00527BFA">
        <w:rPr>
          <w:rFonts w:ascii="Verdana" w:hAnsi="Verdana" w:cs="Verdana"/>
          <w:sz w:val="20"/>
          <w:szCs w:val="20"/>
          <w:lang w:val="es-ES_tradnl"/>
        </w:rPr>
        <w:t>audiencia</w:t>
      </w:r>
      <w:r w:rsidR="00752A30" w:rsidRPr="00527BFA">
        <w:rPr>
          <w:rFonts w:ascii="Verdana" w:hAnsi="Verdana" w:cs="Verdana"/>
          <w:sz w:val="20"/>
          <w:szCs w:val="20"/>
          <w:lang w:val="es-ES_tradnl"/>
        </w:rPr>
        <w:t>s</w:t>
      </w:r>
      <w:r w:rsidRPr="00527BFA">
        <w:rPr>
          <w:rFonts w:ascii="Verdana" w:hAnsi="Verdana"/>
          <w:sz w:val="20"/>
          <w:szCs w:val="20"/>
          <w:lang w:val="es-ES_tradnl"/>
        </w:rPr>
        <w:t xml:space="preserve"> privada</w:t>
      </w:r>
      <w:r w:rsidR="00752A30" w:rsidRPr="00527BFA">
        <w:rPr>
          <w:rFonts w:ascii="Verdana" w:hAnsi="Verdana"/>
          <w:sz w:val="20"/>
          <w:szCs w:val="20"/>
          <w:lang w:val="es-ES_tradnl"/>
        </w:rPr>
        <w:t>s</w:t>
      </w:r>
      <w:r w:rsidRPr="00527BFA">
        <w:rPr>
          <w:rFonts w:ascii="Verdana" w:hAnsi="Verdana"/>
          <w:sz w:val="20"/>
          <w:szCs w:val="20"/>
          <w:lang w:val="es-ES_tradnl"/>
        </w:rPr>
        <w:t xml:space="preserve"> sobre </w:t>
      </w:r>
      <w:r w:rsidR="00FE3FC5">
        <w:rPr>
          <w:rFonts w:ascii="Verdana" w:hAnsi="Verdana"/>
          <w:sz w:val="20"/>
          <w:szCs w:val="20"/>
          <w:lang w:val="es-ES_tradnl"/>
        </w:rPr>
        <w:t>supervisión de cumplimiento de s</w:t>
      </w:r>
      <w:r w:rsidRPr="00527BFA">
        <w:rPr>
          <w:rFonts w:ascii="Verdana" w:hAnsi="Verdana"/>
          <w:sz w:val="20"/>
          <w:szCs w:val="20"/>
          <w:lang w:val="es-ES_tradnl"/>
        </w:rPr>
        <w:t>entencia, celebrada</w:t>
      </w:r>
      <w:r w:rsidR="00752A30" w:rsidRPr="00527BFA">
        <w:rPr>
          <w:rFonts w:ascii="Verdana" w:hAnsi="Verdana"/>
          <w:sz w:val="20"/>
          <w:szCs w:val="20"/>
          <w:lang w:val="es-ES_tradnl"/>
        </w:rPr>
        <w:t>s el 19 de mayo de 2010, el 23 de febrero de 2012</w:t>
      </w:r>
      <w:r w:rsidR="00130494" w:rsidRPr="00527BFA">
        <w:rPr>
          <w:rStyle w:val="Refdenotaalpie"/>
          <w:rFonts w:ascii="Verdana" w:hAnsi="Verdana"/>
          <w:sz w:val="20"/>
          <w:szCs w:val="20"/>
          <w:lang w:val="es-ES_tradnl"/>
        </w:rPr>
        <w:footnoteReference w:id="9"/>
      </w:r>
      <w:r w:rsidR="00752A30" w:rsidRPr="00527BFA">
        <w:rPr>
          <w:rFonts w:ascii="Verdana" w:hAnsi="Verdana"/>
          <w:sz w:val="20"/>
          <w:szCs w:val="20"/>
          <w:lang w:val="es-ES_tradnl"/>
        </w:rPr>
        <w:t xml:space="preserve">, el 28 de mayo de 2013, el 5 de febrero de 2015 y el 5 de septiembre de </w:t>
      </w:r>
      <w:r w:rsidR="00130494" w:rsidRPr="00527BFA">
        <w:rPr>
          <w:rFonts w:ascii="Verdana" w:hAnsi="Verdana"/>
          <w:sz w:val="20"/>
          <w:szCs w:val="20"/>
          <w:lang w:val="es-ES_tradnl"/>
        </w:rPr>
        <w:t>2019</w:t>
      </w:r>
      <w:r w:rsidR="00130494" w:rsidRPr="00527BFA">
        <w:rPr>
          <w:rStyle w:val="Refdenotaalpie"/>
          <w:rFonts w:ascii="Verdana" w:hAnsi="Verdana"/>
          <w:sz w:val="20"/>
          <w:szCs w:val="20"/>
          <w:lang w:val="es-ES_tradnl"/>
        </w:rPr>
        <w:footnoteReference w:id="10"/>
      </w:r>
      <w:r w:rsidR="00E6565E" w:rsidRPr="00527BFA">
        <w:rPr>
          <w:rFonts w:ascii="Verdana" w:hAnsi="Verdana"/>
          <w:sz w:val="20"/>
          <w:szCs w:val="20"/>
          <w:lang w:val="es-ES_tradnl"/>
        </w:rPr>
        <w:t>.</w:t>
      </w:r>
    </w:p>
    <w:p w14:paraId="481BCD7D" w14:textId="77777777" w:rsidR="00752A30" w:rsidRPr="00527BFA" w:rsidRDefault="00752A30" w:rsidP="00752A30">
      <w:pPr>
        <w:widowControl w:val="0"/>
        <w:tabs>
          <w:tab w:val="left" w:pos="567"/>
        </w:tabs>
        <w:adjustRightInd w:val="0"/>
        <w:jc w:val="both"/>
        <w:textAlignment w:val="baseline"/>
        <w:rPr>
          <w:rFonts w:ascii="Verdana" w:hAnsi="Verdana"/>
          <w:sz w:val="20"/>
          <w:szCs w:val="20"/>
          <w:lang w:val="es-ES_tradnl"/>
        </w:rPr>
      </w:pPr>
    </w:p>
    <w:p w14:paraId="6DA711FE" w14:textId="777C29A7" w:rsidR="00752A30" w:rsidRPr="00527BFA" w:rsidRDefault="00752A30"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20"/>
          <w:lang w:val="es-CR"/>
        </w:rPr>
      </w:pPr>
      <w:r w:rsidRPr="00527BFA">
        <w:rPr>
          <w:rFonts w:ascii="Verdana" w:hAnsi="Verdana"/>
          <w:sz w:val="20"/>
        </w:rPr>
        <w:t xml:space="preserve">Los informes presentados por el Estado entre </w:t>
      </w:r>
      <w:r w:rsidR="00F54B1A" w:rsidRPr="00527BFA">
        <w:rPr>
          <w:rFonts w:ascii="Verdana" w:hAnsi="Verdana"/>
          <w:sz w:val="20"/>
        </w:rPr>
        <w:t>noviembre de 2009</w:t>
      </w:r>
      <w:r w:rsidRPr="00527BFA">
        <w:rPr>
          <w:rFonts w:ascii="Verdana" w:hAnsi="Verdana"/>
          <w:sz w:val="20"/>
        </w:rPr>
        <w:t xml:space="preserve"> y </w:t>
      </w:r>
      <w:r w:rsidR="00DE60A7" w:rsidRPr="00527BFA">
        <w:rPr>
          <w:rFonts w:ascii="Verdana" w:hAnsi="Verdana"/>
          <w:sz w:val="20"/>
        </w:rPr>
        <w:t>septiembre</w:t>
      </w:r>
      <w:r w:rsidR="00F54B1A" w:rsidRPr="00527BFA">
        <w:rPr>
          <w:rFonts w:ascii="Verdana" w:hAnsi="Verdana"/>
          <w:sz w:val="20"/>
        </w:rPr>
        <w:t xml:space="preserve"> de </w:t>
      </w:r>
      <w:r w:rsidR="00DE60A7" w:rsidRPr="00527BFA">
        <w:rPr>
          <w:rFonts w:ascii="Verdana" w:hAnsi="Verdana"/>
          <w:sz w:val="20"/>
        </w:rPr>
        <w:t>2020</w:t>
      </w:r>
      <w:r w:rsidRPr="00527BFA">
        <w:rPr>
          <w:rFonts w:ascii="Verdana" w:hAnsi="Verdana"/>
          <w:sz w:val="20"/>
        </w:rPr>
        <w:t>, en respuesta a solicitudes efectuadas por la Corte o su Presidencia, mediante notas de la Secretaría del Tribunal (en adelante “la Secretaría”).</w:t>
      </w:r>
    </w:p>
    <w:p w14:paraId="3D6A3875" w14:textId="77777777" w:rsidR="008C3B7F" w:rsidRPr="00527BFA" w:rsidRDefault="008C3B7F" w:rsidP="00F54B1A">
      <w:pPr>
        <w:widowControl w:val="0"/>
        <w:tabs>
          <w:tab w:val="left" w:pos="567"/>
          <w:tab w:val="num" w:pos="12305"/>
        </w:tabs>
        <w:adjustRightInd w:val="0"/>
        <w:jc w:val="both"/>
        <w:textAlignment w:val="baseline"/>
        <w:rPr>
          <w:rFonts w:ascii="Verdana" w:hAnsi="Verdana"/>
          <w:sz w:val="20"/>
          <w:szCs w:val="20"/>
          <w:lang w:val="es-ES_tradnl"/>
        </w:rPr>
      </w:pPr>
    </w:p>
    <w:p w14:paraId="2F04ABA9" w14:textId="5FBF7146" w:rsidR="008C3B7F" w:rsidRPr="00527BFA" w:rsidRDefault="008C3B7F"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20"/>
          <w:lang w:val="es-CR"/>
        </w:rPr>
      </w:pPr>
      <w:r w:rsidRPr="00527BFA">
        <w:rPr>
          <w:rFonts w:ascii="Verdana" w:hAnsi="Verdana"/>
          <w:sz w:val="20"/>
        </w:rPr>
        <w:t>Los escritos presentados por la representación de las víctimas</w:t>
      </w:r>
      <w:r w:rsidRPr="00527BFA">
        <w:rPr>
          <w:rStyle w:val="Refdenotaalpie"/>
          <w:rFonts w:ascii="Verdana" w:hAnsi="Verdana"/>
          <w:sz w:val="20"/>
        </w:rPr>
        <w:footnoteReference w:id="11"/>
      </w:r>
      <w:r w:rsidRPr="00527BFA">
        <w:rPr>
          <w:rFonts w:ascii="Verdana" w:hAnsi="Verdana"/>
          <w:sz w:val="20"/>
        </w:rPr>
        <w:t xml:space="preserve"> entre </w:t>
      </w:r>
      <w:r w:rsidR="00F54B1A" w:rsidRPr="00527BFA">
        <w:rPr>
          <w:rFonts w:ascii="Verdana" w:hAnsi="Verdana"/>
          <w:sz w:val="20"/>
        </w:rPr>
        <w:t xml:space="preserve">julio de 2009 </w:t>
      </w:r>
      <w:r w:rsidRPr="00527BFA">
        <w:rPr>
          <w:rFonts w:ascii="Verdana" w:hAnsi="Verdana"/>
          <w:sz w:val="20"/>
        </w:rPr>
        <w:t xml:space="preserve">y </w:t>
      </w:r>
      <w:r w:rsidR="00F54B1A" w:rsidRPr="00527BFA">
        <w:rPr>
          <w:rFonts w:ascii="Verdana" w:hAnsi="Verdana" w:cs="Verdana"/>
          <w:sz w:val="20"/>
          <w:szCs w:val="20"/>
          <w:lang w:val="es-ES_tradnl"/>
        </w:rPr>
        <w:t>agosto de 2020</w:t>
      </w:r>
      <w:r w:rsidR="000507C9">
        <w:rPr>
          <w:rFonts w:ascii="Verdana" w:hAnsi="Verdana" w:cs="Verdana"/>
          <w:sz w:val="20"/>
          <w:szCs w:val="20"/>
          <w:lang w:val="es-ES_tradnl"/>
        </w:rPr>
        <w:t>.</w:t>
      </w:r>
      <w:r w:rsidR="00F54B1A" w:rsidRPr="00527BFA">
        <w:rPr>
          <w:rFonts w:ascii="Verdana" w:hAnsi="Verdana" w:cs="Verdana"/>
          <w:sz w:val="20"/>
          <w:szCs w:val="20"/>
          <w:lang w:val="es-ES_tradnl"/>
        </w:rPr>
        <w:t xml:space="preserve"> </w:t>
      </w:r>
    </w:p>
    <w:p w14:paraId="613A2CFD" w14:textId="77777777" w:rsidR="008C3B7F" w:rsidRPr="00527BFA" w:rsidRDefault="008C3B7F" w:rsidP="008C3B7F">
      <w:pPr>
        <w:widowControl w:val="0"/>
        <w:tabs>
          <w:tab w:val="left" w:pos="567"/>
          <w:tab w:val="num" w:pos="12305"/>
        </w:tabs>
        <w:adjustRightInd w:val="0"/>
        <w:jc w:val="both"/>
        <w:textAlignment w:val="baseline"/>
        <w:rPr>
          <w:rFonts w:ascii="Verdana" w:hAnsi="Verdana"/>
          <w:sz w:val="20"/>
          <w:lang w:val="es-CR"/>
        </w:rPr>
      </w:pPr>
    </w:p>
    <w:p w14:paraId="0FDCC167" w14:textId="7CE5CF05" w:rsidR="008C3B7F" w:rsidRPr="00527BFA" w:rsidRDefault="008C3B7F" w:rsidP="00C6162E">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16"/>
          <w:szCs w:val="16"/>
          <w:lang w:val="es-CR"/>
        </w:rPr>
      </w:pPr>
      <w:r w:rsidRPr="00527BFA">
        <w:rPr>
          <w:rFonts w:ascii="Verdana" w:hAnsi="Verdana"/>
          <w:sz w:val="20"/>
        </w:rPr>
        <w:lastRenderedPageBreak/>
        <w:t xml:space="preserve">Los escritos de observaciones presentados por la Comisión Interamericana de Derechos Humanos (en adelante “la Comisión Interamericana” o “la Comisión”) entre </w:t>
      </w:r>
      <w:r w:rsidR="00F54B1A" w:rsidRPr="00527BFA">
        <w:rPr>
          <w:rFonts w:ascii="Verdana" w:hAnsi="Verdana"/>
          <w:sz w:val="20"/>
        </w:rPr>
        <w:t>abril de 2010</w:t>
      </w:r>
      <w:r w:rsidR="00C93799" w:rsidRPr="00527BFA">
        <w:rPr>
          <w:rFonts w:ascii="Verdana" w:hAnsi="Verdana"/>
          <w:sz w:val="20"/>
        </w:rPr>
        <w:t xml:space="preserve"> </w:t>
      </w:r>
      <w:r w:rsidR="000629E2">
        <w:rPr>
          <w:rFonts w:ascii="Verdana" w:hAnsi="Verdana"/>
          <w:sz w:val="20"/>
        </w:rPr>
        <w:t xml:space="preserve">y </w:t>
      </w:r>
      <w:r w:rsidR="007A58DA" w:rsidRPr="00527BFA">
        <w:rPr>
          <w:rFonts w:ascii="Verdana" w:hAnsi="Verdana"/>
          <w:sz w:val="20"/>
        </w:rPr>
        <w:t>octubre de 2018</w:t>
      </w:r>
      <w:r w:rsidR="000507C9">
        <w:rPr>
          <w:rFonts w:ascii="Verdana" w:hAnsi="Verdana"/>
          <w:sz w:val="20"/>
        </w:rPr>
        <w:t>.</w:t>
      </w:r>
      <w:r w:rsidR="007A58DA" w:rsidRPr="00527BFA">
        <w:rPr>
          <w:rFonts w:ascii="Verdana" w:hAnsi="Verdana"/>
          <w:sz w:val="20"/>
        </w:rPr>
        <w:t xml:space="preserve"> </w:t>
      </w:r>
    </w:p>
    <w:p w14:paraId="22F43794" w14:textId="77777777" w:rsidR="00DD5558" w:rsidRPr="00527BFA" w:rsidRDefault="00DD5558" w:rsidP="00DD5558">
      <w:pPr>
        <w:widowControl w:val="0"/>
        <w:tabs>
          <w:tab w:val="left" w:pos="567"/>
        </w:tabs>
        <w:adjustRightInd w:val="0"/>
        <w:jc w:val="both"/>
        <w:textAlignment w:val="baseline"/>
        <w:rPr>
          <w:rFonts w:ascii="Verdana" w:hAnsi="Verdana"/>
          <w:sz w:val="16"/>
          <w:szCs w:val="16"/>
          <w:lang w:val="es-CR"/>
        </w:rPr>
      </w:pPr>
    </w:p>
    <w:p w14:paraId="0E04F439" w14:textId="7692CE43" w:rsidR="00DD5558" w:rsidRPr="00DB4FD3" w:rsidRDefault="00DD5558" w:rsidP="00DB4FD3">
      <w:pPr>
        <w:widowControl w:val="0"/>
        <w:numPr>
          <w:ilvl w:val="0"/>
          <w:numId w:val="1"/>
        </w:numPr>
        <w:tabs>
          <w:tab w:val="left" w:pos="567"/>
          <w:tab w:val="num" w:pos="1569"/>
          <w:tab w:val="num" w:pos="12305"/>
        </w:tabs>
        <w:adjustRightInd w:val="0"/>
        <w:ind w:left="0" w:firstLine="0"/>
        <w:jc w:val="both"/>
        <w:textAlignment w:val="baseline"/>
        <w:rPr>
          <w:rFonts w:ascii="Verdana" w:hAnsi="Verdana"/>
          <w:sz w:val="16"/>
          <w:szCs w:val="16"/>
          <w:lang w:val="es-CR"/>
        </w:rPr>
      </w:pPr>
      <w:bookmarkStart w:id="1" w:name="_Ref26778239"/>
      <w:r w:rsidRPr="00527BFA">
        <w:rPr>
          <w:rFonts w:ascii="Verdana" w:hAnsi="Verdana"/>
          <w:sz w:val="20"/>
          <w:szCs w:val="20"/>
        </w:rPr>
        <w:t xml:space="preserve">El informe </w:t>
      </w:r>
      <w:r w:rsidR="000507C9">
        <w:rPr>
          <w:rFonts w:ascii="Verdana" w:hAnsi="Verdana"/>
          <w:sz w:val="20"/>
          <w:szCs w:val="20"/>
        </w:rPr>
        <w:t xml:space="preserve">de </w:t>
      </w:r>
      <w:r w:rsidR="000507C9" w:rsidRPr="00527BFA">
        <w:rPr>
          <w:rFonts w:ascii="Verdana" w:hAnsi="Verdana"/>
          <w:sz w:val="20"/>
          <w:szCs w:val="20"/>
        </w:rPr>
        <w:t>la Defensoría del Pueblo de la República de Colombia</w:t>
      </w:r>
      <w:r w:rsidR="00FE3FC5">
        <w:rPr>
          <w:rFonts w:ascii="Verdana" w:hAnsi="Verdana"/>
          <w:sz w:val="20"/>
          <w:szCs w:val="20"/>
        </w:rPr>
        <w:t>, titulado</w:t>
      </w:r>
      <w:r w:rsidR="000507C9" w:rsidRPr="00527BFA">
        <w:rPr>
          <w:rFonts w:ascii="Verdana" w:hAnsi="Verdana"/>
          <w:sz w:val="20"/>
          <w:szCs w:val="20"/>
        </w:rPr>
        <w:t xml:space="preserve"> </w:t>
      </w:r>
      <w:r w:rsidRPr="00527BFA">
        <w:rPr>
          <w:rFonts w:ascii="Verdana" w:hAnsi="Verdana"/>
          <w:sz w:val="20"/>
          <w:szCs w:val="20"/>
        </w:rPr>
        <w:t xml:space="preserve">“Ampliando el horizonte de justicia para las víctimas. Informe del estado de cumplimiento de las sentencias de la </w:t>
      </w:r>
      <w:r w:rsidRPr="000507C9">
        <w:rPr>
          <w:rFonts w:ascii="Verdana" w:hAnsi="Verdana"/>
          <w:sz w:val="20"/>
        </w:rPr>
        <w:t>Corte</w:t>
      </w:r>
      <w:r w:rsidRPr="00527BFA">
        <w:rPr>
          <w:rFonts w:ascii="Verdana" w:hAnsi="Verdana"/>
          <w:sz w:val="20"/>
          <w:szCs w:val="20"/>
        </w:rPr>
        <w:t xml:space="preserve"> Interamericana de Derechos Humanos contra Colombia”, presentado el 14 de mayo de 20019 por el Defensor del Pueblo al Pleno de la Corte durante su 61 Período Extraordinario de Sesiones</w:t>
      </w:r>
      <w:r w:rsidR="008E6437">
        <w:rPr>
          <w:rFonts w:ascii="Verdana" w:hAnsi="Verdana"/>
          <w:sz w:val="20"/>
          <w:szCs w:val="20"/>
        </w:rPr>
        <w:t>,</w:t>
      </w:r>
      <w:r w:rsidR="000507C9">
        <w:rPr>
          <w:rFonts w:ascii="Verdana" w:hAnsi="Verdana"/>
          <w:sz w:val="20"/>
          <w:szCs w:val="20"/>
        </w:rPr>
        <w:t xml:space="preserve"> y admitido </w:t>
      </w:r>
      <w:r w:rsidR="000507C9" w:rsidRPr="00DB4FD3">
        <w:rPr>
          <w:rFonts w:ascii="Verdana" w:hAnsi="Verdana"/>
          <w:sz w:val="20"/>
        </w:rPr>
        <w:t>por la Corte en aplicación del artículo 69.2 de su Reglamento</w:t>
      </w:r>
      <w:r w:rsidR="00FE3FC5">
        <w:rPr>
          <w:rFonts w:ascii="Verdana" w:hAnsi="Verdana"/>
          <w:sz w:val="20"/>
        </w:rPr>
        <w:t xml:space="preserve"> (</w:t>
      </w:r>
      <w:r w:rsidR="00FE3FC5" w:rsidRPr="00FE3FC5">
        <w:rPr>
          <w:rFonts w:ascii="Verdana" w:hAnsi="Verdana"/>
          <w:i/>
          <w:sz w:val="20"/>
        </w:rPr>
        <w:t>infra</w:t>
      </w:r>
      <w:r w:rsidR="00FE3FC5">
        <w:rPr>
          <w:rFonts w:ascii="Verdana" w:hAnsi="Verdana"/>
          <w:sz w:val="20"/>
        </w:rPr>
        <w:t xml:space="preserve"> Considerando 4)</w:t>
      </w:r>
      <w:r w:rsidRPr="00DB4FD3">
        <w:rPr>
          <w:rFonts w:ascii="Verdana" w:hAnsi="Verdana"/>
          <w:sz w:val="20"/>
          <w:szCs w:val="20"/>
        </w:rPr>
        <w:t xml:space="preserve">. </w:t>
      </w:r>
      <w:bookmarkEnd w:id="1"/>
    </w:p>
    <w:p w14:paraId="6F19DECF" w14:textId="1ABAE5F3" w:rsidR="005C53F9" w:rsidRDefault="005C53F9" w:rsidP="005C53F9">
      <w:pPr>
        <w:pStyle w:val="Prrafodelista"/>
        <w:rPr>
          <w:rFonts w:ascii="Verdana" w:hAnsi="Verdana"/>
          <w:sz w:val="20"/>
          <w:szCs w:val="20"/>
          <w:lang w:val="es-CL"/>
        </w:rPr>
      </w:pPr>
    </w:p>
    <w:p w14:paraId="0F146529" w14:textId="77777777" w:rsidR="00DC0F3E" w:rsidRPr="00527BFA" w:rsidRDefault="00DC0F3E" w:rsidP="005C53F9">
      <w:pPr>
        <w:pStyle w:val="Prrafodelista"/>
        <w:rPr>
          <w:rFonts w:ascii="Verdana" w:hAnsi="Verdana"/>
          <w:sz w:val="20"/>
          <w:szCs w:val="20"/>
          <w:lang w:val="es-CL"/>
        </w:rPr>
      </w:pPr>
    </w:p>
    <w:p w14:paraId="4E859C91" w14:textId="77777777" w:rsidR="005C53F9" w:rsidRPr="00527BFA" w:rsidRDefault="005C53F9" w:rsidP="005C53F9">
      <w:pPr>
        <w:jc w:val="both"/>
        <w:rPr>
          <w:rFonts w:ascii="Verdana" w:hAnsi="Verdana"/>
          <w:b/>
          <w:sz w:val="20"/>
          <w:szCs w:val="20"/>
          <w:lang w:val="es-ES_tradnl"/>
        </w:rPr>
      </w:pPr>
      <w:r w:rsidRPr="00527BFA">
        <w:rPr>
          <w:rFonts w:ascii="Verdana" w:hAnsi="Verdana"/>
          <w:b/>
          <w:sz w:val="20"/>
          <w:szCs w:val="20"/>
          <w:lang w:val="es-ES_tradnl"/>
        </w:rPr>
        <w:t>CONSIDERANDO QUE:</w:t>
      </w:r>
    </w:p>
    <w:p w14:paraId="76D439C5" w14:textId="77777777" w:rsidR="00A15AE8" w:rsidRPr="00527BFA" w:rsidRDefault="00A15AE8" w:rsidP="00380D06">
      <w:pPr>
        <w:autoSpaceDE w:val="0"/>
        <w:autoSpaceDN w:val="0"/>
        <w:adjustRightInd w:val="0"/>
        <w:spacing w:after="120"/>
        <w:jc w:val="both"/>
        <w:rPr>
          <w:rFonts w:ascii="Verdana" w:hAnsi="Verdana"/>
          <w:sz w:val="16"/>
          <w:szCs w:val="16"/>
          <w:highlight w:val="yellow"/>
          <w:lang w:val="es-ES_tradnl"/>
        </w:rPr>
      </w:pPr>
    </w:p>
    <w:p w14:paraId="46B92544" w14:textId="5F59612B" w:rsidR="00E7057B" w:rsidRPr="00527BFA" w:rsidRDefault="005C53F9" w:rsidP="00C6162E">
      <w:pPr>
        <w:widowControl w:val="0"/>
        <w:numPr>
          <w:ilvl w:val="0"/>
          <w:numId w:val="8"/>
        </w:numPr>
        <w:tabs>
          <w:tab w:val="left" w:pos="567"/>
          <w:tab w:val="num" w:pos="12305"/>
        </w:tabs>
        <w:adjustRightInd w:val="0"/>
        <w:ind w:left="0" w:firstLine="0"/>
        <w:jc w:val="both"/>
        <w:textAlignment w:val="baseline"/>
        <w:rPr>
          <w:rFonts w:ascii="Verdana" w:hAnsi="Verdana" w:cs="Verdana"/>
          <w:sz w:val="20"/>
          <w:szCs w:val="20"/>
          <w:lang w:val="es-ES_tradnl"/>
        </w:rPr>
      </w:pPr>
      <w:r w:rsidRPr="00527BFA">
        <w:rPr>
          <w:rFonts w:ascii="Verdana" w:hAnsi="Verdana"/>
          <w:sz w:val="20"/>
          <w:szCs w:val="20"/>
        </w:rPr>
        <w:t>En el ejercicio de su función jurisdiccional de supervisar el cumplimiento de sus decisiones</w:t>
      </w:r>
      <w:r w:rsidRPr="00527BFA">
        <w:rPr>
          <w:rStyle w:val="Refdenotaalpie"/>
          <w:rFonts w:ascii="Verdana" w:hAnsi="Verdana"/>
          <w:sz w:val="20"/>
          <w:szCs w:val="20"/>
        </w:rPr>
        <w:footnoteReference w:id="12"/>
      </w:r>
      <w:r w:rsidRPr="00527BFA">
        <w:rPr>
          <w:rFonts w:ascii="Verdana" w:hAnsi="Verdana"/>
          <w:sz w:val="20"/>
          <w:szCs w:val="20"/>
        </w:rPr>
        <w:t xml:space="preserve">, la Corte ha venido supervisando la ejecución de la Sentencia emitida hace más de </w:t>
      </w:r>
      <w:r w:rsidR="00E7057B" w:rsidRPr="00527BFA">
        <w:rPr>
          <w:rFonts w:ascii="Verdana" w:hAnsi="Verdana"/>
          <w:sz w:val="20"/>
          <w:szCs w:val="20"/>
        </w:rPr>
        <w:t>catorce</w:t>
      </w:r>
      <w:r w:rsidRPr="00527BFA">
        <w:rPr>
          <w:rFonts w:ascii="Verdana" w:hAnsi="Verdana"/>
          <w:sz w:val="20"/>
          <w:szCs w:val="20"/>
        </w:rPr>
        <w:t xml:space="preserve"> años en el presente caso (</w:t>
      </w:r>
      <w:r w:rsidRPr="00527BFA">
        <w:rPr>
          <w:rFonts w:ascii="Verdana" w:hAnsi="Verdana"/>
          <w:i/>
          <w:sz w:val="20"/>
          <w:szCs w:val="20"/>
        </w:rPr>
        <w:t>supra</w:t>
      </w:r>
      <w:r w:rsidRPr="00527BFA">
        <w:rPr>
          <w:rFonts w:ascii="Verdana" w:hAnsi="Verdana"/>
          <w:sz w:val="20"/>
          <w:szCs w:val="20"/>
        </w:rPr>
        <w:t xml:space="preserve"> Visto </w:t>
      </w:r>
      <w:r w:rsidR="00E7057B" w:rsidRPr="00527BFA">
        <w:rPr>
          <w:rFonts w:ascii="Verdana" w:hAnsi="Verdana"/>
          <w:sz w:val="20"/>
          <w:szCs w:val="20"/>
        </w:rPr>
        <w:t>1</w:t>
      </w:r>
      <w:r w:rsidRPr="00527BFA">
        <w:rPr>
          <w:rFonts w:ascii="Verdana" w:hAnsi="Verdana"/>
          <w:sz w:val="20"/>
          <w:szCs w:val="20"/>
        </w:rPr>
        <w:t>)</w:t>
      </w:r>
      <w:r w:rsidR="00E7057B" w:rsidRPr="00527BFA">
        <w:rPr>
          <w:rFonts w:ascii="Verdana" w:hAnsi="Verdana"/>
          <w:sz w:val="20"/>
          <w:szCs w:val="20"/>
        </w:rPr>
        <w:t xml:space="preserve">. </w:t>
      </w:r>
      <w:r w:rsidR="002D32CE">
        <w:rPr>
          <w:rFonts w:ascii="Verdana" w:hAnsi="Verdana"/>
          <w:sz w:val="20"/>
        </w:rPr>
        <w:t>El Tribunal ha emitido dos resoluciones de supervisión de cumplimiento (</w:t>
      </w:r>
      <w:r w:rsidR="002D32CE" w:rsidRPr="004B6BED">
        <w:rPr>
          <w:rFonts w:ascii="Verdana" w:hAnsi="Verdana"/>
          <w:i/>
          <w:sz w:val="20"/>
        </w:rPr>
        <w:t>supra</w:t>
      </w:r>
      <w:r w:rsidR="002D32CE">
        <w:rPr>
          <w:rFonts w:ascii="Verdana" w:hAnsi="Verdana"/>
          <w:sz w:val="20"/>
        </w:rPr>
        <w:t xml:space="preserve"> Visto 3), en las cuales declaró que el Estado dio cumplimiento total a dos </w:t>
      </w:r>
      <w:r w:rsidR="006468F0">
        <w:rPr>
          <w:rFonts w:ascii="Verdana" w:hAnsi="Verdana"/>
          <w:sz w:val="20"/>
        </w:rPr>
        <w:t>medidas de reparación</w:t>
      </w:r>
      <w:r w:rsidR="002D32CE">
        <w:rPr>
          <w:rStyle w:val="Refdenotaalpie"/>
          <w:rFonts w:ascii="Verdana" w:hAnsi="Verdana"/>
          <w:sz w:val="20"/>
        </w:rPr>
        <w:footnoteReference w:id="13"/>
      </w:r>
      <w:r w:rsidR="004B6BED">
        <w:rPr>
          <w:rFonts w:ascii="Verdana" w:hAnsi="Verdana"/>
          <w:sz w:val="20"/>
        </w:rPr>
        <w:t xml:space="preserve">, </w:t>
      </w:r>
      <w:r w:rsidR="002D32CE">
        <w:rPr>
          <w:rFonts w:ascii="Verdana" w:hAnsi="Verdana"/>
          <w:sz w:val="20"/>
        </w:rPr>
        <w:t xml:space="preserve">cumplimiento parcial a </w:t>
      </w:r>
      <w:r w:rsidR="00D72B36">
        <w:rPr>
          <w:rFonts w:ascii="Verdana" w:hAnsi="Verdana"/>
          <w:sz w:val="20"/>
        </w:rPr>
        <w:t>otra</w:t>
      </w:r>
      <w:r w:rsidR="006468F0">
        <w:rPr>
          <w:rFonts w:ascii="Verdana" w:hAnsi="Verdana"/>
          <w:sz w:val="20"/>
        </w:rPr>
        <w:t xml:space="preserve"> medida de</w:t>
      </w:r>
      <w:r w:rsidR="002D32CE">
        <w:rPr>
          <w:rFonts w:ascii="Verdana" w:hAnsi="Verdana"/>
          <w:sz w:val="20"/>
        </w:rPr>
        <w:t xml:space="preserve"> reparación</w:t>
      </w:r>
      <w:r w:rsidR="000E37EB">
        <w:rPr>
          <w:rStyle w:val="Refdenotaalpie"/>
          <w:rFonts w:ascii="Verdana" w:hAnsi="Verdana"/>
          <w:sz w:val="20"/>
        </w:rPr>
        <w:footnoteReference w:id="14"/>
      </w:r>
      <w:r w:rsidR="004B6BED">
        <w:rPr>
          <w:rFonts w:ascii="Verdana" w:hAnsi="Verdana"/>
          <w:sz w:val="20"/>
        </w:rPr>
        <w:t xml:space="preserve"> </w:t>
      </w:r>
      <w:r w:rsidR="00474036">
        <w:rPr>
          <w:rFonts w:ascii="Verdana" w:hAnsi="Verdana"/>
          <w:sz w:val="20"/>
        </w:rPr>
        <w:t>(</w:t>
      </w:r>
      <w:r w:rsidR="00474036" w:rsidRPr="00474036">
        <w:rPr>
          <w:rFonts w:ascii="Verdana" w:hAnsi="Verdana"/>
          <w:i/>
          <w:sz w:val="20"/>
        </w:rPr>
        <w:t>infra</w:t>
      </w:r>
      <w:r w:rsidR="00474036">
        <w:rPr>
          <w:rFonts w:ascii="Verdana" w:hAnsi="Verdana"/>
          <w:sz w:val="20"/>
        </w:rPr>
        <w:t xml:space="preserve"> Considerando</w:t>
      </w:r>
      <w:r w:rsidR="006468F0">
        <w:rPr>
          <w:rFonts w:ascii="Verdana" w:hAnsi="Verdana"/>
          <w:sz w:val="20"/>
        </w:rPr>
        <w:t xml:space="preserve"> </w:t>
      </w:r>
      <w:r w:rsidR="00D72B36">
        <w:rPr>
          <w:rFonts w:ascii="Verdana" w:hAnsi="Verdana"/>
          <w:sz w:val="20"/>
        </w:rPr>
        <w:t>40</w:t>
      </w:r>
      <w:r w:rsidR="00474036">
        <w:rPr>
          <w:rFonts w:ascii="Verdana" w:hAnsi="Verdana"/>
          <w:sz w:val="20"/>
        </w:rPr>
        <w:t xml:space="preserve">) </w:t>
      </w:r>
      <w:r w:rsidR="004B6BED">
        <w:rPr>
          <w:rFonts w:ascii="Verdana" w:hAnsi="Verdana"/>
          <w:sz w:val="20"/>
        </w:rPr>
        <w:t>y que se encontraban pendientes de cumplimiento siete medidas</w:t>
      </w:r>
      <w:r w:rsidR="006468F0">
        <w:rPr>
          <w:rFonts w:ascii="Verdana" w:hAnsi="Verdana"/>
          <w:sz w:val="20"/>
        </w:rPr>
        <w:t xml:space="preserve"> de reparación</w:t>
      </w:r>
      <w:r w:rsidR="00384EAA">
        <w:rPr>
          <w:rStyle w:val="Refdenotaalpie"/>
          <w:rFonts w:ascii="Verdana" w:hAnsi="Verdana"/>
          <w:sz w:val="20"/>
        </w:rPr>
        <w:footnoteReference w:id="15"/>
      </w:r>
      <w:r w:rsidR="002D32CE">
        <w:rPr>
          <w:rFonts w:ascii="Verdana" w:hAnsi="Verdana"/>
          <w:sz w:val="20"/>
        </w:rPr>
        <w:t xml:space="preserve">. </w:t>
      </w:r>
    </w:p>
    <w:p w14:paraId="6D02DF5A" w14:textId="77777777" w:rsidR="00384EAA" w:rsidRPr="00384EAA" w:rsidRDefault="00384EAA" w:rsidP="00384EAA">
      <w:pPr>
        <w:widowControl w:val="0"/>
        <w:tabs>
          <w:tab w:val="left" w:pos="567"/>
        </w:tabs>
        <w:adjustRightInd w:val="0"/>
        <w:jc w:val="both"/>
        <w:textAlignment w:val="baseline"/>
        <w:rPr>
          <w:rFonts w:ascii="Verdana" w:hAnsi="Verdana" w:cs="Arial"/>
          <w:sz w:val="20"/>
          <w:szCs w:val="20"/>
          <w:lang w:val="es-MX"/>
        </w:rPr>
      </w:pPr>
    </w:p>
    <w:p w14:paraId="37AB039F" w14:textId="3D04677C" w:rsidR="008C3B7F" w:rsidRPr="00527BFA" w:rsidRDefault="008C3B7F" w:rsidP="00C6162E">
      <w:pPr>
        <w:widowControl w:val="0"/>
        <w:numPr>
          <w:ilvl w:val="0"/>
          <w:numId w:val="8"/>
        </w:numPr>
        <w:tabs>
          <w:tab w:val="left" w:pos="567"/>
          <w:tab w:val="num" w:pos="12305"/>
        </w:tabs>
        <w:adjustRightInd w:val="0"/>
        <w:ind w:left="0" w:firstLine="0"/>
        <w:jc w:val="both"/>
        <w:textAlignment w:val="baseline"/>
        <w:rPr>
          <w:rFonts w:ascii="Verdana" w:hAnsi="Verdana" w:cs="Arial"/>
          <w:sz w:val="20"/>
          <w:szCs w:val="20"/>
          <w:lang w:val="es-MX"/>
        </w:rPr>
      </w:pPr>
      <w:r w:rsidRPr="00527BFA">
        <w:rPr>
          <w:rFonts w:ascii="Verdana" w:hAnsi="Verdana"/>
          <w:sz w:val="20"/>
          <w:szCs w:val="20"/>
        </w:rPr>
        <w:t xml:space="preserve">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w:t>
      </w:r>
      <w:r w:rsidRPr="00527BFA">
        <w:rPr>
          <w:rFonts w:ascii="Verdana" w:hAnsi="Verdana"/>
          <w:sz w:val="20"/>
          <w:szCs w:val="20"/>
        </w:rPr>
        <w:lastRenderedPageBreak/>
        <w:t>cumplimiento de la Sentencia en su conjunto</w:t>
      </w:r>
      <w:r w:rsidRPr="00527BFA">
        <w:rPr>
          <w:rStyle w:val="Refdenotaalpie"/>
          <w:rFonts w:ascii="Verdana" w:hAnsi="Verdana"/>
          <w:sz w:val="20"/>
          <w:szCs w:val="20"/>
        </w:rPr>
        <w:footnoteReference w:id="16"/>
      </w:r>
      <w:r w:rsidRPr="00527BFA">
        <w:rPr>
          <w:rFonts w:ascii="Verdana" w:hAnsi="Verdana"/>
          <w:sz w:val="20"/>
          <w:szCs w:val="20"/>
        </w:rPr>
        <w:t>. Los Estados Parte en la Convención deben garantizar el cumplimiento de las disposiciones convencionales y sus efectos propios (</w:t>
      </w:r>
      <w:proofErr w:type="spellStart"/>
      <w:r w:rsidRPr="00527BFA">
        <w:rPr>
          <w:rFonts w:ascii="Verdana" w:hAnsi="Verdana"/>
          <w:i/>
          <w:sz w:val="20"/>
          <w:szCs w:val="20"/>
        </w:rPr>
        <w:t>effet</w:t>
      </w:r>
      <w:proofErr w:type="spellEnd"/>
      <w:r w:rsidRPr="00527BFA">
        <w:rPr>
          <w:rFonts w:ascii="Verdana" w:hAnsi="Verdana"/>
          <w:i/>
          <w:sz w:val="20"/>
          <w:szCs w:val="20"/>
        </w:rPr>
        <w:t xml:space="preserve"> </w:t>
      </w:r>
      <w:proofErr w:type="spellStart"/>
      <w:r w:rsidRPr="00527BFA">
        <w:rPr>
          <w:rFonts w:ascii="Verdana" w:hAnsi="Verdana"/>
          <w:i/>
          <w:sz w:val="20"/>
          <w:szCs w:val="20"/>
        </w:rPr>
        <w:t>utile</w:t>
      </w:r>
      <w:proofErr w:type="spellEnd"/>
      <w:r w:rsidRPr="00527BFA">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527BFA">
        <w:rPr>
          <w:rStyle w:val="Refdenotaalpie"/>
          <w:rFonts w:ascii="Verdana" w:hAnsi="Verdana"/>
          <w:sz w:val="20"/>
          <w:szCs w:val="20"/>
        </w:rPr>
        <w:footnoteReference w:id="17"/>
      </w:r>
      <w:r w:rsidRPr="00527BFA">
        <w:rPr>
          <w:rFonts w:ascii="Verdana" w:hAnsi="Verdana"/>
          <w:sz w:val="20"/>
          <w:szCs w:val="20"/>
        </w:rPr>
        <w:t>.</w:t>
      </w:r>
    </w:p>
    <w:p w14:paraId="36B6CC8B" w14:textId="77777777" w:rsidR="00130494" w:rsidRPr="00527BFA" w:rsidRDefault="00130494" w:rsidP="00130494">
      <w:pPr>
        <w:widowControl w:val="0"/>
        <w:tabs>
          <w:tab w:val="left" w:pos="567"/>
          <w:tab w:val="num" w:pos="12305"/>
        </w:tabs>
        <w:adjustRightInd w:val="0"/>
        <w:jc w:val="both"/>
        <w:textAlignment w:val="baseline"/>
        <w:rPr>
          <w:rFonts w:ascii="Verdana" w:hAnsi="Verdana" w:cs="Arial"/>
          <w:sz w:val="20"/>
          <w:szCs w:val="20"/>
          <w:lang w:val="es-MX"/>
        </w:rPr>
      </w:pPr>
    </w:p>
    <w:p w14:paraId="1DD1CBE9" w14:textId="47594FED" w:rsidR="00280A5D" w:rsidRPr="00527BFA" w:rsidRDefault="00130494" w:rsidP="00C6162E">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bookmarkStart w:id="2" w:name="_Ref26777135"/>
      <w:r w:rsidRPr="00527BFA">
        <w:rPr>
          <w:rFonts w:ascii="Verdana" w:hAnsi="Verdana"/>
          <w:sz w:val="20"/>
        </w:rPr>
        <w:t xml:space="preserve">Seguidamente, la Corte determinará el grado de cumplimiento por parte del Estado de las reparaciones ordenadas en la Sentencia que, a la </w:t>
      </w:r>
      <w:r w:rsidR="00DD5558" w:rsidRPr="00527BFA">
        <w:rPr>
          <w:rFonts w:ascii="Verdana" w:hAnsi="Verdana"/>
          <w:sz w:val="20"/>
        </w:rPr>
        <w:t>fecha</w:t>
      </w:r>
      <w:r w:rsidRPr="00527BFA">
        <w:rPr>
          <w:rFonts w:ascii="Verdana" w:hAnsi="Verdana"/>
          <w:sz w:val="20"/>
        </w:rPr>
        <w:t xml:space="preserve"> de la presente Resolución, continúan abiertas</w:t>
      </w:r>
      <w:r w:rsidR="00B02313" w:rsidRPr="00527BFA">
        <w:rPr>
          <w:rFonts w:ascii="Verdana" w:hAnsi="Verdana"/>
          <w:sz w:val="20"/>
        </w:rPr>
        <w:t xml:space="preserve">, </w:t>
      </w:r>
      <w:r w:rsidR="00D813A6" w:rsidRPr="00527BFA">
        <w:rPr>
          <w:rFonts w:ascii="Verdana" w:hAnsi="Verdana"/>
          <w:sz w:val="20"/>
        </w:rPr>
        <w:t>a excepción de la medida</w:t>
      </w:r>
      <w:r w:rsidR="00E1580B">
        <w:rPr>
          <w:rFonts w:ascii="Verdana" w:hAnsi="Verdana"/>
          <w:sz w:val="20"/>
        </w:rPr>
        <w:t>s</w:t>
      </w:r>
      <w:r w:rsidR="00D813A6" w:rsidRPr="00527BFA">
        <w:rPr>
          <w:rFonts w:ascii="Verdana" w:hAnsi="Verdana"/>
          <w:sz w:val="20"/>
        </w:rPr>
        <w:t xml:space="preserve"> relativa</w:t>
      </w:r>
      <w:r w:rsidR="00E1580B">
        <w:rPr>
          <w:rFonts w:ascii="Verdana" w:hAnsi="Verdana"/>
          <w:sz w:val="20"/>
        </w:rPr>
        <w:t>s</w:t>
      </w:r>
      <w:r w:rsidR="00D813A6" w:rsidRPr="00527BFA">
        <w:rPr>
          <w:rFonts w:ascii="Verdana" w:hAnsi="Verdana"/>
          <w:sz w:val="20"/>
        </w:rPr>
        <w:t xml:space="preserve"> a </w:t>
      </w:r>
      <w:r w:rsidR="00C163F8" w:rsidRPr="00527BFA">
        <w:rPr>
          <w:rFonts w:ascii="Verdana" w:hAnsi="Verdana"/>
          <w:sz w:val="20"/>
        </w:rPr>
        <w:t>la búsqueda e identificación de las víctimas desaparecidas (</w:t>
      </w:r>
      <w:r w:rsidR="00DE51F6">
        <w:rPr>
          <w:rFonts w:ascii="Verdana" w:hAnsi="Verdana"/>
          <w:i/>
          <w:sz w:val="20"/>
        </w:rPr>
        <w:t>puntos resolutivos noveno y décimo</w:t>
      </w:r>
      <w:r w:rsidR="00C163F8" w:rsidRPr="00527BFA">
        <w:rPr>
          <w:rFonts w:ascii="Verdana" w:hAnsi="Verdana"/>
          <w:sz w:val="20"/>
        </w:rPr>
        <w:t xml:space="preserve">) y </w:t>
      </w:r>
      <w:r w:rsidR="00E1580B">
        <w:rPr>
          <w:rFonts w:ascii="Verdana" w:hAnsi="Verdana"/>
          <w:sz w:val="20"/>
        </w:rPr>
        <w:t xml:space="preserve">a </w:t>
      </w:r>
      <w:r w:rsidR="00D813A6" w:rsidRPr="00527BFA">
        <w:rPr>
          <w:rFonts w:ascii="Verdana" w:hAnsi="Verdana"/>
          <w:sz w:val="20"/>
        </w:rPr>
        <w:t>brindar tratamiento médico y psicológico (</w:t>
      </w:r>
      <w:r w:rsidR="00DE51F6">
        <w:rPr>
          <w:rFonts w:ascii="Verdana" w:hAnsi="Verdana"/>
          <w:i/>
          <w:sz w:val="20"/>
        </w:rPr>
        <w:t>punto resolutivo onceavo</w:t>
      </w:r>
      <w:r w:rsidR="00D813A6" w:rsidRPr="00527BFA">
        <w:rPr>
          <w:rFonts w:ascii="Verdana" w:hAnsi="Verdana"/>
          <w:sz w:val="20"/>
        </w:rPr>
        <w:t>),</w:t>
      </w:r>
      <w:r w:rsidR="00C163F8" w:rsidRPr="00527BFA">
        <w:rPr>
          <w:rFonts w:ascii="Verdana" w:hAnsi="Verdana"/>
          <w:sz w:val="20"/>
        </w:rPr>
        <w:t xml:space="preserve"> </w:t>
      </w:r>
      <w:r w:rsidR="00E1580B">
        <w:rPr>
          <w:rFonts w:ascii="Verdana" w:hAnsi="Verdana"/>
          <w:sz w:val="20"/>
        </w:rPr>
        <w:t xml:space="preserve">las cuales serán valoradas posteriormente, tomando en cuenta la </w:t>
      </w:r>
      <w:r w:rsidR="00D813A6" w:rsidRPr="00527BFA">
        <w:rPr>
          <w:rFonts w:ascii="Verdana" w:hAnsi="Verdana"/>
          <w:sz w:val="20"/>
        </w:rPr>
        <w:t>supervisión conjunta de esta</w:t>
      </w:r>
      <w:r w:rsidR="00CF706E" w:rsidRPr="00527BFA">
        <w:rPr>
          <w:rFonts w:ascii="Verdana" w:hAnsi="Verdana"/>
          <w:sz w:val="20"/>
        </w:rPr>
        <w:t>s</w:t>
      </w:r>
      <w:r w:rsidR="00D813A6" w:rsidRPr="00527BFA">
        <w:rPr>
          <w:rFonts w:ascii="Verdana" w:hAnsi="Verdana"/>
          <w:sz w:val="20"/>
        </w:rPr>
        <w:t xml:space="preserve"> medida</w:t>
      </w:r>
      <w:r w:rsidR="00CF706E" w:rsidRPr="00527BFA">
        <w:rPr>
          <w:rFonts w:ascii="Verdana" w:hAnsi="Verdana"/>
          <w:sz w:val="20"/>
        </w:rPr>
        <w:t>s</w:t>
      </w:r>
      <w:r w:rsidR="00E1580B">
        <w:rPr>
          <w:rFonts w:ascii="Verdana" w:hAnsi="Verdana"/>
          <w:sz w:val="20"/>
        </w:rPr>
        <w:t xml:space="preserve"> en varios casos de Colombia</w:t>
      </w:r>
      <w:r w:rsidR="00CF706E" w:rsidRPr="00527BFA">
        <w:rPr>
          <w:rStyle w:val="Refdenotaalpie"/>
          <w:rFonts w:ascii="Verdana" w:hAnsi="Verdana"/>
          <w:sz w:val="20"/>
        </w:rPr>
        <w:footnoteReference w:id="18"/>
      </w:r>
      <w:r w:rsidR="00280A5D" w:rsidRPr="00527BFA">
        <w:rPr>
          <w:rFonts w:ascii="Verdana" w:hAnsi="Verdana"/>
          <w:sz w:val="20"/>
        </w:rPr>
        <w:t xml:space="preserve">. </w:t>
      </w:r>
    </w:p>
    <w:p w14:paraId="14887433" w14:textId="77777777" w:rsidR="00280A5D" w:rsidRPr="00527BFA" w:rsidRDefault="00280A5D" w:rsidP="00280A5D">
      <w:pPr>
        <w:widowControl w:val="0"/>
        <w:tabs>
          <w:tab w:val="left" w:pos="567"/>
        </w:tabs>
        <w:adjustRightInd w:val="0"/>
        <w:jc w:val="both"/>
        <w:textAlignment w:val="baseline"/>
        <w:rPr>
          <w:rFonts w:ascii="Verdana" w:hAnsi="Verdana"/>
          <w:sz w:val="20"/>
          <w:szCs w:val="20"/>
        </w:rPr>
      </w:pPr>
    </w:p>
    <w:p w14:paraId="51DE981A" w14:textId="3BC7467A" w:rsidR="00FE4876" w:rsidRPr="00527BFA" w:rsidRDefault="00130494" w:rsidP="00C6162E">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rPr>
        <w:t xml:space="preserve">Para </w:t>
      </w:r>
      <w:r w:rsidR="00280A5D" w:rsidRPr="00527BFA">
        <w:rPr>
          <w:rFonts w:ascii="Verdana" w:hAnsi="Verdana"/>
          <w:sz w:val="20"/>
        </w:rPr>
        <w:t>realizar el presente análisis</w:t>
      </w:r>
      <w:r w:rsidRPr="00527BFA">
        <w:rPr>
          <w:rFonts w:ascii="Verdana" w:hAnsi="Verdana"/>
          <w:sz w:val="20"/>
        </w:rPr>
        <w:t xml:space="preserve">, </w:t>
      </w:r>
      <w:r w:rsidR="00280A5D" w:rsidRPr="00527BFA">
        <w:rPr>
          <w:rFonts w:ascii="Verdana" w:hAnsi="Verdana"/>
          <w:sz w:val="20"/>
        </w:rPr>
        <w:t xml:space="preserve">la Corte </w:t>
      </w:r>
      <w:r w:rsidRPr="00527BFA">
        <w:rPr>
          <w:rFonts w:ascii="Verdana" w:hAnsi="Verdana"/>
          <w:sz w:val="20"/>
        </w:rPr>
        <w:t>tomará en cuenta tanto la información escrita, como particularmente la obtenida durante las audiencia</w:t>
      </w:r>
      <w:r w:rsidR="00DD5558" w:rsidRPr="00527BFA">
        <w:rPr>
          <w:rFonts w:ascii="Verdana" w:hAnsi="Verdana"/>
          <w:sz w:val="20"/>
        </w:rPr>
        <w:t>s privadas</w:t>
      </w:r>
      <w:r w:rsidRPr="00527BFA">
        <w:rPr>
          <w:rFonts w:ascii="Verdana" w:hAnsi="Verdana"/>
          <w:sz w:val="20"/>
        </w:rPr>
        <w:t xml:space="preserve"> de supervisión celebrada</w:t>
      </w:r>
      <w:r w:rsidR="00DD5558" w:rsidRPr="00527BFA">
        <w:rPr>
          <w:rFonts w:ascii="Verdana" w:hAnsi="Verdana"/>
          <w:sz w:val="20"/>
        </w:rPr>
        <w:t xml:space="preserve">s entre el </w:t>
      </w:r>
      <w:r w:rsidR="00DD5558" w:rsidRPr="00527BFA">
        <w:rPr>
          <w:rFonts w:ascii="Verdana" w:hAnsi="Verdana"/>
          <w:sz w:val="20"/>
          <w:szCs w:val="20"/>
          <w:lang w:val="es-ES_tradnl"/>
        </w:rPr>
        <w:t>19 de mayo de 2010 y el 5 de septiembre de 2019</w:t>
      </w:r>
      <w:r w:rsidR="00DD5558" w:rsidRPr="00527BFA">
        <w:rPr>
          <w:rFonts w:ascii="Verdana" w:hAnsi="Verdana"/>
          <w:sz w:val="20"/>
        </w:rPr>
        <w:t xml:space="preserve"> (</w:t>
      </w:r>
      <w:r w:rsidR="00DD5558" w:rsidRPr="00527BFA">
        <w:rPr>
          <w:rFonts w:ascii="Verdana" w:hAnsi="Verdana"/>
          <w:i/>
          <w:sz w:val="20"/>
        </w:rPr>
        <w:t>supra</w:t>
      </w:r>
      <w:r w:rsidR="00DD5558" w:rsidRPr="00527BFA">
        <w:rPr>
          <w:rFonts w:ascii="Verdana" w:hAnsi="Verdana"/>
          <w:sz w:val="20"/>
        </w:rPr>
        <w:t xml:space="preserve"> Visto 4).</w:t>
      </w:r>
      <w:r w:rsidRPr="00527BFA">
        <w:rPr>
          <w:rFonts w:ascii="Verdana" w:eastAsia="Times" w:hAnsi="Verdana"/>
          <w:sz w:val="20"/>
          <w:szCs w:val="20"/>
        </w:rPr>
        <w:t xml:space="preserve"> Asimismo, e</w:t>
      </w:r>
      <w:r w:rsidR="008C3B7F" w:rsidRPr="00527BFA">
        <w:rPr>
          <w:rFonts w:ascii="Verdana" w:eastAsia="Times" w:hAnsi="Verdana"/>
          <w:sz w:val="20"/>
          <w:szCs w:val="20"/>
        </w:rPr>
        <w:t xml:space="preserve">l Tribunal tomará en cuenta, </w:t>
      </w:r>
      <w:r w:rsidR="008C3B7F" w:rsidRPr="00527BFA">
        <w:rPr>
          <w:rFonts w:ascii="Verdana" w:eastAsia="Times New Roman" w:hAnsi="Verdana"/>
          <w:sz w:val="20"/>
          <w:szCs w:val="20"/>
        </w:rPr>
        <w:t>en</w:t>
      </w:r>
      <w:r w:rsidR="008C3B7F" w:rsidRPr="00527BFA">
        <w:rPr>
          <w:rFonts w:ascii="Verdana" w:eastAsia="Times" w:hAnsi="Verdana"/>
          <w:sz w:val="20"/>
          <w:szCs w:val="20"/>
        </w:rPr>
        <w:t xml:space="preserve"> la medida de lo pertinente, lo expuesto por la Defensoría del Pueblo </w:t>
      </w:r>
      <w:r w:rsidR="008C3B7F" w:rsidRPr="00527BFA">
        <w:rPr>
          <w:rFonts w:ascii="Verdana" w:eastAsia="Times New Roman" w:hAnsi="Verdana"/>
          <w:sz w:val="20"/>
          <w:szCs w:val="20"/>
        </w:rPr>
        <w:t>de</w:t>
      </w:r>
      <w:r w:rsidR="008C3B7F" w:rsidRPr="00527BFA">
        <w:rPr>
          <w:rFonts w:ascii="Verdana" w:eastAsia="Times" w:hAnsi="Verdana"/>
          <w:sz w:val="20"/>
          <w:szCs w:val="20"/>
        </w:rPr>
        <w:t xml:space="preserve"> Colombia en su informe </w:t>
      </w:r>
      <w:r w:rsidR="00DD5558" w:rsidRPr="00527BFA">
        <w:rPr>
          <w:rFonts w:ascii="Verdana" w:eastAsia="Times" w:hAnsi="Verdana"/>
          <w:sz w:val="20"/>
          <w:szCs w:val="20"/>
        </w:rPr>
        <w:t xml:space="preserve">del año 2019 </w:t>
      </w:r>
      <w:r w:rsidR="008C3B7F" w:rsidRPr="00527BFA">
        <w:rPr>
          <w:rFonts w:ascii="Verdana" w:eastAsia="Times" w:hAnsi="Verdana"/>
          <w:sz w:val="20"/>
          <w:szCs w:val="20"/>
        </w:rPr>
        <w:t xml:space="preserve">sobre el cumplimiento de las Sentencias </w:t>
      </w:r>
      <w:r w:rsidR="008C3B7F" w:rsidRPr="006468F0">
        <w:rPr>
          <w:rFonts w:ascii="Verdana" w:hAnsi="Verdana"/>
          <w:sz w:val="20"/>
        </w:rPr>
        <w:t>emitidas</w:t>
      </w:r>
      <w:r w:rsidR="008C3B7F" w:rsidRPr="00527BFA">
        <w:rPr>
          <w:rFonts w:ascii="Verdana" w:eastAsia="Times" w:hAnsi="Verdana"/>
          <w:sz w:val="20"/>
          <w:szCs w:val="20"/>
        </w:rPr>
        <w:t xml:space="preserve"> por la Corte Interamericana contra </w:t>
      </w:r>
      <w:r w:rsidR="00DD5558" w:rsidRPr="00527BFA">
        <w:rPr>
          <w:rFonts w:ascii="Verdana" w:eastAsia="Times" w:hAnsi="Verdana"/>
          <w:sz w:val="20"/>
          <w:szCs w:val="20"/>
        </w:rPr>
        <w:t>dicho</w:t>
      </w:r>
      <w:r w:rsidR="008C3B7F" w:rsidRPr="00527BFA">
        <w:rPr>
          <w:rFonts w:ascii="Verdana" w:eastAsia="Times" w:hAnsi="Verdana"/>
          <w:sz w:val="20"/>
          <w:szCs w:val="20"/>
        </w:rPr>
        <w:t xml:space="preserve"> Estado (</w:t>
      </w:r>
      <w:r w:rsidR="008C3B7F" w:rsidRPr="00527BFA">
        <w:rPr>
          <w:rFonts w:ascii="Verdana" w:eastAsia="Times" w:hAnsi="Verdana"/>
          <w:i/>
          <w:sz w:val="20"/>
          <w:szCs w:val="20"/>
        </w:rPr>
        <w:t>supra</w:t>
      </w:r>
      <w:r w:rsidR="008C3B7F" w:rsidRPr="00527BFA">
        <w:rPr>
          <w:rFonts w:ascii="Verdana" w:eastAsia="Times" w:hAnsi="Verdana"/>
          <w:sz w:val="20"/>
          <w:szCs w:val="20"/>
        </w:rPr>
        <w:t xml:space="preserve"> Visto </w:t>
      </w:r>
      <w:r w:rsidR="00DE51F6">
        <w:rPr>
          <w:rFonts w:ascii="Verdana" w:eastAsia="Times" w:hAnsi="Verdana"/>
          <w:sz w:val="20"/>
          <w:szCs w:val="20"/>
        </w:rPr>
        <w:t>8</w:t>
      </w:r>
      <w:r w:rsidR="008C3B7F" w:rsidRPr="00527BFA">
        <w:rPr>
          <w:rFonts w:ascii="Verdana" w:eastAsia="Times" w:hAnsi="Verdana"/>
          <w:sz w:val="20"/>
          <w:szCs w:val="20"/>
        </w:rPr>
        <w:t>)</w:t>
      </w:r>
      <w:r w:rsidR="008C3B7F" w:rsidRPr="00527BFA">
        <w:rPr>
          <w:rStyle w:val="Refdenotaalpie"/>
          <w:rFonts w:ascii="Verdana" w:eastAsia="Times" w:hAnsi="Verdana"/>
          <w:sz w:val="20"/>
          <w:szCs w:val="20"/>
        </w:rPr>
        <w:footnoteReference w:id="19"/>
      </w:r>
      <w:r w:rsidR="008C3B7F" w:rsidRPr="00527BFA">
        <w:rPr>
          <w:rFonts w:ascii="Verdana" w:eastAsia="Times" w:hAnsi="Verdana"/>
          <w:sz w:val="20"/>
          <w:szCs w:val="20"/>
        </w:rPr>
        <w:t xml:space="preserve">. </w:t>
      </w:r>
      <w:r w:rsidR="008C3B7F" w:rsidRPr="00527BFA">
        <w:rPr>
          <w:rFonts w:ascii="Verdana" w:hAnsi="Verdana"/>
          <w:sz w:val="20"/>
          <w:szCs w:val="20"/>
        </w:rPr>
        <w:t>Ello será valorado por el Tribunal como “otra fuente de información” que le permita apreciar el cumplimiento de lo ordenado, conforme lo dispuesto en el 69.2 del Reglamento de la Corte</w:t>
      </w:r>
      <w:r w:rsidR="008C3B7F" w:rsidRPr="00527BFA">
        <w:rPr>
          <w:rStyle w:val="Refdenotaalpie"/>
          <w:rFonts w:ascii="Verdana" w:hAnsi="Verdana"/>
          <w:sz w:val="20"/>
          <w:szCs w:val="20"/>
        </w:rPr>
        <w:footnoteReference w:id="20"/>
      </w:r>
      <w:r w:rsidR="008C3B7F" w:rsidRPr="00527BFA">
        <w:rPr>
          <w:rFonts w:ascii="Verdana" w:hAnsi="Verdana"/>
          <w:sz w:val="20"/>
          <w:szCs w:val="20"/>
        </w:rPr>
        <w:t>, y se entiende que esta información es distinta a la que brinda el Estado en su carácter de parte en el proceso de supervisión de cumplimiento.</w:t>
      </w:r>
      <w:bookmarkEnd w:id="2"/>
      <w:r w:rsidR="008C3B7F" w:rsidRPr="00527BFA">
        <w:rPr>
          <w:rFonts w:ascii="Verdana" w:hAnsi="Verdana"/>
          <w:sz w:val="20"/>
          <w:szCs w:val="20"/>
        </w:rPr>
        <w:t xml:space="preserve"> </w:t>
      </w:r>
    </w:p>
    <w:p w14:paraId="637DF389" w14:textId="77777777" w:rsidR="00D15B0D" w:rsidRPr="00527BFA" w:rsidRDefault="00D15B0D" w:rsidP="00D15B0D">
      <w:pPr>
        <w:widowControl w:val="0"/>
        <w:tabs>
          <w:tab w:val="left" w:pos="567"/>
          <w:tab w:val="num" w:pos="12305"/>
        </w:tabs>
        <w:adjustRightInd w:val="0"/>
        <w:jc w:val="both"/>
        <w:textAlignment w:val="baseline"/>
        <w:rPr>
          <w:rFonts w:ascii="Verdana" w:hAnsi="Verdana"/>
          <w:sz w:val="20"/>
          <w:szCs w:val="20"/>
        </w:rPr>
      </w:pPr>
    </w:p>
    <w:p w14:paraId="71F4C3A8" w14:textId="77777777" w:rsidR="00582BD3" w:rsidRPr="00527BFA" w:rsidRDefault="008C3B7F" w:rsidP="00637836">
      <w:pPr>
        <w:widowControl w:val="0"/>
        <w:numPr>
          <w:ilvl w:val="0"/>
          <w:numId w:val="8"/>
        </w:numPr>
        <w:tabs>
          <w:tab w:val="left" w:pos="567"/>
          <w:tab w:val="num" w:pos="12305"/>
        </w:tabs>
        <w:adjustRightInd w:val="0"/>
        <w:spacing w:after="240"/>
        <w:ind w:left="0" w:firstLine="0"/>
        <w:jc w:val="both"/>
        <w:textAlignment w:val="baseline"/>
        <w:rPr>
          <w:rFonts w:ascii="Verdana" w:hAnsi="Verdana" w:cs="Arial"/>
          <w:sz w:val="20"/>
          <w:szCs w:val="20"/>
          <w:lang w:val="es-MX"/>
        </w:rPr>
      </w:pPr>
      <w:r w:rsidRPr="00527BFA">
        <w:rPr>
          <w:rFonts w:ascii="Verdana" w:hAnsi="Verdana" w:cs="Arial"/>
          <w:sz w:val="20"/>
          <w:szCs w:val="20"/>
          <w:lang w:val="es-MX"/>
        </w:rPr>
        <w:lastRenderedPageBreak/>
        <w:t xml:space="preserve">La Corte </w:t>
      </w:r>
      <w:r w:rsidRPr="00527BFA">
        <w:rPr>
          <w:rFonts w:ascii="Verdana" w:hAnsi="Verdana"/>
          <w:sz w:val="20"/>
        </w:rPr>
        <w:t>estructurará</w:t>
      </w:r>
      <w:r w:rsidRPr="00527BFA">
        <w:rPr>
          <w:rFonts w:ascii="Verdana" w:hAnsi="Verdana" w:cs="Arial"/>
          <w:sz w:val="20"/>
          <w:szCs w:val="20"/>
          <w:lang w:val="es-MX"/>
        </w:rPr>
        <w:t xml:space="preserve"> sus consideraciones en el siguiente orden:</w:t>
      </w:r>
    </w:p>
    <w:p w14:paraId="55FEB839" w14:textId="585BFEE8" w:rsidR="004833B2" w:rsidRPr="004833B2" w:rsidRDefault="000B7F0B">
      <w:pPr>
        <w:pStyle w:val="TDC1"/>
        <w:tabs>
          <w:tab w:val="left" w:pos="660"/>
          <w:tab w:val="right" w:leader="dot" w:pos="8832"/>
        </w:tabs>
        <w:rPr>
          <w:rFonts w:ascii="Verdana" w:eastAsiaTheme="minorEastAsia" w:hAnsi="Verdana" w:cstheme="minorBidi"/>
          <w:noProof/>
          <w:sz w:val="20"/>
          <w:szCs w:val="20"/>
          <w:lang w:val="es-CR" w:eastAsia="es-CR"/>
        </w:rPr>
      </w:pPr>
      <w:r w:rsidRPr="00637836">
        <w:rPr>
          <w:rFonts w:ascii="Verdana" w:hAnsi="Verdana" w:cs="Arial"/>
          <w:sz w:val="18"/>
          <w:szCs w:val="18"/>
          <w:lang w:val="es-MX"/>
        </w:rPr>
        <w:fldChar w:fldCharType="begin"/>
      </w:r>
      <w:r w:rsidRPr="00637836">
        <w:rPr>
          <w:rFonts w:ascii="Verdana" w:hAnsi="Verdana" w:cs="Arial"/>
          <w:sz w:val="18"/>
          <w:szCs w:val="18"/>
          <w:lang w:val="es-MX"/>
        </w:rPr>
        <w:instrText xml:space="preserve"> TOC \o "1-1" \h \z \u </w:instrText>
      </w:r>
      <w:r w:rsidRPr="00637836">
        <w:rPr>
          <w:rFonts w:ascii="Verdana" w:hAnsi="Verdana" w:cs="Arial"/>
          <w:sz w:val="18"/>
          <w:szCs w:val="18"/>
          <w:lang w:val="es-MX"/>
        </w:rPr>
        <w:fldChar w:fldCharType="separate"/>
      </w:r>
      <w:hyperlink w:anchor="_Toc59126502" w:history="1">
        <w:r w:rsidR="004833B2" w:rsidRPr="004833B2">
          <w:rPr>
            <w:rStyle w:val="Hipervnculo"/>
            <w:rFonts w:ascii="Verdana" w:hAnsi="Verdana"/>
            <w:noProof/>
            <w:sz w:val="20"/>
            <w:szCs w:val="20"/>
          </w:rPr>
          <w:t>A.</w:t>
        </w:r>
        <w:r w:rsidR="004833B2" w:rsidRPr="004833B2">
          <w:rPr>
            <w:rFonts w:ascii="Verdana" w:eastAsiaTheme="minorEastAsia" w:hAnsi="Verdana" w:cstheme="minorBidi"/>
            <w:noProof/>
            <w:sz w:val="20"/>
            <w:szCs w:val="20"/>
            <w:lang w:val="es-CR" w:eastAsia="es-CR"/>
          </w:rPr>
          <w:tab/>
        </w:r>
        <w:r w:rsidR="004833B2" w:rsidRPr="004833B2">
          <w:rPr>
            <w:rStyle w:val="Hipervnculo"/>
            <w:rFonts w:ascii="Verdana" w:hAnsi="Verdana"/>
            <w:noProof/>
            <w:sz w:val="20"/>
            <w:szCs w:val="20"/>
          </w:rPr>
          <w:t>Obligación de investigar los hechos y, en su caso, sancionar a los responsables</w:t>
        </w:r>
        <w:r w:rsidR="004833B2" w:rsidRPr="004833B2">
          <w:rPr>
            <w:rFonts w:ascii="Verdana" w:hAnsi="Verdana"/>
            <w:noProof/>
            <w:webHidden/>
            <w:sz w:val="20"/>
            <w:szCs w:val="20"/>
          </w:rPr>
          <w:tab/>
        </w:r>
        <w:r w:rsidR="004833B2" w:rsidRPr="004833B2">
          <w:rPr>
            <w:rFonts w:ascii="Verdana" w:hAnsi="Verdana"/>
            <w:noProof/>
            <w:webHidden/>
            <w:sz w:val="20"/>
            <w:szCs w:val="20"/>
          </w:rPr>
          <w:fldChar w:fldCharType="begin"/>
        </w:r>
        <w:r w:rsidR="004833B2" w:rsidRPr="004833B2">
          <w:rPr>
            <w:rFonts w:ascii="Verdana" w:hAnsi="Verdana"/>
            <w:noProof/>
            <w:webHidden/>
            <w:sz w:val="20"/>
            <w:szCs w:val="20"/>
          </w:rPr>
          <w:instrText xml:space="preserve"> PAGEREF _Toc59126502 \h </w:instrText>
        </w:r>
        <w:r w:rsidR="004833B2" w:rsidRPr="004833B2">
          <w:rPr>
            <w:rFonts w:ascii="Verdana" w:hAnsi="Verdana"/>
            <w:noProof/>
            <w:webHidden/>
            <w:sz w:val="20"/>
            <w:szCs w:val="20"/>
          </w:rPr>
        </w:r>
        <w:r w:rsidR="004833B2" w:rsidRPr="004833B2">
          <w:rPr>
            <w:rFonts w:ascii="Verdana" w:hAnsi="Verdana"/>
            <w:noProof/>
            <w:webHidden/>
            <w:sz w:val="20"/>
            <w:szCs w:val="20"/>
          </w:rPr>
          <w:fldChar w:fldCharType="separate"/>
        </w:r>
        <w:r w:rsidR="009909AB">
          <w:rPr>
            <w:rFonts w:ascii="Verdana" w:hAnsi="Verdana"/>
            <w:noProof/>
            <w:webHidden/>
            <w:sz w:val="20"/>
            <w:szCs w:val="20"/>
          </w:rPr>
          <w:t>5</w:t>
        </w:r>
        <w:r w:rsidR="004833B2" w:rsidRPr="004833B2">
          <w:rPr>
            <w:rFonts w:ascii="Verdana" w:hAnsi="Verdana"/>
            <w:noProof/>
            <w:webHidden/>
            <w:sz w:val="20"/>
            <w:szCs w:val="20"/>
          </w:rPr>
          <w:fldChar w:fldCharType="end"/>
        </w:r>
      </w:hyperlink>
    </w:p>
    <w:p w14:paraId="27EE4996" w14:textId="39E3C5ED" w:rsidR="004833B2" w:rsidRPr="004833B2" w:rsidRDefault="00800933">
      <w:pPr>
        <w:pStyle w:val="TDC1"/>
        <w:tabs>
          <w:tab w:val="left" w:pos="660"/>
          <w:tab w:val="right" w:leader="dot" w:pos="8832"/>
        </w:tabs>
        <w:rPr>
          <w:rFonts w:ascii="Verdana" w:eastAsiaTheme="minorEastAsia" w:hAnsi="Verdana" w:cstheme="minorBidi"/>
          <w:noProof/>
          <w:sz w:val="20"/>
          <w:szCs w:val="20"/>
          <w:lang w:val="es-CR" w:eastAsia="es-CR"/>
        </w:rPr>
      </w:pPr>
      <w:hyperlink w:anchor="_Toc59126503" w:history="1">
        <w:r w:rsidR="004833B2" w:rsidRPr="004833B2">
          <w:rPr>
            <w:rStyle w:val="Hipervnculo"/>
            <w:rFonts w:ascii="Verdana" w:hAnsi="Verdana"/>
            <w:noProof/>
            <w:sz w:val="20"/>
            <w:szCs w:val="20"/>
          </w:rPr>
          <w:t>B.</w:t>
        </w:r>
        <w:r w:rsidR="004833B2" w:rsidRPr="004833B2">
          <w:rPr>
            <w:rFonts w:ascii="Verdana" w:eastAsiaTheme="minorEastAsia" w:hAnsi="Verdana" w:cstheme="minorBidi"/>
            <w:noProof/>
            <w:sz w:val="20"/>
            <w:szCs w:val="20"/>
            <w:lang w:val="es-CR" w:eastAsia="es-CR"/>
          </w:rPr>
          <w:tab/>
        </w:r>
        <w:r w:rsidR="004833B2" w:rsidRPr="004833B2">
          <w:rPr>
            <w:rStyle w:val="Hipervnculo"/>
            <w:rFonts w:ascii="Verdana" w:hAnsi="Verdana"/>
            <w:noProof/>
            <w:sz w:val="20"/>
            <w:szCs w:val="20"/>
          </w:rPr>
          <w:t>Condiciones de seguridad para garantizar retorno a Pueblo Bello y programa de vivienda para los familiares que regresen a Pueblo Bello</w:t>
        </w:r>
        <w:r w:rsidR="004833B2" w:rsidRPr="004833B2">
          <w:rPr>
            <w:rFonts w:ascii="Verdana" w:hAnsi="Verdana"/>
            <w:noProof/>
            <w:webHidden/>
            <w:sz w:val="20"/>
            <w:szCs w:val="20"/>
          </w:rPr>
          <w:tab/>
        </w:r>
        <w:r w:rsidR="004833B2" w:rsidRPr="004833B2">
          <w:rPr>
            <w:rFonts w:ascii="Verdana" w:hAnsi="Verdana"/>
            <w:noProof/>
            <w:webHidden/>
            <w:sz w:val="20"/>
            <w:szCs w:val="20"/>
          </w:rPr>
          <w:fldChar w:fldCharType="begin"/>
        </w:r>
        <w:r w:rsidR="004833B2" w:rsidRPr="004833B2">
          <w:rPr>
            <w:rFonts w:ascii="Verdana" w:hAnsi="Verdana"/>
            <w:noProof/>
            <w:webHidden/>
            <w:sz w:val="20"/>
            <w:szCs w:val="20"/>
          </w:rPr>
          <w:instrText xml:space="preserve"> PAGEREF _Toc59126503 \h </w:instrText>
        </w:r>
        <w:r w:rsidR="004833B2" w:rsidRPr="004833B2">
          <w:rPr>
            <w:rFonts w:ascii="Verdana" w:hAnsi="Verdana"/>
            <w:noProof/>
            <w:webHidden/>
            <w:sz w:val="20"/>
            <w:szCs w:val="20"/>
          </w:rPr>
        </w:r>
        <w:r w:rsidR="004833B2" w:rsidRPr="004833B2">
          <w:rPr>
            <w:rFonts w:ascii="Verdana" w:hAnsi="Verdana"/>
            <w:noProof/>
            <w:webHidden/>
            <w:sz w:val="20"/>
            <w:szCs w:val="20"/>
          </w:rPr>
          <w:fldChar w:fldCharType="separate"/>
        </w:r>
        <w:r w:rsidR="009909AB">
          <w:rPr>
            <w:rFonts w:ascii="Verdana" w:hAnsi="Verdana"/>
            <w:noProof/>
            <w:webHidden/>
            <w:sz w:val="20"/>
            <w:szCs w:val="20"/>
          </w:rPr>
          <w:t>9</w:t>
        </w:r>
        <w:r w:rsidR="004833B2" w:rsidRPr="004833B2">
          <w:rPr>
            <w:rFonts w:ascii="Verdana" w:hAnsi="Verdana"/>
            <w:noProof/>
            <w:webHidden/>
            <w:sz w:val="20"/>
            <w:szCs w:val="20"/>
          </w:rPr>
          <w:fldChar w:fldCharType="end"/>
        </w:r>
      </w:hyperlink>
    </w:p>
    <w:p w14:paraId="7B89C206" w14:textId="41FC71AB" w:rsidR="004833B2" w:rsidRPr="004833B2" w:rsidRDefault="00800933">
      <w:pPr>
        <w:pStyle w:val="TDC1"/>
        <w:tabs>
          <w:tab w:val="left" w:pos="660"/>
          <w:tab w:val="right" w:leader="dot" w:pos="8832"/>
        </w:tabs>
        <w:rPr>
          <w:rFonts w:ascii="Verdana" w:eastAsiaTheme="minorEastAsia" w:hAnsi="Verdana" w:cstheme="minorBidi"/>
          <w:noProof/>
          <w:sz w:val="20"/>
          <w:szCs w:val="20"/>
          <w:lang w:val="es-CR" w:eastAsia="es-CR"/>
        </w:rPr>
      </w:pPr>
      <w:hyperlink w:anchor="_Toc59126504" w:history="1">
        <w:r w:rsidR="004833B2" w:rsidRPr="004833B2">
          <w:rPr>
            <w:rStyle w:val="Hipervnculo"/>
            <w:rFonts w:ascii="Verdana" w:hAnsi="Verdana"/>
            <w:noProof/>
            <w:sz w:val="20"/>
            <w:szCs w:val="20"/>
          </w:rPr>
          <w:t>C.</w:t>
        </w:r>
        <w:r w:rsidR="004833B2" w:rsidRPr="004833B2">
          <w:rPr>
            <w:rFonts w:ascii="Verdana" w:eastAsiaTheme="minorEastAsia" w:hAnsi="Verdana" w:cstheme="minorBidi"/>
            <w:noProof/>
            <w:sz w:val="20"/>
            <w:szCs w:val="20"/>
            <w:lang w:val="es-CR" w:eastAsia="es-CR"/>
          </w:rPr>
          <w:tab/>
        </w:r>
        <w:r w:rsidR="004833B2" w:rsidRPr="004833B2">
          <w:rPr>
            <w:rStyle w:val="Hipervnculo"/>
            <w:rFonts w:ascii="Verdana" w:hAnsi="Verdana"/>
            <w:noProof/>
            <w:sz w:val="20"/>
            <w:szCs w:val="20"/>
          </w:rPr>
          <w:t>Construcción de un monumento</w:t>
        </w:r>
        <w:r w:rsidR="004833B2" w:rsidRPr="004833B2">
          <w:rPr>
            <w:rFonts w:ascii="Verdana" w:hAnsi="Verdana"/>
            <w:noProof/>
            <w:webHidden/>
            <w:sz w:val="20"/>
            <w:szCs w:val="20"/>
          </w:rPr>
          <w:tab/>
        </w:r>
        <w:r w:rsidR="004833B2" w:rsidRPr="004833B2">
          <w:rPr>
            <w:rFonts w:ascii="Verdana" w:hAnsi="Verdana"/>
            <w:noProof/>
            <w:webHidden/>
            <w:sz w:val="20"/>
            <w:szCs w:val="20"/>
          </w:rPr>
          <w:fldChar w:fldCharType="begin"/>
        </w:r>
        <w:r w:rsidR="004833B2" w:rsidRPr="004833B2">
          <w:rPr>
            <w:rFonts w:ascii="Verdana" w:hAnsi="Verdana"/>
            <w:noProof/>
            <w:webHidden/>
            <w:sz w:val="20"/>
            <w:szCs w:val="20"/>
          </w:rPr>
          <w:instrText xml:space="preserve"> PAGEREF _Toc59126504 \h </w:instrText>
        </w:r>
        <w:r w:rsidR="004833B2" w:rsidRPr="004833B2">
          <w:rPr>
            <w:rFonts w:ascii="Verdana" w:hAnsi="Verdana"/>
            <w:noProof/>
            <w:webHidden/>
            <w:sz w:val="20"/>
            <w:szCs w:val="20"/>
          </w:rPr>
        </w:r>
        <w:r w:rsidR="004833B2" w:rsidRPr="004833B2">
          <w:rPr>
            <w:rFonts w:ascii="Verdana" w:hAnsi="Verdana"/>
            <w:noProof/>
            <w:webHidden/>
            <w:sz w:val="20"/>
            <w:szCs w:val="20"/>
          </w:rPr>
          <w:fldChar w:fldCharType="separate"/>
        </w:r>
        <w:r w:rsidR="009909AB">
          <w:rPr>
            <w:rFonts w:ascii="Verdana" w:hAnsi="Verdana"/>
            <w:noProof/>
            <w:webHidden/>
            <w:sz w:val="20"/>
            <w:szCs w:val="20"/>
          </w:rPr>
          <w:t>13</w:t>
        </w:r>
        <w:r w:rsidR="004833B2" w:rsidRPr="004833B2">
          <w:rPr>
            <w:rFonts w:ascii="Verdana" w:hAnsi="Verdana"/>
            <w:noProof/>
            <w:webHidden/>
            <w:sz w:val="20"/>
            <w:szCs w:val="20"/>
          </w:rPr>
          <w:fldChar w:fldCharType="end"/>
        </w:r>
      </w:hyperlink>
    </w:p>
    <w:p w14:paraId="6EE56BC5" w14:textId="2BF15AF9" w:rsidR="004833B2" w:rsidRPr="004833B2" w:rsidRDefault="00800933">
      <w:pPr>
        <w:pStyle w:val="TDC1"/>
        <w:tabs>
          <w:tab w:val="left" w:pos="660"/>
          <w:tab w:val="right" w:leader="dot" w:pos="8832"/>
        </w:tabs>
        <w:rPr>
          <w:rFonts w:ascii="Verdana" w:eastAsiaTheme="minorEastAsia" w:hAnsi="Verdana" w:cstheme="minorBidi"/>
          <w:noProof/>
          <w:sz w:val="20"/>
          <w:szCs w:val="20"/>
          <w:lang w:val="es-CR" w:eastAsia="es-CR"/>
        </w:rPr>
      </w:pPr>
      <w:hyperlink w:anchor="_Toc59126505" w:history="1">
        <w:r w:rsidR="004833B2" w:rsidRPr="004833B2">
          <w:rPr>
            <w:rStyle w:val="Hipervnculo"/>
            <w:rFonts w:ascii="Verdana" w:hAnsi="Verdana"/>
            <w:noProof/>
            <w:sz w:val="20"/>
            <w:szCs w:val="20"/>
          </w:rPr>
          <w:t>D.</w:t>
        </w:r>
        <w:r w:rsidR="004833B2" w:rsidRPr="004833B2">
          <w:rPr>
            <w:rFonts w:ascii="Verdana" w:eastAsiaTheme="minorEastAsia" w:hAnsi="Verdana" w:cstheme="minorBidi"/>
            <w:noProof/>
            <w:sz w:val="20"/>
            <w:szCs w:val="20"/>
            <w:lang w:val="es-CR" w:eastAsia="es-CR"/>
          </w:rPr>
          <w:tab/>
        </w:r>
        <w:r w:rsidR="004833B2" w:rsidRPr="004833B2">
          <w:rPr>
            <w:rStyle w:val="Hipervnculo"/>
            <w:rFonts w:ascii="Verdana" w:hAnsi="Verdana"/>
            <w:noProof/>
            <w:sz w:val="20"/>
            <w:szCs w:val="20"/>
          </w:rPr>
          <w:t>Pago de indemnizaciones</w:t>
        </w:r>
        <w:r w:rsidR="004833B2" w:rsidRPr="004833B2">
          <w:rPr>
            <w:rFonts w:ascii="Verdana" w:hAnsi="Verdana"/>
            <w:noProof/>
            <w:webHidden/>
            <w:sz w:val="20"/>
            <w:szCs w:val="20"/>
          </w:rPr>
          <w:tab/>
        </w:r>
        <w:r w:rsidR="004833B2" w:rsidRPr="004833B2">
          <w:rPr>
            <w:rFonts w:ascii="Verdana" w:hAnsi="Verdana"/>
            <w:noProof/>
            <w:webHidden/>
            <w:sz w:val="20"/>
            <w:szCs w:val="20"/>
          </w:rPr>
          <w:fldChar w:fldCharType="begin"/>
        </w:r>
        <w:r w:rsidR="004833B2" w:rsidRPr="004833B2">
          <w:rPr>
            <w:rFonts w:ascii="Verdana" w:hAnsi="Verdana"/>
            <w:noProof/>
            <w:webHidden/>
            <w:sz w:val="20"/>
            <w:szCs w:val="20"/>
          </w:rPr>
          <w:instrText xml:space="preserve"> PAGEREF _Toc59126505 \h </w:instrText>
        </w:r>
        <w:r w:rsidR="004833B2" w:rsidRPr="004833B2">
          <w:rPr>
            <w:rFonts w:ascii="Verdana" w:hAnsi="Verdana"/>
            <w:noProof/>
            <w:webHidden/>
            <w:sz w:val="20"/>
            <w:szCs w:val="20"/>
          </w:rPr>
        </w:r>
        <w:r w:rsidR="004833B2" w:rsidRPr="004833B2">
          <w:rPr>
            <w:rFonts w:ascii="Verdana" w:hAnsi="Verdana"/>
            <w:noProof/>
            <w:webHidden/>
            <w:sz w:val="20"/>
            <w:szCs w:val="20"/>
          </w:rPr>
          <w:fldChar w:fldCharType="separate"/>
        </w:r>
        <w:r w:rsidR="009909AB">
          <w:rPr>
            <w:rFonts w:ascii="Verdana" w:hAnsi="Verdana"/>
            <w:noProof/>
            <w:webHidden/>
            <w:sz w:val="20"/>
            <w:szCs w:val="20"/>
          </w:rPr>
          <w:t>16</w:t>
        </w:r>
        <w:r w:rsidR="004833B2" w:rsidRPr="004833B2">
          <w:rPr>
            <w:rFonts w:ascii="Verdana" w:hAnsi="Verdana"/>
            <w:noProof/>
            <w:webHidden/>
            <w:sz w:val="20"/>
            <w:szCs w:val="20"/>
          </w:rPr>
          <w:fldChar w:fldCharType="end"/>
        </w:r>
      </w:hyperlink>
    </w:p>
    <w:p w14:paraId="72644DB0" w14:textId="404C11A6" w:rsidR="004833B2" w:rsidRPr="004833B2" w:rsidRDefault="00800933">
      <w:pPr>
        <w:pStyle w:val="TDC1"/>
        <w:tabs>
          <w:tab w:val="left" w:pos="440"/>
          <w:tab w:val="right" w:leader="dot" w:pos="8832"/>
        </w:tabs>
        <w:rPr>
          <w:rFonts w:ascii="Verdana" w:eastAsiaTheme="minorEastAsia" w:hAnsi="Verdana" w:cstheme="minorBidi"/>
          <w:noProof/>
          <w:sz w:val="20"/>
          <w:szCs w:val="20"/>
          <w:lang w:val="es-CR" w:eastAsia="es-CR"/>
        </w:rPr>
      </w:pPr>
      <w:hyperlink w:anchor="_Toc59126506" w:history="1">
        <w:r w:rsidR="004833B2" w:rsidRPr="004833B2">
          <w:rPr>
            <w:rStyle w:val="Hipervnculo"/>
            <w:rFonts w:ascii="Verdana" w:hAnsi="Verdana"/>
            <w:noProof/>
            <w:sz w:val="20"/>
            <w:szCs w:val="20"/>
          </w:rPr>
          <w:t>E.</w:t>
        </w:r>
        <w:r w:rsidR="004833B2" w:rsidRPr="004833B2">
          <w:rPr>
            <w:rFonts w:ascii="Verdana" w:eastAsiaTheme="minorEastAsia" w:hAnsi="Verdana" w:cstheme="minorBidi"/>
            <w:noProof/>
            <w:sz w:val="20"/>
            <w:szCs w:val="20"/>
            <w:lang w:val="es-CR" w:eastAsia="es-CR"/>
          </w:rPr>
          <w:tab/>
        </w:r>
        <w:r w:rsidR="004833B2">
          <w:rPr>
            <w:rFonts w:ascii="Verdana" w:eastAsiaTheme="minorEastAsia" w:hAnsi="Verdana" w:cstheme="minorBidi"/>
            <w:noProof/>
            <w:sz w:val="20"/>
            <w:szCs w:val="20"/>
            <w:lang w:val="es-CR" w:eastAsia="es-CR"/>
          </w:rPr>
          <w:t xml:space="preserve">   </w:t>
        </w:r>
        <w:r w:rsidR="004833B2" w:rsidRPr="004833B2">
          <w:rPr>
            <w:rStyle w:val="Hipervnculo"/>
            <w:rFonts w:ascii="Verdana" w:hAnsi="Verdana"/>
            <w:noProof/>
            <w:sz w:val="20"/>
            <w:szCs w:val="20"/>
          </w:rPr>
          <w:t>Reintegro de costas y gastos</w:t>
        </w:r>
        <w:r w:rsidR="004833B2" w:rsidRPr="004833B2">
          <w:rPr>
            <w:rFonts w:ascii="Verdana" w:hAnsi="Verdana"/>
            <w:noProof/>
            <w:webHidden/>
            <w:sz w:val="20"/>
            <w:szCs w:val="20"/>
          </w:rPr>
          <w:tab/>
        </w:r>
        <w:r w:rsidR="004833B2" w:rsidRPr="004833B2">
          <w:rPr>
            <w:rFonts w:ascii="Verdana" w:hAnsi="Verdana"/>
            <w:noProof/>
            <w:webHidden/>
            <w:sz w:val="20"/>
            <w:szCs w:val="20"/>
          </w:rPr>
          <w:fldChar w:fldCharType="begin"/>
        </w:r>
        <w:r w:rsidR="004833B2" w:rsidRPr="004833B2">
          <w:rPr>
            <w:rFonts w:ascii="Verdana" w:hAnsi="Verdana"/>
            <w:noProof/>
            <w:webHidden/>
            <w:sz w:val="20"/>
            <w:szCs w:val="20"/>
          </w:rPr>
          <w:instrText xml:space="preserve"> PAGEREF _Toc59126506 \h </w:instrText>
        </w:r>
        <w:r w:rsidR="004833B2" w:rsidRPr="004833B2">
          <w:rPr>
            <w:rFonts w:ascii="Verdana" w:hAnsi="Verdana"/>
            <w:noProof/>
            <w:webHidden/>
            <w:sz w:val="20"/>
            <w:szCs w:val="20"/>
          </w:rPr>
        </w:r>
        <w:r w:rsidR="004833B2" w:rsidRPr="004833B2">
          <w:rPr>
            <w:rFonts w:ascii="Verdana" w:hAnsi="Verdana"/>
            <w:noProof/>
            <w:webHidden/>
            <w:sz w:val="20"/>
            <w:szCs w:val="20"/>
          </w:rPr>
          <w:fldChar w:fldCharType="separate"/>
        </w:r>
        <w:r w:rsidR="009909AB">
          <w:rPr>
            <w:rFonts w:ascii="Verdana" w:hAnsi="Verdana"/>
            <w:noProof/>
            <w:webHidden/>
            <w:sz w:val="20"/>
            <w:szCs w:val="20"/>
          </w:rPr>
          <w:t>17</w:t>
        </w:r>
        <w:r w:rsidR="004833B2" w:rsidRPr="004833B2">
          <w:rPr>
            <w:rFonts w:ascii="Verdana" w:hAnsi="Verdana"/>
            <w:noProof/>
            <w:webHidden/>
            <w:sz w:val="20"/>
            <w:szCs w:val="20"/>
          </w:rPr>
          <w:fldChar w:fldCharType="end"/>
        </w:r>
      </w:hyperlink>
    </w:p>
    <w:p w14:paraId="15A60E9C" w14:textId="4FF3C5F9" w:rsidR="008C3B7F" w:rsidRPr="00527BFA" w:rsidRDefault="000B7F0B" w:rsidP="000A2D75">
      <w:pPr>
        <w:widowControl w:val="0"/>
        <w:tabs>
          <w:tab w:val="left" w:pos="284"/>
          <w:tab w:val="left" w:pos="567"/>
        </w:tabs>
        <w:adjustRightInd w:val="0"/>
        <w:spacing w:beforeLines="60" w:before="144" w:afterLines="60" w:after="144"/>
        <w:jc w:val="both"/>
        <w:textAlignment w:val="baseline"/>
        <w:rPr>
          <w:rFonts w:ascii="Verdana" w:hAnsi="Verdana" w:cs="Arial"/>
          <w:sz w:val="20"/>
          <w:szCs w:val="20"/>
          <w:lang w:val="es-MX"/>
        </w:rPr>
      </w:pPr>
      <w:r w:rsidRPr="00637836">
        <w:rPr>
          <w:rFonts w:ascii="Verdana" w:hAnsi="Verdana" w:cs="Arial"/>
          <w:sz w:val="18"/>
          <w:szCs w:val="18"/>
          <w:lang w:val="es-MX"/>
        </w:rPr>
        <w:fldChar w:fldCharType="end"/>
      </w:r>
    </w:p>
    <w:p w14:paraId="1E8B425A" w14:textId="333D997A" w:rsidR="008C3B7F" w:rsidRPr="00527BFA" w:rsidRDefault="008717D1" w:rsidP="000B7F0B">
      <w:pPr>
        <w:pStyle w:val="Ttulo1"/>
        <w:ind w:left="426"/>
      </w:pPr>
      <w:bookmarkStart w:id="3" w:name="_Toc59126502"/>
      <w:r w:rsidRPr="00527BFA">
        <w:t>Obligación de investigar los hechos y, en su caso, sancionar a los responsables</w:t>
      </w:r>
      <w:bookmarkEnd w:id="3"/>
      <w:r w:rsidRPr="00527BFA">
        <w:t xml:space="preserve"> </w:t>
      </w:r>
    </w:p>
    <w:p w14:paraId="5F7D3BB4" w14:textId="77777777" w:rsidR="008C3B7F" w:rsidRPr="00527BFA" w:rsidRDefault="008C3B7F" w:rsidP="000B7F0B">
      <w:pPr>
        <w:pStyle w:val="Ttulo2"/>
      </w:pPr>
      <w:bookmarkStart w:id="4" w:name="_Toc52559560"/>
      <w:bookmarkStart w:id="5" w:name="_Toc52561009"/>
      <w:r w:rsidRPr="00527BFA">
        <w:t>A.1. Medida ordenada por la Corte</w:t>
      </w:r>
      <w:bookmarkEnd w:id="4"/>
      <w:bookmarkEnd w:id="5"/>
    </w:p>
    <w:p w14:paraId="62684D64" w14:textId="66CBB4FF" w:rsidR="008D04F3" w:rsidRPr="00546B72" w:rsidRDefault="0042615F" w:rsidP="00B70BD9">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 xml:space="preserve">En cuanto a los procesos penales iniciados por los hechos del presente caso, en </w:t>
      </w:r>
      <w:r w:rsidR="00BE5761">
        <w:rPr>
          <w:rFonts w:ascii="Verdana" w:hAnsi="Verdana"/>
          <w:sz w:val="20"/>
          <w:szCs w:val="20"/>
        </w:rPr>
        <w:t>la</w:t>
      </w:r>
      <w:r w:rsidRPr="00527BFA">
        <w:rPr>
          <w:rFonts w:ascii="Verdana" w:hAnsi="Verdana"/>
          <w:sz w:val="20"/>
          <w:szCs w:val="20"/>
        </w:rPr>
        <w:t xml:space="preserve"> </w:t>
      </w:r>
      <w:r w:rsidR="008D04F3">
        <w:rPr>
          <w:rFonts w:ascii="Verdana" w:hAnsi="Verdana"/>
          <w:sz w:val="20"/>
          <w:szCs w:val="20"/>
        </w:rPr>
        <w:t>Sentencia</w:t>
      </w:r>
      <w:r w:rsidRPr="00527BFA">
        <w:rPr>
          <w:rFonts w:ascii="Verdana" w:hAnsi="Verdana"/>
          <w:sz w:val="20"/>
          <w:szCs w:val="20"/>
        </w:rPr>
        <w:t xml:space="preserve">, la </w:t>
      </w:r>
      <w:r w:rsidR="00106798" w:rsidRPr="00527BFA">
        <w:rPr>
          <w:rFonts w:ascii="Verdana" w:hAnsi="Verdana"/>
          <w:sz w:val="20"/>
          <w:szCs w:val="20"/>
        </w:rPr>
        <w:t xml:space="preserve">Corte estableció </w:t>
      </w:r>
      <w:r w:rsidR="00106798" w:rsidRPr="00527BFA">
        <w:rPr>
          <w:rFonts w:ascii="Verdana" w:hAnsi="Verdana"/>
          <w:sz w:val="20"/>
        </w:rPr>
        <w:t>que las investigaciones conducidas por el Estado sobre la masacre en Pueblo Bello</w:t>
      </w:r>
      <w:r w:rsidR="00CD7035">
        <w:rPr>
          <w:rFonts w:ascii="Verdana" w:hAnsi="Verdana"/>
          <w:sz w:val="20"/>
        </w:rPr>
        <w:t>,</w:t>
      </w:r>
      <w:r w:rsidR="00106798" w:rsidRPr="00527BFA">
        <w:rPr>
          <w:rFonts w:ascii="Verdana" w:hAnsi="Verdana"/>
          <w:sz w:val="20"/>
        </w:rPr>
        <w:t xml:space="preserve"> ocurrida el 14 de enero de 1990</w:t>
      </w:r>
      <w:r w:rsidR="00CD7035">
        <w:rPr>
          <w:rFonts w:ascii="Verdana" w:hAnsi="Verdana"/>
          <w:sz w:val="20"/>
        </w:rPr>
        <w:t>,</w:t>
      </w:r>
      <w:r w:rsidR="00106798" w:rsidRPr="00527BFA">
        <w:rPr>
          <w:rFonts w:ascii="Verdana" w:hAnsi="Verdana"/>
          <w:sz w:val="20"/>
        </w:rPr>
        <w:t xml:space="preserve"> incumplieron los estándares de acceso a la justicia y protección judicial establecidos en la Convención Americana. </w:t>
      </w:r>
    </w:p>
    <w:p w14:paraId="566DEFD6" w14:textId="77777777" w:rsidR="008D04F3" w:rsidRPr="00546B72" w:rsidRDefault="008D04F3" w:rsidP="008D04F3">
      <w:pPr>
        <w:widowControl w:val="0"/>
        <w:tabs>
          <w:tab w:val="left" w:pos="567"/>
        </w:tabs>
        <w:adjustRightInd w:val="0"/>
        <w:jc w:val="both"/>
        <w:textAlignment w:val="baseline"/>
        <w:rPr>
          <w:rFonts w:ascii="Verdana" w:hAnsi="Verdana"/>
          <w:sz w:val="20"/>
          <w:szCs w:val="20"/>
        </w:rPr>
      </w:pPr>
    </w:p>
    <w:p w14:paraId="5296BDE8" w14:textId="6C6ABCD8" w:rsidR="00DF102A" w:rsidRPr="00546B72" w:rsidRDefault="008D04F3" w:rsidP="00473F50">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8D04F3">
        <w:rPr>
          <w:rFonts w:ascii="Verdana" w:hAnsi="Verdana"/>
          <w:sz w:val="20"/>
        </w:rPr>
        <w:t xml:space="preserve">El Tribunal </w:t>
      </w:r>
      <w:r w:rsidR="00207BF3">
        <w:rPr>
          <w:rFonts w:ascii="Verdana" w:hAnsi="Verdana"/>
          <w:sz w:val="20"/>
        </w:rPr>
        <w:t xml:space="preserve">tuvo por probado que en </w:t>
      </w:r>
      <w:r w:rsidR="000609B4" w:rsidRPr="008D04F3">
        <w:rPr>
          <w:rFonts w:ascii="Verdana" w:hAnsi="Verdana"/>
          <w:sz w:val="20"/>
        </w:rPr>
        <w:t xml:space="preserve">1997 </w:t>
      </w:r>
      <w:r w:rsidR="00207BF3">
        <w:rPr>
          <w:rFonts w:ascii="Verdana" w:hAnsi="Verdana"/>
          <w:sz w:val="20"/>
        </w:rPr>
        <w:t xml:space="preserve">se emitieron sentencias penales en </w:t>
      </w:r>
      <w:r w:rsidR="00D72B36">
        <w:rPr>
          <w:rFonts w:ascii="Verdana" w:hAnsi="Verdana"/>
          <w:sz w:val="20"/>
        </w:rPr>
        <w:t xml:space="preserve">las </w:t>
      </w:r>
      <w:r w:rsidR="00207BF3">
        <w:rPr>
          <w:rFonts w:ascii="Verdana" w:hAnsi="Verdana"/>
          <w:sz w:val="20"/>
        </w:rPr>
        <w:t xml:space="preserve">que se declaró </w:t>
      </w:r>
      <w:r w:rsidR="00106798" w:rsidRPr="008D04F3">
        <w:rPr>
          <w:rFonts w:ascii="Verdana" w:hAnsi="Verdana"/>
          <w:sz w:val="20"/>
        </w:rPr>
        <w:t>responsable a seis personas</w:t>
      </w:r>
      <w:r w:rsidR="00106798" w:rsidRPr="00527BFA">
        <w:rPr>
          <w:rStyle w:val="Refdenotaalpie"/>
          <w:rFonts w:ascii="Verdana" w:hAnsi="Verdana"/>
          <w:sz w:val="20"/>
        </w:rPr>
        <w:footnoteReference w:id="21"/>
      </w:r>
      <w:r w:rsidR="00106798" w:rsidRPr="008D04F3">
        <w:rPr>
          <w:rFonts w:ascii="Verdana" w:hAnsi="Verdana"/>
          <w:sz w:val="20"/>
        </w:rPr>
        <w:t xml:space="preserve"> por los delitos de secuestro y homicidio múltiple, utilización de prendas de uso privativo de las fuerzas militares, terrorismo y pertenencia a un grupo armado, entre otros</w:t>
      </w:r>
      <w:r w:rsidR="00207BF3">
        <w:rPr>
          <w:rFonts w:ascii="Verdana" w:hAnsi="Verdana"/>
          <w:sz w:val="20"/>
        </w:rPr>
        <w:t>, en relación con lo ocurrido a 43 hombres del corregimiento de Pueblo Bello el 14 de enero de 1990</w:t>
      </w:r>
      <w:r w:rsidR="00106798" w:rsidRPr="008D04F3">
        <w:rPr>
          <w:rFonts w:ascii="Verdana" w:hAnsi="Verdana"/>
          <w:sz w:val="20"/>
        </w:rPr>
        <w:t xml:space="preserve">. Estas personas fueron condenadas a penas entre </w:t>
      </w:r>
      <w:r w:rsidR="000609B4" w:rsidRPr="008D04F3">
        <w:rPr>
          <w:rFonts w:ascii="Verdana" w:hAnsi="Verdana"/>
          <w:sz w:val="20"/>
        </w:rPr>
        <w:t>19 y 28 años</w:t>
      </w:r>
      <w:r w:rsidR="00207BF3">
        <w:rPr>
          <w:rFonts w:ascii="Verdana" w:hAnsi="Verdana"/>
          <w:sz w:val="20"/>
        </w:rPr>
        <w:t xml:space="preserve"> de prisión</w:t>
      </w:r>
      <w:r w:rsidR="000609B4" w:rsidRPr="00527BFA">
        <w:rPr>
          <w:rStyle w:val="Refdenotaalpie"/>
          <w:rFonts w:ascii="Verdana" w:hAnsi="Verdana"/>
          <w:sz w:val="20"/>
        </w:rPr>
        <w:footnoteReference w:id="22"/>
      </w:r>
      <w:r w:rsidR="000609B4" w:rsidRPr="008D04F3">
        <w:rPr>
          <w:rFonts w:ascii="Verdana" w:hAnsi="Verdana"/>
          <w:sz w:val="20"/>
        </w:rPr>
        <w:t>.</w:t>
      </w:r>
      <w:r w:rsidR="008C0571" w:rsidRPr="008D04F3">
        <w:rPr>
          <w:rFonts w:ascii="Verdana" w:hAnsi="Verdana"/>
          <w:sz w:val="20"/>
        </w:rPr>
        <w:t xml:space="preserve"> </w:t>
      </w:r>
      <w:r w:rsidR="00207BF3">
        <w:rPr>
          <w:rFonts w:ascii="Verdana" w:hAnsi="Verdana"/>
          <w:sz w:val="20"/>
        </w:rPr>
        <w:t>Al respecto</w:t>
      </w:r>
      <w:r w:rsidRPr="008D04F3">
        <w:rPr>
          <w:rFonts w:ascii="Verdana" w:hAnsi="Verdana"/>
          <w:sz w:val="20"/>
        </w:rPr>
        <w:t xml:space="preserve">, </w:t>
      </w:r>
      <w:r>
        <w:rPr>
          <w:rFonts w:ascii="Verdana" w:hAnsi="Verdana"/>
          <w:sz w:val="20"/>
        </w:rPr>
        <w:t>l</w:t>
      </w:r>
      <w:r w:rsidR="008C0571" w:rsidRPr="008D04F3">
        <w:rPr>
          <w:rFonts w:ascii="Verdana" w:hAnsi="Verdana"/>
          <w:sz w:val="20"/>
        </w:rPr>
        <w:t>a Corte destacó</w:t>
      </w:r>
      <w:r w:rsidR="00106798" w:rsidRPr="008D04F3">
        <w:rPr>
          <w:rFonts w:ascii="Verdana" w:hAnsi="Verdana"/>
          <w:sz w:val="20"/>
        </w:rPr>
        <w:t xml:space="preserve"> </w:t>
      </w:r>
      <w:r w:rsidR="008C0571" w:rsidRPr="008D04F3">
        <w:rPr>
          <w:rFonts w:ascii="Verdana" w:hAnsi="Verdana"/>
          <w:sz w:val="20"/>
        </w:rPr>
        <w:t>la “impunidad parcial que impera en este caso</w:t>
      </w:r>
      <w:r w:rsidR="000A2D75" w:rsidRPr="008D04F3">
        <w:rPr>
          <w:rFonts w:ascii="Verdana" w:hAnsi="Verdana"/>
          <w:sz w:val="20"/>
        </w:rPr>
        <w:t>”</w:t>
      </w:r>
      <w:r>
        <w:rPr>
          <w:rFonts w:ascii="Verdana" w:hAnsi="Verdana"/>
          <w:sz w:val="20"/>
        </w:rPr>
        <w:t>,</w:t>
      </w:r>
      <w:r w:rsidR="000A2D75" w:rsidRPr="008D04F3">
        <w:rPr>
          <w:rFonts w:ascii="Verdana" w:hAnsi="Verdana"/>
          <w:sz w:val="20"/>
        </w:rPr>
        <w:t xml:space="preserve"> toda vez que “</w:t>
      </w:r>
      <w:r w:rsidR="008C0571" w:rsidRPr="008D04F3">
        <w:rPr>
          <w:rFonts w:ascii="Verdana" w:hAnsi="Verdana"/>
          <w:sz w:val="20"/>
        </w:rPr>
        <w:t>la mayoría de los aproximadamente 60 paramilitares que participaron en la incursión en Pueblo Bello no ha[</w:t>
      </w:r>
      <w:proofErr w:type="spellStart"/>
      <w:r w:rsidR="008C0571" w:rsidRPr="008D04F3">
        <w:rPr>
          <w:rFonts w:ascii="Verdana" w:hAnsi="Verdana"/>
          <w:sz w:val="20"/>
        </w:rPr>
        <w:t>bían</w:t>
      </w:r>
      <w:proofErr w:type="spellEnd"/>
      <w:r w:rsidR="008C0571" w:rsidRPr="008D04F3">
        <w:rPr>
          <w:rFonts w:ascii="Verdana" w:hAnsi="Verdana"/>
          <w:sz w:val="20"/>
        </w:rPr>
        <w:t>] sido vinculados a las investigaciones, identificados ni procesados”</w:t>
      </w:r>
      <w:r w:rsidR="008C0571" w:rsidRPr="00527BFA">
        <w:rPr>
          <w:rStyle w:val="Refdenotaalpie"/>
          <w:rFonts w:ascii="Verdana" w:hAnsi="Verdana"/>
          <w:sz w:val="20"/>
        </w:rPr>
        <w:footnoteReference w:id="23"/>
      </w:r>
      <w:r w:rsidR="008C0571" w:rsidRPr="008D04F3">
        <w:rPr>
          <w:rFonts w:ascii="Verdana" w:hAnsi="Verdana"/>
          <w:sz w:val="20"/>
        </w:rPr>
        <w:t>.</w:t>
      </w:r>
      <w:r>
        <w:rPr>
          <w:rFonts w:ascii="Verdana" w:hAnsi="Verdana"/>
          <w:sz w:val="20"/>
        </w:rPr>
        <w:t xml:space="preserve"> El Tribunal también </w:t>
      </w:r>
      <w:r w:rsidR="00106798" w:rsidRPr="008D04F3">
        <w:rPr>
          <w:rFonts w:ascii="Verdana" w:hAnsi="Verdana"/>
          <w:sz w:val="20"/>
        </w:rPr>
        <w:t>resaltó</w:t>
      </w:r>
      <w:r w:rsidR="008C0571" w:rsidRPr="008D04F3">
        <w:rPr>
          <w:rFonts w:ascii="Verdana" w:hAnsi="Verdana"/>
          <w:sz w:val="20"/>
        </w:rPr>
        <w:t xml:space="preserve"> que no hubo una investigación seria sobre la participación de miembros de las Fue</w:t>
      </w:r>
      <w:r w:rsidR="000A2D75" w:rsidRPr="008D04F3">
        <w:rPr>
          <w:rFonts w:ascii="Verdana" w:hAnsi="Verdana"/>
          <w:sz w:val="20"/>
        </w:rPr>
        <w:t xml:space="preserve">rzas Militares colombianas que </w:t>
      </w:r>
      <w:r w:rsidR="008C0571" w:rsidRPr="008D04F3">
        <w:rPr>
          <w:rFonts w:ascii="Verdana" w:hAnsi="Verdana"/>
          <w:sz w:val="20"/>
        </w:rPr>
        <w:t xml:space="preserve">pudieran estar </w:t>
      </w:r>
      <w:r w:rsidR="000A2D75" w:rsidRPr="008D04F3">
        <w:rPr>
          <w:rFonts w:ascii="Verdana" w:hAnsi="Verdana"/>
          <w:sz w:val="20"/>
        </w:rPr>
        <w:t>“</w:t>
      </w:r>
      <w:r w:rsidR="008C0571" w:rsidRPr="008D04F3">
        <w:rPr>
          <w:rFonts w:ascii="Verdana" w:hAnsi="Verdana"/>
          <w:sz w:val="20"/>
        </w:rPr>
        <w:t>vinculados</w:t>
      </w:r>
      <w:r w:rsidR="000A2D75" w:rsidRPr="008D04F3">
        <w:rPr>
          <w:rFonts w:ascii="Verdana" w:hAnsi="Verdana"/>
          <w:sz w:val="20"/>
        </w:rPr>
        <w:t>”</w:t>
      </w:r>
      <w:r w:rsidR="008C0571" w:rsidRPr="008D04F3">
        <w:rPr>
          <w:rFonts w:ascii="Verdana" w:hAnsi="Verdana"/>
          <w:sz w:val="20"/>
        </w:rPr>
        <w:t xml:space="preserve"> con los </w:t>
      </w:r>
      <w:r w:rsidR="000A2D75" w:rsidRPr="008D04F3">
        <w:rPr>
          <w:rFonts w:ascii="Verdana" w:hAnsi="Verdana"/>
          <w:sz w:val="20"/>
        </w:rPr>
        <w:t xml:space="preserve">referidos </w:t>
      </w:r>
      <w:r w:rsidR="008C0571" w:rsidRPr="008D04F3">
        <w:rPr>
          <w:rFonts w:ascii="Verdana" w:hAnsi="Verdana"/>
          <w:sz w:val="20"/>
        </w:rPr>
        <w:t>hechos</w:t>
      </w:r>
      <w:r w:rsidR="000A2D75" w:rsidRPr="008D04F3">
        <w:rPr>
          <w:rFonts w:ascii="Verdana" w:hAnsi="Verdana"/>
          <w:sz w:val="20"/>
        </w:rPr>
        <w:t xml:space="preserve"> de la Sentencia</w:t>
      </w:r>
      <w:r w:rsidR="008C0571" w:rsidRPr="00527BFA">
        <w:rPr>
          <w:rStyle w:val="Refdenotaalpie"/>
          <w:rFonts w:ascii="Verdana" w:hAnsi="Verdana"/>
          <w:sz w:val="20"/>
        </w:rPr>
        <w:footnoteReference w:id="24"/>
      </w:r>
      <w:r w:rsidR="008C0571" w:rsidRPr="008D04F3">
        <w:rPr>
          <w:rFonts w:ascii="Verdana" w:hAnsi="Verdana"/>
          <w:sz w:val="20"/>
        </w:rPr>
        <w:t>.</w:t>
      </w:r>
      <w:r w:rsidR="009125B9">
        <w:rPr>
          <w:rFonts w:ascii="Verdana" w:hAnsi="Verdana"/>
          <w:sz w:val="20"/>
        </w:rPr>
        <w:t xml:space="preserve"> P</w:t>
      </w:r>
      <w:r w:rsidR="00106798" w:rsidRPr="008D04F3">
        <w:rPr>
          <w:rFonts w:ascii="Verdana" w:hAnsi="Verdana"/>
          <w:sz w:val="20"/>
        </w:rPr>
        <w:t xml:space="preserve">recisó </w:t>
      </w:r>
      <w:r w:rsidR="008C0571" w:rsidRPr="008D04F3">
        <w:rPr>
          <w:rFonts w:ascii="Verdana" w:hAnsi="Verdana"/>
          <w:sz w:val="20"/>
        </w:rPr>
        <w:t>que las investigaciones realizadas a nivel interno “no descartaron categóricamente la participación de miembros de las Fuerzas Armadas o de otros cuerpos estatales de seguridad en la masacre e incluso dejaron abierta la duda en este sentido”</w:t>
      </w:r>
      <w:r w:rsidR="008C0571" w:rsidRPr="00527BFA">
        <w:rPr>
          <w:rStyle w:val="Refdenotaalpie"/>
          <w:rFonts w:ascii="Verdana" w:hAnsi="Verdana"/>
          <w:sz w:val="20"/>
        </w:rPr>
        <w:footnoteReference w:id="25"/>
      </w:r>
      <w:r w:rsidR="008C0571" w:rsidRPr="008D04F3">
        <w:rPr>
          <w:rFonts w:ascii="Verdana" w:hAnsi="Verdana"/>
          <w:sz w:val="20"/>
        </w:rPr>
        <w:t xml:space="preserve">. </w:t>
      </w:r>
    </w:p>
    <w:p w14:paraId="7C004CF6" w14:textId="77777777" w:rsidR="00106798" w:rsidRPr="00546B72" w:rsidRDefault="00106798" w:rsidP="00106798">
      <w:pPr>
        <w:widowControl w:val="0"/>
        <w:tabs>
          <w:tab w:val="left" w:pos="567"/>
        </w:tabs>
        <w:adjustRightInd w:val="0"/>
        <w:jc w:val="both"/>
        <w:textAlignment w:val="baseline"/>
        <w:rPr>
          <w:rFonts w:ascii="Verdana" w:hAnsi="Verdana"/>
          <w:sz w:val="20"/>
          <w:szCs w:val="20"/>
        </w:rPr>
      </w:pPr>
    </w:p>
    <w:p w14:paraId="329577D9" w14:textId="66AE4471" w:rsidR="0042615F" w:rsidRDefault="0042615F" w:rsidP="00106798">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 xml:space="preserve">Teniendo en </w:t>
      </w:r>
      <w:r w:rsidR="00106798" w:rsidRPr="00527BFA">
        <w:rPr>
          <w:rFonts w:ascii="Verdana" w:hAnsi="Verdana"/>
          <w:sz w:val="20"/>
          <w:szCs w:val="20"/>
        </w:rPr>
        <w:t xml:space="preserve">cuenta lo anterior, </w:t>
      </w:r>
      <w:r w:rsidR="00DF3124" w:rsidRPr="00527BFA">
        <w:rPr>
          <w:rFonts w:ascii="Verdana" w:hAnsi="Verdana"/>
          <w:sz w:val="20"/>
          <w:szCs w:val="20"/>
        </w:rPr>
        <w:t xml:space="preserve">en </w:t>
      </w:r>
      <w:r w:rsidR="00DF3124">
        <w:rPr>
          <w:rFonts w:ascii="Verdana" w:hAnsi="Verdana"/>
          <w:sz w:val="20"/>
          <w:szCs w:val="20"/>
        </w:rPr>
        <w:t>los puntos resolutivos séptimo y octavo</w:t>
      </w:r>
      <w:r w:rsidR="006C7BA9">
        <w:rPr>
          <w:rFonts w:ascii="Verdana" w:hAnsi="Verdana"/>
          <w:sz w:val="20"/>
          <w:szCs w:val="20"/>
        </w:rPr>
        <w:t>,</w:t>
      </w:r>
      <w:r w:rsidR="00D72B36">
        <w:rPr>
          <w:rFonts w:ascii="Verdana" w:hAnsi="Verdana"/>
          <w:sz w:val="20"/>
          <w:szCs w:val="20"/>
        </w:rPr>
        <w:t xml:space="preserve"> así como en los</w:t>
      </w:r>
      <w:r w:rsidR="00DF3124">
        <w:rPr>
          <w:rFonts w:ascii="Verdana" w:hAnsi="Verdana"/>
          <w:sz w:val="20"/>
          <w:szCs w:val="20"/>
        </w:rPr>
        <w:t xml:space="preserve"> párrafos 267 y 269 de </w:t>
      </w:r>
      <w:r w:rsidR="00DF3124" w:rsidRPr="00527BFA">
        <w:rPr>
          <w:rFonts w:ascii="Verdana" w:hAnsi="Verdana"/>
          <w:sz w:val="20"/>
          <w:szCs w:val="20"/>
        </w:rPr>
        <w:t>su Sentencia</w:t>
      </w:r>
      <w:r w:rsidR="00DF3124">
        <w:rPr>
          <w:rFonts w:ascii="Verdana" w:hAnsi="Verdana"/>
          <w:sz w:val="20"/>
          <w:szCs w:val="20"/>
        </w:rPr>
        <w:t>,</w:t>
      </w:r>
      <w:r w:rsidR="00DF3124" w:rsidRPr="00527BFA">
        <w:rPr>
          <w:rFonts w:ascii="Verdana" w:hAnsi="Verdana"/>
          <w:sz w:val="20"/>
          <w:szCs w:val="20"/>
        </w:rPr>
        <w:t xml:space="preserve"> </w:t>
      </w:r>
      <w:r w:rsidR="00106798" w:rsidRPr="00527BFA">
        <w:rPr>
          <w:rFonts w:ascii="Verdana" w:hAnsi="Verdana"/>
          <w:sz w:val="20"/>
          <w:szCs w:val="20"/>
        </w:rPr>
        <w:t>el Tribunal ordenó que el Estado “</w:t>
      </w:r>
      <w:proofErr w:type="spellStart"/>
      <w:r w:rsidR="00106798" w:rsidRPr="00527BFA">
        <w:rPr>
          <w:rFonts w:ascii="Verdana" w:hAnsi="Verdana"/>
          <w:sz w:val="20"/>
          <w:szCs w:val="20"/>
        </w:rPr>
        <w:t>deb</w:t>
      </w:r>
      <w:proofErr w:type="spellEnd"/>
      <w:r w:rsidR="00106798" w:rsidRPr="00527BFA">
        <w:rPr>
          <w:rFonts w:ascii="Verdana" w:hAnsi="Verdana"/>
          <w:sz w:val="20"/>
          <w:szCs w:val="20"/>
        </w:rPr>
        <w:t>[</w:t>
      </w:r>
      <w:proofErr w:type="spellStart"/>
      <w:r w:rsidR="00106798" w:rsidRPr="00527BFA">
        <w:rPr>
          <w:rFonts w:ascii="Verdana" w:hAnsi="Verdana"/>
          <w:sz w:val="20"/>
          <w:szCs w:val="20"/>
        </w:rPr>
        <w:t>ía</w:t>
      </w:r>
      <w:proofErr w:type="spellEnd"/>
      <w:r w:rsidR="00106798" w:rsidRPr="00527BFA">
        <w:rPr>
          <w:rFonts w:ascii="Verdana" w:hAnsi="Verdana"/>
          <w:sz w:val="20"/>
          <w:szCs w:val="20"/>
        </w:rPr>
        <w:t xml:space="preserve">] realizar inmediatamente las debidas diligencias para activar y completar eficazmente, en un plazo razonable, la investigación para determinar la responsabilidad intelectual y material de todos los autores de la masacre y de las personas responsables por acción o por omisión del incumplimiento de la obligación estatal de garantizar los </w:t>
      </w:r>
      <w:r w:rsidR="00106798" w:rsidRPr="00527BFA">
        <w:rPr>
          <w:rFonts w:ascii="Verdana" w:hAnsi="Verdana"/>
          <w:sz w:val="20"/>
          <w:szCs w:val="20"/>
        </w:rPr>
        <w:lastRenderedPageBreak/>
        <w:t>derechos violados”. Asimismo, ordenó al Estado que adoptara las “medidas pertinentes para que las violaciones a los derechos humanos cometidas sean efectivamente investigadas en procesos en los que se otorguen todas las garantías judiciales,</w:t>
      </w:r>
      <w:r w:rsidR="00106798" w:rsidRPr="00527BFA">
        <w:rPr>
          <w:rFonts w:ascii="Verdana" w:hAnsi="Verdana"/>
          <w:b/>
          <w:sz w:val="20"/>
          <w:szCs w:val="20"/>
        </w:rPr>
        <w:t xml:space="preserve"> </w:t>
      </w:r>
      <w:r w:rsidR="00106798" w:rsidRPr="00527BFA">
        <w:rPr>
          <w:rFonts w:ascii="Verdana" w:hAnsi="Verdana"/>
          <w:sz w:val="20"/>
          <w:szCs w:val="20"/>
        </w:rPr>
        <w:t>con el fin de evitar la repetición de hechos tan graves como los que ocurrieron en la masacre de Pueblo Bello”.</w:t>
      </w:r>
    </w:p>
    <w:p w14:paraId="2B238AB0" w14:textId="77777777" w:rsidR="00513F05" w:rsidRPr="00527BFA" w:rsidRDefault="00513F05" w:rsidP="000B7F0B">
      <w:pPr>
        <w:pStyle w:val="Ttulo2"/>
      </w:pPr>
      <w:r w:rsidRPr="00527BFA">
        <w:t>A.2. Consideraciones la Corte</w:t>
      </w:r>
    </w:p>
    <w:p w14:paraId="0D8C4706" w14:textId="4BCB7EED" w:rsidR="00005345" w:rsidRPr="00527BFA" w:rsidRDefault="000B0385" w:rsidP="00B64EB9">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 xml:space="preserve">La Corte observa que, antes de la emisión de la Sentencia relativa al presente caso, </w:t>
      </w:r>
      <w:r w:rsidR="00D72B36">
        <w:rPr>
          <w:rFonts w:ascii="Verdana" w:hAnsi="Verdana"/>
          <w:sz w:val="20"/>
          <w:szCs w:val="20"/>
        </w:rPr>
        <w:t>6</w:t>
      </w:r>
      <w:r w:rsidRPr="00527BFA">
        <w:rPr>
          <w:rFonts w:ascii="Verdana" w:hAnsi="Verdana"/>
          <w:sz w:val="20"/>
          <w:szCs w:val="20"/>
        </w:rPr>
        <w:t xml:space="preserve"> personas </w:t>
      </w:r>
      <w:r w:rsidR="008D04F3">
        <w:rPr>
          <w:rFonts w:ascii="Verdana" w:hAnsi="Verdana"/>
          <w:sz w:val="20"/>
          <w:szCs w:val="20"/>
        </w:rPr>
        <w:t>fueron</w:t>
      </w:r>
      <w:r w:rsidRPr="00527BFA">
        <w:rPr>
          <w:rFonts w:ascii="Verdana" w:hAnsi="Verdana"/>
          <w:sz w:val="20"/>
          <w:szCs w:val="20"/>
        </w:rPr>
        <w:t xml:space="preserve"> condenadas por </w:t>
      </w:r>
      <w:r w:rsidR="00B64EB9">
        <w:rPr>
          <w:rFonts w:ascii="Verdana" w:hAnsi="Verdana"/>
          <w:sz w:val="20"/>
          <w:szCs w:val="20"/>
        </w:rPr>
        <w:t>l</w:t>
      </w:r>
      <w:r w:rsidR="00B64EB9" w:rsidRPr="00B64EB9">
        <w:rPr>
          <w:rFonts w:ascii="Verdana" w:hAnsi="Verdana"/>
          <w:sz w:val="20"/>
          <w:szCs w:val="20"/>
        </w:rPr>
        <w:t xml:space="preserve">a </w:t>
      </w:r>
      <w:r w:rsidR="00B64EB9">
        <w:rPr>
          <w:rFonts w:ascii="Verdana" w:hAnsi="Verdana"/>
          <w:sz w:val="20"/>
          <w:szCs w:val="20"/>
        </w:rPr>
        <w:t>d</w:t>
      </w:r>
      <w:r w:rsidR="00B64EB9" w:rsidRPr="00B64EB9">
        <w:rPr>
          <w:rFonts w:ascii="Verdana" w:hAnsi="Verdana"/>
          <w:sz w:val="20"/>
          <w:szCs w:val="20"/>
        </w:rPr>
        <w:t xml:space="preserve">esaparición de </w:t>
      </w:r>
      <w:r w:rsidR="000745D9">
        <w:rPr>
          <w:rFonts w:ascii="Verdana" w:hAnsi="Verdana"/>
          <w:sz w:val="20"/>
          <w:szCs w:val="20"/>
        </w:rPr>
        <w:t>37</w:t>
      </w:r>
      <w:r w:rsidR="00B64EB9" w:rsidRPr="00B64EB9">
        <w:rPr>
          <w:rFonts w:ascii="Verdana" w:hAnsi="Verdana"/>
          <w:sz w:val="20"/>
          <w:szCs w:val="20"/>
        </w:rPr>
        <w:t xml:space="preserve"> </w:t>
      </w:r>
      <w:r w:rsidR="00B64EB9">
        <w:rPr>
          <w:rFonts w:ascii="Verdana" w:hAnsi="Verdana"/>
          <w:sz w:val="20"/>
          <w:szCs w:val="20"/>
        </w:rPr>
        <w:t>personas</w:t>
      </w:r>
      <w:r w:rsidR="00B64EB9" w:rsidRPr="00B64EB9">
        <w:rPr>
          <w:rFonts w:ascii="Verdana" w:hAnsi="Verdana"/>
          <w:sz w:val="20"/>
          <w:szCs w:val="20"/>
        </w:rPr>
        <w:t xml:space="preserve"> del corregimiento de Pueblo Bello acaecida el 14 de enero de 1990</w:t>
      </w:r>
      <w:r w:rsidR="00B679A9">
        <w:rPr>
          <w:rStyle w:val="Refdenotaalpie"/>
          <w:rFonts w:ascii="Verdana" w:hAnsi="Verdana"/>
          <w:sz w:val="20"/>
        </w:rPr>
        <w:footnoteReference w:id="26"/>
      </w:r>
      <w:r w:rsidR="000A2D75">
        <w:rPr>
          <w:rFonts w:ascii="Verdana" w:hAnsi="Verdana"/>
          <w:sz w:val="20"/>
        </w:rPr>
        <w:t>.</w:t>
      </w:r>
      <w:r w:rsidRPr="00527BFA">
        <w:rPr>
          <w:rFonts w:ascii="Verdana" w:hAnsi="Verdana"/>
          <w:sz w:val="20"/>
          <w:szCs w:val="20"/>
        </w:rPr>
        <w:t xml:space="preserve"> </w:t>
      </w:r>
      <w:r w:rsidR="00B64EB9">
        <w:rPr>
          <w:rFonts w:ascii="Verdana" w:hAnsi="Verdana"/>
          <w:sz w:val="20"/>
          <w:szCs w:val="20"/>
        </w:rPr>
        <w:t xml:space="preserve">En particular, </w:t>
      </w:r>
      <w:r w:rsidR="00B64EB9" w:rsidRPr="00B64EB9">
        <w:rPr>
          <w:rFonts w:ascii="Verdana" w:hAnsi="Verdana"/>
          <w:sz w:val="20"/>
          <w:szCs w:val="20"/>
        </w:rPr>
        <w:t xml:space="preserve">fueron condenados a cumplir penas de entre 25 y 30 años </w:t>
      </w:r>
      <w:r w:rsidR="00B64EB9">
        <w:rPr>
          <w:rFonts w:ascii="Verdana" w:hAnsi="Verdana"/>
          <w:sz w:val="20"/>
          <w:szCs w:val="20"/>
        </w:rPr>
        <w:t>por los delitos, entre</w:t>
      </w:r>
      <w:r w:rsidR="00B64EB9" w:rsidRPr="00B64EB9">
        <w:rPr>
          <w:rFonts w:ascii="Verdana" w:hAnsi="Verdana"/>
          <w:sz w:val="20"/>
          <w:szCs w:val="20"/>
        </w:rPr>
        <w:t xml:space="preserve"> otros, </w:t>
      </w:r>
      <w:r w:rsidR="00B64EB9">
        <w:rPr>
          <w:rFonts w:ascii="Verdana" w:hAnsi="Verdana"/>
          <w:sz w:val="20"/>
          <w:szCs w:val="20"/>
        </w:rPr>
        <w:t xml:space="preserve">de </w:t>
      </w:r>
      <w:r w:rsidR="00B64EB9" w:rsidRPr="00B64EB9">
        <w:rPr>
          <w:rFonts w:ascii="Verdana" w:hAnsi="Verdana"/>
          <w:sz w:val="20"/>
          <w:szCs w:val="20"/>
        </w:rPr>
        <w:t>secuestro y homicidio múltiple, utilización de prendas de uso privativo de las fuerzas militares, terrorismo y pertenencia a un grupo armado</w:t>
      </w:r>
      <w:r w:rsidR="00B64EB9">
        <w:rPr>
          <w:rFonts w:ascii="Verdana" w:hAnsi="Verdana"/>
          <w:sz w:val="20"/>
          <w:szCs w:val="20"/>
        </w:rPr>
        <w:t>.</w:t>
      </w:r>
    </w:p>
    <w:p w14:paraId="598D76C9" w14:textId="77777777" w:rsidR="00005345" w:rsidRPr="00527BFA" w:rsidRDefault="00005345" w:rsidP="00005345">
      <w:pPr>
        <w:widowControl w:val="0"/>
        <w:tabs>
          <w:tab w:val="left" w:pos="567"/>
        </w:tabs>
        <w:adjustRightInd w:val="0"/>
        <w:jc w:val="both"/>
        <w:textAlignment w:val="baseline"/>
        <w:rPr>
          <w:rFonts w:ascii="Verdana" w:hAnsi="Verdana"/>
          <w:sz w:val="20"/>
          <w:szCs w:val="20"/>
        </w:rPr>
      </w:pPr>
    </w:p>
    <w:p w14:paraId="3A157258" w14:textId="6C59BC8F" w:rsidR="005326D5" w:rsidRDefault="00005345" w:rsidP="00DF7832">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 xml:space="preserve">Con posterioridad a la Sentencia, </w:t>
      </w:r>
      <w:r w:rsidRPr="00527BFA">
        <w:rPr>
          <w:rFonts w:ascii="Verdana" w:hAnsi="Verdana"/>
          <w:sz w:val="20"/>
        </w:rPr>
        <w:t xml:space="preserve">la investigación de los hechos ocurridos en el presente caso ha derivado en la continuación del desarrollo </w:t>
      </w:r>
      <w:r w:rsidRPr="00527BFA">
        <w:rPr>
          <w:rFonts w:ascii="Verdana" w:hAnsi="Verdana"/>
          <w:sz w:val="20"/>
          <w:szCs w:val="20"/>
        </w:rPr>
        <w:t>de</w:t>
      </w:r>
      <w:r w:rsidRPr="00527BFA">
        <w:rPr>
          <w:rFonts w:ascii="Verdana" w:hAnsi="Verdana"/>
          <w:sz w:val="20"/>
        </w:rPr>
        <w:t xml:space="preserve"> varias </w:t>
      </w:r>
      <w:r w:rsidR="000A2D75">
        <w:rPr>
          <w:rFonts w:ascii="Verdana" w:hAnsi="Verdana"/>
          <w:sz w:val="20"/>
        </w:rPr>
        <w:t>diligencias de investigación</w:t>
      </w:r>
      <w:r w:rsidRPr="00527BFA">
        <w:rPr>
          <w:rFonts w:ascii="Verdana" w:hAnsi="Verdana"/>
          <w:sz w:val="20"/>
        </w:rPr>
        <w:t xml:space="preserve"> y procesos penales, algunos de los cuales han culminado con sentencias condenatorias. En particular, e</w:t>
      </w:r>
      <w:r w:rsidR="00D410DA" w:rsidRPr="00527BFA">
        <w:rPr>
          <w:rFonts w:ascii="Verdana" w:hAnsi="Verdana"/>
          <w:sz w:val="20"/>
          <w:szCs w:val="20"/>
        </w:rPr>
        <w:t xml:space="preserve">l </w:t>
      </w:r>
      <w:r w:rsidRPr="00527BFA">
        <w:rPr>
          <w:rFonts w:ascii="Verdana" w:hAnsi="Verdana"/>
          <w:sz w:val="20"/>
          <w:szCs w:val="20"/>
        </w:rPr>
        <w:t>Estado ha alegado que</w:t>
      </w:r>
      <w:r w:rsidR="000A2D75">
        <w:rPr>
          <w:rFonts w:ascii="Verdana" w:hAnsi="Verdana"/>
          <w:sz w:val="20"/>
          <w:szCs w:val="20"/>
        </w:rPr>
        <w:t>,</w:t>
      </w:r>
      <w:r w:rsidRPr="00527BFA">
        <w:rPr>
          <w:rFonts w:ascii="Verdana" w:hAnsi="Verdana"/>
          <w:sz w:val="20"/>
          <w:szCs w:val="20"/>
        </w:rPr>
        <w:t xml:space="preserve"> en fecha posterior a la notificación de la pre</w:t>
      </w:r>
      <w:r w:rsidR="005326D5">
        <w:rPr>
          <w:rFonts w:ascii="Verdana" w:hAnsi="Verdana"/>
          <w:sz w:val="20"/>
          <w:szCs w:val="20"/>
        </w:rPr>
        <w:t>sente Sentencia</w:t>
      </w:r>
      <w:r w:rsidR="006801C6">
        <w:rPr>
          <w:rFonts w:ascii="Verdana" w:hAnsi="Verdana"/>
          <w:sz w:val="20"/>
          <w:szCs w:val="20"/>
        </w:rPr>
        <w:t>:</w:t>
      </w:r>
    </w:p>
    <w:p w14:paraId="5585F936" w14:textId="77777777" w:rsidR="005326D5" w:rsidRDefault="005326D5" w:rsidP="005326D5">
      <w:pPr>
        <w:widowControl w:val="0"/>
        <w:tabs>
          <w:tab w:val="left" w:pos="567"/>
        </w:tabs>
        <w:adjustRightInd w:val="0"/>
        <w:jc w:val="both"/>
        <w:textAlignment w:val="baseline"/>
        <w:rPr>
          <w:rFonts w:ascii="Verdana" w:hAnsi="Verdana"/>
          <w:sz w:val="20"/>
          <w:szCs w:val="20"/>
        </w:rPr>
      </w:pPr>
    </w:p>
    <w:p w14:paraId="2312F369" w14:textId="48F2583D" w:rsidR="000B0385" w:rsidRDefault="005326D5" w:rsidP="005326D5">
      <w:pPr>
        <w:pStyle w:val="Prrafodelista"/>
        <w:widowControl w:val="0"/>
        <w:numPr>
          <w:ilvl w:val="0"/>
          <w:numId w:val="15"/>
        </w:numPr>
        <w:tabs>
          <w:tab w:val="left" w:pos="567"/>
        </w:tabs>
        <w:adjustRightInd w:val="0"/>
        <w:ind w:left="426"/>
        <w:jc w:val="both"/>
        <w:textAlignment w:val="baseline"/>
        <w:rPr>
          <w:rFonts w:ascii="Verdana" w:hAnsi="Verdana"/>
          <w:sz w:val="20"/>
          <w:szCs w:val="20"/>
        </w:rPr>
      </w:pPr>
      <w:r w:rsidRPr="005326D5">
        <w:rPr>
          <w:rFonts w:ascii="Verdana" w:hAnsi="Verdana"/>
          <w:sz w:val="20"/>
          <w:szCs w:val="20"/>
        </w:rPr>
        <w:t>En total</w:t>
      </w:r>
      <w:r w:rsidR="006801C6">
        <w:rPr>
          <w:rFonts w:ascii="Verdana" w:hAnsi="Verdana"/>
          <w:sz w:val="20"/>
          <w:szCs w:val="20"/>
        </w:rPr>
        <w:t>,</w:t>
      </w:r>
      <w:r w:rsidRPr="005326D5">
        <w:rPr>
          <w:rFonts w:ascii="Verdana" w:hAnsi="Verdana"/>
          <w:sz w:val="20"/>
          <w:szCs w:val="20"/>
        </w:rPr>
        <w:t xml:space="preserve"> </w:t>
      </w:r>
      <w:r w:rsidR="00DE60A7" w:rsidRPr="005326D5">
        <w:rPr>
          <w:rFonts w:ascii="Verdana" w:hAnsi="Verdana"/>
          <w:sz w:val="20"/>
          <w:szCs w:val="20"/>
        </w:rPr>
        <w:t xml:space="preserve">han sido condenadas </w:t>
      </w:r>
      <w:r w:rsidR="008D04F3" w:rsidRPr="005326D5">
        <w:rPr>
          <w:rFonts w:ascii="Verdana" w:hAnsi="Verdana"/>
          <w:sz w:val="20"/>
          <w:szCs w:val="20"/>
        </w:rPr>
        <w:t>18</w:t>
      </w:r>
      <w:r w:rsidR="00DE60A7" w:rsidRPr="005326D5">
        <w:rPr>
          <w:rFonts w:ascii="Verdana" w:hAnsi="Verdana"/>
          <w:sz w:val="20"/>
          <w:szCs w:val="20"/>
        </w:rPr>
        <w:t xml:space="preserve"> personas</w:t>
      </w:r>
      <w:r w:rsidR="00D410DA" w:rsidRPr="005326D5">
        <w:rPr>
          <w:rFonts w:ascii="Verdana" w:hAnsi="Verdana"/>
          <w:sz w:val="20"/>
          <w:szCs w:val="20"/>
        </w:rPr>
        <w:t xml:space="preserve"> por los referidos hechos</w:t>
      </w:r>
      <w:r w:rsidRPr="005326D5">
        <w:rPr>
          <w:rFonts w:ascii="Verdana" w:hAnsi="Verdana"/>
          <w:sz w:val="20"/>
          <w:szCs w:val="20"/>
        </w:rPr>
        <w:t xml:space="preserve"> a penas entre 11 y 60 años de prisión y a multas entre 55 y 30.000 </w:t>
      </w:r>
      <w:proofErr w:type="spellStart"/>
      <w:r w:rsidRPr="005326D5">
        <w:rPr>
          <w:rFonts w:ascii="Verdana" w:hAnsi="Verdana"/>
          <w:sz w:val="20"/>
          <w:szCs w:val="20"/>
        </w:rPr>
        <w:t>s.m.m.</w:t>
      </w:r>
      <w:r w:rsidR="00B679A9">
        <w:rPr>
          <w:rFonts w:ascii="Verdana" w:hAnsi="Verdana"/>
          <w:sz w:val="20"/>
          <w:szCs w:val="20"/>
        </w:rPr>
        <w:t>l.</w:t>
      </w:r>
      <w:r w:rsidRPr="005326D5">
        <w:rPr>
          <w:rFonts w:ascii="Verdana" w:hAnsi="Verdana"/>
          <w:sz w:val="20"/>
          <w:szCs w:val="20"/>
        </w:rPr>
        <w:t>v</w:t>
      </w:r>
      <w:proofErr w:type="spellEnd"/>
      <w:r w:rsidRPr="005326D5">
        <w:rPr>
          <w:rFonts w:ascii="Verdana" w:hAnsi="Verdana"/>
          <w:sz w:val="20"/>
          <w:szCs w:val="20"/>
        </w:rPr>
        <w:t>. (Salario Mínimo Mensual Legal Vigente)</w:t>
      </w:r>
      <w:r w:rsidR="00BF7BEC" w:rsidRPr="00527BFA">
        <w:rPr>
          <w:rStyle w:val="Refdenotaalpie"/>
          <w:rFonts w:ascii="Verdana" w:hAnsi="Verdana"/>
          <w:sz w:val="20"/>
          <w:szCs w:val="20"/>
        </w:rPr>
        <w:footnoteReference w:id="27"/>
      </w:r>
      <w:r w:rsidR="006801C6">
        <w:rPr>
          <w:rFonts w:ascii="Verdana" w:hAnsi="Verdana"/>
          <w:sz w:val="20"/>
          <w:szCs w:val="20"/>
        </w:rPr>
        <w:t>.</w:t>
      </w:r>
    </w:p>
    <w:p w14:paraId="66CCCCA2" w14:textId="77777777" w:rsidR="005326D5" w:rsidRPr="005326D5" w:rsidRDefault="005326D5" w:rsidP="005326D5">
      <w:pPr>
        <w:pStyle w:val="Prrafodelista"/>
        <w:widowControl w:val="0"/>
        <w:tabs>
          <w:tab w:val="left" w:pos="567"/>
        </w:tabs>
        <w:adjustRightInd w:val="0"/>
        <w:ind w:left="426"/>
        <w:jc w:val="both"/>
        <w:textAlignment w:val="baseline"/>
        <w:rPr>
          <w:rFonts w:ascii="Verdana" w:hAnsi="Verdana"/>
          <w:sz w:val="20"/>
          <w:szCs w:val="20"/>
        </w:rPr>
      </w:pPr>
    </w:p>
    <w:p w14:paraId="491E072E" w14:textId="272AA55E" w:rsidR="00B64EB9" w:rsidRDefault="005326D5" w:rsidP="00B64EB9">
      <w:pPr>
        <w:pStyle w:val="Prrafodelista"/>
        <w:widowControl w:val="0"/>
        <w:numPr>
          <w:ilvl w:val="0"/>
          <w:numId w:val="15"/>
        </w:numPr>
        <w:tabs>
          <w:tab w:val="left" w:pos="567"/>
        </w:tabs>
        <w:adjustRightInd w:val="0"/>
        <w:ind w:left="426"/>
        <w:jc w:val="both"/>
        <w:textAlignment w:val="baseline"/>
        <w:rPr>
          <w:rFonts w:ascii="Verdana" w:hAnsi="Verdana"/>
          <w:sz w:val="20"/>
          <w:szCs w:val="20"/>
        </w:rPr>
      </w:pPr>
      <w:r w:rsidRPr="005326D5">
        <w:rPr>
          <w:rFonts w:ascii="Verdana" w:hAnsi="Verdana"/>
          <w:sz w:val="20"/>
          <w:szCs w:val="20"/>
        </w:rPr>
        <w:t>La privación de libertad de estas personas se hizo efectiva, salvo una persona que permanece prófuga de la justicia</w:t>
      </w:r>
      <w:r>
        <w:rPr>
          <w:rStyle w:val="Refdenotaalpie"/>
          <w:rFonts w:ascii="Verdana" w:hAnsi="Verdana"/>
          <w:sz w:val="20"/>
          <w:szCs w:val="20"/>
        </w:rPr>
        <w:footnoteReference w:id="28"/>
      </w:r>
      <w:r>
        <w:rPr>
          <w:rFonts w:ascii="Verdana" w:hAnsi="Verdana"/>
          <w:sz w:val="20"/>
          <w:szCs w:val="20"/>
        </w:rPr>
        <w:t>.</w:t>
      </w:r>
    </w:p>
    <w:p w14:paraId="2A16CBEF" w14:textId="77777777" w:rsidR="00D72B36" w:rsidRDefault="00D72B36" w:rsidP="00D72B36">
      <w:pPr>
        <w:pStyle w:val="Prrafodelista"/>
        <w:widowControl w:val="0"/>
        <w:tabs>
          <w:tab w:val="left" w:pos="567"/>
        </w:tabs>
        <w:adjustRightInd w:val="0"/>
        <w:ind w:left="426"/>
        <w:jc w:val="both"/>
        <w:textAlignment w:val="baseline"/>
        <w:rPr>
          <w:rFonts w:ascii="Verdana" w:hAnsi="Verdana"/>
          <w:sz w:val="20"/>
          <w:szCs w:val="20"/>
        </w:rPr>
      </w:pPr>
    </w:p>
    <w:p w14:paraId="18EFAEB1" w14:textId="2711AAFA" w:rsidR="00D72B36" w:rsidRDefault="00D72B36" w:rsidP="00B64EB9">
      <w:pPr>
        <w:pStyle w:val="Prrafodelista"/>
        <w:widowControl w:val="0"/>
        <w:numPr>
          <w:ilvl w:val="0"/>
          <w:numId w:val="15"/>
        </w:numPr>
        <w:tabs>
          <w:tab w:val="left" w:pos="567"/>
        </w:tabs>
        <w:adjustRightInd w:val="0"/>
        <w:ind w:left="426"/>
        <w:jc w:val="both"/>
        <w:textAlignment w:val="baseline"/>
        <w:rPr>
          <w:rFonts w:ascii="Verdana" w:hAnsi="Verdana"/>
          <w:sz w:val="20"/>
          <w:szCs w:val="20"/>
        </w:rPr>
      </w:pPr>
      <w:r>
        <w:rPr>
          <w:rFonts w:ascii="Verdana" w:hAnsi="Verdana"/>
          <w:sz w:val="20"/>
          <w:szCs w:val="20"/>
        </w:rPr>
        <w:t xml:space="preserve">Asimismo, </w:t>
      </w:r>
      <w:r w:rsidRPr="00BE6318">
        <w:rPr>
          <w:rFonts w:ascii="Verdana" w:hAnsi="Verdana"/>
          <w:sz w:val="20"/>
          <w:szCs w:val="20"/>
        </w:rPr>
        <w:t>se habría</w:t>
      </w:r>
      <w:r>
        <w:rPr>
          <w:rFonts w:ascii="Verdana" w:hAnsi="Verdana"/>
          <w:sz w:val="20"/>
          <w:szCs w:val="20"/>
        </w:rPr>
        <w:t xml:space="preserve"> </w:t>
      </w:r>
      <w:r w:rsidRPr="00BE6318">
        <w:rPr>
          <w:rFonts w:ascii="Verdana" w:hAnsi="Verdana"/>
          <w:sz w:val="20"/>
          <w:szCs w:val="20"/>
        </w:rPr>
        <w:t>declarado la extinción de la acción penal por muerte respecto de 32 personas</w:t>
      </w:r>
      <w:r w:rsidRPr="00BE6318">
        <w:rPr>
          <w:rStyle w:val="Refdenotaalpie"/>
          <w:rFonts w:ascii="Verdana" w:hAnsi="Verdana"/>
          <w:sz w:val="20"/>
          <w:szCs w:val="20"/>
        </w:rPr>
        <w:footnoteReference w:id="29"/>
      </w:r>
      <w:r w:rsidRPr="00BE6318">
        <w:rPr>
          <w:rFonts w:ascii="Verdana" w:hAnsi="Verdana"/>
          <w:sz w:val="20"/>
          <w:szCs w:val="20"/>
        </w:rPr>
        <w:t>, así como la preclusión del procedimiento con respecto a 8 personas</w:t>
      </w:r>
      <w:r w:rsidRPr="00BE6318">
        <w:rPr>
          <w:rStyle w:val="Refdenotaalpie"/>
          <w:rFonts w:ascii="Verdana" w:hAnsi="Verdana"/>
          <w:sz w:val="20"/>
          <w:szCs w:val="20"/>
        </w:rPr>
        <w:footnoteReference w:id="30"/>
      </w:r>
      <w:r w:rsidRPr="00BE6318">
        <w:rPr>
          <w:rFonts w:ascii="Verdana" w:hAnsi="Verdana"/>
          <w:sz w:val="20"/>
          <w:szCs w:val="20"/>
        </w:rPr>
        <w:t>.</w:t>
      </w:r>
    </w:p>
    <w:p w14:paraId="1447098F" w14:textId="77777777" w:rsidR="005326D5" w:rsidRPr="005326D5" w:rsidRDefault="005326D5" w:rsidP="005326D5">
      <w:pPr>
        <w:pStyle w:val="Prrafodelista"/>
        <w:widowControl w:val="0"/>
        <w:tabs>
          <w:tab w:val="left" w:pos="567"/>
        </w:tabs>
        <w:adjustRightInd w:val="0"/>
        <w:ind w:left="426"/>
        <w:jc w:val="both"/>
        <w:textAlignment w:val="baseline"/>
        <w:rPr>
          <w:rFonts w:ascii="Verdana" w:hAnsi="Verdana"/>
          <w:sz w:val="20"/>
          <w:szCs w:val="20"/>
        </w:rPr>
      </w:pPr>
    </w:p>
    <w:p w14:paraId="3F661F47" w14:textId="7950047C" w:rsidR="007E02F6" w:rsidRPr="00BE6318" w:rsidRDefault="000B0385" w:rsidP="008B28F9">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BE6318">
        <w:rPr>
          <w:rFonts w:ascii="Verdana" w:hAnsi="Verdana"/>
          <w:sz w:val="20"/>
          <w:szCs w:val="20"/>
        </w:rPr>
        <w:t>A la vista de lo anterior, l</w:t>
      </w:r>
      <w:r w:rsidR="00513F05" w:rsidRPr="00BE6318">
        <w:rPr>
          <w:rFonts w:ascii="Verdana" w:hAnsi="Verdana"/>
          <w:sz w:val="20"/>
          <w:szCs w:val="20"/>
        </w:rPr>
        <w:t xml:space="preserve">a Corte </w:t>
      </w:r>
      <w:r w:rsidR="008B28F9" w:rsidRPr="00BE6318">
        <w:rPr>
          <w:rFonts w:ascii="Verdana" w:hAnsi="Verdana"/>
          <w:sz w:val="20"/>
          <w:szCs w:val="20"/>
        </w:rPr>
        <w:t>observa</w:t>
      </w:r>
      <w:r w:rsidR="0077183F" w:rsidRPr="00BE6318">
        <w:rPr>
          <w:rFonts w:ascii="Verdana" w:hAnsi="Verdana"/>
          <w:sz w:val="20"/>
          <w:szCs w:val="20"/>
        </w:rPr>
        <w:t xml:space="preserve"> que</w:t>
      </w:r>
      <w:r w:rsidR="00D238E6" w:rsidRPr="00BE6318">
        <w:rPr>
          <w:rFonts w:ascii="Verdana" w:hAnsi="Verdana"/>
          <w:sz w:val="20"/>
          <w:szCs w:val="20"/>
        </w:rPr>
        <w:t>, hasta la fecha</w:t>
      </w:r>
      <w:r w:rsidR="00BF7BEC" w:rsidRPr="00BE6318">
        <w:rPr>
          <w:rFonts w:ascii="Verdana" w:hAnsi="Verdana"/>
          <w:sz w:val="20"/>
          <w:szCs w:val="20"/>
        </w:rPr>
        <w:t xml:space="preserve"> y según la información más reciente remitida por el Estado</w:t>
      </w:r>
      <w:r w:rsidR="00D238E6" w:rsidRPr="00BE6318">
        <w:rPr>
          <w:rFonts w:ascii="Verdana" w:hAnsi="Verdana"/>
          <w:sz w:val="20"/>
          <w:szCs w:val="20"/>
        </w:rPr>
        <w:t xml:space="preserve">, se </w:t>
      </w:r>
      <w:r w:rsidR="001F44F8" w:rsidRPr="00BE6318">
        <w:rPr>
          <w:rFonts w:ascii="Verdana" w:hAnsi="Verdana"/>
          <w:sz w:val="20"/>
          <w:szCs w:val="20"/>
        </w:rPr>
        <w:t>habrían</w:t>
      </w:r>
      <w:r w:rsidR="00D238E6" w:rsidRPr="00BE6318">
        <w:rPr>
          <w:rFonts w:ascii="Verdana" w:hAnsi="Verdana"/>
          <w:sz w:val="20"/>
          <w:szCs w:val="20"/>
        </w:rPr>
        <w:t xml:space="preserve"> dictado sentencias condenatorias en contra de </w:t>
      </w:r>
      <w:r w:rsidR="00BF7BEC" w:rsidRPr="00BE6318">
        <w:rPr>
          <w:rFonts w:ascii="Verdana" w:hAnsi="Verdana"/>
          <w:sz w:val="20"/>
          <w:szCs w:val="20"/>
        </w:rPr>
        <w:t xml:space="preserve">un total de </w:t>
      </w:r>
      <w:r w:rsidR="00366C14" w:rsidRPr="00BE6318">
        <w:rPr>
          <w:rFonts w:ascii="Verdana" w:hAnsi="Verdana"/>
          <w:sz w:val="20"/>
          <w:szCs w:val="20"/>
        </w:rPr>
        <w:t>24</w:t>
      </w:r>
      <w:r w:rsidR="00D238E6" w:rsidRPr="00BE6318">
        <w:rPr>
          <w:rFonts w:ascii="Verdana" w:hAnsi="Verdana"/>
          <w:sz w:val="20"/>
          <w:szCs w:val="20"/>
        </w:rPr>
        <w:t xml:space="preserve"> </w:t>
      </w:r>
      <w:r w:rsidR="001F44F8" w:rsidRPr="00BE6318">
        <w:rPr>
          <w:rFonts w:ascii="Verdana" w:hAnsi="Verdana"/>
          <w:sz w:val="20"/>
          <w:szCs w:val="20"/>
        </w:rPr>
        <w:t>personas</w:t>
      </w:r>
      <w:r w:rsidR="00AE667E" w:rsidRPr="00BE6318">
        <w:rPr>
          <w:rFonts w:ascii="Verdana" w:hAnsi="Verdana"/>
          <w:sz w:val="20"/>
          <w:szCs w:val="20"/>
        </w:rPr>
        <w:t xml:space="preserve"> (esto es, las 18 personas referidas </w:t>
      </w:r>
      <w:r w:rsidR="00AE667E" w:rsidRPr="00BE6318">
        <w:rPr>
          <w:rFonts w:ascii="Verdana" w:hAnsi="Verdana"/>
          <w:i/>
          <w:sz w:val="20"/>
          <w:szCs w:val="20"/>
        </w:rPr>
        <w:t>supra</w:t>
      </w:r>
      <w:r w:rsidR="00AE667E" w:rsidRPr="00BE6318">
        <w:rPr>
          <w:rFonts w:ascii="Verdana" w:hAnsi="Verdana"/>
          <w:sz w:val="20"/>
          <w:szCs w:val="20"/>
        </w:rPr>
        <w:t xml:space="preserve">, más las </w:t>
      </w:r>
      <w:r w:rsidR="00D72B36">
        <w:rPr>
          <w:rFonts w:ascii="Verdana" w:hAnsi="Verdana"/>
          <w:sz w:val="20"/>
          <w:szCs w:val="20"/>
        </w:rPr>
        <w:t>6</w:t>
      </w:r>
      <w:r w:rsidR="00AE667E" w:rsidRPr="00BE6318">
        <w:rPr>
          <w:rFonts w:ascii="Verdana" w:hAnsi="Verdana"/>
          <w:sz w:val="20"/>
          <w:szCs w:val="20"/>
        </w:rPr>
        <w:t xml:space="preserve"> personas condenadas con anterioridad a la emisión de la Sentencia)</w:t>
      </w:r>
      <w:r w:rsidR="00674AEC" w:rsidRPr="00BE6318">
        <w:rPr>
          <w:rFonts w:ascii="Verdana" w:hAnsi="Verdana"/>
          <w:sz w:val="20"/>
          <w:szCs w:val="20"/>
        </w:rPr>
        <w:t xml:space="preserve">. </w:t>
      </w:r>
    </w:p>
    <w:p w14:paraId="4BCABCA9" w14:textId="77777777" w:rsidR="007E02F6" w:rsidRPr="00967692" w:rsidRDefault="007E02F6" w:rsidP="007E02F6">
      <w:pPr>
        <w:widowControl w:val="0"/>
        <w:tabs>
          <w:tab w:val="left" w:pos="567"/>
        </w:tabs>
        <w:adjustRightInd w:val="0"/>
        <w:jc w:val="both"/>
        <w:textAlignment w:val="baseline"/>
        <w:rPr>
          <w:rFonts w:ascii="Verdana" w:hAnsi="Verdana"/>
          <w:sz w:val="20"/>
          <w:szCs w:val="20"/>
        </w:rPr>
      </w:pPr>
    </w:p>
    <w:p w14:paraId="3BB47F61" w14:textId="00157C78" w:rsidR="000302B6" w:rsidRPr="00BE6318" w:rsidRDefault="00674AEC" w:rsidP="008B28F9">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BE6318">
        <w:rPr>
          <w:rFonts w:ascii="Verdana" w:hAnsi="Verdana"/>
          <w:sz w:val="20"/>
          <w:szCs w:val="20"/>
        </w:rPr>
        <w:t>Por otro lado</w:t>
      </w:r>
      <w:r w:rsidR="00DE60A7" w:rsidRPr="00BE6318">
        <w:rPr>
          <w:rFonts w:ascii="Verdana" w:hAnsi="Verdana"/>
          <w:sz w:val="20"/>
          <w:szCs w:val="20"/>
        </w:rPr>
        <w:t xml:space="preserve">, </w:t>
      </w:r>
      <w:r w:rsidR="002436E2" w:rsidRPr="00BE6318">
        <w:rPr>
          <w:rFonts w:ascii="Verdana" w:hAnsi="Verdana"/>
          <w:sz w:val="20"/>
          <w:szCs w:val="20"/>
        </w:rPr>
        <w:t xml:space="preserve">según </w:t>
      </w:r>
      <w:r w:rsidR="00297BB6" w:rsidRPr="00BE6318">
        <w:rPr>
          <w:rFonts w:ascii="Verdana" w:hAnsi="Verdana"/>
          <w:sz w:val="20"/>
          <w:szCs w:val="20"/>
        </w:rPr>
        <w:t>la información aportada por el</w:t>
      </w:r>
      <w:r w:rsidR="002436E2" w:rsidRPr="00BE6318">
        <w:rPr>
          <w:rFonts w:ascii="Verdana" w:hAnsi="Verdana"/>
          <w:sz w:val="20"/>
          <w:szCs w:val="20"/>
        </w:rPr>
        <w:t xml:space="preserve"> Estado, </w:t>
      </w:r>
      <w:r w:rsidR="00DE60A7" w:rsidRPr="00BE6318">
        <w:rPr>
          <w:rFonts w:ascii="Verdana" w:hAnsi="Verdana"/>
          <w:sz w:val="20"/>
          <w:szCs w:val="20"/>
        </w:rPr>
        <w:t xml:space="preserve">actualmente se continúa con el proceso con respecto a </w:t>
      </w:r>
      <w:r w:rsidR="00297BB6" w:rsidRPr="00BE6318">
        <w:rPr>
          <w:rFonts w:ascii="Verdana" w:hAnsi="Verdana"/>
          <w:sz w:val="20"/>
          <w:szCs w:val="20"/>
        </w:rPr>
        <w:t>24</w:t>
      </w:r>
      <w:r w:rsidR="002436E2" w:rsidRPr="00BE6318">
        <w:rPr>
          <w:rFonts w:ascii="Verdana" w:hAnsi="Verdana"/>
          <w:sz w:val="20"/>
          <w:szCs w:val="20"/>
        </w:rPr>
        <w:t xml:space="preserve"> personas</w:t>
      </w:r>
      <w:r w:rsidR="002436E2" w:rsidRPr="00BE6318">
        <w:rPr>
          <w:rStyle w:val="Refdenotaalpie"/>
          <w:rFonts w:ascii="Verdana" w:hAnsi="Verdana"/>
          <w:sz w:val="20"/>
          <w:szCs w:val="20"/>
        </w:rPr>
        <w:footnoteReference w:id="31"/>
      </w:r>
      <w:r w:rsidR="007E02F6" w:rsidRPr="00BE6318">
        <w:rPr>
          <w:rFonts w:ascii="Verdana" w:hAnsi="Verdana"/>
          <w:sz w:val="20"/>
          <w:szCs w:val="20"/>
        </w:rPr>
        <w:t>, dentro de las cuales</w:t>
      </w:r>
      <w:r w:rsidR="000A621D" w:rsidRPr="00BE6318">
        <w:rPr>
          <w:rFonts w:ascii="Verdana" w:hAnsi="Verdana"/>
          <w:sz w:val="20"/>
          <w:szCs w:val="20"/>
        </w:rPr>
        <w:t xml:space="preserve"> la Corte destaca las </w:t>
      </w:r>
      <w:r w:rsidRPr="00BE6318">
        <w:rPr>
          <w:rFonts w:ascii="Verdana" w:hAnsi="Verdana"/>
          <w:sz w:val="20"/>
          <w:szCs w:val="20"/>
        </w:rPr>
        <w:t>diligencias de investigación</w:t>
      </w:r>
      <w:r w:rsidR="000A621D" w:rsidRPr="00BE6318">
        <w:rPr>
          <w:rFonts w:ascii="Verdana" w:hAnsi="Verdana"/>
          <w:sz w:val="20"/>
          <w:szCs w:val="20"/>
        </w:rPr>
        <w:t xml:space="preserve"> y procesamientos de miembros de </w:t>
      </w:r>
      <w:r w:rsidR="000A621D" w:rsidRPr="00BE6318">
        <w:rPr>
          <w:rFonts w:ascii="Verdana" w:hAnsi="Verdana"/>
          <w:sz w:val="20"/>
        </w:rPr>
        <w:t>Fuerzas Militares colombianas</w:t>
      </w:r>
      <w:r w:rsidR="009863E7" w:rsidRPr="00BE6318">
        <w:rPr>
          <w:rStyle w:val="Refdenotaalpie"/>
          <w:rFonts w:ascii="Verdana" w:eastAsia="Times New Roman" w:hAnsi="Verdana" w:cs="Arial"/>
          <w:sz w:val="23"/>
          <w:szCs w:val="23"/>
          <w:lang w:val="es-CR" w:eastAsia="es-CR"/>
        </w:rPr>
        <w:footnoteReference w:id="32"/>
      </w:r>
      <w:r w:rsidR="008B28F9" w:rsidRPr="00BE6318">
        <w:rPr>
          <w:rFonts w:ascii="Verdana" w:hAnsi="Verdana"/>
          <w:sz w:val="20"/>
        </w:rPr>
        <w:t xml:space="preserve"> y, </w:t>
      </w:r>
      <w:r w:rsidR="007E02F6" w:rsidRPr="00BE6318">
        <w:rPr>
          <w:rFonts w:ascii="Verdana" w:hAnsi="Verdana"/>
          <w:sz w:val="20"/>
        </w:rPr>
        <w:t xml:space="preserve">en particular, el actual procesamiento de </w:t>
      </w:r>
      <w:r w:rsidR="00121B86" w:rsidRPr="00BE6318">
        <w:rPr>
          <w:rFonts w:ascii="Verdana" w:eastAsia="Times New Roman" w:hAnsi="Verdana"/>
          <w:sz w:val="20"/>
          <w:szCs w:val="20"/>
          <w:lang w:val="es-CR" w:eastAsia="es-CR"/>
        </w:rPr>
        <w:t xml:space="preserve">al menos </w:t>
      </w:r>
      <w:r w:rsidR="00D72B36">
        <w:rPr>
          <w:rFonts w:ascii="Verdana" w:eastAsia="Times New Roman" w:hAnsi="Verdana"/>
          <w:sz w:val="20"/>
          <w:szCs w:val="20"/>
          <w:lang w:val="es-CR" w:eastAsia="es-CR"/>
        </w:rPr>
        <w:t>7</w:t>
      </w:r>
      <w:r w:rsidR="00121B86" w:rsidRPr="00BE6318">
        <w:rPr>
          <w:rFonts w:ascii="Verdana" w:eastAsia="Times New Roman" w:hAnsi="Verdana"/>
          <w:sz w:val="20"/>
          <w:szCs w:val="20"/>
          <w:lang w:val="es-CR" w:eastAsia="es-CR"/>
        </w:rPr>
        <w:t xml:space="preserve"> militares por</w:t>
      </w:r>
      <w:r w:rsidR="00B71572" w:rsidRPr="00BE6318">
        <w:rPr>
          <w:rFonts w:ascii="Verdana" w:eastAsia="Times New Roman" w:hAnsi="Verdana"/>
          <w:sz w:val="20"/>
          <w:szCs w:val="20"/>
          <w:lang w:val="es-CR" w:eastAsia="es-CR"/>
        </w:rPr>
        <w:t xml:space="preserve"> múltiple homicidio agravado, terrorismo, tortura y múltiple desaparición forzada agravada</w:t>
      </w:r>
      <w:r w:rsidR="00121B86" w:rsidRPr="00BE6318">
        <w:rPr>
          <w:rStyle w:val="Refdenotaalpie"/>
          <w:rFonts w:ascii="Verdana" w:eastAsia="Times New Roman" w:hAnsi="Verdana"/>
          <w:sz w:val="20"/>
          <w:szCs w:val="20"/>
          <w:lang w:val="es-CR" w:eastAsia="es-CR"/>
        </w:rPr>
        <w:footnoteReference w:id="33"/>
      </w:r>
      <w:r w:rsidR="00B71572" w:rsidRPr="00BE6318">
        <w:rPr>
          <w:rFonts w:ascii="Verdana" w:eastAsia="Times New Roman" w:hAnsi="Verdana"/>
          <w:sz w:val="20"/>
          <w:szCs w:val="20"/>
          <w:lang w:val="es-CR" w:eastAsia="es-CR"/>
        </w:rPr>
        <w:t xml:space="preserve">. </w:t>
      </w:r>
      <w:r w:rsidR="008B28F9" w:rsidRPr="00BE6318">
        <w:rPr>
          <w:rFonts w:ascii="Verdana" w:eastAsia="Times New Roman" w:hAnsi="Verdana"/>
          <w:sz w:val="20"/>
          <w:szCs w:val="20"/>
          <w:lang w:val="es-CR" w:eastAsia="es-CR"/>
        </w:rPr>
        <w:t>En este sentido, e</w:t>
      </w:r>
      <w:r w:rsidR="00B71572" w:rsidRPr="00BE6318">
        <w:rPr>
          <w:rFonts w:ascii="Verdana" w:eastAsia="Times New Roman" w:hAnsi="Verdana"/>
          <w:sz w:val="20"/>
          <w:szCs w:val="20"/>
          <w:lang w:val="es-CR" w:eastAsia="es-CR"/>
        </w:rPr>
        <w:t xml:space="preserve">l Tribunal </w:t>
      </w:r>
      <w:r w:rsidR="008B28F9" w:rsidRPr="00BE6318">
        <w:rPr>
          <w:rFonts w:ascii="Verdana" w:eastAsia="Times New Roman" w:hAnsi="Verdana"/>
          <w:sz w:val="20"/>
          <w:szCs w:val="20"/>
          <w:lang w:val="es-CR" w:eastAsia="es-CR"/>
        </w:rPr>
        <w:t>observa</w:t>
      </w:r>
      <w:r w:rsidR="00B71572" w:rsidRPr="00BE6318">
        <w:rPr>
          <w:rFonts w:ascii="Verdana" w:eastAsia="Times New Roman" w:hAnsi="Verdana"/>
          <w:sz w:val="20"/>
          <w:szCs w:val="20"/>
          <w:lang w:val="es-CR" w:eastAsia="es-CR"/>
        </w:rPr>
        <w:t xml:space="preserve"> que </w:t>
      </w:r>
      <w:r w:rsidR="00B71572" w:rsidRPr="00BE6318">
        <w:rPr>
          <w:rFonts w:ascii="Verdana" w:hAnsi="Verdana"/>
          <w:sz w:val="20"/>
          <w:szCs w:val="20"/>
        </w:rPr>
        <w:t xml:space="preserve">el 18 de diciembre de 2018 la Fiscalía General de la Nación emitió una resolución en virtud de la cual declaraba la preclusión en favor de </w:t>
      </w:r>
      <w:r w:rsidR="00D72B36">
        <w:rPr>
          <w:rFonts w:ascii="Verdana" w:hAnsi="Verdana"/>
          <w:sz w:val="20"/>
          <w:szCs w:val="20"/>
        </w:rPr>
        <w:t>6</w:t>
      </w:r>
      <w:r w:rsidR="00401E85" w:rsidRPr="00BE6318">
        <w:rPr>
          <w:rFonts w:ascii="Verdana" w:hAnsi="Verdana"/>
          <w:sz w:val="20"/>
          <w:szCs w:val="20"/>
        </w:rPr>
        <w:t xml:space="preserve"> de los referidos militares</w:t>
      </w:r>
      <w:r w:rsidR="00401E85" w:rsidRPr="00BE6318">
        <w:rPr>
          <w:rStyle w:val="Refdenotaalpie"/>
          <w:rFonts w:ascii="Verdana" w:hAnsi="Verdana"/>
          <w:sz w:val="20"/>
          <w:szCs w:val="20"/>
        </w:rPr>
        <w:footnoteReference w:id="34"/>
      </w:r>
      <w:r w:rsidR="00401E85" w:rsidRPr="00BE6318">
        <w:rPr>
          <w:rFonts w:ascii="Verdana" w:hAnsi="Verdana"/>
          <w:sz w:val="20"/>
          <w:szCs w:val="20"/>
        </w:rPr>
        <w:t xml:space="preserve">, </w:t>
      </w:r>
      <w:r w:rsidR="00967692" w:rsidRPr="00BE6318">
        <w:rPr>
          <w:rFonts w:ascii="Verdana" w:hAnsi="Verdana"/>
          <w:sz w:val="20"/>
          <w:szCs w:val="20"/>
        </w:rPr>
        <w:t xml:space="preserve">ante </w:t>
      </w:r>
      <w:r w:rsidR="00DB4FD3">
        <w:rPr>
          <w:rFonts w:ascii="Verdana" w:hAnsi="Verdana"/>
          <w:sz w:val="20"/>
          <w:szCs w:val="20"/>
        </w:rPr>
        <w:t xml:space="preserve">la </w:t>
      </w:r>
      <w:r w:rsidR="00D72B36">
        <w:rPr>
          <w:rFonts w:ascii="Verdana" w:hAnsi="Verdana"/>
          <w:sz w:val="20"/>
          <w:szCs w:val="20"/>
        </w:rPr>
        <w:t>cual</w:t>
      </w:r>
      <w:r w:rsidR="00DB4FD3">
        <w:rPr>
          <w:rFonts w:ascii="Verdana" w:hAnsi="Verdana"/>
          <w:sz w:val="20"/>
          <w:szCs w:val="20"/>
        </w:rPr>
        <w:t xml:space="preserve"> ha sido</w:t>
      </w:r>
      <w:r w:rsidR="00967692" w:rsidRPr="00BE6318">
        <w:rPr>
          <w:rFonts w:ascii="Verdana" w:hAnsi="Verdana"/>
          <w:sz w:val="20"/>
          <w:szCs w:val="20"/>
        </w:rPr>
        <w:t xml:space="preserve"> </w:t>
      </w:r>
      <w:r w:rsidR="00DB4FD3">
        <w:rPr>
          <w:rFonts w:ascii="Verdana" w:hAnsi="Verdana"/>
          <w:sz w:val="20"/>
          <w:szCs w:val="20"/>
        </w:rPr>
        <w:t xml:space="preserve">interpuesto </w:t>
      </w:r>
      <w:r w:rsidR="00967692" w:rsidRPr="00BE6318">
        <w:rPr>
          <w:rFonts w:ascii="Verdana" w:hAnsi="Verdana"/>
          <w:sz w:val="20"/>
          <w:szCs w:val="20"/>
        </w:rPr>
        <w:t xml:space="preserve">un </w:t>
      </w:r>
      <w:r w:rsidR="00967692" w:rsidRPr="00BE6318">
        <w:rPr>
          <w:rFonts w:ascii="Verdana" w:hAnsi="Verdana"/>
          <w:sz w:val="20"/>
          <w:szCs w:val="20"/>
        </w:rPr>
        <w:lastRenderedPageBreak/>
        <w:t xml:space="preserve">recurso de apelación por parte de los </w:t>
      </w:r>
      <w:r w:rsidR="001C4CB7">
        <w:rPr>
          <w:rFonts w:ascii="Verdana" w:hAnsi="Verdana"/>
          <w:sz w:val="20"/>
          <w:szCs w:val="20"/>
        </w:rPr>
        <w:t>representantes de las víctimas</w:t>
      </w:r>
      <w:r w:rsidR="001C4CB7" w:rsidRPr="00BE6318">
        <w:rPr>
          <w:rStyle w:val="Refdenotaalpie"/>
          <w:rFonts w:ascii="Verdana" w:hAnsi="Verdana"/>
          <w:sz w:val="20"/>
          <w:szCs w:val="20"/>
        </w:rPr>
        <w:footnoteReference w:id="35"/>
      </w:r>
      <w:r w:rsidR="001C4CB7">
        <w:rPr>
          <w:rFonts w:ascii="Verdana" w:hAnsi="Verdana"/>
          <w:sz w:val="20"/>
          <w:szCs w:val="20"/>
        </w:rPr>
        <w:t xml:space="preserve">. A la fecha de adopción de la presente </w:t>
      </w:r>
      <w:r w:rsidR="000F2320">
        <w:rPr>
          <w:rFonts w:ascii="Verdana" w:hAnsi="Verdana"/>
          <w:sz w:val="20"/>
          <w:szCs w:val="20"/>
        </w:rPr>
        <w:t>R</w:t>
      </w:r>
      <w:r w:rsidR="001C4CB7">
        <w:rPr>
          <w:rFonts w:ascii="Verdana" w:hAnsi="Verdana"/>
          <w:sz w:val="20"/>
          <w:szCs w:val="20"/>
        </w:rPr>
        <w:t>esolución, la Corte no tiene conocimiento del resultado del referido recurso de apelación</w:t>
      </w:r>
      <w:r w:rsidR="00401E85" w:rsidRPr="00BE6318">
        <w:rPr>
          <w:rFonts w:ascii="Verdana" w:hAnsi="Verdana"/>
          <w:sz w:val="20"/>
          <w:szCs w:val="20"/>
        </w:rPr>
        <w:t>.</w:t>
      </w:r>
    </w:p>
    <w:p w14:paraId="168779DE" w14:textId="77777777" w:rsidR="008B28F9" w:rsidRPr="00527BFA" w:rsidRDefault="008B28F9" w:rsidP="008B28F9">
      <w:pPr>
        <w:widowControl w:val="0"/>
        <w:tabs>
          <w:tab w:val="left" w:pos="567"/>
        </w:tabs>
        <w:adjustRightInd w:val="0"/>
        <w:jc w:val="both"/>
        <w:textAlignment w:val="baseline"/>
        <w:rPr>
          <w:rFonts w:ascii="Verdana" w:hAnsi="Verdana"/>
          <w:sz w:val="20"/>
          <w:szCs w:val="20"/>
        </w:rPr>
      </w:pPr>
    </w:p>
    <w:p w14:paraId="315E72EE" w14:textId="055F9C49" w:rsidR="003D6D79" w:rsidRPr="0003434D" w:rsidRDefault="008B28F9" w:rsidP="0003434D">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 xml:space="preserve">Esta constatación de avances en el cumplimiento de la presente medida de reparación ha sido respaldada por los representantes, quienes confirmaron la existencia de “avances significativos”, especialmente en relación con los agentes estatales que facilitaron la comisión de la </w:t>
      </w:r>
      <w:r w:rsidR="00297BB6" w:rsidRPr="00527BFA">
        <w:rPr>
          <w:rFonts w:ascii="Verdana" w:hAnsi="Verdana"/>
          <w:sz w:val="20"/>
          <w:szCs w:val="20"/>
        </w:rPr>
        <w:t xml:space="preserve">desaparición forzada y ejecución extrajudicial de </w:t>
      </w:r>
      <w:r w:rsidR="00B679A9">
        <w:rPr>
          <w:rFonts w:ascii="Verdana" w:hAnsi="Verdana"/>
          <w:sz w:val="20"/>
          <w:szCs w:val="20"/>
        </w:rPr>
        <w:t xml:space="preserve">las </w:t>
      </w:r>
      <w:r w:rsidR="00297BB6" w:rsidRPr="00527BFA">
        <w:rPr>
          <w:rFonts w:ascii="Verdana" w:hAnsi="Verdana"/>
          <w:sz w:val="20"/>
          <w:szCs w:val="20"/>
        </w:rPr>
        <w:t xml:space="preserve">43 personas de Pueblo Bello los días </w:t>
      </w:r>
      <w:r w:rsidR="00297BB6" w:rsidRPr="00527BFA">
        <w:rPr>
          <w:rFonts w:ascii="Verdana" w:hAnsi="Verdana"/>
          <w:sz w:val="20"/>
          <w:szCs w:val="20"/>
          <w:lang w:val="es-ES_tradnl"/>
        </w:rPr>
        <w:t>14 y 15 de enero de 1990</w:t>
      </w:r>
      <w:r w:rsidRPr="00527BFA">
        <w:rPr>
          <w:rStyle w:val="Refdenotaalpie"/>
          <w:rFonts w:ascii="Verdana" w:eastAsia="Times New Roman" w:hAnsi="Verdana"/>
          <w:sz w:val="20"/>
          <w:szCs w:val="20"/>
          <w:lang w:val="es-CR" w:eastAsia="es-CR"/>
        </w:rPr>
        <w:footnoteReference w:id="36"/>
      </w:r>
      <w:r w:rsidRPr="00527BFA">
        <w:rPr>
          <w:rFonts w:ascii="Verdana" w:hAnsi="Verdana"/>
          <w:sz w:val="20"/>
          <w:szCs w:val="20"/>
        </w:rPr>
        <w:t xml:space="preserve">. </w:t>
      </w:r>
      <w:r w:rsidR="001C4CB7">
        <w:rPr>
          <w:rFonts w:ascii="Verdana" w:hAnsi="Verdana"/>
          <w:sz w:val="20"/>
          <w:szCs w:val="20"/>
        </w:rPr>
        <w:t>Adicionalmente</w:t>
      </w:r>
      <w:r w:rsidR="00215EB1" w:rsidRPr="00215EB1">
        <w:rPr>
          <w:rFonts w:ascii="Verdana" w:hAnsi="Verdana"/>
          <w:sz w:val="20"/>
          <w:szCs w:val="20"/>
        </w:rPr>
        <w:t xml:space="preserve">, en sus observaciones de 2 de noviembre de 2020, los representantes </w:t>
      </w:r>
      <w:r w:rsidR="00215EB1">
        <w:rPr>
          <w:rFonts w:ascii="Verdana" w:hAnsi="Verdana"/>
          <w:sz w:val="20"/>
          <w:szCs w:val="20"/>
        </w:rPr>
        <w:t>advirtieron que la inform</w:t>
      </w:r>
      <w:r w:rsidR="00B679A9">
        <w:rPr>
          <w:rFonts w:ascii="Verdana" w:hAnsi="Verdana"/>
          <w:sz w:val="20"/>
          <w:szCs w:val="20"/>
        </w:rPr>
        <w:t xml:space="preserve">ación presentada por el Estado </w:t>
      </w:r>
      <w:r w:rsidR="00215EB1">
        <w:rPr>
          <w:rFonts w:ascii="Verdana" w:hAnsi="Verdana"/>
          <w:sz w:val="20"/>
          <w:szCs w:val="20"/>
        </w:rPr>
        <w:t>era del año 2017 y, por tanto, figuraba desactualizada</w:t>
      </w:r>
      <w:r w:rsidR="00215EB1">
        <w:rPr>
          <w:rStyle w:val="Refdenotaalpie"/>
          <w:rFonts w:ascii="Verdana" w:hAnsi="Verdana"/>
          <w:sz w:val="20"/>
          <w:szCs w:val="20"/>
        </w:rPr>
        <w:footnoteReference w:id="37"/>
      </w:r>
      <w:r w:rsidR="006801C6" w:rsidRPr="00215EB1">
        <w:rPr>
          <w:rFonts w:ascii="Verdana" w:hAnsi="Verdana"/>
          <w:sz w:val="20"/>
          <w:szCs w:val="20"/>
        </w:rPr>
        <w:t>.</w:t>
      </w:r>
      <w:r w:rsidR="006801C6">
        <w:rPr>
          <w:rFonts w:ascii="Verdana" w:hAnsi="Verdana"/>
          <w:sz w:val="20"/>
          <w:szCs w:val="20"/>
        </w:rPr>
        <w:t xml:space="preserve"> </w:t>
      </w:r>
      <w:r w:rsidR="003D6D79">
        <w:rPr>
          <w:rFonts w:ascii="Verdana" w:hAnsi="Verdana"/>
          <w:sz w:val="20"/>
          <w:szCs w:val="20"/>
        </w:rPr>
        <w:t xml:space="preserve">Los representantes también criticaron el hecho de que se haya concedido la libertad a uno de los </w:t>
      </w:r>
      <w:r w:rsidR="009A475A">
        <w:rPr>
          <w:rFonts w:ascii="Verdana" w:hAnsi="Verdana"/>
          <w:sz w:val="20"/>
          <w:szCs w:val="20"/>
        </w:rPr>
        <w:t xml:space="preserve">agentes estatales </w:t>
      </w:r>
      <w:r w:rsidR="003D6D79">
        <w:rPr>
          <w:rFonts w:ascii="Verdana" w:hAnsi="Verdana"/>
          <w:sz w:val="20"/>
          <w:szCs w:val="20"/>
        </w:rPr>
        <w:t>procesados</w:t>
      </w:r>
      <w:r w:rsidR="0003434D">
        <w:rPr>
          <w:rStyle w:val="Refdenotaalpie"/>
          <w:rFonts w:ascii="Verdana" w:hAnsi="Verdana"/>
          <w:sz w:val="20"/>
          <w:szCs w:val="20"/>
        </w:rPr>
        <w:footnoteReference w:id="38"/>
      </w:r>
      <w:r w:rsidR="003D6D79">
        <w:rPr>
          <w:rFonts w:ascii="Verdana" w:hAnsi="Verdana"/>
          <w:sz w:val="20"/>
          <w:szCs w:val="20"/>
        </w:rPr>
        <w:t xml:space="preserve"> en virtud de “la sola manifestación de que este se postularía a </w:t>
      </w:r>
      <w:r w:rsidR="003D6D79" w:rsidRPr="00CD7073">
        <w:rPr>
          <w:rFonts w:ascii="Verdana" w:hAnsi="Verdana"/>
          <w:sz w:val="20"/>
          <w:szCs w:val="20"/>
        </w:rPr>
        <w:t xml:space="preserve">la </w:t>
      </w:r>
      <w:r w:rsidR="00CD7073" w:rsidRPr="00CD7073">
        <w:rPr>
          <w:rFonts w:ascii="Verdana" w:hAnsi="Verdana"/>
          <w:sz w:val="20"/>
          <w:szCs w:val="20"/>
        </w:rPr>
        <w:t>Jurisdicción Especial para la Paz</w:t>
      </w:r>
      <w:r w:rsidR="003D6D79">
        <w:rPr>
          <w:rFonts w:ascii="Verdana" w:hAnsi="Verdana"/>
          <w:sz w:val="20"/>
          <w:szCs w:val="20"/>
        </w:rPr>
        <w:t xml:space="preserve">, sin atender las previsiones legales que </w:t>
      </w:r>
      <w:proofErr w:type="spellStart"/>
      <w:r w:rsidR="003D6D79">
        <w:rPr>
          <w:rFonts w:ascii="Verdana" w:hAnsi="Verdana"/>
          <w:sz w:val="20"/>
          <w:szCs w:val="20"/>
        </w:rPr>
        <w:t>permit</w:t>
      </w:r>
      <w:proofErr w:type="spellEnd"/>
      <w:r w:rsidR="003D6D79">
        <w:rPr>
          <w:rFonts w:ascii="Verdana" w:hAnsi="Verdana"/>
          <w:sz w:val="20"/>
          <w:szCs w:val="20"/>
        </w:rPr>
        <w:t>[</w:t>
      </w:r>
      <w:proofErr w:type="spellStart"/>
      <w:r w:rsidR="003D6D79">
        <w:rPr>
          <w:rFonts w:ascii="Verdana" w:hAnsi="Verdana"/>
          <w:sz w:val="20"/>
          <w:szCs w:val="20"/>
        </w:rPr>
        <w:t>an</w:t>
      </w:r>
      <w:proofErr w:type="spellEnd"/>
      <w:r w:rsidR="003D6D79">
        <w:rPr>
          <w:rFonts w:ascii="Verdana" w:hAnsi="Verdana"/>
          <w:sz w:val="20"/>
          <w:szCs w:val="20"/>
        </w:rPr>
        <w:t>] asegurarse de que este efectivamente se acoja a dicha jurisdicción”</w:t>
      </w:r>
      <w:r w:rsidR="003D6D79">
        <w:rPr>
          <w:rStyle w:val="Refdenotaalpie"/>
          <w:rFonts w:ascii="Verdana" w:hAnsi="Verdana"/>
          <w:sz w:val="20"/>
          <w:szCs w:val="20"/>
        </w:rPr>
        <w:footnoteReference w:id="39"/>
      </w:r>
      <w:r w:rsidR="003D6D79">
        <w:rPr>
          <w:rFonts w:ascii="Verdana" w:hAnsi="Verdana"/>
          <w:sz w:val="20"/>
          <w:szCs w:val="20"/>
        </w:rPr>
        <w:t>.</w:t>
      </w:r>
      <w:r w:rsidR="0003434D">
        <w:rPr>
          <w:rFonts w:ascii="Verdana" w:hAnsi="Verdana"/>
          <w:sz w:val="20"/>
          <w:szCs w:val="20"/>
        </w:rPr>
        <w:t xml:space="preserve"> </w:t>
      </w:r>
      <w:r w:rsidR="001C4CB7">
        <w:rPr>
          <w:rFonts w:ascii="Verdana" w:hAnsi="Verdana"/>
          <w:sz w:val="20"/>
          <w:szCs w:val="20"/>
        </w:rPr>
        <w:t>Además</w:t>
      </w:r>
      <w:r w:rsidR="0003434D">
        <w:rPr>
          <w:rFonts w:ascii="Verdana" w:hAnsi="Verdana"/>
          <w:sz w:val="20"/>
          <w:szCs w:val="20"/>
        </w:rPr>
        <w:t xml:space="preserve">, en relación con 4 </w:t>
      </w:r>
      <w:r w:rsidR="009A475A">
        <w:rPr>
          <w:rFonts w:ascii="Verdana" w:hAnsi="Verdana"/>
          <w:sz w:val="20"/>
          <w:szCs w:val="20"/>
        </w:rPr>
        <w:t xml:space="preserve">agentes estatales </w:t>
      </w:r>
      <w:r w:rsidR="0003434D">
        <w:rPr>
          <w:rFonts w:ascii="Verdana" w:hAnsi="Verdana"/>
          <w:sz w:val="20"/>
          <w:szCs w:val="20"/>
        </w:rPr>
        <w:t>procesados sobre los que se ha dictado la preclusión de la investigación</w:t>
      </w:r>
      <w:r w:rsidR="0003434D">
        <w:rPr>
          <w:rStyle w:val="Refdenotaalpie"/>
          <w:rFonts w:ascii="Verdana" w:hAnsi="Verdana"/>
          <w:sz w:val="20"/>
          <w:szCs w:val="20"/>
        </w:rPr>
        <w:footnoteReference w:id="40"/>
      </w:r>
      <w:r w:rsidR="0003434D">
        <w:rPr>
          <w:rFonts w:ascii="Verdana" w:hAnsi="Verdana"/>
          <w:sz w:val="20"/>
          <w:szCs w:val="20"/>
        </w:rPr>
        <w:t>, los representantes recalcaron que la misma fue el resultado de “serias deficiencias en la investigación”</w:t>
      </w:r>
      <w:r w:rsidR="00B679A9">
        <w:rPr>
          <w:rFonts w:ascii="Verdana" w:hAnsi="Verdana"/>
          <w:sz w:val="20"/>
          <w:szCs w:val="20"/>
        </w:rPr>
        <w:t>,</w:t>
      </w:r>
      <w:r w:rsidR="0003434D">
        <w:rPr>
          <w:rFonts w:ascii="Verdana" w:hAnsi="Verdana"/>
          <w:sz w:val="20"/>
          <w:szCs w:val="20"/>
        </w:rPr>
        <w:t xml:space="preserve"> las cuales “continúan produciendo una grave situación de impunidad, </w:t>
      </w:r>
      <w:r w:rsidR="0003434D" w:rsidRPr="0003434D">
        <w:rPr>
          <w:rFonts w:ascii="Verdana" w:hAnsi="Verdana"/>
          <w:sz w:val="20"/>
          <w:szCs w:val="20"/>
        </w:rPr>
        <w:t>contraria a los derechos a la justicia de las víctimas, así como a las</w:t>
      </w:r>
      <w:r w:rsidR="0003434D">
        <w:rPr>
          <w:rFonts w:ascii="Verdana" w:hAnsi="Verdana"/>
          <w:sz w:val="20"/>
          <w:szCs w:val="20"/>
        </w:rPr>
        <w:t xml:space="preserve"> </w:t>
      </w:r>
      <w:r w:rsidR="0003434D" w:rsidRPr="0003434D">
        <w:rPr>
          <w:rFonts w:ascii="Verdana" w:hAnsi="Verdana"/>
          <w:sz w:val="20"/>
          <w:szCs w:val="20"/>
        </w:rPr>
        <w:t>obligaciones del Estado de investigar la responsabilidad de sus agentes”</w:t>
      </w:r>
      <w:r w:rsidR="0003434D">
        <w:rPr>
          <w:rStyle w:val="Refdenotaalpie"/>
          <w:rFonts w:ascii="Verdana" w:hAnsi="Verdana"/>
          <w:sz w:val="20"/>
          <w:szCs w:val="20"/>
        </w:rPr>
        <w:footnoteReference w:id="41"/>
      </w:r>
      <w:r w:rsidR="009A475A">
        <w:rPr>
          <w:rFonts w:ascii="Verdana" w:hAnsi="Verdana"/>
          <w:sz w:val="20"/>
          <w:szCs w:val="20"/>
        </w:rPr>
        <w:t xml:space="preserve">. </w:t>
      </w:r>
    </w:p>
    <w:p w14:paraId="4229C761" w14:textId="77777777" w:rsidR="003D6D79" w:rsidRDefault="003D6D79" w:rsidP="003D6D79">
      <w:pPr>
        <w:widowControl w:val="0"/>
        <w:tabs>
          <w:tab w:val="left" w:pos="567"/>
        </w:tabs>
        <w:adjustRightInd w:val="0"/>
        <w:jc w:val="both"/>
        <w:textAlignment w:val="baseline"/>
        <w:rPr>
          <w:rFonts w:ascii="Verdana" w:hAnsi="Verdana"/>
          <w:sz w:val="20"/>
          <w:szCs w:val="20"/>
        </w:rPr>
      </w:pPr>
    </w:p>
    <w:p w14:paraId="6B988D8C" w14:textId="77777777" w:rsidR="00B679A9" w:rsidRPr="00B679A9" w:rsidRDefault="00215EB1" w:rsidP="008B28F9">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Pr>
          <w:rFonts w:ascii="Verdana" w:hAnsi="Verdana"/>
          <w:sz w:val="20"/>
          <w:szCs w:val="20"/>
        </w:rPr>
        <w:t>Por su parte, la</w:t>
      </w:r>
      <w:r w:rsidR="008B28F9" w:rsidRPr="00527BFA">
        <w:rPr>
          <w:rFonts w:ascii="Verdana" w:hAnsi="Verdana"/>
          <w:sz w:val="20"/>
          <w:szCs w:val="20"/>
        </w:rPr>
        <w:t xml:space="preserve"> Comisión Interamericana </w:t>
      </w:r>
      <w:r w:rsidR="00B679A9">
        <w:rPr>
          <w:rFonts w:ascii="Verdana" w:hAnsi="Verdana"/>
          <w:sz w:val="20"/>
          <w:szCs w:val="20"/>
        </w:rPr>
        <w:t>valoró</w:t>
      </w:r>
      <w:r w:rsidR="008B28F9" w:rsidRPr="00527BFA">
        <w:rPr>
          <w:rFonts w:ascii="Verdana" w:hAnsi="Verdana"/>
          <w:sz w:val="20"/>
          <w:szCs w:val="20"/>
        </w:rPr>
        <w:t xml:space="preserve"> </w:t>
      </w:r>
      <w:r w:rsidR="008B28F9" w:rsidRPr="00527BFA">
        <w:rPr>
          <w:rFonts w:ascii="Verdana" w:eastAsia="Times New Roman" w:hAnsi="Verdana"/>
          <w:sz w:val="20"/>
          <w:szCs w:val="20"/>
          <w:lang w:val="es-CR" w:eastAsia="es-CR"/>
        </w:rPr>
        <w:t>positivamente “el avance en las condenas e investigaciones realizadas con relación a los presentes hechos”</w:t>
      </w:r>
      <w:r w:rsidR="008B28F9" w:rsidRPr="00527BFA">
        <w:rPr>
          <w:rStyle w:val="Refdenotaalpie"/>
          <w:rFonts w:ascii="Verdana" w:eastAsia="Times New Roman" w:hAnsi="Verdana"/>
          <w:sz w:val="20"/>
          <w:szCs w:val="20"/>
          <w:lang w:val="es-CR" w:eastAsia="es-CR"/>
        </w:rPr>
        <w:footnoteReference w:id="42"/>
      </w:r>
      <w:r w:rsidR="008B28F9" w:rsidRPr="00527BFA">
        <w:rPr>
          <w:rFonts w:ascii="Verdana" w:eastAsia="Times New Roman" w:hAnsi="Verdana"/>
          <w:sz w:val="20"/>
          <w:szCs w:val="20"/>
          <w:lang w:val="es-CR" w:eastAsia="es-CR"/>
        </w:rPr>
        <w:t xml:space="preserve">. </w:t>
      </w:r>
    </w:p>
    <w:p w14:paraId="129A4D8F" w14:textId="77777777" w:rsidR="00B679A9" w:rsidRPr="00B679A9" w:rsidRDefault="00B679A9" w:rsidP="00B679A9">
      <w:pPr>
        <w:widowControl w:val="0"/>
        <w:tabs>
          <w:tab w:val="left" w:pos="567"/>
        </w:tabs>
        <w:adjustRightInd w:val="0"/>
        <w:jc w:val="both"/>
        <w:textAlignment w:val="baseline"/>
        <w:rPr>
          <w:rFonts w:ascii="Verdana" w:hAnsi="Verdana"/>
          <w:sz w:val="20"/>
          <w:szCs w:val="20"/>
        </w:rPr>
      </w:pPr>
    </w:p>
    <w:p w14:paraId="665AF404" w14:textId="65E4B901" w:rsidR="008B28F9" w:rsidRPr="003E27CB" w:rsidRDefault="008B28F9" w:rsidP="008B28F9">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eastAsia="Times New Roman" w:hAnsi="Verdana"/>
          <w:sz w:val="20"/>
          <w:szCs w:val="20"/>
          <w:lang w:val="es-CR" w:eastAsia="es-CR"/>
        </w:rPr>
        <w:t>La Corte coincide con estas valoraciones y resalta positivamente la actuación del Estado y, en particular, de su fiscalía y tribunales internos.</w:t>
      </w:r>
      <w:r w:rsidR="00DC758A" w:rsidRPr="00527BFA">
        <w:rPr>
          <w:rFonts w:ascii="Verdana" w:eastAsia="Times New Roman" w:hAnsi="Verdana"/>
          <w:sz w:val="20"/>
          <w:szCs w:val="20"/>
          <w:lang w:val="es-CR" w:eastAsia="es-CR"/>
        </w:rPr>
        <w:t xml:space="preserve"> </w:t>
      </w:r>
      <w:r w:rsidR="00DC758A" w:rsidRPr="00527BFA">
        <w:rPr>
          <w:rFonts w:ascii="Verdana" w:hAnsi="Verdana"/>
          <w:sz w:val="20"/>
          <w:lang w:val="es-CR"/>
        </w:rPr>
        <w:t>Esta obligación de investigar con la debida diligencia adquiere particular intensidad e importancia ante la gravedad de los delitos cometidos y la naturaleza de los derechos lesionados</w:t>
      </w:r>
      <w:r w:rsidR="00674AEC">
        <w:rPr>
          <w:rFonts w:ascii="Verdana" w:hAnsi="Verdana"/>
          <w:sz w:val="20"/>
          <w:lang w:val="es-CR"/>
        </w:rPr>
        <w:t xml:space="preserve"> en el presente caso</w:t>
      </w:r>
      <w:r w:rsidR="00754F27" w:rsidRPr="00527BFA">
        <w:rPr>
          <w:rStyle w:val="Refdenotaalpie"/>
          <w:rFonts w:ascii="Verdana" w:hAnsi="Verdana"/>
          <w:sz w:val="20"/>
          <w:lang w:val="es-CR"/>
        </w:rPr>
        <w:footnoteReference w:id="43"/>
      </w:r>
      <w:r w:rsidR="00DC758A" w:rsidRPr="00527BFA">
        <w:rPr>
          <w:rFonts w:ascii="Verdana" w:hAnsi="Verdana"/>
          <w:sz w:val="20"/>
          <w:lang w:val="es-CR"/>
        </w:rPr>
        <w:t>.</w:t>
      </w:r>
    </w:p>
    <w:p w14:paraId="34C0009B" w14:textId="77777777" w:rsidR="003E27CB" w:rsidRPr="003E27CB" w:rsidRDefault="003E27CB" w:rsidP="003E27CB">
      <w:pPr>
        <w:widowControl w:val="0"/>
        <w:tabs>
          <w:tab w:val="left" w:pos="567"/>
        </w:tabs>
        <w:adjustRightInd w:val="0"/>
        <w:jc w:val="both"/>
        <w:textAlignment w:val="baseline"/>
        <w:rPr>
          <w:rFonts w:ascii="Verdana" w:hAnsi="Verdana"/>
          <w:sz w:val="20"/>
          <w:szCs w:val="20"/>
          <w:lang w:val="es-ES_tradnl"/>
        </w:rPr>
      </w:pPr>
    </w:p>
    <w:p w14:paraId="007768F2" w14:textId="0C455FDD" w:rsidR="001F44F8" w:rsidRPr="00BE6318" w:rsidRDefault="008B28F9" w:rsidP="00DF7832">
      <w:pPr>
        <w:widowControl w:val="0"/>
        <w:numPr>
          <w:ilvl w:val="0"/>
          <w:numId w:val="8"/>
        </w:numPr>
        <w:tabs>
          <w:tab w:val="left" w:pos="567"/>
          <w:tab w:val="num" w:pos="12305"/>
        </w:tabs>
        <w:adjustRightInd w:val="0"/>
        <w:ind w:left="0" w:firstLine="0"/>
        <w:jc w:val="both"/>
        <w:textAlignment w:val="baseline"/>
        <w:rPr>
          <w:rFonts w:ascii="Verdana" w:hAnsi="Verdana"/>
        </w:rPr>
      </w:pPr>
      <w:r w:rsidRPr="00BE6318">
        <w:rPr>
          <w:rFonts w:ascii="Verdana" w:hAnsi="Verdana"/>
          <w:sz w:val="20"/>
          <w:szCs w:val="20"/>
        </w:rPr>
        <w:t>No obstante, la Corte observa que no han sido aportadas al procedimiento la</w:t>
      </w:r>
      <w:r w:rsidR="00DF7832" w:rsidRPr="00BE6318">
        <w:rPr>
          <w:rFonts w:ascii="Verdana" w:hAnsi="Verdana"/>
          <w:sz w:val="20"/>
          <w:szCs w:val="20"/>
        </w:rPr>
        <w:t>s</w:t>
      </w:r>
      <w:r w:rsidRPr="00BE6318">
        <w:rPr>
          <w:rFonts w:ascii="Verdana" w:hAnsi="Verdana"/>
          <w:sz w:val="20"/>
          <w:szCs w:val="20"/>
        </w:rPr>
        <w:t xml:space="preserve"> </w:t>
      </w:r>
      <w:r w:rsidR="00684AA8" w:rsidRPr="00BE6318">
        <w:rPr>
          <w:rFonts w:ascii="Verdana" w:hAnsi="Verdana"/>
          <w:sz w:val="20"/>
          <w:szCs w:val="20"/>
        </w:rPr>
        <w:t>decisiones</w:t>
      </w:r>
      <w:r w:rsidRPr="00BE6318">
        <w:rPr>
          <w:rFonts w:ascii="Verdana" w:hAnsi="Verdana"/>
          <w:sz w:val="20"/>
          <w:szCs w:val="20"/>
        </w:rPr>
        <w:t xml:space="preserve"> </w:t>
      </w:r>
      <w:r w:rsidR="00674AEC" w:rsidRPr="00BE6318">
        <w:rPr>
          <w:rFonts w:ascii="Verdana" w:hAnsi="Verdana"/>
          <w:sz w:val="20"/>
          <w:szCs w:val="20"/>
        </w:rPr>
        <w:t xml:space="preserve">judiciales </w:t>
      </w:r>
      <w:r w:rsidRPr="00BE6318">
        <w:rPr>
          <w:rFonts w:ascii="Verdana" w:hAnsi="Verdana"/>
          <w:sz w:val="20"/>
          <w:szCs w:val="20"/>
        </w:rPr>
        <w:t>que acreditan las referidas condenas</w:t>
      </w:r>
      <w:r w:rsidR="00674AEC" w:rsidRPr="00BE6318">
        <w:rPr>
          <w:rFonts w:ascii="Verdana" w:hAnsi="Verdana"/>
          <w:sz w:val="20"/>
          <w:szCs w:val="20"/>
        </w:rPr>
        <w:t>,</w:t>
      </w:r>
      <w:r w:rsidRPr="00BE6318">
        <w:rPr>
          <w:rFonts w:ascii="Verdana" w:hAnsi="Verdana"/>
          <w:sz w:val="20"/>
          <w:szCs w:val="20"/>
        </w:rPr>
        <w:t xml:space="preserve"> ni se ha suministrado información específica con respecto a la eventual firmeza de las </w:t>
      </w:r>
      <w:r w:rsidR="00DC758A" w:rsidRPr="00BE6318">
        <w:rPr>
          <w:rFonts w:ascii="Verdana" w:hAnsi="Verdana"/>
          <w:sz w:val="20"/>
          <w:szCs w:val="20"/>
        </w:rPr>
        <w:t>mismas</w:t>
      </w:r>
      <w:r w:rsidR="00684AA8" w:rsidRPr="00BE6318">
        <w:rPr>
          <w:rFonts w:ascii="Verdana" w:hAnsi="Verdana"/>
          <w:sz w:val="20"/>
          <w:szCs w:val="20"/>
        </w:rPr>
        <w:t xml:space="preserve"> y su ejecución</w:t>
      </w:r>
      <w:r w:rsidRPr="00BE6318">
        <w:rPr>
          <w:rFonts w:ascii="Verdana" w:hAnsi="Verdana"/>
          <w:sz w:val="20"/>
          <w:szCs w:val="20"/>
        </w:rPr>
        <w:t xml:space="preserve">. </w:t>
      </w:r>
      <w:r w:rsidR="00CA0193" w:rsidRPr="00BE6318">
        <w:rPr>
          <w:rFonts w:ascii="Verdana" w:hAnsi="Verdana"/>
          <w:sz w:val="20"/>
          <w:szCs w:val="20"/>
        </w:rPr>
        <w:t xml:space="preserve">Adicionalmente, la Corte observa que no dispone de información actualizada sobre el estado de los procedimientos penales seguidos contra los miembros de las Fuerzas Militares colombianas. </w:t>
      </w:r>
      <w:r w:rsidR="001F44F8" w:rsidRPr="00BE6318">
        <w:rPr>
          <w:rFonts w:ascii="Verdana" w:hAnsi="Verdana"/>
          <w:sz w:val="20"/>
          <w:szCs w:val="20"/>
        </w:rPr>
        <w:t xml:space="preserve">Por otro lado, el Tribunal también constata con preocupación </w:t>
      </w:r>
      <w:r w:rsidR="00AE63D8" w:rsidRPr="00BE6318">
        <w:rPr>
          <w:rFonts w:ascii="Verdana" w:hAnsi="Verdana"/>
          <w:sz w:val="20"/>
          <w:szCs w:val="20"/>
        </w:rPr>
        <w:t>que</w:t>
      </w:r>
      <w:r w:rsidR="00CA0193" w:rsidRPr="00BE6318">
        <w:rPr>
          <w:rFonts w:ascii="Verdana" w:hAnsi="Verdana"/>
          <w:sz w:val="20"/>
          <w:szCs w:val="20"/>
        </w:rPr>
        <w:t xml:space="preserve">, </w:t>
      </w:r>
      <w:r w:rsidR="00CA0193" w:rsidRPr="00BE6318">
        <w:rPr>
          <w:rFonts w:ascii="Verdana" w:hAnsi="Verdana"/>
          <w:sz w:val="20"/>
          <w:szCs w:val="20"/>
        </w:rPr>
        <w:lastRenderedPageBreak/>
        <w:t>tal y como</w:t>
      </w:r>
      <w:r w:rsidR="00DB4FD3">
        <w:rPr>
          <w:rFonts w:ascii="Verdana" w:hAnsi="Verdana"/>
          <w:sz w:val="20"/>
          <w:szCs w:val="20"/>
        </w:rPr>
        <w:t xml:space="preserve"> lo</w:t>
      </w:r>
      <w:r w:rsidR="00CA0193" w:rsidRPr="00BE6318">
        <w:rPr>
          <w:rFonts w:ascii="Verdana" w:hAnsi="Verdana"/>
          <w:sz w:val="20"/>
          <w:szCs w:val="20"/>
        </w:rPr>
        <w:t xml:space="preserve"> ha informado el Estado,</w:t>
      </w:r>
      <w:r w:rsidR="00AE63D8" w:rsidRPr="00BE6318">
        <w:rPr>
          <w:rFonts w:ascii="Verdana" w:hAnsi="Verdana"/>
          <w:sz w:val="20"/>
          <w:szCs w:val="20"/>
        </w:rPr>
        <w:t xml:space="preserve"> al menos </w:t>
      </w:r>
      <w:r w:rsidR="007611E6" w:rsidRPr="00BE6318">
        <w:rPr>
          <w:rFonts w:ascii="Verdana" w:hAnsi="Verdana"/>
          <w:sz w:val="20"/>
          <w:szCs w:val="20"/>
        </w:rPr>
        <w:t>11</w:t>
      </w:r>
      <w:r w:rsidR="00AE63D8" w:rsidRPr="00BE6318">
        <w:rPr>
          <w:rFonts w:ascii="Verdana" w:hAnsi="Verdana"/>
          <w:sz w:val="20"/>
          <w:szCs w:val="20"/>
        </w:rPr>
        <w:t xml:space="preserve"> procesados</w:t>
      </w:r>
      <w:r w:rsidR="00C365F1" w:rsidRPr="00BE6318">
        <w:rPr>
          <w:rStyle w:val="Refdenotaalpie"/>
          <w:rFonts w:ascii="Verdana" w:hAnsi="Verdana"/>
          <w:sz w:val="20"/>
          <w:szCs w:val="20"/>
        </w:rPr>
        <w:footnoteReference w:id="44"/>
      </w:r>
      <w:r w:rsidR="00AE63D8" w:rsidRPr="00BE6318">
        <w:rPr>
          <w:rFonts w:ascii="Verdana" w:hAnsi="Verdana"/>
          <w:sz w:val="20"/>
          <w:szCs w:val="20"/>
        </w:rPr>
        <w:t xml:space="preserve"> y </w:t>
      </w:r>
      <w:r w:rsidR="007611E6" w:rsidRPr="00BE6318">
        <w:rPr>
          <w:rFonts w:ascii="Verdana" w:hAnsi="Verdana"/>
          <w:sz w:val="20"/>
          <w:szCs w:val="20"/>
        </w:rPr>
        <w:t xml:space="preserve">1 </w:t>
      </w:r>
      <w:r w:rsidR="00AE63D8" w:rsidRPr="00BE6318">
        <w:rPr>
          <w:rFonts w:ascii="Verdana" w:hAnsi="Verdana"/>
          <w:sz w:val="20"/>
          <w:szCs w:val="20"/>
        </w:rPr>
        <w:t>condenado</w:t>
      </w:r>
      <w:r w:rsidR="00AE63D8" w:rsidRPr="00BE6318">
        <w:rPr>
          <w:rStyle w:val="Refdenotaalpie"/>
          <w:rFonts w:ascii="Verdana" w:hAnsi="Verdana"/>
          <w:sz w:val="20"/>
          <w:szCs w:val="20"/>
        </w:rPr>
        <w:footnoteReference w:id="45"/>
      </w:r>
      <w:r w:rsidR="00AE63D8" w:rsidRPr="00BE6318">
        <w:rPr>
          <w:rFonts w:ascii="Verdana" w:hAnsi="Verdana"/>
          <w:sz w:val="20"/>
          <w:szCs w:val="20"/>
        </w:rPr>
        <w:t xml:space="preserve"> se han sustra</w:t>
      </w:r>
      <w:r w:rsidR="00674AEC" w:rsidRPr="00BE6318">
        <w:rPr>
          <w:rFonts w:ascii="Verdana" w:hAnsi="Verdana"/>
          <w:sz w:val="20"/>
          <w:szCs w:val="20"/>
        </w:rPr>
        <w:t xml:space="preserve">ído </w:t>
      </w:r>
      <w:r w:rsidR="003A4ECF">
        <w:rPr>
          <w:rFonts w:ascii="Verdana" w:hAnsi="Verdana"/>
          <w:sz w:val="20"/>
          <w:szCs w:val="20"/>
        </w:rPr>
        <w:t>de</w:t>
      </w:r>
      <w:r w:rsidR="00674AEC" w:rsidRPr="00BE6318">
        <w:rPr>
          <w:rFonts w:ascii="Verdana" w:hAnsi="Verdana"/>
          <w:sz w:val="20"/>
          <w:szCs w:val="20"/>
        </w:rPr>
        <w:t xml:space="preserve"> la acción de la justicia, bien habiéndose</w:t>
      </w:r>
      <w:r w:rsidR="00AE63D8" w:rsidRPr="00BE6318">
        <w:rPr>
          <w:rFonts w:ascii="Verdana" w:hAnsi="Verdana"/>
          <w:sz w:val="20"/>
          <w:szCs w:val="20"/>
        </w:rPr>
        <w:t xml:space="preserve"> fugado del país</w:t>
      </w:r>
      <w:r w:rsidR="00674AEC" w:rsidRPr="00BE6318">
        <w:rPr>
          <w:rFonts w:ascii="Verdana" w:hAnsi="Verdana"/>
          <w:sz w:val="20"/>
          <w:szCs w:val="20"/>
        </w:rPr>
        <w:t>,</w:t>
      </w:r>
      <w:r w:rsidR="00485EF0" w:rsidRPr="00BE6318">
        <w:rPr>
          <w:rFonts w:ascii="Verdana" w:hAnsi="Verdana"/>
          <w:sz w:val="20"/>
          <w:szCs w:val="20"/>
        </w:rPr>
        <w:t xml:space="preserve"> o</w:t>
      </w:r>
      <w:r w:rsidR="00674AEC" w:rsidRPr="00BE6318">
        <w:rPr>
          <w:rFonts w:ascii="Verdana" w:hAnsi="Verdana"/>
          <w:sz w:val="20"/>
          <w:szCs w:val="20"/>
        </w:rPr>
        <w:t xml:space="preserve"> bien encontrándose actualmente en paradero desconocido</w:t>
      </w:r>
      <w:r w:rsidR="00AE63D8" w:rsidRPr="00BE6318">
        <w:rPr>
          <w:rFonts w:ascii="Verdana" w:hAnsi="Verdana"/>
          <w:sz w:val="20"/>
          <w:szCs w:val="20"/>
        </w:rPr>
        <w:t xml:space="preserve">. </w:t>
      </w:r>
    </w:p>
    <w:p w14:paraId="0001AFE2" w14:textId="77777777" w:rsidR="001F44F8" w:rsidRPr="00527BFA" w:rsidRDefault="001F44F8" w:rsidP="001F44F8">
      <w:pPr>
        <w:widowControl w:val="0"/>
        <w:tabs>
          <w:tab w:val="left" w:pos="567"/>
        </w:tabs>
        <w:adjustRightInd w:val="0"/>
        <w:jc w:val="both"/>
        <w:textAlignment w:val="baseline"/>
        <w:rPr>
          <w:rFonts w:ascii="Verdana" w:hAnsi="Verdana"/>
        </w:rPr>
      </w:pPr>
    </w:p>
    <w:p w14:paraId="376EC15E" w14:textId="45056F5A" w:rsidR="00B679A9" w:rsidRPr="00B679A9" w:rsidRDefault="00DC758A" w:rsidP="00DF7832">
      <w:pPr>
        <w:widowControl w:val="0"/>
        <w:numPr>
          <w:ilvl w:val="0"/>
          <w:numId w:val="8"/>
        </w:numPr>
        <w:tabs>
          <w:tab w:val="left" w:pos="567"/>
          <w:tab w:val="num" w:pos="12305"/>
        </w:tabs>
        <w:adjustRightInd w:val="0"/>
        <w:ind w:left="0" w:firstLine="0"/>
        <w:jc w:val="both"/>
        <w:textAlignment w:val="baseline"/>
        <w:rPr>
          <w:rFonts w:ascii="Verdana" w:hAnsi="Verdana"/>
        </w:rPr>
      </w:pPr>
      <w:r w:rsidRPr="00527BFA">
        <w:rPr>
          <w:rFonts w:ascii="Verdana" w:hAnsi="Verdana"/>
          <w:sz w:val="20"/>
          <w:szCs w:val="20"/>
        </w:rPr>
        <w:t xml:space="preserve"> En consecuencia, </w:t>
      </w:r>
      <w:r w:rsidR="001F44F8" w:rsidRPr="00527BFA">
        <w:rPr>
          <w:rFonts w:ascii="Verdana" w:hAnsi="Verdana"/>
          <w:sz w:val="20"/>
          <w:szCs w:val="20"/>
        </w:rPr>
        <w:t xml:space="preserve">teniendo en cuenta que, </w:t>
      </w:r>
      <w:r w:rsidR="00297BB6" w:rsidRPr="00527BFA">
        <w:rPr>
          <w:rFonts w:ascii="Verdana" w:hAnsi="Verdana"/>
          <w:sz w:val="20"/>
          <w:szCs w:val="20"/>
        </w:rPr>
        <w:t xml:space="preserve">(i) </w:t>
      </w:r>
      <w:r w:rsidR="001F44F8" w:rsidRPr="00527BFA">
        <w:rPr>
          <w:rFonts w:ascii="Verdana" w:hAnsi="Verdana"/>
          <w:sz w:val="20"/>
          <w:szCs w:val="20"/>
        </w:rPr>
        <w:t xml:space="preserve">hasta la fecha se ha avanzado en la determinación de la responsabilidad penal de </w:t>
      </w:r>
      <w:r w:rsidR="00297BB6" w:rsidRPr="00527BFA">
        <w:rPr>
          <w:rFonts w:ascii="Verdana" w:hAnsi="Verdana"/>
          <w:sz w:val="20"/>
          <w:szCs w:val="20"/>
        </w:rPr>
        <w:t xml:space="preserve">24 </w:t>
      </w:r>
      <w:r w:rsidR="001F44F8" w:rsidRPr="00527BFA">
        <w:rPr>
          <w:rFonts w:ascii="Verdana" w:hAnsi="Verdana"/>
          <w:sz w:val="20"/>
          <w:szCs w:val="20"/>
        </w:rPr>
        <w:t>personas (</w:t>
      </w:r>
      <w:r w:rsidR="001C4CB7">
        <w:rPr>
          <w:rFonts w:ascii="Verdana" w:hAnsi="Verdana"/>
          <w:sz w:val="20"/>
          <w:szCs w:val="20"/>
        </w:rPr>
        <w:t>6</w:t>
      </w:r>
      <w:r w:rsidR="001F44F8" w:rsidRPr="00527BFA">
        <w:rPr>
          <w:rFonts w:ascii="Verdana" w:hAnsi="Verdana"/>
          <w:sz w:val="20"/>
          <w:szCs w:val="20"/>
        </w:rPr>
        <w:t xml:space="preserve"> de ellas condenadas antes de que se dictara la Sentencia relativa al presente caso)</w:t>
      </w:r>
      <w:r w:rsidR="00297BB6" w:rsidRPr="00527BFA">
        <w:rPr>
          <w:rFonts w:ascii="Verdana" w:hAnsi="Verdana"/>
          <w:sz w:val="20"/>
          <w:szCs w:val="20"/>
        </w:rPr>
        <w:t xml:space="preserve"> por la desaparición forzada y ejecución extrajudicial de 43 personas de Pueblo Bello</w:t>
      </w:r>
      <w:r w:rsidR="001F44F8" w:rsidRPr="00527BFA">
        <w:rPr>
          <w:rFonts w:ascii="Verdana" w:hAnsi="Verdana"/>
          <w:sz w:val="20"/>
          <w:szCs w:val="20"/>
        </w:rPr>
        <w:t xml:space="preserve">, </w:t>
      </w:r>
      <w:r w:rsidR="00297BB6" w:rsidRPr="00527BFA">
        <w:rPr>
          <w:rFonts w:ascii="Verdana" w:hAnsi="Verdana"/>
          <w:sz w:val="20"/>
          <w:szCs w:val="20"/>
        </w:rPr>
        <w:t xml:space="preserve">y (ii) </w:t>
      </w:r>
      <w:r w:rsidR="001F44F8" w:rsidRPr="00527BFA">
        <w:rPr>
          <w:rFonts w:ascii="Verdana" w:hAnsi="Verdana"/>
          <w:sz w:val="20"/>
          <w:szCs w:val="20"/>
        </w:rPr>
        <w:t>que se encuentran e</w:t>
      </w:r>
      <w:r w:rsidR="00521613" w:rsidRPr="00527BFA">
        <w:rPr>
          <w:rFonts w:ascii="Verdana" w:hAnsi="Verdana"/>
          <w:sz w:val="20"/>
          <w:szCs w:val="20"/>
        </w:rPr>
        <w:t>n curso varios procesos penales, incluidos aquellos respecto</w:t>
      </w:r>
      <w:r w:rsidR="001F44F8" w:rsidRPr="00527BFA">
        <w:rPr>
          <w:rFonts w:ascii="Verdana" w:hAnsi="Verdana"/>
          <w:sz w:val="20"/>
          <w:szCs w:val="20"/>
        </w:rPr>
        <w:t xml:space="preserve"> de, al menos, 7 miembros de las Fuerzas Militares, la Corte considera que Colombia ha dado cumplimiento parcial a la obligación de investigar, </w:t>
      </w:r>
      <w:r w:rsidR="003A4ECF">
        <w:rPr>
          <w:rFonts w:ascii="Verdana" w:hAnsi="Verdana"/>
          <w:sz w:val="20"/>
          <w:szCs w:val="20"/>
        </w:rPr>
        <w:t xml:space="preserve">juzgar y, en su caso, sancionar, </w:t>
      </w:r>
      <w:r w:rsidR="001F44F8" w:rsidRPr="00527BFA">
        <w:rPr>
          <w:rFonts w:ascii="Verdana" w:hAnsi="Verdana"/>
          <w:sz w:val="20"/>
          <w:szCs w:val="20"/>
        </w:rPr>
        <w:t xml:space="preserve">ordenada en el punto resolutivo séptimo de la Sentencia. </w:t>
      </w:r>
    </w:p>
    <w:p w14:paraId="452374AD" w14:textId="77777777" w:rsidR="00B679A9" w:rsidRPr="00B679A9" w:rsidRDefault="00B679A9" w:rsidP="00B679A9">
      <w:pPr>
        <w:widowControl w:val="0"/>
        <w:tabs>
          <w:tab w:val="left" w:pos="567"/>
        </w:tabs>
        <w:adjustRightInd w:val="0"/>
        <w:jc w:val="both"/>
        <w:textAlignment w:val="baseline"/>
        <w:rPr>
          <w:rFonts w:ascii="Verdana" w:hAnsi="Verdana"/>
        </w:rPr>
      </w:pPr>
    </w:p>
    <w:p w14:paraId="5BC52BC5" w14:textId="07E02DAB" w:rsidR="008B28F9" w:rsidRPr="008B2BEE" w:rsidRDefault="009C02F2" w:rsidP="00DF7832">
      <w:pPr>
        <w:widowControl w:val="0"/>
        <w:numPr>
          <w:ilvl w:val="0"/>
          <w:numId w:val="8"/>
        </w:numPr>
        <w:tabs>
          <w:tab w:val="left" w:pos="567"/>
          <w:tab w:val="num" w:pos="12305"/>
        </w:tabs>
        <w:adjustRightInd w:val="0"/>
        <w:ind w:left="0" w:firstLine="0"/>
        <w:jc w:val="both"/>
        <w:textAlignment w:val="baseline"/>
        <w:rPr>
          <w:rFonts w:ascii="Verdana" w:hAnsi="Verdana"/>
        </w:rPr>
      </w:pPr>
      <w:r w:rsidRPr="00527BFA">
        <w:rPr>
          <w:rFonts w:ascii="Verdana" w:hAnsi="Verdana"/>
          <w:sz w:val="20"/>
          <w:szCs w:val="20"/>
        </w:rPr>
        <w:t xml:space="preserve">Asimismo, la Corte </w:t>
      </w:r>
      <w:r w:rsidR="00513F05" w:rsidRPr="00527BFA">
        <w:rPr>
          <w:rFonts w:ascii="Verdana" w:hAnsi="Verdana"/>
          <w:sz w:val="20"/>
          <w:szCs w:val="20"/>
        </w:rPr>
        <w:t xml:space="preserve">solicita al Estado que informe de manera actualizada, </w:t>
      </w:r>
      <w:r w:rsidR="001E5CD2">
        <w:rPr>
          <w:rFonts w:ascii="Verdana" w:hAnsi="Verdana"/>
          <w:sz w:val="20"/>
          <w:szCs w:val="20"/>
        </w:rPr>
        <w:t>individualizada</w:t>
      </w:r>
      <w:r w:rsidR="00513F05" w:rsidRPr="00527BFA">
        <w:rPr>
          <w:rFonts w:ascii="Verdana" w:hAnsi="Verdana"/>
          <w:sz w:val="20"/>
          <w:szCs w:val="20"/>
        </w:rPr>
        <w:t xml:space="preserve"> y detallada sobre</w:t>
      </w:r>
      <w:r w:rsidR="008923CD">
        <w:rPr>
          <w:rFonts w:ascii="Verdana" w:hAnsi="Verdana"/>
          <w:sz w:val="20"/>
          <w:szCs w:val="20"/>
        </w:rPr>
        <w:t>:</w:t>
      </w:r>
      <w:r w:rsidR="00513F05" w:rsidRPr="00527BFA">
        <w:rPr>
          <w:rFonts w:ascii="Verdana" w:hAnsi="Verdana"/>
          <w:sz w:val="20"/>
          <w:szCs w:val="20"/>
        </w:rPr>
        <w:t xml:space="preserve"> </w:t>
      </w:r>
      <w:r w:rsidR="001E5CD2">
        <w:rPr>
          <w:rFonts w:ascii="Verdana" w:hAnsi="Verdana"/>
          <w:sz w:val="20"/>
          <w:szCs w:val="20"/>
        </w:rPr>
        <w:t xml:space="preserve">(i) </w:t>
      </w:r>
      <w:r w:rsidR="008B28F9" w:rsidRPr="00527BFA">
        <w:rPr>
          <w:rFonts w:ascii="Verdana" w:hAnsi="Verdana"/>
          <w:sz w:val="20"/>
          <w:szCs w:val="20"/>
        </w:rPr>
        <w:t xml:space="preserve">las condenas recaídas </w:t>
      </w:r>
      <w:r w:rsidR="00521613" w:rsidRPr="00527BFA">
        <w:rPr>
          <w:rFonts w:ascii="Verdana" w:hAnsi="Verdana"/>
          <w:sz w:val="20"/>
          <w:szCs w:val="20"/>
        </w:rPr>
        <w:t xml:space="preserve">por la </w:t>
      </w:r>
      <w:r w:rsidR="00297BB6" w:rsidRPr="00527BFA">
        <w:rPr>
          <w:rFonts w:ascii="Verdana" w:hAnsi="Verdana"/>
          <w:sz w:val="20"/>
          <w:szCs w:val="20"/>
        </w:rPr>
        <w:t xml:space="preserve">desaparición forzada y ejecución extrajudicial de 43 personas de Pueblo Bello los días </w:t>
      </w:r>
      <w:r w:rsidR="00297BB6" w:rsidRPr="00527BFA">
        <w:rPr>
          <w:rFonts w:ascii="Verdana" w:hAnsi="Verdana"/>
          <w:sz w:val="20"/>
          <w:szCs w:val="20"/>
          <w:lang w:val="es-ES_tradnl"/>
        </w:rPr>
        <w:t>14 y 15 de enero de 1990</w:t>
      </w:r>
      <w:r w:rsidR="00521613" w:rsidRPr="00527BFA">
        <w:rPr>
          <w:rFonts w:ascii="Verdana" w:hAnsi="Verdana"/>
          <w:sz w:val="20"/>
          <w:szCs w:val="20"/>
          <w:lang w:val="es-ES_tradnl"/>
        </w:rPr>
        <w:t xml:space="preserve">, </w:t>
      </w:r>
      <w:r w:rsidR="00674AEC">
        <w:rPr>
          <w:rFonts w:ascii="Verdana" w:hAnsi="Verdana"/>
          <w:sz w:val="20"/>
          <w:szCs w:val="20"/>
          <w:lang w:val="es-ES_tradnl"/>
        </w:rPr>
        <w:t>(ii)</w:t>
      </w:r>
      <w:r w:rsidR="001E5CD2">
        <w:rPr>
          <w:rFonts w:ascii="Verdana" w:hAnsi="Verdana"/>
          <w:sz w:val="20"/>
          <w:szCs w:val="20"/>
          <w:lang w:val="es-ES_tradnl"/>
        </w:rPr>
        <w:t xml:space="preserve"> </w:t>
      </w:r>
      <w:r w:rsidR="00FC075F">
        <w:rPr>
          <w:rFonts w:ascii="Verdana" w:hAnsi="Verdana"/>
          <w:sz w:val="20"/>
          <w:szCs w:val="20"/>
          <w:lang w:val="es-ES_tradnl"/>
        </w:rPr>
        <w:t xml:space="preserve">el </w:t>
      </w:r>
      <w:r w:rsidR="008B28F9" w:rsidRPr="00527BFA">
        <w:rPr>
          <w:rFonts w:ascii="Verdana" w:hAnsi="Verdana"/>
          <w:sz w:val="20"/>
          <w:szCs w:val="20"/>
        </w:rPr>
        <w:t xml:space="preserve">estado actual de las diligencias de investigación y los procesos penales que continúan abiertos frente a </w:t>
      </w:r>
      <w:r w:rsidR="00521613" w:rsidRPr="00527BFA">
        <w:rPr>
          <w:rFonts w:ascii="Verdana" w:hAnsi="Verdana"/>
          <w:sz w:val="20"/>
          <w:szCs w:val="20"/>
        </w:rPr>
        <w:t xml:space="preserve">todas las </w:t>
      </w:r>
      <w:r w:rsidR="008B28F9" w:rsidRPr="00527BFA">
        <w:rPr>
          <w:rFonts w:ascii="Verdana" w:hAnsi="Verdana"/>
          <w:sz w:val="20"/>
          <w:szCs w:val="20"/>
        </w:rPr>
        <w:t xml:space="preserve">personas acusadas o </w:t>
      </w:r>
      <w:r w:rsidR="005A14C6">
        <w:rPr>
          <w:rFonts w:ascii="Verdana" w:hAnsi="Verdana"/>
          <w:sz w:val="20"/>
          <w:szCs w:val="20"/>
        </w:rPr>
        <w:t xml:space="preserve">vinculadas en la investigación de </w:t>
      </w:r>
      <w:r w:rsidR="008B28F9" w:rsidRPr="00527BFA">
        <w:rPr>
          <w:rFonts w:ascii="Verdana" w:hAnsi="Verdana"/>
          <w:sz w:val="20"/>
          <w:szCs w:val="20"/>
        </w:rPr>
        <w:t xml:space="preserve">los </w:t>
      </w:r>
      <w:r w:rsidR="00521613" w:rsidRPr="00527BFA">
        <w:rPr>
          <w:rFonts w:ascii="Verdana" w:hAnsi="Verdana"/>
          <w:sz w:val="20"/>
          <w:szCs w:val="20"/>
        </w:rPr>
        <w:t>referidos hechos</w:t>
      </w:r>
      <w:r w:rsidR="00674AEC">
        <w:rPr>
          <w:rFonts w:ascii="Verdana" w:hAnsi="Verdana"/>
          <w:sz w:val="20"/>
          <w:szCs w:val="20"/>
        </w:rPr>
        <w:t xml:space="preserve">, </w:t>
      </w:r>
      <w:r w:rsidR="00D274B4">
        <w:rPr>
          <w:rFonts w:ascii="Verdana" w:hAnsi="Verdana"/>
          <w:sz w:val="20"/>
          <w:szCs w:val="20"/>
        </w:rPr>
        <w:t xml:space="preserve">incluidos los </w:t>
      </w:r>
      <w:r w:rsidR="00CD7073">
        <w:rPr>
          <w:rFonts w:ascii="Verdana" w:hAnsi="Verdana"/>
          <w:sz w:val="20"/>
          <w:szCs w:val="20"/>
        </w:rPr>
        <w:t xml:space="preserve">procedimientos que actualmente se tramitan ante la </w:t>
      </w:r>
      <w:r w:rsidR="00B679A9" w:rsidRPr="00CD7073">
        <w:rPr>
          <w:rFonts w:ascii="Verdana" w:hAnsi="Verdana"/>
          <w:sz w:val="20"/>
          <w:szCs w:val="20"/>
        </w:rPr>
        <w:t>Jurisdicción Especial para la Paz</w:t>
      </w:r>
      <w:r w:rsidR="00CD7073">
        <w:rPr>
          <w:rFonts w:ascii="Verdana" w:hAnsi="Verdana"/>
          <w:sz w:val="20"/>
          <w:szCs w:val="20"/>
        </w:rPr>
        <w:t xml:space="preserve">, </w:t>
      </w:r>
      <w:r w:rsidR="00674AEC">
        <w:rPr>
          <w:rFonts w:ascii="Verdana" w:hAnsi="Verdana"/>
          <w:sz w:val="20"/>
          <w:szCs w:val="20"/>
        </w:rPr>
        <w:t xml:space="preserve">así como sobre </w:t>
      </w:r>
      <w:r w:rsidR="008923CD">
        <w:rPr>
          <w:rFonts w:ascii="Verdana" w:hAnsi="Verdana"/>
          <w:sz w:val="20"/>
          <w:szCs w:val="20"/>
        </w:rPr>
        <w:t xml:space="preserve">(iii) </w:t>
      </w:r>
      <w:r w:rsidR="00674AEC">
        <w:rPr>
          <w:rFonts w:ascii="Verdana" w:hAnsi="Verdana"/>
          <w:sz w:val="20"/>
          <w:szCs w:val="20"/>
        </w:rPr>
        <w:t xml:space="preserve">las acciones adoptadas y las que se planean a futuro por parte del Estado para </w:t>
      </w:r>
      <w:r w:rsidR="00CA0193">
        <w:rPr>
          <w:rFonts w:ascii="Verdana" w:hAnsi="Verdana"/>
          <w:sz w:val="20"/>
          <w:szCs w:val="20"/>
        </w:rPr>
        <w:t>localizar</w:t>
      </w:r>
      <w:r w:rsidR="00674AEC">
        <w:rPr>
          <w:rFonts w:ascii="Verdana" w:hAnsi="Verdana"/>
          <w:sz w:val="20"/>
          <w:szCs w:val="20"/>
        </w:rPr>
        <w:t xml:space="preserve"> a los procesados y condenados que actualmente se encuentran en paradero desconocido (</w:t>
      </w:r>
      <w:r w:rsidR="00674AEC" w:rsidRPr="00674AEC">
        <w:rPr>
          <w:rFonts w:ascii="Verdana" w:hAnsi="Verdana"/>
          <w:i/>
          <w:sz w:val="20"/>
          <w:szCs w:val="20"/>
        </w:rPr>
        <w:t>supra</w:t>
      </w:r>
      <w:r w:rsidR="00674AEC">
        <w:rPr>
          <w:rFonts w:ascii="Verdana" w:hAnsi="Verdana"/>
          <w:sz w:val="20"/>
          <w:szCs w:val="20"/>
        </w:rPr>
        <w:t xml:space="preserve"> Considerando </w:t>
      </w:r>
      <w:r w:rsidR="00B679A9">
        <w:rPr>
          <w:rFonts w:ascii="Verdana" w:hAnsi="Verdana"/>
          <w:sz w:val="20"/>
          <w:szCs w:val="20"/>
        </w:rPr>
        <w:t>16</w:t>
      </w:r>
      <w:r w:rsidR="00674AEC">
        <w:rPr>
          <w:rFonts w:ascii="Verdana" w:hAnsi="Verdana"/>
          <w:sz w:val="20"/>
          <w:szCs w:val="20"/>
        </w:rPr>
        <w:t>)</w:t>
      </w:r>
      <w:r w:rsidR="008B28F9" w:rsidRPr="00527BFA">
        <w:rPr>
          <w:rFonts w:ascii="Verdana" w:hAnsi="Verdana"/>
          <w:sz w:val="20"/>
          <w:szCs w:val="20"/>
        </w:rPr>
        <w:t xml:space="preserve">. </w:t>
      </w:r>
    </w:p>
    <w:p w14:paraId="362D1286" w14:textId="6CC3AF09" w:rsidR="00582BD3" w:rsidRPr="00527BFA" w:rsidRDefault="008717D1" w:rsidP="000B7F0B">
      <w:pPr>
        <w:pStyle w:val="Ttulo1"/>
        <w:ind w:left="426"/>
      </w:pPr>
      <w:bookmarkStart w:id="6" w:name="_Toc59126503"/>
      <w:r w:rsidRPr="00527BFA">
        <w:t xml:space="preserve">Condiciones de seguridad </w:t>
      </w:r>
      <w:r w:rsidR="0040614E">
        <w:t>para</w:t>
      </w:r>
      <w:r w:rsidRPr="00527BFA">
        <w:t xml:space="preserve"> </w:t>
      </w:r>
      <w:r w:rsidR="009125B9">
        <w:t xml:space="preserve">garantizar </w:t>
      </w:r>
      <w:r w:rsidRPr="00527BFA">
        <w:t xml:space="preserve">retorno a Pueblo Bello y programa de vivienda para los </w:t>
      </w:r>
      <w:r w:rsidR="002124A7">
        <w:t>familiares que regresen</w:t>
      </w:r>
      <w:r w:rsidR="009125B9">
        <w:t xml:space="preserve"> a Pueblo Bello</w:t>
      </w:r>
      <w:bookmarkEnd w:id="6"/>
    </w:p>
    <w:p w14:paraId="7A2C6615" w14:textId="73CA09F5" w:rsidR="000B7F0B" w:rsidRDefault="000B7F0B" w:rsidP="000B7F0B">
      <w:pPr>
        <w:pStyle w:val="Ttulo2"/>
      </w:pPr>
      <w:r w:rsidRPr="00527BFA">
        <w:t>B.1. Medida ordenada por la Corte</w:t>
      </w:r>
      <w:r w:rsidR="00CE4A4A">
        <w:t xml:space="preserve"> y supervisión realizada en resolución anterior</w:t>
      </w:r>
    </w:p>
    <w:p w14:paraId="145537CE" w14:textId="3BCFD57F" w:rsidR="009C70A5" w:rsidRPr="009C70A5" w:rsidRDefault="00BE5761" w:rsidP="009C70A5">
      <w:pPr>
        <w:widowControl w:val="0"/>
        <w:numPr>
          <w:ilvl w:val="0"/>
          <w:numId w:val="8"/>
        </w:numPr>
        <w:tabs>
          <w:tab w:val="left" w:pos="567"/>
          <w:tab w:val="num" w:pos="12305"/>
        </w:tabs>
        <w:adjustRightInd w:val="0"/>
        <w:ind w:left="0" w:firstLine="0"/>
        <w:jc w:val="both"/>
        <w:textAlignment w:val="baseline"/>
        <w:rPr>
          <w:lang w:val="es-ES_tradnl" w:eastAsia="en-US"/>
        </w:rPr>
      </w:pPr>
      <w:r>
        <w:rPr>
          <w:rFonts w:ascii="Verdana" w:hAnsi="Verdana"/>
          <w:sz w:val="20"/>
          <w:szCs w:val="20"/>
        </w:rPr>
        <w:t xml:space="preserve">En </w:t>
      </w:r>
      <w:r w:rsidR="00C84AFD">
        <w:rPr>
          <w:rFonts w:ascii="Verdana" w:hAnsi="Verdana"/>
          <w:sz w:val="20"/>
          <w:szCs w:val="20"/>
        </w:rPr>
        <w:t>el punto resolutivo décimo segundo</w:t>
      </w:r>
      <w:r>
        <w:rPr>
          <w:rFonts w:ascii="Verdana" w:hAnsi="Verdana"/>
          <w:sz w:val="20"/>
          <w:szCs w:val="20"/>
        </w:rPr>
        <w:t>, la Corte estableció que el Estado debía “</w:t>
      </w:r>
      <w:r w:rsidRPr="00BE5761">
        <w:rPr>
          <w:rFonts w:ascii="Verdana" w:hAnsi="Verdana"/>
          <w:sz w:val="20"/>
          <w:szCs w:val="20"/>
        </w:rPr>
        <w:t>realizar las acciones necesarias para garantizar las condiciones de seguridad para que los familiares de las personas desaparecidas y privadas de la vida, así como otros ex pobladores de Pueblo Bello, que se hayan visto desplazados, puedan regresar a tal localidad, en caso que así lo deseen</w:t>
      </w:r>
      <w:r w:rsidR="00EA1239">
        <w:rPr>
          <w:rFonts w:ascii="Verdana" w:hAnsi="Verdana"/>
          <w:sz w:val="20"/>
          <w:szCs w:val="20"/>
        </w:rPr>
        <w:t xml:space="preserve">, </w:t>
      </w:r>
      <w:r w:rsidR="00EA1239" w:rsidRPr="00EA1239">
        <w:rPr>
          <w:rFonts w:ascii="Verdana" w:hAnsi="Verdana"/>
          <w:sz w:val="20"/>
          <w:szCs w:val="20"/>
        </w:rPr>
        <w:t>en los términos de los párrafos 275, 276 y 287 de esta Sentencia</w:t>
      </w:r>
      <w:r>
        <w:rPr>
          <w:rFonts w:ascii="Verdana" w:hAnsi="Verdana"/>
          <w:sz w:val="20"/>
          <w:szCs w:val="20"/>
        </w:rPr>
        <w:t>”.</w:t>
      </w:r>
      <w:r w:rsidR="00757C65">
        <w:rPr>
          <w:rFonts w:ascii="Verdana" w:hAnsi="Verdana"/>
          <w:sz w:val="20"/>
          <w:szCs w:val="20"/>
        </w:rPr>
        <w:t xml:space="preserve"> El Tribunal especificó que, para tales efectos, </w:t>
      </w:r>
      <w:r w:rsidR="00757C65" w:rsidRPr="00757C65">
        <w:rPr>
          <w:rFonts w:ascii="Verdana" w:hAnsi="Verdana"/>
          <w:sz w:val="20"/>
          <w:szCs w:val="20"/>
        </w:rPr>
        <w:t xml:space="preserve">el Estado </w:t>
      </w:r>
      <w:r w:rsidR="00757C65">
        <w:rPr>
          <w:rFonts w:ascii="Verdana" w:hAnsi="Verdana"/>
          <w:sz w:val="20"/>
          <w:szCs w:val="20"/>
        </w:rPr>
        <w:t>tenía la obligación de</w:t>
      </w:r>
      <w:r w:rsidR="00757C65" w:rsidRPr="00757C65">
        <w:rPr>
          <w:rFonts w:ascii="Verdana" w:hAnsi="Verdana"/>
          <w:sz w:val="20"/>
          <w:szCs w:val="20"/>
        </w:rPr>
        <w:t xml:space="preserve"> </w:t>
      </w:r>
      <w:r w:rsidR="00757C65">
        <w:rPr>
          <w:rFonts w:ascii="Verdana" w:hAnsi="Verdana"/>
          <w:sz w:val="20"/>
          <w:szCs w:val="20"/>
        </w:rPr>
        <w:t>“</w:t>
      </w:r>
      <w:r w:rsidR="00757C65" w:rsidRPr="00757C65">
        <w:rPr>
          <w:rFonts w:ascii="Verdana" w:hAnsi="Verdana"/>
          <w:sz w:val="20"/>
          <w:szCs w:val="20"/>
        </w:rPr>
        <w:t>enviar representantes oficiales a dicho corregimiento periódicamente, para verificar el orden y realizar consultas con los residentes del pueblo</w:t>
      </w:r>
      <w:r w:rsidR="00757C65">
        <w:rPr>
          <w:rFonts w:ascii="Verdana" w:hAnsi="Verdana"/>
          <w:sz w:val="20"/>
          <w:szCs w:val="20"/>
        </w:rPr>
        <w:t>”</w:t>
      </w:r>
      <w:r w:rsidR="00757C65" w:rsidRPr="00757C65">
        <w:rPr>
          <w:rFonts w:ascii="Verdana" w:hAnsi="Verdana"/>
          <w:sz w:val="20"/>
          <w:szCs w:val="20"/>
        </w:rPr>
        <w:t xml:space="preserve">. </w:t>
      </w:r>
    </w:p>
    <w:p w14:paraId="244A9D33" w14:textId="77777777" w:rsidR="009C70A5" w:rsidRPr="009C70A5" w:rsidRDefault="009C70A5" w:rsidP="009C70A5">
      <w:pPr>
        <w:widowControl w:val="0"/>
        <w:tabs>
          <w:tab w:val="left" w:pos="567"/>
        </w:tabs>
        <w:adjustRightInd w:val="0"/>
        <w:jc w:val="both"/>
        <w:textAlignment w:val="baseline"/>
        <w:rPr>
          <w:lang w:val="es-ES_tradnl" w:eastAsia="en-US"/>
        </w:rPr>
      </w:pPr>
    </w:p>
    <w:p w14:paraId="5D7D6C51" w14:textId="4D287A99" w:rsidR="00706B70" w:rsidRPr="001C4CB7" w:rsidRDefault="00EA1239" w:rsidP="001C4CB7">
      <w:pPr>
        <w:widowControl w:val="0"/>
        <w:numPr>
          <w:ilvl w:val="0"/>
          <w:numId w:val="8"/>
        </w:numPr>
        <w:tabs>
          <w:tab w:val="left" w:pos="567"/>
          <w:tab w:val="num" w:pos="12305"/>
        </w:tabs>
        <w:adjustRightInd w:val="0"/>
        <w:ind w:left="0" w:firstLine="0"/>
        <w:jc w:val="both"/>
        <w:textAlignment w:val="baseline"/>
        <w:rPr>
          <w:lang w:val="es-ES_tradnl" w:eastAsia="en-US"/>
        </w:rPr>
      </w:pPr>
      <w:r>
        <w:rPr>
          <w:rFonts w:ascii="Verdana" w:hAnsi="Verdana"/>
          <w:sz w:val="20"/>
          <w:szCs w:val="20"/>
          <w:lang w:val="es-ES_tradnl"/>
        </w:rPr>
        <w:t>En el referido párrafo 276</w:t>
      </w:r>
      <w:r w:rsidR="00757C65">
        <w:rPr>
          <w:rFonts w:ascii="Verdana" w:hAnsi="Verdana"/>
          <w:sz w:val="20"/>
          <w:szCs w:val="20"/>
        </w:rPr>
        <w:t xml:space="preserve">, el Tribunal ordenó que el Estado implementara </w:t>
      </w:r>
      <w:r w:rsidR="00A27A0D">
        <w:rPr>
          <w:rFonts w:ascii="Verdana" w:hAnsi="Verdana"/>
          <w:sz w:val="20"/>
          <w:szCs w:val="20"/>
        </w:rPr>
        <w:t>“</w:t>
      </w:r>
      <w:r w:rsidR="00757C65">
        <w:rPr>
          <w:rFonts w:ascii="Verdana" w:hAnsi="Verdana"/>
          <w:sz w:val="20"/>
          <w:szCs w:val="20"/>
        </w:rPr>
        <w:t>un programa habitacional de vivienda adecuada para los familiares que regresen a Pueblo Bello</w:t>
      </w:r>
      <w:r w:rsidR="00A27A0D">
        <w:rPr>
          <w:rFonts w:ascii="Verdana" w:hAnsi="Verdana"/>
          <w:sz w:val="20"/>
          <w:szCs w:val="20"/>
        </w:rPr>
        <w:t>”</w:t>
      </w:r>
      <w:r w:rsidR="00757C65">
        <w:rPr>
          <w:rStyle w:val="Refdenotaalpie"/>
          <w:rFonts w:ascii="Verdana" w:hAnsi="Verdana"/>
          <w:sz w:val="20"/>
          <w:szCs w:val="20"/>
        </w:rPr>
        <w:footnoteReference w:id="46"/>
      </w:r>
      <w:r w:rsidR="00757C65">
        <w:rPr>
          <w:rFonts w:ascii="Verdana" w:hAnsi="Verdana"/>
          <w:sz w:val="20"/>
          <w:szCs w:val="20"/>
        </w:rPr>
        <w:t>. Posteriormente, en la Sentencia de Interpretación</w:t>
      </w:r>
      <w:r w:rsidR="00BB52F3">
        <w:rPr>
          <w:rFonts w:ascii="Verdana" w:hAnsi="Verdana"/>
          <w:sz w:val="20"/>
          <w:szCs w:val="20"/>
        </w:rPr>
        <w:t xml:space="preserve"> (</w:t>
      </w:r>
      <w:r w:rsidR="00BB52F3" w:rsidRPr="00BB52F3">
        <w:rPr>
          <w:rFonts w:ascii="Verdana" w:hAnsi="Verdana"/>
          <w:i/>
          <w:sz w:val="20"/>
          <w:szCs w:val="20"/>
        </w:rPr>
        <w:t>supra</w:t>
      </w:r>
      <w:r w:rsidR="00BB52F3">
        <w:rPr>
          <w:rFonts w:ascii="Verdana" w:hAnsi="Verdana"/>
          <w:sz w:val="20"/>
          <w:szCs w:val="20"/>
        </w:rPr>
        <w:t xml:space="preserve"> Visto 2)</w:t>
      </w:r>
      <w:r w:rsidR="00757C65">
        <w:rPr>
          <w:rFonts w:ascii="Verdana" w:hAnsi="Verdana"/>
          <w:sz w:val="20"/>
          <w:szCs w:val="20"/>
        </w:rPr>
        <w:t>, el Tribunal precisó que</w:t>
      </w:r>
      <w:r w:rsidR="004B626F">
        <w:rPr>
          <w:rFonts w:ascii="Verdana" w:hAnsi="Verdana"/>
          <w:sz w:val="20"/>
          <w:szCs w:val="20"/>
        </w:rPr>
        <w:t>:</w:t>
      </w:r>
      <w:r w:rsidR="00757C65">
        <w:rPr>
          <w:rFonts w:ascii="Verdana" w:hAnsi="Verdana"/>
          <w:sz w:val="20"/>
          <w:szCs w:val="20"/>
        </w:rPr>
        <w:t xml:space="preserve"> (i) </w:t>
      </w:r>
      <w:r w:rsidR="00757C65" w:rsidRPr="00757C65">
        <w:rPr>
          <w:rFonts w:ascii="Verdana" w:hAnsi="Verdana"/>
          <w:sz w:val="20"/>
          <w:szCs w:val="20"/>
        </w:rPr>
        <w:t xml:space="preserve">las necesidades de vivienda de cada persona o grupo familiar </w:t>
      </w:r>
      <w:r w:rsidR="008D04F3">
        <w:rPr>
          <w:rFonts w:ascii="Verdana" w:hAnsi="Verdana"/>
          <w:sz w:val="20"/>
          <w:szCs w:val="20"/>
        </w:rPr>
        <w:t>debían</w:t>
      </w:r>
      <w:r w:rsidR="00757C65" w:rsidRPr="00757C65">
        <w:rPr>
          <w:rFonts w:ascii="Verdana" w:hAnsi="Verdana"/>
          <w:sz w:val="20"/>
          <w:szCs w:val="20"/>
        </w:rPr>
        <w:t xml:space="preserve"> ser determinadas previa evaluación de cada caso, en el marco del programa habitacional que se establezca</w:t>
      </w:r>
      <w:r w:rsidR="001C4CB7">
        <w:rPr>
          <w:rFonts w:ascii="Verdana" w:hAnsi="Verdana"/>
          <w:sz w:val="20"/>
          <w:szCs w:val="20"/>
        </w:rPr>
        <w:t xml:space="preserve">; </w:t>
      </w:r>
      <w:r w:rsidR="009C70A5" w:rsidRPr="001C4CB7">
        <w:rPr>
          <w:rFonts w:ascii="Verdana" w:hAnsi="Verdana"/>
          <w:sz w:val="20"/>
          <w:szCs w:val="20"/>
        </w:rPr>
        <w:t xml:space="preserve">(ii) el plazo máximo para plantear la reclamación pertinente sería de 5 años, a contar desde la notificación de la Sentencia de </w:t>
      </w:r>
      <w:r w:rsidR="001C4CB7">
        <w:rPr>
          <w:rFonts w:ascii="Verdana" w:hAnsi="Verdana"/>
          <w:sz w:val="20"/>
          <w:szCs w:val="20"/>
        </w:rPr>
        <w:t>fondo, reparaciones y costas;</w:t>
      </w:r>
      <w:r w:rsidR="009C70A5" w:rsidRPr="001C4CB7">
        <w:rPr>
          <w:rFonts w:ascii="Verdana" w:hAnsi="Verdana"/>
          <w:sz w:val="20"/>
          <w:szCs w:val="20"/>
        </w:rPr>
        <w:t xml:space="preserve"> </w:t>
      </w:r>
      <w:r w:rsidR="009C70A5" w:rsidRPr="001C4CB7">
        <w:rPr>
          <w:rFonts w:ascii="Verdana" w:hAnsi="Verdana"/>
          <w:sz w:val="20"/>
          <w:szCs w:val="20"/>
        </w:rPr>
        <w:lastRenderedPageBreak/>
        <w:t>(iii) sólo aq</w:t>
      </w:r>
      <w:r w:rsidR="008D04F3" w:rsidRPr="001C4CB7">
        <w:rPr>
          <w:rFonts w:ascii="Verdana" w:hAnsi="Verdana"/>
          <w:sz w:val="20"/>
          <w:szCs w:val="20"/>
        </w:rPr>
        <w:t xml:space="preserve">uellos familiares que acreditaran </w:t>
      </w:r>
      <w:r w:rsidR="009C70A5" w:rsidRPr="001C4CB7">
        <w:rPr>
          <w:rFonts w:ascii="Verdana" w:hAnsi="Verdana"/>
          <w:sz w:val="20"/>
          <w:szCs w:val="20"/>
        </w:rPr>
        <w:t>tal condición (ya sea por estar incluidos en el Anexo II de la Sentencia o por a</w:t>
      </w:r>
      <w:r w:rsidR="008D04F3" w:rsidRPr="001C4CB7">
        <w:rPr>
          <w:rFonts w:ascii="Verdana" w:hAnsi="Verdana"/>
          <w:sz w:val="20"/>
          <w:szCs w:val="20"/>
        </w:rPr>
        <w:t>creditarlo posteriormente) podría</w:t>
      </w:r>
      <w:r w:rsidR="009C70A5" w:rsidRPr="001C4CB7">
        <w:rPr>
          <w:rFonts w:ascii="Verdana" w:hAnsi="Verdana"/>
          <w:sz w:val="20"/>
          <w:szCs w:val="20"/>
        </w:rPr>
        <w:t>n ser beneficiarios del referido programa habitacional</w:t>
      </w:r>
      <w:r w:rsidR="001C4CB7" w:rsidRPr="001C4CB7">
        <w:rPr>
          <w:rFonts w:ascii="Verdana" w:hAnsi="Verdana"/>
          <w:sz w:val="20"/>
          <w:szCs w:val="20"/>
        </w:rPr>
        <w:t>,</w:t>
      </w:r>
      <w:r w:rsidR="009C70A5" w:rsidRPr="001C4CB7">
        <w:rPr>
          <w:rFonts w:ascii="Verdana" w:hAnsi="Verdana"/>
          <w:sz w:val="20"/>
          <w:szCs w:val="20"/>
        </w:rPr>
        <w:t xml:space="preserve"> y (iv) el Estado debería cumplir con esta reparación en un plazo máximo de 18 meses</w:t>
      </w:r>
      <w:r w:rsidR="009C70A5">
        <w:rPr>
          <w:rStyle w:val="Refdenotaalpie"/>
          <w:rFonts w:ascii="Verdana" w:hAnsi="Verdana"/>
          <w:sz w:val="20"/>
          <w:szCs w:val="20"/>
        </w:rPr>
        <w:footnoteReference w:id="47"/>
      </w:r>
      <w:r w:rsidR="009C70A5" w:rsidRPr="001C4CB7">
        <w:rPr>
          <w:rFonts w:ascii="Verdana" w:hAnsi="Verdana"/>
          <w:sz w:val="20"/>
          <w:szCs w:val="20"/>
        </w:rPr>
        <w:t>.</w:t>
      </w:r>
    </w:p>
    <w:p w14:paraId="51849733" w14:textId="2E3F9457" w:rsidR="00CE4A4A" w:rsidRPr="00CE4A4A" w:rsidRDefault="00CE4A4A" w:rsidP="00CE4A4A">
      <w:pPr>
        <w:widowControl w:val="0"/>
        <w:tabs>
          <w:tab w:val="left" w:pos="567"/>
        </w:tabs>
        <w:adjustRightInd w:val="0"/>
        <w:jc w:val="both"/>
        <w:textAlignment w:val="baseline"/>
        <w:rPr>
          <w:lang w:val="es-ES_tradnl" w:eastAsia="en-US"/>
        </w:rPr>
      </w:pPr>
    </w:p>
    <w:p w14:paraId="4BF8D157" w14:textId="46C3757E" w:rsidR="00CE4A4A" w:rsidRPr="00527BFA" w:rsidRDefault="00CE4A4A" w:rsidP="00D8734A">
      <w:pPr>
        <w:widowControl w:val="0"/>
        <w:numPr>
          <w:ilvl w:val="0"/>
          <w:numId w:val="8"/>
        </w:numPr>
        <w:tabs>
          <w:tab w:val="left" w:pos="567"/>
          <w:tab w:val="num" w:pos="12305"/>
        </w:tabs>
        <w:autoSpaceDE w:val="0"/>
        <w:autoSpaceDN w:val="0"/>
        <w:adjustRightInd w:val="0"/>
        <w:ind w:left="0" w:firstLine="0"/>
        <w:jc w:val="both"/>
        <w:textAlignment w:val="baseline"/>
        <w:rPr>
          <w:rFonts w:ascii="Verdana" w:hAnsi="Verdana"/>
          <w:sz w:val="20"/>
          <w:szCs w:val="20"/>
        </w:rPr>
      </w:pPr>
      <w:r w:rsidRPr="00527BFA">
        <w:rPr>
          <w:rFonts w:ascii="Verdana" w:hAnsi="Verdana"/>
          <w:sz w:val="20"/>
          <w:szCs w:val="20"/>
        </w:rPr>
        <w:t xml:space="preserve">Posteriormente, en su Resolución de </w:t>
      </w:r>
      <w:r>
        <w:rPr>
          <w:rFonts w:ascii="Verdana" w:hAnsi="Verdana"/>
          <w:sz w:val="20"/>
          <w:szCs w:val="20"/>
        </w:rPr>
        <w:t>s</w:t>
      </w:r>
      <w:r w:rsidRPr="00527BFA">
        <w:rPr>
          <w:rFonts w:ascii="Verdana" w:hAnsi="Verdana"/>
          <w:sz w:val="20"/>
          <w:szCs w:val="20"/>
        </w:rPr>
        <w:t xml:space="preserve">upervisión de </w:t>
      </w:r>
      <w:r>
        <w:rPr>
          <w:rFonts w:ascii="Verdana" w:hAnsi="Verdana"/>
          <w:sz w:val="20"/>
          <w:szCs w:val="20"/>
        </w:rPr>
        <w:t>c</w:t>
      </w:r>
      <w:r w:rsidRPr="00527BFA">
        <w:rPr>
          <w:rFonts w:ascii="Verdana" w:hAnsi="Verdana"/>
          <w:sz w:val="20"/>
          <w:szCs w:val="20"/>
        </w:rPr>
        <w:t xml:space="preserve">umplimiento </w:t>
      </w:r>
      <w:r>
        <w:rPr>
          <w:rFonts w:ascii="Verdana" w:hAnsi="Verdana"/>
          <w:sz w:val="20"/>
          <w:szCs w:val="20"/>
        </w:rPr>
        <w:t>de</w:t>
      </w:r>
      <w:r w:rsidRPr="00527BFA">
        <w:rPr>
          <w:rFonts w:ascii="Verdana" w:hAnsi="Verdana"/>
          <w:sz w:val="20"/>
          <w:szCs w:val="20"/>
        </w:rPr>
        <w:t xml:space="preserve"> 9 de julio de 2009, la Corte </w:t>
      </w:r>
      <w:r w:rsidR="00D8734A">
        <w:rPr>
          <w:rFonts w:ascii="Verdana" w:hAnsi="Verdana"/>
          <w:sz w:val="20"/>
          <w:szCs w:val="20"/>
        </w:rPr>
        <w:t>especificó que</w:t>
      </w:r>
      <w:r w:rsidR="000629E2">
        <w:rPr>
          <w:rFonts w:ascii="Verdana" w:hAnsi="Verdana"/>
          <w:sz w:val="20"/>
          <w:szCs w:val="20"/>
        </w:rPr>
        <w:t xml:space="preserve"> </w:t>
      </w:r>
      <w:r w:rsidR="00D8734A" w:rsidRPr="00D8734A">
        <w:rPr>
          <w:rFonts w:ascii="Verdana" w:hAnsi="Verdana"/>
          <w:sz w:val="20"/>
          <w:szCs w:val="20"/>
        </w:rPr>
        <w:t xml:space="preserve">una de las medidas idóneas para generar las condiciones de seguridad y garantizar el retorno de los familiares de </w:t>
      </w:r>
      <w:r w:rsidR="00D8734A">
        <w:rPr>
          <w:rFonts w:ascii="Verdana" w:hAnsi="Verdana"/>
          <w:sz w:val="20"/>
          <w:szCs w:val="20"/>
        </w:rPr>
        <w:t xml:space="preserve">las víctimas a Pueblo Bello </w:t>
      </w:r>
      <w:r w:rsidR="001C4CB7">
        <w:rPr>
          <w:rFonts w:ascii="Verdana" w:hAnsi="Verdana"/>
          <w:sz w:val="20"/>
          <w:szCs w:val="20"/>
        </w:rPr>
        <w:t>era</w:t>
      </w:r>
      <w:r w:rsidR="00D8734A">
        <w:rPr>
          <w:rFonts w:ascii="Verdana" w:hAnsi="Verdana"/>
          <w:sz w:val="20"/>
          <w:szCs w:val="20"/>
        </w:rPr>
        <w:t xml:space="preserve"> “</w:t>
      </w:r>
      <w:r w:rsidR="00D8734A" w:rsidRPr="00D8734A">
        <w:rPr>
          <w:rFonts w:ascii="Verdana" w:hAnsi="Verdana"/>
          <w:sz w:val="20"/>
          <w:szCs w:val="20"/>
        </w:rPr>
        <w:t>evitar la impunidad a través de la realización de una investigación completa y un proceso judicial efectivo, que tengan como resultado el esclarecimiento de los hechos y la sanción de los responsables</w:t>
      </w:r>
      <w:r w:rsidR="00D8734A">
        <w:rPr>
          <w:rFonts w:ascii="Verdana" w:hAnsi="Verdana"/>
          <w:sz w:val="20"/>
          <w:szCs w:val="20"/>
        </w:rPr>
        <w:t>”</w:t>
      </w:r>
      <w:r w:rsidRPr="00527BFA">
        <w:rPr>
          <w:rStyle w:val="Refdenotaalpie"/>
          <w:rFonts w:ascii="Verdana" w:hAnsi="Verdana"/>
          <w:sz w:val="20"/>
          <w:szCs w:val="20"/>
        </w:rPr>
        <w:footnoteReference w:id="48"/>
      </w:r>
      <w:r w:rsidRPr="00527BFA">
        <w:rPr>
          <w:rFonts w:ascii="Verdana" w:hAnsi="Verdana"/>
          <w:sz w:val="20"/>
          <w:szCs w:val="20"/>
        </w:rPr>
        <w:t>.</w:t>
      </w:r>
      <w:r w:rsidR="00D8734A" w:rsidRPr="00D8734A">
        <w:t xml:space="preserve"> </w:t>
      </w:r>
      <w:r w:rsidR="00D8734A">
        <w:rPr>
          <w:rFonts w:ascii="Verdana" w:hAnsi="Verdana"/>
          <w:sz w:val="20"/>
          <w:szCs w:val="20"/>
        </w:rPr>
        <w:t>L</w:t>
      </w:r>
      <w:r w:rsidR="00D8734A" w:rsidRPr="00D8734A">
        <w:rPr>
          <w:rFonts w:ascii="Verdana" w:hAnsi="Verdana"/>
          <w:sz w:val="20"/>
          <w:szCs w:val="20"/>
        </w:rPr>
        <w:t xml:space="preserve">a Corte </w:t>
      </w:r>
      <w:r w:rsidR="00D8734A">
        <w:rPr>
          <w:rFonts w:ascii="Verdana" w:hAnsi="Verdana"/>
          <w:sz w:val="20"/>
          <w:szCs w:val="20"/>
        </w:rPr>
        <w:t>instó</w:t>
      </w:r>
      <w:r w:rsidR="00D8734A" w:rsidRPr="00D8734A">
        <w:rPr>
          <w:rFonts w:ascii="Verdana" w:hAnsi="Verdana"/>
          <w:sz w:val="20"/>
          <w:szCs w:val="20"/>
        </w:rPr>
        <w:t xml:space="preserve"> al Estado que </w:t>
      </w:r>
      <w:r w:rsidR="00D8734A">
        <w:rPr>
          <w:rFonts w:ascii="Verdana" w:hAnsi="Verdana"/>
          <w:sz w:val="20"/>
          <w:szCs w:val="20"/>
        </w:rPr>
        <w:t>“</w:t>
      </w:r>
      <w:r w:rsidR="00D8734A" w:rsidRPr="00D8734A">
        <w:rPr>
          <w:rFonts w:ascii="Verdana" w:hAnsi="Verdana"/>
          <w:sz w:val="20"/>
          <w:szCs w:val="20"/>
        </w:rPr>
        <w:t>coordine con las víctimas y sus representantes las reuniones y medidas necesarias para garantizar la seguridad de aquellas víctimas que decidan retornar a Pueblo Bello y, mientras no existan dichas condiciones de seguridad, disponer de aquellos recursos necesarios y suficientes para procurar que los familiares que han sufrido el desplazamiento forzado puedan reasentarse en el lugar que ellos libre y voluntariamente indiquen, en condiciones similares a las que se encontraban antes de los hechos</w:t>
      </w:r>
      <w:r w:rsidR="00D8734A">
        <w:rPr>
          <w:rFonts w:ascii="Verdana" w:hAnsi="Verdana"/>
          <w:sz w:val="20"/>
          <w:szCs w:val="20"/>
        </w:rPr>
        <w:t>”</w:t>
      </w:r>
      <w:r w:rsidR="00D8734A">
        <w:rPr>
          <w:rStyle w:val="Refdenotaalpie"/>
          <w:rFonts w:ascii="Verdana" w:hAnsi="Verdana"/>
          <w:sz w:val="20"/>
          <w:szCs w:val="20"/>
        </w:rPr>
        <w:footnoteReference w:id="49"/>
      </w:r>
      <w:r w:rsidR="00D8734A" w:rsidRPr="00D8734A">
        <w:rPr>
          <w:rFonts w:ascii="Verdana" w:hAnsi="Verdana"/>
          <w:sz w:val="20"/>
          <w:szCs w:val="20"/>
        </w:rPr>
        <w:t xml:space="preserve">. </w:t>
      </w:r>
      <w:r w:rsidR="00D8734A">
        <w:rPr>
          <w:rFonts w:ascii="Verdana" w:hAnsi="Verdana"/>
          <w:sz w:val="20"/>
          <w:szCs w:val="20"/>
        </w:rPr>
        <w:t>Asimismo, el Tribunal estableció que, a</w:t>
      </w:r>
      <w:r w:rsidR="00D8734A" w:rsidRPr="00D8734A">
        <w:rPr>
          <w:rFonts w:ascii="Verdana" w:hAnsi="Verdana"/>
          <w:sz w:val="20"/>
          <w:szCs w:val="20"/>
        </w:rPr>
        <w:t xml:space="preserve">lternativamente, el Estado </w:t>
      </w:r>
      <w:r w:rsidR="00B679A9">
        <w:rPr>
          <w:rFonts w:ascii="Verdana" w:hAnsi="Verdana"/>
          <w:sz w:val="20"/>
          <w:szCs w:val="20"/>
        </w:rPr>
        <w:t>podría</w:t>
      </w:r>
      <w:r w:rsidR="00D8734A" w:rsidRPr="00D8734A">
        <w:rPr>
          <w:rFonts w:ascii="Verdana" w:hAnsi="Verdana"/>
          <w:sz w:val="20"/>
          <w:szCs w:val="20"/>
        </w:rPr>
        <w:t xml:space="preserve"> proveer </w:t>
      </w:r>
      <w:r w:rsidR="00D8734A">
        <w:rPr>
          <w:rFonts w:ascii="Verdana" w:hAnsi="Verdana"/>
          <w:sz w:val="20"/>
          <w:szCs w:val="20"/>
        </w:rPr>
        <w:t xml:space="preserve">una </w:t>
      </w:r>
      <w:r w:rsidR="00D8734A" w:rsidRPr="00D8734A">
        <w:rPr>
          <w:rFonts w:ascii="Verdana" w:hAnsi="Verdana"/>
          <w:sz w:val="20"/>
          <w:szCs w:val="20"/>
        </w:rPr>
        <w:t>ayuda s</w:t>
      </w:r>
      <w:r w:rsidR="00D8734A">
        <w:rPr>
          <w:rFonts w:ascii="Verdana" w:hAnsi="Verdana"/>
          <w:sz w:val="20"/>
          <w:szCs w:val="20"/>
        </w:rPr>
        <w:t xml:space="preserve">ocioeconómica a tales víctimas, y solicitó </w:t>
      </w:r>
      <w:r w:rsidR="00D8734A" w:rsidRPr="00D8734A">
        <w:rPr>
          <w:rFonts w:ascii="Verdana" w:hAnsi="Verdana"/>
          <w:sz w:val="20"/>
          <w:szCs w:val="20"/>
        </w:rPr>
        <w:t xml:space="preserve">a las partes que </w:t>
      </w:r>
      <w:r w:rsidR="00D8734A">
        <w:rPr>
          <w:rFonts w:ascii="Verdana" w:hAnsi="Verdana"/>
          <w:sz w:val="20"/>
          <w:szCs w:val="20"/>
        </w:rPr>
        <w:t>presentaran</w:t>
      </w:r>
      <w:r w:rsidR="00D8734A" w:rsidRPr="00D8734A">
        <w:rPr>
          <w:rFonts w:ascii="Verdana" w:hAnsi="Verdana"/>
          <w:sz w:val="20"/>
          <w:szCs w:val="20"/>
        </w:rPr>
        <w:t xml:space="preserve"> información completa y actualizada </w:t>
      </w:r>
      <w:r w:rsidR="00D8734A">
        <w:rPr>
          <w:rFonts w:ascii="Verdana" w:hAnsi="Verdana"/>
          <w:sz w:val="20"/>
          <w:szCs w:val="20"/>
        </w:rPr>
        <w:t>a este</w:t>
      </w:r>
      <w:r w:rsidR="00D8734A" w:rsidRPr="00D8734A">
        <w:rPr>
          <w:rFonts w:ascii="Verdana" w:hAnsi="Verdana"/>
          <w:sz w:val="20"/>
          <w:szCs w:val="20"/>
        </w:rPr>
        <w:t xml:space="preserve"> respecto</w:t>
      </w:r>
      <w:r w:rsidR="00B85AC3">
        <w:rPr>
          <w:rStyle w:val="Refdenotaalpie"/>
          <w:rFonts w:ascii="Verdana" w:hAnsi="Verdana"/>
          <w:sz w:val="20"/>
          <w:szCs w:val="20"/>
        </w:rPr>
        <w:footnoteReference w:id="50"/>
      </w:r>
      <w:r w:rsidR="00D8734A">
        <w:rPr>
          <w:rFonts w:ascii="Verdana" w:hAnsi="Verdana"/>
          <w:sz w:val="20"/>
          <w:szCs w:val="20"/>
        </w:rPr>
        <w:t>.</w:t>
      </w:r>
    </w:p>
    <w:p w14:paraId="2FB14182" w14:textId="77777777" w:rsidR="00706B70" w:rsidRPr="00527BFA" w:rsidRDefault="00706B70" w:rsidP="00706B70">
      <w:pPr>
        <w:pStyle w:val="Ttulo2"/>
      </w:pPr>
      <w:r>
        <w:t>B</w:t>
      </w:r>
      <w:r w:rsidRPr="00527BFA">
        <w:t>.2. Consideraciones la Corte</w:t>
      </w:r>
    </w:p>
    <w:p w14:paraId="3E2AE926" w14:textId="76FBD45D" w:rsidR="00CE4B48" w:rsidRPr="001C464B" w:rsidRDefault="004B626F" w:rsidP="00473F50">
      <w:pPr>
        <w:widowControl w:val="0"/>
        <w:numPr>
          <w:ilvl w:val="0"/>
          <w:numId w:val="8"/>
        </w:numPr>
        <w:tabs>
          <w:tab w:val="left" w:pos="567"/>
          <w:tab w:val="num" w:pos="12305"/>
        </w:tabs>
        <w:autoSpaceDE w:val="0"/>
        <w:autoSpaceDN w:val="0"/>
        <w:adjustRightInd w:val="0"/>
        <w:ind w:left="0" w:firstLine="0"/>
        <w:jc w:val="both"/>
        <w:textAlignment w:val="baseline"/>
        <w:rPr>
          <w:rFonts w:ascii="Verdana" w:eastAsia="Times New Roman" w:hAnsi="Verdana" w:cs="ArialNarrow"/>
          <w:sz w:val="20"/>
          <w:szCs w:val="20"/>
          <w:lang w:val="es-CR" w:eastAsia="es-CR"/>
        </w:rPr>
      </w:pPr>
      <w:r>
        <w:rPr>
          <w:rFonts w:ascii="Verdana" w:hAnsi="Verdana"/>
          <w:sz w:val="20"/>
          <w:szCs w:val="20"/>
        </w:rPr>
        <w:t>E</w:t>
      </w:r>
      <w:r w:rsidR="00706B70" w:rsidRPr="001C464B">
        <w:rPr>
          <w:rFonts w:ascii="Verdana" w:hAnsi="Verdana"/>
          <w:sz w:val="20"/>
          <w:szCs w:val="20"/>
        </w:rPr>
        <w:t>n relación con las condiciones de seguridad para que</w:t>
      </w:r>
      <w:r w:rsidR="001C464B" w:rsidRPr="001C464B">
        <w:rPr>
          <w:rFonts w:ascii="Verdana" w:hAnsi="Verdana"/>
          <w:sz w:val="20"/>
          <w:szCs w:val="20"/>
        </w:rPr>
        <w:t>,</w:t>
      </w:r>
      <w:r w:rsidR="00706B70" w:rsidRPr="001C464B">
        <w:rPr>
          <w:rFonts w:ascii="Verdana" w:hAnsi="Verdana"/>
          <w:sz w:val="20"/>
          <w:szCs w:val="20"/>
        </w:rPr>
        <w:t xml:space="preserve"> tanto los familiares de las víctimas como otros ex pobladores pudieran retornar a Pueblo Bello,</w:t>
      </w:r>
      <w:r w:rsidR="00CE4B48" w:rsidRPr="001C464B">
        <w:rPr>
          <w:rFonts w:ascii="Verdana" w:hAnsi="Verdana"/>
          <w:sz w:val="20"/>
          <w:szCs w:val="20"/>
        </w:rPr>
        <w:t xml:space="preserve"> el Estado ha indicado, en su</w:t>
      </w:r>
      <w:r w:rsidR="00C84AFD">
        <w:rPr>
          <w:rFonts w:ascii="Verdana" w:hAnsi="Verdana"/>
          <w:sz w:val="20"/>
          <w:szCs w:val="20"/>
        </w:rPr>
        <w:t xml:space="preserve"> informe de junio de 2019</w:t>
      </w:r>
      <w:r w:rsidR="002345B5" w:rsidRPr="001C464B">
        <w:rPr>
          <w:rFonts w:ascii="Verdana" w:hAnsi="Verdana"/>
          <w:sz w:val="20"/>
          <w:szCs w:val="20"/>
        </w:rPr>
        <w:t xml:space="preserve">, </w:t>
      </w:r>
      <w:r w:rsidR="004C1163" w:rsidRPr="001C464B">
        <w:rPr>
          <w:rFonts w:ascii="Verdana" w:hAnsi="Verdana"/>
          <w:sz w:val="20"/>
          <w:szCs w:val="20"/>
        </w:rPr>
        <w:t>que se han realizado una serie de acciones encaminadas a garantizar las condiciones de seguridad de la zona</w:t>
      </w:r>
      <w:r w:rsidR="001C464B" w:rsidRPr="001C464B">
        <w:rPr>
          <w:rFonts w:ascii="Verdana" w:hAnsi="Verdana"/>
          <w:sz w:val="20"/>
          <w:szCs w:val="20"/>
        </w:rPr>
        <w:t xml:space="preserve">, manifestando que se </w:t>
      </w:r>
      <w:r w:rsidR="004C1163" w:rsidRPr="001C464B">
        <w:rPr>
          <w:rFonts w:ascii="Verdana" w:hAnsi="Verdana"/>
          <w:sz w:val="20"/>
          <w:szCs w:val="20"/>
        </w:rPr>
        <w:t xml:space="preserve">ha </w:t>
      </w:r>
      <w:r w:rsidR="001C464B" w:rsidRPr="001C464B">
        <w:rPr>
          <w:rFonts w:ascii="Verdana" w:hAnsi="Verdana"/>
          <w:sz w:val="20"/>
          <w:szCs w:val="20"/>
        </w:rPr>
        <w:t>procedido a la realización d</w:t>
      </w:r>
      <w:r w:rsidR="004C1163" w:rsidRPr="001C464B">
        <w:rPr>
          <w:rFonts w:ascii="Verdana" w:hAnsi="Verdana"/>
          <w:sz w:val="20"/>
          <w:szCs w:val="20"/>
        </w:rPr>
        <w:t xml:space="preserve">e </w:t>
      </w:r>
      <w:r w:rsidR="001C464B" w:rsidRPr="001C464B">
        <w:rPr>
          <w:rFonts w:ascii="Verdana" w:hAnsi="Verdana"/>
          <w:sz w:val="20"/>
          <w:szCs w:val="20"/>
        </w:rPr>
        <w:t xml:space="preserve">varias </w:t>
      </w:r>
      <w:r w:rsidR="004C1163" w:rsidRPr="001C464B">
        <w:rPr>
          <w:rFonts w:ascii="Verdana" w:hAnsi="Verdana"/>
          <w:sz w:val="20"/>
          <w:szCs w:val="20"/>
        </w:rPr>
        <w:t>capturas por flagrancia y por orden judicial en la subestación de Pueblo Bello durante los años 2018 y 2019</w:t>
      </w:r>
      <w:r w:rsidR="004C1163" w:rsidRPr="004C1163">
        <w:rPr>
          <w:rStyle w:val="Refdenotaalpie"/>
          <w:rFonts w:ascii="Verdana" w:hAnsi="Verdana"/>
          <w:sz w:val="20"/>
          <w:szCs w:val="20"/>
        </w:rPr>
        <w:footnoteReference w:id="51"/>
      </w:r>
      <w:r w:rsidR="004C1163" w:rsidRPr="001C464B">
        <w:rPr>
          <w:rFonts w:ascii="Verdana" w:hAnsi="Verdana"/>
          <w:sz w:val="20"/>
          <w:szCs w:val="20"/>
        </w:rPr>
        <w:t>, operaciones que “afectan directamente al Clan del Golfo”</w:t>
      </w:r>
      <w:r w:rsidR="009C4D00">
        <w:rPr>
          <w:rFonts w:ascii="Verdana" w:hAnsi="Verdana"/>
          <w:sz w:val="20"/>
          <w:szCs w:val="20"/>
        </w:rPr>
        <w:t>, un grupo armado organizado que opera, entre otros, en Turbo</w:t>
      </w:r>
      <w:r w:rsidR="009C4D00">
        <w:rPr>
          <w:rStyle w:val="Refdenotaalpie"/>
          <w:rFonts w:ascii="Verdana" w:hAnsi="Verdana"/>
          <w:sz w:val="20"/>
          <w:szCs w:val="20"/>
        </w:rPr>
        <w:footnoteReference w:id="52"/>
      </w:r>
      <w:r w:rsidR="009C4D00">
        <w:rPr>
          <w:rFonts w:ascii="Verdana" w:hAnsi="Verdana"/>
          <w:sz w:val="20"/>
          <w:szCs w:val="20"/>
        </w:rPr>
        <w:t>, municipio donde se ubica el corregimiento de Pueblo Bello</w:t>
      </w:r>
      <w:r w:rsidR="00C84AFD">
        <w:rPr>
          <w:rFonts w:ascii="Verdana" w:hAnsi="Verdana"/>
          <w:sz w:val="20"/>
          <w:szCs w:val="20"/>
        </w:rPr>
        <w:t>.</w:t>
      </w:r>
      <w:r w:rsidR="004C1163" w:rsidRPr="001C464B">
        <w:rPr>
          <w:rFonts w:ascii="Verdana" w:hAnsi="Verdana"/>
          <w:sz w:val="20"/>
          <w:szCs w:val="20"/>
        </w:rPr>
        <w:t xml:space="preserve"> </w:t>
      </w:r>
      <w:r w:rsidR="00C84AFD">
        <w:rPr>
          <w:rFonts w:ascii="Verdana" w:hAnsi="Verdana"/>
          <w:sz w:val="20"/>
          <w:szCs w:val="20"/>
        </w:rPr>
        <w:t>P</w:t>
      </w:r>
      <w:r w:rsidR="004C1163" w:rsidRPr="001C464B">
        <w:rPr>
          <w:rFonts w:ascii="Verdana" w:hAnsi="Verdana"/>
          <w:sz w:val="20"/>
          <w:szCs w:val="20"/>
        </w:rPr>
        <w:t>recis</w:t>
      </w:r>
      <w:r w:rsidR="00C84AFD">
        <w:rPr>
          <w:rFonts w:ascii="Verdana" w:hAnsi="Verdana"/>
          <w:sz w:val="20"/>
          <w:szCs w:val="20"/>
        </w:rPr>
        <w:t>ó</w:t>
      </w:r>
      <w:r w:rsidR="004C1163" w:rsidRPr="001C464B">
        <w:rPr>
          <w:rFonts w:ascii="Verdana" w:hAnsi="Verdana"/>
          <w:sz w:val="20"/>
          <w:szCs w:val="20"/>
        </w:rPr>
        <w:t xml:space="preserve"> que el </w:t>
      </w:r>
      <w:r w:rsidR="004C1163" w:rsidRPr="001C464B">
        <w:rPr>
          <w:rFonts w:ascii="Verdana" w:eastAsia="Times New Roman" w:hAnsi="Verdana" w:cs="Arial"/>
          <w:iCs/>
          <w:sz w:val="20"/>
          <w:szCs w:val="20"/>
          <w:lang w:val="es-CR" w:eastAsia="es-CR"/>
        </w:rPr>
        <w:t xml:space="preserve">14 de mayo de 2019 se llevaron </w:t>
      </w:r>
      <w:r w:rsidR="004C1163" w:rsidRPr="001C464B">
        <w:rPr>
          <w:rFonts w:ascii="Verdana" w:eastAsia="Times New Roman" w:hAnsi="Verdana" w:cs="Arial"/>
          <w:sz w:val="20"/>
          <w:szCs w:val="20"/>
          <w:lang w:val="es-CR" w:eastAsia="es-CR"/>
        </w:rPr>
        <w:t xml:space="preserve">a </w:t>
      </w:r>
      <w:r w:rsidR="001C464B" w:rsidRPr="001C464B">
        <w:rPr>
          <w:rFonts w:ascii="Verdana" w:eastAsia="Times New Roman" w:hAnsi="Verdana" w:cs="Arial"/>
          <w:iCs/>
          <w:sz w:val="20"/>
          <w:szCs w:val="20"/>
          <w:lang w:val="es-CR" w:eastAsia="es-CR"/>
        </w:rPr>
        <w:t>cabo “</w:t>
      </w:r>
      <w:r w:rsidR="004C1163" w:rsidRPr="001C464B">
        <w:rPr>
          <w:rFonts w:ascii="Verdana" w:eastAsia="Times New Roman" w:hAnsi="Verdana" w:cs="Arial"/>
          <w:iCs/>
          <w:sz w:val="20"/>
          <w:szCs w:val="20"/>
          <w:lang w:val="es-CR" w:eastAsia="es-CR"/>
        </w:rPr>
        <w:t xml:space="preserve">8 capturas, 04 notificaciones, 11 allanamientos, se incautaron 09 USB, </w:t>
      </w:r>
      <w:r w:rsidR="004C1163" w:rsidRPr="001C464B">
        <w:rPr>
          <w:rFonts w:ascii="Verdana" w:eastAsia="Times New Roman" w:hAnsi="Verdana" w:cs="Arial"/>
          <w:sz w:val="20"/>
          <w:szCs w:val="20"/>
          <w:lang w:val="es-CR" w:eastAsia="es-CR"/>
        </w:rPr>
        <w:t xml:space="preserve">05 </w:t>
      </w:r>
      <w:r w:rsidR="004C1163" w:rsidRPr="001C464B">
        <w:rPr>
          <w:rFonts w:ascii="Verdana" w:eastAsia="Times New Roman" w:hAnsi="Verdana" w:cs="Arial"/>
          <w:iCs/>
          <w:sz w:val="20"/>
          <w:szCs w:val="20"/>
          <w:lang w:val="es-CR" w:eastAsia="es-CR"/>
        </w:rPr>
        <w:t>celulares y 06 cartuchos calibre 38</w:t>
      </w:r>
      <w:r w:rsidR="001C464B" w:rsidRPr="001C464B">
        <w:rPr>
          <w:rFonts w:ascii="Verdana" w:eastAsia="Times New Roman" w:hAnsi="Verdana" w:cs="Arial"/>
          <w:iCs/>
          <w:sz w:val="20"/>
          <w:szCs w:val="20"/>
          <w:lang w:val="es-CR" w:eastAsia="es-CR"/>
        </w:rPr>
        <w:t>”</w:t>
      </w:r>
      <w:r w:rsidR="004C1163">
        <w:rPr>
          <w:rStyle w:val="Refdenotaalpie"/>
          <w:rFonts w:ascii="Verdana" w:eastAsia="Times New Roman" w:hAnsi="Verdana" w:cs="Arial"/>
          <w:iCs/>
          <w:sz w:val="20"/>
          <w:szCs w:val="20"/>
          <w:lang w:val="es-CR" w:eastAsia="es-CR"/>
        </w:rPr>
        <w:footnoteReference w:id="53"/>
      </w:r>
      <w:r w:rsidR="004C1163" w:rsidRPr="001C464B">
        <w:rPr>
          <w:rFonts w:ascii="Verdana" w:eastAsia="Times New Roman" w:hAnsi="Verdana" w:cs="Arial"/>
          <w:iCs/>
          <w:sz w:val="20"/>
          <w:szCs w:val="20"/>
          <w:lang w:val="es-CR" w:eastAsia="es-CR"/>
        </w:rPr>
        <w:t xml:space="preserve">. Destacó, además, que en el corregimiento de Pueblo Bello se estaban realizando </w:t>
      </w:r>
      <w:r w:rsidR="001C464B" w:rsidRPr="001C464B">
        <w:rPr>
          <w:rFonts w:ascii="Verdana" w:eastAsia="Times New Roman" w:hAnsi="Verdana" w:cs="Arial"/>
          <w:iCs/>
          <w:sz w:val="20"/>
          <w:szCs w:val="20"/>
          <w:lang w:val="es-CR" w:eastAsia="es-CR"/>
        </w:rPr>
        <w:t>“</w:t>
      </w:r>
      <w:r w:rsidR="004C1163" w:rsidRPr="001C464B">
        <w:rPr>
          <w:rFonts w:ascii="Verdana" w:eastAsia="Times New Roman" w:hAnsi="Verdana" w:cs="Arial"/>
          <w:iCs/>
          <w:sz w:val="20"/>
          <w:szCs w:val="20"/>
          <w:lang w:val="es-CR" w:eastAsia="es-CR"/>
        </w:rPr>
        <w:t>actividades preventivas, disuasivas y de control, por medio de patrullajes, puestos de registro y control, control de establecimiento público y solicitudes de antecedentes a personas”</w:t>
      </w:r>
      <w:r w:rsidR="004C1163">
        <w:rPr>
          <w:rStyle w:val="Refdenotaalpie"/>
          <w:rFonts w:ascii="Verdana" w:eastAsia="Times New Roman" w:hAnsi="Verdana" w:cs="Arial"/>
          <w:iCs/>
          <w:sz w:val="20"/>
          <w:szCs w:val="20"/>
          <w:lang w:val="es-CR" w:eastAsia="es-CR"/>
        </w:rPr>
        <w:footnoteReference w:id="54"/>
      </w:r>
      <w:r w:rsidR="004C1163" w:rsidRPr="001C464B">
        <w:rPr>
          <w:rFonts w:ascii="Verdana" w:eastAsia="Times New Roman" w:hAnsi="Verdana" w:cs="Arial"/>
          <w:iCs/>
          <w:sz w:val="20"/>
          <w:szCs w:val="20"/>
          <w:lang w:val="es-CR" w:eastAsia="es-CR"/>
        </w:rPr>
        <w:t>.</w:t>
      </w:r>
      <w:r w:rsidR="001C464B">
        <w:rPr>
          <w:rFonts w:ascii="Verdana" w:eastAsia="Times New Roman" w:hAnsi="Verdana" w:cs="Arial"/>
          <w:iCs/>
          <w:sz w:val="20"/>
          <w:szCs w:val="20"/>
          <w:lang w:val="es-CR" w:eastAsia="es-CR"/>
        </w:rPr>
        <w:t xml:space="preserve"> </w:t>
      </w:r>
      <w:r w:rsidR="004C1163" w:rsidRPr="001C464B">
        <w:rPr>
          <w:rFonts w:ascii="Verdana" w:hAnsi="Verdana"/>
          <w:sz w:val="20"/>
          <w:szCs w:val="20"/>
        </w:rPr>
        <w:t>Asimismo, señaló que</w:t>
      </w:r>
      <w:r w:rsidR="002345B5" w:rsidRPr="001C464B">
        <w:rPr>
          <w:rFonts w:ascii="Verdana" w:hAnsi="Verdana"/>
          <w:sz w:val="20"/>
          <w:szCs w:val="20"/>
        </w:rPr>
        <w:t xml:space="preserve"> el </w:t>
      </w:r>
      <w:r w:rsidR="007A0CB0" w:rsidRPr="001C464B">
        <w:rPr>
          <w:rFonts w:ascii="Verdana" w:eastAsia="Times New Roman" w:hAnsi="Verdana" w:cs="Arial"/>
          <w:iCs/>
          <w:sz w:val="20"/>
          <w:szCs w:val="20"/>
          <w:lang w:val="es-CR" w:eastAsia="es-CR"/>
        </w:rPr>
        <w:t>Batallón de Infantería No. 47 “</w:t>
      </w:r>
      <w:r w:rsidR="002345B5" w:rsidRPr="001C464B">
        <w:rPr>
          <w:rFonts w:ascii="Verdana" w:eastAsia="Times New Roman" w:hAnsi="Verdana" w:cs="Arial"/>
          <w:iCs/>
          <w:sz w:val="20"/>
          <w:szCs w:val="20"/>
          <w:lang w:val="es-CR" w:eastAsia="es-CR"/>
        </w:rPr>
        <w:t xml:space="preserve">General Francisco de Paula </w:t>
      </w:r>
      <w:r w:rsidR="007A0CB0" w:rsidRPr="001C464B">
        <w:rPr>
          <w:rFonts w:ascii="Verdana" w:eastAsia="Times New Roman" w:hAnsi="Verdana" w:cs="Arial"/>
          <w:iCs/>
          <w:sz w:val="20"/>
          <w:szCs w:val="20"/>
          <w:lang w:val="es-CR" w:eastAsia="es-CR"/>
        </w:rPr>
        <w:t>Santander”</w:t>
      </w:r>
      <w:r w:rsidR="002345B5" w:rsidRPr="001C464B">
        <w:rPr>
          <w:rFonts w:ascii="Verdana" w:eastAsia="Times New Roman" w:hAnsi="Verdana" w:cs="Arial"/>
          <w:iCs/>
          <w:sz w:val="20"/>
          <w:szCs w:val="20"/>
          <w:lang w:val="es-CR" w:eastAsia="es-CR"/>
        </w:rPr>
        <w:t xml:space="preserve"> ha</w:t>
      </w:r>
      <w:r w:rsidR="001C4CB7">
        <w:rPr>
          <w:rFonts w:ascii="Verdana" w:eastAsia="Times New Roman" w:hAnsi="Verdana" w:cs="Arial"/>
          <w:iCs/>
          <w:sz w:val="20"/>
          <w:szCs w:val="20"/>
          <w:lang w:val="es-CR" w:eastAsia="es-CR"/>
        </w:rPr>
        <w:t>bía</w:t>
      </w:r>
      <w:r w:rsidR="002345B5" w:rsidRPr="001C464B">
        <w:rPr>
          <w:rFonts w:ascii="Verdana" w:eastAsia="Times New Roman" w:hAnsi="Verdana" w:cs="Arial"/>
          <w:iCs/>
          <w:sz w:val="20"/>
          <w:szCs w:val="20"/>
          <w:lang w:val="es-CR" w:eastAsia="es-CR"/>
        </w:rPr>
        <w:t xml:space="preserve"> realizado </w:t>
      </w:r>
      <w:r w:rsidR="001C464B" w:rsidRPr="001C464B">
        <w:rPr>
          <w:rFonts w:ascii="Verdana" w:eastAsia="Times New Roman" w:hAnsi="Verdana" w:cs="Arial"/>
          <w:iCs/>
          <w:sz w:val="20"/>
          <w:szCs w:val="20"/>
          <w:lang w:val="es-CR" w:eastAsia="es-CR"/>
        </w:rPr>
        <w:t>durante los años 2018 y 2019</w:t>
      </w:r>
      <w:r w:rsidR="001C464B">
        <w:rPr>
          <w:rFonts w:ascii="Verdana" w:eastAsia="Times New Roman" w:hAnsi="Verdana" w:cs="Arial"/>
          <w:iCs/>
          <w:sz w:val="20"/>
          <w:szCs w:val="20"/>
          <w:lang w:val="es-CR" w:eastAsia="es-CR"/>
        </w:rPr>
        <w:t xml:space="preserve"> </w:t>
      </w:r>
      <w:r w:rsidR="002345B5" w:rsidRPr="001C464B">
        <w:rPr>
          <w:rFonts w:ascii="Verdana" w:eastAsia="Times New Roman" w:hAnsi="Verdana" w:cs="Arial"/>
          <w:iCs/>
          <w:sz w:val="20"/>
          <w:szCs w:val="20"/>
          <w:lang w:val="es-CR" w:eastAsia="es-CR"/>
        </w:rPr>
        <w:t>una serie de operaciones militares en el Corregimiento de Pueblo Bello, con el fin de “neutralizar los grupos generadores de violencia”, destac</w:t>
      </w:r>
      <w:r w:rsidR="001C464B">
        <w:rPr>
          <w:rFonts w:ascii="Verdana" w:eastAsia="Times New Roman" w:hAnsi="Verdana" w:cs="Arial"/>
          <w:iCs/>
          <w:sz w:val="20"/>
          <w:szCs w:val="20"/>
          <w:lang w:val="es-CR" w:eastAsia="es-CR"/>
        </w:rPr>
        <w:t>ando que, como resultado</w:t>
      </w:r>
      <w:r w:rsidR="002345B5" w:rsidRPr="001C464B">
        <w:rPr>
          <w:rFonts w:ascii="Verdana" w:eastAsia="Times New Roman" w:hAnsi="Verdana" w:cs="Arial"/>
          <w:iCs/>
          <w:sz w:val="20"/>
          <w:szCs w:val="20"/>
          <w:lang w:val="es-CR" w:eastAsia="es-CR"/>
        </w:rPr>
        <w:t xml:space="preserve">, se ha procedido a la ubicación y destrucción </w:t>
      </w:r>
      <w:r w:rsidR="002345B5" w:rsidRPr="001C464B">
        <w:rPr>
          <w:rFonts w:ascii="Verdana" w:eastAsia="Times New Roman" w:hAnsi="Verdana" w:cs="Arial"/>
          <w:iCs/>
          <w:sz w:val="20"/>
          <w:szCs w:val="20"/>
          <w:lang w:val="es-CR" w:eastAsia="es-CR"/>
        </w:rPr>
        <w:lastRenderedPageBreak/>
        <w:t xml:space="preserve">controlada de artefactos explosivos, </w:t>
      </w:r>
      <w:r w:rsidR="001C464B">
        <w:rPr>
          <w:rFonts w:ascii="Verdana" w:eastAsia="Times New Roman" w:hAnsi="Verdana" w:cs="Arial"/>
          <w:iCs/>
          <w:sz w:val="20"/>
          <w:szCs w:val="20"/>
          <w:lang w:val="es-CR" w:eastAsia="es-CR"/>
        </w:rPr>
        <w:t>a</w:t>
      </w:r>
      <w:r w:rsidR="002345B5" w:rsidRPr="001C464B">
        <w:rPr>
          <w:rFonts w:ascii="Verdana" w:eastAsia="Times New Roman" w:hAnsi="Verdana" w:cs="Arial"/>
          <w:iCs/>
          <w:sz w:val="20"/>
          <w:szCs w:val="20"/>
          <w:lang w:val="es-CR" w:eastAsia="es-CR"/>
        </w:rPr>
        <w:t xml:space="preserve"> </w:t>
      </w:r>
      <w:r w:rsidR="001C464B">
        <w:rPr>
          <w:rFonts w:ascii="Verdana" w:eastAsia="Times New Roman" w:hAnsi="Verdana" w:cs="Arial"/>
          <w:iCs/>
          <w:sz w:val="20"/>
          <w:szCs w:val="20"/>
          <w:lang w:val="es-CR" w:eastAsia="es-CR"/>
        </w:rPr>
        <w:t>la incautación de</w:t>
      </w:r>
      <w:r w:rsidR="002345B5" w:rsidRPr="001C464B">
        <w:rPr>
          <w:rFonts w:ascii="Verdana" w:eastAsia="Times New Roman" w:hAnsi="Verdana" w:cs="Arial"/>
          <w:iCs/>
          <w:sz w:val="20"/>
          <w:szCs w:val="20"/>
          <w:lang w:val="es-CR" w:eastAsia="es-CR"/>
        </w:rPr>
        <w:t xml:space="preserve"> material que no constaba con el “respectivo salvoconducto”</w:t>
      </w:r>
      <w:r w:rsidR="001C464B">
        <w:rPr>
          <w:rFonts w:ascii="Verdana" w:eastAsia="Times New Roman" w:hAnsi="Verdana" w:cs="Arial"/>
          <w:iCs/>
          <w:sz w:val="20"/>
          <w:szCs w:val="20"/>
          <w:lang w:val="es-CR" w:eastAsia="es-CR"/>
        </w:rPr>
        <w:t>,</w:t>
      </w:r>
      <w:r w:rsidR="002345B5" w:rsidRPr="001C464B">
        <w:rPr>
          <w:rFonts w:ascii="Verdana" w:eastAsia="Times New Roman" w:hAnsi="Verdana" w:cs="Arial"/>
          <w:iCs/>
          <w:sz w:val="20"/>
          <w:szCs w:val="20"/>
          <w:lang w:val="es-CR" w:eastAsia="es-CR"/>
        </w:rPr>
        <w:t xml:space="preserve"> así como </w:t>
      </w:r>
      <w:r w:rsidR="001C464B">
        <w:rPr>
          <w:rFonts w:ascii="Verdana" w:eastAsia="Times New Roman" w:hAnsi="Verdana" w:cs="Arial"/>
          <w:iCs/>
          <w:sz w:val="20"/>
          <w:szCs w:val="20"/>
          <w:lang w:val="es-CR" w:eastAsia="es-CR"/>
        </w:rPr>
        <w:t xml:space="preserve">a la realización de </w:t>
      </w:r>
      <w:r w:rsidR="002345B5" w:rsidRPr="001C464B">
        <w:rPr>
          <w:rFonts w:ascii="Verdana" w:eastAsia="Times New Roman" w:hAnsi="Verdana" w:cs="Arial"/>
          <w:iCs/>
          <w:sz w:val="20"/>
          <w:szCs w:val="20"/>
          <w:lang w:val="es-CR" w:eastAsia="es-CR"/>
        </w:rPr>
        <w:t>registros en la vía “que conduce de San Pedro de Urabá, generando condiciones de seguridad para el eje vial de los dos municipios”</w:t>
      </w:r>
      <w:r w:rsidR="002345B5" w:rsidRPr="00754121">
        <w:rPr>
          <w:rStyle w:val="Refdenotaalpie"/>
          <w:rFonts w:ascii="Verdana" w:eastAsia="Times New Roman" w:hAnsi="Verdana" w:cs="Arial"/>
          <w:iCs/>
          <w:sz w:val="20"/>
          <w:szCs w:val="20"/>
          <w:lang w:val="es-CR" w:eastAsia="es-CR"/>
        </w:rPr>
        <w:footnoteReference w:id="55"/>
      </w:r>
      <w:r w:rsidR="002345B5" w:rsidRPr="001C464B">
        <w:rPr>
          <w:rFonts w:ascii="Verdana" w:eastAsia="Times New Roman" w:hAnsi="Verdana" w:cs="Arial"/>
          <w:iCs/>
          <w:sz w:val="20"/>
          <w:szCs w:val="20"/>
          <w:lang w:val="es-CR" w:eastAsia="es-CR"/>
        </w:rPr>
        <w:t xml:space="preserve">. </w:t>
      </w:r>
      <w:r w:rsidR="00754121" w:rsidRPr="001C464B">
        <w:rPr>
          <w:rFonts w:ascii="Verdana" w:eastAsia="Times New Roman" w:hAnsi="Verdana" w:cs="Arial"/>
          <w:iCs/>
          <w:sz w:val="20"/>
          <w:szCs w:val="20"/>
          <w:lang w:val="es-CR" w:eastAsia="es-CR"/>
        </w:rPr>
        <w:t>Añadió que el Ejército Nacional ha implementado unidades militares fijas cerca de Pueblo Bello</w:t>
      </w:r>
      <w:r w:rsidR="001C464B">
        <w:rPr>
          <w:rFonts w:ascii="Verdana" w:eastAsia="Times New Roman" w:hAnsi="Verdana" w:cs="Arial"/>
          <w:iCs/>
          <w:sz w:val="20"/>
          <w:szCs w:val="20"/>
          <w:lang w:val="es-CR" w:eastAsia="es-CR"/>
        </w:rPr>
        <w:t>,</w:t>
      </w:r>
      <w:r w:rsidR="00754121" w:rsidRPr="001C464B">
        <w:rPr>
          <w:rFonts w:ascii="Verdana" w:eastAsia="Times New Roman" w:hAnsi="Verdana" w:cs="Arial"/>
          <w:iCs/>
          <w:sz w:val="20"/>
          <w:szCs w:val="20"/>
          <w:lang w:val="es-CR" w:eastAsia="es-CR"/>
        </w:rPr>
        <w:t xml:space="preserve"> </w:t>
      </w:r>
      <w:r w:rsidR="001C464B">
        <w:rPr>
          <w:rFonts w:ascii="Verdana" w:eastAsia="Times New Roman" w:hAnsi="Verdana" w:cs="Arial"/>
          <w:iCs/>
          <w:sz w:val="20"/>
          <w:szCs w:val="20"/>
          <w:lang w:val="es-CR" w:eastAsia="es-CR"/>
        </w:rPr>
        <w:t>ubicadas</w:t>
      </w:r>
      <w:r w:rsidR="00754121" w:rsidRPr="001C464B">
        <w:rPr>
          <w:rFonts w:ascii="Verdana" w:eastAsia="Times New Roman" w:hAnsi="Verdana" w:cs="Arial"/>
          <w:iCs/>
          <w:sz w:val="20"/>
          <w:szCs w:val="20"/>
          <w:lang w:val="es-CR" w:eastAsia="es-CR"/>
        </w:rPr>
        <w:t xml:space="preserve"> sobre las veredas Alto Mulatos y Cienaguita, </w:t>
      </w:r>
      <w:r w:rsidR="00754121" w:rsidRPr="001C464B">
        <w:rPr>
          <w:rFonts w:ascii="Verdana" w:eastAsia="Times New Roman" w:hAnsi="Verdana"/>
          <w:sz w:val="20"/>
          <w:szCs w:val="20"/>
          <w:lang w:val="es-CR" w:eastAsia="es-CR"/>
        </w:rPr>
        <w:t xml:space="preserve">ya </w:t>
      </w:r>
      <w:r w:rsidR="00754121" w:rsidRPr="001C464B">
        <w:rPr>
          <w:rFonts w:ascii="Verdana" w:eastAsia="Times New Roman" w:hAnsi="Verdana" w:cs="Arial"/>
          <w:iCs/>
          <w:sz w:val="20"/>
          <w:szCs w:val="20"/>
          <w:lang w:val="es-CR" w:eastAsia="es-CR"/>
        </w:rPr>
        <w:t xml:space="preserve">que </w:t>
      </w:r>
      <w:r w:rsidR="001C464B">
        <w:rPr>
          <w:rFonts w:ascii="Verdana" w:eastAsia="Times New Roman" w:hAnsi="Verdana" w:cs="Arial"/>
          <w:iCs/>
          <w:sz w:val="20"/>
          <w:szCs w:val="20"/>
          <w:lang w:val="es-CR" w:eastAsia="es-CR"/>
        </w:rPr>
        <w:t>“</w:t>
      </w:r>
      <w:r w:rsidR="00754121" w:rsidRPr="001C464B">
        <w:rPr>
          <w:rFonts w:ascii="Verdana" w:eastAsia="Times New Roman" w:hAnsi="Verdana" w:cs="Arial"/>
          <w:iCs/>
          <w:sz w:val="20"/>
          <w:szCs w:val="20"/>
          <w:lang w:val="es-CR" w:eastAsia="es-CR"/>
        </w:rPr>
        <w:t>en dichos lugares se encuentran ubicadas las bases militares Cerro Azul y R5 respectivamente, las cuales desarrollan operaciones de seguridad y defensa”</w:t>
      </w:r>
      <w:r w:rsidR="00754121">
        <w:rPr>
          <w:rStyle w:val="Refdenotaalpie"/>
          <w:rFonts w:ascii="Verdana" w:eastAsia="Times New Roman" w:hAnsi="Verdana" w:cs="Arial"/>
          <w:iCs/>
          <w:sz w:val="20"/>
          <w:szCs w:val="20"/>
          <w:lang w:val="es-CR" w:eastAsia="es-CR"/>
        </w:rPr>
        <w:footnoteReference w:id="56"/>
      </w:r>
      <w:r w:rsidR="00754121" w:rsidRPr="001C464B">
        <w:rPr>
          <w:rFonts w:ascii="Verdana" w:eastAsia="Times New Roman" w:hAnsi="Verdana" w:cs="Arial"/>
          <w:iCs/>
          <w:sz w:val="20"/>
          <w:szCs w:val="20"/>
          <w:lang w:val="es-CR" w:eastAsia="es-CR"/>
        </w:rPr>
        <w:t>.</w:t>
      </w:r>
    </w:p>
    <w:p w14:paraId="0F3F373E" w14:textId="77777777" w:rsidR="00CE4B48" w:rsidRPr="00CE4B48" w:rsidRDefault="00CE4B48" w:rsidP="00CE4B48">
      <w:pPr>
        <w:widowControl w:val="0"/>
        <w:tabs>
          <w:tab w:val="left" w:pos="567"/>
        </w:tabs>
        <w:adjustRightInd w:val="0"/>
        <w:jc w:val="both"/>
        <w:textAlignment w:val="baseline"/>
        <w:rPr>
          <w:rFonts w:ascii="Verdana" w:eastAsia="Times New Roman" w:hAnsi="Verdana" w:cs="ArialNarrow"/>
          <w:sz w:val="20"/>
          <w:szCs w:val="20"/>
          <w:lang w:val="es-CR" w:eastAsia="es-CR"/>
        </w:rPr>
      </w:pPr>
    </w:p>
    <w:p w14:paraId="0736F03D" w14:textId="0EA0CED9" w:rsidR="00706B70" w:rsidRPr="00992478" w:rsidRDefault="00C84AFD" w:rsidP="00473F50">
      <w:pPr>
        <w:widowControl w:val="0"/>
        <w:numPr>
          <w:ilvl w:val="0"/>
          <w:numId w:val="8"/>
        </w:numPr>
        <w:tabs>
          <w:tab w:val="left" w:pos="567"/>
          <w:tab w:val="num" w:pos="12305"/>
        </w:tabs>
        <w:autoSpaceDE w:val="0"/>
        <w:autoSpaceDN w:val="0"/>
        <w:adjustRightInd w:val="0"/>
        <w:ind w:left="0" w:firstLine="0"/>
        <w:jc w:val="both"/>
        <w:textAlignment w:val="baseline"/>
        <w:rPr>
          <w:rFonts w:ascii="Verdana" w:hAnsi="Verdana"/>
          <w:sz w:val="20"/>
          <w:szCs w:val="20"/>
        </w:rPr>
      </w:pPr>
      <w:r>
        <w:rPr>
          <w:rFonts w:ascii="Verdana" w:hAnsi="Verdana"/>
          <w:sz w:val="20"/>
          <w:szCs w:val="20"/>
          <w:lang w:val="es-CR"/>
        </w:rPr>
        <w:t>L</w:t>
      </w:r>
      <w:r w:rsidR="001700C3" w:rsidRPr="00992478">
        <w:rPr>
          <w:rFonts w:ascii="Verdana" w:hAnsi="Verdana"/>
          <w:sz w:val="20"/>
          <w:szCs w:val="20"/>
        </w:rPr>
        <w:t xml:space="preserve">os representantes han indicado, en sus observaciones más recientes, </w:t>
      </w:r>
      <w:r w:rsidR="00706B70" w:rsidRPr="00992478">
        <w:rPr>
          <w:rFonts w:ascii="Verdana" w:eastAsia="Times New Roman" w:hAnsi="Verdana" w:cs="ArialNarrow"/>
          <w:sz w:val="20"/>
          <w:szCs w:val="20"/>
          <w:lang w:val="es-CR" w:eastAsia="es-CR"/>
        </w:rPr>
        <w:t>s</w:t>
      </w:r>
      <w:r w:rsidR="001700C3" w:rsidRPr="00992478">
        <w:rPr>
          <w:rFonts w:ascii="Verdana" w:eastAsia="Times New Roman" w:hAnsi="Verdana" w:cs="ArialNarrow"/>
          <w:sz w:val="20"/>
          <w:szCs w:val="20"/>
          <w:lang w:val="es-CR" w:eastAsia="es-CR"/>
        </w:rPr>
        <w:t xml:space="preserve">u preocupación por </w:t>
      </w:r>
      <w:r w:rsidR="00706B70" w:rsidRPr="00992478">
        <w:rPr>
          <w:rFonts w:ascii="Verdana" w:eastAsia="Times New Roman" w:hAnsi="Verdana" w:cs="ArialNarrow"/>
          <w:sz w:val="20"/>
          <w:szCs w:val="20"/>
          <w:lang w:val="es-CR" w:eastAsia="es-CR"/>
        </w:rPr>
        <w:t xml:space="preserve">la presencia de grupos paramilitares en la </w:t>
      </w:r>
      <w:r w:rsidR="001700C3" w:rsidRPr="00992478">
        <w:rPr>
          <w:rFonts w:ascii="Verdana" w:eastAsia="Times New Roman" w:hAnsi="Verdana" w:cs="ArialNarrow"/>
          <w:sz w:val="20"/>
          <w:szCs w:val="20"/>
          <w:lang w:val="es-CR" w:eastAsia="es-CR"/>
        </w:rPr>
        <w:t>“</w:t>
      </w:r>
      <w:r w:rsidR="00706B70" w:rsidRPr="00992478">
        <w:rPr>
          <w:rFonts w:ascii="Verdana" w:eastAsia="Times New Roman" w:hAnsi="Verdana" w:cs="ArialNarrow"/>
          <w:sz w:val="20"/>
          <w:szCs w:val="20"/>
          <w:lang w:val="es-CR" w:eastAsia="es-CR"/>
        </w:rPr>
        <w:t>zona del Urabá antioqueño</w:t>
      </w:r>
      <w:r w:rsidR="001700C3" w:rsidRPr="00992478">
        <w:rPr>
          <w:rFonts w:ascii="Verdana" w:eastAsia="Times New Roman" w:hAnsi="Verdana" w:cs="ArialNarrow"/>
          <w:sz w:val="20"/>
          <w:szCs w:val="20"/>
          <w:lang w:val="es-CR" w:eastAsia="es-CR"/>
        </w:rPr>
        <w:t>”</w:t>
      </w:r>
      <w:r w:rsidR="00DD0E9B">
        <w:rPr>
          <w:rStyle w:val="Refdenotaalpie"/>
          <w:rFonts w:ascii="Verdana" w:eastAsia="Times New Roman" w:hAnsi="Verdana" w:cs="ArialNarrow"/>
          <w:sz w:val="20"/>
          <w:szCs w:val="20"/>
          <w:lang w:val="es-CR" w:eastAsia="es-CR"/>
        </w:rPr>
        <w:footnoteReference w:id="57"/>
      </w:r>
      <w:r w:rsidR="00706B70" w:rsidRPr="00992478">
        <w:rPr>
          <w:rFonts w:ascii="Verdana" w:eastAsia="Times New Roman" w:hAnsi="Verdana" w:cs="ArialNarrow"/>
          <w:sz w:val="20"/>
          <w:szCs w:val="20"/>
          <w:lang w:val="es-CR" w:eastAsia="es-CR"/>
        </w:rPr>
        <w:t>,</w:t>
      </w:r>
      <w:r w:rsidR="001700C3" w:rsidRPr="00992478">
        <w:rPr>
          <w:rFonts w:ascii="Verdana" w:eastAsia="Times New Roman" w:hAnsi="Verdana" w:cs="ArialNarrow"/>
          <w:sz w:val="20"/>
          <w:szCs w:val="20"/>
          <w:lang w:val="es-CR" w:eastAsia="es-CR"/>
        </w:rPr>
        <w:t xml:space="preserve"> conformadas por “desmovilizados de las antiguas estructuras que integraban las Autodefensas Unidas de Colombia”</w:t>
      </w:r>
      <w:r w:rsidR="001C464B">
        <w:rPr>
          <w:rFonts w:ascii="Verdana" w:eastAsia="Times New Roman" w:hAnsi="Verdana" w:cs="ArialNarrow"/>
          <w:sz w:val="20"/>
          <w:szCs w:val="20"/>
          <w:lang w:val="es-CR" w:eastAsia="es-CR"/>
        </w:rPr>
        <w:t>,</w:t>
      </w:r>
      <w:r w:rsidR="00706B70" w:rsidRPr="00992478">
        <w:rPr>
          <w:rFonts w:ascii="Verdana" w:eastAsia="Times New Roman" w:hAnsi="Verdana" w:cs="ArialNarrow"/>
          <w:sz w:val="20"/>
          <w:szCs w:val="20"/>
          <w:lang w:val="es-CR" w:eastAsia="es-CR"/>
        </w:rPr>
        <w:t xml:space="preserve"> </w:t>
      </w:r>
      <w:r w:rsidR="00EB129A" w:rsidRPr="00992478">
        <w:rPr>
          <w:rFonts w:ascii="Verdana" w:eastAsia="Times New Roman" w:hAnsi="Verdana" w:cs="TimesNewRomanPSMT"/>
          <w:sz w:val="20"/>
          <w:szCs w:val="20"/>
          <w:lang w:val="es-CR" w:eastAsia="es-CR"/>
        </w:rPr>
        <w:t xml:space="preserve">quienes han </w:t>
      </w:r>
      <w:r w:rsidR="00775C4F" w:rsidRPr="00992478">
        <w:rPr>
          <w:rFonts w:ascii="Verdana" w:eastAsia="Times New Roman" w:hAnsi="Verdana" w:cs="TimesNewRomanPSMT"/>
          <w:sz w:val="20"/>
          <w:szCs w:val="20"/>
          <w:lang w:val="es-CR" w:eastAsia="es-CR"/>
        </w:rPr>
        <w:t>“</w:t>
      </w:r>
      <w:r w:rsidR="00EB129A" w:rsidRPr="00992478">
        <w:rPr>
          <w:rFonts w:ascii="Verdana" w:eastAsia="Times New Roman" w:hAnsi="Verdana" w:cs="TimesNewRomanPSMT"/>
          <w:sz w:val="20"/>
          <w:szCs w:val="20"/>
          <w:lang w:val="es-CR" w:eastAsia="es-CR"/>
        </w:rPr>
        <w:t>enviado videos a medios de comunicación de paradas militares en la zona y permanentemente emiten amenazas contra líderes sociales, defensores de derechos humanos, reclamantes de tierras despojadas peticionarios de restitución de tierra</w:t>
      </w:r>
      <w:r w:rsidR="00E74834">
        <w:rPr>
          <w:rFonts w:ascii="Verdana" w:eastAsia="Times New Roman" w:hAnsi="Verdana" w:cs="TimesNewRomanPSMT"/>
          <w:sz w:val="20"/>
          <w:szCs w:val="20"/>
          <w:lang w:val="es-CR" w:eastAsia="es-CR"/>
        </w:rPr>
        <w:t>s”</w:t>
      </w:r>
      <w:r w:rsidR="00706B70" w:rsidRPr="00992478">
        <w:rPr>
          <w:rFonts w:ascii="Verdana" w:eastAsia="Times New Roman" w:hAnsi="Verdana" w:cs="ArialNarrow"/>
          <w:sz w:val="20"/>
          <w:szCs w:val="20"/>
          <w:lang w:val="es-CR" w:eastAsia="es-CR"/>
        </w:rPr>
        <w:t xml:space="preserve"> </w:t>
      </w:r>
      <w:r w:rsidR="000629E2">
        <w:rPr>
          <w:rFonts w:ascii="Verdana" w:eastAsia="Times New Roman" w:hAnsi="Verdana" w:cs="ArialNarrow"/>
          <w:sz w:val="20"/>
          <w:szCs w:val="20"/>
          <w:lang w:val="es-CR" w:eastAsia="es-CR"/>
        </w:rPr>
        <w:t>y “</w:t>
      </w:r>
      <w:r w:rsidR="00706B70" w:rsidRPr="00992478">
        <w:rPr>
          <w:rFonts w:ascii="Verdana" w:eastAsia="Times New Roman" w:hAnsi="Verdana" w:cs="ArialNarrow"/>
          <w:sz w:val="20"/>
          <w:szCs w:val="20"/>
          <w:lang w:val="es-CR" w:eastAsia="es-CR"/>
        </w:rPr>
        <w:t>suponen una amenaza para los pobladores de la zona y no propician un ambiente seguro para que las víctimas del presente caso retornen al corregimiento y a sus zonas circundantes”</w:t>
      </w:r>
      <w:r w:rsidR="001700C3" w:rsidRPr="00775C4F">
        <w:rPr>
          <w:rStyle w:val="Refdenotaalpie"/>
          <w:rFonts w:ascii="Verdana" w:eastAsia="Times New Roman" w:hAnsi="Verdana" w:cs="ArialNarrow"/>
          <w:sz w:val="20"/>
          <w:szCs w:val="20"/>
          <w:lang w:val="es-CR" w:eastAsia="es-CR"/>
        </w:rPr>
        <w:footnoteReference w:id="58"/>
      </w:r>
      <w:r w:rsidR="00706B70" w:rsidRPr="00992478">
        <w:rPr>
          <w:rFonts w:ascii="Verdana" w:eastAsia="Times New Roman" w:hAnsi="Verdana" w:cs="ArialNarrow"/>
          <w:sz w:val="20"/>
          <w:szCs w:val="20"/>
          <w:lang w:val="es-CR" w:eastAsia="es-CR"/>
        </w:rPr>
        <w:t xml:space="preserve">. </w:t>
      </w:r>
      <w:r w:rsidR="00775C4F" w:rsidRPr="00992478">
        <w:rPr>
          <w:rFonts w:ascii="Verdana" w:eastAsia="Times New Roman" w:hAnsi="Verdana" w:cs="ArialNarrow"/>
          <w:sz w:val="20"/>
          <w:szCs w:val="20"/>
          <w:lang w:val="es-CR" w:eastAsia="es-CR"/>
        </w:rPr>
        <w:t>Así, si bien reconocieron que “</w:t>
      </w:r>
      <w:r w:rsidR="00775C4F" w:rsidRPr="00992478">
        <w:rPr>
          <w:rFonts w:ascii="Verdana" w:eastAsia="Times New Roman" w:hAnsi="Verdana" w:cs="TimesNewRomanPSMT"/>
          <w:sz w:val="20"/>
          <w:szCs w:val="20"/>
          <w:lang w:val="es-CR" w:eastAsia="es-CR"/>
        </w:rPr>
        <w:t>no se hayan reseñado ni presentado hechos de violencia que pongan en riesgo la vida e integridad de los habitantes del Corregimiento de Pueblo Bello”, es “preocupante que el contexto regional se denuncie el incremento de la violencia y de acciones de grupos paramilitares”</w:t>
      </w:r>
      <w:r w:rsidR="00775C4F">
        <w:rPr>
          <w:rStyle w:val="Refdenotaalpie"/>
          <w:rFonts w:ascii="Verdana" w:eastAsia="Times New Roman" w:hAnsi="Verdana" w:cs="TimesNewRomanPSMT"/>
          <w:sz w:val="20"/>
          <w:szCs w:val="20"/>
          <w:lang w:val="es-CR" w:eastAsia="es-CR"/>
        </w:rPr>
        <w:footnoteReference w:id="59"/>
      </w:r>
      <w:r w:rsidR="00775C4F" w:rsidRPr="00992478">
        <w:rPr>
          <w:rFonts w:ascii="Verdana" w:eastAsia="Times New Roman" w:hAnsi="Verdana" w:cs="TimesNewRomanPSMT"/>
          <w:sz w:val="20"/>
          <w:szCs w:val="20"/>
          <w:lang w:val="es-CR" w:eastAsia="es-CR"/>
        </w:rPr>
        <w:t>. Los representantes solicitaron que se “</w:t>
      </w:r>
      <w:proofErr w:type="spellStart"/>
      <w:r w:rsidR="00775C4F" w:rsidRPr="00992478">
        <w:rPr>
          <w:rFonts w:ascii="Verdana" w:eastAsia="Times New Roman" w:hAnsi="Verdana" w:cs="TimesNewRomanPSMT"/>
          <w:sz w:val="20"/>
          <w:szCs w:val="20"/>
          <w:lang w:val="es-CR" w:eastAsia="es-CR"/>
        </w:rPr>
        <w:t>desmante</w:t>
      </w:r>
      <w:proofErr w:type="spellEnd"/>
      <w:r w:rsidR="00775C4F" w:rsidRPr="00992478">
        <w:rPr>
          <w:rFonts w:ascii="Verdana" w:eastAsia="Times New Roman" w:hAnsi="Verdana" w:cs="TimesNewRomanPSMT"/>
          <w:sz w:val="20"/>
          <w:szCs w:val="20"/>
          <w:lang w:val="es-CR" w:eastAsia="es-CR"/>
        </w:rPr>
        <w:t>[</w:t>
      </w:r>
      <w:proofErr w:type="spellStart"/>
      <w:r w:rsidR="00775C4F" w:rsidRPr="00992478">
        <w:rPr>
          <w:rFonts w:ascii="Verdana" w:eastAsia="Times New Roman" w:hAnsi="Verdana" w:cs="TimesNewRomanPSMT"/>
          <w:sz w:val="20"/>
          <w:szCs w:val="20"/>
          <w:lang w:val="es-CR" w:eastAsia="es-CR"/>
        </w:rPr>
        <w:t>laran</w:t>
      </w:r>
      <w:proofErr w:type="spellEnd"/>
      <w:r w:rsidR="00775C4F" w:rsidRPr="00992478">
        <w:rPr>
          <w:rFonts w:ascii="Verdana" w:eastAsia="Times New Roman" w:hAnsi="Verdana" w:cs="TimesNewRomanPSMT"/>
          <w:sz w:val="20"/>
          <w:szCs w:val="20"/>
          <w:lang w:val="es-CR" w:eastAsia="es-CR"/>
        </w:rPr>
        <w:t>] tanto militar como financieramente los grupos paramilitares todavía presentes en la región”</w:t>
      </w:r>
      <w:r w:rsidR="00775C4F">
        <w:rPr>
          <w:rStyle w:val="Refdenotaalpie"/>
          <w:rFonts w:ascii="Verdana" w:eastAsia="Times New Roman" w:hAnsi="Verdana" w:cs="TimesNewRomanPSMT"/>
          <w:sz w:val="20"/>
          <w:szCs w:val="20"/>
          <w:lang w:val="es-CR" w:eastAsia="es-CR"/>
        </w:rPr>
        <w:footnoteReference w:id="60"/>
      </w:r>
      <w:r w:rsidR="00DD0E9B" w:rsidRPr="00992478">
        <w:rPr>
          <w:rFonts w:ascii="Verdana" w:eastAsia="Times New Roman" w:hAnsi="Verdana" w:cs="TimesNewRomanPSMT"/>
          <w:sz w:val="20"/>
          <w:szCs w:val="20"/>
          <w:lang w:val="es-CR" w:eastAsia="es-CR"/>
        </w:rPr>
        <w:t xml:space="preserve"> y destacaron la necesidad de que los familiares de las víctimas puedan involucrarse en la adaptación de medidas y se tengan en cuenta “sus preocupaciones respecto a la seguridad en el corregimiento”</w:t>
      </w:r>
      <w:r w:rsidR="00DD0E9B">
        <w:rPr>
          <w:rStyle w:val="Refdenotaalpie"/>
          <w:rFonts w:ascii="Verdana" w:eastAsia="Times New Roman" w:hAnsi="Verdana" w:cs="TimesNewRomanPSMT"/>
          <w:sz w:val="20"/>
          <w:szCs w:val="20"/>
          <w:lang w:val="es-CR" w:eastAsia="es-CR"/>
        </w:rPr>
        <w:footnoteReference w:id="61"/>
      </w:r>
      <w:r w:rsidR="00DD0E9B" w:rsidRPr="00992478">
        <w:rPr>
          <w:rFonts w:ascii="Verdana" w:eastAsia="Times New Roman" w:hAnsi="Verdana" w:cs="TimesNewRomanPSMT"/>
          <w:sz w:val="20"/>
          <w:szCs w:val="20"/>
          <w:lang w:val="es-CR" w:eastAsia="es-CR"/>
        </w:rPr>
        <w:t>.</w:t>
      </w:r>
      <w:r w:rsidR="00992478" w:rsidRPr="00992478">
        <w:rPr>
          <w:rFonts w:ascii="Verdana" w:eastAsia="Times New Roman" w:hAnsi="Verdana" w:cs="TimesNewRomanPSMT"/>
          <w:sz w:val="20"/>
          <w:szCs w:val="20"/>
          <w:lang w:val="es-CR" w:eastAsia="es-CR"/>
        </w:rPr>
        <w:t xml:space="preserve"> </w:t>
      </w:r>
    </w:p>
    <w:p w14:paraId="61AAF5CD" w14:textId="77777777" w:rsidR="00992478" w:rsidRPr="00992478" w:rsidRDefault="00992478" w:rsidP="00992478">
      <w:pPr>
        <w:widowControl w:val="0"/>
        <w:tabs>
          <w:tab w:val="left" w:pos="567"/>
        </w:tabs>
        <w:autoSpaceDE w:val="0"/>
        <w:autoSpaceDN w:val="0"/>
        <w:adjustRightInd w:val="0"/>
        <w:jc w:val="both"/>
        <w:textAlignment w:val="baseline"/>
        <w:rPr>
          <w:rFonts w:ascii="Verdana" w:hAnsi="Verdana"/>
          <w:sz w:val="20"/>
          <w:szCs w:val="20"/>
        </w:rPr>
      </w:pPr>
    </w:p>
    <w:p w14:paraId="76A4A8AA" w14:textId="08F19928" w:rsidR="00992478" w:rsidRPr="001C464B" w:rsidRDefault="008E707D" w:rsidP="00992478">
      <w:pPr>
        <w:widowControl w:val="0"/>
        <w:numPr>
          <w:ilvl w:val="0"/>
          <w:numId w:val="8"/>
        </w:numPr>
        <w:tabs>
          <w:tab w:val="left" w:pos="567"/>
          <w:tab w:val="num" w:pos="12305"/>
        </w:tabs>
        <w:adjustRightInd w:val="0"/>
        <w:ind w:left="0" w:firstLine="0"/>
        <w:jc w:val="both"/>
        <w:textAlignment w:val="baseline"/>
        <w:rPr>
          <w:rFonts w:ascii="Verdana" w:eastAsia="Times New Roman" w:hAnsi="Verdana" w:cs="Arial"/>
          <w:sz w:val="20"/>
          <w:szCs w:val="20"/>
          <w:lang w:val="es-CR" w:eastAsia="es-CR"/>
        </w:rPr>
      </w:pPr>
      <w:r>
        <w:rPr>
          <w:rFonts w:ascii="Verdana" w:eastAsia="Times New Roman" w:hAnsi="Verdana" w:cs="ArialNarrow"/>
          <w:sz w:val="20"/>
          <w:szCs w:val="20"/>
          <w:lang w:eastAsia="es-CR"/>
        </w:rPr>
        <w:t>L</w:t>
      </w:r>
      <w:r w:rsidR="00992478">
        <w:rPr>
          <w:rFonts w:ascii="Verdana" w:eastAsia="Times New Roman" w:hAnsi="Verdana" w:cs="ArialNarrow"/>
          <w:sz w:val="20"/>
          <w:szCs w:val="20"/>
          <w:lang w:val="es-CR" w:eastAsia="es-CR"/>
        </w:rPr>
        <w:t xml:space="preserve">a Comisión Interamericana, </w:t>
      </w:r>
      <w:r w:rsidR="00992478">
        <w:rPr>
          <w:rFonts w:ascii="Verdana" w:eastAsia="Times New Roman" w:hAnsi="Verdana" w:cs="TimesNewRomanPSMT"/>
          <w:sz w:val="20"/>
          <w:szCs w:val="20"/>
          <w:lang w:val="es-CR" w:eastAsia="es-CR"/>
        </w:rPr>
        <w:t xml:space="preserve">por su parte, observó de manera general que, </w:t>
      </w:r>
      <w:r w:rsidR="00992478" w:rsidRPr="006A0894">
        <w:rPr>
          <w:rFonts w:ascii="Verdana" w:eastAsia="Times New Roman" w:hAnsi="Verdana" w:cs="TimesNewRomanPSMT"/>
          <w:sz w:val="20"/>
          <w:szCs w:val="20"/>
          <w:lang w:val="es-CR" w:eastAsia="es-CR"/>
        </w:rPr>
        <w:t>si bien el</w:t>
      </w:r>
      <w:r w:rsidR="00992478">
        <w:rPr>
          <w:rFonts w:ascii="Verdana" w:eastAsia="Times New Roman" w:hAnsi="Verdana" w:cs="TimesNewRomanPSMT"/>
          <w:sz w:val="20"/>
          <w:szCs w:val="20"/>
          <w:lang w:val="es-CR" w:eastAsia="es-CR"/>
        </w:rPr>
        <w:t xml:space="preserve"> </w:t>
      </w:r>
      <w:r w:rsidR="00992478" w:rsidRPr="006A0894">
        <w:rPr>
          <w:rFonts w:ascii="Verdana" w:eastAsia="Times New Roman" w:hAnsi="Verdana" w:cs="TimesNewRomanPSMT"/>
          <w:sz w:val="20"/>
          <w:szCs w:val="20"/>
          <w:lang w:val="es-CR" w:eastAsia="es-CR"/>
        </w:rPr>
        <w:t xml:space="preserve">Estado ha venido adoptando algunas medidas para su </w:t>
      </w:r>
      <w:r w:rsidR="00992478" w:rsidRPr="006A0894">
        <w:rPr>
          <w:rFonts w:ascii="Verdana" w:eastAsia="Times New Roman" w:hAnsi="Verdana" w:cs="Arial"/>
          <w:sz w:val="20"/>
          <w:szCs w:val="20"/>
          <w:lang w:val="es-CR" w:eastAsia="es-CR"/>
        </w:rPr>
        <w:t>cumplimiento</w:t>
      </w:r>
      <w:r w:rsidR="00992478" w:rsidRPr="006A0894">
        <w:rPr>
          <w:rFonts w:ascii="Verdana" w:eastAsia="Times New Roman" w:hAnsi="Verdana" w:cs="TimesNewRomanPSMT"/>
          <w:sz w:val="20"/>
          <w:szCs w:val="20"/>
          <w:lang w:val="es-CR" w:eastAsia="es-CR"/>
        </w:rPr>
        <w:t xml:space="preserve">, </w:t>
      </w:r>
      <w:r w:rsidR="00992478">
        <w:rPr>
          <w:rFonts w:ascii="Verdana" w:eastAsia="Times New Roman" w:hAnsi="Verdana" w:cs="TimesNewRomanPSMT"/>
          <w:sz w:val="20"/>
          <w:szCs w:val="20"/>
          <w:lang w:val="es-CR" w:eastAsia="es-CR"/>
        </w:rPr>
        <w:t>“</w:t>
      </w:r>
      <w:r w:rsidR="00992478" w:rsidRPr="006A0894">
        <w:rPr>
          <w:rFonts w:ascii="Verdana" w:eastAsia="Times New Roman" w:hAnsi="Verdana" w:cs="TimesNewRomanPSMT"/>
          <w:sz w:val="20"/>
          <w:szCs w:val="20"/>
          <w:lang w:val="es-CR" w:eastAsia="es-CR"/>
        </w:rPr>
        <w:t>todavía estarían pendientes de</w:t>
      </w:r>
      <w:r w:rsidR="00992478">
        <w:rPr>
          <w:rFonts w:ascii="Verdana" w:eastAsia="Times New Roman" w:hAnsi="Verdana" w:cs="TimesNewRomanPSMT"/>
          <w:sz w:val="20"/>
          <w:szCs w:val="20"/>
          <w:lang w:val="es-CR" w:eastAsia="es-CR"/>
        </w:rPr>
        <w:t xml:space="preserve"> </w:t>
      </w:r>
      <w:r w:rsidR="00992478" w:rsidRPr="006A0894">
        <w:rPr>
          <w:rFonts w:ascii="Verdana" w:eastAsia="Times New Roman" w:hAnsi="Verdana" w:cs="TimesNewRomanPSMT"/>
          <w:sz w:val="20"/>
          <w:szCs w:val="20"/>
          <w:lang w:val="es-CR" w:eastAsia="es-CR"/>
        </w:rPr>
        <w:t>cumplimiento efectivo</w:t>
      </w:r>
      <w:r w:rsidR="00992478">
        <w:rPr>
          <w:rFonts w:ascii="Verdana" w:eastAsia="Times New Roman" w:hAnsi="Verdana" w:cs="TimesNewRomanPSMT"/>
          <w:sz w:val="20"/>
          <w:szCs w:val="20"/>
          <w:lang w:val="es-CR" w:eastAsia="es-CR"/>
        </w:rPr>
        <w:t>”</w:t>
      </w:r>
      <w:r w:rsidR="00992478">
        <w:rPr>
          <w:rStyle w:val="Refdenotaalpie"/>
          <w:rFonts w:ascii="Verdana" w:eastAsia="Times New Roman" w:hAnsi="Verdana" w:cs="TimesNewRomanPSMT"/>
          <w:sz w:val="20"/>
          <w:szCs w:val="20"/>
          <w:lang w:val="es-CR" w:eastAsia="es-CR"/>
        </w:rPr>
        <w:footnoteReference w:id="62"/>
      </w:r>
      <w:r w:rsidR="00992478" w:rsidRPr="006A0894">
        <w:rPr>
          <w:rFonts w:ascii="Verdana" w:eastAsia="Times New Roman" w:hAnsi="Verdana" w:cs="TimesNewRomanPSMT"/>
          <w:sz w:val="20"/>
          <w:szCs w:val="20"/>
          <w:lang w:val="es-CR" w:eastAsia="es-CR"/>
        </w:rPr>
        <w:t>.</w:t>
      </w:r>
    </w:p>
    <w:p w14:paraId="25E770E1" w14:textId="77777777" w:rsidR="001C464B" w:rsidRPr="00ED086D" w:rsidRDefault="001C464B" w:rsidP="001C464B">
      <w:pPr>
        <w:widowControl w:val="0"/>
        <w:tabs>
          <w:tab w:val="left" w:pos="567"/>
        </w:tabs>
        <w:adjustRightInd w:val="0"/>
        <w:jc w:val="both"/>
        <w:textAlignment w:val="baseline"/>
        <w:rPr>
          <w:rFonts w:ascii="Verdana" w:eastAsia="Times New Roman" w:hAnsi="Verdana" w:cs="Arial"/>
          <w:sz w:val="20"/>
          <w:szCs w:val="20"/>
          <w:lang w:val="es-CR" w:eastAsia="es-CR"/>
        </w:rPr>
      </w:pPr>
    </w:p>
    <w:p w14:paraId="3AE2299A" w14:textId="1CAB9FAF" w:rsidR="00ED086D" w:rsidRDefault="008E707D" w:rsidP="00B85AC3">
      <w:pPr>
        <w:widowControl w:val="0"/>
        <w:numPr>
          <w:ilvl w:val="0"/>
          <w:numId w:val="8"/>
        </w:numPr>
        <w:tabs>
          <w:tab w:val="left" w:pos="567"/>
          <w:tab w:val="num" w:pos="12305"/>
        </w:tabs>
        <w:autoSpaceDE w:val="0"/>
        <w:autoSpaceDN w:val="0"/>
        <w:adjustRightInd w:val="0"/>
        <w:ind w:left="0" w:firstLine="0"/>
        <w:jc w:val="both"/>
        <w:textAlignment w:val="baseline"/>
        <w:rPr>
          <w:rFonts w:ascii="Verdana" w:eastAsia="Times New Roman" w:hAnsi="Verdana" w:cs="ArialNarrow"/>
          <w:sz w:val="20"/>
          <w:szCs w:val="20"/>
          <w:lang w:val="es-CR" w:eastAsia="es-CR"/>
        </w:rPr>
      </w:pPr>
      <w:r>
        <w:rPr>
          <w:rFonts w:ascii="Verdana" w:eastAsia="Times New Roman" w:hAnsi="Verdana" w:cs="ArialNarrow"/>
          <w:sz w:val="20"/>
          <w:szCs w:val="20"/>
          <w:lang w:val="es-CR" w:eastAsia="es-CR"/>
        </w:rPr>
        <w:t>E</w:t>
      </w:r>
      <w:r w:rsidR="001C464B">
        <w:rPr>
          <w:rFonts w:ascii="Verdana" w:eastAsia="Times New Roman" w:hAnsi="Verdana" w:cs="ArialNarrow"/>
          <w:sz w:val="20"/>
          <w:szCs w:val="20"/>
          <w:lang w:val="es-CR" w:eastAsia="es-CR"/>
        </w:rPr>
        <w:t>l Tribunal observa que</w:t>
      </w:r>
      <w:r w:rsidR="00DE24DA">
        <w:rPr>
          <w:rFonts w:ascii="Verdana" w:eastAsia="Times New Roman" w:hAnsi="Verdana" w:cs="ArialNarrow"/>
          <w:sz w:val="20"/>
          <w:szCs w:val="20"/>
          <w:lang w:val="es-CR" w:eastAsia="es-CR"/>
        </w:rPr>
        <w:t>,</w:t>
      </w:r>
      <w:r w:rsidR="001C464B" w:rsidRPr="001C464B">
        <w:rPr>
          <w:rFonts w:ascii="Verdana" w:eastAsia="Times New Roman" w:hAnsi="Verdana" w:cs="ArialNarrow"/>
          <w:sz w:val="20"/>
          <w:szCs w:val="20"/>
          <w:lang w:val="es-CR" w:eastAsia="es-CR"/>
        </w:rPr>
        <w:t xml:space="preserve"> </w:t>
      </w:r>
      <w:r w:rsidR="008D04F3">
        <w:rPr>
          <w:rFonts w:ascii="Verdana" w:eastAsia="Times New Roman" w:hAnsi="Verdana" w:cs="ArialNarrow"/>
          <w:sz w:val="20"/>
          <w:szCs w:val="20"/>
          <w:lang w:val="es-CR" w:eastAsia="es-CR"/>
        </w:rPr>
        <w:t xml:space="preserve">efectivamente, </w:t>
      </w:r>
      <w:r w:rsidR="001C464B">
        <w:rPr>
          <w:rFonts w:ascii="Verdana" w:eastAsia="Times New Roman" w:hAnsi="Verdana" w:cs="ArialNarrow"/>
          <w:sz w:val="20"/>
          <w:szCs w:val="20"/>
          <w:lang w:val="es-CR" w:eastAsia="es-CR"/>
        </w:rPr>
        <w:t xml:space="preserve">el Estado ha adoptado una serie de medidas encaminadas a dar cumplimiento con la reparación ordenada por la Corte, relativa a las garantías de seguridad para el retorno de los familiares </w:t>
      </w:r>
      <w:r w:rsidR="00087715">
        <w:rPr>
          <w:rFonts w:ascii="Verdana" w:eastAsia="Times New Roman" w:hAnsi="Verdana" w:cs="ArialNarrow"/>
          <w:sz w:val="20"/>
          <w:szCs w:val="20"/>
          <w:lang w:val="es-CR" w:eastAsia="es-CR"/>
        </w:rPr>
        <w:t xml:space="preserve">y </w:t>
      </w:r>
      <w:r w:rsidR="00087715" w:rsidRPr="00BE5761">
        <w:rPr>
          <w:rFonts w:ascii="Verdana" w:hAnsi="Verdana"/>
          <w:sz w:val="20"/>
          <w:szCs w:val="20"/>
        </w:rPr>
        <w:t xml:space="preserve">ex pobladores </w:t>
      </w:r>
      <w:r w:rsidR="00087715">
        <w:rPr>
          <w:rFonts w:ascii="Verdana" w:hAnsi="Verdana"/>
          <w:sz w:val="20"/>
          <w:szCs w:val="20"/>
        </w:rPr>
        <w:t>a</w:t>
      </w:r>
      <w:r w:rsidR="00087715" w:rsidRPr="00BE5761">
        <w:rPr>
          <w:rFonts w:ascii="Verdana" w:hAnsi="Verdana"/>
          <w:sz w:val="20"/>
          <w:szCs w:val="20"/>
        </w:rPr>
        <w:t xml:space="preserve"> Pueblo Bello</w:t>
      </w:r>
      <w:r w:rsidR="00087715">
        <w:rPr>
          <w:rFonts w:ascii="Verdana" w:hAnsi="Verdana"/>
          <w:sz w:val="20"/>
          <w:szCs w:val="20"/>
        </w:rPr>
        <w:t>. No obstante</w:t>
      </w:r>
      <w:r w:rsidR="004833B2">
        <w:rPr>
          <w:rFonts w:ascii="Verdana" w:hAnsi="Verdana"/>
          <w:sz w:val="20"/>
          <w:szCs w:val="20"/>
        </w:rPr>
        <w:t>,</w:t>
      </w:r>
      <w:r w:rsidR="00087715">
        <w:rPr>
          <w:rFonts w:ascii="Verdana" w:hAnsi="Verdana"/>
          <w:sz w:val="20"/>
          <w:szCs w:val="20"/>
        </w:rPr>
        <w:t xml:space="preserve"> </w:t>
      </w:r>
      <w:r w:rsidR="004833B2">
        <w:rPr>
          <w:rFonts w:ascii="Verdana" w:hAnsi="Verdana"/>
          <w:sz w:val="20"/>
          <w:szCs w:val="20"/>
        </w:rPr>
        <w:t xml:space="preserve">de </w:t>
      </w:r>
      <w:r w:rsidR="00087715">
        <w:rPr>
          <w:rFonts w:ascii="Verdana" w:hAnsi="Verdana"/>
          <w:sz w:val="20"/>
          <w:szCs w:val="20"/>
        </w:rPr>
        <w:t xml:space="preserve">la </w:t>
      </w:r>
      <w:r w:rsidR="004833B2">
        <w:rPr>
          <w:rFonts w:ascii="Verdana" w:hAnsi="Verdana"/>
          <w:sz w:val="20"/>
          <w:szCs w:val="20"/>
        </w:rPr>
        <w:t>documentación</w:t>
      </w:r>
      <w:r w:rsidR="00087715">
        <w:rPr>
          <w:rFonts w:ascii="Verdana" w:hAnsi="Verdana"/>
          <w:sz w:val="20"/>
          <w:szCs w:val="20"/>
        </w:rPr>
        <w:t xml:space="preserve"> aportada por el Estado sobre el número y tipo de operaciones realizadas</w:t>
      </w:r>
      <w:r w:rsidR="00B679A9">
        <w:rPr>
          <w:rFonts w:ascii="Verdana" w:hAnsi="Verdana"/>
          <w:sz w:val="20"/>
          <w:szCs w:val="20"/>
        </w:rPr>
        <w:t xml:space="preserve"> durante los recientes años</w:t>
      </w:r>
      <w:r w:rsidR="00087715">
        <w:rPr>
          <w:rFonts w:ascii="Verdana" w:hAnsi="Verdana"/>
          <w:sz w:val="20"/>
          <w:szCs w:val="20"/>
        </w:rPr>
        <w:t>, la Corte no cuenta con información que permita, de manera general</w:t>
      </w:r>
      <w:r w:rsidR="005B2315">
        <w:rPr>
          <w:rFonts w:ascii="Verdana" w:hAnsi="Verdana"/>
          <w:sz w:val="20"/>
          <w:szCs w:val="20"/>
        </w:rPr>
        <w:t>,</w:t>
      </w:r>
      <w:r w:rsidR="00087715">
        <w:rPr>
          <w:rFonts w:ascii="Verdana" w:hAnsi="Verdana"/>
          <w:sz w:val="20"/>
          <w:szCs w:val="20"/>
        </w:rPr>
        <w:t xml:space="preserve"> </w:t>
      </w:r>
      <w:r w:rsidR="001C464B" w:rsidRPr="00992478">
        <w:rPr>
          <w:rFonts w:ascii="Verdana" w:eastAsia="Times New Roman" w:hAnsi="Verdana" w:cs="ArialNarrow"/>
          <w:sz w:val="20"/>
          <w:szCs w:val="20"/>
          <w:lang w:val="es-CR" w:eastAsia="es-CR"/>
        </w:rPr>
        <w:t xml:space="preserve">valorar los esfuerzos estatales </w:t>
      </w:r>
      <w:r w:rsidR="00B679A9">
        <w:rPr>
          <w:rFonts w:ascii="Verdana" w:eastAsia="Times New Roman" w:hAnsi="Verdana" w:cs="ArialNarrow"/>
          <w:sz w:val="20"/>
          <w:szCs w:val="20"/>
          <w:lang w:val="es-CR" w:eastAsia="es-CR"/>
        </w:rPr>
        <w:t xml:space="preserve">específicos </w:t>
      </w:r>
      <w:r w:rsidR="001C464B" w:rsidRPr="00992478">
        <w:rPr>
          <w:rFonts w:ascii="Verdana" w:eastAsia="Times New Roman" w:hAnsi="Verdana" w:cs="ArialNarrow"/>
          <w:sz w:val="20"/>
          <w:szCs w:val="20"/>
          <w:lang w:val="es-CR" w:eastAsia="es-CR"/>
        </w:rPr>
        <w:t>para</w:t>
      </w:r>
      <w:r w:rsidR="00B85AC3" w:rsidRPr="00B85AC3">
        <w:rPr>
          <w:rFonts w:ascii="Verdana" w:eastAsia="Times New Roman" w:hAnsi="Verdana" w:cs="Arial"/>
          <w:iCs/>
          <w:sz w:val="20"/>
          <w:szCs w:val="20"/>
          <w:lang w:val="es-CR" w:eastAsia="es-CR"/>
        </w:rPr>
        <w:t xml:space="preserve"> </w:t>
      </w:r>
      <w:r w:rsidR="00B85AC3" w:rsidRPr="001C464B">
        <w:rPr>
          <w:rFonts w:ascii="Verdana" w:eastAsia="Times New Roman" w:hAnsi="Verdana" w:cs="Arial"/>
          <w:iCs/>
          <w:sz w:val="20"/>
          <w:szCs w:val="20"/>
          <w:lang w:val="es-CR" w:eastAsia="es-CR"/>
        </w:rPr>
        <w:t>neutralizar los grupos generadores de violencia</w:t>
      </w:r>
      <w:r w:rsidR="00B85AC3">
        <w:rPr>
          <w:rFonts w:ascii="Verdana" w:eastAsia="Times New Roman" w:hAnsi="Verdana" w:cs="Arial"/>
          <w:iCs/>
          <w:sz w:val="20"/>
          <w:szCs w:val="20"/>
          <w:lang w:val="es-CR" w:eastAsia="es-CR"/>
        </w:rPr>
        <w:t xml:space="preserve"> en el corregimiento de Pueblo Bello, </w:t>
      </w:r>
      <w:r w:rsidR="00B85AC3">
        <w:rPr>
          <w:rFonts w:ascii="Verdana" w:eastAsia="Times New Roman" w:hAnsi="Verdana" w:cs="Arial"/>
          <w:iCs/>
          <w:sz w:val="20"/>
          <w:szCs w:val="20"/>
          <w:lang w:val="es-CR" w:eastAsia="es-CR"/>
        </w:rPr>
        <w:lastRenderedPageBreak/>
        <w:t xml:space="preserve">con el objetivo de garantizar </w:t>
      </w:r>
      <w:r w:rsidR="00B85AC3" w:rsidRPr="00BE5761">
        <w:rPr>
          <w:rFonts w:ascii="Verdana" w:hAnsi="Verdana"/>
          <w:sz w:val="20"/>
          <w:szCs w:val="20"/>
        </w:rPr>
        <w:t>las condiciones de seguridad para que los familiares de las personas desaparecidas y privadas de la vida, así como otros ex pobladores de Pueblo Bello, que se hayan visto desplazados, puedan regresar a tal localidad</w:t>
      </w:r>
      <w:r w:rsidR="00B85AC3">
        <w:rPr>
          <w:rFonts w:ascii="Verdana" w:hAnsi="Verdana"/>
          <w:sz w:val="20"/>
          <w:szCs w:val="20"/>
        </w:rPr>
        <w:t xml:space="preserve">. </w:t>
      </w:r>
      <w:r w:rsidR="00DC5C83">
        <w:rPr>
          <w:rFonts w:ascii="Verdana" w:eastAsia="Times New Roman" w:hAnsi="Verdana" w:cs="ArialNarrow"/>
          <w:sz w:val="20"/>
          <w:szCs w:val="20"/>
          <w:lang w:val="es-CR" w:eastAsia="es-CR"/>
        </w:rPr>
        <w:t xml:space="preserve">Además, </w:t>
      </w:r>
      <w:r w:rsidR="00087715">
        <w:rPr>
          <w:rFonts w:ascii="Verdana" w:eastAsia="Times New Roman" w:hAnsi="Verdana" w:cs="ArialNarrow"/>
          <w:sz w:val="20"/>
          <w:szCs w:val="20"/>
          <w:lang w:val="es-CR" w:eastAsia="es-CR"/>
        </w:rPr>
        <w:t xml:space="preserve">el Tribunal </w:t>
      </w:r>
      <w:r w:rsidR="0040614E">
        <w:rPr>
          <w:rFonts w:ascii="Verdana" w:eastAsia="Times New Roman" w:hAnsi="Verdana" w:cs="ArialNarrow"/>
          <w:sz w:val="20"/>
          <w:szCs w:val="20"/>
          <w:lang w:val="es-CR" w:eastAsia="es-CR"/>
        </w:rPr>
        <w:t>destaca con preocupación</w:t>
      </w:r>
      <w:r w:rsidR="00DC5C83">
        <w:rPr>
          <w:rFonts w:ascii="Verdana" w:eastAsia="Times New Roman" w:hAnsi="Verdana" w:cs="ArialNarrow"/>
          <w:sz w:val="20"/>
          <w:szCs w:val="20"/>
          <w:lang w:val="es-CR" w:eastAsia="es-CR"/>
        </w:rPr>
        <w:t xml:space="preserve"> que, tanto de la información suministrada por los representantes</w:t>
      </w:r>
      <w:r w:rsidR="00936D79">
        <w:rPr>
          <w:rFonts w:ascii="Verdana" w:eastAsia="Times New Roman" w:hAnsi="Verdana" w:cs="ArialNarrow"/>
          <w:sz w:val="20"/>
          <w:szCs w:val="20"/>
          <w:lang w:val="es-CR" w:eastAsia="es-CR"/>
        </w:rPr>
        <w:t>,</w:t>
      </w:r>
      <w:r w:rsidR="00DC5C83">
        <w:rPr>
          <w:rFonts w:ascii="Verdana" w:eastAsia="Times New Roman" w:hAnsi="Verdana" w:cs="ArialNarrow"/>
          <w:sz w:val="20"/>
          <w:szCs w:val="20"/>
          <w:lang w:val="es-CR" w:eastAsia="es-CR"/>
        </w:rPr>
        <w:t xml:space="preserve"> como por el propio Estado, </w:t>
      </w:r>
      <w:r w:rsidR="00ED086D" w:rsidRPr="00527BFA">
        <w:rPr>
          <w:rFonts w:ascii="Verdana" w:eastAsia="Times New Roman" w:hAnsi="Verdana" w:cs="ArialNarrow"/>
          <w:sz w:val="20"/>
          <w:szCs w:val="20"/>
          <w:lang w:val="es-CR" w:eastAsia="es-CR"/>
        </w:rPr>
        <w:t xml:space="preserve">no se desprende acción alguna donde se </w:t>
      </w:r>
      <w:r w:rsidR="00087715">
        <w:rPr>
          <w:rFonts w:ascii="Verdana" w:eastAsia="Times New Roman" w:hAnsi="Verdana" w:cs="ArialNarrow"/>
          <w:sz w:val="20"/>
          <w:szCs w:val="20"/>
          <w:lang w:val="es-CR" w:eastAsia="es-CR"/>
        </w:rPr>
        <w:t>haya involucrado</w:t>
      </w:r>
      <w:r w:rsidR="00ED086D" w:rsidRPr="00527BFA">
        <w:rPr>
          <w:rFonts w:ascii="Verdana" w:eastAsia="Times New Roman" w:hAnsi="Verdana" w:cs="ArialNarrow"/>
          <w:sz w:val="20"/>
          <w:szCs w:val="20"/>
          <w:lang w:val="es-CR" w:eastAsia="es-CR"/>
        </w:rPr>
        <w:t xml:space="preserve"> a las personas habitantes </w:t>
      </w:r>
      <w:r w:rsidR="00087715">
        <w:rPr>
          <w:rFonts w:ascii="Verdana" w:eastAsia="Times New Roman" w:hAnsi="Verdana" w:cs="ArialNarrow"/>
          <w:sz w:val="20"/>
          <w:szCs w:val="20"/>
          <w:lang w:val="es-CR" w:eastAsia="es-CR"/>
        </w:rPr>
        <w:t>en Pueblo Bello para que puedan e</w:t>
      </w:r>
      <w:r w:rsidR="00ED086D" w:rsidRPr="00527BFA">
        <w:rPr>
          <w:rFonts w:ascii="Verdana" w:eastAsia="Times New Roman" w:hAnsi="Verdana" w:cs="ArialNarrow"/>
          <w:sz w:val="20"/>
          <w:szCs w:val="20"/>
          <w:lang w:val="es-CR" w:eastAsia="es-CR"/>
        </w:rPr>
        <w:t xml:space="preserve">xpresar sus </w:t>
      </w:r>
      <w:r w:rsidR="00ED086D" w:rsidRPr="00706B70">
        <w:rPr>
          <w:rFonts w:ascii="Verdana" w:hAnsi="Verdana"/>
          <w:sz w:val="20"/>
          <w:szCs w:val="20"/>
        </w:rPr>
        <w:t>preocupaciones</w:t>
      </w:r>
      <w:r w:rsidR="00ED086D" w:rsidRPr="00527BFA">
        <w:rPr>
          <w:rFonts w:ascii="Verdana" w:eastAsia="Times New Roman" w:hAnsi="Verdana" w:cs="ArialNarrow"/>
          <w:sz w:val="20"/>
          <w:szCs w:val="20"/>
          <w:lang w:val="es-CR" w:eastAsia="es-CR"/>
        </w:rPr>
        <w:t xml:space="preserve"> sobre la seguridad en el corregimiento, elemento que resulta indispensable para valorar cualquier esfuerzo de seguridad en la zona que lleve a cabo el Estado.</w:t>
      </w:r>
      <w:r w:rsidR="00ED086D">
        <w:rPr>
          <w:rFonts w:ascii="Verdana" w:eastAsia="Times New Roman" w:hAnsi="Verdana" w:cs="ArialNarrow"/>
          <w:sz w:val="20"/>
          <w:szCs w:val="20"/>
          <w:lang w:val="es-CR" w:eastAsia="es-CR"/>
        </w:rPr>
        <w:t xml:space="preserve"> En consecuencia, la Corte reitera la necesidad de que el Estado</w:t>
      </w:r>
      <w:r w:rsidR="00087715">
        <w:rPr>
          <w:rFonts w:ascii="Verdana" w:eastAsia="Times New Roman" w:hAnsi="Verdana" w:cs="ArialNarrow"/>
          <w:sz w:val="20"/>
          <w:szCs w:val="20"/>
          <w:lang w:val="es-CR" w:eastAsia="es-CR"/>
        </w:rPr>
        <w:t xml:space="preserve"> aporte información detallada sobre las medidas específicas que está adoptando para eliminar los actuales obstáculos que impiden la garantía de seguridad en la zona, así como</w:t>
      </w:r>
      <w:r w:rsidR="00ED086D">
        <w:rPr>
          <w:rFonts w:ascii="Verdana" w:eastAsia="Times New Roman" w:hAnsi="Verdana" w:cs="ArialNarrow"/>
          <w:sz w:val="20"/>
          <w:szCs w:val="20"/>
          <w:lang w:val="es-CR" w:eastAsia="es-CR"/>
        </w:rPr>
        <w:t xml:space="preserve"> involucre </w:t>
      </w:r>
      <w:r w:rsidR="00ED086D" w:rsidRPr="00527BFA">
        <w:rPr>
          <w:rFonts w:ascii="Verdana" w:eastAsia="Times New Roman" w:hAnsi="Verdana" w:cs="ArialNarrow"/>
          <w:sz w:val="20"/>
          <w:szCs w:val="20"/>
          <w:lang w:val="es-CR" w:eastAsia="es-CR"/>
        </w:rPr>
        <w:t xml:space="preserve">a las personas habitantes de Pueblo Bello </w:t>
      </w:r>
      <w:r w:rsidR="00087715">
        <w:rPr>
          <w:rFonts w:ascii="Verdana" w:eastAsia="Times New Roman" w:hAnsi="Verdana" w:cs="ArialNarrow"/>
          <w:sz w:val="20"/>
          <w:szCs w:val="20"/>
          <w:lang w:val="es-CR" w:eastAsia="es-CR"/>
        </w:rPr>
        <w:t xml:space="preserve">en la adopción de dichas medidas, permitiéndoles </w:t>
      </w:r>
      <w:r w:rsidR="00ED086D" w:rsidRPr="00527BFA">
        <w:rPr>
          <w:rFonts w:ascii="Verdana" w:eastAsia="Times New Roman" w:hAnsi="Verdana" w:cs="ArialNarrow"/>
          <w:sz w:val="20"/>
          <w:szCs w:val="20"/>
          <w:lang w:val="es-CR" w:eastAsia="es-CR"/>
        </w:rPr>
        <w:t>expresar sus preocupaciones respecto a la seguridad en el corregimiento</w:t>
      </w:r>
      <w:r w:rsidR="00ED086D">
        <w:rPr>
          <w:rFonts w:ascii="Verdana" w:eastAsia="Times New Roman" w:hAnsi="Verdana" w:cs="ArialNarrow"/>
          <w:sz w:val="20"/>
          <w:szCs w:val="20"/>
          <w:lang w:val="es-CR" w:eastAsia="es-CR"/>
        </w:rPr>
        <w:t xml:space="preserve">, tal y como así lo dispuso la Corte en el párrafo 275 de su Sentencia. </w:t>
      </w:r>
    </w:p>
    <w:p w14:paraId="212B19B8" w14:textId="144181B7" w:rsidR="00974410" w:rsidRDefault="00974410" w:rsidP="00B85AC3">
      <w:pPr>
        <w:widowControl w:val="0"/>
        <w:tabs>
          <w:tab w:val="left" w:pos="567"/>
        </w:tabs>
        <w:adjustRightInd w:val="0"/>
        <w:jc w:val="both"/>
        <w:textAlignment w:val="baseline"/>
        <w:rPr>
          <w:rFonts w:ascii="Verdana" w:eastAsia="Times New Roman" w:hAnsi="Verdana" w:cs="ArialNarrow"/>
          <w:sz w:val="20"/>
          <w:szCs w:val="20"/>
          <w:lang w:val="es-CR" w:eastAsia="es-CR"/>
        </w:rPr>
      </w:pPr>
    </w:p>
    <w:p w14:paraId="4EE12E72" w14:textId="24F40C89" w:rsidR="00ED086D" w:rsidRPr="00362942" w:rsidRDefault="00B85AC3" w:rsidP="00B85AC3">
      <w:pPr>
        <w:widowControl w:val="0"/>
        <w:numPr>
          <w:ilvl w:val="0"/>
          <w:numId w:val="8"/>
        </w:numPr>
        <w:tabs>
          <w:tab w:val="left" w:pos="567"/>
          <w:tab w:val="num" w:pos="12305"/>
        </w:tabs>
        <w:autoSpaceDE w:val="0"/>
        <w:autoSpaceDN w:val="0"/>
        <w:adjustRightInd w:val="0"/>
        <w:ind w:left="0" w:firstLine="0"/>
        <w:jc w:val="both"/>
        <w:textAlignment w:val="baseline"/>
        <w:rPr>
          <w:rFonts w:ascii="Verdana" w:eastAsia="Times New Roman" w:hAnsi="Verdana" w:cs="Arial"/>
          <w:sz w:val="20"/>
          <w:szCs w:val="20"/>
          <w:lang w:val="es-CR" w:eastAsia="es-CR"/>
        </w:rPr>
      </w:pPr>
      <w:r>
        <w:rPr>
          <w:rFonts w:ascii="Verdana" w:hAnsi="Verdana"/>
          <w:sz w:val="20"/>
          <w:szCs w:val="20"/>
          <w:lang w:val="es-CR"/>
        </w:rPr>
        <w:t>P</w:t>
      </w:r>
      <w:proofErr w:type="spellStart"/>
      <w:r w:rsidR="00706B70" w:rsidRPr="00362942">
        <w:rPr>
          <w:rFonts w:ascii="Verdana" w:hAnsi="Verdana"/>
          <w:sz w:val="20"/>
          <w:szCs w:val="20"/>
        </w:rPr>
        <w:t>or</w:t>
      </w:r>
      <w:proofErr w:type="spellEnd"/>
      <w:r w:rsidR="00706B70" w:rsidRPr="00362942">
        <w:rPr>
          <w:rFonts w:ascii="Verdana" w:hAnsi="Verdana"/>
          <w:sz w:val="20"/>
          <w:szCs w:val="20"/>
        </w:rPr>
        <w:t xml:space="preserve"> otro lado, en relación con el programa habitacional ordenado por el </w:t>
      </w:r>
      <w:r w:rsidR="00706B70" w:rsidRPr="00362942">
        <w:rPr>
          <w:rFonts w:ascii="Verdana" w:eastAsia="Times New Roman" w:hAnsi="Verdana" w:cs="Arial"/>
          <w:sz w:val="20"/>
          <w:szCs w:val="20"/>
          <w:lang w:val="es-CR" w:eastAsia="es-CR"/>
        </w:rPr>
        <w:t>Tribunal</w:t>
      </w:r>
      <w:r w:rsidR="00706B70" w:rsidRPr="00362942">
        <w:rPr>
          <w:rFonts w:ascii="Verdana" w:hAnsi="Verdana"/>
          <w:sz w:val="20"/>
          <w:szCs w:val="20"/>
        </w:rPr>
        <w:t xml:space="preserve">, </w:t>
      </w:r>
      <w:r w:rsidR="00D95C2E" w:rsidRPr="00362942">
        <w:rPr>
          <w:rFonts w:ascii="Verdana" w:hAnsi="Verdana"/>
          <w:sz w:val="20"/>
          <w:szCs w:val="20"/>
        </w:rPr>
        <w:t>el Estado informó que el Ministerio de</w:t>
      </w:r>
      <w:r w:rsidR="001C4CB7">
        <w:rPr>
          <w:rFonts w:ascii="Verdana" w:hAnsi="Verdana"/>
          <w:sz w:val="20"/>
          <w:szCs w:val="20"/>
        </w:rPr>
        <w:t xml:space="preserve"> Vivienda, Ciudad y Territorio</w:t>
      </w:r>
      <w:r w:rsidR="00D95C2E" w:rsidRPr="00362942">
        <w:rPr>
          <w:rFonts w:ascii="Verdana" w:hAnsi="Verdana"/>
          <w:sz w:val="20"/>
          <w:szCs w:val="20"/>
        </w:rPr>
        <w:t xml:space="preserve"> fue designado </w:t>
      </w:r>
      <w:r w:rsidR="00D95C2E" w:rsidRPr="00362942">
        <w:rPr>
          <w:rFonts w:ascii="Verdana" w:eastAsia="Times New Roman" w:hAnsi="Verdana" w:cs="Arial"/>
          <w:sz w:val="20"/>
          <w:szCs w:val="20"/>
          <w:lang w:val="es-CR" w:eastAsia="es-CR"/>
        </w:rPr>
        <w:t>como</w:t>
      </w:r>
      <w:r w:rsidR="00D95C2E" w:rsidRPr="00362942">
        <w:rPr>
          <w:rFonts w:ascii="Verdana" w:hAnsi="Verdana"/>
          <w:sz w:val="20"/>
          <w:szCs w:val="20"/>
        </w:rPr>
        <w:t xml:space="preserve"> la entidad competente para </w:t>
      </w:r>
      <w:r w:rsidR="00D95C2E" w:rsidRPr="00362942">
        <w:rPr>
          <w:rFonts w:ascii="Verdana" w:eastAsia="Times New Roman" w:hAnsi="Verdana" w:cs="Arial"/>
          <w:sz w:val="20"/>
          <w:szCs w:val="20"/>
          <w:lang w:val="es-CR" w:eastAsia="es-CR"/>
        </w:rPr>
        <w:t>materializar</w:t>
      </w:r>
      <w:r w:rsidR="00D95C2E" w:rsidRPr="00362942">
        <w:rPr>
          <w:rFonts w:ascii="Verdana" w:hAnsi="Verdana"/>
          <w:sz w:val="20"/>
          <w:szCs w:val="20"/>
        </w:rPr>
        <w:t xml:space="preserve"> la mencionada medida a través de la </w:t>
      </w:r>
      <w:r w:rsidR="00D95C2E" w:rsidRPr="00362942">
        <w:rPr>
          <w:rFonts w:ascii="Verdana" w:eastAsia="Times New Roman" w:hAnsi="Verdana" w:cs="Arial"/>
          <w:sz w:val="20"/>
          <w:szCs w:val="20"/>
          <w:lang w:val="es-CR" w:eastAsia="es-CR"/>
        </w:rPr>
        <w:t>entrega</w:t>
      </w:r>
      <w:r w:rsidR="00D95C2E" w:rsidRPr="00362942">
        <w:rPr>
          <w:rFonts w:ascii="Verdana" w:hAnsi="Verdana"/>
          <w:sz w:val="20"/>
          <w:szCs w:val="20"/>
        </w:rPr>
        <w:t xml:space="preserve"> de un “subrogado pecuniario” con destinación específica para vivienda</w:t>
      </w:r>
      <w:r w:rsidR="001C4CB7">
        <w:rPr>
          <w:rFonts w:ascii="Verdana" w:hAnsi="Verdana"/>
          <w:sz w:val="20"/>
          <w:szCs w:val="20"/>
        </w:rPr>
        <w:t xml:space="preserve">, equivalente a 135 S.M.M.L.V. </w:t>
      </w:r>
      <w:r w:rsidR="00D95C2E" w:rsidRPr="00362942">
        <w:rPr>
          <w:rFonts w:ascii="Verdana" w:hAnsi="Verdana"/>
          <w:sz w:val="20"/>
          <w:szCs w:val="20"/>
        </w:rPr>
        <w:t xml:space="preserve">a favor </w:t>
      </w:r>
      <w:r w:rsidR="00D95C2E" w:rsidRPr="00B85AC3">
        <w:rPr>
          <w:rFonts w:ascii="Verdana" w:hAnsi="Verdana"/>
          <w:sz w:val="20"/>
          <w:szCs w:val="20"/>
          <w:lang w:val="es-CR"/>
        </w:rPr>
        <w:t>de</w:t>
      </w:r>
      <w:r w:rsidR="00D95C2E" w:rsidRPr="00362942">
        <w:rPr>
          <w:rFonts w:ascii="Verdana" w:hAnsi="Verdana"/>
          <w:sz w:val="20"/>
          <w:szCs w:val="20"/>
        </w:rPr>
        <w:t xml:space="preserve"> los familiares de </w:t>
      </w:r>
      <w:r w:rsidR="00D95C2E" w:rsidRPr="00362942">
        <w:rPr>
          <w:rFonts w:ascii="Verdana" w:eastAsia="Times New Roman" w:hAnsi="Verdana" w:cs="Arial"/>
          <w:sz w:val="20"/>
          <w:szCs w:val="20"/>
          <w:lang w:val="es-CR" w:eastAsia="es-CR"/>
        </w:rPr>
        <w:t>las</w:t>
      </w:r>
      <w:r w:rsidR="00D95C2E" w:rsidRPr="00362942">
        <w:rPr>
          <w:rFonts w:ascii="Verdana" w:hAnsi="Verdana"/>
          <w:sz w:val="20"/>
          <w:szCs w:val="20"/>
        </w:rPr>
        <w:t xml:space="preserve"> víctimas del presente caso que se desplazaron como consecuencia de los hechos objeto de la Sentencia</w:t>
      </w:r>
      <w:r w:rsidR="00D95C2E">
        <w:rPr>
          <w:rStyle w:val="Refdenotaalpie"/>
          <w:rFonts w:ascii="Verdana" w:hAnsi="Verdana"/>
          <w:sz w:val="20"/>
          <w:szCs w:val="20"/>
        </w:rPr>
        <w:footnoteReference w:id="63"/>
      </w:r>
      <w:r w:rsidR="00D95C2E" w:rsidRPr="00362942">
        <w:rPr>
          <w:rFonts w:ascii="Verdana" w:hAnsi="Verdana"/>
          <w:sz w:val="20"/>
          <w:szCs w:val="20"/>
        </w:rPr>
        <w:t>.</w:t>
      </w:r>
      <w:r w:rsidR="00D57686" w:rsidRPr="00362942">
        <w:rPr>
          <w:rFonts w:ascii="Verdana" w:hAnsi="Verdana"/>
          <w:sz w:val="20"/>
          <w:szCs w:val="20"/>
        </w:rPr>
        <w:t xml:space="preserve"> </w:t>
      </w:r>
      <w:r w:rsidR="00097C00" w:rsidRPr="00362942">
        <w:rPr>
          <w:rFonts w:ascii="Verdana" w:eastAsia="Times New Roman" w:hAnsi="Verdana" w:cs="Arial"/>
          <w:sz w:val="20"/>
          <w:szCs w:val="20"/>
          <w:lang w:val="es-CR" w:eastAsia="es-CR"/>
        </w:rPr>
        <w:t>Tras la definición de los núcleos familiares beneficiarios de dicha medida</w:t>
      </w:r>
      <w:r w:rsidR="00AF7754" w:rsidRPr="00362942">
        <w:rPr>
          <w:rFonts w:ascii="Verdana" w:eastAsia="Times New Roman" w:hAnsi="Verdana" w:cs="Arial"/>
          <w:sz w:val="20"/>
          <w:szCs w:val="20"/>
          <w:lang w:val="es-CR" w:eastAsia="es-CR"/>
        </w:rPr>
        <w:t xml:space="preserve"> mediante Resolución no. 0587 de 28 de julio de 2016</w:t>
      </w:r>
      <w:r w:rsidR="00097C00" w:rsidRPr="00362942">
        <w:rPr>
          <w:rFonts w:ascii="Verdana" w:eastAsia="Times New Roman" w:hAnsi="Verdana" w:cs="Arial"/>
          <w:sz w:val="20"/>
          <w:szCs w:val="20"/>
          <w:lang w:val="es-CR" w:eastAsia="es-CR"/>
        </w:rPr>
        <w:t xml:space="preserve">, las partes llegaron a un acuerdo para otorgar por una única vez el referido </w:t>
      </w:r>
      <w:r w:rsidR="005B2315" w:rsidRPr="00362942">
        <w:rPr>
          <w:rFonts w:ascii="Verdana" w:eastAsia="Times New Roman" w:hAnsi="Verdana" w:cs="Arial"/>
          <w:sz w:val="20"/>
          <w:szCs w:val="20"/>
          <w:lang w:val="es-CR" w:eastAsia="es-CR"/>
        </w:rPr>
        <w:t>“</w:t>
      </w:r>
      <w:r w:rsidR="00097C00" w:rsidRPr="00362942">
        <w:rPr>
          <w:rFonts w:ascii="Verdana" w:eastAsia="Times New Roman" w:hAnsi="Verdana" w:cs="Arial"/>
          <w:sz w:val="20"/>
          <w:szCs w:val="20"/>
          <w:lang w:val="es-CR" w:eastAsia="es-CR"/>
        </w:rPr>
        <w:t>subrogado pecuniario</w:t>
      </w:r>
      <w:r w:rsidR="005B2315" w:rsidRPr="00362942">
        <w:rPr>
          <w:rFonts w:ascii="Verdana" w:eastAsia="Times New Roman" w:hAnsi="Verdana" w:cs="Arial"/>
          <w:sz w:val="20"/>
          <w:szCs w:val="20"/>
          <w:lang w:val="es-CR" w:eastAsia="es-CR"/>
        </w:rPr>
        <w:t>”</w:t>
      </w:r>
      <w:r w:rsidR="00097C00" w:rsidRPr="00362942">
        <w:rPr>
          <w:rFonts w:ascii="Verdana" w:eastAsia="Times New Roman" w:hAnsi="Verdana" w:cs="Arial"/>
          <w:sz w:val="20"/>
          <w:szCs w:val="20"/>
          <w:lang w:val="es-CR" w:eastAsia="es-CR"/>
        </w:rPr>
        <w:t xml:space="preserve"> a los familiares de las 43 víctimas reconocidas en la Sentencia</w:t>
      </w:r>
      <w:r w:rsidR="00097C00" w:rsidRPr="006A0894">
        <w:rPr>
          <w:rStyle w:val="Refdenotaalpie"/>
          <w:rFonts w:ascii="Verdana" w:eastAsia="Times New Roman" w:hAnsi="Verdana" w:cs="Arial"/>
          <w:sz w:val="20"/>
          <w:szCs w:val="20"/>
          <w:lang w:val="es-CR" w:eastAsia="es-CR"/>
        </w:rPr>
        <w:footnoteReference w:id="64"/>
      </w:r>
      <w:r w:rsidR="00AF7754" w:rsidRPr="00362942">
        <w:rPr>
          <w:rFonts w:ascii="Verdana" w:eastAsia="Times New Roman" w:hAnsi="Verdana" w:cs="Arial"/>
          <w:sz w:val="20"/>
          <w:szCs w:val="20"/>
          <w:lang w:val="es-CR" w:eastAsia="es-CR"/>
        </w:rPr>
        <w:t>, que en total conformaron 125 núcleos familiares</w:t>
      </w:r>
      <w:r w:rsidR="006A0894" w:rsidRPr="00362942">
        <w:rPr>
          <w:rFonts w:ascii="Verdana" w:eastAsia="Times New Roman" w:hAnsi="Verdana" w:cs="Arial"/>
          <w:sz w:val="20"/>
          <w:szCs w:val="20"/>
          <w:lang w:val="es-CR" w:eastAsia="es-CR"/>
        </w:rPr>
        <w:t xml:space="preserve"> </w:t>
      </w:r>
      <w:r w:rsidR="00A15E5A" w:rsidRPr="00362942">
        <w:rPr>
          <w:rFonts w:ascii="Verdana" w:eastAsia="Times New Roman" w:hAnsi="Verdana" w:cs="Arial"/>
          <w:sz w:val="20"/>
          <w:szCs w:val="20"/>
          <w:lang w:val="es-CR" w:eastAsia="es-CR"/>
        </w:rPr>
        <w:t xml:space="preserve">compuestos por </w:t>
      </w:r>
      <w:r w:rsidR="006A0894" w:rsidRPr="00362942">
        <w:rPr>
          <w:rFonts w:ascii="Verdana" w:eastAsia="Times New Roman" w:hAnsi="Verdana" w:cs="Arial"/>
          <w:sz w:val="20"/>
          <w:szCs w:val="20"/>
          <w:lang w:val="es-CR" w:eastAsia="es-CR"/>
        </w:rPr>
        <w:t>185 personas</w:t>
      </w:r>
      <w:r w:rsidR="006A0894" w:rsidRPr="006A0894">
        <w:rPr>
          <w:rStyle w:val="Refdenotaalpie"/>
          <w:rFonts w:ascii="Verdana" w:eastAsia="Times New Roman" w:hAnsi="Verdana" w:cs="Arial"/>
          <w:sz w:val="20"/>
          <w:szCs w:val="20"/>
          <w:lang w:val="es-CR" w:eastAsia="es-CR"/>
        </w:rPr>
        <w:footnoteReference w:id="65"/>
      </w:r>
      <w:r w:rsidR="00097C00" w:rsidRPr="00362942">
        <w:rPr>
          <w:rFonts w:ascii="Verdana" w:eastAsia="Times New Roman" w:hAnsi="Verdana" w:cs="Arial"/>
          <w:sz w:val="20"/>
          <w:szCs w:val="20"/>
          <w:lang w:val="es-CR" w:eastAsia="es-CR"/>
        </w:rPr>
        <w:t xml:space="preserve">. </w:t>
      </w:r>
      <w:r w:rsidR="00456C23" w:rsidRPr="00362942">
        <w:rPr>
          <w:rFonts w:ascii="Verdana" w:eastAsia="Times New Roman" w:hAnsi="Verdana" w:cs="Arial"/>
          <w:sz w:val="20"/>
          <w:szCs w:val="20"/>
          <w:lang w:val="es-CR" w:eastAsia="es-CR"/>
        </w:rPr>
        <w:t xml:space="preserve">Ese mismo año </w:t>
      </w:r>
      <w:r w:rsidR="00097C00" w:rsidRPr="00362942">
        <w:rPr>
          <w:rFonts w:ascii="Verdana" w:eastAsia="Times New Roman" w:hAnsi="Verdana" w:cs="Arial"/>
          <w:sz w:val="20"/>
          <w:szCs w:val="20"/>
          <w:lang w:val="es-CR" w:eastAsia="es-CR"/>
        </w:rPr>
        <w:t>el Ministerio de Hacienda y Crédito</w:t>
      </w:r>
      <w:r w:rsidR="00456C23" w:rsidRPr="00362942">
        <w:rPr>
          <w:rFonts w:ascii="Verdana" w:eastAsia="Times New Roman" w:hAnsi="Verdana" w:cs="Arial"/>
          <w:sz w:val="20"/>
          <w:szCs w:val="20"/>
          <w:lang w:val="es-CR" w:eastAsia="es-CR"/>
        </w:rPr>
        <w:t xml:space="preserve"> aprobó los recursos</w:t>
      </w:r>
      <w:r w:rsidR="00097C00" w:rsidRPr="006A0894">
        <w:rPr>
          <w:rStyle w:val="Refdenotaalpie"/>
          <w:rFonts w:ascii="Verdana" w:eastAsia="Times New Roman" w:hAnsi="Verdana" w:cs="Arial"/>
          <w:sz w:val="20"/>
          <w:szCs w:val="20"/>
          <w:lang w:val="es-CR" w:eastAsia="es-CR"/>
        </w:rPr>
        <w:footnoteReference w:id="66"/>
      </w:r>
      <w:r w:rsidR="00456C23" w:rsidRPr="00362942">
        <w:rPr>
          <w:rFonts w:ascii="Verdana" w:eastAsia="Times New Roman" w:hAnsi="Verdana" w:cs="Arial"/>
          <w:sz w:val="20"/>
          <w:szCs w:val="20"/>
          <w:lang w:val="es-CR" w:eastAsia="es-CR"/>
        </w:rPr>
        <w:t xml:space="preserve"> y</w:t>
      </w:r>
      <w:r w:rsidR="00362942">
        <w:rPr>
          <w:rFonts w:ascii="Verdana" w:eastAsia="Times New Roman" w:hAnsi="Verdana" w:cs="Arial"/>
          <w:sz w:val="20"/>
          <w:szCs w:val="20"/>
          <w:lang w:val="es-CR" w:eastAsia="es-CR"/>
        </w:rPr>
        <w:t>, s</w:t>
      </w:r>
      <w:r w:rsidR="006A0894" w:rsidRPr="00362942">
        <w:rPr>
          <w:rFonts w:ascii="Verdana" w:eastAsia="Times New Roman" w:hAnsi="Verdana" w:cs="Arial"/>
          <w:sz w:val="20"/>
          <w:szCs w:val="20"/>
          <w:lang w:val="es-CR" w:eastAsia="es-CR"/>
        </w:rPr>
        <w:t>egún el Estado, l</w:t>
      </w:r>
      <w:r w:rsidR="00097C00" w:rsidRPr="00362942">
        <w:rPr>
          <w:rFonts w:ascii="Verdana" w:eastAsia="Times New Roman" w:hAnsi="Verdana" w:cs="Arial"/>
          <w:sz w:val="20"/>
          <w:szCs w:val="20"/>
          <w:lang w:val="es-CR" w:eastAsia="es-CR"/>
        </w:rPr>
        <w:t xml:space="preserve">os </w:t>
      </w:r>
      <w:r w:rsidR="005B2315" w:rsidRPr="00362942">
        <w:rPr>
          <w:rFonts w:ascii="Verdana" w:eastAsia="Times New Roman" w:hAnsi="Verdana" w:cs="Arial"/>
          <w:sz w:val="20"/>
          <w:szCs w:val="20"/>
          <w:lang w:val="es-CR" w:eastAsia="es-CR"/>
        </w:rPr>
        <w:t>“</w:t>
      </w:r>
      <w:r w:rsidR="00097C00" w:rsidRPr="00362942">
        <w:rPr>
          <w:rFonts w:ascii="Verdana" w:eastAsia="Times New Roman" w:hAnsi="Verdana" w:cs="Arial"/>
          <w:sz w:val="20"/>
          <w:szCs w:val="20"/>
          <w:lang w:val="es-CR" w:eastAsia="es-CR"/>
        </w:rPr>
        <w:t>subrogados pecuniarios</w:t>
      </w:r>
      <w:r w:rsidR="005B2315" w:rsidRPr="00362942">
        <w:rPr>
          <w:rFonts w:ascii="Verdana" w:eastAsia="Times New Roman" w:hAnsi="Verdana" w:cs="Arial"/>
          <w:sz w:val="20"/>
          <w:szCs w:val="20"/>
          <w:lang w:val="es-CR" w:eastAsia="es-CR"/>
        </w:rPr>
        <w:t>”</w:t>
      </w:r>
      <w:r w:rsidR="00097C00" w:rsidRPr="00362942">
        <w:rPr>
          <w:rFonts w:ascii="Verdana" w:eastAsia="Times New Roman" w:hAnsi="Verdana" w:cs="Arial"/>
          <w:sz w:val="20"/>
          <w:szCs w:val="20"/>
          <w:lang w:val="es-CR" w:eastAsia="es-CR"/>
        </w:rPr>
        <w:t xml:space="preserve"> fueron abonados en las cuentas de ahorro de cada uno de los beneficiarios</w:t>
      </w:r>
      <w:r w:rsidR="00097C00" w:rsidRPr="006A0894">
        <w:rPr>
          <w:rStyle w:val="Refdenotaalpie"/>
          <w:rFonts w:ascii="Verdana" w:eastAsia="Times New Roman" w:hAnsi="Verdana" w:cs="Arial"/>
          <w:sz w:val="20"/>
          <w:szCs w:val="20"/>
          <w:lang w:val="es-CR" w:eastAsia="es-CR"/>
        </w:rPr>
        <w:footnoteReference w:id="67"/>
      </w:r>
      <w:r w:rsidR="00097C00" w:rsidRPr="00362942">
        <w:rPr>
          <w:rFonts w:ascii="Verdana" w:eastAsia="Times New Roman" w:hAnsi="Verdana" w:cs="Arial"/>
          <w:sz w:val="20"/>
          <w:szCs w:val="20"/>
          <w:lang w:val="es-CR" w:eastAsia="es-CR"/>
        </w:rPr>
        <w:t>.</w:t>
      </w:r>
      <w:r w:rsidR="00AF7754" w:rsidRPr="00362942">
        <w:rPr>
          <w:rFonts w:ascii="Verdana" w:eastAsia="Times New Roman" w:hAnsi="Verdana" w:cs="Arial"/>
          <w:sz w:val="20"/>
          <w:szCs w:val="20"/>
          <w:lang w:val="es-CR" w:eastAsia="es-CR"/>
        </w:rPr>
        <w:t xml:space="preserve"> </w:t>
      </w:r>
      <w:r w:rsidR="00ED086D" w:rsidRPr="00362942">
        <w:rPr>
          <w:rFonts w:ascii="Verdana" w:eastAsia="Times New Roman" w:hAnsi="Verdana" w:cs="Arial"/>
          <w:sz w:val="20"/>
          <w:szCs w:val="20"/>
          <w:lang w:val="es-CR" w:eastAsia="es-CR"/>
        </w:rPr>
        <w:t xml:space="preserve">A la vista de lo anterior, el Estado solicitó a la Corte </w:t>
      </w:r>
      <w:r w:rsidR="00ED086D" w:rsidRPr="00362942">
        <w:rPr>
          <w:rFonts w:ascii="Verdana" w:hAnsi="Verdana"/>
          <w:sz w:val="20"/>
          <w:szCs w:val="20"/>
        </w:rPr>
        <w:t>la</w:t>
      </w:r>
      <w:r w:rsidR="00ED086D" w:rsidRPr="00362942">
        <w:rPr>
          <w:rFonts w:ascii="Verdana" w:eastAsia="Times New Roman" w:hAnsi="Verdana" w:cs="Arial"/>
          <w:sz w:val="20"/>
          <w:szCs w:val="20"/>
          <w:lang w:val="es-CR" w:eastAsia="es-CR"/>
        </w:rPr>
        <w:t xml:space="preserve"> declaración de cumplimiento parcial del punto resolutivo duodécimo de la Sentencia</w:t>
      </w:r>
      <w:r w:rsidR="00ED086D" w:rsidRPr="00527BFA">
        <w:rPr>
          <w:rStyle w:val="Refdenotaalpie"/>
          <w:rFonts w:ascii="Verdana" w:eastAsia="Times New Roman" w:hAnsi="Verdana" w:cs="Arial"/>
          <w:sz w:val="20"/>
          <w:szCs w:val="20"/>
          <w:lang w:val="es-CR" w:eastAsia="es-CR"/>
        </w:rPr>
        <w:footnoteReference w:id="68"/>
      </w:r>
      <w:r w:rsidR="00ED086D" w:rsidRPr="00362942">
        <w:rPr>
          <w:rFonts w:ascii="Verdana" w:eastAsia="Times New Roman" w:hAnsi="Verdana" w:cs="Arial"/>
          <w:sz w:val="20"/>
          <w:szCs w:val="20"/>
          <w:lang w:val="es-CR" w:eastAsia="es-CR"/>
        </w:rPr>
        <w:t>.</w:t>
      </w:r>
    </w:p>
    <w:p w14:paraId="2FBFB8F6" w14:textId="77777777" w:rsidR="006A0894" w:rsidRPr="00ED086D" w:rsidRDefault="006A0894" w:rsidP="00ED086D">
      <w:pPr>
        <w:widowControl w:val="0"/>
        <w:tabs>
          <w:tab w:val="left" w:pos="567"/>
        </w:tabs>
        <w:adjustRightInd w:val="0"/>
        <w:jc w:val="both"/>
        <w:textAlignment w:val="baseline"/>
        <w:rPr>
          <w:rFonts w:ascii="Verdana" w:eastAsia="Times New Roman" w:hAnsi="Verdana" w:cs="Arial"/>
          <w:sz w:val="20"/>
          <w:szCs w:val="20"/>
          <w:lang w:val="es-CR" w:eastAsia="es-CR"/>
        </w:rPr>
      </w:pPr>
    </w:p>
    <w:p w14:paraId="69277E45" w14:textId="255F9C2A" w:rsidR="000B7F0B" w:rsidRDefault="00AF7754" w:rsidP="006A0894">
      <w:pPr>
        <w:widowControl w:val="0"/>
        <w:numPr>
          <w:ilvl w:val="0"/>
          <w:numId w:val="8"/>
        </w:numPr>
        <w:tabs>
          <w:tab w:val="left" w:pos="567"/>
          <w:tab w:val="num" w:pos="12305"/>
        </w:tabs>
        <w:adjustRightInd w:val="0"/>
        <w:ind w:left="0" w:firstLine="0"/>
        <w:jc w:val="both"/>
        <w:textAlignment w:val="baseline"/>
        <w:rPr>
          <w:rFonts w:ascii="Verdana" w:eastAsia="Times New Roman" w:hAnsi="Verdana" w:cs="TimesNewRomanPSMT"/>
          <w:sz w:val="20"/>
          <w:szCs w:val="20"/>
          <w:lang w:val="es-CR" w:eastAsia="es-CR"/>
        </w:rPr>
      </w:pPr>
      <w:r w:rsidRPr="006A0894">
        <w:rPr>
          <w:rFonts w:ascii="Verdana" w:eastAsia="Times New Roman" w:hAnsi="Verdana" w:cs="Arial"/>
          <w:sz w:val="20"/>
          <w:szCs w:val="20"/>
          <w:lang w:val="es-CR" w:eastAsia="es-CR"/>
        </w:rPr>
        <w:t>L</w:t>
      </w:r>
      <w:r w:rsidR="00765597">
        <w:rPr>
          <w:rFonts w:ascii="Verdana" w:eastAsia="Times New Roman" w:hAnsi="Verdana" w:cs="Arial"/>
          <w:sz w:val="20"/>
          <w:szCs w:val="20"/>
          <w:lang w:val="es-CR" w:eastAsia="es-CR"/>
        </w:rPr>
        <w:t>o</w:t>
      </w:r>
      <w:r w:rsidRPr="006A0894">
        <w:rPr>
          <w:rFonts w:ascii="Verdana" w:eastAsia="Times New Roman" w:hAnsi="Verdana" w:cs="Arial"/>
          <w:sz w:val="20"/>
          <w:szCs w:val="20"/>
          <w:lang w:val="es-CR" w:eastAsia="es-CR"/>
        </w:rPr>
        <w:t>s representantes reconocieron que</w:t>
      </w:r>
      <w:r w:rsidR="006908B5">
        <w:rPr>
          <w:rFonts w:ascii="Verdana" w:eastAsia="Times New Roman" w:hAnsi="Verdana" w:cs="Arial"/>
          <w:sz w:val="20"/>
          <w:szCs w:val="20"/>
          <w:lang w:val="es-CR" w:eastAsia="es-CR"/>
        </w:rPr>
        <w:t>,</w:t>
      </w:r>
      <w:r w:rsidRPr="006A0894">
        <w:rPr>
          <w:rFonts w:ascii="Verdana" w:eastAsia="Times New Roman" w:hAnsi="Verdana" w:cs="Arial"/>
          <w:sz w:val="20"/>
          <w:szCs w:val="20"/>
          <w:lang w:val="es-CR" w:eastAsia="es-CR"/>
        </w:rPr>
        <w:t xml:space="preserve"> “luego de seis años de trabajo conjunto y consensuado</w:t>
      </w:r>
      <w:r w:rsidR="001C4CB7">
        <w:rPr>
          <w:rFonts w:ascii="Verdana" w:eastAsia="Times New Roman" w:hAnsi="Verdana" w:cs="Arial"/>
          <w:sz w:val="20"/>
          <w:szCs w:val="20"/>
          <w:lang w:val="es-CR" w:eastAsia="es-CR"/>
        </w:rPr>
        <w:t>”</w:t>
      </w:r>
      <w:r w:rsidRPr="006A0894">
        <w:rPr>
          <w:rFonts w:ascii="Verdana" w:eastAsia="Times New Roman" w:hAnsi="Verdana" w:cs="Arial"/>
          <w:sz w:val="20"/>
          <w:szCs w:val="20"/>
          <w:lang w:val="es-CR" w:eastAsia="es-CR"/>
        </w:rPr>
        <w:t xml:space="preserve"> con el Estado, finalmente se </w:t>
      </w:r>
      <w:r w:rsidR="001C4CB7">
        <w:rPr>
          <w:rFonts w:ascii="Verdana" w:eastAsia="Times New Roman" w:hAnsi="Verdana" w:cs="Arial"/>
          <w:sz w:val="20"/>
          <w:szCs w:val="20"/>
          <w:lang w:val="es-CR" w:eastAsia="es-CR"/>
        </w:rPr>
        <w:t>“</w:t>
      </w:r>
      <w:proofErr w:type="spellStart"/>
      <w:r w:rsidRPr="006A0894">
        <w:rPr>
          <w:rFonts w:ascii="Verdana" w:eastAsia="Times New Roman" w:hAnsi="Verdana" w:cs="Arial"/>
          <w:sz w:val="20"/>
          <w:szCs w:val="20"/>
          <w:lang w:val="es-CR" w:eastAsia="es-CR"/>
        </w:rPr>
        <w:t>proce</w:t>
      </w:r>
      <w:proofErr w:type="spellEnd"/>
      <w:r w:rsidRPr="006A0894">
        <w:rPr>
          <w:rFonts w:ascii="Verdana" w:eastAsia="Times New Roman" w:hAnsi="Verdana" w:cs="Arial"/>
          <w:sz w:val="20"/>
          <w:szCs w:val="20"/>
          <w:lang w:val="es-CR" w:eastAsia="es-CR"/>
        </w:rPr>
        <w:t>[</w:t>
      </w:r>
      <w:proofErr w:type="spellStart"/>
      <w:r w:rsidRPr="006A0894">
        <w:rPr>
          <w:rFonts w:ascii="Verdana" w:eastAsia="Times New Roman" w:hAnsi="Verdana" w:cs="Arial"/>
          <w:sz w:val="20"/>
          <w:szCs w:val="20"/>
          <w:lang w:val="es-CR" w:eastAsia="es-CR"/>
        </w:rPr>
        <w:t>dió</w:t>
      </w:r>
      <w:proofErr w:type="spellEnd"/>
      <w:r w:rsidRPr="006A0894">
        <w:rPr>
          <w:rFonts w:ascii="Verdana" w:eastAsia="Times New Roman" w:hAnsi="Verdana" w:cs="Arial"/>
          <w:sz w:val="20"/>
          <w:szCs w:val="20"/>
          <w:lang w:val="es-CR" w:eastAsia="es-CR"/>
        </w:rPr>
        <w:t>] a cumplir con el mandato de la Honorable Corte” constando que, en efecto, el 30 de diciembre de 2016 se procedió al abono acordado</w:t>
      </w:r>
      <w:r w:rsidR="000546C9" w:rsidRPr="006A0894">
        <w:rPr>
          <w:rStyle w:val="Refdenotaalpie"/>
          <w:rFonts w:ascii="Verdana" w:eastAsia="Times New Roman" w:hAnsi="Verdana" w:cs="Arial"/>
          <w:sz w:val="20"/>
          <w:szCs w:val="20"/>
          <w:lang w:val="es-CR" w:eastAsia="es-CR"/>
        </w:rPr>
        <w:footnoteReference w:id="69"/>
      </w:r>
      <w:r w:rsidR="000546C9">
        <w:rPr>
          <w:rFonts w:ascii="Verdana" w:eastAsia="Times New Roman" w:hAnsi="Verdana" w:cs="Arial"/>
          <w:sz w:val="20"/>
          <w:szCs w:val="20"/>
          <w:lang w:val="es-CR" w:eastAsia="es-CR"/>
        </w:rPr>
        <w:t>. I</w:t>
      </w:r>
      <w:r w:rsidRPr="006A0894">
        <w:rPr>
          <w:rFonts w:ascii="Verdana" w:eastAsia="Times New Roman" w:hAnsi="Verdana" w:cs="Arial"/>
          <w:sz w:val="20"/>
          <w:szCs w:val="20"/>
          <w:lang w:val="es-CR" w:eastAsia="es-CR"/>
        </w:rPr>
        <w:t>ndicaron</w:t>
      </w:r>
      <w:r w:rsidR="004630DE">
        <w:rPr>
          <w:rFonts w:ascii="Verdana" w:eastAsia="Times New Roman" w:hAnsi="Verdana" w:cs="Arial"/>
          <w:sz w:val="20"/>
          <w:szCs w:val="20"/>
          <w:lang w:val="es-CR" w:eastAsia="es-CR"/>
        </w:rPr>
        <w:t xml:space="preserve"> </w:t>
      </w:r>
      <w:r w:rsidR="000546C9">
        <w:rPr>
          <w:rFonts w:ascii="Verdana" w:eastAsia="Times New Roman" w:hAnsi="Verdana" w:cs="Arial"/>
          <w:sz w:val="20"/>
          <w:szCs w:val="20"/>
          <w:lang w:val="es-CR" w:eastAsia="es-CR"/>
        </w:rPr>
        <w:t xml:space="preserve">además </w:t>
      </w:r>
      <w:r w:rsidR="004630DE">
        <w:rPr>
          <w:rFonts w:ascii="Verdana" w:eastAsia="Times New Roman" w:hAnsi="Verdana" w:cs="Arial"/>
          <w:sz w:val="20"/>
          <w:szCs w:val="20"/>
          <w:lang w:val="es-CR" w:eastAsia="es-CR"/>
        </w:rPr>
        <w:t>que</w:t>
      </w:r>
      <w:r w:rsidRPr="006A0894">
        <w:rPr>
          <w:rFonts w:ascii="Verdana" w:eastAsia="Times New Roman" w:hAnsi="Verdana" w:cs="Arial"/>
          <w:sz w:val="20"/>
          <w:szCs w:val="20"/>
          <w:lang w:val="es-CR" w:eastAsia="es-CR"/>
        </w:rPr>
        <w:t xml:space="preserve"> se les aplicó un impuesto de gravamen financiero de 4 pesos por cada 1.000 depositados, el cual fue asumido por los beneficiarios</w:t>
      </w:r>
      <w:r w:rsidRPr="006A0894">
        <w:rPr>
          <w:rStyle w:val="Refdenotaalpie"/>
          <w:rFonts w:ascii="Verdana" w:eastAsia="Times New Roman" w:hAnsi="Verdana" w:cs="Arial"/>
          <w:sz w:val="20"/>
          <w:szCs w:val="20"/>
          <w:lang w:val="es-CR" w:eastAsia="es-CR"/>
        </w:rPr>
        <w:footnoteReference w:id="70"/>
      </w:r>
      <w:r w:rsidRPr="006A0894">
        <w:rPr>
          <w:rFonts w:ascii="Verdana" w:eastAsia="Times New Roman" w:hAnsi="Verdana" w:cs="Arial"/>
          <w:sz w:val="20"/>
          <w:szCs w:val="20"/>
          <w:lang w:val="es-CR" w:eastAsia="es-CR"/>
        </w:rPr>
        <w:t>.</w:t>
      </w:r>
      <w:r w:rsidR="006A0894" w:rsidRPr="006A0894">
        <w:rPr>
          <w:rFonts w:ascii="Verdana" w:eastAsia="Times New Roman" w:hAnsi="Verdana" w:cs="Arial"/>
          <w:sz w:val="20"/>
          <w:szCs w:val="20"/>
          <w:lang w:val="es-CR" w:eastAsia="es-CR"/>
        </w:rPr>
        <w:t xml:space="preserve"> Los representantes</w:t>
      </w:r>
      <w:r w:rsidR="00ED086D">
        <w:rPr>
          <w:rFonts w:ascii="Verdana" w:eastAsia="Times New Roman" w:hAnsi="Verdana" w:cs="Arial"/>
          <w:sz w:val="20"/>
          <w:szCs w:val="20"/>
          <w:lang w:val="es-CR" w:eastAsia="es-CR"/>
        </w:rPr>
        <w:t xml:space="preserve"> reconocieron que </w:t>
      </w:r>
      <w:r w:rsidR="00585A50">
        <w:rPr>
          <w:rFonts w:ascii="Verdana" w:eastAsia="Times New Roman" w:hAnsi="Verdana" w:cs="Arial"/>
          <w:sz w:val="20"/>
          <w:szCs w:val="20"/>
          <w:lang w:val="es-CR" w:eastAsia="es-CR"/>
        </w:rPr>
        <w:t>“buena parte</w:t>
      </w:r>
      <w:r w:rsidR="00ED086D">
        <w:rPr>
          <w:rFonts w:ascii="Verdana" w:eastAsia="Times New Roman" w:hAnsi="Verdana" w:cs="Arial"/>
          <w:sz w:val="20"/>
          <w:szCs w:val="20"/>
          <w:lang w:val="es-CR" w:eastAsia="es-CR"/>
        </w:rPr>
        <w:t xml:space="preserve"> de los beneficiario</w:t>
      </w:r>
      <w:r w:rsidR="005B2315">
        <w:rPr>
          <w:rFonts w:ascii="Verdana" w:eastAsia="Times New Roman" w:hAnsi="Verdana" w:cs="Arial"/>
          <w:sz w:val="20"/>
          <w:szCs w:val="20"/>
          <w:lang w:val="es-CR" w:eastAsia="es-CR"/>
        </w:rPr>
        <w:t>s</w:t>
      </w:r>
      <w:r w:rsidR="00585A50">
        <w:rPr>
          <w:rFonts w:ascii="Verdana" w:eastAsia="Times New Roman" w:hAnsi="Verdana" w:cs="Arial"/>
          <w:sz w:val="20"/>
          <w:szCs w:val="20"/>
          <w:lang w:val="es-CR" w:eastAsia="es-CR"/>
        </w:rPr>
        <w:t>”</w:t>
      </w:r>
      <w:r w:rsidR="00ED086D">
        <w:rPr>
          <w:rFonts w:ascii="Verdana" w:eastAsia="Times New Roman" w:hAnsi="Verdana" w:cs="Arial"/>
          <w:sz w:val="20"/>
          <w:szCs w:val="20"/>
          <w:lang w:val="es-CR" w:eastAsia="es-CR"/>
        </w:rPr>
        <w:t xml:space="preserve"> habían retirado en todo o en parte las sumas consignadas, </w:t>
      </w:r>
      <w:r w:rsidR="00456C23">
        <w:rPr>
          <w:rFonts w:ascii="Verdana" w:eastAsia="Times New Roman" w:hAnsi="Verdana" w:cs="Arial"/>
          <w:sz w:val="20"/>
          <w:szCs w:val="20"/>
          <w:lang w:val="es-CR" w:eastAsia="es-CR"/>
        </w:rPr>
        <w:t xml:space="preserve">pero </w:t>
      </w:r>
      <w:r w:rsidR="006A0894" w:rsidRPr="006A0894">
        <w:rPr>
          <w:rFonts w:ascii="Verdana" w:eastAsia="Times New Roman" w:hAnsi="Verdana" w:cs="Arial"/>
          <w:sz w:val="20"/>
          <w:szCs w:val="20"/>
          <w:lang w:val="es-CR" w:eastAsia="es-CR"/>
        </w:rPr>
        <w:t>solicitaron que se requiriera</w:t>
      </w:r>
      <w:r w:rsidR="006A0894">
        <w:rPr>
          <w:rFonts w:ascii="Verdana" w:eastAsia="Times New Roman" w:hAnsi="Verdana" w:cs="Arial"/>
          <w:sz w:val="20"/>
          <w:szCs w:val="20"/>
          <w:lang w:val="es-CR" w:eastAsia="es-CR"/>
        </w:rPr>
        <w:t xml:space="preserve"> al Estado informar si la totalidad de </w:t>
      </w:r>
      <w:r w:rsidR="006A0894" w:rsidRPr="006A0894">
        <w:rPr>
          <w:rFonts w:ascii="Verdana" w:eastAsia="Times New Roman" w:hAnsi="Verdana" w:cs="TimesNewRomanPSMT"/>
          <w:sz w:val="20"/>
          <w:szCs w:val="20"/>
          <w:lang w:val="es-CR" w:eastAsia="es-CR"/>
        </w:rPr>
        <w:t xml:space="preserve">los beneficiarios de la medida de vivienda efectivamente </w:t>
      </w:r>
      <w:r w:rsidR="006A0894">
        <w:rPr>
          <w:rFonts w:ascii="Verdana" w:eastAsia="Times New Roman" w:hAnsi="Verdana" w:cs="TimesNewRomanPSMT"/>
          <w:sz w:val="20"/>
          <w:szCs w:val="20"/>
          <w:lang w:val="es-CR" w:eastAsia="es-CR"/>
        </w:rPr>
        <w:t>recibieron</w:t>
      </w:r>
      <w:r w:rsidR="006A0894" w:rsidRPr="006A0894">
        <w:rPr>
          <w:rFonts w:ascii="Verdana" w:eastAsia="Times New Roman" w:hAnsi="Verdana" w:cs="TimesNewRomanPSMT"/>
          <w:sz w:val="20"/>
          <w:szCs w:val="20"/>
          <w:lang w:val="es-CR" w:eastAsia="es-CR"/>
        </w:rPr>
        <w:t xml:space="preserve"> </w:t>
      </w:r>
      <w:r w:rsidR="006A0894">
        <w:rPr>
          <w:rFonts w:ascii="Verdana" w:eastAsia="Times New Roman" w:hAnsi="Verdana" w:cs="TimesNewRomanPSMT"/>
          <w:sz w:val="20"/>
          <w:szCs w:val="20"/>
          <w:lang w:val="es-CR" w:eastAsia="es-CR"/>
        </w:rPr>
        <w:t>“</w:t>
      </w:r>
      <w:r w:rsidR="006A0894" w:rsidRPr="006A0894">
        <w:rPr>
          <w:rFonts w:ascii="Verdana" w:eastAsia="Times New Roman" w:hAnsi="Verdana" w:cs="TimesNewRomanPSMT"/>
          <w:sz w:val="20"/>
          <w:szCs w:val="20"/>
          <w:lang w:val="es-CR" w:eastAsia="es-CR"/>
        </w:rPr>
        <w:t>las sumas correspondientes con la resolución 0537 del 28 de julio de 2016</w:t>
      </w:r>
      <w:r w:rsidR="006A0894">
        <w:rPr>
          <w:rFonts w:ascii="Verdana" w:eastAsia="Times New Roman" w:hAnsi="Verdana" w:cs="TimesNewRomanPSMT"/>
          <w:sz w:val="20"/>
          <w:szCs w:val="20"/>
          <w:lang w:val="es-CR" w:eastAsia="es-CR"/>
        </w:rPr>
        <w:t>”</w:t>
      </w:r>
      <w:r w:rsidR="006A0894">
        <w:rPr>
          <w:rStyle w:val="Refdenotaalpie"/>
          <w:rFonts w:ascii="Verdana" w:eastAsia="Times New Roman" w:hAnsi="Verdana" w:cs="TimesNewRomanPSMT"/>
          <w:sz w:val="20"/>
          <w:szCs w:val="20"/>
          <w:lang w:val="es-CR" w:eastAsia="es-CR"/>
        </w:rPr>
        <w:footnoteReference w:id="71"/>
      </w:r>
      <w:r w:rsidR="006A0894">
        <w:rPr>
          <w:rFonts w:ascii="Verdana" w:eastAsia="Times New Roman" w:hAnsi="Verdana" w:cs="TimesNewRomanPSMT"/>
          <w:sz w:val="20"/>
          <w:szCs w:val="20"/>
          <w:lang w:val="es-CR" w:eastAsia="es-CR"/>
        </w:rPr>
        <w:t xml:space="preserve">. </w:t>
      </w:r>
    </w:p>
    <w:p w14:paraId="2B241328" w14:textId="77777777" w:rsidR="006A0894" w:rsidRDefault="006A0894" w:rsidP="006A0894">
      <w:pPr>
        <w:autoSpaceDE w:val="0"/>
        <w:autoSpaceDN w:val="0"/>
        <w:adjustRightInd w:val="0"/>
        <w:jc w:val="both"/>
        <w:rPr>
          <w:rFonts w:ascii="Verdana" w:eastAsia="Times New Roman" w:hAnsi="Verdana" w:cs="TimesNewRomanPSMT"/>
          <w:sz w:val="20"/>
          <w:szCs w:val="20"/>
          <w:lang w:val="es-CR" w:eastAsia="es-CR"/>
        </w:rPr>
      </w:pPr>
    </w:p>
    <w:p w14:paraId="21FFA333" w14:textId="56F999B9" w:rsidR="006A0894" w:rsidRPr="00ED086D" w:rsidRDefault="006A0894" w:rsidP="006A0894">
      <w:pPr>
        <w:widowControl w:val="0"/>
        <w:numPr>
          <w:ilvl w:val="0"/>
          <w:numId w:val="8"/>
        </w:numPr>
        <w:tabs>
          <w:tab w:val="left" w:pos="567"/>
          <w:tab w:val="num" w:pos="12305"/>
        </w:tabs>
        <w:adjustRightInd w:val="0"/>
        <w:ind w:left="0" w:firstLine="0"/>
        <w:jc w:val="both"/>
        <w:textAlignment w:val="baseline"/>
        <w:rPr>
          <w:rFonts w:ascii="Verdana" w:eastAsia="Times New Roman" w:hAnsi="Verdana" w:cs="Arial"/>
          <w:sz w:val="20"/>
          <w:szCs w:val="20"/>
          <w:lang w:val="es-CR" w:eastAsia="es-CR"/>
        </w:rPr>
      </w:pPr>
      <w:r>
        <w:rPr>
          <w:rFonts w:ascii="Verdana" w:eastAsia="Times New Roman" w:hAnsi="Verdana" w:cs="TimesNewRomanPSMT"/>
          <w:sz w:val="20"/>
          <w:szCs w:val="20"/>
          <w:lang w:val="es-CR" w:eastAsia="es-CR"/>
        </w:rPr>
        <w:lastRenderedPageBreak/>
        <w:t xml:space="preserve">Por su parte, la Comisión observó </w:t>
      </w:r>
      <w:r w:rsidR="00992478">
        <w:rPr>
          <w:rFonts w:ascii="Verdana" w:eastAsia="Times New Roman" w:hAnsi="Verdana" w:cs="TimesNewRomanPSMT"/>
          <w:sz w:val="20"/>
          <w:szCs w:val="20"/>
          <w:lang w:val="es-CR" w:eastAsia="es-CR"/>
        </w:rPr>
        <w:t xml:space="preserve">de manera general </w:t>
      </w:r>
      <w:r>
        <w:rPr>
          <w:rFonts w:ascii="Verdana" w:eastAsia="Times New Roman" w:hAnsi="Verdana" w:cs="TimesNewRomanPSMT"/>
          <w:sz w:val="20"/>
          <w:szCs w:val="20"/>
          <w:lang w:val="es-CR" w:eastAsia="es-CR"/>
        </w:rPr>
        <w:t xml:space="preserve">que, </w:t>
      </w:r>
      <w:r w:rsidRPr="006A0894">
        <w:rPr>
          <w:rFonts w:ascii="Verdana" w:eastAsia="Times New Roman" w:hAnsi="Verdana" w:cs="TimesNewRomanPSMT"/>
          <w:sz w:val="20"/>
          <w:szCs w:val="20"/>
          <w:lang w:val="es-CR" w:eastAsia="es-CR"/>
        </w:rPr>
        <w:t>si bien el</w:t>
      </w:r>
      <w:r>
        <w:rPr>
          <w:rFonts w:ascii="Verdana" w:eastAsia="Times New Roman" w:hAnsi="Verdana" w:cs="TimesNewRomanPSMT"/>
          <w:sz w:val="20"/>
          <w:szCs w:val="20"/>
          <w:lang w:val="es-CR" w:eastAsia="es-CR"/>
        </w:rPr>
        <w:t xml:space="preserve"> </w:t>
      </w:r>
      <w:r w:rsidRPr="006A0894">
        <w:rPr>
          <w:rFonts w:ascii="Verdana" w:eastAsia="Times New Roman" w:hAnsi="Verdana" w:cs="TimesNewRomanPSMT"/>
          <w:sz w:val="20"/>
          <w:szCs w:val="20"/>
          <w:lang w:val="es-CR" w:eastAsia="es-CR"/>
        </w:rPr>
        <w:t xml:space="preserve">Estado ha venido adoptando algunas medidas para su </w:t>
      </w:r>
      <w:r w:rsidRPr="006A0894">
        <w:rPr>
          <w:rFonts w:ascii="Verdana" w:eastAsia="Times New Roman" w:hAnsi="Verdana" w:cs="Arial"/>
          <w:sz w:val="20"/>
          <w:szCs w:val="20"/>
          <w:lang w:val="es-CR" w:eastAsia="es-CR"/>
        </w:rPr>
        <w:t>cumplimiento</w:t>
      </w:r>
      <w:r w:rsidRPr="006A0894">
        <w:rPr>
          <w:rFonts w:ascii="Verdana" w:eastAsia="Times New Roman" w:hAnsi="Verdana" w:cs="TimesNewRomanPSMT"/>
          <w:sz w:val="20"/>
          <w:szCs w:val="20"/>
          <w:lang w:val="es-CR" w:eastAsia="es-CR"/>
        </w:rPr>
        <w:t xml:space="preserve">, </w:t>
      </w:r>
      <w:r>
        <w:rPr>
          <w:rFonts w:ascii="Verdana" w:eastAsia="Times New Roman" w:hAnsi="Verdana" w:cs="TimesNewRomanPSMT"/>
          <w:sz w:val="20"/>
          <w:szCs w:val="20"/>
          <w:lang w:val="es-CR" w:eastAsia="es-CR"/>
        </w:rPr>
        <w:t>“</w:t>
      </w:r>
      <w:r w:rsidRPr="006A0894">
        <w:rPr>
          <w:rFonts w:ascii="Verdana" w:eastAsia="Times New Roman" w:hAnsi="Verdana" w:cs="TimesNewRomanPSMT"/>
          <w:sz w:val="20"/>
          <w:szCs w:val="20"/>
          <w:lang w:val="es-CR" w:eastAsia="es-CR"/>
        </w:rPr>
        <w:t>todavía estarían pendientes de</w:t>
      </w:r>
      <w:r>
        <w:rPr>
          <w:rFonts w:ascii="Verdana" w:eastAsia="Times New Roman" w:hAnsi="Verdana" w:cs="TimesNewRomanPSMT"/>
          <w:sz w:val="20"/>
          <w:szCs w:val="20"/>
          <w:lang w:val="es-CR" w:eastAsia="es-CR"/>
        </w:rPr>
        <w:t xml:space="preserve"> </w:t>
      </w:r>
      <w:r w:rsidRPr="006A0894">
        <w:rPr>
          <w:rFonts w:ascii="Verdana" w:eastAsia="Times New Roman" w:hAnsi="Verdana" w:cs="TimesNewRomanPSMT"/>
          <w:sz w:val="20"/>
          <w:szCs w:val="20"/>
          <w:lang w:val="es-CR" w:eastAsia="es-CR"/>
        </w:rPr>
        <w:t>cumplimiento efectivo</w:t>
      </w:r>
      <w:r>
        <w:rPr>
          <w:rFonts w:ascii="Verdana" w:eastAsia="Times New Roman" w:hAnsi="Verdana" w:cs="TimesNewRomanPSMT"/>
          <w:sz w:val="20"/>
          <w:szCs w:val="20"/>
          <w:lang w:val="es-CR" w:eastAsia="es-CR"/>
        </w:rPr>
        <w:t>”</w:t>
      </w:r>
      <w:r>
        <w:rPr>
          <w:rStyle w:val="Refdenotaalpie"/>
          <w:rFonts w:ascii="Verdana" w:eastAsia="Times New Roman" w:hAnsi="Verdana" w:cs="TimesNewRomanPSMT"/>
          <w:sz w:val="20"/>
          <w:szCs w:val="20"/>
          <w:lang w:val="es-CR" w:eastAsia="es-CR"/>
        </w:rPr>
        <w:footnoteReference w:id="72"/>
      </w:r>
      <w:r w:rsidRPr="006A0894">
        <w:rPr>
          <w:rFonts w:ascii="Verdana" w:eastAsia="Times New Roman" w:hAnsi="Verdana" w:cs="TimesNewRomanPSMT"/>
          <w:sz w:val="20"/>
          <w:szCs w:val="20"/>
          <w:lang w:val="es-CR" w:eastAsia="es-CR"/>
        </w:rPr>
        <w:t>.</w:t>
      </w:r>
    </w:p>
    <w:p w14:paraId="6724A1CF" w14:textId="77777777" w:rsidR="00ED086D" w:rsidRPr="00ED086D" w:rsidRDefault="00ED086D" w:rsidP="00ED086D">
      <w:pPr>
        <w:widowControl w:val="0"/>
        <w:tabs>
          <w:tab w:val="left" w:pos="567"/>
        </w:tabs>
        <w:adjustRightInd w:val="0"/>
        <w:jc w:val="both"/>
        <w:textAlignment w:val="baseline"/>
        <w:rPr>
          <w:rFonts w:ascii="Verdana" w:eastAsia="Times New Roman" w:hAnsi="Verdana" w:cs="Arial"/>
          <w:sz w:val="20"/>
          <w:szCs w:val="20"/>
          <w:lang w:val="es-CR" w:eastAsia="es-CR"/>
        </w:rPr>
      </w:pPr>
    </w:p>
    <w:p w14:paraId="7F71A189" w14:textId="613EDF0E" w:rsidR="00AB5400" w:rsidRPr="00765597" w:rsidRDefault="00ED086D" w:rsidP="008B2A42">
      <w:pPr>
        <w:widowControl w:val="0"/>
        <w:numPr>
          <w:ilvl w:val="0"/>
          <w:numId w:val="8"/>
        </w:numPr>
        <w:tabs>
          <w:tab w:val="left" w:pos="567"/>
          <w:tab w:val="num" w:pos="12305"/>
        </w:tabs>
        <w:adjustRightInd w:val="0"/>
        <w:ind w:left="0" w:firstLine="0"/>
        <w:jc w:val="both"/>
        <w:textAlignment w:val="baseline"/>
        <w:rPr>
          <w:rFonts w:ascii="Verdana" w:eastAsia="Times New Roman" w:hAnsi="Verdana" w:cs="Arial"/>
          <w:sz w:val="20"/>
          <w:szCs w:val="20"/>
          <w:lang w:val="es-CR" w:eastAsia="es-CR"/>
        </w:rPr>
      </w:pPr>
      <w:r>
        <w:rPr>
          <w:rFonts w:ascii="Verdana" w:eastAsia="Times New Roman" w:hAnsi="Verdana" w:cs="TimesNewRomanPSMT"/>
          <w:sz w:val="20"/>
          <w:szCs w:val="20"/>
          <w:lang w:val="es-CR" w:eastAsia="es-CR"/>
        </w:rPr>
        <w:t xml:space="preserve">El Tribunal </w:t>
      </w:r>
      <w:r w:rsidR="005B2315">
        <w:rPr>
          <w:rFonts w:ascii="Verdana" w:eastAsia="Times New Roman" w:hAnsi="Verdana" w:cs="TimesNewRomanPSMT"/>
          <w:sz w:val="20"/>
          <w:szCs w:val="20"/>
          <w:lang w:val="es-CR" w:eastAsia="es-CR"/>
        </w:rPr>
        <w:t>advierte</w:t>
      </w:r>
      <w:r w:rsidR="00B679A9">
        <w:rPr>
          <w:rFonts w:ascii="Verdana" w:eastAsia="Times New Roman" w:hAnsi="Verdana" w:cs="TimesNewRomanPSMT"/>
          <w:sz w:val="20"/>
          <w:szCs w:val="20"/>
          <w:lang w:val="es-CR" w:eastAsia="es-CR"/>
        </w:rPr>
        <w:t>,</w:t>
      </w:r>
      <w:r>
        <w:rPr>
          <w:rFonts w:ascii="Verdana" w:eastAsia="Times New Roman" w:hAnsi="Verdana" w:cs="TimesNewRomanPSMT"/>
          <w:sz w:val="20"/>
          <w:szCs w:val="20"/>
          <w:lang w:val="es-CR" w:eastAsia="es-CR"/>
        </w:rPr>
        <w:t xml:space="preserve"> </w:t>
      </w:r>
      <w:r w:rsidR="00AB5400">
        <w:rPr>
          <w:rFonts w:ascii="Verdana" w:eastAsia="Times New Roman" w:hAnsi="Verdana" w:cs="TimesNewRomanPSMT"/>
          <w:sz w:val="20"/>
          <w:szCs w:val="20"/>
          <w:lang w:val="es-CR" w:eastAsia="es-CR"/>
        </w:rPr>
        <w:t>en primer lugar</w:t>
      </w:r>
      <w:r w:rsidR="00B679A9">
        <w:rPr>
          <w:rFonts w:ascii="Verdana" w:eastAsia="Times New Roman" w:hAnsi="Verdana" w:cs="TimesNewRomanPSMT"/>
          <w:sz w:val="20"/>
          <w:szCs w:val="20"/>
          <w:lang w:val="es-CR" w:eastAsia="es-CR"/>
        </w:rPr>
        <w:t>,</w:t>
      </w:r>
      <w:r w:rsidR="00AB5400">
        <w:rPr>
          <w:rFonts w:ascii="Verdana" w:eastAsia="Times New Roman" w:hAnsi="Verdana" w:cs="TimesNewRomanPSMT"/>
          <w:sz w:val="20"/>
          <w:szCs w:val="20"/>
          <w:lang w:val="es-CR" w:eastAsia="es-CR"/>
        </w:rPr>
        <w:t xml:space="preserve"> que los representantes y el Estado llegaron a un acuerdo </w:t>
      </w:r>
      <w:r w:rsidR="008B2A42">
        <w:rPr>
          <w:rFonts w:ascii="Verdana" w:hAnsi="Verdana"/>
          <w:sz w:val="20"/>
          <w:szCs w:val="20"/>
        </w:rPr>
        <w:t>para dar cumplimiento a la obligación de implementar un programa habitacional de vivienda adecuada para “los familiares” que regresen a Pueblo Bello,</w:t>
      </w:r>
      <w:r w:rsidR="008B2A42">
        <w:rPr>
          <w:rFonts w:ascii="Verdana" w:eastAsia="Times New Roman" w:hAnsi="Verdana" w:cs="Arial"/>
          <w:sz w:val="20"/>
          <w:szCs w:val="20"/>
          <w:lang w:val="es-CR" w:eastAsia="es-CR"/>
        </w:rPr>
        <w:t xml:space="preserve"> </w:t>
      </w:r>
      <w:r w:rsidR="00AB5400">
        <w:rPr>
          <w:rFonts w:ascii="Verdana" w:eastAsia="Times New Roman" w:hAnsi="Verdana" w:cs="Arial"/>
          <w:sz w:val="20"/>
          <w:szCs w:val="20"/>
          <w:lang w:val="es-CR" w:eastAsia="es-CR"/>
        </w:rPr>
        <w:t>en virtud del cual se otorgaba</w:t>
      </w:r>
      <w:r w:rsidR="008B2A42">
        <w:rPr>
          <w:rFonts w:ascii="Verdana" w:eastAsia="Times New Roman" w:hAnsi="Verdana" w:cs="Arial"/>
          <w:sz w:val="20"/>
          <w:szCs w:val="20"/>
          <w:lang w:val="es-CR" w:eastAsia="es-CR"/>
        </w:rPr>
        <w:t>, alternativamente, un</w:t>
      </w:r>
      <w:r w:rsidR="00AB5400" w:rsidRPr="00362942">
        <w:rPr>
          <w:rFonts w:ascii="Verdana" w:eastAsia="Times New Roman" w:hAnsi="Verdana" w:cs="Arial"/>
          <w:sz w:val="20"/>
          <w:szCs w:val="20"/>
          <w:lang w:val="es-CR" w:eastAsia="es-CR"/>
        </w:rPr>
        <w:t xml:space="preserve"> “subrogado pecuniario” a los familiares de las 43 víctimas reconocidas en la Sentencia</w:t>
      </w:r>
      <w:r w:rsidR="008B2A42">
        <w:rPr>
          <w:rFonts w:ascii="Verdana" w:eastAsia="Times New Roman" w:hAnsi="Verdana" w:cs="Arial"/>
          <w:sz w:val="20"/>
          <w:szCs w:val="20"/>
          <w:lang w:val="es-CR" w:eastAsia="es-CR"/>
        </w:rPr>
        <w:t xml:space="preserve"> </w:t>
      </w:r>
      <w:r w:rsidR="008B2A42" w:rsidRPr="00362942">
        <w:rPr>
          <w:rFonts w:ascii="Verdana" w:hAnsi="Verdana"/>
          <w:sz w:val="20"/>
          <w:szCs w:val="20"/>
        </w:rPr>
        <w:t>con destinación específica para vivienda</w:t>
      </w:r>
      <w:r w:rsidR="008B2A42">
        <w:rPr>
          <w:rFonts w:ascii="Verdana" w:hAnsi="Verdana"/>
          <w:sz w:val="20"/>
          <w:szCs w:val="20"/>
        </w:rPr>
        <w:t xml:space="preserve">, equivalente a 135 S.M.M.L.V. </w:t>
      </w:r>
      <w:r w:rsidR="008B2A42" w:rsidRPr="008B2A42">
        <w:rPr>
          <w:rFonts w:ascii="Verdana" w:hAnsi="Verdana"/>
          <w:sz w:val="20"/>
          <w:szCs w:val="20"/>
        </w:rPr>
        <w:t>La Corte considera pertinente homologar el acuerdo entre el Estado y los representantes</w:t>
      </w:r>
      <w:r w:rsidR="00B679A9">
        <w:rPr>
          <w:rFonts w:ascii="Verdana" w:hAnsi="Verdana"/>
          <w:sz w:val="20"/>
          <w:szCs w:val="20"/>
        </w:rPr>
        <w:t>,</w:t>
      </w:r>
      <w:r w:rsidR="008B2A42" w:rsidRPr="008B2A42">
        <w:rPr>
          <w:rFonts w:ascii="Verdana" w:hAnsi="Verdana"/>
          <w:sz w:val="20"/>
          <w:szCs w:val="20"/>
        </w:rPr>
        <w:t xml:space="preserve"> </w:t>
      </w:r>
      <w:r w:rsidR="008B2A42">
        <w:rPr>
          <w:rFonts w:ascii="Verdana" w:eastAsia="Times New Roman" w:hAnsi="Verdana" w:cs="TimesNewRomanPSMT"/>
          <w:sz w:val="20"/>
          <w:szCs w:val="20"/>
          <w:lang w:val="es-CR" w:eastAsia="es-CR"/>
        </w:rPr>
        <w:t>por cuanto cuenta con el consentimiento expreso de los representantes y cumple con el propósito de la reparación ordenada.</w:t>
      </w:r>
    </w:p>
    <w:p w14:paraId="43AA448C" w14:textId="77777777" w:rsidR="00765597" w:rsidRPr="00AB5400" w:rsidRDefault="00765597" w:rsidP="00765597">
      <w:pPr>
        <w:widowControl w:val="0"/>
        <w:tabs>
          <w:tab w:val="left" w:pos="567"/>
        </w:tabs>
        <w:adjustRightInd w:val="0"/>
        <w:jc w:val="both"/>
        <w:textAlignment w:val="baseline"/>
        <w:rPr>
          <w:rFonts w:ascii="Verdana" w:eastAsia="Times New Roman" w:hAnsi="Verdana" w:cs="Arial"/>
          <w:sz w:val="20"/>
          <w:szCs w:val="20"/>
          <w:lang w:val="es-CR" w:eastAsia="es-CR"/>
        </w:rPr>
      </w:pPr>
    </w:p>
    <w:p w14:paraId="03606A94" w14:textId="30AFB8F5" w:rsidR="00ED086D" w:rsidRPr="006A0894" w:rsidRDefault="00AB5400" w:rsidP="006A0894">
      <w:pPr>
        <w:widowControl w:val="0"/>
        <w:numPr>
          <w:ilvl w:val="0"/>
          <w:numId w:val="8"/>
        </w:numPr>
        <w:tabs>
          <w:tab w:val="left" w:pos="567"/>
          <w:tab w:val="num" w:pos="12305"/>
        </w:tabs>
        <w:adjustRightInd w:val="0"/>
        <w:ind w:left="0" w:firstLine="0"/>
        <w:jc w:val="both"/>
        <w:textAlignment w:val="baseline"/>
        <w:rPr>
          <w:rFonts w:ascii="Verdana" w:eastAsia="Times New Roman" w:hAnsi="Verdana" w:cs="Arial"/>
          <w:sz w:val="20"/>
          <w:szCs w:val="20"/>
          <w:lang w:val="es-CR" w:eastAsia="es-CR"/>
        </w:rPr>
      </w:pPr>
      <w:r>
        <w:rPr>
          <w:rFonts w:ascii="Verdana" w:eastAsia="Times New Roman" w:hAnsi="Verdana" w:cs="TimesNewRomanPSMT"/>
          <w:sz w:val="20"/>
          <w:szCs w:val="20"/>
          <w:lang w:val="es-CR" w:eastAsia="es-CR"/>
        </w:rPr>
        <w:t xml:space="preserve">Asimismo, la Corte observa </w:t>
      </w:r>
      <w:r w:rsidR="00ED086D">
        <w:rPr>
          <w:rFonts w:ascii="Verdana" w:eastAsia="Times New Roman" w:hAnsi="Verdana" w:cs="TimesNewRomanPSMT"/>
          <w:sz w:val="20"/>
          <w:szCs w:val="20"/>
          <w:lang w:val="es-CR" w:eastAsia="es-CR"/>
        </w:rPr>
        <w:t xml:space="preserve">que, de la información presentada por el Estado y de lo alegado por los representantes, </w:t>
      </w:r>
      <w:r w:rsidR="00585A50">
        <w:rPr>
          <w:rFonts w:ascii="Verdana" w:eastAsia="Times New Roman" w:hAnsi="Verdana" w:cs="TimesNewRomanPSMT"/>
          <w:sz w:val="20"/>
          <w:szCs w:val="20"/>
          <w:lang w:val="es-CR" w:eastAsia="es-CR"/>
        </w:rPr>
        <w:t>gran parte</w:t>
      </w:r>
      <w:r w:rsidR="00ED086D">
        <w:rPr>
          <w:rFonts w:ascii="Verdana" w:eastAsia="Times New Roman" w:hAnsi="Verdana" w:cs="TimesNewRomanPSMT"/>
          <w:sz w:val="20"/>
          <w:szCs w:val="20"/>
          <w:lang w:val="es-CR" w:eastAsia="es-CR"/>
        </w:rPr>
        <w:t xml:space="preserve"> de </w:t>
      </w:r>
      <w:r w:rsidR="00B679A9">
        <w:rPr>
          <w:rFonts w:ascii="Verdana" w:eastAsia="Times New Roman" w:hAnsi="Verdana" w:cs="TimesNewRomanPSMT"/>
          <w:sz w:val="20"/>
          <w:szCs w:val="20"/>
          <w:lang w:val="es-CR" w:eastAsia="es-CR"/>
        </w:rPr>
        <w:t>las personas</w:t>
      </w:r>
      <w:r w:rsidR="00ED086D">
        <w:rPr>
          <w:rFonts w:ascii="Verdana" w:eastAsia="Times New Roman" w:hAnsi="Verdana" w:cs="TimesNewRomanPSMT"/>
          <w:sz w:val="20"/>
          <w:szCs w:val="20"/>
          <w:lang w:val="es-CR" w:eastAsia="es-CR"/>
        </w:rPr>
        <w:t xml:space="preserve"> </w:t>
      </w:r>
      <w:r w:rsidR="00B679A9">
        <w:rPr>
          <w:rFonts w:ascii="Verdana" w:eastAsia="Times New Roman" w:hAnsi="Verdana" w:cs="TimesNewRomanPSMT"/>
          <w:sz w:val="20"/>
          <w:szCs w:val="20"/>
          <w:lang w:val="es-CR" w:eastAsia="es-CR"/>
        </w:rPr>
        <w:t>beneficiaria</w:t>
      </w:r>
      <w:r w:rsidR="00ED086D">
        <w:rPr>
          <w:rFonts w:ascii="Verdana" w:eastAsia="Times New Roman" w:hAnsi="Verdana" w:cs="TimesNewRomanPSMT"/>
          <w:sz w:val="20"/>
          <w:szCs w:val="20"/>
          <w:lang w:val="es-CR" w:eastAsia="es-CR"/>
        </w:rPr>
        <w:t xml:space="preserve">s de la medida de vivienda han recibido efectivamente </w:t>
      </w:r>
      <w:r w:rsidR="00ED086D">
        <w:rPr>
          <w:rFonts w:ascii="Verdana" w:eastAsia="Times New Roman" w:hAnsi="Verdana" w:cs="Arial"/>
          <w:sz w:val="20"/>
          <w:szCs w:val="20"/>
          <w:lang w:val="es-CR" w:eastAsia="es-CR"/>
        </w:rPr>
        <w:t>el</w:t>
      </w:r>
      <w:r w:rsidR="00ED086D" w:rsidRPr="00D95C2E">
        <w:rPr>
          <w:rFonts w:ascii="Verdana" w:hAnsi="Verdana"/>
          <w:sz w:val="20"/>
          <w:szCs w:val="20"/>
        </w:rPr>
        <w:t xml:space="preserve"> </w:t>
      </w:r>
      <w:r w:rsidR="00ED086D">
        <w:rPr>
          <w:rFonts w:ascii="Verdana" w:hAnsi="Verdana"/>
          <w:sz w:val="20"/>
          <w:szCs w:val="20"/>
        </w:rPr>
        <w:t>“</w:t>
      </w:r>
      <w:r w:rsidR="00ED086D" w:rsidRPr="00D95C2E">
        <w:rPr>
          <w:rFonts w:ascii="Verdana" w:hAnsi="Verdana"/>
          <w:sz w:val="20"/>
          <w:szCs w:val="20"/>
        </w:rPr>
        <w:t>subrogado pecuniario</w:t>
      </w:r>
      <w:r w:rsidR="00ED086D">
        <w:rPr>
          <w:rFonts w:ascii="Verdana" w:hAnsi="Verdana"/>
          <w:sz w:val="20"/>
          <w:szCs w:val="20"/>
        </w:rPr>
        <w:t>”</w:t>
      </w:r>
      <w:r w:rsidR="00ED086D" w:rsidRPr="00D95C2E">
        <w:rPr>
          <w:rFonts w:ascii="Verdana" w:hAnsi="Verdana"/>
          <w:sz w:val="20"/>
          <w:szCs w:val="20"/>
        </w:rPr>
        <w:t xml:space="preserve"> con </w:t>
      </w:r>
      <w:r w:rsidR="00410B33">
        <w:rPr>
          <w:rFonts w:ascii="Verdana" w:hAnsi="Verdana"/>
          <w:sz w:val="20"/>
          <w:szCs w:val="20"/>
        </w:rPr>
        <w:t>ese fin</w:t>
      </w:r>
      <w:r w:rsidR="00ED086D">
        <w:rPr>
          <w:rFonts w:ascii="Verdana" w:hAnsi="Verdana"/>
          <w:sz w:val="20"/>
          <w:szCs w:val="20"/>
        </w:rPr>
        <w:t xml:space="preserve">. No obstante, </w:t>
      </w:r>
      <w:r w:rsidR="00410B33">
        <w:rPr>
          <w:rFonts w:ascii="Verdana" w:hAnsi="Verdana"/>
          <w:sz w:val="20"/>
          <w:szCs w:val="20"/>
        </w:rPr>
        <w:t xml:space="preserve">debido a que </w:t>
      </w:r>
      <w:r w:rsidR="00ED086D">
        <w:rPr>
          <w:rFonts w:ascii="Verdana" w:hAnsi="Verdana"/>
          <w:sz w:val="20"/>
          <w:szCs w:val="20"/>
        </w:rPr>
        <w:t xml:space="preserve">la Corte no </w:t>
      </w:r>
      <w:r w:rsidR="005B2315">
        <w:rPr>
          <w:rFonts w:ascii="Verdana" w:hAnsi="Verdana"/>
          <w:sz w:val="20"/>
          <w:szCs w:val="20"/>
        </w:rPr>
        <w:t>cuenta con</w:t>
      </w:r>
      <w:r w:rsidR="00ED086D">
        <w:rPr>
          <w:rFonts w:ascii="Verdana" w:hAnsi="Verdana"/>
          <w:sz w:val="20"/>
          <w:szCs w:val="20"/>
        </w:rPr>
        <w:t xml:space="preserve"> información que</w:t>
      </w:r>
      <w:r w:rsidR="00B679A9">
        <w:rPr>
          <w:rFonts w:ascii="Verdana" w:hAnsi="Verdana"/>
          <w:sz w:val="20"/>
          <w:szCs w:val="20"/>
        </w:rPr>
        <w:t xml:space="preserve"> acredite que la totalidad de las personas beneficiaria</w:t>
      </w:r>
      <w:r w:rsidR="00ED086D">
        <w:rPr>
          <w:rFonts w:ascii="Verdana" w:hAnsi="Verdana"/>
          <w:sz w:val="20"/>
          <w:szCs w:val="20"/>
        </w:rPr>
        <w:t>s han recibido las correspondientes sumas de dinero</w:t>
      </w:r>
      <w:r w:rsidR="005E62E6">
        <w:rPr>
          <w:rFonts w:ascii="Verdana" w:hAnsi="Verdana"/>
          <w:sz w:val="20"/>
          <w:szCs w:val="20"/>
        </w:rPr>
        <w:t xml:space="preserve"> y</w:t>
      </w:r>
      <w:r w:rsidR="00B679A9">
        <w:rPr>
          <w:rFonts w:ascii="Verdana" w:hAnsi="Verdana"/>
          <w:sz w:val="20"/>
          <w:szCs w:val="20"/>
        </w:rPr>
        <w:t>, además, los representantes consideraron</w:t>
      </w:r>
      <w:r w:rsidR="005E62E6">
        <w:rPr>
          <w:rFonts w:ascii="Verdana" w:hAnsi="Verdana"/>
          <w:sz w:val="20"/>
          <w:szCs w:val="20"/>
        </w:rPr>
        <w:t xml:space="preserve"> necesario que el Estado informe al respecto (</w:t>
      </w:r>
      <w:r w:rsidR="005E62E6" w:rsidRPr="00362942">
        <w:rPr>
          <w:rFonts w:ascii="Verdana" w:hAnsi="Verdana"/>
          <w:i/>
          <w:sz w:val="20"/>
          <w:szCs w:val="20"/>
        </w:rPr>
        <w:t>supra</w:t>
      </w:r>
      <w:r w:rsidR="005E62E6">
        <w:rPr>
          <w:rFonts w:ascii="Verdana" w:hAnsi="Verdana"/>
          <w:sz w:val="20"/>
          <w:szCs w:val="20"/>
        </w:rPr>
        <w:t xml:space="preserve"> Considerando 27), el Tribunal no puede valorar aún el cumplimiento total de esta medida</w:t>
      </w:r>
      <w:r w:rsidR="00ED086D">
        <w:rPr>
          <w:rFonts w:ascii="Verdana" w:hAnsi="Verdana"/>
          <w:sz w:val="20"/>
          <w:szCs w:val="20"/>
        </w:rPr>
        <w:t>.</w:t>
      </w:r>
      <w:r w:rsidR="005B2315">
        <w:rPr>
          <w:rFonts w:ascii="Verdana" w:hAnsi="Verdana"/>
          <w:sz w:val="20"/>
          <w:szCs w:val="20"/>
        </w:rPr>
        <w:t xml:space="preserve"> </w:t>
      </w:r>
    </w:p>
    <w:p w14:paraId="24E56438" w14:textId="77777777" w:rsidR="00097C00" w:rsidRDefault="00097C00" w:rsidP="00097C00">
      <w:pPr>
        <w:widowControl w:val="0"/>
        <w:tabs>
          <w:tab w:val="left" w:pos="567"/>
        </w:tabs>
        <w:adjustRightInd w:val="0"/>
        <w:jc w:val="both"/>
        <w:textAlignment w:val="baseline"/>
        <w:rPr>
          <w:rFonts w:ascii="Verdana" w:eastAsia="Times New Roman" w:hAnsi="Verdana" w:cs="Arial"/>
          <w:sz w:val="20"/>
          <w:szCs w:val="20"/>
          <w:lang w:val="es-CR" w:eastAsia="es-CR"/>
        </w:rPr>
      </w:pPr>
    </w:p>
    <w:p w14:paraId="356E6BF9" w14:textId="12DBB84A" w:rsidR="00B679A9" w:rsidRPr="00B679A9" w:rsidRDefault="00B679A9" w:rsidP="00765597">
      <w:pPr>
        <w:widowControl w:val="0"/>
        <w:numPr>
          <w:ilvl w:val="0"/>
          <w:numId w:val="8"/>
        </w:numPr>
        <w:tabs>
          <w:tab w:val="left" w:pos="567"/>
          <w:tab w:val="num" w:pos="12305"/>
        </w:tabs>
        <w:adjustRightInd w:val="0"/>
        <w:ind w:left="0" w:firstLine="0"/>
        <w:jc w:val="both"/>
        <w:textAlignment w:val="baseline"/>
        <w:rPr>
          <w:rFonts w:ascii="Verdana" w:hAnsi="Verdana"/>
        </w:rPr>
      </w:pPr>
      <w:r>
        <w:rPr>
          <w:rFonts w:ascii="Verdana" w:hAnsi="Verdana"/>
          <w:sz w:val="20"/>
          <w:szCs w:val="20"/>
        </w:rPr>
        <w:t>En consecuencia</w:t>
      </w:r>
      <w:r w:rsidR="00ED086D" w:rsidRPr="00765597">
        <w:rPr>
          <w:rFonts w:ascii="Verdana" w:hAnsi="Verdana"/>
          <w:sz w:val="20"/>
          <w:szCs w:val="20"/>
        </w:rPr>
        <w:t xml:space="preserve">, </w:t>
      </w:r>
      <w:r w:rsidR="00706B70" w:rsidRPr="00765597">
        <w:rPr>
          <w:rFonts w:ascii="Verdana" w:hAnsi="Verdana"/>
          <w:sz w:val="20"/>
          <w:szCs w:val="20"/>
        </w:rPr>
        <w:t xml:space="preserve">la Corte considera que Colombia ha dado cumplimiento parcial a </w:t>
      </w:r>
      <w:r w:rsidR="001700C3" w:rsidRPr="00765597">
        <w:rPr>
          <w:rFonts w:ascii="Verdana" w:hAnsi="Verdana"/>
          <w:sz w:val="20"/>
          <w:szCs w:val="20"/>
        </w:rPr>
        <w:t>lo ordenado</w:t>
      </w:r>
      <w:r w:rsidR="00706B70" w:rsidRPr="00765597">
        <w:rPr>
          <w:rFonts w:ascii="Verdana" w:hAnsi="Verdana"/>
          <w:sz w:val="20"/>
          <w:szCs w:val="20"/>
        </w:rPr>
        <w:t xml:space="preserve"> en el punto resolutivo </w:t>
      </w:r>
      <w:r w:rsidR="004D6480" w:rsidRPr="00765597">
        <w:rPr>
          <w:rFonts w:ascii="Verdana" w:hAnsi="Verdana"/>
          <w:sz w:val="20"/>
          <w:szCs w:val="20"/>
        </w:rPr>
        <w:t>duodécimo</w:t>
      </w:r>
      <w:r w:rsidR="00706B70" w:rsidRPr="00765597">
        <w:rPr>
          <w:rFonts w:ascii="Verdana" w:hAnsi="Verdana"/>
          <w:sz w:val="20"/>
          <w:szCs w:val="20"/>
        </w:rPr>
        <w:t xml:space="preserve"> de la Sentencia</w:t>
      </w:r>
      <w:r w:rsidR="00ED086D" w:rsidRPr="00765597">
        <w:rPr>
          <w:rFonts w:ascii="Verdana" w:hAnsi="Verdana"/>
          <w:sz w:val="20"/>
          <w:szCs w:val="20"/>
        </w:rPr>
        <w:t>, y, en particular, a la obligación de implementar un programa habitacional de vivienda</w:t>
      </w:r>
      <w:r w:rsidR="00706B70" w:rsidRPr="00765597">
        <w:rPr>
          <w:rFonts w:ascii="Verdana" w:hAnsi="Verdana"/>
          <w:sz w:val="20"/>
          <w:szCs w:val="20"/>
        </w:rPr>
        <w:t xml:space="preserve">. </w:t>
      </w:r>
    </w:p>
    <w:p w14:paraId="4973CEAA" w14:textId="77777777" w:rsidR="00B679A9" w:rsidRPr="00B679A9" w:rsidRDefault="00B679A9" w:rsidP="00B679A9">
      <w:pPr>
        <w:widowControl w:val="0"/>
        <w:tabs>
          <w:tab w:val="left" w:pos="567"/>
        </w:tabs>
        <w:adjustRightInd w:val="0"/>
        <w:jc w:val="both"/>
        <w:textAlignment w:val="baseline"/>
        <w:rPr>
          <w:rFonts w:ascii="Verdana" w:hAnsi="Verdana"/>
        </w:rPr>
      </w:pPr>
    </w:p>
    <w:p w14:paraId="0F427184" w14:textId="1F3D479A" w:rsidR="00706B70" w:rsidRPr="00546B72" w:rsidRDefault="00B679A9" w:rsidP="00765597">
      <w:pPr>
        <w:widowControl w:val="0"/>
        <w:numPr>
          <w:ilvl w:val="0"/>
          <w:numId w:val="8"/>
        </w:numPr>
        <w:tabs>
          <w:tab w:val="left" w:pos="567"/>
          <w:tab w:val="num" w:pos="12305"/>
        </w:tabs>
        <w:adjustRightInd w:val="0"/>
        <w:ind w:left="0" w:firstLine="0"/>
        <w:jc w:val="both"/>
        <w:textAlignment w:val="baseline"/>
        <w:rPr>
          <w:rFonts w:ascii="Verdana" w:hAnsi="Verdana"/>
        </w:rPr>
      </w:pPr>
      <w:r>
        <w:rPr>
          <w:rFonts w:ascii="Verdana" w:hAnsi="Verdana"/>
          <w:sz w:val="20"/>
          <w:szCs w:val="20"/>
        </w:rPr>
        <w:t>A</w:t>
      </w:r>
      <w:r w:rsidR="000546C9">
        <w:rPr>
          <w:rFonts w:ascii="Verdana" w:hAnsi="Verdana"/>
          <w:sz w:val="20"/>
          <w:szCs w:val="20"/>
        </w:rPr>
        <w:t xml:space="preserve"> lo anterior cabe añadir que </w:t>
      </w:r>
      <w:r w:rsidR="00ED086D" w:rsidRPr="00765597">
        <w:rPr>
          <w:rFonts w:ascii="Verdana" w:hAnsi="Verdana"/>
          <w:sz w:val="20"/>
          <w:szCs w:val="20"/>
        </w:rPr>
        <w:t>el Estado deberá informar a la Corte sobre</w:t>
      </w:r>
      <w:r w:rsidR="005B42D5" w:rsidRPr="00765597">
        <w:rPr>
          <w:rFonts w:ascii="Verdana" w:hAnsi="Verdana"/>
          <w:sz w:val="20"/>
          <w:szCs w:val="20"/>
        </w:rPr>
        <w:t>:</w:t>
      </w:r>
      <w:r w:rsidR="00706B70" w:rsidRPr="00765597">
        <w:rPr>
          <w:rFonts w:ascii="Verdana" w:hAnsi="Verdana"/>
          <w:sz w:val="20"/>
          <w:szCs w:val="20"/>
        </w:rPr>
        <w:t xml:space="preserve"> (i)</w:t>
      </w:r>
      <w:r w:rsidR="004D6480" w:rsidRPr="00765597">
        <w:rPr>
          <w:rFonts w:ascii="Verdana" w:hAnsi="Verdana"/>
          <w:sz w:val="20"/>
          <w:szCs w:val="20"/>
        </w:rPr>
        <w:t xml:space="preserve"> la situación actual </w:t>
      </w:r>
      <w:r w:rsidR="005B42D5" w:rsidRPr="00765597">
        <w:rPr>
          <w:rFonts w:ascii="Verdana" w:hAnsi="Verdana"/>
          <w:sz w:val="20"/>
          <w:szCs w:val="20"/>
        </w:rPr>
        <w:t xml:space="preserve">de seguridad en el corregimiento del Pueblo Bello </w:t>
      </w:r>
      <w:r w:rsidR="004D6480" w:rsidRPr="00765597">
        <w:rPr>
          <w:rFonts w:ascii="Verdana" w:hAnsi="Verdana"/>
          <w:sz w:val="20"/>
          <w:szCs w:val="20"/>
        </w:rPr>
        <w:t xml:space="preserve">y (ii) las medidas </w:t>
      </w:r>
      <w:r w:rsidR="005B42D5" w:rsidRPr="00765597">
        <w:rPr>
          <w:rFonts w:ascii="Verdana" w:hAnsi="Verdana"/>
          <w:sz w:val="20"/>
          <w:szCs w:val="20"/>
        </w:rPr>
        <w:t>que actualmente se están implementando o planean implementarse</w:t>
      </w:r>
      <w:r w:rsidR="004D6480" w:rsidRPr="00765597">
        <w:rPr>
          <w:rFonts w:ascii="Verdana" w:hAnsi="Verdana"/>
          <w:sz w:val="20"/>
          <w:szCs w:val="20"/>
        </w:rPr>
        <w:t xml:space="preserve"> para garantizar la seguridad de los familiares y ex habitantes del municipio de Pueblo Bello que decidan regresar, las </w:t>
      </w:r>
      <w:r w:rsidR="005B42D5" w:rsidRPr="00765597">
        <w:rPr>
          <w:rFonts w:ascii="Verdana" w:hAnsi="Verdana"/>
          <w:sz w:val="20"/>
          <w:szCs w:val="20"/>
        </w:rPr>
        <w:t xml:space="preserve">cuales, además, </w:t>
      </w:r>
      <w:r w:rsidR="004D6480" w:rsidRPr="00765597">
        <w:rPr>
          <w:rFonts w:ascii="Verdana" w:hAnsi="Verdana"/>
          <w:sz w:val="20"/>
          <w:szCs w:val="20"/>
        </w:rPr>
        <w:t>deberán ser diseñadas en consulta con los destinatarios de la presente medida de reparación</w:t>
      </w:r>
      <w:r w:rsidR="00585A50" w:rsidRPr="00765597">
        <w:rPr>
          <w:rFonts w:ascii="Verdana" w:hAnsi="Verdana"/>
          <w:sz w:val="20"/>
          <w:szCs w:val="20"/>
        </w:rPr>
        <w:t>, quienes deberán exponer claramente cuáles son sus preocupaciones en materia de seguridad en Pueblo Bello y los cambios indispensables para su retorno</w:t>
      </w:r>
      <w:r w:rsidR="00706B70" w:rsidRPr="00765597">
        <w:rPr>
          <w:rFonts w:ascii="Verdana" w:hAnsi="Verdana"/>
          <w:sz w:val="20"/>
          <w:szCs w:val="20"/>
        </w:rPr>
        <w:t xml:space="preserve">. </w:t>
      </w:r>
      <w:r w:rsidR="00AB5400" w:rsidRPr="00765597">
        <w:rPr>
          <w:rFonts w:ascii="Verdana" w:hAnsi="Verdana"/>
          <w:sz w:val="20"/>
          <w:szCs w:val="20"/>
        </w:rPr>
        <w:t>Con el fin de avanzar en la ejecución de esta reparación, la Corte requiere a Colombia que, en el plazo de un mes, contado a partir de la notificación de la presente Resolución, comunique la posibilidad de establecer un espacio de diálogo con las víctimas y sus representantes, utilizando los medios que resulten más adecuados, para lo cual deberá proponer posibles fechas para celebrar una reunión. Adicionalmente</w:t>
      </w:r>
      <w:r w:rsidR="005B42D5" w:rsidRPr="00765597">
        <w:rPr>
          <w:rFonts w:ascii="Verdana" w:hAnsi="Verdana"/>
          <w:sz w:val="20"/>
          <w:szCs w:val="20"/>
        </w:rPr>
        <w:t xml:space="preserve">, la Corte solicita al Estado que informe de manera actualizada, individualizada y detallada sobre </w:t>
      </w:r>
      <w:r w:rsidR="005B42D5" w:rsidRPr="00765597">
        <w:rPr>
          <w:rFonts w:ascii="Verdana" w:eastAsia="Times New Roman" w:hAnsi="Verdana" w:cs="Arial"/>
          <w:sz w:val="20"/>
          <w:szCs w:val="20"/>
          <w:lang w:val="es-CR" w:eastAsia="es-CR"/>
        </w:rPr>
        <w:t xml:space="preserve">si la totalidad de </w:t>
      </w:r>
      <w:r w:rsidR="005B42D5" w:rsidRPr="00765597">
        <w:rPr>
          <w:rFonts w:ascii="Verdana" w:eastAsia="Times New Roman" w:hAnsi="Verdana" w:cs="TimesNewRomanPSMT"/>
          <w:sz w:val="20"/>
          <w:szCs w:val="20"/>
          <w:lang w:val="es-CR" w:eastAsia="es-CR"/>
        </w:rPr>
        <w:t xml:space="preserve">los beneficiarios </w:t>
      </w:r>
      <w:r>
        <w:rPr>
          <w:rFonts w:ascii="Verdana" w:eastAsia="Times New Roman" w:hAnsi="Verdana" w:cs="TimesNewRomanPSMT"/>
          <w:sz w:val="20"/>
          <w:szCs w:val="20"/>
          <w:lang w:val="es-CR" w:eastAsia="es-CR"/>
        </w:rPr>
        <w:t xml:space="preserve">del “subrogado pecuniario” </w:t>
      </w:r>
      <w:r w:rsidRPr="00765597">
        <w:rPr>
          <w:rFonts w:ascii="Verdana" w:hAnsi="Verdana"/>
          <w:sz w:val="20"/>
          <w:szCs w:val="20"/>
        </w:rPr>
        <w:t>con destinación específica para vivienda</w:t>
      </w:r>
      <w:r w:rsidRPr="00765597">
        <w:rPr>
          <w:rFonts w:ascii="Verdana" w:eastAsia="Times New Roman" w:hAnsi="Verdana" w:cs="TimesNewRomanPSMT"/>
          <w:sz w:val="20"/>
          <w:szCs w:val="20"/>
          <w:lang w:val="es-CR" w:eastAsia="es-CR"/>
        </w:rPr>
        <w:t xml:space="preserve"> </w:t>
      </w:r>
      <w:r w:rsidR="005B42D5" w:rsidRPr="00765597">
        <w:rPr>
          <w:rFonts w:ascii="Verdana" w:eastAsia="Times New Roman" w:hAnsi="Verdana" w:cs="TimesNewRomanPSMT"/>
          <w:sz w:val="20"/>
          <w:szCs w:val="20"/>
          <w:lang w:val="es-CR" w:eastAsia="es-CR"/>
        </w:rPr>
        <w:t xml:space="preserve">efectivamente recibieron las sumas acordadas y correspondientes con la </w:t>
      </w:r>
      <w:r w:rsidR="005B42D5" w:rsidRPr="00765597">
        <w:rPr>
          <w:rFonts w:ascii="Verdana" w:eastAsia="Times New Roman" w:hAnsi="Verdana" w:cs="Arial"/>
          <w:sz w:val="20"/>
          <w:szCs w:val="20"/>
          <w:lang w:val="es-CR" w:eastAsia="es-CR"/>
        </w:rPr>
        <w:t>Resolución no. 0587 de 28 de julio de 2016</w:t>
      </w:r>
      <w:r w:rsidR="005B42D5" w:rsidRPr="00765597">
        <w:rPr>
          <w:rFonts w:ascii="Verdana" w:hAnsi="Verdana"/>
          <w:sz w:val="20"/>
          <w:szCs w:val="20"/>
        </w:rPr>
        <w:t>.</w:t>
      </w:r>
    </w:p>
    <w:p w14:paraId="03099F23" w14:textId="58FC99B0" w:rsidR="000B7F0B" w:rsidRPr="00527BFA" w:rsidRDefault="000B7F0B" w:rsidP="000B7F0B">
      <w:pPr>
        <w:pStyle w:val="Ttulo1"/>
        <w:ind w:left="426"/>
      </w:pPr>
      <w:bookmarkStart w:id="7" w:name="_Toc59126504"/>
      <w:r w:rsidRPr="00527BFA">
        <w:t>Construcción de un monumento</w:t>
      </w:r>
      <w:bookmarkEnd w:id="7"/>
      <w:r w:rsidRPr="00527BFA">
        <w:t xml:space="preserve"> </w:t>
      </w:r>
    </w:p>
    <w:p w14:paraId="232AAE73" w14:textId="1FAFCE9C" w:rsidR="00CC6B61" w:rsidRPr="00527BFA" w:rsidRDefault="000B7F0B" w:rsidP="000B7F0B">
      <w:pPr>
        <w:pStyle w:val="Ttulo2"/>
      </w:pPr>
      <w:r w:rsidRPr="00527BFA">
        <w:t>C</w:t>
      </w:r>
      <w:r w:rsidR="00CC6B61" w:rsidRPr="00527BFA">
        <w:t>.1. Medida ordenada por la Corte</w:t>
      </w:r>
      <w:r w:rsidR="00A3599F">
        <w:t xml:space="preserve"> y supervisión realizada en resolución anterior</w:t>
      </w:r>
    </w:p>
    <w:p w14:paraId="3773361D" w14:textId="4694B114" w:rsidR="00CC6B61" w:rsidRPr="00527BFA" w:rsidRDefault="00765597" w:rsidP="00C6162E">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Pr>
          <w:rFonts w:ascii="Verdana" w:hAnsi="Verdana"/>
          <w:sz w:val="20"/>
          <w:szCs w:val="20"/>
          <w:lang w:val="es-ES_tradnl"/>
        </w:rPr>
        <w:t>E</w:t>
      </w:r>
      <w:r w:rsidR="00CC6B61" w:rsidRPr="00527BFA">
        <w:rPr>
          <w:rFonts w:ascii="Verdana" w:hAnsi="Verdana"/>
          <w:sz w:val="20"/>
          <w:szCs w:val="20"/>
        </w:rPr>
        <w:t>n el punto resolutivo decimocuarto y en</w:t>
      </w:r>
      <w:r w:rsidR="000546C9">
        <w:rPr>
          <w:rFonts w:ascii="Verdana" w:hAnsi="Verdana"/>
          <w:sz w:val="20"/>
          <w:szCs w:val="20"/>
        </w:rPr>
        <w:t xml:space="preserve"> el párrafo 278 de la Sentencia</w:t>
      </w:r>
      <w:r w:rsidR="006908B5">
        <w:rPr>
          <w:rFonts w:ascii="Verdana" w:hAnsi="Verdana"/>
          <w:sz w:val="20"/>
          <w:szCs w:val="20"/>
        </w:rPr>
        <w:t>,</w:t>
      </w:r>
      <w:r w:rsidR="00CC6B61" w:rsidRPr="00527BFA">
        <w:rPr>
          <w:rFonts w:ascii="Verdana" w:hAnsi="Verdana"/>
          <w:sz w:val="20"/>
          <w:szCs w:val="20"/>
        </w:rPr>
        <w:t xml:space="preserve"> la Corte dispuso una reparación en memoria de las víctimas y para prevenir “que hechos tan </w:t>
      </w:r>
      <w:r w:rsidR="00CC6B61" w:rsidRPr="00527BFA">
        <w:rPr>
          <w:rFonts w:ascii="Verdana" w:hAnsi="Verdana"/>
          <w:sz w:val="20"/>
          <w:szCs w:val="20"/>
        </w:rPr>
        <w:lastRenderedPageBreak/>
        <w:t xml:space="preserve">graves </w:t>
      </w:r>
      <w:proofErr w:type="spellStart"/>
      <w:r w:rsidR="00CC6B61" w:rsidRPr="00527BFA">
        <w:rPr>
          <w:rFonts w:ascii="Verdana" w:hAnsi="Verdana"/>
          <w:sz w:val="20"/>
          <w:szCs w:val="20"/>
        </w:rPr>
        <w:t>ocurr</w:t>
      </w:r>
      <w:proofErr w:type="spellEnd"/>
      <w:r w:rsidR="00CC6B61" w:rsidRPr="00527BFA">
        <w:rPr>
          <w:rFonts w:ascii="Verdana" w:hAnsi="Verdana"/>
          <w:sz w:val="20"/>
          <w:szCs w:val="20"/>
        </w:rPr>
        <w:t>[</w:t>
      </w:r>
      <w:proofErr w:type="spellStart"/>
      <w:r w:rsidR="00CC6B61" w:rsidRPr="00527BFA">
        <w:rPr>
          <w:rFonts w:ascii="Verdana" w:hAnsi="Verdana"/>
          <w:sz w:val="20"/>
          <w:szCs w:val="20"/>
        </w:rPr>
        <w:t>iesen</w:t>
      </w:r>
      <w:proofErr w:type="spellEnd"/>
      <w:r w:rsidR="00CC6B61" w:rsidRPr="00527BFA">
        <w:rPr>
          <w:rFonts w:ascii="Verdana" w:hAnsi="Verdana"/>
          <w:sz w:val="20"/>
          <w:szCs w:val="20"/>
        </w:rPr>
        <w:t>] en el futuro”, ordenando al Estado construir “un monumento apropiado y digno para recordar los hechos de la masacre de Pueblo Bello”, el cual, además, debía ser instalado en “un lugar público apropiado en Pueblo Bello”, en el plazo de un año a contar desde la notificación de la Sentencia.</w:t>
      </w:r>
    </w:p>
    <w:p w14:paraId="59EFDA30" w14:textId="77777777" w:rsidR="00DF5C83" w:rsidRPr="00527BFA" w:rsidRDefault="00DF5C83" w:rsidP="00DF5C83">
      <w:pPr>
        <w:widowControl w:val="0"/>
        <w:tabs>
          <w:tab w:val="left" w:pos="567"/>
        </w:tabs>
        <w:adjustRightInd w:val="0"/>
        <w:jc w:val="both"/>
        <w:textAlignment w:val="baseline"/>
        <w:rPr>
          <w:rFonts w:ascii="Verdana" w:hAnsi="Verdana"/>
          <w:sz w:val="20"/>
          <w:szCs w:val="20"/>
        </w:rPr>
      </w:pPr>
    </w:p>
    <w:p w14:paraId="6192539A" w14:textId="0BA3628C" w:rsidR="004E23BB" w:rsidRPr="00527BFA" w:rsidRDefault="00765597" w:rsidP="00C6162E">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Pr>
          <w:rFonts w:ascii="Verdana" w:hAnsi="Verdana"/>
          <w:sz w:val="20"/>
          <w:szCs w:val="20"/>
        </w:rPr>
        <w:t>P</w:t>
      </w:r>
      <w:r w:rsidR="004E23BB" w:rsidRPr="00527BFA">
        <w:rPr>
          <w:rFonts w:ascii="Verdana" w:hAnsi="Verdana"/>
          <w:sz w:val="20"/>
          <w:szCs w:val="20"/>
        </w:rPr>
        <w:t xml:space="preserve">osteriormente, en su Resolución de </w:t>
      </w:r>
      <w:r w:rsidR="00FE5113">
        <w:rPr>
          <w:rFonts w:ascii="Verdana" w:hAnsi="Verdana"/>
          <w:sz w:val="20"/>
          <w:szCs w:val="20"/>
        </w:rPr>
        <w:t>s</w:t>
      </w:r>
      <w:r w:rsidR="004E23BB" w:rsidRPr="00527BFA">
        <w:rPr>
          <w:rFonts w:ascii="Verdana" w:hAnsi="Verdana"/>
          <w:sz w:val="20"/>
          <w:szCs w:val="20"/>
        </w:rPr>
        <w:t xml:space="preserve">upervisión de </w:t>
      </w:r>
      <w:r w:rsidR="00FE5113">
        <w:rPr>
          <w:rFonts w:ascii="Verdana" w:hAnsi="Verdana"/>
          <w:sz w:val="20"/>
          <w:szCs w:val="20"/>
        </w:rPr>
        <w:t>c</w:t>
      </w:r>
      <w:r w:rsidR="004E23BB" w:rsidRPr="00527BFA">
        <w:rPr>
          <w:rFonts w:ascii="Verdana" w:hAnsi="Verdana"/>
          <w:sz w:val="20"/>
          <w:szCs w:val="20"/>
        </w:rPr>
        <w:t xml:space="preserve">umplimiento </w:t>
      </w:r>
      <w:r w:rsidR="00FE5113">
        <w:rPr>
          <w:rFonts w:ascii="Verdana" w:hAnsi="Verdana"/>
          <w:sz w:val="20"/>
          <w:szCs w:val="20"/>
        </w:rPr>
        <w:t>de</w:t>
      </w:r>
      <w:r w:rsidR="004E23BB" w:rsidRPr="00527BFA">
        <w:rPr>
          <w:rFonts w:ascii="Verdana" w:hAnsi="Verdana"/>
          <w:sz w:val="20"/>
          <w:szCs w:val="20"/>
        </w:rPr>
        <w:t xml:space="preserve"> 9 de julio de 2009, la Corte recordó al Estado que la Sentencia disponía un plazo de un año</w:t>
      </w:r>
      <w:r w:rsidR="00DB4FD3">
        <w:rPr>
          <w:rFonts w:ascii="Verdana" w:hAnsi="Verdana"/>
          <w:sz w:val="20"/>
          <w:szCs w:val="20"/>
        </w:rPr>
        <w:t>,</w:t>
      </w:r>
      <w:r w:rsidR="004E23BB" w:rsidRPr="00527BFA">
        <w:rPr>
          <w:rFonts w:ascii="Verdana" w:hAnsi="Verdana"/>
          <w:sz w:val="20"/>
          <w:szCs w:val="20"/>
        </w:rPr>
        <w:t xml:space="preserve"> contado a partir de la notificación de la misma, para la ejecución de esta medida de reparación y que esta es una obligación autónoma que no depende del cumplimiento de los otros puntos resolutivos</w:t>
      </w:r>
      <w:r w:rsidR="004E23BB" w:rsidRPr="00527BFA">
        <w:rPr>
          <w:rStyle w:val="Refdenotaalpie"/>
          <w:rFonts w:ascii="Verdana" w:hAnsi="Verdana"/>
          <w:sz w:val="20"/>
          <w:szCs w:val="20"/>
        </w:rPr>
        <w:footnoteReference w:id="73"/>
      </w:r>
      <w:r w:rsidR="004E23BB" w:rsidRPr="00527BFA">
        <w:rPr>
          <w:rFonts w:ascii="Verdana" w:hAnsi="Verdana"/>
          <w:sz w:val="20"/>
          <w:szCs w:val="20"/>
        </w:rPr>
        <w:t>.</w:t>
      </w:r>
    </w:p>
    <w:p w14:paraId="459E37ED" w14:textId="77777777" w:rsidR="00DF5C83" w:rsidRPr="00527BFA" w:rsidRDefault="000B7F0B" w:rsidP="000B7F0B">
      <w:pPr>
        <w:pStyle w:val="Ttulo2"/>
      </w:pPr>
      <w:r w:rsidRPr="00527BFA">
        <w:t>C</w:t>
      </w:r>
      <w:r w:rsidR="00CC6B61" w:rsidRPr="00527BFA">
        <w:t>.2. Consideraciones de la Corte</w:t>
      </w:r>
    </w:p>
    <w:p w14:paraId="4AFA9A9F" w14:textId="0A0CE5A4" w:rsidR="004E23BB" w:rsidRPr="00BE6318" w:rsidRDefault="00767EF5" w:rsidP="009C4D00">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BE6318">
        <w:rPr>
          <w:rFonts w:ascii="Verdana" w:hAnsi="Verdana"/>
          <w:sz w:val="20"/>
          <w:szCs w:val="20"/>
        </w:rPr>
        <w:t>L</w:t>
      </w:r>
      <w:r w:rsidR="00765597" w:rsidRPr="00BE6318">
        <w:rPr>
          <w:rFonts w:ascii="Verdana" w:hAnsi="Verdana"/>
          <w:sz w:val="20"/>
          <w:szCs w:val="20"/>
        </w:rPr>
        <w:t>a</w:t>
      </w:r>
      <w:r w:rsidRPr="00BE6318">
        <w:rPr>
          <w:rFonts w:ascii="Verdana" w:hAnsi="Verdana"/>
          <w:sz w:val="20"/>
          <w:szCs w:val="20"/>
        </w:rPr>
        <w:t xml:space="preserve"> Corte observa que, tras años de gestiones y reuniones entre ambas partes, </w:t>
      </w:r>
      <w:r w:rsidR="000A29D1" w:rsidRPr="00BE6318">
        <w:rPr>
          <w:rFonts w:ascii="Verdana" w:hAnsi="Verdana"/>
          <w:sz w:val="20"/>
          <w:szCs w:val="20"/>
        </w:rPr>
        <w:t xml:space="preserve">en el </w:t>
      </w:r>
      <w:r w:rsidR="000546C9">
        <w:rPr>
          <w:rFonts w:ascii="Verdana" w:hAnsi="Verdana"/>
          <w:sz w:val="20"/>
          <w:szCs w:val="20"/>
        </w:rPr>
        <w:t xml:space="preserve">año </w:t>
      </w:r>
      <w:r w:rsidR="000A29D1" w:rsidRPr="00BE6318">
        <w:rPr>
          <w:rFonts w:ascii="Verdana" w:hAnsi="Verdana"/>
          <w:sz w:val="20"/>
          <w:szCs w:val="20"/>
        </w:rPr>
        <w:t>2017 se avanzó en la fase de contratación del artista seleccionado por las víctimas</w:t>
      </w:r>
      <w:r w:rsidR="000A29D1" w:rsidRPr="00BE6318">
        <w:rPr>
          <w:rStyle w:val="Refdenotaalpie"/>
          <w:rFonts w:ascii="Verdana" w:eastAsia="Times New Roman" w:hAnsi="Verdana" w:cs="Arial"/>
          <w:iCs/>
          <w:sz w:val="20"/>
          <w:szCs w:val="20"/>
          <w:lang w:val="es-CR" w:eastAsia="es-CR"/>
        </w:rPr>
        <w:footnoteReference w:id="74"/>
      </w:r>
      <w:r w:rsidR="000A29D1" w:rsidRPr="00BE6318">
        <w:rPr>
          <w:rFonts w:ascii="Verdana" w:hAnsi="Verdana"/>
          <w:sz w:val="20"/>
          <w:szCs w:val="20"/>
        </w:rPr>
        <w:t xml:space="preserve">, quien efectuó el diseño de la </w:t>
      </w:r>
      <w:r w:rsidR="00DB4FD3" w:rsidRPr="00DB4FD3">
        <w:rPr>
          <w:rFonts w:ascii="Verdana" w:hAnsi="Verdana"/>
          <w:sz w:val="20"/>
          <w:szCs w:val="20"/>
        </w:rPr>
        <w:t xml:space="preserve">obra, </w:t>
      </w:r>
      <w:r w:rsidR="00DB4FD3">
        <w:rPr>
          <w:rFonts w:ascii="Verdana" w:hAnsi="Verdana"/>
          <w:sz w:val="20"/>
          <w:szCs w:val="20"/>
        </w:rPr>
        <w:t xml:space="preserve">y </w:t>
      </w:r>
      <w:r w:rsidR="00DB4FD3" w:rsidRPr="00DB4FD3">
        <w:rPr>
          <w:rFonts w:ascii="Verdana" w:hAnsi="Verdana"/>
          <w:sz w:val="20"/>
          <w:szCs w:val="20"/>
        </w:rPr>
        <w:t>el</w:t>
      </w:r>
      <w:r w:rsidRPr="00BE6318">
        <w:rPr>
          <w:rFonts w:ascii="Verdana" w:hAnsi="Verdana"/>
          <w:sz w:val="20"/>
          <w:szCs w:val="20"/>
        </w:rPr>
        <w:t xml:space="preserve"> Estado y los representantes</w:t>
      </w:r>
      <w:r w:rsidR="008923CD" w:rsidRPr="00BE6318">
        <w:rPr>
          <w:rFonts w:ascii="Verdana" w:hAnsi="Verdana"/>
          <w:sz w:val="20"/>
          <w:szCs w:val="20"/>
        </w:rPr>
        <w:t xml:space="preserve"> finalmente</w:t>
      </w:r>
      <w:r w:rsidRPr="00BE6318">
        <w:rPr>
          <w:rFonts w:ascii="Verdana" w:hAnsi="Verdana"/>
          <w:sz w:val="20"/>
          <w:szCs w:val="20"/>
        </w:rPr>
        <w:t xml:space="preserve"> llegaron a un acuerdo y acepta</w:t>
      </w:r>
      <w:r w:rsidR="00FE5113" w:rsidRPr="00BE6318">
        <w:rPr>
          <w:rFonts w:ascii="Verdana" w:hAnsi="Verdana"/>
          <w:sz w:val="20"/>
          <w:szCs w:val="20"/>
        </w:rPr>
        <w:t>ron</w:t>
      </w:r>
      <w:r w:rsidRPr="00BE6318">
        <w:rPr>
          <w:rFonts w:ascii="Verdana" w:hAnsi="Verdana"/>
          <w:sz w:val="20"/>
          <w:szCs w:val="20"/>
        </w:rPr>
        <w:t xml:space="preserve"> la propuesta “La Cicatriz” presentada por el Maestro Germán Botero, la cual, según los representantes</w:t>
      </w:r>
      <w:r w:rsidR="00FE5113" w:rsidRPr="00BE6318">
        <w:rPr>
          <w:rFonts w:ascii="Verdana" w:hAnsi="Verdana"/>
          <w:sz w:val="20"/>
          <w:szCs w:val="20"/>
        </w:rPr>
        <w:t>,</w:t>
      </w:r>
      <w:r w:rsidRPr="00BE6318">
        <w:rPr>
          <w:rFonts w:ascii="Verdana" w:hAnsi="Verdana"/>
          <w:sz w:val="20"/>
          <w:szCs w:val="20"/>
        </w:rPr>
        <w:t xml:space="preserve"> “recoge los intereses y expectativas de los familiares”</w:t>
      </w:r>
      <w:r w:rsidRPr="00BE6318">
        <w:rPr>
          <w:rStyle w:val="Refdenotaalpie"/>
          <w:rFonts w:ascii="Verdana" w:hAnsi="Verdana"/>
          <w:sz w:val="20"/>
          <w:szCs w:val="20"/>
        </w:rPr>
        <w:footnoteReference w:id="75"/>
      </w:r>
      <w:r w:rsidRPr="00BE6318">
        <w:rPr>
          <w:rFonts w:ascii="Verdana" w:hAnsi="Verdana"/>
          <w:sz w:val="20"/>
          <w:szCs w:val="20"/>
        </w:rPr>
        <w:t>.</w:t>
      </w:r>
      <w:r w:rsidR="00362942" w:rsidRPr="00BE6318">
        <w:rPr>
          <w:rFonts w:ascii="Verdana" w:hAnsi="Verdana"/>
          <w:sz w:val="20"/>
          <w:szCs w:val="20"/>
        </w:rPr>
        <w:t xml:space="preserve"> </w:t>
      </w:r>
      <w:r w:rsidR="009A5AA0" w:rsidRPr="00BE6318">
        <w:rPr>
          <w:rFonts w:ascii="Verdana" w:eastAsia="Times New Roman" w:hAnsi="Verdana" w:cs="Arial"/>
          <w:iCs/>
          <w:sz w:val="20"/>
          <w:szCs w:val="20"/>
          <w:lang w:val="es-CR" w:eastAsia="es-CR"/>
        </w:rPr>
        <w:t xml:space="preserve">Asimismo, </w:t>
      </w:r>
      <w:r w:rsidR="009A5AA0" w:rsidRPr="00BE6318">
        <w:rPr>
          <w:rFonts w:ascii="Verdana" w:eastAsia="Times New Roman" w:hAnsi="Verdana" w:cs="ArialNarrow"/>
          <w:sz w:val="20"/>
          <w:szCs w:val="20"/>
          <w:lang w:val="es-CR" w:eastAsia="es-CR"/>
        </w:rPr>
        <w:t xml:space="preserve">se </w:t>
      </w:r>
      <w:r w:rsidR="00520CD7" w:rsidRPr="00BE6318">
        <w:rPr>
          <w:rFonts w:ascii="Verdana" w:eastAsia="Times New Roman" w:hAnsi="Verdana" w:cs="ArialNarrow"/>
          <w:sz w:val="20"/>
          <w:szCs w:val="20"/>
          <w:lang w:val="es-CR" w:eastAsia="es-CR"/>
        </w:rPr>
        <w:t>concertó</w:t>
      </w:r>
      <w:r w:rsidR="009A5AA0" w:rsidRPr="00BE6318">
        <w:rPr>
          <w:rFonts w:ascii="Verdana" w:eastAsia="Times New Roman" w:hAnsi="Verdana" w:cs="ArialNarrow"/>
          <w:sz w:val="20"/>
          <w:szCs w:val="20"/>
          <w:lang w:val="es-CR" w:eastAsia="es-CR"/>
        </w:rPr>
        <w:t xml:space="preserve"> la creación</w:t>
      </w:r>
      <w:r w:rsidR="00911655" w:rsidRPr="00BE6318">
        <w:rPr>
          <w:rFonts w:ascii="Verdana" w:eastAsia="Times New Roman" w:hAnsi="Verdana" w:cs="ArialNarrow"/>
          <w:sz w:val="20"/>
          <w:szCs w:val="20"/>
          <w:lang w:val="es-CR" w:eastAsia="es-CR"/>
        </w:rPr>
        <w:t xml:space="preserve"> </w:t>
      </w:r>
      <w:r w:rsidR="009A5AA0" w:rsidRPr="00BE6318">
        <w:rPr>
          <w:rFonts w:ascii="Verdana" w:eastAsia="Times New Roman" w:hAnsi="Verdana" w:cs="ArialNarrow"/>
          <w:sz w:val="20"/>
          <w:szCs w:val="20"/>
          <w:lang w:val="es-CR" w:eastAsia="es-CR"/>
        </w:rPr>
        <w:t>de una fundación u organización de víctimas que, en conjunto con la administración local, administre y procure</w:t>
      </w:r>
      <w:r w:rsidR="00911655" w:rsidRPr="00BE6318">
        <w:rPr>
          <w:rFonts w:ascii="Verdana" w:eastAsia="Times New Roman" w:hAnsi="Verdana" w:cs="ArialNarrow"/>
          <w:sz w:val="20"/>
          <w:szCs w:val="20"/>
          <w:lang w:val="es-CR" w:eastAsia="es-CR"/>
        </w:rPr>
        <w:t xml:space="preserve"> </w:t>
      </w:r>
      <w:r w:rsidR="009A5AA0" w:rsidRPr="00BE6318">
        <w:rPr>
          <w:rFonts w:ascii="Verdana" w:eastAsia="Times New Roman" w:hAnsi="Verdana" w:cs="ArialNarrow"/>
          <w:sz w:val="20"/>
          <w:szCs w:val="20"/>
          <w:lang w:val="es-CR" w:eastAsia="es-CR"/>
        </w:rPr>
        <w:t>la preservación del patrimonio cultural del monumento</w:t>
      </w:r>
      <w:r w:rsidR="009A5AA0" w:rsidRPr="00BE6318">
        <w:rPr>
          <w:rStyle w:val="Refdenotaalpie"/>
          <w:rFonts w:ascii="Verdana" w:eastAsia="Times New Roman" w:hAnsi="Verdana" w:cs="ArialNarrow"/>
          <w:sz w:val="20"/>
          <w:szCs w:val="20"/>
          <w:lang w:val="es-CR" w:eastAsia="es-CR"/>
        </w:rPr>
        <w:footnoteReference w:id="76"/>
      </w:r>
      <w:r w:rsidR="00DF5C83" w:rsidRPr="00BE6318">
        <w:rPr>
          <w:rFonts w:ascii="Verdana" w:eastAsia="Times New Roman" w:hAnsi="Verdana" w:cs="ArialNarrow"/>
          <w:sz w:val="20"/>
          <w:szCs w:val="20"/>
          <w:lang w:val="es-CR" w:eastAsia="es-CR"/>
        </w:rPr>
        <w:t>.</w:t>
      </w:r>
    </w:p>
    <w:p w14:paraId="0B0AB5DC" w14:textId="77777777" w:rsidR="00DF5C83" w:rsidRPr="00527BFA" w:rsidRDefault="00DF5C83" w:rsidP="00DF5C83">
      <w:pPr>
        <w:widowControl w:val="0"/>
        <w:tabs>
          <w:tab w:val="left" w:pos="567"/>
        </w:tabs>
        <w:adjustRightInd w:val="0"/>
        <w:jc w:val="both"/>
        <w:textAlignment w:val="baseline"/>
        <w:rPr>
          <w:rFonts w:ascii="Verdana" w:hAnsi="Verdana"/>
          <w:sz w:val="20"/>
          <w:szCs w:val="20"/>
        </w:rPr>
      </w:pPr>
    </w:p>
    <w:p w14:paraId="34EF6235" w14:textId="396C9CB1" w:rsidR="00520CD7" w:rsidRPr="00527BFA" w:rsidRDefault="00520CD7" w:rsidP="00C6162E">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C</w:t>
      </w:r>
      <w:r w:rsidR="00765597">
        <w:rPr>
          <w:rFonts w:ascii="Verdana" w:hAnsi="Verdana"/>
          <w:sz w:val="20"/>
          <w:szCs w:val="20"/>
        </w:rPr>
        <w:t>o</w:t>
      </w:r>
      <w:r w:rsidRPr="00527BFA">
        <w:rPr>
          <w:rFonts w:ascii="Verdana" w:hAnsi="Verdana"/>
          <w:sz w:val="20"/>
          <w:szCs w:val="20"/>
        </w:rPr>
        <w:t xml:space="preserve">n respecto al predio donde dicho monumento será construido, la Corte </w:t>
      </w:r>
      <w:r w:rsidR="008923CD">
        <w:rPr>
          <w:rFonts w:ascii="Verdana" w:hAnsi="Verdana"/>
          <w:sz w:val="20"/>
          <w:szCs w:val="20"/>
        </w:rPr>
        <w:t>observa</w:t>
      </w:r>
      <w:r w:rsidRPr="00527BFA">
        <w:rPr>
          <w:rFonts w:ascii="Verdana" w:hAnsi="Verdana"/>
          <w:sz w:val="20"/>
          <w:szCs w:val="20"/>
        </w:rPr>
        <w:t xml:space="preserve"> que la Alcaldía de Turbo ha instalado una valla </w:t>
      </w:r>
      <w:r w:rsidRPr="00DB4FD3">
        <w:rPr>
          <w:rFonts w:ascii="Verdana" w:hAnsi="Verdana"/>
          <w:sz w:val="20"/>
          <w:szCs w:val="20"/>
        </w:rPr>
        <w:t>en dicho</w:t>
      </w:r>
      <w:r w:rsidRPr="00527BFA">
        <w:rPr>
          <w:rFonts w:ascii="Verdana" w:hAnsi="Verdana"/>
          <w:sz w:val="20"/>
          <w:szCs w:val="20"/>
        </w:rPr>
        <w:t xml:space="preserve"> </w:t>
      </w:r>
      <w:r w:rsidR="00DB4FD3">
        <w:rPr>
          <w:rFonts w:ascii="Verdana" w:hAnsi="Verdana"/>
          <w:sz w:val="20"/>
          <w:szCs w:val="20"/>
        </w:rPr>
        <w:t xml:space="preserve">predio </w:t>
      </w:r>
      <w:r w:rsidRPr="00527BFA">
        <w:rPr>
          <w:rFonts w:ascii="Verdana" w:hAnsi="Verdana"/>
          <w:sz w:val="20"/>
          <w:szCs w:val="20"/>
        </w:rPr>
        <w:t xml:space="preserve">en la que figura el siguiente texto: “Aquí se construirá el monumento en memoria de los 43 desaparecidos de Pueblo Bello, ordenado por sentencia de la Corte </w:t>
      </w:r>
      <w:proofErr w:type="spellStart"/>
      <w:r w:rsidRPr="00527BFA">
        <w:rPr>
          <w:rFonts w:ascii="Verdana" w:hAnsi="Verdana"/>
          <w:sz w:val="20"/>
          <w:szCs w:val="20"/>
        </w:rPr>
        <w:t>lnteramericana</w:t>
      </w:r>
      <w:proofErr w:type="spellEnd"/>
      <w:r w:rsidRPr="00527BFA">
        <w:rPr>
          <w:rFonts w:ascii="Verdana" w:hAnsi="Verdana"/>
          <w:sz w:val="20"/>
          <w:szCs w:val="20"/>
        </w:rPr>
        <w:t xml:space="preserve"> de Derechos Humanos en el caso Masacre de Pueblo Bello vs Colombia”</w:t>
      </w:r>
      <w:r w:rsidRPr="00527BFA">
        <w:rPr>
          <w:rStyle w:val="Refdenotaalpie"/>
          <w:rFonts w:ascii="Verdana" w:hAnsi="Verdana"/>
          <w:sz w:val="20"/>
          <w:szCs w:val="20"/>
        </w:rPr>
        <w:footnoteReference w:id="77"/>
      </w:r>
      <w:r w:rsidRPr="00527BFA">
        <w:rPr>
          <w:rFonts w:ascii="Verdana" w:hAnsi="Verdana"/>
          <w:sz w:val="20"/>
          <w:szCs w:val="20"/>
        </w:rPr>
        <w:t>. Dicha Alcaldía reiteró a la Consejería Presidencial para los Derechos Humanos (entidad encargada de impulsar la implementación de la presente medida</w:t>
      </w:r>
      <w:r w:rsidRPr="00527BFA">
        <w:rPr>
          <w:rStyle w:val="Refdenotaalpie"/>
          <w:rFonts w:ascii="Verdana" w:hAnsi="Verdana"/>
          <w:sz w:val="20"/>
          <w:szCs w:val="20"/>
        </w:rPr>
        <w:footnoteReference w:id="78"/>
      </w:r>
      <w:r w:rsidRPr="00527BFA">
        <w:rPr>
          <w:rFonts w:ascii="Verdana" w:hAnsi="Verdana"/>
          <w:sz w:val="20"/>
          <w:szCs w:val="20"/>
        </w:rPr>
        <w:t xml:space="preserve">) la disponibilidad del </w:t>
      </w:r>
      <w:r w:rsidR="008923CD">
        <w:rPr>
          <w:rFonts w:ascii="Verdana" w:hAnsi="Verdana"/>
          <w:sz w:val="20"/>
          <w:szCs w:val="20"/>
        </w:rPr>
        <w:t xml:space="preserve">predio </w:t>
      </w:r>
      <w:r w:rsidRPr="00527BFA">
        <w:rPr>
          <w:rFonts w:ascii="Verdana" w:hAnsi="Verdana"/>
          <w:sz w:val="20"/>
          <w:szCs w:val="20"/>
        </w:rPr>
        <w:t xml:space="preserve">e informó que se habría instalado una segunda valla en el mismo sitio y con el mismo propósito en la que se lee: “Aquí se construirá el monumento en memoria de los 43 desaparecidos de Pueblo Bello, ordenado por sentencia de la Corte </w:t>
      </w:r>
      <w:proofErr w:type="spellStart"/>
      <w:r w:rsidRPr="00527BFA">
        <w:rPr>
          <w:rFonts w:ascii="Verdana" w:hAnsi="Verdana"/>
          <w:sz w:val="20"/>
          <w:szCs w:val="20"/>
        </w:rPr>
        <w:t>lnteramericana</w:t>
      </w:r>
      <w:proofErr w:type="spellEnd"/>
      <w:r w:rsidRPr="00527BFA">
        <w:rPr>
          <w:rFonts w:ascii="Verdana" w:hAnsi="Verdana"/>
          <w:sz w:val="20"/>
          <w:szCs w:val="20"/>
        </w:rPr>
        <w:t xml:space="preserve"> de Derechos Humanos en el Caso de Pueblo Bello Vs. Colombia. PROHIBIDO OCUPAR”</w:t>
      </w:r>
      <w:r w:rsidRPr="00527BFA">
        <w:rPr>
          <w:rStyle w:val="Refdenotaalpie"/>
          <w:rFonts w:ascii="Verdana" w:hAnsi="Verdana"/>
          <w:sz w:val="20"/>
          <w:szCs w:val="20"/>
        </w:rPr>
        <w:footnoteReference w:id="79"/>
      </w:r>
      <w:r w:rsidRPr="00527BFA">
        <w:rPr>
          <w:rFonts w:ascii="Verdana" w:hAnsi="Verdana"/>
          <w:sz w:val="20"/>
          <w:szCs w:val="20"/>
        </w:rPr>
        <w:t xml:space="preserve">. Por último, la Alcaldía informó que en dicho lote existía una situación de “ocupación irregular” por parte de algunas familias que se asentaron en el terreno, si bien, según la Alcaldía, nada impedía el avance de la implementación de la medida, puesto que desde que se informara del área precisa de ubicación del monumento se procedería a la reubicación de dichas </w:t>
      </w:r>
      <w:r w:rsidRPr="00527BFA">
        <w:rPr>
          <w:rFonts w:ascii="Verdana" w:hAnsi="Verdana"/>
          <w:sz w:val="20"/>
          <w:szCs w:val="20"/>
        </w:rPr>
        <w:lastRenderedPageBreak/>
        <w:t>familias</w:t>
      </w:r>
      <w:r w:rsidRPr="00527BFA">
        <w:rPr>
          <w:rStyle w:val="Refdenotaalpie"/>
          <w:rFonts w:ascii="Verdana" w:hAnsi="Verdana"/>
          <w:sz w:val="20"/>
          <w:szCs w:val="20"/>
        </w:rPr>
        <w:footnoteReference w:id="80"/>
      </w:r>
      <w:r w:rsidRPr="00527BFA">
        <w:rPr>
          <w:rFonts w:ascii="Verdana" w:hAnsi="Verdana"/>
          <w:sz w:val="20"/>
          <w:szCs w:val="20"/>
        </w:rPr>
        <w:t>.</w:t>
      </w:r>
    </w:p>
    <w:p w14:paraId="5E976850" w14:textId="77777777" w:rsidR="00DF5C83" w:rsidRPr="00527BFA" w:rsidRDefault="00DF5C83" w:rsidP="00DF5C83">
      <w:pPr>
        <w:widowControl w:val="0"/>
        <w:tabs>
          <w:tab w:val="left" w:pos="567"/>
        </w:tabs>
        <w:adjustRightInd w:val="0"/>
        <w:jc w:val="both"/>
        <w:textAlignment w:val="baseline"/>
        <w:rPr>
          <w:rFonts w:ascii="Verdana" w:hAnsi="Verdana"/>
          <w:sz w:val="20"/>
          <w:szCs w:val="20"/>
        </w:rPr>
      </w:pPr>
    </w:p>
    <w:p w14:paraId="7189B5D4" w14:textId="7429921F" w:rsidR="00335376" w:rsidRPr="00527BFA" w:rsidRDefault="00520CD7" w:rsidP="00C6162E">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527BFA">
        <w:rPr>
          <w:rFonts w:ascii="Verdana" w:hAnsi="Verdana"/>
          <w:sz w:val="20"/>
          <w:szCs w:val="20"/>
        </w:rPr>
        <w:t>S</w:t>
      </w:r>
      <w:r w:rsidR="00765597">
        <w:rPr>
          <w:rFonts w:ascii="Verdana" w:hAnsi="Verdana"/>
          <w:sz w:val="20"/>
          <w:szCs w:val="20"/>
        </w:rPr>
        <w:t>o</w:t>
      </w:r>
      <w:r w:rsidRPr="00527BFA">
        <w:rPr>
          <w:rFonts w:ascii="Verdana" w:hAnsi="Verdana"/>
          <w:sz w:val="20"/>
          <w:szCs w:val="20"/>
        </w:rPr>
        <w:t>bre este particular,</w:t>
      </w:r>
      <w:r w:rsidR="00911655" w:rsidRPr="00527BFA">
        <w:rPr>
          <w:rFonts w:ascii="Verdana" w:hAnsi="Verdana"/>
          <w:sz w:val="20"/>
          <w:szCs w:val="20"/>
        </w:rPr>
        <w:t xml:space="preserve"> l</w:t>
      </w:r>
      <w:r w:rsidR="00335376" w:rsidRPr="00527BFA">
        <w:rPr>
          <w:rFonts w:ascii="Verdana" w:hAnsi="Verdana"/>
          <w:sz w:val="20"/>
          <w:szCs w:val="20"/>
        </w:rPr>
        <w:t xml:space="preserve">os representantes indicaron que el 2 de mayo de 2019 se reunieron en Pueblo Bello con representantes del Ministerio de Relaciones Exteriores para la constatación tanto </w:t>
      </w:r>
      <w:r w:rsidR="000A29D1">
        <w:rPr>
          <w:rFonts w:ascii="Verdana" w:hAnsi="Verdana"/>
          <w:sz w:val="20"/>
          <w:szCs w:val="20"/>
        </w:rPr>
        <w:t xml:space="preserve">de </w:t>
      </w:r>
      <w:r w:rsidR="00335376" w:rsidRPr="00527BFA">
        <w:rPr>
          <w:rFonts w:ascii="Verdana" w:hAnsi="Verdana"/>
          <w:sz w:val="20"/>
          <w:szCs w:val="20"/>
        </w:rPr>
        <w:t xml:space="preserve">la disponibilidad física como </w:t>
      </w:r>
      <w:r w:rsidR="000A29D1">
        <w:rPr>
          <w:rFonts w:ascii="Verdana" w:hAnsi="Verdana"/>
          <w:sz w:val="20"/>
          <w:szCs w:val="20"/>
        </w:rPr>
        <w:t xml:space="preserve">de </w:t>
      </w:r>
      <w:r w:rsidR="00335376" w:rsidRPr="00527BFA">
        <w:rPr>
          <w:rFonts w:ascii="Verdana" w:hAnsi="Verdana"/>
          <w:sz w:val="20"/>
          <w:szCs w:val="20"/>
        </w:rPr>
        <w:t>la disponibilidad jurídica del terreno para realización de la construcción del monumento</w:t>
      </w:r>
      <w:r w:rsidR="00335376" w:rsidRPr="00527BFA">
        <w:rPr>
          <w:rStyle w:val="Refdenotaalpie"/>
          <w:rFonts w:ascii="Verdana" w:hAnsi="Verdana"/>
          <w:sz w:val="20"/>
          <w:szCs w:val="20"/>
        </w:rPr>
        <w:footnoteReference w:id="81"/>
      </w:r>
      <w:r w:rsidR="00335376" w:rsidRPr="00527BFA">
        <w:rPr>
          <w:rFonts w:ascii="Verdana" w:hAnsi="Verdana"/>
          <w:sz w:val="20"/>
          <w:szCs w:val="20"/>
        </w:rPr>
        <w:t>. Añadieron que mantuvieron una reunión el 1 de agosto de 2019 con funcionarios de la Consejería Presidencial para Derechos Humanos, quienes les informaron que debía realizarse una visita a Pueblo Bello con representantes del Ministerio de Cultura para constatar “el estado del terreno, la disposición (física y jurídica del mismo)</w:t>
      </w:r>
      <w:r w:rsidR="004D0AF6">
        <w:rPr>
          <w:rFonts w:ascii="Verdana" w:hAnsi="Verdana"/>
          <w:sz w:val="20"/>
          <w:szCs w:val="20"/>
        </w:rPr>
        <w:t>”</w:t>
      </w:r>
      <w:r w:rsidR="00335376" w:rsidRPr="00527BFA">
        <w:rPr>
          <w:rFonts w:ascii="Verdana" w:hAnsi="Verdana"/>
          <w:sz w:val="20"/>
          <w:szCs w:val="20"/>
        </w:rPr>
        <w:t>, así como “los requerimientos para iniciar la construcción”</w:t>
      </w:r>
      <w:r w:rsidR="00335376" w:rsidRPr="00527BFA">
        <w:rPr>
          <w:rStyle w:val="Refdenotaalpie"/>
          <w:rFonts w:ascii="Verdana" w:hAnsi="Verdana"/>
          <w:sz w:val="20"/>
          <w:szCs w:val="20"/>
        </w:rPr>
        <w:footnoteReference w:id="82"/>
      </w:r>
      <w:r w:rsidR="00335376" w:rsidRPr="00527BFA">
        <w:rPr>
          <w:rFonts w:ascii="Verdana" w:hAnsi="Verdana"/>
          <w:sz w:val="20"/>
          <w:szCs w:val="20"/>
        </w:rPr>
        <w:t xml:space="preserve">. La Corte no dispone de información adicional respecto a si dicha visita ha tenido finalmente lugar o no. </w:t>
      </w:r>
    </w:p>
    <w:p w14:paraId="4B116E04" w14:textId="77777777" w:rsidR="00DF5C83" w:rsidRPr="00527BFA" w:rsidRDefault="00DF5C83" w:rsidP="00DF5C83">
      <w:pPr>
        <w:widowControl w:val="0"/>
        <w:tabs>
          <w:tab w:val="left" w:pos="567"/>
        </w:tabs>
        <w:adjustRightInd w:val="0"/>
        <w:jc w:val="both"/>
        <w:textAlignment w:val="baseline"/>
        <w:rPr>
          <w:rFonts w:ascii="Verdana" w:hAnsi="Verdana"/>
          <w:sz w:val="20"/>
          <w:szCs w:val="20"/>
        </w:rPr>
      </w:pPr>
    </w:p>
    <w:p w14:paraId="76B66DC9" w14:textId="0CFD56EB" w:rsidR="009A5AA0" w:rsidRPr="008923CD" w:rsidRDefault="004E23BB" w:rsidP="006A0894">
      <w:pPr>
        <w:widowControl w:val="0"/>
        <w:numPr>
          <w:ilvl w:val="0"/>
          <w:numId w:val="8"/>
        </w:numPr>
        <w:tabs>
          <w:tab w:val="left" w:pos="567"/>
          <w:tab w:val="num" w:pos="12305"/>
        </w:tabs>
        <w:adjustRightInd w:val="0"/>
        <w:ind w:left="0" w:firstLine="0"/>
        <w:jc w:val="both"/>
        <w:textAlignment w:val="baseline"/>
        <w:rPr>
          <w:rFonts w:ascii="Verdana" w:eastAsia="Times New Roman" w:hAnsi="Verdana" w:cs="ArialNarrow"/>
          <w:sz w:val="20"/>
          <w:szCs w:val="20"/>
          <w:lang w:val="es-CR" w:eastAsia="es-CR"/>
        </w:rPr>
      </w:pPr>
      <w:r w:rsidRPr="008923CD">
        <w:rPr>
          <w:rFonts w:ascii="Verdana" w:hAnsi="Verdana"/>
          <w:sz w:val="20"/>
          <w:szCs w:val="20"/>
        </w:rPr>
        <w:t>L</w:t>
      </w:r>
      <w:r w:rsidR="00765597">
        <w:rPr>
          <w:rFonts w:ascii="Verdana" w:hAnsi="Verdana"/>
          <w:sz w:val="20"/>
          <w:szCs w:val="20"/>
        </w:rPr>
        <w:t>a</w:t>
      </w:r>
      <w:r w:rsidRPr="008923CD">
        <w:rPr>
          <w:rFonts w:ascii="Verdana" w:hAnsi="Verdana"/>
          <w:sz w:val="20"/>
          <w:szCs w:val="20"/>
        </w:rPr>
        <w:t xml:space="preserve"> Corte destaca la necesidad de que se avance y culmine de forma pronta la ejecución de esta medida, tomando en cuenta que han transcurrido más de catorce años desde la notificación de la Sentencia. El Tribunal valora positivamente que</w:t>
      </w:r>
      <w:r w:rsidR="00911655" w:rsidRPr="008923CD">
        <w:rPr>
          <w:rFonts w:ascii="Verdana" w:hAnsi="Verdana"/>
          <w:sz w:val="20"/>
          <w:szCs w:val="20"/>
        </w:rPr>
        <w:t xml:space="preserve"> las partes hayan llegado a un acuerdo con respecto a la propuesta presentada por el Maestro Germán Botero y que ya se haya procedido a la </w:t>
      </w:r>
      <w:r w:rsidR="00911655" w:rsidRPr="008923CD">
        <w:rPr>
          <w:rFonts w:ascii="Verdana" w:eastAsia="Times New Roman" w:hAnsi="Verdana" w:cs="Arial"/>
          <w:iCs/>
          <w:sz w:val="20"/>
          <w:szCs w:val="20"/>
          <w:lang w:val="es-CR" w:eastAsia="es-CR"/>
        </w:rPr>
        <w:t xml:space="preserve">contratación del artista </w:t>
      </w:r>
      <w:r w:rsidR="00911655" w:rsidRPr="008923CD">
        <w:rPr>
          <w:rFonts w:ascii="Verdana" w:hAnsi="Verdana"/>
          <w:sz w:val="20"/>
          <w:szCs w:val="20"/>
        </w:rPr>
        <w:t>seleccionado, con el oportuno aprovisionamiento presupuestario</w:t>
      </w:r>
      <w:r w:rsidR="009D41D5">
        <w:rPr>
          <w:rFonts w:ascii="Verdana" w:hAnsi="Verdana"/>
          <w:sz w:val="20"/>
          <w:szCs w:val="20"/>
        </w:rPr>
        <w:t xml:space="preserve"> para el abono de sus honorarios</w:t>
      </w:r>
      <w:r w:rsidR="00911655" w:rsidRPr="008923CD">
        <w:rPr>
          <w:rFonts w:ascii="Verdana" w:hAnsi="Verdana"/>
          <w:sz w:val="20"/>
          <w:szCs w:val="20"/>
        </w:rPr>
        <w:t xml:space="preserve">. No obstante lo anterior, </w:t>
      </w:r>
      <w:r w:rsidR="00911655" w:rsidRPr="00BE6318">
        <w:rPr>
          <w:rFonts w:ascii="Verdana" w:hAnsi="Verdana"/>
          <w:sz w:val="20"/>
          <w:szCs w:val="20"/>
        </w:rPr>
        <w:t>el Tribunal nota con p</w:t>
      </w:r>
      <w:r w:rsidR="009A5AA0" w:rsidRPr="00BE6318">
        <w:rPr>
          <w:rFonts w:ascii="Verdana" w:eastAsia="Times New Roman" w:hAnsi="Verdana" w:cs="ArialNarrow"/>
          <w:sz w:val="20"/>
          <w:szCs w:val="20"/>
          <w:lang w:val="es-CR" w:eastAsia="es-CR"/>
        </w:rPr>
        <w:t>reocupación</w:t>
      </w:r>
      <w:r w:rsidR="008923CD" w:rsidRPr="00BE6318">
        <w:rPr>
          <w:rFonts w:ascii="Verdana" w:eastAsia="Times New Roman" w:hAnsi="Verdana" w:cs="ArialNarrow"/>
          <w:sz w:val="20"/>
          <w:szCs w:val="20"/>
          <w:lang w:val="es-CR" w:eastAsia="es-CR"/>
        </w:rPr>
        <w:t xml:space="preserve"> que,</w:t>
      </w:r>
      <w:r w:rsidR="009A5AA0" w:rsidRPr="00BE6318">
        <w:rPr>
          <w:rFonts w:ascii="Verdana" w:eastAsia="Times New Roman" w:hAnsi="Verdana" w:cs="ArialNarrow"/>
          <w:sz w:val="20"/>
          <w:szCs w:val="20"/>
          <w:lang w:val="es-CR" w:eastAsia="es-CR"/>
        </w:rPr>
        <w:t xml:space="preserve"> en la actualidad</w:t>
      </w:r>
      <w:r w:rsidR="008923CD" w:rsidRPr="00BE6318">
        <w:rPr>
          <w:rFonts w:ascii="Verdana" w:eastAsia="Times New Roman" w:hAnsi="Verdana" w:cs="ArialNarrow"/>
          <w:sz w:val="20"/>
          <w:szCs w:val="20"/>
          <w:lang w:val="es-CR" w:eastAsia="es-CR"/>
        </w:rPr>
        <w:t>,</w:t>
      </w:r>
      <w:r w:rsidR="009A5AA0" w:rsidRPr="00BE6318">
        <w:rPr>
          <w:rFonts w:ascii="Verdana" w:eastAsia="Times New Roman" w:hAnsi="Verdana" w:cs="ArialNarrow"/>
          <w:sz w:val="20"/>
          <w:szCs w:val="20"/>
          <w:lang w:val="es-CR" w:eastAsia="es-CR"/>
        </w:rPr>
        <w:t xml:space="preserve"> el predio en donde se espera construir el monumento ha sido invadido por</w:t>
      </w:r>
      <w:r w:rsidR="00911655" w:rsidRPr="00BE6318">
        <w:rPr>
          <w:rFonts w:ascii="Verdana" w:eastAsia="Times New Roman" w:hAnsi="Verdana" w:cs="ArialNarrow"/>
          <w:sz w:val="20"/>
          <w:szCs w:val="20"/>
          <w:lang w:val="es-CR" w:eastAsia="es-CR"/>
        </w:rPr>
        <w:t xml:space="preserve"> </w:t>
      </w:r>
      <w:r w:rsidR="009A5AA0" w:rsidRPr="00BE6318">
        <w:rPr>
          <w:rFonts w:ascii="Verdana" w:eastAsia="Times New Roman" w:hAnsi="Verdana" w:cs="ArialNarrow"/>
          <w:sz w:val="20"/>
          <w:szCs w:val="20"/>
          <w:lang w:val="es-CR" w:eastAsia="es-CR"/>
        </w:rPr>
        <w:t>terceros</w:t>
      </w:r>
      <w:r w:rsidR="00767EF5" w:rsidRPr="00BE6318">
        <w:rPr>
          <w:rStyle w:val="Refdenotaalpie"/>
          <w:rFonts w:ascii="Verdana" w:eastAsia="Times New Roman" w:hAnsi="Verdana" w:cs="ArialNarrow"/>
          <w:sz w:val="20"/>
          <w:szCs w:val="20"/>
          <w:lang w:val="es-CR" w:eastAsia="es-CR"/>
        </w:rPr>
        <w:footnoteReference w:id="83"/>
      </w:r>
      <w:r w:rsidR="009A5AA0" w:rsidRPr="00BE6318">
        <w:rPr>
          <w:rFonts w:ascii="Verdana" w:eastAsia="Times New Roman" w:hAnsi="Verdana" w:cs="ArialNarrow"/>
          <w:sz w:val="20"/>
          <w:szCs w:val="20"/>
          <w:lang w:val="es-CR" w:eastAsia="es-CR"/>
        </w:rPr>
        <w:t xml:space="preserve">, sin que </w:t>
      </w:r>
      <w:r w:rsidR="00767EF5" w:rsidRPr="00BE6318">
        <w:rPr>
          <w:rFonts w:ascii="Verdana" w:eastAsia="Times New Roman" w:hAnsi="Verdana" w:cs="ArialNarrow"/>
          <w:sz w:val="20"/>
          <w:szCs w:val="20"/>
          <w:lang w:val="es-CR" w:eastAsia="es-CR"/>
        </w:rPr>
        <w:t xml:space="preserve">se haya </w:t>
      </w:r>
      <w:r w:rsidR="00767EF5" w:rsidRPr="00BE6318">
        <w:rPr>
          <w:rFonts w:ascii="Verdana" w:hAnsi="Verdana"/>
          <w:sz w:val="20"/>
          <w:szCs w:val="20"/>
        </w:rPr>
        <w:t>aportado</w:t>
      </w:r>
      <w:r w:rsidR="00767EF5" w:rsidRPr="00BE6318">
        <w:rPr>
          <w:rFonts w:ascii="Verdana" w:eastAsia="Times New Roman" w:hAnsi="Verdana" w:cs="ArialNarrow"/>
          <w:sz w:val="20"/>
          <w:szCs w:val="20"/>
          <w:lang w:val="es-CR" w:eastAsia="es-CR"/>
        </w:rPr>
        <w:t xml:space="preserve"> a la Corte prueba alguna que acredite que se han adoptado (siquiera iniciado) </w:t>
      </w:r>
      <w:r w:rsidR="009A5AA0" w:rsidRPr="00BE6318">
        <w:rPr>
          <w:rFonts w:ascii="Verdana" w:eastAsia="Times New Roman" w:hAnsi="Verdana" w:cs="ArialNarrow"/>
          <w:sz w:val="20"/>
          <w:szCs w:val="20"/>
          <w:lang w:val="es-CR" w:eastAsia="es-CR"/>
        </w:rPr>
        <w:t xml:space="preserve">acciones encaminadas a garantizar la integridad y posesión de dicho </w:t>
      </w:r>
      <w:r w:rsidR="009A5AA0" w:rsidRPr="00BE6318">
        <w:rPr>
          <w:rFonts w:ascii="Verdana" w:hAnsi="Verdana"/>
          <w:sz w:val="20"/>
          <w:szCs w:val="20"/>
        </w:rPr>
        <w:t>predio</w:t>
      </w:r>
      <w:r w:rsidR="00767EF5" w:rsidRPr="00BE6318">
        <w:rPr>
          <w:rFonts w:ascii="Verdana" w:eastAsia="Times New Roman" w:hAnsi="Verdana" w:cs="ArialNarrow"/>
          <w:sz w:val="20"/>
          <w:szCs w:val="20"/>
          <w:lang w:val="es-CR" w:eastAsia="es-CR"/>
        </w:rPr>
        <w:t xml:space="preserve">, así como </w:t>
      </w:r>
      <w:r w:rsidR="009A5AA0" w:rsidRPr="00BE6318">
        <w:rPr>
          <w:rFonts w:ascii="Verdana" w:eastAsia="Times New Roman" w:hAnsi="Verdana" w:cs="ArialNarrow"/>
          <w:sz w:val="20"/>
          <w:szCs w:val="20"/>
          <w:lang w:val="es-CR" w:eastAsia="es-CR"/>
        </w:rPr>
        <w:t xml:space="preserve">su futuro uso para la construcción del monumento. </w:t>
      </w:r>
      <w:r w:rsidR="00911655" w:rsidRPr="00BE6318">
        <w:rPr>
          <w:rFonts w:ascii="Verdana" w:eastAsia="Times New Roman" w:hAnsi="Verdana" w:cs="ArialNarrow"/>
          <w:sz w:val="20"/>
          <w:szCs w:val="20"/>
          <w:lang w:val="es-CR" w:eastAsia="es-CR"/>
        </w:rPr>
        <w:t xml:space="preserve">Adicionalmente, la Corte observa que la Consejería </w:t>
      </w:r>
      <w:r w:rsidR="00911655" w:rsidRPr="00BE6318">
        <w:rPr>
          <w:rFonts w:ascii="Verdana" w:hAnsi="Verdana"/>
          <w:sz w:val="20"/>
          <w:szCs w:val="20"/>
        </w:rPr>
        <w:t>Presidencial</w:t>
      </w:r>
      <w:r w:rsidR="00911655" w:rsidRPr="00BE6318">
        <w:rPr>
          <w:rFonts w:ascii="Verdana" w:eastAsia="Times New Roman" w:hAnsi="Verdana" w:cs="ArialNarrow"/>
          <w:sz w:val="20"/>
          <w:szCs w:val="20"/>
          <w:lang w:val="es-CR" w:eastAsia="es-CR"/>
        </w:rPr>
        <w:t xml:space="preserve"> para los Derechos Humanos </w:t>
      </w:r>
      <w:r w:rsidR="00767EF5" w:rsidRPr="00BE6318">
        <w:rPr>
          <w:rFonts w:ascii="Verdana" w:eastAsia="Times New Roman" w:hAnsi="Verdana" w:cs="ArialNarrow"/>
          <w:sz w:val="20"/>
          <w:szCs w:val="20"/>
          <w:lang w:val="es-CR" w:eastAsia="es-CR"/>
        </w:rPr>
        <w:t xml:space="preserve">ha </w:t>
      </w:r>
      <w:r w:rsidR="00520CD7" w:rsidRPr="00BE6318">
        <w:rPr>
          <w:rFonts w:ascii="Verdana" w:eastAsia="Times New Roman" w:hAnsi="Verdana" w:cs="ArialNarrow"/>
          <w:sz w:val="20"/>
          <w:szCs w:val="20"/>
          <w:lang w:val="es-CR" w:eastAsia="es-CR"/>
        </w:rPr>
        <w:t>argüido</w:t>
      </w:r>
      <w:r w:rsidR="00911655" w:rsidRPr="00BE6318">
        <w:rPr>
          <w:rFonts w:ascii="Verdana" w:eastAsia="Times New Roman" w:hAnsi="Verdana" w:cs="ArialNarrow"/>
          <w:sz w:val="20"/>
          <w:szCs w:val="20"/>
          <w:lang w:val="es-CR" w:eastAsia="es-CR"/>
        </w:rPr>
        <w:t xml:space="preserve"> que no</w:t>
      </w:r>
      <w:r w:rsidR="00911655" w:rsidRPr="004D0AF6">
        <w:rPr>
          <w:rFonts w:ascii="Verdana" w:eastAsia="Times New Roman" w:hAnsi="Verdana" w:cs="ArialNarrow"/>
          <w:sz w:val="20"/>
          <w:szCs w:val="20"/>
          <w:lang w:val="es-CR" w:eastAsia="es-CR"/>
        </w:rPr>
        <w:t xml:space="preserve"> </w:t>
      </w:r>
      <w:r w:rsidR="00911655" w:rsidRPr="00BE6318">
        <w:rPr>
          <w:rFonts w:ascii="Verdana" w:eastAsia="Times New Roman" w:hAnsi="Verdana" w:cs="ArialNarrow"/>
          <w:sz w:val="20"/>
          <w:szCs w:val="20"/>
          <w:lang w:val="es-CR" w:eastAsia="es-CR"/>
        </w:rPr>
        <w:t xml:space="preserve">puede solicitar la partida presupuestal </w:t>
      </w:r>
      <w:r w:rsidR="00767EF5" w:rsidRPr="00BE6318">
        <w:rPr>
          <w:rFonts w:ascii="Verdana" w:eastAsia="Times New Roman" w:hAnsi="Verdana" w:cs="ArialNarrow"/>
          <w:sz w:val="20"/>
          <w:szCs w:val="20"/>
          <w:lang w:val="es-CR" w:eastAsia="es-CR"/>
        </w:rPr>
        <w:t xml:space="preserve">correspondiente para </w:t>
      </w:r>
      <w:r w:rsidR="009D41D5" w:rsidRPr="00BE6318">
        <w:rPr>
          <w:rFonts w:ascii="Verdana" w:eastAsia="Times New Roman" w:hAnsi="Verdana" w:cs="ArialNarrow"/>
          <w:sz w:val="20"/>
          <w:szCs w:val="20"/>
          <w:lang w:val="es-CR" w:eastAsia="es-CR"/>
        </w:rPr>
        <w:t xml:space="preserve">cubrir los gastos de </w:t>
      </w:r>
      <w:r w:rsidR="00767EF5" w:rsidRPr="00BE6318">
        <w:rPr>
          <w:rFonts w:ascii="Verdana" w:eastAsia="Times New Roman" w:hAnsi="Verdana" w:cs="ArialNarrow"/>
          <w:sz w:val="20"/>
          <w:szCs w:val="20"/>
          <w:lang w:val="es-CR" w:eastAsia="es-CR"/>
        </w:rPr>
        <w:t xml:space="preserve">la ejecución del proyecto </w:t>
      </w:r>
      <w:r w:rsidR="00911655" w:rsidRPr="00BE6318">
        <w:rPr>
          <w:rFonts w:ascii="Verdana" w:eastAsia="Times New Roman" w:hAnsi="Verdana" w:cs="ArialNarrow"/>
          <w:sz w:val="20"/>
          <w:szCs w:val="20"/>
          <w:lang w:val="es-CR" w:eastAsia="es-CR"/>
        </w:rPr>
        <w:t xml:space="preserve">hasta que no se evacúe el </w:t>
      </w:r>
      <w:r w:rsidR="00911655" w:rsidRPr="00BE6318">
        <w:rPr>
          <w:rFonts w:ascii="Verdana" w:hAnsi="Verdana"/>
          <w:sz w:val="20"/>
          <w:szCs w:val="20"/>
        </w:rPr>
        <w:t>terreno</w:t>
      </w:r>
      <w:r w:rsidR="00911655" w:rsidRPr="00BE6318">
        <w:rPr>
          <w:rStyle w:val="Refdenotaalpie"/>
          <w:rFonts w:ascii="Verdana" w:eastAsia="Times New Roman" w:hAnsi="Verdana" w:cs="ArialNarrow"/>
          <w:sz w:val="20"/>
          <w:szCs w:val="20"/>
          <w:lang w:val="es-CR" w:eastAsia="es-CR"/>
        </w:rPr>
        <w:footnoteReference w:id="84"/>
      </w:r>
      <w:r w:rsidR="00911655" w:rsidRPr="00BE6318">
        <w:rPr>
          <w:rFonts w:ascii="Verdana" w:eastAsia="Times New Roman" w:hAnsi="Verdana" w:cs="ArialNarrow"/>
          <w:sz w:val="20"/>
          <w:szCs w:val="20"/>
          <w:lang w:val="es-CR" w:eastAsia="es-CR"/>
        </w:rPr>
        <w:t>.</w:t>
      </w:r>
      <w:r w:rsidR="00767EF5" w:rsidRPr="008923CD">
        <w:rPr>
          <w:rFonts w:ascii="Verdana" w:eastAsia="Times New Roman" w:hAnsi="Verdana" w:cs="ArialNarrow"/>
          <w:sz w:val="20"/>
          <w:szCs w:val="20"/>
          <w:lang w:val="es-CR" w:eastAsia="es-CR"/>
        </w:rPr>
        <w:t xml:space="preserve"> </w:t>
      </w:r>
      <w:r w:rsidR="00520CD7" w:rsidRPr="008923CD">
        <w:rPr>
          <w:rFonts w:ascii="Verdana" w:eastAsia="Times New Roman" w:hAnsi="Verdana" w:cs="ArialNarrow"/>
          <w:sz w:val="20"/>
          <w:szCs w:val="20"/>
          <w:lang w:val="es-CR" w:eastAsia="es-CR"/>
        </w:rPr>
        <w:t xml:space="preserve">Por último, </w:t>
      </w:r>
      <w:r w:rsidR="00767EF5" w:rsidRPr="008923CD">
        <w:rPr>
          <w:rFonts w:ascii="Verdana" w:eastAsia="Times New Roman" w:hAnsi="Verdana" w:cs="ArialNarrow"/>
          <w:sz w:val="20"/>
          <w:szCs w:val="20"/>
          <w:lang w:val="es-CR" w:eastAsia="es-CR"/>
        </w:rPr>
        <w:t xml:space="preserve">la Corte </w:t>
      </w:r>
      <w:r w:rsidR="00520CD7" w:rsidRPr="008923CD">
        <w:rPr>
          <w:rFonts w:ascii="Verdana" w:eastAsia="Times New Roman" w:hAnsi="Verdana" w:cs="ArialNarrow"/>
          <w:sz w:val="20"/>
          <w:szCs w:val="20"/>
          <w:lang w:val="es-CR" w:eastAsia="es-CR"/>
        </w:rPr>
        <w:t xml:space="preserve">nota que </w:t>
      </w:r>
      <w:r w:rsidR="00767EF5" w:rsidRPr="008923CD">
        <w:rPr>
          <w:rFonts w:ascii="Verdana" w:eastAsia="Times New Roman" w:hAnsi="Verdana" w:cs="ArialNarrow"/>
          <w:sz w:val="20"/>
          <w:szCs w:val="20"/>
          <w:lang w:val="es-CR" w:eastAsia="es-CR"/>
        </w:rPr>
        <w:t xml:space="preserve">no cuenta con información específica relativa al </w:t>
      </w:r>
      <w:r w:rsidR="00911655" w:rsidRPr="008923CD">
        <w:rPr>
          <w:rFonts w:ascii="Verdana" w:eastAsia="Times New Roman" w:hAnsi="Verdana" w:cs="ArialNarrow"/>
          <w:sz w:val="20"/>
          <w:szCs w:val="20"/>
          <w:lang w:val="es-CR" w:eastAsia="es-CR"/>
        </w:rPr>
        <w:t>oportuno</w:t>
      </w:r>
      <w:r w:rsidR="009A5AA0" w:rsidRPr="008923CD">
        <w:rPr>
          <w:rFonts w:ascii="Verdana" w:eastAsia="Times New Roman" w:hAnsi="Verdana" w:cs="ArialNarrow"/>
          <w:sz w:val="20"/>
          <w:szCs w:val="20"/>
          <w:lang w:val="es-CR" w:eastAsia="es-CR"/>
        </w:rPr>
        <w:t xml:space="preserve"> cronograma de implementación del proyecto.</w:t>
      </w:r>
    </w:p>
    <w:p w14:paraId="4F9EAC28" w14:textId="77777777" w:rsidR="00DF5C83" w:rsidRPr="00527BFA" w:rsidRDefault="00DF5C83" w:rsidP="00DF5C83">
      <w:pPr>
        <w:widowControl w:val="0"/>
        <w:tabs>
          <w:tab w:val="left" w:pos="567"/>
        </w:tabs>
        <w:adjustRightInd w:val="0"/>
        <w:jc w:val="both"/>
        <w:textAlignment w:val="baseline"/>
        <w:rPr>
          <w:rFonts w:ascii="Verdana" w:eastAsia="Times New Roman" w:hAnsi="Verdana" w:cs="ArialNarrow"/>
          <w:sz w:val="20"/>
          <w:szCs w:val="20"/>
          <w:lang w:val="es-CR" w:eastAsia="es-CR"/>
        </w:rPr>
      </w:pPr>
    </w:p>
    <w:p w14:paraId="153F695A" w14:textId="595E0D0D" w:rsidR="004E23BB" w:rsidRPr="008923CD" w:rsidRDefault="00767EF5" w:rsidP="006A0894">
      <w:pPr>
        <w:widowControl w:val="0"/>
        <w:numPr>
          <w:ilvl w:val="0"/>
          <w:numId w:val="8"/>
        </w:numPr>
        <w:tabs>
          <w:tab w:val="left" w:pos="567"/>
          <w:tab w:val="num" w:pos="12305"/>
        </w:tabs>
        <w:adjustRightInd w:val="0"/>
        <w:ind w:left="0" w:firstLine="0"/>
        <w:jc w:val="both"/>
        <w:textAlignment w:val="baseline"/>
        <w:rPr>
          <w:rFonts w:ascii="Verdana" w:hAnsi="Verdana"/>
          <w:sz w:val="20"/>
          <w:szCs w:val="20"/>
        </w:rPr>
      </w:pPr>
      <w:r w:rsidRPr="008923CD">
        <w:rPr>
          <w:rFonts w:ascii="Verdana" w:hAnsi="Verdana"/>
          <w:sz w:val="20"/>
          <w:szCs w:val="20"/>
        </w:rPr>
        <w:t>E</w:t>
      </w:r>
      <w:r w:rsidR="00765597">
        <w:rPr>
          <w:rFonts w:ascii="Verdana" w:hAnsi="Verdana"/>
          <w:sz w:val="20"/>
          <w:szCs w:val="20"/>
        </w:rPr>
        <w:t>s</w:t>
      </w:r>
      <w:r w:rsidRPr="008923CD">
        <w:rPr>
          <w:rFonts w:ascii="Verdana" w:hAnsi="Verdana"/>
          <w:sz w:val="20"/>
          <w:szCs w:val="20"/>
        </w:rPr>
        <w:t xml:space="preserve">te </w:t>
      </w:r>
      <w:r w:rsidR="00911655" w:rsidRPr="008923CD">
        <w:rPr>
          <w:rFonts w:ascii="Verdana" w:hAnsi="Verdana"/>
          <w:sz w:val="20"/>
          <w:szCs w:val="20"/>
        </w:rPr>
        <w:t xml:space="preserve">Tribunal </w:t>
      </w:r>
      <w:r w:rsidR="008923CD" w:rsidRPr="008923CD">
        <w:rPr>
          <w:rFonts w:ascii="Verdana" w:hAnsi="Verdana"/>
          <w:sz w:val="20"/>
          <w:szCs w:val="20"/>
        </w:rPr>
        <w:t xml:space="preserve">reitera que en la Sentencia se </w:t>
      </w:r>
      <w:r w:rsidR="00CC6B61" w:rsidRPr="008923CD">
        <w:rPr>
          <w:rFonts w:ascii="Verdana" w:hAnsi="Verdana"/>
          <w:sz w:val="20"/>
          <w:szCs w:val="20"/>
        </w:rPr>
        <w:t xml:space="preserve">otorgó un plazo de un año para la construcción del referido monumento y, </w:t>
      </w:r>
      <w:r w:rsidR="004E23BB" w:rsidRPr="008923CD">
        <w:rPr>
          <w:rFonts w:ascii="Verdana" w:hAnsi="Verdana"/>
          <w:sz w:val="20"/>
          <w:szCs w:val="20"/>
        </w:rPr>
        <w:t xml:space="preserve">tal y como se ha señalado, </w:t>
      </w:r>
      <w:r w:rsidR="00CC6B61" w:rsidRPr="008923CD">
        <w:rPr>
          <w:rFonts w:ascii="Verdana" w:hAnsi="Verdana"/>
          <w:sz w:val="20"/>
          <w:szCs w:val="20"/>
        </w:rPr>
        <w:t xml:space="preserve">luego de transcurridos más de </w:t>
      </w:r>
      <w:r w:rsidR="004E23BB" w:rsidRPr="008923CD">
        <w:rPr>
          <w:rFonts w:ascii="Verdana" w:hAnsi="Verdana"/>
          <w:sz w:val="20"/>
          <w:szCs w:val="20"/>
        </w:rPr>
        <w:t xml:space="preserve">catorce </w:t>
      </w:r>
      <w:r w:rsidR="00CC6B61" w:rsidRPr="008923CD">
        <w:rPr>
          <w:rFonts w:ascii="Verdana" w:hAnsi="Verdana"/>
          <w:sz w:val="20"/>
          <w:szCs w:val="20"/>
        </w:rPr>
        <w:t xml:space="preserve">años desde que se notificó la Sentencia, el Estado no ha cumplido con la presente reparación. A la vista de lo anterior, </w:t>
      </w:r>
      <w:r w:rsidRPr="008923CD">
        <w:rPr>
          <w:rFonts w:ascii="Verdana" w:hAnsi="Verdana"/>
          <w:sz w:val="20"/>
          <w:szCs w:val="20"/>
        </w:rPr>
        <w:t>la Corte considera que la medida ordenada en el punto resolutivo decimocuarto de la Sentencia se encuentra pendiente de cumplimiento y requiere</w:t>
      </w:r>
      <w:r w:rsidR="00582BD3" w:rsidRPr="008923CD">
        <w:rPr>
          <w:rFonts w:ascii="Verdana" w:hAnsi="Verdana"/>
          <w:sz w:val="20"/>
          <w:szCs w:val="20"/>
        </w:rPr>
        <w:t xml:space="preserve"> al Estado a que contin</w:t>
      </w:r>
      <w:r w:rsidR="0052396D">
        <w:rPr>
          <w:rFonts w:ascii="Verdana" w:hAnsi="Verdana"/>
          <w:sz w:val="20"/>
          <w:szCs w:val="20"/>
        </w:rPr>
        <w:t xml:space="preserve">úe con las gestiones iniciadas </w:t>
      </w:r>
      <w:r w:rsidR="00582BD3" w:rsidRPr="008923CD">
        <w:rPr>
          <w:rFonts w:ascii="Verdana" w:hAnsi="Verdana"/>
          <w:sz w:val="20"/>
          <w:szCs w:val="20"/>
        </w:rPr>
        <w:t>a fin de que</w:t>
      </w:r>
      <w:r w:rsidRPr="008923CD">
        <w:rPr>
          <w:rFonts w:ascii="Verdana" w:hAnsi="Verdana"/>
          <w:sz w:val="20"/>
          <w:szCs w:val="20"/>
        </w:rPr>
        <w:t xml:space="preserve"> sean eliminados todos los obstáculos que impiden la ejecución del proyecto (y, en particular, que garantice </w:t>
      </w:r>
      <w:r w:rsidRPr="008923CD">
        <w:rPr>
          <w:rFonts w:ascii="Verdana" w:eastAsia="Times New Roman" w:hAnsi="Verdana" w:cs="ArialNarrow"/>
          <w:sz w:val="20"/>
          <w:szCs w:val="20"/>
          <w:lang w:val="es-CR" w:eastAsia="es-CR"/>
        </w:rPr>
        <w:t>la integridad y posesión del predio donde se ejecutará el proyecto de monumento) y remita a la Corte</w:t>
      </w:r>
      <w:r w:rsidR="009D41D5">
        <w:rPr>
          <w:rFonts w:ascii="Verdana" w:eastAsia="Times New Roman" w:hAnsi="Verdana" w:cs="ArialNarrow"/>
          <w:sz w:val="20"/>
          <w:szCs w:val="20"/>
          <w:lang w:val="es-CR" w:eastAsia="es-CR"/>
        </w:rPr>
        <w:t xml:space="preserve"> </w:t>
      </w:r>
      <w:r w:rsidRPr="008923CD">
        <w:rPr>
          <w:rFonts w:ascii="Verdana" w:eastAsia="Times New Roman" w:hAnsi="Verdana" w:cs="ArialNarrow"/>
          <w:sz w:val="20"/>
          <w:szCs w:val="20"/>
          <w:lang w:val="es-CR" w:eastAsia="es-CR"/>
        </w:rPr>
        <w:t xml:space="preserve">un cronograma detallado donde conste la fecha de inicio y duración de la ejecución de dicho proyecto, así como toda </w:t>
      </w:r>
      <w:r w:rsidRPr="008923CD">
        <w:rPr>
          <w:rFonts w:ascii="Verdana" w:eastAsia="Times New Roman" w:hAnsi="Verdana" w:cs="ArialNarrow"/>
          <w:sz w:val="20"/>
          <w:szCs w:val="20"/>
          <w:lang w:val="es-CR" w:eastAsia="es-CR"/>
        </w:rPr>
        <w:lastRenderedPageBreak/>
        <w:t xml:space="preserve">información adicional y actualizada que detalle el estado de cumplimiento de la presente medida. </w:t>
      </w:r>
    </w:p>
    <w:p w14:paraId="3CB96DF9" w14:textId="5BCA9024" w:rsidR="008717D1" w:rsidRPr="00527BFA" w:rsidRDefault="000B7F0B" w:rsidP="000B7F0B">
      <w:pPr>
        <w:pStyle w:val="Ttulo1"/>
        <w:ind w:left="284"/>
      </w:pPr>
      <w:bookmarkStart w:id="8" w:name="_Toc59126505"/>
      <w:r w:rsidRPr="00527BFA">
        <w:t>Pago de indemnizaciones</w:t>
      </w:r>
      <w:bookmarkEnd w:id="8"/>
      <w:r w:rsidRPr="00527BFA">
        <w:t xml:space="preserve"> </w:t>
      </w:r>
    </w:p>
    <w:p w14:paraId="30BCBFDA" w14:textId="2FBA0ECC" w:rsidR="00D15B0D" w:rsidRPr="00527BFA" w:rsidRDefault="000B7F0B" w:rsidP="000B7F0B">
      <w:pPr>
        <w:pStyle w:val="Ttulo2"/>
      </w:pPr>
      <w:r w:rsidRPr="00527BFA">
        <w:t>D</w:t>
      </w:r>
      <w:r w:rsidR="00D15B0D" w:rsidRPr="00527BFA">
        <w:t>.1. Medidas ordenadas por la Corte</w:t>
      </w:r>
      <w:r w:rsidR="007F6F2B">
        <w:t xml:space="preserve"> y supervisión realizada en resolución anterior</w:t>
      </w:r>
    </w:p>
    <w:p w14:paraId="5418D23B" w14:textId="06E9BE47" w:rsidR="00D15B0D" w:rsidRPr="00527BFA" w:rsidRDefault="00D15B0D" w:rsidP="00C6162E">
      <w:pPr>
        <w:widowControl w:val="0"/>
        <w:numPr>
          <w:ilvl w:val="0"/>
          <w:numId w:val="8"/>
        </w:numPr>
        <w:tabs>
          <w:tab w:val="left" w:pos="567"/>
          <w:tab w:val="num" w:pos="12305"/>
        </w:tabs>
        <w:adjustRightInd w:val="0"/>
        <w:ind w:left="0" w:firstLine="0"/>
        <w:jc w:val="both"/>
        <w:textAlignment w:val="baseline"/>
        <w:rPr>
          <w:rFonts w:ascii="Verdana" w:hAnsi="Verdana"/>
          <w:i/>
          <w:sz w:val="20"/>
          <w:szCs w:val="20"/>
          <w:lang w:val="es-ES_tradnl"/>
        </w:rPr>
      </w:pPr>
      <w:r w:rsidRPr="00527BFA">
        <w:rPr>
          <w:rFonts w:ascii="Verdana" w:hAnsi="Verdana" w:cs="Verdana"/>
          <w:sz w:val="20"/>
          <w:szCs w:val="20"/>
          <w:lang w:val="es-ES_tradnl"/>
        </w:rPr>
        <w:t>E</w:t>
      </w:r>
      <w:r w:rsidR="00765597">
        <w:rPr>
          <w:rFonts w:ascii="Verdana" w:hAnsi="Verdana" w:cs="Verdana"/>
          <w:sz w:val="20"/>
          <w:szCs w:val="20"/>
          <w:lang w:val="es-ES_tradnl"/>
        </w:rPr>
        <w:t>n</w:t>
      </w:r>
      <w:r w:rsidRPr="00527BFA">
        <w:rPr>
          <w:rFonts w:ascii="Verdana" w:hAnsi="Verdana" w:cs="Verdana"/>
          <w:sz w:val="20"/>
          <w:szCs w:val="20"/>
          <w:lang w:val="es-ES_tradnl"/>
        </w:rPr>
        <w:t xml:space="preserve"> los puntos dispositivos decimosexto y decimoséptimo de la Sentencia, se dispuso que el Estado debía pagar las cantidades fijadas </w:t>
      </w:r>
      <w:r w:rsidR="0072340C">
        <w:rPr>
          <w:rFonts w:ascii="Verdana" w:hAnsi="Verdana" w:cs="Verdana"/>
          <w:sz w:val="20"/>
          <w:szCs w:val="20"/>
          <w:lang w:val="es-ES_tradnl"/>
        </w:rPr>
        <w:t xml:space="preserve">en </w:t>
      </w:r>
      <w:r w:rsidRPr="00527BFA">
        <w:rPr>
          <w:rFonts w:ascii="Verdana" w:hAnsi="Verdana" w:cs="Verdana"/>
          <w:sz w:val="20"/>
          <w:szCs w:val="20"/>
          <w:lang w:val="es-ES_tradnl"/>
        </w:rPr>
        <w:t xml:space="preserve">los Anexos I y II de la Sentencia “a favor de los familiares de las personas desaparecidas y privadas de vida” tanto por concepto de </w:t>
      </w:r>
      <w:r w:rsidRPr="00527BFA">
        <w:rPr>
          <w:rFonts w:ascii="Verdana" w:hAnsi="Verdana"/>
          <w:sz w:val="20"/>
          <w:szCs w:val="20"/>
        </w:rPr>
        <w:t>daño</w:t>
      </w:r>
      <w:r w:rsidRPr="00527BFA">
        <w:rPr>
          <w:rFonts w:ascii="Verdana" w:hAnsi="Verdana" w:cs="Verdana"/>
          <w:sz w:val="20"/>
          <w:szCs w:val="20"/>
          <w:lang w:val="es-ES_tradnl"/>
        </w:rPr>
        <w:t xml:space="preserve"> material (párrafos 234 a 241, 246 a 251, 286, 288 y 290 a 294 de la Sentencia) como por daño inmaterial (párrafos 234 a 241, 254 a 259, 286, 288 y 290 a 294 de la Sentencia). </w:t>
      </w:r>
    </w:p>
    <w:p w14:paraId="5745F893" w14:textId="77777777" w:rsidR="00D15B0D" w:rsidRPr="00527BFA" w:rsidRDefault="00D15B0D" w:rsidP="00D15B0D">
      <w:pPr>
        <w:widowControl w:val="0"/>
        <w:tabs>
          <w:tab w:val="left" w:pos="567"/>
        </w:tabs>
        <w:adjustRightInd w:val="0"/>
        <w:jc w:val="both"/>
        <w:textAlignment w:val="baseline"/>
        <w:rPr>
          <w:rFonts w:ascii="Verdana" w:hAnsi="Verdana"/>
          <w:i/>
          <w:sz w:val="20"/>
          <w:szCs w:val="20"/>
          <w:lang w:val="es-ES_tradnl"/>
        </w:rPr>
      </w:pPr>
    </w:p>
    <w:p w14:paraId="22D08CAB" w14:textId="64697337" w:rsidR="00D15B0D" w:rsidRDefault="0039101B" w:rsidP="00E63107">
      <w:pPr>
        <w:widowControl w:val="0"/>
        <w:numPr>
          <w:ilvl w:val="0"/>
          <w:numId w:val="8"/>
        </w:numPr>
        <w:tabs>
          <w:tab w:val="left" w:pos="567"/>
          <w:tab w:val="num" w:pos="12305"/>
        </w:tabs>
        <w:adjustRightInd w:val="0"/>
        <w:ind w:left="0" w:firstLine="0"/>
        <w:jc w:val="both"/>
        <w:textAlignment w:val="baseline"/>
        <w:rPr>
          <w:rFonts w:ascii="Verdana" w:hAnsi="Verdana"/>
          <w:sz w:val="20"/>
          <w:lang w:val="es-ES_tradnl"/>
        </w:rPr>
      </w:pPr>
      <w:r w:rsidRPr="00362942">
        <w:rPr>
          <w:rFonts w:ascii="Verdana" w:hAnsi="Verdana" w:cs="Verdana"/>
          <w:sz w:val="20"/>
          <w:szCs w:val="20"/>
          <w:lang w:val="es-ES_tradnl"/>
        </w:rPr>
        <w:t>E</w:t>
      </w:r>
      <w:r w:rsidR="00765597">
        <w:rPr>
          <w:rFonts w:ascii="Verdana" w:hAnsi="Verdana" w:cs="Verdana"/>
          <w:sz w:val="20"/>
          <w:szCs w:val="20"/>
          <w:lang w:val="es-ES_tradnl"/>
        </w:rPr>
        <w:t>n</w:t>
      </w:r>
      <w:r w:rsidRPr="00362942">
        <w:rPr>
          <w:rFonts w:ascii="Verdana" w:hAnsi="Verdana" w:cs="Verdana"/>
          <w:sz w:val="20"/>
          <w:szCs w:val="20"/>
          <w:lang w:val="es-ES_tradnl"/>
        </w:rPr>
        <w:t xml:space="preserve"> l</w:t>
      </w:r>
      <w:r w:rsidR="000A66EE" w:rsidRPr="00362942">
        <w:rPr>
          <w:rFonts w:ascii="Verdana" w:hAnsi="Verdana" w:cs="Verdana"/>
          <w:sz w:val="20"/>
          <w:szCs w:val="20"/>
          <w:lang w:val="es-ES_tradnl"/>
        </w:rPr>
        <w:t>a Resolución sobre supervisión de 2009 (</w:t>
      </w:r>
      <w:r w:rsidR="000A66EE" w:rsidRPr="00362942">
        <w:rPr>
          <w:rFonts w:ascii="Verdana" w:hAnsi="Verdana" w:cs="Verdana"/>
          <w:i/>
          <w:sz w:val="20"/>
          <w:szCs w:val="20"/>
          <w:lang w:val="es-ES_tradnl"/>
        </w:rPr>
        <w:t>supra</w:t>
      </w:r>
      <w:r w:rsidR="000A66EE" w:rsidRPr="00362942">
        <w:rPr>
          <w:rFonts w:ascii="Verdana" w:hAnsi="Verdana" w:cs="Verdana"/>
          <w:sz w:val="20"/>
          <w:szCs w:val="20"/>
          <w:lang w:val="es-ES_tradnl"/>
        </w:rPr>
        <w:t xml:space="preserve"> </w:t>
      </w:r>
      <w:r w:rsidR="00DE51F6">
        <w:rPr>
          <w:rFonts w:ascii="Verdana" w:hAnsi="Verdana" w:cs="Verdana"/>
          <w:sz w:val="20"/>
          <w:szCs w:val="20"/>
          <w:lang w:val="es-ES_tradnl"/>
        </w:rPr>
        <w:t>Visto</w:t>
      </w:r>
      <w:r w:rsidR="000A66EE" w:rsidRPr="00362942">
        <w:rPr>
          <w:rFonts w:ascii="Verdana" w:hAnsi="Verdana" w:cs="Verdana"/>
          <w:sz w:val="20"/>
          <w:szCs w:val="20"/>
          <w:lang w:val="es-ES_tradnl"/>
        </w:rPr>
        <w:t xml:space="preserve"> </w:t>
      </w:r>
      <w:r w:rsidR="00DE51F6">
        <w:rPr>
          <w:rFonts w:ascii="Verdana" w:hAnsi="Verdana" w:cs="Verdana"/>
          <w:sz w:val="20"/>
          <w:szCs w:val="20"/>
          <w:lang w:val="es-ES_tradnl"/>
        </w:rPr>
        <w:t>3</w:t>
      </w:r>
      <w:r w:rsidR="000A66EE" w:rsidRPr="00362942">
        <w:rPr>
          <w:rFonts w:ascii="Verdana" w:hAnsi="Verdana" w:cs="Verdana"/>
          <w:sz w:val="20"/>
          <w:szCs w:val="20"/>
          <w:lang w:val="es-ES_tradnl"/>
        </w:rPr>
        <w:t xml:space="preserve">) </w:t>
      </w:r>
      <w:r w:rsidRPr="00362942">
        <w:rPr>
          <w:rFonts w:ascii="Verdana" w:hAnsi="Verdana" w:cs="Verdana"/>
          <w:sz w:val="20"/>
          <w:szCs w:val="20"/>
          <w:lang w:val="es-ES_tradnl"/>
        </w:rPr>
        <w:t xml:space="preserve">se </w:t>
      </w:r>
      <w:r w:rsidR="000A66EE" w:rsidRPr="00362942">
        <w:rPr>
          <w:rFonts w:ascii="Verdana" w:hAnsi="Verdana" w:cs="Verdana"/>
          <w:sz w:val="20"/>
          <w:szCs w:val="20"/>
          <w:lang w:val="es-ES_tradnl"/>
        </w:rPr>
        <w:t>declaró que el Estado había cumplido parcialmente con las obligaciones dispuestas en los referidos puntos resolutivos</w:t>
      </w:r>
      <w:r w:rsidR="00E63107">
        <w:rPr>
          <w:rFonts w:ascii="Verdana" w:hAnsi="Verdana" w:cs="Verdana"/>
          <w:sz w:val="20"/>
          <w:szCs w:val="20"/>
          <w:lang w:val="es-ES_tradnl"/>
        </w:rPr>
        <w:t>, valorando que</w:t>
      </w:r>
      <w:r w:rsidR="00E63107" w:rsidRPr="00E63107">
        <w:rPr>
          <w:rFonts w:ascii="Verdana" w:hAnsi="Verdana" w:cs="Verdana"/>
          <w:sz w:val="20"/>
          <w:szCs w:val="20"/>
          <w:lang w:val="es-ES_tradnl"/>
        </w:rPr>
        <w:t xml:space="preserve">, </w:t>
      </w:r>
      <w:r w:rsidR="00E63107">
        <w:rPr>
          <w:rFonts w:ascii="Verdana" w:hAnsi="Verdana" w:cs="Verdana"/>
          <w:sz w:val="20"/>
          <w:szCs w:val="20"/>
          <w:lang w:val="es-ES_tradnl"/>
        </w:rPr>
        <w:t>si bien los pagos</w:t>
      </w:r>
      <w:r w:rsidR="00E63107" w:rsidRPr="00E63107">
        <w:rPr>
          <w:rFonts w:ascii="Verdana" w:hAnsi="Verdana" w:cs="Verdana"/>
          <w:sz w:val="20"/>
          <w:szCs w:val="20"/>
          <w:lang w:val="es-ES_tradnl"/>
        </w:rPr>
        <w:t xml:space="preserve"> </w:t>
      </w:r>
      <w:r w:rsidR="00E63107">
        <w:rPr>
          <w:rFonts w:ascii="Verdana" w:hAnsi="Verdana" w:cs="Verdana"/>
          <w:sz w:val="20"/>
          <w:szCs w:val="20"/>
          <w:lang w:val="es-ES_tradnl"/>
        </w:rPr>
        <w:t>fueron realizados</w:t>
      </w:r>
      <w:r w:rsidR="00E63107" w:rsidRPr="00E63107">
        <w:rPr>
          <w:rFonts w:ascii="Verdana" w:hAnsi="Verdana" w:cs="Verdana"/>
          <w:sz w:val="20"/>
          <w:szCs w:val="20"/>
          <w:lang w:val="es-ES_tradnl"/>
        </w:rPr>
        <w:t xml:space="preserve"> fuera de los plazos fijados en Sentencia, </w:t>
      </w:r>
      <w:r w:rsidR="00E63107">
        <w:rPr>
          <w:rFonts w:ascii="Verdana" w:hAnsi="Verdana" w:cs="Verdana"/>
          <w:sz w:val="20"/>
          <w:szCs w:val="20"/>
          <w:lang w:val="es-ES_tradnl"/>
        </w:rPr>
        <w:t>“</w:t>
      </w:r>
      <w:r w:rsidR="00E63107" w:rsidRPr="00E63107">
        <w:rPr>
          <w:rFonts w:ascii="Verdana" w:hAnsi="Verdana" w:cs="Verdana"/>
          <w:sz w:val="20"/>
          <w:szCs w:val="20"/>
          <w:lang w:val="es-ES_tradnl"/>
        </w:rPr>
        <w:t>la m</w:t>
      </w:r>
      <w:r w:rsidR="00E63107">
        <w:rPr>
          <w:rFonts w:ascii="Verdana" w:hAnsi="Verdana" w:cs="Verdana"/>
          <w:sz w:val="20"/>
          <w:szCs w:val="20"/>
          <w:lang w:val="es-ES_tradnl"/>
        </w:rPr>
        <w:t>ayoría de los beneficiarios ha[</w:t>
      </w:r>
      <w:proofErr w:type="spellStart"/>
      <w:r w:rsidR="00E63107">
        <w:rPr>
          <w:rFonts w:ascii="Verdana" w:hAnsi="Verdana" w:cs="Verdana"/>
          <w:sz w:val="20"/>
          <w:szCs w:val="20"/>
          <w:lang w:val="es-ES_tradnl"/>
        </w:rPr>
        <w:t>bían</w:t>
      </w:r>
      <w:proofErr w:type="spellEnd"/>
      <w:r w:rsidR="00E63107">
        <w:rPr>
          <w:rFonts w:ascii="Verdana" w:hAnsi="Verdana" w:cs="Verdana"/>
          <w:sz w:val="20"/>
          <w:szCs w:val="20"/>
          <w:lang w:val="es-ES_tradnl"/>
        </w:rPr>
        <w:t>]</w:t>
      </w:r>
      <w:r w:rsidR="00E63107" w:rsidRPr="00E63107">
        <w:rPr>
          <w:rFonts w:ascii="Verdana" w:hAnsi="Verdana" w:cs="Verdana"/>
          <w:sz w:val="20"/>
          <w:szCs w:val="20"/>
          <w:lang w:val="es-ES_tradnl"/>
        </w:rPr>
        <w:t xml:space="preserve"> recibido la totalidad o la mayor parte de los pagos que les corresponden</w:t>
      </w:r>
      <w:r w:rsidR="00E63107">
        <w:rPr>
          <w:rFonts w:ascii="Verdana" w:hAnsi="Verdana" w:cs="Verdana"/>
          <w:sz w:val="20"/>
          <w:szCs w:val="20"/>
          <w:lang w:val="es-ES_tradnl"/>
        </w:rPr>
        <w:t>”</w:t>
      </w:r>
      <w:r w:rsidR="00E63107">
        <w:rPr>
          <w:rStyle w:val="Refdenotaalpie"/>
          <w:rFonts w:ascii="Verdana" w:hAnsi="Verdana" w:cs="Verdana"/>
          <w:sz w:val="20"/>
          <w:szCs w:val="20"/>
          <w:lang w:val="es-ES_tradnl"/>
        </w:rPr>
        <w:footnoteReference w:id="85"/>
      </w:r>
      <w:r w:rsidR="000A66EE" w:rsidRPr="00362942">
        <w:rPr>
          <w:rFonts w:ascii="Verdana" w:hAnsi="Verdana" w:cs="Verdana"/>
          <w:sz w:val="20"/>
          <w:szCs w:val="20"/>
          <w:lang w:val="es-ES_tradnl"/>
        </w:rPr>
        <w:t xml:space="preserve">. </w:t>
      </w:r>
      <w:r w:rsidR="00E63107">
        <w:rPr>
          <w:rFonts w:ascii="Verdana" w:hAnsi="Verdana"/>
          <w:sz w:val="20"/>
          <w:lang w:val="es-ES_tradnl"/>
        </w:rPr>
        <w:t>Adicionalmente</w:t>
      </w:r>
      <w:r w:rsidR="000A66EE" w:rsidRPr="00362942">
        <w:rPr>
          <w:rFonts w:ascii="Verdana" w:hAnsi="Verdana"/>
          <w:sz w:val="20"/>
          <w:lang w:val="es-ES_tradnl"/>
        </w:rPr>
        <w:t xml:space="preserve">, el Tribunal determinó que </w:t>
      </w:r>
      <w:r w:rsidR="00E63107">
        <w:rPr>
          <w:rFonts w:ascii="Verdana" w:hAnsi="Verdana"/>
          <w:sz w:val="20"/>
          <w:lang w:val="es-ES_tradnl"/>
        </w:rPr>
        <w:t>permanecía la controversia</w:t>
      </w:r>
      <w:r w:rsidR="000A66EE" w:rsidRPr="00362942">
        <w:rPr>
          <w:rFonts w:ascii="Verdana" w:hAnsi="Verdana"/>
          <w:sz w:val="20"/>
          <w:lang w:val="es-ES_tradnl"/>
        </w:rPr>
        <w:t xml:space="preserve"> relativa al “tipo de cambio utilizado, los intereses moratorios devengados y la forma en que se realizaron los cálculos y procedimientos para hacerlos efectivos”</w:t>
      </w:r>
      <w:r w:rsidR="000A66EE" w:rsidRPr="00527BFA">
        <w:rPr>
          <w:rStyle w:val="Refdenotaalpie"/>
          <w:rFonts w:ascii="Verdana" w:hAnsi="Verdana"/>
          <w:sz w:val="20"/>
          <w:lang w:val="es-ES_tradnl"/>
        </w:rPr>
        <w:footnoteReference w:id="86"/>
      </w:r>
      <w:r w:rsidR="000A66EE" w:rsidRPr="00362942">
        <w:rPr>
          <w:rFonts w:ascii="Verdana" w:hAnsi="Verdana"/>
          <w:sz w:val="20"/>
          <w:lang w:val="es-ES_tradnl"/>
        </w:rPr>
        <w:t>.</w:t>
      </w:r>
      <w:r w:rsidR="00577C72" w:rsidRPr="00362942">
        <w:rPr>
          <w:rFonts w:ascii="Verdana" w:hAnsi="Verdana"/>
          <w:sz w:val="20"/>
          <w:lang w:val="es-ES_tradnl"/>
        </w:rPr>
        <w:t xml:space="preserve"> Asimismo, el Tribunal consideró que era necesario requerir al Estado que, “a la brevedad posible, complete el estudio y la evaluación de la documentación pertinente en lo que concierne a los beneficiarios</w:t>
      </w:r>
      <w:r w:rsidR="00577C72" w:rsidRPr="00362942">
        <w:rPr>
          <w:rFonts w:ascii="Verdana" w:hAnsi="Verdana"/>
          <w:b/>
          <w:sz w:val="20"/>
          <w:lang w:val="es-ES_tradnl"/>
        </w:rPr>
        <w:t xml:space="preserve"> </w:t>
      </w:r>
      <w:r w:rsidR="00577C72" w:rsidRPr="00362942">
        <w:rPr>
          <w:rFonts w:ascii="Verdana" w:hAnsi="Verdana"/>
          <w:sz w:val="20"/>
          <w:lang w:val="es-ES_tradnl"/>
        </w:rPr>
        <w:t xml:space="preserve">de indemnizaciones por concepto de </w:t>
      </w:r>
      <w:r w:rsidR="00577C72" w:rsidRPr="00E63107">
        <w:rPr>
          <w:rFonts w:ascii="Verdana" w:hAnsi="Verdana"/>
          <w:sz w:val="20"/>
          <w:szCs w:val="20"/>
          <w:lang w:val="es-ES_tradnl"/>
        </w:rPr>
        <w:t>daño</w:t>
      </w:r>
      <w:r w:rsidR="00577C72" w:rsidRPr="00362942">
        <w:rPr>
          <w:rFonts w:ascii="Verdana" w:hAnsi="Verdana"/>
          <w:sz w:val="20"/>
          <w:lang w:val="es-ES_tradnl"/>
        </w:rPr>
        <w:t xml:space="preserve"> inmaterial, que no son mencionados en la Sentencia</w:t>
      </w:r>
      <w:r w:rsidR="00577C72" w:rsidRPr="00362942">
        <w:rPr>
          <w:rFonts w:ascii="Verdana" w:hAnsi="Verdana"/>
          <w:b/>
          <w:sz w:val="20"/>
          <w:lang w:val="es-ES_tradnl"/>
        </w:rPr>
        <w:t xml:space="preserve"> </w:t>
      </w:r>
      <w:r w:rsidR="00577C72" w:rsidRPr="00362942">
        <w:rPr>
          <w:rFonts w:ascii="Verdana" w:hAnsi="Verdana"/>
          <w:sz w:val="20"/>
          <w:lang w:val="es-ES_tradnl"/>
        </w:rPr>
        <w:t>y que hayan sido posteriormente identificados dentro del plazo establecido al efecto</w:t>
      </w:r>
      <w:r w:rsidR="00E63107">
        <w:rPr>
          <w:rFonts w:ascii="Verdana" w:hAnsi="Verdana"/>
          <w:sz w:val="20"/>
          <w:lang w:val="es-ES_tradnl"/>
        </w:rPr>
        <w:t>”</w:t>
      </w:r>
      <w:r w:rsidR="00577C72" w:rsidRPr="00527BFA">
        <w:rPr>
          <w:rStyle w:val="Refdenotaalpie"/>
          <w:rFonts w:ascii="Verdana" w:hAnsi="Verdana"/>
          <w:sz w:val="20"/>
          <w:lang w:val="es-ES_tradnl"/>
        </w:rPr>
        <w:footnoteReference w:id="87"/>
      </w:r>
      <w:r w:rsidR="00577C72" w:rsidRPr="00362942">
        <w:rPr>
          <w:rFonts w:ascii="Verdana" w:hAnsi="Verdana"/>
          <w:sz w:val="20"/>
          <w:lang w:val="es-ES_tradnl"/>
        </w:rPr>
        <w:t>.</w:t>
      </w:r>
    </w:p>
    <w:p w14:paraId="3C75EF74" w14:textId="43CE9913" w:rsidR="00546B72" w:rsidRPr="00362942" w:rsidRDefault="00546B72" w:rsidP="00546B72">
      <w:pPr>
        <w:widowControl w:val="0"/>
        <w:tabs>
          <w:tab w:val="left" w:pos="567"/>
        </w:tabs>
        <w:adjustRightInd w:val="0"/>
        <w:jc w:val="both"/>
        <w:textAlignment w:val="baseline"/>
        <w:rPr>
          <w:rFonts w:ascii="Verdana" w:hAnsi="Verdana"/>
          <w:sz w:val="20"/>
          <w:lang w:val="es-ES_tradnl"/>
        </w:rPr>
      </w:pPr>
    </w:p>
    <w:p w14:paraId="35B15390" w14:textId="77777777" w:rsidR="00D15B0D" w:rsidRPr="00527BFA" w:rsidRDefault="000B7F0B" w:rsidP="000B7F0B">
      <w:pPr>
        <w:pStyle w:val="Ttulo2"/>
      </w:pPr>
      <w:r w:rsidRPr="00527BFA">
        <w:t>D</w:t>
      </w:r>
      <w:r w:rsidR="00D15B0D" w:rsidRPr="00527BFA">
        <w:t>.2. Consideraciones la Corte</w:t>
      </w:r>
    </w:p>
    <w:p w14:paraId="6EDF942D" w14:textId="30550E7A" w:rsidR="00D15B0D" w:rsidRPr="00527BFA" w:rsidRDefault="004D1DB2" w:rsidP="00C6162E">
      <w:pPr>
        <w:widowControl w:val="0"/>
        <w:numPr>
          <w:ilvl w:val="0"/>
          <w:numId w:val="8"/>
        </w:numPr>
        <w:tabs>
          <w:tab w:val="left" w:pos="567"/>
          <w:tab w:val="num" w:pos="12305"/>
        </w:tabs>
        <w:adjustRightInd w:val="0"/>
        <w:ind w:left="0" w:firstLine="0"/>
        <w:jc w:val="both"/>
        <w:textAlignment w:val="baseline"/>
        <w:rPr>
          <w:rFonts w:ascii="Verdana" w:eastAsia="Times New Roman" w:hAnsi="Verdana" w:cs="Arial"/>
          <w:sz w:val="20"/>
          <w:szCs w:val="20"/>
          <w:lang w:val="es-CR" w:eastAsia="es-CR"/>
        </w:rPr>
      </w:pPr>
      <w:r w:rsidRPr="00527BFA">
        <w:rPr>
          <w:rFonts w:ascii="Verdana" w:hAnsi="Verdana"/>
          <w:sz w:val="20"/>
          <w:szCs w:val="20"/>
          <w:lang w:val="es-ES_tradnl"/>
        </w:rPr>
        <w:t>P</w:t>
      </w:r>
      <w:r w:rsidR="00765597">
        <w:rPr>
          <w:rFonts w:ascii="Verdana" w:hAnsi="Verdana"/>
          <w:sz w:val="20"/>
          <w:szCs w:val="20"/>
          <w:lang w:val="es-ES_tradnl"/>
        </w:rPr>
        <w:t>o</w:t>
      </w:r>
      <w:r w:rsidRPr="00527BFA">
        <w:rPr>
          <w:rFonts w:ascii="Verdana" w:hAnsi="Verdana"/>
          <w:sz w:val="20"/>
          <w:szCs w:val="20"/>
          <w:lang w:val="es-ES_tradnl"/>
        </w:rPr>
        <w:t>r medio de escrito de 9 de septiembre de 2015, el Estado remitió un acuerdo suscrito el 21 de julio de 2015 entre el Ministro del Interior</w:t>
      </w:r>
      <w:r w:rsidR="00441ABD">
        <w:rPr>
          <w:rFonts w:ascii="Verdana" w:hAnsi="Verdana"/>
          <w:sz w:val="20"/>
          <w:szCs w:val="20"/>
          <w:lang w:val="es-ES_tradnl"/>
        </w:rPr>
        <w:t xml:space="preserve"> </w:t>
      </w:r>
      <w:r w:rsidRPr="00527BFA">
        <w:rPr>
          <w:rFonts w:ascii="Verdana" w:hAnsi="Verdana"/>
          <w:sz w:val="20"/>
          <w:szCs w:val="20"/>
          <w:lang w:val="es-ES_tradnl"/>
        </w:rPr>
        <w:t xml:space="preserve">y el Director de la Comisión Colombiana de Juristas, mediante el cual se “declaran cumplidas en debida forma las </w:t>
      </w:r>
      <w:r w:rsidRPr="00527BFA">
        <w:rPr>
          <w:rFonts w:ascii="Verdana" w:hAnsi="Verdana"/>
          <w:sz w:val="20"/>
          <w:szCs w:val="20"/>
          <w:lang w:val="es-ES_tradnl"/>
        </w:rPr>
        <w:lastRenderedPageBreak/>
        <w:t>obligaciones indemnizatorias ordenadas por el Tribunal Interamericano en la Sentencia del 31 de enero de 2006 y Resolución de cumplimiento del 9 de julio de 2009”</w:t>
      </w:r>
      <w:r w:rsidRPr="00527BFA">
        <w:rPr>
          <w:rStyle w:val="Refdenotaalpie"/>
          <w:rFonts w:ascii="Verdana" w:hAnsi="Verdana"/>
          <w:sz w:val="20"/>
          <w:szCs w:val="20"/>
          <w:lang w:val="es-ES_tradnl"/>
        </w:rPr>
        <w:footnoteReference w:id="88"/>
      </w:r>
      <w:r w:rsidRPr="00527BFA">
        <w:rPr>
          <w:rFonts w:ascii="Verdana" w:hAnsi="Verdana"/>
          <w:sz w:val="20"/>
          <w:szCs w:val="20"/>
          <w:lang w:val="es-ES_tradnl"/>
        </w:rPr>
        <w:t>.</w:t>
      </w:r>
      <w:r w:rsidR="007B6B89" w:rsidRPr="00527BFA">
        <w:rPr>
          <w:rFonts w:ascii="Verdana" w:hAnsi="Verdana"/>
          <w:sz w:val="20"/>
          <w:szCs w:val="20"/>
          <w:lang w:val="es-ES_tradnl"/>
        </w:rPr>
        <w:t xml:space="preserve"> De conformidad con lo indicado en el referido acuerdo, “</w:t>
      </w:r>
      <w:r w:rsidR="007B6B89" w:rsidRPr="00527BFA">
        <w:rPr>
          <w:rFonts w:ascii="Verdana" w:eastAsia="Times New Roman" w:hAnsi="Verdana" w:cs="Arial"/>
          <w:sz w:val="20"/>
          <w:szCs w:val="20"/>
          <w:lang w:val="es-CR" w:eastAsia="es-CR"/>
        </w:rPr>
        <w:t xml:space="preserve">a través de las Resoluciones No. 0458 del 21 de abril del 2015, 0728 del 3 de junio de 2015, 0736 de 4 </w:t>
      </w:r>
      <w:r w:rsidR="007B6B89" w:rsidRPr="00527BFA">
        <w:rPr>
          <w:rFonts w:ascii="Verdana" w:eastAsia="Times New Roman" w:hAnsi="Verdana"/>
          <w:sz w:val="20"/>
          <w:szCs w:val="20"/>
          <w:lang w:val="es-CR" w:eastAsia="es-CR"/>
        </w:rPr>
        <w:t xml:space="preserve">de junio de 2015 y 0894 del 15 de julio de 2015, el Estado colombiano, a través del Ministerio del Interior, </w:t>
      </w:r>
      <w:r w:rsidR="007B6B89" w:rsidRPr="00527BFA">
        <w:rPr>
          <w:rFonts w:ascii="Verdana" w:eastAsia="Times New Roman" w:hAnsi="Verdana" w:cs="Arial"/>
          <w:sz w:val="20"/>
          <w:szCs w:val="20"/>
          <w:lang w:val="es-CR" w:eastAsia="es-CR"/>
        </w:rPr>
        <w:t xml:space="preserve">reconoció y pagó la </w:t>
      </w:r>
      <w:r w:rsidR="007B6B89" w:rsidRPr="00527BFA">
        <w:rPr>
          <w:rFonts w:ascii="Verdana" w:hAnsi="Verdana"/>
          <w:sz w:val="20"/>
          <w:lang w:val="es-MX"/>
        </w:rPr>
        <w:t>totalidad</w:t>
      </w:r>
      <w:r w:rsidR="007B6B89" w:rsidRPr="00527BFA">
        <w:rPr>
          <w:rFonts w:ascii="Verdana" w:eastAsia="Times New Roman" w:hAnsi="Verdana" w:cs="Arial"/>
          <w:sz w:val="20"/>
          <w:szCs w:val="20"/>
          <w:lang w:val="es-CR" w:eastAsia="es-CR"/>
        </w:rPr>
        <w:t xml:space="preserve"> de las indemnizaciones a las víctimas beneficiarias de la Sentencia, de conformidad con los criterios establecidos por la Corte </w:t>
      </w:r>
      <w:proofErr w:type="spellStart"/>
      <w:r w:rsidR="007B6B89" w:rsidRPr="00527BFA">
        <w:rPr>
          <w:rFonts w:ascii="Verdana" w:eastAsia="Times New Roman" w:hAnsi="Verdana" w:cs="Arial"/>
          <w:sz w:val="20"/>
          <w:szCs w:val="20"/>
          <w:lang w:val="es-CR" w:eastAsia="es-CR"/>
        </w:rPr>
        <w:t>lnteramericana</w:t>
      </w:r>
      <w:proofErr w:type="spellEnd"/>
      <w:r w:rsidR="007B6B89" w:rsidRPr="00527BFA">
        <w:rPr>
          <w:rFonts w:ascii="Verdana" w:eastAsia="Times New Roman" w:hAnsi="Verdana" w:cs="Arial"/>
          <w:sz w:val="20"/>
          <w:szCs w:val="20"/>
          <w:lang w:val="es-CR" w:eastAsia="es-CR"/>
        </w:rPr>
        <w:t xml:space="preserve"> de Derechos Humanos y mediante un proceso de </w:t>
      </w:r>
      <w:r w:rsidR="007B6B89" w:rsidRPr="00527BFA">
        <w:rPr>
          <w:rFonts w:ascii="Verdana" w:hAnsi="Verdana"/>
          <w:sz w:val="20"/>
          <w:lang w:val="es-MX"/>
        </w:rPr>
        <w:t>diálogo</w:t>
      </w:r>
      <w:r w:rsidR="007B6B89" w:rsidRPr="00527BFA">
        <w:rPr>
          <w:rFonts w:ascii="Verdana" w:eastAsia="Times New Roman" w:hAnsi="Verdana" w:cs="Arial"/>
          <w:sz w:val="20"/>
          <w:szCs w:val="20"/>
          <w:lang w:val="es-CR" w:eastAsia="es-CR"/>
        </w:rPr>
        <w:t xml:space="preserve"> y </w:t>
      </w:r>
      <w:r w:rsidR="007B6B89" w:rsidRPr="00527BFA">
        <w:rPr>
          <w:rFonts w:ascii="Verdana" w:eastAsia="Times New Roman" w:hAnsi="Verdana"/>
          <w:sz w:val="20"/>
          <w:szCs w:val="20"/>
          <w:lang w:val="es-CR" w:eastAsia="es-CR"/>
        </w:rPr>
        <w:t xml:space="preserve">concertación con </w:t>
      </w:r>
      <w:r w:rsidR="007B6B89" w:rsidRPr="00527BFA">
        <w:rPr>
          <w:rFonts w:ascii="Verdana" w:eastAsia="Times New Roman" w:hAnsi="Verdana" w:cs="Arial"/>
          <w:sz w:val="20"/>
          <w:szCs w:val="20"/>
          <w:lang w:val="es-CR" w:eastAsia="es-CR"/>
        </w:rPr>
        <w:t xml:space="preserve">la Comisión Colombiana de Juristas”. </w:t>
      </w:r>
      <w:r w:rsidR="00BB1D87" w:rsidRPr="00527BFA">
        <w:rPr>
          <w:rFonts w:ascii="Verdana" w:eastAsia="Times New Roman" w:hAnsi="Verdana" w:cs="Arial"/>
          <w:sz w:val="20"/>
          <w:szCs w:val="20"/>
          <w:lang w:val="es-CR" w:eastAsia="es-CR"/>
        </w:rPr>
        <w:t xml:space="preserve">A la vista de lo anterior, el Estado solicitó que la Corte declare el cumplimiento total de los </w:t>
      </w:r>
      <w:r w:rsidR="00D126DA" w:rsidRPr="00527BFA">
        <w:rPr>
          <w:rFonts w:ascii="Verdana" w:eastAsia="Times New Roman" w:hAnsi="Verdana" w:cs="Arial"/>
          <w:sz w:val="20"/>
          <w:szCs w:val="20"/>
          <w:lang w:val="es-CR" w:eastAsia="es-CR"/>
        </w:rPr>
        <w:t>puntos resolutivos decimosexto y decimoséptimo de la Sentencia</w:t>
      </w:r>
      <w:r w:rsidR="00441ABD">
        <w:rPr>
          <w:rFonts w:ascii="Verdana" w:eastAsia="Times New Roman" w:hAnsi="Verdana" w:cs="Arial"/>
          <w:sz w:val="20"/>
          <w:szCs w:val="20"/>
          <w:lang w:val="es-CR" w:eastAsia="es-CR"/>
        </w:rPr>
        <w:t>.</w:t>
      </w:r>
    </w:p>
    <w:p w14:paraId="12446C86" w14:textId="77777777" w:rsidR="007B6B89" w:rsidRPr="00527BFA" w:rsidRDefault="007B6B89" w:rsidP="007B6B89">
      <w:pPr>
        <w:tabs>
          <w:tab w:val="num" w:pos="12305"/>
        </w:tabs>
        <w:autoSpaceDE w:val="0"/>
        <w:autoSpaceDN w:val="0"/>
        <w:adjustRightInd w:val="0"/>
        <w:jc w:val="both"/>
        <w:rPr>
          <w:rFonts w:ascii="Verdana" w:eastAsia="Times New Roman" w:hAnsi="Verdana" w:cs="Arial"/>
          <w:sz w:val="20"/>
          <w:szCs w:val="20"/>
          <w:lang w:val="es-CR" w:eastAsia="es-CR"/>
        </w:rPr>
      </w:pPr>
    </w:p>
    <w:p w14:paraId="660412FD" w14:textId="6C3EA5FC" w:rsidR="007B6B89" w:rsidRPr="008923CD" w:rsidRDefault="007B6B89" w:rsidP="006A0894">
      <w:pPr>
        <w:widowControl w:val="0"/>
        <w:numPr>
          <w:ilvl w:val="0"/>
          <w:numId w:val="8"/>
        </w:numPr>
        <w:tabs>
          <w:tab w:val="left" w:pos="567"/>
          <w:tab w:val="num" w:pos="12305"/>
        </w:tabs>
        <w:adjustRightInd w:val="0"/>
        <w:ind w:left="0" w:firstLine="0"/>
        <w:jc w:val="both"/>
        <w:textAlignment w:val="baseline"/>
        <w:rPr>
          <w:rFonts w:ascii="Verdana" w:hAnsi="Verdana"/>
          <w:lang w:val="es-ES_tradnl" w:eastAsia="en-US"/>
        </w:rPr>
      </w:pPr>
      <w:r w:rsidRPr="008923CD">
        <w:rPr>
          <w:rFonts w:ascii="Verdana" w:hAnsi="Verdana"/>
          <w:sz w:val="20"/>
          <w:lang w:val="es-MX"/>
        </w:rPr>
        <w:t>L</w:t>
      </w:r>
      <w:r w:rsidR="00765597">
        <w:rPr>
          <w:rFonts w:ascii="Verdana" w:hAnsi="Verdana"/>
          <w:sz w:val="20"/>
          <w:lang w:val="es-MX"/>
        </w:rPr>
        <w:t>o</w:t>
      </w:r>
      <w:r w:rsidRPr="008923CD">
        <w:rPr>
          <w:rFonts w:ascii="Verdana" w:hAnsi="Verdana"/>
          <w:sz w:val="20"/>
          <w:lang w:val="es-MX"/>
        </w:rPr>
        <w:t>s representantes</w:t>
      </w:r>
      <w:r w:rsidRPr="008923CD">
        <w:rPr>
          <w:rFonts w:ascii="Verdana" w:hAnsi="Verdana"/>
          <w:sz w:val="20"/>
        </w:rPr>
        <w:t xml:space="preserve"> </w:t>
      </w:r>
      <w:r w:rsidRPr="008923CD">
        <w:rPr>
          <w:rFonts w:ascii="Verdana" w:hAnsi="Verdana"/>
          <w:sz w:val="20"/>
          <w:szCs w:val="20"/>
          <w:lang w:val="es-ES_tradnl"/>
        </w:rPr>
        <w:t>“</w:t>
      </w:r>
      <w:proofErr w:type="spellStart"/>
      <w:r w:rsidRPr="008923CD">
        <w:rPr>
          <w:rFonts w:ascii="Verdana" w:hAnsi="Verdana"/>
          <w:sz w:val="20"/>
          <w:szCs w:val="20"/>
          <w:lang w:val="es-ES_tradnl"/>
        </w:rPr>
        <w:t>respald</w:t>
      </w:r>
      <w:proofErr w:type="spellEnd"/>
      <w:r w:rsidRPr="008923CD">
        <w:rPr>
          <w:rFonts w:ascii="Verdana" w:hAnsi="Verdana"/>
          <w:sz w:val="20"/>
          <w:szCs w:val="20"/>
          <w:lang w:val="es-ES_tradnl"/>
        </w:rPr>
        <w:t>[aron]</w:t>
      </w:r>
      <w:r w:rsidRPr="008923CD">
        <w:rPr>
          <w:rFonts w:ascii="Verdana" w:hAnsi="Verdana"/>
          <w:sz w:val="20"/>
        </w:rPr>
        <w:t xml:space="preserve"> la solicitud</w:t>
      </w:r>
      <w:r w:rsidR="000629E2">
        <w:rPr>
          <w:rFonts w:ascii="Verdana" w:hAnsi="Verdana"/>
          <w:sz w:val="20"/>
        </w:rPr>
        <w:t xml:space="preserve"> </w:t>
      </w:r>
      <w:r w:rsidRPr="008923CD">
        <w:rPr>
          <w:rFonts w:ascii="Verdana" w:hAnsi="Verdana"/>
          <w:sz w:val="20"/>
        </w:rPr>
        <w:t xml:space="preserve">elevada en el escrito </w:t>
      </w:r>
      <w:r w:rsidRPr="008923CD">
        <w:rPr>
          <w:rFonts w:ascii="Verdana" w:hAnsi="Verdana"/>
          <w:sz w:val="20"/>
          <w:szCs w:val="20"/>
          <w:lang w:val="es-ES_tradnl"/>
        </w:rPr>
        <w:t>estatal</w:t>
      </w:r>
      <w:r w:rsidRPr="008923CD">
        <w:rPr>
          <w:rFonts w:ascii="Verdana" w:hAnsi="Verdana"/>
          <w:sz w:val="20"/>
        </w:rPr>
        <w:t xml:space="preserve"> de que los puntos 16 y 17 de la sentencia del 31 de enero de 2006 se declaren como cumplidos”</w:t>
      </w:r>
      <w:r w:rsidRPr="00527BFA">
        <w:rPr>
          <w:rStyle w:val="Refdenotaalpie"/>
          <w:rFonts w:ascii="Verdana" w:hAnsi="Verdana"/>
          <w:sz w:val="20"/>
        </w:rPr>
        <w:footnoteReference w:id="89"/>
      </w:r>
      <w:r w:rsidRPr="008923CD">
        <w:rPr>
          <w:rFonts w:ascii="Verdana" w:hAnsi="Verdana"/>
          <w:sz w:val="20"/>
        </w:rPr>
        <w:t xml:space="preserve">. </w:t>
      </w:r>
      <w:r w:rsidRPr="008923CD">
        <w:rPr>
          <w:rFonts w:ascii="Verdana" w:hAnsi="Verdana"/>
          <w:sz w:val="20"/>
          <w:lang w:val="es-ES_tradnl"/>
        </w:rPr>
        <w:t xml:space="preserve">Por su parte, la Comisión destacó que no </w:t>
      </w:r>
      <w:r w:rsidRPr="008923CD">
        <w:rPr>
          <w:rFonts w:ascii="Verdana" w:hAnsi="Verdana"/>
          <w:sz w:val="20"/>
          <w:lang w:val="es-MX"/>
        </w:rPr>
        <w:t>contaría</w:t>
      </w:r>
      <w:r w:rsidRPr="008923CD">
        <w:rPr>
          <w:rFonts w:ascii="Verdana" w:hAnsi="Verdana"/>
          <w:sz w:val="20"/>
          <w:lang w:val="es-ES_tradnl"/>
        </w:rPr>
        <w:t xml:space="preserve"> con “información adicional de los representantes que indique que existirían montos aún pendientes”, valoró las acciones realizadas por el Estado y consideró que las referidas medidas de pago de indemnizaciones se encontrarían “cumplida[s] para las víctimas que han recibido la integralidad de los pagos adeudados”</w:t>
      </w:r>
      <w:r w:rsidRPr="00527BFA">
        <w:rPr>
          <w:rStyle w:val="Refdenotaalpie"/>
          <w:rFonts w:ascii="Verdana" w:hAnsi="Verdana"/>
          <w:sz w:val="20"/>
          <w:lang w:val="es-ES_tradnl"/>
        </w:rPr>
        <w:footnoteReference w:id="90"/>
      </w:r>
      <w:r w:rsidRPr="008923CD">
        <w:rPr>
          <w:rFonts w:ascii="Verdana" w:hAnsi="Verdana"/>
          <w:sz w:val="20"/>
          <w:lang w:val="es-ES_tradnl"/>
        </w:rPr>
        <w:t>.</w:t>
      </w:r>
      <w:r w:rsidR="00874149" w:rsidRPr="008923CD">
        <w:rPr>
          <w:rFonts w:ascii="Verdana" w:hAnsi="Verdana"/>
          <w:sz w:val="20"/>
          <w:lang w:val="es-ES_tradnl"/>
        </w:rPr>
        <w:t xml:space="preserve"> Asimismo, la Comisión destacó que, comoquiera que hubo personas beneficiarias de los referidos pagos </w:t>
      </w:r>
      <w:r w:rsidR="008923CD">
        <w:rPr>
          <w:rFonts w:ascii="Verdana" w:hAnsi="Verdana"/>
          <w:sz w:val="20"/>
          <w:lang w:val="es-ES_tradnl"/>
        </w:rPr>
        <w:t>que</w:t>
      </w:r>
      <w:r w:rsidR="00874149" w:rsidRPr="008923CD">
        <w:rPr>
          <w:rFonts w:ascii="Verdana" w:hAnsi="Verdana"/>
          <w:sz w:val="20"/>
          <w:lang w:val="es-ES_tradnl"/>
        </w:rPr>
        <w:t xml:space="preserve"> no habrían otorgado un “poder especial” a la Comisión Colombiana de Juristas para que ésta recibiera los pagos, </w:t>
      </w:r>
      <w:r w:rsidR="008923CD">
        <w:rPr>
          <w:rFonts w:ascii="Verdana" w:hAnsi="Verdana"/>
          <w:sz w:val="20"/>
          <w:lang w:val="es-ES_tradnl"/>
        </w:rPr>
        <w:t>“</w:t>
      </w:r>
      <w:r w:rsidR="00874149" w:rsidRPr="008923CD">
        <w:rPr>
          <w:rFonts w:ascii="Verdana" w:hAnsi="Verdana"/>
          <w:sz w:val="20"/>
          <w:lang w:val="es-ES_tradnl"/>
        </w:rPr>
        <w:t xml:space="preserve">el Estado y, en su caso, los representantes, debían aportar información sobre si la </w:t>
      </w:r>
      <w:r w:rsidR="00874149" w:rsidRPr="008923CD">
        <w:rPr>
          <w:rFonts w:ascii="Verdana" w:hAnsi="Verdana"/>
          <w:sz w:val="20"/>
          <w:lang w:val="es-MX"/>
        </w:rPr>
        <w:t>totalidad</w:t>
      </w:r>
      <w:r w:rsidR="00874149" w:rsidRPr="008923CD">
        <w:rPr>
          <w:rFonts w:ascii="Verdana" w:hAnsi="Verdana"/>
          <w:sz w:val="20"/>
          <w:lang w:val="es-ES_tradnl"/>
        </w:rPr>
        <w:t xml:space="preserve"> de los beneficiarios de la Sentencia recibieron la indemnización correspondiente”.</w:t>
      </w:r>
    </w:p>
    <w:p w14:paraId="45596A99" w14:textId="77777777" w:rsidR="00874149" w:rsidRPr="00527BFA" w:rsidRDefault="00874149" w:rsidP="00874149">
      <w:pPr>
        <w:widowControl w:val="0"/>
        <w:tabs>
          <w:tab w:val="left" w:pos="567"/>
        </w:tabs>
        <w:adjustRightInd w:val="0"/>
        <w:jc w:val="both"/>
        <w:textAlignment w:val="baseline"/>
        <w:rPr>
          <w:rFonts w:ascii="Verdana" w:hAnsi="Verdana"/>
          <w:lang w:val="es-ES_tradnl" w:eastAsia="en-US"/>
        </w:rPr>
      </w:pPr>
    </w:p>
    <w:p w14:paraId="00AE5E6B" w14:textId="7645B79E" w:rsidR="008717D1" w:rsidRPr="00CE4A4A" w:rsidRDefault="008923CD" w:rsidP="009C4D00">
      <w:pPr>
        <w:widowControl w:val="0"/>
        <w:numPr>
          <w:ilvl w:val="0"/>
          <w:numId w:val="8"/>
        </w:numPr>
        <w:tabs>
          <w:tab w:val="left" w:pos="567"/>
          <w:tab w:val="num" w:pos="12305"/>
        </w:tabs>
        <w:autoSpaceDE w:val="0"/>
        <w:autoSpaceDN w:val="0"/>
        <w:adjustRightInd w:val="0"/>
        <w:ind w:left="0" w:firstLine="0"/>
        <w:jc w:val="both"/>
        <w:textAlignment w:val="baseline"/>
        <w:rPr>
          <w:rFonts w:ascii="Verdana" w:hAnsi="Verdana"/>
          <w:lang w:val="es-ES_tradnl" w:eastAsia="en-US"/>
        </w:rPr>
      </w:pPr>
      <w:r w:rsidRPr="00CE4A4A">
        <w:rPr>
          <w:rFonts w:ascii="Verdana" w:hAnsi="Verdana"/>
          <w:sz w:val="20"/>
          <w:lang w:val="es-ES_tradnl"/>
        </w:rPr>
        <w:t xml:space="preserve">A </w:t>
      </w:r>
      <w:r w:rsidR="00765597">
        <w:rPr>
          <w:rFonts w:ascii="Verdana" w:hAnsi="Verdana"/>
          <w:sz w:val="20"/>
          <w:lang w:val="es-ES_tradnl"/>
        </w:rPr>
        <w:t>l</w:t>
      </w:r>
      <w:r w:rsidRPr="00CE4A4A">
        <w:rPr>
          <w:rFonts w:ascii="Verdana" w:hAnsi="Verdana"/>
          <w:sz w:val="20"/>
          <w:lang w:val="es-ES_tradnl"/>
        </w:rPr>
        <w:t>a vista de lo anterior, c</w:t>
      </w:r>
      <w:r w:rsidR="00874149" w:rsidRPr="00CE4A4A">
        <w:rPr>
          <w:rFonts w:ascii="Verdana" w:hAnsi="Verdana"/>
          <w:sz w:val="20"/>
          <w:lang w:val="es-ES_tradnl"/>
        </w:rPr>
        <w:t xml:space="preserve">on base </w:t>
      </w:r>
      <w:r w:rsidRPr="00CE4A4A">
        <w:rPr>
          <w:rFonts w:ascii="Verdana" w:hAnsi="Verdana"/>
          <w:sz w:val="20"/>
          <w:lang w:val="es-ES_tradnl"/>
        </w:rPr>
        <w:t xml:space="preserve">en (i) el </w:t>
      </w:r>
      <w:r w:rsidR="00F34FA2" w:rsidRPr="00CE4A4A">
        <w:rPr>
          <w:rFonts w:ascii="Verdana" w:hAnsi="Verdana"/>
          <w:sz w:val="20"/>
          <w:lang w:val="es-ES_tradnl"/>
        </w:rPr>
        <w:t xml:space="preserve">referido </w:t>
      </w:r>
      <w:r w:rsidR="008D0D07" w:rsidRPr="00CE4A4A">
        <w:rPr>
          <w:rFonts w:ascii="Verdana" w:hAnsi="Verdana"/>
          <w:sz w:val="20"/>
          <w:lang w:val="es-ES_tradnl"/>
        </w:rPr>
        <w:t>acuerdo</w:t>
      </w:r>
      <w:r w:rsidR="00874149" w:rsidRPr="00CE4A4A">
        <w:rPr>
          <w:rFonts w:ascii="Verdana" w:hAnsi="Verdana"/>
          <w:sz w:val="20"/>
          <w:lang w:val="es-ES_tradnl"/>
        </w:rPr>
        <w:t xml:space="preserve"> aportado por el Estado</w:t>
      </w:r>
      <w:r w:rsidR="00731781" w:rsidRPr="00527BFA">
        <w:rPr>
          <w:rStyle w:val="Refdenotaalpie"/>
          <w:rFonts w:ascii="Verdana" w:hAnsi="Verdana"/>
          <w:sz w:val="20"/>
          <w:lang w:val="es-ES_tradnl"/>
        </w:rPr>
        <w:footnoteReference w:id="91"/>
      </w:r>
      <w:r w:rsidR="00874149" w:rsidRPr="00CE4A4A">
        <w:rPr>
          <w:rFonts w:ascii="Verdana" w:hAnsi="Verdana"/>
          <w:sz w:val="20"/>
          <w:lang w:val="es-ES_tradnl"/>
        </w:rPr>
        <w:t xml:space="preserve">, </w:t>
      </w:r>
      <w:r w:rsidRPr="00CE4A4A">
        <w:rPr>
          <w:rFonts w:ascii="Verdana" w:hAnsi="Verdana"/>
          <w:sz w:val="20"/>
          <w:lang w:val="es-ES_tradnl"/>
        </w:rPr>
        <w:t>(ii)</w:t>
      </w:r>
      <w:r w:rsidR="00874149" w:rsidRPr="00CE4A4A">
        <w:rPr>
          <w:rFonts w:ascii="Verdana" w:hAnsi="Verdana"/>
          <w:sz w:val="20"/>
          <w:lang w:val="es-ES_tradnl"/>
        </w:rPr>
        <w:t xml:space="preserve"> las posteriores observaciones realizadas por los representantes</w:t>
      </w:r>
      <w:r w:rsidR="00C92CFC" w:rsidRPr="00527BFA">
        <w:rPr>
          <w:rStyle w:val="Refdenotaalpie"/>
          <w:rFonts w:ascii="Verdana" w:hAnsi="Verdana"/>
          <w:sz w:val="20"/>
          <w:lang w:val="es-ES_tradnl"/>
        </w:rPr>
        <w:footnoteReference w:id="92"/>
      </w:r>
      <w:r w:rsidR="00874149" w:rsidRPr="00CE4A4A">
        <w:rPr>
          <w:rFonts w:ascii="Verdana" w:hAnsi="Verdana"/>
          <w:sz w:val="20"/>
          <w:lang w:val="es-ES_tradnl"/>
        </w:rPr>
        <w:t>, así como</w:t>
      </w:r>
      <w:r w:rsidRPr="00CE4A4A">
        <w:rPr>
          <w:rFonts w:ascii="Verdana" w:hAnsi="Verdana"/>
          <w:sz w:val="20"/>
          <w:lang w:val="es-ES_tradnl"/>
        </w:rPr>
        <w:t xml:space="preserve"> (iii)</w:t>
      </w:r>
      <w:r w:rsidR="00874149" w:rsidRPr="00CE4A4A">
        <w:rPr>
          <w:rFonts w:ascii="Verdana" w:hAnsi="Verdana"/>
          <w:sz w:val="20"/>
          <w:lang w:val="es-ES_tradnl"/>
        </w:rPr>
        <w:t xml:space="preserve"> a la vista de que han transcurrido más de cinco años </w:t>
      </w:r>
      <w:r w:rsidR="008D0D07" w:rsidRPr="00CE4A4A">
        <w:rPr>
          <w:rFonts w:ascii="Verdana" w:hAnsi="Verdana"/>
          <w:sz w:val="20"/>
          <w:lang w:val="es-ES_tradnl"/>
        </w:rPr>
        <w:t>desde la adopción de dicho acuerdo sin que ninguna persona beneficiaria haya realizado reclamación alguna ante la Corte, el Tribunal considera que no es necesario requerir a las partes información adicional</w:t>
      </w:r>
      <w:r w:rsidRPr="00CE4A4A">
        <w:rPr>
          <w:rFonts w:ascii="Verdana" w:hAnsi="Verdana"/>
          <w:sz w:val="20"/>
          <w:lang w:val="es-ES_tradnl"/>
        </w:rPr>
        <w:t xml:space="preserve"> relativa a los pagos ordenados en los puntos dispositivos objeto de análisis en el presente acápite</w:t>
      </w:r>
      <w:r w:rsidR="00CE4A4A" w:rsidRPr="00CE4A4A">
        <w:rPr>
          <w:rFonts w:ascii="Verdana" w:hAnsi="Verdana"/>
          <w:sz w:val="20"/>
          <w:lang w:val="es-ES_tradnl"/>
        </w:rPr>
        <w:t xml:space="preserve"> y </w:t>
      </w:r>
      <w:r w:rsidR="000B61D6" w:rsidRPr="00CE4A4A">
        <w:rPr>
          <w:rFonts w:ascii="Verdana" w:hAnsi="Verdana"/>
          <w:sz w:val="20"/>
        </w:rPr>
        <w:t xml:space="preserve">considera que Colombia ha dado cumplimiento total a las medidas de </w:t>
      </w:r>
      <w:r w:rsidR="000B61D6" w:rsidRPr="00CE4A4A">
        <w:rPr>
          <w:rFonts w:ascii="Verdana" w:hAnsi="Verdana"/>
          <w:sz w:val="20"/>
          <w:lang w:val="es-ES_tradnl"/>
        </w:rPr>
        <w:t>reparación</w:t>
      </w:r>
      <w:r w:rsidR="000B61D6" w:rsidRPr="00CE4A4A">
        <w:rPr>
          <w:rFonts w:ascii="Verdana" w:hAnsi="Verdana"/>
          <w:sz w:val="20"/>
        </w:rPr>
        <w:t xml:space="preserve"> ordenadas en los puntos dispositivos </w:t>
      </w:r>
      <w:r w:rsidR="000B61D6" w:rsidRPr="00CE4A4A">
        <w:rPr>
          <w:rFonts w:ascii="Verdana" w:hAnsi="Verdana" w:cs="Verdana"/>
          <w:sz w:val="20"/>
          <w:szCs w:val="20"/>
          <w:lang w:val="es-ES_tradnl"/>
        </w:rPr>
        <w:t>decimosexto y decimoséptimo de la Sentencia</w:t>
      </w:r>
      <w:r w:rsidR="000B61D6" w:rsidRPr="00CE4A4A">
        <w:rPr>
          <w:rFonts w:ascii="Verdana" w:hAnsi="Verdana"/>
          <w:sz w:val="20"/>
        </w:rPr>
        <w:t xml:space="preserve"> de la Sentencia.</w:t>
      </w:r>
    </w:p>
    <w:p w14:paraId="3C68ED83" w14:textId="52D0F7EF" w:rsidR="008717D1" w:rsidRDefault="008717D1" w:rsidP="000B7F0B">
      <w:pPr>
        <w:pStyle w:val="Ttulo1"/>
        <w:ind w:left="426"/>
      </w:pPr>
      <w:bookmarkStart w:id="9" w:name="_Toc59126506"/>
      <w:r w:rsidRPr="00527BFA">
        <w:t>Reintegro de costas y gastos</w:t>
      </w:r>
      <w:bookmarkEnd w:id="9"/>
      <w:r w:rsidRPr="00527BFA">
        <w:t xml:space="preserve"> </w:t>
      </w:r>
    </w:p>
    <w:p w14:paraId="1F6FCD30" w14:textId="5DF8F2AB" w:rsidR="0050282D" w:rsidRDefault="0050282D" w:rsidP="0050282D">
      <w:pPr>
        <w:pStyle w:val="Ttulo2"/>
      </w:pPr>
      <w:r>
        <w:t>E</w:t>
      </w:r>
      <w:r w:rsidRPr="00527BFA">
        <w:t>.1. Medida ordenada por la Corte</w:t>
      </w:r>
    </w:p>
    <w:p w14:paraId="0CD33E9D" w14:textId="4191AC27" w:rsidR="00362942" w:rsidRPr="005162C3" w:rsidRDefault="00362942" w:rsidP="00737323">
      <w:pPr>
        <w:widowControl w:val="0"/>
        <w:numPr>
          <w:ilvl w:val="0"/>
          <w:numId w:val="8"/>
        </w:numPr>
        <w:tabs>
          <w:tab w:val="left" w:pos="567"/>
          <w:tab w:val="num" w:pos="12305"/>
        </w:tabs>
        <w:adjustRightInd w:val="0"/>
        <w:ind w:left="0" w:firstLine="0"/>
        <w:jc w:val="both"/>
        <w:textAlignment w:val="baseline"/>
        <w:rPr>
          <w:rFonts w:ascii="Verdana" w:hAnsi="Verdana"/>
          <w:sz w:val="20"/>
          <w:lang w:val="es-MX"/>
        </w:rPr>
      </w:pPr>
      <w:r>
        <w:rPr>
          <w:rFonts w:ascii="Verdana" w:hAnsi="Verdana"/>
          <w:sz w:val="20"/>
          <w:szCs w:val="20"/>
          <w:lang w:val="es-ES_tradnl"/>
        </w:rPr>
        <w:lastRenderedPageBreak/>
        <w:t>E</w:t>
      </w:r>
      <w:r w:rsidR="00765597">
        <w:rPr>
          <w:rFonts w:ascii="Verdana" w:hAnsi="Verdana"/>
          <w:sz w:val="20"/>
          <w:szCs w:val="20"/>
          <w:lang w:val="es-ES_tradnl"/>
        </w:rPr>
        <w:t>n</w:t>
      </w:r>
      <w:r w:rsidRPr="00527BFA">
        <w:rPr>
          <w:rFonts w:ascii="Verdana" w:hAnsi="Verdana"/>
          <w:sz w:val="20"/>
          <w:szCs w:val="20"/>
        </w:rPr>
        <w:t xml:space="preserve"> </w:t>
      </w:r>
      <w:r>
        <w:rPr>
          <w:rFonts w:ascii="Verdana" w:hAnsi="Verdana"/>
          <w:sz w:val="20"/>
          <w:szCs w:val="20"/>
        </w:rPr>
        <w:t xml:space="preserve">el punto resolutivo decimoctavo y en el párrafo 285 de </w:t>
      </w:r>
      <w:r w:rsidRPr="00527BFA">
        <w:rPr>
          <w:rFonts w:ascii="Verdana" w:hAnsi="Verdana"/>
          <w:sz w:val="20"/>
          <w:szCs w:val="20"/>
        </w:rPr>
        <w:t>su Sentencia</w:t>
      </w:r>
      <w:r>
        <w:rPr>
          <w:rFonts w:ascii="Verdana" w:hAnsi="Verdana"/>
          <w:sz w:val="20"/>
          <w:szCs w:val="20"/>
        </w:rPr>
        <w:t xml:space="preserve"> la Corte ordenó al Estado p</w:t>
      </w:r>
      <w:r w:rsidRPr="00362942">
        <w:rPr>
          <w:rFonts w:ascii="Verdana" w:hAnsi="Verdana"/>
          <w:sz w:val="20"/>
          <w:szCs w:val="20"/>
        </w:rPr>
        <w:t xml:space="preserve">agar </w:t>
      </w:r>
      <w:r w:rsidR="00737323" w:rsidRPr="00737323">
        <w:rPr>
          <w:rFonts w:ascii="Verdana" w:hAnsi="Verdana"/>
          <w:sz w:val="20"/>
          <w:szCs w:val="20"/>
        </w:rPr>
        <w:t xml:space="preserve">las cantidades fijadas por concepto de </w:t>
      </w:r>
      <w:r w:rsidR="00737323" w:rsidRPr="00737323">
        <w:rPr>
          <w:rFonts w:ascii="Verdana" w:hAnsi="Verdana"/>
          <w:sz w:val="20"/>
          <w:lang w:val="es-MX"/>
        </w:rPr>
        <w:t>costas</w:t>
      </w:r>
      <w:r w:rsidR="00737323" w:rsidRPr="00737323">
        <w:rPr>
          <w:rFonts w:ascii="Verdana" w:hAnsi="Verdana"/>
          <w:sz w:val="20"/>
          <w:szCs w:val="20"/>
        </w:rPr>
        <w:t xml:space="preserve"> y gastos</w:t>
      </w:r>
      <w:r w:rsidR="00E042A9">
        <w:rPr>
          <w:rFonts w:ascii="Verdana" w:hAnsi="Verdana"/>
          <w:sz w:val="20"/>
          <w:szCs w:val="20"/>
        </w:rPr>
        <w:t>. E</w:t>
      </w:r>
      <w:r w:rsidR="00737323">
        <w:rPr>
          <w:rFonts w:ascii="Verdana" w:hAnsi="Verdana"/>
          <w:sz w:val="20"/>
          <w:szCs w:val="20"/>
        </w:rPr>
        <w:t>n particular,</w:t>
      </w:r>
      <w:r w:rsidR="00E042A9">
        <w:rPr>
          <w:rFonts w:ascii="Verdana" w:hAnsi="Verdana"/>
          <w:sz w:val="20"/>
          <w:szCs w:val="20"/>
        </w:rPr>
        <w:t xml:space="preserve"> ordenó el pago de</w:t>
      </w:r>
      <w:r w:rsidR="00737323">
        <w:rPr>
          <w:rFonts w:ascii="Verdana" w:hAnsi="Verdana"/>
          <w:sz w:val="20"/>
          <w:szCs w:val="20"/>
        </w:rPr>
        <w:t xml:space="preserve"> la cantidad de</w:t>
      </w:r>
      <w:r w:rsidR="00737323" w:rsidRPr="00737323">
        <w:rPr>
          <w:rFonts w:ascii="Verdana" w:hAnsi="Verdana"/>
          <w:sz w:val="20"/>
          <w:szCs w:val="20"/>
        </w:rPr>
        <w:t xml:space="preserve"> US$ 15.000,00 (quince mil dólares de los Estados Unidos de América) o su equivalente en moneda colombiana a la Comisión Colombiana de Juristas</w:t>
      </w:r>
      <w:r w:rsidR="00737323">
        <w:rPr>
          <w:rStyle w:val="Refdenotaalpie"/>
          <w:rFonts w:ascii="Verdana" w:hAnsi="Verdana"/>
          <w:sz w:val="20"/>
          <w:szCs w:val="20"/>
        </w:rPr>
        <w:footnoteReference w:id="93"/>
      </w:r>
      <w:r w:rsidR="00E042A9">
        <w:rPr>
          <w:rFonts w:ascii="Verdana" w:hAnsi="Verdana"/>
          <w:sz w:val="20"/>
          <w:szCs w:val="20"/>
        </w:rPr>
        <w:t xml:space="preserve"> (en adelante, la “CCJ”)</w:t>
      </w:r>
      <w:r w:rsidR="00737323">
        <w:rPr>
          <w:rFonts w:ascii="Verdana" w:hAnsi="Verdana"/>
          <w:sz w:val="20"/>
          <w:szCs w:val="20"/>
        </w:rPr>
        <w:t>,</w:t>
      </w:r>
      <w:r w:rsidR="00737323" w:rsidRPr="00737323">
        <w:rPr>
          <w:rFonts w:ascii="Verdana" w:hAnsi="Verdana"/>
          <w:sz w:val="20"/>
          <w:szCs w:val="20"/>
        </w:rPr>
        <w:t xml:space="preserve"> la cantidad de US$ 10.000,00 (diez mil dólares de los Estados Unidos de América) a</w:t>
      </w:r>
      <w:r w:rsidR="00737323">
        <w:rPr>
          <w:rFonts w:ascii="Verdana" w:hAnsi="Verdana"/>
          <w:sz w:val="20"/>
          <w:szCs w:val="20"/>
        </w:rPr>
        <w:t xml:space="preserve"> la </w:t>
      </w:r>
      <w:r w:rsidR="00737323" w:rsidRPr="00737323">
        <w:rPr>
          <w:rFonts w:ascii="Verdana" w:hAnsi="Verdana"/>
          <w:sz w:val="20"/>
          <w:szCs w:val="20"/>
        </w:rPr>
        <w:t>Asociación de Familiares de Detenidos y Desaparecidos</w:t>
      </w:r>
      <w:r w:rsidR="00737323">
        <w:rPr>
          <w:rFonts w:ascii="Verdana" w:hAnsi="Verdana"/>
          <w:sz w:val="20"/>
          <w:szCs w:val="20"/>
        </w:rPr>
        <w:t xml:space="preserve"> (en adelante, “</w:t>
      </w:r>
      <w:r w:rsidR="00737323" w:rsidRPr="00737323">
        <w:rPr>
          <w:rFonts w:ascii="Verdana" w:hAnsi="Verdana"/>
          <w:sz w:val="20"/>
          <w:szCs w:val="20"/>
        </w:rPr>
        <w:t>ASFADDES</w:t>
      </w:r>
      <w:r w:rsidR="00737323">
        <w:rPr>
          <w:rFonts w:ascii="Verdana" w:hAnsi="Verdana"/>
          <w:sz w:val="20"/>
          <w:szCs w:val="20"/>
        </w:rPr>
        <w:t>”)</w:t>
      </w:r>
      <w:r w:rsidR="00737323">
        <w:rPr>
          <w:rStyle w:val="Refdenotaalpie"/>
          <w:rFonts w:ascii="Verdana" w:hAnsi="Verdana"/>
          <w:sz w:val="20"/>
          <w:szCs w:val="20"/>
        </w:rPr>
        <w:footnoteReference w:id="94"/>
      </w:r>
      <w:r w:rsidR="00737323" w:rsidRPr="00737323">
        <w:rPr>
          <w:rFonts w:ascii="Verdana" w:hAnsi="Verdana"/>
          <w:sz w:val="20"/>
          <w:szCs w:val="20"/>
        </w:rPr>
        <w:t xml:space="preserve"> y la cantidad de US$ 8.000,00 (ocho mil </w:t>
      </w:r>
      <w:r w:rsidR="00737323" w:rsidRPr="00737323">
        <w:rPr>
          <w:rFonts w:ascii="Verdana" w:eastAsia="Times New Roman" w:hAnsi="Verdana" w:cs="Verdana"/>
          <w:sz w:val="20"/>
          <w:szCs w:val="20"/>
          <w:lang w:val="es-ES_tradnl"/>
        </w:rPr>
        <w:t>dólares</w:t>
      </w:r>
      <w:r w:rsidR="00737323" w:rsidRPr="00737323">
        <w:rPr>
          <w:rFonts w:ascii="Verdana" w:hAnsi="Verdana"/>
          <w:sz w:val="20"/>
          <w:szCs w:val="20"/>
        </w:rPr>
        <w:t xml:space="preserve"> de los Estados Unidos de América) o su equivalente en moneda</w:t>
      </w:r>
      <w:r w:rsidR="00737323">
        <w:rPr>
          <w:rFonts w:ascii="Verdana" w:hAnsi="Verdana"/>
          <w:sz w:val="20"/>
          <w:szCs w:val="20"/>
        </w:rPr>
        <w:t xml:space="preserve"> colombiana al </w:t>
      </w:r>
      <w:r w:rsidR="00737323" w:rsidRPr="00737323">
        <w:rPr>
          <w:rFonts w:ascii="Verdana" w:hAnsi="Verdana"/>
          <w:sz w:val="20"/>
          <w:szCs w:val="20"/>
        </w:rPr>
        <w:t>Centro por la Justicia y el Derecho Internaciona</w:t>
      </w:r>
      <w:r w:rsidR="00737323">
        <w:rPr>
          <w:rFonts w:ascii="Verdana" w:hAnsi="Verdana"/>
          <w:sz w:val="20"/>
          <w:szCs w:val="20"/>
        </w:rPr>
        <w:t>l (</w:t>
      </w:r>
      <w:r w:rsidR="00E042A9">
        <w:rPr>
          <w:rFonts w:ascii="Verdana" w:hAnsi="Verdana"/>
          <w:sz w:val="20"/>
          <w:szCs w:val="20"/>
        </w:rPr>
        <w:t>en adelante, “</w:t>
      </w:r>
      <w:r w:rsidR="00737323" w:rsidRPr="00737323">
        <w:rPr>
          <w:rFonts w:ascii="Verdana" w:hAnsi="Verdana"/>
          <w:sz w:val="20"/>
          <w:szCs w:val="20"/>
        </w:rPr>
        <w:t>CEJIL</w:t>
      </w:r>
      <w:r w:rsidR="00E042A9">
        <w:rPr>
          <w:rFonts w:ascii="Verdana" w:hAnsi="Verdana"/>
          <w:sz w:val="20"/>
          <w:szCs w:val="20"/>
        </w:rPr>
        <w:t>”</w:t>
      </w:r>
      <w:r w:rsidR="00737323">
        <w:rPr>
          <w:rFonts w:ascii="Verdana" w:hAnsi="Verdana"/>
          <w:sz w:val="20"/>
          <w:szCs w:val="20"/>
        </w:rPr>
        <w:t>)</w:t>
      </w:r>
      <w:r w:rsidR="00737323">
        <w:rPr>
          <w:rStyle w:val="Refdenotaalpie"/>
          <w:rFonts w:ascii="Verdana" w:hAnsi="Verdana"/>
          <w:sz w:val="20"/>
          <w:szCs w:val="20"/>
        </w:rPr>
        <w:footnoteReference w:id="95"/>
      </w:r>
      <w:r w:rsidR="00737323" w:rsidRPr="00737323">
        <w:rPr>
          <w:rFonts w:ascii="Verdana" w:hAnsi="Verdana"/>
          <w:sz w:val="20"/>
          <w:szCs w:val="20"/>
        </w:rPr>
        <w:t>.</w:t>
      </w:r>
    </w:p>
    <w:p w14:paraId="6D3D8A37" w14:textId="0E812DBD" w:rsidR="0050282D" w:rsidRPr="00527BFA" w:rsidRDefault="0050282D" w:rsidP="0050282D">
      <w:pPr>
        <w:pStyle w:val="Ttulo2"/>
      </w:pPr>
      <w:r>
        <w:t>E</w:t>
      </w:r>
      <w:r w:rsidRPr="00527BFA">
        <w:t xml:space="preserve">.2. Consideraciones </w:t>
      </w:r>
      <w:r w:rsidR="00EA1239">
        <w:t xml:space="preserve">de </w:t>
      </w:r>
      <w:r w:rsidRPr="00527BFA">
        <w:t>la Corte</w:t>
      </w:r>
    </w:p>
    <w:p w14:paraId="3C58F1D9" w14:textId="64B5DA14" w:rsidR="005162C3" w:rsidRPr="001D230B" w:rsidRDefault="00E042A9" w:rsidP="005162C3">
      <w:pPr>
        <w:widowControl w:val="0"/>
        <w:numPr>
          <w:ilvl w:val="0"/>
          <w:numId w:val="8"/>
        </w:numPr>
        <w:tabs>
          <w:tab w:val="left" w:pos="567"/>
          <w:tab w:val="num" w:pos="12305"/>
        </w:tabs>
        <w:adjustRightInd w:val="0"/>
        <w:ind w:left="0" w:firstLine="0"/>
        <w:jc w:val="both"/>
        <w:textAlignment w:val="baseline"/>
        <w:rPr>
          <w:rFonts w:ascii="Verdana" w:eastAsia="Times New Roman" w:hAnsi="Verdana" w:cs="Verdana"/>
          <w:sz w:val="20"/>
          <w:szCs w:val="20"/>
          <w:lang w:val="es-ES_tradnl"/>
        </w:rPr>
      </w:pPr>
      <w:r w:rsidRPr="00E042A9">
        <w:rPr>
          <w:rFonts w:ascii="Verdana" w:eastAsia="Times New Roman" w:hAnsi="Verdana" w:cs="Verdana"/>
          <w:sz w:val="20"/>
          <w:szCs w:val="20"/>
          <w:lang w:val="es-ES_tradnl"/>
        </w:rPr>
        <w:t>E</w:t>
      </w:r>
      <w:r w:rsidR="00765597">
        <w:rPr>
          <w:rFonts w:ascii="Verdana" w:eastAsia="Times New Roman" w:hAnsi="Verdana" w:cs="Verdana"/>
          <w:sz w:val="20"/>
          <w:szCs w:val="20"/>
          <w:lang w:val="es-ES_tradnl"/>
        </w:rPr>
        <w:t>n</w:t>
      </w:r>
      <w:r w:rsidRPr="00E042A9">
        <w:rPr>
          <w:rFonts w:ascii="Verdana" w:eastAsia="Times New Roman" w:hAnsi="Verdana" w:cs="Verdana"/>
          <w:sz w:val="20"/>
          <w:szCs w:val="20"/>
          <w:lang w:val="es-ES_tradnl"/>
        </w:rPr>
        <w:t xml:space="preserve"> respuesta a la </w:t>
      </w:r>
      <w:r w:rsidRPr="00E042A9">
        <w:rPr>
          <w:rFonts w:ascii="Verdana" w:hAnsi="Verdana"/>
          <w:sz w:val="20"/>
          <w:szCs w:val="20"/>
          <w:lang w:val="es-ES_tradnl"/>
        </w:rPr>
        <w:t>solicitud</w:t>
      </w:r>
      <w:r w:rsidRPr="00E042A9">
        <w:rPr>
          <w:rFonts w:ascii="Verdana" w:eastAsia="Times New Roman" w:hAnsi="Verdana" w:cs="Verdana"/>
          <w:sz w:val="20"/>
          <w:szCs w:val="20"/>
          <w:lang w:val="es-ES_tradnl"/>
        </w:rPr>
        <w:t xml:space="preserve"> de información realizada por la Corte mediante nota de S</w:t>
      </w:r>
      <w:r w:rsidR="00B52790">
        <w:rPr>
          <w:rFonts w:ascii="Verdana" w:eastAsia="Times New Roman" w:hAnsi="Verdana" w:cs="Verdana"/>
          <w:sz w:val="20"/>
          <w:szCs w:val="20"/>
          <w:lang w:val="es-ES_tradnl"/>
        </w:rPr>
        <w:t xml:space="preserve">ecretaría de 6 de octubre de </w:t>
      </w:r>
      <w:r w:rsidRPr="00E042A9">
        <w:rPr>
          <w:rFonts w:ascii="Verdana" w:eastAsia="Times New Roman" w:hAnsi="Verdana" w:cs="Verdana"/>
          <w:sz w:val="20"/>
          <w:szCs w:val="20"/>
          <w:lang w:val="es-ES_tradnl"/>
        </w:rPr>
        <w:t>202</w:t>
      </w:r>
      <w:r w:rsidR="00B52790">
        <w:rPr>
          <w:rFonts w:ascii="Verdana" w:eastAsia="Times New Roman" w:hAnsi="Verdana" w:cs="Verdana"/>
          <w:sz w:val="20"/>
          <w:szCs w:val="20"/>
          <w:lang w:val="es-ES_tradnl"/>
        </w:rPr>
        <w:t>0</w:t>
      </w:r>
      <w:r w:rsidRPr="00E042A9">
        <w:rPr>
          <w:rFonts w:ascii="Verdana" w:eastAsia="Times New Roman" w:hAnsi="Verdana" w:cs="Verdana"/>
          <w:sz w:val="20"/>
          <w:szCs w:val="20"/>
          <w:lang w:val="es-ES_tradnl"/>
        </w:rPr>
        <w:t>, los representante</w:t>
      </w:r>
      <w:r w:rsidR="002232C7">
        <w:rPr>
          <w:rFonts w:ascii="Verdana" w:eastAsia="Times New Roman" w:hAnsi="Verdana" w:cs="Verdana"/>
          <w:sz w:val="20"/>
          <w:szCs w:val="20"/>
          <w:lang w:val="es-ES_tradnl"/>
        </w:rPr>
        <w:t>s</w:t>
      </w:r>
      <w:r w:rsidRPr="00E042A9">
        <w:rPr>
          <w:rFonts w:ascii="Verdana" w:eastAsia="Times New Roman" w:hAnsi="Verdana" w:cs="Verdana"/>
          <w:sz w:val="20"/>
          <w:szCs w:val="20"/>
          <w:lang w:val="es-ES_tradnl"/>
        </w:rPr>
        <w:t xml:space="preserve"> indicaron que</w:t>
      </w:r>
      <w:r w:rsidR="00B52790">
        <w:rPr>
          <w:rFonts w:ascii="Verdana" w:eastAsia="Times New Roman" w:hAnsi="Verdana" w:cs="Verdana"/>
          <w:sz w:val="20"/>
          <w:szCs w:val="20"/>
          <w:lang w:val="es-ES_tradnl"/>
        </w:rPr>
        <w:t>,</w:t>
      </w:r>
      <w:r w:rsidRPr="00E042A9">
        <w:rPr>
          <w:rFonts w:ascii="Verdana" w:eastAsia="Times New Roman" w:hAnsi="Verdana" w:cs="Verdana"/>
          <w:sz w:val="20"/>
          <w:szCs w:val="20"/>
          <w:lang w:val="es-ES_tradnl"/>
        </w:rPr>
        <w:t xml:space="preserve"> </w:t>
      </w:r>
      <w:r w:rsidRPr="00E042A9">
        <w:rPr>
          <w:rFonts w:ascii="Verdana" w:eastAsia="Times New Roman" w:hAnsi="Verdana" w:cs="ArialMT"/>
          <w:sz w:val="20"/>
          <w:szCs w:val="20"/>
          <w:lang w:val="es-CR" w:eastAsia="es-CR"/>
        </w:rPr>
        <w:t>con fecha 22 de junio de 2012</w:t>
      </w:r>
      <w:r w:rsidR="00B52790">
        <w:rPr>
          <w:rFonts w:ascii="Verdana" w:eastAsia="Times New Roman" w:hAnsi="Verdana" w:cs="ArialMT"/>
          <w:sz w:val="20"/>
          <w:szCs w:val="20"/>
          <w:lang w:val="es-CR" w:eastAsia="es-CR"/>
        </w:rPr>
        <w:t>,</w:t>
      </w:r>
      <w:r w:rsidRPr="00E042A9">
        <w:rPr>
          <w:rFonts w:ascii="Verdana" w:eastAsia="Times New Roman" w:hAnsi="Verdana" w:cs="ArialMT"/>
          <w:sz w:val="20"/>
          <w:szCs w:val="20"/>
          <w:lang w:val="es-CR" w:eastAsia="es-CR"/>
        </w:rPr>
        <w:t xml:space="preserve"> la CCJ recibió un pago por parte del Estado colombiano por concepto de pago de las costas y gastos, así como </w:t>
      </w:r>
      <w:r w:rsidR="00B52790">
        <w:rPr>
          <w:rFonts w:ascii="Verdana" w:eastAsia="Times New Roman" w:hAnsi="Verdana" w:cs="ArialMT"/>
          <w:sz w:val="20"/>
          <w:szCs w:val="20"/>
          <w:lang w:val="es-CR" w:eastAsia="es-CR"/>
        </w:rPr>
        <w:t xml:space="preserve">por </w:t>
      </w:r>
      <w:r w:rsidRPr="00E042A9">
        <w:rPr>
          <w:rFonts w:ascii="Verdana" w:eastAsia="Times New Roman" w:hAnsi="Verdana" w:cs="ArialMT"/>
          <w:sz w:val="20"/>
          <w:szCs w:val="20"/>
          <w:lang w:val="es-CR" w:eastAsia="es-CR"/>
        </w:rPr>
        <w:t xml:space="preserve">el interés moratorio </w:t>
      </w:r>
      <w:r w:rsidR="00B52790">
        <w:rPr>
          <w:rFonts w:ascii="Verdana" w:eastAsia="Times New Roman" w:hAnsi="Verdana" w:cs="ArialMT"/>
          <w:sz w:val="20"/>
          <w:szCs w:val="20"/>
          <w:lang w:val="es-CR" w:eastAsia="es-CR"/>
        </w:rPr>
        <w:t xml:space="preserve">generado </w:t>
      </w:r>
      <w:r w:rsidRPr="00E042A9">
        <w:rPr>
          <w:rFonts w:ascii="Verdana" w:eastAsia="Times New Roman" w:hAnsi="Verdana" w:cs="ArialMT"/>
          <w:sz w:val="20"/>
          <w:szCs w:val="20"/>
          <w:lang w:val="es-CR" w:eastAsia="es-CR"/>
        </w:rPr>
        <w:t xml:space="preserve">desde proferida la </w:t>
      </w:r>
      <w:r w:rsidR="00EA1239">
        <w:rPr>
          <w:rFonts w:ascii="Verdana" w:eastAsia="Times New Roman" w:hAnsi="Verdana" w:cs="ArialMT"/>
          <w:sz w:val="20"/>
          <w:szCs w:val="20"/>
          <w:lang w:val="es-CR" w:eastAsia="es-CR"/>
        </w:rPr>
        <w:t>S</w:t>
      </w:r>
      <w:r w:rsidRPr="00E042A9">
        <w:rPr>
          <w:rFonts w:ascii="Verdana" w:eastAsia="Times New Roman" w:hAnsi="Verdana" w:cs="ArialMT"/>
          <w:sz w:val="20"/>
          <w:szCs w:val="20"/>
          <w:lang w:val="es-CR" w:eastAsia="es-CR"/>
        </w:rPr>
        <w:t>entencia hasta dicho pago</w:t>
      </w:r>
      <w:r w:rsidR="002232C7">
        <w:rPr>
          <w:rFonts w:ascii="Verdana" w:eastAsia="Times New Roman" w:hAnsi="Verdana" w:cs="ArialMT"/>
          <w:sz w:val="20"/>
          <w:szCs w:val="20"/>
          <w:lang w:val="es-CR" w:eastAsia="es-CR"/>
        </w:rPr>
        <w:t xml:space="preserve">. Añadió que CEJIL no cuenta con registro de que se hubiera realizado pago alguno por este concepto. </w:t>
      </w:r>
      <w:r w:rsidR="00EA1239">
        <w:rPr>
          <w:rFonts w:ascii="Verdana" w:eastAsia="Times New Roman" w:hAnsi="Verdana" w:cs="ArialMT"/>
          <w:sz w:val="20"/>
          <w:szCs w:val="20"/>
          <w:lang w:val="es-CR" w:eastAsia="es-CR"/>
        </w:rPr>
        <w:t>S</w:t>
      </w:r>
      <w:r w:rsidR="002232C7">
        <w:rPr>
          <w:rFonts w:ascii="Verdana" w:eastAsia="Times New Roman" w:hAnsi="Verdana" w:cs="ArialMT"/>
          <w:sz w:val="20"/>
          <w:szCs w:val="20"/>
          <w:lang w:val="es-CR" w:eastAsia="es-CR"/>
        </w:rPr>
        <w:t xml:space="preserve">olicitaron a la Corte que se </w:t>
      </w:r>
      <w:r w:rsidR="002232C7" w:rsidRPr="001D230B">
        <w:rPr>
          <w:rFonts w:ascii="Verdana" w:eastAsia="Times New Roman" w:hAnsi="Verdana" w:cs="ArialMT"/>
          <w:sz w:val="20"/>
          <w:szCs w:val="20"/>
          <w:lang w:val="es-CR" w:eastAsia="es-CR"/>
        </w:rPr>
        <w:t>declare el cumplimiento parcial de la presente medida</w:t>
      </w:r>
      <w:r w:rsidR="00B52790">
        <w:rPr>
          <w:rStyle w:val="Refdenotaalpie"/>
          <w:rFonts w:ascii="Verdana" w:eastAsia="Times New Roman" w:hAnsi="Verdana" w:cs="ArialMT"/>
          <w:sz w:val="20"/>
          <w:szCs w:val="20"/>
          <w:lang w:val="es-CR" w:eastAsia="es-CR"/>
        </w:rPr>
        <w:footnoteReference w:id="96"/>
      </w:r>
      <w:r w:rsidR="002232C7" w:rsidRPr="001D230B">
        <w:rPr>
          <w:rFonts w:ascii="Verdana" w:eastAsia="Times New Roman" w:hAnsi="Verdana" w:cs="ArialMT"/>
          <w:sz w:val="20"/>
          <w:szCs w:val="20"/>
          <w:lang w:val="es-CR" w:eastAsia="es-CR"/>
        </w:rPr>
        <w:t>.</w:t>
      </w:r>
    </w:p>
    <w:p w14:paraId="423C687C" w14:textId="77777777" w:rsidR="005162C3" w:rsidRPr="001D230B" w:rsidRDefault="005162C3" w:rsidP="005162C3">
      <w:pPr>
        <w:widowControl w:val="0"/>
        <w:tabs>
          <w:tab w:val="left" w:pos="567"/>
        </w:tabs>
        <w:adjustRightInd w:val="0"/>
        <w:jc w:val="both"/>
        <w:textAlignment w:val="baseline"/>
        <w:rPr>
          <w:rFonts w:ascii="Verdana" w:eastAsia="Times New Roman" w:hAnsi="Verdana" w:cs="Verdana"/>
          <w:sz w:val="20"/>
          <w:szCs w:val="20"/>
          <w:lang w:val="es-ES_tradnl"/>
        </w:rPr>
      </w:pPr>
    </w:p>
    <w:p w14:paraId="2E5B9552" w14:textId="3F3D1C85" w:rsidR="005162C3" w:rsidRPr="000546C9" w:rsidRDefault="005162C3" w:rsidP="005162C3">
      <w:pPr>
        <w:widowControl w:val="0"/>
        <w:numPr>
          <w:ilvl w:val="0"/>
          <w:numId w:val="8"/>
        </w:numPr>
        <w:tabs>
          <w:tab w:val="left" w:pos="567"/>
          <w:tab w:val="num" w:pos="12305"/>
        </w:tabs>
        <w:adjustRightInd w:val="0"/>
        <w:ind w:left="0" w:firstLine="0"/>
        <w:jc w:val="both"/>
        <w:textAlignment w:val="baseline"/>
        <w:rPr>
          <w:rFonts w:ascii="Verdana" w:eastAsia="Times New Roman" w:hAnsi="Verdana" w:cs="Verdana"/>
          <w:b/>
          <w:sz w:val="20"/>
          <w:szCs w:val="20"/>
          <w:lang w:val="es-ES_tradnl"/>
        </w:rPr>
      </w:pPr>
      <w:r w:rsidRPr="00D076D2">
        <w:rPr>
          <w:rFonts w:ascii="Verdana" w:eastAsia="Times New Roman" w:hAnsi="Verdana" w:cs="Verdana"/>
          <w:sz w:val="20"/>
          <w:szCs w:val="20"/>
          <w:lang w:val="es-ES_tradnl"/>
        </w:rPr>
        <w:t>P</w:t>
      </w:r>
      <w:r w:rsidR="00765597" w:rsidRPr="00D076D2">
        <w:rPr>
          <w:rFonts w:ascii="Verdana" w:eastAsia="Times New Roman" w:hAnsi="Verdana" w:cs="Verdana"/>
          <w:sz w:val="20"/>
          <w:szCs w:val="20"/>
          <w:lang w:val="es-ES_tradnl"/>
        </w:rPr>
        <w:t>o</w:t>
      </w:r>
      <w:r w:rsidRPr="00D076D2">
        <w:rPr>
          <w:rFonts w:ascii="Verdana" w:eastAsia="Times New Roman" w:hAnsi="Verdana" w:cs="Verdana"/>
          <w:sz w:val="20"/>
          <w:szCs w:val="20"/>
          <w:lang w:val="es-ES_tradnl"/>
        </w:rPr>
        <w:t xml:space="preserve">r su parte, el Estado informó </w:t>
      </w:r>
      <w:r w:rsidR="00D076D2" w:rsidRPr="00D076D2">
        <w:rPr>
          <w:rFonts w:ascii="Verdana" w:eastAsia="Times New Roman" w:hAnsi="Verdana" w:cs="Verdana"/>
          <w:sz w:val="20"/>
          <w:szCs w:val="20"/>
          <w:lang w:val="es-ES_tradnl"/>
        </w:rPr>
        <w:t xml:space="preserve">que </w:t>
      </w:r>
      <w:r w:rsidR="00D076D2" w:rsidRPr="00BE6318">
        <w:rPr>
          <w:rFonts w:ascii="Verdana" w:eastAsia="Times New Roman" w:hAnsi="Verdana" w:cs="Verdana"/>
          <w:sz w:val="20"/>
          <w:szCs w:val="20"/>
          <w:lang w:val="es-ES_tradnl"/>
        </w:rPr>
        <w:t>en virtud de Resolución no. 0976, de 15 de junio de 2012, se ordenó el abono de 40.936.64,30 pesos colombianos en concepto de costas y gastos a favor de la CCJ</w:t>
      </w:r>
      <w:r w:rsidR="00D076D2" w:rsidRPr="00BE6318">
        <w:rPr>
          <w:rStyle w:val="Refdenotaalpie"/>
          <w:rFonts w:ascii="Verdana" w:eastAsia="Times New Roman" w:hAnsi="Verdana" w:cs="Verdana"/>
          <w:sz w:val="20"/>
          <w:szCs w:val="20"/>
          <w:lang w:val="es-ES_tradnl"/>
        </w:rPr>
        <w:footnoteReference w:id="97"/>
      </w:r>
      <w:r w:rsidR="00D076D2" w:rsidRPr="00BE6318">
        <w:rPr>
          <w:rFonts w:ascii="Verdana" w:eastAsia="Times New Roman" w:hAnsi="Verdana" w:cs="Verdana"/>
          <w:sz w:val="20"/>
          <w:szCs w:val="20"/>
          <w:lang w:val="es-ES_tradnl"/>
        </w:rPr>
        <w:t>.</w:t>
      </w:r>
      <w:r w:rsidR="00D076D2">
        <w:rPr>
          <w:rFonts w:ascii="Verdana" w:eastAsia="Times New Roman" w:hAnsi="Verdana" w:cs="Verdana"/>
          <w:b/>
          <w:sz w:val="20"/>
          <w:szCs w:val="20"/>
          <w:lang w:val="es-ES_tradnl"/>
        </w:rPr>
        <w:t xml:space="preserve"> </w:t>
      </w:r>
    </w:p>
    <w:p w14:paraId="02B40750" w14:textId="77777777" w:rsidR="0050282D" w:rsidRPr="0050282D" w:rsidRDefault="0050282D" w:rsidP="0050282D">
      <w:pPr>
        <w:widowControl w:val="0"/>
        <w:tabs>
          <w:tab w:val="left" w:pos="567"/>
        </w:tabs>
        <w:adjustRightInd w:val="0"/>
        <w:jc w:val="both"/>
        <w:textAlignment w:val="baseline"/>
        <w:rPr>
          <w:rFonts w:ascii="Verdana" w:eastAsia="Times New Roman" w:hAnsi="Verdana" w:cs="Verdana"/>
          <w:sz w:val="20"/>
          <w:szCs w:val="20"/>
          <w:lang w:val="es-ES_tradnl"/>
        </w:rPr>
      </w:pPr>
    </w:p>
    <w:p w14:paraId="77269BEC" w14:textId="657ECAAB" w:rsidR="0050282D" w:rsidRPr="00D076D2" w:rsidRDefault="00D076D2" w:rsidP="00A15E3C">
      <w:pPr>
        <w:widowControl w:val="0"/>
        <w:numPr>
          <w:ilvl w:val="0"/>
          <w:numId w:val="8"/>
        </w:numPr>
        <w:tabs>
          <w:tab w:val="left" w:pos="567"/>
          <w:tab w:val="num" w:pos="12305"/>
        </w:tabs>
        <w:adjustRightInd w:val="0"/>
        <w:ind w:left="0" w:firstLine="0"/>
        <w:jc w:val="both"/>
        <w:textAlignment w:val="baseline"/>
        <w:rPr>
          <w:rFonts w:ascii="Verdana" w:eastAsia="Times New Roman" w:hAnsi="Verdana" w:cs="Verdana"/>
          <w:sz w:val="20"/>
          <w:szCs w:val="20"/>
          <w:lang w:val="es-ES_tradnl"/>
        </w:rPr>
      </w:pPr>
      <w:r w:rsidRPr="00BE6318">
        <w:rPr>
          <w:rFonts w:ascii="Verdana" w:eastAsia="Times New Roman" w:hAnsi="Verdana" w:cs="Verdana"/>
          <w:sz w:val="20"/>
          <w:szCs w:val="20"/>
          <w:lang w:val="es-ES_tradnl"/>
        </w:rPr>
        <w:t xml:space="preserve">La Corte observa que el Estado efectivamente ha abonado el importe de costas y gastos a una de las tres organizaciones representantes de las víctimas del presente caso, si bien no </w:t>
      </w:r>
      <w:r w:rsidR="006E4805" w:rsidRPr="00BE6318">
        <w:rPr>
          <w:rFonts w:ascii="Verdana" w:eastAsia="Times New Roman" w:hAnsi="Verdana" w:cs="Verdana"/>
          <w:sz w:val="20"/>
          <w:szCs w:val="20"/>
          <w:lang w:val="es-ES_tradnl"/>
        </w:rPr>
        <w:t>ha sido alegado –</w:t>
      </w:r>
      <w:r w:rsidRPr="00BE6318">
        <w:rPr>
          <w:rFonts w:ascii="Verdana" w:eastAsia="Times New Roman" w:hAnsi="Verdana" w:cs="Verdana"/>
          <w:sz w:val="20"/>
          <w:szCs w:val="20"/>
          <w:lang w:val="es-ES_tradnl"/>
        </w:rPr>
        <w:t>ni</w:t>
      </w:r>
      <w:r w:rsidR="006E4805" w:rsidRPr="00BE6318">
        <w:rPr>
          <w:rFonts w:ascii="Verdana" w:eastAsia="Times New Roman" w:hAnsi="Verdana" w:cs="Verdana"/>
          <w:sz w:val="20"/>
          <w:szCs w:val="20"/>
          <w:lang w:val="es-ES_tradnl"/>
        </w:rPr>
        <w:t xml:space="preserve"> </w:t>
      </w:r>
      <w:r w:rsidRPr="00BE6318">
        <w:rPr>
          <w:rFonts w:ascii="Verdana" w:eastAsia="Times New Roman" w:hAnsi="Verdana" w:cs="Verdana"/>
          <w:sz w:val="20"/>
          <w:szCs w:val="20"/>
          <w:lang w:val="es-ES_tradnl"/>
        </w:rPr>
        <w:t>consta acervo probatorio al respecto</w:t>
      </w:r>
      <w:r w:rsidR="006E4805" w:rsidRPr="00BE6318">
        <w:rPr>
          <w:rFonts w:ascii="Verdana" w:eastAsia="Times New Roman" w:hAnsi="Verdana" w:cs="Verdana"/>
          <w:sz w:val="20"/>
          <w:szCs w:val="20"/>
          <w:lang w:val="es-ES_tradnl"/>
        </w:rPr>
        <w:t>–</w:t>
      </w:r>
      <w:r w:rsidRPr="00BE6318">
        <w:rPr>
          <w:rFonts w:ascii="Verdana" w:eastAsia="Times New Roman" w:hAnsi="Verdana" w:cs="Verdana"/>
          <w:sz w:val="20"/>
          <w:szCs w:val="20"/>
          <w:lang w:val="es-ES_tradnl"/>
        </w:rPr>
        <w:t xml:space="preserve"> que se haya procedido con el pago de las mencionadas costas y gastos a favor de las restantes organizaciones, esto es, </w:t>
      </w:r>
      <w:r w:rsidRPr="00BE6318">
        <w:rPr>
          <w:rFonts w:ascii="Verdana" w:hAnsi="Verdana"/>
          <w:sz w:val="20"/>
          <w:szCs w:val="20"/>
        </w:rPr>
        <w:t>ASFADDES</w:t>
      </w:r>
      <w:r w:rsidRPr="00BE6318">
        <w:rPr>
          <w:rFonts w:ascii="Verdana" w:eastAsia="Times New Roman" w:hAnsi="Verdana" w:cs="Verdana"/>
          <w:sz w:val="20"/>
          <w:szCs w:val="20"/>
          <w:lang w:val="es-ES_tradnl"/>
        </w:rPr>
        <w:t xml:space="preserve"> y CEJIL</w:t>
      </w:r>
      <w:r w:rsidRPr="00D076D2">
        <w:rPr>
          <w:rFonts w:ascii="Verdana" w:eastAsia="Times New Roman" w:hAnsi="Verdana" w:cs="Verdana"/>
          <w:sz w:val="20"/>
          <w:szCs w:val="20"/>
          <w:lang w:val="es-ES_tradnl"/>
        </w:rPr>
        <w:t xml:space="preserve">. </w:t>
      </w:r>
      <w:r w:rsidR="0050282D" w:rsidRPr="00D076D2">
        <w:rPr>
          <w:rFonts w:ascii="Verdana" w:eastAsia="Times New Roman" w:hAnsi="Verdana" w:cs="Verdana"/>
          <w:sz w:val="20"/>
          <w:szCs w:val="20"/>
          <w:lang w:val="es-ES_tradnl"/>
        </w:rPr>
        <w:t>E</w:t>
      </w:r>
      <w:r w:rsidR="00765597" w:rsidRPr="00D076D2">
        <w:rPr>
          <w:rFonts w:ascii="Verdana" w:eastAsia="Times New Roman" w:hAnsi="Verdana" w:cs="Verdana"/>
          <w:sz w:val="20"/>
          <w:szCs w:val="20"/>
          <w:lang w:val="es-ES_tradnl"/>
        </w:rPr>
        <w:t>n</w:t>
      </w:r>
      <w:r w:rsidR="0050282D" w:rsidRPr="00D076D2">
        <w:rPr>
          <w:rFonts w:ascii="Verdana" w:eastAsia="Times New Roman" w:hAnsi="Verdana" w:cs="Verdana"/>
          <w:sz w:val="20"/>
          <w:szCs w:val="20"/>
          <w:lang w:val="es-ES_tradnl"/>
        </w:rPr>
        <w:t xml:space="preserve"> </w:t>
      </w:r>
      <w:r w:rsidR="00B52790" w:rsidRPr="00D076D2">
        <w:rPr>
          <w:rFonts w:ascii="Verdana" w:eastAsia="Times New Roman" w:hAnsi="Verdana" w:cs="Verdana"/>
          <w:sz w:val="20"/>
          <w:szCs w:val="20"/>
          <w:lang w:val="es-ES_tradnl"/>
        </w:rPr>
        <w:t>consecuencia</w:t>
      </w:r>
      <w:r w:rsidR="0050282D" w:rsidRPr="00D076D2">
        <w:rPr>
          <w:rFonts w:ascii="Verdana" w:eastAsia="Times New Roman" w:hAnsi="Verdana" w:cs="Verdana"/>
          <w:sz w:val="20"/>
          <w:szCs w:val="20"/>
          <w:lang w:val="es-ES_tradnl"/>
        </w:rPr>
        <w:t>, la Corte considera que el Estado ha dado cumplimiento parcial a los pagos de las cantidades fijadas en la Sentencia por concepto de costas y gastos</w:t>
      </w:r>
      <w:r w:rsidR="000546C9">
        <w:rPr>
          <w:rFonts w:ascii="Verdana" w:eastAsia="Times New Roman" w:hAnsi="Verdana" w:cs="Verdana"/>
          <w:sz w:val="20"/>
          <w:szCs w:val="20"/>
          <w:lang w:val="es-ES_tradnl"/>
        </w:rPr>
        <w:t xml:space="preserve"> a favor de la CCJ</w:t>
      </w:r>
      <w:r w:rsidR="0050282D" w:rsidRPr="00D076D2">
        <w:rPr>
          <w:rFonts w:ascii="Verdana" w:eastAsia="Times New Roman" w:hAnsi="Verdana" w:cs="Verdana"/>
          <w:sz w:val="20"/>
          <w:szCs w:val="20"/>
          <w:lang w:val="es-ES_tradnl"/>
        </w:rPr>
        <w:t>, quedando pendiente el pago</w:t>
      </w:r>
      <w:r w:rsidR="006D6A6D" w:rsidRPr="00D076D2">
        <w:rPr>
          <w:rFonts w:ascii="Verdana" w:eastAsia="Times New Roman" w:hAnsi="Verdana" w:cs="Verdana"/>
          <w:sz w:val="20"/>
          <w:szCs w:val="20"/>
          <w:lang w:val="es-ES_tradnl"/>
        </w:rPr>
        <w:t xml:space="preserve"> de las cantidades fijadas por concepto de costas y gastos a</w:t>
      </w:r>
      <w:r w:rsidR="0050282D" w:rsidRPr="00D076D2">
        <w:rPr>
          <w:rFonts w:ascii="Verdana" w:eastAsia="Times New Roman" w:hAnsi="Verdana" w:cs="Verdana"/>
          <w:sz w:val="20"/>
          <w:szCs w:val="20"/>
          <w:lang w:val="es-ES_tradnl"/>
        </w:rPr>
        <w:t xml:space="preserve"> </w:t>
      </w:r>
      <w:r w:rsidR="006D6A6D" w:rsidRPr="00D076D2">
        <w:rPr>
          <w:rFonts w:ascii="Verdana" w:eastAsia="Times New Roman" w:hAnsi="Verdana" w:cs="Verdana"/>
          <w:sz w:val="20"/>
          <w:szCs w:val="20"/>
          <w:lang w:val="es-ES_tradnl"/>
        </w:rPr>
        <w:t xml:space="preserve">favor de </w:t>
      </w:r>
      <w:r w:rsidR="006D6A6D" w:rsidRPr="00D076D2">
        <w:rPr>
          <w:rFonts w:ascii="Verdana" w:hAnsi="Verdana"/>
          <w:sz w:val="20"/>
          <w:szCs w:val="20"/>
        </w:rPr>
        <w:t>ASFADDES</w:t>
      </w:r>
      <w:r w:rsidR="006D6A6D" w:rsidRPr="00D076D2">
        <w:rPr>
          <w:rFonts w:ascii="Verdana" w:eastAsia="Times New Roman" w:hAnsi="Verdana" w:cs="Verdana"/>
          <w:sz w:val="20"/>
          <w:szCs w:val="20"/>
          <w:lang w:val="es-ES_tradnl"/>
        </w:rPr>
        <w:t xml:space="preserve"> y CEJIL, así como de los intereses moratorios correspondientes</w:t>
      </w:r>
      <w:r w:rsidR="00AB4EEB">
        <w:rPr>
          <w:rFonts w:ascii="Verdana" w:eastAsia="Times New Roman" w:hAnsi="Verdana" w:cs="Verdana"/>
          <w:sz w:val="20"/>
          <w:szCs w:val="20"/>
          <w:lang w:val="es-ES_tradnl"/>
        </w:rPr>
        <w:t xml:space="preserve"> </w:t>
      </w:r>
      <w:r w:rsidR="00AB4EEB" w:rsidRPr="00A23189">
        <w:rPr>
          <w:rFonts w:ascii="Verdana" w:eastAsia="Times New Roman" w:hAnsi="Verdana" w:cs="Verdana"/>
          <w:sz w:val="20"/>
          <w:szCs w:val="20"/>
          <w:lang w:val="es-ES_tradnl"/>
        </w:rPr>
        <w:t>–</w:t>
      </w:r>
      <w:r w:rsidR="00AB4EEB" w:rsidRPr="00BE6318">
        <w:rPr>
          <w:rFonts w:ascii="Verdana" w:eastAsia="Times New Roman" w:hAnsi="Verdana" w:cs="Verdana"/>
          <w:sz w:val="20"/>
          <w:szCs w:val="20"/>
          <w:lang w:val="es-ES_tradnl"/>
        </w:rPr>
        <w:t>o, alternativamente, que se remita la prueba que acredite dichos pagos–</w:t>
      </w:r>
      <w:r w:rsidR="006D6A6D" w:rsidRPr="00D076D2">
        <w:rPr>
          <w:rFonts w:ascii="Verdana" w:eastAsia="Times New Roman" w:hAnsi="Verdana" w:cs="Verdana"/>
          <w:sz w:val="20"/>
          <w:szCs w:val="20"/>
          <w:lang w:val="es-ES_tradnl"/>
        </w:rPr>
        <w:t>, en los términos de los párrafos 285, 289, 291 y 294 de la Sentencia.</w:t>
      </w:r>
    </w:p>
    <w:p w14:paraId="70ABDA6F" w14:textId="7FC45238" w:rsidR="0050282D" w:rsidRPr="00546B72" w:rsidRDefault="0050282D" w:rsidP="001C4896">
      <w:pPr>
        <w:widowControl w:val="0"/>
        <w:tabs>
          <w:tab w:val="left" w:pos="567"/>
        </w:tabs>
        <w:adjustRightInd w:val="0"/>
        <w:jc w:val="both"/>
        <w:textAlignment w:val="baseline"/>
        <w:rPr>
          <w:rFonts w:ascii="Verdana" w:eastAsia="Times New Roman" w:hAnsi="Verdana" w:cs="Verdana"/>
          <w:sz w:val="20"/>
          <w:szCs w:val="20"/>
          <w:lang w:val="es-ES_tradnl"/>
        </w:rPr>
      </w:pPr>
    </w:p>
    <w:p w14:paraId="521216AE" w14:textId="77777777" w:rsidR="00546B72" w:rsidRPr="00546B72" w:rsidRDefault="00546B72" w:rsidP="001C4896">
      <w:pPr>
        <w:widowControl w:val="0"/>
        <w:tabs>
          <w:tab w:val="left" w:pos="567"/>
        </w:tabs>
        <w:adjustRightInd w:val="0"/>
        <w:jc w:val="both"/>
        <w:textAlignment w:val="baseline"/>
        <w:rPr>
          <w:rFonts w:ascii="Verdana" w:eastAsia="Times New Roman" w:hAnsi="Verdana" w:cs="Verdana"/>
          <w:sz w:val="20"/>
          <w:szCs w:val="20"/>
          <w:lang w:val="es-ES_tradnl"/>
        </w:rPr>
      </w:pPr>
    </w:p>
    <w:p w14:paraId="15BA7858" w14:textId="77777777" w:rsidR="004A1B95" w:rsidRPr="00527BFA" w:rsidRDefault="004A1B95" w:rsidP="004A1B95">
      <w:pPr>
        <w:spacing w:before="120" w:after="120"/>
        <w:jc w:val="both"/>
        <w:rPr>
          <w:rFonts w:ascii="Verdana" w:hAnsi="Verdana"/>
          <w:b/>
          <w:sz w:val="20"/>
          <w:lang w:val="es-MX"/>
        </w:rPr>
      </w:pPr>
      <w:r w:rsidRPr="00527BFA">
        <w:rPr>
          <w:rFonts w:ascii="Verdana" w:hAnsi="Verdana"/>
          <w:b/>
          <w:sz w:val="20"/>
          <w:lang w:val="es-MX"/>
        </w:rPr>
        <w:t>POR TANTO:</w:t>
      </w:r>
    </w:p>
    <w:p w14:paraId="2DA77CA5" w14:textId="77777777" w:rsidR="004A1B95" w:rsidRPr="00527BFA" w:rsidRDefault="004A1B95" w:rsidP="004A1B95">
      <w:pPr>
        <w:spacing w:before="120" w:after="120"/>
        <w:jc w:val="both"/>
        <w:rPr>
          <w:rFonts w:ascii="Verdana" w:hAnsi="Verdana"/>
          <w:b/>
          <w:sz w:val="20"/>
          <w:lang w:val="es-MX"/>
        </w:rPr>
      </w:pPr>
      <w:r w:rsidRPr="00527BFA">
        <w:rPr>
          <w:rFonts w:ascii="Verdana" w:hAnsi="Verdana"/>
          <w:b/>
          <w:sz w:val="20"/>
          <w:lang w:val="es-MX"/>
        </w:rPr>
        <w:t>LA CORTE INTERAMERICANA DE DERECHOS HUMANOS,</w:t>
      </w:r>
    </w:p>
    <w:p w14:paraId="0D659405" w14:textId="77777777" w:rsidR="004A1B95" w:rsidRPr="00527BFA" w:rsidRDefault="004A1B95" w:rsidP="004A1B95">
      <w:pPr>
        <w:spacing w:before="120" w:after="120"/>
        <w:jc w:val="both"/>
        <w:rPr>
          <w:rFonts w:ascii="Verdana" w:hAnsi="Verdana"/>
          <w:sz w:val="20"/>
        </w:rPr>
      </w:pPr>
      <w:r w:rsidRPr="00527BFA">
        <w:rPr>
          <w:rFonts w:ascii="Verdana" w:hAnsi="Verdana"/>
          <w:sz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0CEC41A3" w14:textId="77777777" w:rsidR="004A1B95" w:rsidRPr="00527BFA" w:rsidRDefault="004A1B95" w:rsidP="004A1B95">
      <w:pPr>
        <w:spacing w:before="120" w:after="120"/>
        <w:ind w:right="4"/>
        <w:jc w:val="both"/>
        <w:rPr>
          <w:rFonts w:ascii="Verdana" w:hAnsi="Verdana"/>
          <w:b/>
          <w:sz w:val="16"/>
          <w:szCs w:val="16"/>
          <w:lang w:val="es-MX"/>
        </w:rPr>
      </w:pPr>
    </w:p>
    <w:p w14:paraId="5E9EB812" w14:textId="77777777" w:rsidR="004A1B95" w:rsidRPr="00527BFA" w:rsidRDefault="004A1B95" w:rsidP="004A1B95">
      <w:pPr>
        <w:spacing w:before="120" w:after="120"/>
        <w:ind w:right="4"/>
        <w:jc w:val="both"/>
        <w:rPr>
          <w:rFonts w:ascii="Verdana" w:hAnsi="Verdana"/>
          <w:b/>
          <w:sz w:val="20"/>
          <w:lang w:val="es-MX"/>
        </w:rPr>
      </w:pPr>
      <w:r w:rsidRPr="00527BFA">
        <w:rPr>
          <w:rFonts w:ascii="Verdana" w:hAnsi="Verdana"/>
          <w:b/>
          <w:sz w:val="20"/>
          <w:lang w:val="es-MX"/>
        </w:rPr>
        <w:t xml:space="preserve">RESUELVE: </w:t>
      </w:r>
    </w:p>
    <w:p w14:paraId="0A086AAD" w14:textId="0CB1702B" w:rsidR="00CC6B61" w:rsidRPr="00527BFA" w:rsidRDefault="00CC6B61" w:rsidP="00C6162E">
      <w:pPr>
        <w:pStyle w:val="Prrafodelista"/>
        <w:numPr>
          <w:ilvl w:val="0"/>
          <w:numId w:val="6"/>
        </w:numPr>
        <w:spacing w:before="120" w:after="120"/>
        <w:ind w:left="0" w:right="4" w:firstLine="0"/>
        <w:contextualSpacing w:val="0"/>
        <w:jc w:val="both"/>
        <w:rPr>
          <w:rFonts w:ascii="Verdana" w:hAnsi="Verdana"/>
          <w:sz w:val="20"/>
        </w:rPr>
      </w:pPr>
      <w:r w:rsidRPr="00527BFA">
        <w:rPr>
          <w:rFonts w:ascii="Verdana" w:hAnsi="Verdana"/>
          <w:sz w:val="20"/>
        </w:rPr>
        <w:t xml:space="preserve">Declarar, de conformidad con lo señalado en los Considerandos </w:t>
      </w:r>
      <w:r w:rsidR="00A86866">
        <w:rPr>
          <w:rFonts w:ascii="Verdana" w:hAnsi="Verdana"/>
          <w:sz w:val="20"/>
        </w:rPr>
        <w:t>40</w:t>
      </w:r>
      <w:r w:rsidRPr="00527BFA">
        <w:rPr>
          <w:rFonts w:ascii="Verdana" w:hAnsi="Verdana"/>
          <w:sz w:val="20"/>
        </w:rPr>
        <w:t xml:space="preserve"> a </w:t>
      </w:r>
      <w:r w:rsidR="00A86866">
        <w:rPr>
          <w:rFonts w:ascii="Verdana" w:hAnsi="Verdana"/>
          <w:sz w:val="20"/>
        </w:rPr>
        <w:t>44</w:t>
      </w:r>
      <w:r w:rsidRPr="00527BFA">
        <w:rPr>
          <w:rFonts w:ascii="Verdana" w:hAnsi="Verdana"/>
          <w:sz w:val="20"/>
        </w:rPr>
        <w:t xml:space="preserve"> de la presente Resolución, que el Estado ha dado cumplimiento total a </w:t>
      </w:r>
      <w:r w:rsidR="0015676E" w:rsidRPr="00527BFA">
        <w:rPr>
          <w:rFonts w:ascii="Verdana" w:hAnsi="Verdana"/>
          <w:sz w:val="20"/>
        </w:rPr>
        <w:t>las siguientes medidas de reparación:</w:t>
      </w:r>
    </w:p>
    <w:p w14:paraId="7FF1240B" w14:textId="2F7C293A" w:rsidR="0015676E" w:rsidRPr="00527BFA" w:rsidRDefault="0015676E" w:rsidP="00C6162E">
      <w:pPr>
        <w:numPr>
          <w:ilvl w:val="1"/>
          <w:numId w:val="7"/>
        </w:numPr>
        <w:autoSpaceDE w:val="0"/>
        <w:autoSpaceDN w:val="0"/>
        <w:adjustRightInd w:val="0"/>
        <w:spacing w:afterLines="120" w:after="288"/>
        <w:ind w:left="709" w:firstLine="0"/>
        <w:jc w:val="both"/>
        <w:rPr>
          <w:rFonts w:ascii="Verdana" w:hAnsi="Verdana" w:cs="Verdana"/>
          <w:sz w:val="20"/>
          <w:szCs w:val="20"/>
          <w:lang w:val="es-ES_tradnl"/>
        </w:rPr>
      </w:pPr>
      <w:r w:rsidRPr="00527BFA">
        <w:rPr>
          <w:rFonts w:ascii="Verdana" w:hAnsi="Verdana" w:cs="Verdana"/>
          <w:sz w:val="20"/>
          <w:szCs w:val="20"/>
          <w:lang w:val="es-ES_tradnl"/>
        </w:rPr>
        <w:t>pagar las cantidades fijadas en el Anexo I de la Sentencia, a favor de los familiares de las personas desaparecidas y privadas de la vida, por concepto de daño material (</w:t>
      </w:r>
      <w:r w:rsidRPr="00527BFA">
        <w:rPr>
          <w:rFonts w:ascii="Verdana" w:hAnsi="Verdana" w:cs="Verdana"/>
          <w:i/>
          <w:sz w:val="20"/>
          <w:szCs w:val="20"/>
          <w:lang w:val="es-ES_tradnl"/>
        </w:rPr>
        <w:t>punto resolutivo decimosexto</w:t>
      </w:r>
      <w:r w:rsidRPr="00527BFA">
        <w:rPr>
          <w:rFonts w:ascii="Verdana" w:hAnsi="Verdana" w:cs="Verdana"/>
          <w:sz w:val="20"/>
          <w:szCs w:val="20"/>
          <w:lang w:val="es-ES_tradnl"/>
        </w:rPr>
        <w:t xml:space="preserve"> </w:t>
      </w:r>
      <w:r w:rsidRPr="00BF766C">
        <w:rPr>
          <w:rFonts w:ascii="Verdana" w:hAnsi="Verdana" w:cs="Verdana"/>
          <w:i/>
          <w:sz w:val="20"/>
          <w:szCs w:val="20"/>
          <w:lang w:val="es-ES_tradnl"/>
        </w:rPr>
        <w:t>de la Sentencia</w:t>
      </w:r>
      <w:r w:rsidRPr="00527BFA">
        <w:rPr>
          <w:rFonts w:ascii="Verdana" w:hAnsi="Verdana" w:cs="Verdana"/>
          <w:sz w:val="20"/>
          <w:szCs w:val="20"/>
          <w:lang w:val="es-ES_tradnl"/>
        </w:rPr>
        <w:t>)</w:t>
      </w:r>
      <w:r w:rsidR="00EA1239">
        <w:rPr>
          <w:rFonts w:ascii="Verdana" w:hAnsi="Verdana" w:cs="Verdana"/>
          <w:sz w:val="20"/>
          <w:szCs w:val="20"/>
          <w:lang w:val="es-ES_tradnl"/>
        </w:rPr>
        <w:t>,</w:t>
      </w:r>
      <w:r w:rsidRPr="00527BFA">
        <w:rPr>
          <w:rFonts w:ascii="Verdana" w:hAnsi="Verdana" w:cs="Verdana"/>
          <w:sz w:val="20"/>
          <w:szCs w:val="20"/>
          <w:lang w:val="es-ES_tradnl"/>
        </w:rPr>
        <w:t xml:space="preserve"> y</w:t>
      </w:r>
    </w:p>
    <w:p w14:paraId="6100B8D9" w14:textId="4C428B71" w:rsidR="0015676E" w:rsidRPr="00527BFA" w:rsidRDefault="0015676E" w:rsidP="00C6162E">
      <w:pPr>
        <w:numPr>
          <w:ilvl w:val="1"/>
          <w:numId w:val="7"/>
        </w:numPr>
        <w:autoSpaceDE w:val="0"/>
        <w:autoSpaceDN w:val="0"/>
        <w:adjustRightInd w:val="0"/>
        <w:spacing w:afterLines="120" w:after="288"/>
        <w:ind w:left="709" w:firstLine="0"/>
        <w:jc w:val="both"/>
        <w:rPr>
          <w:rFonts w:ascii="Verdana" w:hAnsi="Verdana" w:cs="Verdana"/>
          <w:sz w:val="20"/>
          <w:szCs w:val="20"/>
          <w:lang w:val="es-ES_tradnl"/>
        </w:rPr>
      </w:pPr>
      <w:r w:rsidRPr="00527BFA">
        <w:rPr>
          <w:rFonts w:ascii="Verdana" w:hAnsi="Verdana" w:cs="Verdana"/>
          <w:sz w:val="20"/>
          <w:szCs w:val="20"/>
          <w:lang w:val="es-ES_tradnl"/>
        </w:rPr>
        <w:t>pagar las cantidades fijadas en el Anexo II de la Sentencia, a favor de los familiares de las personas desaparecidas y privadas de la vida, por concepto de daño inmaterial (</w:t>
      </w:r>
      <w:r w:rsidRPr="00527BFA">
        <w:rPr>
          <w:rFonts w:ascii="Verdana" w:hAnsi="Verdana" w:cs="Verdana"/>
          <w:i/>
          <w:sz w:val="20"/>
          <w:szCs w:val="20"/>
          <w:lang w:val="es-ES_tradnl"/>
        </w:rPr>
        <w:t>punto resolutivo decimoséptimo</w:t>
      </w:r>
      <w:r w:rsidRPr="00527BFA">
        <w:rPr>
          <w:rFonts w:ascii="Verdana" w:hAnsi="Verdana" w:cs="Verdana"/>
          <w:sz w:val="20"/>
          <w:szCs w:val="20"/>
          <w:lang w:val="es-ES_tradnl"/>
        </w:rPr>
        <w:t xml:space="preserve"> </w:t>
      </w:r>
      <w:r w:rsidRPr="00BF766C">
        <w:rPr>
          <w:rFonts w:ascii="Verdana" w:hAnsi="Verdana" w:cs="Verdana"/>
          <w:i/>
          <w:sz w:val="20"/>
          <w:szCs w:val="20"/>
          <w:lang w:val="es-ES_tradnl"/>
        </w:rPr>
        <w:t>de la Sentencia</w:t>
      </w:r>
      <w:r w:rsidRPr="00527BFA">
        <w:rPr>
          <w:rFonts w:ascii="Verdana" w:hAnsi="Verdana" w:cs="Verdana"/>
          <w:sz w:val="20"/>
          <w:szCs w:val="20"/>
          <w:lang w:val="es-ES_tradnl"/>
        </w:rPr>
        <w:t>).</w:t>
      </w:r>
    </w:p>
    <w:p w14:paraId="73C04A99" w14:textId="4946687E" w:rsidR="004A1B95" w:rsidRPr="00527BFA" w:rsidRDefault="004A1B95" w:rsidP="00C6162E">
      <w:pPr>
        <w:pStyle w:val="Prrafodelista"/>
        <w:numPr>
          <w:ilvl w:val="0"/>
          <w:numId w:val="6"/>
        </w:numPr>
        <w:spacing w:before="120" w:after="120"/>
        <w:ind w:left="0" w:right="4" w:firstLine="0"/>
        <w:contextualSpacing w:val="0"/>
        <w:jc w:val="both"/>
        <w:rPr>
          <w:rFonts w:ascii="Verdana" w:hAnsi="Verdana"/>
          <w:b/>
          <w:sz w:val="20"/>
          <w:lang w:val="es-MX"/>
        </w:rPr>
      </w:pPr>
      <w:r w:rsidRPr="00527BFA">
        <w:rPr>
          <w:rFonts w:ascii="Verdana" w:hAnsi="Verdana"/>
          <w:sz w:val="20"/>
        </w:rPr>
        <w:t xml:space="preserve">Declarar, de conformidad con lo señalado en los Considerandos </w:t>
      </w:r>
      <w:r w:rsidR="00A86866">
        <w:rPr>
          <w:rFonts w:ascii="Verdana" w:hAnsi="Verdana"/>
          <w:sz w:val="20"/>
        </w:rPr>
        <w:t>6 a 32 y 4</w:t>
      </w:r>
      <w:r w:rsidR="00EA1239">
        <w:rPr>
          <w:rFonts w:ascii="Verdana" w:hAnsi="Verdana"/>
          <w:sz w:val="20"/>
        </w:rPr>
        <w:t>6</w:t>
      </w:r>
      <w:r w:rsidR="00A86866">
        <w:rPr>
          <w:rFonts w:ascii="Verdana" w:hAnsi="Verdana"/>
          <w:sz w:val="20"/>
        </w:rPr>
        <w:t xml:space="preserve"> a 48</w:t>
      </w:r>
      <w:r w:rsidRPr="00527BFA">
        <w:rPr>
          <w:rFonts w:ascii="Verdana" w:hAnsi="Verdana"/>
          <w:sz w:val="20"/>
        </w:rPr>
        <w:t xml:space="preserve"> de la presente Resolución, que el Estado ha dado cumplimiento parcial a las medidas relativas a:</w:t>
      </w:r>
    </w:p>
    <w:p w14:paraId="32FAD3C2" w14:textId="2D237C1F" w:rsidR="004A1B95" w:rsidRPr="00527BFA" w:rsidRDefault="004A1B95" w:rsidP="00C6162E">
      <w:pPr>
        <w:numPr>
          <w:ilvl w:val="0"/>
          <w:numId w:val="10"/>
        </w:numPr>
        <w:autoSpaceDE w:val="0"/>
        <w:autoSpaceDN w:val="0"/>
        <w:adjustRightInd w:val="0"/>
        <w:spacing w:afterLines="120" w:after="288"/>
        <w:ind w:left="709" w:firstLine="0"/>
        <w:jc w:val="both"/>
        <w:rPr>
          <w:rFonts w:ascii="Verdana" w:hAnsi="Verdana" w:cs="Verdana"/>
          <w:sz w:val="20"/>
          <w:szCs w:val="20"/>
          <w:lang w:val="es-ES_tradnl"/>
        </w:rPr>
      </w:pPr>
      <w:r w:rsidRPr="00527BFA">
        <w:rPr>
          <w:rFonts w:ascii="Verdana" w:hAnsi="Verdana" w:cs="Verdana"/>
          <w:sz w:val="20"/>
          <w:szCs w:val="20"/>
          <w:lang w:val="es-ES_tradnl"/>
        </w:rPr>
        <w:t>realizar inmediatamente las debidas diligencias para activar y completar eficazmente, en un plazo razonable, la investigación para determinar la responsabilidad de todos los partícipes en la masacre, así como la de quienes hubiesen sido responsables por acción o por omisión del incumplimiento de la obligación estatal de garantizar los derechos violados</w:t>
      </w:r>
      <w:r w:rsidR="001E33B6">
        <w:rPr>
          <w:rFonts w:ascii="Verdana" w:hAnsi="Verdana" w:cs="Verdana"/>
          <w:sz w:val="20"/>
          <w:szCs w:val="20"/>
          <w:lang w:val="es-ES_tradnl"/>
        </w:rPr>
        <w:t xml:space="preserve"> y</w:t>
      </w:r>
      <w:r w:rsidRPr="00527BFA">
        <w:rPr>
          <w:rFonts w:ascii="Verdana" w:hAnsi="Verdana" w:cs="Verdana"/>
          <w:sz w:val="20"/>
          <w:szCs w:val="20"/>
          <w:lang w:val="es-ES_tradnl"/>
        </w:rPr>
        <w:t xml:space="preserve"> </w:t>
      </w:r>
      <w:r w:rsidR="001E33B6" w:rsidRPr="00527BFA">
        <w:rPr>
          <w:rFonts w:ascii="Verdana" w:hAnsi="Verdana" w:cs="Verdana"/>
          <w:sz w:val="20"/>
          <w:szCs w:val="20"/>
          <w:lang w:val="es-ES_tradnl"/>
        </w:rPr>
        <w:t xml:space="preserve">adoptar las medidas pertinentes para que las violaciones a los derechos humanos cometidas sean efectivamente investigadas en procesos en los que se otorguen todas las garantías judiciales, con el fin de evitar la repetición de hechos tan graves como los que ocurrieron en la masacre de Pueblo Bello </w:t>
      </w:r>
      <w:r w:rsidRPr="00527BFA">
        <w:rPr>
          <w:rFonts w:ascii="Verdana" w:hAnsi="Verdana" w:cs="Verdana"/>
          <w:sz w:val="20"/>
          <w:szCs w:val="20"/>
          <w:lang w:val="es-ES_tradnl"/>
        </w:rPr>
        <w:t>(</w:t>
      </w:r>
      <w:r w:rsidRPr="00527BFA">
        <w:rPr>
          <w:rFonts w:ascii="Verdana" w:hAnsi="Verdana" w:cs="Verdana"/>
          <w:i/>
          <w:sz w:val="20"/>
          <w:szCs w:val="20"/>
          <w:lang w:val="es-ES_tradnl"/>
        </w:rPr>
        <w:t>punto</w:t>
      </w:r>
      <w:r w:rsidR="001E33B6">
        <w:rPr>
          <w:rFonts w:ascii="Verdana" w:hAnsi="Verdana" w:cs="Verdana"/>
          <w:i/>
          <w:sz w:val="20"/>
          <w:szCs w:val="20"/>
          <w:lang w:val="es-ES_tradnl"/>
        </w:rPr>
        <w:t>s</w:t>
      </w:r>
      <w:r w:rsidRPr="00527BFA">
        <w:rPr>
          <w:rFonts w:ascii="Verdana" w:hAnsi="Verdana" w:cs="Verdana"/>
          <w:i/>
          <w:sz w:val="20"/>
          <w:szCs w:val="20"/>
          <w:lang w:val="es-ES_tradnl"/>
        </w:rPr>
        <w:t xml:space="preserve"> resolutivo</w:t>
      </w:r>
      <w:r w:rsidR="001E33B6">
        <w:rPr>
          <w:rFonts w:ascii="Verdana" w:hAnsi="Verdana" w:cs="Verdana"/>
          <w:i/>
          <w:sz w:val="20"/>
          <w:szCs w:val="20"/>
          <w:lang w:val="es-ES_tradnl"/>
        </w:rPr>
        <w:t>s</w:t>
      </w:r>
      <w:r w:rsidRPr="00527BFA">
        <w:rPr>
          <w:rFonts w:ascii="Verdana" w:hAnsi="Verdana" w:cs="Verdana"/>
          <w:i/>
          <w:sz w:val="20"/>
          <w:szCs w:val="20"/>
          <w:lang w:val="es-ES_tradnl"/>
        </w:rPr>
        <w:t xml:space="preserve"> séptimo</w:t>
      </w:r>
      <w:r w:rsidRPr="00527BFA">
        <w:rPr>
          <w:rFonts w:ascii="Verdana" w:hAnsi="Verdana" w:cs="Verdana"/>
          <w:sz w:val="20"/>
          <w:szCs w:val="20"/>
          <w:lang w:val="es-ES_tradnl"/>
        </w:rPr>
        <w:t xml:space="preserve"> </w:t>
      </w:r>
      <w:r w:rsidR="001E33B6" w:rsidRPr="001E33B6">
        <w:rPr>
          <w:rFonts w:ascii="Verdana" w:hAnsi="Verdana" w:cs="Verdana"/>
          <w:i/>
          <w:sz w:val="20"/>
          <w:szCs w:val="20"/>
          <w:lang w:val="es-ES_tradnl"/>
        </w:rPr>
        <w:t xml:space="preserve">y octavo </w:t>
      </w:r>
      <w:r w:rsidRPr="00765597">
        <w:rPr>
          <w:rFonts w:ascii="Verdana" w:hAnsi="Verdana" w:cs="Verdana"/>
          <w:i/>
          <w:sz w:val="20"/>
          <w:szCs w:val="20"/>
          <w:lang w:val="es-ES_tradnl"/>
        </w:rPr>
        <w:t>de la Sentencia</w:t>
      </w:r>
      <w:r w:rsidRPr="00527BFA">
        <w:rPr>
          <w:rFonts w:ascii="Verdana" w:hAnsi="Verdana" w:cs="Verdana"/>
          <w:sz w:val="20"/>
          <w:szCs w:val="20"/>
          <w:lang w:val="es-ES_tradnl"/>
        </w:rPr>
        <w:t>)</w:t>
      </w:r>
      <w:r w:rsidR="00EA1239">
        <w:rPr>
          <w:rFonts w:ascii="Verdana" w:hAnsi="Verdana" w:cs="Verdana"/>
          <w:sz w:val="20"/>
          <w:szCs w:val="20"/>
          <w:lang w:val="es-ES_tradnl"/>
        </w:rPr>
        <w:t>, y</w:t>
      </w:r>
    </w:p>
    <w:p w14:paraId="50B402E5" w14:textId="455D7CA4" w:rsidR="005A4D7E" w:rsidRDefault="004A1B95" w:rsidP="00C6162E">
      <w:pPr>
        <w:numPr>
          <w:ilvl w:val="0"/>
          <w:numId w:val="10"/>
        </w:numPr>
        <w:autoSpaceDE w:val="0"/>
        <w:autoSpaceDN w:val="0"/>
        <w:adjustRightInd w:val="0"/>
        <w:spacing w:afterLines="120" w:after="288"/>
        <w:ind w:left="709" w:firstLine="0"/>
        <w:jc w:val="both"/>
        <w:rPr>
          <w:rFonts w:ascii="Verdana" w:hAnsi="Verdana" w:cs="Verdana"/>
          <w:sz w:val="20"/>
          <w:szCs w:val="20"/>
          <w:lang w:val="es-ES_tradnl"/>
        </w:rPr>
      </w:pPr>
      <w:r w:rsidRPr="00527BFA">
        <w:rPr>
          <w:rFonts w:ascii="Verdana" w:hAnsi="Verdana" w:cs="Verdana"/>
          <w:sz w:val="20"/>
          <w:szCs w:val="20"/>
          <w:lang w:val="es-ES_tradnl"/>
        </w:rPr>
        <w:t>realizar las acciones necesarias para garantizar las condiciones de seguridad para que los familiares de las personas desaparecidas y privadas de la vida, así como otros ex pobladores de Pueblo Bello, que se hayan visto desplazados, puedan regresar a tal localidad, en caso que así lo deseen (</w:t>
      </w:r>
      <w:r w:rsidRPr="00527BFA">
        <w:rPr>
          <w:rFonts w:ascii="Verdana" w:hAnsi="Verdana" w:cs="Verdana"/>
          <w:i/>
          <w:sz w:val="20"/>
          <w:szCs w:val="20"/>
          <w:lang w:val="es-ES_tradnl"/>
        </w:rPr>
        <w:t xml:space="preserve">punto resolutivo duodécimo </w:t>
      </w:r>
      <w:r w:rsidR="00AB5400" w:rsidRPr="001E33B6">
        <w:rPr>
          <w:rFonts w:ascii="Verdana" w:hAnsi="Verdana" w:cs="Verdana"/>
          <w:i/>
          <w:sz w:val="20"/>
          <w:szCs w:val="20"/>
          <w:lang w:val="es-ES_tradnl"/>
        </w:rPr>
        <w:t>de la Sentencia</w:t>
      </w:r>
      <w:r w:rsidR="00AB5400">
        <w:rPr>
          <w:rFonts w:ascii="Verdana" w:hAnsi="Verdana" w:cs="Verdana"/>
          <w:sz w:val="20"/>
          <w:szCs w:val="20"/>
          <w:lang w:val="es-ES_tradnl"/>
        </w:rPr>
        <w:t>)</w:t>
      </w:r>
      <w:r w:rsidR="00EA1239">
        <w:rPr>
          <w:rFonts w:ascii="Verdana" w:hAnsi="Verdana" w:cs="Verdana"/>
          <w:sz w:val="20"/>
          <w:szCs w:val="20"/>
          <w:lang w:val="es-ES_tradnl"/>
        </w:rPr>
        <w:t xml:space="preserve">, </w:t>
      </w:r>
      <w:r w:rsidR="0003268A">
        <w:rPr>
          <w:rFonts w:ascii="Verdana" w:hAnsi="Verdana" w:cs="Verdana"/>
          <w:sz w:val="20"/>
          <w:szCs w:val="20"/>
          <w:lang w:val="es-ES_tradnl"/>
        </w:rPr>
        <w:t xml:space="preserve">e implementar un </w:t>
      </w:r>
      <w:r w:rsidR="00A27A0D">
        <w:rPr>
          <w:rFonts w:ascii="Verdana" w:hAnsi="Verdana" w:cs="Verdana"/>
          <w:sz w:val="20"/>
          <w:szCs w:val="20"/>
          <w:lang w:val="es-ES_tradnl"/>
        </w:rPr>
        <w:t xml:space="preserve">programa habitacional de vivienda, </w:t>
      </w:r>
      <w:r w:rsidR="00EA1239">
        <w:rPr>
          <w:rFonts w:ascii="Verdana" w:hAnsi="Verdana" w:cs="Verdana"/>
          <w:sz w:val="20"/>
          <w:szCs w:val="20"/>
          <w:lang w:val="es-ES_tradnl"/>
        </w:rPr>
        <w:t>y</w:t>
      </w:r>
      <w:r w:rsidR="00AB5400">
        <w:rPr>
          <w:rFonts w:ascii="Verdana" w:hAnsi="Verdana" w:cs="Verdana"/>
          <w:sz w:val="20"/>
          <w:szCs w:val="20"/>
          <w:lang w:val="es-ES_tradnl"/>
        </w:rPr>
        <w:t xml:space="preserve"> </w:t>
      </w:r>
    </w:p>
    <w:p w14:paraId="5553B3AE" w14:textId="41B683B6" w:rsidR="0050282D" w:rsidRPr="0050282D" w:rsidRDefault="0050282D" w:rsidP="0050282D">
      <w:pPr>
        <w:numPr>
          <w:ilvl w:val="0"/>
          <w:numId w:val="10"/>
        </w:numPr>
        <w:autoSpaceDE w:val="0"/>
        <w:autoSpaceDN w:val="0"/>
        <w:adjustRightInd w:val="0"/>
        <w:spacing w:afterLines="120" w:after="288"/>
        <w:ind w:left="709" w:firstLine="0"/>
        <w:jc w:val="both"/>
        <w:rPr>
          <w:rFonts w:ascii="Verdana" w:hAnsi="Verdana" w:cs="Verdana"/>
          <w:sz w:val="20"/>
          <w:szCs w:val="20"/>
          <w:lang w:val="es-ES_tradnl"/>
        </w:rPr>
      </w:pPr>
      <w:r w:rsidRPr="0050282D">
        <w:rPr>
          <w:rFonts w:ascii="Verdana" w:hAnsi="Verdana" w:cs="Verdana"/>
          <w:sz w:val="20"/>
          <w:szCs w:val="20"/>
          <w:lang w:val="es-ES_tradnl"/>
        </w:rPr>
        <w:t>pagar las cantidades fijadas por concepto de costas y gastos (</w:t>
      </w:r>
      <w:r w:rsidRPr="0050282D">
        <w:rPr>
          <w:rFonts w:ascii="Verdana" w:hAnsi="Verdana" w:cs="Verdana"/>
          <w:i/>
          <w:sz w:val="20"/>
          <w:szCs w:val="20"/>
          <w:lang w:val="es-ES_tradnl"/>
        </w:rPr>
        <w:t>punto resolutivo decimoctavo</w:t>
      </w:r>
      <w:r w:rsidRPr="0050282D">
        <w:rPr>
          <w:rFonts w:ascii="Verdana" w:hAnsi="Verdana" w:cs="Verdana"/>
          <w:sz w:val="20"/>
          <w:szCs w:val="20"/>
          <w:lang w:val="es-ES_tradnl"/>
        </w:rPr>
        <w:t xml:space="preserve"> </w:t>
      </w:r>
      <w:r w:rsidRPr="001E33B6">
        <w:rPr>
          <w:rFonts w:ascii="Verdana" w:hAnsi="Verdana" w:cs="Verdana"/>
          <w:i/>
          <w:sz w:val="20"/>
          <w:szCs w:val="20"/>
          <w:lang w:val="es-ES_tradnl"/>
        </w:rPr>
        <w:t>de la Sentencia</w:t>
      </w:r>
      <w:r w:rsidRPr="0050282D">
        <w:rPr>
          <w:rFonts w:ascii="Verdana" w:hAnsi="Verdana" w:cs="Verdana"/>
          <w:sz w:val="20"/>
          <w:szCs w:val="20"/>
          <w:lang w:val="es-ES_tradnl"/>
        </w:rPr>
        <w:t>)</w:t>
      </w:r>
      <w:r w:rsidR="00A27A0D">
        <w:rPr>
          <w:rFonts w:ascii="Verdana" w:hAnsi="Verdana" w:cs="Verdana"/>
          <w:sz w:val="20"/>
          <w:szCs w:val="20"/>
          <w:lang w:val="es-ES_tradnl"/>
        </w:rPr>
        <w:t>, ya que reintegró el monto a una de las organizaciones representantes de las víctimas, quedando pendiente que acredite el pago a las otras dos organizaciones</w:t>
      </w:r>
      <w:r w:rsidRPr="0050282D">
        <w:rPr>
          <w:rFonts w:ascii="Verdana" w:hAnsi="Verdana" w:cs="Verdana"/>
          <w:sz w:val="20"/>
          <w:szCs w:val="20"/>
          <w:lang w:val="es-ES_tradnl"/>
        </w:rPr>
        <w:t xml:space="preserve">. </w:t>
      </w:r>
    </w:p>
    <w:p w14:paraId="24DFED46" w14:textId="2FC15FFF" w:rsidR="00397D8B" w:rsidRPr="00527BFA" w:rsidRDefault="00397D8B" w:rsidP="00C6162E">
      <w:pPr>
        <w:pStyle w:val="Prrafodelista"/>
        <w:numPr>
          <w:ilvl w:val="0"/>
          <w:numId w:val="6"/>
        </w:numPr>
        <w:spacing w:before="120" w:after="120"/>
        <w:ind w:left="0" w:right="4" w:firstLine="0"/>
        <w:contextualSpacing w:val="0"/>
        <w:jc w:val="both"/>
        <w:rPr>
          <w:rFonts w:ascii="Verdana" w:hAnsi="Verdana"/>
          <w:b/>
          <w:sz w:val="20"/>
          <w:lang w:val="es-MX"/>
        </w:rPr>
      </w:pPr>
      <w:r w:rsidRPr="00527BFA">
        <w:rPr>
          <w:rFonts w:ascii="Verdana" w:hAnsi="Verdana"/>
          <w:sz w:val="20"/>
        </w:rPr>
        <w:t>Mantener abierto el procedimiento de supervisión de cumplimiento respecto de las siguientes medidas de reparación pendientes de acatamiento</w:t>
      </w:r>
      <w:r w:rsidR="005002F8">
        <w:rPr>
          <w:rFonts w:ascii="Verdana" w:hAnsi="Verdana"/>
          <w:sz w:val="20"/>
        </w:rPr>
        <w:t>, algunas de las cuales serán valoradas en una resolución posterior conforme a lo indicado en el Considerando 3 de la presente Resolución</w:t>
      </w:r>
      <w:r w:rsidRPr="00527BFA">
        <w:rPr>
          <w:rFonts w:ascii="Verdana" w:hAnsi="Verdana"/>
          <w:sz w:val="20"/>
        </w:rPr>
        <w:t>:</w:t>
      </w:r>
    </w:p>
    <w:p w14:paraId="6A589844" w14:textId="2BE6A980" w:rsidR="001E33B6" w:rsidRPr="00527BFA" w:rsidRDefault="001E33B6" w:rsidP="001E33B6">
      <w:pPr>
        <w:numPr>
          <w:ilvl w:val="0"/>
          <w:numId w:val="17"/>
        </w:numPr>
        <w:autoSpaceDE w:val="0"/>
        <w:autoSpaceDN w:val="0"/>
        <w:adjustRightInd w:val="0"/>
        <w:spacing w:afterLines="120" w:after="288"/>
        <w:ind w:left="709" w:firstLine="0"/>
        <w:jc w:val="both"/>
        <w:rPr>
          <w:rFonts w:ascii="Verdana" w:hAnsi="Verdana" w:cs="Verdana"/>
          <w:sz w:val="20"/>
          <w:szCs w:val="20"/>
          <w:lang w:val="es-ES_tradnl"/>
        </w:rPr>
      </w:pPr>
      <w:r w:rsidRPr="00527BFA">
        <w:rPr>
          <w:rFonts w:ascii="Verdana" w:hAnsi="Verdana" w:cs="Verdana"/>
          <w:sz w:val="20"/>
          <w:szCs w:val="20"/>
          <w:lang w:val="es-ES_tradnl"/>
        </w:rPr>
        <w:t>realizar inmediatamente las debidas diligencias para activar y completar eficazmente, en un plazo razonable, la investigación para determinar la responsabilidad de todos los partícipes en la masacre, así como la de quienes hubiesen sido responsables por acción o por omisión del incumplimiento de la obligación estatal de garantizar los derechos violados</w:t>
      </w:r>
      <w:r>
        <w:rPr>
          <w:rFonts w:ascii="Verdana" w:hAnsi="Verdana" w:cs="Verdana"/>
          <w:sz w:val="20"/>
          <w:szCs w:val="20"/>
          <w:lang w:val="es-ES_tradnl"/>
        </w:rPr>
        <w:t xml:space="preserve"> y</w:t>
      </w:r>
      <w:r w:rsidRPr="00527BFA">
        <w:rPr>
          <w:rFonts w:ascii="Verdana" w:hAnsi="Verdana" w:cs="Verdana"/>
          <w:sz w:val="20"/>
          <w:szCs w:val="20"/>
          <w:lang w:val="es-ES_tradnl"/>
        </w:rPr>
        <w:t xml:space="preserve"> adoptar las medidas pertinentes para que las violaciones a los derechos humanos cometidas sean efectivamente investigadas en procesos en los que se otorguen todas las </w:t>
      </w:r>
      <w:r w:rsidRPr="00527BFA">
        <w:rPr>
          <w:rFonts w:ascii="Verdana" w:hAnsi="Verdana" w:cs="Verdana"/>
          <w:sz w:val="20"/>
          <w:szCs w:val="20"/>
          <w:lang w:val="es-ES_tradnl"/>
        </w:rPr>
        <w:lastRenderedPageBreak/>
        <w:t>garantías judiciales, con el fin de evitar la repetición de hechos tan graves como los que ocurrieron en la masacre de Pueblo Bello (</w:t>
      </w:r>
      <w:r w:rsidRPr="00527BFA">
        <w:rPr>
          <w:rFonts w:ascii="Verdana" w:hAnsi="Verdana" w:cs="Verdana"/>
          <w:i/>
          <w:sz w:val="20"/>
          <w:szCs w:val="20"/>
          <w:lang w:val="es-ES_tradnl"/>
        </w:rPr>
        <w:t>punto</w:t>
      </w:r>
      <w:r>
        <w:rPr>
          <w:rFonts w:ascii="Verdana" w:hAnsi="Verdana" w:cs="Verdana"/>
          <w:i/>
          <w:sz w:val="20"/>
          <w:szCs w:val="20"/>
          <w:lang w:val="es-ES_tradnl"/>
        </w:rPr>
        <w:t>s</w:t>
      </w:r>
      <w:r w:rsidRPr="00527BFA">
        <w:rPr>
          <w:rFonts w:ascii="Verdana" w:hAnsi="Verdana" w:cs="Verdana"/>
          <w:i/>
          <w:sz w:val="20"/>
          <w:szCs w:val="20"/>
          <w:lang w:val="es-ES_tradnl"/>
        </w:rPr>
        <w:t xml:space="preserve"> resolutivo</w:t>
      </w:r>
      <w:r>
        <w:rPr>
          <w:rFonts w:ascii="Verdana" w:hAnsi="Verdana" w:cs="Verdana"/>
          <w:i/>
          <w:sz w:val="20"/>
          <w:szCs w:val="20"/>
          <w:lang w:val="es-ES_tradnl"/>
        </w:rPr>
        <w:t>s</w:t>
      </w:r>
      <w:r w:rsidRPr="00527BFA">
        <w:rPr>
          <w:rFonts w:ascii="Verdana" w:hAnsi="Verdana" w:cs="Verdana"/>
          <w:i/>
          <w:sz w:val="20"/>
          <w:szCs w:val="20"/>
          <w:lang w:val="es-ES_tradnl"/>
        </w:rPr>
        <w:t xml:space="preserve"> séptimo</w:t>
      </w:r>
      <w:r w:rsidRPr="00527BFA">
        <w:rPr>
          <w:rFonts w:ascii="Verdana" w:hAnsi="Verdana" w:cs="Verdana"/>
          <w:sz w:val="20"/>
          <w:szCs w:val="20"/>
          <w:lang w:val="es-ES_tradnl"/>
        </w:rPr>
        <w:t xml:space="preserve"> </w:t>
      </w:r>
      <w:r w:rsidRPr="001E33B6">
        <w:rPr>
          <w:rFonts w:ascii="Verdana" w:hAnsi="Verdana" w:cs="Verdana"/>
          <w:i/>
          <w:sz w:val="20"/>
          <w:szCs w:val="20"/>
          <w:lang w:val="es-ES_tradnl"/>
        </w:rPr>
        <w:t xml:space="preserve">y octavo </w:t>
      </w:r>
      <w:r w:rsidRPr="00765597">
        <w:rPr>
          <w:rFonts w:ascii="Verdana" w:hAnsi="Verdana" w:cs="Verdana"/>
          <w:i/>
          <w:sz w:val="20"/>
          <w:szCs w:val="20"/>
          <w:lang w:val="es-ES_tradnl"/>
        </w:rPr>
        <w:t>de la Sentencia</w:t>
      </w:r>
      <w:r w:rsidRPr="00527BFA">
        <w:rPr>
          <w:rFonts w:ascii="Verdana" w:hAnsi="Verdana" w:cs="Verdana"/>
          <w:sz w:val="20"/>
          <w:szCs w:val="20"/>
          <w:lang w:val="es-ES_tradnl"/>
        </w:rPr>
        <w:t>);</w:t>
      </w:r>
    </w:p>
    <w:p w14:paraId="09DD6B10" w14:textId="7DA3E9FF" w:rsidR="005A4D7E" w:rsidRPr="00527BFA" w:rsidRDefault="005A4D7E" w:rsidP="00612AF7">
      <w:pPr>
        <w:autoSpaceDE w:val="0"/>
        <w:autoSpaceDN w:val="0"/>
        <w:adjustRightInd w:val="0"/>
        <w:spacing w:afterLines="120" w:after="288"/>
        <w:ind w:left="708"/>
        <w:jc w:val="both"/>
        <w:rPr>
          <w:rFonts w:ascii="Verdana" w:hAnsi="Verdana" w:cs="Verdana"/>
          <w:sz w:val="20"/>
          <w:szCs w:val="20"/>
          <w:lang w:val="es-ES_tradnl"/>
        </w:rPr>
      </w:pPr>
      <w:r w:rsidRPr="00527BFA">
        <w:rPr>
          <w:rFonts w:ascii="Verdana" w:hAnsi="Verdana" w:cs="Verdana"/>
          <w:sz w:val="20"/>
          <w:szCs w:val="20"/>
          <w:lang w:val="es-ES_tradnl"/>
        </w:rPr>
        <w:t>c)</w:t>
      </w:r>
      <w:r w:rsidRPr="00527BFA">
        <w:rPr>
          <w:rFonts w:ascii="Verdana" w:hAnsi="Verdana" w:cs="Verdana"/>
          <w:sz w:val="20"/>
          <w:szCs w:val="20"/>
          <w:lang w:val="es-ES_tradnl"/>
        </w:rPr>
        <w:tab/>
      </w:r>
      <w:r w:rsidR="00602E0B">
        <w:rPr>
          <w:rFonts w:ascii="Verdana" w:hAnsi="Verdana" w:cs="Verdana"/>
          <w:sz w:val="20"/>
          <w:szCs w:val="20"/>
          <w:lang w:val="es-ES_tradnl"/>
        </w:rPr>
        <w:t>b</w:t>
      </w:r>
      <w:r w:rsidRPr="00527BFA">
        <w:rPr>
          <w:rFonts w:ascii="Verdana" w:hAnsi="Verdana" w:cs="Verdana"/>
          <w:sz w:val="20"/>
          <w:szCs w:val="20"/>
          <w:lang w:val="es-ES_tradnl"/>
        </w:rPr>
        <w:t>uscar e identificar a las víctimas desaparecidas, así como para entregar los restos mortales a sus familiares y cubrir los gastos de entierro de aquéllos, en un plazo razonable</w:t>
      </w:r>
      <w:r w:rsidR="00F61B72">
        <w:rPr>
          <w:rFonts w:ascii="Verdana" w:hAnsi="Verdana" w:cs="Verdana"/>
          <w:sz w:val="20"/>
          <w:szCs w:val="20"/>
          <w:lang w:val="es-ES_tradnl"/>
        </w:rPr>
        <w:t xml:space="preserve"> </w:t>
      </w:r>
      <w:r w:rsidRPr="00527BFA">
        <w:rPr>
          <w:rFonts w:ascii="Verdana" w:hAnsi="Verdana" w:cs="Verdana"/>
          <w:sz w:val="20"/>
          <w:szCs w:val="20"/>
          <w:lang w:val="es-ES_tradnl"/>
        </w:rPr>
        <w:t>(</w:t>
      </w:r>
      <w:r w:rsidRPr="00527BFA">
        <w:rPr>
          <w:rFonts w:ascii="Verdana" w:hAnsi="Verdana" w:cs="Verdana-Italic"/>
          <w:i/>
          <w:iCs/>
          <w:sz w:val="20"/>
          <w:szCs w:val="20"/>
          <w:lang w:val="es-ES_tradnl"/>
        </w:rPr>
        <w:t>punto</w:t>
      </w:r>
      <w:r w:rsidR="00F61B72">
        <w:rPr>
          <w:rFonts w:ascii="Verdana" w:hAnsi="Verdana" w:cs="Verdana-Italic"/>
          <w:i/>
          <w:iCs/>
          <w:sz w:val="20"/>
          <w:szCs w:val="20"/>
          <w:lang w:val="es-ES_tradnl"/>
        </w:rPr>
        <w:t>s</w:t>
      </w:r>
      <w:r w:rsidRPr="00527BFA">
        <w:rPr>
          <w:rFonts w:ascii="Verdana" w:hAnsi="Verdana" w:cs="Verdana-Italic"/>
          <w:i/>
          <w:iCs/>
          <w:sz w:val="20"/>
          <w:szCs w:val="20"/>
          <w:lang w:val="es-ES_tradnl"/>
        </w:rPr>
        <w:t xml:space="preserve"> resolutivo</w:t>
      </w:r>
      <w:r w:rsidR="00F61B72">
        <w:rPr>
          <w:rFonts w:ascii="Verdana" w:hAnsi="Verdana" w:cs="Verdana-Italic"/>
          <w:i/>
          <w:iCs/>
          <w:sz w:val="20"/>
          <w:szCs w:val="20"/>
          <w:lang w:val="es-ES_tradnl"/>
        </w:rPr>
        <w:t>s noveno y décimo</w:t>
      </w:r>
      <w:r w:rsidR="00602E0B">
        <w:rPr>
          <w:rFonts w:ascii="Verdana" w:hAnsi="Verdana" w:cs="Verdana-Italic"/>
          <w:i/>
          <w:iCs/>
          <w:sz w:val="20"/>
          <w:szCs w:val="20"/>
          <w:lang w:val="es-ES_tradnl"/>
        </w:rPr>
        <w:t xml:space="preserve"> </w:t>
      </w:r>
      <w:r w:rsidR="00602E0B" w:rsidRPr="00602E0B">
        <w:rPr>
          <w:rFonts w:ascii="Verdana" w:hAnsi="Verdana" w:cs="Verdana"/>
          <w:i/>
          <w:sz w:val="20"/>
          <w:szCs w:val="20"/>
          <w:lang w:val="es-ES_tradnl"/>
        </w:rPr>
        <w:t>de la Sentencia</w:t>
      </w:r>
      <w:r w:rsidRPr="00527BFA">
        <w:rPr>
          <w:rFonts w:ascii="Verdana" w:hAnsi="Verdana" w:cs="Verdana"/>
          <w:sz w:val="20"/>
          <w:szCs w:val="20"/>
          <w:lang w:val="es-ES_tradnl"/>
        </w:rPr>
        <w:t>);</w:t>
      </w:r>
      <w:r w:rsidR="00C909BF" w:rsidRPr="00527BFA">
        <w:rPr>
          <w:rFonts w:ascii="Verdana" w:hAnsi="Verdana" w:cs="Verdana"/>
          <w:sz w:val="20"/>
          <w:szCs w:val="20"/>
          <w:highlight w:val="yellow"/>
          <w:lang w:val="es-ES_tradnl"/>
        </w:rPr>
        <w:t xml:space="preserve"> </w:t>
      </w:r>
    </w:p>
    <w:p w14:paraId="3C35A89F" w14:textId="32BF8665" w:rsidR="005A4D7E" w:rsidRPr="00527BFA" w:rsidRDefault="005A4D7E" w:rsidP="00612AF7">
      <w:pPr>
        <w:autoSpaceDE w:val="0"/>
        <w:autoSpaceDN w:val="0"/>
        <w:adjustRightInd w:val="0"/>
        <w:spacing w:afterLines="120" w:after="288"/>
        <w:ind w:left="708"/>
        <w:jc w:val="both"/>
        <w:rPr>
          <w:rFonts w:ascii="Verdana" w:hAnsi="Verdana" w:cs="Verdana"/>
          <w:sz w:val="20"/>
          <w:szCs w:val="20"/>
          <w:lang w:val="es-ES_tradnl"/>
        </w:rPr>
      </w:pPr>
      <w:r w:rsidRPr="00527BFA">
        <w:rPr>
          <w:rFonts w:ascii="Verdana" w:hAnsi="Verdana" w:cs="Verdana"/>
          <w:sz w:val="20"/>
          <w:szCs w:val="20"/>
          <w:lang w:val="es-ES_tradnl"/>
        </w:rPr>
        <w:t>e)</w:t>
      </w:r>
      <w:r w:rsidRPr="00527BFA">
        <w:rPr>
          <w:rFonts w:ascii="Verdana" w:hAnsi="Verdana" w:cs="Verdana"/>
          <w:sz w:val="20"/>
          <w:szCs w:val="20"/>
          <w:lang w:val="es-ES_tradnl"/>
        </w:rPr>
        <w:tab/>
        <w:t>proveer un tratamiento médico o psicológico, según sea el caso, a todos los familiares de las 37 personas desaparecidas y de las seis privadas de la vida que lo requieran</w:t>
      </w:r>
      <w:r w:rsidR="005002F8">
        <w:rPr>
          <w:rFonts w:ascii="Verdana" w:hAnsi="Verdana" w:cs="Verdana"/>
          <w:sz w:val="20"/>
          <w:szCs w:val="20"/>
          <w:lang w:val="es-ES_tradnl"/>
        </w:rPr>
        <w:t xml:space="preserve"> </w:t>
      </w:r>
      <w:r w:rsidRPr="00527BFA">
        <w:rPr>
          <w:rFonts w:ascii="Verdana" w:hAnsi="Verdana" w:cs="Verdana"/>
          <w:i/>
          <w:sz w:val="20"/>
          <w:szCs w:val="20"/>
          <w:lang w:val="es-ES_tradnl"/>
        </w:rPr>
        <w:t xml:space="preserve">(punto resolutivo undécimo </w:t>
      </w:r>
      <w:r w:rsidRPr="00602E0B">
        <w:rPr>
          <w:rFonts w:ascii="Verdana" w:hAnsi="Verdana" w:cs="Verdana"/>
          <w:i/>
          <w:sz w:val="20"/>
          <w:szCs w:val="20"/>
          <w:lang w:val="es-ES_tradnl"/>
        </w:rPr>
        <w:t>de la Sentencia</w:t>
      </w:r>
      <w:r w:rsidRPr="00527BFA">
        <w:rPr>
          <w:rFonts w:ascii="Verdana" w:hAnsi="Verdana" w:cs="Verdana"/>
          <w:i/>
          <w:sz w:val="20"/>
          <w:szCs w:val="20"/>
          <w:lang w:val="es-ES_tradnl"/>
        </w:rPr>
        <w:t>)</w:t>
      </w:r>
      <w:r w:rsidRPr="00527BFA">
        <w:rPr>
          <w:rFonts w:ascii="Verdana" w:hAnsi="Verdana" w:cs="Verdana"/>
          <w:sz w:val="20"/>
          <w:szCs w:val="20"/>
          <w:lang w:val="es-ES_tradnl"/>
        </w:rPr>
        <w:t xml:space="preserve">; </w:t>
      </w:r>
    </w:p>
    <w:p w14:paraId="7192B32A" w14:textId="1C3F5E9D" w:rsidR="005A4D7E" w:rsidRPr="00527BFA" w:rsidRDefault="005A4D7E" w:rsidP="00612AF7">
      <w:pPr>
        <w:autoSpaceDE w:val="0"/>
        <w:autoSpaceDN w:val="0"/>
        <w:adjustRightInd w:val="0"/>
        <w:spacing w:afterLines="120" w:after="288"/>
        <w:ind w:left="708"/>
        <w:jc w:val="both"/>
        <w:rPr>
          <w:rFonts w:ascii="Verdana" w:hAnsi="Verdana" w:cs="Verdana"/>
          <w:sz w:val="20"/>
          <w:szCs w:val="20"/>
          <w:lang w:val="es-ES_tradnl"/>
        </w:rPr>
      </w:pPr>
      <w:r w:rsidRPr="00527BFA">
        <w:rPr>
          <w:rFonts w:ascii="Verdana" w:hAnsi="Verdana" w:cs="Verdana"/>
          <w:sz w:val="20"/>
          <w:szCs w:val="20"/>
          <w:lang w:val="es-ES_tradnl"/>
        </w:rPr>
        <w:t>f)</w:t>
      </w:r>
      <w:r w:rsidRPr="00527BFA">
        <w:rPr>
          <w:rFonts w:ascii="Verdana" w:hAnsi="Verdana" w:cs="Verdana"/>
          <w:sz w:val="20"/>
          <w:szCs w:val="20"/>
          <w:lang w:val="es-ES_tradnl"/>
        </w:rPr>
        <w:tab/>
        <w:t>realizar las acciones necesarias para garantizar las condiciones de seguridad para que los familiares de las personas desaparecidas y privadas de la vida, así como otros ex pobladores de Pueblo Bello, que se hayan visto desplazados, puedan regresar a tal localidad, en caso que así lo deseen (</w:t>
      </w:r>
      <w:r w:rsidRPr="00527BFA">
        <w:rPr>
          <w:rFonts w:ascii="Verdana" w:hAnsi="Verdana" w:cs="Verdana"/>
          <w:i/>
          <w:sz w:val="20"/>
          <w:szCs w:val="20"/>
          <w:lang w:val="es-ES_tradnl"/>
        </w:rPr>
        <w:t xml:space="preserve">punto resolutivo </w:t>
      </w:r>
      <w:r w:rsidR="009F1FF7" w:rsidRPr="00527BFA">
        <w:rPr>
          <w:rFonts w:ascii="Verdana" w:hAnsi="Verdana" w:cs="Verdana"/>
          <w:i/>
          <w:sz w:val="20"/>
          <w:szCs w:val="20"/>
          <w:lang w:val="es-ES_tradnl"/>
        </w:rPr>
        <w:t>duodécimo</w:t>
      </w:r>
      <w:r w:rsidRPr="00527BFA">
        <w:rPr>
          <w:rFonts w:ascii="Verdana" w:hAnsi="Verdana" w:cs="Verdana"/>
          <w:i/>
          <w:sz w:val="20"/>
          <w:szCs w:val="20"/>
          <w:lang w:val="es-ES_tradnl"/>
        </w:rPr>
        <w:t xml:space="preserve"> </w:t>
      </w:r>
      <w:r w:rsidRPr="00602E0B">
        <w:rPr>
          <w:rFonts w:ascii="Verdana" w:hAnsi="Verdana" w:cs="Verdana"/>
          <w:i/>
          <w:sz w:val="20"/>
          <w:szCs w:val="20"/>
          <w:lang w:val="es-ES_tradnl"/>
        </w:rPr>
        <w:t>de la Sentencia</w:t>
      </w:r>
      <w:r w:rsidRPr="00527BFA">
        <w:rPr>
          <w:rFonts w:ascii="Verdana" w:hAnsi="Verdana" w:cs="Verdana"/>
          <w:sz w:val="20"/>
          <w:szCs w:val="20"/>
          <w:lang w:val="es-ES_tradnl"/>
        </w:rPr>
        <w:t xml:space="preserve">); </w:t>
      </w:r>
    </w:p>
    <w:p w14:paraId="23F03ADC" w14:textId="726C6543" w:rsidR="005A4D7E" w:rsidRPr="00527BFA" w:rsidRDefault="005A4D7E" w:rsidP="00612AF7">
      <w:pPr>
        <w:autoSpaceDE w:val="0"/>
        <w:autoSpaceDN w:val="0"/>
        <w:adjustRightInd w:val="0"/>
        <w:spacing w:afterLines="120" w:after="288"/>
        <w:ind w:left="708"/>
        <w:jc w:val="both"/>
        <w:rPr>
          <w:rFonts w:ascii="Verdana" w:hAnsi="Verdana" w:cs="Verdana"/>
          <w:sz w:val="20"/>
          <w:szCs w:val="20"/>
          <w:lang w:val="es-ES_tradnl"/>
        </w:rPr>
      </w:pPr>
      <w:r w:rsidRPr="00527BFA">
        <w:rPr>
          <w:rFonts w:ascii="Verdana" w:hAnsi="Verdana" w:cs="Verdana"/>
          <w:sz w:val="20"/>
          <w:szCs w:val="20"/>
          <w:lang w:val="es-ES_tradnl"/>
        </w:rPr>
        <w:t>g)</w:t>
      </w:r>
      <w:r w:rsidRPr="00527BFA">
        <w:rPr>
          <w:rFonts w:ascii="Verdana" w:hAnsi="Verdana" w:cs="Verdana"/>
          <w:sz w:val="20"/>
          <w:szCs w:val="20"/>
          <w:lang w:val="es-ES_tradnl"/>
        </w:rPr>
        <w:tab/>
        <w:t xml:space="preserve">construir, en el plazo de un año, contado a partir de la notificación de la Sentencia, un monumento apropiado y digno para recordar los hechos de la masacre de Pueblo Bello </w:t>
      </w:r>
      <w:r w:rsidRPr="00527BFA">
        <w:rPr>
          <w:rFonts w:ascii="Verdana" w:hAnsi="Verdana" w:cs="Verdana"/>
          <w:i/>
          <w:sz w:val="20"/>
          <w:szCs w:val="20"/>
          <w:lang w:val="es-ES_tradnl"/>
        </w:rPr>
        <w:t xml:space="preserve">(punto resolutivo decimocuarto </w:t>
      </w:r>
      <w:r w:rsidRPr="00602E0B">
        <w:rPr>
          <w:rFonts w:ascii="Verdana" w:hAnsi="Verdana" w:cs="Verdana"/>
          <w:i/>
          <w:sz w:val="20"/>
          <w:szCs w:val="20"/>
          <w:lang w:val="es-ES_tradnl"/>
        </w:rPr>
        <w:t>de la Sentencia</w:t>
      </w:r>
      <w:r w:rsidRPr="00527BFA">
        <w:rPr>
          <w:rFonts w:ascii="Verdana" w:hAnsi="Verdana" w:cs="Verdana"/>
          <w:i/>
          <w:sz w:val="20"/>
          <w:szCs w:val="20"/>
          <w:lang w:val="es-ES_tradnl"/>
        </w:rPr>
        <w:t>)</w:t>
      </w:r>
      <w:r w:rsidRPr="00527BFA">
        <w:rPr>
          <w:rFonts w:ascii="Verdana" w:hAnsi="Verdana" w:cs="Verdana"/>
          <w:sz w:val="20"/>
          <w:szCs w:val="20"/>
          <w:lang w:val="es-ES_tradnl"/>
        </w:rPr>
        <w:t xml:space="preserve">; </w:t>
      </w:r>
    </w:p>
    <w:p w14:paraId="520ED347" w14:textId="17E530E0" w:rsidR="005A4D7E" w:rsidRPr="00527BFA" w:rsidRDefault="005A4D7E" w:rsidP="00612AF7">
      <w:pPr>
        <w:autoSpaceDE w:val="0"/>
        <w:autoSpaceDN w:val="0"/>
        <w:adjustRightInd w:val="0"/>
        <w:spacing w:afterLines="120" w:after="288"/>
        <w:ind w:left="708"/>
        <w:jc w:val="both"/>
        <w:rPr>
          <w:rFonts w:ascii="Verdana" w:hAnsi="Verdana" w:cs="Verdana"/>
          <w:sz w:val="20"/>
          <w:szCs w:val="20"/>
          <w:lang w:val="es-ES_tradnl"/>
        </w:rPr>
      </w:pPr>
      <w:r w:rsidRPr="00527BFA">
        <w:rPr>
          <w:rFonts w:ascii="Verdana" w:hAnsi="Verdana" w:cs="Verdana"/>
          <w:sz w:val="20"/>
          <w:szCs w:val="20"/>
          <w:lang w:val="es-ES_tradnl"/>
        </w:rPr>
        <w:t>j)</w:t>
      </w:r>
      <w:r w:rsidRPr="00527BFA">
        <w:rPr>
          <w:rFonts w:ascii="Verdana" w:hAnsi="Verdana" w:cs="Verdana"/>
          <w:sz w:val="20"/>
          <w:szCs w:val="20"/>
          <w:lang w:val="es-ES_tradnl"/>
        </w:rPr>
        <w:tab/>
        <w:t>pagar las cantidades fijadas por concepto de costas y gastos (</w:t>
      </w:r>
      <w:r w:rsidRPr="00527BFA">
        <w:rPr>
          <w:rFonts w:ascii="Verdana" w:hAnsi="Verdana" w:cs="Verdana"/>
          <w:i/>
          <w:sz w:val="20"/>
          <w:szCs w:val="20"/>
          <w:lang w:val="es-ES_tradnl"/>
        </w:rPr>
        <w:t>punto resolutivo decimoctavo</w:t>
      </w:r>
      <w:r w:rsidRPr="00527BFA">
        <w:rPr>
          <w:rFonts w:ascii="Verdana" w:hAnsi="Verdana" w:cs="Verdana"/>
          <w:sz w:val="20"/>
          <w:szCs w:val="20"/>
          <w:lang w:val="es-ES_tradnl"/>
        </w:rPr>
        <w:t xml:space="preserve"> </w:t>
      </w:r>
      <w:r w:rsidRPr="00701CF8">
        <w:rPr>
          <w:rFonts w:ascii="Verdana" w:hAnsi="Verdana" w:cs="Verdana"/>
          <w:i/>
          <w:sz w:val="20"/>
          <w:szCs w:val="20"/>
          <w:lang w:val="es-ES_tradnl"/>
        </w:rPr>
        <w:t>de la Sentencia</w:t>
      </w:r>
      <w:r w:rsidRPr="00527BFA">
        <w:rPr>
          <w:rFonts w:ascii="Verdana" w:hAnsi="Verdana" w:cs="Verdana"/>
          <w:sz w:val="20"/>
          <w:szCs w:val="20"/>
          <w:lang w:val="es-ES_tradnl"/>
        </w:rPr>
        <w:t>).</w:t>
      </w:r>
      <w:r w:rsidR="00C909BF" w:rsidRPr="00527BFA">
        <w:rPr>
          <w:rFonts w:ascii="Verdana" w:hAnsi="Verdana" w:cs="Verdana"/>
          <w:sz w:val="20"/>
          <w:szCs w:val="20"/>
          <w:lang w:val="es-ES_tradnl"/>
        </w:rPr>
        <w:t xml:space="preserve"> </w:t>
      </w:r>
    </w:p>
    <w:p w14:paraId="1DCC1DF7" w14:textId="6BD0010D" w:rsidR="00397D8B" w:rsidRPr="00AB5400" w:rsidRDefault="00397D8B" w:rsidP="00C6162E">
      <w:pPr>
        <w:pStyle w:val="Prrafodelista"/>
        <w:numPr>
          <w:ilvl w:val="0"/>
          <w:numId w:val="6"/>
        </w:numPr>
        <w:spacing w:before="120" w:after="120"/>
        <w:ind w:left="0" w:right="4" w:firstLine="0"/>
        <w:contextualSpacing w:val="0"/>
        <w:jc w:val="both"/>
        <w:rPr>
          <w:rFonts w:ascii="Verdana" w:hAnsi="Verdana"/>
          <w:b/>
          <w:sz w:val="20"/>
          <w:lang w:val="es-MX"/>
        </w:rPr>
      </w:pPr>
      <w:r w:rsidRPr="00527BFA">
        <w:rPr>
          <w:rFonts w:ascii="Verdana" w:hAnsi="Verdana"/>
          <w:sz w:val="20"/>
        </w:rPr>
        <w:t>Disponer que el Estado adopte, en definitiva y a la mayor brevedad posible, las medidas que sean necesarias para dar efectivo y pronto cumplimiento a los puntos pendientes de la Sentencia de fondo, reparaciones y costas emitida en el presente caso, de acuerdo con lo considerado en la presente Resolución, y con lo estipulado en el artículo 68.1 de la Convención Americana sobre Derechos Humanos.</w:t>
      </w:r>
    </w:p>
    <w:p w14:paraId="25C5322E" w14:textId="2E836F14" w:rsidR="00AB5400" w:rsidRPr="00AB5400" w:rsidRDefault="00AB5400" w:rsidP="00AB5400">
      <w:pPr>
        <w:pStyle w:val="Prrafodelista"/>
        <w:numPr>
          <w:ilvl w:val="0"/>
          <w:numId w:val="6"/>
        </w:numPr>
        <w:spacing w:before="120" w:after="120"/>
        <w:ind w:left="0" w:right="4" w:firstLine="0"/>
        <w:contextualSpacing w:val="0"/>
        <w:jc w:val="both"/>
        <w:rPr>
          <w:rFonts w:ascii="Verdana" w:hAnsi="Verdana"/>
          <w:sz w:val="20"/>
        </w:rPr>
      </w:pPr>
      <w:r w:rsidRPr="00AB5400">
        <w:rPr>
          <w:rFonts w:ascii="Verdana" w:hAnsi="Verdana"/>
          <w:sz w:val="20"/>
        </w:rPr>
        <w:t xml:space="preserve">Disponer que el Estado presente, en el plazo de un mes a partir de la notificación de la presente Resolución, un informe sobre la posibilidad de establecer un espacio de diálogo con las víctimas y sus representantes con el fin de avanzar en el cumplimiento de la reparación relativa </w:t>
      </w:r>
      <w:r>
        <w:rPr>
          <w:rFonts w:ascii="Verdana" w:hAnsi="Verdana"/>
          <w:sz w:val="20"/>
        </w:rPr>
        <w:t xml:space="preserve">a la garantía de las </w:t>
      </w:r>
      <w:r w:rsidRPr="00AB5400">
        <w:rPr>
          <w:rFonts w:ascii="Verdana" w:hAnsi="Verdana"/>
          <w:sz w:val="20"/>
        </w:rPr>
        <w:t xml:space="preserve">condiciones de seguridad para que los familiares de las personas desaparecidas y privadas de la vida, así como otros ex pobladores de Pueblo Bello, que se hayan visto desplazados, puedan regresar a tal localidad, de conformidad con lo establecido en </w:t>
      </w:r>
      <w:r>
        <w:rPr>
          <w:rFonts w:ascii="Verdana" w:hAnsi="Verdana"/>
          <w:sz w:val="20"/>
        </w:rPr>
        <w:t>el Considerando</w:t>
      </w:r>
      <w:r w:rsidRPr="00AB5400">
        <w:rPr>
          <w:rFonts w:ascii="Verdana" w:hAnsi="Verdana"/>
          <w:sz w:val="20"/>
        </w:rPr>
        <w:t xml:space="preserve"> </w:t>
      </w:r>
      <w:r w:rsidR="0003268A">
        <w:rPr>
          <w:rFonts w:ascii="Verdana" w:hAnsi="Verdana"/>
          <w:sz w:val="20"/>
        </w:rPr>
        <w:t>32</w:t>
      </w:r>
      <w:r>
        <w:rPr>
          <w:rFonts w:ascii="Verdana" w:hAnsi="Verdana"/>
          <w:sz w:val="20"/>
        </w:rPr>
        <w:t xml:space="preserve"> </w:t>
      </w:r>
      <w:r w:rsidRPr="00AB5400">
        <w:rPr>
          <w:rFonts w:ascii="Verdana" w:hAnsi="Verdana"/>
          <w:sz w:val="20"/>
        </w:rPr>
        <w:t>de la presente Resolución</w:t>
      </w:r>
      <w:r w:rsidR="0003268A">
        <w:rPr>
          <w:rFonts w:ascii="Verdana" w:hAnsi="Verdana"/>
          <w:sz w:val="20"/>
        </w:rPr>
        <w:t>.</w:t>
      </w:r>
    </w:p>
    <w:p w14:paraId="3AA65809" w14:textId="6B86A272" w:rsidR="00397D8B" w:rsidRPr="00527BFA" w:rsidRDefault="00397D8B" w:rsidP="00C6162E">
      <w:pPr>
        <w:pStyle w:val="Prrafodelista"/>
        <w:numPr>
          <w:ilvl w:val="0"/>
          <w:numId w:val="6"/>
        </w:numPr>
        <w:spacing w:before="120" w:after="120"/>
        <w:ind w:left="0" w:right="4" w:firstLine="0"/>
        <w:contextualSpacing w:val="0"/>
        <w:jc w:val="both"/>
        <w:rPr>
          <w:rFonts w:ascii="Verdana" w:hAnsi="Verdana"/>
          <w:sz w:val="20"/>
        </w:rPr>
      </w:pPr>
      <w:r w:rsidRPr="00BB52F3">
        <w:rPr>
          <w:rFonts w:ascii="Verdana" w:hAnsi="Verdana"/>
          <w:sz w:val="20"/>
        </w:rPr>
        <w:t xml:space="preserve">Disponer que el Estado presente a la Corte Interamericana de Derechos Humanos, a más tardar el </w:t>
      </w:r>
      <w:r w:rsidR="0032507A">
        <w:rPr>
          <w:rFonts w:ascii="Verdana" w:hAnsi="Verdana"/>
          <w:sz w:val="20"/>
        </w:rPr>
        <w:t>31</w:t>
      </w:r>
      <w:r w:rsidR="0032507A" w:rsidRPr="00BB52F3">
        <w:rPr>
          <w:rFonts w:ascii="Verdana" w:hAnsi="Verdana"/>
          <w:sz w:val="20"/>
        </w:rPr>
        <w:t xml:space="preserve"> </w:t>
      </w:r>
      <w:r w:rsidRPr="00BB52F3">
        <w:rPr>
          <w:rFonts w:ascii="Verdana" w:hAnsi="Verdana"/>
          <w:sz w:val="20"/>
        </w:rPr>
        <w:t xml:space="preserve">de </w:t>
      </w:r>
      <w:r w:rsidR="005002F8">
        <w:rPr>
          <w:rFonts w:ascii="Verdana" w:hAnsi="Verdana"/>
          <w:sz w:val="20"/>
        </w:rPr>
        <w:t>marzo</w:t>
      </w:r>
      <w:r w:rsidRPr="00BB52F3">
        <w:rPr>
          <w:rFonts w:ascii="Verdana" w:hAnsi="Verdana"/>
          <w:sz w:val="20"/>
        </w:rPr>
        <w:t xml:space="preserve"> de 202</w:t>
      </w:r>
      <w:r w:rsidR="005002F8">
        <w:rPr>
          <w:rFonts w:ascii="Verdana" w:hAnsi="Verdana"/>
          <w:sz w:val="20"/>
        </w:rPr>
        <w:t>1</w:t>
      </w:r>
      <w:r w:rsidRPr="00BB52F3">
        <w:rPr>
          <w:rFonts w:ascii="Verdana" w:hAnsi="Verdana"/>
          <w:sz w:val="20"/>
        </w:rPr>
        <w:t xml:space="preserve">, </w:t>
      </w:r>
      <w:r w:rsidRPr="00BB52F3">
        <w:rPr>
          <w:rFonts w:ascii="Verdana" w:hAnsi="Verdana"/>
          <w:sz w:val="20"/>
          <w:szCs w:val="20"/>
        </w:rPr>
        <w:t xml:space="preserve">un informe en el cual indique todas las medidas adoptadas para cumplir con las reparaciones ordenadas por esta Corte que se encuentran pendientes de cumplimiento, </w:t>
      </w:r>
      <w:r w:rsidRPr="00BB52F3">
        <w:rPr>
          <w:rFonts w:ascii="Verdana" w:hAnsi="Verdana"/>
          <w:sz w:val="20"/>
        </w:rPr>
        <w:t xml:space="preserve">de conformidad con lo </w:t>
      </w:r>
      <w:r w:rsidR="00BE6318">
        <w:rPr>
          <w:rFonts w:ascii="Verdana" w:hAnsi="Verdana"/>
          <w:sz w:val="20"/>
        </w:rPr>
        <w:t xml:space="preserve">indicado en </w:t>
      </w:r>
      <w:r w:rsidR="0003268A">
        <w:rPr>
          <w:rFonts w:ascii="Verdana" w:hAnsi="Verdana"/>
          <w:sz w:val="20"/>
        </w:rPr>
        <w:t>los</w:t>
      </w:r>
      <w:r w:rsidR="00BE6318">
        <w:rPr>
          <w:rFonts w:ascii="Verdana" w:hAnsi="Verdana"/>
          <w:sz w:val="20"/>
        </w:rPr>
        <w:t xml:space="preserve"> punto</w:t>
      </w:r>
      <w:r w:rsidR="0003268A">
        <w:rPr>
          <w:rFonts w:ascii="Verdana" w:hAnsi="Verdana"/>
          <w:sz w:val="20"/>
        </w:rPr>
        <w:t>s</w:t>
      </w:r>
      <w:r w:rsidR="00BE6318">
        <w:rPr>
          <w:rFonts w:ascii="Verdana" w:hAnsi="Verdana"/>
          <w:sz w:val="20"/>
        </w:rPr>
        <w:t xml:space="preserve"> resolutivo</w:t>
      </w:r>
      <w:r w:rsidR="0003268A">
        <w:rPr>
          <w:rFonts w:ascii="Verdana" w:hAnsi="Verdana"/>
          <w:sz w:val="20"/>
        </w:rPr>
        <w:t>s</w:t>
      </w:r>
      <w:r w:rsidRPr="00BB52F3">
        <w:rPr>
          <w:rFonts w:ascii="Verdana" w:hAnsi="Verdana"/>
          <w:sz w:val="20"/>
        </w:rPr>
        <w:t xml:space="preserve"> </w:t>
      </w:r>
      <w:r w:rsidR="00A86866">
        <w:rPr>
          <w:rFonts w:ascii="Verdana" w:hAnsi="Verdana"/>
          <w:sz w:val="20"/>
        </w:rPr>
        <w:t>2</w:t>
      </w:r>
      <w:r w:rsidRPr="00BB52F3">
        <w:rPr>
          <w:rFonts w:ascii="Verdana" w:hAnsi="Verdana"/>
          <w:sz w:val="20"/>
        </w:rPr>
        <w:t xml:space="preserve"> </w:t>
      </w:r>
      <w:r w:rsidR="0003268A">
        <w:rPr>
          <w:rFonts w:ascii="Verdana" w:hAnsi="Verdana"/>
          <w:sz w:val="20"/>
        </w:rPr>
        <w:t xml:space="preserve">y 3 </w:t>
      </w:r>
      <w:r w:rsidRPr="00BB52F3">
        <w:rPr>
          <w:rFonts w:ascii="Verdana" w:hAnsi="Verdana"/>
          <w:sz w:val="20"/>
        </w:rPr>
        <w:t xml:space="preserve">y los Considerandos </w:t>
      </w:r>
      <w:r w:rsidR="00A86866">
        <w:rPr>
          <w:rFonts w:ascii="Verdana" w:hAnsi="Verdana"/>
          <w:sz w:val="20"/>
        </w:rPr>
        <w:t>6 a 32</w:t>
      </w:r>
      <w:r w:rsidRPr="00BB52F3">
        <w:rPr>
          <w:rFonts w:ascii="Verdana" w:hAnsi="Verdana"/>
          <w:sz w:val="20"/>
        </w:rPr>
        <w:t>,</w:t>
      </w:r>
      <w:r w:rsidR="00A86866">
        <w:rPr>
          <w:rFonts w:ascii="Verdana" w:hAnsi="Verdana"/>
          <w:sz w:val="20"/>
        </w:rPr>
        <w:t xml:space="preserve"> y</w:t>
      </w:r>
      <w:r w:rsidRPr="00BB52F3">
        <w:rPr>
          <w:rFonts w:ascii="Verdana" w:hAnsi="Verdana"/>
          <w:sz w:val="20"/>
        </w:rPr>
        <w:t xml:space="preserve"> </w:t>
      </w:r>
      <w:r w:rsidR="00A86866">
        <w:rPr>
          <w:rFonts w:ascii="Verdana" w:hAnsi="Verdana"/>
          <w:sz w:val="20"/>
        </w:rPr>
        <w:t>45 a 48</w:t>
      </w:r>
      <w:r w:rsidRPr="00BB52F3">
        <w:rPr>
          <w:rFonts w:ascii="Verdana" w:hAnsi="Verdana"/>
          <w:sz w:val="20"/>
        </w:rPr>
        <w:t xml:space="preserve"> de la presente</w:t>
      </w:r>
      <w:r w:rsidRPr="00527BFA">
        <w:rPr>
          <w:rFonts w:ascii="Verdana" w:hAnsi="Verdana"/>
          <w:sz w:val="20"/>
        </w:rPr>
        <w:t xml:space="preserve"> Resolución. </w:t>
      </w:r>
    </w:p>
    <w:p w14:paraId="1A8C19CD" w14:textId="77777777" w:rsidR="00397D8B" w:rsidRPr="00527BFA" w:rsidRDefault="00397D8B" w:rsidP="00C6162E">
      <w:pPr>
        <w:pStyle w:val="Prrafodelista"/>
        <w:numPr>
          <w:ilvl w:val="0"/>
          <w:numId w:val="6"/>
        </w:numPr>
        <w:spacing w:before="120" w:after="120"/>
        <w:ind w:left="0" w:right="4" w:firstLine="0"/>
        <w:contextualSpacing w:val="0"/>
        <w:jc w:val="both"/>
        <w:rPr>
          <w:rFonts w:ascii="Verdana" w:hAnsi="Verdana" w:cs="Verdana"/>
          <w:sz w:val="20"/>
          <w:szCs w:val="20"/>
        </w:rPr>
      </w:pPr>
      <w:r w:rsidRPr="00527BFA">
        <w:rPr>
          <w:rFonts w:ascii="Verdana" w:hAnsi="Verdana"/>
          <w:sz w:val="20"/>
          <w:szCs w:val="20"/>
        </w:rPr>
        <w:t>Disponer que las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5E10851D" w14:textId="6321FDE6" w:rsidR="005A4D7E" w:rsidRDefault="00397D8B" w:rsidP="00546B72">
      <w:pPr>
        <w:pStyle w:val="Prrafodelista"/>
        <w:numPr>
          <w:ilvl w:val="0"/>
          <w:numId w:val="6"/>
        </w:numPr>
        <w:spacing w:before="120" w:after="120"/>
        <w:ind w:left="0" w:right="4" w:firstLine="0"/>
        <w:contextualSpacing w:val="0"/>
        <w:jc w:val="both"/>
        <w:rPr>
          <w:rFonts w:ascii="Verdana" w:hAnsi="Verdana"/>
          <w:sz w:val="20"/>
          <w:szCs w:val="20"/>
        </w:rPr>
      </w:pPr>
      <w:r w:rsidRPr="00527BFA">
        <w:rPr>
          <w:rFonts w:ascii="Verdana" w:hAnsi="Verdana"/>
          <w:sz w:val="20"/>
          <w:szCs w:val="20"/>
        </w:rPr>
        <w:t xml:space="preserve">Disponer que la Secretaría de la Corte notifique la presente Resolución al Estado de Colombia, a las representantes de las víctimas y a la Comisión </w:t>
      </w:r>
      <w:r w:rsidRPr="00527BFA">
        <w:rPr>
          <w:rFonts w:ascii="Verdana" w:hAnsi="Verdana"/>
          <w:sz w:val="20"/>
        </w:rPr>
        <w:t>Interamericana</w:t>
      </w:r>
      <w:r w:rsidRPr="00527BFA">
        <w:rPr>
          <w:rFonts w:ascii="Verdana" w:hAnsi="Verdana"/>
          <w:sz w:val="20"/>
          <w:szCs w:val="20"/>
        </w:rPr>
        <w:t xml:space="preserve"> de Derechos Humanos.</w:t>
      </w:r>
    </w:p>
    <w:p w14:paraId="344FB846" w14:textId="77777777" w:rsidR="00B938F6" w:rsidRPr="00B938F6" w:rsidRDefault="00B938F6" w:rsidP="00B938F6">
      <w:pPr>
        <w:pStyle w:val="Prrafodelista"/>
        <w:keepNext/>
        <w:ind w:left="0"/>
        <w:jc w:val="both"/>
        <w:outlineLvl w:val="0"/>
        <w:rPr>
          <w:rFonts w:ascii="Verdana" w:hAnsi="Verdana"/>
          <w:sz w:val="20"/>
          <w:lang w:val="es-ES" w:eastAsia="es-CR"/>
        </w:rPr>
      </w:pPr>
      <w:r w:rsidRPr="00B938F6">
        <w:rPr>
          <w:rFonts w:ascii="Verdana" w:hAnsi="Verdana" w:cs="Courier New"/>
          <w:noProof/>
          <w:sz w:val="20"/>
          <w:lang w:val="es-AR"/>
        </w:rPr>
        <w:lastRenderedPageBreak/>
        <w:t xml:space="preserve">Corte IDH. </w:t>
      </w:r>
      <w:r w:rsidRPr="00B938F6">
        <w:rPr>
          <w:rFonts w:ascii="Verdana" w:hAnsi="Verdana" w:cs="Courier New"/>
          <w:i/>
          <w:noProof/>
          <w:sz w:val="20"/>
          <w:lang w:val="es-AR"/>
        </w:rPr>
        <w:t>Caso de la Masacre de Pueblo Bello Vs. Colombia</w:t>
      </w:r>
      <w:r w:rsidRPr="00B938F6">
        <w:rPr>
          <w:rFonts w:ascii="Verdana" w:hAnsi="Verdana"/>
          <w:bCs/>
          <w:i/>
          <w:sz w:val="20"/>
        </w:rPr>
        <w:t>.</w:t>
      </w:r>
      <w:r w:rsidRPr="00B938F6">
        <w:rPr>
          <w:rFonts w:ascii="Verdana" w:hAnsi="Verdana" w:cs="Arial"/>
          <w:sz w:val="20"/>
        </w:rPr>
        <w:t xml:space="preserve"> Supervisión de Cumplimiento de Sentencia. </w:t>
      </w:r>
      <w:r w:rsidRPr="00B938F6">
        <w:rPr>
          <w:rFonts w:ascii="Verdana" w:hAnsi="Verdana"/>
          <w:sz w:val="20"/>
          <w:lang w:val="es-ES"/>
        </w:rPr>
        <w:t>Resolución de la Corte Interamericana de Derechos Humanos de 18 de noviembre</w:t>
      </w:r>
      <w:r w:rsidRPr="00B938F6">
        <w:rPr>
          <w:rFonts w:ascii="Verdana" w:hAnsi="Verdana"/>
          <w:sz w:val="20"/>
        </w:rPr>
        <w:t xml:space="preserve"> de 2020</w:t>
      </w:r>
      <w:r w:rsidRPr="00B938F6">
        <w:rPr>
          <w:rFonts w:ascii="Verdana" w:hAnsi="Verdana"/>
          <w:sz w:val="20"/>
          <w:lang w:val="es-ES"/>
        </w:rPr>
        <w:t xml:space="preserve">. </w:t>
      </w:r>
      <w:r w:rsidRPr="00B938F6">
        <w:rPr>
          <w:rFonts w:ascii="Verdana" w:hAnsi="Verdana"/>
          <w:iCs/>
          <w:sz w:val="20"/>
        </w:rPr>
        <w:t>Resolución adoptada en San José de Costa Rica por medio de sesión virtual.</w:t>
      </w:r>
    </w:p>
    <w:p w14:paraId="715D1737" w14:textId="77777777" w:rsidR="00B938F6" w:rsidRPr="00B938F6" w:rsidRDefault="00B938F6" w:rsidP="00B938F6">
      <w:pPr>
        <w:pStyle w:val="Prrafodelista"/>
        <w:rPr>
          <w:rFonts w:ascii="Verdana" w:hAnsi="Verdana"/>
          <w:sz w:val="20"/>
        </w:rPr>
      </w:pPr>
    </w:p>
    <w:p w14:paraId="1B508541" w14:textId="4538C308" w:rsidR="00B938F6" w:rsidRPr="00B938F6" w:rsidRDefault="00B938F6" w:rsidP="00B938F6">
      <w:pPr>
        <w:pStyle w:val="Prrafodelista"/>
        <w:ind w:left="0"/>
        <w:rPr>
          <w:rFonts w:ascii="Verdana" w:hAnsi="Verdana"/>
          <w:sz w:val="20"/>
        </w:rPr>
      </w:pPr>
    </w:p>
    <w:p w14:paraId="7B14D438" w14:textId="77777777" w:rsidR="00B938F6" w:rsidRPr="00B938F6" w:rsidRDefault="00B938F6" w:rsidP="00B938F6">
      <w:pPr>
        <w:pStyle w:val="Prrafodelista"/>
        <w:rPr>
          <w:rFonts w:ascii="Verdana" w:hAnsi="Verdana"/>
          <w:sz w:val="20"/>
        </w:rPr>
      </w:pPr>
    </w:p>
    <w:p w14:paraId="691E5EBA" w14:textId="77777777" w:rsidR="00B938F6" w:rsidRPr="00B938F6" w:rsidRDefault="00B938F6" w:rsidP="00B938F6">
      <w:pPr>
        <w:pStyle w:val="Prrafodelista"/>
        <w:rPr>
          <w:rFonts w:ascii="Verdana" w:hAnsi="Verdana"/>
          <w:sz w:val="20"/>
        </w:rPr>
      </w:pPr>
    </w:p>
    <w:p w14:paraId="4D250579" w14:textId="77777777" w:rsidR="00B938F6" w:rsidRPr="00B938F6" w:rsidRDefault="00B938F6" w:rsidP="00B938F6">
      <w:pPr>
        <w:pStyle w:val="Prrafodelista"/>
        <w:rPr>
          <w:rFonts w:ascii="Verdana" w:hAnsi="Verdana"/>
          <w:sz w:val="20"/>
        </w:rPr>
      </w:pPr>
    </w:p>
    <w:p w14:paraId="204FCF1F" w14:textId="04C8ECA9" w:rsidR="00B938F6" w:rsidRPr="00B938F6" w:rsidRDefault="00B938F6" w:rsidP="00B938F6">
      <w:pPr>
        <w:pStyle w:val="Prrafodelista"/>
        <w:rPr>
          <w:rFonts w:ascii="Verdana" w:hAnsi="Verdana"/>
          <w:sz w:val="20"/>
        </w:rPr>
      </w:pPr>
    </w:p>
    <w:p w14:paraId="30C99BC6" w14:textId="14C1E711" w:rsidR="00B938F6" w:rsidRPr="00B938F6" w:rsidRDefault="00B938F6" w:rsidP="00B938F6">
      <w:pPr>
        <w:pStyle w:val="Prrafodelista"/>
        <w:ind w:left="0"/>
        <w:jc w:val="center"/>
        <w:rPr>
          <w:rFonts w:ascii="Verdana" w:hAnsi="Verdana"/>
          <w:sz w:val="20"/>
        </w:rPr>
      </w:pPr>
      <w:r w:rsidRPr="00B938F6">
        <w:rPr>
          <w:rFonts w:ascii="Verdana" w:hAnsi="Verdana"/>
          <w:sz w:val="20"/>
          <w:lang w:val="es-CR"/>
        </w:rPr>
        <w:t>Elizabeth Odio Benito</w:t>
      </w:r>
    </w:p>
    <w:p w14:paraId="4169C7A8" w14:textId="0E88A827" w:rsidR="00B938F6" w:rsidRPr="00B938F6" w:rsidRDefault="00B938F6" w:rsidP="00B938F6">
      <w:pPr>
        <w:pStyle w:val="Prrafodelista"/>
        <w:ind w:left="0"/>
        <w:jc w:val="center"/>
        <w:rPr>
          <w:rFonts w:ascii="Verdana" w:hAnsi="Verdana"/>
          <w:sz w:val="20"/>
        </w:rPr>
      </w:pPr>
      <w:r w:rsidRPr="00B938F6">
        <w:rPr>
          <w:rFonts w:ascii="Verdana" w:hAnsi="Verdana"/>
          <w:sz w:val="20"/>
        </w:rPr>
        <w:t>Presidenta</w:t>
      </w:r>
    </w:p>
    <w:p w14:paraId="121D51E0" w14:textId="44C27E76" w:rsidR="00B938F6" w:rsidRDefault="00B938F6" w:rsidP="00B938F6">
      <w:pPr>
        <w:pStyle w:val="Prrafodelista"/>
        <w:rPr>
          <w:rFonts w:ascii="Verdana" w:hAnsi="Verdana"/>
          <w:sz w:val="20"/>
        </w:rPr>
      </w:pPr>
    </w:p>
    <w:p w14:paraId="747A44D0" w14:textId="28095593" w:rsidR="00B938F6" w:rsidRDefault="00B938F6" w:rsidP="00B938F6">
      <w:pPr>
        <w:pStyle w:val="Prrafodelista"/>
        <w:rPr>
          <w:rFonts w:ascii="Verdana" w:hAnsi="Verdana"/>
          <w:sz w:val="20"/>
        </w:rPr>
      </w:pPr>
    </w:p>
    <w:p w14:paraId="0924A4A6" w14:textId="77777777" w:rsidR="00B938F6" w:rsidRDefault="00B938F6" w:rsidP="00B938F6">
      <w:pPr>
        <w:pStyle w:val="Prrafodelista"/>
        <w:rPr>
          <w:rFonts w:ascii="Verdana" w:hAnsi="Verdana"/>
          <w:sz w:val="20"/>
        </w:rPr>
      </w:pPr>
    </w:p>
    <w:p w14:paraId="6F328474" w14:textId="623A47E4" w:rsidR="00B938F6" w:rsidRPr="00B938F6" w:rsidRDefault="00B938F6" w:rsidP="00B938F6">
      <w:pPr>
        <w:rPr>
          <w:rFonts w:ascii="Verdana" w:hAnsi="Verdana"/>
          <w:sz w:val="20"/>
          <w:lang w:val="es-CR"/>
        </w:rPr>
      </w:pPr>
    </w:p>
    <w:p w14:paraId="00103707" w14:textId="42E43486" w:rsidR="00B938F6" w:rsidRPr="00B938F6" w:rsidRDefault="00B938F6" w:rsidP="00B938F6">
      <w:pPr>
        <w:pStyle w:val="Prrafodelista"/>
        <w:ind w:left="0"/>
        <w:rPr>
          <w:rFonts w:ascii="Verdana" w:hAnsi="Verdana"/>
          <w:sz w:val="20"/>
          <w:lang w:val="es-CR"/>
        </w:rPr>
      </w:pPr>
      <w:r w:rsidRPr="00B938F6">
        <w:rPr>
          <w:rFonts w:ascii="Verdana" w:hAnsi="Verdana"/>
          <w:sz w:val="20"/>
          <w:lang w:val="es-CR"/>
        </w:rPr>
        <w:t>L. Patricio Pazmiñ</w:t>
      </w:r>
      <w:r>
        <w:rPr>
          <w:rFonts w:ascii="Verdana" w:hAnsi="Verdana"/>
          <w:sz w:val="20"/>
          <w:lang w:val="es-CR"/>
        </w:rPr>
        <w:t>o Freire</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sidRPr="00B938F6">
        <w:rPr>
          <w:rFonts w:ascii="Verdana" w:hAnsi="Verdana"/>
          <w:sz w:val="20"/>
          <w:lang w:val="es-CR"/>
        </w:rPr>
        <w:t>Eduardo Ferrer Mac-</w:t>
      </w:r>
      <w:proofErr w:type="spellStart"/>
      <w:r w:rsidRPr="00B938F6">
        <w:rPr>
          <w:rFonts w:ascii="Verdana" w:hAnsi="Verdana"/>
          <w:sz w:val="20"/>
          <w:lang w:val="es-CR"/>
        </w:rPr>
        <w:t>Gregor</w:t>
      </w:r>
      <w:proofErr w:type="spellEnd"/>
      <w:r w:rsidRPr="00B938F6">
        <w:rPr>
          <w:rFonts w:ascii="Verdana" w:hAnsi="Verdana"/>
          <w:sz w:val="20"/>
          <w:lang w:val="es-CR"/>
        </w:rPr>
        <w:t xml:space="preserve"> </w:t>
      </w:r>
      <w:proofErr w:type="spellStart"/>
      <w:r w:rsidRPr="00B938F6">
        <w:rPr>
          <w:rFonts w:ascii="Verdana" w:hAnsi="Verdana"/>
          <w:sz w:val="20"/>
          <w:lang w:val="es-CR"/>
        </w:rPr>
        <w:t>Poisot</w:t>
      </w:r>
      <w:proofErr w:type="spellEnd"/>
      <w:r w:rsidRPr="00B938F6">
        <w:rPr>
          <w:rFonts w:ascii="Verdana" w:hAnsi="Verdana"/>
          <w:sz w:val="20"/>
          <w:lang w:val="es-CR"/>
        </w:rPr>
        <w:t xml:space="preserve"> </w:t>
      </w:r>
    </w:p>
    <w:p w14:paraId="091BB5C7" w14:textId="77777777" w:rsidR="00B938F6" w:rsidRPr="00B938F6" w:rsidRDefault="00B938F6" w:rsidP="00B938F6">
      <w:pPr>
        <w:pStyle w:val="Prrafodelista"/>
        <w:rPr>
          <w:rFonts w:ascii="Verdana" w:hAnsi="Verdana"/>
          <w:sz w:val="20"/>
          <w:lang w:val="es-CR"/>
        </w:rPr>
      </w:pPr>
    </w:p>
    <w:p w14:paraId="0719498C" w14:textId="3B23060C" w:rsidR="00B938F6" w:rsidRPr="00B938F6" w:rsidRDefault="00B938F6" w:rsidP="00B938F6">
      <w:pPr>
        <w:pStyle w:val="Prrafodelista"/>
        <w:rPr>
          <w:rFonts w:ascii="Verdana" w:hAnsi="Verdana"/>
          <w:sz w:val="20"/>
          <w:lang w:val="es-CR"/>
        </w:rPr>
      </w:pPr>
    </w:p>
    <w:p w14:paraId="70272E1B" w14:textId="43A8D76B" w:rsidR="00B938F6" w:rsidRPr="00B938F6" w:rsidRDefault="00B938F6" w:rsidP="00B938F6">
      <w:pPr>
        <w:pStyle w:val="Prrafodelista"/>
        <w:rPr>
          <w:rFonts w:ascii="Verdana" w:hAnsi="Verdana"/>
          <w:sz w:val="20"/>
          <w:lang w:val="es-CR"/>
        </w:rPr>
      </w:pPr>
    </w:p>
    <w:p w14:paraId="2A20BCF0" w14:textId="77777777" w:rsidR="00B938F6" w:rsidRPr="00B938F6" w:rsidRDefault="00B938F6" w:rsidP="00B938F6">
      <w:pPr>
        <w:pStyle w:val="Prrafodelista"/>
        <w:rPr>
          <w:rFonts w:ascii="Verdana" w:hAnsi="Verdana"/>
          <w:sz w:val="20"/>
          <w:lang w:val="es-CR"/>
        </w:rPr>
      </w:pPr>
    </w:p>
    <w:p w14:paraId="44FCFFA8" w14:textId="77777777" w:rsidR="00B938F6" w:rsidRPr="00B938F6" w:rsidRDefault="00B938F6" w:rsidP="00B938F6">
      <w:pPr>
        <w:pStyle w:val="Prrafodelista"/>
        <w:rPr>
          <w:rFonts w:ascii="Verdana" w:hAnsi="Verdana"/>
          <w:sz w:val="20"/>
          <w:lang w:val="es-CR"/>
        </w:rPr>
      </w:pPr>
    </w:p>
    <w:p w14:paraId="38E899E9" w14:textId="74B63A50" w:rsidR="00B938F6" w:rsidRPr="00B938F6" w:rsidRDefault="00B938F6" w:rsidP="00B938F6">
      <w:pPr>
        <w:pStyle w:val="Prrafodelista"/>
        <w:rPr>
          <w:rFonts w:ascii="Verdana" w:hAnsi="Verdana"/>
          <w:sz w:val="20"/>
          <w:lang w:val="es-CR"/>
        </w:rPr>
      </w:pPr>
    </w:p>
    <w:p w14:paraId="4E655D3B" w14:textId="4152FEFA" w:rsidR="00B938F6" w:rsidRPr="00B938F6" w:rsidRDefault="00B938F6" w:rsidP="00B938F6">
      <w:pPr>
        <w:pStyle w:val="Prrafodelista"/>
        <w:rPr>
          <w:rFonts w:ascii="Verdana" w:hAnsi="Verdana"/>
          <w:sz w:val="20"/>
        </w:rPr>
      </w:pPr>
    </w:p>
    <w:p w14:paraId="21B67541" w14:textId="601097D8" w:rsidR="00B938F6" w:rsidRPr="00B938F6" w:rsidRDefault="00B938F6" w:rsidP="00B938F6">
      <w:pPr>
        <w:pStyle w:val="Prrafodelista"/>
        <w:ind w:left="0"/>
        <w:rPr>
          <w:rFonts w:ascii="Verdana" w:hAnsi="Verdana"/>
          <w:sz w:val="20"/>
          <w:lang w:val="es-CR"/>
        </w:rPr>
      </w:pPr>
      <w:r>
        <w:rPr>
          <w:rFonts w:ascii="Verdana" w:hAnsi="Verdana"/>
          <w:sz w:val="20"/>
          <w:lang w:val="es-CR"/>
        </w:rPr>
        <w:t>Eugenio Raúl Zaffaroni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sidRPr="00B938F6">
        <w:rPr>
          <w:rFonts w:ascii="Verdana" w:hAnsi="Verdana"/>
          <w:sz w:val="20"/>
          <w:lang w:val="es-CR"/>
        </w:rPr>
        <w:t xml:space="preserve">  </w:t>
      </w:r>
      <w:r>
        <w:rPr>
          <w:rFonts w:ascii="Verdana" w:hAnsi="Verdana"/>
          <w:sz w:val="20"/>
          <w:lang w:val="es-CR"/>
        </w:rPr>
        <w:t xml:space="preserve">   </w:t>
      </w:r>
      <w:r w:rsidRPr="00B938F6">
        <w:rPr>
          <w:rFonts w:ascii="Verdana" w:hAnsi="Verdana"/>
          <w:sz w:val="20"/>
          <w:lang w:val="es-CR"/>
        </w:rPr>
        <w:t xml:space="preserve">  Ricardo C. Pérez Manrique</w:t>
      </w:r>
    </w:p>
    <w:p w14:paraId="6FBD09C4" w14:textId="39A376B5" w:rsidR="00B938F6" w:rsidRPr="00B938F6" w:rsidRDefault="00B938F6" w:rsidP="00B938F6">
      <w:pPr>
        <w:pStyle w:val="Prrafodelista"/>
        <w:rPr>
          <w:rFonts w:ascii="Verdana" w:hAnsi="Verdana"/>
          <w:sz w:val="20"/>
          <w:lang w:val="es-CR"/>
        </w:rPr>
      </w:pPr>
      <w:r w:rsidRPr="00B938F6">
        <w:rPr>
          <w:rFonts w:ascii="Verdana" w:hAnsi="Verdana"/>
          <w:sz w:val="20"/>
          <w:lang w:val="es-CR"/>
        </w:rPr>
        <w:tab/>
      </w:r>
      <w:r w:rsidRPr="00B938F6">
        <w:rPr>
          <w:rFonts w:ascii="Verdana" w:hAnsi="Verdana"/>
          <w:sz w:val="20"/>
          <w:lang w:val="es-CR"/>
        </w:rPr>
        <w:tab/>
      </w:r>
      <w:r w:rsidRPr="00B938F6">
        <w:rPr>
          <w:rFonts w:ascii="Verdana" w:hAnsi="Verdana"/>
          <w:sz w:val="20"/>
          <w:lang w:val="es-CR"/>
        </w:rPr>
        <w:tab/>
      </w:r>
    </w:p>
    <w:p w14:paraId="422C8529" w14:textId="77777777" w:rsidR="00B938F6" w:rsidRPr="00B938F6" w:rsidRDefault="00B938F6" w:rsidP="00B938F6">
      <w:pPr>
        <w:pStyle w:val="Prrafodelista"/>
        <w:rPr>
          <w:rFonts w:ascii="Verdana" w:hAnsi="Verdana"/>
          <w:sz w:val="20"/>
          <w:lang w:val="es-CR"/>
        </w:rPr>
      </w:pPr>
    </w:p>
    <w:p w14:paraId="40FD5188" w14:textId="77777777" w:rsidR="00B938F6" w:rsidRPr="00B938F6" w:rsidRDefault="00B938F6" w:rsidP="00B938F6">
      <w:pPr>
        <w:pStyle w:val="Prrafodelista"/>
        <w:rPr>
          <w:rFonts w:ascii="Verdana" w:hAnsi="Verdana"/>
          <w:sz w:val="20"/>
          <w:lang w:val="es-CR"/>
        </w:rPr>
      </w:pPr>
    </w:p>
    <w:p w14:paraId="512DADDD" w14:textId="77777777" w:rsidR="00B938F6" w:rsidRPr="00B938F6" w:rsidRDefault="00B938F6" w:rsidP="00B938F6">
      <w:pPr>
        <w:pStyle w:val="Prrafodelista"/>
        <w:rPr>
          <w:rFonts w:ascii="Verdana" w:hAnsi="Verdana"/>
          <w:sz w:val="20"/>
          <w:lang w:val="es-CR"/>
        </w:rPr>
      </w:pPr>
    </w:p>
    <w:p w14:paraId="6073E0DC" w14:textId="77777777" w:rsidR="00B938F6" w:rsidRPr="00B938F6" w:rsidRDefault="00B938F6" w:rsidP="00B938F6">
      <w:pPr>
        <w:pStyle w:val="Prrafodelista"/>
        <w:tabs>
          <w:tab w:val="left" w:pos="8460"/>
          <w:tab w:val="left" w:pos="8640"/>
        </w:tabs>
        <w:jc w:val="both"/>
        <w:rPr>
          <w:rFonts w:ascii="Verdana" w:hAnsi="Verdana"/>
          <w:sz w:val="20"/>
          <w:lang w:val="es-CR"/>
        </w:rPr>
      </w:pPr>
    </w:p>
    <w:p w14:paraId="58862F23" w14:textId="77777777" w:rsidR="00B938F6" w:rsidRPr="00B938F6" w:rsidRDefault="00B938F6" w:rsidP="00B938F6">
      <w:pPr>
        <w:pStyle w:val="Prrafodelista"/>
        <w:tabs>
          <w:tab w:val="left" w:pos="8460"/>
          <w:tab w:val="left" w:pos="8640"/>
        </w:tabs>
        <w:rPr>
          <w:rFonts w:ascii="Verdana" w:hAnsi="Verdana"/>
          <w:sz w:val="20"/>
          <w:lang w:val="es-CR"/>
        </w:rPr>
      </w:pPr>
    </w:p>
    <w:p w14:paraId="2ECB3C0A" w14:textId="77777777" w:rsidR="00B938F6" w:rsidRPr="00B938F6" w:rsidRDefault="00B938F6" w:rsidP="00B938F6">
      <w:pPr>
        <w:pStyle w:val="Prrafodelista"/>
        <w:tabs>
          <w:tab w:val="left" w:pos="8460"/>
          <w:tab w:val="left" w:pos="8640"/>
        </w:tabs>
        <w:ind w:left="0"/>
        <w:jc w:val="center"/>
        <w:rPr>
          <w:rFonts w:ascii="Verdana" w:hAnsi="Verdana"/>
          <w:sz w:val="20"/>
        </w:rPr>
      </w:pPr>
      <w:r w:rsidRPr="00B938F6">
        <w:rPr>
          <w:rFonts w:ascii="Verdana" w:hAnsi="Verdana"/>
          <w:sz w:val="20"/>
        </w:rPr>
        <w:t>Pablo Saavedra Alessandri</w:t>
      </w:r>
    </w:p>
    <w:p w14:paraId="45CB1BCE" w14:textId="11F8BB16" w:rsidR="00B938F6" w:rsidRPr="00B938F6" w:rsidRDefault="00B938F6" w:rsidP="00B938F6">
      <w:pPr>
        <w:pStyle w:val="Prrafodelista"/>
        <w:tabs>
          <w:tab w:val="left" w:pos="8460"/>
          <w:tab w:val="left" w:pos="8640"/>
        </w:tabs>
        <w:ind w:left="0"/>
        <w:jc w:val="center"/>
        <w:rPr>
          <w:rFonts w:ascii="Verdana" w:hAnsi="Verdana"/>
          <w:sz w:val="20"/>
        </w:rPr>
      </w:pPr>
      <w:r w:rsidRPr="00B938F6">
        <w:rPr>
          <w:rFonts w:ascii="Verdana" w:hAnsi="Verdana"/>
          <w:sz w:val="20"/>
        </w:rPr>
        <w:t>Secretario</w:t>
      </w:r>
    </w:p>
    <w:p w14:paraId="1BF69550" w14:textId="78AE58F1" w:rsidR="00B938F6" w:rsidRPr="00B938F6" w:rsidRDefault="00B938F6" w:rsidP="00B938F6">
      <w:pPr>
        <w:pStyle w:val="Prrafodelista"/>
        <w:jc w:val="both"/>
        <w:rPr>
          <w:rFonts w:ascii="Verdana" w:hAnsi="Verdana"/>
          <w:sz w:val="20"/>
        </w:rPr>
      </w:pPr>
    </w:p>
    <w:p w14:paraId="5DCAF1FB" w14:textId="33BE8785" w:rsidR="00B938F6" w:rsidRPr="00B938F6" w:rsidRDefault="00B938F6" w:rsidP="00B938F6">
      <w:pPr>
        <w:pStyle w:val="Prrafodelista"/>
        <w:jc w:val="both"/>
        <w:rPr>
          <w:rFonts w:ascii="Verdana" w:hAnsi="Verdana"/>
          <w:sz w:val="20"/>
        </w:rPr>
      </w:pPr>
    </w:p>
    <w:p w14:paraId="4DB214CE" w14:textId="7A636938" w:rsidR="00B938F6" w:rsidRPr="00B938F6" w:rsidRDefault="00B938F6" w:rsidP="00B938F6">
      <w:pPr>
        <w:pStyle w:val="Prrafodelista"/>
        <w:tabs>
          <w:tab w:val="left" w:pos="8460"/>
          <w:tab w:val="left" w:pos="8640"/>
        </w:tabs>
        <w:ind w:left="0"/>
        <w:jc w:val="both"/>
        <w:rPr>
          <w:rFonts w:ascii="Verdana" w:hAnsi="Verdana"/>
          <w:sz w:val="20"/>
        </w:rPr>
      </w:pPr>
      <w:r w:rsidRPr="00B938F6">
        <w:rPr>
          <w:rFonts w:ascii="Verdana" w:hAnsi="Verdana"/>
          <w:sz w:val="20"/>
        </w:rPr>
        <w:t>Comuníquese y ejecútese,</w:t>
      </w:r>
    </w:p>
    <w:p w14:paraId="43D50EE2" w14:textId="10EC1B59" w:rsidR="00B938F6" w:rsidRDefault="00B938F6" w:rsidP="00B938F6">
      <w:pPr>
        <w:pStyle w:val="Prrafodelista"/>
        <w:rPr>
          <w:rFonts w:ascii="Verdana" w:hAnsi="Verdana"/>
          <w:sz w:val="20"/>
          <w:lang w:val="es-CR"/>
        </w:rPr>
      </w:pPr>
    </w:p>
    <w:p w14:paraId="56EF80F6" w14:textId="47901BA3" w:rsidR="00B938F6" w:rsidRDefault="00B938F6" w:rsidP="00B938F6">
      <w:pPr>
        <w:pStyle w:val="Prrafodelista"/>
        <w:rPr>
          <w:rFonts w:ascii="Verdana" w:hAnsi="Verdana"/>
          <w:sz w:val="20"/>
          <w:lang w:val="es-CR"/>
        </w:rPr>
      </w:pPr>
    </w:p>
    <w:p w14:paraId="7AA48335" w14:textId="77777777" w:rsidR="00B938F6" w:rsidRPr="00B938F6" w:rsidRDefault="00B938F6" w:rsidP="00B938F6">
      <w:pPr>
        <w:pStyle w:val="Prrafodelista"/>
        <w:rPr>
          <w:rFonts w:ascii="Verdana" w:hAnsi="Verdana"/>
          <w:sz w:val="20"/>
          <w:lang w:val="es-CR"/>
        </w:rPr>
      </w:pPr>
    </w:p>
    <w:p w14:paraId="5FA8CB17" w14:textId="77777777" w:rsidR="00B938F6" w:rsidRPr="00B938F6" w:rsidRDefault="00B938F6" w:rsidP="00B938F6">
      <w:pPr>
        <w:pStyle w:val="Prrafodelista"/>
        <w:rPr>
          <w:rFonts w:ascii="Verdana" w:hAnsi="Verdana"/>
          <w:sz w:val="20"/>
          <w:lang w:val="es-CR"/>
        </w:rPr>
      </w:pPr>
    </w:p>
    <w:p w14:paraId="69842D23" w14:textId="77777777" w:rsidR="00B938F6" w:rsidRPr="00B938F6" w:rsidRDefault="00B938F6" w:rsidP="00B938F6">
      <w:pPr>
        <w:pStyle w:val="Prrafodelista"/>
        <w:ind w:left="0"/>
        <w:jc w:val="right"/>
        <w:rPr>
          <w:rFonts w:ascii="Verdana" w:hAnsi="Verdana"/>
          <w:sz w:val="20"/>
        </w:rPr>
      </w:pPr>
      <w:r w:rsidRPr="00B938F6">
        <w:rPr>
          <w:rFonts w:ascii="Verdana" w:hAnsi="Verdana"/>
          <w:sz w:val="20"/>
          <w:lang w:val="es-CR"/>
        </w:rPr>
        <w:t>Elizabeth Odio Benito</w:t>
      </w:r>
    </w:p>
    <w:p w14:paraId="0EC47441" w14:textId="77777777" w:rsidR="00B938F6" w:rsidRPr="00B938F6" w:rsidRDefault="00B938F6" w:rsidP="00B938F6">
      <w:pPr>
        <w:pStyle w:val="Prrafodelista"/>
        <w:ind w:left="0" w:right="519"/>
        <w:jc w:val="right"/>
        <w:rPr>
          <w:rFonts w:ascii="Verdana" w:hAnsi="Verdana"/>
          <w:sz w:val="20"/>
        </w:rPr>
      </w:pPr>
      <w:r w:rsidRPr="00B938F6">
        <w:rPr>
          <w:rFonts w:ascii="Verdana" w:hAnsi="Verdana"/>
          <w:sz w:val="20"/>
        </w:rPr>
        <w:t>Presidenta</w:t>
      </w:r>
    </w:p>
    <w:p w14:paraId="21ACA19B" w14:textId="77777777" w:rsidR="00B938F6" w:rsidRPr="00B938F6" w:rsidRDefault="00B938F6" w:rsidP="00B938F6">
      <w:pPr>
        <w:pStyle w:val="Prrafodelista"/>
        <w:tabs>
          <w:tab w:val="left" w:pos="8460"/>
          <w:tab w:val="left" w:pos="8640"/>
        </w:tabs>
        <w:jc w:val="both"/>
        <w:rPr>
          <w:rFonts w:ascii="Verdana" w:hAnsi="Verdana"/>
          <w:sz w:val="20"/>
        </w:rPr>
      </w:pPr>
    </w:p>
    <w:p w14:paraId="76C06F6D" w14:textId="77777777" w:rsidR="00B938F6" w:rsidRPr="00B938F6" w:rsidRDefault="00B938F6" w:rsidP="00B938F6">
      <w:pPr>
        <w:pStyle w:val="Prrafodelista"/>
        <w:tabs>
          <w:tab w:val="left" w:pos="8460"/>
          <w:tab w:val="left" w:pos="8640"/>
        </w:tabs>
        <w:jc w:val="both"/>
        <w:rPr>
          <w:rFonts w:ascii="Verdana" w:hAnsi="Verdana"/>
          <w:sz w:val="20"/>
        </w:rPr>
      </w:pPr>
    </w:p>
    <w:p w14:paraId="4F7FAAAC" w14:textId="77777777" w:rsidR="00B938F6" w:rsidRPr="00B938F6" w:rsidRDefault="00B938F6" w:rsidP="00B938F6">
      <w:pPr>
        <w:pStyle w:val="Prrafodelista"/>
        <w:tabs>
          <w:tab w:val="left" w:pos="8460"/>
          <w:tab w:val="left" w:pos="8640"/>
        </w:tabs>
        <w:ind w:left="0"/>
        <w:jc w:val="both"/>
        <w:rPr>
          <w:rFonts w:ascii="Verdana" w:hAnsi="Verdana"/>
          <w:sz w:val="20"/>
        </w:rPr>
      </w:pPr>
      <w:r w:rsidRPr="00B938F6">
        <w:rPr>
          <w:rFonts w:ascii="Verdana" w:hAnsi="Verdana"/>
          <w:sz w:val="20"/>
        </w:rPr>
        <w:t>Pablo Saavedra Alessandri</w:t>
      </w:r>
    </w:p>
    <w:p w14:paraId="6FC36EE9" w14:textId="72082E01" w:rsidR="00B938F6" w:rsidRPr="00B938F6" w:rsidRDefault="00B938F6" w:rsidP="00B938F6">
      <w:pPr>
        <w:pStyle w:val="Prrafodelista"/>
        <w:jc w:val="both"/>
        <w:rPr>
          <w:rFonts w:ascii="Verdana" w:hAnsi="Verdana"/>
          <w:sz w:val="20"/>
        </w:rPr>
      </w:pPr>
      <w:r w:rsidRPr="00B938F6">
        <w:rPr>
          <w:rFonts w:ascii="Verdana" w:hAnsi="Verdana"/>
          <w:sz w:val="20"/>
        </w:rPr>
        <w:t>Secretario</w:t>
      </w:r>
    </w:p>
    <w:p w14:paraId="3782C619" w14:textId="77777777" w:rsidR="00B938F6" w:rsidRPr="00B938F6" w:rsidRDefault="00B938F6" w:rsidP="00B938F6">
      <w:pPr>
        <w:pStyle w:val="Prrafodelista"/>
        <w:tabs>
          <w:tab w:val="left" w:pos="8460"/>
          <w:tab w:val="left" w:pos="8640"/>
        </w:tabs>
        <w:jc w:val="both"/>
        <w:rPr>
          <w:rFonts w:ascii="Verdana" w:hAnsi="Verdana"/>
          <w:sz w:val="20"/>
        </w:rPr>
      </w:pPr>
    </w:p>
    <w:p w14:paraId="2EF684D3" w14:textId="77777777" w:rsidR="00B938F6" w:rsidRPr="00B938F6" w:rsidRDefault="00B938F6" w:rsidP="00B938F6">
      <w:pPr>
        <w:pStyle w:val="Prrafodelista"/>
        <w:tabs>
          <w:tab w:val="left" w:pos="8460"/>
          <w:tab w:val="left" w:pos="8640"/>
        </w:tabs>
        <w:jc w:val="both"/>
        <w:rPr>
          <w:rFonts w:ascii="Verdana" w:hAnsi="Verdana"/>
          <w:sz w:val="20"/>
        </w:rPr>
      </w:pPr>
    </w:p>
    <w:p w14:paraId="42526107" w14:textId="77777777" w:rsidR="00B938F6" w:rsidRPr="00B938F6" w:rsidRDefault="00B938F6" w:rsidP="00B938F6">
      <w:pPr>
        <w:pStyle w:val="Prrafodelista"/>
        <w:tabs>
          <w:tab w:val="left" w:pos="8640"/>
        </w:tabs>
        <w:rPr>
          <w:rFonts w:ascii="Verdana" w:hAnsi="Verdana"/>
          <w:sz w:val="20"/>
        </w:rPr>
      </w:pPr>
    </w:p>
    <w:p w14:paraId="6D61233B" w14:textId="77777777" w:rsidR="00B938F6" w:rsidRPr="00B938F6" w:rsidRDefault="00B938F6" w:rsidP="00B938F6">
      <w:pPr>
        <w:pStyle w:val="Prrafodelista"/>
        <w:tabs>
          <w:tab w:val="left" w:pos="8640"/>
        </w:tabs>
        <w:rPr>
          <w:rFonts w:ascii="Verdana" w:hAnsi="Verdana"/>
          <w:sz w:val="20"/>
        </w:rPr>
      </w:pPr>
    </w:p>
    <w:p w14:paraId="42917888" w14:textId="77777777" w:rsidR="00B938F6" w:rsidRPr="00B938F6" w:rsidRDefault="00B938F6" w:rsidP="00B938F6">
      <w:pPr>
        <w:pStyle w:val="Prrafodelista"/>
        <w:tabs>
          <w:tab w:val="left" w:pos="8640"/>
        </w:tabs>
        <w:rPr>
          <w:rFonts w:ascii="Verdana" w:hAnsi="Verdana"/>
          <w:sz w:val="20"/>
        </w:rPr>
      </w:pPr>
    </w:p>
    <w:p w14:paraId="61C9DB09" w14:textId="77777777" w:rsidR="00B938F6" w:rsidRPr="00B938F6" w:rsidRDefault="00B938F6" w:rsidP="00B938F6">
      <w:pPr>
        <w:pStyle w:val="Prrafodelista"/>
        <w:tabs>
          <w:tab w:val="left" w:pos="8640"/>
        </w:tabs>
        <w:rPr>
          <w:rFonts w:ascii="Verdana" w:hAnsi="Verdana"/>
          <w:sz w:val="20"/>
        </w:rPr>
      </w:pPr>
    </w:p>
    <w:p w14:paraId="2A16457C" w14:textId="77777777" w:rsidR="00B938F6" w:rsidRPr="00B938F6" w:rsidRDefault="00B938F6" w:rsidP="00B938F6">
      <w:pPr>
        <w:spacing w:before="120" w:after="120"/>
        <w:ind w:right="4"/>
        <w:jc w:val="both"/>
        <w:rPr>
          <w:rFonts w:ascii="Verdana" w:hAnsi="Verdana"/>
          <w:sz w:val="20"/>
          <w:szCs w:val="20"/>
        </w:rPr>
      </w:pPr>
    </w:p>
    <w:sectPr w:rsidR="00B938F6" w:rsidRPr="00B938F6" w:rsidSect="008C3B7F">
      <w:headerReference w:type="even" r:id="rId8"/>
      <w:headerReference w:type="default" r:id="rId9"/>
      <w:footerReference w:type="even" r:id="rId10"/>
      <w:footerReference w:type="default" r:id="rId11"/>
      <w:type w:val="continuous"/>
      <w:pgSz w:w="12240" w:h="15840" w:code="1"/>
      <w:pgMar w:top="1411" w:right="1699" w:bottom="1411"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95C68" w14:textId="77777777" w:rsidR="00800933" w:rsidRDefault="00800933">
      <w:r>
        <w:separator/>
      </w:r>
    </w:p>
    <w:p w14:paraId="19DAAFDD" w14:textId="77777777" w:rsidR="00800933" w:rsidRDefault="00800933"/>
    <w:p w14:paraId="75997FF5" w14:textId="77777777" w:rsidR="00800933" w:rsidRDefault="00800933" w:rsidP="00264315"/>
  </w:endnote>
  <w:endnote w:type="continuationSeparator" w:id="0">
    <w:p w14:paraId="44FDC75D" w14:textId="77777777" w:rsidR="00800933" w:rsidRDefault="00800933">
      <w:r>
        <w:continuationSeparator/>
      </w:r>
    </w:p>
    <w:p w14:paraId="56D624E2" w14:textId="77777777" w:rsidR="00800933" w:rsidRDefault="00800933"/>
    <w:p w14:paraId="7051D3BB" w14:textId="77777777" w:rsidR="00800933" w:rsidRDefault="00800933" w:rsidP="00264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Verdana-Italic">
    <w:altName w:val="Verdana"/>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3E388" w14:textId="77777777" w:rsidR="00A15E3C" w:rsidRDefault="00A15E3C" w:rsidP="005A4D7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5CC0A2" w14:textId="77777777" w:rsidR="00A15E3C" w:rsidRDefault="00A15E3C" w:rsidP="005A4D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84E38" w14:textId="77777777" w:rsidR="00A15E3C" w:rsidRDefault="00A15E3C" w:rsidP="005A4D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F0A7C" w14:textId="77777777" w:rsidR="00800933" w:rsidRDefault="00800933">
      <w:r>
        <w:separator/>
      </w:r>
    </w:p>
    <w:p w14:paraId="4641F53D" w14:textId="77777777" w:rsidR="00800933" w:rsidRDefault="00800933"/>
    <w:p w14:paraId="6B69F5DB" w14:textId="77777777" w:rsidR="00800933" w:rsidRDefault="00800933" w:rsidP="00264315"/>
  </w:footnote>
  <w:footnote w:type="continuationSeparator" w:id="0">
    <w:p w14:paraId="20C24D37" w14:textId="77777777" w:rsidR="00800933" w:rsidRDefault="00800933">
      <w:r>
        <w:continuationSeparator/>
      </w:r>
    </w:p>
    <w:p w14:paraId="5918FDDD" w14:textId="77777777" w:rsidR="00800933" w:rsidRDefault="00800933"/>
    <w:p w14:paraId="2ECFDAAF" w14:textId="77777777" w:rsidR="00800933" w:rsidRDefault="00800933" w:rsidP="00264315"/>
  </w:footnote>
  <w:footnote w:id="1">
    <w:p w14:paraId="5F3842BC" w14:textId="6AA31C69" w:rsidR="00A15E3C" w:rsidRDefault="00A15E3C" w:rsidP="00A86866">
      <w:pPr>
        <w:pStyle w:val="Textonotapie"/>
        <w:tabs>
          <w:tab w:val="left" w:pos="426"/>
          <w:tab w:val="left" w:pos="567"/>
        </w:tabs>
        <w:spacing w:before="20" w:after="20"/>
        <w:jc w:val="both"/>
        <w:rPr>
          <w:rFonts w:ascii="Verdana" w:hAnsi="Verdana"/>
          <w:sz w:val="16"/>
          <w:szCs w:val="16"/>
        </w:rPr>
      </w:pPr>
      <w:r w:rsidRPr="00B52790">
        <w:rPr>
          <w:rFonts w:ascii="Verdana" w:hAnsi="Verdana"/>
          <w:sz w:val="18"/>
          <w:szCs w:val="18"/>
        </w:rPr>
        <w:t>*</w:t>
      </w:r>
      <w:r w:rsidRPr="00B52790">
        <w:rPr>
          <w:rFonts w:ascii="Verdana" w:hAnsi="Verdana"/>
          <w:sz w:val="18"/>
          <w:szCs w:val="18"/>
        </w:rPr>
        <w:tab/>
      </w:r>
      <w:r w:rsidRPr="00BE6318">
        <w:rPr>
          <w:rFonts w:ascii="Verdana" w:hAnsi="Verdana"/>
          <w:sz w:val="16"/>
          <w:szCs w:val="16"/>
        </w:rPr>
        <w:t>Debido a las circunstancias excepcionales ocasionadas por la pandemia COVID-19, esta Resolución fue deliberada y aprobada durante el 138 Período Ordinario de Sesiones, el cual se llevó a cabo de forma no presencial utilizando medios tecnológicos de conformidad con lo establecido en el Reglamento de la Corte.</w:t>
      </w:r>
    </w:p>
    <w:p w14:paraId="0E85CB0E" w14:textId="6CABCDCD" w:rsidR="00546B72" w:rsidRPr="00BE6318" w:rsidRDefault="00546B72" w:rsidP="00A86866">
      <w:pPr>
        <w:pStyle w:val="Textonotapie"/>
        <w:tabs>
          <w:tab w:val="left" w:pos="426"/>
          <w:tab w:val="left" w:pos="567"/>
        </w:tabs>
        <w:spacing w:before="20" w:after="20"/>
        <w:jc w:val="both"/>
        <w:rPr>
          <w:rFonts w:ascii="Verdana" w:hAnsi="Verdana"/>
          <w:sz w:val="16"/>
          <w:szCs w:val="16"/>
        </w:rPr>
      </w:pPr>
      <w:r w:rsidRPr="00BE6318">
        <w:rPr>
          <w:rFonts w:ascii="Verdana" w:hAnsi="Verdana"/>
          <w:sz w:val="16"/>
          <w:szCs w:val="16"/>
        </w:rPr>
        <w:t>El Juez Humberto Sierra Porto, de nacionalidad colombiana, no participó en la deliberación y firma de la Sentencia del presente caso, ni en el conocimiento y deliberación de la presente Resolución, de conformidad con lo dispuesto en el artículo 19.1 del Reglamento de la Corte.</w:t>
      </w:r>
      <w:r w:rsidR="008D45E1">
        <w:rPr>
          <w:rFonts w:ascii="Verdana" w:hAnsi="Verdana"/>
          <w:sz w:val="16"/>
          <w:szCs w:val="16"/>
        </w:rPr>
        <w:t xml:space="preserve"> </w:t>
      </w:r>
      <w:r w:rsidR="008D45E1" w:rsidRPr="008D45E1">
        <w:rPr>
          <w:rFonts w:ascii="Verdana" w:hAnsi="Verdana"/>
          <w:sz w:val="16"/>
          <w:szCs w:val="16"/>
        </w:rPr>
        <w:t>El Juez Eduardo Vio Grossi no participó en la deliberación y firma de la presente Resolución, por razones de fuerza mayor</w:t>
      </w:r>
    </w:p>
    <w:p w14:paraId="0C6500F7" w14:textId="75E804A9" w:rsidR="00A15E3C" w:rsidRPr="00BE6318" w:rsidRDefault="00A15E3C">
      <w:pPr>
        <w:pStyle w:val="Textonotapie"/>
        <w:tabs>
          <w:tab w:val="left" w:pos="426"/>
          <w:tab w:val="left" w:pos="567"/>
        </w:tabs>
        <w:spacing w:before="20" w:after="20"/>
        <w:jc w:val="both"/>
        <w:rPr>
          <w:rFonts w:ascii="Verdana" w:hAnsi="Verdana"/>
          <w:b/>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w:t>
      </w:r>
      <w:r w:rsidRPr="00BE6318">
        <w:rPr>
          <w:rStyle w:val="Textoennegrita"/>
          <w:rFonts w:ascii="Verdana" w:hAnsi="Verdana"/>
          <w:b w:val="0"/>
          <w:i/>
          <w:sz w:val="16"/>
          <w:szCs w:val="16"/>
          <w:shd w:val="clear" w:color="auto" w:fill="FFFFFF"/>
        </w:rPr>
        <w:t xml:space="preserve">Caso de la Masacre de Pueblo Bello Vs. Colombia. </w:t>
      </w:r>
      <w:r w:rsidRPr="00BE6318">
        <w:rPr>
          <w:rStyle w:val="Textoennegrita"/>
          <w:rFonts w:ascii="Verdana" w:hAnsi="Verdana"/>
          <w:b w:val="0"/>
          <w:sz w:val="16"/>
          <w:szCs w:val="16"/>
          <w:shd w:val="clear" w:color="auto" w:fill="FFFFFF"/>
        </w:rPr>
        <w:t>Sentencia de 31 de enero de 2006. Serie C No. 140</w:t>
      </w:r>
      <w:r w:rsidRPr="00BE6318">
        <w:rPr>
          <w:rFonts w:ascii="Verdana" w:hAnsi="Verdana"/>
          <w:sz w:val="16"/>
          <w:szCs w:val="16"/>
        </w:rPr>
        <w:t>. Disponible en:</w:t>
      </w:r>
      <w:r w:rsidR="00BE6318">
        <w:rPr>
          <w:rFonts w:ascii="Verdana" w:hAnsi="Verdana"/>
          <w:sz w:val="16"/>
          <w:szCs w:val="16"/>
        </w:rPr>
        <w:t xml:space="preserve"> </w:t>
      </w:r>
      <w:hyperlink r:id="rId1" w:history="1">
        <w:r w:rsidRPr="00BE6318">
          <w:rPr>
            <w:rStyle w:val="Hipervnculo"/>
            <w:rFonts w:ascii="Verdana" w:hAnsi="Verdana"/>
            <w:sz w:val="16"/>
            <w:szCs w:val="16"/>
          </w:rPr>
          <w:t>http://www.corteidh.or.cr/docs/casos/articulos/seriec_140_esp.pdf</w:t>
        </w:r>
      </w:hyperlink>
      <w:r w:rsidRPr="00BE6318">
        <w:rPr>
          <w:rFonts w:ascii="Verdana" w:hAnsi="Verdana"/>
          <w:sz w:val="16"/>
          <w:szCs w:val="16"/>
        </w:rPr>
        <w:t>. La Sentencia fue notificada el 27 de febrero de 2006.</w:t>
      </w:r>
    </w:p>
  </w:footnote>
  <w:footnote w:id="2">
    <w:p w14:paraId="682077E9" w14:textId="05137006" w:rsidR="00A15E3C" w:rsidRPr="00BE6318" w:rsidRDefault="00A15E3C">
      <w:pPr>
        <w:pStyle w:val="Textonotapie"/>
        <w:tabs>
          <w:tab w:val="left" w:pos="426"/>
          <w:tab w:val="left" w:pos="567"/>
        </w:tabs>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Manuel de Jesús Montes Martínez, Andrés Manuel Flórez Altamiranda, Juan Bautista Meza Salgado, Ariel </w:t>
      </w:r>
      <w:proofErr w:type="spellStart"/>
      <w:r w:rsidRPr="00BE6318">
        <w:rPr>
          <w:rFonts w:ascii="Verdana" w:hAnsi="Verdana"/>
          <w:sz w:val="16"/>
          <w:szCs w:val="16"/>
        </w:rPr>
        <w:t>Dullis</w:t>
      </w:r>
      <w:proofErr w:type="spellEnd"/>
      <w:r w:rsidRPr="00BE6318">
        <w:rPr>
          <w:rFonts w:ascii="Verdana" w:hAnsi="Verdana"/>
          <w:sz w:val="16"/>
          <w:szCs w:val="16"/>
        </w:rPr>
        <w:t xml:space="preserve"> Díaz Delgado, Jorge Fermín Calle Hernández, Santiago Manuel González López, Raúl Antonio Pérez Martínez, Juan Miguel Cruz, </w:t>
      </w:r>
      <w:proofErr w:type="spellStart"/>
      <w:r w:rsidRPr="00BE6318">
        <w:rPr>
          <w:rFonts w:ascii="Verdana" w:hAnsi="Verdana"/>
          <w:sz w:val="16"/>
          <w:szCs w:val="16"/>
        </w:rPr>
        <w:t>Genor</w:t>
      </w:r>
      <w:proofErr w:type="spellEnd"/>
      <w:r w:rsidRPr="00BE6318">
        <w:rPr>
          <w:rFonts w:ascii="Verdana" w:hAnsi="Verdana"/>
          <w:sz w:val="16"/>
          <w:szCs w:val="16"/>
        </w:rPr>
        <w:t xml:space="preserve"> José Arrieta Lora, </w:t>
      </w:r>
      <w:proofErr w:type="spellStart"/>
      <w:r w:rsidRPr="00BE6318">
        <w:rPr>
          <w:rFonts w:ascii="Verdana" w:hAnsi="Verdana"/>
          <w:sz w:val="16"/>
          <w:szCs w:val="16"/>
        </w:rPr>
        <w:t>Célimo</w:t>
      </w:r>
      <w:proofErr w:type="spellEnd"/>
      <w:r w:rsidRPr="00BE6318">
        <w:rPr>
          <w:rFonts w:ascii="Verdana" w:hAnsi="Verdana"/>
          <w:sz w:val="16"/>
          <w:szCs w:val="16"/>
        </w:rPr>
        <w:t xml:space="preserve"> Arcadio Hurtado, José Manuel Petro Hernández, Cristóbal Manuel Arroyo Blanco, Luis Miguel Salgado Berrío, Ángel Benito Jiménez Julio, Benito José Pérez Pedroza, Pedro Antonio Mercado Montes, Carmelo Manuel Guerra Pestana, César Augusto Espinoza Pulgarín, Miguel Ángel López Cuadro, Miguel Ángel Gutiérrez Arrieta, </w:t>
      </w:r>
      <w:proofErr w:type="spellStart"/>
      <w:r w:rsidRPr="00BE6318">
        <w:rPr>
          <w:rFonts w:ascii="Verdana" w:hAnsi="Verdana"/>
          <w:sz w:val="16"/>
          <w:szCs w:val="16"/>
        </w:rPr>
        <w:t>Diómedes</w:t>
      </w:r>
      <w:proofErr w:type="spellEnd"/>
      <w:r w:rsidRPr="00BE6318">
        <w:rPr>
          <w:rFonts w:ascii="Verdana" w:hAnsi="Verdana"/>
          <w:sz w:val="16"/>
          <w:szCs w:val="16"/>
        </w:rPr>
        <w:t xml:space="preserve"> Barrera Orozco, José Encarnación Barrera Orozco, Urías Barrera Orozco, José del Carmen Álvarez Blanco, Camilo Antonio Durango Moreno, Carlos Antonio Melo Uribe, Mario Melo Palacio, Víctor Argel Hernández, Fermín </w:t>
      </w:r>
      <w:proofErr w:type="spellStart"/>
      <w:r w:rsidRPr="00BE6318">
        <w:rPr>
          <w:rFonts w:ascii="Verdana" w:hAnsi="Verdana"/>
          <w:sz w:val="16"/>
          <w:szCs w:val="16"/>
        </w:rPr>
        <w:t>Agresott</w:t>
      </w:r>
      <w:proofErr w:type="spellEnd"/>
      <w:r w:rsidRPr="00BE6318">
        <w:rPr>
          <w:rFonts w:ascii="Verdana" w:hAnsi="Verdana"/>
          <w:sz w:val="16"/>
          <w:szCs w:val="16"/>
        </w:rPr>
        <w:t xml:space="preserve"> Romero, Jesús Humberto Barbosa Vega, Benito Genaro Calderón Ramos, Jorge Arturo Castro Galindo, Wilson </w:t>
      </w:r>
      <w:proofErr w:type="spellStart"/>
      <w:r w:rsidRPr="00BE6318">
        <w:rPr>
          <w:rFonts w:ascii="Verdana" w:hAnsi="Verdana"/>
          <w:sz w:val="16"/>
          <w:szCs w:val="16"/>
        </w:rPr>
        <w:t>Uberto</w:t>
      </w:r>
      <w:proofErr w:type="spellEnd"/>
      <w:r w:rsidRPr="00BE6318">
        <w:rPr>
          <w:rFonts w:ascii="Verdana" w:hAnsi="Verdana"/>
          <w:sz w:val="16"/>
          <w:szCs w:val="16"/>
        </w:rPr>
        <w:t xml:space="preserve"> Fuentes </w:t>
      </w:r>
      <w:proofErr w:type="spellStart"/>
      <w:r w:rsidRPr="00BE6318">
        <w:rPr>
          <w:rFonts w:ascii="Verdana" w:hAnsi="Verdana"/>
          <w:sz w:val="16"/>
          <w:szCs w:val="16"/>
        </w:rPr>
        <w:t>Marimón</w:t>
      </w:r>
      <w:proofErr w:type="spellEnd"/>
      <w:r w:rsidRPr="00BE6318">
        <w:rPr>
          <w:rFonts w:ascii="Verdana" w:hAnsi="Verdana"/>
          <w:sz w:val="16"/>
          <w:szCs w:val="16"/>
        </w:rPr>
        <w:t>, Miguel Antonio Pérez Ramos, Elides Manuel Ricardo Pérez, Luis Carlos Ricardo Pérez y Lucio Miguel Urzola Sotelo.</w:t>
      </w:r>
    </w:p>
  </w:footnote>
  <w:footnote w:id="3">
    <w:p w14:paraId="1100F841" w14:textId="72FF616E" w:rsidR="00A15E3C" w:rsidRPr="00BE6318" w:rsidRDefault="00A15E3C">
      <w:pPr>
        <w:pStyle w:val="Textonotapie"/>
        <w:tabs>
          <w:tab w:val="left" w:pos="426"/>
          <w:tab w:val="left" w:pos="567"/>
        </w:tabs>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Juan Luis Escobar Duarte, José Leonel Escobar Duarte, Andrés Manuel </w:t>
      </w:r>
      <w:proofErr w:type="spellStart"/>
      <w:r w:rsidRPr="00BE6318">
        <w:rPr>
          <w:rFonts w:ascii="Verdana" w:hAnsi="Verdana"/>
          <w:sz w:val="16"/>
          <w:szCs w:val="16"/>
        </w:rPr>
        <w:t>Peroza</w:t>
      </w:r>
      <w:proofErr w:type="spellEnd"/>
      <w:r w:rsidRPr="00BE6318">
        <w:rPr>
          <w:rFonts w:ascii="Verdana" w:hAnsi="Verdana"/>
          <w:sz w:val="16"/>
          <w:szCs w:val="16"/>
        </w:rPr>
        <w:t xml:space="preserve"> Jiménez, Jorge David Martínez Moreno, Ricardo Bohórquez Pastrana y Ovidio Carmona Suárez.</w:t>
      </w:r>
    </w:p>
  </w:footnote>
  <w:footnote w:id="4">
    <w:p w14:paraId="38CB78EE" w14:textId="4AB26CD4"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w:t>
      </w:r>
      <w:r w:rsidRPr="00BE6318">
        <w:rPr>
          <w:rStyle w:val="Textoennegrita"/>
          <w:rFonts w:ascii="Verdana" w:hAnsi="Verdana"/>
          <w:b w:val="0"/>
          <w:i/>
          <w:sz w:val="16"/>
          <w:szCs w:val="16"/>
          <w:shd w:val="clear" w:color="auto" w:fill="FFFFFF"/>
        </w:rPr>
        <w:t xml:space="preserve">Caso de la Masacre de Pueblo Bello Vs. Colombia. </w:t>
      </w:r>
      <w:r w:rsidRPr="00BE6318">
        <w:rPr>
          <w:rStyle w:val="Textoennegrita"/>
          <w:rFonts w:ascii="Verdana" w:hAnsi="Verdana"/>
          <w:b w:val="0"/>
          <w:sz w:val="16"/>
          <w:szCs w:val="16"/>
          <w:shd w:val="clear" w:color="auto" w:fill="FFFFFF"/>
        </w:rPr>
        <w:t>Sentencia de 31 de enero de 2006. Serie C No. 140</w:t>
      </w:r>
      <w:r w:rsidRPr="00BE6318">
        <w:rPr>
          <w:rFonts w:ascii="Verdana" w:hAnsi="Verdana"/>
          <w:sz w:val="16"/>
          <w:szCs w:val="16"/>
        </w:rPr>
        <w:t>, párr. 140.</w:t>
      </w:r>
    </w:p>
  </w:footnote>
  <w:footnote w:id="5">
    <w:p w14:paraId="17D31963" w14:textId="13E8F253"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proofErr w:type="spellStart"/>
      <w:r w:rsidRPr="00BE6318">
        <w:rPr>
          <w:rFonts w:ascii="Verdana" w:hAnsi="Verdana"/>
          <w:i/>
          <w:sz w:val="16"/>
          <w:szCs w:val="16"/>
        </w:rPr>
        <w:t>Idem</w:t>
      </w:r>
      <w:proofErr w:type="spellEnd"/>
      <w:r w:rsidRPr="00BE6318">
        <w:rPr>
          <w:rFonts w:ascii="Verdana" w:hAnsi="Verdana"/>
          <w:sz w:val="16"/>
          <w:szCs w:val="16"/>
        </w:rPr>
        <w:t>.</w:t>
      </w:r>
    </w:p>
  </w:footnote>
  <w:footnote w:id="6">
    <w:p w14:paraId="19E2AEF7" w14:textId="77777777"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w:t>
      </w:r>
      <w:r w:rsidRPr="00BE6318">
        <w:rPr>
          <w:rStyle w:val="Textoennegrita"/>
          <w:rFonts w:ascii="Verdana" w:hAnsi="Verdana"/>
          <w:b w:val="0"/>
          <w:i/>
          <w:sz w:val="16"/>
          <w:szCs w:val="16"/>
          <w:shd w:val="clear" w:color="auto" w:fill="FFFFFF"/>
        </w:rPr>
        <w:t xml:space="preserve">Caso de la Masacre de Pueblo Bello Vs. Colombia. Interpretación de la Sentencia de Fondo, Reparaciones y Costas. </w:t>
      </w:r>
      <w:r w:rsidRPr="00BE6318">
        <w:rPr>
          <w:rStyle w:val="Textoennegrita"/>
          <w:rFonts w:ascii="Verdana" w:hAnsi="Verdana"/>
          <w:b w:val="0"/>
          <w:sz w:val="16"/>
          <w:szCs w:val="16"/>
          <w:shd w:val="clear" w:color="auto" w:fill="FFFFFF"/>
        </w:rPr>
        <w:t>Sentencia de 25 de noviembre de 2006. Serie C No. 159</w:t>
      </w:r>
      <w:r w:rsidRPr="00BE6318">
        <w:rPr>
          <w:rFonts w:ascii="Verdana" w:hAnsi="Verdana"/>
          <w:sz w:val="16"/>
          <w:szCs w:val="16"/>
        </w:rPr>
        <w:t xml:space="preserve">. Disponible en: </w:t>
      </w:r>
      <w:hyperlink r:id="rId2" w:history="1">
        <w:r w:rsidRPr="00BE6318">
          <w:rPr>
            <w:rStyle w:val="Hipervnculo"/>
            <w:rFonts w:ascii="Verdana" w:hAnsi="Verdana"/>
            <w:sz w:val="16"/>
            <w:szCs w:val="16"/>
          </w:rPr>
          <w:t>http://www.corteidh.or.cr/docs/casos/articulos/seriec_159_esp.pdf</w:t>
        </w:r>
      </w:hyperlink>
      <w:r w:rsidRPr="00BE6318">
        <w:rPr>
          <w:rFonts w:ascii="Verdana" w:hAnsi="Verdana"/>
          <w:sz w:val="16"/>
          <w:szCs w:val="16"/>
        </w:rPr>
        <w:t>. La Sentencia de interpretación fue notificada el</w:t>
      </w:r>
      <w:r w:rsidRPr="00BE6318">
        <w:rPr>
          <w:rFonts w:ascii="Verdana" w:hAnsi="Verdana"/>
          <w:sz w:val="16"/>
          <w:szCs w:val="16"/>
          <w:lang w:val="es-ES_tradnl"/>
        </w:rPr>
        <w:t xml:space="preserve"> 11 de diciembre de 2006</w:t>
      </w:r>
      <w:r w:rsidRPr="00BE6318">
        <w:rPr>
          <w:rFonts w:ascii="Verdana" w:hAnsi="Verdana"/>
          <w:sz w:val="16"/>
          <w:szCs w:val="16"/>
        </w:rPr>
        <w:t>.</w:t>
      </w:r>
    </w:p>
  </w:footnote>
  <w:footnote w:id="7">
    <w:p w14:paraId="285F0C27" w14:textId="5C060D15"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w:t>
      </w:r>
      <w:r w:rsidRPr="00BE6318">
        <w:rPr>
          <w:rFonts w:ascii="Verdana" w:hAnsi="Verdana"/>
          <w:i/>
          <w:sz w:val="16"/>
          <w:szCs w:val="16"/>
        </w:rPr>
        <w:t>Caso de la Masacre de Pueblo Bello Vs. Colombia. Supervisión de Cumplimiento de Sentencia.</w:t>
      </w:r>
      <w:r w:rsidRPr="00BE6318">
        <w:rPr>
          <w:rFonts w:ascii="Verdana" w:hAnsi="Verdana"/>
          <w:sz w:val="16"/>
          <w:szCs w:val="16"/>
        </w:rPr>
        <w:t xml:space="preserve"> Resolución de la Corte Interamericana de Derechos Humanos de 9 de julio de 2009. Disponible en: </w:t>
      </w:r>
      <w:hyperlink r:id="rId3" w:history="1">
        <w:r w:rsidRPr="00BE6318">
          <w:rPr>
            <w:rStyle w:val="Hipervnculo"/>
            <w:rFonts w:ascii="Verdana" w:hAnsi="Verdana"/>
            <w:sz w:val="16"/>
            <w:szCs w:val="16"/>
          </w:rPr>
          <w:t>https://www.corteidh.or.cr/docs/supervisiones/bello_09_07_09.pdf</w:t>
        </w:r>
      </w:hyperlink>
      <w:r w:rsidR="000629E2">
        <w:rPr>
          <w:rStyle w:val="Hipervnculo"/>
          <w:rFonts w:ascii="Verdana" w:hAnsi="Verdana"/>
          <w:color w:val="auto"/>
          <w:sz w:val="16"/>
          <w:szCs w:val="16"/>
        </w:rPr>
        <w:t xml:space="preserve"> </w:t>
      </w:r>
      <w:r w:rsidRPr="00BE6318">
        <w:rPr>
          <w:rFonts w:ascii="Verdana" w:hAnsi="Verdana"/>
          <w:sz w:val="16"/>
          <w:szCs w:val="16"/>
        </w:rPr>
        <w:t xml:space="preserve"> </w:t>
      </w:r>
    </w:p>
  </w:footnote>
  <w:footnote w:id="8">
    <w:p w14:paraId="61620683" w14:textId="77777777"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w:t>
      </w:r>
      <w:r w:rsidRPr="00BE6318">
        <w:rPr>
          <w:rFonts w:ascii="Verdana" w:hAnsi="Verdana"/>
          <w:i/>
          <w:sz w:val="16"/>
          <w:szCs w:val="16"/>
        </w:rPr>
        <w:t>Casos de la Masacre de Pueblo Bello, Caso de las Masacres de Ituango y Caso Valle Jaramillo y otros Vs. Colombia. Solicitud de Medidas Provisionales y Supervisión Cumplimiento de Sentencia.</w:t>
      </w:r>
      <w:r w:rsidRPr="00BE6318">
        <w:rPr>
          <w:rFonts w:ascii="Verdana" w:hAnsi="Verdana"/>
          <w:sz w:val="16"/>
          <w:szCs w:val="16"/>
        </w:rPr>
        <w:t xml:space="preserve"> Resolución de la Corte Interamericana de Derechos Humanos de 3 de septiembre de 2020. Disponible en: </w:t>
      </w:r>
      <w:hyperlink r:id="rId4" w:history="1">
        <w:r w:rsidRPr="00BE6318">
          <w:rPr>
            <w:rStyle w:val="Hipervnculo"/>
            <w:rFonts w:ascii="Verdana" w:hAnsi="Verdana"/>
            <w:sz w:val="16"/>
            <w:szCs w:val="16"/>
          </w:rPr>
          <w:t>http://www.corteidh.or.cr/docs/supervisiones/pueblo_bello_ituango_valle_jaramillo_y_otros_03_09_2020.pdf</w:t>
        </w:r>
      </w:hyperlink>
      <w:r w:rsidRPr="00BE6318">
        <w:rPr>
          <w:rFonts w:ascii="Verdana" w:hAnsi="Verdana"/>
          <w:sz w:val="16"/>
          <w:szCs w:val="16"/>
        </w:rPr>
        <w:t xml:space="preserve"> </w:t>
      </w:r>
    </w:p>
  </w:footnote>
  <w:footnote w:id="9">
    <w:p w14:paraId="08A0C156" w14:textId="77777777"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En dicha fecha se celebraron dos audiencias privadas de supervisión de cumplimiento, una relativa a la “supervisión de cumplimiento de las medidas de reparación sobre atención médica y psicológica ordenadas en nueve casos colombianos” y otra relativa a las medidas de reparación restantes.</w:t>
      </w:r>
    </w:p>
  </w:footnote>
  <w:footnote w:id="10">
    <w:p w14:paraId="1A25A961" w14:textId="77777777"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En dicha fecha se celebraron dos audiencias privadas de supervisión de cumplimiento, una relativa a la “supervisión de cumplimiento de las medidas de reparación sobre atención médica y psicológica ordenadas en nueve casos colombianos” y otra relativa a la “supervisión de cumplimiento de la medida de reparación sobre búsqueda de paradero o identificación de restos ordenada en seis casos colombianos”.</w:t>
      </w:r>
    </w:p>
  </w:footnote>
  <w:footnote w:id="11">
    <w:p w14:paraId="31DFBD5D" w14:textId="77777777" w:rsidR="00A15E3C" w:rsidRPr="00BE6318" w:rsidRDefault="00A15E3C">
      <w:pPr>
        <w:pStyle w:val="Textonotapie"/>
        <w:tabs>
          <w:tab w:val="left" w:pos="426"/>
        </w:tabs>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sz w:val="16"/>
          <w:szCs w:val="16"/>
        </w:rPr>
        <w:tab/>
        <w:t xml:space="preserve">Comisión Colombiana de Juristas (CCJ) y Centro por la Justicia y el Derecho Internacional (CEJIL). </w:t>
      </w:r>
    </w:p>
  </w:footnote>
  <w:footnote w:id="12">
    <w:p w14:paraId="6F706B6E" w14:textId="77777777" w:rsidR="00A15E3C" w:rsidRPr="00BE6318" w:rsidRDefault="00A15E3C">
      <w:pPr>
        <w:pStyle w:val="Textonotapie"/>
        <w:spacing w:before="20" w:after="20"/>
        <w:jc w:val="both"/>
        <w:rPr>
          <w:rFonts w:ascii="Verdana" w:hAnsi="Verdana"/>
          <w:sz w:val="16"/>
          <w:szCs w:val="16"/>
          <w:lang w:val="es-CR"/>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13">
    <w:p w14:paraId="6D19A2D4" w14:textId="04B30D12"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(i) Realizar </w:t>
      </w:r>
      <w:r w:rsidRPr="00BE6318">
        <w:rPr>
          <w:rFonts w:ascii="Verdana" w:hAnsi="Verdana" w:cs="Verdana"/>
          <w:sz w:val="16"/>
          <w:szCs w:val="16"/>
          <w:lang w:val="es-ES_tradnl"/>
        </w:rPr>
        <w:t>un acto de disculpa pública y reconocimiento de responsabilidad internacional (punto resolutivo decimotercero de la Sentencia) y (ii) publicar determinadas partes de la Sentencia en el Diario Oficial y en otro diario de circulación nacional (punto resolutivo decimoquinto de la Sentencia).</w:t>
      </w:r>
    </w:p>
  </w:footnote>
  <w:footnote w:id="14">
    <w:p w14:paraId="2997FC62" w14:textId="44DEA76F"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Pagar las cantidades fijadas por concepto de indemnizaciones de daños material e inmaterial (puntos resolutivos décimo sexto y décimo séptimo de la Sentencia). </w:t>
      </w:r>
    </w:p>
  </w:footnote>
  <w:footnote w:id="15">
    <w:p w14:paraId="03B3B5A5" w14:textId="3F9C91AA"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(i) R</w:t>
      </w:r>
      <w:proofErr w:type="spellStart"/>
      <w:r w:rsidRPr="00BE6318">
        <w:rPr>
          <w:rFonts w:ascii="Verdana" w:hAnsi="Verdana" w:cs="Verdana"/>
          <w:sz w:val="16"/>
          <w:szCs w:val="16"/>
          <w:lang w:val="es-ES_tradnl"/>
        </w:rPr>
        <w:t>ealizar</w:t>
      </w:r>
      <w:proofErr w:type="spellEnd"/>
      <w:r w:rsidRPr="00BE6318">
        <w:rPr>
          <w:rFonts w:ascii="Verdana" w:hAnsi="Verdana" w:cs="Verdana"/>
          <w:sz w:val="16"/>
          <w:szCs w:val="16"/>
          <w:lang w:val="es-ES_tradnl"/>
        </w:rPr>
        <w:t xml:space="preserve"> inmediatamente las debidas diligencias para activar y completar eficazmente, en un plazo </w:t>
      </w:r>
      <w:r w:rsidRPr="00BE6318">
        <w:rPr>
          <w:rFonts w:ascii="Verdana" w:hAnsi="Verdana"/>
          <w:sz w:val="16"/>
          <w:szCs w:val="16"/>
        </w:rPr>
        <w:t>razonable</w:t>
      </w:r>
      <w:r w:rsidRPr="00BE6318">
        <w:rPr>
          <w:rFonts w:ascii="Verdana" w:hAnsi="Verdana" w:cs="Verdana"/>
          <w:sz w:val="16"/>
          <w:szCs w:val="16"/>
          <w:lang w:val="es-ES_tradnl"/>
        </w:rPr>
        <w:t>, la investigación para determinar la responsabilidad de todos los partícipes en la masacre, así como la de quienes hubiesen sido responsables por acción o por omisión del incumplimiento de la obligación estatal de garantizar los derechos violados, y adoptar las medidas pertinentes para que las violaciones a los derechos humanos cometidas sean efectivamente investigadas en procesos en los que se otorguen todas las garantías judiciales, con el fin de evitar la repetición de hechos tan graves como los que ocurrieron en la masacre de Pueblo Bello; (ii) adoptar inmediatamente las medidas pertinentes para buscar e identificar a las víctimas desaparecidas, así como para entregar los restos mortales a sus familiares y cubrir los gastos de entierro de aquéllos, en un plazo razonable, garantizando que las entidades oficiales correspondientes hagan uso de dichas normas internacionales como parte de su instrumental para efectos de la búsqueda e identificación de personas desaparecidas o privadas de la vida; (iii) proveer un tratamiento médico o psicológico, según sea el caso, a todos los familiares de las 37 personas desaparecidas y de las seis privadas de la vida que lo requieran, a partir de la notificación de la presente Sentencia a quienes ya están identificados, y a partir del momento en que realice su identificación en el caso de quienes no lo están actualmente, y por el tiempo que sea necesario; (iv)</w:t>
      </w:r>
      <w:r w:rsidR="000629E2">
        <w:rPr>
          <w:rFonts w:ascii="Verdana" w:hAnsi="Verdana" w:cs="Verdana"/>
          <w:sz w:val="16"/>
          <w:szCs w:val="16"/>
          <w:lang w:val="es-ES_tradnl"/>
        </w:rPr>
        <w:t xml:space="preserve"> </w:t>
      </w:r>
      <w:r w:rsidRPr="00BE6318">
        <w:rPr>
          <w:rFonts w:ascii="Verdana" w:hAnsi="Verdana" w:cs="Verdana"/>
          <w:sz w:val="16"/>
          <w:szCs w:val="16"/>
          <w:lang w:val="es-ES_tradnl"/>
        </w:rPr>
        <w:t>realizar las acciones necesarias para garantizar las condiciones de seguridad para que los familiares de las personas desaparecidas y privadas de la vida, así como otros ex pobladores de Pueblo Bello, que se hayan visto desplazados, puedan regresar a tal localidad, en caso que así lo deseen; (v) construir, en el plazo de un año, contado a partir de la notificación de la Sentencia, un monumento apropiado y digno para recordar los hechos de la masacre de Pueblo Bello; (vi) pagar las cantidades fijadas por concepto de daño material e inmaterial, y (vii) pagar las cantidades fijadas por concepto de costas.</w:t>
      </w:r>
    </w:p>
  </w:footnote>
  <w:footnote w:id="16">
    <w:p w14:paraId="46D64236" w14:textId="0EC9AED0" w:rsidR="00A15E3C" w:rsidRPr="00BE6318" w:rsidRDefault="00A15E3C">
      <w:pPr>
        <w:pStyle w:val="Textonotapie"/>
        <w:spacing w:before="20" w:after="20"/>
        <w:jc w:val="both"/>
        <w:rPr>
          <w:rFonts w:ascii="Verdana" w:hAnsi="Verdana"/>
          <w:b/>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Caso Cinco Pensionistas Vs. Perú. </w:t>
      </w:r>
      <w:r w:rsidRPr="00BE6318">
        <w:rPr>
          <w:rFonts w:ascii="Verdana" w:hAnsi="Verdana"/>
          <w:sz w:val="16"/>
          <w:szCs w:val="16"/>
        </w:rPr>
        <w:t>Resolución de la Corte Interamericana de Derechos Humanos de 17 de noviembre de 2004, Considerando 5</w:t>
      </w:r>
      <w:r w:rsidRPr="004833B2">
        <w:rPr>
          <w:rFonts w:ascii="Verdana" w:hAnsi="Verdana"/>
          <w:color w:val="000000" w:themeColor="text1"/>
          <w:sz w:val="16"/>
          <w:szCs w:val="16"/>
        </w:rPr>
        <w:t xml:space="preserve">, y </w:t>
      </w:r>
      <w:r w:rsidRPr="004833B2">
        <w:rPr>
          <w:rFonts w:ascii="Verdana" w:hAnsi="Verdana" w:cs="Arial"/>
          <w:i/>
          <w:color w:val="000000" w:themeColor="text1"/>
          <w:sz w:val="16"/>
          <w:szCs w:val="16"/>
          <w:shd w:val="clear" w:color="auto" w:fill="FFFFFF"/>
        </w:rPr>
        <w:t>Caso Colindres Schonenberg Vs. El Salvador. Supervisión de Cumplimiento de Sentencia</w:t>
      </w:r>
      <w:r w:rsidRPr="004833B2">
        <w:rPr>
          <w:rFonts w:ascii="Verdana" w:hAnsi="Verdana" w:cs="Arial"/>
          <w:color w:val="000000" w:themeColor="text1"/>
          <w:sz w:val="16"/>
          <w:szCs w:val="16"/>
          <w:shd w:val="clear" w:color="auto" w:fill="FFFFFF"/>
        </w:rPr>
        <w:t>. Resolución de la Corte Interamericana de Derechos Humanos de 18 de noviembre de 2020, Considerando 2.</w:t>
      </w:r>
    </w:p>
  </w:footnote>
  <w:footnote w:id="17">
    <w:p w14:paraId="24B6F726" w14:textId="14587328"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Caso </w:t>
      </w:r>
      <w:proofErr w:type="spellStart"/>
      <w:r w:rsidRPr="00BE6318">
        <w:rPr>
          <w:rFonts w:ascii="Verdana" w:hAnsi="Verdana"/>
          <w:i/>
          <w:sz w:val="16"/>
          <w:szCs w:val="16"/>
        </w:rPr>
        <w:t>Ivcher</w:t>
      </w:r>
      <w:proofErr w:type="spellEnd"/>
      <w:r w:rsidRPr="00BE6318">
        <w:rPr>
          <w:rFonts w:ascii="Verdana" w:hAnsi="Verdana"/>
          <w:i/>
          <w:sz w:val="16"/>
          <w:szCs w:val="16"/>
        </w:rPr>
        <w:t xml:space="preserve"> </w:t>
      </w:r>
      <w:proofErr w:type="spellStart"/>
      <w:r w:rsidRPr="00BE6318">
        <w:rPr>
          <w:rFonts w:ascii="Verdana" w:hAnsi="Verdana"/>
          <w:i/>
          <w:sz w:val="16"/>
          <w:szCs w:val="16"/>
        </w:rPr>
        <w:t>Bronstein</w:t>
      </w:r>
      <w:proofErr w:type="spellEnd"/>
      <w:r w:rsidRPr="00BE6318">
        <w:rPr>
          <w:rFonts w:ascii="Verdana" w:hAnsi="Verdana"/>
          <w:i/>
          <w:sz w:val="16"/>
          <w:szCs w:val="16"/>
        </w:rPr>
        <w:t xml:space="preserve"> Vs. Perú. Co</w:t>
      </w:r>
      <w:r w:rsidRPr="004833B2">
        <w:rPr>
          <w:rFonts w:ascii="Verdana" w:hAnsi="Verdana"/>
          <w:i/>
          <w:color w:val="000000" w:themeColor="text1"/>
          <w:sz w:val="16"/>
          <w:szCs w:val="16"/>
        </w:rPr>
        <w:t>mpetencia.</w:t>
      </w:r>
      <w:r w:rsidRPr="004833B2">
        <w:rPr>
          <w:rFonts w:ascii="Verdana" w:hAnsi="Verdana"/>
          <w:color w:val="000000" w:themeColor="text1"/>
          <w:sz w:val="16"/>
          <w:szCs w:val="16"/>
        </w:rPr>
        <w:t xml:space="preserve"> Sentencia de la Corte Interamericana de Derechos Humanos de 24 de septiembre de 1999. Serie C No. 54, párr. 37, y </w:t>
      </w:r>
      <w:r w:rsidRPr="004833B2">
        <w:rPr>
          <w:rFonts w:ascii="Verdana" w:hAnsi="Verdana" w:cs="Arial"/>
          <w:i/>
          <w:color w:val="000000" w:themeColor="text1"/>
          <w:sz w:val="16"/>
          <w:szCs w:val="16"/>
          <w:shd w:val="clear" w:color="auto" w:fill="FFFFFF"/>
        </w:rPr>
        <w:t>Caso Colindres Schonenberg Vs. El Salvador</w:t>
      </w:r>
      <w:r w:rsidRPr="004833B2">
        <w:rPr>
          <w:rStyle w:val="Textoennegrita"/>
          <w:rFonts w:ascii="Verdana" w:hAnsi="Verdana"/>
          <w:b w:val="0"/>
          <w:i/>
          <w:color w:val="000000" w:themeColor="text1"/>
          <w:sz w:val="16"/>
          <w:szCs w:val="16"/>
          <w:shd w:val="clear" w:color="auto" w:fill="FFFFFF"/>
        </w:rPr>
        <w:t>, supra</w:t>
      </w:r>
      <w:r w:rsidRPr="004833B2">
        <w:rPr>
          <w:rStyle w:val="Textoennegrita"/>
          <w:rFonts w:ascii="Verdana" w:hAnsi="Verdana"/>
          <w:b w:val="0"/>
          <w:color w:val="000000" w:themeColor="text1"/>
          <w:sz w:val="16"/>
          <w:szCs w:val="16"/>
          <w:shd w:val="clear" w:color="auto" w:fill="FFFFFF"/>
        </w:rPr>
        <w:t>, Considerando 2.</w:t>
      </w:r>
    </w:p>
  </w:footnote>
  <w:footnote w:id="18">
    <w:p w14:paraId="1A342501" w14:textId="5AE77125"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Con respecto a la medida relativa a la búsqueda e identificación de las víctimas desaparecidas, </w:t>
      </w:r>
      <w:r w:rsidR="00FE3FC5">
        <w:rPr>
          <w:rFonts w:ascii="Verdana" w:hAnsi="Verdana"/>
          <w:sz w:val="16"/>
          <w:szCs w:val="16"/>
        </w:rPr>
        <w:t xml:space="preserve">en el 2019 </w:t>
      </w:r>
      <w:r w:rsidRPr="00BE6318">
        <w:rPr>
          <w:rFonts w:ascii="Verdana" w:hAnsi="Verdana"/>
          <w:sz w:val="16"/>
          <w:szCs w:val="16"/>
        </w:rPr>
        <w:t xml:space="preserve">la Corte </w:t>
      </w:r>
      <w:r w:rsidR="00FE3FC5">
        <w:rPr>
          <w:rFonts w:ascii="Verdana" w:hAnsi="Verdana"/>
          <w:sz w:val="16"/>
          <w:szCs w:val="16"/>
        </w:rPr>
        <w:t xml:space="preserve">efectuó una audiencia conjunta para </w:t>
      </w:r>
      <w:r w:rsidRPr="00BE6318">
        <w:rPr>
          <w:rFonts w:ascii="Verdana" w:hAnsi="Verdana"/>
          <w:sz w:val="16"/>
          <w:szCs w:val="16"/>
        </w:rPr>
        <w:t xml:space="preserve">6 casos colombianos </w:t>
      </w:r>
      <w:r w:rsidR="00FE3FC5">
        <w:rPr>
          <w:rFonts w:ascii="Verdana" w:hAnsi="Verdana"/>
          <w:sz w:val="16"/>
          <w:szCs w:val="16"/>
        </w:rPr>
        <w:t xml:space="preserve">en que se ordenó la búsqueda de paradero o identificación de restos </w:t>
      </w:r>
      <w:r w:rsidRPr="00BE6318">
        <w:rPr>
          <w:rFonts w:ascii="Verdana" w:hAnsi="Verdana"/>
          <w:sz w:val="16"/>
          <w:szCs w:val="16"/>
        </w:rPr>
        <w:t>(</w:t>
      </w:r>
      <w:r w:rsidRPr="00BE6318">
        <w:rPr>
          <w:rFonts w:ascii="Verdana" w:hAnsi="Verdana"/>
          <w:i/>
          <w:sz w:val="16"/>
          <w:szCs w:val="16"/>
        </w:rPr>
        <w:t>Caso Caballero Delgado y Santana</w:t>
      </w:r>
      <w:r w:rsidRPr="00BE6318">
        <w:rPr>
          <w:rFonts w:ascii="Verdana" w:hAnsi="Verdana"/>
          <w:sz w:val="16"/>
          <w:szCs w:val="16"/>
        </w:rPr>
        <w:t xml:space="preserve">; </w:t>
      </w:r>
      <w:r w:rsidRPr="00BE6318">
        <w:rPr>
          <w:rFonts w:ascii="Verdana" w:hAnsi="Verdana"/>
          <w:i/>
          <w:sz w:val="16"/>
          <w:szCs w:val="16"/>
        </w:rPr>
        <w:t>Caso Las Palmeras</w:t>
      </w:r>
      <w:r w:rsidRPr="00BE6318">
        <w:rPr>
          <w:rFonts w:ascii="Verdana" w:hAnsi="Verdana"/>
          <w:sz w:val="16"/>
          <w:szCs w:val="16"/>
        </w:rPr>
        <w:t xml:space="preserve">; </w:t>
      </w:r>
      <w:r w:rsidRPr="00BE6318">
        <w:rPr>
          <w:rFonts w:ascii="Verdana" w:hAnsi="Verdana"/>
          <w:i/>
          <w:sz w:val="16"/>
          <w:szCs w:val="16"/>
        </w:rPr>
        <w:t>Caso 19 Comerciantes</w:t>
      </w:r>
      <w:r w:rsidRPr="00BE6318">
        <w:rPr>
          <w:rFonts w:ascii="Verdana" w:hAnsi="Verdana"/>
          <w:sz w:val="16"/>
          <w:szCs w:val="16"/>
        </w:rPr>
        <w:t xml:space="preserve">; </w:t>
      </w:r>
      <w:r w:rsidRPr="00BE6318">
        <w:rPr>
          <w:rFonts w:ascii="Verdana" w:hAnsi="Verdana"/>
          <w:i/>
          <w:sz w:val="16"/>
          <w:szCs w:val="16"/>
        </w:rPr>
        <w:t>Caso de la Masacre de Pueblo Bello Vs</w:t>
      </w:r>
      <w:r w:rsidRPr="00BE6318">
        <w:rPr>
          <w:rFonts w:ascii="Verdana" w:hAnsi="Verdana"/>
          <w:sz w:val="16"/>
          <w:szCs w:val="16"/>
        </w:rPr>
        <w:t xml:space="preserve">; </w:t>
      </w:r>
      <w:r w:rsidRPr="00BE6318">
        <w:rPr>
          <w:rFonts w:ascii="Verdana" w:hAnsi="Verdana"/>
          <w:i/>
          <w:sz w:val="16"/>
          <w:szCs w:val="16"/>
        </w:rPr>
        <w:t xml:space="preserve">Caso Vereda La Esperanza </w:t>
      </w:r>
      <w:r w:rsidRPr="00BE6318">
        <w:rPr>
          <w:rFonts w:ascii="Verdana" w:hAnsi="Verdana"/>
          <w:sz w:val="16"/>
          <w:szCs w:val="16"/>
        </w:rPr>
        <w:t xml:space="preserve">y </w:t>
      </w:r>
      <w:r w:rsidRPr="00BE6318">
        <w:rPr>
          <w:rFonts w:ascii="Verdana" w:hAnsi="Verdana"/>
          <w:i/>
          <w:sz w:val="16"/>
          <w:szCs w:val="16"/>
        </w:rPr>
        <w:t>Caso Isaza Uribe y otros</w:t>
      </w:r>
      <w:r w:rsidRPr="00BE6318">
        <w:rPr>
          <w:rFonts w:ascii="Verdana" w:hAnsi="Verdana"/>
          <w:sz w:val="16"/>
          <w:szCs w:val="16"/>
        </w:rPr>
        <w:t>). Asimismo, con respecto a la medida relativa a brindar tratamiento médico y psicológico, la Corte está supervisando esta medida en el marco de la “supervisión de cumplimiento de las medidas de reparación sobre atención médica y psicológica ordenadas en 9 casos colombianos” (</w:t>
      </w:r>
      <w:r w:rsidRPr="00BE6318">
        <w:rPr>
          <w:rFonts w:ascii="Verdana" w:hAnsi="Verdana"/>
          <w:i/>
          <w:sz w:val="16"/>
          <w:szCs w:val="16"/>
        </w:rPr>
        <w:t>Caso 19 Comerciantes Vs. Colombia;</w:t>
      </w:r>
      <w:r w:rsidRPr="00BE6318">
        <w:rPr>
          <w:rFonts w:ascii="Verdana" w:hAnsi="Verdana"/>
          <w:sz w:val="16"/>
          <w:szCs w:val="16"/>
        </w:rPr>
        <w:t xml:space="preserve"> </w:t>
      </w:r>
      <w:r w:rsidRPr="00BE6318">
        <w:rPr>
          <w:rFonts w:ascii="Verdana" w:hAnsi="Verdana"/>
          <w:i/>
          <w:sz w:val="16"/>
          <w:szCs w:val="16"/>
        </w:rPr>
        <w:t>Caso Gutiérrez Soler Vs. Colombia;</w:t>
      </w:r>
      <w:r w:rsidRPr="00BE6318">
        <w:rPr>
          <w:rFonts w:ascii="Verdana" w:hAnsi="Verdana"/>
          <w:sz w:val="16"/>
          <w:szCs w:val="16"/>
        </w:rPr>
        <w:t xml:space="preserve"> </w:t>
      </w:r>
      <w:r w:rsidRPr="00BE6318">
        <w:rPr>
          <w:rFonts w:ascii="Verdana" w:hAnsi="Verdana"/>
          <w:i/>
          <w:sz w:val="16"/>
          <w:szCs w:val="16"/>
        </w:rPr>
        <w:t xml:space="preserve">Caso de la “Masacre de Mapiripán” Vs. Colombia; Caso de la Masacre de Pueblo Bello Vs. Colombia; Caso de las Masacres de Ituango Vs. Colombia; Caso de la Masacre de La Rochela Vs. Colombia; Caso </w:t>
      </w:r>
      <w:proofErr w:type="spellStart"/>
      <w:r w:rsidRPr="00BE6318">
        <w:rPr>
          <w:rFonts w:ascii="Verdana" w:hAnsi="Verdana"/>
          <w:i/>
          <w:sz w:val="16"/>
          <w:szCs w:val="16"/>
        </w:rPr>
        <w:t>Escué</w:t>
      </w:r>
      <w:proofErr w:type="spellEnd"/>
      <w:r w:rsidRPr="00BE6318">
        <w:rPr>
          <w:rFonts w:ascii="Verdana" w:hAnsi="Verdana"/>
          <w:i/>
          <w:sz w:val="16"/>
          <w:szCs w:val="16"/>
        </w:rPr>
        <w:t xml:space="preserve"> Zapata Vs. Colombia</w:t>
      </w:r>
      <w:r w:rsidRPr="00BE6318">
        <w:rPr>
          <w:rFonts w:ascii="Verdana" w:hAnsi="Verdana"/>
          <w:sz w:val="16"/>
          <w:szCs w:val="16"/>
        </w:rPr>
        <w:t xml:space="preserve">, y </w:t>
      </w:r>
      <w:r w:rsidRPr="00BE6318">
        <w:rPr>
          <w:rFonts w:ascii="Verdana" w:hAnsi="Verdana"/>
          <w:i/>
          <w:sz w:val="16"/>
          <w:szCs w:val="16"/>
        </w:rPr>
        <w:t>Caso Valle Jaramillo y otros Vs. Colombia)</w:t>
      </w:r>
      <w:r w:rsidRPr="00BE6318">
        <w:rPr>
          <w:rFonts w:ascii="Verdana" w:hAnsi="Verdana"/>
          <w:sz w:val="16"/>
          <w:szCs w:val="16"/>
        </w:rPr>
        <w:t xml:space="preserve">. Adicionalmente, el día 15 de marzo de 2011 las partes acordaron “incluir en el marco de la medida de reparación en salud el </w:t>
      </w:r>
      <w:r w:rsidRPr="00BE6318">
        <w:rPr>
          <w:rFonts w:ascii="Verdana" w:hAnsi="Verdana"/>
          <w:i/>
          <w:sz w:val="16"/>
          <w:szCs w:val="16"/>
        </w:rPr>
        <w:t>Caso Manuel Cepeda Vargas Vs. Colombia</w:t>
      </w:r>
      <w:r w:rsidRPr="00BE6318">
        <w:rPr>
          <w:rFonts w:ascii="Verdana" w:hAnsi="Verdana"/>
          <w:sz w:val="16"/>
          <w:szCs w:val="16"/>
        </w:rPr>
        <w:t>.</w:t>
      </w:r>
    </w:p>
  </w:footnote>
  <w:footnote w:id="19">
    <w:p w14:paraId="5D7C53AE" w14:textId="77777777"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En similar sentido ver: </w:t>
      </w:r>
      <w:r w:rsidRPr="00BE6318">
        <w:rPr>
          <w:rFonts w:ascii="Verdana" w:hAnsi="Verdana"/>
          <w:i/>
          <w:sz w:val="16"/>
          <w:szCs w:val="16"/>
        </w:rPr>
        <w:t>Caso Artavia Murillo y otros ("Fecundación In Vitro") Vs. Costa Rica.</w:t>
      </w:r>
      <w:r w:rsidRPr="00BE6318">
        <w:rPr>
          <w:rFonts w:ascii="Verdana" w:hAnsi="Verdana"/>
          <w:sz w:val="16"/>
          <w:szCs w:val="16"/>
        </w:rPr>
        <w:t xml:space="preserve"> Resolución de la Corte Interamericana de Derechos Humanos de 26 de febrero de 2016, Considerando 2; </w:t>
      </w:r>
      <w:r w:rsidRPr="00BE6318">
        <w:rPr>
          <w:rFonts w:ascii="Verdana" w:hAnsi="Verdana"/>
          <w:i/>
          <w:sz w:val="16"/>
          <w:szCs w:val="16"/>
        </w:rPr>
        <w:t xml:space="preserve">Caso </w:t>
      </w:r>
      <w:proofErr w:type="spellStart"/>
      <w:r w:rsidRPr="00BE6318">
        <w:rPr>
          <w:rFonts w:ascii="Verdana" w:hAnsi="Verdana"/>
          <w:i/>
          <w:sz w:val="16"/>
          <w:szCs w:val="16"/>
        </w:rPr>
        <w:t>Palamara</w:t>
      </w:r>
      <w:proofErr w:type="spellEnd"/>
      <w:r w:rsidRPr="00BE6318">
        <w:rPr>
          <w:rFonts w:ascii="Verdana" w:hAnsi="Verdana"/>
          <w:i/>
          <w:sz w:val="16"/>
          <w:szCs w:val="16"/>
        </w:rPr>
        <w:t xml:space="preserve"> Iribarne Vs. Chile. Supervisión de Cumplimiento de Sentencia.</w:t>
      </w:r>
      <w:r w:rsidRPr="00BE6318">
        <w:rPr>
          <w:rFonts w:ascii="Verdana" w:hAnsi="Verdana"/>
          <w:sz w:val="16"/>
          <w:szCs w:val="16"/>
        </w:rPr>
        <w:t xml:space="preserve"> Resolución de la Corte Interamericana de Derechos Humanos de 1 de septiembre de 2016, Considerando 4; </w:t>
      </w:r>
      <w:r w:rsidRPr="00BE6318">
        <w:rPr>
          <w:rFonts w:ascii="Verdana" w:hAnsi="Verdana"/>
          <w:i/>
          <w:sz w:val="16"/>
          <w:szCs w:val="16"/>
          <w:lang w:val="es-ES_tradnl"/>
        </w:rPr>
        <w:t xml:space="preserve">Caso Penal Miguel Castro </w:t>
      </w:r>
      <w:proofErr w:type="spellStart"/>
      <w:r w:rsidRPr="00BE6318">
        <w:rPr>
          <w:rFonts w:ascii="Verdana" w:hAnsi="Verdana"/>
          <w:i/>
          <w:sz w:val="16"/>
          <w:szCs w:val="16"/>
          <w:lang w:val="es-ES_tradnl"/>
        </w:rPr>
        <w:t>Castro</w:t>
      </w:r>
      <w:proofErr w:type="spellEnd"/>
      <w:r w:rsidRPr="00BE6318">
        <w:rPr>
          <w:rFonts w:ascii="Verdana" w:hAnsi="Verdana"/>
          <w:i/>
          <w:sz w:val="16"/>
          <w:szCs w:val="16"/>
          <w:lang w:val="es-ES_tradnl"/>
        </w:rPr>
        <w:t xml:space="preserve"> Vs. Perú. Supervisión de Cumplimiento de Sentencia. </w:t>
      </w:r>
      <w:r w:rsidRPr="00BE6318">
        <w:rPr>
          <w:rFonts w:ascii="Verdana" w:hAnsi="Verdana"/>
          <w:sz w:val="16"/>
          <w:szCs w:val="16"/>
          <w:lang w:val="es-ES_tradnl"/>
        </w:rPr>
        <w:t>Resolución de la Corte Interamericana de Derechos Humanos de 9 de febrero de 2017, Considerando 3, y</w:t>
      </w:r>
      <w:r w:rsidRPr="00BE6318">
        <w:rPr>
          <w:rFonts w:ascii="Verdana" w:hAnsi="Verdana"/>
          <w:i/>
          <w:sz w:val="16"/>
          <w:szCs w:val="16"/>
        </w:rPr>
        <w:t xml:space="preserve"> Caso Masacres de El Mozote y lugares aledaños Vs. El Salvador. Solicitud de Medidas Provisionales y Supervisión de Cumplimiento de Sentencia.</w:t>
      </w:r>
      <w:r w:rsidRPr="00BE6318">
        <w:rPr>
          <w:rFonts w:ascii="Verdana" w:hAnsi="Verdana"/>
          <w:sz w:val="16"/>
          <w:szCs w:val="16"/>
        </w:rPr>
        <w:t xml:space="preserve"> Resolución de la Corte Interamericana de Derechos Humanos de 3 de septiembre de 2019, Visto 14</w:t>
      </w:r>
      <w:r w:rsidRPr="00BE6318">
        <w:rPr>
          <w:rFonts w:ascii="Verdana" w:hAnsi="Verdana"/>
          <w:sz w:val="16"/>
          <w:szCs w:val="16"/>
          <w:lang w:val="es-ES_tradnl"/>
        </w:rPr>
        <w:t>.</w:t>
      </w:r>
    </w:p>
  </w:footnote>
  <w:footnote w:id="20">
    <w:p w14:paraId="05A31C85" w14:textId="77777777" w:rsidR="00A15E3C" w:rsidRPr="00BE6318" w:rsidRDefault="00A15E3C">
      <w:pPr>
        <w:pStyle w:val="Textonotapie"/>
        <w:spacing w:before="20" w:after="20"/>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El artículo 69.2 dispone que “[l]a Corte podrá requerir a otras fuentes de información datos relevantes sobre el caso, que permitan apreciar el cumplimiento”.</w:t>
      </w:r>
    </w:p>
  </w:footnote>
  <w:footnote w:id="21">
    <w:p w14:paraId="0C74A1BB" w14:textId="77777777"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A saber, Fidel Antonio Castaño Gil, Rogelio de Jesús Escobar Mejía, Héctor de Jesús Narváez Alarcón, Pedro Hernán </w:t>
      </w:r>
      <w:proofErr w:type="spellStart"/>
      <w:r w:rsidRPr="00BE6318">
        <w:rPr>
          <w:rFonts w:ascii="Verdana" w:hAnsi="Verdana"/>
          <w:sz w:val="16"/>
          <w:szCs w:val="16"/>
        </w:rPr>
        <w:t>Ogaza</w:t>
      </w:r>
      <w:proofErr w:type="spellEnd"/>
      <w:r w:rsidRPr="00BE6318">
        <w:rPr>
          <w:rFonts w:ascii="Verdana" w:hAnsi="Verdana"/>
          <w:sz w:val="16"/>
          <w:szCs w:val="16"/>
        </w:rPr>
        <w:t xml:space="preserve"> Pantoja, </w:t>
      </w:r>
      <w:proofErr w:type="spellStart"/>
      <w:r w:rsidRPr="00BE6318">
        <w:rPr>
          <w:rFonts w:ascii="Verdana" w:hAnsi="Verdana"/>
          <w:sz w:val="16"/>
          <w:szCs w:val="16"/>
        </w:rPr>
        <w:t>Jhon</w:t>
      </w:r>
      <w:proofErr w:type="spellEnd"/>
      <w:r w:rsidRPr="00BE6318">
        <w:rPr>
          <w:rFonts w:ascii="Verdana" w:hAnsi="Verdana"/>
          <w:sz w:val="16"/>
          <w:szCs w:val="16"/>
        </w:rPr>
        <w:t xml:space="preserve"> Darío Henao Gil y Manuel Salvador Ospina. </w:t>
      </w:r>
      <w:r w:rsidRPr="00BE6318">
        <w:rPr>
          <w:rFonts w:ascii="Verdana" w:hAnsi="Verdana"/>
          <w:i/>
          <w:sz w:val="16"/>
          <w:szCs w:val="16"/>
        </w:rPr>
        <w:t xml:space="preserve">Cfr. </w:t>
      </w:r>
      <w:r w:rsidRPr="00BE6318">
        <w:rPr>
          <w:rStyle w:val="Textoennegrita"/>
          <w:rFonts w:ascii="Verdana" w:hAnsi="Verdana"/>
          <w:b w:val="0"/>
          <w:i/>
          <w:sz w:val="16"/>
          <w:szCs w:val="16"/>
          <w:shd w:val="clear" w:color="auto" w:fill="FFFFFF"/>
        </w:rPr>
        <w:t xml:space="preserve">Caso de la Masacre de Pueblo Bello Vs. Colombia. </w:t>
      </w:r>
      <w:r w:rsidRPr="00BE6318">
        <w:rPr>
          <w:rStyle w:val="Textoennegrita"/>
          <w:rFonts w:ascii="Verdana" w:hAnsi="Verdana"/>
          <w:b w:val="0"/>
          <w:sz w:val="16"/>
          <w:szCs w:val="16"/>
          <w:shd w:val="clear" w:color="auto" w:fill="FFFFFF"/>
        </w:rPr>
        <w:t>Sentencia de 31 de enero de 2006. Serie C No. 140</w:t>
      </w:r>
      <w:r w:rsidRPr="00BE6318">
        <w:rPr>
          <w:rFonts w:ascii="Verdana" w:hAnsi="Verdana"/>
          <w:sz w:val="16"/>
          <w:szCs w:val="16"/>
        </w:rPr>
        <w:t>, párr. 95.103.</w:t>
      </w:r>
    </w:p>
  </w:footnote>
  <w:footnote w:id="22">
    <w:p w14:paraId="04A7F903" w14:textId="77777777" w:rsidR="00A15E3C" w:rsidRPr="00BE6318" w:rsidRDefault="00A15E3C" w:rsidP="00A86866">
      <w:pPr>
        <w:pStyle w:val="Textonotapie"/>
        <w:tabs>
          <w:tab w:val="left" w:pos="426"/>
        </w:tabs>
        <w:spacing w:before="20" w:after="20"/>
        <w:ind w:right="-284"/>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i/>
          <w:sz w:val="16"/>
          <w:szCs w:val="16"/>
        </w:rPr>
        <w:t xml:space="preserve"> </w:t>
      </w:r>
      <w:r w:rsidRPr="00BE6318">
        <w:rPr>
          <w:rFonts w:ascii="Verdana" w:hAnsi="Verdana"/>
          <w:i/>
          <w:sz w:val="16"/>
          <w:szCs w:val="16"/>
        </w:rPr>
        <w:tab/>
        <w:t>Ibid.</w:t>
      </w:r>
      <w:r w:rsidRPr="00BE6318">
        <w:rPr>
          <w:rFonts w:ascii="Verdana" w:hAnsi="Verdana"/>
          <w:sz w:val="16"/>
          <w:szCs w:val="16"/>
        </w:rPr>
        <w:t xml:space="preserve"> párr. 95.105.</w:t>
      </w:r>
    </w:p>
  </w:footnote>
  <w:footnote w:id="23">
    <w:p w14:paraId="3B089978" w14:textId="77777777" w:rsidR="00A15E3C" w:rsidRPr="00BE6318" w:rsidRDefault="00A15E3C" w:rsidP="00A86866">
      <w:pPr>
        <w:pStyle w:val="Textonotapie"/>
        <w:tabs>
          <w:tab w:val="left" w:pos="426"/>
        </w:tabs>
        <w:spacing w:before="20" w:after="20"/>
        <w:ind w:right="-284"/>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Ibid</w:t>
      </w:r>
      <w:r w:rsidRPr="00BE6318">
        <w:rPr>
          <w:rFonts w:ascii="Verdana" w:hAnsi="Verdana"/>
          <w:sz w:val="16"/>
          <w:szCs w:val="16"/>
        </w:rPr>
        <w:t>. párr. 183.</w:t>
      </w:r>
    </w:p>
  </w:footnote>
  <w:footnote w:id="24">
    <w:p w14:paraId="53F45EF8" w14:textId="77777777" w:rsidR="00A15E3C" w:rsidRPr="00BE6318" w:rsidRDefault="00A15E3C" w:rsidP="00A86866">
      <w:pPr>
        <w:pStyle w:val="Textonotapie"/>
        <w:tabs>
          <w:tab w:val="left" w:pos="426"/>
        </w:tabs>
        <w:spacing w:before="20" w:after="20"/>
        <w:ind w:right="-284"/>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Ibid</w:t>
      </w:r>
      <w:r w:rsidRPr="00BE6318">
        <w:rPr>
          <w:rFonts w:ascii="Verdana" w:hAnsi="Verdana"/>
          <w:sz w:val="16"/>
          <w:szCs w:val="16"/>
        </w:rPr>
        <w:t>. párr. 193.</w:t>
      </w:r>
    </w:p>
  </w:footnote>
  <w:footnote w:id="25">
    <w:p w14:paraId="60EC29C8" w14:textId="77777777" w:rsidR="00A15E3C" w:rsidRPr="00BE6318" w:rsidRDefault="00A15E3C" w:rsidP="00A86866">
      <w:pPr>
        <w:pStyle w:val="Textonotapie"/>
        <w:tabs>
          <w:tab w:val="left" w:pos="426"/>
        </w:tabs>
        <w:spacing w:before="20" w:after="20"/>
        <w:ind w:right="-284"/>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Ibid</w:t>
      </w:r>
      <w:r w:rsidRPr="00BE6318">
        <w:rPr>
          <w:rFonts w:ascii="Verdana" w:hAnsi="Verdana"/>
          <w:sz w:val="16"/>
          <w:szCs w:val="16"/>
        </w:rPr>
        <w:t>. párr. 200.</w:t>
      </w:r>
      <w:r w:rsidRPr="00BE6318">
        <w:rPr>
          <w:rFonts w:ascii="Verdana" w:hAnsi="Verdana"/>
          <w:sz w:val="16"/>
          <w:szCs w:val="16"/>
        </w:rPr>
        <w:tab/>
      </w:r>
    </w:p>
  </w:footnote>
  <w:footnote w:id="26">
    <w:p w14:paraId="7BD4FD8E" w14:textId="77777777" w:rsidR="00A15E3C" w:rsidRPr="00BE6318" w:rsidRDefault="00A15E3C" w:rsidP="00BE6318">
      <w:pPr>
        <w:pStyle w:val="Textonotapie"/>
        <w:tabs>
          <w:tab w:val="left" w:pos="426"/>
        </w:tabs>
        <w:spacing w:beforeLines="20" w:before="48" w:afterLines="20" w:after="48"/>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Fidel Antonio Castaño Gil, Rogelio de Jesús Escobar Mejía, Héctor de Jesús Narváez Alarcón, Pedro Hernán </w:t>
      </w:r>
      <w:proofErr w:type="spellStart"/>
      <w:r w:rsidRPr="00BE6318">
        <w:rPr>
          <w:rFonts w:ascii="Verdana" w:hAnsi="Verdana"/>
          <w:sz w:val="16"/>
          <w:szCs w:val="16"/>
        </w:rPr>
        <w:t>Ogaza</w:t>
      </w:r>
      <w:proofErr w:type="spellEnd"/>
      <w:r w:rsidRPr="00BE6318">
        <w:rPr>
          <w:rFonts w:ascii="Verdana" w:hAnsi="Verdana"/>
          <w:sz w:val="16"/>
          <w:szCs w:val="16"/>
        </w:rPr>
        <w:t xml:space="preserve"> Pantoja, </w:t>
      </w:r>
      <w:proofErr w:type="spellStart"/>
      <w:r w:rsidRPr="00BE6318">
        <w:rPr>
          <w:rFonts w:ascii="Verdana" w:hAnsi="Verdana"/>
          <w:sz w:val="16"/>
          <w:szCs w:val="16"/>
        </w:rPr>
        <w:t>Jhon</w:t>
      </w:r>
      <w:proofErr w:type="spellEnd"/>
      <w:r w:rsidRPr="00BE6318">
        <w:rPr>
          <w:rFonts w:ascii="Verdana" w:hAnsi="Verdana"/>
          <w:sz w:val="16"/>
          <w:szCs w:val="16"/>
        </w:rPr>
        <w:t xml:space="preserve"> Darío Henao Gil y Manuel Salvador Ospina. </w:t>
      </w:r>
      <w:r w:rsidRPr="00BE6318">
        <w:rPr>
          <w:rFonts w:ascii="Verdana" w:hAnsi="Verdana"/>
          <w:i/>
          <w:sz w:val="16"/>
          <w:szCs w:val="16"/>
        </w:rPr>
        <w:t xml:space="preserve">Cfr. </w:t>
      </w:r>
      <w:r w:rsidRPr="00BE6318">
        <w:rPr>
          <w:rStyle w:val="Textoennegrita"/>
          <w:rFonts w:ascii="Verdana" w:hAnsi="Verdana"/>
          <w:b w:val="0"/>
          <w:i/>
          <w:sz w:val="16"/>
          <w:szCs w:val="16"/>
          <w:shd w:val="clear" w:color="auto" w:fill="FFFFFF"/>
        </w:rPr>
        <w:t xml:space="preserve">Caso de la Masacre de Pueblo Bello Vs. Colombia. </w:t>
      </w:r>
      <w:r w:rsidRPr="00BE6318">
        <w:rPr>
          <w:rStyle w:val="Textoennegrita"/>
          <w:rFonts w:ascii="Verdana" w:hAnsi="Verdana"/>
          <w:b w:val="0"/>
          <w:sz w:val="16"/>
          <w:szCs w:val="16"/>
          <w:shd w:val="clear" w:color="auto" w:fill="FFFFFF"/>
        </w:rPr>
        <w:t>Sentencia de 31 de enero de 2006. Serie C No. 140</w:t>
      </w:r>
      <w:r w:rsidRPr="00BE6318">
        <w:rPr>
          <w:rFonts w:ascii="Verdana" w:hAnsi="Verdana"/>
          <w:sz w:val="16"/>
          <w:szCs w:val="16"/>
        </w:rPr>
        <w:t>, párr. 95.103.</w:t>
      </w:r>
    </w:p>
  </w:footnote>
  <w:footnote w:id="27">
    <w:p w14:paraId="56200514" w14:textId="613A77A2" w:rsidR="00A15E3C" w:rsidRPr="00BE6318" w:rsidRDefault="00A15E3C" w:rsidP="00BE6318">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(1) José Aníbal Rodríguez Urquijo, condenado el 17 de noviembre de 1995 por el Juzgado Regional a 40 años de prisión y 85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(2) Jesús Aníbal García Hoyos, condenado el 15 de febrero de 2011 por el Juzgado Primero Adjunto al Primero Penal del Circuito Especializado de Antioquia a 30 años de prisión y multa de 1000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(3) Manuel Arturo Salom Ruega, condenado el 15 de febrero de 2011 por el Juzgado Primero Adjunto al Primero Penal del Circuito Especializado de Antioquia a 30 años de prisión y multa de 1.000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(4) </w:t>
      </w:r>
      <w:proofErr w:type="spellStart"/>
      <w:r w:rsidRPr="00BE6318">
        <w:rPr>
          <w:rFonts w:ascii="Verdana" w:hAnsi="Verdana"/>
          <w:sz w:val="16"/>
          <w:szCs w:val="16"/>
        </w:rPr>
        <w:t>Edilso</w:t>
      </w:r>
      <w:proofErr w:type="spellEnd"/>
      <w:r w:rsidRPr="00BE6318">
        <w:rPr>
          <w:rFonts w:ascii="Verdana" w:hAnsi="Verdana"/>
          <w:sz w:val="16"/>
          <w:szCs w:val="16"/>
        </w:rPr>
        <w:t xml:space="preserve"> Antonio Cardona Ramírez, condenado el 9 de diciembre de 2011 por el Juzgado Primero Especializado de Antioquia a 20 años de prisión y 1.000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(5) Luis Omar Marín Londoño, condenado el 16 de diciembre de 2011 por el Juzgado Primero Adjunto al Primero Penal del Circuito Especializado de Antioquia A 20 de prisión y multa de 100 de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(6) Francisco Javier Álvarez Porras, condenado el 30 de diciembre de 1997, en apelación de Segunda Instancia por el Tribunal Nacional de Santa Fe de Bogotá a una pena de prisión de 22 años y 55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(7) Elkin de Jesús Henao Cano, condenado el 30 de diciembre de 1997, en apelación de Segunda Instancia por el Tribunal Nacional de Santa Fe de Bogotá, a 13 años de prisión y 60 </w:t>
      </w:r>
      <w:proofErr w:type="spellStart"/>
      <w:r w:rsidRPr="00BE6318">
        <w:rPr>
          <w:rFonts w:ascii="Verdana" w:hAnsi="Verdana"/>
          <w:sz w:val="16"/>
          <w:szCs w:val="16"/>
        </w:rPr>
        <w:t>s.m.</w:t>
      </w:r>
      <w:r w:rsidR="000629E2">
        <w:rPr>
          <w:rFonts w:ascii="Verdana" w:hAnsi="Verdana"/>
          <w:sz w:val="16"/>
          <w:szCs w:val="16"/>
        </w:rPr>
        <w:t>m.</w:t>
      </w:r>
      <w:r w:rsidRPr="00BE6318">
        <w:rPr>
          <w:rFonts w:ascii="Verdana" w:hAnsi="Verdana"/>
          <w:sz w:val="16"/>
          <w:szCs w:val="16"/>
        </w:rPr>
        <w:t>l.v</w:t>
      </w:r>
      <w:proofErr w:type="spellEnd"/>
      <w:r w:rsidRPr="00BE6318">
        <w:rPr>
          <w:rFonts w:ascii="Verdana" w:hAnsi="Verdana"/>
          <w:sz w:val="16"/>
          <w:szCs w:val="16"/>
        </w:rPr>
        <w:t xml:space="preserve">.; (8) Ramón Elías Soto Ceballos, condenado el 20 de diciembre de 2012 por el Juzgado Primero Penal del Circuito Especializado de Antioquia a 11 años y 3 meses de prisión; (9) Jorge Humberto Victoria Oliveros, condenado el 8 de marzo de 2013 por el Juzgado Primero Penal Adjunto del Circuito Especializado de Antioquia a 20 años de prisión y multa de 405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(10) Olivier José Cervantes </w:t>
      </w:r>
      <w:proofErr w:type="spellStart"/>
      <w:r w:rsidRPr="00BE6318">
        <w:rPr>
          <w:rFonts w:ascii="Verdana" w:hAnsi="Verdana"/>
          <w:sz w:val="16"/>
          <w:szCs w:val="16"/>
        </w:rPr>
        <w:t>Naar</w:t>
      </w:r>
      <w:proofErr w:type="spellEnd"/>
      <w:r w:rsidRPr="00BE6318">
        <w:rPr>
          <w:rFonts w:ascii="Verdana" w:hAnsi="Verdana"/>
          <w:sz w:val="16"/>
          <w:szCs w:val="16"/>
        </w:rPr>
        <w:t xml:space="preserve">, condenado el 30 de julio de 2014 por el Juzgado Primero Penal Adjunto del Circuito Especializado de Antioquia a 20 años de prisión y multa de 25.000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(11) Tulio Mario Arias Jaramillo, condenado el 17 de marzo de 2015 por el Juzgado Primero Penal del Circuito Especializado de Antioquia a 432 meses de prisión; (12) Gildardo Enrique Ospina Muñetón, condenado a 60 años de prisión, resolución que fue confirmada por el Tribunal Superior de Distrito Judicial de Antioquia el 31 de agosto de 2015; (13) Mario Alberto Álvarez Porras, condenado el 7 de enero de 2016 por el Juzgado Tercero Penal del Circuito Especializado de Antioquia a pena de prisión de 432 meses y pago de multa de 30.0000 </w:t>
      </w:r>
      <w:proofErr w:type="spellStart"/>
      <w:r w:rsidRPr="00BE6318">
        <w:rPr>
          <w:rFonts w:ascii="Verdana" w:hAnsi="Verdana"/>
          <w:sz w:val="16"/>
          <w:szCs w:val="16"/>
        </w:rPr>
        <w:t>s.m.l.m.v</w:t>
      </w:r>
      <w:proofErr w:type="spellEnd"/>
      <w:r w:rsidR="000629E2">
        <w:rPr>
          <w:rFonts w:ascii="Verdana" w:hAnsi="Verdana"/>
          <w:sz w:val="16"/>
          <w:szCs w:val="16"/>
        </w:rPr>
        <w:t xml:space="preserve"> </w:t>
      </w:r>
      <w:r w:rsidRPr="00BE6318">
        <w:rPr>
          <w:rFonts w:ascii="Verdana" w:hAnsi="Verdana"/>
          <w:sz w:val="16"/>
          <w:szCs w:val="16"/>
        </w:rPr>
        <w:t xml:space="preserve">e inhabilitación para el ejercicio de funciones públicas por 144 meses; (14) Manuel Salvador Ospina Cifuentes, condenado el 7 de enero de 2016 por el Juzgado Tercero Penal del Circuito Especializado de Antioquia a 432 meses de prisión y multa de 30.000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e inhabilitación para el ejercicio y funciones públicas por 144 meses; (15) Rodrigo de Jesús Cardona Ramírez, condenado el 14 de febrero de 2017 por el Juzgado Segundo Penal del Circuito Especializado de Antioquia (sin datos de la condena específica); (16) Víctor Alfonso Rojas Valencia, condenado el 24 de febrero de 2017 por el Juzgado Penal del Circuito de Turbo-Antioquia a 184 meses de prisión y multa de 1.094 </w:t>
      </w:r>
      <w:proofErr w:type="spellStart"/>
      <w:r w:rsidR="000629E2">
        <w:rPr>
          <w:rFonts w:ascii="Verdana" w:hAnsi="Verdana"/>
          <w:sz w:val="16"/>
          <w:szCs w:val="16"/>
        </w:rPr>
        <w:t>s.m.m.l.v</w:t>
      </w:r>
      <w:proofErr w:type="spellEnd"/>
      <w:r w:rsidR="000629E2">
        <w:rPr>
          <w:rFonts w:ascii="Verdana" w:hAnsi="Verdana"/>
          <w:sz w:val="16"/>
          <w:szCs w:val="16"/>
        </w:rPr>
        <w:t>.</w:t>
      </w:r>
      <w:r w:rsidRPr="00BE6318">
        <w:rPr>
          <w:rFonts w:ascii="Verdana" w:hAnsi="Verdana"/>
          <w:sz w:val="16"/>
          <w:szCs w:val="16"/>
        </w:rPr>
        <w:t xml:space="preserve">; (17) </w:t>
      </w:r>
      <w:proofErr w:type="spellStart"/>
      <w:r w:rsidRPr="00BE6318">
        <w:rPr>
          <w:rFonts w:ascii="Verdana" w:hAnsi="Verdana"/>
          <w:sz w:val="16"/>
          <w:szCs w:val="16"/>
        </w:rPr>
        <w:t>Franc</w:t>
      </w:r>
      <w:proofErr w:type="spellEnd"/>
      <w:r w:rsidRPr="00BE6318">
        <w:rPr>
          <w:rFonts w:ascii="Verdana" w:hAnsi="Verdana"/>
          <w:sz w:val="16"/>
          <w:szCs w:val="16"/>
        </w:rPr>
        <w:t xml:space="preserve"> Enrique Rivas </w:t>
      </w:r>
      <w:proofErr w:type="spellStart"/>
      <w:r w:rsidRPr="00BE6318">
        <w:rPr>
          <w:rFonts w:ascii="Verdana" w:hAnsi="Verdana"/>
          <w:sz w:val="16"/>
          <w:szCs w:val="16"/>
        </w:rPr>
        <w:t>Naar</w:t>
      </w:r>
      <w:proofErr w:type="spellEnd"/>
      <w:r w:rsidRPr="00BE6318">
        <w:rPr>
          <w:rFonts w:ascii="Verdana" w:hAnsi="Verdana"/>
          <w:sz w:val="16"/>
          <w:szCs w:val="16"/>
        </w:rPr>
        <w:t xml:space="preserve">, condenado por el Juzgado Primero Penal Adjunto del Circuito Especializado de Antioquia a 20 de años de prisión y multa de 25.000 </w:t>
      </w:r>
      <w:proofErr w:type="spellStart"/>
      <w:r w:rsidRPr="00BE6318">
        <w:rPr>
          <w:rFonts w:ascii="Verdana" w:hAnsi="Verdana"/>
          <w:sz w:val="16"/>
          <w:szCs w:val="16"/>
        </w:rPr>
        <w:t>s.m.l.m.v</w:t>
      </w:r>
      <w:proofErr w:type="spellEnd"/>
      <w:r w:rsidRPr="00BE6318">
        <w:rPr>
          <w:rFonts w:ascii="Verdana" w:hAnsi="Verdana"/>
          <w:sz w:val="16"/>
          <w:szCs w:val="16"/>
        </w:rPr>
        <w:t xml:space="preserve"> (sin datos con respecto a la fecha de condena); (18)Efrén Rafael </w:t>
      </w:r>
      <w:proofErr w:type="spellStart"/>
      <w:r w:rsidRPr="00BE6318">
        <w:rPr>
          <w:rFonts w:ascii="Verdana" w:hAnsi="Verdana"/>
          <w:sz w:val="16"/>
          <w:szCs w:val="16"/>
        </w:rPr>
        <w:t>Ogaza</w:t>
      </w:r>
      <w:proofErr w:type="spellEnd"/>
      <w:r w:rsidRPr="00BE6318">
        <w:rPr>
          <w:rFonts w:ascii="Verdana" w:hAnsi="Verdana"/>
          <w:sz w:val="16"/>
          <w:szCs w:val="16"/>
        </w:rPr>
        <w:t xml:space="preserve"> Molina (sin datos con respecto a la fecha y condena específica). </w:t>
      </w:r>
      <w:r w:rsidRPr="00BE6318">
        <w:rPr>
          <w:rFonts w:ascii="Verdana" w:hAnsi="Verdana"/>
          <w:i/>
          <w:sz w:val="16"/>
          <w:szCs w:val="16"/>
        </w:rPr>
        <w:t>Cfr</w:t>
      </w:r>
      <w:r w:rsidRPr="00BE6318">
        <w:rPr>
          <w:rFonts w:ascii="Verdana" w:hAnsi="Verdana"/>
          <w:sz w:val="16"/>
          <w:szCs w:val="16"/>
        </w:rPr>
        <w:t xml:space="preserve">. Anexo al Informe del Estado de 25 de septiembre de 2020. Ver también, Informe del Estado de 28 de julio de 2016. </w:t>
      </w:r>
    </w:p>
  </w:footnote>
  <w:footnote w:id="28">
    <w:p w14:paraId="674BC64E" w14:textId="0F7795D0" w:rsidR="00A15E3C" w:rsidRPr="00BE6318" w:rsidRDefault="00A15E3C" w:rsidP="00A86866">
      <w:pPr>
        <w:pStyle w:val="Textonotapie"/>
        <w:tabs>
          <w:tab w:val="left" w:pos="426"/>
        </w:tabs>
        <w:spacing w:before="20" w:after="20"/>
        <w:ind w:right="-284"/>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El señor Elkin de Jesús Henao Cano.</w:t>
      </w:r>
    </w:p>
  </w:footnote>
  <w:footnote w:id="29">
    <w:p w14:paraId="43873076" w14:textId="77777777" w:rsidR="00D72B36" w:rsidRPr="00BE6318" w:rsidRDefault="00D72B36" w:rsidP="00D72B36">
      <w:pPr>
        <w:pStyle w:val="Textonotapie"/>
        <w:tabs>
          <w:tab w:val="left" w:pos="426"/>
        </w:tabs>
        <w:spacing w:before="20" w:after="20"/>
        <w:ind w:right="53"/>
        <w:jc w:val="both"/>
        <w:rPr>
          <w:rFonts w:ascii="Verdana" w:hAnsi="Verdana"/>
          <w:b/>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Los señores </w:t>
      </w:r>
      <w:proofErr w:type="spellStart"/>
      <w:r w:rsidRPr="00BE6318">
        <w:rPr>
          <w:rFonts w:ascii="Verdana" w:hAnsi="Verdana"/>
          <w:sz w:val="16"/>
          <w:szCs w:val="16"/>
        </w:rPr>
        <w:t>Edilson</w:t>
      </w:r>
      <w:proofErr w:type="spellEnd"/>
      <w:r w:rsidRPr="00BE6318">
        <w:rPr>
          <w:rFonts w:ascii="Verdana" w:hAnsi="Verdana"/>
          <w:sz w:val="16"/>
          <w:szCs w:val="16"/>
        </w:rPr>
        <w:t xml:space="preserve"> Jiménez Ramírez, </w:t>
      </w:r>
      <w:proofErr w:type="spellStart"/>
      <w:r w:rsidRPr="00BE6318">
        <w:rPr>
          <w:rFonts w:ascii="Verdana" w:hAnsi="Verdana"/>
          <w:sz w:val="16"/>
          <w:szCs w:val="16"/>
        </w:rPr>
        <w:t>Angel</w:t>
      </w:r>
      <w:proofErr w:type="spellEnd"/>
      <w:r w:rsidRPr="00BE6318">
        <w:rPr>
          <w:rFonts w:ascii="Verdana" w:hAnsi="Verdana"/>
          <w:sz w:val="16"/>
          <w:szCs w:val="16"/>
        </w:rPr>
        <w:t xml:space="preserve"> María Gómez Hoyos, Juan Esteban Gómez Hoyos, Eduardo Evelio Orozco, Omar de Jesús Gómez </w:t>
      </w:r>
      <w:proofErr w:type="spellStart"/>
      <w:r w:rsidRPr="00BE6318">
        <w:rPr>
          <w:rFonts w:ascii="Verdana" w:hAnsi="Verdana"/>
          <w:sz w:val="16"/>
          <w:szCs w:val="16"/>
        </w:rPr>
        <w:t>Pamploma</w:t>
      </w:r>
      <w:proofErr w:type="spellEnd"/>
      <w:r w:rsidRPr="00BE6318">
        <w:rPr>
          <w:rFonts w:ascii="Verdana" w:hAnsi="Verdana"/>
          <w:sz w:val="16"/>
          <w:szCs w:val="16"/>
        </w:rPr>
        <w:t xml:space="preserve">, Jorge Humberto Roldán Pérez, Manuel Antonio Roldán Pérez, Jorge Hugo Pamplona Giraldo, </w:t>
      </w:r>
      <w:proofErr w:type="spellStart"/>
      <w:r w:rsidRPr="00BE6318">
        <w:rPr>
          <w:rFonts w:ascii="Verdana" w:hAnsi="Verdana"/>
          <w:sz w:val="16"/>
          <w:szCs w:val="16"/>
        </w:rPr>
        <w:t>Neguis</w:t>
      </w:r>
      <w:proofErr w:type="spellEnd"/>
      <w:r w:rsidRPr="00BE6318">
        <w:rPr>
          <w:rFonts w:ascii="Verdana" w:hAnsi="Verdana"/>
          <w:sz w:val="16"/>
          <w:szCs w:val="16"/>
        </w:rPr>
        <w:t xml:space="preserve"> de Jesús Espinosa Carona, Benjamín Gil Cataño, Carlos Alberto Cardona Guzmán, Carlos Mauricio García Fernández, </w:t>
      </w:r>
      <w:proofErr w:type="spellStart"/>
      <w:r w:rsidRPr="00BE6318">
        <w:rPr>
          <w:rFonts w:ascii="Verdana" w:hAnsi="Verdana"/>
          <w:sz w:val="16"/>
          <w:szCs w:val="16"/>
        </w:rPr>
        <w:t>Fermey</w:t>
      </w:r>
      <w:proofErr w:type="spellEnd"/>
      <w:r w:rsidRPr="00BE6318">
        <w:rPr>
          <w:rFonts w:ascii="Verdana" w:hAnsi="Verdana"/>
          <w:sz w:val="16"/>
          <w:szCs w:val="16"/>
        </w:rPr>
        <w:t xml:space="preserve"> Alonso Franco Bedoya, </w:t>
      </w:r>
      <w:proofErr w:type="spellStart"/>
      <w:r w:rsidRPr="00BE6318">
        <w:rPr>
          <w:rFonts w:ascii="Verdana" w:hAnsi="Verdana"/>
          <w:sz w:val="16"/>
          <w:szCs w:val="16"/>
        </w:rPr>
        <w:t>Firmiyer</w:t>
      </w:r>
      <w:proofErr w:type="spellEnd"/>
      <w:r w:rsidRPr="00BE6318">
        <w:rPr>
          <w:rFonts w:ascii="Verdana" w:hAnsi="Verdana"/>
          <w:sz w:val="16"/>
          <w:szCs w:val="16"/>
        </w:rPr>
        <w:t xml:space="preserve"> Aguirre, Francisco Javier García Noreña, Guillermo Jiménez </w:t>
      </w:r>
      <w:proofErr w:type="spellStart"/>
      <w:r w:rsidRPr="00BE6318">
        <w:rPr>
          <w:rFonts w:ascii="Verdana" w:hAnsi="Verdana"/>
          <w:sz w:val="16"/>
          <w:szCs w:val="16"/>
        </w:rPr>
        <w:t>Jiménez</w:t>
      </w:r>
      <w:proofErr w:type="spellEnd"/>
      <w:r w:rsidRPr="00BE6318">
        <w:rPr>
          <w:rFonts w:ascii="Verdana" w:hAnsi="Verdana"/>
          <w:sz w:val="16"/>
          <w:szCs w:val="16"/>
        </w:rPr>
        <w:t xml:space="preserve">, </w:t>
      </w:r>
      <w:proofErr w:type="spellStart"/>
      <w:r w:rsidRPr="00BE6318">
        <w:rPr>
          <w:rFonts w:ascii="Verdana" w:hAnsi="Verdana"/>
          <w:sz w:val="16"/>
          <w:szCs w:val="16"/>
        </w:rPr>
        <w:t>Herminso</w:t>
      </w:r>
      <w:proofErr w:type="spellEnd"/>
      <w:r w:rsidRPr="00BE6318">
        <w:rPr>
          <w:rFonts w:ascii="Verdana" w:hAnsi="Verdana"/>
          <w:sz w:val="16"/>
          <w:szCs w:val="16"/>
        </w:rPr>
        <w:t xml:space="preserve"> Rojas Valencia, Javier Rojas Valencia, Jairo Rafael de León Bolaños, José Ariel Mantilla Parra, José Octavio Rojas Valencia, Juan Carlos Ospino Torres, Luis Carlos García Hoyos, Óscar Giraldo Marín, Pio Nono Franco Bedoya, Raúl de Jesús García Hoyos, Víctor Alcides Giraldo Gutiérrez, Wilmar Alberto Restrepo Muñoz, Luis Ángel Gil Zapata (Agustín Muñoz Martínez), Reinaldo Rojas Valencia, Fabián Albeiro Gil Mesa, Jorge Luis Estrada </w:t>
      </w:r>
      <w:proofErr w:type="spellStart"/>
      <w:r w:rsidRPr="00BE6318">
        <w:rPr>
          <w:rFonts w:ascii="Verdana" w:hAnsi="Verdana"/>
          <w:sz w:val="16"/>
          <w:szCs w:val="16"/>
        </w:rPr>
        <w:t>Aleán</w:t>
      </w:r>
      <w:proofErr w:type="spellEnd"/>
      <w:r w:rsidRPr="00BE6318">
        <w:rPr>
          <w:rFonts w:ascii="Verdana" w:hAnsi="Verdana"/>
          <w:sz w:val="16"/>
          <w:szCs w:val="16"/>
        </w:rPr>
        <w:t xml:space="preserve">, y José Mauricio Francisco Javier. </w:t>
      </w:r>
      <w:r w:rsidRPr="00BE6318">
        <w:rPr>
          <w:rFonts w:ascii="Verdana" w:hAnsi="Verdana"/>
          <w:i/>
          <w:sz w:val="16"/>
          <w:szCs w:val="16"/>
        </w:rPr>
        <w:t>Cfr</w:t>
      </w:r>
      <w:r w:rsidRPr="00BE6318">
        <w:rPr>
          <w:rFonts w:ascii="Verdana" w:hAnsi="Verdana"/>
          <w:sz w:val="16"/>
          <w:szCs w:val="16"/>
        </w:rPr>
        <w:t xml:space="preserve">. Anexo al Informe del Estado de 25 de septiembre de 2020. </w:t>
      </w:r>
    </w:p>
  </w:footnote>
  <w:footnote w:id="30">
    <w:p w14:paraId="345AE60D" w14:textId="34ADFC6D" w:rsidR="00D72B36" w:rsidRPr="00BE6318" w:rsidRDefault="00D72B36" w:rsidP="00D72B36">
      <w:pPr>
        <w:pStyle w:val="Textonotapie"/>
        <w:tabs>
          <w:tab w:val="left" w:pos="426"/>
        </w:tabs>
        <w:spacing w:before="20" w:after="20"/>
        <w:ind w:right="53"/>
        <w:jc w:val="both"/>
        <w:rPr>
          <w:rStyle w:val="Refdenotaalpie"/>
          <w:rFonts w:ascii="Verdana" w:hAnsi="Verdana"/>
          <w:b/>
          <w:sz w:val="16"/>
          <w:szCs w:val="16"/>
          <w:vertAlign w:val="baseline"/>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Los señores </w:t>
      </w:r>
      <w:r w:rsidRPr="00BE6318">
        <w:rPr>
          <w:rStyle w:val="Refdenotaalpie"/>
          <w:rFonts w:ascii="Verdana" w:hAnsi="Verdana"/>
          <w:sz w:val="16"/>
          <w:szCs w:val="16"/>
          <w:vertAlign w:val="baseline"/>
        </w:rPr>
        <w:t>Héctor de Jesús Castaño Gil</w:t>
      </w:r>
      <w:r w:rsidRPr="00BE6318">
        <w:rPr>
          <w:rFonts w:ascii="Verdana" w:hAnsi="Verdana"/>
          <w:sz w:val="16"/>
          <w:szCs w:val="16"/>
        </w:rPr>
        <w:t xml:space="preserve">, Alejandro Antonio Sánchez Rendón, </w:t>
      </w:r>
      <w:proofErr w:type="spellStart"/>
      <w:r w:rsidRPr="00BE6318">
        <w:rPr>
          <w:rFonts w:ascii="Verdana" w:hAnsi="Verdana"/>
          <w:sz w:val="16"/>
          <w:szCs w:val="16"/>
        </w:rPr>
        <w:t>Edinson</w:t>
      </w:r>
      <w:proofErr w:type="spellEnd"/>
      <w:r w:rsidRPr="00BE6318">
        <w:rPr>
          <w:rFonts w:ascii="Verdana" w:hAnsi="Verdana"/>
          <w:sz w:val="16"/>
          <w:szCs w:val="16"/>
        </w:rPr>
        <w:t xml:space="preserve"> Manuel Cervantes </w:t>
      </w:r>
      <w:proofErr w:type="spellStart"/>
      <w:r w:rsidRPr="00BE6318">
        <w:rPr>
          <w:rFonts w:ascii="Verdana" w:hAnsi="Verdana"/>
          <w:sz w:val="16"/>
          <w:szCs w:val="16"/>
        </w:rPr>
        <w:t>Naar</w:t>
      </w:r>
      <w:proofErr w:type="spellEnd"/>
      <w:r w:rsidRPr="00BE6318">
        <w:rPr>
          <w:rFonts w:ascii="Verdana" w:hAnsi="Verdana"/>
          <w:sz w:val="16"/>
          <w:szCs w:val="16"/>
        </w:rPr>
        <w:t xml:space="preserve">, Ramón Antonio Gómez Hoyo, Néstor Enrique Barrera Vega, </w:t>
      </w:r>
      <w:proofErr w:type="spellStart"/>
      <w:r w:rsidRPr="00BE6318">
        <w:rPr>
          <w:rFonts w:ascii="Verdana" w:hAnsi="Verdana"/>
          <w:sz w:val="16"/>
          <w:szCs w:val="16"/>
        </w:rPr>
        <w:t>Edilson</w:t>
      </w:r>
      <w:proofErr w:type="spellEnd"/>
      <w:r w:rsidRPr="00BE6318">
        <w:rPr>
          <w:rFonts w:ascii="Verdana" w:hAnsi="Verdana"/>
          <w:sz w:val="16"/>
          <w:szCs w:val="16"/>
        </w:rPr>
        <w:t xml:space="preserve"> Silva Molina, José Julián Rodríguez Tamayo, y Edwin Orlando Cardona Patiño. </w:t>
      </w:r>
      <w:r w:rsidRPr="00BE6318">
        <w:rPr>
          <w:rFonts w:ascii="Verdana" w:hAnsi="Verdana"/>
          <w:i/>
          <w:sz w:val="16"/>
          <w:szCs w:val="16"/>
        </w:rPr>
        <w:t>Cfr</w:t>
      </w:r>
      <w:r w:rsidRPr="00BE6318">
        <w:rPr>
          <w:rFonts w:ascii="Verdana" w:hAnsi="Verdana"/>
          <w:sz w:val="16"/>
          <w:szCs w:val="16"/>
        </w:rPr>
        <w:t xml:space="preserve">. Anexo al Informe del Estado de 25 de septiembre de 2020. Los representantes indicaron que también se ha ordenado la preclusión de la investigación con respecto a Pedro Honorato </w:t>
      </w:r>
      <w:proofErr w:type="spellStart"/>
      <w:r w:rsidRPr="00BE6318">
        <w:rPr>
          <w:rFonts w:ascii="Verdana" w:hAnsi="Verdana"/>
          <w:sz w:val="16"/>
          <w:szCs w:val="16"/>
        </w:rPr>
        <w:t>Botía</w:t>
      </w:r>
      <w:proofErr w:type="spellEnd"/>
      <w:r w:rsidRPr="00BE6318">
        <w:rPr>
          <w:rFonts w:ascii="Verdana" w:hAnsi="Verdana"/>
          <w:sz w:val="16"/>
          <w:szCs w:val="16"/>
        </w:rPr>
        <w:t xml:space="preserve"> Tarazona. </w:t>
      </w:r>
      <w:r w:rsidRPr="00BE6318">
        <w:rPr>
          <w:rStyle w:val="Refdenotaalpie"/>
          <w:rFonts w:ascii="Verdana" w:hAnsi="Verdana"/>
          <w:i/>
          <w:sz w:val="16"/>
          <w:szCs w:val="16"/>
          <w:vertAlign w:val="baseline"/>
        </w:rPr>
        <w:t>Cfr</w:t>
      </w:r>
      <w:r w:rsidRPr="00BE6318">
        <w:rPr>
          <w:rFonts w:ascii="Verdana" w:hAnsi="Verdana"/>
          <w:sz w:val="16"/>
          <w:szCs w:val="16"/>
        </w:rPr>
        <w:t xml:space="preserve">. Observaciones de los representantes de 2 de noviembre de 2020. </w:t>
      </w:r>
    </w:p>
  </w:footnote>
  <w:footnote w:id="31">
    <w:p w14:paraId="70C2F4CA" w14:textId="29AB392D"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Los señores Elkin de Jesús Tobón Zea, Jesús Ignacio Roldán Pérez, Juan de Jesús Lagares Almario, José Antonio Galeano López, Camilo Rojas Mendoza, Marco Tulio Galeano López, Jaime de Jesús Ramírez </w:t>
      </w:r>
      <w:proofErr w:type="spellStart"/>
      <w:r w:rsidRPr="00BE6318">
        <w:rPr>
          <w:rFonts w:ascii="Verdana" w:hAnsi="Verdana"/>
          <w:sz w:val="16"/>
          <w:szCs w:val="16"/>
        </w:rPr>
        <w:t>Ramírez</w:t>
      </w:r>
      <w:proofErr w:type="spellEnd"/>
      <w:r w:rsidRPr="00BE6318">
        <w:rPr>
          <w:rFonts w:ascii="Verdana" w:hAnsi="Verdana"/>
          <w:sz w:val="16"/>
          <w:szCs w:val="16"/>
        </w:rPr>
        <w:t xml:space="preserve">, Uber Antonio Rojas Valencia, </w:t>
      </w:r>
      <w:proofErr w:type="spellStart"/>
      <w:r w:rsidRPr="00BE6318">
        <w:rPr>
          <w:rFonts w:ascii="Verdana" w:hAnsi="Verdana"/>
          <w:sz w:val="16"/>
          <w:szCs w:val="16"/>
        </w:rPr>
        <w:t>Yimmy</w:t>
      </w:r>
      <w:proofErr w:type="spellEnd"/>
      <w:r w:rsidRPr="00BE6318">
        <w:rPr>
          <w:rFonts w:ascii="Verdana" w:hAnsi="Verdana"/>
          <w:sz w:val="16"/>
          <w:szCs w:val="16"/>
        </w:rPr>
        <w:t xml:space="preserve"> Uriel Rojas Mendoza, </w:t>
      </w:r>
      <w:proofErr w:type="spellStart"/>
      <w:r w:rsidRPr="00BE6318">
        <w:rPr>
          <w:rFonts w:ascii="Verdana" w:hAnsi="Verdana"/>
          <w:sz w:val="16"/>
          <w:szCs w:val="16"/>
        </w:rPr>
        <w:t>Jario</w:t>
      </w:r>
      <w:proofErr w:type="spellEnd"/>
      <w:r w:rsidRPr="00BE6318">
        <w:rPr>
          <w:rFonts w:ascii="Verdana" w:hAnsi="Verdana"/>
          <w:sz w:val="16"/>
          <w:szCs w:val="16"/>
        </w:rPr>
        <w:t xml:space="preserve"> Miguel Plaza Buelvas, Jesús Aníbal Roldán Pérez, </w:t>
      </w:r>
      <w:proofErr w:type="spellStart"/>
      <w:r w:rsidRPr="00BE6318">
        <w:rPr>
          <w:rFonts w:ascii="Verdana" w:hAnsi="Verdana"/>
          <w:sz w:val="16"/>
          <w:szCs w:val="16"/>
        </w:rPr>
        <w:t>Alpidio</w:t>
      </w:r>
      <w:proofErr w:type="spellEnd"/>
      <w:r w:rsidRPr="00BE6318">
        <w:rPr>
          <w:rFonts w:ascii="Verdana" w:hAnsi="Verdana"/>
          <w:sz w:val="16"/>
          <w:szCs w:val="16"/>
        </w:rPr>
        <w:t xml:space="preserve"> Salazar Ciro, Jesús Emiro Pereira Rivera, Fabio Enrique Rincón Pulido, Álvaro Gómez Luque, Luis Hamer Trujillo García, John Jairo Salgar Castaño, </w:t>
      </w:r>
      <w:proofErr w:type="spellStart"/>
      <w:r w:rsidRPr="00BE6318">
        <w:rPr>
          <w:rFonts w:ascii="Verdana" w:hAnsi="Verdana"/>
          <w:sz w:val="16"/>
          <w:szCs w:val="16"/>
        </w:rPr>
        <w:t>Omairo</w:t>
      </w:r>
      <w:proofErr w:type="spellEnd"/>
      <w:r w:rsidRPr="00BE6318">
        <w:rPr>
          <w:rFonts w:ascii="Verdana" w:hAnsi="Verdana"/>
          <w:sz w:val="16"/>
          <w:szCs w:val="16"/>
        </w:rPr>
        <w:t xml:space="preserve"> de Jesús Vergara </w:t>
      </w:r>
      <w:proofErr w:type="spellStart"/>
      <w:r w:rsidRPr="00BE6318">
        <w:rPr>
          <w:rFonts w:ascii="Verdana" w:hAnsi="Verdana"/>
          <w:sz w:val="16"/>
          <w:szCs w:val="16"/>
        </w:rPr>
        <w:t>Atehortija</w:t>
      </w:r>
      <w:proofErr w:type="spellEnd"/>
      <w:r w:rsidRPr="00BE6318">
        <w:rPr>
          <w:rFonts w:ascii="Verdana" w:hAnsi="Verdana"/>
          <w:sz w:val="16"/>
          <w:szCs w:val="16"/>
        </w:rPr>
        <w:t xml:space="preserve">, Gabriel Jaime Ospina Echavarría, Humberto Ortiz Grajales, </w:t>
      </w:r>
      <w:proofErr w:type="spellStart"/>
      <w:r w:rsidRPr="00BE6318">
        <w:rPr>
          <w:rFonts w:ascii="Verdana" w:hAnsi="Verdana"/>
          <w:sz w:val="16"/>
          <w:szCs w:val="16"/>
        </w:rPr>
        <w:t>Helmer</w:t>
      </w:r>
      <w:proofErr w:type="spellEnd"/>
      <w:r w:rsidRPr="00BE6318">
        <w:rPr>
          <w:rFonts w:ascii="Verdana" w:hAnsi="Verdana"/>
          <w:sz w:val="16"/>
          <w:szCs w:val="16"/>
        </w:rPr>
        <w:t xml:space="preserve"> de Jesús Ospina Bedoya, Jorge Humberto Ochoa Álvarez, José de la Cruz Muriel y Pedro Honorato </w:t>
      </w:r>
      <w:proofErr w:type="spellStart"/>
      <w:r w:rsidRPr="00BE6318">
        <w:rPr>
          <w:rFonts w:ascii="Verdana" w:hAnsi="Verdana"/>
          <w:sz w:val="16"/>
          <w:szCs w:val="16"/>
        </w:rPr>
        <w:t>Botia</w:t>
      </w:r>
      <w:proofErr w:type="spellEnd"/>
      <w:r w:rsidRPr="00BE6318">
        <w:rPr>
          <w:rFonts w:ascii="Verdana" w:hAnsi="Verdana"/>
          <w:sz w:val="16"/>
          <w:szCs w:val="16"/>
        </w:rPr>
        <w:t xml:space="preserve"> Tarazona. </w:t>
      </w:r>
      <w:r w:rsidRPr="00BE6318">
        <w:rPr>
          <w:rFonts w:ascii="Verdana" w:hAnsi="Verdana"/>
          <w:i/>
          <w:sz w:val="16"/>
          <w:szCs w:val="16"/>
        </w:rPr>
        <w:t>Cfr</w:t>
      </w:r>
      <w:r w:rsidRPr="00BE6318">
        <w:rPr>
          <w:rFonts w:ascii="Verdana" w:hAnsi="Verdana"/>
          <w:sz w:val="16"/>
          <w:szCs w:val="16"/>
        </w:rPr>
        <w:t>. Anexo al Informe del Estado de 25 de septiembre de 2020.</w:t>
      </w:r>
    </w:p>
  </w:footnote>
  <w:footnote w:id="32">
    <w:p w14:paraId="0235EBD6" w14:textId="1954BB39"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Informe del Estado de 28 de julio de 2016. </w:t>
      </w:r>
    </w:p>
  </w:footnote>
  <w:footnote w:id="33">
    <w:p w14:paraId="69A52D5B" w14:textId="106DF893"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Resolución de la Fiscal 105 Especializada, de 25 de junio de 2018,</w:t>
      </w:r>
      <w:r w:rsidRPr="00BE6318">
        <w:rPr>
          <w:rFonts w:ascii="Verdana" w:hAnsi="Verdana"/>
          <w:b/>
          <w:sz w:val="16"/>
          <w:szCs w:val="16"/>
        </w:rPr>
        <w:t xml:space="preserve"> </w:t>
      </w:r>
      <w:r w:rsidRPr="00BE6318">
        <w:rPr>
          <w:rFonts w:ascii="Verdana" w:hAnsi="Verdana"/>
          <w:sz w:val="16"/>
          <w:szCs w:val="16"/>
        </w:rPr>
        <w:t>por medio de la cual se resuelve situación jurídica IP 1561 – Masacre de Pueblo Bello, Resolución de la Fiscalía General de la Nación de 31 de julio de 2018, y</w:t>
      </w:r>
      <w:r w:rsidRPr="00BE6318">
        <w:rPr>
          <w:rFonts w:ascii="Verdana" w:hAnsi="Verdana"/>
          <w:b/>
          <w:sz w:val="16"/>
          <w:szCs w:val="16"/>
        </w:rPr>
        <w:t xml:space="preserve"> </w:t>
      </w:r>
      <w:r w:rsidRPr="00BE6318">
        <w:rPr>
          <w:rFonts w:ascii="Verdana" w:hAnsi="Verdana"/>
          <w:sz w:val="16"/>
          <w:szCs w:val="16"/>
        </w:rPr>
        <w:t xml:space="preserve">Resolución de la Fiscal 105 Especializada, por medio de la cual se califica el mérito sumarial a seis (6) procesados militares en IP 1561 Masacre de Pueblo Bello – Turbo – Antioquia. Anexos 1 a 3 a las Observaciones de los representantes de 10 de septiembre de 2019. </w:t>
      </w:r>
    </w:p>
  </w:footnote>
  <w:footnote w:id="34">
    <w:p w14:paraId="00C9FA3F" w14:textId="69A87206"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Los señores Néstor Enrique Barrera </w:t>
      </w:r>
      <w:proofErr w:type="spellStart"/>
      <w:r w:rsidRPr="00BE6318">
        <w:rPr>
          <w:rFonts w:ascii="Verdana" w:hAnsi="Verdana"/>
          <w:sz w:val="16"/>
          <w:szCs w:val="16"/>
        </w:rPr>
        <w:t>Bega</w:t>
      </w:r>
      <w:proofErr w:type="spellEnd"/>
      <w:r w:rsidRPr="00BE6318">
        <w:rPr>
          <w:rFonts w:ascii="Verdana" w:hAnsi="Verdana"/>
          <w:sz w:val="16"/>
          <w:szCs w:val="16"/>
        </w:rPr>
        <w:t xml:space="preserve">, </w:t>
      </w:r>
      <w:proofErr w:type="spellStart"/>
      <w:r w:rsidRPr="00BE6318">
        <w:rPr>
          <w:rFonts w:ascii="Verdana" w:hAnsi="Verdana"/>
          <w:sz w:val="16"/>
          <w:szCs w:val="16"/>
        </w:rPr>
        <w:t>Edilso</w:t>
      </w:r>
      <w:proofErr w:type="spellEnd"/>
      <w:r w:rsidRPr="00BE6318">
        <w:rPr>
          <w:rFonts w:ascii="Verdana" w:hAnsi="Verdana"/>
          <w:sz w:val="16"/>
          <w:szCs w:val="16"/>
        </w:rPr>
        <w:t xml:space="preserve"> Silva Molina, José Julián Rodríguez Tamayo, Gabriel Jaime Ospina Echavarría, Edwin Orlando Cardona Patiño y Jorge Humberto Ochoa Álvarez.</w:t>
      </w:r>
    </w:p>
  </w:footnote>
  <w:footnote w:id="35">
    <w:p w14:paraId="285DB369" w14:textId="77777777" w:rsidR="001C4CB7" w:rsidRPr="00BE6318" w:rsidRDefault="001C4CB7" w:rsidP="001C4CB7">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Recurso de reposición y en subsidio de apelación interpuesto ante la Fiscal 36 Especializada, Anexo 4 a las Observaciones de los representantes de 10 de septiembre de 2019. </w:t>
      </w:r>
    </w:p>
  </w:footnote>
  <w:footnote w:id="36">
    <w:p w14:paraId="7AAB61BA" w14:textId="4B64ECE2"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Style w:val="Refdenotaalpie"/>
          <w:rFonts w:ascii="Verdana" w:hAnsi="Verdana"/>
          <w:i/>
          <w:sz w:val="16"/>
          <w:szCs w:val="16"/>
          <w:vertAlign w:val="baseline"/>
        </w:rPr>
        <w:t>Cfr</w:t>
      </w:r>
      <w:r w:rsidRPr="00BE6318">
        <w:rPr>
          <w:rFonts w:ascii="Verdana" w:hAnsi="Verdana"/>
          <w:sz w:val="16"/>
          <w:szCs w:val="16"/>
        </w:rPr>
        <w:t>. Observaciones de los representantes de 22 de diciembre de 2016,</w:t>
      </w:r>
      <w:r w:rsidRPr="00BE6318">
        <w:rPr>
          <w:rFonts w:ascii="Verdana" w:hAnsi="Verdana"/>
          <w:b/>
          <w:sz w:val="16"/>
          <w:szCs w:val="16"/>
        </w:rPr>
        <w:t xml:space="preserve"> </w:t>
      </w:r>
      <w:r w:rsidRPr="00BE6318">
        <w:rPr>
          <w:rFonts w:ascii="Verdana" w:hAnsi="Verdana"/>
          <w:sz w:val="16"/>
          <w:szCs w:val="16"/>
        </w:rPr>
        <w:t>y Observaciones de los representantes de 22 de diciembre de 2016.</w:t>
      </w:r>
    </w:p>
  </w:footnote>
  <w:footnote w:id="37">
    <w:p w14:paraId="238E66B0" w14:textId="695ADEDC"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Style w:val="Refdenotaalpie"/>
          <w:rFonts w:ascii="Verdana" w:hAnsi="Verdana"/>
          <w:i/>
          <w:sz w:val="16"/>
          <w:szCs w:val="16"/>
          <w:vertAlign w:val="baseline"/>
        </w:rPr>
        <w:t>Cfr</w:t>
      </w:r>
      <w:r w:rsidRPr="00BE6318">
        <w:rPr>
          <w:rFonts w:ascii="Verdana" w:hAnsi="Verdana"/>
          <w:sz w:val="16"/>
          <w:szCs w:val="16"/>
        </w:rPr>
        <w:t>. Observaciones de los representantes de 2 de noviembre de 2020.</w:t>
      </w:r>
    </w:p>
  </w:footnote>
  <w:footnote w:id="38">
    <w:p w14:paraId="626D8142" w14:textId="153CCB8C"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sz w:val="16"/>
          <w:szCs w:val="16"/>
          <w:lang w:val="es-ES"/>
        </w:rPr>
        <w:t>El señor Fabio Enrique Rincón Pulido.</w:t>
      </w:r>
    </w:p>
  </w:footnote>
  <w:footnote w:id="39">
    <w:p w14:paraId="36F94409" w14:textId="3DFB417D"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Style w:val="Refdenotaalpie"/>
          <w:rFonts w:ascii="Verdana" w:hAnsi="Verdana"/>
          <w:i/>
          <w:sz w:val="16"/>
          <w:szCs w:val="16"/>
          <w:vertAlign w:val="baseline"/>
        </w:rPr>
        <w:t>Cfr</w:t>
      </w:r>
      <w:r w:rsidRPr="00BE6318">
        <w:rPr>
          <w:rFonts w:ascii="Verdana" w:hAnsi="Verdana"/>
          <w:sz w:val="16"/>
          <w:szCs w:val="16"/>
        </w:rPr>
        <w:t>. Observaciones de los representantes de 2 de noviembre de 2020.</w:t>
      </w:r>
    </w:p>
  </w:footnote>
  <w:footnote w:id="40">
    <w:p w14:paraId="5A7F7910" w14:textId="791E5FFA"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Los señores Néstor Enrique Barrera Vega, José Julián Rodríguez Tamayo, Edwin Orlando Cardona Patiño y Pedro Honorato </w:t>
      </w:r>
      <w:proofErr w:type="spellStart"/>
      <w:r w:rsidRPr="00BE6318">
        <w:rPr>
          <w:rFonts w:ascii="Verdana" w:hAnsi="Verdana"/>
          <w:sz w:val="16"/>
          <w:szCs w:val="16"/>
        </w:rPr>
        <w:t>Botía</w:t>
      </w:r>
      <w:proofErr w:type="spellEnd"/>
      <w:r w:rsidRPr="00BE6318">
        <w:rPr>
          <w:rFonts w:ascii="Verdana" w:hAnsi="Verdana"/>
          <w:sz w:val="16"/>
          <w:szCs w:val="16"/>
        </w:rPr>
        <w:t xml:space="preserve"> Tarazona.</w:t>
      </w:r>
    </w:p>
  </w:footnote>
  <w:footnote w:id="41">
    <w:p w14:paraId="579BFC7A" w14:textId="4AF9B510"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Style w:val="Refdenotaalpie"/>
          <w:rFonts w:ascii="Verdana" w:hAnsi="Verdana"/>
          <w:i/>
          <w:sz w:val="16"/>
          <w:szCs w:val="16"/>
          <w:vertAlign w:val="baseline"/>
        </w:rPr>
        <w:t>Cfr</w:t>
      </w:r>
      <w:r w:rsidRPr="00BE6318">
        <w:rPr>
          <w:rFonts w:ascii="Verdana" w:hAnsi="Verdana"/>
          <w:sz w:val="16"/>
          <w:szCs w:val="16"/>
        </w:rPr>
        <w:t>. Observaciones de los representantes de 2 de noviembre de 2020.</w:t>
      </w:r>
    </w:p>
  </w:footnote>
  <w:footnote w:id="42">
    <w:p w14:paraId="1BD11356" w14:textId="78BF410F"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la Comisión Interamericana de 28 de octubre de 2016.</w:t>
      </w:r>
    </w:p>
  </w:footnote>
  <w:footnote w:id="43">
    <w:p w14:paraId="3EDF79F9" w14:textId="77777777"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Caso </w:t>
      </w:r>
      <w:proofErr w:type="spellStart"/>
      <w:r w:rsidRPr="00BE6318">
        <w:rPr>
          <w:rFonts w:ascii="Verdana" w:hAnsi="Verdana"/>
          <w:i/>
          <w:sz w:val="16"/>
          <w:szCs w:val="16"/>
        </w:rPr>
        <w:t>Goiburú</w:t>
      </w:r>
      <w:proofErr w:type="spellEnd"/>
      <w:r w:rsidRPr="00BE6318">
        <w:rPr>
          <w:rFonts w:ascii="Verdana" w:hAnsi="Verdana"/>
          <w:i/>
          <w:sz w:val="16"/>
          <w:szCs w:val="16"/>
        </w:rPr>
        <w:t xml:space="preserve"> y otros Vs. Paraguay. Fondo, Reparaciones y Costas.</w:t>
      </w:r>
      <w:r w:rsidRPr="00BE6318">
        <w:rPr>
          <w:rFonts w:ascii="Verdana" w:hAnsi="Verdana"/>
          <w:sz w:val="16"/>
          <w:szCs w:val="16"/>
        </w:rPr>
        <w:t xml:space="preserve"> Sentencia de 22 de septiembre de 2006. Serie C No. 153, párr. 128, y </w:t>
      </w:r>
      <w:r w:rsidRPr="00BE6318">
        <w:rPr>
          <w:rFonts w:ascii="Verdana" w:hAnsi="Verdana"/>
          <w:i/>
          <w:sz w:val="16"/>
          <w:szCs w:val="16"/>
        </w:rPr>
        <w:t>Casos de la Masacre de Pueblo Bello, Caso de las Masacres de Ituango y Caso Valle Jaramillo y otros Vs. Colombia. Solicitud de Medidas Provisionales y Supervisión Cumplimiento de Sentencia</w:t>
      </w:r>
      <w:r w:rsidRPr="00BE6318">
        <w:rPr>
          <w:rFonts w:ascii="Verdana" w:hAnsi="Verdana"/>
          <w:sz w:val="16"/>
          <w:szCs w:val="16"/>
        </w:rPr>
        <w:t>. Resolución de la Corte Interamericana de Derechos Humanos de 3 de septiembre de 2020, Considerando 23.</w:t>
      </w:r>
    </w:p>
  </w:footnote>
  <w:footnote w:id="44">
    <w:p w14:paraId="1E5713FC" w14:textId="2FB77016" w:rsidR="00A15E3C" w:rsidRPr="00BE6318" w:rsidRDefault="00A15E3C" w:rsidP="00A86866">
      <w:pPr>
        <w:pStyle w:val="Textonotapie"/>
        <w:tabs>
          <w:tab w:val="left" w:pos="426"/>
        </w:tabs>
        <w:spacing w:before="20" w:after="20"/>
        <w:ind w:right="53"/>
        <w:jc w:val="both"/>
        <w:rPr>
          <w:rFonts w:ascii="Verdana" w:hAnsi="Verdana"/>
          <w:b/>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Los señores Marco Tulio Galeano López, Jaime de Jesús Ramírez </w:t>
      </w:r>
      <w:proofErr w:type="spellStart"/>
      <w:r w:rsidRPr="00BE6318">
        <w:rPr>
          <w:rFonts w:ascii="Verdana" w:hAnsi="Verdana"/>
          <w:sz w:val="16"/>
          <w:szCs w:val="16"/>
        </w:rPr>
        <w:t>Ramírez</w:t>
      </w:r>
      <w:proofErr w:type="spellEnd"/>
      <w:r w:rsidRPr="00BE6318">
        <w:rPr>
          <w:rFonts w:ascii="Verdana" w:hAnsi="Verdana"/>
          <w:sz w:val="16"/>
          <w:szCs w:val="16"/>
        </w:rPr>
        <w:t xml:space="preserve">, Uber Antonio Rojas Valencia, </w:t>
      </w:r>
      <w:proofErr w:type="spellStart"/>
      <w:r w:rsidRPr="00BE6318">
        <w:rPr>
          <w:rFonts w:ascii="Verdana" w:hAnsi="Verdana"/>
          <w:sz w:val="16"/>
          <w:szCs w:val="16"/>
        </w:rPr>
        <w:t>Yimy</w:t>
      </w:r>
      <w:proofErr w:type="spellEnd"/>
      <w:r w:rsidRPr="00BE6318">
        <w:rPr>
          <w:rFonts w:ascii="Verdana" w:hAnsi="Verdana"/>
          <w:sz w:val="16"/>
          <w:szCs w:val="16"/>
        </w:rPr>
        <w:t xml:space="preserve"> Uriel Rojas Mendoza, Jairo Miguel Plaza Buelvas, Jesús Aníbal Roldán Pérez, </w:t>
      </w:r>
      <w:proofErr w:type="spellStart"/>
      <w:r w:rsidRPr="00BE6318">
        <w:rPr>
          <w:rFonts w:ascii="Verdana" w:hAnsi="Verdana"/>
          <w:sz w:val="16"/>
          <w:szCs w:val="16"/>
        </w:rPr>
        <w:t>Alpidio</w:t>
      </w:r>
      <w:proofErr w:type="spellEnd"/>
      <w:r w:rsidRPr="00BE6318">
        <w:rPr>
          <w:rFonts w:ascii="Verdana" w:hAnsi="Verdana"/>
          <w:sz w:val="16"/>
          <w:szCs w:val="16"/>
        </w:rPr>
        <w:t xml:space="preserve"> Salazar Ciro, Álvaro Gómez Luque, Luis Hamer Trujillo García, John Jairo Salgar Castaño, y </w:t>
      </w:r>
      <w:proofErr w:type="spellStart"/>
      <w:r w:rsidRPr="00BE6318">
        <w:rPr>
          <w:rFonts w:ascii="Verdana" w:hAnsi="Verdana"/>
          <w:sz w:val="16"/>
          <w:szCs w:val="16"/>
        </w:rPr>
        <w:t>Omairo</w:t>
      </w:r>
      <w:proofErr w:type="spellEnd"/>
      <w:r w:rsidRPr="00BE6318">
        <w:rPr>
          <w:rFonts w:ascii="Verdana" w:hAnsi="Verdana"/>
          <w:sz w:val="16"/>
          <w:szCs w:val="16"/>
        </w:rPr>
        <w:t xml:space="preserve"> de Jesús Vergara </w:t>
      </w:r>
      <w:proofErr w:type="spellStart"/>
      <w:r w:rsidRPr="00BE6318">
        <w:rPr>
          <w:rFonts w:ascii="Verdana" w:hAnsi="Verdana"/>
          <w:sz w:val="16"/>
          <w:szCs w:val="16"/>
        </w:rPr>
        <w:t>Atehortua</w:t>
      </w:r>
      <w:proofErr w:type="spellEnd"/>
      <w:r w:rsidRPr="00BE6318">
        <w:rPr>
          <w:rFonts w:ascii="Verdana" w:hAnsi="Verdana"/>
          <w:sz w:val="16"/>
          <w:szCs w:val="16"/>
        </w:rPr>
        <w:t xml:space="preserve">. </w:t>
      </w:r>
      <w:r w:rsidRPr="00BE6318">
        <w:rPr>
          <w:rFonts w:ascii="Verdana" w:hAnsi="Verdana"/>
          <w:i/>
          <w:sz w:val="16"/>
          <w:szCs w:val="16"/>
        </w:rPr>
        <w:t>Cfr</w:t>
      </w:r>
      <w:r w:rsidRPr="00BE6318">
        <w:rPr>
          <w:rFonts w:ascii="Verdana" w:hAnsi="Verdana"/>
          <w:sz w:val="16"/>
          <w:szCs w:val="16"/>
        </w:rPr>
        <w:t>. Anexo al Informe del Estado de 25 de septiembre de 2020.</w:t>
      </w:r>
    </w:p>
  </w:footnote>
  <w:footnote w:id="45">
    <w:p w14:paraId="0DA66BD0" w14:textId="78B52886" w:rsidR="00A15E3C" w:rsidRPr="00BE6318" w:rsidRDefault="00A15E3C" w:rsidP="00A86866">
      <w:pPr>
        <w:pStyle w:val="Textonotapie"/>
        <w:tabs>
          <w:tab w:val="left" w:pos="426"/>
        </w:tabs>
        <w:spacing w:before="20" w:after="20"/>
        <w:ind w:right="53"/>
        <w:jc w:val="both"/>
        <w:rPr>
          <w:rFonts w:ascii="Verdana" w:hAnsi="Verdana"/>
          <w:b/>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 xml:space="preserve">El señor Elkin de Jesús Henao Cano. </w:t>
      </w:r>
      <w:r w:rsidRPr="00BE6318">
        <w:rPr>
          <w:rFonts w:ascii="Verdana" w:hAnsi="Verdana"/>
          <w:i/>
          <w:sz w:val="16"/>
          <w:szCs w:val="16"/>
        </w:rPr>
        <w:t>Cfr</w:t>
      </w:r>
      <w:r w:rsidRPr="00BE6318">
        <w:rPr>
          <w:rFonts w:ascii="Verdana" w:hAnsi="Verdana"/>
          <w:sz w:val="16"/>
          <w:szCs w:val="16"/>
        </w:rPr>
        <w:t>. Anexo al Informe del Estado de 25 de septiembre de 2020.</w:t>
      </w:r>
    </w:p>
  </w:footnote>
  <w:footnote w:id="46">
    <w:p w14:paraId="39AD6707" w14:textId="5C2FCF50"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 xml:space="preserve">Cfr. </w:t>
      </w:r>
      <w:r w:rsidRPr="00BE6318">
        <w:rPr>
          <w:rFonts w:ascii="Verdana" w:hAnsi="Verdana" w:cs="Arial"/>
          <w:i/>
          <w:sz w:val="16"/>
          <w:szCs w:val="16"/>
          <w:shd w:val="clear" w:color="auto" w:fill="FFFFFF"/>
        </w:rPr>
        <w:t>Caso de la Masacre de Pueblo Bello Vs. Colombia</w:t>
      </w:r>
      <w:r w:rsidRPr="00BE6318">
        <w:rPr>
          <w:rFonts w:ascii="Verdana" w:hAnsi="Verdana" w:cs="Arial"/>
          <w:sz w:val="16"/>
          <w:szCs w:val="16"/>
          <w:shd w:val="clear" w:color="auto" w:fill="FFFFFF"/>
        </w:rPr>
        <w:t>. Sentencia de 31 de enero de 2006. Serie C No. 140, párr. 276.</w:t>
      </w:r>
    </w:p>
  </w:footnote>
  <w:footnote w:id="47">
    <w:p w14:paraId="4C56477E" w14:textId="77777777"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 Caso de la Masacre de Pueblo Bello Vs. Colombia. Interpretación de la Sentencia de Fondo, Reparaciones y Costas.</w:t>
      </w:r>
      <w:r w:rsidRPr="00BE6318">
        <w:rPr>
          <w:rFonts w:ascii="Verdana" w:hAnsi="Verdana"/>
          <w:sz w:val="16"/>
          <w:szCs w:val="16"/>
        </w:rPr>
        <w:t xml:space="preserve"> Sentencia de 25 de noviembre de 2006. Serie C No. 159, </w:t>
      </w:r>
      <w:proofErr w:type="spellStart"/>
      <w:r w:rsidRPr="00BE6318">
        <w:rPr>
          <w:rFonts w:ascii="Verdana" w:hAnsi="Verdana"/>
          <w:sz w:val="16"/>
          <w:szCs w:val="16"/>
        </w:rPr>
        <w:t>párrs</w:t>
      </w:r>
      <w:proofErr w:type="spellEnd"/>
      <w:r w:rsidRPr="00BE6318">
        <w:rPr>
          <w:rFonts w:ascii="Verdana" w:hAnsi="Verdana"/>
          <w:sz w:val="16"/>
          <w:szCs w:val="16"/>
        </w:rPr>
        <w:t>. 44 a 47.</w:t>
      </w:r>
    </w:p>
  </w:footnote>
  <w:footnote w:id="48">
    <w:p w14:paraId="2383DE62" w14:textId="11F64C36"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Style w:val="Refdenotaalpie"/>
          <w:rFonts w:ascii="Verdana" w:hAnsi="Verdana"/>
          <w:i/>
          <w:sz w:val="16"/>
          <w:szCs w:val="16"/>
          <w:vertAlign w:val="baseline"/>
        </w:rPr>
        <w:t>Caso</w:t>
      </w:r>
      <w:r w:rsidRPr="00BE6318">
        <w:rPr>
          <w:rFonts w:ascii="Verdana" w:hAnsi="Verdana" w:cs="Arial"/>
          <w:i/>
          <w:sz w:val="16"/>
          <w:szCs w:val="16"/>
          <w:shd w:val="clear" w:color="auto" w:fill="FFFFFF"/>
        </w:rPr>
        <w:t xml:space="preserve"> de la Masacre de Pueblo Bello Vs. Colombia. Supervisión de Cumplimiento de Sentencia</w:t>
      </w:r>
      <w:r w:rsidRPr="00BE6318">
        <w:rPr>
          <w:rFonts w:ascii="Verdana" w:hAnsi="Verdana" w:cs="Arial"/>
          <w:sz w:val="16"/>
          <w:szCs w:val="16"/>
          <w:shd w:val="clear" w:color="auto" w:fill="FFFFFF"/>
        </w:rPr>
        <w:t>. Resolución de la Corte Interamericana de Derechos Humanos de 9 de julio de 2009, Considerando 37.</w:t>
      </w:r>
    </w:p>
  </w:footnote>
  <w:footnote w:id="49">
    <w:p w14:paraId="7912C9D5" w14:textId="080CAAB2"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Ibid</w:t>
      </w:r>
      <w:r w:rsidRPr="00BE6318">
        <w:rPr>
          <w:rFonts w:ascii="Verdana" w:hAnsi="Verdana"/>
          <w:sz w:val="16"/>
          <w:szCs w:val="16"/>
        </w:rPr>
        <w:t>. párr. 38.</w:t>
      </w:r>
    </w:p>
  </w:footnote>
  <w:footnote w:id="50">
    <w:p w14:paraId="6099F39E" w14:textId="7B977C0D"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proofErr w:type="spellStart"/>
      <w:r w:rsidRPr="00BE6318">
        <w:rPr>
          <w:rFonts w:ascii="Verdana" w:hAnsi="Verdana"/>
          <w:i/>
          <w:sz w:val="16"/>
          <w:szCs w:val="16"/>
        </w:rPr>
        <w:t>Idem</w:t>
      </w:r>
      <w:proofErr w:type="spellEnd"/>
      <w:r w:rsidRPr="00BE6318">
        <w:rPr>
          <w:rFonts w:ascii="Verdana" w:hAnsi="Verdana"/>
          <w:sz w:val="16"/>
          <w:szCs w:val="16"/>
        </w:rPr>
        <w:t>.</w:t>
      </w:r>
    </w:p>
  </w:footnote>
  <w:footnote w:id="51">
    <w:p w14:paraId="25017F59" w14:textId="43F65654"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OFI 19-56534 MDN-DVPAIDH-GDOI, de 20 de junio de 2019, elaborado por el Ministerio de Defensa Nacional, Anexo al Informe del Estado de 27 de junio de 2019.</w:t>
      </w:r>
    </w:p>
  </w:footnote>
  <w:footnote w:id="52">
    <w:p w14:paraId="7AE397D4" w14:textId="5C5AA8A9"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Nota </w:t>
      </w:r>
      <w:r w:rsidRPr="00BE6318">
        <w:rPr>
          <w:rFonts w:ascii="Verdana" w:eastAsia="Times New Roman" w:hAnsi="Verdana" w:cs="Arial"/>
          <w:sz w:val="16"/>
          <w:szCs w:val="16"/>
          <w:lang w:val="es-CR" w:eastAsia="es-CR"/>
        </w:rPr>
        <w:t xml:space="preserve">S-GSOR0-16-068622, de 28 de julio de 2016, </w:t>
      </w:r>
      <w:r w:rsidRPr="00BE6318">
        <w:rPr>
          <w:rFonts w:ascii="Verdana" w:hAnsi="Verdana"/>
          <w:sz w:val="16"/>
          <w:szCs w:val="16"/>
        </w:rPr>
        <w:t xml:space="preserve">Anexo al Escrito de 28 de julio de 2016 </w:t>
      </w:r>
    </w:p>
  </w:footnote>
  <w:footnote w:id="53">
    <w:p w14:paraId="457F3340" w14:textId="6BBE31A1"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OFI 19-56534 MDN-DVPAIDH-GDOI, de 20 de junio de 2019, elaborado por el Ministerio de Defensa Nacional, Anexo al Informe del Estado de 27 de junio de 2019.</w:t>
      </w:r>
    </w:p>
  </w:footnote>
  <w:footnote w:id="54">
    <w:p w14:paraId="3BDE07C0" w14:textId="77777777"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proofErr w:type="spellStart"/>
      <w:r w:rsidRPr="00BE6318">
        <w:rPr>
          <w:rStyle w:val="Refdenotaalpie"/>
          <w:rFonts w:ascii="Verdana" w:hAnsi="Verdana"/>
          <w:i/>
          <w:sz w:val="16"/>
          <w:szCs w:val="16"/>
          <w:vertAlign w:val="baseline"/>
        </w:rPr>
        <w:t>Idem</w:t>
      </w:r>
      <w:proofErr w:type="spellEnd"/>
      <w:r w:rsidRPr="00BE6318">
        <w:rPr>
          <w:rFonts w:ascii="Verdana" w:hAnsi="Verdana"/>
          <w:sz w:val="16"/>
          <w:szCs w:val="16"/>
        </w:rPr>
        <w:t xml:space="preserve">. </w:t>
      </w:r>
    </w:p>
  </w:footnote>
  <w:footnote w:id="55">
    <w:p w14:paraId="4FDC20FF" w14:textId="7A82EBF7"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Nota No. OFl19-79487 del 4 de septiembre del 2019 proveniente del Ministerio de Defensa Nacional, Anexo al Informe del Estado de 28 de octubre de 2019</w:t>
      </w:r>
      <w:r w:rsidRPr="00BE6318">
        <w:rPr>
          <w:rFonts w:ascii="Verdana" w:hAnsi="Verdana"/>
          <w:b/>
          <w:sz w:val="16"/>
          <w:szCs w:val="16"/>
        </w:rPr>
        <w:t xml:space="preserve">. </w:t>
      </w:r>
    </w:p>
  </w:footnote>
  <w:footnote w:id="56">
    <w:p w14:paraId="4AEAC515" w14:textId="0BA353F3"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Nota No. OFl19-79487 del 4 de septiembre del 2019 proveniente del Ministerio de Defensa Nacional, Anexo al Informe del Estado de 28 de octubre de 2019.</w:t>
      </w:r>
      <w:r w:rsidRPr="00BE6318">
        <w:rPr>
          <w:rFonts w:ascii="Verdana" w:hAnsi="Verdana"/>
          <w:b/>
          <w:sz w:val="16"/>
          <w:szCs w:val="16"/>
        </w:rPr>
        <w:t xml:space="preserve"> </w:t>
      </w:r>
    </w:p>
  </w:footnote>
  <w:footnote w:id="57">
    <w:p w14:paraId="2B97866E" w14:textId="528103BF"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los representantes de 7 de julio de 2017, Observaciones de los representantes de 10 de abril de 2019, Observaciones de los representantes de 10 de septiembre de 2019, y Observaciones de los representantes de 13 de enero de 2020.</w:t>
      </w:r>
    </w:p>
  </w:footnote>
  <w:footnote w:id="58">
    <w:p w14:paraId="6F0CEE98" w14:textId="05B975CC"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los representantes de 7 de julio de 2017. Ver también, Observaciones de los representantes de 10 de septiembre de 2019</w:t>
      </w:r>
      <w:r w:rsidR="000629E2">
        <w:rPr>
          <w:rFonts w:ascii="Verdana" w:hAnsi="Verdana"/>
          <w:sz w:val="16"/>
          <w:szCs w:val="16"/>
        </w:rPr>
        <w:t>.</w:t>
      </w:r>
    </w:p>
  </w:footnote>
  <w:footnote w:id="59">
    <w:p w14:paraId="5E2A25BE" w14:textId="08310BC7"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los representantes de 7 de julio de 2017</w:t>
      </w:r>
      <w:r w:rsidRPr="00BE6318">
        <w:rPr>
          <w:rFonts w:ascii="Verdana" w:hAnsi="Verdana"/>
          <w:b/>
          <w:sz w:val="16"/>
          <w:szCs w:val="16"/>
        </w:rPr>
        <w:t xml:space="preserve"> </w:t>
      </w:r>
      <w:r w:rsidRPr="00BE6318">
        <w:rPr>
          <w:rFonts w:ascii="Verdana" w:hAnsi="Verdana"/>
          <w:sz w:val="16"/>
          <w:szCs w:val="16"/>
        </w:rPr>
        <w:t>y</w:t>
      </w:r>
      <w:r w:rsidRPr="00BE6318">
        <w:rPr>
          <w:rFonts w:ascii="Verdana" w:hAnsi="Verdana"/>
          <w:b/>
          <w:sz w:val="16"/>
          <w:szCs w:val="16"/>
        </w:rPr>
        <w:t xml:space="preserve"> </w:t>
      </w:r>
      <w:r w:rsidRPr="00BE6318">
        <w:rPr>
          <w:rFonts w:ascii="Verdana" w:hAnsi="Verdana"/>
          <w:sz w:val="16"/>
          <w:szCs w:val="16"/>
        </w:rPr>
        <w:t>Observaciones de los representantes de 10 de abril de 2019.</w:t>
      </w:r>
    </w:p>
  </w:footnote>
  <w:footnote w:id="60">
    <w:p w14:paraId="11F6D2DA" w14:textId="5C9D91A8"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Observaciones de los representantes de 7 de julio de 2017. </w:t>
      </w:r>
    </w:p>
  </w:footnote>
  <w:footnote w:id="61">
    <w:p w14:paraId="4503AD18" w14:textId="0489AA00"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los representantes de 10 de septiembre de 2019;</w:t>
      </w:r>
      <w:r w:rsidRPr="00BE6318">
        <w:rPr>
          <w:rFonts w:ascii="Verdana" w:hAnsi="Verdana"/>
          <w:b/>
          <w:sz w:val="16"/>
          <w:szCs w:val="16"/>
        </w:rPr>
        <w:t xml:space="preserve"> </w:t>
      </w:r>
      <w:r w:rsidRPr="00BE6318">
        <w:rPr>
          <w:rFonts w:ascii="Verdana" w:hAnsi="Verdana"/>
          <w:sz w:val="16"/>
          <w:szCs w:val="16"/>
        </w:rPr>
        <w:t>y Observaciones de los representantes de 13 de enero de 2020.</w:t>
      </w:r>
    </w:p>
  </w:footnote>
  <w:footnote w:id="62">
    <w:p w14:paraId="39143887" w14:textId="5B5F2A0D"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la Comisión de 24 de diciembre de 2017.</w:t>
      </w:r>
    </w:p>
  </w:footnote>
  <w:footnote w:id="63">
    <w:p w14:paraId="57C95F78" w14:textId="6CDD0B56"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Anexo 1 al Informe del Estado de 6 de abril de 2017. </w:t>
      </w:r>
    </w:p>
  </w:footnote>
  <w:footnote w:id="64">
    <w:p w14:paraId="636062EC" w14:textId="2AC182B7"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Informe del Estado de 6 de abril de 2017.</w:t>
      </w:r>
    </w:p>
  </w:footnote>
  <w:footnote w:id="65">
    <w:p w14:paraId="03BFD9E5" w14:textId="5CC06BA3"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Observaciones de los representantes de 7 de julio de 2017. </w:t>
      </w:r>
    </w:p>
  </w:footnote>
  <w:footnote w:id="66">
    <w:p w14:paraId="7216D7B7" w14:textId="3AF9AD6F"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Informe del Estado de 6 de abril de 2017.</w:t>
      </w:r>
    </w:p>
  </w:footnote>
  <w:footnote w:id="67">
    <w:p w14:paraId="715E8A27" w14:textId="0AF5DDCE"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Informe del Estado de 6 de abril de 2017.</w:t>
      </w:r>
    </w:p>
  </w:footnote>
  <w:footnote w:id="68">
    <w:p w14:paraId="52E6F1FA" w14:textId="2983AE55"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 xml:space="preserve">Informes del Estado de </w:t>
      </w:r>
      <w:r w:rsidRPr="00BE6318">
        <w:rPr>
          <w:rFonts w:ascii="Verdana" w:eastAsia="Times New Roman" w:hAnsi="Verdana" w:cs="Arial"/>
          <w:sz w:val="16"/>
          <w:szCs w:val="16"/>
          <w:lang w:val="es-CR" w:eastAsia="es-CR"/>
        </w:rPr>
        <w:t xml:space="preserve">6 de abril de 2017, de </w:t>
      </w:r>
      <w:r w:rsidRPr="00BE6318">
        <w:rPr>
          <w:rFonts w:ascii="Verdana" w:hAnsi="Verdana"/>
          <w:sz w:val="16"/>
          <w:szCs w:val="16"/>
        </w:rPr>
        <w:t>23 de mayo de 2017,</w:t>
      </w:r>
      <w:r w:rsidRPr="00BE6318">
        <w:rPr>
          <w:rFonts w:ascii="Verdana" w:eastAsia="Times New Roman" w:hAnsi="Verdana" w:cs="Arial"/>
          <w:sz w:val="16"/>
          <w:szCs w:val="16"/>
          <w:lang w:val="es-CR" w:eastAsia="es-CR"/>
        </w:rPr>
        <w:t xml:space="preserve"> y de </w:t>
      </w:r>
      <w:r w:rsidRPr="00BE6318">
        <w:rPr>
          <w:rFonts w:ascii="Verdana" w:hAnsi="Verdana"/>
          <w:sz w:val="16"/>
          <w:szCs w:val="16"/>
        </w:rPr>
        <w:t>28 de octubre de 2019.</w:t>
      </w:r>
      <w:r w:rsidRPr="00BE6318">
        <w:rPr>
          <w:rFonts w:ascii="Verdana" w:hAnsi="Verdana"/>
          <w:b/>
          <w:sz w:val="16"/>
          <w:szCs w:val="16"/>
        </w:rPr>
        <w:t xml:space="preserve"> </w:t>
      </w:r>
    </w:p>
  </w:footnote>
  <w:footnote w:id="69">
    <w:p w14:paraId="00C7006D" w14:textId="77777777" w:rsidR="000546C9" w:rsidRPr="00BE6318" w:rsidRDefault="000546C9" w:rsidP="000546C9">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xml:space="preserve">. Observaciones de los representantes de 7 de julio de 2017. </w:t>
      </w:r>
    </w:p>
  </w:footnote>
  <w:footnote w:id="70">
    <w:p w14:paraId="00DDEEBF" w14:textId="0969D323"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proofErr w:type="spellStart"/>
      <w:r w:rsidR="000546C9">
        <w:rPr>
          <w:rFonts w:ascii="Verdana" w:hAnsi="Verdana"/>
          <w:i/>
          <w:sz w:val="16"/>
          <w:szCs w:val="16"/>
        </w:rPr>
        <w:t>Idem</w:t>
      </w:r>
      <w:proofErr w:type="spellEnd"/>
      <w:r w:rsidRPr="00BE6318">
        <w:rPr>
          <w:rFonts w:ascii="Verdana" w:hAnsi="Verdana"/>
          <w:sz w:val="16"/>
          <w:szCs w:val="16"/>
        </w:rPr>
        <w:t xml:space="preserve">. </w:t>
      </w:r>
    </w:p>
  </w:footnote>
  <w:footnote w:id="71">
    <w:p w14:paraId="5D1CD094" w14:textId="2270108D"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los representantes de 7 de julio de 2017.</w:t>
      </w:r>
      <w:r w:rsidRPr="00BE6318">
        <w:rPr>
          <w:rFonts w:ascii="Verdana" w:hAnsi="Verdana"/>
          <w:b/>
          <w:sz w:val="16"/>
          <w:szCs w:val="16"/>
        </w:rPr>
        <w:t xml:space="preserve"> </w:t>
      </w:r>
      <w:r w:rsidRPr="00BE6318">
        <w:rPr>
          <w:rFonts w:ascii="Verdana" w:hAnsi="Verdana"/>
          <w:sz w:val="16"/>
          <w:szCs w:val="16"/>
        </w:rPr>
        <w:t>La anterior solicitud fue reiterada en sus Observaciones de los representantes de 10 de abril de 2019.</w:t>
      </w:r>
    </w:p>
  </w:footnote>
  <w:footnote w:id="72">
    <w:p w14:paraId="357AAAA3" w14:textId="35DAE8FB"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Observaciones de la Comisión de 24 de diciembre de 2017.</w:t>
      </w:r>
    </w:p>
  </w:footnote>
  <w:footnote w:id="73">
    <w:p w14:paraId="643CE103" w14:textId="77777777" w:rsidR="00A15E3C" w:rsidRPr="00BE6318" w:rsidRDefault="00A15E3C" w:rsidP="00A86866">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Style w:val="Refdenotaalpie"/>
          <w:rFonts w:ascii="Verdana" w:hAnsi="Verdana"/>
          <w:i/>
          <w:sz w:val="16"/>
          <w:szCs w:val="16"/>
          <w:vertAlign w:val="baseline"/>
        </w:rPr>
        <w:t>Caso</w:t>
      </w:r>
      <w:r w:rsidRPr="00BE6318">
        <w:rPr>
          <w:rFonts w:ascii="Verdana" w:hAnsi="Verdana" w:cs="Arial"/>
          <w:i/>
          <w:sz w:val="16"/>
          <w:szCs w:val="16"/>
          <w:shd w:val="clear" w:color="auto" w:fill="FFFFFF"/>
        </w:rPr>
        <w:t xml:space="preserve"> de la Masacre de Pueblo Bello Vs. Colombia. Supervisión de Cumplimiento de Sentencia</w:t>
      </w:r>
      <w:r w:rsidRPr="00BE6318">
        <w:rPr>
          <w:rFonts w:ascii="Verdana" w:hAnsi="Verdana" w:cs="Arial"/>
          <w:sz w:val="16"/>
          <w:szCs w:val="16"/>
          <w:shd w:val="clear" w:color="auto" w:fill="FFFFFF"/>
        </w:rPr>
        <w:t>. Resolución de la Corte Interamericana de Derechos Humanos de 9 de julio de 2009, Considerando 49.</w:t>
      </w:r>
    </w:p>
  </w:footnote>
  <w:footnote w:id="74">
    <w:p w14:paraId="67FCA338" w14:textId="44FB86B9" w:rsidR="00A15E3C" w:rsidRPr="00BE6318" w:rsidRDefault="00A15E3C" w:rsidP="00A86866">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Contrato de prestación de servicios profesionales y de apoyo a la gestión No. 3132 de 2017 celebrado entre el Ministerio de Cultura y Germán Botero Giraldo. Informe del Estado de 5 de abril de 2018.</w:t>
      </w:r>
      <w:r w:rsidRPr="00BE6318">
        <w:rPr>
          <w:rFonts w:ascii="Verdana" w:hAnsi="Verdana"/>
          <w:b/>
          <w:sz w:val="16"/>
          <w:szCs w:val="16"/>
        </w:rPr>
        <w:t xml:space="preserve"> </w:t>
      </w:r>
      <w:r w:rsidRPr="00BE6318">
        <w:rPr>
          <w:rFonts w:ascii="Verdana" w:hAnsi="Verdana"/>
          <w:sz w:val="16"/>
          <w:szCs w:val="16"/>
        </w:rPr>
        <w:t>Ver también, Observaciones de los representantes de 18 de mayo de 2018</w:t>
      </w:r>
      <w:r w:rsidRPr="00BE6318">
        <w:rPr>
          <w:rFonts w:ascii="Verdana" w:hAnsi="Verdana"/>
          <w:b/>
          <w:sz w:val="16"/>
          <w:szCs w:val="16"/>
        </w:rPr>
        <w:t xml:space="preserve"> </w:t>
      </w:r>
      <w:r w:rsidRPr="00BE6318">
        <w:rPr>
          <w:rFonts w:ascii="Verdana" w:hAnsi="Verdana"/>
          <w:sz w:val="16"/>
          <w:szCs w:val="16"/>
        </w:rPr>
        <w:t>e Informe del Estado de cumplimiento de las sentencias de la Corte IDH contra Colombia, presentado el 14 de mayo de 20019 por el Defensor del Pueblo al Pleno de la Corte durante su 61 Período Extraordinario de Sesiones.</w:t>
      </w:r>
    </w:p>
  </w:footnote>
  <w:footnote w:id="75">
    <w:p w14:paraId="0E912668" w14:textId="4BAFB864" w:rsidR="00A15E3C" w:rsidRPr="00BE6318" w:rsidRDefault="00A15E3C" w:rsidP="00BE6318">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Observaciones de los representantes de 22 de diciembre de 2016.</w:t>
      </w:r>
      <w:r w:rsidRPr="00BE6318">
        <w:rPr>
          <w:rFonts w:ascii="Verdana" w:hAnsi="Verdana"/>
          <w:b/>
          <w:sz w:val="16"/>
          <w:szCs w:val="16"/>
        </w:rPr>
        <w:t xml:space="preserve"> </w:t>
      </w:r>
      <w:r w:rsidRPr="00BE6318">
        <w:rPr>
          <w:rFonts w:ascii="Verdana" w:hAnsi="Verdana"/>
          <w:sz w:val="16"/>
          <w:szCs w:val="16"/>
        </w:rPr>
        <w:t xml:space="preserve">Ver también, Informe del Estado de cumplimiento de las sentencias de la Corte IDH contra Colombia, presentado el 14 de mayo de 20019 por el Defensor del Pueblo al Pleno de la Corte durante su 61 Período Extraordinario de Sesiones. </w:t>
      </w:r>
    </w:p>
  </w:footnote>
  <w:footnote w:id="76">
    <w:p w14:paraId="2B356A60" w14:textId="2F41AB3F" w:rsidR="00A15E3C" w:rsidRPr="00BE6318" w:rsidRDefault="00A15E3C" w:rsidP="00BE6318">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Observaciones de los representantes de 18 de mayo de 2018.</w:t>
      </w:r>
    </w:p>
  </w:footnote>
  <w:footnote w:id="77">
    <w:p w14:paraId="3B3EBC18" w14:textId="2CB6DF62" w:rsidR="00A15E3C" w:rsidRPr="00BE6318" w:rsidRDefault="00A15E3C" w:rsidP="00BE6318">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Informe del Estado de 28 de julio de 2016</w:t>
      </w:r>
      <w:r w:rsidR="000629E2">
        <w:rPr>
          <w:rFonts w:ascii="Verdana" w:hAnsi="Verdana"/>
          <w:sz w:val="16"/>
          <w:szCs w:val="16"/>
        </w:rPr>
        <w:t xml:space="preserve"> </w:t>
      </w:r>
      <w:r w:rsidRPr="00BE6318">
        <w:rPr>
          <w:rFonts w:ascii="Verdana" w:hAnsi="Verdana"/>
          <w:sz w:val="16"/>
          <w:szCs w:val="16"/>
        </w:rPr>
        <w:t xml:space="preserve">y Observaciones de los representantes de 22 de </w:t>
      </w:r>
      <w:r w:rsidRPr="00BE6318">
        <w:rPr>
          <w:rStyle w:val="Refdenotaalpie"/>
          <w:rFonts w:ascii="Verdana" w:hAnsi="Verdana"/>
          <w:sz w:val="16"/>
          <w:szCs w:val="16"/>
          <w:vertAlign w:val="baseline"/>
        </w:rPr>
        <w:t>diciembre</w:t>
      </w:r>
      <w:r w:rsidRPr="00BE6318">
        <w:rPr>
          <w:rFonts w:ascii="Verdana" w:hAnsi="Verdana"/>
          <w:sz w:val="16"/>
          <w:szCs w:val="16"/>
        </w:rPr>
        <w:t xml:space="preserve"> de 2016. </w:t>
      </w:r>
    </w:p>
  </w:footnote>
  <w:footnote w:id="78">
    <w:p w14:paraId="70C2A8AD" w14:textId="6BB2902C" w:rsidR="00A15E3C" w:rsidRPr="00BE6318" w:rsidRDefault="00A15E3C" w:rsidP="00BE6318">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Informe del Estado de 28 de julio de 2016.</w:t>
      </w:r>
    </w:p>
  </w:footnote>
  <w:footnote w:id="79">
    <w:p w14:paraId="76CDEB62" w14:textId="0724CC86" w:rsidR="00A15E3C" w:rsidRPr="00BE6318" w:rsidRDefault="00A15E3C" w:rsidP="00BE6318">
      <w:pPr>
        <w:pStyle w:val="Textonotapie"/>
        <w:tabs>
          <w:tab w:val="left" w:pos="426"/>
        </w:tabs>
        <w:spacing w:before="20" w:after="20"/>
        <w:ind w:right="-89"/>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Informe del Estado de 6 de abril de 2017.</w:t>
      </w:r>
    </w:p>
  </w:footnote>
  <w:footnote w:id="80">
    <w:p w14:paraId="54CBF63A" w14:textId="7783275E"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Informe del Estado de 6 de abril de 2017.</w:t>
      </w:r>
    </w:p>
  </w:footnote>
  <w:footnote w:id="81">
    <w:p w14:paraId="2FB1F101" w14:textId="39376B4E"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 xml:space="preserve">Observaciones de los representantes de 11 de septiembre de 2019. </w:t>
      </w:r>
    </w:p>
  </w:footnote>
  <w:footnote w:id="82">
    <w:p w14:paraId="58777659" w14:textId="29E8269E" w:rsidR="00A15E3C" w:rsidRPr="00BE6318" w:rsidRDefault="00A15E3C" w:rsidP="00BE6318">
      <w:pPr>
        <w:pStyle w:val="Textonotapie"/>
        <w:tabs>
          <w:tab w:val="left" w:pos="426"/>
        </w:tabs>
        <w:spacing w:before="20" w:after="20"/>
        <w:ind w:right="53"/>
        <w:jc w:val="both"/>
        <w:rPr>
          <w:rFonts w:ascii="Verdana" w:hAnsi="Verdana"/>
          <w:sz w:val="16"/>
          <w:szCs w:val="16"/>
          <w:lang w:val="es-CR"/>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Observaciones de los representantes de 11 de septiembre de 2019.</w:t>
      </w:r>
    </w:p>
  </w:footnote>
  <w:footnote w:id="83">
    <w:p w14:paraId="7A041D01" w14:textId="1A1CA07E" w:rsidR="00A15E3C" w:rsidRPr="00BE6318" w:rsidRDefault="00A15E3C" w:rsidP="00BE6318">
      <w:pPr>
        <w:pStyle w:val="Textonotapie"/>
        <w:tabs>
          <w:tab w:val="left" w:pos="426"/>
        </w:tabs>
        <w:spacing w:before="20" w:after="20"/>
        <w:ind w:right="53"/>
        <w:jc w:val="both"/>
        <w:rPr>
          <w:rFonts w:ascii="Verdana" w:hAnsi="Verdana"/>
          <w:sz w:val="16"/>
          <w:szCs w:val="16"/>
          <w:lang w:val="es-CR"/>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sz w:val="16"/>
          <w:szCs w:val="16"/>
        </w:rPr>
        <w:t>Observaciones de los representantes de 18 de mayo de 2018. Lo anterior fue confirmado por la Defensoría del Pueblo de Colombia, la cual señaló que “el terreno dispuesto para el monumento fue invadido por la comunidad y el alcalde encargado no quiere intervenir. Informe del Estado de cumplimiento de las sentencias de la Corte IDH contra Colombia, presentado el 14 de mayo de 20019 por el Defensor del Pueblo al Pleno de la Corte durante su 61 Período Extraordinario de Sesiones.</w:t>
      </w:r>
    </w:p>
  </w:footnote>
  <w:footnote w:id="84">
    <w:p w14:paraId="0AD9A60E" w14:textId="6A56E9E6" w:rsidR="00A15E3C" w:rsidRPr="00BE6318" w:rsidRDefault="00A15E3C" w:rsidP="00BE6318">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Informe del Estado de cumplimiento de las sentencias de la Corte IDH contra Colombia, presentado el 14 de mayo de 20019 por el Defensor del Pueblo al Pleno de la Corte durante su 61 Período Extraordinario de Sesiones.</w:t>
      </w:r>
    </w:p>
  </w:footnote>
  <w:footnote w:id="85">
    <w:p w14:paraId="389DA4CC" w14:textId="492D73F9" w:rsidR="00A15E3C" w:rsidRPr="00BE6318" w:rsidRDefault="00A15E3C" w:rsidP="00A86866">
      <w:pPr>
        <w:pStyle w:val="Textonotapie"/>
        <w:tabs>
          <w:tab w:val="left" w:pos="426"/>
        </w:tabs>
        <w:spacing w:before="20" w:after="20"/>
        <w:ind w:right="53"/>
        <w:jc w:val="both"/>
        <w:rPr>
          <w:rFonts w:ascii="Verdana" w:hAnsi="Verdana"/>
          <w:sz w:val="16"/>
          <w:szCs w:val="16"/>
        </w:rPr>
      </w:pPr>
      <w:r w:rsidRPr="00BE6318">
        <w:rPr>
          <w:rStyle w:val="Refdenotaalpie"/>
          <w:rFonts w:ascii="Verdana" w:hAnsi="Verdana"/>
          <w:sz w:val="16"/>
          <w:szCs w:val="16"/>
        </w:rPr>
        <w:footnoteRef/>
      </w:r>
      <w:r w:rsidR="000629E2">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rPr>
        <w:t>Cfr</w:t>
      </w:r>
      <w:r w:rsidRPr="00BE6318">
        <w:rPr>
          <w:rFonts w:ascii="Verdana" w:hAnsi="Verdana"/>
          <w:sz w:val="16"/>
          <w:szCs w:val="16"/>
        </w:rPr>
        <w:t>. Caso de la Masacre de Pueblo Bello Vs. Colombia. Supervisión de Cumplimiento de Sentencia. Resolución de la Corte Interamericana de Derechos Humanos de 9 de julio de 2009, párr. 60.</w:t>
      </w:r>
    </w:p>
  </w:footnote>
  <w:footnote w:id="86">
    <w:p w14:paraId="5AC40FC5" w14:textId="77777777" w:rsidR="00A15E3C" w:rsidRPr="00BE6318" w:rsidRDefault="00A15E3C" w:rsidP="00A86866">
      <w:pPr>
        <w:pStyle w:val="Textonotapie"/>
        <w:tabs>
          <w:tab w:val="left" w:pos="426"/>
        </w:tabs>
        <w:spacing w:before="20" w:after="20"/>
        <w:ind w:right="53"/>
        <w:jc w:val="both"/>
        <w:rPr>
          <w:rFonts w:ascii="Verdana" w:hAnsi="Verdana"/>
          <w:sz w:val="16"/>
          <w:szCs w:val="16"/>
          <w:lang w:val="es-ES_tradnl"/>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i/>
          <w:sz w:val="16"/>
          <w:szCs w:val="16"/>
        </w:rPr>
        <w:t>Caso de la Masacre de Pueblo Bello Vs. Colombia. Supervisión de Cumplimiento de Sentencia</w:t>
      </w:r>
      <w:r w:rsidRPr="00BE6318">
        <w:rPr>
          <w:rFonts w:ascii="Verdana" w:hAnsi="Verdana"/>
          <w:sz w:val="16"/>
          <w:szCs w:val="16"/>
        </w:rPr>
        <w:t>. Resolución de la Corte Interamericana de Derechos Humanos de 9 de julio de 2009, párr. 60. En particular, el Tribunal consideró que “el Estado debe pagar los intereses correspondientes al interés bancario moratorio en Colombia y al período de tiempo transcurrido entre el 27 de febrero de 2007 -fecha de vencimiento del plazo dispuesto en la Sentencia para realizar el pago- y la fecha en que el Estado realizó efectivamente el pago o comunicó a cada uno de los beneficiarios o, en su caso, a sus representantes, según cada caso individual, que los pagos estaban a su plena disposición para ser retirados o hechos efectivos” (</w:t>
      </w:r>
      <w:r w:rsidRPr="00BE6318">
        <w:rPr>
          <w:rFonts w:ascii="Verdana" w:hAnsi="Verdana"/>
          <w:i/>
          <w:sz w:val="16"/>
          <w:szCs w:val="16"/>
        </w:rPr>
        <w:t>ibid</w:t>
      </w:r>
      <w:r w:rsidRPr="00BE6318">
        <w:rPr>
          <w:rFonts w:ascii="Verdana" w:hAnsi="Verdana"/>
          <w:sz w:val="16"/>
          <w:szCs w:val="16"/>
        </w:rPr>
        <w:t>., párr. 67). Con respecto al tipo de cambio utilizado, el Tribunal consideró que “</w:t>
      </w:r>
      <w:r w:rsidRPr="00BE6318">
        <w:rPr>
          <w:rFonts w:ascii="Verdana" w:hAnsi="Verdana"/>
          <w:sz w:val="16"/>
          <w:szCs w:val="16"/>
          <w:lang w:val="es-ES_tradnl"/>
        </w:rPr>
        <w:t>el párrafo 290 de la Sentencia señala que era el vigente en la plaza de Nueva York, Estados Unidos de América, el día anterior a la fecha del pago […] De tal manera, el Estado debe realizar los cálculos respectivos y, en su caso, liquidar la diferencia correspondiente (</w:t>
      </w:r>
      <w:r w:rsidRPr="00BE6318">
        <w:rPr>
          <w:rFonts w:ascii="Verdana" w:hAnsi="Verdana"/>
          <w:i/>
          <w:sz w:val="16"/>
          <w:szCs w:val="16"/>
        </w:rPr>
        <w:t>ibid</w:t>
      </w:r>
      <w:r w:rsidRPr="00BE6318">
        <w:rPr>
          <w:rFonts w:ascii="Verdana" w:hAnsi="Verdana"/>
          <w:sz w:val="16"/>
          <w:szCs w:val="16"/>
        </w:rPr>
        <w:t xml:space="preserve">., </w:t>
      </w:r>
      <w:proofErr w:type="spellStart"/>
      <w:r w:rsidRPr="00BE6318">
        <w:rPr>
          <w:rFonts w:ascii="Verdana" w:hAnsi="Verdana"/>
          <w:sz w:val="16"/>
          <w:szCs w:val="16"/>
          <w:lang w:val="es-ES_tradnl"/>
        </w:rPr>
        <w:t>párrs</w:t>
      </w:r>
      <w:proofErr w:type="spellEnd"/>
      <w:r w:rsidRPr="00BE6318">
        <w:rPr>
          <w:rFonts w:ascii="Verdana" w:hAnsi="Verdana"/>
          <w:sz w:val="16"/>
          <w:szCs w:val="16"/>
          <w:lang w:val="es-ES_tradnl"/>
        </w:rPr>
        <w:t xml:space="preserve">. 72 y 73). Finalmente, en lo referente a las modalidades de entrega de los pagos, el Tribunal instó al Estado a “remover todos los impedimentos de carácter administrativo o de cualquier otra índole que </w:t>
      </w:r>
      <w:proofErr w:type="spellStart"/>
      <w:r w:rsidRPr="00BE6318">
        <w:rPr>
          <w:rFonts w:ascii="Verdana" w:hAnsi="Verdana"/>
          <w:sz w:val="16"/>
          <w:szCs w:val="16"/>
          <w:lang w:val="es-ES_tradnl"/>
        </w:rPr>
        <w:t>pu</w:t>
      </w:r>
      <w:proofErr w:type="spellEnd"/>
      <w:r w:rsidRPr="00BE6318">
        <w:rPr>
          <w:rFonts w:ascii="Verdana" w:hAnsi="Verdana"/>
          <w:sz w:val="16"/>
          <w:szCs w:val="16"/>
          <w:lang w:val="es-ES_tradnl"/>
        </w:rPr>
        <w:t xml:space="preserve">[dieran] obstaculizar el eficaz cumplimiento de las obligaciones de pago a cargo de éste y, en particular, </w:t>
      </w:r>
      <w:proofErr w:type="spellStart"/>
      <w:r w:rsidRPr="00BE6318">
        <w:rPr>
          <w:rFonts w:ascii="Verdana" w:hAnsi="Verdana"/>
          <w:sz w:val="16"/>
          <w:szCs w:val="16"/>
          <w:lang w:val="es-ES_tradnl"/>
        </w:rPr>
        <w:t>estim</w:t>
      </w:r>
      <w:proofErr w:type="spellEnd"/>
      <w:r w:rsidRPr="00BE6318">
        <w:rPr>
          <w:rFonts w:ascii="Verdana" w:hAnsi="Verdana"/>
          <w:sz w:val="16"/>
          <w:szCs w:val="16"/>
          <w:lang w:val="es-ES_tradnl"/>
        </w:rPr>
        <w:t>[</w:t>
      </w:r>
      <w:proofErr w:type="spellStart"/>
      <w:r w:rsidRPr="00BE6318">
        <w:rPr>
          <w:rFonts w:ascii="Verdana" w:hAnsi="Verdana"/>
          <w:sz w:val="16"/>
          <w:szCs w:val="16"/>
          <w:lang w:val="es-ES_tradnl"/>
        </w:rPr>
        <w:t>ó</w:t>
      </w:r>
      <w:proofErr w:type="spellEnd"/>
      <w:r w:rsidRPr="00BE6318">
        <w:rPr>
          <w:rFonts w:ascii="Verdana" w:hAnsi="Verdana"/>
          <w:sz w:val="16"/>
          <w:szCs w:val="16"/>
          <w:lang w:val="es-ES_tradnl"/>
        </w:rPr>
        <w:t>] que en caso de que las víctimas o sus familiares h[</w:t>
      </w:r>
      <w:proofErr w:type="spellStart"/>
      <w:r w:rsidRPr="00BE6318">
        <w:rPr>
          <w:rFonts w:ascii="Verdana" w:hAnsi="Verdana"/>
          <w:sz w:val="16"/>
          <w:szCs w:val="16"/>
          <w:lang w:val="es-ES_tradnl"/>
        </w:rPr>
        <w:t>ubieran</w:t>
      </w:r>
      <w:proofErr w:type="spellEnd"/>
      <w:r w:rsidRPr="00BE6318">
        <w:rPr>
          <w:rFonts w:ascii="Verdana" w:hAnsi="Verdana"/>
          <w:sz w:val="16"/>
          <w:szCs w:val="16"/>
          <w:lang w:val="es-ES_tradnl"/>
        </w:rPr>
        <w:t xml:space="preserve">] otorgado un mandato escrito específico a una tercera persona para recibir los pagos dispuestos en la mencionada Sentencia, con posterioridad a la notificación de la misma, conforme a los requisitos legales establecidos en el derecho interno, el pago </w:t>
      </w:r>
      <w:proofErr w:type="spellStart"/>
      <w:r w:rsidRPr="00BE6318">
        <w:rPr>
          <w:rFonts w:ascii="Verdana" w:hAnsi="Verdana"/>
          <w:sz w:val="16"/>
          <w:szCs w:val="16"/>
          <w:lang w:val="es-ES_tradnl"/>
        </w:rPr>
        <w:t>podr</w:t>
      </w:r>
      <w:proofErr w:type="spellEnd"/>
      <w:r w:rsidRPr="00BE6318">
        <w:rPr>
          <w:rFonts w:ascii="Verdana" w:hAnsi="Verdana"/>
          <w:sz w:val="16"/>
          <w:szCs w:val="16"/>
          <w:lang w:val="es-ES_tradnl"/>
        </w:rPr>
        <w:t>[</w:t>
      </w:r>
      <w:proofErr w:type="spellStart"/>
      <w:r w:rsidRPr="00BE6318">
        <w:rPr>
          <w:rFonts w:ascii="Verdana" w:hAnsi="Verdana"/>
          <w:sz w:val="16"/>
          <w:szCs w:val="16"/>
          <w:lang w:val="es-ES_tradnl"/>
        </w:rPr>
        <w:t>ía</w:t>
      </w:r>
      <w:proofErr w:type="spellEnd"/>
      <w:r w:rsidRPr="00BE6318">
        <w:rPr>
          <w:rFonts w:ascii="Verdana" w:hAnsi="Verdana"/>
          <w:sz w:val="16"/>
          <w:szCs w:val="16"/>
          <w:lang w:val="es-ES_tradnl"/>
        </w:rPr>
        <w:t>] hacerse a través sus representantes” (</w:t>
      </w:r>
      <w:r w:rsidRPr="00BE6318">
        <w:rPr>
          <w:rFonts w:ascii="Verdana" w:hAnsi="Verdana"/>
          <w:i/>
          <w:sz w:val="16"/>
          <w:szCs w:val="16"/>
          <w:lang w:val="es-ES_tradnl"/>
        </w:rPr>
        <w:t>ibid</w:t>
      </w:r>
      <w:r w:rsidRPr="00BE6318">
        <w:rPr>
          <w:rFonts w:ascii="Verdana" w:hAnsi="Verdana"/>
          <w:sz w:val="16"/>
          <w:szCs w:val="16"/>
          <w:lang w:val="es-ES_tradnl"/>
        </w:rPr>
        <w:t>. párr. 77).</w:t>
      </w:r>
    </w:p>
  </w:footnote>
  <w:footnote w:id="87">
    <w:p w14:paraId="2E9DEA9C" w14:textId="77777777"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i/>
          <w:sz w:val="16"/>
          <w:szCs w:val="16"/>
          <w:lang w:val="es-ES"/>
        </w:rPr>
        <w:t>Cfr</w:t>
      </w:r>
      <w:r w:rsidRPr="00BE6318">
        <w:rPr>
          <w:rFonts w:ascii="Verdana" w:hAnsi="Verdana"/>
          <w:sz w:val="16"/>
          <w:szCs w:val="16"/>
          <w:lang w:val="es-ES"/>
        </w:rPr>
        <w:t xml:space="preserve">. </w:t>
      </w:r>
      <w:r w:rsidRPr="00BE6318">
        <w:rPr>
          <w:rFonts w:ascii="Verdana" w:hAnsi="Verdana"/>
          <w:i/>
          <w:sz w:val="16"/>
          <w:szCs w:val="16"/>
        </w:rPr>
        <w:t>Caso de la Masacre de Pueblo Bello Vs. Colombia. Supervisión de Cumplimiento de Sentencia</w:t>
      </w:r>
      <w:r w:rsidRPr="00BE6318">
        <w:rPr>
          <w:rFonts w:ascii="Verdana" w:hAnsi="Verdana"/>
          <w:sz w:val="16"/>
          <w:szCs w:val="16"/>
        </w:rPr>
        <w:t>. Resolución de la Corte Interamericana de Derechos Humanos de 9 de julio de 2009, párr. 61.</w:t>
      </w:r>
    </w:p>
  </w:footnote>
  <w:footnote w:id="88">
    <w:p w14:paraId="7B3E27AD" w14:textId="0265FD6B" w:rsidR="00A15E3C" w:rsidRPr="00BE6318" w:rsidRDefault="00A15E3C" w:rsidP="00A86866">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lang w:val="es-ES"/>
        </w:rPr>
        <w:tab/>
      </w:r>
      <w:r w:rsidRPr="00BE6318">
        <w:rPr>
          <w:rFonts w:ascii="Verdana" w:hAnsi="Verdana"/>
          <w:i/>
          <w:sz w:val="16"/>
          <w:szCs w:val="16"/>
          <w:lang w:val="es-ES"/>
        </w:rPr>
        <w:t>Cfr</w:t>
      </w:r>
      <w:r w:rsidRPr="00BE6318">
        <w:rPr>
          <w:rFonts w:ascii="Verdana" w:hAnsi="Verdana"/>
          <w:sz w:val="16"/>
          <w:szCs w:val="16"/>
          <w:lang w:val="es-ES"/>
        </w:rPr>
        <w:t>. “Documento suscrito por el señor Ministro del Interior, Juan Fernando Cristo Bustos, y por el señor Director de la Comisión Colombiana de Juristas, Gustavo Gallón Giraldo, como consecuencia del cumplimiento del pago total y definitivo de las indemnizaciones a las víctimas ordenadas por la Corte Interamericana de Derechos Humanos en el Caso de la Masacre de Pueblo Bello Vs. Colombia”, anexo al informe del Estado de 9 de septiembre de 2015.</w:t>
      </w:r>
    </w:p>
  </w:footnote>
  <w:footnote w:id="89">
    <w:p w14:paraId="1A852338" w14:textId="26EDB46D" w:rsidR="00A15E3C" w:rsidRPr="00BE6318" w:rsidRDefault="00A15E3C" w:rsidP="00A86866">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lang w:val="es-ES"/>
        </w:rPr>
        <w:tab/>
      </w:r>
      <w:r w:rsidRPr="00BE6318">
        <w:rPr>
          <w:rFonts w:ascii="Verdana" w:hAnsi="Verdana"/>
          <w:i/>
          <w:sz w:val="16"/>
          <w:szCs w:val="16"/>
          <w:lang w:val="es-ES"/>
        </w:rPr>
        <w:t>Cfr</w:t>
      </w:r>
      <w:r w:rsidRPr="00BE6318">
        <w:rPr>
          <w:rFonts w:ascii="Verdana" w:hAnsi="Verdana"/>
          <w:sz w:val="16"/>
          <w:szCs w:val="16"/>
          <w:lang w:val="es-ES"/>
        </w:rPr>
        <w:t>. Observaciones de los representantes de 5 de noviembre de 2015.</w:t>
      </w:r>
    </w:p>
  </w:footnote>
  <w:footnote w:id="90">
    <w:p w14:paraId="00A4C921" w14:textId="208C0BA7"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Observaciones de la Comisión Interamericana de 12 de noviembre de 2015.</w:t>
      </w:r>
    </w:p>
  </w:footnote>
  <w:footnote w:id="91">
    <w:p w14:paraId="4CC4A9CA" w14:textId="37A7BD91"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sz w:val="16"/>
          <w:szCs w:val="16"/>
          <w:lang w:val="es-ES"/>
        </w:rPr>
        <w:t xml:space="preserve">“Documento suscrito por el señor Ministro del Interior, Juan Fernando Cristo Bustos, y por el señor Director de la Comisión Colombiana de Juristas, Gustavo Gallón Giraldo, como consecuencia del cumplimiento del pago total y definitivo de las indemnizaciones a las víctimas ordenadas por la Corte Interamericana de Derechos Humanos en el Caso de la Masacre de Pueblo Bello Vs. Colombia”, anexo al informe del Estado de 9 de septiembre de 2015. </w:t>
      </w:r>
    </w:p>
  </w:footnote>
  <w:footnote w:id="92">
    <w:p w14:paraId="2FB28A12" w14:textId="01BEA051"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r>
      <w:r w:rsidRPr="00BE6318">
        <w:rPr>
          <w:rFonts w:ascii="Verdana" w:hAnsi="Verdana"/>
          <w:sz w:val="16"/>
          <w:szCs w:val="16"/>
          <w:lang w:val="es-ES"/>
        </w:rPr>
        <w:t>Observaciones de los representantes de 5 de noviembre de 2015</w:t>
      </w:r>
      <w:r w:rsidRPr="00BE6318">
        <w:rPr>
          <w:rFonts w:ascii="Verdana" w:hAnsi="Verdana"/>
          <w:sz w:val="16"/>
          <w:szCs w:val="16"/>
        </w:rPr>
        <w:t xml:space="preserve">. </w:t>
      </w:r>
    </w:p>
  </w:footnote>
  <w:footnote w:id="93">
    <w:p w14:paraId="5EC4BD25" w14:textId="4E6A7E75" w:rsidR="00A15E3C" w:rsidRPr="00BE6318" w:rsidRDefault="00A15E3C" w:rsidP="00A86866">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Por concepto de costas y gastos en que incurrieron en el ámbito interno y en el proceso internacional ante el sistema interamericano de protección de los derechos humanos.</w:t>
      </w:r>
    </w:p>
  </w:footnote>
  <w:footnote w:id="94">
    <w:p w14:paraId="1A367835" w14:textId="1BD1CC2D"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Por concepto de costas y gastos en que incurrieron en el ámbito interno e internacional.</w:t>
      </w:r>
    </w:p>
  </w:footnote>
  <w:footnote w:id="95">
    <w:p w14:paraId="7A33E1D2" w14:textId="79CFB743"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rPr>
        <w:tab/>
        <w:t>Por concepto de costas y gastos en que incurrió en el proceso internacional.</w:t>
      </w:r>
    </w:p>
  </w:footnote>
  <w:footnote w:id="96">
    <w:p w14:paraId="38FF73F6" w14:textId="7B50F3BC"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lang w:val="es-ES"/>
        </w:rPr>
        <w:tab/>
        <w:t xml:space="preserve">Observaciones de los representantes de 23 de octubre de 2020. </w:t>
      </w:r>
    </w:p>
  </w:footnote>
  <w:footnote w:id="97">
    <w:p w14:paraId="43AD722A" w14:textId="303A7E20" w:rsidR="00A15E3C" w:rsidRPr="00BE6318" w:rsidRDefault="00A15E3C" w:rsidP="00BE6318">
      <w:pPr>
        <w:pStyle w:val="Textonotapie"/>
        <w:tabs>
          <w:tab w:val="left" w:pos="426"/>
        </w:tabs>
        <w:spacing w:before="20" w:after="20"/>
        <w:ind w:right="53"/>
        <w:jc w:val="both"/>
        <w:rPr>
          <w:rFonts w:ascii="Verdana" w:hAnsi="Verdana"/>
          <w:sz w:val="16"/>
          <w:szCs w:val="16"/>
          <w:lang w:val="es-ES"/>
        </w:rPr>
      </w:pPr>
      <w:r w:rsidRPr="00BE6318">
        <w:rPr>
          <w:rStyle w:val="Refdenotaalpie"/>
          <w:rFonts w:ascii="Verdana" w:hAnsi="Verdana"/>
          <w:sz w:val="16"/>
          <w:szCs w:val="16"/>
        </w:rPr>
        <w:footnoteRef/>
      </w:r>
      <w:r w:rsidRPr="00BE6318">
        <w:rPr>
          <w:rFonts w:ascii="Verdana" w:hAnsi="Verdana"/>
          <w:sz w:val="16"/>
          <w:szCs w:val="16"/>
        </w:rPr>
        <w:t xml:space="preserve"> </w:t>
      </w:r>
      <w:r w:rsidRPr="00BE6318">
        <w:rPr>
          <w:rFonts w:ascii="Verdana" w:hAnsi="Verdana"/>
          <w:sz w:val="16"/>
          <w:szCs w:val="16"/>
          <w:lang w:val="es-ES"/>
        </w:rPr>
        <w:tab/>
        <w:t xml:space="preserve">El pago se hizo efectivo el 22 de junio de 2012. </w:t>
      </w:r>
      <w:r w:rsidRPr="00BE6318">
        <w:rPr>
          <w:rFonts w:ascii="Verdana" w:hAnsi="Verdana"/>
          <w:i/>
          <w:sz w:val="16"/>
          <w:szCs w:val="16"/>
          <w:lang w:val="es-ES"/>
        </w:rPr>
        <w:t>Cfr</w:t>
      </w:r>
      <w:r w:rsidRPr="00BE6318">
        <w:rPr>
          <w:rFonts w:ascii="Verdana" w:hAnsi="Verdana"/>
          <w:sz w:val="16"/>
          <w:szCs w:val="16"/>
          <w:lang w:val="es-ES"/>
        </w:rPr>
        <w:t>. Observaciones del Estado de 5 de noviembre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99931" w14:textId="77777777" w:rsidR="00A15E3C" w:rsidRDefault="00A15E3C" w:rsidP="002A18B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F6F7B7" w14:textId="77777777" w:rsidR="00A15E3C" w:rsidRDefault="00A15E3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845D7" w14:textId="643CBE6F" w:rsidR="00A15E3C" w:rsidRPr="00601FC7" w:rsidRDefault="00A15E3C" w:rsidP="002A18BF">
    <w:pPr>
      <w:pStyle w:val="Encabezado"/>
      <w:framePr w:wrap="around" w:vAnchor="text" w:hAnchor="margin" w:xAlign="center" w:y="1"/>
      <w:rPr>
        <w:rStyle w:val="Nmerodepgina"/>
        <w:rFonts w:ascii="Verdana" w:hAnsi="Verdana"/>
        <w:sz w:val="20"/>
        <w:szCs w:val="20"/>
      </w:rPr>
    </w:pPr>
    <w:r w:rsidRPr="00601FC7">
      <w:rPr>
        <w:rStyle w:val="Nmerodepgina"/>
        <w:rFonts w:ascii="Verdana" w:hAnsi="Verdana"/>
        <w:sz w:val="20"/>
        <w:szCs w:val="20"/>
      </w:rPr>
      <w:t>-</w:t>
    </w:r>
    <w:r w:rsidRPr="00601FC7">
      <w:rPr>
        <w:rStyle w:val="Nmerodepgina"/>
        <w:rFonts w:ascii="Verdana" w:hAnsi="Verdana"/>
        <w:sz w:val="20"/>
        <w:szCs w:val="20"/>
      </w:rPr>
      <w:fldChar w:fldCharType="begin"/>
    </w:r>
    <w:r w:rsidRPr="00601FC7">
      <w:rPr>
        <w:rStyle w:val="Nmerodepgina"/>
        <w:rFonts w:ascii="Verdana" w:hAnsi="Verdana"/>
        <w:sz w:val="20"/>
        <w:szCs w:val="20"/>
      </w:rPr>
      <w:instrText xml:space="preserve">PAGE  </w:instrText>
    </w:r>
    <w:r w:rsidRPr="00601FC7">
      <w:rPr>
        <w:rStyle w:val="Nmerodepgina"/>
        <w:rFonts w:ascii="Verdana" w:hAnsi="Verdana"/>
        <w:sz w:val="20"/>
        <w:szCs w:val="20"/>
      </w:rPr>
      <w:fldChar w:fldCharType="separate"/>
    </w:r>
    <w:r w:rsidR="002A65CC">
      <w:rPr>
        <w:rStyle w:val="Nmerodepgina"/>
        <w:rFonts w:ascii="Verdana" w:hAnsi="Verdana"/>
        <w:noProof/>
        <w:sz w:val="20"/>
        <w:szCs w:val="20"/>
      </w:rPr>
      <w:t>2</w:t>
    </w:r>
    <w:r w:rsidRPr="00601FC7">
      <w:rPr>
        <w:rStyle w:val="Nmerodepgina"/>
        <w:rFonts w:ascii="Verdana" w:hAnsi="Verdana"/>
        <w:sz w:val="20"/>
        <w:szCs w:val="20"/>
      </w:rPr>
      <w:fldChar w:fldCharType="end"/>
    </w:r>
    <w:r w:rsidRPr="00601FC7">
      <w:rPr>
        <w:rStyle w:val="Nmerodepgina"/>
        <w:rFonts w:ascii="Verdana" w:hAnsi="Verdana"/>
        <w:sz w:val="20"/>
        <w:szCs w:val="20"/>
      </w:rPr>
      <w:t>-</w:t>
    </w:r>
  </w:p>
  <w:p w14:paraId="732C2557" w14:textId="77777777" w:rsidR="00A15E3C" w:rsidRPr="00601FC7" w:rsidRDefault="00A15E3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A24DB"/>
    <w:multiLevelType w:val="hybridMultilevel"/>
    <w:tmpl w:val="126AF41E"/>
    <w:lvl w:ilvl="0" w:tplc="140A0017">
      <w:start w:val="1"/>
      <w:numFmt w:val="lowerLetter"/>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1" w15:restartNumberingAfterBreak="0">
    <w:nsid w:val="086C54E5"/>
    <w:multiLevelType w:val="hybridMultilevel"/>
    <w:tmpl w:val="14EE53B4"/>
    <w:lvl w:ilvl="0" w:tplc="E878CDC4">
      <w:start w:val="1"/>
      <w:numFmt w:val="decimal"/>
      <w:lvlText w:val="%1."/>
      <w:lvlJc w:val="left"/>
      <w:pPr>
        <w:ind w:left="7305" w:hanging="825"/>
      </w:pPr>
      <w:rPr>
        <w:rFonts w:ascii="Verdana" w:eastAsia="Verdana" w:hAnsi="Verdana" w:cs="Verdana" w:hint="default"/>
        <w:b w:val="0"/>
        <w:i w:val="0"/>
        <w:color w:val="auto"/>
        <w:sz w:val="20"/>
        <w:szCs w:val="20"/>
        <w:lang w:val="es-ES"/>
      </w:rPr>
    </w:lvl>
    <w:lvl w:ilvl="1" w:tplc="140A000F">
      <w:start w:val="1"/>
      <w:numFmt w:val="decimal"/>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A9222CF"/>
    <w:multiLevelType w:val="hybridMultilevel"/>
    <w:tmpl w:val="126AF41E"/>
    <w:lvl w:ilvl="0" w:tplc="140A0017">
      <w:start w:val="1"/>
      <w:numFmt w:val="lowerLetter"/>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3" w15:restartNumberingAfterBreak="0">
    <w:nsid w:val="21211A9F"/>
    <w:multiLevelType w:val="hybridMultilevel"/>
    <w:tmpl w:val="B1267732"/>
    <w:lvl w:ilvl="0" w:tplc="FC24A954">
      <w:start w:val="1"/>
      <w:numFmt w:val="upperLetter"/>
      <w:pStyle w:val="Ttulo"/>
      <w:lvlText w:val="%1."/>
      <w:lvlJc w:val="left"/>
      <w:pPr>
        <w:ind w:left="4472"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4AC0EB9"/>
    <w:multiLevelType w:val="hybridMultilevel"/>
    <w:tmpl w:val="25C688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7BC0ECF"/>
    <w:multiLevelType w:val="hybridMultilevel"/>
    <w:tmpl w:val="FE88459C"/>
    <w:lvl w:ilvl="0" w:tplc="140A0017">
      <w:start w:val="1"/>
      <w:numFmt w:val="lowerLetter"/>
      <w:lvlText w:val="%1)"/>
      <w:lvlJc w:val="left"/>
      <w:pPr>
        <w:ind w:left="2148" w:hanging="360"/>
      </w:pPr>
    </w:lvl>
    <w:lvl w:ilvl="1" w:tplc="140A0019" w:tentative="1">
      <w:start w:val="1"/>
      <w:numFmt w:val="lowerLetter"/>
      <w:lvlText w:val="%2."/>
      <w:lvlJc w:val="left"/>
      <w:pPr>
        <w:ind w:left="2868" w:hanging="360"/>
      </w:pPr>
    </w:lvl>
    <w:lvl w:ilvl="2" w:tplc="140A001B" w:tentative="1">
      <w:start w:val="1"/>
      <w:numFmt w:val="lowerRoman"/>
      <w:lvlText w:val="%3."/>
      <w:lvlJc w:val="right"/>
      <w:pPr>
        <w:ind w:left="3588" w:hanging="180"/>
      </w:pPr>
    </w:lvl>
    <w:lvl w:ilvl="3" w:tplc="140A000F" w:tentative="1">
      <w:start w:val="1"/>
      <w:numFmt w:val="decimal"/>
      <w:lvlText w:val="%4."/>
      <w:lvlJc w:val="left"/>
      <w:pPr>
        <w:ind w:left="4308" w:hanging="360"/>
      </w:pPr>
    </w:lvl>
    <w:lvl w:ilvl="4" w:tplc="140A0019" w:tentative="1">
      <w:start w:val="1"/>
      <w:numFmt w:val="lowerLetter"/>
      <w:lvlText w:val="%5."/>
      <w:lvlJc w:val="left"/>
      <w:pPr>
        <w:ind w:left="5028" w:hanging="360"/>
      </w:pPr>
    </w:lvl>
    <w:lvl w:ilvl="5" w:tplc="140A001B" w:tentative="1">
      <w:start w:val="1"/>
      <w:numFmt w:val="lowerRoman"/>
      <w:lvlText w:val="%6."/>
      <w:lvlJc w:val="right"/>
      <w:pPr>
        <w:ind w:left="5748" w:hanging="180"/>
      </w:pPr>
    </w:lvl>
    <w:lvl w:ilvl="6" w:tplc="140A000F" w:tentative="1">
      <w:start w:val="1"/>
      <w:numFmt w:val="decimal"/>
      <w:lvlText w:val="%7."/>
      <w:lvlJc w:val="left"/>
      <w:pPr>
        <w:ind w:left="6468" w:hanging="360"/>
      </w:pPr>
    </w:lvl>
    <w:lvl w:ilvl="7" w:tplc="140A0019" w:tentative="1">
      <w:start w:val="1"/>
      <w:numFmt w:val="lowerLetter"/>
      <w:lvlText w:val="%8."/>
      <w:lvlJc w:val="left"/>
      <w:pPr>
        <w:ind w:left="7188" w:hanging="360"/>
      </w:pPr>
    </w:lvl>
    <w:lvl w:ilvl="8" w:tplc="140A001B" w:tentative="1">
      <w:start w:val="1"/>
      <w:numFmt w:val="lowerRoman"/>
      <w:lvlText w:val="%9."/>
      <w:lvlJc w:val="right"/>
      <w:pPr>
        <w:ind w:left="7908" w:hanging="180"/>
      </w:pPr>
    </w:lvl>
  </w:abstractNum>
  <w:abstractNum w:abstractNumId="6" w15:restartNumberingAfterBreak="0">
    <w:nsid w:val="2C031983"/>
    <w:multiLevelType w:val="hybridMultilevel"/>
    <w:tmpl w:val="126AF41E"/>
    <w:lvl w:ilvl="0" w:tplc="140A0017">
      <w:start w:val="1"/>
      <w:numFmt w:val="lowerLetter"/>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7" w15:restartNumberingAfterBreak="0">
    <w:nsid w:val="2FA578E8"/>
    <w:multiLevelType w:val="hybridMultilevel"/>
    <w:tmpl w:val="E75C4D30"/>
    <w:lvl w:ilvl="0" w:tplc="140A000F">
      <w:start w:val="1"/>
      <w:numFmt w:val="decimal"/>
      <w:lvlText w:val="%1."/>
      <w:lvlJc w:val="left"/>
      <w:pPr>
        <w:ind w:left="7305" w:hanging="825"/>
      </w:pPr>
      <w:rPr>
        <w:rFonts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38F4279E"/>
    <w:multiLevelType w:val="hybridMultilevel"/>
    <w:tmpl w:val="211CB53C"/>
    <w:lvl w:ilvl="0" w:tplc="25802760">
      <w:start w:val="1"/>
      <w:numFmt w:val="bullet"/>
      <w:lvlText w:val=""/>
      <w:lvlJc w:val="left"/>
      <w:pPr>
        <w:ind w:left="1004" w:hanging="360"/>
      </w:pPr>
      <w:rPr>
        <w:rFonts w:ascii="Symbol" w:hAnsi="Symbol" w:hint="default"/>
        <w:color w:val="auto"/>
      </w:rPr>
    </w:lvl>
    <w:lvl w:ilvl="1" w:tplc="3EDE44C8">
      <w:start w:val="1"/>
      <w:numFmt w:val="bullet"/>
      <w:lvlText w:val="o"/>
      <w:lvlJc w:val="left"/>
      <w:pPr>
        <w:ind w:left="1724" w:hanging="360"/>
      </w:pPr>
      <w:rPr>
        <w:rFonts w:ascii="Courier New" w:hAnsi="Courier New" w:cs="Courier New" w:hint="default"/>
        <w:color w:val="auto"/>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9" w15:restartNumberingAfterBreak="0">
    <w:nsid w:val="4C800E62"/>
    <w:multiLevelType w:val="hybridMultilevel"/>
    <w:tmpl w:val="0BBA4D06"/>
    <w:lvl w:ilvl="0" w:tplc="140A0017">
      <w:start w:val="1"/>
      <w:numFmt w:val="lowerLetter"/>
      <w:lvlText w:val="%1)"/>
      <w:lvlJc w:val="left"/>
      <w:pPr>
        <w:ind w:left="1428" w:hanging="360"/>
      </w:pPr>
    </w:lvl>
    <w:lvl w:ilvl="1" w:tplc="140A0017">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0" w15:restartNumberingAfterBreak="0">
    <w:nsid w:val="52BA65B8"/>
    <w:multiLevelType w:val="hybridMultilevel"/>
    <w:tmpl w:val="452C3E5A"/>
    <w:lvl w:ilvl="0" w:tplc="74A4506E">
      <w:start w:val="1"/>
      <w:numFmt w:val="decimal"/>
      <w:lvlText w:val="%1."/>
      <w:lvlJc w:val="left"/>
      <w:pPr>
        <w:ind w:left="720" w:hanging="360"/>
      </w:pPr>
      <w:rPr>
        <w:rFonts w:hint="default"/>
        <w:b w:val="0"/>
        <w:bCs/>
      </w:rPr>
    </w:lvl>
    <w:lvl w:ilvl="1" w:tplc="4E4E7D0A">
      <w:start w:val="1"/>
      <w:numFmt w:val="lowerLetter"/>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0C3F6C"/>
    <w:multiLevelType w:val="hybridMultilevel"/>
    <w:tmpl w:val="E75C4D30"/>
    <w:lvl w:ilvl="0" w:tplc="140A000F">
      <w:start w:val="1"/>
      <w:numFmt w:val="decimal"/>
      <w:lvlText w:val="%1."/>
      <w:lvlJc w:val="left"/>
      <w:pPr>
        <w:ind w:left="7305" w:hanging="825"/>
      </w:pPr>
      <w:rPr>
        <w:rFonts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6108427A"/>
    <w:multiLevelType w:val="hybridMultilevel"/>
    <w:tmpl w:val="1C9CF050"/>
    <w:lvl w:ilvl="0" w:tplc="E878CDC4">
      <w:start w:val="1"/>
      <w:numFmt w:val="decimal"/>
      <w:lvlText w:val="%1."/>
      <w:lvlJc w:val="left"/>
      <w:pPr>
        <w:ind w:left="730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79354707"/>
    <w:multiLevelType w:val="hybridMultilevel"/>
    <w:tmpl w:val="D658A5F6"/>
    <w:lvl w:ilvl="0" w:tplc="E878CDC4">
      <w:start w:val="1"/>
      <w:numFmt w:val="decimal"/>
      <w:lvlText w:val="%1."/>
      <w:lvlJc w:val="left"/>
      <w:pPr>
        <w:ind w:left="730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796B5CD4"/>
    <w:multiLevelType w:val="hybridMultilevel"/>
    <w:tmpl w:val="FE88459C"/>
    <w:lvl w:ilvl="0" w:tplc="140A0017">
      <w:start w:val="1"/>
      <w:numFmt w:val="lowerLetter"/>
      <w:lvlText w:val="%1)"/>
      <w:lvlJc w:val="left"/>
      <w:pPr>
        <w:ind w:left="2148" w:hanging="360"/>
      </w:pPr>
    </w:lvl>
    <w:lvl w:ilvl="1" w:tplc="140A0019" w:tentative="1">
      <w:start w:val="1"/>
      <w:numFmt w:val="lowerLetter"/>
      <w:lvlText w:val="%2."/>
      <w:lvlJc w:val="left"/>
      <w:pPr>
        <w:ind w:left="2868" w:hanging="360"/>
      </w:pPr>
    </w:lvl>
    <w:lvl w:ilvl="2" w:tplc="140A001B" w:tentative="1">
      <w:start w:val="1"/>
      <w:numFmt w:val="lowerRoman"/>
      <w:lvlText w:val="%3."/>
      <w:lvlJc w:val="right"/>
      <w:pPr>
        <w:ind w:left="3588" w:hanging="180"/>
      </w:pPr>
    </w:lvl>
    <w:lvl w:ilvl="3" w:tplc="140A000F" w:tentative="1">
      <w:start w:val="1"/>
      <w:numFmt w:val="decimal"/>
      <w:lvlText w:val="%4."/>
      <w:lvlJc w:val="left"/>
      <w:pPr>
        <w:ind w:left="4308" w:hanging="360"/>
      </w:pPr>
    </w:lvl>
    <w:lvl w:ilvl="4" w:tplc="140A0019" w:tentative="1">
      <w:start w:val="1"/>
      <w:numFmt w:val="lowerLetter"/>
      <w:lvlText w:val="%5."/>
      <w:lvlJc w:val="left"/>
      <w:pPr>
        <w:ind w:left="5028" w:hanging="360"/>
      </w:pPr>
    </w:lvl>
    <w:lvl w:ilvl="5" w:tplc="140A001B" w:tentative="1">
      <w:start w:val="1"/>
      <w:numFmt w:val="lowerRoman"/>
      <w:lvlText w:val="%6."/>
      <w:lvlJc w:val="right"/>
      <w:pPr>
        <w:ind w:left="5748" w:hanging="180"/>
      </w:pPr>
    </w:lvl>
    <w:lvl w:ilvl="6" w:tplc="140A000F" w:tentative="1">
      <w:start w:val="1"/>
      <w:numFmt w:val="decimal"/>
      <w:lvlText w:val="%7."/>
      <w:lvlJc w:val="left"/>
      <w:pPr>
        <w:ind w:left="6468" w:hanging="360"/>
      </w:pPr>
    </w:lvl>
    <w:lvl w:ilvl="7" w:tplc="140A0019" w:tentative="1">
      <w:start w:val="1"/>
      <w:numFmt w:val="lowerLetter"/>
      <w:lvlText w:val="%8."/>
      <w:lvlJc w:val="left"/>
      <w:pPr>
        <w:ind w:left="7188" w:hanging="360"/>
      </w:pPr>
    </w:lvl>
    <w:lvl w:ilvl="8" w:tplc="140A001B" w:tentative="1">
      <w:start w:val="1"/>
      <w:numFmt w:val="lowerRoman"/>
      <w:lvlText w:val="%9."/>
      <w:lvlJc w:val="right"/>
      <w:pPr>
        <w:ind w:left="7908" w:hanging="180"/>
      </w:pPr>
    </w:lvl>
  </w:abstractNum>
  <w:abstractNum w:abstractNumId="15" w15:restartNumberingAfterBreak="0">
    <w:nsid w:val="79BC7D30"/>
    <w:multiLevelType w:val="hybridMultilevel"/>
    <w:tmpl w:val="FE88459C"/>
    <w:lvl w:ilvl="0" w:tplc="140A0017">
      <w:start w:val="1"/>
      <w:numFmt w:val="lowerLetter"/>
      <w:lvlText w:val="%1)"/>
      <w:lvlJc w:val="left"/>
      <w:pPr>
        <w:ind w:left="2148" w:hanging="360"/>
      </w:pPr>
    </w:lvl>
    <w:lvl w:ilvl="1" w:tplc="140A0019" w:tentative="1">
      <w:start w:val="1"/>
      <w:numFmt w:val="lowerLetter"/>
      <w:lvlText w:val="%2."/>
      <w:lvlJc w:val="left"/>
      <w:pPr>
        <w:ind w:left="2868" w:hanging="360"/>
      </w:pPr>
    </w:lvl>
    <w:lvl w:ilvl="2" w:tplc="140A001B" w:tentative="1">
      <w:start w:val="1"/>
      <w:numFmt w:val="lowerRoman"/>
      <w:lvlText w:val="%3."/>
      <w:lvlJc w:val="right"/>
      <w:pPr>
        <w:ind w:left="3588" w:hanging="180"/>
      </w:pPr>
    </w:lvl>
    <w:lvl w:ilvl="3" w:tplc="140A000F" w:tentative="1">
      <w:start w:val="1"/>
      <w:numFmt w:val="decimal"/>
      <w:lvlText w:val="%4."/>
      <w:lvlJc w:val="left"/>
      <w:pPr>
        <w:ind w:left="4308" w:hanging="360"/>
      </w:pPr>
    </w:lvl>
    <w:lvl w:ilvl="4" w:tplc="140A0019" w:tentative="1">
      <w:start w:val="1"/>
      <w:numFmt w:val="lowerLetter"/>
      <w:lvlText w:val="%5."/>
      <w:lvlJc w:val="left"/>
      <w:pPr>
        <w:ind w:left="5028" w:hanging="360"/>
      </w:pPr>
    </w:lvl>
    <w:lvl w:ilvl="5" w:tplc="140A001B" w:tentative="1">
      <w:start w:val="1"/>
      <w:numFmt w:val="lowerRoman"/>
      <w:lvlText w:val="%6."/>
      <w:lvlJc w:val="right"/>
      <w:pPr>
        <w:ind w:left="5748" w:hanging="180"/>
      </w:pPr>
    </w:lvl>
    <w:lvl w:ilvl="6" w:tplc="140A000F" w:tentative="1">
      <w:start w:val="1"/>
      <w:numFmt w:val="decimal"/>
      <w:lvlText w:val="%7."/>
      <w:lvlJc w:val="left"/>
      <w:pPr>
        <w:ind w:left="6468" w:hanging="360"/>
      </w:pPr>
    </w:lvl>
    <w:lvl w:ilvl="7" w:tplc="140A0019" w:tentative="1">
      <w:start w:val="1"/>
      <w:numFmt w:val="lowerLetter"/>
      <w:lvlText w:val="%8."/>
      <w:lvlJc w:val="left"/>
      <w:pPr>
        <w:ind w:left="7188" w:hanging="360"/>
      </w:pPr>
    </w:lvl>
    <w:lvl w:ilvl="8" w:tplc="140A001B" w:tentative="1">
      <w:start w:val="1"/>
      <w:numFmt w:val="lowerRoman"/>
      <w:lvlText w:val="%9."/>
      <w:lvlJc w:val="right"/>
      <w:pPr>
        <w:ind w:left="7908" w:hanging="180"/>
      </w:pPr>
    </w:lvl>
  </w:abstractNum>
  <w:abstractNum w:abstractNumId="16" w15:restartNumberingAfterBreak="0">
    <w:nsid w:val="7AF845C6"/>
    <w:multiLevelType w:val="hybridMultilevel"/>
    <w:tmpl w:val="E75C4D30"/>
    <w:lvl w:ilvl="0" w:tplc="140A000F">
      <w:start w:val="1"/>
      <w:numFmt w:val="decimal"/>
      <w:lvlText w:val="%1."/>
      <w:lvlJc w:val="left"/>
      <w:pPr>
        <w:ind w:left="7305" w:hanging="825"/>
      </w:pPr>
      <w:rPr>
        <w:rFonts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13"/>
  </w:num>
  <w:num w:numId="2">
    <w:abstractNumId w:val="3"/>
  </w:num>
  <w:num w:numId="3">
    <w:abstractNumId w:val="2"/>
  </w:num>
  <w:num w:numId="4">
    <w:abstractNumId w:val="6"/>
  </w:num>
  <w:num w:numId="5">
    <w:abstractNumId w:val="0"/>
  </w:num>
  <w:num w:numId="6">
    <w:abstractNumId w:val="10"/>
  </w:num>
  <w:num w:numId="7">
    <w:abstractNumId w:val="9"/>
  </w:num>
  <w:num w:numId="8">
    <w:abstractNumId w:val="12"/>
  </w:num>
  <w:num w:numId="9">
    <w:abstractNumId w:val="8"/>
  </w:num>
  <w:num w:numId="10">
    <w:abstractNumId w:val="14"/>
  </w:num>
  <w:num w:numId="11">
    <w:abstractNumId w:val="1"/>
  </w:num>
  <w:num w:numId="12">
    <w:abstractNumId w:val="16"/>
  </w:num>
  <w:num w:numId="13">
    <w:abstractNumId w:val="7"/>
  </w:num>
  <w:num w:numId="14">
    <w:abstractNumId w:val="11"/>
  </w:num>
  <w:num w:numId="15">
    <w:abstractNumId w:val="4"/>
  </w:num>
  <w:num w:numId="16">
    <w:abstractNumId w:val="15"/>
  </w:num>
  <w:num w:numId="1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92"/>
    <w:rsid w:val="00001A54"/>
    <w:rsid w:val="0000369D"/>
    <w:rsid w:val="00003B02"/>
    <w:rsid w:val="00005345"/>
    <w:rsid w:val="0000607B"/>
    <w:rsid w:val="00007FE6"/>
    <w:rsid w:val="000117A8"/>
    <w:rsid w:val="00016BB3"/>
    <w:rsid w:val="00023671"/>
    <w:rsid w:val="00026180"/>
    <w:rsid w:val="000302B6"/>
    <w:rsid w:val="0003095C"/>
    <w:rsid w:val="0003268A"/>
    <w:rsid w:val="00034066"/>
    <w:rsid w:val="0003434D"/>
    <w:rsid w:val="000352A1"/>
    <w:rsid w:val="00035450"/>
    <w:rsid w:val="0003681A"/>
    <w:rsid w:val="000368D1"/>
    <w:rsid w:val="00037FC4"/>
    <w:rsid w:val="00045FA6"/>
    <w:rsid w:val="00046A26"/>
    <w:rsid w:val="000507C9"/>
    <w:rsid w:val="00051E5B"/>
    <w:rsid w:val="000537AB"/>
    <w:rsid w:val="000546C9"/>
    <w:rsid w:val="00057625"/>
    <w:rsid w:val="000609B4"/>
    <w:rsid w:val="00062555"/>
    <w:rsid w:val="000629E2"/>
    <w:rsid w:val="000675C7"/>
    <w:rsid w:val="00067FD7"/>
    <w:rsid w:val="00070E4D"/>
    <w:rsid w:val="00071077"/>
    <w:rsid w:val="00071722"/>
    <w:rsid w:val="000745D9"/>
    <w:rsid w:val="000750E9"/>
    <w:rsid w:val="00077676"/>
    <w:rsid w:val="0008636E"/>
    <w:rsid w:val="0008661F"/>
    <w:rsid w:val="00087715"/>
    <w:rsid w:val="0009152A"/>
    <w:rsid w:val="00094590"/>
    <w:rsid w:val="00095594"/>
    <w:rsid w:val="00096362"/>
    <w:rsid w:val="00096797"/>
    <w:rsid w:val="00096C24"/>
    <w:rsid w:val="00097C00"/>
    <w:rsid w:val="000A258F"/>
    <w:rsid w:val="000A29D1"/>
    <w:rsid w:val="000A2D75"/>
    <w:rsid w:val="000A3096"/>
    <w:rsid w:val="000A33D8"/>
    <w:rsid w:val="000A4B09"/>
    <w:rsid w:val="000A621D"/>
    <w:rsid w:val="000A66EE"/>
    <w:rsid w:val="000B0385"/>
    <w:rsid w:val="000B03D7"/>
    <w:rsid w:val="000B1B6D"/>
    <w:rsid w:val="000B61D6"/>
    <w:rsid w:val="000B7641"/>
    <w:rsid w:val="000B7EE8"/>
    <w:rsid w:val="000B7F0B"/>
    <w:rsid w:val="000C02FA"/>
    <w:rsid w:val="000D0C29"/>
    <w:rsid w:val="000D2AD6"/>
    <w:rsid w:val="000D2F21"/>
    <w:rsid w:val="000D44F0"/>
    <w:rsid w:val="000D6CCC"/>
    <w:rsid w:val="000E061E"/>
    <w:rsid w:val="000E37EB"/>
    <w:rsid w:val="000F2320"/>
    <w:rsid w:val="000F4529"/>
    <w:rsid w:val="00100767"/>
    <w:rsid w:val="00100F00"/>
    <w:rsid w:val="00101749"/>
    <w:rsid w:val="0010522F"/>
    <w:rsid w:val="00106730"/>
    <w:rsid w:val="00106798"/>
    <w:rsid w:val="00106B27"/>
    <w:rsid w:val="001117CA"/>
    <w:rsid w:val="001141D6"/>
    <w:rsid w:val="00114EE2"/>
    <w:rsid w:val="00120BFB"/>
    <w:rsid w:val="00121B86"/>
    <w:rsid w:val="0012355F"/>
    <w:rsid w:val="00125904"/>
    <w:rsid w:val="00125E0D"/>
    <w:rsid w:val="0012678A"/>
    <w:rsid w:val="0012704B"/>
    <w:rsid w:val="00130494"/>
    <w:rsid w:val="00130A70"/>
    <w:rsid w:val="00133F5C"/>
    <w:rsid w:val="0013527B"/>
    <w:rsid w:val="00137F24"/>
    <w:rsid w:val="00143B5D"/>
    <w:rsid w:val="00143DF7"/>
    <w:rsid w:val="0014437A"/>
    <w:rsid w:val="00150473"/>
    <w:rsid w:val="00154D1E"/>
    <w:rsid w:val="00156032"/>
    <w:rsid w:val="0015676E"/>
    <w:rsid w:val="00160BAA"/>
    <w:rsid w:val="00161BE4"/>
    <w:rsid w:val="00162BE7"/>
    <w:rsid w:val="001700C3"/>
    <w:rsid w:val="001711D9"/>
    <w:rsid w:val="001719D6"/>
    <w:rsid w:val="00173740"/>
    <w:rsid w:val="00176FB9"/>
    <w:rsid w:val="00177B9C"/>
    <w:rsid w:val="00177D9D"/>
    <w:rsid w:val="00180564"/>
    <w:rsid w:val="00181F94"/>
    <w:rsid w:val="00190F73"/>
    <w:rsid w:val="00193A8C"/>
    <w:rsid w:val="00197F5C"/>
    <w:rsid w:val="001A43A6"/>
    <w:rsid w:val="001A5FFB"/>
    <w:rsid w:val="001B231B"/>
    <w:rsid w:val="001B2334"/>
    <w:rsid w:val="001B5515"/>
    <w:rsid w:val="001B5B47"/>
    <w:rsid w:val="001C024E"/>
    <w:rsid w:val="001C2C55"/>
    <w:rsid w:val="001C464B"/>
    <w:rsid w:val="001C4896"/>
    <w:rsid w:val="001C4CB7"/>
    <w:rsid w:val="001C4EFC"/>
    <w:rsid w:val="001C66E9"/>
    <w:rsid w:val="001D230B"/>
    <w:rsid w:val="001D383A"/>
    <w:rsid w:val="001D4CD8"/>
    <w:rsid w:val="001D55C7"/>
    <w:rsid w:val="001D6C98"/>
    <w:rsid w:val="001E33B6"/>
    <w:rsid w:val="001E5CD2"/>
    <w:rsid w:val="001E6EEE"/>
    <w:rsid w:val="001F365A"/>
    <w:rsid w:val="001F44F8"/>
    <w:rsid w:val="001F4F5F"/>
    <w:rsid w:val="001F5845"/>
    <w:rsid w:val="002013A0"/>
    <w:rsid w:val="00207BF3"/>
    <w:rsid w:val="002124A7"/>
    <w:rsid w:val="00212E4A"/>
    <w:rsid w:val="00215EB1"/>
    <w:rsid w:val="002232C7"/>
    <w:rsid w:val="00223B68"/>
    <w:rsid w:val="00225248"/>
    <w:rsid w:val="00225390"/>
    <w:rsid w:val="00226544"/>
    <w:rsid w:val="0022788C"/>
    <w:rsid w:val="002345B5"/>
    <w:rsid w:val="00236BF7"/>
    <w:rsid w:val="002436E2"/>
    <w:rsid w:val="002441BF"/>
    <w:rsid w:val="00251EF9"/>
    <w:rsid w:val="00254BD6"/>
    <w:rsid w:val="00262D38"/>
    <w:rsid w:val="00264315"/>
    <w:rsid w:val="00272178"/>
    <w:rsid w:val="002748E3"/>
    <w:rsid w:val="00276938"/>
    <w:rsid w:val="00280A5D"/>
    <w:rsid w:val="002912C4"/>
    <w:rsid w:val="0029221F"/>
    <w:rsid w:val="00297BB6"/>
    <w:rsid w:val="002A18BF"/>
    <w:rsid w:val="002A192E"/>
    <w:rsid w:val="002A26C7"/>
    <w:rsid w:val="002A49E9"/>
    <w:rsid w:val="002A654F"/>
    <w:rsid w:val="002A65CC"/>
    <w:rsid w:val="002A75FF"/>
    <w:rsid w:val="002B312A"/>
    <w:rsid w:val="002B3E48"/>
    <w:rsid w:val="002B4EE7"/>
    <w:rsid w:val="002B7A11"/>
    <w:rsid w:val="002C01B4"/>
    <w:rsid w:val="002C2099"/>
    <w:rsid w:val="002C53E3"/>
    <w:rsid w:val="002C5997"/>
    <w:rsid w:val="002D00D5"/>
    <w:rsid w:val="002D32CE"/>
    <w:rsid w:val="002E0AD1"/>
    <w:rsid w:val="002E0B56"/>
    <w:rsid w:val="002E7B09"/>
    <w:rsid w:val="002F02A9"/>
    <w:rsid w:val="002F0E41"/>
    <w:rsid w:val="002F1BD3"/>
    <w:rsid w:val="002F2F22"/>
    <w:rsid w:val="003000FE"/>
    <w:rsid w:val="00305656"/>
    <w:rsid w:val="00306A00"/>
    <w:rsid w:val="0031257C"/>
    <w:rsid w:val="00317919"/>
    <w:rsid w:val="00317A54"/>
    <w:rsid w:val="0032096D"/>
    <w:rsid w:val="0032507A"/>
    <w:rsid w:val="003253FE"/>
    <w:rsid w:val="0033135E"/>
    <w:rsid w:val="0033272D"/>
    <w:rsid w:val="00334087"/>
    <w:rsid w:val="00334F00"/>
    <w:rsid w:val="00335376"/>
    <w:rsid w:val="00340E18"/>
    <w:rsid w:val="0034269E"/>
    <w:rsid w:val="0034343C"/>
    <w:rsid w:val="00354EDE"/>
    <w:rsid w:val="00355529"/>
    <w:rsid w:val="00356135"/>
    <w:rsid w:val="00356C9A"/>
    <w:rsid w:val="00360B0D"/>
    <w:rsid w:val="00362942"/>
    <w:rsid w:val="003637AB"/>
    <w:rsid w:val="00363F62"/>
    <w:rsid w:val="0036465E"/>
    <w:rsid w:val="00364981"/>
    <w:rsid w:val="00366C14"/>
    <w:rsid w:val="00367CB1"/>
    <w:rsid w:val="00380D06"/>
    <w:rsid w:val="00381C9C"/>
    <w:rsid w:val="00384EAA"/>
    <w:rsid w:val="0039101B"/>
    <w:rsid w:val="00391B61"/>
    <w:rsid w:val="00392ED2"/>
    <w:rsid w:val="00394E1E"/>
    <w:rsid w:val="00397D8B"/>
    <w:rsid w:val="003A4ECF"/>
    <w:rsid w:val="003A7B6D"/>
    <w:rsid w:val="003B18BA"/>
    <w:rsid w:val="003B19D9"/>
    <w:rsid w:val="003B2CFC"/>
    <w:rsid w:val="003B370C"/>
    <w:rsid w:val="003B3BDD"/>
    <w:rsid w:val="003B45CD"/>
    <w:rsid w:val="003B7E56"/>
    <w:rsid w:val="003C4776"/>
    <w:rsid w:val="003C6964"/>
    <w:rsid w:val="003C75F9"/>
    <w:rsid w:val="003D0648"/>
    <w:rsid w:val="003D6D79"/>
    <w:rsid w:val="003E27CB"/>
    <w:rsid w:val="003F0F99"/>
    <w:rsid w:val="003F5312"/>
    <w:rsid w:val="003F5A58"/>
    <w:rsid w:val="003F6F74"/>
    <w:rsid w:val="00401E85"/>
    <w:rsid w:val="00402832"/>
    <w:rsid w:val="00403B72"/>
    <w:rsid w:val="0040614E"/>
    <w:rsid w:val="00406C3B"/>
    <w:rsid w:val="00410B33"/>
    <w:rsid w:val="004167D5"/>
    <w:rsid w:val="0041696B"/>
    <w:rsid w:val="0042615F"/>
    <w:rsid w:val="0043052D"/>
    <w:rsid w:val="00430D50"/>
    <w:rsid w:val="00432B5B"/>
    <w:rsid w:val="0043486C"/>
    <w:rsid w:val="0043498F"/>
    <w:rsid w:val="004369DE"/>
    <w:rsid w:val="004417CA"/>
    <w:rsid w:val="00441ABD"/>
    <w:rsid w:val="004507CA"/>
    <w:rsid w:val="00453F62"/>
    <w:rsid w:val="00456A1F"/>
    <w:rsid w:val="00456C23"/>
    <w:rsid w:val="004574D5"/>
    <w:rsid w:val="0046151C"/>
    <w:rsid w:val="004630DE"/>
    <w:rsid w:val="00463C97"/>
    <w:rsid w:val="004727C0"/>
    <w:rsid w:val="00473F50"/>
    <w:rsid w:val="00474036"/>
    <w:rsid w:val="00474110"/>
    <w:rsid w:val="004750B2"/>
    <w:rsid w:val="004778BF"/>
    <w:rsid w:val="004800E9"/>
    <w:rsid w:val="00480FE8"/>
    <w:rsid w:val="004833B2"/>
    <w:rsid w:val="00484974"/>
    <w:rsid w:val="00485A61"/>
    <w:rsid w:val="00485EF0"/>
    <w:rsid w:val="00491068"/>
    <w:rsid w:val="00491FA1"/>
    <w:rsid w:val="00493E40"/>
    <w:rsid w:val="00494BF6"/>
    <w:rsid w:val="00495CFF"/>
    <w:rsid w:val="004A1B95"/>
    <w:rsid w:val="004B1B5B"/>
    <w:rsid w:val="004B478B"/>
    <w:rsid w:val="004B5508"/>
    <w:rsid w:val="004B626F"/>
    <w:rsid w:val="004B6BED"/>
    <w:rsid w:val="004B7999"/>
    <w:rsid w:val="004C1163"/>
    <w:rsid w:val="004C6D19"/>
    <w:rsid w:val="004D0AF6"/>
    <w:rsid w:val="004D1DB2"/>
    <w:rsid w:val="004D3F1C"/>
    <w:rsid w:val="004D55F3"/>
    <w:rsid w:val="004D6480"/>
    <w:rsid w:val="004E1E26"/>
    <w:rsid w:val="004E23BB"/>
    <w:rsid w:val="004F1664"/>
    <w:rsid w:val="004F69DB"/>
    <w:rsid w:val="005002F8"/>
    <w:rsid w:val="0050282D"/>
    <w:rsid w:val="0050467D"/>
    <w:rsid w:val="00505DCA"/>
    <w:rsid w:val="00512AE1"/>
    <w:rsid w:val="005133BB"/>
    <w:rsid w:val="00513F05"/>
    <w:rsid w:val="005162C3"/>
    <w:rsid w:val="00520CD7"/>
    <w:rsid w:val="00521613"/>
    <w:rsid w:val="00521B5A"/>
    <w:rsid w:val="0052396D"/>
    <w:rsid w:val="00523B66"/>
    <w:rsid w:val="00527BFA"/>
    <w:rsid w:val="005326D5"/>
    <w:rsid w:val="00532B9C"/>
    <w:rsid w:val="005343FB"/>
    <w:rsid w:val="005446CC"/>
    <w:rsid w:val="00546B72"/>
    <w:rsid w:val="0055408C"/>
    <w:rsid w:val="005674E0"/>
    <w:rsid w:val="00573F7C"/>
    <w:rsid w:val="00577C72"/>
    <w:rsid w:val="00580EF3"/>
    <w:rsid w:val="00582BD3"/>
    <w:rsid w:val="00585A50"/>
    <w:rsid w:val="0059043E"/>
    <w:rsid w:val="005942D8"/>
    <w:rsid w:val="00595CB5"/>
    <w:rsid w:val="005A14C6"/>
    <w:rsid w:val="005A2FCA"/>
    <w:rsid w:val="005A4D7E"/>
    <w:rsid w:val="005A6570"/>
    <w:rsid w:val="005A73BA"/>
    <w:rsid w:val="005B187A"/>
    <w:rsid w:val="005B2315"/>
    <w:rsid w:val="005B346E"/>
    <w:rsid w:val="005B42D5"/>
    <w:rsid w:val="005B590B"/>
    <w:rsid w:val="005B5E49"/>
    <w:rsid w:val="005C1610"/>
    <w:rsid w:val="005C1C56"/>
    <w:rsid w:val="005C36B4"/>
    <w:rsid w:val="005C3ACA"/>
    <w:rsid w:val="005C53F9"/>
    <w:rsid w:val="005C6AB5"/>
    <w:rsid w:val="005D510A"/>
    <w:rsid w:val="005E033D"/>
    <w:rsid w:val="005E2AF6"/>
    <w:rsid w:val="005E552B"/>
    <w:rsid w:val="005E62E6"/>
    <w:rsid w:val="005E6EE4"/>
    <w:rsid w:val="005F3173"/>
    <w:rsid w:val="005F681A"/>
    <w:rsid w:val="005F7D1C"/>
    <w:rsid w:val="00601FC7"/>
    <w:rsid w:val="00602E0B"/>
    <w:rsid w:val="00604512"/>
    <w:rsid w:val="0060740A"/>
    <w:rsid w:val="006078B2"/>
    <w:rsid w:val="00612AF7"/>
    <w:rsid w:val="006152B7"/>
    <w:rsid w:val="00631CE1"/>
    <w:rsid w:val="00632DAC"/>
    <w:rsid w:val="00634CE9"/>
    <w:rsid w:val="006370EC"/>
    <w:rsid w:val="00637836"/>
    <w:rsid w:val="006412BF"/>
    <w:rsid w:val="00641AF2"/>
    <w:rsid w:val="00644569"/>
    <w:rsid w:val="006468F0"/>
    <w:rsid w:val="00646AE5"/>
    <w:rsid w:val="006500B5"/>
    <w:rsid w:val="006526E5"/>
    <w:rsid w:val="00653380"/>
    <w:rsid w:val="0065484A"/>
    <w:rsid w:val="00655D9A"/>
    <w:rsid w:val="00656F86"/>
    <w:rsid w:val="00662D59"/>
    <w:rsid w:val="00662F06"/>
    <w:rsid w:val="0067245A"/>
    <w:rsid w:val="006745A7"/>
    <w:rsid w:val="00674AEC"/>
    <w:rsid w:val="006801C6"/>
    <w:rsid w:val="00682285"/>
    <w:rsid w:val="00682AFB"/>
    <w:rsid w:val="00684AA8"/>
    <w:rsid w:val="0068592B"/>
    <w:rsid w:val="00686CFF"/>
    <w:rsid w:val="00687D31"/>
    <w:rsid w:val="006908B5"/>
    <w:rsid w:val="0069338F"/>
    <w:rsid w:val="006A0894"/>
    <w:rsid w:val="006A2DF8"/>
    <w:rsid w:val="006A3DFD"/>
    <w:rsid w:val="006A3E1B"/>
    <w:rsid w:val="006A4EB6"/>
    <w:rsid w:val="006A54BC"/>
    <w:rsid w:val="006B2340"/>
    <w:rsid w:val="006B3A7C"/>
    <w:rsid w:val="006C0435"/>
    <w:rsid w:val="006C0F27"/>
    <w:rsid w:val="006C4C9D"/>
    <w:rsid w:val="006C7BA9"/>
    <w:rsid w:val="006C7E08"/>
    <w:rsid w:val="006D37E1"/>
    <w:rsid w:val="006D6A6D"/>
    <w:rsid w:val="006D6AA3"/>
    <w:rsid w:val="006D7BE4"/>
    <w:rsid w:val="006E4805"/>
    <w:rsid w:val="006F7041"/>
    <w:rsid w:val="00701CF8"/>
    <w:rsid w:val="00706464"/>
    <w:rsid w:val="00706B70"/>
    <w:rsid w:val="00707E7E"/>
    <w:rsid w:val="00710157"/>
    <w:rsid w:val="007147A8"/>
    <w:rsid w:val="00715571"/>
    <w:rsid w:val="00720834"/>
    <w:rsid w:val="00720CD1"/>
    <w:rsid w:val="0072218F"/>
    <w:rsid w:val="0072340C"/>
    <w:rsid w:val="0072525A"/>
    <w:rsid w:val="00731781"/>
    <w:rsid w:val="007323A9"/>
    <w:rsid w:val="0073395E"/>
    <w:rsid w:val="00736150"/>
    <w:rsid w:val="00737323"/>
    <w:rsid w:val="0074087F"/>
    <w:rsid w:val="00740BFD"/>
    <w:rsid w:val="00742960"/>
    <w:rsid w:val="00745423"/>
    <w:rsid w:val="007455A0"/>
    <w:rsid w:val="00746868"/>
    <w:rsid w:val="00752A30"/>
    <w:rsid w:val="00754121"/>
    <w:rsid w:val="00754B13"/>
    <w:rsid w:val="00754F27"/>
    <w:rsid w:val="00757C65"/>
    <w:rsid w:val="007611E6"/>
    <w:rsid w:val="00764D5B"/>
    <w:rsid w:val="00764E61"/>
    <w:rsid w:val="00765597"/>
    <w:rsid w:val="00766980"/>
    <w:rsid w:val="00767EF5"/>
    <w:rsid w:val="00771820"/>
    <w:rsid w:val="0077183F"/>
    <w:rsid w:val="00772DCA"/>
    <w:rsid w:val="00775C4F"/>
    <w:rsid w:val="00775CCD"/>
    <w:rsid w:val="007762B4"/>
    <w:rsid w:val="0077789B"/>
    <w:rsid w:val="00777D8A"/>
    <w:rsid w:val="0078220B"/>
    <w:rsid w:val="00782FFD"/>
    <w:rsid w:val="00784554"/>
    <w:rsid w:val="00794F3E"/>
    <w:rsid w:val="00796AC7"/>
    <w:rsid w:val="007974EF"/>
    <w:rsid w:val="00797F58"/>
    <w:rsid w:val="007A0CB0"/>
    <w:rsid w:val="007A12E7"/>
    <w:rsid w:val="007A523A"/>
    <w:rsid w:val="007A58DA"/>
    <w:rsid w:val="007A5C79"/>
    <w:rsid w:val="007A6718"/>
    <w:rsid w:val="007B0069"/>
    <w:rsid w:val="007B401C"/>
    <w:rsid w:val="007B42A7"/>
    <w:rsid w:val="007B4DEB"/>
    <w:rsid w:val="007B6B89"/>
    <w:rsid w:val="007C04A2"/>
    <w:rsid w:val="007C26EA"/>
    <w:rsid w:val="007C44B7"/>
    <w:rsid w:val="007C5B34"/>
    <w:rsid w:val="007C5B54"/>
    <w:rsid w:val="007E02F6"/>
    <w:rsid w:val="007E28EE"/>
    <w:rsid w:val="007F32A3"/>
    <w:rsid w:val="007F3494"/>
    <w:rsid w:val="007F4763"/>
    <w:rsid w:val="007F494B"/>
    <w:rsid w:val="007F6F2B"/>
    <w:rsid w:val="007F7A22"/>
    <w:rsid w:val="00800933"/>
    <w:rsid w:val="00804035"/>
    <w:rsid w:val="008117B1"/>
    <w:rsid w:val="00817CF0"/>
    <w:rsid w:val="00820E13"/>
    <w:rsid w:val="0082372B"/>
    <w:rsid w:val="00830A54"/>
    <w:rsid w:val="00832F8E"/>
    <w:rsid w:val="00833691"/>
    <w:rsid w:val="00834E99"/>
    <w:rsid w:val="00837D4F"/>
    <w:rsid w:val="00837E8C"/>
    <w:rsid w:val="008405ED"/>
    <w:rsid w:val="00841041"/>
    <w:rsid w:val="00842668"/>
    <w:rsid w:val="008434E3"/>
    <w:rsid w:val="00846E4B"/>
    <w:rsid w:val="008470D0"/>
    <w:rsid w:val="0084743E"/>
    <w:rsid w:val="0085202D"/>
    <w:rsid w:val="0085749C"/>
    <w:rsid w:val="0086355F"/>
    <w:rsid w:val="008717D1"/>
    <w:rsid w:val="008722D4"/>
    <w:rsid w:val="00874149"/>
    <w:rsid w:val="00874A8A"/>
    <w:rsid w:val="00875FA2"/>
    <w:rsid w:val="00876B18"/>
    <w:rsid w:val="00882888"/>
    <w:rsid w:val="008857CF"/>
    <w:rsid w:val="008923CD"/>
    <w:rsid w:val="00892C94"/>
    <w:rsid w:val="0089629A"/>
    <w:rsid w:val="00897CF8"/>
    <w:rsid w:val="008A1AFE"/>
    <w:rsid w:val="008A6267"/>
    <w:rsid w:val="008B12BD"/>
    <w:rsid w:val="008B28F9"/>
    <w:rsid w:val="008B2A42"/>
    <w:rsid w:val="008B2BEE"/>
    <w:rsid w:val="008C0571"/>
    <w:rsid w:val="008C3B7F"/>
    <w:rsid w:val="008C4B51"/>
    <w:rsid w:val="008C5164"/>
    <w:rsid w:val="008D04F3"/>
    <w:rsid w:val="008D0D07"/>
    <w:rsid w:val="008D45E1"/>
    <w:rsid w:val="008D716D"/>
    <w:rsid w:val="008E3FF2"/>
    <w:rsid w:val="008E6437"/>
    <w:rsid w:val="008E707D"/>
    <w:rsid w:val="008E73D8"/>
    <w:rsid w:val="008E7A9D"/>
    <w:rsid w:val="008F17DA"/>
    <w:rsid w:val="008F6C92"/>
    <w:rsid w:val="00905760"/>
    <w:rsid w:val="00907D1E"/>
    <w:rsid w:val="00911655"/>
    <w:rsid w:val="009125B9"/>
    <w:rsid w:val="009140D1"/>
    <w:rsid w:val="009174B1"/>
    <w:rsid w:val="00920B00"/>
    <w:rsid w:val="00920D97"/>
    <w:rsid w:val="00921AEF"/>
    <w:rsid w:val="00922161"/>
    <w:rsid w:val="009307BC"/>
    <w:rsid w:val="00931776"/>
    <w:rsid w:val="00932118"/>
    <w:rsid w:val="00932745"/>
    <w:rsid w:val="00934565"/>
    <w:rsid w:val="00935E73"/>
    <w:rsid w:val="00936D79"/>
    <w:rsid w:val="00943D21"/>
    <w:rsid w:val="00947F33"/>
    <w:rsid w:val="00966F17"/>
    <w:rsid w:val="00967692"/>
    <w:rsid w:val="00974410"/>
    <w:rsid w:val="009813C9"/>
    <w:rsid w:val="00983B15"/>
    <w:rsid w:val="00983C74"/>
    <w:rsid w:val="0098618E"/>
    <w:rsid w:val="009863E7"/>
    <w:rsid w:val="009909AB"/>
    <w:rsid w:val="00992478"/>
    <w:rsid w:val="009A3738"/>
    <w:rsid w:val="009A475A"/>
    <w:rsid w:val="009A5AA0"/>
    <w:rsid w:val="009A7A05"/>
    <w:rsid w:val="009B0638"/>
    <w:rsid w:val="009B20B0"/>
    <w:rsid w:val="009B4ABF"/>
    <w:rsid w:val="009B540D"/>
    <w:rsid w:val="009B548A"/>
    <w:rsid w:val="009B7DBB"/>
    <w:rsid w:val="009C02F2"/>
    <w:rsid w:val="009C4D00"/>
    <w:rsid w:val="009C70A5"/>
    <w:rsid w:val="009D41D5"/>
    <w:rsid w:val="009D42AD"/>
    <w:rsid w:val="009D44DB"/>
    <w:rsid w:val="009D65C3"/>
    <w:rsid w:val="009E2F9E"/>
    <w:rsid w:val="009E626E"/>
    <w:rsid w:val="009E6DC2"/>
    <w:rsid w:val="009F1F09"/>
    <w:rsid w:val="009F1FF7"/>
    <w:rsid w:val="009F5C5A"/>
    <w:rsid w:val="00A0482F"/>
    <w:rsid w:val="00A04B63"/>
    <w:rsid w:val="00A139FA"/>
    <w:rsid w:val="00A15AE8"/>
    <w:rsid w:val="00A15E3C"/>
    <w:rsid w:val="00A15E5A"/>
    <w:rsid w:val="00A21730"/>
    <w:rsid w:val="00A23189"/>
    <w:rsid w:val="00A24CE9"/>
    <w:rsid w:val="00A263E7"/>
    <w:rsid w:val="00A27A0D"/>
    <w:rsid w:val="00A30CB1"/>
    <w:rsid w:val="00A31876"/>
    <w:rsid w:val="00A3599F"/>
    <w:rsid w:val="00A43F3A"/>
    <w:rsid w:val="00A50AE8"/>
    <w:rsid w:val="00A50BCC"/>
    <w:rsid w:val="00A5632E"/>
    <w:rsid w:val="00A631D3"/>
    <w:rsid w:val="00A63663"/>
    <w:rsid w:val="00A72127"/>
    <w:rsid w:val="00A7361E"/>
    <w:rsid w:val="00A74191"/>
    <w:rsid w:val="00A74581"/>
    <w:rsid w:val="00A746B8"/>
    <w:rsid w:val="00A770A2"/>
    <w:rsid w:val="00A77646"/>
    <w:rsid w:val="00A8603F"/>
    <w:rsid w:val="00A86304"/>
    <w:rsid w:val="00A86866"/>
    <w:rsid w:val="00A90E2D"/>
    <w:rsid w:val="00A93486"/>
    <w:rsid w:val="00A9389B"/>
    <w:rsid w:val="00A9650A"/>
    <w:rsid w:val="00AA6AC1"/>
    <w:rsid w:val="00AB0CA7"/>
    <w:rsid w:val="00AB4EEB"/>
    <w:rsid w:val="00AB5400"/>
    <w:rsid w:val="00AB79ED"/>
    <w:rsid w:val="00AC01BE"/>
    <w:rsid w:val="00AC1DF4"/>
    <w:rsid w:val="00AC2CDE"/>
    <w:rsid w:val="00AD0DAE"/>
    <w:rsid w:val="00AD55BE"/>
    <w:rsid w:val="00AE63D8"/>
    <w:rsid w:val="00AE667E"/>
    <w:rsid w:val="00AE7227"/>
    <w:rsid w:val="00AF0A44"/>
    <w:rsid w:val="00AF284E"/>
    <w:rsid w:val="00AF3A7E"/>
    <w:rsid w:val="00AF69C2"/>
    <w:rsid w:val="00AF7754"/>
    <w:rsid w:val="00AF7DA4"/>
    <w:rsid w:val="00B00A6B"/>
    <w:rsid w:val="00B018D5"/>
    <w:rsid w:val="00B01B76"/>
    <w:rsid w:val="00B02313"/>
    <w:rsid w:val="00B047CE"/>
    <w:rsid w:val="00B051B4"/>
    <w:rsid w:val="00B05F45"/>
    <w:rsid w:val="00B062CA"/>
    <w:rsid w:val="00B10F7E"/>
    <w:rsid w:val="00B1778D"/>
    <w:rsid w:val="00B33704"/>
    <w:rsid w:val="00B42DFA"/>
    <w:rsid w:val="00B506D4"/>
    <w:rsid w:val="00B516C6"/>
    <w:rsid w:val="00B52790"/>
    <w:rsid w:val="00B570CD"/>
    <w:rsid w:val="00B6002A"/>
    <w:rsid w:val="00B62B64"/>
    <w:rsid w:val="00B64E16"/>
    <w:rsid w:val="00B64EB9"/>
    <w:rsid w:val="00B65CE7"/>
    <w:rsid w:val="00B679A9"/>
    <w:rsid w:val="00B70BD9"/>
    <w:rsid w:val="00B70E2C"/>
    <w:rsid w:val="00B71572"/>
    <w:rsid w:val="00B738A0"/>
    <w:rsid w:val="00B763D0"/>
    <w:rsid w:val="00B7711C"/>
    <w:rsid w:val="00B77928"/>
    <w:rsid w:val="00B80523"/>
    <w:rsid w:val="00B82C68"/>
    <w:rsid w:val="00B83A7B"/>
    <w:rsid w:val="00B85AC3"/>
    <w:rsid w:val="00B90C92"/>
    <w:rsid w:val="00B90D73"/>
    <w:rsid w:val="00B938F6"/>
    <w:rsid w:val="00BA2B4E"/>
    <w:rsid w:val="00BA4F43"/>
    <w:rsid w:val="00BB1D87"/>
    <w:rsid w:val="00BB2C65"/>
    <w:rsid w:val="00BB3D7E"/>
    <w:rsid w:val="00BB4EC0"/>
    <w:rsid w:val="00BB52F3"/>
    <w:rsid w:val="00BC0968"/>
    <w:rsid w:val="00BC5601"/>
    <w:rsid w:val="00BC5681"/>
    <w:rsid w:val="00BC635C"/>
    <w:rsid w:val="00BD7F25"/>
    <w:rsid w:val="00BE5761"/>
    <w:rsid w:val="00BE6318"/>
    <w:rsid w:val="00BE74B5"/>
    <w:rsid w:val="00BF766C"/>
    <w:rsid w:val="00BF7BEC"/>
    <w:rsid w:val="00C01BCC"/>
    <w:rsid w:val="00C03B44"/>
    <w:rsid w:val="00C13560"/>
    <w:rsid w:val="00C14841"/>
    <w:rsid w:val="00C163F8"/>
    <w:rsid w:val="00C17A82"/>
    <w:rsid w:val="00C21AF7"/>
    <w:rsid w:val="00C2364C"/>
    <w:rsid w:val="00C25531"/>
    <w:rsid w:val="00C2700B"/>
    <w:rsid w:val="00C32B52"/>
    <w:rsid w:val="00C32CF6"/>
    <w:rsid w:val="00C33D21"/>
    <w:rsid w:val="00C33E1A"/>
    <w:rsid w:val="00C34287"/>
    <w:rsid w:val="00C365F1"/>
    <w:rsid w:val="00C37291"/>
    <w:rsid w:val="00C37D32"/>
    <w:rsid w:val="00C41629"/>
    <w:rsid w:val="00C432F2"/>
    <w:rsid w:val="00C45857"/>
    <w:rsid w:val="00C4721A"/>
    <w:rsid w:val="00C4775C"/>
    <w:rsid w:val="00C56BA3"/>
    <w:rsid w:val="00C6162E"/>
    <w:rsid w:val="00C62791"/>
    <w:rsid w:val="00C64E8A"/>
    <w:rsid w:val="00C77F60"/>
    <w:rsid w:val="00C81EBD"/>
    <w:rsid w:val="00C84AFD"/>
    <w:rsid w:val="00C84D5C"/>
    <w:rsid w:val="00C864D7"/>
    <w:rsid w:val="00C86E04"/>
    <w:rsid w:val="00C909BF"/>
    <w:rsid w:val="00C92CFC"/>
    <w:rsid w:val="00C93799"/>
    <w:rsid w:val="00C969A3"/>
    <w:rsid w:val="00C9730E"/>
    <w:rsid w:val="00C9795A"/>
    <w:rsid w:val="00CA0193"/>
    <w:rsid w:val="00CA13FE"/>
    <w:rsid w:val="00CA7BFB"/>
    <w:rsid w:val="00CB057C"/>
    <w:rsid w:val="00CB11DF"/>
    <w:rsid w:val="00CB1664"/>
    <w:rsid w:val="00CB1BD3"/>
    <w:rsid w:val="00CB4E4B"/>
    <w:rsid w:val="00CB7067"/>
    <w:rsid w:val="00CB7346"/>
    <w:rsid w:val="00CC009F"/>
    <w:rsid w:val="00CC21A1"/>
    <w:rsid w:val="00CC4245"/>
    <w:rsid w:val="00CC6B61"/>
    <w:rsid w:val="00CD7035"/>
    <w:rsid w:val="00CD7073"/>
    <w:rsid w:val="00CE0B67"/>
    <w:rsid w:val="00CE4A4A"/>
    <w:rsid w:val="00CE4B48"/>
    <w:rsid w:val="00CE4D41"/>
    <w:rsid w:val="00CE4F8E"/>
    <w:rsid w:val="00CE508F"/>
    <w:rsid w:val="00CE61FB"/>
    <w:rsid w:val="00CE713A"/>
    <w:rsid w:val="00CF413C"/>
    <w:rsid w:val="00CF4C74"/>
    <w:rsid w:val="00CF706E"/>
    <w:rsid w:val="00D01CDE"/>
    <w:rsid w:val="00D060BC"/>
    <w:rsid w:val="00D076D2"/>
    <w:rsid w:val="00D1167D"/>
    <w:rsid w:val="00D1185B"/>
    <w:rsid w:val="00D126DA"/>
    <w:rsid w:val="00D13821"/>
    <w:rsid w:val="00D1403C"/>
    <w:rsid w:val="00D1477B"/>
    <w:rsid w:val="00D1502A"/>
    <w:rsid w:val="00D15B0D"/>
    <w:rsid w:val="00D16BF0"/>
    <w:rsid w:val="00D238E6"/>
    <w:rsid w:val="00D274B4"/>
    <w:rsid w:val="00D32E9E"/>
    <w:rsid w:val="00D33139"/>
    <w:rsid w:val="00D349ED"/>
    <w:rsid w:val="00D36A49"/>
    <w:rsid w:val="00D37082"/>
    <w:rsid w:val="00D40AA9"/>
    <w:rsid w:val="00D410DA"/>
    <w:rsid w:val="00D4197E"/>
    <w:rsid w:val="00D42A47"/>
    <w:rsid w:val="00D44CE6"/>
    <w:rsid w:val="00D45304"/>
    <w:rsid w:val="00D47D0E"/>
    <w:rsid w:val="00D533B9"/>
    <w:rsid w:val="00D54C07"/>
    <w:rsid w:val="00D57686"/>
    <w:rsid w:val="00D57E1F"/>
    <w:rsid w:val="00D62D3A"/>
    <w:rsid w:val="00D664F6"/>
    <w:rsid w:val="00D70137"/>
    <w:rsid w:val="00D7069B"/>
    <w:rsid w:val="00D72B36"/>
    <w:rsid w:val="00D74664"/>
    <w:rsid w:val="00D750A3"/>
    <w:rsid w:val="00D813A6"/>
    <w:rsid w:val="00D84F0F"/>
    <w:rsid w:val="00D857A7"/>
    <w:rsid w:val="00D8734A"/>
    <w:rsid w:val="00D87B9E"/>
    <w:rsid w:val="00D928E2"/>
    <w:rsid w:val="00D9403E"/>
    <w:rsid w:val="00D95C2E"/>
    <w:rsid w:val="00DA0F68"/>
    <w:rsid w:val="00DB02C2"/>
    <w:rsid w:val="00DB0F74"/>
    <w:rsid w:val="00DB23C5"/>
    <w:rsid w:val="00DB4FD3"/>
    <w:rsid w:val="00DB6A08"/>
    <w:rsid w:val="00DC0F3E"/>
    <w:rsid w:val="00DC2584"/>
    <w:rsid w:val="00DC5C83"/>
    <w:rsid w:val="00DC67BB"/>
    <w:rsid w:val="00DC6EBB"/>
    <w:rsid w:val="00DC7460"/>
    <w:rsid w:val="00DC758A"/>
    <w:rsid w:val="00DD0CB3"/>
    <w:rsid w:val="00DD0E9B"/>
    <w:rsid w:val="00DD2C6E"/>
    <w:rsid w:val="00DD53A4"/>
    <w:rsid w:val="00DD5558"/>
    <w:rsid w:val="00DD62B1"/>
    <w:rsid w:val="00DE11A6"/>
    <w:rsid w:val="00DE1406"/>
    <w:rsid w:val="00DE14F9"/>
    <w:rsid w:val="00DE190F"/>
    <w:rsid w:val="00DE214A"/>
    <w:rsid w:val="00DE2428"/>
    <w:rsid w:val="00DE24DA"/>
    <w:rsid w:val="00DE51F6"/>
    <w:rsid w:val="00DE5C56"/>
    <w:rsid w:val="00DE60A7"/>
    <w:rsid w:val="00DE641B"/>
    <w:rsid w:val="00DF102A"/>
    <w:rsid w:val="00DF3124"/>
    <w:rsid w:val="00DF59DB"/>
    <w:rsid w:val="00DF5C83"/>
    <w:rsid w:val="00DF6911"/>
    <w:rsid w:val="00DF7832"/>
    <w:rsid w:val="00E00315"/>
    <w:rsid w:val="00E02A14"/>
    <w:rsid w:val="00E042A9"/>
    <w:rsid w:val="00E1580B"/>
    <w:rsid w:val="00E1648F"/>
    <w:rsid w:val="00E2003D"/>
    <w:rsid w:val="00E2077B"/>
    <w:rsid w:val="00E20A29"/>
    <w:rsid w:val="00E23628"/>
    <w:rsid w:val="00E26340"/>
    <w:rsid w:val="00E265A4"/>
    <w:rsid w:val="00E26E38"/>
    <w:rsid w:val="00E3137D"/>
    <w:rsid w:val="00E321B8"/>
    <w:rsid w:val="00E322C8"/>
    <w:rsid w:val="00E37A93"/>
    <w:rsid w:val="00E406E8"/>
    <w:rsid w:val="00E40B35"/>
    <w:rsid w:val="00E447B6"/>
    <w:rsid w:val="00E44C63"/>
    <w:rsid w:val="00E45582"/>
    <w:rsid w:val="00E51A04"/>
    <w:rsid w:val="00E52879"/>
    <w:rsid w:val="00E549E2"/>
    <w:rsid w:val="00E55CF3"/>
    <w:rsid w:val="00E5799E"/>
    <w:rsid w:val="00E63107"/>
    <w:rsid w:val="00E6565E"/>
    <w:rsid w:val="00E65A83"/>
    <w:rsid w:val="00E66EFF"/>
    <w:rsid w:val="00E7057B"/>
    <w:rsid w:val="00E70613"/>
    <w:rsid w:val="00E70793"/>
    <w:rsid w:val="00E7130E"/>
    <w:rsid w:val="00E7416A"/>
    <w:rsid w:val="00E74834"/>
    <w:rsid w:val="00E74970"/>
    <w:rsid w:val="00E74BF6"/>
    <w:rsid w:val="00E7759A"/>
    <w:rsid w:val="00E83231"/>
    <w:rsid w:val="00E852E6"/>
    <w:rsid w:val="00E85FD2"/>
    <w:rsid w:val="00E8737B"/>
    <w:rsid w:val="00E95147"/>
    <w:rsid w:val="00EA1239"/>
    <w:rsid w:val="00EA39CC"/>
    <w:rsid w:val="00EA485E"/>
    <w:rsid w:val="00EB1051"/>
    <w:rsid w:val="00EB129A"/>
    <w:rsid w:val="00EB3C18"/>
    <w:rsid w:val="00EC1017"/>
    <w:rsid w:val="00EC4EEA"/>
    <w:rsid w:val="00EC6D60"/>
    <w:rsid w:val="00EC778E"/>
    <w:rsid w:val="00ED0701"/>
    <w:rsid w:val="00ED086D"/>
    <w:rsid w:val="00ED32FF"/>
    <w:rsid w:val="00ED72B8"/>
    <w:rsid w:val="00ED76FC"/>
    <w:rsid w:val="00EE2E49"/>
    <w:rsid w:val="00EE6A21"/>
    <w:rsid w:val="00EF5066"/>
    <w:rsid w:val="00EF7B21"/>
    <w:rsid w:val="00F0187E"/>
    <w:rsid w:val="00F029F5"/>
    <w:rsid w:val="00F04029"/>
    <w:rsid w:val="00F11702"/>
    <w:rsid w:val="00F14305"/>
    <w:rsid w:val="00F211B8"/>
    <w:rsid w:val="00F23C3B"/>
    <w:rsid w:val="00F24B30"/>
    <w:rsid w:val="00F27C60"/>
    <w:rsid w:val="00F3191C"/>
    <w:rsid w:val="00F333A7"/>
    <w:rsid w:val="00F34FA2"/>
    <w:rsid w:val="00F42819"/>
    <w:rsid w:val="00F42E8E"/>
    <w:rsid w:val="00F5312B"/>
    <w:rsid w:val="00F5344E"/>
    <w:rsid w:val="00F54B1A"/>
    <w:rsid w:val="00F5554D"/>
    <w:rsid w:val="00F56575"/>
    <w:rsid w:val="00F56E12"/>
    <w:rsid w:val="00F61B72"/>
    <w:rsid w:val="00F67644"/>
    <w:rsid w:val="00F725B5"/>
    <w:rsid w:val="00F828FD"/>
    <w:rsid w:val="00F83D94"/>
    <w:rsid w:val="00F83E3B"/>
    <w:rsid w:val="00F87D48"/>
    <w:rsid w:val="00F94C6A"/>
    <w:rsid w:val="00FA1401"/>
    <w:rsid w:val="00FA3851"/>
    <w:rsid w:val="00FA42E4"/>
    <w:rsid w:val="00FA5294"/>
    <w:rsid w:val="00FA62FF"/>
    <w:rsid w:val="00FB415F"/>
    <w:rsid w:val="00FB46AE"/>
    <w:rsid w:val="00FB5884"/>
    <w:rsid w:val="00FB7B25"/>
    <w:rsid w:val="00FC075F"/>
    <w:rsid w:val="00FC1714"/>
    <w:rsid w:val="00FD2B86"/>
    <w:rsid w:val="00FD41FD"/>
    <w:rsid w:val="00FE3FC5"/>
    <w:rsid w:val="00FE4098"/>
    <w:rsid w:val="00FE45C8"/>
    <w:rsid w:val="00FE4876"/>
    <w:rsid w:val="00FE5113"/>
    <w:rsid w:val="00FF15B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711CD"/>
  <w15:chartTrackingRefBased/>
  <w15:docId w15:val="{79242D86-41A3-4CA1-A568-1CB2B478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C92"/>
    <w:rPr>
      <w:rFonts w:eastAsia="MS Mincho"/>
      <w:sz w:val="24"/>
      <w:szCs w:val="24"/>
      <w:lang w:val="es-CL" w:eastAsia="es-CL"/>
    </w:rPr>
  </w:style>
  <w:style w:type="paragraph" w:styleId="Ttulo1">
    <w:name w:val="heading 1"/>
    <w:basedOn w:val="Ttulo"/>
    <w:next w:val="Normal"/>
    <w:link w:val="Ttulo1Car"/>
    <w:qFormat/>
    <w:rsid w:val="000B7F0B"/>
    <w:pPr>
      <w:tabs>
        <w:tab w:val="num" w:pos="360"/>
      </w:tabs>
      <w:spacing w:before="240" w:after="240"/>
      <w:outlineLvl w:val="0"/>
    </w:pPr>
  </w:style>
  <w:style w:type="paragraph" w:styleId="Ttulo2">
    <w:name w:val="heading 2"/>
    <w:basedOn w:val="Prrafodelista"/>
    <w:next w:val="Normal"/>
    <w:link w:val="Ttulo2Car"/>
    <w:uiPriority w:val="9"/>
    <w:unhideWhenUsed/>
    <w:qFormat/>
    <w:rsid w:val="000B7F0B"/>
    <w:pPr>
      <w:spacing w:before="120" w:after="120"/>
      <w:contextualSpacing w:val="0"/>
      <w:jc w:val="both"/>
      <w:outlineLvl w:val="1"/>
    </w:pPr>
    <w:rPr>
      <w:rFonts w:ascii="Verdana"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Ref. de nota al"/>
    <w:link w:val="4GChar"/>
    <w:uiPriority w:val="99"/>
    <w:qFormat/>
    <w:rsid w:val="008F6C92"/>
    <w:rPr>
      <w:vertAlign w:val="superscript"/>
    </w:rPr>
  </w:style>
  <w:style w:type="character" w:styleId="Refdecomentario">
    <w:name w:val="annotation reference"/>
    <w:semiHidden/>
    <w:rsid w:val="008F6C92"/>
    <w:rPr>
      <w:sz w:val="16"/>
      <w:szCs w:val="16"/>
    </w:rPr>
  </w:style>
  <w:style w:type="paragraph" w:styleId="Textocomentario">
    <w:name w:val="annotation text"/>
    <w:basedOn w:val="Normal"/>
    <w:semiHidden/>
    <w:rsid w:val="008F6C92"/>
    <w:rPr>
      <w:sz w:val="20"/>
      <w:szCs w:val="20"/>
    </w:rPr>
  </w:style>
  <w:style w:type="paragraph" w:styleId="Textodeglobo">
    <w:name w:val="Balloon Text"/>
    <w:basedOn w:val="Normal"/>
    <w:semiHidden/>
    <w:rsid w:val="008F6C92"/>
    <w:rPr>
      <w:rFonts w:ascii="Tahoma" w:hAnsi="Tahoma" w:cs="Tahoma"/>
      <w:sz w:val="16"/>
      <w:szCs w:val="16"/>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qFormat/>
    <w:rsid w:val="00A26107"/>
    <w:rPr>
      <w:sz w:val="20"/>
      <w:szCs w:val="20"/>
    </w:rPr>
  </w:style>
  <w:style w:type="character" w:customStyle="1" w:styleId="apple-style-span">
    <w:name w:val="apple-style-span"/>
    <w:basedOn w:val="Fuentedeprrafopredeter"/>
    <w:rsid w:val="00A26107"/>
  </w:style>
  <w:style w:type="character" w:customStyle="1" w:styleId="apple-converted-space">
    <w:name w:val="apple-converted-space"/>
    <w:basedOn w:val="Fuentedeprrafopredeter"/>
    <w:rsid w:val="00A26107"/>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D428C0"/>
    <w:rPr>
      <w:rFonts w:eastAsia="MS Mincho"/>
      <w:lang w:val="es-CL" w:eastAsia="es-CL" w:bidi="ar-SA"/>
    </w:rPr>
  </w:style>
  <w:style w:type="paragraph" w:styleId="Textoindependiente">
    <w:name w:val="Body Text"/>
    <w:aliases w:val="Body Text Char,Body Text Char Car Car Car Car Car Car Car Car Car Car Car Car Car,Body Text Char Car Car Car Car Car Car Car Car Car Car Car Car"/>
    <w:basedOn w:val="Normal"/>
    <w:rsid w:val="00D428C0"/>
    <w:pPr>
      <w:jc w:val="both"/>
    </w:pPr>
    <w:rPr>
      <w:rFonts w:ascii="Garamond" w:eastAsia="Times New Roman" w:hAnsi="Garamond"/>
      <w:sz w:val="20"/>
      <w:szCs w:val="20"/>
      <w:lang w:val="es-ES_tradnl" w:eastAsia="en-US"/>
    </w:rPr>
  </w:style>
  <w:style w:type="paragraph" w:styleId="Textoindependiente2">
    <w:name w:val="Body Text 2"/>
    <w:basedOn w:val="Normal"/>
    <w:rsid w:val="00D428C0"/>
    <w:pPr>
      <w:spacing w:after="120" w:line="480" w:lineRule="auto"/>
    </w:pPr>
  </w:style>
  <w:style w:type="paragraph" w:styleId="Piedepgina">
    <w:name w:val="footer"/>
    <w:basedOn w:val="Normal"/>
    <w:rsid w:val="00E84FDB"/>
    <w:pPr>
      <w:tabs>
        <w:tab w:val="center" w:pos="4320"/>
        <w:tab w:val="right" w:pos="8640"/>
      </w:tabs>
    </w:pPr>
  </w:style>
  <w:style w:type="character" w:styleId="Nmerodepgina">
    <w:name w:val="page number"/>
    <w:basedOn w:val="Fuentedeprrafopredeter"/>
    <w:rsid w:val="00E84FDB"/>
  </w:style>
  <w:style w:type="paragraph" w:styleId="Asuntodelcomentario">
    <w:name w:val="annotation subject"/>
    <w:basedOn w:val="Textocomentario"/>
    <w:next w:val="Textocomentario"/>
    <w:semiHidden/>
    <w:rsid w:val="00D03560"/>
    <w:rPr>
      <w:b/>
      <w:bCs/>
    </w:rPr>
  </w:style>
  <w:style w:type="paragraph" w:styleId="Encabezado">
    <w:name w:val="header"/>
    <w:basedOn w:val="Normal"/>
    <w:rsid w:val="002F1BD3"/>
    <w:pPr>
      <w:tabs>
        <w:tab w:val="center" w:pos="4320"/>
        <w:tab w:val="right" w:pos="8640"/>
      </w:tabs>
    </w:p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34"/>
    <w:qFormat/>
    <w:rsid w:val="00A50BCC"/>
    <w:pPr>
      <w:ind w:left="720"/>
      <w:contextualSpacing/>
    </w:pPr>
    <w:rPr>
      <w:rFonts w:eastAsia="Times New Roman"/>
      <w:lang w:val="es-ES_tradnl" w:eastAsia="en-US"/>
    </w:rPr>
  </w:style>
  <w:style w:type="character" w:styleId="Textoennegrita">
    <w:name w:val="Strong"/>
    <w:qFormat/>
    <w:rsid w:val="00380D06"/>
    <w:rPr>
      <w:b/>
      <w:bCs/>
    </w:rPr>
  </w:style>
  <w:style w:type="character" w:styleId="Hipervnculo">
    <w:name w:val="Hyperlink"/>
    <w:uiPriority w:val="99"/>
    <w:rsid w:val="00A15AE8"/>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5554D"/>
    <w:pPr>
      <w:jc w:val="both"/>
    </w:pPr>
    <w:rPr>
      <w:rFonts w:eastAsia="Times New Roman"/>
      <w:sz w:val="20"/>
      <w:szCs w:val="20"/>
      <w:vertAlign w:val="superscript"/>
      <w:lang w:val="es-CR" w:eastAsia="es-CR"/>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34"/>
    <w:locked/>
    <w:rsid w:val="008C3B7F"/>
    <w:rPr>
      <w:sz w:val="24"/>
      <w:szCs w:val="24"/>
      <w:lang w:val="es-ES_tradnl" w:eastAsia="en-US"/>
    </w:rPr>
  </w:style>
  <w:style w:type="character" w:customStyle="1" w:styleId="Ttulo2Car">
    <w:name w:val="Título 2 Car"/>
    <w:link w:val="Ttulo2"/>
    <w:uiPriority w:val="9"/>
    <w:rsid w:val="000B7F0B"/>
    <w:rPr>
      <w:rFonts w:ascii="Verdana" w:hAnsi="Verdana"/>
      <w:i/>
      <w:lang w:val="es-ES_tradnl" w:eastAsia="en-US"/>
    </w:rPr>
  </w:style>
  <w:style w:type="paragraph" w:styleId="Ttulo">
    <w:name w:val="Title"/>
    <w:basedOn w:val="Ttulo2"/>
    <w:next w:val="Normal"/>
    <w:link w:val="TtuloCar"/>
    <w:qFormat/>
    <w:rsid w:val="00264315"/>
    <w:pPr>
      <w:numPr>
        <w:numId w:val="2"/>
      </w:numPr>
    </w:pPr>
    <w:rPr>
      <w:b/>
    </w:rPr>
  </w:style>
  <w:style w:type="character" w:customStyle="1" w:styleId="TtuloCar">
    <w:name w:val="Título Car"/>
    <w:link w:val="Ttulo"/>
    <w:rsid w:val="00264315"/>
    <w:rPr>
      <w:rFonts w:ascii="Verdana" w:hAnsi="Verdana"/>
      <w:b/>
      <w:i/>
      <w:lang w:val="es-ES_tradnl" w:eastAsia="en-US"/>
    </w:rPr>
  </w:style>
  <w:style w:type="character" w:customStyle="1" w:styleId="Ttulo1Car">
    <w:name w:val="Título 1 Car"/>
    <w:link w:val="Ttulo1"/>
    <w:rsid w:val="000B7F0B"/>
    <w:rPr>
      <w:rFonts w:ascii="Verdana" w:hAnsi="Verdana"/>
      <w:b/>
      <w:i/>
      <w:lang w:val="es-ES_tradnl" w:eastAsia="en-US"/>
    </w:rPr>
  </w:style>
  <w:style w:type="paragraph" w:styleId="TtuloTDC">
    <w:name w:val="TOC Heading"/>
    <w:basedOn w:val="Ttulo1"/>
    <w:next w:val="Normal"/>
    <w:uiPriority w:val="39"/>
    <w:unhideWhenUsed/>
    <w:qFormat/>
    <w:rsid w:val="00582BD3"/>
    <w:pPr>
      <w:keepLines/>
      <w:spacing w:after="0" w:line="259" w:lineRule="auto"/>
      <w:outlineLvl w:val="9"/>
    </w:pPr>
    <w:rPr>
      <w:b w:val="0"/>
      <w:bCs/>
      <w:color w:val="2E74B5"/>
      <w:lang w:val="es-CR" w:eastAsia="es-CR"/>
    </w:rPr>
  </w:style>
  <w:style w:type="paragraph" w:styleId="TDC2">
    <w:name w:val="toc 2"/>
    <w:basedOn w:val="Normal"/>
    <w:next w:val="Normal"/>
    <w:autoRedefine/>
    <w:uiPriority w:val="39"/>
    <w:rsid w:val="00582BD3"/>
    <w:pPr>
      <w:ind w:left="240"/>
    </w:pPr>
  </w:style>
  <w:style w:type="paragraph" w:styleId="TDC1">
    <w:name w:val="toc 1"/>
    <w:basedOn w:val="Normal"/>
    <w:next w:val="Normal"/>
    <w:autoRedefine/>
    <w:uiPriority w:val="39"/>
    <w:rsid w:val="000B7F0B"/>
    <w:pPr>
      <w:spacing w:after="100"/>
    </w:pPr>
  </w:style>
  <w:style w:type="character" w:styleId="Hipervnculovisitado">
    <w:name w:val="FollowedHyperlink"/>
    <w:basedOn w:val="Fuentedeprrafopredeter"/>
    <w:rsid w:val="009744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449296">
      <w:bodyDiv w:val="1"/>
      <w:marLeft w:val="0"/>
      <w:marRight w:val="0"/>
      <w:marTop w:val="0"/>
      <w:marBottom w:val="0"/>
      <w:divBdr>
        <w:top w:val="none" w:sz="0" w:space="0" w:color="auto"/>
        <w:left w:val="none" w:sz="0" w:space="0" w:color="auto"/>
        <w:bottom w:val="none" w:sz="0" w:space="0" w:color="auto"/>
        <w:right w:val="none" w:sz="0" w:space="0" w:color="auto"/>
      </w:divBdr>
    </w:div>
    <w:div w:id="9191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supervisiones/bello_09_07_09.pdf" TargetMode="External"/><Relationship Id="rId2" Type="http://schemas.openxmlformats.org/officeDocument/2006/relationships/hyperlink" Target="http://www.corteidh.or.cr/docs/casos/articulos/seriec_159_esp.pdf" TargetMode="External"/><Relationship Id="rId1" Type="http://schemas.openxmlformats.org/officeDocument/2006/relationships/hyperlink" Target="http://www.corteidh.or.cr/docs/casos/articulos/seriec_140_esp.pdf" TargetMode="External"/><Relationship Id="rId4" Type="http://schemas.openxmlformats.org/officeDocument/2006/relationships/hyperlink" Target="http://www.corteidh.or.cr/docs/supervisiones/pueblo_bello_ituango_valle_jaramillo_y_otros_03_09_202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B6167-F358-473E-85A1-07622F58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7665</Words>
  <Characters>42163</Characters>
  <Application>Microsoft Office Word</Application>
  <DocSecurity>0</DocSecurity>
  <Lines>351</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Dark</Company>
  <LinksUpToDate>false</LinksUpToDate>
  <CharactersWithSpaces>49729</CharactersWithSpaces>
  <SharedDoc>false</SharedDoc>
  <HLinks>
    <vt:vector size="78" baseType="variant">
      <vt:variant>
        <vt:i4>1507376</vt:i4>
      </vt:variant>
      <vt:variant>
        <vt:i4>38</vt:i4>
      </vt:variant>
      <vt:variant>
        <vt:i4>0</vt:i4>
      </vt:variant>
      <vt:variant>
        <vt:i4>5</vt:i4>
      </vt:variant>
      <vt:variant>
        <vt:lpwstr/>
      </vt:variant>
      <vt:variant>
        <vt:lpwstr>_Toc52561014</vt:lpwstr>
      </vt:variant>
      <vt:variant>
        <vt:i4>1048624</vt:i4>
      </vt:variant>
      <vt:variant>
        <vt:i4>32</vt:i4>
      </vt:variant>
      <vt:variant>
        <vt:i4>0</vt:i4>
      </vt:variant>
      <vt:variant>
        <vt:i4>5</vt:i4>
      </vt:variant>
      <vt:variant>
        <vt:lpwstr/>
      </vt:variant>
      <vt:variant>
        <vt:lpwstr>_Toc52561013</vt:lpwstr>
      </vt:variant>
      <vt:variant>
        <vt:i4>1114160</vt:i4>
      </vt:variant>
      <vt:variant>
        <vt:i4>26</vt:i4>
      </vt:variant>
      <vt:variant>
        <vt:i4>0</vt:i4>
      </vt:variant>
      <vt:variant>
        <vt:i4>5</vt:i4>
      </vt:variant>
      <vt:variant>
        <vt:lpwstr/>
      </vt:variant>
      <vt:variant>
        <vt:lpwstr>_Toc52561012</vt:lpwstr>
      </vt:variant>
      <vt:variant>
        <vt:i4>1179696</vt:i4>
      </vt:variant>
      <vt:variant>
        <vt:i4>20</vt:i4>
      </vt:variant>
      <vt:variant>
        <vt:i4>0</vt:i4>
      </vt:variant>
      <vt:variant>
        <vt:i4>5</vt:i4>
      </vt:variant>
      <vt:variant>
        <vt:lpwstr/>
      </vt:variant>
      <vt:variant>
        <vt:lpwstr>_Toc52561011</vt:lpwstr>
      </vt:variant>
      <vt:variant>
        <vt:i4>1245232</vt:i4>
      </vt:variant>
      <vt:variant>
        <vt:i4>14</vt:i4>
      </vt:variant>
      <vt:variant>
        <vt:i4>0</vt:i4>
      </vt:variant>
      <vt:variant>
        <vt:i4>5</vt:i4>
      </vt:variant>
      <vt:variant>
        <vt:lpwstr/>
      </vt:variant>
      <vt:variant>
        <vt:lpwstr>_Toc52561010</vt:lpwstr>
      </vt:variant>
      <vt:variant>
        <vt:i4>1769521</vt:i4>
      </vt:variant>
      <vt:variant>
        <vt:i4>8</vt:i4>
      </vt:variant>
      <vt:variant>
        <vt:i4>0</vt:i4>
      </vt:variant>
      <vt:variant>
        <vt:i4>5</vt:i4>
      </vt:variant>
      <vt:variant>
        <vt:lpwstr/>
      </vt:variant>
      <vt:variant>
        <vt:lpwstr>_Toc52561008</vt:lpwstr>
      </vt:variant>
      <vt:variant>
        <vt:i4>6226023</vt:i4>
      </vt:variant>
      <vt:variant>
        <vt:i4>18</vt:i4>
      </vt:variant>
      <vt:variant>
        <vt:i4>0</vt:i4>
      </vt:variant>
      <vt:variant>
        <vt:i4>5</vt:i4>
      </vt:variant>
      <vt:variant>
        <vt:lpwstr>http://www.corteidh.or.cr/docs/supervisiones/pueblo_bello_ituango_valle_jaramillo_y_otros_03_09_2020.pdf</vt:lpwstr>
      </vt:variant>
      <vt:variant>
        <vt:lpwstr/>
      </vt:variant>
      <vt:variant>
        <vt:i4>1835042</vt:i4>
      </vt:variant>
      <vt:variant>
        <vt:i4>15</vt:i4>
      </vt:variant>
      <vt:variant>
        <vt:i4>0</vt:i4>
      </vt:variant>
      <vt:variant>
        <vt:i4>5</vt:i4>
      </vt:variant>
      <vt:variant>
        <vt:lpwstr>http://www.corteidh.or.cr/docs/supervisiones/bello_08_02_12.pdf</vt:lpwstr>
      </vt:variant>
      <vt:variant>
        <vt:lpwstr/>
      </vt:variant>
      <vt:variant>
        <vt:i4>1572904</vt:i4>
      </vt:variant>
      <vt:variant>
        <vt:i4>12</vt:i4>
      </vt:variant>
      <vt:variant>
        <vt:i4>0</vt:i4>
      </vt:variant>
      <vt:variant>
        <vt:i4>5</vt:i4>
      </vt:variant>
      <vt:variant>
        <vt:lpwstr>http://www.corteidh.or.cr/docs/supervisiones/bello_09_07_09.pdf</vt:lpwstr>
      </vt:variant>
      <vt:variant>
        <vt:lpwstr/>
      </vt:variant>
      <vt:variant>
        <vt:i4>1572904</vt:i4>
      </vt:variant>
      <vt:variant>
        <vt:i4>9</vt:i4>
      </vt:variant>
      <vt:variant>
        <vt:i4>0</vt:i4>
      </vt:variant>
      <vt:variant>
        <vt:i4>5</vt:i4>
      </vt:variant>
      <vt:variant>
        <vt:lpwstr>http://www.corteidh.or.cr/docs/supervisiones/bello_09_07_09.pdf</vt:lpwstr>
      </vt:variant>
      <vt:variant>
        <vt:lpwstr/>
      </vt:variant>
      <vt:variant>
        <vt:i4>1835047</vt:i4>
      </vt:variant>
      <vt:variant>
        <vt:i4>6</vt:i4>
      </vt:variant>
      <vt:variant>
        <vt:i4>0</vt:i4>
      </vt:variant>
      <vt:variant>
        <vt:i4>5</vt:i4>
      </vt:variant>
      <vt:variant>
        <vt:lpwstr>http://www.corteidh.or.cr/docs/supervisiones/bello_26_11_08.pdf</vt:lpwstr>
      </vt:variant>
      <vt:variant>
        <vt:lpwstr/>
      </vt:variant>
      <vt:variant>
        <vt:i4>5570652</vt:i4>
      </vt:variant>
      <vt:variant>
        <vt:i4>3</vt:i4>
      </vt:variant>
      <vt:variant>
        <vt:i4>0</vt:i4>
      </vt:variant>
      <vt:variant>
        <vt:i4>5</vt:i4>
      </vt:variant>
      <vt:variant>
        <vt:lpwstr>http://www.corteidh.or.cr/docs/casos/articulos/seriec_159_esp.pdf</vt:lpwstr>
      </vt:variant>
      <vt:variant>
        <vt:lpwstr/>
      </vt:variant>
      <vt:variant>
        <vt:i4>5505109</vt:i4>
      </vt:variant>
      <vt:variant>
        <vt:i4>0</vt:i4>
      </vt:variant>
      <vt:variant>
        <vt:i4>0</vt:i4>
      </vt:variant>
      <vt:variant>
        <vt:i4>5</vt:i4>
      </vt:variant>
      <vt:variant>
        <vt:lpwstr>http://www.corteidh.or.cr/docs/casos/articulos/seriec_140_esp.pdf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subject/>
  <dc:creator>Corte IDH</dc:creator>
  <cp:keywords/>
  <dc:description/>
  <cp:lastModifiedBy>Liliana Tojo</cp:lastModifiedBy>
  <cp:revision>2</cp:revision>
  <cp:lastPrinted>2020-12-18T22:25:00Z</cp:lastPrinted>
  <dcterms:created xsi:type="dcterms:W3CDTF">2020-12-21T17:09:00Z</dcterms:created>
  <dcterms:modified xsi:type="dcterms:W3CDTF">2020-12-21T17:09:00Z</dcterms:modified>
</cp:coreProperties>
</file>