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A37C205" w14:textId="77777777" w:rsidR="00055DA8" w:rsidRDefault="00055DA8" w:rsidP="00464EE6">
      <w:pPr>
        <w:jc w:val="center"/>
        <w:rPr>
          <w:rFonts w:ascii="Verdana" w:hAnsi="Verdana"/>
          <w:b/>
          <w:sz w:val="20"/>
          <w:lang w:val="es-MX"/>
        </w:rPr>
      </w:pPr>
    </w:p>
    <w:p w14:paraId="781B3CA3" w14:textId="77777777" w:rsidR="00055DA8" w:rsidRDefault="00055DA8" w:rsidP="00464EE6">
      <w:pPr>
        <w:jc w:val="center"/>
        <w:rPr>
          <w:rFonts w:ascii="Verdana" w:hAnsi="Verdana"/>
          <w:b/>
          <w:sz w:val="20"/>
          <w:lang w:val="es-MX"/>
        </w:rPr>
      </w:pPr>
    </w:p>
    <w:p w14:paraId="47F23EF6" w14:textId="77777777" w:rsidR="00055DA8" w:rsidRDefault="00055DA8" w:rsidP="00464EE6">
      <w:pPr>
        <w:jc w:val="center"/>
        <w:rPr>
          <w:rFonts w:ascii="Verdana" w:hAnsi="Verdana"/>
          <w:b/>
          <w:sz w:val="20"/>
          <w:lang w:val="es-MX"/>
        </w:rPr>
      </w:pPr>
    </w:p>
    <w:p w14:paraId="5EA8364A" w14:textId="77777777" w:rsidR="00464EE6" w:rsidRDefault="00464EE6" w:rsidP="00464EE6">
      <w:pPr>
        <w:jc w:val="center"/>
        <w:rPr>
          <w:rFonts w:ascii="Verdana" w:hAnsi="Verdana"/>
          <w:b/>
          <w:sz w:val="20"/>
          <w:lang w:val="es-MX"/>
        </w:rPr>
      </w:pPr>
    </w:p>
    <w:p w14:paraId="6E2B9CF8" w14:textId="77777777" w:rsidR="00464EE6" w:rsidRDefault="00464EE6" w:rsidP="00464EE6">
      <w:pPr>
        <w:jc w:val="center"/>
        <w:rPr>
          <w:rFonts w:ascii="Verdana" w:hAnsi="Verdana"/>
          <w:b/>
          <w:sz w:val="20"/>
          <w:lang w:val="es-MX"/>
        </w:rPr>
      </w:pPr>
    </w:p>
    <w:p w14:paraId="7BA10E41" w14:textId="77777777" w:rsidR="00F52F91" w:rsidRDefault="00F52F91" w:rsidP="00464EE6">
      <w:pPr>
        <w:jc w:val="center"/>
        <w:rPr>
          <w:rFonts w:ascii="Verdana" w:hAnsi="Verdana"/>
          <w:b/>
          <w:sz w:val="20"/>
          <w:lang w:val="es-MX"/>
        </w:rPr>
      </w:pPr>
    </w:p>
    <w:p w14:paraId="3366460D" w14:textId="77777777" w:rsidR="00FA0765" w:rsidRPr="000F1E4F" w:rsidRDefault="00FA0765" w:rsidP="00464EE6">
      <w:pPr>
        <w:jc w:val="center"/>
        <w:rPr>
          <w:rFonts w:ascii="Verdana" w:hAnsi="Verdana"/>
          <w:b/>
          <w:sz w:val="20"/>
          <w:lang w:val="es-MX"/>
        </w:rPr>
      </w:pPr>
      <w:r w:rsidRPr="000F1E4F">
        <w:rPr>
          <w:rFonts w:ascii="Verdana" w:hAnsi="Verdana"/>
          <w:b/>
          <w:sz w:val="20"/>
          <w:lang w:val="es-MX"/>
        </w:rPr>
        <w:t>RESOLUCIÓN DE LA</w:t>
      </w:r>
    </w:p>
    <w:p w14:paraId="759A1CAA" w14:textId="77777777" w:rsidR="0017363E" w:rsidRDefault="00FA0765" w:rsidP="00464EE6">
      <w:pPr>
        <w:jc w:val="center"/>
        <w:rPr>
          <w:rFonts w:eastAsia="Calibri"/>
          <w:lang w:eastAsia="es-CR"/>
        </w:rPr>
      </w:pPr>
      <w:r w:rsidRPr="00B71CCB">
        <w:rPr>
          <w:rFonts w:ascii="Verdana" w:hAnsi="Verdana"/>
          <w:b/>
          <w:sz w:val="20"/>
          <w:lang w:val="es-MX"/>
        </w:rPr>
        <w:t xml:space="preserve">CORTE </w:t>
      </w:r>
      <w:r w:rsidRPr="0017363E">
        <w:rPr>
          <w:rFonts w:ascii="Verdana" w:hAnsi="Verdana"/>
          <w:b/>
          <w:sz w:val="20"/>
          <w:lang w:val="es-MX"/>
        </w:rPr>
        <w:t>INTERAMERICANA</w:t>
      </w:r>
      <w:r w:rsidRPr="00B71CCB">
        <w:rPr>
          <w:rFonts w:ascii="Verdana" w:hAnsi="Verdana"/>
          <w:b/>
          <w:sz w:val="20"/>
          <w:lang w:val="es-MX"/>
        </w:rPr>
        <w:t xml:space="preserve"> DE DERECHOS HUMANOS</w:t>
      </w:r>
      <w:r w:rsidR="00D10C7F" w:rsidRPr="00826239">
        <w:rPr>
          <w:rStyle w:val="Refdenotaalpie"/>
          <w:rFonts w:ascii="Verdana" w:hAnsi="Verdana"/>
          <w:b/>
          <w:smallCaps/>
          <w:sz w:val="20"/>
          <w:lang w:val="es-CO"/>
        </w:rPr>
        <w:footnoteReference w:customMarkFollows="1" w:id="1"/>
        <w:sym w:font="Symbol" w:char="F02A"/>
      </w:r>
      <w:r w:rsidR="0017363E">
        <w:rPr>
          <w:rFonts w:eastAsia="Calibri"/>
          <w:lang w:eastAsia="es-CR"/>
        </w:rPr>
        <w:t xml:space="preserve"> </w:t>
      </w:r>
    </w:p>
    <w:p w14:paraId="344A8B96" w14:textId="77777777" w:rsidR="005763C1" w:rsidRDefault="005763C1" w:rsidP="00464EE6">
      <w:pPr>
        <w:jc w:val="center"/>
        <w:rPr>
          <w:rFonts w:eastAsia="Calibri"/>
          <w:lang w:eastAsia="es-CR"/>
        </w:rPr>
      </w:pPr>
    </w:p>
    <w:p w14:paraId="2AD9CDA3" w14:textId="6DCFC5A2" w:rsidR="005763C1" w:rsidRDefault="00966E85" w:rsidP="00464EE6">
      <w:pPr>
        <w:spacing w:before="60"/>
        <w:jc w:val="center"/>
        <w:rPr>
          <w:rFonts w:ascii="Verdana" w:hAnsi="Verdana"/>
          <w:b/>
          <w:smallCaps/>
          <w:sz w:val="20"/>
        </w:rPr>
      </w:pPr>
      <w:r>
        <w:rPr>
          <w:rFonts w:ascii="Verdana" w:hAnsi="Verdana"/>
          <w:b/>
          <w:smallCaps/>
          <w:sz w:val="20"/>
        </w:rPr>
        <w:t xml:space="preserve">DE </w:t>
      </w:r>
      <w:r w:rsidR="00F52F91" w:rsidRPr="00B42F79">
        <w:rPr>
          <w:rFonts w:ascii="Verdana" w:hAnsi="Verdana"/>
          <w:b/>
          <w:smallCaps/>
          <w:sz w:val="20"/>
        </w:rPr>
        <w:t>19</w:t>
      </w:r>
      <w:r w:rsidR="00B82CB7" w:rsidRPr="00AB04CC">
        <w:rPr>
          <w:rFonts w:ascii="Verdana" w:hAnsi="Verdana"/>
          <w:b/>
          <w:smallCaps/>
          <w:sz w:val="20"/>
        </w:rPr>
        <w:t xml:space="preserve"> </w:t>
      </w:r>
      <w:r w:rsidR="0065520B" w:rsidRPr="00AB04CC">
        <w:rPr>
          <w:rFonts w:ascii="Verdana" w:hAnsi="Verdana"/>
          <w:b/>
          <w:smallCaps/>
          <w:sz w:val="20"/>
        </w:rPr>
        <w:t>DE</w:t>
      </w:r>
      <w:r w:rsidR="00AF1972" w:rsidRPr="00AB04CC">
        <w:rPr>
          <w:rFonts w:ascii="Verdana" w:hAnsi="Verdana"/>
          <w:b/>
          <w:smallCaps/>
          <w:sz w:val="20"/>
        </w:rPr>
        <w:t xml:space="preserve"> </w:t>
      </w:r>
      <w:r w:rsidR="00464EE6">
        <w:rPr>
          <w:rFonts w:ascii="Verdana" w:hAnsi="Verdana"/>
          <w:b/>
          <w:smallCaps/>
          <w:sz w:val="20"/>
        </w:rPr>
        <w:t>NOVIEMBRE</w:t>
      </w:r>
      <w:r w:rsidR="00311716">
        <w:rPr>
          <w:rFonts w:ascii="Verdana" w:hAnsi="Verdana"/>
          <w:b/>
          <w:smallCaps/>
          <w:sz w:val="20"/>
        </w:rPr>
        <w:t xml:space="preserve"> </w:t>
      </w:r>
      <w:r w:rsidR="00AF1972" w:rsidRPr="00AB04CC">
        <w:rPr>
          <w:rFonts w:ascii="Verdana" w:hAnsi="Verdana"/>
          <w:b/>
          <w:smallCaps/>
          <w:sz w:val="20"/>
        </w:rPr>
        <w:t xml:space="preserve">DE </w:t>
      </w:r>
      <w:r w:rsidR="00750C1C">
        <w:rPr>
          <w:rFonts w:ascii="Verdana" w:hAnsi="Verdana"/>
          <w:b/>
          <w:smallCaps/>
          <w:sz w:val="20"/>
        </w:rPr>
        <w:t>2020</w:t>
      </w:r>
    </w:p>
    <w:p w14:paraId="0148EF08" w14:textId="77777777" w:rsidR="00464EE6" w:rsidRPr="00F10321" w:rsidRDefault="00464EE6" w:rsidP="00464EE6">
      <w:pPr>
        <w:spacing w:before="60"/>
        <w:jc w:val="center"/>
        <w:rPr>
          <w:rFonts w:ascii="Verdana" w:hAnsi="Verdana"/>
          <w:b/>
          <w:smallCaps/>
          <w:sz w:val="20"/>
        </w:rPr>
      </w:pPr>
    </w:p>
    <w:p w14:paraId="00B2BF62" w14:textId="77777777" w:rsidR="0065520B" w:rsidRPr="00464EE6" w:rsidRDefault="00966E85" w:rsidP="00464EE6">
      <w:pPr>
        <w:spacing w:before="60"/>
        <w:jc w:val="center"/>
        <w:rPr>
          <w:rFonts w:ascii="Verdana" w:hAnsi="Verdana"/>
          <w:b/>
          <w:i/>
          <w:sz w:val="20"/>
          <w:szCs w:val="20"/>
        </w:rPr>
      </w:pPr>
      <w:r w:rsidRPr="00464EE6">
        <w:rPr>
          <w:rFonts w:ascii="Verdana" w:hAnsi="Verdana"/>
          <w:b/>
          <w:i/>
          <w:sz w:val="20"/>
          <w:szCs w:val="20"/>
        </w:rPr>
        <w:t xml:space="preserve">CASO </w:t>
      </w:r>
      <w:r w:rsidR="00874DE9" w:rsidRPr="00464EE6">
        <w:rPr>
          <w:rFonts w:ascii="Verdana" w:hAnsi="Verdana"/>
          <w:b/>
          <w:i/>
          <w:sz w:val="20"/>
          <w:szCs w:val="20"/>
        </w:rPr>
        <w:t xml:space="preserve">MUJERES VÍCTIMAS DE TORTURA SEXUAL EN ATENCO </w:t>
      </w:r>
      <w:r w:rsidRPr="00464EE6">
        <w:rPr>
          <w:rFonts w:ascii="Verdana" w:hAnsi="Verdana"/>
          <w:b/>
          <w:i/>
          <w:sz w:val="20"/>
          <w:szCs w:val="20"/>
        </w:rPr>
        <w:t xml:space="preserve">VS. </w:t>
      </w:r>
      <w:r w:rsidR="00311716" w:rsidRPr="00464EE6">
        <w:rPr>
          <w:rFonts w:ascii="Verdana" w:hAnsi="Verdana"/>
          <w:b/>
          <w:i/>
          <w:sz w:val="20"/>
          <w:szCs w:val="20"/>
        </w:rPr>
        <w:t>MÉXICO</w:t>
      </w:r>
    </w:p>
    <w:p w14:paraId="362353F0" w14:textId="77777777" w:rsidR="00464EE6" w:rsidRDefault="00464EE6" w:rsidP="00464EE6">
      <w:pPr>
        <w:spacing w:before="60"/>
        <w:jc w:val="center"/>
        <w:rPr>
          <w:rFonts w:ascii="Verdana" w:hAnsi="Verdana"/>
          <w:b/>
          <w:sz w:val="20"/>
          <w:szCs w:val="20"/>
        </w:rPr>
      </w:pPr>
    </w:p>
    <w:p w14:paraId="6464CBEB" w14:textId="77777777" w:rsidR="00750C1C" w:rsidRPr="00464EE6" w:rsidRDefault="00750C1C" w:rsidP="00464EE6">
      <w:pPr>
        <w:spacing w:before="60"/>
        <w:jc w:val="center"/>
        <w:rPr>
          <w:rFonts w:ascii="Verdana" w:hAnsi="Verdana"/>
          <w:b/>
          <w:sz w:val="20"/>
          <w:szCs w:val="20"/>
        </w:rPr>
      </w:pPr>
      <w:r w:rsidRPr="00464EE6">
        <w:rPr>
          <w:rFonts w:ascii="Verdana" w:hAnsi="Verdana"/>
          <w:b/>
          <w:sz w:val="20"/>
          <w:szCs w:val="20"/>
        </w:rPr>
        <w:t>SUPERVISIÓN DE CUMPLIMIENTO DE SENTENCIA</w:t>
      </w:r>
    </w:p>
    <w:p w14:paraId="09EFF4DB" w14:textId="77777777" w:rsidR="00C1325B" w:rsidRDefault="00C1325B" w:rsidP="00464EE6">
      <w:pPr>
        <w:jc w:val="both"/>
        <w:rPr>
          <w:rFonts w:ascii="Verdana" w:hAnsi="Verdana"/>
          <w:sz w:val="20"/>
          <w:szCs w:val="20"/>
        </w:rPr>
      </w:pPr>
    </w:p>
    <w:p w14:paraId="7D754956" w14:textId="77777777" w:rsidR="00464EE6" w:rsidRDefault="00464EE6" w:rsidP="00464EE6">
      <w:pPr>
        <w:jc w:val="both"/>
        <w:rPr>
          <w:rFonts w:ascii="Verdana" w:hAnsi="Verdana"/>
          <w:sz w:val="20"/>
          <w:szCs w:val="20"/>
        </w:rPr>
      </w:pPr>
    </w:p>
    <w:p w14:paraId="0EF3716B" w14:textId="77777777" w:rsidR="00464EE6" w:rsidRPr="00066893" w:rsidRDefault="00464EE6" w:rsidP="00464EE6">
      <w:pPr>
        <w:jc w:val="both"/>
        <w:rPr>
          <w:rFonts w:ascii="Verdana" w:hAnsi="Verdana"/>
          <w:sz w:val="20"/>
          <w:szCs w:val="20"/>
        </w:rPr>
      </w:pPr>
    </w:p>
    <w:p w14:paraId="55912583" w14:textId="77777777" w:rsidR="0065520B" w:rsidRPr="00162C69" w:rsidRDefault="00162C69" w:rsidP="00464EE6">
      <w:pPr>
        <w:spacing w:after="200"/>
        <w:rPr>
          <w:rFonts w:ascii="Verdana" w:hAnsi="Verdana"/>
          <w:b/>
          <w:sz w:val="20"/>
        </w:rPr>
      </w:pPr>
      <w:r>
        <w:rPr>
          <w:rFonts w:ascii="Verdana" w:hAnsi="Verdana"/>
          <w:b/>
          <w:sz w:val="20"/>
        </w:rPr>
        <w:t>VISTO:</w:t>
      </w:r>
    </w:p>
    <w:p w14:paraId="3C58F605" w14:textId="58CA2D3A" w:rsidR="00874DE9" w:rsidRPr="00337141" w:rsidRDefault="00944AD8" w:rsidP="00944AD8">
      <w:pPr>
        <w:pStyle w:val="Listavistosa-nfasis11"/>
        <w:spacing w:after="200"/>
        <w:ind w:left="0"/>
        <w:contextualSpacing/>
        <w:jc w:val="both"/>
        <w:rPr>
          <w:rFonts w:ascii="Verdana" w:hAnsi="Verdana"/>
          <w:sz w:val="20"/>
          <w:szCs w:val="20"/>
        </w:rPr>
      </w:pPr>
      <w:bookmarkStart w:id="0" w:name="_Ref536711835"/>
      <w:r>
        <w:rPr>
          <w:rFonts w:ascii="Verdana" w:eastAsia="Calibri" w:hAnsi="Verdana"/>
          <w:sz w:val="20"/>
          <w:szCs w:val="20"/>
          <w:lang w:eastAsia="en-US"/>
        </w:rPr>
        <w:t>1.</w:t>
      </w:r>
      <w:r>
        <w:rPr>
          <w:rFonts w:ascii="Verdana" w:eastAsia="Calibri" w:hAnsi="Verdana"/>
          <w:sz w:val="20"/>
          <w:szCs w:val="20"/>
          <w:lang w:eastAsia="en-US"/>
        </w:rPr>
        <w:tab/>
      </w:r>
      <w:r w:rsidR="00EE4992" w:rsidRPr="00874DE9">
        <w:rPr>
          <w:rFonts w:ascii="Verdana" w:eastAsia="Calibri" w:hAnsi="Verdana"/>
          <w:sz w:val="20"/>
          <w:szCs w:val="20"/>
          <w:lang w:eastAsia="en-US"/>
        </w:rPr>
        <w:t>La Sentencia de</w:t>
      </w:r>
      <w:r w:rsidR="00FE1438" w:rsidRPr="00874DE9">
        <w:rPr>
          <w:rFonts w:ascii="Verdana" w:eastAsia="Calibri" w:hAnsi="Verdana"/>
          <w:sz w:val="20"/>
          <w:szCs w:val="20"/>
          <w:lang w:eastAsia="en-US"/>
        </w:rPr>
        <w:t xml:space="preserve"> </w:t>
      </w:r>
      <w:r w:rsidR="00090157">
        <w:rPr>
          <w:rFonts w:ascii="Verdana" w:eastAsia="Calibri" w:hAnsi="Verdana"/>
          <w:sz w:val="20"/>
          <w:szCs w:val="20"/>
          <w:lang w:eastAsia="en-US"/>
        </w:rPr>
        <w:t>excepción preliminar</w:t>
      </w:r>
      <w:r w:rsidR="00874DE9" w:rsidRPr="00874DE9">
        <w:rPr>
          <w:rFonts w:ascii="Verdana" w:eastAsia="Calibri" w:hAnsi="Verdana"/>
          <w:sz w:val="20"/>
          <w:szCs w:val="20"/>
          <w:lang w:eastAsia="en-US"/>
        </w:rPr>
        <w:t xml:space="preserve">, </w:t>
      </w:r>
      <w:r w:rsidR="00FE1438" w:rsidRPr="00874DE9">
        <w:rPr>
          <w:rFonts w:ascii="Verdana" w:eastAsia="Calibri" w:hAnsi="Verdana"/>
          <w:sz w:val="20"/>
          <w:szCs w:val="20"/>
          <w:lang w:eastAsia="en-US"/>
        </w:rPr>
        <w:t>fondo, reparaciones y costas dictada por la Corte Interamericana de Derechos Humanos (en adelante “la Corte”, “la Corte Intera</w:t>
      </w:r>
      <w:r w:rsidR="00EE4992" w:rsidRPr="00874DE9">
        <w:rPr>
          <w:rFonts w:ascii="Verdana" w:eastAsia="Calibri" w:hAnsi="Verdana"/>
          <w:sz w:val="20"/>
          <w:szCs w:val="20"/>
          <w:lang w:eastAsia="en-US"/>
        </w:rPr>
        <w:t xml:space="preserve">mericana” o “el Tribunal”) el </w:t>
      </w:r>
      <w:r w:rsidR="00311716" w:rsidRPr="00874DE9">
        <w:rPr>
          <w:rFonts w:ascii="Verdana" w:eastAsia="Calibri" w:hAnsi="Verdana"/>
          <w:sz w:val="20"/>
          <w:szCs w:val="20"/>
          <w:lang w:eastAsia="en-US"/>
        </w:rPr>
        <w:t>28</w:t>
      </w:r>
      <w:r w:rsidR="00EE4992" w:rsidRPr="00874DE9">
        <w:rPr>
          <w:rFonts w:ascii="Verdana" w:eastAsia="Calibri" w:hAnsi="Verdana"/>
          <w:sz w:val="20"/>
          <w:szCs w:val="20"/>
          <w:lang w:eastAsia="en-US"/>
        </w:rPr>
        <w:t xml:space="preserve"> de </w:t>
      </w:r>
      <w:r w:rsidR="00311716" w:rsidRPr="00874DE9">
        <w:rPr>
          <w:rFonts w:ascii="Verdana" w:eastAsia="Calibri" w:hAnsi="Verdana"/>
          <w:sz w:val="20"/>
          <w:szCs w:val="20"/>
          <w:lang w:eastAsia="en-US"/>
        </w:rPr>
        <w:t xml:space="preserve">noviembre </w:t>
      </w:r>
      <w:r w:rsidR="00EE4992" w:rsidRPr="00874DE9">
        <w:rPr>
          <w:rFonts w:ascii="Verdana" w:eastAsia="Calibri" w:hAnsi="Verdana"/>
          <w:sz w:val="20"/>
          <w:szCs w:val="20"/>
          <w:lang w:eastAsia="en-US"/>
        </w:rPr>
        <w:t>de 2018</w:t>
      </w:r>
      <w:r w:rsidR="00FE1438" w:rsidRPr="00FE1438">
        <w:rPr>
          <w:rFonts w:ascii="Verdana" w:eastAsia="Calibri" w:hAnsi="Verdana"/>
          <w:sz w:val="20"/>
          <w:szCs w:val="20"/>
          <w:vertAlign w:val="superscript"/>
          <w:lang w:eastAsia="en-US"/>
        </w:rPr>
        <w:footnoteReference w:id="2"/>
      </w:r>
      <w:r w:rsidR="00FE1438" w:rsidRPr="00874DE9">
        <w:rPr>
          <w:rFonts w:ascii="Verdana" w:eastAsia="Calibri" w:hAnsi="Verdana"/>
          <w:sz w:val="20"/>
          <w:szCs w:val="20"/>
          <w:lang w:eastAsia="en-US"/>
        </w:rPr>
        <w:t xml:space="preserve">. </w:t>
      </w:r>
      <w:bookmarkStart w:id="1" w:name="_Ref504383791"/>
      <w:bookmarkEnd w:id="0"/>
      <w:r w:rsidR="008B0E1B" w:rsidRPr="008B0E1B">
        <w:rPr>
          <w:rFonts w:ascii="Verdana" w:eastAsia="Calibri" w:hAnsi="Verdana"/>
          <w:sz w:val="20"/>
          <w:szCs w:val="20"/>
          <w:lang w:eastAsia="en-US"/>
        </w:rPr>
        <w:t>La Corte, tomando en cuenta el reconocimiento parcial de responsabilidad internacional efectuado por los Estados Unidos Mexicanos (en adelante “el Estado” o “México”), declaró su responsabilidad por las violaciones de los derechos a la integridad personal y a la vida privada, en perjuicio de once mujeres</w:t>
      </w:r>
      <w:r w:rsidR="00457E67">
        <w:rPr>
          <w:rStyle w:val="Refdenotaalpie"/>
          <w:rFonts w:ascii="Verdana" w:eastAsia="Calibri" w:hAnsi="Verdana"/>
          <w:sz w:val="20"/>
          <w:szCs w:val="20"/>
          <w:lang w:eastAsia="en-US"/>
        </w:rPr>
        <w:footnoteReference w:id="3"/>
      </w:r>
      <w:r w:rsidR="008B0E1B" w:rsidRPr="008B0E1B">
        <w:rPr>
          <w:rFonts w:ascii="Verdana" w:eastAsia="Calibri" w:hAnsi="Verdana"/>
          <w:sz w:val="20"/>
          <w:szCs w:val="20"/>
          <w:lang w:eastAsia="en-US"/>
        </w:rPr>
        <w:t xml:space="preserve"> contra quienes agentes policiales utilizaron ilegítima e innecesariamente la fuerza en el marco de los operativos llevados a cabo en los municipios de San Salvador de Atenco, Texcoco y en la carretera Texcoco Lechería para reprimir las manifestaciones ocurridas en mayo de 2006. El Tribunal también concluyó que siete de ellas sufrieron una violación al derecho de reunión</w:t>
      </w:r>
      <w:r w:rsidR="00B503E8">
        <w:rPr>
          <w:rFonts w:ascii="Verdana" w:eastAsia="Calibri" w:hAnsi="Verdana"/>
          <w:sz w:val="20"/>
          <w:szCs w:val="20"/>
          <w:lang w:eastAsia="en-US"/>
        </w:rPr>
        <w:t>,</w:t>
      </w:r>
      <w:r w:rsidR="008B0E1B" w:rsidRPr="008B0E1B">
        <w:rPr>
          <w:rFonts w:ascii="Verdana" w:eastAsia="Calibri" w:hAnsi="Verdana"/>
          <w:sz w:val="20"/>
          <w:szCs w:val="20"/>
          <w:lang w:eastAsia="en-US"/>
        </w:rPr>
        <w:t xml:space="preserve"> puesto que estaban participando en la manifestación cuando fueron sometidas a dicho uso de la fuerza. La Corte determinó que</w:t>
      </w:r>
      <w:r w:rsidR="00DA664D">
        <w:rPr>
          <w:rFonts w:ascii="Verdana" w:eastAsia="Calibri" w:hAnsi="Verdana"/>
          <w:sz w:val="20"/>
          <w:szCs w:val="20"/>
          <w:lang w:eastAsia="en-US"/>
        </w:rPr>
        <w:t>,</w:t>
      </w:r>
      <w:r w:rsidR="008B0E1B" w:rsidRPr="008B0E1B">
        <w:rPr>
          <w:rFonts w:ascii="Verdana" w:eastAsia="Calibri" w:hAnsi="Verdana"/>
          <w:sz w:val="20"/>
          <w:szCs w:val="20"/>
          <w:lang w:eastAsia="en-US"/>
        </w:rPr>
        <w:t xml:space="preserve"> </w:t>
      </w:r>
      <w:r w:rsidR="00DA664D" w:rsidRPr="008B0E1B">
        <w:rPr>
          <w:rFonts w:ascii="Verdana" w:eastAsia="Calibri" w:hAnsi="Verdana"/>
          <w:sz w:val="20"/>
          <w:szCs w:val="20"/>
          <w:lang w:eastAsia="en-US"/>
        </w:rPr>
        <w:t>al momento de su detención, durante sus traslado</w:t>
      </w:r>
      <w:r w:rsidR="00DA664D">
        <w:rPr>
          <w:rFonts w:ascii="Verdana" w:eastAsia="Calibri" w:hAnsi="Verdana"/>
          <w:sz w:val="20"/>
          <w:szCs w:val="20"/>
          <w:lang w:eastAsia="en-US"/>
        </w:rPr>
        <w:t xml:space="preserve">s al </w:t>
      </w:r>
      <w:r w:rsidR="00DA664D" w:rsidRPr="008B0E1B">
        <w:rPr>
          <w:rFonts w:ascii="Verdana" w:eastAsia="Calibri" w:hAnsi="Verdana"/>
          <w:sz w:val="20"/>
          <w:szCs w:val="20"/>
          <w:lang w:eastAsia="en-US"/>
        </w:rPr>
        <w:t xml:space="preserve">centro penal </w:t>
      </w:r>
      <w:r w:rsidR="00DA664D">
        <w:rPr>
          <w:rFonts w:ascii="Verdana" w:eastAsia="Calibri" w:hAnsi="Verdana"/>
          <w:sz w:val="20"/>
          <w:szCs w:val="20"/>
          <w:lang w:eastAsia="en-US"/>
        </w:rPr>
        <w:t>en el que permanecieron detenidas</w:t>
      </w:r>
      <w:r w:rsidR="00B503E8">
        <w:rPr>
          <w:rFonts w:ascii="Verdana" w:eastAsia="Calibri" w:hAnsi="Verdana"/>
          <w:sz w:val="20"/>
          <w:szCs w:val="20"/>
          <w:lang w:eastAsia="en-US"/>
        </w:rPr>
        <w:t>,</w:t>
      </w:r>
      <w:r w:rsidR="00DA664D">
        <w:rPr>
          <w:rFonts w:ascii="Verdana" w:eastAsia="Calibri" w:hAnsi="Verdana"/>
          <w:sz w:val="20"/>
          <w:szCs w:val="20"/>
          <w:lang w:eastAsia="en-US"/>
        </w:rPr>
        <w:t xml:space="preserve"> </w:t>
      </w:r>
      <w:r w:rsidR="00DA664D" w:rsidRPr="008B0E1B">
        <w:rPr>
          <w:rFonts w:ascii="Verdana" w:eastAsia="Calibri" w:hAnsi="Verdana"/>
          <w:sz w:val="20"/>
          <w:szCs w:val="20"/>
          <w:lang w:eastAsia="en-US"/>
        </w:rPr>
        <w:t>y al i</w:t>
      </w:r>
      <w:r w:rsidR="00DA664D">
        <w:rPr>
          <w:rFonts w:ascii="Verdana" w:eastAsia="Calibri" w:hAnsi="Verdana"/>
          <w:sz w:val="20"/>
          <w:szCs w:val="20"/>
          <w:lang w:eastAsia="en-US"/>
        </w:rPr>
        <w:t>ngreso al mismo</w:t>
      </w:r>
      <w:r w:rsidR="008814E0">
        <w:rPr>
          <w:rFonts w:ascii="Verdana" w:eastAsia="Calibri" w:hAnsi="Verdana"/>
          <w:sz w:val="20"/>
          <w:szCs w:val="20"/>
          <w:lang w:eastAsia="en-US"/>
        </w:rPr>
        <w:t>,</w:t>
      </w:r>
      <w:r w:rsidR="00DA664D" w:rsidRPr="008B0E1B">
        <w:rPr>
          <w:rFonts w:ascii="Verdana" w:eastAsia="Calibri" w:hAnsi="Verdana"/>
          <w:sz w:val="20"/>
          <w:szCs w:val="20"/>
          <w:lang w:eastAsia="en-US"/>
        </w:rPr>
        <w:t xml:space="preserve"> </w:t>
      </w:r>
      <w:r w:rsidR="008B0E1B" w:rsidRPr="008B0E1B">
        <w:rPr>
          <w:rFonts w:ascii="Verdana" w:eastAsia="Calibri" w:hAnsi="Verdana"/>
          <w:sz w:val="20"/>
          <w:szCs w:val="20"/>
          <w:lang w:eastAsia="en-US"/>
        </w:rPr>
        <w:t>las once víctimas fueron golpeadas, insultadas, maltratadas y sometidas a diversas formas de violencia sexual</w:t>
      </w:r>
      <w:r w:rsidR="008814E0">
        <w:rPr>
          <w:rFonts w:ascii="Verdana" w:eastAsia="Calibri" w:hAnsi="Verdana"/>
          <w:sz w:val="20"/>
          <w:szCs w:val="20"/>
          <w:lang w:eastAsia="en-US"/>
        </w:rPr>
        <w:t xml:space="preserve"> </w:t>
      </w:r>
      <w:r w:rsidR="008814E0" w:rsidRPr="008B0E1B">
        <w:rPr>
          <w:rFonts w:ascii="Verdana" w:eastAsia="Calibri" w:hAnsi="Verdana"/>
          <w:sz w:val="20"/>
          <w:szCs w:val="20"/>
          <w:lang w:eastAsia="en-US"/>
        </w:rPr>
        <w:t>por múltiples policías</w:t>
      </w:r>
      <w:r w:rsidR="00351B74">
        <w:rPr>
          <w:rFonts w:ascii="Verdana" w:eastAsia="Calibri" w:hAnsi="Verdana"/>
          <w:sz w:val="20"/>
          <w:szCs w:val="20"/>
          <w:lang w:eastAsia="en-US"/>
        </w:rPr>
        <w:t>, incluyendo violación sexual en el caso de siete de ellas</w:t>
      </w:r>
      <w:r w:rsidR="008814E0">
        <w:rPr>
          <w:rFonts w:ascii="Verdana" w:eastAsia="Calibri" w:hAnsi="Verdana"/>
          <w:sz w:val="20"/>
          <w:szCs w:val="20"/>
          <w:lang w:eastAsia="en-US"/>
        </w:rPr>
        <w:t>.</w:t>
      </w:r>
      <w:r w:rsidR="00351B74">
        <w:rPr>
          <w:rFonts w:ascii="Verdana" w:eastAsia="Calibri" w:hAnsi="Verdana"/>
          <w:sz w:val="20"/>
          <w:szCs w:val="20"/>
          <w:lang w:eastAsia="en-US"/>
        </w:rPr>
        <w:t xml:space="preserve"> El Tribunal resaltó </w:t>
      </w:r>
      <w:r w:rsidR="008B0E1B" w:rsidRPr="008B0E1B">
        <w:rPr>
          <w:rFonts w:ascii="Verdana" w:eastAsia="Calibri" w:hAnsi="Verdana"/>
          <w:sz w:val="20"/>
          <w:szCs w:val="20"/>
          <w:lang w:eastAsia="en-US"/>
        </w:rPr>
        <w:t>que la violencia sexual fue utilizada como un arma más</w:t>
      </w:r>
      <w:r w:rsidR="00351B74">
        <w:rPr>
          <w:rFonts w:ascii="Verdana" w:eastAsia="Calibri" w:hAnsi="Verdana"/>
          <w:sz w:val="20"/>
          <w:szCs w:val="20"/>
          <w:lang w:eastAsia="en-US"/>
        </w:rPr>
        <w:t xml:space="preserve"> en la represión de la protesta, y</w:t>
      </w:r>
      <w:r w:rsidR="008B0E1B" w:rsidRPr="008B0E1B">
        <w:rPr>
          <w:rFonts w:ascii="Verdana" w:eastAsia="Calibri" w:hAnsi="Verdana"/>
          <w:sz w:val="20"/>
          <w:szCs w:val="20"/>
          <w:lang w:eastAsia="en-US"/>
        </w:rPr>
        <w:t xml:space="preserve"> concluyó que el trato que </w:t>
      </w:r>
      <w:r w:rsidR="00D5118B">
        <w:rPr>
          <w:rFonts w:ascii="Verdana" w:eastAsia="Calibri" w:hAnsi="Verdana"/>
          <w:sz w:val="20"/>
          <w:szCs w:val="20"/>
          <w:lang w:eastAsia="en-US"/>
        </w:rPr>
        <w:t xml:space="preserve">las y </w:t>
      </w:r>
      <w:r w:rsidR="008B0E1B" w:rsidRPr="008B0E1B">
        <w:rPr>
          <w:rFonts w:ascii="Verdana" w:eastAsia="Calibri" w:hAnsi="Verdana"/>
          <w:sz w:val="20"/>
          <w:szCs w:val="20"/>
          <w:lang w:eastAsia="en-US"/>
        </w:rPr>
        <w:t xml:space="preserve">los médicos dieron a las once mujeres víctimas del presente </w:t>
      </w:r>
      <w:r w:rsidR="00351B74">
        <w:rPr>
          <w:rFonts w:ascii="Verdana" w:eastAsia="Calibri" w:hAnsi="Verdana"/>
          <w:sz w:val="20"/>
          <w:szCs w:val="20"/>
          <w:lang w:eastAsia="en-US"/>
        </w:rPr>
        <w:t xml:space="preserve">caso </w:t>
      </w:r>
      <w:r w:rsidR="008B0E1B" w:rsidRPr="008B0E1B">
        <w:rPr>
          <w:rFonts w:ascii="Verdana" w:eastAsia="Calibri" w:hAnsi="Verdana"/>
          <w:sz w:val="20"/>
          <w:szCs w:val="20"/>
          <w:lang w:eastAsia="en-US"/>
        </w:rPr>
        <w:t xml:space="preserve">constituyó un elemento adicional de la violencia sexual a la que fueron sometidas, que </w:t>
      </w:r>
      <w:r w:rsidR="00D5118B">
        <w:rPr>
          <w:rFonts w:ascii="Verdana" w:eastAsia="Calibri" w:hAnsi="Verdana"/>
          <w:sz w:val="20"/>
          <w:szCs w:val="20"/>
          <w:lang w:eastAsia="en-US"/>
        </w:rPr>
        <w:t xml:space="preserve">a su vez </w:t>
      </w:r>
      <w:r w:rsidR="008B0E1B" w:rsidRPr="008B0E1B">
        <w:rPr>
          <w:rFonts w:ascii="Verdana" w:eastAsia="Calibri" w:hAnsi="Verdana"/>
          <w:sz w:val="20"/>
          <w:szCs w:val="20"/>
          <w:lang w:eastAsia="en-US"/>
        </w:rPr>
        <w:t xml:space="preserve">constituyó un trato cruel y degradante. La Corte también constató la naturaleza discriminatoria de las agresiones sufridas y determinó que las once mujeres fueron víctimas </w:t>
      </w:r>
      <w:r w:rsidR="008B0E1B" w:rsidRPr="008B0E1B">
        <w:rPr>
          <w:rFonts w:ascii="Verdana" w:eastAsia="Calibri" w:hAnsi="Verdana"/>
          <w:sz w:val="20"/>
          <w:szCs w:val="20"/>
          <w:lang w:eastAsia="en-US"/>
        </w:rPr>
        <w:lastRenderedPageBreak/>
        <w:t>de tortura. En lo que respecta a la prisión preventiva que les fue impuesta de forma arbitraria, se constató una violación a la libertad perso</w:t>
      </w:r>
      <w:r w:rsidR="00351B74">
        <w:rPr>
          <w:rFonts w:ascii="Verdana" w:eastAsia="Calibri" w:hAnsi="Verdana"/>
          <w:sz w:val="20"/>
          <w:szCs w:val="20"/>
          <w:lang w:eastAsia="en-US"/>
        </w:rPr>
        <w:t>nal y al derecho de defensa. Además,</w:t>
      </w:r>
      <w:r w:rsidR="008B0E1B" w:rsidRPr="008B0E1B">
        <w:rPr>
          <w:rFonts w:ascii="Verdana" w:eastAsia="Calibri" w:hAnsi="Verdana"/>
          <w:sz w:val="20"/>
          <w:szCs w:val="20"/>
          <w:lang w:eastAsia="en-US"/>
        </w:rPr>
        <w:t xml:space="preserve"> </w:t>
      </w:r>
      <w:r w:rsidR="00351B74">
        <w:rPr>
          <w:rFonts w:ascii="Verdana" w:eastAsia="Calibri" w:hAnsi="Verdana"/>
          <w:sz w:val="20"/>
          <w:szCs w:val="20"/>
          <w:lang w:eastAsia="en-US"/>
        </w:rPr>
        <w:t xml:space="preserve">se </w:t>
      </w:r>
      <w:r w:rsidR="008B0E1B" w:rsidRPr="008B0E1B">
        <w:rPr>
          <w:rFonts w:ascii="Verdana" w:eastAsia="Calibri" w:hAnsi="Verdana"/>
          <w:sz w:val="20"/>
          <w:szCs w:val="20"/>
          <w:lang w:eastAsia="en-US"/>
        </w:rPr>
        <w:t xml:space="preserve">determinó que </w:t>
      </w:r>
      <w:r w:rsidR="00834732">
        <w:rPr>
          <w:rFonts w:ascii="Verdana" w:eastAsia="Calibri" w:hAnsi="Verdana"/>
          <w:sz w:val="20"/>
          <w:szCs w:val="20"/>
          <w:lang w:eastAsia="en-US"/>
        </w:rPr>
        <w:t xml:space="preserve">en </w:t>
      </w:r>
      <w:r w:rsidR="00351B74" w:rsidRPr="008B0E1B">
        <w:rPr>
          <w:rFonts w:ascii="Verdana" w:eastAsia="Calibri" w:hAnsi="Verdana"/>
          <w:sz w:val="20"/>
          <w:szCs w:val="20"/>
          <w:lang w:eastAsia="en-US"/>
        </w:rPr>
        <w:t xml:space="preserve">las investigaciones por la tortura y violencia sexual sufridas por las once víctimas </w:t>
      </w:r>
      <w:r w:rsidR="00834732">
        <w:rPr>
          <w:rFonts w:ascii="Verdana" w:eastAsia="Calibri" w:hAnsi="Verdana"/>
          <w:sz w:val="20"/>
          <w:szCs w:val="20"/>
          <w:lang w:eastAsia="en-US"/>
        </w:rPr>
        <w:t xml:space="preserve">se </w:t>
      </w:r>
      <w:r w:rsidR="00351B74">
        <w:rPr>
          <w:rFonts w:ascii="Verdana" w:eastAsia="Calibri" w:hAnsi="Verdana"/>
          <w:sz w:val="20"/>
          <w:szCs w:val="20"/>
          <w:lang w:eastAsia="en-US"/>
        </w:rPr>
        <w:t xml:space="preserve">violaron sus derechos a las garantías judiciales y la protección judicial, en tanto </w:t>
      </w:r>
      <w:r w:rsidR="008B0E1B" w:rsidRPr="008B0E1B">
        <w:rPr>
          <w:rFonts w:ascii="Verdana" w:eastAsia="Calibri" w:hAnsi="Verdana"/>
          <w:sz w:val="20"/>
          <w:szCs w:val="20"/>
          <w:lang w:eastAsia="en-US"/>
        </w:rPr>
        <w:t>el Estado no actuó con la debida diligencia requerida en</w:t>
      </w:r>
      <w:r w:rsidR="0080234B">
        <w:rPr>
          <w:rFonts w:ascii="Verdana" w:eastAsia="Calibri" w:hAnsi="Verdana"/>
          <w:sz w:val="20"/>
          <w:szCs w:val="20"/>
          <w:lang w:eastAsia="en-US"/>
        </w:rPr>
        <w:t xml:space="preserve"> este tipo de casos, no fueron lleva</w:t>
      </w:r>
      <w:r w:rsidR="00834732">
        <w:rPr>
          <w:rFonts w:ascii="Verdana" w:eastAsia="Calibri" w:hAnsi="Verdana"/>
          <w:sz w:val="20"/>
          <w:szCs w:val="20"/>
          <w:lang w:eastAsia="en-US"/>
        </w:rPr>
        <w:t>da</w:t>
      </w:r>
      <w:r w:rsidR="0080234B">
        <w:rPr>
          <w:rFonts w:ascii="Verdana" w:eastAsia="Calibri" w:hAnsi="Verdana"/>
          <w:sz w:val="20"/>
          <w:szCs w:val="20"/>
          <w:lang w:eastAsia="en-US"/>
        </w:rPr>
        <w:t>s a cabo en un plazo razonable</w:t>
      </w:r>
      <w:r w:rsidR="00B503E8">
        <w:rPr>
          <w:rFonts w:ascii="Verdana" w:eastAsia="Calibri" w:hAnsi="Verdana"/>
          <w:sz w:val="20"/>
          <w:szCs w:val="20"/>
          <w:lang w:eastAsia="en-US"/>
        </w:rPr>
        <w:t>,</w:t>
      </w:r>
      <w:r w:rsidR="0080234B">
        <w:rPr>
          <w:rFonts w:ascii="Verdana" w:eastAsia="Calibri" w:hAnsi="Verdana"/>
          <w:sz w:val="20"/>
          <w:szCs w:val="20"/>
          <w:lang w:eastAsia="en-US"/>
        </w:rPr>
        <w:t xml:space="preserve"> y no fueron conducidas con perspectiva de género, lo cual redundó en un trato discriminatorio, con efectos </w:t>
      </w:r>
      <w:proofErr w:type="spellStart"/>
      <w:r w:rsidR="0080234B">
        <w:rPr>
          <w:rFonts w:ascii="Verdana" w:eastAsia="Calibri" w:hAnsi="Verdana"/>
          <w:sz w:val="20"/>
          <w:szCs w:val="20"/>
          <w:lang w:eastAsia="en-US"/>
        </w:rPr>
        <w:t>revictimizantes</w:t>
      </w:r>
      <w:proofErr w:type="spellEnd"/>
      <w:r w:rsidR="008B0E1B" w:rsidRPr="008B0E1B">
        <w:rPr>
          <w:rFonts w:ascii="Verdana" w:eastAsia="Calibri" w:hAnsi="Verdana"/>
          <w:sz w:val="20"/>
          <w:szCs w:val="20"/>
          <w:lang w:eastAsia="en-US"/>
        </w:rPr>
        <w:t xml:space="preserve">. Finalmente, la Corte declaró al Estado responsable por la violación del derecho a la integridad personal en perjuicio de </w:t>
      </w:r>
      <w:r w:rsidR="00834732">
        <w:rPr>
          <w:rFonts w:ascii="Verdana" w:eastAsia="Calibri" w:hAnsi="Verdana"/>
          <w:sz w:val="20"/>
          <w:szCs w:val="20"/>
          <w:lang w:eastAsia="en-US"/>
        </w:rPr>
        <w:t>determinados</w:t>
      </w:r>
      <w:r w:rsidR="00D5118B">
        <w:rPr>
          <w:rFonts w:ascii="Verdana" w:eastAsia="Calibri" w:hAnsi="Verdana"/>
          <w:sz w:val="20"/>
          <w:szCs w:val="20"/>
          <w:lang w:eastAsia="en-US"/>
        </w:rPr>
        <w:t xml:space="preserve"> </w:t>
      </w:r>
      <w:r w:rsidR="008B0E1B" w:rsidRPr="008B0E1B">
        <w:rPr>
          <w:rFonts w:ascii="Verdana" w:eastAsia="Calibri" w:hAnsi="Verdana"/>
          <w:sz w:val="20"/>
          <w:szCs w:val="20"/>
          <w:lang w:eastAsia="en-US"/>
        </w:rPr>
        <w:t>familiares</w:t>
      </w:r>
      <w:r w:rsidR="00124A5B">
        <w:rPr>
          <w:rFonts w:ascii="Verdana" w:eastAsia="Calibri" w:hAnsi="Verdana"/>
          <w:sz w:val="20"/>
          <w:szCs w:val="20"/>
          <w:lang w:eastAsia="en-US"/>
        </w:rPr>
        <w:t xml:space="preserve"> de las once mujeres</w:t>
      </w:r>
      <w:r w:rsidR="008B0E1B" w:rsidRPr="008B0E1B">
        <w:rPr>
          <w:rFonts w:ascii="Verdana" w:eastAsia="Calibri" w:hAnsi="Verdana"/>
          <w:sz w:val="20"/>
          <w:szCs w:val="20"/>
          <w:lang w:eastAsia="en-US"/>
        </w:rPr>
        <w:t>. En la Sentencia</w:t>
      </w:r>
      <w:r w:rsidR="00B503E8">
        <w:rPr>
          <w:rFonts w:ascii="Verdana" w:eastAsia="Calibri" w:hAnsi="Verdana"/>
          <w:sz w:val="20"/>
          <w:szCs w:val="20"/>
          <w:lang w:eastAsia="en-US"/>
        </w:rPr>
        <w:t>,</w:t>
      </w:r>
      <w:r w:rsidR="008B0E1B" w:rsidRPr="008B0E1B">
        <w:rPr>
          <w:rFonts w:ascii="Verdana" w:eastAsia="Calibri" w:hAnsi="Verdana"/>
          <w:sz w:val="20"/>
          <w:szCs w:val="20"/>
          <w:lang w:eastAsia="en-US"/>
        </w:rPr>
        <w:t xml:space="preserve"> la Corte ordenó al Estado determinadas medidas de reparación</w:t>
      </w:r>
      <w:r w:rsidR="00337141">
        <w:rPr>
          <w:rFonts w:ascii="Verdana" w:hAnsi="Verdana"/>
          <w:sz w:val="20"/>
          <w:szCs w:val="20"/>
        </w:rPr>
        <w:t xml:space="preserve"> (</w:t>
      </w:r>
      <w:r w:rsidR="00337141">
        <w:rPr>
          <w:rFonts w:ascii="Verdana" w:hAnsi="Verdana"/>
          <w:i/>
          <w:sz w:val="20"/>
          <w:szCs w:val="20"/>
        </w:rPr>
        <w:t xml:space="preserve">infra </w:t>
      </w:r>
      <w:r w:rsidR="00337141">
        <w:rPr>
          <w:rFonts w:ascii="Verdana" w:hAnsi="Verdana"/>
          <w:sz w:val="20"/>
          <w:szCs w:val="20"/>
        </w:rPr>
        <w:t xml:space="preserve">Considerando 3) </w:t>
      </w:r>
      <w:r w:rsidR="00337141" w:rsidRPr="00337141">
        <w:rPr>
          <w:rFonts w:ascii="Verdana" w:hAnsi="Verdana"/>
          <w:sz w:val="20"/>
          <w:szCs w:val="20"/>
        </w:rPr>
        <w:t xml:space="preserve">y el reintegro al Fondo de Asistencia Legal de </w:t>
      </w:r>
      <w:proofErr w:type="spellStart"/>
      <w:r w:rsidR="00337141" w:rsidRPr="00337141">
        <w:rPr>
          <w:rFonts w:ascii="Verdana" w:hAnsi="Verdana"/>
          <w:sz w:val="20"/>
          <w:szCs w:val="20"/>
        </w:rPr>
        <w:t>Víctimas</w:t>
      </w:r>
      <w:proofErr w:type="spellEnd"/>
      <w:r w:rsidR="00337141" w:rsidRPr="00337141">
        <w:rPr>
          <w:rFonts w:ascii="Verdana" w:hAnsi="Verdana"/>
          <w:sz w:val="20"/>
          <w:szCs w:val="20"/>
        </w:rPr>
        <w:t xml:space="preserve"> de la Corte (en adelante, “el Fondo de Asistencia”).</w:t>
      </w:r>
    </w:p>
    <w:p w14:paraId="3BE2F914" w14:textId="77777777" w:rsidR="00874DE9" w:rsidRPr="00874DE9" w:rsidRDefault="00874DE9" w:rsidP="00944AD8">
      <w:pPr>
        <w:pStyle w:val="Listavistosa-nfasis11"/>
        <w:spacing w:after="200"/>
        <w:ind w:left="0"/>
        <w:contextualSpacing/>
        <w:jc w:val="both"/>
        <w:rPr>
          <w:rFonts w:ascii="Verdana" w:hAnsi="Verdana"/>
          <w:sz w:val="20"/>
          <w:szCs w:val="20"/>
        </w:rPr>
      </w:pPr>
    </w:p>
    <w:p w14:paraId="0D7A5740" w14:textId="3B792E65" w:rsidR="00F177B7" w:rsidRDefault="00D261EA" w:rsidP="00874DE9">
      <w:pPr>
        <w:pStyle w:val="Listavistosa-nfasis11"/>
        <w:spacing w:after="200"/>
        <w:ind w:left="0"/>
        <w:contextualSpacing/>
        <w:jc w:val="both"/>
        <w:rPr>
          <w:rFonts w:ascii="Verdana" w:hAnsi="Verdana"/>
          <w:sz w:val="20"/>
          <w:szCs w:val="20"/>
        </w:rPr>
      </w:pPr>
      <w:r w:rsidRPr="00874DE9">
        <w:rPr>
          <w:rFonts w:ascii="Verdana" w:hAnsi="Verdana"/>
          <w:sz w:val="20"/>
          <w:szCs w:val="20"/>
        </w:rPr>
        <w:t>2</w:t>
      </w:r>
      <w:r w:rsidR="007A1810" w:rsidRPr="00874DE9">
        <w:rPr>
          <w:rFonts w:ascii="Verdana" w:hAnsi="Verdana"/>
          <w:sz w:val="20"/>
          <w:szCs w:val="20"/>
        </w:rPr>
        <w:t>.</w:t>
      </w:r>
      <w:r w:rsidR="007A1810" w:rsidRPr="00874DE9">
        <w:rPr>
          <w:rFonts w:ascii="Verdana" w:hAnsi="Verdana"/>
          <w:sz w:val="20"/>
          <w:szCs w:val="20"/>
        </w:rPr>
        <w:tab/>
      </w:r>
      <w:r w:rsidR="00750C1C" w:rsidRPr="00750C1C">
        <w:rPr>
          <w:rFonts w:ascii="Verdana" w:hAnsi="Verdana"/>
          <w:sz w:val="20"/>
          <w:szCs w:val="20"/>
        </w:rPr>
        <w:t xml:space="preserve">La Resolución emitida por la Corte el </w:t>
      </w:r>
      <w:r w:rsidR="00750C1C">
        <w:rPr>
          <w:rFonts w:ascii="Verdana" w:hAnsi="Verdana"/>
          <w:sz w:val="20"/>
          <w:szCs w:val="20"/>
        </w:rPr>
        <w:t>7</w:t>
      </w:r>
      <w:r w:rsidR="00750C1C" w:rsidRPr="00750C1C">
        <w:rPr>
          <w:rFonts w:ascii="Verdana" w:hAnsi="Verdana"/>
          <w:sz w:val="20"/>
          <w:szCs w:val="20"/>
        </w:rPr>
        <w:t xml:space="preserve"> de </w:t>
      </w:r>
      <w:r w:rsidR="00750C1C">
        <w:rPr>
          <w:rFonts w:ascii="Verdana" w:hAnsi="Verdana"/>
          <w:sz w:val="20"/>
          <w:szCs w:val="20"/>
        </w:rPr>
        <w:t>octubre de 2019</w:t>
      </w:r>
      <w:r w:rsidR="00750C1C" w:rsidRPr="00750C1C">
        <w:rPr>
          <w:rFonts w:ascii="Verdana" w:hAnsi="Verdana"/>
          <w:sz w:val="20"/>
          <w:szCs w:val="20"/>
        </w:rPr>
        <w:t>, sobre el reintegro realizado por el Estado al Fondo de Asistencia</w:t>
      </w:r>
      <w:r w:rsidR="00F418AC">
        <w:rPr>
          <w:rStyle w:val="Refdenotaalpie"/>
          <w:rFonts w:ascii="Verdana" w:hAnsi="Verdana"/>
          <w:sz w:val="20"/>
          <w:szCs w:val="20"/>
        </w:rPr>
        <w:footnoteReference w:id="4"/>
      </w:r>
      <w:r w:rsidR="00296450" w:rsidRPr="00874DE9">
        <w:rPr>
          <w:rFonts w:ascii="Verdana" w:hAnsi="Verdana"/>
          <w:sz w:val="20"/>
          <w:szCs w:val="20"/>
        </w:rPr>
        <w:t>.</w:t>
      </w:r>
      <w:bookmarkEnd w:id="1"/>
    </w:p>
    <w:p w14:paraId="2971E3B4" w14:textId="32F5A5CB" w:rsidR="00750C1C" w:rsidRDefault="00F177B7" w:rsidP="00F177B7">
      <w:pPr>
        <w:spacing w:after="200"/>
        <w:jc w:val="both"/>
        <w:rPr>
          <w:rFonts w:ascii="Verdana" w:hAnsi="Verdana"/>
          <w:sz w:val="20"/>
          <w:szCs w:val="20"/>
        </w:rPr>
      </w:pPr>
      <w:r>
        <w:rPr>
          <w:rFonts w:ascii="Verdana" w:hAnsi="Verdana"/>
          <w:sz w:val="20"/>
          <w:szCs w:val="20"/>
        </w:rPr>
        <w:t>3.</w:t>
      </w:r>
      <w:r>
        <w:rPr>
          <w:rFonts w:ascii="Verdana" w:hAnsi="Verdana"/>
          <w:sz w:val="20"/>
          <w:szCs w:val="20"/>
        </w:rPr>
        <w:tab/>
      </w:r>
      <w:r w:rsidR="00750C1C" w:rsidRPr="00750C1C">
        <w:rPr>
          <w:rFonts w:ascii="Verdana" w:hAnsi="Verdana"/>
          <w:sz w:val="20"/>
          <w:szCs w:val="20"/>
        </w:rPr>
        <w:t xml:space="preserve">Los informes presentados por el Estado entre </w:t>
      </w:r>
      <w:r w:rsidR="003D4E29">
        <w:rPr>
          <w:rFonts w:ascii="Verdana" w:hAnsi="Verdana"/>
          <w:sz w:val="20"/>
          <w:szCs w:val="20"/>
        </w:rPr>
        <w:t>junio</w:t>
      </w:r>
      <w:r w:rsidR="00750C1C" w:rsidRPr="00750C1C">
        <w:rPr>
          <w:rFonts w:ascii="Verdana" w:hAnsi="Verdana"/>
          <w:sz w:val="20"/>
          <w:szCs w:val="20"/>
        </w:rPr>
        <w:t xml:space="preserve"> </w:t>
      </w:r>
      <w:r w:rsidR="00F418AC">
        <w:rPr>
          <w:rFonts w:ascii="Verdana" w:hAnsi="Verdana"/>
          <w:sz w:val="20"/>
          <w:szCs w:val="20"/>
        </w:rPr>
        <w:t xml:space="preserve">y diciembre </w:t>
      </w:r>
      <w:r w:rsidR="00750C1C" w:rsidRPr="00750C1C">
        <w:rPr>
          <w:rFonts w:ascii="Verdana" w:hAnsi="Verdana"/>
          <w:sz w:val="20"/>
          <w:szCs w:val="20"/>
        </w:rPr>
        <w:t xml:space="preserve">de </w:t>
      </w:r>
      <w:proofErr w:type="gramStart"/>
      <w:r w:rsidR="003D4E29">
        <w:rPr>
          <w:rFonts w:ascii="Verdana" w:hAnsi="Verdana"/>
          <w:sz w:val="20"/>
          <w:szCs w:val="20"/>
        </w:rPr>
        <w:t>2019</w:t>
      </w:r>
      <w:r w:rsidR="001C5C66">
        <w:rPr>
          <w:rFonts w:ascii="Verdana" w:hAnsi="Verdana"/>
          <w:sz w:val="20"/>
          <w:szCs w:val="20"/>
        </w:rPr>
        <w:t>,</w:t>
      </w:r>
      <w:r w:rsidR="00750C1C" w:rsidRPr="00750C1C">
        <w:rPr>
          <w:rFonts w:ascii="Verdana" w:hAnsi="Verdana"/>
          <w:sz w:val="20"/>
          <w:szCs w:val="20"/>
        </w:rPr>
        <w:t xml:space="preserve"> </w:t>
      </w:r>
      <w:r w:rsidR="00124A5B">
        <w:rPr>
          <w:rFonts w:ascii="Verdana" w:hAnsi="Verdana"/>
          <w:b/>
          <w:sz w:val="20"/>
          <w:szCs w:val="20"/>
        </w:rPr>
        <w:t xml:space="preserve"> </w:t>
      </w:r>
      <w:r w:rsidR="00750C1C" w:rsidRPr="00750C1C">
        <w:rPr>
          <w:rFonts w:ascii="Verdana" w:hAnsi="Verdana"/>
          <w:sz w:val="20"/>
          <w:szCs w:val="20"/>
        </w:rPr>
        <w:t>en</w:t>
      </w:r>
      <w:proofErr w:type="gramEnd"/>
      <w:r w:rsidR="00750C1C" w:rsidRPr="00750C1C">
        <w:rPr>
          <w:rFonts w:ascii="Verdana" w:hAnsi="Verdana"/>
          <w:sz w:val="20"/>
          <w:szCs w:val="20"/>
        </w:rPr>
        <w:t xml:space="preserve"> respuesta a solicitudes de la Corte o su Presidencia, mediante nota</w:t>
      </w:r>
      <w:r w:rsidR="00750C1C">
        <w:rPr>
          <w:rFonts w:ascii="Verdana" w:hAnsi="Verdana"/>
          <w:sz w:val="20"/>
          <w:szCs w:val="20"/>
        </w:rPr>
        <w:t>s de la Secretaría del Tribunal</w:t>
      </w:r>
      <w:r>
        <w:rPr>
          <w:rFonts w:ascii="Verdana" w:hAnsi="Verdana"/>
          <w:sz w:val="20"/>
          <w:szCs w:val="20"/>
        </w:rPr>
        <w:t>.</w:t>
      </w:r>
    </w:p>
    <w:p w14:paraId="113945BD" w14:textId="5E41D03E" w:rsidR="00F177B7" w:rsidRPr="00656029" w:rsidRDefault="00750C1C" w:rsidP="00F177B7">
      <w:pPr>
        <w:spacing w:after="200"/>
        <w:jc w:val="both"/>
        <w:rPr>
          <w:rFonts w:ascii="Verdana" w:hAnsi="Verdana"/>
          <w:b/>
          <w:sz w:val="20"/>
          <w:szCs w:val="20"/>
        </w:rPr>
      </w:pPr>
      <w:r>
        <w:rPr>
          <w:rFonts w:ascii="Verdana" w:hAnsi="Verdana"/>
          <w:sz w:val="20"/>
          <w:szCs w:val="20"/>
        </w:rPr>
        <w:t xml:space="preserve">4. </w:t>
      </w:r>
      <w:r>
        <w:rPr>
          <w:rFonts w:ascii="Verdana" w:hAnsi="Verdana"/>
          <w:sz w:val="20"/>
          <w:szCs w:val="20"/>
        </w:rPr>
        <w:tab/>
      </w:r>
      <w:r w:rsidRPr="00750C1C">
        <w:rPr>
          <w:rFonts w:ascii="Verdana" w:hAnsi="Verdana"/>
          <w:sz w:val="20"/>
          <w:szCs w:val="20"/>
        </w:rPr>
        <w:t>Los escritos de observaciones presentados</w:t>
      </w:r>
      <w:r w:rsidR="004259F1">
        <w:rPr>
          <w:rFonts w:ascii="Verdana" w:hAnsi="Verdana"/>
          <w:sz w:val="20"/>
          <w:szCs w:val="20"/>
        </w:rPr>
        <w:t xml:space="preserve"> por la</w:t>
      </w:r>
      <w:r w:rsidRPr="00750C1C">
        <w:rPr>
          <w:rFonts w:ascii="Verdana" w:hAnsi="Verdana"/>
          <w:sz w:val="20"/>
          <w:szCs w:val="20"/>
        </w:rPr>
        <w:t xml:space="preserve">s representantes </w:t>
      </w:r>
      <w:r w:rsidR="00656029">
        <w:rPr>
          <w:rFonts w:ascii="Verdana" w:hAnsi="Verdana"/>
          <w:sz w:val="20"/>
          <w:szCs w:val="20"/>
        </w:rPr>
        <w:t>de las víctimas (en adelante “la</w:t>
      </w:r>
      <w:r w:rsidRPr="00750C1C">
        <w:rPr>
          <w:rFonts w:ascii="Verdana" w:hAnsi="Verdana"/>
          <w:sz w:val="20"/>
          <w:szCs w:val="20"/>
        </w:rPr>
        <w:t>s rep</w:t>
      </w:r>
      <w:r>
        <w:rPr>
          <w:rFonts w:ascii="Verdana" w:hAnsi="Verdana"/>
          <w:sz w:val="20"/>
          <w:szCs w:val="20"/>
        </w:rPr>
        <w:t>resentantes”)</w:t>
      </w:r>
      <w:r w:rsidR="003D4E29">
        <w:rPr>
          <w:rStyle w:val="Refdenotaalpie"/>
          <w:rFonts w:ascii="Verdana" w:hAnsi="Verdana"/>
          <w:sz w:val="20"/>
          <w:szCs w:val="20"/>
        </w:rPr>
        <w:footnoteReference w:id="5"/>
      </w:r>
      <w:r w:rsidR="00656029">
        <w:rPr>
          <w:rFonts w:ascii="Verdana" w:hAnsi="Verdana"/>
          <w:sz w:val="20"/>
          <w:szCs w:val="20"/>
        </w:rPr>
        <w:t xml:space="preserve"> e</w:t>
      </w:r>
      <w:r w:rsidR="008433A5">
        <w:rPr>
          <w:rFonts w:ascii="Verdana" w:hAnsi="Verdana"/>
          <w:sz w:val="20"/>
          <w:szCs w:val="20"/>
        </w:rPr>
        <w:t>l 15 de</w:t>
      </w:r>
      <w:r w:rsidRPr="00750C1C">
        <w:rPr>
          <w:rFonts w:ascii="Verdana" w:hAnsi="Verdana"/>
          <w:sz w:val="20"/>
          <w:szCs w:val="20"/>
        </w:rPr>
        <w:t xml:space="preserve"> </w:t>
      </w:r>
      <w:r w:rsidR="00F418AC">
        <w:rPr>
          <w:rFonts w:ascii="Verdana" w:hAnsi="Verdana"/>
          <w:sz w:val="20"/>
          <w:szCs w:val="20"/>
        </w:rPr>
        <w:t xml:space="preserve">noviembre de </w:t>
      </w:r>
      <w:proofErr w:type="gramStart"/>
      <w:r w:rsidR="00F418AC">
        <w:rPr>
          <w:rFonts w:ascii="Verdana" w:hAnsi="Verdana"/>
          <w:sz w:val="20"/>
          <w:szCs w:val="20"/>
        </w:rPr>
        <w:t>2019</w:t>
      </w:r>
      <w:r w:rsidRPr="00750C1C">
        <w:rPr>
          <w:rFonts w:ascii="Verdana" w:hAnsi="Verdana"/>
          <w:sz w:val="20"/>
          <w:szCs w:val="20"/>
        </w:rPr>
        <w:t xml:space="preserve"> </w:t>
      </w:r>
      <w:r w:rsidR="00656029">
        <w:rPr>
          <w:rFonts w:ascii="Verdana" w:hAnsi="Verdana"/>
          <w:b/>
          <w:sz w:val="20"/>
          <w:szCs w:val="20"/>
        </w:rPr>
        <w:t xml:space="preserve"> </w:t>
      </w:r>
      <w:r w:rsidRPr="00750C1C">
        <w:rPr>
          <w:rFonts w:ascii="Verdana" w:hAnsi="Verdana"/>
          <w:sz w:val="20"/>
          <w:szCs w:val="20"/>
        </w:rPr>
        <w:t>y</w:t>
      </w:r>
      <w:proofErr w:type="gramEnd"/>
      <w:r w:rsidRPr="00750C1C">
        <w:rPr>
          <w:rFonts w:ascii="Verdana" w:hAnsi="Verdana"/>
          <w:sz w:val="20"/>
          <w:szCs w:val="20"/>
        </w:rPr>
        <w:t xml:space="preserve"> </w:t>
      </w:r>
      <w:r w:rsidR="008433A5">
        <w:rPr>
          <w:rFonts w:ascii="Verdana" w:hAnsi="Verdana"/>
          <w:sz w:val="20"/>
          <w:szCs w:val="20"/>
        </w:rPr>
        <w:t xml:space="preserve">el 26 de </w:t>
      </w:r>
      <w:r w:rsidR="00F418AC">
        <w:rPr>
          <w:rFonts w:ascii="Verdana" w:hAnsi="Verdana"/>
          <w:sz w:val="20"/>
          <w:szCs w:val="20"/>
        </w:rPr>
        <w:t>febrero</w:t>
      </w:r>
      <w:r w:rsidRPr="00750C1C">
        <w:rPr>
          <w:rFonts w:ascii="Verdana" w:hAnsi="Verdana"/>
          <w:sz w:val="20"/>
          <w:szCs w:val="20"/>
        </w:rPr>
        <w:t xml:space="preserve"> de </w:t>
      </w:r>
      <w:r w:rsidR="00F418AC">
        <w:rPr>
          <w:rFonts w:ascii="Verdana" w:hAnsi="Verdana"/>
          <w:sz w:val="20"/>
          <w:szCs w:val="20"/>
        </w:rPr>
        <w:t>2020</w:t>
      </w:r>
      <w:r w:rsidRPr="00750C1C">
        <w:rPr>
          <w:rFonts w:ascii="Verdana" w:hAnsi="Verdana"/>
          <w:sz w:val="20"/>
          <w:szCs w:val="20"/>
        </w:rPr>
        <w:t>.</w:t>
      </w:r>
      <w:r w:rsidR="00656029">
        <w:rPr>
          <w:rFonts w:ascii="Verdana" w:hAnsi="Verdana"/>
          <w:sz w:val="20"/>
          <w:szCs w:val="20"/>
        </w:rPr>
        <w:t xml:space="preserve"> </w:t>
      </w:r>
    </w:p>
    <w:p w14:paraId="5D3512DD" w14:textId="1DDEB5CA" w:rsidR="00750C1C" w:rsidRPr="00693119" w:rsidRDefault="00750C1C" w:rsidP="00F177B7">
      <w:pPr>
        <w:spacing w:after="200"/>
        <w:jc w:val="both"/>
        <w:rPr>
          <w:rFonts w:ascii="Verdana" w:hAnsi="Verdana"/>
          <w:b/>
          <w:sz w:val="20"/>
          <w:szCs w:val="20"/>
          <w:vertAlign w:val="subscript"/>
        </w:rPr>
      </w:pPr>
      <w:r>
        <w:rPr>
          <w:rFonts w:ascii="Verdana" w:hAnsi="Verdana"/>
          <w:sz w:val="20"/>
          <w:szCs w:val="20"/>
        </w:rPr>
        <w:t>5.</w:t>
      </w:r>
      <w:r>
        <w:rPr>
          <w:rFonts w:ascii="Verdana" w:hAnsi="Verdana"/>
          <w:sz w:val="20"/>
          <w:szCs w:val="20"/>
        </w:rPr>
        <w:tab/>
      </w:r>
      <w:r w:rsidR="00693119">
        <w:rPr>
          <w:rFonts w:ascii="Verdana" w:hAnsi="Verdana"/>
          <w:sz w:val="20"/>
          <w:szCs w:val="20"/>
        </w:rPr>
        <w:t>El escrito de observaciones presentado</w:t>
      </w:r>
      <w:r w:rsidRPr="00750C1C">
        <w:rPr>
          <w:rFonts w:ascii="Verdana" w:hAnsi="Verdana"/>
          <w:sz w:val="20"/>
          <w:szCs w:val="20"/>
        </w:rPr>
        <w:t xml:space="preserve"> por la Comisión Interamericana de Derechos Humanos (en adelante “la Comisión Interamericana” o “la Comisión”) </w:t>
      </w:r>
      <w:r w:rsidR="008433A5">
        <w:rPr>
          <w:rFonts w:ascii="Verdana" w:hAnsi="Verdana"/>
          <w:sz w:val="20"/>
          <w:szCs w:val="20"/>
        </w:rPr>
        <w:t>el 26 de</w:t>
      </w:r>
      <w:r w:rsidR="008124CA">
        <w:rPr>
          <w:rFonts w:ascii="Verdana" w:hAnsi="Verdana"/>
          <w:sz w:val="20"/>
          <w:szCs w:val="20"/>
        </w:rPr>
        <w:t xml:space="preserve"> </w:t>
      </w:r>
      <w:r w:rsidR="00A06292">
        <w:rPr>
          <w:rFonts w:ascii="Verdana" w:hAnsi="Verdana"/>
          <w:sz w:val="20"/>
          <w:szCs w:val="20"/>
        </w:rPr>
        <w:t>mayo de 2020</w:t>
      </w:r>
      <w:r w:rsidRPr="00750C1C">
        <w:rPr>
          <w:rFonts w:ascii="Verdana" w:hAnsi="Verdana"/>
          <w:sz w:val="20"/>
          <w:szCs w:val="20"/>
        </w:rPr>
        <w:t>.</w:t>
      </w:r>
      <w:r>
        <w:rPr>
          <w:rFonts w:ascii="Verdana" w:hAnsi="Verdana"/>
          <w:sz w:val="20"/>
          <w:szCs w:val="20"/>
        </w:rPr>
        <w:t xml:space="preserve"> </w:t>
      </w:r>
    </w:p>
    <w:p w14:paraId="582192C2" w14:textId="77777777" w:rsidR="0065520B" w:rsidRPr="00F10321" w:rsidRDefault="0065520B" w:rsidP="0066130C">
      <w:pPr>
        <w:tabs>
          <w:tab w:val="left" w:pos="680"/>
        </w:tabs>
        <w:spacing w:after="200"/>
        <w:jc w:val="both"/>
        <w:rPr>
          <w:rFonts w:ascii="Verdana" w:hAnsi="Verdana"/>
          <w:sz w:val="20"/>
        </w:rPr>
      </w:pPr>
      <w:r w:rsidRPr="00F10321">
        <w:rPr>
          <w:rFonts w:ascii="Verdana" w:hAnsi="Verdana"/>
          <w:b/>
          <w:sz w:val="20"/>
        </w:rPr>
        <w:t>CONSIDERANDO QUE:</w:t>
      </w:r>
    </w:p>
    <w:p w14:paraId="1B07FA97" w14:textId="0349066E" w:rsidR="00475813" w:rsidRPr="00475813" w:rsidRDefault="00475813" w:rsidP="0066130C">
      <w:pPr>
        <w:numPr>
          <w:ilvl w:val="0"/>
          <w:numId w:val="9"/>
        </w:numPr>
        <w:spacing w:after="200"/>
        <w:ind w:left="0" w:firstLine="0"/>
        <w:jc w:val="both"/>
        <w:rPr>
          <w:rFonts w:ascii="Verdana" w:hAnsi="Verdana" w:cs="Verdana"/>
          <w:sz w:val="20"/>
          <w:szCs w:val="20"/>
        </w:rPr>
      </w:pPr>
      <w:r w:rsidRPr="00475813">
        <w:rPr>
          <w:rFonts w:ascii="Verdana" w:hAnsi="Verdana"/>
          <w:sz w:val="20"/>
          <w:szCs w:val="20"/>
        </w:rPr>
        <w:t xml:space="preserve">En el ejercicio de su función jurisdiccional de supervisar el </w:t>
      </w:r>
      <w:r>
        <w:rPr>
          <w:rFonts w:ascii="Verdana" w:hAnsi="Verdana"/>
          <w:sz w:val="20"/>
          <w:szCs w:val="20"/>
        </w:rPr>
        <w:t>cumplimiento de sus decisiones</w:t>
      </w:r>
      <w:r>
        <w:rPr>
          <w:rStyle w:val="Refdenotaalpie"/>
          <w:rFonts w:ascii="Verdana" w:hAnsi="Verdana"/>
          <w:sz w:val="20"/>
          <w:szCs w:val="20"/>
        </w:rPr>
        <w:footnoteReference w:id="6"/>
      </w:r>
      <w:r w:rsidRPr="00475813">
        <w:rPr>
          <w:rFonts w:ascii="Verdana" w:hAnsi="Verdana"/>
          <w:sz w:val="20"/>
          <w:szCs w:val="20"/>
        </w:rPr>
        <w:t>, la Corte ha venido supervisando la ejecución de la Sentencia emitida en el presente caso e</w:t>
      </w:r>
      <w:r>
        <w:rPr>
          <w:rFonts w:ascii="Verdana" w:hAnsi="Verdana"/>
          <w:sz w:val="20"/>
          <w:szCs w:val="20"/>
        </w:rPr>
        <w:t>n el 2018</w:t>
      </w:r>
      <w:r w:rsidRPr="00475813">
        <w:rPr>
          <w:rFonts w:ascii="Verdana" w:hAnsi="Verdana"/>
          <w:sz w:val="20"/>
          <w:szCs w:val="20"/>
        </w:rPr>
        <w:t xml:space="preserve"> (</w:t>
      </w:r>
      <w:r w:rsidRPr="00456948">
        <w:rPr>
          <w:rFonts w:ascii="Verdana" w:hAnsi="Verdana"/>
          <w:i/>
          <w:sz w:val="20"/>
          <w:szCs w:val="20"/>
        </w:rPr>
        <w:t>supra</w:t>
      </w:r>
      <w:r w:rsidRPr="00475813">
        <w:rPr>
          <w:rFonts w:ascii="Verdana" w:hAnsi="Verdana"/>
          <w:sz w:val="20"/>
          <w:szCs w:val="20"/>
        </w:rPr>
        <w:t xml:space="preserve"> Visto 1). En la Sentencia, el Tribunal dispuso </w:t>
      </w:r>
      <w:r w:rsidR="00E16848">
        <w:rPr>
          <w:rFonts w:ascii="Verdana" w:hAnsi="Verdana"/>
          <w:sz w:val="20"/>
          <w:szCs w:val="20"/>
        </w:rPr>
        <w:t>diez</w:t>
      </w:r>
      <w:r w:rsidRPr="00475813">
        <w:rPr>
          <w:rFonts w:ascii="Verdana" w:hAnsi="Verdana"/>
          <w:sz w:val="20"/>
          <w:szCs w:val="20"/>
        </w:rPr>
        <w:t xml:space="preserve"> medidas de reparación (</w:t>
      </w:r>
      <w:r w:rsidRPr="00456948">
        <w:rPr>
          <w:rFonts w:ascii="Verdana" w:hAnsi="Verdana"/>
          <w:i/>
          <w:sz w:val="20"/>
          <w:szCs w:val="20"/>
        </w:rPr>
        <w:t>infra</w:t>
      </w:r>
      <w:r w:rsidRPr="00475813">
        <w:rPr>
          <w:rFonts w:ascii="Verdana" w:hAnsi="Verdana"/>
          <w:sz w:val="20"/>
          <w:szCs w:val="20"/>
        </w:rPr>
        <w:t xml:space="preserve"> Considerando </w:t>
      </w:r>
      <w:r w:rsidR="0097374C" w:rsidRPr="002778A4">
        <w:rPr>
          <w:rFonts w:ascii="Verdana" w:hAnsi="Verdana"/>
          <w:sz w:val="20"/>
          <w:szCs w:val="20"/>
        </w:rPr>
        <w:t xml:space="preserve">3 </w:t>
      </w:r>
      <w:r w:rsidR="00456948" w:rsidRPr="002778A4">
        <w:rPr>
          <w:rFonts w:ascii="Verdana" w:hAnsi="Verdana"/>
          <w:sz w:val="20"/>
          <w:szCs w:val="20"/>
        </w:rPr>
        <w:t xml:space="preserve">y punto resolutivo </w:t>
      </w:r>
      <w:r w:rsidR="0097374C" w:rsidRPr="002778A4">
        <w:rPr>
          <w:rFonts w:ascii="Verdana" w:hAnsi="Verdana"/>
          <w:sz w:val="20"/>
          <w:szCs w:val="20"/>
        </w:rPr>
        <w:t>4</w:t>
      </w:r>
      <w:r w:rsidRPr="002778A4">
        <w:rPr>
          <w:rFonts w:ascii="Verdana" w:hAnsi="Verdana"/>
          <w:sz w:val="20"/>
          <w:szCs w:val="20"/>
        </w:rPr>
        <w:t>)</w:t>
      </w:r>
      <w:r w:rsidR="0032643A">
        <w:rPr>
          <w:rFonts w:ascii="Verdana" w:hAnsi="Verdana"/>
          <w:sz w:val="20"/>
          <w:szCs w:val="20"/>
        </w:rPr>
        <w:t xml:space="preserve"> y el reintegro al Fondo de Asistencia</w:t>
      </w:r>
      <w:r w:rsidRPr="00475813">
        <w:rPr>
          <w:rFonts w:ascii="Verdana" w:hAnsi="Verdana"/>
          <w:sz w:val="20"/>
          <w:szCs w:val="20"/>
        </w:rPr>
        <w:t xml:space="preserve">. </w:t>
      </w:r>
    </w:p>
    <w:p w14:paraId="1C252BBB" w14:textId="342C4C20" w:rsidR="00475813" w:rsidRDefault="00475813" w:rsidP="0066130C">
      <w:pPr>
        <w:numPr>
          <w:ilvl w:val="0"/>
          <w:numId w:val="9"/>
        </w:numPr>
        <w:spacing w:after="200"/>
        <w:ind w:left="0" w:firstLine="0"/>
        <w:jc w:val="both"/>
        <w:rPr>
          <w:rFonts w:ascii="Verdana" w:hAnsi="Verdana" w:cs="Verdana"/>
          <w:sz w:val="20"/>
          <w:szCs w:val="20"/>
        </w:rPr>
      </w:pPr>
      <w:r w:rsidRPr="00475813">
        <w:rPr>
          <w:rFonts w:ascii="Verdana" w:hAnsi="Verdana" w:cs="Verdana"/>
          <w:sz w:val="20"/>
          <w:szCs w:val="20"/>
        </w:rPr>
        <w:t>De conformidad con lo establecido en el artículo 68.1 de la Convención Americana</w:t>
      </w:r>
      <w:r w:rsidR="00093141">
        <w:rPr>
          <w:rFonts w:ascii="Verdana" w:hAnsi="Verdana" w:cs="Verdana"/>
          <w:sz w:val="20"/>
          <w:szCs w:val="20"/>
        </w:rPr>
        <w:t xml:space="preserve"> sobre Derechos Humanos</w:t>
      </w:r>
      <w:r w:rsidRPr="00475813">
        <w:rPr>
          <w:rFonts w:ascii="Verdana" w:hAnsi="Verdana" w:cs="Verdana"/>
          <w:sz w:val="20"/>
          <w:szCs w:val="20"/>
        </w:rPr>
        <w:t xml:space="preserve">, “[l]os Estados Partes en la Convención se comprometen a cumplir la decisión de la Corte en todo caso en que sean partes”. Esta </w:t>
      </w:r>
      <w:r w:rsidR="00444511" w:rsidRPr="00475813">
        <w:rPr>
          <w:rFonts w:ascii="Verdana" w:hAnsi="Verdana" w:cs="Verdana"/>
          <w:sz w:val="20"/>
          <w:szCs w:val="20"/>
        </w:rPr>
        <w:t>obligación</w:t>
      </w:r>
      <w:r w:rsidRPr="00475813">
        <w:rPr>
          <w:rFonts w:ascii="Verdana" w:hAnsi="Verdana" w:cs="Verdana"/>
          <w:sz w:val="20"/>
          <w:szCs w:val="20"/>
        </w:rPr>
        <w:t xml:space="preserve"> incluye el deber del Estado de informar a la Corte sobre las medidas adoptadas para cumplir cada uno de los puntos ordenados, lo cual es fundamental para evaluar el estado de cumplimiento </w:t>
      </w:r>
      <w:r>
        <w:rPr>
          <w:rFonts w:ascii="Verdana" w:hAnsi="Verdana" w:cs="Verdana"/>
          <w:sz w:val="20"/>
          <w:szCs w:val="20"/>
        </w:rPr>
        <w:t>de la Sentencia en su conjunto</w:t>
      </w:r>
      <w:r>
        <w:rPr>
          <w:rStyle w:val="Refdenotaalpie"/>
          <w:rFonts w:ascii="Verdana" w:hAnsi="Verdana" w:cs="Verdana"/>
          <w:sz w:val="20"/>
          <w:szCs w:val="20"/>
        </w:rPr>
        <w:footnoteReference w:id="7"/>
      </w:r>
      <w:r w:rsidRPr="00475813">
        <w:rPr>
          <w:rFonts w:ascii="Verdana" w:hAnsi="Verdana" w:cs="Verdana"/>
          <w:sz w:val="20"/>
          <w:szCs w:val="20"/>
        </w:rPr>
        <w:t>. Los Estados Parte en la Convención deben garantizar el cumplimiento de las disposiciones convencionales y sus efectos propios (</w:t>
      </w:r>
      <w:proofErr w:type="spellStart"/>
      <w:r w:rsidRPr="00475813">
        <w:rPr>
          <w:rFonts w:ascii="Verdana" w:hAnsi="Verdana" w:cs="Verdana"/>
          <w:i/>
          <w:sz w:val="20"/>
          <w:szCs w:val="20"/>
        </w:rPr>
        <w:t>effet</w:t>
      </w:r>
      <w:proofErr w:type="spellEnd"/>
      <w:r w:rsidRPr="00475813">
        <w:rPr>
          <w:rFonts w:ascii="Verdana" w:hAnsi="Verdana" w:cs="Verdana"/>
          <w:i/>
          <w:sz w:val="20"/>
          <w:szCs w:val="20"/>
        </w:rPr>
        <w:t xml:space="preserve"> </w:t>
      </w:r>
      <w:proofErr w:type="spellStart"/>
      <w:r w:rsidRPr="00475813">
        <w:rPr>
          <w:rFonts w:ascii="Verdana" w:hAnsi="Verdana" w:cs="Verdana"/>
          <w:i/>
          <w:sz w:val="20"/>
          <w:szCs w:val="20"/>
        </w:rPr>
        <w:t>utile</w:t>
      </w:r>
      <w:proofErr w:type="spellEnd"/>
      <w:r w:rsidRPr="00475813">
        <w:rPr>
          <w:rFonts w:ascii="Verdana" w:hAnsi="Verdana" w:cs="Verdana"/>
          <w:sz w:val="20"/>
          <w:szCs w:val="20"/>
        </w:rPr>
        <w:t>) en el plano de sus respectivos derechos internos. Estas obligaciones deben ser interpretadas y aplicadas de manera que la garantía protegida sea verdaderamente práctica y eficaz, teniendo presente la naturaleza especial de los tratados de derechos humanos</w:t>
      </w:r>
      <w:r w:rsidR="00444511">
        <w:rPr>
          <w:rStyle w:val="Refdenotaalpie"/>
          <w:rFonts w:ascii="Verdana" w:hAnsi="Verdana" w:cs="Verdana"/>
          <w:sz w:val="20"/>
          <w:szCs w:val="20"/>
        </w:rPr>
        <w:footnoteReference w:id="8"/>
      </w:r>
      <w:r w:rsidR="00444511">
        <w:rPr>
          <w:rFonts w:ascii="Verdana" w:hAnsi="Verdana" w:cs="Verdana"/>
          <w:sz w:val="20"/>
          <w:szCs w:val="20"/>
        </w:rPr>
        <w:t>.</w:t>
      </w:r>
    </w:p>
    <w:p w14:paraId="583887A0" w14:textId="24FBD460" w:rsidR="00627D9A" w:rsidRPr="00627D9A" w:rsidRDefault="006B7931" w:rsidP="00627D9A">
      <w:pPr>
        <w:numPr>
          <w:ilvl w:val="0"/>
          <w:numId w:val="9"/>
        </w:numPr>
        <w:spacing w:after="200"/>
        <w:ind w:left="0" w:firstLine="0"/>
        <w:jc w:val="both"/>
        <w:rPr>
          <w:rFonts w:ascii="Verdana" w:hAnsi="Verdana" w:cs="Verdana"/>
          <w:sz w:val="20"/>
          <w:szCs w:val="20"/>
          <w:lang w:val="es-ES"/>
        </w:rPr>
      </w:pPr>
      <w:r w:rsidRPr="006B7931">
        <w:rPr>
          <w:rFonts w:ascii="Verdana" w:hAnsi="Verdana" w:cs="Verdana"/>
          <w:sz w:val="20"/>
          <w:szCs w:val="20"/>
          <w:lang w:val="es-ES"/>
        </w:rPr>
        <w:lastRenderedPageBreak/>
        <w:t xml:space="preserve">La Corte se pronunciará sobre </w:t>
      </w:r>
      <w:r w:rsidR="00123E63" w:rsidRPr="00BE5CBB">
        <w:rPr>
          <w:rFonts w:ascii="Verdana" w:hAnsi="Verdana" w:cs="Verdana"/>
          <w:sz w:val="20"/>
          <w:szCs w:val="20"/>
          <w:lang w:val="es-ES"/>
        </w:rPr>
        <w:t>siete</w:t>
      </w:r>
      <w:r w:rsidRPr="006B7931">
        <w:rPr>
          <w:rFonts w:ascii="Verdana" w:hAnsi="Verdana" w:cs="Verdana"/>
          <w:sz w:val="20"/>
          <w:szCs w:val="20"/>
          <w:lang w:val="es-ES"/>
        </w:rPr>
        <w:t xml:space="preserve"> medidas de </w:t>
      </w:r>
      <w:proofErr w:type="spellStart"/>
      <w:r w:rsidRPr="006B7931">
        <w:rPr>
          <w:rFonts w:ascii="Verdana" w:hAnsi="Verdana" w:cs="Verdana"/>
          <w:sz w:val="20"/>
          <w:szCs w:val="20"/>
          <w:lang w:val="es-ES"/>
        </w:rPr>
        <w:t>reparación</w:t>
      </w:r>
      <w:proofErr w:type="spellEnd"/>
      <w:r w:rsidR="00307BA3">
        <w:rPr>
          <w:rFonts w:ascii="Verdana" w:hAnsi="Verdana" w:cs="Verdana"/>
          <w:sz w:val="20"/>
          <w:szCs w:val="20"/>
          <w:lang w:val="es-ES"/>
        </w:rPr>
        <w:t xml:space="preserve">, respecto de las cuales se ha aportado suficiente información que permita valorar su </w:t>
      </w:r>
      <w:r w:rsidRPr="006B7931">
        <w:rPr>
          <w:rFonts w:ascii="Verdana" w:hAnsi="Verdana" w:cs="Verdana"/>
          <w:sz w:val="20"/>
          <w:szCs w:val="20"/>
          <w:lang w:val="es-ES"/>
        </w:rPr>
        <w:t xml:space="preserve">cumplimiento. Con respecto a las otras reparaciones, la Corte efectuará una solicitud de </w:t>
      </w:r>
      <w:proofErr w:type="spellStart"/>
      <w:r w:rsidRPr="006B7931">
        <w:rPr>
          <w:rFonts w:ascii="Verdana" w:hAnsi="Verdana" w:cs="Verdana"/>
          <w:sz w:val="20"/>
          <w:szCs w:val="20"/>
          <w:lang w:val="es-ES"/>
        </w:rPr>
        <w:t>información</w:t>
      </w:r>
      <w:proofErr w:type="spellEnd"/>
      <w:r w:rsidRPr="006B7931">
        <w:rPr>
          <w:rFonts w:ascii="Verdana" w:hAnsi="Verdana" w:cs="Verdana"/>
          <w:sz w:val="20"/>
          <w:szCs w:val="20"/>
          <w:lang w:val="es-ES"/>
        </w:rPr>
        <w:t xml:space="preserve"> y valorará su nivel de cumplimiento en una posterior </w:t>
      </w:r>
      <w:proofErr w:type="spellStart"/>
      <w:r w:rsidRPr="006B7931">
        <w:rPr>
          <w:rFonts w:ascii="Verdana" w:hAnsi="Verdana" w:cs="Verdana"/>
          <w:sz w:val="20"/>
          <w:szCs w:val="20"/>
          <w:lang w:val="es-ES"/>
        </w:rPr>
        <w:t>resolución</w:t>
      </w:r>
      <w:proofErr w:type="spellEnd"/>
      <w:r w:rsidRPr="006B7931">
        <w:rPr>
          <w:rFonts w:ascii="Verdana" w:hAnsi="Verdana" w:cs="Verdana"/>
          <w:sz w:val="20"/>
          <w:szCs w:val="20"/>
          <w:lang w:val="es-ES"/>
        </w:rPr>
        <w:t xml:space="preserve"> (</w:t>
      </w:r>
      <w:r w:rsidRPr="00123E63">
        <w:rPr>
          <w:rFonts w:ascii="Verdana" w:hAnsi="Verdana" w:cs="Verdana"/>
          <w:i/>
          <w:sz w:val="20"/>
          <w:szCs w:val="20"/>
          <w:lang w:val="es-ES"/>
        </w:rPr>
        <w:t>infra</w:t>
      </w:r>
      <w:r w:rsidRPr="006B7931">
        <w:rPr>
          <w:rFonts w:ascii="Verdana" w:hAnsi="Verdana" w:cs="Verdana"/>
          <w:sz w:val="20"/>
          <w:szCs w:val="20"/>
          <w:lang w:val="es-ES"/>
        </w:rPr>
        <w:t xml:space="preserve"> </w:t>
      </w:r>
      <w:r w:rsidR="00123E63">
        <w:rPr>
          <w:rFonts w:ascii="Verdana" w:hAnsi="Verdana" w:cs="Verdana"/>
          <w:sz w:val="20"/>
          <w:szCs w:val="20"/>
          <w:lang w:val="es-ES"/>
        </w:rPr>
        <w:t xml:space="preserve">Considerando </w:t>
      </w:r>
      <w:r w:rsidR="007861C0">
        <w:rPr>
          <w:rFonts w:ascii="Verdana" w:hAnsi="Verdana" w:cs="Verdana"/>
          <w:sz w:val="20"/>
          <w:szCs w:val="20"/>
          <w:lang w:val="es-ES"/>
        </w:rPr>
        <w:t>35</w:t>
      </w:r>
      <w:r w:rsidRPr="006B7931">
        <w:rPr>
          <w:rFonts w:ascii="Verdana" w:hAnsi="Verdana" w:cs="Verdana"/>
          <w:sz w:val="20"/>
          <w:szCs w:val="20"/>
          <w:lang w:val="es-ES"/>
        </w:rPr>
        <w:t xml:space="preserve">). </w:t>
      </w:r>
      <w:r w:rsidRPr="00371BC2">
        <w:rPr>
          <w:rFonts w:ascii="Verdana" w:hAnsi="Verdana" w:cs="Verdana"/>
          <w:sz w:val="20"/>
          <w:szCs w:val="20"/>
          <w:lang w:val="es-ES"/>
        </w:rPr>
        <w:t>El Tribunal estructurará sus consideraciones en el siguiente orden</w:t>
      </w:r>
      <w:r w:rsidR="00456948" w:rsidRPr="006B7931">
        <w:rPr>
          <w:rFonts w:ascii="Verdana" w:hAnsi="Verdana" w:cs="Verdana"/>
          <w:sz w:val="20"/>
          <w:szCs w:val="20"/>
        </w:rPr>
        <w:t>:</w:t>
      </w:r>
    </w:p>
    <w:p w14:paraId="64F67E3C" w14:textId="7FCBB2F6" w:rsidR="00815DC8" w:rsidRPr="00815DC8" w:rsidRDefault="00627D9A">
      <w:pPr>
        <w:pStyle w:val="TDC1"/>
        <w:tabs>
          <w:tab w:val="left" w:pos="720"/>
          <w:tab w:val="right" w:leader="dot" w:pos="9350"/>
        </w:tabs>
        <w:rPr>
          <w:rFonts w:ascii="Verdana" w:eastAsiaTheme="minorEastAsia" w:hAnsi="Verdana" w:cstheme="minorBidi"/>
          <w:noProof/>
          <w:sz w:val="16"/>
          <w:szCs w:val="16"/>
          <w:lang w:val="en-US" w:eastAsia="en-US"/>
        </w:rPr>
      </w:pPr>
      <w:r w:rsidRPr="00815DC8">
        <w:rPr>
          <w:rFonts w:ascii="Verdana" w:eastAsia="Calibri" w:hAnsi="Verdana"/>
          <w:bCs/>
          <w:caps/>
          <w:noProof/>
          <w:sz w:val="16"/>
          <w:szCs w:val="16"/>
        </w:rPr>
        <w:fldChar w:fldCharType="begin"/>
      </w:r>
      <w:r w:rsidRPr="00815DC8">
        <w:rPr>
          <w:rFonts w:ascii="Verdana" w:hAnsi="Verdana"/>
          <w:bCs/>
          <w:caps/>
          <w:sz w:val="16"/>
          <w:szCs w:val="16"/>
        </w:rPr>
        <w:instrText xml:space="preserve"> TOC \o "1-3" \h \z \u </w:instrText>
      </w:r>
      <w:r w:rsidRPr="00815DC8">
        <w:rPr>
          <w:rFonts w:ascii="Verdana" w:eastAsia="Calibri" w:hAnsi="Verdana"/>
          <w:bCs/>
          <w:caps/>
          <w:noProof/>
          <w:sz w:val="16"/>
          <w:szCs w:val="16"/>
        </w:rPr>
        <w:fldChar w:fldCharType="separate"/>
      </w:r>
      <w:hyperlink w:anchor="_Toc57748146" w:history="1">
        <w:r w:rsidR="00815DC8" w:rsidRPr="00815DC8">
          <w:rPr>
            <w:rStyle w:val="Hipervnculo"/>
            <w:rFonts w:ascii="Verdana" w:hAnsi="Verdana"/>
            <w:bCs/>
            <w:i/>
            <w:noProof/>
            <w:kern w:val="32"/>
            <w:sz w:val="16"/>
            <w:szCs w:val="16"/>
            <w:lang w:eastAsia="en-US"/>
          </w:rPr>
          <w:t>A.</w:t>
        </w:r>
        <w:r w:rsidR="00815DC8" w:rsidRPr="00815DC8">
          <w:rPr>
            <w:rFonts w:ascii="Verdana" w:eastAsiaTheme="minorEastAsia" w:hAnsi="Verdana" w:cstheme="minorBidi"/>
            <w:noProof/>
            <w:sz w:val="16"/>
            <w:szCs w:val="16"/>
            <w:lang w:val="en-US" w:eastAsia="en-US"/>
          </w:rPr>
          <w:tab/>
        </w:r>
        <w:r w:rsidR="00815DC8" w:rsidRPr="00815DC8">
          <w:rPr>
            <w:rStyle w:val="Hipervnculo"/>
            <w:rFonts w:ascii="Verdana" w:hAnsi="Verdana"/>
            <w:bCs/>
            <w:i/>
            <w:noProof/>
            <w:kern w:val="32"/>
            <w:sz w:val="16"/>
            <w:szCs w:val="16"/>
            <w:lang w:eastAsia="en-US"/>
          </w:rPr>
          <w:t>Obligación de investigar</w:t>
        </w:r>
        <w:r w:rsidR="00815DC8" w:rsidRPr="00815DC8">
          <w:rPr>
            <w:rFonts w:ascii="Verdana" w:hAnsi="Verdana"/>
            <w:noProof/>
            <w:webHidden/>
            <w:sz w:val="16"/>
            <w:szCs w:val="16"/>
          </w:rPr>
          <w:tab/>
        </w:r>
        <w:r w:rsidR="00815DC8" w:rsidRPr="00815DC8">
          <w:rPr>
            <w:rFonts w:ascii="Verdana" w:hAnsi="Verdana"/>
            <w:noProof/>
            <w:webHidden/>
            <w:sz w:val="16"/>
            <w:szCs w:val="16"/>
          </w:rPr>
          <w:fldChar w:fldCharType="begin"/>
        </w:r>
        <w:r w:rsidR="00815DC8" w:rsidRPr="00815DC8">
          <w:rPr>
            <w:rFonts w:ascii="Verdana" w:hAnsi="Verdana"/>
            <w:noProof/>
            <w:webHidden/>
            <w:sz w:val="16"/>
            <w:szCs w:val="16"/>
          </w:rPr>
          <w:instrText xml:space="preserve"> PAGEREF _Toc57748146 \h </w:instrText>
        </w:r>
        <w:r w:rsidR="00815DC8" w:rsidRPr="00815DC8">
          <w:rPr>
            <w:rFonts w:ascii="Verdana" w:hAnsi="Verdana"/>
            <w:noProof/>
            <w:webHidden/>
            <w:sz w:val="16"/>
            <w:szCs w:val="16"/>
          </w:rPr>
        </w:r>
        <w:r w:rsidR="00815DC8" w:rsidRPr="00815DC8">
          <w:rPr>
            <w:rFonts w:ascii="Verdana" w:hAnsi="Verdana"/>
            <w:noProof/>
            <w:webHidden/>
            <w:sz w:val="16"/>
            <w:szCs w:val="16"/>
          </w:rPr>
          <w:fldChar w:fldCharType="separate"/>
        </w:r>
        <w:r w:rsidR="003A767D">
          <w:rPr>
            <w:rFonts w:ascii="Verdana" w:hAnsi="Verdana"/>
            <w:noProof/>
            <w:webHidden/>
            <w:sz w:val="16"/>
            <w:szCs w:val="16"/>
          </w:rPr>
          <w:t>3</w:t>
        </w:r>
        <w:r w:rsidR="00815DC8" w:rsidRPr="00815DC8">
          <w:rPr>
            <w:rFonts w:ascii="Verdana" w:hAnsi="Verdana"/>
            <w:noProof/>
            <w:webHidden/>
            <w:sz w:val="16"/>
            <w:szCs w:val="16"/>
          </w:rPr>
          <w:fldChar w:fldCharType="end"/>
        </w:r>
      </w:hyperlink>
    </w:p>
    <w:p w14:paraId="5F55A880" w14:textId="73A43DE0" w:rsidR="00815DC8" w:rsidRPr="00815DC8" w:rsidRDefault="006C14E3">
      <w:pPr>
        <w:pStyle w:val="TDC1"/>
        <w:tabs>
          <w:tab w:val="left" w:pos="720"/>
          <w:tab w:val="right" w:leader="dot" w:pos="9350"/>
        </w:tabs>
        <w:rPr>
          <w:rFonts w:ascii="Verdana" w:eastAsiaTheme="minorEastAsia" w:hAnsi="Verdana" w:cstheme="minorBidi"/>
          <w:noProof/>
          <w:sz w:val="16"/>
          <w:szCs w:val="16"/>
          <w:lang w:val="en-US" w:eastAsia="en-US"/>
        </w:rPr>
      </w:pPr>
      <w:hyperlink w:anchor="_Toc57748147" w:history="1">
        <w:r w:rsidR="00815DC8" w:rsidRPr="00815DC8">
          <w:rPr>
            <w:rStyle w:val="Hipervnculo"/>
            <w:rFonts w:ascii="Verdana" w:hAnsi="Verdana"/>
            <w:bCs/>
            <w:i/>
            <w:noProof/>
            <w:kern w:val="32"/>
            <w:sz w:val="16"/>
            <w:szCs w:val="16"/>
            <w:lang w:val="es-CO" w:eastAsia="en-US"/>
          </w:rPr>
          <w:t>B.</w:t>
        </w:r>
        <w:r w:rsidR="00815DC8" w:rsidRPr="00815DC8">
          <w:rPr>
            <w:rFonts w:ascii="Verdana" w:eastAsiaTheme="minorEastAsia" w:hAnsi="Verdana" w:cstheme="minorBidi"/>
            <w:noProof/>
            <w:sz w:val="16"/>
            <w:szCs w:val="16"/>
            <w:lang w:val="en-US" w:eastAsia="en-US"/>
          </w:rPr>
          <w:tab/>
        </w:r>
        <w:r w:rsidR="00815DC8" w:rsidRPr="00815DC8">
          <w:rPr>
            <w:rStyle w:val="Hipervnculo"/>
            <w:rFonts w:ascii="Verdana" w:hAnsi="Verdana"/>
            <w:bCs/>
            <w:i/>
            <w:noProof/>
            <w:kern w:val="32"/>
            <w:sz w:val="16"/>
            <w:szCs w:val="16"/>
            <w:lang w:val="es-MX" w:eastAsia="en-US"/>
          </w:rPr>
          <w:t>Tratamiento médico y psicológico o psiquiátrico</w:t>
        </w:r>
        <w:r w:rsidR="00815DC8" w:rsidRPr="00815DC8">
          <w:rPr>
            <w:rFonts w:ascii="Verdana" w:hAnsi="Verdana"/>
            <w:noProof/>
            <w:webHidden/>
            <w:sz w:val="16"/>
            <w:szCs w:val="16"/>
          </w:rPr>
          <w:tab/>
        </w:r>
        <w:r w:rsidR="00815DC8" w:rsidRPr="00815DC8">
          <w:rPr>
            <w:rFonts w:ascii="Verdana" w:hAnsi="Verdana"/>
            <w:noProof/>
            <w:webHidden/>
            <w:sz w:val="16"/>
            <w:szCs w:val="16"/>
          </w:rPr>
          <w:fldChar w:fldCharType="begin"/>
        </w:r>
        <w:r w:rsidR="00815DC8" w:rsidRPr="00815DC8">
          <w:rPr>
            <w:rFonts w:ascii="Verdana" w:hAnsi="Verdana"/>
            <w:noProof/>
            <w:webHidden/>
            <w:sz w:val="16"/>
            <w:szCs w:val="16"/>
          </w:rPr>
          <w:instrText xml:space="preserve"> PAGEREF _Toc57748147 \h </w:instrText>
        </w:r>
        <w:r w:rsidR="00815DC8" w:rsidRPr="00815DC8">
          <w:rPr>
            <w:rFonts w:ascii="Verdana" w:hAnsi="Verdana"/>
            <w:noProof/>
            <w:webHidden/>
            <w:sz w:val="16"/>
            <w:szCs w:val="16"/>
          </w:rPr>
        </w:r>
        <w:r w:rsidR="00815DC8" w:rsidRPr="00815DC8">
          <w:rPr>
            <w:rFonts w:ascii="Verdana" w:hAnsi="Verdana"/>
            <w:noProof/>
            <w:webHidden/>
            <w:sz w:val="16"/>
            <w:szCs w:val="16"/>
          </w:rPr>
          <w:fldChar w:fldCharType="separate"/>
        </w:r>
        <w:r w:rsidR="003A767D">
          <w:rPr>
            <w:rFonts w:ascii="Verdana" w:hAnsi="Verdana"/>
            <w:noProof/>
            <w:webHidden/>
            <w:sz w:val="16"/>
            <w:szCs w:val="16"/>
          </w:rPr>
          <w:t>5</w:t>
        </w:r>
        <w:r w:rsidR="00815DC8" w:rsidRPr="00815DC8">
          <w:rPr>
            <w:rFonts w:ascii="Verdana" w:hAnsi="Verdana"/>
            <w:noProof/>
            <w:webHidden/>
            <w:sz w:val="16"/>
            <w:szCs w:val="16"/>
          </w:rPr>
          <w:fldChar w:fldCharType="end"/>
        </w:r>
      </w:hyperlink>
    </w:p>
    <w:p w14:paraId="742E1522" w14:textId="728848FE" w:rsidR="00815DC8" w:rsidRPr="00815DC8" w:rsidRDefault="006C14E3">
      <w:pPr>
        <w:pStyle w:val="TDC1"/>
        <w:tabs>
          <w:tab w:val="left" w:pos="720"/>
          <w:tab w:val="right" w:leader="dot" w:pos="9350"/>
        </w:tabs>
        <w:rPr>
          <w:rFonts w:ascii="Verdana" w:eastAsiaTheme="minorEastAsia" w:hAnsi="Verdana" w:cstheme="minorBidi"/>
          <w:noProof/>
          <w:sz w:val="16"/>
          <w:szCs w:val="16"/>
          <w:lang w:val="en-US" w:eastAsia="en-US"/>
        </w:rPr>
      </w:pPr>
      <w:hyperlink w:anchor="_Toc57748148" w:history="1">
        <w:r w:rsidR="00815DC8" w:rsidRPr="00815DC8">
          <w:rPr>
            <w:rStyle w:val="Hipervnculo"/>
            <w:rFonts w:ascii="Verdana" w:hAnsi="Verdana" w:cs="Verdana"/>
            <w:i/>
            <w:noProof/>
            <w:sz w:val="16"/>
            <w:szCs w:val="16"/>
            <w:lang w:val="es-MX"/>
          </w:rPr>
          <w:t>C.</w:t>
        </w:r>
        <w:r w:rsidR="00815DC8" w:rsidRPr="00815DC8">
          <w:rPr>
            <w:rFonts w:ascii="Verdana" w:eastAsiaTheme="minorEastAsia" w:hAnsi="Verdana" w:cstheme="minorBidi"/>
            <w:noProof/>
            <w:sz w:val="16"/>
            <w:szCs w:val="16"/>
            <w:lang w:val="en-US" w:eastAsia="en-US"/>
          </w:rPr>
          <w:tab/>
        </w:r>
        <w:r w:rsidR="00815DC8" w:rsidRPr="00815DC8">
          <w:rPr>
            <w:rStyle w:val="Hipervnculo"/>
            <w:rFonts w:ascii="Verdana" w:eastAsia="Times" w:hAnsi="Verdana"/>
            <w:i/>
            <w:noProof/>
            <w:sz w:val="16"/>
            <w:szCs w:val="16"/>
            <w:lang w:val="es-ES_tradnl" w:eastAsia="en-US"/>
          </w:rPr>
          <w:t>Publicación y difusión de la Sentencia</w:t>
        </w:r>
        <w:r w:rsidR="00815DC8" w:rsidRPr="00815DC8">
          <w:rPr>
            <w:rFonts w:ascii="Verdana" w:hAnsi="Verdana"/>
            <w:noProof/>
            <w:webHidden/>
            <w:sz w:val="16"/>
            <w:szCs w:val="16"/>
          </w:rPr>
          <w:tab/>
        </w:r>
        <w:r w:rsidR="00815DC8" w:rsidRPr="00815DC8">
          <w:rPr>
            <w:rFonts w:ascii="Verdana" w:hAnsi="Verdana"/>
            <w:noProof/>
            <w:webHidden/>
            <w:sz w:val="16"/>
            <w:szCs w:val="16"/>
          </w:rPr>
          <w:fldChar w:fldCharType="begin"/>
        </w:r>
        <w:r w:rsidR="00815DC8" w:rsidRPr="00815DC8">
          <w:rPr>
            <w:rFonts w:ascii="Verdana" w:hAnsi="Verdana"/>
            <w:noProof/>
            <w:webHidden/>
            <w:sz w:val="16"/>
            <w:szCs w:val="16"/>
          </w:rPr>
          <w:instrText xml:space="preserve"> PAGEREF _Toc57748148 \h </w:instrText>
        </w:r>
        <w:r w:rsidR="00815DC8" w:rsidRPr="00815DC8">
          <w:rPr>
            <w:rFonts w:ascii="Verdana" w:hAnsi="Verdana"/>
            <w:noProof/>
            <w:webHidden/>
            <w:sz w:val="16"/>
            <w:szCs w:val="16"/>
          </w:rPr>
        </w:r>
        <w:r w:rsidR="00815DC8" w:rsidRPr="00815DC8">
          <w:rPr>
            <w:rFonts w:ascii="Verdana" w:hAnsi="Verdana"/>
            <w:noProof/>
            <w:webHidden/>
            <w:sz w:val="16"/>
            <w:szCs w:val="16"/>
          </w:rPr>
          <w:fldChar w:fldCharType="separate"/>
        </w:r>
        <w:r w:rsidR="003A767D">
          <w:rPr>
            <w:rFonts w:ascii="Verdana" w:hAnsi="Verdana"/>
            <w:noProof/>
            <w:webHidden/>
            <w:sz w:val="16"/>
            <w:szCs w:val="16"/>
          </w:rPr>
          <w:t>8</w:t>
        </w:r>
        <w:r w:rsidR="00815DC8" w:rsidRPr="00815DC8">
          <w:rPr>
            <w:rFonts w:ascii="Verdana" w:hAnsi="Verdana"/>
            <w:noProof/>
            <w:webHidden/>
            <w:sz w:val="16"/>
            <w:szCs w:val="16"/>
          </w:rPr>
          <w:fldChar w:fldCharType="end"/>
        </w:r>
      </w:hyperlink>
    </w:p>
    <w:p w14:paraId="26EDA301" w14:textId="52097F84" w:rsidR="00815DC8" w:rsidRPr="00815DC8" w:rsidRDefault="006C14E3">
      <w:pPr>
        <w:pStyle w:val="TDC1"/>
        <w:tabs>
          <w:tab w:val="left" w:pos="720"/>
          <w:tab w:val="right" w:leader="dot" w:pos="9350"/>
        </w:tabs>
        <w:rPr>
          <w:rFonts w:ascii="Verdana" w:eastAsiaTheme="minorEastAsia" w:hAnsi="Verdana" w:cstheme="minorBidi"/>
          <w:noProof/>
          <w:sz w:val="16"/>
          <w:szCs w:val="16"/>
          <w:lang w:val="en-US" w:eastAsia="en-US"/>
        </w:rPr>
      </w:pPr>
      <w:hyperlink w:anchor="_Toc57748149" w:history="1">
        <w:r w:rsidR="00815DC8" w:rsidRPr="00815DC8">
          <w:rPr>
            <w:rStyle w:val="Hipervnculo"/>
            <w:rFonts w:ascii="Verdana" w:hAnsi="Verdana" w:cs="Verdana"/>
            <w:i/>
            <w:noProof/>
            <w:sz w:val="16"/>
            <w:szCs w:val="16"/>
            <w:lang w:val="es-MX"/>
          </w:rPr>
          <w:t>D.</w:t>
        </w:r>
        <w:r w:rsidR="00815DC8" w:rsidRPr="00815DC8">
          <w:rPr>
            <w:rFonts w:ascii="Verdana" w:eastAsiaTheme="minorEastAsia" w:hAnsi="Verdana" w:cstheme="minorBidi"/>
            <w:noProof/>
            <w:sz w:val="16"/>
            <w:szCs w:val="16"/>
            <w:lang w:val="en-US" w:eastAsia="en-US"/>
          </w:rPr>
          <w:tab/>
        </w:r>
        <w:r w:rsidR="00815DC8" w:rsidRPr="00815DC8">
          <w:rPr>
            <w:rStyle w:val="Hipervnculo"/>
            <w:rFonts w:ascii="Verdana" w:hAnsi="Verdana" w:cs="Verdana"/>
            <w:i/>
            <w:noProof/>
            <w:sz w:val="16"/>
            <w:szCs w:val="16"/>
            <w:lang w:val="es-MX"/>
          </w:rPr>
          <w:t>Acto público de reconocimiento de responsabilidad internacional y disculpas públicas</w:t>
        </w:r>
        <w:r w:rsidR="00815DC8" w:rsidRPr="00815DC8">
          <w:rPr>
            <w:rFonts w:ascii="Verdana" w:hAnsi="Verdana"/>
            <w:noProof/>
            <w:webHidden/>
            <w:sz w:val="16"/>
            <w:szCs w:val="16"/>
          </w:rPr>
          <w:tab/>
        </w:r>
        <w:r w:rsidR="00815DC8" w:rsidRPr="00815DC8">
          <w:rPr>
            <w:rFonts w:ascii="Verdana" w:hAnsi="Verdana"/>
            <w:noProof/>
            <w:webHidden/>
            <w:sz w:val="16"/>
            <w:szCs w:val="16"/>
          </w:rPr>
          <w:fldChar w:fldCharType="begin"/>
        </w:r>
        <w:r w:rsidR="00815DC8" w:rsidRPr="00815DC8">
          <w:rPr>
            <w:rFonts w:ascii="Verdana" w:hAnsi="Verdana"/>
            <w:noProof/>
            <w:webHidden/>
            <w:sz w:val="16"/>
            <w:szCs w:val="16"/>
          </w:rPr>
          <w:instrText xml:space="preserve"> PAGEREF _Toc57748149 \h </w:instrText>
        </w:r>
        <w:r w:rsidR="00815DC8" w:rsidRPr="00815DC8">
          <w:rPr>
            <w:rFonts w:ascii="Verdana" w:hAnsi="Verdana"/>
            <w:noProof/>
            <w:webHidden/>
            <w:sz w:val="16"/>
            <w:szCs w:val="16"/>
          </w:rPr>
        </w:r>
        <w:r w:rsidR="00815DC8" w:rsidRPr="00815DC8">
          <w:rPr>
            <w:rFonts w:ascii="Verdana" w:hAnsi="Verdana"/>
            <w:noProof/>
            <w:webHidden/>
            <w:sz w:val="16"/>
            <w:szCs w:val="16"/>
          </w:rPr>
          <w:fldChar w:fldCharType="separate"/>
        </w:r>
        <w:r w:rsidR="003A767D">
          <w:rPr>
            <w:rFonts w:ascii="Verdana" w:hAnsi="Verdana"/>
            <w:noProof/>
            <w:webHidden/>
            <w:sz w:val="16"/>
            <w:szCs w:val="16"/>
          </w:rPr>
          <w:t>9</w:t>
        </w:r>
        <w:r w:rsidR="00815DC8" w:rsidRPr="00815DC8">
          <w:rPr>
            <w:rFonts w:ascii="Verdana" w:hAnsi="Verdana"/>
            <w:noProof/>
            <w:webHidden/>
            <w:sz w:val="16"/>
            <w:szCs w:val="16"/>
          </w:rPr>
          <w:fldChar w:fldCharType="end"/>
        </w:r>
      </w:hyperlink>
    </w:p>
    <w:p w14:paraId="05931557" w14:textId="7D1D5AA7" w:rsidR="00815DC8" w:rsidRPr="00815DC8" w:rsidRDefault="006C14E3">
      <w:pPr>
        <w:pStyle w:val="TDC1"/>
        <w:tabs>
          <w:tab w:val="left" w:pos="720"/>
          <w:tab w:val="right" w:leader="dot" w:pos="9350"/>
        </w:tabs>
        <w:rPr>
          <w:rFonts w:ascii="Verdana" w:eastAsiaTheme="minorEastAsia" w:hAnsi="Verdana" w:cstheme="minorBidi"/>
          <w:noProof/>
          <w:sz w:val="16"/>
          <w:szCs w:val="16"/>
          <w:lang w:val="en-US" w:eastAsia="en-US"/>
        </w:rPr>
      </w:pPr>
      <w:hyperlink w:anchor="_Toc57748150" w:history="1">
        <w:r w:rsidR="00815DC8" w:rsidRPr="00815DC8">
          <w:rPr>
            <w:rStyle w:val="Hipervnculo"/>
            <w:rFonts w:ascii="Verdana" w:hAnsi="Verdana" w:cs="Verdana"/>
            <w:i/>
            <w:noProof/>
            <w:sz w:val="16"/>
            <w:szCs w:val="16"/>
            <w:lang w:val="es-MX"/>
          </w:rPr>
          <w:t>E.</w:t>
        </w:r>
        <w:r w:rsidR="00815DC8" w:rsidRPr="00815DC8">
          <w:rPr>
            <w:rFonts w:ascii="Verdana" w:eastAsiaTheme="minorEastAsia" w:hAnsi="Verdana" w:cstheme="minorBidi"/>
            <w:noProof/>
            <w:sz w:val="16"/>
            <w:szCs w:val="16"/>
            <w:lang w:val="en-US" w:eastAsia="en-US"/>
          </w:rPr>
          <w:tab/>
        </w:r>
        <w:r w:rsidR="00815DC8" w:rsidRPr="00815DC8">
          <w:rPr>
            <w:rStyle w:val="Hipervnculo"/>
            <w:rFonts w:ascii="Verdana" w:hAnsi="Verdana" w:cs="Verdana"/>
            <w:i/>
            <w:noProof/>
            <w:sz w:val="16"/>
            <w:szCs w:val="16"/>
            <w:lang w:val="es-MX"/>
          </w:rPr>
          <w:t>B</w:t>
        </w:r>
        <w:r w:rsidR="00815DC8" w:rsidRPr="00815DC8">
          <w:rPr>
            <w:rStyle w:val="Hipervnculo"/>
            <w:rFonts w:ascii="Verdana" w:hAnsi="Verdana" w:cs="Verdana"/>
            <w:i/>
            <w:noProof/>
            <w:sz w:val="16"/>
            <w:szCs w:val="16"/>
          </w:rPr>
          <w:t>eca en una institución pública de educación superior</w:t>
        </w:r>
        <w:r w:rsidR="00815DC8" w:rsidRPr="00815DC8">
          <w:rPr>
            <w:rFonts w:ascii="Verdana" w:hAnsi="Verdana"/>
            <w:noProof/>
            <w:webHidden/>
            <w:sz w:val="16"/>
            <w:szCs w:val="16"/>
          </w:rPr>
          <w:tab/>
        </w:r>
        <w:r w:rsidR="00815DC8" w:rsidRPr="00815DC8">
          <w:rPr>
            <w:rFonts w:ascii="Verdana" w:hAnsi="Verdana"/>
            <w:noProof/>
            <w:webHidden/>
            <w:sz w:val="16"/>
            <w:szCs w:val="16"/>
          </w:rPr>
          <w:fldChar w:fldCharType="begin"/>
        </w:r>
        <w:r w:rsidR="00815DC8" w:rsidRPr="00815DC8">
          <w:rPr>
            <w:rFonts w:ascii="Verdana" w:hAnsi="Verdana"/>
            <w:noProof/>
            <w:webHidden/>
            <w:sz w:val="16"/>
            <w:szCs w:val="16"/>
          </w:rPr>
          <w:instrText xml:space="preserve"> PAGEREF _Toc57748150 \h </w:instrText>
        </w:r>
        <w:r w:rsidR="00815DC8" w:rsidRPr="00815DC8">
          <w:rPr>
            <w:rFonts w:ascii="Verdana" w:hAnsi="Verdana"/>
            <w:noProof/>
            <w:webHidden/>
            <w:sz w:val="16"/>
            <w:szCs w:val="16"/>
          </w:rPr>
        </w:r>
        <w:r w:rsidR="00815DC8" w:rsidRPr="00815DC8">
          <w:rPr>
            <w:rFonts w:ascii="Verdana" w:hAnsi="Verdana"/>
            <w:noProof/>
            <w:webHidden/>
            <w:sz w:val="16"/>
            <w:szCs w:val="16"/>
          </w:rPr>
          <w:fldChar w:fldCharType="separate"/>
        </w:r>
        <w:r w:rsidR="003A767D">
          <w:rPr>
            <w:rFonts w:ascii="Verdana" w:hAnsi="Verdana"/>
            <w:noProof/>
            <w:webHidden/>
            <w:sz w:val="16"/>
            <w:szCs w:val="16"/>
          </w:rPr>
          <w:t>10</w:t>
        </w:r>
        <w:r w:rsidR="00815DC8" w:rsidRPr="00815DC8">
          <w:rPr>
            <w:rFonts w:ascii="Verdana" w:hAnsi="Verdana"/>
            <w:noProof/>
            <w:webHidden/>
            <w:sz w:val="16"/>
            <w:szCs w:val="16"/>
          </w:rPr>
          <w:fldChar w:fldCharType="end"/>
        </w:r>
      </w:hyperlink>
    </w:p>
    <w:p w14:paraId="76A65204" w14:textId="2AD8CF54" w:rsidR="00815DC8" w:rsidRPr="00815DC8" w:rsidRDefault="006C14E3">
      <w:pPr>
        <w:pStyle w:val="TDC1"/>
        <w:tabs>
          <w:tab w:val="left" w:pos="720"/>
          <w:tab w:val="right" w:leader="dot" w:pos="9350"/>
        </w:tabs>
        <w:rPr>
          <w:rFonts w:ascii="Verdana" w:eastAsiaTheme="minorEastAsia" w:hAnsi="Verdana" w:cstheme="minorBidi"/>
          <w:noProof/>
          <w:sz w:val="16"/>
          <w:szCs w:val="16"/>
          <w:lang w:val="en-US" w:eastAsia="en-US"/>
        </w:rPr>
      </w:pPr>
      <w:hyperlink w:anchor="_Toc57748151" w:history="1">
        <w:r w:rsidR="00815DC8" w:rsidRPr="00815DC8">
          <w:rPr>
            <w:rStyle w:val="Hipervnculo"/>
            <w:rFonts w:ascii="Verdana" w:hAnsi="Verdana" w:cs="Verdana"/>
            <w:i/>
            <w:noProof/>
            <w:sz w:val="16"/>
            <w:szCs w:val="16"/>
            <w:lang w:val="es-MX"/>
          </w:rPr>
          <w:t>F.</w:t>
        </w:r>
        <w:r w:rsidR="00815DC8" w:rsidRPr="00815DC8">
          <w:rPr>
            <w:rFonts w:ascii="Verdana" w:eastAsiaTheme="minorEastAsia" w:hAnsi="Verdana" w:cstheme="minorBidi"/>
            <w:noProof/>
            <w:sz w:val="16"/>
            <w:szCs w:val="16"/>
            <w:lang w:val="en-US" w:eastAsia="en-US"/>
          </w:rPr>
          <w:tab/>
        </w:r>
        <w:r w:rsidR="00815DC8" w:rsidRPr="00815DC8">
          <w:rPr>
            <w:rStyle w:val="Hipervnculo"/>
            <w:rFonts w:ascii="Verdana" w:hAnsi="Verdana" w:cs="Verdana"/>
            <w:i/>
            <w:noProof/>
            <w:sz w:val="16"/>
            <w:szCs w:val="16"/>
            <w:lang w:val="es-MX"/>
          </w:rPr>
          <w:t>Indemnizaciones por concepto de daño material e inmaterial y reintegro de costas y gastos</w:t>
        </w:r>
        <w:r w:rsidR="00815DC8" w:rsidRPr="00815DC8">
          <w:rPr>
            <w:rFonts w:ascii="Verdana" w:hAnsi="Verdana"/>
            <w:noProof/>
            <w:webHidden/>
            <w:sz w:val="16"/>
            <w:szCs w:val="16"/>
          </w:rPr>
          <w:tab/>
        </w:r>
        <w:r w:rsidR="00815DC8" w:rsidRPr="00815DC8">
          <w:rPr>
            <w:rFonts w:ascii="Verdana" w:hAnsi="Verdana"/>
            <w:noProof/>
            <w:webHidden/>
            <w:sz w:val="16"/>
            <w:szCs w:val="16"/>
          </w:rPr>
          <w:fldChar w:fldCharType="begin"/>
        </w:r>
        <w:r w:rsidR="00815DC8" w:rsidRPr="00815DC8">
          <w:rPr>
            <w:rFonts w:ascii="Verdana" w:hAnsi="Verdana"/>
            <w:noProof/>
            <w:webHidden/>
            <w:sz w:val="16"/>
            <w:szCs w:val="16"/>
          </w:rPr>
          <w:instrText xml:space="preserve"> PAGEREF _Toc57748151 \h </w:instrText>
        </w:r>
        <w:r w:rsidR="00815DC8" w:rsidRPr="00815DC8">
          <w:rPr>
            <w:rFonts w:ascii="Verdana" w:hAnsi="Verdana"/>
            <w:noProof/>
            <w:webHidden/>
            <w:sz w:val="16"/>
            <w:szCs w:val="16"/>
          </w:rPr>
        </w:r>
        <w:r w:rsidR="00815DC8" w:rsidRPr="00815DC8">
          <w:rPr>
            <w:rFonts w:ascii="Verdana" w:hAnsi="Verdana"/>
            <w:noProof/>
            <w:webHidden/>
            <w:sz w:val="16"/>
            <w:szCs w:val="16"/>
          </w:rPr>
          <w:fldChar w:fldCharType="separate"/>
        </w:r>
        <w:r w:rsidR="003A767D">
          <w:rPr>
            <w:rFonts w:ascii="Verdana" w:hAnsi="Verdana"/>
            <w:noProof/>
            <w:webHidden/>
            <w:sz w:val="16"/>
            <w:szCs w:val="16"/>
          </w:rPr>
          <w:t>11</w:t>
        </w:r>
        <w:r w:rsidR="00815DC8" w:rsidRPr="00815DC8">
          <w:rPr>
            <w:rFonts w:ascii="Verdana" w:hAnsi="Verdana"/>
            <w:noProof/>
            <w:webHidden/>
            <w:sz w:val="16"/>
            <w:szCs w:val="16"/>
          </w:rPr>
          <w:fldChar w:fldCharType="end"/>
        </w:r>
      </w:hyperlink>
    </w:p>
    <w:p w14:paraId="65A5521F" w14:textId="5E0EA25C" w:rsidR="00815DC8" w:rsidRPr="00815DC8" w:rsidRDefault="006C14E3">
      <w:pPr>
        <w:pStyle w:val="TDC1"/>
        <w:tabs>
          <w:tab w:val="left" w:pos="720"/>
          <w:tab w:val="right" w:leader="dot" w:pos="9350"/>
        </w:tabs>
        <w:rPr>
          <w:rFonts w:ascii="Verdana" w:eastAsiaTheme="minorEastAsia" w:hAnsi="Verdana" w:cstheme="minorBidi"/>
          <w:noProof/>
          <w:sz w:val="16"/>
          <w:szCs w:val="16"/>
          <w:lang w:val="en-US" w:eastAsia="en-US"/>
        </w:rPr>
      </w:pPr>
      <w:hyperlink w:anchor="_Toc57748152" w:history="1">
        <w:r w:rsidR="00815DC8" w:rsidRPr="00815DC8">
          <w:rPr>
            <w:rStyle w:val="Hipervnculo"/>
            <w:rFonts w:ascii="Verdana" w:hAnsi="Verdana" w:cs="Verdana"/>
            <w:i/>
            <w:noProof/>
            <w:sz w:val="16"/>
            <w:szCs w:val="16"/>
            <w:lang w:val="es-MX"/>
          </w:rPr>
          <w:t>G.</w:t>
        </w:r>
        <w:r w:rsidR="00815DC8" w:rsidRPr="00815DC8">
          <w:rPr>
            <w:rFonts w:ascii="Verdana" w:eastAsiaTheme="minorEastAsia" w:hAnsi="Verdana" w:cstheme="minorBidi"/>
            <w:noProof/>
            <w:sz w:val="16"/>
            <w:szCs w:val="16"/>
            <w:lang w:val="en-US" w:eastAsia="en-US"/>
          </w:rPr>
          <w:tab/>
        </w:r>
        <w:r w:rsidR="00815DC8" w:rsidRPr="00815DC8">
          <w:rPr>
            <w:rStyle w:val="Hipervnculo"/>
            <w:rFonts w:ascii="Verdana" w:hAnsi="Verdana" w:cs="Verdana"/>
            <w:i/>
            <w:noProof/>
            <w:sz w:val="16"/>
            <w:szCs w:val="16"/>
            <w:lang w:val="es-MX"/>
          </w:rPr>
          <w:t>Solicitud de información sobre las garantías de no repetición</w:t>
        </w:r>
        <w:r w:rsidR="00815DC8" w:rsidRPr="00815DC8">
          <w:rPr>
            <w:rFonts w:ascii="Verdana" w:hAnsi="Verdana"/>
            <w:noProof/>
            <w:webHidden/>
            <w:sz w:val="16"/>
            <w:szCs w:val="16"/>
          </w:rPr>
          <w:tab/>
        </w:r>
        <w:r w:rsidR="00815DC8" w:rsidRPr="00815DC8">
          <w:rPr>
            <w:rFonts w:ascii="Verdana" w:hAnsi="Verdana"/>
            <w:noProof/>
            <w:webHidden/>
            <w:sz w:val="16"/>
            <w:szCs w:val="16"/>
          </w:rPr>
          <w:fldChar w:fldCharType="begin"/>
        </w:r>
        <w:r w:rsidR="00815DC8" w:rsidRPr="00815DC8">
          <w:rPr>
            <w:rFonts w:ascii="Verdana" w:hAnsi="Verdana"/>
            <w:noProof/>
            <w:webHidden/>
            <w:sz w:val="16"/>
            <w:szCs w:val="16"/>
          </w:rPr>
          <w:instrText xml:space="preserve"> PAGEREF _Toc57748152 \h </w:instrText>
        </w:r>
        <w:r w:rsidR="00815DC8" w:rsidRPr="00815DC8">
          <w:rPr>
            <w:rFonts w:ascii="Verdana" w:hAnsi="Verdana"/>
            <w:noProof/>
            <w:webHidden/>
            <w:sz w:val="16"/>
            <w:szCs w:val="16"/>
          </w:rPr>
        </w:r>
        <w:r w:rsidR="00815DC8" w:rsidRPr="00815DC8">
          <w:rPr>
            <w:rFonts w:ascii="Verdana" w:hAnsi="Verdana"/>
            <w:noProof/>
            <w:webHidden/>
            <w:sz w:val="16"/>
            <w:szCs w:val="16"/>
          </w:rPr>
          <w:fldChar w:fldCharType="separate"/>
        </w:r>
        <w:r w:rsidR="003A767D">
          <w:rPr>
            <w:rFonts w:ascii="Verdana" w:hAnsi="Verdana"/>
            <w:noProof/>
            <w:webHidden/>
            <w:sz w:val="16"/>
            <w:szCs w:val="16"/>
          </w:rPr>
          <w:t>12</w:t>
        </w:r>
        <w:r w:rsidR="00815DC8" w:rsidRPr="00815DC8">
          <w:rPr>
            <w:rFonts w:ascii="Verdana" w:hAnsi="Verdana"/>
            <w:noProof/>
            <w:webHidden/>
            <w:sz w:val="16"/>
            <w:szCs w:val="16"/>
          </w:rPr>
          <w:fldChar w:fldCharType="end"/>
        </w:r>
      </w:hyperlink>
    </w:p>
    <w:p w14:paraId="39CF3FFF" w14:textId="382D9DF5" w:rsidR="00123E63" w:rsidRPr="00627D9A" w:rsidRDefault="00627D9A" w:rsidP="00123E63">
      <w:pPr>
        <w:spacing w:after="200"/>
        <w:jc w:val="both"/>
        <w:rPr>
          <w:rFonts w:ascii="Verdana" w:hAnsi="Verdana" w:cs="Verdana"/>
          <w:sz w:val="20"/>
          <w:szCs w:val="20"/>
          <w:lang w:val="es-ES"/>
        </w:rPr>
      </w:pPr>
      <w:r w:rsidRPr="00815DC8">
        <w:rPr>
          <w:rFonts w:ascii="Verdana" w:hAnsi="Verdana"/>
          <w:bCs/>
          <w:sz w:val="16"/>
          <w:szCs w:val="16"/>
        </w:rPr>
        <w:fldChar w:fldCharType="end"/>
      </w:r>
    </w:p>
    <w:p w14:paraId="633D0668" w14:textId="77777777" w:rsidR="00A14092" w:rsidRPr="00A14092" w:rsidRDefault="00A14092" w:rsidP="00A14092">
      <w:pPr>
        <w:widowControl w:val="0"/>
        <w:numPr>
          <w:ilvl w:val="0"/>
          <w:numId w:val="15"/>
        </w:numPr>
        <w:spacing w:before="120" w:after="120"/>
        <w:jc w:val="both"/>
        <w:outlineLvl w:val="0"/>
        <w:rPr>
          <w:rFonts w:ascii="Cambria" w:hAnsi="Cambria"/>
          <w:b/>
          <w:bCs/>
          <w:i/>
          <w:kern w:val="32"/>
          <w:sz w:val="32"/>
          <w:szCs w:val="32"/>
          <w:lang w:eastAsia="en-US"/>
        </w:rPr>
      </w:pPr>
      <w:bookmarkStart w:id="2" w:name="_Toc54301843"/>
      <w:bookmarkStart w:id="3" w:name="_Toc57748146"/>
      <w:r w:rsidRPr="00A14092">
        <w:rPr>
          <w:rFonts w:ascii="Verdana" w:hAnsi="Verdana"/>
          <w:b/>
          <w:bCs/>
          <w:i/>
          <w:kern w:val="32"/>
          <w:sz w:val="20"/>
          <w:szCs w:val="20"/>
          <w:lang w:eastAsia="en-US"/>
        </w:rPr>
        <w:t>Obligación de investigar</w:t>
      </w:r>
      <w:bookmarkEnd w:id="2"/>
      <w:bookmarkEnd w:id="3"/>
    </w:p>
    <w:p w14:paraId="372BBB4B" w14:textId="77777777" w:rsidR="00A14092" w:rsidRPr="00A14092" w:rsidRDefault="00A14092" w:rsidP="00B42F79">
      <w:pPr>
        <w:spacing w:after="200"/>
        <w:ind w:firstLine="708"/>
        <w:jc w:val="both"/>
        <w:rPr>
          <w:rFonts w:ascii="Verdana" w:eastAsia="Calibri" w:hAnsi="Verdana"/>
          <w:sz w:val="12"/>
          <w:szCs w:val="22"/>
          <w:lang w:val="es-CO" w:eastAsia="en-US"/>
        </w:rPr>
      </w:pPr>
      <w:r w:rsidRPr="00A14092">
        <w:rPr>
          <w:rFonts w:ascii="Verdana" w:eastAsia="Times" w:hAnsi="Verdana"/>
          <w:i/>
          <w:sz w:val="20"/>
          <w:lang w:val="es-CO" w:eastAsia="en-US"/>
        </w:rPr>
        <w:t xml:space="preserve">A.1. </w:t>
      </w:r>
      <w:r w:rsidRPr="00B42F79">
        <w:rPr>
          <w:rFonts w:ascii="Verdana" w:hAnsi="Verdana"/>
          <w:i/>
          <w:sz w:val="20"/>
          <w:szCs w:val="20"/>
          <w:lang w:val="es-ES"/>
        </w:rPr>
        <w:t>Medida</w:t>
      </w:r>
      <w:r w:rsidRPr="00A14092">
        <w:rPr>
          <w:rFonts w:ascii="Verdana" w:eastAsia="Times" w:hAnsi="Verdana"/>
          <w:i/>
          <w:sz w:val="20"/>
          <w:lang w:val="es-CO" w:eastAsia="en-US"/>
        </w:rPr>
        <w:t xml:space="preserve"> ordenada por la Corte </w:t>
      </w:r>
    </w:p>
    <w:p w14:paraId="75449800" w14:textId="5996A688" w:rsidR="00133EC8" w:rsidRPr="00DE52A5" w:rsidRDefault="00133EC8" w:rsidP="00133EC8">
      <w:pPr>
        <w:numPr>
          <w:ilvl w:val="0"/>
          <w:numId w:val="9"/>
        </w:numPr>
        <w:spacing w:after="200"/>
        <w:ind w:left="0" w:firstLine="0"/>
        <w:jc w:val="both"/>
        <w:rPr>
          <w:rFonts w:ascii="Verdana" w:hAnsi="Verdana"/>
          <w:sz w:val="20"/>
          <w:szCs w:val="20"/>
          <w:lang w:val="es-ES"/>
        </w:rPr>
      </w:pPr>
      <w:r>
        <w:rPr>
          <w:rFonts w:ascii="Verdana" w:hAnsi="Verdana"/>
          <w:sz w:val="20"/>
          <w:szCs w:val="20"/>
          <w:lang w:val="es-ES"/>
        </w:rPr>
        <w:t>En la Sentencia</w:t>
      </w:r>
      <w:r w:rsidR="004E2C09">
        <w:rPr>
          <w:rFonts w:ascii="Verdana" w:hAnsi="Verdana"/>
          <w:sz w:val="20"/>
          <w:szCs w:val="20"/>
          <w:lang w:val="es-ES"/>
        </w:rPr>
        <w:t>, la Corte tuvo por probado que</w:t>
      </w:r>
      <w:r w:rsidRPr="00CB0F72">
        <w:rPr>
          <w:rFonts w:ascii="Verdana" w:hAnsi="Verdana"/>
          <w:sz w:val="20"/>
          <w:szCs w:val="20"/>
          <w:lang w:val="es-ES"/>
        </w:rPr>
        <w:t xml:space="preserve"> se iniciaron </w:t>
      </w:r>
      <w:r w:rsidR="004E2C09">
        <w:rPr>
          <w:rFonts w:ascii="Verdana" w:hAnsi="Verdana"/>
          <w:sz w:val="20"/>
          <w:szCs w:val="20"/>
          <w:lang w:val="es-ES"/>
        </w:rPr>
        <w:t>investigaciones penales con</w:t>
      </w:r>
      <w:r w:rsidRPr="00CB0F72">
        <w:rPr>
          <w:rFonts w:ascii="Verdana" w:hAnsi="Verdana"/>
          <w:sz w:val="20"/>
          <w:szCs w:val="20"/>
          <w:lang w:val="es-ES"/>
        </w:rPr>
        <w:t xml:space="preserve"> </w:t>
      </w:r>
      <w:proofErr w:type="spellStart"/>
      <w:r w:rsidRPr="00CB0F72">
        <w:rPr>
          <w:rFonts w:ascii="Verdana" w:hAnsi="Verdana" w:cs="Verdana"/>
          <w:sz w:val="20"/>
          <w:szCs w:val="20"/>
        </w:rPr>
        <w:t>relación</w:t>
      </w:r>
      <w:proofErr w:type="spellEnd"/>
      <w:r w:rsidRPr="00CB0F72">
        <w:rPr>
          <w:rFonts w:ascii="Verdana" w:hAnsi="Verdana"/>
          <w:sz w:val="20"/>
          <w:szCs w:val="20"/>
          <w:lang w:val="es-ES"/>
        </w:rPr>
        <w:t xml:space="preserve"> </w:t>
      </w:r>
      <w:r w:rsidR="004E2C09">
        <w:rPr>
          <w:rFonts w:ascii="Verdana" w:hAnsi="Verdana"/>
          <w:sz w:val="20"/>
          <w:szCs w:val="20"/>
          <w:lang w:val="es-ES"/>
        </w:rPr>
        <w:t>a</w:t>
      </w:r>
      <w:r w:rsidRPr="00CB0F72">
        <w:rPr>
          <w:rFonts w:ascii="Verdana" w:hAnsi="Verdana"/>
          <w:sz w:val="20"/>
          <w:szCs w:val="20"/>
          <w:lang w:val="es-ES"/>
        </w:rPr>
        <w:t xml:space="preserve"> los hechos de violencia</w:t>
      </w:r>
      <w:r w:rsidR="004E2C09">
        <w:rPr>
          <w:rFonts w:ascii="Verdana" w:hAnsi="Verdana"/>
          <w:sz w:val="20"/>
          <w:szCs w:val="20"/>
          <w:lang w:val="es-ES"/>
        </w:rPr>
        <w:t xml:space="preserve"> sexual</w:t>
      </w:r>
      <w:r w:rsidRPr="00CB0F72">
        <w:rPr>
          <w:rFonts w:ascii="Verdana" w:hAnsi="Verdana"/>
          <w:sz w:val="20"/>
          <w:szCs w:val="20"/>
          <w:lang w:val="es-ES"/>
        </w:rPr>
        <w:t xml:space="preserve">, </w:t>
      </w:r>
      <w:proofErr w:type="spellStart"/>
      <w:r w:rsidRPr="00CB0F72">
        <w:rPr>
          <w:rFonts w:ascii="Verdana" w:hAnsi="Verdana"/>
          <w:sz w:val="20"/>
          <w:szCs w:val="20"/>
          <w:lang w:val="es-ES"/>
        </w:rPr>
        <w:t>violación</w:t>
      </w:r>
      <w:proofErr w:type="spellEnd"/>
      <w:r w:rsidRPr="00CB0F72">
        <w:rPr>
          <w:rFonts w:ascii="Verdana" w:hAnsi="Verdana"/>
          <w:sz w:val="20"/>
          <w:szCs w:val="20"/>
          <w:lang w:val="es-ES"/>
        </w:rPr>
        <w:t xml:space="preserve"> sexual y tortura sufridos por las once mujeres </w:t>
      </w:r>
      <w:proofErr w:type="spellStart"/>
      <w:r w:rsidRPr="00CB0F72">
        <w:rPr>
          <w:rFonts w:ascii="Verdana" w:hAnsi="Verdana"/>
          <w:sz w:val="20"/>
          <w:szCs w:val="20"/>
          <w:lang w:val="es-ES"/>
        </w:rPr>
        <w:t>víctimas</w:t>
      </w:r>
      <w:proofErr w:type="spellEnd"/>
      <w:r w:rsidRPr="00CB0F72">
        <w:rPr>
          <w:rFonts w:ascii="Verdana" w:hAnsi="Verdana"/>
          <w:sz w:val="20"/>
          <w:szCs w:val="20"/>
          <w:lang w:val="es-ES"/>
        </w:rPr>
        <w:t xml:space="preserve"> del caso</w:t>
      </w:r>
      <w:r>
        <w:rPr>
          <w:rFonts w:ascii="Verdana" w:hAnsi="Verdana"/>
          <w:sz w:val="20"/>
          <w:szCs w:val="20"/>
          <w:lang w:val="es-ES"/>
        </w:rPr>
        <w:t xml:space="preserve">, </w:t>
      </w:r>
      <w:r w:rsidRPr="00CB0F72">
        <w:rPr>
          <w:rFonts w:ascii="Verdana" w:hAnsi="Verdana"/>
          <w:sz w:val="20"/>
          <w:szCs w:val="20"/>
          <w:lang w:val="es-ES"/>
        </w:rPr>
        <w:t xml:space="preserve">ante la </w:t>
      </w:r>
      <w:proofErr w:type="spellStart"/>
      <w:r w:rsidRPr="00CB0F72">
        <w:rPr>
          <w:rFonts w:ascii="Verdana" w:hAnsi="Verdana"/>
          <w:sz w:val="20"/>
          <w:szCs w:val="20"/>
          <w:lang w:val="es-ES"/>
        </w:rPr>
        <w:t>jurisdicción</w:t>
      </w:r>
      <w:proofErr w:type="spellEnd"/>
      <w:r w:rsidRPr="00CB0F72">
        <w:rPr>
          <w:rFonts w:ascii="Verdana" w:hAnsi="Verdana"/>
          <w:sz w:val="20"/>
          <w:szCs w:val="20"/>
          <w:lang w:val="es-ES"/>
        </w:rPr>
        <w:t xml:space="preserve"> del estado de </w:t>
      </w:r>
      <w:proofErr w:type="spellStart"/>
      <w:r w:rsidRPr="00CB0F72">
        <w:rPr>
          <w:rFonts w:ascii="Verdana" w:hAnsi="Verdana"/>
          <w:sz w:val="20"/>
          <w:szCs w:val="20"/>
          <w:lang w:val="es-ES"/>
        </w:rPr>
        <w:t>México</w:t>
      </w:r>
      <w:proofErr w:type="spellEnd"/>
      <w:r w:rsidR="007F7A58">
        <w:rPr>
          <w:rStyle w:val="Refdenotaalpie"/>
          <w:rFonts w:ascii="Verdana" w:hAnsi="Verdana"/>
          <w:sz w:val="20"/>
          <w:szCs w:val="20"/>
          <w:lang w:val="es-ES"/>
        </w:rPr>
        <w:footnoteReference w:id="9"/>
      </w:r>
      <w:r w:rsidR="002A5D2D">
        <w:rPr>
          <w:rFonts w:ascii="Verdana" w:hAnsi="Verdana"/>
          <w:sz w:val="20"/>
          <w:szCs w:val="20"/>
          <w:lang w:val="es-ES"/>
        </w:rPr>
        <w:t xml:space="preserve">, y </w:t>
      </w:r>
      <w:r w:rsidRPr="00CB0F72">
        <w:rPr>
          <w:rFonts w:ascii="Verdana" w:hAnsi="Verdana"/>
          <w:sz w:val="20"/>
          <w:szCs w:val="20"/>
          <w:lang w:val="es-ES"/>
        </w:rPr>
        <w:t xml:space="preserve">la </w:t>
      </w:r>
      <w:proofErr w:type="spellStart"/>
      <w:r w:rsidRPr="00CB0F72">
        <w:rPr>
          <w:rFonts w:ascii="Verdana" w:hAnsi="Verdana"/>
          <w:sz w:val="20"/>
          <w:szCs w:val="20"/>
          <w:lang w:val="es-ES"/>
        </w:rPr>
        <w:t>jurisdicción</w:t>
      </w:r>
      <w:proofErr w:type="spellEnd"/>
      <w:r w:rsidRPr="00CB0F72">
        <w:rPr>
          <w:rFonts w:ascii="Verdana" w:hAnsi="Verdana"/>
          <w:sz w:val="20"/>
          <w:szCs w:val="20"/>
          <w:lang w:val="es-ES"/>
        </w:rPr>
        <w:t xml:space="preserve"> federal</w:t>
      </w:r>
      <w:r w:rsidR="002A5D2D">
        <w:rPr>
          <w:rStyle w:val="Refdenotaalpie"/>
          <w:rFonts w:ascii="Verdana" w:hAnsi="Verdana"/>
          <w:sz w:val="20"/>
          <w:szCs w:val="20"/>
          <w:lang w:val="es-ES"/>
        </w:rPr>
        <w:footnoteReference w:id="10"/>
      </w:r>
      <w:r w:rsidR="004E2C09">
        <w:rPr>
          <w:rFonts w:ascii="Verdana" w:hAnsi="Verdana"/>
          <w:sz w:val="20"/>
          <w:szCs w:val="20"/>
          <w:lang w:val="es-ES"/>
        </w:rPr>
        <w:t>,</w:t>
      </w:r>
      <w:r w:rsidRPr="00CB0F72">
        <w:rPr>
          <w:rFonts w:ascii="Verdana" w:hAnsi="Verdana"/>
          <w:sz w:val="20"/>
          <w:szCs w:val="20"/>
          <w:lang w:val="es-ES"/>
        </w:rPr>
        <w:t xml:space="preserve"> por medio de la </w:t>
      </w:r>
      <w:r w:rsidR="0098403E">
        <w:rPr>
          <w:rFonts w:ascii="Verdana" w:hAnsi="Verdana"/>
          <w:sz w:val="20"/>
          <w:szCs w:val="20"/>
          <w:lang w:val="es-ES"/>
        </w:rPr>
        <w:t xml:space="preserve">entonces </w:t>
      </w:r>
      <w:proofErr w:type="spellStart"/>
      <w:r w:rsidRPr="00CB0F72">
        <w:rPr>
          <w:rFonts w:ascii="Verdana" w:hAnsi="Verdana"/>
          <w:sz w:val="20"/>
          <w:szCs w:val="20"/>
          <w:lang w:val="es-ES"/>
        </w:rPr>
        <w:t>Fiscalía</w:t>
      </w:r>
      <w:proofErr w:type="spellEnd"/>
      <w:r w:rsidRPr="00CB0F72">
        <w:rPr>
          <w:rFonts w:ascii="Verdana" w:hAnsi="Verdana"/>
          <w:sz w:val="20"/>
          <w:szCs w:val="20"/>
          <w:lang w:val="es-ES"/>
        </w:rPr>
        <w:t xml:space="preserve"> Especial para la </w:t>
      </w:r>
      <w:proofErr w:type="spellStart"/>
      <w:r w:rsidRPr="00CB0F72">
        <w:rPr>
          <w:rFonts w:ascii="Verdana" w:hAnsi="Verdana"/>
          <w:sz w:val="20"/>
          <w:szCs w:val="20"/>
          <w:lang w:val="es-ES"/>
        </w:rPr>
        <w:t>Atención</w:t>
      </w:r>
      <w:proofErr w:type="spellEnd"/>
      <w:r w:rsidRPr="00CB0F72">
        <w:rPr>
          <w:rFonts w:ascii="Verdana" w:hAnsi="Verdana"/>
          <w:sz w:val="20"/>
          <w:szCs w:val="20"/>
          <w:lang w:val="es-ES"/>
        </w:rPr>
        <w:t xml:space="preserve"> de Delitos Relacionados con Actos de Violencia Contra las Mujeres en el </w:t>
      </w:r>
      <w:proofErr w:type="spellStart"/>
      <w:r w:rsidRPr="00CB0F72">
        <w:rPr>
          <w:rFonts w:ascii="Verdana" w:hAnsi="Verdana"/>
          <w:sz w:val="20"/>
          <w:szCs w:val="20"/>
          <w:lang w:val="es-ES"/>
        </w:rPr>
        <w:t>País</w:t>
      </w:r>
      <w:proofErr w:type="spellEnd"/>
      <w:r w:rsidR="0098403E">
        <w:rPr>
          <w:rStyle w:val="Refdenotaalpie"/>
          <w:rFonts w:ascii="Verdana" w:hAnsi="Verdana"/>
          <w:sz w:val="20"/>
          <w:szCs w:val="20"/>
          <w:lang w:val="es-ES"/>
        </w:rPr>
        <w:footnoteReference w:id="11"/>
      </w:r>
      <w:r w:rsidR="002A5D2D">
        <w:rPr>
          <w:rFonts w:ascii="Verdana" w:hAnsi="Verdana"/>
          <w:sz w:val="20"/>
          <w:szCs w:val="20"/>
          <w:lang w:val="es-ES"/>
        </w:rPr>
        <w:t>, la cual luego declinó</w:t>
      </w:r>
      <w:r w:rsidR="004F6445">
        <w:rPr>
          <w:rFonts w:ascii="Verdana" w:hAnsi="Verdana"/>
          <w:sz w:val="20"/>
          <w:szCs w:val="20"/>
          <w:lang w:val="es-ES"/>
        </w:rPr>
        <w:t xml:space="preserve"> competencia en favor de la jurisdicción del estado de México</w:t>
      </w:r>
      <w:r w:rsidR="004F6445">
        <w:rPr>
          <w:rStyle w:val="Refdenotaalpie"/>
          <w:rFonts w:ascii="Verdana" w:hAnsi="Verdana"/>
          <w:sz w:val="20"/>
          <w:szCs w:val="20"/>
          <w:lang w:val="es-ES"/>
        </w:rPr>
        <w:footnoteReference w:id="12"/>
      </w:r>
      <w:r w:rsidR="004F6445">
        <w:rPr>
          <w:rFonts w:ascii="Verdana" w:hAnsi="Verdana"/>
          <w:sz w:val="20"/>
          <w:szCs w:val="20"/>
          <w:lang w:val="es-ES"/>
        </w:rPr>
        <w:t xml:space="preserve">. </w:t>
      </w:r>
      <w:r>
        <w:rPr>
          <w:rFonts w:ascii="Verdana" w:hAnsi="Verdana"/>
          <w:sz w:val="20"/>
          <w:szCs w:val="20"/>
          <w:lang w:val="es-ES"/>
        </w:rPr>
        <w:t xml:space="preserve">A la fecha de emisión de la Sentencia, </w:t>
      </w:r>
      <w:r w:rsidR="00F2304B">
        <w:rPr>
          <w:rFonts w:ascii="Verdana" w:hAnsi="Verdana"/>
          <w:sz w:val="20"/>
          <w:szCs w:val="20"/>
          <w:lang w:val="es-ES"/>
        </w:rPr>
        <w:t xml:space="preserve">no se había determinado ninguna responsabilidad </w:t>
      </w:r>
      <w:r>
        <w:rPr>
          <w:rFonts w:ascii="Verdana" w:hAnsi="Verdana"/>
          <w:sz w:val="20"/>
          <w:szCs w:val="20"/>
          <w:lang w:val="es-ES"/>
        </w:rPr>
        <w:t xml:space="preserve">por los hechos. </w:t>
      </w:r>
    </w:p>
    <w:p w14:paraId="63881CA0" w14:textId="5BC28DDF" w:rsidR="00133EC8" w:rsidRPr="00D23F08" w:rsidRDefault="00133EC8" w:rsidP="00D23F08">
      <w:pPr>
        <w:numPr>
          <w:ilvl w:val="0"/>
          <w:numId w:val="9"/>
        </w:numPr>
        <w:spacing w:after="200"/>
        <w:ind w:left="0" w:firstLine="0"/>
        <w:jc w:val="both"/>
        <w:rPr>
          <w:rFonts w:ascii="Verdana" w:hAnsi="Verdana" w:cs="Verdana"/>
          <w:sz w:val="20"/>
          <w:szCs w:val="20"/>
        </w:rPr>
      </w:pPr>
      <w:r w:rsidRPr="001905B8">
        <w:rPr>
          <w:rFonts w:ascii="Verdana" w:hAnsi="Verdana" w:cs="Verdana"/>
          <w:sz w:val="20"/>
          <w:szCs w:val="20"/>
        </w:rPr>
        <w:t xml:space="preserve">En el punto resolutivo </w:t>
      </w:r>
      <w:r>
        <w:rPr>
          <w:rFonts w:ascii="Verdana" w:hAnsi="Verdana" w:cs="Verdana"/>
          <w:sz w:val="20"/>
          <w:szCs w:val="20"/>
        </w:rPr>
        <w:t>noveno</w:t>
      </w:r>
      <w:r w:rsidRPr="001905B8">
        <w:rPr>
          <w:rFonts w:ascii="Verdana" w:hAnsi="Verdana" w:cs="Verdana"/>
          <w:sz w:val="20"/>
          <w:szCs w:val="20"/>
        </w:rPr>
        <w:t xml:space="preserve"> y en los párrafos </w:t>
      </w:r>
      <w:r>
        <w:rPr>
          <w:rFonts w:ascii="Verdana" w:hAnsi="Verdana" w:cs="Verdana"/>
          <w:sz w:val="20"/>
          <w:szCs w:val="20"/>
        </w:rPr>
        <w:t>338 y 339</w:t>
      </w:r>
      <w:r w:rsidRPr="001905B8">
        <w:rPr>
          <w:rFonts w:ascii="Verdana" w:hAnsi="Verdana" w:cs="Verdana"/>
          <w:sz w:val="20"/>
          <w:szCs w:val="20"/>
        </w:rPr>
        <w:t xml:space="preserve"> de la Sentencia, la Corte dispuso que el Estado debía</w:t>
      </w:r>
      <w:r>
        <w:rPr>
          <w:rFonts w:ascii="Verdana" w:hAnsi="Verdana" w:cs="Verdana"/>
          <w:sz w:val="20"/>
          <w:szCs w:val="20"/>
        </w:rPr>
        <w:t xml:space="preserve"> “</w:t>
      </w:r>
      <w:r w:rsidRPr="001905B8">
        <w:rPr>
          <w:rFonts w:ascii="Verdana" w:hAnsi="Verdana" w:cs="Verdana"/>
          <w:sz w:val="20"/>
          <w:szCs w:val="20"/>
        </w:rPr>
        <w:t>continuar e iniciar las investigaciones amplias, sistemáticas y minuciosas que sean necesarias para determinar, juzgar, y, en su caso, sancionar a todos los responsables de la violencia y tortura sexual sufrida por las once mujeres víctimas de este caso</w:t>
      </w:r>
      <w:r w:rsidR="00A51231">
        <w:rPr>
          <w:rFonts w:ascii="Verdana" w:hAnsi="Verdana" w:cs="Verdana"/>
          <w:sz w:val="20"/>
          <w:szCs w:val="20"/>
        </w:rPr>
        <w:t>”, en un plazo razonable</w:t>
      </w:r>
      <w:r w:rsidR="00D23F08">
        <w:rPr>
          <w:rFonts w:ascii="Verdana" w:hAnsi="Verdana" w:cs="Verdana"/>
          <w:sz w:val="20"/>
          <w:szCs w:val="20"/>
        </w:rPr>
        <w:t xml:space="preserve"> </w:t>
      </w:r>
      <w:r w:rsidR="00D23F08" w:rsidRPr="00D23F08">
        <w:rPr>
          <w:rFonts w:ascii="Verdana" w:hAnsi="Verdana" w:cs="Verdana"/>
          <w:sz w:val="20"/>
          <w:szCs w:val="20"/>
        </w:rPr>
        <w:t xml:space="preserve">y por medio de funcionarios capacitados en </w:t>
      </w:r>
      <w:proofErr w:type="spellStart"/>
      <w:r w:rsidR="00D23F08" w:rsidRPr="00D23F08">
        <w:rPr>
          <w:rFonts w:ascii="Verdana" w:hAnsi="Verdana" w:cs="Verdana"/>
          <w:sz w:val="20"/>
          <w:szCs w:val="20"/>
        </w:rPr>
        <w:t>atención</w:t>
      </w:r>
      <w:proofErr w:type="spellEnd"/>
      <w:r w:rsidR="00D23F08" w:rsidRPr="00D23F08">
        <w:rPr>
          <w:rFonts w:ascii="Verdana" w:hAnsi="Verdana" w:cs="Verdana"/>
          <w:sz w:val="20"/>
          <w:szCs w:val="20"/>
        </w:rPr>
        <w:t xml:space="preserve"> a </w:t>
      </w:r>
      <w:proofErr w:type="spellStart"/>
      <w:r w:rsidR="00D23F08" w:rsidRPr="00D23F08">
        <w:rPr>
          <w:rFonts w:ascii="Verdana" w:hAnsi="Verdana" w:cs="Verdana"/>
          <w:sz w:val="20"/>
          <w:szCs w:val="20"/>
        </w:rPr>
        <w:t>víctimas</w:t>
      </w:r>
      <w:proofErr w:type="spellEnd"/>
      <w:r w:rsidR="00D23F08" w:rsidRPr="00D23F08">
        <w:rPr>
          <w:rFonts w:ascii="Verdana" w:hAnsi="Verdana" w:cs="Verdana"/>
          <w:sz w:val="20"/>
          <w:szCs w:val="20"/>
        </w:rPr>
        <w:t xml:space="preserve"> de </w:t>
      </w:r>
      <w:proofErr w:type="spellStart"/>
      <w:r w:rsidR="00D23F08" w:rsidRPr="00D23F08">
        <w:rPr>
          <w:rFonts w:ascii="Verdana" w:hAnsi="Verdana" w:cs="Verdana"/>
          <w:sz w:val="20"/>
          <w:szCs w:val="20"/>
        </w:rPr>
        <w:t>discriminación</w:t>
      </w:r>
      <w:proofErr w:type="spellEnd"/>
      <w:r w:rsidR="00D23F08" w:rsidRPr="00D23F08">
        <w:rPr>
          <w:rFonts w:ascii="Verdana" w:hAnsi="Verdana" w:cs="Verdana"/>
          <w:sz w:val="20"/>
          <w:szCs w:val="20"/>
        </w:rPr>
        <w:t xml:space="preserve"> y violencia por </w:t>
      </w:r>
      <w:proofErr w:type="spellStart"/>
      <w:r w:rsidR="00D23F08" w:rsidRPr="00D23F08">
        <w:rPr>
          <w:rFonts w:ascii="Verdana" w:hAnsi="Verdana" w:cs="Verdana"/>
          <w:sz w:val="20"/>
          <w:szCs w:val="20"/>
        </w:rPr>
        <w:t>razón</w:t>
      </w:r>
      <w:proofErr w:type="spellEnd"/>
      <w:r w:rsidR="00D23F08" w:rsidRPr="00D23F08">
        <w:rPr>
          <w:rFonts w:ascii="Verdana" w:hAnsi="Verdana" w:cs="Verdana"/>
          <w:sz w:val="20"/>
          <w:szCs w:val="20"/>
        </w:rPr>
        <w:t xml:space="preserve"> de </w:t>
      </w:r>
      <w:proofErr w:type="spellStart"/>
      <w:r w:rsidR="00D23F08" w:rsidRPr="00D23F08">
        <w:rPr>
          <w:rFonts w:ascii="Verdana" w:hAnsi="Verdana" w:cs="Verdana"/>
          <w:sz w:val="20"/>
          <w:szCs w:val="20"/>
        </w:rPr>
        <w:t>género</w:t>
      </w:r>
      <w:proofErr w:type="spellEnd"/>
      <w:r>
        <w:rPr>
          <w:rFonts w:ascii="Verdana" w:hAnsi="Verdana" w:cs="Verdana"/>
          <w:sz w:val="20"/>
          <w:szCs w:val="20"/>
        </w:rPr>
        <w:t xml:space="preserve">. </w:t>
      </w:r>
      <w:r w:rsidR="00A51231">
        <w:rPr>
          <w:rFonts w:ascii="Verdana" w:hAnsi="Verdana" w:cs="Verdana"/>
          <w:sz w:val="20"/>
          <w:szCs w:val="20"/>
        </w:rPr>
        <w:t>Para ello, México debía</w:t>
      </w:r>
      <w:r w:rsidRPr="001905B8">
        <w:rPr>
          <w:rFonts w:ascii="Verdana" w:hAnsi="Verdana" w:cs="Verdana"/>
          <w:sz w:val="20"/>
          <w:szCs w:val="20"/>
        </w:rPr>
        <w:t xml:space="preserve"> </w:t>
      </w:r>
      <w:r>
        <w:rPr>
          <w:rFonts w:ascii="Verdana" w:hAnsi="Verdana" w:cs="Verdana"/>
          <w:sz w:val="20"/>
          <w:szCs w:val="20"/>
        </w:rPr>
        <w:t>“</w:t>
      </w:r>
      <w:r w:rsidRPr="001905B8">
        <w:rPr>
          <w:rFonts w:ascii="Verdana" w:hAnsi="Verdana" w:cs="Verdana"/>
          <w:sz w:val="20"/>
          <w:szCs w:val="20"/>
        </w:rPr>
        <w:t>investigar los posibles vínculos entre los responsables directos y sus superiores jerárquicos en la comisión de los actos de tortura, violencia sexual y violación sexual, individualizando los responsables en todos los niveles de decisión sean federales, estaduales o municipales</w:t>
      </w:r>
      <w:r>
        <w:rPr>
          <w:rFonts w:ascii="Verdana" w:hAnsi="Verdana" w:cs="Verdana"/>
          <w:sz w:val="20"/>
          <w:szCs w:val="20"/>
        </w:rPr>
        <w:t>”</w:t>
      </w:r>
      <w:r w:rsidRPr="001905B8">
        <w:rPr>
          <w:rFonts w:ascii="Verdana" w:hAnsi="Verdana" w:cs="Verdana"/>
          <w:sz w:val="20"/>
          <w:szCs w:val="20"/>
        </w:rPr>
        <w:t>.</w:t>
      </w:r>
      <w:r>
        <w:rPr>
          <w:rFonts w:ascii="Verdana" w:hAnsi="Verdana" w:cs="Verdana"/>
          <w:sz w:val="20"/>
          <w:szCs w:val="20"/>
        </w:rPr>
        <w:t xml:space="preserve"> </w:t>
      </w:r>
      <w:r w:rsidR="00A51231">
        <w:rPr>
          <w:rFonts w:ascii="Verdana" w:hAnsi="Verdana" w:cs="Verdana"/>
          <w:sz w:val="20"/>
          <w:szCs w:val="20"/>
        </w:rPr>
        <w:t xml:space="preserve">Asimismo, el Tribunal </w:t>
      </w:r>
      <w:r w:rsidR="00D23F08">
        <w:rPr>
          <w:rFonts w:ascii="Verdana" w:hAnsi="Verdana" w:cs="Verdana"/>
          <w:sz w:val="20"/>
          <w:szCs w:val="20"/>
        </w:rPr>
        <w:t xml:space="preserve">estableció que el Estado debía “determinar, </w:t>
      </w:r>
      <w:r w:rsidR="00D23F08" w:rsidRPr="00D23F08">
        <w:rPr>
          <w:rFonts w:ascii="Verdana" w:hAnsi="Verdana" w:cs="Verdana"/>
          <w:sz w:val="20"/>
          <w:szCs w:val="20"/>
        </w:rPr>
        <w:t xml:space="preserve">por intermedio de las instituciones </w:t>
      </w:r>
      <w:proofErr w:type="spellStart"/>
      <w:r w:rsidR="00D23F08" w:rsidRPr="00D23F08">
        <w:rPr>
          <w:rFonts w:ascii="Verdana" w:hAnsi="Verdana" w:cs="Verdana"/>
          <w:sz w:val="20"/>
          <w:szCs w:val="20"/>
        </w:rPr>
        <w:t>públicas</w:t>
      </w:r>
      <w:proofErr w:type="spellEnd"/>
      <w:r w:rsidR="00D23F08" w:rsidRPr="00D23F08">
        <w:rPr>
          <w:rFonts w:ascii="Verdana" w:hAnsi="Verdana" w:cs="Verdana"/>
          <w:sz w:val="20"/>
          <w:szCs w:val="20"/>
        </w:rPr>
        <w:t xml:space="preserve"> competentes, las eventuales responsabilidades de los funcionarios que contribuyeron con su </w:t>
      </w:r>
      <w:proofErr w:type="spellStart"/>
      <w:r w:rsidR="00D23F08" w:rsidRPr="00D23F08">
        <w:rPr>
          <w:rFonts w:ascii="Verdana" w:hAnsi="Verdana" w:cs="Verdana"/>
          <w:sz w:val="20"/>
          <w:szCs w:val="20"/>
        </w:rPr>
        <w:t>actuación</w:t>
      </w:r>
      <w:proofErr w:type="spellEnd"/>
      <w:r w:rsidR="00D23F08" w:rsidRPr="00D23F08">
        <w:rPr>
          <w:rFonts w:ascii="Verdana" w:hAnsi="Verdana" w:cs="Verdana"/>
          <w:sz w:val="20"/>
          <w:szCs w:val="20"/>
        </w:rPr>
        <w:t xml:space="preserve"> a la </w:t>
      </w:r>
      <w:proofErr w:type="spellStart"/>
      <w:r w:rsidR="00D23F08" w:rsidRPr="00D23F08">
        <w:rPr>
          <w:rFonts w:ascii="Verdana" w:hAnsi="Verdana" w:cs="Verdana"/>
          <w:sz w:val="20"/>
          <w:szCs w:val="20"/>
        </w:rPr>
        <w:t>comisión</w:t>
      </w:r>
      <w:proofErr w:type="spellEnd"/>
      <w:r w:rsidR="00D23F08" w:rsidRPr="00D23F08">
        <w:rPr>
          <w:rFonts w:ascii="Verdana" w:hAnsi="Verdana" w:cs="Verdana"/>
          <w:sz w:val="20"/>
          <w:szCs w:val="20"/>
        </w:rPr>
        <w:t xml:space="preserve"> de actos de </w:t>
      </w:r>
      <w:proofErr w:type="spellStart"/>
      <w:r w:rsidR="00D23F08" w:rsidRPr="00D23F08">
        <w:rPr>
          <w:rFonts w:ascii="Verdana" w:hAnsi="Verdana" w:cs="Verdana"/>
          <w:sz w:val="20"/>
          <w:szCs w:val="20"/>
        </w:rPr>
        <w:t>revictimización</w:t>
      </w:r>
      <w:proofErr w:type="spellEnd"/>
      <w:r w:rsidR="00D23F08" w:rsidRPr="00D23F08">
        <w:rPr>
          <w:rFonts w:ascii="Verdana" w:hAnsi="Verdana" w:cs="Verdana"/>
          <w:sz w:val="20"/>
          <w:szCs w:val="20"/>
        </w:rPr>
        <w:t xml:space="preserve"> y violencia institucional en perjuicio de las once mujeres y, en la medida que corresponda, aplicar las consecuencias previstas en el o</w:t>
      </w:r>
      <w:r w:rsidR="00D23F08">
        <w:rPr>
          <w:rFonts w:ascii="Verdana" w:hAnsi="Verdana" w:cs="Verdana"/>
          <w:sz w:val="20"/>
          <w:szCs w:val="20"/>
        </w:rPr>
        <w:t xml:space="preserve">rdenamiento </w:t>
      </w:r>
      <w:proofErr w:type="spellStart"/>
      <w:r w:rsidR="00D23F08">
        <w:rPr>
          <w:rFonts w:ascii="Verdana" w:hAnsi="Verdana" w:cs="Verdana"/>
          <w:sz w:val="20"/>
          <w:szCs w:val="20"/>
        </w:rPr>
        <w:t>jurídico</w:t>
      </w:r>
      <w:proofErr w:type="spellEnd"/>
      <w:r w:rsidR="00D23F08">
        <w:rPr>
          <w:rFonts w:ascii="Verdana" w:hAnsi="Verdana" w:cs="Verdana"/>
          <w:sz w:val="20"/>
          <w:szCs w:val="20"/>
        </w:rPr>
        <w:t xml:space="preserve"> interno</w:t>
      </w:r>
      <w:r w:rsidR="00D23F08" w:rsidRPr="00D23F08">
        <w:rPr>
          <w:rFonts w:ascii="Verdana" w:hAnsi="Verdana" w:cs="Verdana"/>
          <w:sz w:val="20"/>
          <w:szCs w:val="20"/>
        </w:rPr>
        <w:t>, penales o no penales</w:t>
      </w:r>
      <w:r w:rsidR="00D23F08">
        <w:rPr>
          <w:rFonts w:ascii="Verdana" w:hAnsi="Verdana" w:cs="Verdana"/>
          <w:sz w:val="20"/>
          <w:szCs w:val="20"/>
        </w:rPr>
        <w:t>”</w:t>
      </w:r>
      <w:r w:rsidR="00D23F08" w:rsidRPr="00D23F08">
        <w:rPr>
          <w:rFonts w:ascii="Verdana" w:hAnsi="Verdana" w:cs="Verdana"/>
          <w:sz w:val="20"/>
          <w:szCs w:val="20"/>
        </w:rPr>
        <w:t xml:space="preserve">. </w:t>
      </w:r>
      <w:r w:rsidR="00D23F08">
        <w:rPr>
          <w:rFonts w:ascii="Verdana" w:hAnsi="Verdana" w:cs="Verdana"/>
          <w:sz w:val="20"/>
          <w:szCs w:val="20"/>
        </w:rPr>
        <w:t>Además, precisó que México debía “</w:t>
      </w:r>
      <w:r w:rsidRPr="00D23F08">
        <w:rPr>
          <w:rFonts w:ascii="Verdana" w:hAnsi="Verdana" w:cs="Verdana"/>
          <w:sz w:val="20"/>
          <w:szCs w:val="20"/>
        </w:rPr>
        <w:t>asegurar el pleno acceso y capacidad de actuar de las víctimas o sus familiares en todas las etapas de la investigación y el juzgamiento de los responsables, de acuerdo con la ley interna y las normas de la Convención Americana</w:t>
      </w:r>
      <w:r w:rsidR="00D23F08">
        <w:rPr>
          <w:rFonts w:ascii="Verdana" w:hAnsi="Verdana" w:cs="Verdana"/>
          <w:sz w:val="20"/>
          <w:szCs w:val="20"/>
        </w:rPr>
        <w:t xml:space="preserve">” y que </w:t>
      </w:r>
      <w:r w:rsidRPr="00D23F08">
        <w:rPr>
          <w:rFonts w:ascii="Verdana" w:hAnsi="Verdana" w:cs="Verdana"/>
          <w:sz w:val="20"/>
          <w:szCs w:val="20"/>
        </w:rPr>
        <w:t>“los resultados judiciales definitivos de los procesos correspondientes deberán ser públicamente divulgados, […]</w:t>
      </w:r>
      <w:r w:rsidR="00D23F08">
        <w:rPr>
          <w:rFonts w:ascii="Verdana" w:hAnsi="Verdana" w:cs="Verdana"/>
          <w:sz w:val="20"/>
          <w:szCs w:val="20"/>
        </w:rPr>
        <w:t xml:space="preserve"> </w:t>
      </w:r>
      <w:r w:rsidRPr="00D23F08">
        <w:rPr>
          <w:rFonts w:ascii="Verdana" w:hAnsi="Verdana" w:cs="Verdana"/>
          <w:sz w:val="20"/>
          <w:szCs w:val="20"/>
        </w:rPr>
        <w:t>previa consulta a las víctimas sobre aquellos aspectos que pudieren afectar su intimidad o privacidad”.</w:t>
      </w:r>
    </w:p>
    <w:p w14:paraId="77BF243A" w14:textId="77777777" w:rsidR="00133EC8" w:rsidRPr="00AA75AF" w:rsidRDefault="00133EC8" w:rsidP="00627D9A">
      <w:pPr>
        <w:spacing w:after="200"/>
        <w:ind w:firstLine="360"/>
        <w:jc w:val="both"/>
        <w:rPr>
          <w:rFonts w:ascii="Verdana" w:hAnsi="Verdana"/>
          <w:sz w:val="20"/>
          <w:lang w:eastAsia="es-CR"/>
        </w:rPr>
      </w:pPr>
      <w:r w:rsidRPr="001905B8">
        <w:rPr>
          <w:rFonts w:ascii="Verdana" w:hAnsi="Verdana" w:cs="Verdana"/>
          <w:sz w:val="20"/>
          <w:szCs w:val="20"/>
        </w:rPr>
        <w:lastRenderedPageBreak/>
        <w:tab/>
      </w:r>
      <w:r w:rsidRPr="001A2F7F">
        <w:rPr>
          <w:rFonts w:ascii="Verdana" w:hAnsi="Verdana" w:cs="Verdana"/>
          <w:i/>
          <w:sz w:val="20"/>
          <w:szCs w:val="20"/>
        </w:rPr>
        <w:t>A.2</w:t>
      </w:r>
      <w:r w:rsidRPr="00A14092">
        <w:rPr>
          <w:rFonts w:ascii="Verdana" w:hAnsi="Verdana" w:cs="Verdana"/>
          <w:i/>
          <w:sz w:val="20"/>
          <w:szCs w:val="20"/>
        </w:rPr>
        <w:t>.</w:t>
      </w:r>
      <w:r w:rsidRPr="00A14092">
        <w:rPr>
          <w:rFonts w:ascii="Verdana" w:eastAsia="Times" w:hAnsi="Verdana"/>
          <w:i/>
          <w:sz w:val="20"/>
          <w:lang w:val="es-CO" w:eastAsia="en-US"/>
        </w:rPr>
        <w:t xml:space="preserve"> Consideraciones de la Corte</w:t>
      </w:r>
    </w:p>
    <w:p w14:paraId="7ADDB9CE" w14:textId="0EBCAD1C" w:rsidR="00133EC8" w:rsidRPr="00FE2391" w:rsidRDefault="00133EC8" w:rsidP="00133EC8">
      <w:pPr>
        <w:numPr>
          <w:ilvl w:val="0"/>
          <w:numId w:val="9"/>
        </w:numPr>
        <w:spacing w:after="200"/>
        <w:ind w:left="0" w:firstLine="0"/>
        <w:jc w:val="both"/>
        <w:rPr>
          <w:rFonts w:ascii="Verdana" w:eastAsia="Times" w:hAnsi="Verdana"/>
          <w:b/>
          <w:sz w:val="20"/>
          <w:lang w:val="es-ES" w:eastAsia="en-US"/>
        </w:rPr>
      </w:pPr>
      <w:r>
        <w:rPr>
          <w:rFonts w:ascii="Verdana" w:eastAsia="Times" w:hAnsi="Verdana"/>
          <w:sz w:val="20"/>
          <w:lang w:val="es-ES_tradnl" w:eastAsia="en-US"/>
        </w:rPr>
        <w:t>La Corte valora positivamente que e</w:t>
      </w:r>
      <w:r w:rsidRPr="0093582C">
        <w:rPr>
          <w:rFonts w:ascii="Verdana" w:eastAsia="Times" w:hAnsi="Verdana"/>
          <w:sz w:val="20"/>
          <w:lang w:val="es-ES_tradnl" w:eastAsia="en-US"/>
        </w:rPr>
        <w:t>l</w:t>
      </w:r>
      <w:r w:rsidRPr="0093582C">
        <w:rPr>
          <w:rFonts w:ascii="Verdana" w:eastAsia="Times" w:hAnsi="Verdana"/>
          <w:sz w:val="20"/>
          <w:lang w:val="es-ES" w:eastAsia="en-US"/>
        </w:rPr>
        <w:t xml:space="preserve"> 22 de marzo de 2019, la </w:t>
      </w:r>
      <w:r w:rsidR="00893739">
        <w:rPr>
          <w:rFonts w:ascii="Verdana" w:eastAsia="Times" w:hAnsi="Verdana"/>
          <w:sz w:val="20"/>
          <w:lang w:val="es-ES" w:eastAsia="en-US"/>
        </w:rPr>
        <w:t xml:space="preserve">actual </w:t>
      </w:r>
      <w:r w:rsidRPr="0093582C">
        <w:rPr>
          <w:rFonts w:ascii="Verdana" w:eastAsia="Times" w:hAnsi="Verdana"/>
          <w:sz w:val="20"/>
          <w:lang w:val="es-ES" w:eastAsia="en-US"/>
        </w:rPr>
        <w:t xml:space="preserve">Fiscalía Especial para los Delitos de Violencia contra las Mujeres y Trata </w:t>
      </w:r>
      <w:r w:rsidRPr="00AA3A9A">
        <w:rPr>
          <w:rFonts w:ascii="Verdana" w:hAnsi="Verdana" w:cs="Verdana"/>
          <w:sz w:val="20"/>
          <w:szCs w:val="20"/>
        </w:rPr>
        <w:t>de</w:t>
      </w:r>
      <w:r w:rsidRPr="0093582C">
        <w:rPr>
          <w:rFonts w:ascii="Verdana" w:eastAsia="Times" w:hAnsi="Verdana"/>
          <w:sz w:val="20"/>
          <w:lang w:val="es-ES" w:eastAsia="en-US"/>
        </w:rPr>
        <w:t xml:space="preserve"> Personas (</w:t>
      </w:r>
      <w:r w:rsidR="00893739">
        <w:rPr>
          <w:rFonts w:ascii="Verdana" w:eastAsia="Times" w:hAnsi="Verdana"/>
          <w:sz w:val="20"/>
          <w:lang w:val="es-ES" w:eastAsia="en-US"/>
        </w:rPr>
        <w:t>en adelante, “</w:t>
      </w:r>
      <w:r w:rsidRPr="0093582C">
        <w:rPr>
          <w:rFonts w:ascii="Verdana" w:eastAsia="Times" w:hAnsi="Verdana"/>
          <w:sz w:val="20"/>
          <w:lang w:val="es-ES" w:eastAsia="en-US"/>
        </w:rPr>
        <w:t>FEVIMTRA</w:t>
      </w:r>
      <w:r w:rsidR="00893739">
        <w:rPr>
          <w:rFonts w:ascii="Verdana" w:eastAsia="Times" w:hAnsi="Verdana"/>
          <w:sz w:val="20"/>
          <w:lang w:val="es-ES" w:eastAsia="en-US"/>
        </w:rPr>
        <w:t>”</w:t>
      </w:r>
      <w:r w:rsidRPr="0093582C">
        <w:rPr>
          <w:rFonts w:ascii="Verdana" w:eastAsia="Times" w:hAnsi="Verdana"/>
          <w:sz w:val="20"/>
          <w:lang w:val="es-ES" w:eastAsia="en-US"/>
        </w:rPr>
        <w:t>)</w:t>
      </w:r>
      <w:r>
        <w:rPr>
          <w:rFonts w:ascii="Verdana" w:eastAsia="Times" w:hAnsi="Verdana"/>
          <w:sz w:val="20"/>
          <w:lang w:val="es-ES" w:eastAsia="en-US"/>
        </w:rPr>
        <w:t xml:space="preserve"> de la Fiscalía General de la República</w:t>
      </w:r>
      <w:r w:rsidRPr="0093582C">
        <w:rPr>
          <w:rFonts w:ascii="Verdana" w:eastAsia="Times" w:hAnsi="Verdana"/>
          <w:sz w:val="20"/>
          <w:lang w:val="es-ES" w:eastAsia="en-US"/>
        </w:rPr>
        <w:t xml:space="preserve"> inició una investigació</w:t>
      </w:r>
      <w:r>
        <w:rPr>
          <w:rFonts w:ascii="Verdana" w:eastAsia="Times" w:hAnsi="Verdana"/>
          <w:sz w:val="20"/>
          <w:lang w:val="es-ES" w:eastAsia="en-US"/>
        </w:rPr>
        <w:t>n</w:t>
      </w:r>
      <w:r w:rsidRPr="0093582C">
        <w:rPr>
          <w:rFonts w:ascii="Verdana" w:eastAsia="Times" w:hAnsi="Verdana"/>
          <w:sz w:val="20"/>
          <w:lang w:val="es-ES" w:eastAsia="en-US"/>
        </w:rPr>
        <w:t xml:space="preserve"> federal por </w:t>
      </w:r>
      <w:r>
        <w:rPr>
          <w:rFonts w:ascii="Verdana" w:eastAsia="Times" w:hAnsi="Verdana"/>
          <w:sz w:val="20"/>
          <w:lang w:val="es-ES" w:eastAsia="en-US"/>
        </w:rPr>
        <w:t>la probable comisión del delito de tortura en agravio de las once mujeres víctimas del caso</w:t>
      </w:r>
      <w:r>
        <w:rPr>
          <w:rStyle w:val="Refdenotaalpie"/>
          <w:rFonts w:ascii="Verdana" w:eastAsia="Times" w:hAnsi="Verdana"/>
          <w:sz w:val="20"/>
          <w:lang w:val="es-ES" w:eastAsia="en-US"/>
        </w:rPr>
        <w:footnoteReference w:id="13"/>
      </w:r>
      <w:r>
        <w:rPr>
          <w:rFonts w:ascii="Verdana" w:eastAsia="Times" w:hAnsi="Verdana"/>
          <w:sz w:val="20"/>
          <w:lang w:val="es-ES" w:eastAsia="en-US"/>
        </w:rPr>
        <w:t>.</w:t>
      </w:r>
      <w:r w:rsidRPr="0093582C">
        <w:rPr>
          <w:rFonts w:ascii="Verdana" w:eastAsia="Times" w:hAnsi="Verdana"/>
          <w:sz w:val="20"/>
          <w:lang w:val="es-ES" w:eastAsia="en-US"/>
        </w:rPr>
        <w:t xml:space="preserve"> </w:t>
      </w:r>
      <w:r w:rsidRPr="0021730D">
        <w:rPr>
          <w:rFonts w:ascii="Verdana" w:eastAsia="Times" w:hAnsi="Verdana"/>
          <w:color w:val="000000"/>
          <w:sz w:val="20"/>
          <w:lang w:val="es-ES" w:eastAsia="en-US"/>
        </w:rPr>
        <w:t>En el marco de la referida investigación,</w:t>
      </w:r>
      <w:r>
        <w:rPr>
          <w:rFonts w:ascii="Verdana" w:eastAsia="Times" w:hAnsi="Verdana"/>
          <w:color w:val="000000"/>
          <w:sz w:val="20"/>
          <w:lang w:val="es-ES" w:eastAsia="en-US"/>
        </w:rPr>
        <w:t xml:space="preserve"> las autoridades a cargo celebraron reuniones con </w:t>
      </w:r>
      <w:r w:rsidR="00204442">
        <w:rPr>
          <w:rFonts w:ascii="Verdana" w:eastAsia="Times" w:hAnsi="Verdana"/>
          <w:color w:val="000000"/>
          <w:sz w:val="20"/>
          <w:lang w:val="es-ES" w:eastAsia="en-US"/>
        </w:rPr>
        <w:t>la representación</w:t>
      </w:r>
      <w:r>
        <w:rPr>
          <w:rFonts w:ascii="Verdana" w:eastAsia="Times" w:hAnsi="Verdana"/>
          <w:color w:val="000000"/>
          <w:sz w:val="20"/>
          <w:lang w:val="es-ES" w:eastAsia="en-US"/>
        </w:rPr>
        <w:t xml:space="preserve"> de las víctima</w:t>
      </w:r>
      <w:r w:rsidR="008F4C48">
        <w:rPr>
          <w:rFonts w:ascii="Verdana" w:eastAsia="Times" w:hAnsi="Verdana"/>
          <w:color w:val="000000"/>
          <w:sz w:val="20"/>
          <w:lang w:val="es-ES" w:eastAsia="en-US"/>
        </w:rPr>
        <w:t>s</w:t>
      </w:r>
      <w:r w:rsidR="001072BB">
        <w:rPr>
          <w:rStyle w:val="Refdenotaalpie"/>
          <w:rFonts w:ascii="Verdana" w:eastAsia="Times" w:hAnsi="Verdana"/>
          <w:color w:val="000000"/>
          <w:sz w:val="20"/>
          <w:lang w:val="es-ES" w:eastAsia="en-US"/>
        </w:rPr>
        <w:footnoteReference w:id="14"/>
      </w:r>
      <w:r>
        <w:rPr>
          <w:rFonts w:ascii="Verdana" w:eastAsia="Times" w:hAnsi="Verdana"/>
          <w:color w:val="000000"/>
          <w:sz w:val="20"/>
          <w:lang w:val="es-ES" w:eastAsia="en-US"/>
        </w:rPr>
        <w:t>,</w:t>
      </w:r>
      <w:r w:rsidR="008F4C48">
        <w:rPr>
          <w:rFonts w:ascii="Verdana" w:eastAsia="Times" w:hAnsi="Verdana"/>
          <w:color w:val="000000"/>
          <w:sz w:val="20"/>
          <w:lang w:val="es-ES" w:eastAsia="en-US"/>
        </w:rPr>
        <w:t xml:space="preserve"> </w:t>
      </w:r>
      <w:r w:rsidR="00F53872">
        <w:rPr>
          <w:rFonts w:ascii="Verdana" w:eastAsia="Times" w:hAnsi="Verdana"/>
          <w:color w:val="000000"/>
          <w:sz w:val="20"/>
          <w:lang w:val="es-ES" w:eastAsia="en-US"/>
        </w:rPr>
        <w:t>recibieron</w:t>
      </w:r>
      <w:r w:rsidR="00204442">
        <w:rPr>
          <w:rFonts w:ascii="Verdana" w:eastAsia="Times" w:hAnsi="Verdana"/>
          <w:color w:val="000000"/>
          <w:sz w:val="20"/>
          <w:lang w:val="es-ES" w:eastAsia="en-US"/>
        </w:rPr>
        <w:t xml:space="preserve"> documentación </w:t>
      </w:r>
      <w:r w:rsidR="00F53872">
        <w:rPr>
          <w:rFonts w:ascii="Verdana" w:eastAsia="Times" w:hAnsi="Verdana"/>
          <w:color w:val="000000"/>
          <w:sz w:val="20"/>
          <w:lang w:val="es-ES" w:eastAsia="en-US"/>
        </w:rPr>
        <w:t>aportada</w:t>
      </w:r>
      <w:r w:rsidR="00204442">
        <w:rPr>
          <w:rFonts w:ascii="Verdana" w:eastAsia="Times" w:hAnsi="Verdana"/>
          <w:color w:val="000000"/>
          <w:sz w:val="20"/>
          <w:lang w:val="es-ES" w:eastAsia="en-US"/>
        </w:rPr>
        <w:t xml:space="preserve"> por dicha representación</w:t>
      </w:r>
      <w:r w:rsidRPr="0021730D">
        <w:rPr>
          <w:rStyle w:val="Refdenotaalpie"/>
          <w:rFonts w:ascii="Verdana" w:eastAsia="Times" w:hAnsi="Verdana"/>
          <w:color w:val="000000"/>
          <w:sz w:val="20"/>
          <w:lang w:val="es-ES" w:eastAsia="en-US"/>
        </w:rPr>
        <w:footnoteReference w:id="15"/>
      </w:r>
      <w:r>
        <w:rPr>
          <w:rFonts w:ascii="Verdana" w:eastAsia="Times" w:hAnsi="Verdana"/>
          <w:color w:val="000000"/>
          <w:sz w:val="20"/>
          <w:lang w:val="es-ES" w:eastAsia="en-US"/>
        </w:rPr>
        <w:t>,</w:t>
      </w:r>
      <w:r w:rsidRPr="0021730D">
        <w:rPr>
          <w:rFonts w:ascii="Verdana" w:eastAsia="Times" w:hAnsi="Verdana"/>
          <w:color w:val="000000"/>
          <w:sz w:val="20"/>
          <w:lang w:val="es-ES" w:eastAsia="en-US"/>
        </w:rPr>
        <w:t xml:space="preserve"> y solicitaron la remisión de documentación </w:t>
      </w:r>
      <w:r w:rsidR="00F53872">
        <w:rPr>
          <w:rFonts w:ascii="Verdana" w:eastAsia="Times" w:hAnsi="Verdana"/>
          <w:color w:val="000000"/>
          <w:sz w:val="20"/>
          <w:lang w:val="es-ES" w:eastAsia="en-US"/>
        </w:rPr>
        <w:t xml:space="preserve">e información adicional </w:t>
      </w:r>
      <w:r w:rsidRPr="0021730D">
        <w:rPr>
          <w:rFonts w:ascii="Verdana" w:eastAsia="Times" w:hAnsi="Verdana"/>
          <w:color w:val="000000"/>
          <w:sz w:val="20"/>
          <w:lang w:val="es-ES" w:eastAsia="en-US"/>
        </w:rPr>
        <w:t>a otras instituciones estatales</w:t>
      </w:r>
      <w:r w:rsidRPr="0021730D">
        <w:rPr>
          <w:rStyle w:val="Refdenotaalpie"/>
          <w:rFonts w:ascii="Verdana" w:eastAsia="Times" w:hAnsi="Verdana"/>
          <w:color w:val="000000"/>
          <w:sz w:val="20"/>
          <w:lang w:val="es-ES" w:eastAsia="en-US"/>
        </w:rPr>
        <w:footnoteReference w:id="16"/>
      </w:r>
      <w:r w:rsidRPr="0021730D">
        <w:rPr>
          <w:rFonts w:ascii="Verdana" w:eastAsia="Times" w:hAnsi="Verdana"/>
          <w:color w:val="000000"/>
          <w:sz w:val="20"/>
          <w:lang w:val="es-ES" w:eastAsia="en-US"/>
        </w:rPr>
        <w:t xml:space="preserve">. Asimismo, </w:t>
      </w:r>
      <w:r>
        <w:rPr>
          <w:rFonts w:ascii="Verdana" w:eastAsia="Times" w:hAnsi="Verdana"/>
          <w:color w:val="000000"/>
          <w:sz w:val="20"/>
          <w:lang w:val="es-ES" w:eastAsia="en-US"/>
        </w:rPr>
        <w:t>el 23 de septiembre de 2019,</w:t>
      </w:r>
      <w:r w:rsidRPr="0021730D">
        <w:rPr>
          <w:rFonts w:ascii="Verdana" w:eastAsia="Times" w:hAnsi="Verdana"/>
          <w:color w:val="000000"/>
          <w:sz w:val="20"/>
          <w:lang w:val="es-ES" w:eastAsia="en-US"/>
        </w:rPr>
        <w:t xml:space="preserve"> la </w:t>
      </w:r>
      <w:r>
        <w:rPr>
          <w:rFonts w:ascii="Verdana" w:eastAsia="Times" w:hAnsi="Verdana"/>
          <w:color w:val="000000"/>
          <w:sz w:val="20"/>
          <w:lang w:val="es-ES" w:eastAsia="en-US"/>
        </w:rPr>
        <w:t>FEVIMTRA</w:t>
      </w:r>
      <w:r w:rsidRPr="0021730D">
        <w:rPr>
          <w:rFonts w:ascii="Verdana" w:eastAsia="Times" w:hAnsi="Verdana"/>
          <w:color w:val="000000"/>
          <w:sz w:val="20"/>
          <w:lang w:val="es-ES" w:eastAsia="en-US"/>
        </w:rPr>
        <w:t xml:space="preserve"> </w:t>
      </w:r>
      <w:r>
        <w:rPr>
          <w:rFonts w:ascii="Verdana" w:eastAsia="Times" w:hAnsi="Verdana"/>
          <w:color w:val="000000"/>
          <w:sz w:val="20"/>
          <w:lang w:val="es-ES" w:eastAsia="en-US"/>
        </w:rPr>
        <w:t xml:space="preserve">ejerció su facultad de atracción de la investigación que estaba llevando a cabo </w:t>
      </w:r>
      <w:r w:rsidRPr="0021730D">
        <w:rPr>
          <w:rFonts w:ascii="Verdana" w:eastAsia="Times" w:hAnsi="Verdana"/>
          <w:color w:val="000000"/>
          <w:sz w:val="20"/>
          <w:lang w:val="es-ES" w:eastAsia="en-US"/>
        </w:rPr>
        <w:t>la Fiscalía General de</w:t>
      </w:r>
      <w:r w:rsidR="004259F1">
        <w:rPr>
          <w:rFonts w:ascii="Verdana" w:eastAsia="Times" w:hAnsi="Verdana"/>
          <w:color w:val="000000"/>
          <w:sz w:val="20"/>
          <w:lang w:val="es-ES" w:eastAsia="en-US"/>
        </w:rPr>
        <w:t xml:space="preserve"> Justicia del e</w:t>
      </w:r>
      <w:r w:rsidRPr="0021730D">
        <w:rPr>
          <w:rFonts w:ascii="Verdana" w:eastAsia="Times" w:hAnsi="Verdana"/>
          <w:color w:val="000000"/>
          <w:sz w:val="20"/>
          <w:lang w:val="es-ES" w:eastAsia="en-US"/>
        </w:rPr>
        <w:t>stado de México</w:t>
      </w:r>
      <w:r>
        <w:rPr>
          <w:rStyle w:val="Refdenotaalpie"/>
          <w:rFonts w:ascii="Verdana" w:eastAsia="Times" w:hAnsi="Verdana"/>
          <w:color w:val="000000"/>
          <w:sz w:val="20"/>
          <w:lang w:val="es-ES" w:eastAsia="en-US"/>
        </w:rPr>
        <w:footnoteReference w:id="17"/>
      </w:r>
      <w:r w:rsidRPr="0021730D">
        <w:rPr>
          <w:rFonts w:ascii="Verdana" w:eastAsia="Times" w:hAnsi="Verdana"/>
          <w:color w:val="000000"/>
          <w:sz w:val="20"/>
          <w:lang w:val="es-ES" w:eastAsia="en-US"/>
        </w:rPr>
        <w:t>.</w:t>
      </w:r>
    </w:p>
    <w:p w14:paraId="272E140A" w14:textId="76746BA6" w:rsidR="00133EC8" w:rsidRPr="00AA0F6D" w:rsidRDefault="00204442" w:rsidP="00133EC8">
      <w:pPr>
        <w:numPr>
          <w:ilvl w:val="0"/>
          <w:numId w:val="9"/>
        </w:numPr>
        <w:spacing w:after="200"/>
        <w:ind w:left="0" w:firstLine="0"/>
        <w:jc w:val="both"/>
        <w:rPr>
          <w:rFonts w:ascii="Verdana" w:hAnsi="Verdana"/>
          <w:sz w:val="20"/>
          <w:szCs w:val="20"/>
          <w:lang w:val="es-ES"/>
        </w:rPr>
      </w:pPr>
      <w:r>
        <w:rPr>
          <w:rFonts w:ascii="Verdana" w:eastAsia="Times" w:hAnsi="Verdana"/>
          <w:color w:val="000000"/>
          <w:sz w:val="20"/>
          <w:lang w:val="es-ES" w:eastAsia="en-US"/>
        </w:rPr>
        <w:t>Al respecto, la</w:t>
      </w:r>
      <w:r w:rsidR="00133EC8" w:rsidRPr="002F307D">
        <w:rPr>
          <w:rFonts w:ascii="Verdana" w:eastAsia="Times" w:hAnsi="Verdana"/>
          <w:color w:val="000000"/>
          <w:sz w:val="20"/>
          <w:lang w:val="es-ES" w:eastAsia="en-US"/>
        </w:rPr>
        <w:t>s representantes “</w:t>
      </w:r>
      <w:proofErr w:type="spellStart"/>
      <w:r w:rsidR="00133EC8" w:rsidRPr="002F307D">
        <w:rPr>
          <w:rFonts w:ascii="Verdana" w:eastAsia="Times" w:hAnsi="Verdana"/>
          <w:color w:val="000000"/>
          <w:sz w:val="20"/>
          <w:lang w:val="es-ES" w:eastAsia="en-US"/>
        </w:rPr>
        <w:t>reconoc</w:t>
      </w:r>
      <w:proofErr w:type="spellEnd"/>
      <w:r w:rsidR="00133EC8" w:rsidRPr="002F307D">
        <w:rPr>
          <w:rFonts w:ascii="Verdana" w:eastAsia="Times" w:hAnsi="Verdana"/>
          <w:color w:val="000000"/>
          <w:sz w:val="20"/>
          <w:lang w:val="es-ES" w:eastAsia="en-US"/>
        </w:rPr>
        <w:t>[</w:t>
      </w:r>
      <w:proofErr w:type="spellStart"/>
      <w:r w:rsidR="00133EC8" w:rsidRPr="002F307D">
        <w:rPr>
          <w:rFonts w:ascii="Verdana" w:eastAsia="Times" w:hAnsi="Verdana"/>
          <w:color w:val="000000"/>
          <w:sz w:val="20"/>
          <w:lang w:val="es-ES" w:eastAsia="en-US"/>
        </w:rPr>
        <w:t>ieron</w:t>
      </w:r>
      <w:proofErr w:type="spellEnd"/>
      <w:r w:rsidR="00133EC8" w:rsidRPr="002F307D">
        <w:rPr>
          <w:rFonts w:ascii="Verdana" w:eastAsia="Times" w:hAnsi="Verdana"/>
          <w:color w:val="000000"/>
          <w:sz w:val="20"/>
          <w:lang w:val="es-ES" w:eastAsia="en-US"/>
        </w:rPr>
        <w:t xml:space="preserve">] que el ejercicio de la facultad de atracción por parte de la </w:t>
      </w:r>
      <w:r w:rsidR="00133EC8">
        <w:rPr>
          <w:rFonts w:ascii="Verdana" w:eastAsia="Times" w:hAnsi="Verdana"/>
          <w:color w:val="000000"/>
          <w:sz w:val="20"/>
          <w:lang w:val="es-ES" w:eastAsia="en-US"/>
        </w:rPr>
        <w:t>[Fiscalía General de la República]</w:t>
      </w:r>
      <w:r w:rsidR="00133EC8" w:rsidRPr="002F307D">
        <w:rPr>
          <w:rFonts w:ascii="Verdana" w:eastAsia="Times" w:hAnsi="Verdana"/>
          <w:color w:val="000000"/>
          <w:sz w:val="20"/>
          <w:lang w:val="es-ES" w:eastAsia="en-US"/>
        </w:rPr>
        <w:t xml:space="preserve"> significa un paso importante para avanzar en el cumplimiento de esta medida de reparación”, en tanto “constituiría un paso fundamental hacia la unificación de la investigación penal que […] las mujeres han venido exigiendo desde el año 2006”</w:t>
      </w:r>
      <w:r w:rsidR="00FF48BB">
        <w:rPr>
          <w:rStyle w:val="Refdenotaalpie"/>
          <w:rFonts w:ascii="Verdana" w:eastAsia="Times" w:hAnsi="Verdana"/>
          <w:color w:val="000000"/>
          <w:sz w:val="20"/>
          <w:lang w:val="es-ES" w:eastAsia="en-US"/>
        </w:rPr>
        <w:footnoteReference w:id="18"/>
      </w:r>
      <w:r w:rsidR="00133EC8" w:rsidRPr="002F307D">
        <w:rPr>
          <w:rFonts w:ascii="Verdana" w:eastAsia="Times" w:hAnsi="Verdana"/>
          <w:color w:val="000000"/>
          <w:sz w:val="20"/>
          <w:lang w:val="es-ES" w:eastAsia="en-US"/>
        </w:rPr>
        <w:t>. Sin embargo,</w:t>
      </w:r>
      <w:r w:rsidR="00133EC8">
        <w:rPr>
          <w:rFonts w:ascii="Verdana" w:eastAsia="Times" w:hAnsi="Verdana"/>
          <w:color w:val="000000"/>
          <w:sz w:val="20"/>
          <w:lang w:val="es-ES" w:eastAsia="en-US"/>
        </w:rPr>
        <w:t xml:space="preserve"> expresaron con preocupación que la Fiscalía General de Justicia del estado de México estaba obstaculizando la investigación, en tanto aún no había remitido el expediente en su totalidad a la Fiscalía General de la República, </w:t>
      </w:r>
      <w:r w:rsidR="00133EC8">
        <w:rPr>
          <w:rFonts w:ascii="Verdana" w:eastAsia="Times" w:hAnsi="Verdana"/>
          <w:color w:val="000000"/>
          <w:sz w:val="20"/>
          <w:lang w:val="es-ES" w:eastAsia="en-US"/>
        </w:rPr>
        <w:lastRenderedPageBreak/>
        <w:t>limitándose a entregar periódicamente paquetes de tomos</w:t>
      </w:r>
      <w:r w:rsidR="00133EC8" w:rsidRPr="00AA0F6D">
        <w:rPr>
          <w:rStyle w:val="Refdenotaalpie"/>
          <w:rFonts w:ascii="Verdana" w:eastAsia="Times" w:hAnsi="Verdana"/>
          <w:color w:val="000000"/>
          <w:sz w:val="20"/>
          <w:szCs w:val="20"/>
          <w:lang w:val="es-ES" w:eastAsia="en-US"/>
        </w:rPr>
        <w:footnoteReference w:id="19"/>
      </w:r>
      <w:r w:rsidR="00133EC8" w:rsidRPr="00AA0F6D">
        <w:rPr>
          <w:rFonts w:ascii="Verdana" w:eastAsia="Times" w:hAnsi="Verdana"/>
          <w:color w:val="000000"/>
          <w:sz w:val="20"/>
          <w:szCs w:val="20"/>
          <w:lang w:val="es-ES" w:eastAsia="en-US"/>
        </w:rPr>
        <w:t>. Finalmente, refirieron que</w:t>
      </w:r>
      <w:r w:rsidR="00133EC8" w:rsidRPr="00AA0F6D">
        <w:rPr>
          <w:rFonts w:ascii="Verdana" w:eastAsia="Times" w:hAnsi="Verdana"/>
          <w:color w:val="000000"/>
          <w:sz w:val="20"/>
          <w:szCs w:val="20"/>
          <w:lang w:val="es-ES"/>
        </w:rPr>
        <w:t xml:space="preserve"> el 13 de febrero de 2020 se celebró una reunión entre la Fisca</w:t>
      </w:r>
      <w:r>
        <w:rPr>
          <w:rFonts w:ascii="Verdana" w:eastAsia="Times" w:hAnsi="Verdana"/>
          <w:color w:val="000000"/>
          <w:sz w:val="20"/>
          <w:szCs w:val="20"/>
          <w:lang w:val="es-ES"/>
        </w:rPr>
        <w:t>lía General de la República y la</w:t>
      </w:r>
      <w:r w:rsidR="00133EC8" w:rsidRPr="00AA0F6D">
        <w:rPr>
          <w:rFonts w:ascii="Verdana" w:eastAsia="Times" w:hAnsi="Verdana"/>
          <w:color w:val="000000"/>
          <w:sz w:val="20"/>
          <w:szCs w:val="20"/>
          <w:lang w:val="es-ES"/>
        </w:rPr>
        <w:t>s representantes, en la cual se les informó que se había generado “</w:t>
      </w:r>
      <w:r w:rsidR="00133EC8" w:rsidRPr="00AA0F6D">
        <w:rPr>
          <w:rFonts w:ascii="Verdana" w:hAnsi="Verdana"/>
          <w:sz w:val="20"/>
          <w:szCs w:val="20"/>
          <w:lang w:val="es-ES"/>
        </w:rPr>
        <w:t>una lista de policías</w:t>
      </w:r>
      <w:r w:rsidR="00133EC8">
        <w:rPr>
          <w:rFonts w:ascii="Verdana" w:hAnsi="Verdana"/>
          <w:sz w:val="20"/>
          <w:szCs w:val="20"/>
          <w:lang w:val="es-ES"/>
        </w:rPr>
        <w:t xml:space="preserve"> </w:t>
      </w:r>
      <w:r w:rsidR="00133EC8" w:rsidRPr="00AA0F6D">
        <w:rPr>
          <w:rFonts w:ascii="Verdana" w:hAnsi="Verdana"/>
          <w:sz w:val="20"/>
          <w:szCs w:val="20"/>
          <w:lang w:val="es-ES"/>
        </w:rPr>
        <w:t>federales, incluyendo con puestos de mando, a quienes [la Fiscalía] buscará para citarlos a declarar”</w:t>
      </w:r>
      <w:r w:rsidR="00516813">
        <w:rPr>
          <w:rStyle w:val="Refdenotaalpie"/>
          <w:rFonts w:ascii="Verdana" w:hAnsi="Verdana"/>
          <w:sz w:val="20"/>
          <w:szCs w:val="20"/>
          <w:lang w:val="es-ES"/>
        </w:rPr>
        <w:footnoteReference w:id="20"/>
      </w:r>
      <w:r w:rsidR="00133EC8" w:rsidRPr="00AA0F6D">
        <w:rPr>
          <w:rFonts w:ascii="Verdana" w:hAnsi="Verdana"/>
          <w:sz w:val="20"/>
          <w:szCs w:val="20"/>
          <w:lang w:val="es-ES"/>
        </w:rPr>
        <w:t>.</w:t>
      </w:r>
    </w:p>
    <w:p w14:paraId="2DC39562" w14:textId="54254D2C" w:rsidR="00133EC8" w:rsidRPr="004E5B63" w:rsidRDefault="00133EC8" w:rsidP="00133EC8">
      <w:pPr>
        <w:numPr>
          <w:ilvl w:val="0"/>
          <w:numId w:val="9"/>
        </w:numPr>
        <w:spacing w:after="200"/>
        <w:ind w:left="0" w:firstLine="0"/>
        <w:jc w:val="both"/>
        <w:rPr>
          <w:rFonts w:ascii="Verdana" w:eastAsia="Calibri" w:hAnsi="Verdana"/>
          <w:sz w:val="20"/>
          <w:szCs w:val="20"/>
          <w:lang w:val="es-ES" w:eastAsia="en-US"/>
        </w:rPr>
      </w:pPr>
      <w:r w:rsidRPr="00526863">
        <w:rPr>
          <w:rFonts w:ascii="Verdana" w:eastAsia="Times" w:hAnsi="Verdana"/>
          <w:color w:val="000000"/>
          <w:sz w:val="20"/>
          <w:szCs w:val="20"/>
          <w:lang w:val="es-ES" w:eastAsia="en-US"/>
        </w:rPr>
        <w:t>La Comisión, por su parte, valoró positivamente el “</w:t>
      </w:r>
      <w:r w:rsidRPr="004E5B63">
        <w:rPr>
          <w:rFonts w:ascii="Verdana" w:eastAsia="Calibri" w:hAnsi="Verdana"/>
          <w:sz w:val="20"/>
          <w:szCs w:val="20"/>
          <w:lang w:val="es-ES" w:eastAsia="en-US"/>
        </w:rPr>
        <w:t>inicio de una nueva investigación de los hechos durante el año 2019, as</w:t>
      </w:r>
      <w:r w:rsidRPr="00526863">
        <w:rPr>
          <w:rFonts w:ascii="Verdana" w:eastAsia="Calibri" w:hAnsi="Verdana"/>
          <w:sz w:val="20"/>
          <w:szCs w:val="20"/>
          <w:lang w:val="es-ES" w:eastAsia="en-US"/>
        </w:rPr>
        <w:t xml:space="preserve">í </w:t>
      </w:r>
      <w:r w:rsidRPr="004E5B63">
        <w:rPr>
          <w:rFonts w:ascii="Verdana" w:eastAsia="Calibri" w:hAnsi="Verdana"/>
          <w:sz w:val="20"/>
          <w:szCs w:val="20"/>
          <w:lang w:val="es-ES" w:eastAsia="en-US"/>
        </w:rPr>
        <w:t xml:space="preserve">como las diligencias llevadas a cabo en el contexto de dicha </w:t>
      </w:r>
      <w:proofErr w:type="gramStart"/>
      <w:r w:rsidRPr="004E5B63">
        <w:rPr>
          <w:rFonts w:ascii="Verdana" w:hAnsi="Verdana"/>
          <w:sz w:val="20"/>
          <w:szCs w:val="20"/>
          <w:lang w:val="es-ES"/>
        </w:rPr>
        <w:t>investigación</w:t>
      </w:r>
      <w:r w:rsidR="00AA32AD">
        <w:rPr>
          <w:rFonts w:ascii="Verdana" w:eastAsia="Calibri" w:hAnsi="Verdana"/>
          <w:sz w:val="20"/>
          <w:szCs w:val="20"/>
          <w:lang w:val="es-ES" w:eastAsia="en-US"/>
        </w:rPr>
        <w:t>[</w:t>
      </w:r>
      <w:proofErr w:type="gramEnd"/>
      <w:r w:rsidR="00AA32AD">
        <w:rPr>
          <w:rFonts w:ascii="Verdana" w:eastAsia="Calibri" w:hAnsi="Verdana"/>
          <w:sz w:val="20"/>
          <w:szCs w:val="20"/>
          <w:lang w:val="es-ES" w:eastAsia="en-US"/>
        </w:rPr>
        <w:t>,]</w:t>
      </w:r>
      <w:r w:rsidRPr="004E5B63">
        <w:rPr>
          <w:rFonts w:ascii="Verdana" w:eastAsia="Calibri" w:hAnsi="Verdana"/>
          <w:sz w:val="20"/>
          <w:szCs w:val="20"/>
          <w:lang w:val="es-ES" w:eastAsia="en-US"/>
        </w:rPr>
        <w:t xml:space="preserve"> las reuniones que se han</w:t>
      </w:r>
      <w:r w:rsidRPr="00526863">
        <w:rPr>
          <w:rFonts w:ascii="Verdana" w:eastAsia="Times" w:hAnsi="Verdana"/>
          <w:color w:val="000000"/>
          <w:sz w:val="20"/>
          <w:szCs w:val="20"/>
          <w:lang w:val="es-ES" w:eastAsia="en-US"/>
        </w:rPr>
        <w:t xml:space="preserve"> </w:t>
      </w:r>
      <w:r w:rsidRPr="004E5B63">
        <w:rPr>
          <w:rFonts w:ascii="Verdana" w:eastAsia="Calibri" w:hAnsi="Verdana"/>
          <w:sz w:val="20"/>
          <w:szCs w:val="20"/>
          <w:lang w:val="es-ES" w:eastAsia="en-US"/>
        </w:rPr>
        <w:t>llevado a cabo con los representantes de las víctimas</w:t>
      </w:r>
      <w:r w:rsidRPr="00526863">
        <w:rPr>
          <w:rFonts w:ascii="Verdana" w:eastAsia="Calibri" w:hAnsi="Verdana"/>
          <w:sz w:val="20"/>
          <w:szCs w:val="20"/>
          <w:lang w:val="es-ES" w:eastAsia="en-US"/>
        </w:rPr>
        <w:t>”</w:t>
      </w:r>
      <w:r w:rsidR="00D564A7">
        <w:rPr>
          <w:rFonts w:ascii="Verdana" w:eastAsia="Calibri" w:hAnsi="Verdana"/>
          <w:sz w:val="20"/>
          <w:szCs w:val="20"/>
          <w:lang w:val="es-ES" w:eastAsia="en-US"/>
        </w:rPr>
        <w:t>,</w:t>
      </w:r>
      <w:r w:rsidR="00AA32AD">
        <w:rPr>
          <w:rFonts w:ascii="Verdana" w:eastAsia="Calibri" w:hAnsi="Verdana"/>
          <w:sz w:val="20"/>
          <w:szCs w:val="20"/>
          <w:lang w:val="es-ES" w:eastAsia="en-US"/>
        </w:rPr>
        <w:t xml:space="preserve"> y </w:t>
      </w:r>
      <w:r w:rsidRPr="00526863">
        <w:rPr>
          <w:rFonts w:ascii="Verdana" w:eastAsia="Calibri" w:hAnsi="Verdana"/>
          <w:sz w:val="20"/>
          <w:szCs w:val="20"/>
          <w:lang w:val="es-ES" w:eastAsia="en-US"/>
        </w:rPr>
        <w:t>“</w:t>
      </w:r>
      <w:r w:rsidRPr="004E5B63">
        <w:rPr>
          <w:rFonts w:ascii="Verdana" w:eastAsia="Calibri" w:hAnsi="Verdana"/>
          <w:sz w:val="20"/>
          <w:szCs w:val="20"/>
          <w:lang w:val="es-ES" w:eastAsia="en-US"/>
        </w:rPr>
        <w:t>la información aportada por los representantes</w:t>
      </w:r>
      <w:r w:rsidRPr="00526863">
        <w:rPr>
          <w:rFonts w:ascii="Verdana" w:eastAsia="Calibri" w:hAnsi="Verdana"/>
          <w:sz w:val="20"/>
          <w:szCs w:val="20"/>
          <w:lang w:val="es-ES" w:eastAsia="en-US"/>
        </w:rPr>
        <w:t xml:space="preserve"> </w:t>
      </w:r>
      <w:r w:rsidRPr="004E5B63">
        <w:rPr>
          <w:rFonts w:ascii="Verdana" w:eastAsia="Calibri" w:hAnsi="Verdana"/>
          <w:sz w:val="20"/>
          <w:szCs w:val="20"/>
          <w:lang w:val="es-ES" w:eastAsia="en-US"/>
        </w:rPr>
        <w:t>respecto de los avances en la investigación</w:t>
      </w:r>
      <w:r w:rsidRPr="00526863">
        <w:rPr>
          <w:rFonts w:ascii="Verdana" w:eastAsia="Calibri" w:hAnsi="Verdana"/>
          <w:sz w:val="20"/>
          <w:szCs w:val="20"/>
          <w:lang w:val="es-ES" w:eastAsia="en-US"/>
        </w:rPr>
        <w:t>”</w:t>
      </w:r>
      <w:r w:rsidRPr="004E5B63">
        <w:rPr>
          <w:rFonts w:ascii="Verdana" w:eastAsia="Calibri" w:hAnsi="Verdana"/>
          <w:sz w:val="20"/>
          <w:szCs w:val="20"/>
          <w:lang w:val="es-ES" w:eastAsia="en-US"/>
        </w:rPr>
        <w:t xml:space="preserve">. No obstante, </w:t>
      </w:r>
      <w:r w:rsidRPr="00526863">
        <w:rPr>
          <w:rFonts w:ascii="Verdana" w:eastAsia="Calibri" w:hAnsi="Verdana"/>
          <w:sz w:val="20"/>
          <w:szCs w:val="20"/>
          <w:lang w:val="es-ES" w:eastAsia="en-US"/>
        </w:rPr>
        <w:t>expresó</w:t>
      </w:r>
      <w:r w:rsidRPr="004E5B63">
        <w:rPr>
          <w:rFonts w:ascii="Verdana" w:eastAsia="Calibri" w:hAnsi="Verdana"/>
          <w:sz w:val="20"/>
          <w:szCs w:val="20"/>
          <w:lang w:val="es-ES" w:eastAsia="en-US"/>
        </w:rPr>
        <w:t xml:space="preserve"> su</w:t>
      </w:r>
      <w:r w:rsidRPr="00526863">
        <w:rPr>
          <w:rFonts w:ascii="Verdana" w:eastAsia="Calibri" w:hAnsi="Verdana"/>
          <w:sz w:val="20"/>
          <w:szCs w:val="20"/>
          <w:lang w:val="es-ES" w:eastAsia="en-US"/>
        </w:rPr>
        <w:t xml:space="preserve"> </w:t>
      </w:r>
      <w:r w:rsidRPr="004E5B63">
        <w:rPr>
          <w:rFonts w:ascii="Verdana" w:eastAsia="Calibri" w:hAnsi="Verdana"/>
          <w:sz w:val="20"/>
          <w:szCs w:val="20"/>
          <w:lang w:val="es-ES" w:eastAsia="en-US"/>
        </w:rPr>
        <w:t>preocupación</w:t>
      </w:r>
      <w:r w:rsidRPr="00526863">
        <w:rPr>
          <w:rFonts w:ascii="Verdana" w:eastAsia="Calibri" w:hAnsi="Verdana"/>
          <w:sz w:val="20"/>
          <w:szCs w:val="20"/>
          <w:lang w:val="es-ES" w:eastAsia="en-US"/>
        </w:rPr>
        <w:t xml:space="preserve"> </w:t>
      </w:r>
      <w:r w:rsidR="00D564A7">
        <w:rPr>
          <w:rFonts w:ascii="Verdana" w:eastAsia="Calibri" w:hAnsi="Verdana"/>
          <w:sz w:val="20"/>
          <w:szCs w:val="20"/>
          <w:lang w:val="es-ES" w:eastAsia="en-US"/>
        </w:rPr>
        <w:t>en cuanto</w:t>
      </w:r>
      <w:r w:rsidR="00D564A7" w:rsidRPr="00526863">
        <w:rPr>
          <w:rFonts w:ascii="Verdana" w:eastAsia="Calibri" w:hAnsi="Verdana"/>
          <w:sz w:val="20"/>
          <w:szCs w:val="20"/>
          <w:lang w:val="es-ES" w:eastAsia="en-US"/>
        </w:rPr>
        <w:t xml:space="preserve"> </w:t>
      </w:r>
      <w:r w:rsidRPr="00526863">
        <w:rPr>
          <w:rFonts w:ascii="Verdana" w:eastAsia="Calibri" w:hAnsi="Verdana"/>
          <w:sz w:val="20"/>
          <w:szCs w:val="20"/>
          <w:lang w:val="es-ES" w:eastAsia="en-US"/>
        </w:rPr>
        <w:t>a que “</w:t>
      </w:r>
      <w:r w:rsidRPr="004E5B63">
        <w:rPr>
          <w:rFonts w:ascii="Verdana" w:eastAsia="Calibri" w:hAnsi="Verdana"/>
          <w:sz w:val="20"/>
          <w:szCs w:val="20"/>
          <w:lang w:val="es-ES" w:eastAsia="en-US"/>
        </w:rPr>
        <w:t>el órgano que</w:t>
      </w:r>
      <w:r w:rsidRPr="00526863">
        <w:rPr>
          <w:rFonts w:ascii="Verdana" w:eastAsia="Calibri" w:hAnsi="Verdana"/>
          <w:sz w:val="20"/>
          <w:szCs w:val="20"/>
          <w:lang w:val="es-ES" w:eastAsia="en-US"/>
        </w:rPr>
        <w:t xml:space="preserve"> </w:t>
      </w:r>
      <w:r w:rsidRPr="004E5B63">
        <w:rPr>
          <w:rFonts w:ascii="Verdana" w:eastAsia="Calibri" w:hAnsi="Verdana"/>
          <w:sz w:val="20"/>
          <w:szCs w:val="20"/>
          <w:lang w:val="es-ES" w:eastAsia="en-US"/>
        </w:rPr>
        <w:t>ha asumido la investigación del caso aún no ha recibido el expediente de la investigación estatal</w:t>
      </w:r>
      <w:r w:rsidRPr="00526863">
        <w:rPr>
          <w:rFonts w:ascii="Verdana" w:eastAsia="Calibri" w:hAnsi="Verdana"/>
          <w:sz w:val="20"/>
          <w:szCs w:val="20"/>
          <w:lang w:val="es-ES" w:eastAsia="en-US"/>
        </w:rPr>
        <w:t xml:space="preserve"> </w:t>
      </w:r>
      <w:r w:rsidRPr="004E5B63">
        <w:rPr>
          <w:rFonts w:ascii="Verdana" w:eastAsia="Calibri" w:hAnsi="Verdana"/>
          <w:sz w:val="20"/>
          <w:szCs w:val="20"/>
          <w:lang w:val="es-ES" w:eastAsia="en-US"/>
        </w:rPr>
        <w:t>previa y de la investigación federal realizada entre los años 2006 y 2009, lo cual genera retraso y</w:t>
      </w:r>
      <w:r w:rsidRPr="00526863">
        <w:rPr>
          <w:rFonts w:ascii="Verdana" w:eastAsia="Calibri" w:hAnsi="Verdana"/>
          <w:sz w:val="20"/>
          <w:szCs w:val="20"/>
          <w:lang w:val="es-ES" w:eastAsia="en-US"/>
        </w:rPr>
        <w:t xml:space="preserve"> </w:t>
      </w:r>
      <w:r w:rsidRPr="004E5B63">
        <w:rPr>
          <w:rFonts w:ascii="Verdana" w:eastAsia="Calibri" w:hAnsi="Verdana"/>
          <w:sz w:val="20"/>
          <w:szCs w:val="20"/>
          <w:lang w:val="es-ES" w:eastAsia="en-US"/>
        </w:rPr>
        <w:t>obstaculiza la investigación actual</w:t>
      </w:r>
      <w:r w:rsidRPr="00526863">
        <w:rPr>
          <w:rFonts w:ascii="Verdana" w:eastAsia="Calibri" w:hAnsi="Verdana"/>
          <w:sz w:val="20"/>
          <w:szCs w:val="20"/>
          <w:lang w:val="es-ES" w:eastAsia="en-US"/>
        </w:rPr>
        <w:t>”</w:t>
      </w:r>
      <w:r>
        <w:rPr>
          <w:rStyle w:val="Refdenotaalpie"/>
          <w:rFonts w:ascii="Verdana" w:eastAsia="Calibri" w:hAnsi="Verdana"/>
          <w:sz w:val="20"/>
          <w:szCs w:val="20"/>
          <w:lang w:val="es-ES" w:eastAsia="en-US"/>
        </w:rPr>
        <w:footnoteReference w:id="21"/>
      </w:r>
      <w:r w:rsidRPr="004E5B63">
        <w:rPr>
          <w:rFonts w:ascii="Verdana" w:eastAsia="Calibri" w:hAnsi="Verdana"/>
          <w:sz w:val="20"/>
          <w:szCs w:val="20"/>
          <w:lang w:val="es-ES" w:eastAsia="en-US"/>
        </w:rPr>
        <w:t>.</w:t>
      </w:r>
    </w:p>
    <w:p w14:paraId="43468A99" w14:textId="6604055A" w:rsidR="00133EC8" w:rsidRPr="00BB03D8" w:rsidRDefault="00133EC8" w:rsidP="00133EC8">
      <w:pPr>
        <w:numPr>
          <w:ilvl w:val="0"/>
          <w:numId w:val="9"/>
        </w:numPr>
        <w:spacing w:after="200"/>
        <w:ind w:left="0" w:firstLine="0"/>
        <w:jc w:val="both"/>
        <w:rPr>
          <w:rFonts w:ascii="Verdana" w:hAnsi="Verdana"/>
          <w:sz w:val="20"/>
          <w:szCs w:val="20"/>
          <w:lang w:val="es-ES"/>
        </w:rPr>
      </w:pPr>
      <w:r w:rsidRPr="00BB03D8">
        <w:rPr>
          <w:rFonts w:ascii="Verdana" w:hAnsi="Verdana"/>
          <w:sz w:val="20"/>
          <w:szCs w:val="20"/>
          <w:lang w:val="es-ES"/>
        </w:rPr>
        <w:t xml:space="preserve">Este Tribunal valora positivamente que se haya iniciado una </w:t>
      </w:r>
      <w:proofErr w:type="spellStart"/>
      <w:r w:rsidRPr="00BB03D8">
        <w:rPr>
          <w:rFonts w:ascii="Verdana" w:hAnsi="Verdana"/>
          <w:sz w:val="20"/>
          <w:szCs w:val="20"/>
          <w:lang w:val="es-ES"/>
        </w:rPr>
        <w:t>investigación</w:t>
      </w:r>
      <w:proofErr w:type="spellEnd"/>
      <w:r w:rsidRPr="00BB03D8">
        <w:rPr>
          <w:rFonts w:ascii="Verdana" w:hAnsi="Verdana"/>
          <w:sz w:val="20"/>
          <w:szCs w:val="20"/>
          <w:lang w:val="es-ES"/>
        </w:rPr>
        <w:t xml:space="preserve"> penal de los hechos </w:t>
      </w:r>
      <w:r w:rsidRPr="00BB03D8">
        <w:rPr>
          <w:rFonts w:ascii="Verdana" w:eastAsia="Calibri" w:hAnsi="Verdana"/>
          <w:sz w:val="20"/>
          <w:szCs w:val="20"/>
          <w:lang w:val="es-ES" w:eastAsia="en-US"/>
        </w:rPr>
        <w:t>relacionados</w:t>
      </w:r>
      <w:r w:rsidRPr="00BB03D8">
        <w:rPr>
          <w:rFonts w:ascii="Verdana" w:hAnsi="Verdana"/>
          <w:sz w:val="20"/>
          <w:szCs w:val="20"/>
          <w:lang w:val="es-ES"/>
        </w:rPr>
        <w:t xml:space="preserve"> con </w:t>
      </w:r>
      <w:r w:rsidRPr="00BB03D8">
        <w:rPr>
          <w:rFonts w:ascii="Verdana" w:hAnsi="Verdana" w:cs="Verdana"/>
          <w:sz w:val="20"/>
          <w:szCs w:val="20"/>
          <w:lang w:val="es-ES"/>
        </w:rPr>
        <w:t>los actos de tortura, violencia sexual y violación sexual</w:t>
      </w:r>
      <w:r w:rsidRPr="00BB03D8">
        <w:rPr>
          <w:rFonts w:ascii="Verdana" w:hAnsi="Verdana"/>
          <w:sz w:val="20"/>
          <w:szCs w:val="20"/>
          <w:lang w:val="es-ES"/>
        </w:rPr>
        <w:t xml:space="preserve"> </w:t>
      </w:r>
      <w:r w:rsidR="00A76F4E" w:rsidRPr="00BB03D8">
        <w:rPr>
          <w:rFonts w:ascii="Verdana" w:hAnsi="Verdana"/>
          <w:sz w:val="20"/>
          <w:szCs w:val="20"/>
          <w:lang w:val="es-ES"/>
        </w:rPr>
        <w:t xml:space="preserve">perpetrados en perjuicio de </w:t>
      </w:r>
      <w:r w:rsidRPr="00BB03D8">
        <w:rPr>
          <w:rFonts w:ascii="Verdana" w:hAnsi="Verdana"/>
          <w:sz w:val="20"/>
          <w:szCs w:val="20"/>
          <w:lang w:val="es-ES"/>
        </w:rPr>
        <w:t xml:space="preserve">las once mujeres </w:t>
      </w:r>
      <w:proofErr w:type="spellStart"/>
      <w:r w:rsidRPr="00BB03D8">
        <w:rPr>
          <w:rFonts w:ascii="Verdana" w:hAnsi="Verdana"/>
          <w:sz w:val="20"/>
          <w:szCs w:val="20"/>
          <w:lang w:val="es-ES"/>
        </w:rPr>
        <w:t>víctimas</w:t>
      </w:r>
      <w:proofErr w:type="spellEnd"/>
      <w:r w:rsidRPr="00BB03D8">
        <w:rPr>
          <w:rFonts w:ascii="Verdana" w:hAnsi="Verdana"/>
          <w:sz w:val="20"/>
          <w:szCs w:val="20"/>
          <w:lang w:val="es-ES"/>
        </w:rPr>
        <w:t xml:space="preserve"> de este caso, así como las diligencias informadas</w:t>
      </w:r>
      <w:r w:rsidR="00B8276E" w:rsidRPr="00BB03D8">
        <w:rPr>
          <w:rFonts w:ascii="Verdana" w:hAnsi="Verdana"/>
          <w:sz w:val="20"/>
          <w:szCs w:val="20"/>
          <w:lang w:val="es-ES"/>
        </w:rPr>
        <w:t xml:space="preserve"> </w:t>
      </w:r>
      <w:r w:rsidR="00B8276E" w:rsidRPr="00BB03D8">
        <w:rPr>
          <w:rFonts w:ascii="Verdana" w:hAnsi="Verdana"/>
          <w:i/>
          <w:sz w:val="20"/>
          <w:szCs w:val="20"/>
          <w:lang w:val="es-ES"/>
        </w:rPr>
        <w:t xml:space="preserve">supra </w:t>
      </w:r>
      <w:r w:rsidR="00B8276E" w:rsidRPr="00BB03D8">
        <w:rPr>
          <w:rFonts w:ascii="Verdana" w:hAnsi="Verdana"/>
          <w:sz w:val="20"/>
          <w:szCs w:val="20"/>
          <w:lang w:val="es-ES"/>
        </w:rPr>
        <w:t>(</w:t>
      </w:r>
      <w:r w:rsidR="00B8276E" w:rsidRPr="002A15D0">
        <w:rPr>
          <w:rFonts w:ascii="Verdana" w:hAnsi="Verdana"/>
          <w:sz w:val="20"/>
          <w:szCs w:val="20"/>
          <w:lang w:val="es-ES"/>
        </w:rPr>
        <w:t xml:space="preserve">Considerandos </w:t>
      </w:r>
      <w:r w:rsidR="00A93E05" w:rsidRPr="002A15D0">
        <w:rPr>
          <w:rFonts w:ascii="Verdana" w:hAnsi="Verdana"/>
          <w:sz w:val="20"/>
          <w:szCs w:val="20"/>
          <w:lang w:val="es-ES"/>
        </w:rPr>
        <w:t>6</w:t>
      </w:r>
      <w:r w:rsidR="00B8276E" w:rsidRPr="002A15D0">
        <w:rPr>
          <w:rFonts w:ascii="Verdana" w:hAnsi="Verdana"/>
          <w:sz w:val="20"/>
          <w:szCs w:val="20"/>
          <w:lang w:val="es-ES"/>
        </w:rPr>
        <w:t xml:space="preserve">y </w:t>
      </w:r>
      <w:r w:rsidR="00A93E05" w:rsidRPr="002A15D0">
        <w:rPr>
          <w:rFonts w:ascii="Verdana" w:hAnsi="Verdana"/>
          <w:sz w:val="20"/>
          <w:szCs w:val="20"/>
          <w:lang w:val="es-ES"/>
        </w:rPr>
        <w:t>7</w:t>
      </w:r>
      <w:r w:rsidR="00B8276E" w:rsidRPr="002A15D0">
        <w:rPr>
          <w:rFonts w:ascii="Verdana" w:hAnsi="Verdana"/>
          <w:sz w:val="20"/>
          <w:szCs w:val="20"/>
          <w:lang w:val="es-ES"/>
        </w:rPr>
        <w:t>)</w:t>
      </w:r>
      <w:r w:rsidRPr="002A15D0">
        <w:rPr>
          <w:rFonts w:ascii="Verdana" w:hAnsi="Verdana"/>
          <w:sz w:val="20"/>
          <w:szCs w:val="20"/>
          <w:lang w:val="es-ES"/>
        </w:rPr>
        <w:t>.</w:t>
      </w:r>
      <w:r w:rsidRPr="00BB03D8">
        <w:rPr>
          <w:rFonts w:ascii="Verdana" w:hAnsi="Verdana"/>
          <w:sz w:val="20"/>
          <w:szCs w:val="20"/>
          <w:lang w:val="es-ES"/>
        </w:rPr>
        <w:t xml:space="preserve"> </w:t>
      </w:r>
      <w:r w:rsidR="00BB03D8" w:rsidRPr="00BB03D8">
        <w:rPr>
          <w:rFonts w:ascii="Verdana" w:hAnsi="Verdana"/>
          <w:sz w:val="20"/>
          <w:szCs w:val="20"/>
          <w:lang w:val="es-ES"/>
        </w:rPr>
        <w:t>No obstante</w:t>
      </w:r>
      <w:r w:rsidR="00F17E06" w:rsidRPr="00BB03D8">
        <w:rPr>
          <w:rFonts w:ascii="Verdana" w:hAnsi="Verdana"/>
          <w:sz w:val="20"/>
          <w:szCs w:val="20"/>
          <w:lang w:val="es-ES"/>
        </w:rPr>
        <w:t xml:space="preserve">, tomando en cuenta que tanto </w:t>
      </w:r>
      <w:r w:rsidR="00204442" w:rsidRPr="00BB03D8">
        <w:rPr>
          <w:rFonts w:ascii="Verdana" w:hAnsi="Verdana"/>
          <w:sz w:val="20"/>
          <w:szCs w:val="20"/>
          <w:lang w:val="es-ES"/>
        </w:rPr>
        <w:t>la representación de las víctimas</w:t>
      </w:r>
      <w:r w:rsidRPr="00BB03D8">
        <w:rPr>
          <w:rFonts w:ascii="Verdana" w:hAnsi="Verdana"/>
          <w:sz w:val="20"/>
          <w:szCs w:val="20"/>
          <w:lang w:val="es-ES"/>
        </w:rPr>
        <w:t xml:space="preserve"> </w:t>
      </w:r>
      <w:r w:rsidR="00F17E06" w:rsidRPr="00BB03D8">
        <w:rPr>
          <w:rFonts w:ascii="Verdana" w:hAnsi="Verdana"/>
          <w:sz w:val="20"/>
          <w:szCs w:val="20"/>
          <w:lang w:val="es-ES"/>
        </w:rPr>
        <w:t xml:space="preserve">como la Comisión Interamericana han destacado como negativo que </w:t>
      </w:r>
      <w:r w:rsidRPr="00BB03D8">
        <w:rPr>
          <w:rFonts w:ascii="Verdana" w:hAnsi="Verdana"/>
          <w:sz w:val="20"/>
          <w:szCs w:val="20"/>
          <w:lang w:val="es-ES"/>
        </w:rPr>
        <w:t xml:space="preserve">la falta de remisión del expediente tramitado en la jurisdicción estadual estaría, </w:t>
      </w:r>
      <w:r w:rsidRPr="00BB03D8">
        <w:rPr>
          <w:rFonts w:ascii="Verdana" w:hAnsi="Verdana"/>
          <w:i/>
          <w:sz w:val="20"/>
          <w:szCs w:val="20"/>
          <w:lang w:val="es-ES"/>
        </w:rPr>
        <w:t>de facto</w:t>
      </w:r>
      <w:r w:rsidRPr="00BB03D8">
        <w:rPr>
          <w:rFonts w:ascii="Verdana" w:hAnsi="Verdana"/>
          <w:sz w:val="20"/>
          <w:szCs w:val="20"/>
          <w:lang w:val="es-ES"/>
        </w:rPr>
        <w:t>, obstaculizando el avance de la investigación federal iniciada (</w:t>
      </w:r>
      <w:r w:rsidRPr="00BB03D8">
        <w:rPr>
          <w:rFonts w:ascii="Verdana" w:hAnsi="Verdana"/>
          <w:i/>
          <w:sz w:val="20"/>
          <w:szCs w:val="20"/>
          <w:lang w:val="es-ES"/>
        </w:rPr>
        <w:t xml:space="preserve">supra </w:t>
      </w:r>
      <w:r w:rsidRPr="00BB03D8">
        <w:rPr>
          <w:rFonts w:ascii="Verdana" w:hAnsi="Verdana"/>
          <w:sz w:val="20"/>
          <w:szCs w:val="20"/>
          <w:lang w:val="es-ES"/>
        </w:rPr>
        <w:t>Considerando</w:t>
      </w:r>
      <w:r w:rsidR="002A15D0">
        <w:rPr>
          <w:rFonts w:ascii="Verdana" w:hAnsi="Verdana"/>
          <w:sz w:val="20"/>
          <w:szCs w:val="20"/>
          <w:lang w:val="es-ES"/>
        </w:rPr>
        <w:t>s</w:t>
      </w:r>
      <w:r w:rsidRPr="00BB03D8">
        <w:rPr>
          <w:rFonts w:ascii="Verdana" w:hAnsi="Verdana"/>
          <w:sz w:val="20"/>
          <w:szCs w:val="20"/>
          <w:lang w:val="es-ES"/>
        </w:rPr>
        <w:t xml:space="preserve"> </w:t>
      </w:r>
      <w:r w:rsidR="002A15D0" w:rsidRPr="00B42F79">
        <w:rPr>
          <w:rFonts w:ascii="Verdana" w:hAnsi="Verdana"/>
          <w:sz w:val="20"/>
          <w:szCs w:val="20"/>
          <w:lang w:val="es-ES"/>
        </w:rPr>
        <w:t>7 y 8</w:t>
      </w:r>
      <w:r w:rsidRPr="002A15D0">
        <w:rPr>
          <w:rFonts w:ascii="Verdana" w:hAnsi="Verdana"/>
          <w:sz w:val="20"/>
          <w:szCs w:val="20"/>
          <w:lang w:val="es-ES"/>
        </w:rPr>
        <w:t>),</w:t>
      </w:r>
      <w:r w:rsidRPr="00BB03D8">
        <w:rPr>
          <w:rFonts w:ascii="Verdana" w:hAnsi="Verdana"/>
          <w:sz w:val="20"/>
          <w:szCs w:val="20"/>
          <w:lang w:val="es-ES"/>
        </w:rPr>
        <w:t xml:space="preserve"> </w:t>
      </w:r>
      <w:r w:rsidR="00BB03D8" w:rsidRPr="00BB03D8">
        <w:rPr>
          <w:rFonts w:ascii="Verdana" w:hAnsi="Verdana"/>
          <w:sz w:val="20"/>
          <w:szCs w:val="20"/>
          <w:lang w:val="es-ES"/>
        </w:rPr>
        <w:t xml:space="preserve">este Tribunal considera necesario que el Estado informe sobre la debida diligencia con que se está actuando al respecto. En este sentido, </w:t>
      </w:r>
      <w:r w:rsidRPr="00BB03D8">
        <w:rPr>
          <w:rFonts w:ascii="Verdana" w:hAnsi="Verdana"/>
          <w:sz w:val="20"/>
          <w:szCs w:val="20"/>
          <w:lang w:val="es-ES"/>
        </w:rPr>
        <w:t xml:space="preserve">resulta conveniente recordar que, en la Sentencia, </w:t>
      </w:r>
      <w:r w:rsidR="0051492D" w:rsidRPr="00BB03D8">
        <w:rPr>
          <w:rFonts w:ascii="Verdana" w:hAnsi="Verdana"/>
          <w:sz w:val="20"/>
          <w:szCs w:val="20"/>
          <w:lang w:val="es-ES"/>
        </w:rPr>
        <w:t xml:space="preserve">se </w:t>
      </w:r>
      <w:r w:rsidRPr="00BB03D8">
        <w:rPr>
          <w:rFonts w:ascii="Verdana" w:hAnsi="Verdana"/>
          <w:sz w:val="20"/>
          <w:szCs w:val="20"/>
          <w:lang w:val="es-ES"/>
        </w:rPr>
        <w:t xml:space="preserve">remarcó que “los Estados tienen el deber de realizar una </w:t>
      </w:r>
      <w:proofErr w:type="spellStart"/>
      <w:r w:rsidRPr="00BB03D8">
        <w:rPr>
          <w:rFonts w:ascii="Verdana" w:hAnsi="Verdana"/>
          <w:sz w:val="20"/>
          <w:szCs w:val="20"/>
          <w:lang w:val="es-ES"/>
        </w:rPr>
        <w:t>investigación</w:t>
      </w:r>
      <w:proofErr w:type="spellEnd"/>
      <w:r w:rsidRPr="00BB03D8">
        <w:rPr>
          <w:rFonts w:ascii="Verdana" w:hAnsi="Verdana"/>
          <w:sz w:val="20"/>
          <w:szCs w:val="20"/>
          <w:lang w:val="es-ES"/>
        </w:rPr>
        <w:t xml:space="preserve"> por todos los medios legales disponibles y orientada a la </w:t>
      </w:r>
      <w:proofErr w:type="spellStart"/>
      <w:r w:rsidRPr="00BB03D8">
        <w:rPr>
          <w:rFonts w:ascii="Verdana" w:hAnsi="Verdana"/>
          <w:sz w:val="20"/>
          <w:szCs w:val="20"/>
          <w:lang w:val="es-ES"/>
        </w:rPr>
        <w:t>determinación</w:t>
      </w:r>
      <w:proofErr w:type="spellEnd"/>
      <w:r w:rsidRPr="00BB03D8">
        <w:rPr>
          <w:rFonts w:ascii="Verdana" w:hAnsi="Verdana"/>
          <w:sz w:val="20"/>
          <w:szCs w:val="20"/>
          <w:lang w:val="es-ES"/>
        </w:rPr>
        <w:t xml:space="preserve"> de la verdad y la </w:t>
      </w:r>
      <w:proofErr w:type="spellStart"/>
      <w:r w:rsidRPr="00BB03D8">
        <w:rPr>
          <w:rFonts w:ascii="Verdana" w:hAnsi="Verdana"/>
          <w:sz w:val="20"/>
          <w:szCs w:val="20"/>
          <w:lang w:val="es-ES"/>
        </w:rPr>
        <w:t>persecución</w:t>
      </w:r>
      <w:proofErr w:type="spellEnd"/>
      <w:r w:rsidRPr="00BB03D8">
        <w:rPr>
          <w:rFonts w:ascii="Verdana" w:hAnsi="Verdana"/>
          <w:sz w:val="20"/>
          <w:szCs w:val="20"/>
          <w:lang w:val="es-ES"/>
        </w:rPr>
        <w:t>, captura, enjuiciamiento y, en su caso, el castigo de los responsables</w:t>
      </w:r>
      <w:r w:rsidR="009529D7" w:rsidRPr="00BB03D8">
        <w:rPr>
          <w:rFonts w:ascii="Verdana" w:hAnsi="Verdana"/>
          <w:sz w:val="20"/>
          <w:szCs w:val="20"/>
          <w:lang w:val="es-ES"/>
        </w:rPr>
        <w:t xml:space="preserve"> […]</w:t>
      </w:r>
      <w:r w:rsidRPr="00BB03D8">
        <w:rPr>
          <w:rFonts w:ascii="Verdana" w:hAnsi="Verdana"/>
          <w:sz w:val="20"/>
          <w:szCs w:val="20"/>
          <w:lang w:val="es-ES"/>
        </w:rPr>
        <w:t>”</w:t>
      </w:r>
      <w:r w:rsidR="002A15D0">
        <w:rPr>
          <w:rStyle w:val="Refdenotaalpie"/>
          <w:rFonts w:ascii="Verdana" w:hAnsi="Verdana"/>
          <w:sz w:val="20"/>
          <w:szCs w:val="20"/>
          <w:lang w:val="es-ES"/>
        </w:rPr>
        <w:footnoteReference w:id="22"/>
      </w:r>
      <w:r w:rsidRPr="00BB03D8">
        <w:rPr>
          <w:rFonts w:ascii="Verdana" w:hAnsi="Verdana"/>
          <w:sz w:val="20"/>
          <w:szCs w:val="20"/>
          <w:lang w:val="es-ES"/>
        </w:rPr>
        <w:t xml:space="preserve">. </w:t>
      </w:r>
    </w:p>
    <w:p w14:paraId="043FD9B1" w14:textId="0A8A5ED9" w:rsidR="00A14092" w:rsidRDefault="00133EC8" w:rsidP="00133EC8">
      <w:pPr>
        <w:numPr>
          <w:ilvl w:val="0"/>
          <w:numId w:val="9"/>
        </w:numPr>
        <w:spacing w:after="200"/>
        <w:ind w:left="0" w:firstLine="0"/>
        <w:jc w:val="both"/>
        <w:rPr>
          <w:rFonts w:ascii="Verdana" w:hAnsi="Verdana"/>
          <w:sz w:val="20"/>
          <w:lang w:eastAsia="es-CR"/>
        </w:rPr>
      </w:pPr>
      <w:r w:rsidRPr="00670D72">
        <w:rPr>
          <w:rFonts w:ascii="Verdana" w:hAnsi="Verdana"/>
          <w:sz w:val="20"/>
          <w:szCs w:val="20"/>
          <w:lang w:val="es-ES"/>
        </w:rPr>
        <w:t>Tomando en cuenta lo indicado</w:t>
      </w:r>
      <w:r w:rsidRPr="003A66F3">
        <w:rPr>
          <w:rFonts w:ascii="Verdana" w:hAnsi="Verdana"/>
          <w:sz w:val="20"/>
          <w:szCs w:val="20"/>
          <w:lang w:val="es-ES"/>
        </w:rPr>
        <w:t>,</w:t>
      </w:r>
      <w:r w:rsidRPr="00670D72">
        <w:rPr>
          <w:rFonts w:ascii="Verdana" w:hAnsi="Verdana"/>
          <w:sz w:val="20"/>
          <w:szCs w:val="20"/>
          <w:lang w:val="es-ES"/>
        </w:rPr>
        <w:t xml:space="preserve"> la Corte considera que se encuentra pendiente de cumplimiento la medida de </w:t>
      </w:r>
      <w:proofErr w:type="spellStart"/>
      <w:r w:rsidRPr="00670D72">
        <w:rPr>
          <w:rFonts w:ascii="Verdana" w:hAnsi="Verdana"/>
          <w:sz w:val="20"/>
          <w:szCs w:val="20"/>
          <w:lang w:val="es-ES"/>
        </w:rPr>
        <w:t>reparación</w:t>
      </w:r>
      <w:proofErr w:type="spellEnd"/>
      <w:r w:rsidRPr="00670D72">
        <w:rPr>
          <w:rFonts w:ascii="Verdana" w:hAnsi="Verdana"/>
          <w:sz w:val="20"/>
          <w:szCs w:val="20"/>
          <w:lang w:val="es-ES"/>
        </w:rPr>
        <w:t xml:space="preserve"> ordenada en el punto resolutivo noveno de la Sentencia, relativa a la </w:t>
      </w:r>
      <w:proofErr w:type="spellStart"/>
      <w:r w:rsidRPr="00670D72">
        <w:rPr>
          <w:rFonts w:ascii="Verdana" w:hAnsi="Verdana"/>
          <w:sz w:val="20"/>
          <w:szCs w:val="20"/>
          <w:lang w:val="es-ES"/>
        </w:rPr>
        <w:t>investigación</w:t>
      </w:r>
      <w:proofErr w:type="spellEnd"/>
      <w:r w:rsidRPr="00670D72">
        <w:rPr>
          <w:rFonts w:ascii="Verdana" w:hAnsi="Verdana"/>
          <w:sz w:val="20"/>
          <w:szCs w:val="20"/>
          <w:lang w:val="es-ES"/>
        </w:rPr>
        <w:t xml:space="preserve"> de </w:t>
      </w:r>
      <w:r w:rsidRPr="00670D72">
        <w:rPr>
          <w:rFonts w:ascii="Verdana" w:hAnsi="Verdana" w:cs="Verdana"/>
          <w:sz w:val="20"/>
          <w:szCs w:val="20"/>
          <w:lang w:val="es-ES"/>
        </w:rPr>
        <w:t>los actos de tortura, violencia sexual y violación sexual</w:t>
      </w:r>
      <w:r w:rsidRPr="00670D72">
        <w:rPr>
          <w:rFonts w:ascii="Verdana" w:hAnsi="Verdana"/>
          <w:sz w:val="20"/>
          <w:szCs w:val="20"/>
          <w:lang w:val="es-ES"/>
        </w:rPr>
        <w:t xml:space="preserve"> sufridos por las once mujeres </w:t>
      </w:r>
      <w:proofErr w:type="spellStart"/>
      <w:r w:rsidRPr="00670D72">
        <w:rPr>
          <w:rFonts w:ascii="Verdana" w:hAnsi="Verdana"/>
          <w:sz w:val="20"/>
          <w:szCs w:val="20"/>
          <w:lang w:val="es-ES"/>
        </w:rPr>
        <w:t>víctimas</w:t>
      </w:r>
      <w:proofErr w:type="spellEnd"/>
      <w:r w:rsidRPr="00670D72">
        <w:rPr>
          <w:rFonts w:ascii="Verdana" w:hAnsi="Verdana"/>
          <w:sz w:val="20"/>
          <w:szCs w:val="20"/>
          <w:lang w:val="es-ES"/>
        </w:rPr>
        <w:t xml:space="preserve"> de este caso, y solicita al Estado continuar remitiendo </w:t>
      </w:r>
      <w:proofErr w:type="spellStart"/>
      <w:r w:rsidRPr="00670D72">
        <w:rPr>
          <w:rFonts w:ascii="Verdana" w:hAnsi="Verdana"/>
          <w:sz w:val="20"/>
          <w:szCs w:val="20"/>
          <w:lang w:val="es-ES"/>
        </w:rPr>
        <w:t>información</w:t>
      </w:r>
      <w:proofErr w:type="spellEnd"/>
      <w:r w:rsidRPr="00670D72">
        <w:rPr>
          <w:rFonts w:ascii="Verdana" w:hAnsi="Verdana"/>
          <w:sz w:val="20"/>
          <w:szCs w:val="20"/>
          <w:lang w:val="es-ES"/>
        </w:rPr>
        <w:t xml:space="preserve"> actualizada y detallada sobre las gestiones y avances que se den en la referida </w:t>
      </w:r>
      <w:proofErr w:type="spellStart"/>
      <w:r w:rsidRPr="00670D72">
        <w:rPr>
          <w:rFonts w:ascii="Verdana" w:hAnsi="Verdana"/>
          <w:sz w:val="20"/>
          <w:szCs w:val="20"/>
          <w:lang w:val="es-ES"/>
        </w:rPr>
        <w:t>investigación</w:t>
      </w:r>
      <w:proofErr w:type="spellEnd"/>
      <w:r w:rsidRPr="00670D72">
        <w:rPr>
          <w:rFonts w:ascii="Verdana" w:hAnsi="Verdana"/>
          <w:sz w:val="20"/>
          <w:szCs w:val="20"/>
          <w:lang w:val="es-ES"/>
        </w:rPr>
        <w:t>.</w:t>
      </w:r>
      <w:r w:rsidR="00D71427" w:rsidRPr="001905B8">
        <w:rPr>
          <w:rFonts w:ascii="Verdana" w:hAnsi="Verdana" w:cs="Verdana"/>
          <w:sz w:val="20"/>
          <w:szCs w:val="20"/>
        </w:rPr>
        <w:tab/>
      </w:r>
    </w:p>
    <w:p w14:paraId="208F0111" w14:textId="77777777" w:rsidR="00133EC8" w:rsidRPr="00133EC8" w:rsidRDefault="00133EC8" w:rsidP="00133EC8">
      <w:pPr>
        <w:spacing w:after="200"/>
        <w:jc w:val="both"/>
        <w:rPr>
          <w:rFonts w:ascii="Verdana" w:hAnsi="Verdana"/>
          <w:sz w:val="20"/>
          <w:lang w:eastAsia="es-CR"/>
        </w:rPr>
      </w:pPr>
    </w:p>
    <w:p w14:paraId="2928B1A2" w14:textId="77777777" w:rsidR="00A14092" w:rsidRPr="00A14092" w:rsidRDefault="006007F3" w:rsidP="00A14092">
      <w:pPr>
        <w:widowControl w:val="0"/>
        <w:numPr>
          <w:ilvl w:val="0"/>
          <w:numId w:val="15"/>
        </w:numPr>
        <w:spacing w:before="120" w:after="120"/>
        <w:jc w:val="both"/>
        <w:outlineLvl w:val="0"/>
        <w:rPr>
          <w:rFonts w:ascii="Verdana" w:hAnsi="Verdana"/>
          <w:b/>
          <w:bCs/>
          <w:i/>
          <w:kern w:val="32"/>
          <w:sz w:val="20"/>
          <w:szCs w:val="32"/>
          <w:lang w:val="es-CO" w:eastAsia="en-US"/>
        </w:rPr>
      </w:pPr>
      <w:bookmarkStart w:id="4" w:name="_Toc54301845"/>
      <w:bookmarkStart w:id="5" w:name="_Toc57748147"/>
      <w:r>
        <w:rPr>
          <w:rFonts w:ascii="Verdana" w:hAnsi="Verdana"/>
          <w:b/>
          <w:bCs/>
          <w:i/>
          <w:kern w:val="32"/>
          <w:sz w:val="20"/>
          <w:szCs w:val="32"/>
          <w:lang w:val="es-MX" w:eastAsia="en-US"/>
        </w:rPr>
        <w:t>Tratamiento médico y psicológico o psiquiátrico</w:t>
      </w:r>
      <w:bookmarkEnd w:id="4"/>
      <w:bookmarkEnd w:id="5"/>
    </w:p>
    <w:p w14:paraId="19336022" w14:textId="77777777" w:rsidR="00A14092" w:rsidRPr="00A14092" w:rsidRDefault="00A14092" w:rsidP="00627D9A">
      <w:pPr>
        <w:spacing w:after="200"/>
        <w:ind w:firstLine="360"/>
        <w:jc w:val="both"/>
        <w:rPr>
          <w:rFonts w:ascii="Verdana" w:eastAsia="Times" w:hAnsi="Verdana"/>
          <w:i/>
          <w:sz w:val="20"/>
          <w:lang w:val="es-MX" w:eastAsia="en-US"/>
        </w:rPr>
      </w:pPr>
      <w:r w:rsidRPr="00A14092">
        <w:rPr>
          <w:rFonts w:ascii="Verdana" w:eastAsia="Times" w:hAnsi="Verdana"/>
          <w:i/>
          <w:sz w:val="20"/>
          <w:lang w:val="es-MX" w:eastAsia="en-US"/>
        </w:rPr>
        <w:t xml:space="preserve">B.1. </w:t>
      </w:r>
      <w:r w:rsidRPr="00627D9A">
        <w:rPr>
          <w:rFonts w:ascii="Verdana" w:eastAsia="Times" w:hAnsi="Verdana"/>
          <w:i/>
          <w:sz w:val="20"/>
          <w:lang w:val="es-CO" w:eastAsia="en-US"/>
        </w:rPr>
        <w:t>Medida</w:t>
      </w:r>
      <w:r w:rsidRPr="00A14092">
        <w:rPr>
          <w:rFonts w:ascii="Verdana" w:eastAsia="Times" w:hAnsi="Verdana"/>
          <w:i/>
          <w:sz w:val="20"/>
          <w:lang w:val="es-MX" w:eastAsia="en-US"/>
        </w:rPr>
        <w:t xml:space="preserve"> ordenada por la Corte </w:t>
      </w:r>
    </w:p>
    <w:p w14:paraId="62FBA861" w14:textId="5ED00C3B" w:rsidR="00A14092" w:rsidRPr="00EB2273" w:rsidRDefault="001905B8" w:rsidP="00EB2273">
      <w:pPr>
        <w:numPr>
          <w:ilvl w:val="0"/>
          <w:numId w:val="9"/>
        </w:numPr>
        <w:spacing w:after="200"/>
        <w:ind w:left="0" w:firstLine="0"/>
        <w:jc w:val="both"/>
        <w:rPr>
          <w:rFonts w:ascii="Verdana" w:hAnsi="Verdana" w:cs="Verdana"/>
          <w:sz w:val="20"/>
          <w:szCs w:val="20"/>
        </w:rPr>
      </w:pPr>
      <w:r>
        <w:rPr>
          <w:rFonts w:ascii="Verdana" w:hAnsi="Verdana" w:cs="Verdana"/>
          <w:sz w:val="20"/>
          <w:szCs w:val="20"/>
        </w:rPr>
        <w:t>En el punto resolutivo décimo y en el párrafo 341 de la Sentencia, la Corte dispuso que el Estado debía “</w:t>
      </w:r>
      <w:r w:rsidR="00EB2273" w:rsidRPr="00EB2273">
        <w:rPr>
          <w:rFonts w:ascii="Verdana" w:hAnsi="Verdana" w:cs="Verdana"/>
          <w:sz w:val="20"/>
          <w:szCs w:val="20"/>
        </w:rPr>
        <w:t xml:space="preserve">brindar gratuitamente, de forma prioritaria, tratamiento </w:t>
      </w:r>
      <w:proofErr w:type="spellStart"/>
      <w:r w:rsidR="00EB2273" w:rsidRPr="00EB2273">
        <w:rPr>
          <w:rFonts w:ascii="Verdana" w:hAnsi="Verdana" w:cs="Verdana"/>
          <w:sz w:val="20"/>
          <w:szCs w:val="20"/>
        </w:rPr>
        <w:t>médico</w:t>
      </w:r>
      <w:proofErr w:type="spellEnd"/>
      <w:r w:rsidR="00EB2273" w:rsidRPr="00EB2273">
        <w:rPr>
          <w:rFonts w:ascii="Verdana" w:hAnsi="Verdana" w:cs="Verdana"/>
          <w:sz w:val="20"/>
          <w:szCs w:val="20"/>
        </w:rPr>
        <w:t xml:space="preserve"> para las once mujeres </w:t>
      </w:r>
      <w:proofErr w:type="spellStart"/>
      <w:r w:rsidR="00EB2273" w:rsidRPr="00EB2273">
        <w:rPr>
          <w:rFonts w:ascii="Verdana" w:hAnsi="Verdana" w:cs="Verdana"/>
          <w:sz w:val="20"/>
          <w:szCs w:val="20"/>
        </w:rPr>
        <w:t>víctimas</w:t>
      </w:r>
      <w:proofErr w:type="spellEnd"/>
      <w:r w:rsidR="00EB2273" w:rsidRPr="00EB2273">
        <w:rPr>
          <w:rFonts w:ascii="Verdana" w:hAnsi="Verdana" w:cs="Verdana"/>
          <w:sz w:val="20"/>
          <w:szCs w:val="20"/>
        </w:rPr>
        <w:t xml:space="preserve"> del caso, el cual </w:t>
      </w:r>
      <w:proofErr w:type="spellStart"/>
      <w:r w:rsidR="00EB2273" w:rsidRPr="00EB2273">
        <w:rPr>
          <w:rFonts w:ascii="Verdana" w:hAnsi="Verdana" w:cs="Verdana"/>
          <w:sz w:val="20"/>
          <w:szCs w:val="20"/>
        </w:rPr>
        <w:t>debera</w:t>
      </w:r>
      <w:proofErr w:type="spellEnd"/>
      <w:r w:rsidR="00EB2273" w:rsidRPr="00EB2273">
        <w:rPr>
          <w:rFonts w:ascii="Verdana" w:hAnsi="Verdana" w:cs="Verdana"/>
          <w:sz w:val="20"/>
          <w:szCs w:val="20"/>
        </w:rPr>
        <w:t xml:space="preserve">́ incluir la </w:t>
      </w:r>
      <w:proofErr w:type="spellStart"/>
      <w:r w:rsidR="00EB2273" w:rsidRPr="00EB2273">
        <w:rPr>
          <w:rFonts w:ascii="Verdana" w:hAnsi="Verdana" w:cs="Verdana"/>
          <w:sz w:val="20"/>
          <w:szCs w:val="20"/>
        </w:rPr>
        <w:t>provisión</w:t>
      </w:r>
      <w:proofErr w:type="spellEnd"/>
      <w:r w:rsidR="00EB2273" w:rsidRPr="00EB2273">
        <w:rPr>
          <w:rFonts w:ascii="Verdana" w:hAnsi="Verdana" w:cs="Verdana"/>
          <w:sz w:val="20"/>
          <w:szCs w:val="20"/>
        </w:rPr>
        <w:t xml:space="preserve"> de medicamentos y, en su caso, transporte y otros gastos directamente relacionados y necesarios</w:t>
      </w:r>
      <w:r w:rsidR="00AA0918">
        <w:rPr>
          <w:rFonts w:ascii="Verdana" w:hAnsi="Verdana" w:cs="Verdana"/>
          <w:sz w:val="20"/>
          <w:szCs w:val="20"/>
        </w:rPr>
        <w:t xml:space="preserve">”, </w:t>
      </w:r>
      <w:r w:rsidR="00EB2273">
        <w:rPr>
          <w:rFonts w:ascii="Verdana" w:hAnsi="Verdana" w:cs="Verdana"/>
          <w:sz w:val="20"/>
          <w:szCs w:val="20"/>
        </w:rPr>
        <w:t>debiendo prestarse</w:t>
      </w:r>
      <w:r w:rsidR="00EB2273" w:rsidRPr="00EB2273">
        <w:rPr>
          <w:rFonts w:ascii="Verdana" w:hAnsi="Verdana" w:cs="Verdana"/>
          <w:sz w:val="20"/>
          <w:szCs w:val="20"/>
        </w:rPr>
        <w:t xml:space="preserve"> </w:t>
      </w:r>
      <w:r w:rsidR="00EB2273">
        <w:rPr>
          <w:rFonts w:ascii="Verdana" w:hAnsi="Verdana" w:cs="Verdana"/>
          <w:sz w:val="20"/>
          <w:szCs w:val="20"/>
        </w:rPr>
        <w:t>“</w:t>
      </w:r>
      <w:r w:rsidR="00EB2273" w:rsidRPr="00EB2273">
        <w:rPr>
          <w:rFonts w:ascii="Verdana" w:hAnsi="Verdana" w:cs="Verdana"/>
          <w:sz w:val="20"/>
          <w:szCs w:val="20"/>
        </w:rPr>
        <w:t xml:space="preserve">en la medida de lo posible, en los centros </w:t>
      </w:r>
      <w:proofErr w:type="spellStart"/>
      <w:r w:rsidR="00EB2273" w:rsidRPr="00EB2273">
        <w:rPr>
          <w:rFonts w:ascii="Verdana" w:hAnsi="Verdana" w:cs="Verdana"/>
          <w:sz w:val="20"/>
          <w:szCs w:val="20"/>
        </w:rPr>
        <w:t>más</w:t>
      </w:r>
      <w:proofErr w:type="spellEnd"/>
      <w:r w:rsidR="00EB2273" w:rsidRPr="00EB2273">
        <w:rPr>
          <w:rFonts w:ascii="Verdana" w:hAnsi="Verdana" w:cs="Verdana"/>
          <w:sz w:val="20"/>
          <w:szCs w:val="20"/>
        </w:rPr>
        <w:t xml:space="preserve"> cercanos a sus lugares de residencia</w:t>
      </w:r>
      <w:r w:rsidR="00EB2273">
        <w:rPr>
          <w:rFonts w:ascii="Verdana" w:hAnsi="Verdana" w:cs="Verdana"/>
          <w:sz w:val="20"/>
          <w:szCs w:val="20"/>
        </w:rPr>
        <w:t xml:space="preserve">, por el tiempo que sea necesario”. Asimismo, estableció que México debía “brindar </w:t>
      </w:r>
      <w:r w:rsidR="00EB2273" w:rsidRPr="00EB2273">
        <w:rPr>
          <w:rFonts w:ascii="Verdana" w:hAnsi="Verdana" w:cs="Verdana"/>
          <w:sz w:val="20"/>
          <w:szCs w:val="20"/>
        </w:rPr>
        <w:t xml:space="preserve">gratuitamente, de forma prioritaria, el tratamiento inmediato </w:t>
      </w:r>
      <w:proofErr w:type="spellStart"/>
      <w:r w:rsidR="00EB2273" w:rsidRPr="00EB2273">
        <w:rPr>
          <w:rFonts w:ascii="Verdana" w:hAnsi="Verdana" w:cs="Verdana"/>
          <w:sz w:val="20"/>
          <w:szCs w:val="20"/>
        </w:rPr>
        <w:t>psicológico</w:t>
      </w:r>
      <w:proofErr w:type="spellEnd"/>
      <w:r w:rsidR="00EB2273" w:rsidRPr="00EB2273">
        <w:rPr>
          <w:rFonts w:ascii="Verdana" w:hAnsi="Verdana" w:cs="Verdana"/>
          <w:sz w:val="20"/>
          <w:szCs w:val="20"/>
        </w:rPr>
        <w:t xml:space="preserve"> o </w:t>
      </w:r>
      <w:proofErr w:type="spellStart"/>
      <w:r w:rsidR="00EB2273" w:rsidRPr="00EB2273">
        <w:rPr>
          <w:rFonts w:ascii="Verdana" w:hAnsi="Verdana" w:cs="Verdana"/>
          <w:sz w:val="20"/>
          <w:szCs w:val="20"/>
        </w:rPr>
        <w:t>psiquiátrico</w:t>
      </w:r>
      <w:proofErr w:type="spellEnd"/>
      <w:r w:rsidR="00EB2273" w:rsidRPr="00EB2273">
        <w:rPr>
          <w:rFonts w:ascii="Verdana" w:hAnsi="Verdana" w:cs="Verdana"/>
          <w:sz w:val="20"/>
          <w:szCs w:val="20"/>
        </w:rPr>
        <w:t xml:space="preserve"> adecuado a las </w:t>
      </w:r>
      <w:proofErr w:type="spellStart"/>
      <w:r w:rsidR="00EB2273" w:rsidRPr="00EB2273">
        <w:rPr>
          <w:rFonts w:ascii="Verdana" w:hAnsi="Verdana" w:cs="Verdana"/>
          <w:sz w:val="20"/>
          <w:szCs w:val="20"/>
        </w:rPr>
        <w:lastRenderedPageBreak/>
        <w:t>víctimas</w:t>
      </w:r>
      <w:proofErr w:type="spellEnd"/>
      <w:r w:rsidR="00EB2273" w:rsidRPr="00EB2273">
        <w:rPr>
          <w:rFonts w:ascii="Verdana" w:hAnsi="Verdana" w:cs="Verdana"/>
          <w:sz w:val="20"/>
          <w:szCs w:val="20"/>
        </w:rPr>
        <w:t xml:space="preserve"> que </w:t>
      </w:r>
      <w:proofErr w:type="spellStart"/>
      <w:r w:rsidR="00EB2273" w:rsidRPr="00EB2273">
        <w:rPr>
          <w:rFonts w:ascii="Verdana" w:hAnsi="Verdana" w:cs="Verdana"/>
          <w:sz w:val="20"/>
          <w:szCs w:val="20"/>
        </w:rPr>
        <w:t>asi</w:t>
      </w:r>
      <w:proofErr w:type="spellEnd"/>
      <w:r w:rsidR="00EB2273" w:rsidRPr="00EB2273">
        <w:rPr>
          <w:rFonts w:ascii="Verdana" w:hAnsi="Verdana" w:cs="Verdana"/>
          <w:sz w:val="20"/>
          <w:szCs w:val="20"/>
        </w:rPr>
        <w:t xml:space="preserve">́ lo requieran, incluyendo el suministro gratuito de los medicamentos que eventualmente se requieran, a </w:t>
      </w:r>
      <w:proofErr w:type="spellStart"/>
      <w:r w:rsidR="00EB2273" w:rsidRPr="00EB2273">
        <w:rPr>
          <w:rFonts w:ascii="Verdana" w:hAnsi="Verdana" w:cs="Verdana"/>
          <w:sz w:val="20"/>
          <w:szCs w:val="20"/>
        </w:rPr>
        <w:t>través</w:t>
      </w:r>
      <w:proofErr w:type="spellEnd"/>
      <w:r w:rsidR="00EB2273" w:rsidRPr="00EB2273">
        <w:rPr>
          <w:rFonts w:ascii="Verdana" w:hAnsi="Verdana" w:cs="Verdana"/>
          <w:sz w:val="20"/>
          <w:szCs w:val="20"/>
        </w:rPr>
        <w:t xml:space="preserve"> de sus instituciones de salud especializadas, previa </w:t>
      </w:r>
      <w:proofErr w:type="spellStart"/>
      <w:r w:rsidR="00EB2273" w:rsidRPr="00EB2273">
        <w:rPr>
          <w:rFonts w:ascii="Verdana" w:hAnsi="Verdana" w:cs="Verdana"/>
          <w:sz w:val="20"/>
          <w:szCs w:val="20"/>
        </w:rPr>
        <w:t>manifestación</w:t>
      </w:r>
      <w:proofErr w:type="spellEnd"/>
      <w:r w:rsidR="00EB2273" w:rsidRPr="00EB2273">
        <w:rPr>
          <w:rFonts w:ascii="Verdana" w:hAnsi="Verdana" w:cs="Verdana"/>
          <w:sz w:val="20"/>
          <w:szCs w:val="20"/>
        </w:rPr>
        <w:t xml:space="preserve"> de voluntad de tales </w:t>
      </w:r>
      <w:proofErr w:type="spellStart"/>
      <w:r w:rsidR="00EB2273" w:rsidRPr="00EB2273">
        <w:rPr>
          <w:rFonts w:ascii="Verdana" w:hAnsi="Verdana" w:cs="Verdana"/>
          <w:sz w:val="20"/>
          <w:szCs w:val="20"/>
        </w:rPr>
        <w:t>víctimas</w:t>
      </w:r>
      <w:proofErr w:type="spellEnd"/>
      <w:r w:rsidR="00EB2273">
        <w:rPr>
          <w:rFonts w:ascii="Verdana" w:hAnsi="Verdana" w:cs="Verdana"/>
          <w:sz w:val="20"/>
          <w:szCs w:val="20"/>
        </w:rPr>
        <w:t>”, debiendo considerar “</w:t>
      </w:r>
      <w:r w:rsidR="00EB2273" w:rsidRPr="00EB2273">
        <w:rPr>
          <w:rFonts w:ascii="Verdana" w:hAnsi="Verdana" w:cs="Verdana"/>
          <w:sz w:val="20"/>
          <w:szCs w:val="20"/>
        </w:rPr>
        <w:t xml:space="preserve">las circunstancias y necesidades particulares de cada </w:t>
      </w:r>
      <w:proofErr w:type="spellStart"/>
      <w:r w:rsidR="00EB2273" w:rsidRPr="00EB2273">
        <w:rPr>
          <w:rFonts w:ascii="Verdana" w:hAnsi="Verdana" w:cs="Verdana"/>
          <w:sz w:val="20"/>
          <w:szCs w:val="20"/>
        </w:rPr>
        <w:t>víctima</w:t>
      </w:r>
      <w:proofErr w:type="spellEnd"/>
      <w:r w:rsidR="00EB2273" w:rsidRPr="00EB2273">
        <w:rPr>
          <w:rFonts w:ascii="Verdana" w:hAnsi="Verdana" w:cs="Verdana"/>
          <w:sz w:val="20"/>
          <w:szCs w:val="20"/>
        </w:rPr>
        <w:t xml:space="preserve">, </w:t>
      </w:r>
      <w:proofErr w:type="spellStart"/>
      <w:r w:rsidR="00EB2273" w:rsidRPr="00EB2273">
        <w:rPr>
          <w:rFonts w:ascii="Verdana" w:hAnsi="Verdana" w:cs="Verdana"/>
          <w:sz w:val="20"/>
          <w:szCs w:val="20"/>
        </w:rPr>
        <w:t>según</w:t>
      </w:r>
      <w:proofErr w:type="spellEnd"/>
      <w:r w:rsidR="00EB2273" w:rsidRPr="00EB2273">
        <w:rPr>
          <w:rFonts w:ascii="Verdana" w:hAnsi="Verdana" w:cs="Verdana"/>
          <w:sz w:val="20"/>
          <w:szCs w:val="20"/>
        </w:rPr>
        <w:t xml:space="preserve"> lo que se acuerde con cada una de ellas y </w:t>
      </w:r>
      <w:proofErr w:type="spellStart"/>
      <w:r w:rsidR="00EB2273" w:rsidRPr="00EB2273">
        <w:rPr>
          <w:rFonts w:ascii="Verdana" w:hAnsi="Verdana" w:cs="Verdana"/>
          <w:sz w:val="20"/>
          <w:szCs w:val="20"/>
        </w:rPr>
        <w:t>después</w:t>
      </w:r>
      <w:proofErr w:type="spellEnd"/>
      <w:r w:rsidR="00EB2273" w:rsidRPr="00EB2273">
        <w:rPr>
          <w:rFonts w:ascii="Verdana" w:hAnsi="Verdana" w:cs="Verdana"/>
          <w:sz w:val="20"/>
          <w:szCs w:val="20"/>
        </w:rPr>
        <w:t xml:space="preserve"> de una </w:t>
      </w:r>
      <w:proofErr w:type="spellStart"/>
      <w:r w:rsidR="00EB2273" w:rsidRPr="00EB2273">
        <w:rPr>
          <w:rFonts w:ascii="Verdana" w:hAnsi="Verdana" w:cs="Verdana"/>
          <w:sz w:val="20"/>
          <w:szCs w:val="20"/>
        </w:rPr>
        <w:t>evaluación</w:t>
      </w:r>
      <w:proofErr w:type="spellEnd"/>
      <w:r w:rsidR="00EB2273" w:rsidRPr="00EB2273">
        <w:rPr>
          <w:rFonts w:ascii="Verdana" w:hAnsi="Verdana" w:cs="Verdana"/>
          <w:sz w:val="20"/>
          <w:szCs w:val="20"/>
        </w:rPr>
        <w:t xml:space="preserve"> individual</w:t>
      </w:r>
      <w:r w:rsidR="00EB2273">
        <w:rPr>
          <w:rFonts w:ascii="Verdana" w:hAnsi="Verdana" w:cs="Verdana"/>
          <w:sz w:val="20"/>
          <w:szCs w:val="20"/>
        </w:rPr>
        <w:t>”</w:t>
      </w:r>
      <w:r w:rsidR="00EB2273">
        <w:rPr>
          <w:rStyle w:val="Refdenotaalpie"/>
          <w:rFonts w:ascii="Verdana" w:hAnsi="Verdana" w:cs="Verdana"/>
          <w:sz w:val="20"/>
          <w:szCs w:val="20"/>
        </w:rPr>
        <w:footnoteReference w:id="23"/>
      </w:r>
      <w:r w:rsidR="00EB2273">
        <w:rPr>
          <w:rFonts w:ascii="Verdana" w:hAnsi="Verdana" w:cs="Verdana"/>
          <w:sz w:val="20"/>
          <w:szCs w:val="20"/>
        </w:rPr>
        <w:t xml:space="preserve">. </w:t>
      </w:r>
    </w:p>
    <w:p w14:paraId="48278335" w14:textId="1DD64EC1" w:rsidR="00926BC0" w:rsidRPr="00926BC0" w:rsidRDefault="00926BC0" w:rsidP="00627D9A">
      <w:pPr>
        <w:spacing w:after="200"/>
        <w:ind w:firstLine="360"/>
        <w:jc w:val="both"/>
        <w:rPr>
          <w:rFonts w:ascii="Verdana" w:eastAsia="Times" w:hAnsi="Verdana"/>
          <w:i/>
          <w:sz w:val="20"/>
          <w:lang w:val="es-MX" w:eastAsia="en-US"/>
        </w:rPr>
      </w:pPr>
      <w:r w:rsidRPr="00926BC0">
        <w:rPr>
          <w:rFonts w:ascii="Verdana" w:eastAsia="Times" w:hAnsi="Verdana"/>
          <w:i/>
          <w:sz w:val="20"/>
          <w:lang w:val="es-MX" w:eastAsia="en-US"/>
        </w:rPr>
        <w:t xml:space="preserve">B.2. </w:t>
      </w:r>
      <w:r w:rsidRPr="00926BC0">
        <w:rPr>
          <w:rFonts w:ascii="Verdana" w:eastAsia="Times" w:hAnsi="Verdana"/>
          <w:i/>
          <w:sz w:val="20"/>
          <w:lang w:val="es-CO" w:eastAsia="en-US"/>
        </w:rPr>
        <w:t>Consideraciones de la Corte</w:t>
      </w:r>
    </w:p>
    <w:p w14:paraId="6C943E53" w14:textId="738E8EE9" w:rsidR="00926BC0" w:rsidRPr="00D76550" w:rsidRDefault="00926BC0" w:rsidP="00926BC0">
      <w:pPr>
        <w:numPr>
          <w:ilvl w:val="0"/>
          <w:numId w:val="9"/>
        </w:numPr>
        <w:spacing w:after="200"/>
        <w:ind w:left="0" w:firstLine="0"/>
        <w:jc w:val="both"/>
        <w:rPr>
          <w:rFonts w:ascii="Verdana" w:eastAsia="Times" w:hAnsi="Verdana"/>
          <w:b/>
          <w:sz w:val="20"/>
          <w:lang w:val="es-MX" w:eastAsia="en-US"/>
        </w:rPr>
      </w:pPr>
      <w:r>
        <w:rPr>
          <w:rFonts w:ascii="Verdana" w:eastAsia="Times" w:hAnsi="Verdana"/>
          <w:sz w:val="20"/>
          <w:lang w:val="es-ES" w:eastAsia="en-US"/>
        </w:rPr>
        <w:t xml:space="preserve">Este Tribunal constata que el Estado ha adoptado una serie de medidas para avanzar en el cumplimiento de la presente </w:t>
      </w:r>
      <w:r w:rsidR="000701FC">
        <w:rPr>
          <w:rFonts w:ascii="Verdana" w:eastAsia="Times" w:hAnsi="Verdana"/>
          <w:sz w:val="20"/>
          <w:lang w:val="es-ES" w:eastAsia="en-US"/>
        </w:rPr>
        <w:t>reparación</w:t>
      </w:r>
      <w:r>
        <w:rPr>
          <w:rFonts w:ascii="Verdana" w:eastAsia="Times" w:hAnsi="Verdana"/>
          <w:sz w:val="20"/>
          <w:lang w:val="es-ES" w:eastAsia="en-US"/>
        </w:rPr>
        <w:t>, tales como</w:t>
      </w:r>
      <w:r w:rsidR="000701FC">
        <w:rPr>
          <w:rFonts w:ascii="Verdana" w:eastAsia="Times" w:hAnsi="Verdana"/>
          <w:sz w:val="20"/>
          <w:lang w:val="es-ES" w:eastAsia="en-US"/>
        </w:rPr>
        <w:t>:</w:t>
      </w:r>
      <w:r>
        <w:rPr>
          <w:rFonts w:ascii="Verdana" w:eastAsia="Times" w:hAnsi="Verdana"/>
          <w:sz w:val="20"/>
          <w:lang w:val="es-ES" w:eastAsia="en-US"/>
        </w:rPr>
        <w:t xml:space="preserve"> la creación de </w:t>
      </w:r>
      <w:r>
        <w:rPr>
          <w:rFonts w:ascii="Verdana" w:eastAsia="Times" w:hAnsi="Verdana"/>
          <w:sz w:val="20"/>
          <w:lang w:val="es-MX" w:eastAsia="en-US"/>
        </w:rPr>
        <w:t>un “grupo interdisciplinario de trabajo con diversas instituciones en materia de salud y de atención a víctimas”</w:t>
      </w:r>
      <w:r>
        <w:rPr>
          <w:rStyle w:val="Refdenotaalpie"/>
          <w:rFonts w:ascii="Verdana" w:eastAsia="Times" w:hAnsi="Verdana"/>
          <w:sz w:val="20"/>
          <w:lang w:val="es-MX" w:eastAsia="en-US"/>
        </w:rPr>
        <w:footnoteReference w:id="24"/>
      </w:r>
      <w:r>
        <w:rPr>
          <w:rFonts w:ascii="Verdana" w:eastAsia="Times" w:hAnsi="Verdana"/>
          <w:sz w:val="20"/>
          <w:lang w:val="es-MX" w:eastAsia="en-US"/>
        </w:rPr>
        <w:t xml:space="preserve">; la designación de </w:t>
      </w:r>
      <w:r w:rsidRPr="00F3728D">
        <w:rPr>
          <w:rFonts w:ascii="Verdana" w:eastAsia="Times" w:hAnsi="Verdana"/>
          <w:sz w:val="20"/>
          <w:lang w:val="es-ES" w:eastAsia="en-US"/>
        </w:rPr>
        <w:t xml:space="preserve">los </w:t>
      </w:r>
      <w:r>
        <w:rPr>
          <w:rFonts w:ascii="Verdana" w:eastAsia="Times" w:hAnsi="Verdana"/>
          <w:sz w:val="20"/>
          <w:lang w:val="es-ES" w:eastAsia="en-US"/>
        </w:rPr>
        <w:t>“</w:t>
      </w:r>
      <w:r w:rsidRPr="00F3728D">
        <w:rPr>
          <w:rFonts w:ascii="Verdana" w:eastAsia="Times" w:hAnsi="Verdana"/>
          <w:sz w:val="20"/>
          <w:lang w:val="es-ES" w:eastAsia="en-US"/>
        </w:rPr>
        <w:t>Enlaces Operativos de cada una de las instituciones de salud, con quienes</w:t>
      </w:r>
      <w:r>
        <w:rPr>
          <w:rFonts w:ascii="Verdana" w:eastAsia="Times" w:hAnsi="Verdana"/>
          <w:sz w:val="20"/>
          <w:lang w:val="es-ES" w:eastAsia="en-US"/>
        </w:rPr>
        <w:t xml:space="preserve"> [las víctimas]</w:t>
      </w:r>
      <w:r w:rsidRPr="00F3728D">
        <w:rPr>
          <w:rFonts w:ascii="Verdana" w:eastAsia="Times" w:hAnsi="Verdana"/>
          <w:sz w:val="20"/>
          <w:lang w:val="es-ES" w:eastAsia="en-US"/>
        </w:rPr>
        <w:t xml:space="preserve"> podrán dar</w:t>
      </w:r>
      <w:r>
        <w:rPr>
          <w:rFonts w:ascii="Verdana" w:eastAsia="Times" w:hAnsi="Verdana"/>
          <w:sz w:val="20"/>
          <w:lang w:val="es-ES" w:eastAsia="en-US"/>
        </w:rPr>
        <w:t xml:space="preserve"> </w:t>
      </w:r>
      <w:r w:rsidRPr="00F3728D">
        <w:rPr>
          <w:rFonts w:ascii="Verdana" w:eastAsia="Times" w:hAnsi="Verdana"/>
          <w:sz w:val="20"/>
          <w:lang w:val="es-ES" w:eastAsia="en-US"/>
        </w:rPr>
        <w:t>seguimiento en caso de cualquier emergencia</w:t>
      </w:r>
      <w:r>
        <w:rPr>
          <w:rFonts w:ascii="Verdana" w:eastAsia="Times" w:hAnsi="Verdana"/>
          <w:sz w:val="20"/>
          <w:lang w:val="es-ES" w:eastAsia="en-US"/>
        </w:rPr>
        <w:t>”</w:t>
      </w:r>
      <w:r>
        <w:rPr>
          <w:rStyle w:val="Refdenotaalpie"/>
          <w:rFonts w:ascii="Verdana" w:eastAsia="Times" w:hAnsi="Verdana"/>
          <w:sz w:val="20"/>
          <w:lang w:val="es-ES" w:eastAsia="en-US"/>
        </w:rPr>
        <w:footnoteReference w:id="25"/>
      </w:r>
      <w:r>
        <w:rPr>
          <w:rFonts w:ascii="Verdana" w:eastAsia="Times" w:hAnsi="Verdana"/>
          <w:sz w:val="20"/>
          <w:lang w:val="es-ES" w:eastAsia="en-US"/>
        </w:rPr>
        <w:t>,</w:t>
      </w:r>
      <w:r w:rsidR="000046FE" w:rsidRPr="00B42F79">
        <w:rPr>
          <w:rFonts w:ascii="Verdana" w:eastAsia="Times" w:hAnsi="Verdana"/>
          <w:sz w:val="20"/>
          <w:lang w:val="es-ES" w:eastAsia="en-US"/>
        </w:rPr>
        <w:t xml:space="preserve"> </w:t>
      </w:r>
      <w:r>
        <w:rPr>
          <w:rFonts w:ascii="Verdana" w:eastAsia="Times" w:hAnsi="Verdana"/>
          <w:sz w:val="20"/>
          <w:lang w:val="es-ES" w:eastAsia="en-US"/>
        </w:rPr>
        <w:t xml:space="preserve">y </w:t>
      </w:r>
      <w:r w:rsidRPr="002F6AFF">
        <w:rPr>
          <w:rFonts w:ascii="Verdana" w:eastAsia="Times" w:hAnsi="Verdana"/>
          <w:sz w:val="20"/>
          <w:lang w:val="es-MX" w:eastAsia="en-US"/>
        </w:rPr>
        <w:t>la elaboración</w:t>
      </w:r>
      <w:r w:rsidRPr="00B42F79">
        <w:rPr>
          <w:rFonts w:ascii="Verdana" w:eastAsia="Times" w:hAnsi="Verdana"/>
          <w:sz w:val="20"/>
          <w:lang w:val="es-MX" w:eastAsia="en-US"/>
        </w:rPr>
        <w:t xml:space="preserve"> </w:t>
      </w:r>
      <w:r>
        <w:rPr>
          <w:rFonts w:ascii="Verdana" w:eastAsia="Times" w:hAnsi="Verdana"/>
          <w:sz w:val="20"/>
          <w:lang w:val="es-MX" w:eastAsia="en-US"/>
        </w:rPr>
        <w:t>de</w:t>
      </w:r>
      <w:r>
        <w:rPr>
          <w:rFonts w:ascii="Verdana" w:eastAsia="Times" w:hAnsi="Verdana"/>
          <w:sz w:val="20"/>
          <w:lang w:val="es-ES" w:eastAsia="en-US"/>
        </w:rPr>
        <w:t xml:space="preserve"> </w:t>
      </w:r>
      <w:r>
        <w:rPr>
          <w:rFonts w:ascii="Verdana" w:eastAsia="Times" w:hAnsi="Verdana"/>
          <w:sz w:val="20"/>
          <w:lang w:val="es-MX" w:eastAsia="en-US"/>
        </w:rPr>
        <w:t xml:space="preserve">una “propuesta </w:t>
      </w:r>
      <w:r w:rsidRPr="0039051C">
        <w:rPr>
          <w:rFonts w:ascii="Verdana" w:eastAsia="Times" w:hAnsi="Verdana"/>
          <w:sz w:val="20"/>
          <w:lang w:val="es-MX" w:eastAsia="en-US"/>
        </w:rPr>
        <w:t>de seguimiento de ruta de atención individualizada</w:t>
      </w:r>
      <w:r>
        <w:rPr>
          <w:rFonts w:ascii="Verdana" w:eastAsia="Times" w:hAnsi="Verdana"/>
          <w:sz w:val="20"/>
          <w:lang w:val="es-MX" w:eastAsia="en-US"/>
        </w:rPr>
        <w:t>”</w:t>
      </w:r>
      <w:r>
        <w:rPr>
          <w:rStyle w:val="Refdenotaalpie"/>
          <w:rFonts w:ascii="Verdana" w:eastAsia="Times" w:hAnsi="Verdana"/>
          <w:sz w:val="20"/>
          <w:lang w:val="es-MX" w:eastAsia="en-US"/>
        </w:rPr>
        <w:footnoteReference w:id="26"/>
      </w:r>
      <w:r>
        <w:rPr>
          <w:rFonts w:ascii="Verdana" w:eastAsia="Times" w:hAnsi="Verdana"/>
          <w:sz w:val="20"/>
          <w:lang w:val="es-MX" w:eastAsia="en-US"/>
        </w:rPr>
        <w:t>.</w:t>
      </w:r>
      <w:r w:rsidRPr="00B42F79">
        <w:rPr>
          <w:rFonts w:ascii="Verdana" w:eastAsia="Times" w:hAnsi="Verdana"/>
          <w:sz w:val="20"/>
          <w:lang w:val="es-ES" w:eastAsia="en-US"/>
        </w:rPr>
        <w:t xml:space="preserve"> </w:t>
      </w:r>
      <w:r w:rsidRPr="00731F66">
        <w:rPr>
          <w:rFonts w:ascii="Verdana" w:eastAsia="Times" w:hAnsi="Verdana"/>
          <w:sz w:val="20"/>
          <w:lang w:val="es-ES" w:eastAsia="en-US"/>
        </w:rPr>
        <w:t xml:space="preserve">Asimismo, </w:t>
      </w:r>
      <w:r>
        <w:rPr>
          <w:rFonts w:ascii="Verdana" w:eastAsia="Times" w:hAnsi="Verdana"/>
          <w:sz w:val="20"/>
          <w:lang w:val="es-ES" w:eastAsia="en-US"/>
        </w:rPr>
        <w:t xml:space="preserve">la Corte observa que una de las víctimas ya ha recibido atención médica de </w:t>
      </w:r>
      <w:r w:rsidRPr="00A9506C">
        <w:rPr>
          <w:rFonts w:ascii="Verdana" w:eastAsia="Times" w:hAnsi="Verdana"/>
          <w:sz w:val="20"/>
          <w:lang w:val="es-ES" w:eastAsia="en-US"/>
        </w:rPr>
        <w:t>urgencia</w:t>
      </w:r>
      <w:r w:rsidR="00DB52DF" w:rsidRPr="00A9506C">
        <w:rPr>
          <w:rFonts w:ascii="Verdana" w:eastAsia="Times" w:hAnsi="Verdana"/>
          <w:sz w:val="20"/>
          <w:lang w:val="es-ES" w:eastAsia="en-US"/>
        </w:rPr>
        <w:t>, incluyendo los gastos de traslado</w:t>
      </w:r>
      <w:r w:rsidR="00D72C61">
        <w:rPr>
          <w:rStyle w:val="Refdenotaalpie"/>
          <w:rFonts w:ascii="Verdana" w:eastAsia="Times" w:hAnsi="Verdana"/>
          <w:sz w:val="20"/>
          <w:lang w:val="es-ES" w:eastAsia="en-US"/>
        </w:rPr>
        <w:footnoteReference w:id="27"/>
      </w:r>
      <w:r w:rsidR="00DB52DF" w:rsidRPr="00A9506C">
        <w:rPr>
          <w:rFonts w:ascii="Verdana" w:eastAsia="Times" w:hAnsi="Verdana"/>
          <w:sz w:val="20"/>
          <w:lang w:val="es-ES" w:eastAsia="en-US"/>
        </w:rPr>
        <w:t>,</w:t>
      </w:r>
      <w:r w:rsidR="005629EE" w:rsidRPr="00B42F79">
        <w:rPr>
          <w:rFonts w:ascii="Verdana" w:eastAsia="Times" w:hAnsi="Verdana"/>
          <w:sz w:val="20"/>
          <w:lang w:val="es-ES" w:eastAsia="en-US"/>
        </w:rPr>
        <w:t xml:space="preserve"> </w:t>
      </w:r>
      <w:r>
        <w:rPr>
          <w:rFonts w:ascii="Verdana" w:eastAsia="Times" w:hAnsi="Verdana"/>
          <w:sz w:val="20"/>
          <w:lang w:val="es-ES" w:eastAsia="en-US"/>
        </w:rPr>
        <w:t>y que, e</w:t>
      </w:r>
      <w:r w:rsidRPr="00AA642A">
        <w:rPr>
          <w:rFonts w:ascii="Verdana" w:eastAsia="Times" w:hAnsi="Verdana"/>
          <w:sz w:val="20"/>
          <w:lang w:val="es-ES" w:eastAsia="en-US"/>
        </w:rPr>
        <w:t xml:space="preserve">ntre diciembre </w:t>
      </w:r>
      <w:r>
        <w:rPr>
          <w:rFonts w:ascii="Verdana" w:eastAsia="Times" w:hAnsi="Verdana"/>
          <w:sz w:val="20"/>
          <w:lang w:val="es-ES" w:eastAsia="en-US"/>
        </w:rPr>
        <w:t xml:space="preserve">de 2019 </w:t>
      </w:r>
      <w:r w:rsidRPr="00AA642A">
        <w:rPr>
          <w:rFonts w:ascii="Verdana" w:eastAsia="Times" w:hAnsi="Verdana"/>
          <w:sz w:val="20"/>
          <w:lang w:val="es-ES" w:eastAsia="en-US"/>
        </w:rPr>
        <w:t>y febrero de 2020</w:t>
      </w:r>
      <w:r>
        <w:rPr>
          <w:rFonts w:ascii="Verdana" w:eastAsia="Times" w:hAnsi="Verdana"/>
          <w:sz w:val="20"/>
          <w:lang w:val="es-ES" w:eastAsia="en-US"/>
        </w:rPr>
        <w:t>,</w:t>
      </w:r>
      <w:r w:rsidRPr="00AA642A">
        <w:rPr>
          <w:rFonts w:ascii="Verdana" w:eastAsia="Times" w:hAnsi="Verdana"/>
          <w:sz w:val="20"/>
          <w:lang w:val="es-ES" w:eastAsia="en-US"/>
        </w:rPr>
        <w:t xml:space="preserve"> </w:t>
      </w:r>
      <w:r w:rsidR="00EB2273">
        <w:rPr>
          <w:rFonts w:ascii="Verdana" w:eastAsia="Times" w:hAnsi="Verdana"/>
          <w:sz w:val="20"/>
          <w:lang w:val="es-ES" w:eastAsia="en-US"/>
        </w:rPr>
        <w:t>se convocaron reuniones individuales</w:t>
      </w:r>
      <w:r w:rsidRPr="00AA642A">
        <w:rPr>
          <w:rStyle w:val="Refdenotaalpie"/>
          <w:rFonts w:ascii="Verdana" w:eastAsia="Times" w:hAnsi="Verdana"/>
          <w:sz w:val="20"/>
          <w:lang w:val="es-ES" w:eastAsia="en-US"/>
        </w:rPr>
        <w:footnoteReference w:id="28"/>
      </w:r>
      <w:r w:rsidRPr="00AA642A">
        <w:rPr>
          <w:rFonts w:ascii="Verdana" w:eastAsia="Times" w:hAnsi="Verdana"/>
          <w:sz w:val="20"/>
          <w:lang w:val="es-ES" w:eastAsia="en-US"/>
        </w:rPr>
        <w:t xml:space="preserve"> </w:t>
      </w:r>
      <w:r>
        <w:rPr>
          <w:rFonts w:ascii="Verdana" w:eastAsia="Times" w:hAnsi="Verdana"/>
          <w:sz w:val="20"/>
          <w:lang w:val="es-ES" w:eastAsia="en-US"/>
        </w:rPr>
        <w:t>y</w:t>
      </w:r>
      <w:r w:rsidRPr="00AA642A">
        <w:rPr>
          <w:rFonts w:ascii="Verdana" w:eastAsia="Times" w:hAnsi="Verdana"/>
          <w:sz w:val="20"/>
          <w:lang w:val="es-ES" w:eastAsia="en-US"/>
        </w:rPr>
        <w:t xml:space="preserve"> </w:t>
      </w:r>
      <w:r w:rsidR="00EB2273">
        <w:rPr>
          <w:rFonts w:ascii="Verdana" w:eastAsia="Times" w:hAnsi="Verdana"/>
          <w:sz w:val="20"/>
          <w:lang w:val="es-ES" w:eastAsia="en-US"/>
        </w:rPr>
        <w:t xml:space="preserve">se </w:t>
      </w:r>
      <w:proofErr w:type="gramStart"/>
      <w:r w:rsidR="00EB2273">
        <w:rPr>
          <w:rFonts w:ascii="Verdana" w:eastAsia="Times" w:hAnsi="Verdana"/>
          <w:sz w:val="20"/>
          <w:lang w:val="es-ES" w:eastAsia="en-US"/>
        </w:rPr>
        <w:t>les</w:t>
      </w:r>
      <w:proofErr w:type="gramEnd"/>
      <w:r w:rsidR="00EB2273">
        <w:rPr>
          <w:rFonts w:ascii="Verdana" w:eastAsia="Times" w:hAnsi="Verdana"/>
          <w:sz w:val="20"/>
          <w:lang w:val="es-ES" w:eastAsia="en-US"/>
        </w:rPr>
        <w:t xml:space="preserve"> realizó</w:t>
      </w:r>
      <w:r w:rsidRPr="00AA642A">
        <w:rPr>
          <w:rFonts w:ascii="Verdana" w:eastAsia="Times" w:hAnsi="Verdana"/>
          <w:sz w:val="20"/>
          <w:lang w:val="es-ES" w:eastAsia="en-US"/>
        </w:rPr>
        <w:t xml:space="preserve"> exámenes médicos a diez de las once mujeres</w:t>
      </w:r>
      <w:r>
        <w:rPr>
          <w:rStyle w:val="Refdenotaalpie"/>
          <w:rFonts w:ascii="Verdana" w:eastAsia="Times" w:hAnsi="Verdana"/>
          <w:sz w:val="20"/>
          <w:lang w:val="es-MX" w:eastAsia="en-US"/>
        </w:rPr>
        <w:footnoteReference w:id="29"/>
      </w:r>
      <w:r w:rsidRPr="00AA642A">
        <w:rPr>
          <w:rFonts w:ascii="Verdana" w:eastAsia="Times" w:hAnsi="Verdana"/>
          <w:sz w:val="20"/>
          <w:lang w:val="es-ES" w:eastAsia="en-US"/>
        </w:rPr>
        <w:t>.</w:t>
      </w:r>
      <w:r>
        <w:rPr>
          <w:rFonts w:ascii="Verdana" w:eastAsia="Times" w:hAnsi="Verdana"/>
          <w:sz w:val="20"/>
          <w:lang w:val="es-ES" w:eastAsia="en-US"/>
        </w:rPr>
        <w:t xml:space="preserve"> Con respecto a aquellas víctimas que ya se encontraban bajo atención psicológica o psiquiátrica particular, con el fin de “garantizar la continuidad” de su tratamiento, el Estado les remitió </w:t>
      </w:r>
      <w:r>
        <w:rPr>
          <w:rFonts w:ascii="Verdana" w:eastAsia="Times" w:hAnsi="Verdana"/>
          <w:sz w:val="20"/>
          <w:lang w:val="es-MX" w:eastAsia="en-US"/>
        </w:rPr>
        <w:t xml:space="preserve">información para que </w:t>
      </w:r>
      <w:r w:rsidR="00EB2273">
        <w:rPr>
          <w:rFonts w:ascii="Verdana" w:eastAsia="Times" w:hAnsi="Verdana"/>
          <w:sz w:val="20"/>
          <w:lang w:val="es-MX" w:eastAsia="en-US"/>
        </w:rPr>
        <w:t>pudieran</w:t>
      </w:r>
      <w:r>
        <w:rPr>
          <w:rFonts w:ascii="Verdana" w:eastAsia="Times" w:hAnsi="Verdana"/>
          <w:sz w:val="20"/>
          <w:lang w:val="es-MX" w:eastAsia="en-US"/>
        </w:rPr>
        <w:t xml:space="preserve"> solicitar la “cobertura de los gastos </w:t>
      </w:r>
      <w:r w:rsidRPr="00385BC3">
        <w:rPr>
          <w:rFonts w:ascii="Verdana" w:eastAsia="Times" w:hAnsi="Verdana"/>
          <w:sz w:val="20"/>
          <w:lang w:val="es-MX" w:eastAsia="en-US"/>
        </w:rPr>
        <w:t>de dichos procesos</w:t>
      </w:r>
      <w:r>
        <w:rPr>
          <w:rFonts w:ascii="Verdana" w:eastAsia="Times" w:hAnsi="Verdana"/>
          <w:sz w:val="20"/>
          <w:lang w:val="es-MX" w:eastAsia="en-US"/>
        </w:rPr>
        <w:t>”</w:t>
      </w:r>
      <w:r w:rsidRPr="00385BC3">
        <w:rPr>
          <w:rFonts w:ascii="Verdana" w:eastAsia="Times" w:hAnsi="Verdana"/>
          <w:sz w:val="20"/>
          <w:lang w:val="es-MX" w:eastAsia="en-US"/>
        </w:rPr>
        <w:t xml:space="preserve"> a</w:t>
      </w:r>
      <w:r w:rsidR="00EB2273">
        <w:rPr>
          <w:rFonts w:ascii="Verdana" w:eastAsia="Times" w:hAnsi="Verdana"/>
          <w:sz w:val="20"/>
          <w:lang w:val="es-MX" w:eastAsia="en-US"/>
        </w:rPr>
        <w:t>nte</w:t>
      </w:r>
      <w:r w:rsidRPr="00385BC3">
        <w:rPr>
          <w:rFonts w:ascii="Verdana" w:eastAsia="Times" w:hAnsi="Verdana"/>
          <w:sz w:val="20"/>
          <w:lang w:val="es-MX" w:eastAsia="en-US"/>
        </w:rPr>
        <w:t xml:space="preserve"> la Comisión</w:t>
      </w:r>
      <w:r>
        <w:rPr>
          <w:rFonts w:ascii="Verdana" w:eastAsia="Times" w:hAnsi="Verdana"/>
          <w:sz w:val="20"/>
          <w:lang w:val="es-MX" w:eastAsia="en-US"/>
        </w:rPr>
        <w:t xml:space="preserve"> </w:t>
      </w:r>
      <w:r w:rsidRPr="00385BC3">
        <w:rPr>
          <w:rFonts w:ascii="Verdana" w:eastAsia="Times" w:hAnsi="Verdana"/>
          <w:sz w:val="20"/>
          <w:lang w:val="es-MX" w:eastAsia="en-US"/>
        </w:rPr>
        <w:t>Ejecutiva de Atención a Víc</w:t>
      </w:r>
      <w:r>
        <w:rPr>
          <w:rFonts w:ascii="Verdana" w:eastAsia="Times" w:hAnsi="Verdana"/>
          <w:sz w:val="20"/>
          <w:lang w:val="es-MX" w:eastAsia="en-US"/>
        </w:rPr>
        <w:t>timas</w:t>
      </w:r>
      <w:r>
        <w:rPr>
          <w:rStyle w:val="Refdenotaalpie"/>
          <w:rFonts w:ascii="Verdana" w:eastAsia="Times" w:hAnsi="Verdana"/>
          <w:sz w:val="20"/>
          <w:lang w:val="es-MX" w:eastAsia="en-US"/>
        </w:rPr>
        <w:footnoteReference w:id="30"/>
      </w:r>
      <w:r w:rsidRPr="00385BC3">
        <w:rPr>
          <w:rFonts w:ascii="Verdana" w:eastAsia="Times" w:hAnsi="Verdana"/>
          <w:sz w:val="20"/>
          <w:lang w:val="es-MX" w:eastAsia="en-US"/>
        </w:rPr>
        <w:t>.</w:t>
      </w:r>
    </w:p>
    <w:p w14:paraId="0E27D457" w14:textId="18033341" w:rsidR="00926BC0" w:rsidRPr="00C11353" w:rsidRDefault="00926BC0" w:rsidP="00926BC0">
      <w:pPr>
        <w:numPr>
          <w:ilvl w:val="0"/>
          <w:numId w:val="9"/>
        </w:numPr>
        <w:spacing w:after="200"/>
        <w:ind w:left="0" w:firstLine="0"/>
        <w:jc w:val="both"/>
        <w:rPr>
          <w:rFonts w:ascii="Verdana" w:eastAsia="Times" w:hAnsi="Verdana"/>
          <w:sz w:val="20"/>
          <w:lang w:val="es-MX" w:eastAsia="en-US"/>
        </w:rPr>
      </w:pPr>
      <w:r>
        <w:rPr>
          <w:rFonts w:ascii="Verdana" w:eastAsia="Times" w:hAnsi="Verdana"/>
          <w:sz w:val="20"/>
          <w:lang w:val="es-MX" w:eastAsia="en-US"/>
        </w:rPr>
        <w:t>Asimismo, la Corte observa que, luego de varias reuniones de trabajo</w:t>
      </w:r>
      <w:r>
        <w:rPr>
          <w:rStyle w:val="Refdenotaalpie"/>
          <w:rFonts w:ascii="Verdana" w:eastAsia="Times" w:hAnsi="Verdana"/>
          <w:sz w:val="20"/>
          <w:lang w:val="es-MX" w:eastAsia="en-US"/>
        </w:rPr>
        <w:footnoteReference w:id="31"/>
      </w:r>
      <w:r>
        <w:rPr>
          <w:rFonts w:ascii="Verdana" w:eastAsia="Times" w:hAnsi="Verdana"/>
          <w:sz w:val="20"/>
          <w:lang w:val="es-MX" w:eastAsia="en-US"/>
        </w:rPr>
        <w:t xml:space="preserve"> en las que participaron autoridades estatales, las víctimas y sus representantes, las partes elaboraron, </w:t>
      </w:r>
      <w:r>
        <w:rPr>
          <w:rFonts w:ascii="Verdana" w:eastAsia="Times" w:hAnsi="Verdana"/>
          <w:sz w:val="20"/>
          <w:lang w:val="es-MX" w:eastAsia="en-US"/>
        </w:rPr>
        <w:lastRenderedPageBreak/>
        <w:t>en forma conjunta</w:t>
      </w:r>
      <w:r>
        <w:rPr>
          <w:rStyle w:val="Refdenotaalpie"/>
          <w:rFonts w:ascii="Verdana" w:eastAsia="Times" w:hAnsi="Verdana"/>
          <w:sz w:val="20"/>
          <w:lang w:val="es-MX" w:eastAsia="en-US"/>
        </w:rPr>
        <w:footnoteReference w:id="32"/>
      </w:r>
      <w:r>
        <w:rPr>
          <w:rFonts w:ascii="Verdana" w:eastAsia="Times" w:hAnsi="Verdana"/>
          <w:sz w:val="20"/>
          <w:lang w:val="es-MX" w:eastAsia="en-US"/>
        </w:rPr>
        <w:t xml:space="preserve">, un documento que plasma </w:t>
      </w:r>
      <w:r w:rsidR="00121EB0">
        <w:rPr>
          <w:rFonts w:ascii="Verdana" w:eastAsia="Times" w:hAnsi="Verdana"/>
          <w:sz w:val="20"/>
          <w:lang w:val="es-MX" w:eastAsia="en-US"/>
        </w:rPr>
        <w:t>una propuesta de</w:t>
      </w:r>
      <w:r>
        <w:rPr>
          <w:rFonts w:ascii="Verdana" w:eastAsia="Times" w:hAnsi="Verdana"/>
          <w:sz w:val="20"/>
          <w:lang w:val="es-MX" w:eastAsia="en-US"/>
        </w:rPr>
        <w:t xml:space="preserve"> “</w:t>
      </w:r>
      <w:r w:rsidRPr="00CD4312">
        <w:rPr>
          <w:rFonts w:ascii="Verdana" w:eastAsia="Times" w:hAnsi="Verdana"/>
          <w:sz w:val="20"/>
          <w:lang w:val="es-MX" w:eastAsia="en-US"/>
        </w:rPr>
        <w:t>Lineamientos para la Atención Individualizada de las Víctimas</w:t>
      </w:r>
      <w:r>
        <w:rPr>
          <w:rFonts w:ascii="Verdana" w:eastAsia="Times" w:hAnsi="Verdana"/>
          <w:sz w:val="20"/>
          <w:lang w:val="es-MX" w:eastAsia="en-US"/>
        </w:rPr>
        <w:t>” del presente caso (en adelante, los “Lineamientos”), los cuales “regirán el cumplimiento” de la medida ordenada en el punto resolutivo décimo de la Sentencia</w:t>
      </w:r>
      <w:r>
        <w:rPr>
          <w:rStyle w:val="Refdenotaalpie"/>
          <w:rFonts w:ascii="Verdana" w:eastAsia="Times" w:hAnsi="Verdana"/>
          <w:sz w:val="20"/>
          <w:lang w:val="es-MX" w:eastAsia="en-US"/>
        </w:rPr>
        <w:footnoteReference w:id="33"/>
      </w:r>
      <w:r>
        <w:rPr>
          <w:rFonts w:ascii="Verdana" w:eastAsia="Times" w:hAnsi="Verdana"/>
          <w:sz w:val="20"/>
          <w:lang w:val="es-MX" w:eastAsia="en-US"/>
        </w:rPr>
        <w:t xml:space="preserve">. </w:t>
      </w:r>
      <w:r w:rsidRPr="0056136A">
        <w:rPr>
          <w:rFonts w:ascii="Verdana" w:eastAsia="Times" w:hAnsi="Verdana"/>
          <w:sz w:val="20"/>
          <w:lang w:val="es-MX" w:eastAsia="en-US"/>
        </w:rPr>
        <w:t>Según surge del informe estatal más reciente, dicho documento se encuentra “en análisis de las Unidades Jurídicas de las dependencias intervinientes para el dictamen de procedencia pertinente”</w:t>
      </w:r>
      <w:r>
        <w:rPr>
          <w:rStyle w:val="Refdenotaalpie"/>
          <w:rFonts w:ascii="Verdana" w:eastAsia="Times" w:hAnsi="Verdana"/>
          <w:sz w:val="20"/>
          <w:lang w:val="es-MX" w:eastAsia="en-US"/>
        </w:rPr>
        <w:footnoteReference w:id="34"/>
      </w:r>
      <w:r w:rsidRPr="0056136A">
        <w:rPr>
          <w:rFonts w:ascii="Verdana" w:eastAsia="Times" w:hAnsi="Verdana"/>
          <w:sz w:val="20"/>
          <w:lang w:val="es-MX" w:eastAsia="en-US"/>
        </w:rPr>
        <w:t>.</w:t>
      </w:r>
    </w:p>
    <w:p w14:paraId="2909CD85" w14:textId="7AE0511E" w:rsidR="00926BC0" w:rsidRPr="00A26808" w:rsidRDefault="00926BC0" w:rsidP="00926BC0">
      <w:pPr>
        <w:numPr>
          <w:ilvl w:val="0"/>
          <w:numId w:val="9"/>
        </w:numPr>
        <w:spacing w:after="200"/>
        <w:ind w:left="0" w:firstLine="0"/>
        <w:jc w:val="both"/>
        <w:rPr>
          <w:rFonts w:ascii="Verdana" w:eastAsia="Times" w:hAnsi="Verdana"/>
          <w:sz w:val="20"/>
          <w:lang w:val="es-MX" w:eastAsia="en-US"/>
        </w:rPr>
      </w:pPr>
      <w:r>
        <w:rPr>
          <w:rFonts w:ascii="Verdana" w:eastAsia="Times" w:hAnsi="Verdana"/>
          <w:sz w:val="20"/>
          <w:szCs w:val="20"/>
          <w:lang w:val="es-MX" w:eastAsia="en-US"/>
        </w:rPr>
        <w:t>Al respecto, l</w:t>
      </w:r>
      <w:r w:rsidR="00204442">
        <w:rPr>
          <w:rFonts w:ascii="Verdana" w:eastAsia="Times" w:hAnsi="Verdana"/>
          <w:sz w:val="20"/>
          <w:szCs w:val="20"/>
          <w:lang w:val="es-MX" w:eastAsia="en-US"/>
        </w:rPr>
        <w:t>a</w:t>
      </w:r>
      <w:r w:rsidRPr="00C11353">
        <w:rPr>
          <w:rFonts w:ascii="Verdana" w:eastAsia="Times" w:hAnsi="Verdana"/>
          <w:sz w:val="20"/>
          <w:szCs w:val="20"/>
          <w:lang w:val="es-MX" w:eastAsia="en-US"/>
        </w:rPr>
        <w:t xml:space="preserve">s representantes </w:t>
      </w:r>
      <w:r>
        <w:rPr>
          <w:rFonts w:ascii="Verdana" w:eastAsia="Times" w:hAnsi="Verdana"/>
          <w:sz w:val="20"/>
          <w:lang w:val="es-MX" w:eastAsia="en-US"/>
        </w:rPr>
        <w:t>“saluda[ron]</w:t>
      </w:r>
      <w:r w:rsidRPr="009063A3">
        <w:rPr>
          <w:rFonts w:ascii="Verdana" w:eastAsia="Times" w:hAnsi="Verdana"/>
          <w:sz w:val="20"/>
          <w:lang w:val="es-MX" w:eastAsia="en-US"/>
        </w:rPr>
        <w:t xml:space="preserve"> los avances significativos y los esfuerzos</w:t>
      </w:r>
      <w:r>
        <w:rPr>
          <w:rFonts w:ascii="Verdana" w:eastAsia="Times" w:hAnsi="Verdana"/>
          <w:sz w:val="20"/>
          <w:lang w:val="es-MX" w:eastAsia="en-US"/>
        </w:rPr>
        <w:t xml:space="preserve"> </w:t>
      </w:r>
      <w:r w:rsidRPr="009063A3">
        <w:rPr>
          <w:rFonts w:ascii="Verdana" w:eastAsia="Times" w:hAnsi="Verdana"/>
          <w:sz w:val="20"/>
          <w:lang w:val="es-MX" w:eastAsia="en-US"/>
        </w:rPr>
        <w:t>institucionales por implementar esta medida</w:t>
      </w:r>
      <w:r w:rsidR="00987960">
        <w:rPr>
          <w:rFonts w:ascii="Verdana" w:eastAsia="Times" w:hAnsi="Verdana"/>
          <w:sz w:val="20"/>
          <w:lang w:val="es-MX" w:eastAsia="en-US"/>
        </w:rPr>
        <w:t>”; no obstante, observaron que</w:t>
      </w:r>
      <w:r>
        <w:rPr>
          <w:rFonts w:ascii="Verdana" w:eastAsia="Times" w:hAnsi="Verdana"/>
          <w:sz w:val="20"/>
          <w:lang w:val="es-MX" w:eastAsia="en-US"/>
        </w:rPr>
        <w:t xml:space="preserve"> aún estaba pendiente “</w:t>
      </w:r>
      <w:r w:rsidRPr="00F93A54">
        <w:rPr>
          <w:rFonts w:ascii="Verdana" w:eastAsia="Times" w:hAnsi="Verdana"/>
          <w:sz w:val="20"/>
          <w:lang w:val="es-MX" w:eastAsia="en-US"/>
        </w:rPr>
        <w:t>terminar de activar la última ruta de salud</w:t>
      </w:r>
      <w:r>
        <w:rPr>
          <w:rFonts w:ascii="Verdana" w:eastAsia="Times" w:hAnsi="Verdana"/>
          <w:sz w:val="20"/>
          <w:lang w:val="es-MX" w:eastAsia="en-US"/>
        </w:rPr>
        <w:t>” (</w:t>
      </w:r>
      <w:r>
        <w:rPr>
          <w:rFonts w:ascii="Verdana" w:eastAsia="Times" w:hAnsi="Verdana"/>
          <w:i/>
          <w:sz w:val="20"/>
          <w:lang w:val="es-MX" w:eastAsia="en-US"/>
        </w:rPr>
        <w:t xml:space="preserve">supra </w:t>
      </w:r>
      <w:r w:rsidR="00987960" w:rsidRPr="00CE2385">
        <w:rPr>
          <w:rFonts w:ascii="Verdana" w:eastAsia="Times" w:hAnsi="Verdana"/>
          <w:sz w:val="20"/>
          <w:lang w:val="es-MX" w:eastAsia="en-US"/>
        </w:rPr>
        <w:t xml:space="preserve">Considerando </w:t>
      </w:r>
      <w:r w:rsidR="00583D80" w:rsidRPr="00CE2385">
        <w:rPr>
          <w:rFonts w:ascii="Verdana" w:eastAsia="Times" w:hAnsi="Verdana"/>
          <w:sz w:val="20"/>
          <w:lang w:val="es-MX" w:eastAsia="en-US"/>
        </w:rPr>
        <w:t>12</w:t>
      </w:r>
      <w:r w:rsidR="00987960" w:rsidRPr="00CE2385">
        <w:rPr>
          <w:rFonts w:ascii="Verdana" w:eastAsia="Times" w:hAnsi="Verdana"/>
          <w:sz w:val="20"/>
          <w:lang w:val="es-MX" w:eastAsia="en-US"/>
        </w:rPr>
        <w:t>),</w:t>
      </w:r>
      <w:r w:rsidR="00987960">
        <w:rPr>
          <w:rFonts w:ascii="Verdana" w:eastAsia="Times" w:hAnsi="Verdana"/>
          <w:sz w:val="20"/>
          <w:lang w:val="es-MX" w:eastAsia="en-US"/>
        </w:rPr>
        <w:t xml:space="preserve"> y resaltaron que </w:t>
      </w:r>
      <w:r w:rsidRPr="00A26808">
        <w:rPr>
          <w:rFonts w:ascii="Verdana" w:eastAsia="Times" w:hAnsi="Verdana"/>
          <w:sz w:val="20"/>
          <w:szCs w:val="20"/>
          <w:lang w:val="es-MX" w:eastAsia="en-US"/>
        </w:rPr>
        <w:t xml:space="preserve">el borrador final de </w:t>
      </w:r>
      <w:r>
        <w:rPr>
          <w:rFonts w:ascii="Verdana" w:eastAsia="Times" w:hAnsi="Verdana"/>
          <w:sz w:val="20"/>
          <w:szCs w:val="20"/>
          <w:lang w:val="es-MX" w:eastAsia="en-US"/>
        </w:rPr>
        <w:t>los “Lineamientos”</w:t>
      </w:r>
      <w:r w:rsidRPr="00A26808">
        <w:rPr>
          <w:rFonts w:ascii="Verdana" w:eastAsia="Times" w:hAnsi="Verdana"/>
          <w:sz w:val="20"/>
          <w:szCs w:val="20"/>
          <w:lang w:val="es-MX" w:eastAsia="en-US"/>
        </w:rPr>
        <w:t xml:space="preserve"> –el cual</w:t>
      </w:r>
      <w:r w:rsidRPr="00A26808">
        <w:rPr>
          <w:rFonts w:ascii="Verdana" w:eastAsia="Times" w:hAnsi="Verdana"/>
          <w:b/>
          <w:sz w:val="20"/>
          <w:szCs w:val="20"/>
          <w:lang w:val="es-MX" w:eastAsia="en-US"/>
        </w:rPr>
        <w:t xml:space="preserve"> </w:t>
      </w:r>
      <w:r w:rsidR="009F1F40">
        <w:rPr>
          <w:rFonts w:ascii="Verdana" w:hAnsi="Verdana"/>
          <w:sz w:val="20"/>
          <w:szCs w:val="20"/>
          <w:lang w:val="es-MX"/>
        </w:rPr>
        <w:t>incluiría</w:t>
      </w:r>
      <w:r w:rsidRPr="00A26808">
        <w:rPr>
          <w:rFonts w:ascii="Verdana" w:hAnsi="Verdana"/>
          <w:sz w:val="20"/>
          <w:szCs w:val="20"/>
          <w:lang w:val="es-MX"/>
        </w:rPr>
        <w:t xml:space="preserve"> una cláusula estipulando que el mismo será remitido a este Tribunal “como parte del cumplimiento del punto resolutivo 10 de la Sentencia”</w:t>
      </w:r>
      <w:r w:rsidRPr="00A26808">
        <w:rPr>
          <w:rFonts w:ascii="Verdana" w:eastAsia="Times" w:hAnsi="Verdana"/>
          <w:sz w:val="20"/>
          <w:szCs w:val="20"/>
          <w:lang w:val="es-MX" w:eastAsia="en-US"/>
        </w:rPr>
        <w:t>–</w:t>
      </w:r>
      <w:r w:rsidRPr="00A26808">
        <w:rPr>
          <w:rFonts w:ascii="Verdana" w:hAnsi="Verdana"/>
          <w:sz w:val="20"/>
          <w:szCs w:val="20"/>
          <w:lang w:val="es-MX"/>
        </w:rPr>
        <w:t xml:space="preserve"> </w:t>
      </w:r>
      <w:r w:rsidRPr="00A26808">
        <w:rPr>
          <w:rFonts w:ascii="Verdana" w:eastAsia="Times" w:hAnsi="Verdana"/>
          <w:sz w:val="20"/>
          <w:szCs w:val="20"/>
          <w:lang w:val="es-MX" w:eastAsia="en-US"/>
        </w:rPr>
        <w:t xml:space="preserve">se encontraba </w:t>
      </w:r>
      <w:r w:rsidRPr="00A26808">
        <w:rPr>
          <w:rFonts w:ascii="Verdana" w:eastAsia="Times" w:hAnsi="Verdana"/>
          <w:sz w:val="20"/>
          <w:lang w:val="es-MX" w:eastAsia="en-US"/>
        </w:rPr>
        <w:t>finalizado desde octubre de 2019, sin perjuicio de lo cual llevaba “varios meses bajo revisión de las áreas jurídicas de las instituciones públicas y aún no ha[</w:t>
      </w:r>
      <w:proofErr w:type="spellStart"/>
      <w:r w:rsidRPr="00A26808">
        <w:rPr>
          <w:rFonts w:ascii="Verdana" w:eastAsia="Times" w:hAnsi="Verdana"/>
          <w:sz w:val="20"/>
          <w:lang w:val="es-MX" w:eastAsia="en-US"/>
        </w:rPr>
        <w:t>bía</w:t>
      </w:r>
      <w:proofErr w:type="spellEnd"/>
      <w:r w:rsidRPr="00A26808">
        <w:rPr>
          <w:rFonts w:ascii="Verdana" w:eastAsia="Times" w:hAnsi="Verdana"/>
          <w:sz w:val="20"/>
          <w:lang w:val="es-MX" w:eastAsia="en-US"/>
        </w:rPr>
        <w:t xml:space="preserve">] sido firmado”. Dada la </w:t>
      </w:r>
      <w:proofErr w:type="spellStart"/>
      <w:r w:rsidRPr="00A26808">
        <w:rPr>
          <w:rFonts w:ascii="Verdana" w:eastAsia="Times" w:hAnsi="Verdana"/>
          <w:sz w:val="20"/>
          <w:lang w:val="es-MX" w:eastAsia="en-US"/>
        </w:rPr>
        <w:t>importantancia</w:t>
      </w:r>
      <w:proofErr w:type="spellEnd"/>
      <w:r w:rsidRPr="00A26808">
        <w:rPr>
          <w:rFonts w:ascii="Verdana" w:eastAsia="Times" w:hAnsi="Verdana"/>
          <w:sz w:val="20"/>
          <w:lang w:val="es-MX" w:eastAsia="en-US"/>
        </w:rPr>
        <w:t xml:space="preserve"> que reviste</w:t>
      </w:r>
      <w:r w:rsidR="009F1F40">
        <w:rPr>
          <w:rFonts w:ascii="Verdana" w:eastAsia="Times" w:hAnsi="Verdana"/>
          <w:sz w:val="20"/>
          <w:lang w:val="es-MX" w:eastAsia="en-US"/>
        </w:rPr>
        <w:t xml:space="preserve"> para las representantes</w:t>
      </w:r>
      <w:r w:rsidRPr="00A26808">
        <w:rPr>
          <w:rFonts w:ascii="Verdana" w:eastAsia="Times" w:hAnsi="Verdana"/>
          <w:sz w:val="20"/>
          <w:lang w:val="es-MX" w:eastAsia="en-US"/>
        </w:rPr>
        <w:t xml:space="preserve"> el “esquema interinstitucional establecido con el Estado” a fin de posibilitar el cumplimiento de la presente medida y “garantizar la continuidad de la atención a mediano y largo plazo”, solicitaron a la Corte “</w:t>
      </w:r>
      <w:proofErr w:type="spellStart"/>
      <w:r w:rsidRPr="00A26808">
        <w:rPr>
          <w:rFonts w:ascii="Verdana" w:eastAsia="Times" w:hAnsi="Verdana"/>
          <w:sz w:val="20"/>
          <w:lang w:val="es-MX" w:eastAsia="en-US"/>
        </w:rPr>
        <w:t>contin</w:t>
      </w:r>
      <w:proofErr w:type="spellEnd"/>
      <w:r w:rsidRPr="00A26808">
        <w:rPr>
          <w:rFonts w:ascii="Verdana" w:eastAsia="Times" w:hAnsi="Verdana"/>
          <w:sz w:val="20"/>
          <w:lang w:val="es-MX" w:eastAsia="en-US"/>
        </w:rPr>
        <w:t>[</w:t>
      </w:r>
      <w:proofErr w:type="spellStart"/>
      <w:r w:rsidRPr="00A26808">
        <w:rPr>
          <w:rFonts w:ascii="Verdana" w:eastAsia="Times" w:hAnsi="Verdana"/>
          <w:sz w:val="20"/>
          <w:lang w:val="es-MX" w:eastAsia="en-US"/>
        </w:rPr>
        <w:t>uar</w:t>
      </w:r>
      <w:proofErr w:type="spellEnd"/>
      <w:r w:rsidRPr="00A26808">
        <w:rPr>
          <w:rFonts w:ascii="Verdana" w:eastAsia="Times" w:hAnsi="Verdana"/>
          <w:sz w:val="20"/>
          <w:lang w:val="es-MX" w:eastAsia="en-US"/>
        </w:rPr>
        <w:t>] supervisando el cumplimiento de esta medida hasta que se formalice el documento que da forma al [referido] esquema de atención”</w:t>
      </w:r>
      <w:r>
        <w:rPr>
          <w:rStyle w:val="Refdenotaalpie"/>
          <w:rFonts w:ascii="Verdana" w:eastAsia="Times" w:hAnsi="Verdana"/>
          <w:sz w:val="20"/>
          <w:lang w:val="es-MX" w:eastAsia="en-US"/>
        </w:rPr>
        <w:footnoteReference w:id="35"/>
      </w:r>
      <w:r w:rsidRPr="00A26808">
        <w:rPr>
          <w:rFonts w:ascii="Verdana" w:eastAsia="Times" w:hAnsi="Verdana"/>
          <w:sz w:val="20"/>
          <w:lang w:val="es-MX" w:eastAsia="en-US"/>
        </w:rPr>
        <w:t>.</w:t>
      </w:r>
    </w:p>
    <w:p w14:paraId="35E3485B" w14:textId="5AA8F145" w:rsidR="007B08F5" w:rsidRPr="00627D9A" w:rsidRDefault="00926BC0" w:rsidP="007B08F5">
      <w:pPr>
        <w:numPr>
          <w:ilvl w:val="0"/>
          <w:numId w:val="9"/>
        </w:numPr>
        <w:spacing w:after="200"/>
        <w:ind w:left="0" w:firstLine="0"/>
        <w:jc w:val="both"/>
        <w:rPr>
          <w:rFonts w:ascii="Verdana" w:eastAsia="Times" w:hAnsi="Verdana"/>
          <w:sz w:val="20"/>
          <w:lang w:val="es-MX" w:eastAsia="en-US"/>
        </w:rPr>
      </w:pPr>
      <w:r w:rsidRPr="00A26808">
        <w:rPr>
          <w:rFonts w:ascii="Verdana" w:eastAsia="Times" w:hAnsi="Verdana"/>
          <w:sz w:val="20"/>
          <w:lang w:val="es-MX" w:eastAsia="en-US"/>
        </w:rPr>
        <w:t>La Comisión, por su parte, “valor[</w:t>
      </w:r>
      <w:proofErr w:type="spellStart"/>
      <w:r w:rsidRPr="00A26808">
        <w:rPr>
          <w:rFonts w:ascii="Verdana" w:eastAsia="Times" w:hAnsi="Verdana"/>
          <w:sz w:val="20"/>
          <w:lang w:val="es-MX" w:eastAsia="en-US"/>
        </w:rPr>
        <w:t>ó</w:t>
      </w:r>
      <w:proofErr w:type="spellEnd"/>
      <w:r w:rsidRPr="00A26808">
        <w:rPr>
          <w:rFonts w:ascii="Verdana" w:eastAsia="Times" w:hAnsi="Verdana"/>
          <w:sz w:val="20"/>
          <w:lang w:val="es-MX" w:eastAsia="en-US"/>
        </w:rPr>
        <w:t>] positivamente los avances” en el cumplimiento de la presente medida y resaltó la importancia de “formalizar, a la brevedad”, los referidos Lineamientos</w:t>
      </w:r>
      <w:r w:rsidR="003A66F3">
        <w:rPr>
          <w:rStyle w:val="Refdenotaalpie"/>
          <w:rFonts w:ascii="Verdana" w:eastAsia="Times" w:hAnsi="Verdana"/>
          <w:sz w:val="20"/>
          <w:lang w:val="es-MX" w:eastAsia="en-US"/>
        </w:rPr>
        <w:footnoteReference w:id="36"/>
      </w:r>
      <w:r w:rsidRPr="00A26808">
        <w:rPr>
          <w:rFonts w:ascii="Verdana" w:eastAsia="Times" w:hAnsi="Verdana"/>
          <w:sz w:val="20"/>
          <w:lang w:val="es-MX" w:eastAsia="en-US"/>
        </w:rPr>
        <w:t>.</w:t>
      </w:r>
    </w:p>
    <w:p w14:paraId="431FCA93" w14:textId="79657229" w:rsidR="005629EE" w:rsidRPr="003C0613" w:rsidRDefault="00926BC0" w:rsidP="003C0613">
      <w:pPr>
        <w:numPr>
          <w:ilvl w:val="0"/>
          <w:numId w:val="9"/>
        </w:numPr>
        <w:spacing w:after="200"/>
        <w:ind w:left="0" w:firstLine="0"/>
        <w:jc w:val="both"/>
        <w:rPr>
          <w:rFonts w:ascii="Verdana" w:eastAsia="Times" w:hAnsi="Verdana"/>
          <w:sz w:val="20"/>
          <w:lang w:val="es-MX" w:eastAsia="en-US"/>
        </w:rPr>
      </w:pPr>
      <w:r w:rsidRPr="005629EE">
        <w:rPr>
          <w:rFonts w:ascii="Verdana" w:eastAsia="Times" w:hAnsi="Verdana"/>
          <w:sz w:val="20"/>
          <w:lang w:val="es-MX" w:eastAsia="en-US"/>
        </w:rPr>
        <w:t xml:space="preserve">Este Tribunal valora positivamente las </w:t>
      </w:r>
      <w:r w:rsidRPr="005629EE">
        <w:rPr>
          <w:rFonts w:ascii="Verdana" w:eastAsia="Times" w:hAnsi="Verdana"/>
          <w:sz w:val="20"/>
          <w:lang w:val="es-ES" w:eastAsia="en-US"/>
        </w:rPr>
        <w:t xml:space="preserve">medidas adoptadas por el Estado para avanzar en el cumplimiento de la presente </w:t>
      </w:r>
      <w:r w:rsidR="00B936FB">
        <w:rPr>
          <w:rFonts w:ascii="Verdana" w:eastAsia="Times" w:hAnsi="Verdana"/>
          <w:sz w:val="20"/>
          <w:lang w:val="es-ES" w:eastAsia="en-US"/>
        </w:rPr>
        <w:t>reparación</w:t>
      </w:r>
      <w:r w:rsidRPr="005629EE">
        <w:rPr>
          <w:rFonts w:ascii="Verdana" w:eastAsia="Times" w:hAnsi="Verdana"/>
          <w:sz w:val="20"/>
          <w:lang w:val="es-ES" w:eastAsia="en-US"/>
        </w:rPr>
        <w:t xml:space="preserve"> </w:t>
      </w:r>
      <w:r w:rsidR="009A488D" w:rsidRPr="005629EE">
        <w:rPr>
          <w:rFonts w:ascii="Verdana" w:eastAsia="Times" w:hAnsi="Verdana"/>
          <w:sz w:val="20"/>
          <w:lang w:val="es-ES" w:eastAsia="en-US"/>
        </w:rPr>
        <w:t xml:space="preserve">a través de una </w:t>
      </w:r>
      <w:r w:rsidRPr="005629EE">
        <w:rPr>
          <w:rFonts w:ascii="Verdana" w:eastAsia="Times" w:hAnsi="Verdana"/>
          <w:sz w:val="20"/>
          <w:lang w:val="es-ES" w:eastAsia="en-US"/>
        </w:rPr>
        <w:t>“</w:t>
      </w:r>
      <w:r w:rsidRPr="005629EE">
        <w:rPr>
          <w:rFonts w:ascii="Verdana" w:eastAsia="Times" w:hAnsi="Verdana"/>
          <w:sz w:val="20"/>
          <w:lang w:val="es-MX" w:eastAsia="en-US"/>
        </w:rPr>
        <w:t xml:space="preserve">propuesta de seguimiento de ruta de atención individualizada” </w:t>
      </w:r>
      <w:r w:rsidR="009A488D" w:rsidRPr="00E631C1">
        <w:rPr>
          <w:rFonts w:ascii="Verdana" w:eastAsia="Times" w:hAnsi="Verdana"/>
          <w:sz w:val="20"/>
          <w:lang w:val="es-MX" w:eastAsia="en-US"/>
        </w:rPr>
        <w:t xml:space="preserve">y que se ha </w:t>
      </w:r>
      <w:r w:rsidR="00987960">
        <w:rPr>
          <w:rFonts w:ascii="Verdana" w:eastAsia="Times" w:hAnsi="Verdana"/>
          <w:sz w:val="20"/>
          <w:lang w:val="es-MX" w:eastAsia="en-US"/>
        </w:rPr>
        <w:t xml:space="preserve">venido </w:t>
      </w:r>
      <w:r w:rsidR="009A488D" w:rsidRPr="00E631C1">
        <w:rPr>
          <w:rFonts w:ascii="Verdana" w:eastAsia="Times" w:hAnsi="Verdana"/>
          <w:sz w:val="20"/>
          <w:lang w:val="es-MX" w:eastAsia="en-US"/>
        </w:rPr>
        <w:t>brindado algún tipo de atención médica a diez de las once víctimas</w:t>
      </w:r>
      <w:r w:rsidR="009A488D" w:rsidRPr="005629EE">
        <w:rPr>
          <w:rFonts w:ascii="Verdana" w:eastAsia="Times" w:hAnsi="Verdana"/>
          <w:sz w:val="20"/>
          <w:lang w:val="es-MX" w:eastAsia="en-US"/>
        </w:rPr>
        <w:t xml:space="preserve"> (</w:t>
      </w:r>
      <w:r w:rsidR="009A488D" w:rsidRPr="00987960">
        <w:rPr>
          <w:rFonts w:ascii="Verdana" w:eastAsia="Times" w:hAnsi="Verdana"/>
          <w:i/>
          <w:sz w:val="20"/>
          <w:lang w:val="es-MX" w:eastAsia="en-US"/>
        </w:rPr>
        <w:t>supra</w:t>
      </w:r>
      <w:r w:rsidR="009A488D" w:rsidRPr="005629EE">
        <w:rPr>
          <w:rFonts w:ascii="Verdana" w:eastAsia="Times" w:hAnsi="Verdana"/>
          <w:sz w:val="20"/>
          <w:lang w:val="es-MX" w:eastAsia="en-US"/>
        </w:rPr>
        <w:t xml:space="preserve"> Considerando </w:t>
      </w:r>
      <w:r w:rsidR="004724DF" w:rsidRPr="00717DB0">
        <w:rPr>
          <w:rFonts w:ascii="Verdana" w:eastAsia="Times" w:hAnsi="Verdana"/>
          <w:sz w:val="20"/>
          <w:lang w:val="es-MX" w:eastAsia="en-US"/>
        </w:rPr>
        <w:t>12</w:t>
      </w:r>
      <w:r w:rsidR="009A488D" w:rsidRPr="00717DB0">
        <w:rPr>
          <w:rFonts w:ascii="Verdana" w:eastAsia="Times" w:hAnsi="Verdana"/>
          <w:sz w:val="20"/>
          <w:lang w:val="es-MX" w:eastAsia="en-US"/>
        </w:rPr>
        <w:t>)</w:t>
      </w:r>
      <w:r w:rsidRPr="00717DB0">
        <w:rPr>
          <w:rFonts w:ascii="Verdana" w:eastAsia="Times" w:hAnsi="Verdana"/>
          <w:sz w:val="20"/>
          <w:lang w:val="es-ES" w:eastAsia="en-US"/>
        </w:rPr>
        <w:t>.</w:t>
      </w:r>
      <w:r w:rsidRPr="005629EE">
        <w:rPr>
          <w:rFonts w:ascii="Verdana" w:eastAsia="Times" w:hAnsi="Verdana"/>
          <w:sz w:val="20"/>
          <w:lang w:val="es-MX" w:eastAsia="en-US"/>
        </w:rPr>
        <w:t xml:space="preserve"> </w:t>
      </w:r>
      <w:r w:rsidR="003C1435" w:rsidRPr="005629EE">
        <w:rPr>
          <w:rFonts w:ascii="Verdana" w:eastAsia="Times" w:hAnsi="Verdana"/>
          <w:sz w:val="20"/>
          <w:lang w:val="es-MX" w:eastAsia="en-US"/>
        </w:rPr>
        <w:t xml:space="preserve">La Corte destaca, particularmente, la comunicación mantenida entre las partes para avanzar en </w:t>
      </w:r>
      <w:r w:rsidR="00987960">
        <w:rPr>
          <w:rFonts w:ascii="Verdana" w:eastAsia="Times" w:hAnsi="Verdana"/>
          <w:sz w:val="20"/>
          <w:lang w:val="es-MX" w:eastAsia="en-US"/>
        </w:rPr>
        <w:t xml:space="preserve">la elaboración de </w:t>
      </w:r>
      <w:r w:rsidR="005629EE" w:rsidRPr="005629EE">
        <w:rPr>
          <w:rFonts w:ascii="Verdana" w:eastAsia="Times" w:hAnsi="Verdana"/>
          <w:sz w:val="20"/>
          <w:lang w:val="es-MX" w:eastAsia="en-US"/>
        </w:rPr>
        <w:t xml:space="preserve">los </w:t>
      </w:r>
      <w:r w:rsidR="003C1435" w:rsidRPr="005629EE">
        <w:rPr>
          <w:rFonts w:ascii="Verdana" w:eastAsia="Times" w:hAnsi="Verdana"/>
          <w:sz w:val="20"/>
          <w:lang w:val="es-MX" w:eastAsia="en-US"/>
        </w:rPr>
        <w:t>“Lineamientos para la Atención Individualizada de las Víctimas”</w:t>
      </w:r>
      <w:r w:rsidR="00717DB0">
        <w:rPr>
          <w:rFonts w:ascii="Verdana" w:eastAsia="Times" w:hAnsi="Verdana"/>
          <w:sz w:val="20"/>
          <w:lang w:val="es-MX" w:eastAsia="en-US"/>
        </w:rPr>
        <w:t xml:space="preserve"> (</w:t>
      </w:r>
      <w:r w:rsidR="00717DB0">
        <w:rPr>
          <w:rFonts w:ascii="Verdana" w:eastAsia="Times" w:hAnsi="Verdana"/>
          <w:i/>
          <w:sz w:val="20"/>
          <w:lang w:val="es-MX" w:eastAsia="en-US"/>
        </w:rPr>
        <w:t xml:space="preserve">supra </w:t>
      </w:r>
      <w:r w:rsidR="00717DB0">
        <w:rPr>
          <w:rFonts w:ascii="Verdana" w:eastAsia="Times" w:hAnsi="Verdana"/>
          <w:sz w:val="20"/>
          <w:lang w:val="es-MX" w:eastAsia="en-US"/>
        </w:rPr>
        <w:t>Considerando 13)</w:t>
      </w:r>
      <w:r w:rsidR="005629EE" w:rsidRPr="005629EE">
        <w:rPr>
          <w:rFonts w:ascii="Verdana" w:eastAsia="Times" w:hAnsi="Verdana"/>
          <w:sz w:val="20"/>
          <w:lang w:val="es-MX" w:eastAsia="en-US"/>
        </w:rPr>
        <w:t>.</w:t>
      </w:r>
      <w:r w:rsidR="003C1435" w:rsidRPr="005629EE">
        <w:rPr>
          <w:rFonts w:ascii="Verdana" w:eastAsia="Times" w:hAnsi="Verdana"/>
          <w:sz w:val="20"/>
          <w:lang w:val="es-MX" w:eastAsia="en-US"/>
        </w:rPr>
        <w:t xml:space="preserve"> Según lo descrito </w:t>
      </w:r>
      <w:r w:rsidR="003C1435" w:rsidRPr="005629EE">
        <w:rPr>
          <w:rFonts w:ascii="Verdana" w:eastAsia="Times" w:hAnsi="Verdana"/>
          <w:sz w:val="20"/>
          <w:lang w:val="es-MX" w:eastAsia="en-US"/>
        </w:rPr>
        <w:lastRenderedPageBreak/>
        <w:t xml:space="preserve">por las partes, su contenido procura contemplar </w:t>
      </w:r>
      <w:r w:rsidR="00E45088" w:rsidRPr="005629EE">
        <w:rPr>
          <w:rFonts w:ascii="Verdana" w:eastAsia="Times" w:hAnsi="Verdana"/>
          <w:sz w:val="20"/>
          <w:lang w:val="es-MX" w:eastAsia="en-US"/>
        </w:rPr>
        <w:t>las disposiciones necesarias para que la medida sea</w:t>
      </w:r>
      <w:r w:rsidR="003C1435" w:rsidRPr="005629EE">
        <w:rPr>
          <w:rFonts w:ascii="Verdana" w:eastAsia="Times" w:hAnsi="Verdana"/>
          <w:sz w:val="20"/>
          <w:lang w:val="es-MX" w:eastAsia="en-US"/>
        </w:rPr>
        <w:t xml:space="preserve"> implementada </w:t>
      </w:r>
      <w:r w:rsidR="00E45088" w:rsidRPr="005629EE">
        <w:rPr>
          <w:rFonts w:ascii="Verdana" w:eastAsia="Times" w:hAnsi="Verdana"/>
          <w:sz w:val="20"/>
          <w:lang w:val="es-MX" w:eastAsia="en-US"/>
        </w:rPr>
        <w:t xml:space="preserve">conforme a </w:t>
      </w:r>
      <w:r w:rsidR="003C1435" w:rsidRPr="005629EE">
        <w:rPr>
          <w:rFonts w:ascii="Verdana" w:eastAsia="Times" w:hAnsi="Verdana"/>
          <w:sz w:val="20"/>
          <w:lang w:val="es-MX" w:eastAsia="en-US"/>
        </w:rPr>
        <w:t>los parámetros fijados en la Sentencia</w:t>
      </w:r>
      <w:r w:rsidR="00E45088" w:rsidRPr="005629EE">
        <w:rPr>
          <w:rFonts w:ascii="Verdana" w:eastAsia="Times" w:hAnsi="Verdana"/>
          <w:sz w:val="20"/>
          <w:lang w:val="es-MX" w:eastAsia="en-US"/>
        </w:rPr>
        <w:t>. Con anterioridad</w:t>
      </w:r>
      <w:r w:rsidR="00183C9B" w:rsidRPr="005629EE">
        <w:rPr>
          <w:rFonts w:ascii="Verdana" w:eastAsia="Times" w:hAnsi="Verdana"/>
          <w:sz w:val="20"/>
          <w:lang w:val="es-MX" w:eastAsia="en-US"/>
        </w:rPr>
        <w:t xml:space="preserve">, en otros casos </w:t>
      </w:r>
      <w:r w:rsidR="003C0613">
        <w:rPr>
          <w:rFonts w:ascii="Verdana" w:eastAsia="Times" w:hAnsi="Verdana"/>
          <w:sz w:val="20"/>
          <w:lang w:val="es-MX" w:eastAsia="en-US"/>
        </w:rPr>
        <w:t>contra</w:t>
      </w:r>
      <w:r w:rsidR="00183C9B" w:rsidRPr="005629EE">
        <w:rPr>
          <w:rFonts w:ascii="Verdana" w:eastAsia="Times" w:hAnsi="Verdana"/>
          <w:sz w:val="20"/>
          <w:lang w:val="es-MX" w:eastAsia="en-US"/>
        </w:rPr>
        <w:t xml:space="preserve"> México</w:t>
      </w:r>
      <w:r w:rsidR="00BF56C8">
        <w:rPr>
          <w:rStyle w:val="Refdenotaalpie"/>
          <w:rFonts w:ascii="Verdana" w:eastAsia="Times" w:hAnsi="Verdana"/>
          <w:sz w:val="20"/>
          <w:lang w:val="es-MX" w:eastAsia="en-US"/>
        </w:rPr>
        <w:footnoteReference w:id="37"/>
      </w:r>
      <w:r w:rsidR="00183C9B" w:rsidRPr="005629EE">
        <w:rPr>
          <w:rFonts w:ascii="Verdana" w:eastAsia="Times" w:hAnsi="Verdana"/>
          <w:sz w:val="20"/>
          <w:lang w:val="es-MX" w:eastAsia="en-US"/>
        </w:rPr>
        <w:t>,</w:t>
      </w:r>
      <w:r w:rsidR="00E45088" w:rsidRPr="005629EE">
        <w:rPr>
          <w:rFonts w:ascii="Verdana" w:eastAsia="Times" w:hAnsi="Verdana"/>
          <w:sz w:val="20"/>
          <w:lang w:val="es-MX" w:eastAsia="en-US"/>
        </w:rPr>
        <w:t xml:space="preserve"> esta C</w:t>
      </w:r>
      <w:r w:rsidR="00183C9B" w:rsidRPr="005629EE">
        <w:rPr>
          <w:rFonts w:ascii="Verdana" w:eastAsia="Times" w:hAnsi="Verdana"/>
          <w:sz w:val="20"/>
          <w:lang w:val="es-MX" w:eastAsia="en-US"/>
        </w:rPr>
        <w:t>orte ha destacado</w:t>
      </w:r>
      <w:r w:rsidR="00E45088" w:rsidRPr="005629EE">
        <w:rPr>
          <w:rFonts w:ascii="Verdana" w:eastAsia="Times" w:hAnsi="Verdana"/>
          <w:sz w:val="20"/>
          <w:lang w:val="es-MX" w:eastAsia="en-US"/>
        </w:rPr>
        <w:t xml:space="preserve"> como </w:t>
      </w:r>
      <w:r w:rsidR="00183C9B" w:rsidRPr="005629EE">
        <w:rPr>
          <w:rFonts w:ascii="Verdana" w:eastAsia="Times" w:hAnsi="Verdana"/>
          <w:sz w:val="20"/>
          <w:lang w:val="es-MX" w:eastAsia="en-US"/>
        </w:rPr>
        <w:t xml:space="preserve">positivo este </w:t>
      </w:r>
      <w:r w:rsidR="00E45088" w:rsidRPr="005629EE">
        <w:rPr>
          <w:rFonts w:ascii="Verdana" w:eastAsia="Times" w:hAnsi="Verdana"/>
          <w:sz w:val="20"/>
          <w:lang w:val="es-MX" w:eastAsia="en-US"/>
        </w:rPr>
        <w:t xml:space="preserve">tipo de acuerdos </w:t>
      </w:r>
      <w:r w:rsidR="00183C9B" w:rsidRPr="005629EE">
        <w:rPr>
          <w:rFonts w:ascii="Verdana" w:eastAsia="Times" w:hAnsi="Verdana"/>
          <w:sz w:val="20"/>
          <w:lang w:val="es-MX" w:eastAsia="en-US"/>
        </w:rPr>
        <w:t xml:space="preserve">cuando aportan </w:t>
      </w:r>
      <w:r w:rsidR="00E45088" w:rsidRPr="005629EE">
        <w:rPr>
          <w:rFonts w:ascii="Verdana" w:eastAsia="Times" w:hAnsi="Verdana"/>
          <w:sz w:val="20"/>
          <w:lang w:val="es-MX" w:eastAsia="en-US"/>
        </w:rPr>
        <w:t>mayor seguridad jurídica</w:t>
      </w:r>
      <w:r w:rsidR="00183C9B" w:rsidRPr="005629EE">
        <w:rPr>
          <w:rFonts w:ascii="Verdana" w:eastAsia="Times" w:hAnsi="Verdana"/>
          <w:sz w:val="20"/>
          <w:lang w:val="es-MX" w:eastAsia="en-US"/>
        </w:rPr>
        <w:t xml:space="preserve"> respecto a que el Estado </w:t>
      </w:r>
      <w:r w:rsidR="00BF56C8" w:rsidRPr="005629EE">
        <w:rPr>
          <w:rFonts w:ascii="Verdana" w:eastAsia="Times" w:hAnsi="Verdana"/>
          <w:sz w:val="20"/>
          <w:lang w:val="es-MX" w:eastAsia="en-US"/>
        </w:rPr>
        <w:t xml:space="preserve">ha efectuado las previsiones y coordinaciones necesarias para </w:t>
      </w:r>
      <w:r w:rsidR="00183C9B" w:rsidRPr="005629EE">
        <w:rPr>
          <w:rFonts w:ascii="Verdana" w:eastAsia="Times" w:hAnsi="Verdana"/>
          <w:sz w:val="20"/>
          <w:lang w:val="es-MX" w:eastAsia="en-US"/>
        </w:rPr>
        <w:t>brindar la atención médica y psicológica de acuerdo a tales parámetros.</w:t>
      </w:r>
      <w:r w:rsidR="005629EE">
        <w:rPr>
          <w:rFonts w:ascii="Verdana" w:eastAsia="Times" w:hAnsi="Verdana"/>
          <w:sz w:val="20"/>
          <w:lang w:val="es-MX" w:eastAsia="en-US"/>
        </w:rPr>
        <w:t xml:space="preserve"> </w:t>
      </w:r>
      <w:r w:rsidR="00987960" w:rsidRPr="003C0613">
        <w:rPr>
          <w:rFonts w:ascii="Verdana" w:hAnsi="Verdana" w:cs="Verdana"/>
          <w:sz w:val="20"/>
          <w:szCs w:val="20"/>
        </w:rPr>
        <w:t xml:space="preserve">Al respecto, este Tribunal toma nota de que los referidos “Lineamientos” se encuentran bajo análisis de los organismos estatales correspondientes y queda </w:t>
      </w:r>
      <w:r w:rsidR="005629EE" w:rsidRPr="003C0613">
        <w:rPr>
          <w:rFonts w:ascii="Verdana" w:eastAsia="Times" w:hAnsi="Verdana"/>
          <w:sz w:val="20"/>
          <w:lang w:val="es-MX" w:eastAsia="en-US"/>
        </w:rPr>
        <w:t xml:space="preserve">pendiente de recibir información actualizada respecto </w:t>
      </w:r>
      <w:r w:rsidR="00987960" w:rsidRPr="003C0613">
        <w:rPr>
          <w:rFonts w:ascii="Verdana" w:eastAsia="Times" w:hAnsi="Verdana"/>
          <w:sz w:val="20"/>
          <w:lang w:val="es-MX" w:eastAsia="en-US"/>
        </w:rPr>
        <w:t>de</w:t>
      </w:r>
      <w:r w:rsidR="005629EE" w:rsidRPr="003C0613">
        <w:rPr>
          <w:rFonts w:ascii="Verdana" w:eastAsia="Times" w:hAnsi="Verdana"/>
          <w:sz w:val="20"/>
          <w:lang w:val="es-MX" w:eastAsia="en-US"/>
        </w:rPr>
        <w:t xml:space="preserve"> su eventual suscripción.</w:t>
      </w:r>
    </w:p>
    <w:p w14:paraId="770AEDCE" w14:textId="43A5C56C" w:rsidR="00926BC0" w:rsidRPr="00DD731C" w:rsidRDefault="00926BC0" w:rsidP="00926BC0">
      <w:pPr>
        <w:numPr>
          <w:ilvl w:val="0"/>
          <w:numId w:val="9"/>
        </w:numPr>
        <w:spacing w:after="200"/>
        <w:ind w:left="0" w:firstLine="0"/>
        <w:jc w:val="both"/>
        <w:rPr>
          <w:rFonts w:ascii="Verdana" w:eastAsia="Times" w:hAnsi="Verdana"/>
          <w:sz w:val="20"/>
          <w:lang w:val="es-MX" w:eastAsia="en-US"/>
        </w:rPr>
      </w:pPr>
      <w:r w:rsidRPr="00DD731C">
        <w:rPr>
          <w:rFonts w:ascii="Verdana" w:hAnsi="Verdana"/>
          <w:sz w:val="20"/>
          <w:szCs w:val="20"/>
          <w:lang w:val="es-ES"/>
        </w:rPr>
        <w:t xml:space="preserve">Con base en las consideraciones expuestas, la Corte considera que </w:t>
      </w:r>
      <w:r>
        <w:rPr>
          <w:rFonts w:ascii="Verdana" w:hAnsi="Verdana"/>
          <w:sz w:val="20"/>
          <w:szCs w:val="20"/>
          <w:lang w:val="es-ES"/>
        </w:rPr>
        <w:t>México</w:t>
      </w:r>
      <w:r w:rsidRPr="00DD731C">
        <w:rPr>
          <w:rFonts w:ascii="Verdana" w:hAnsi="Verdana"/>
          <w:sz w:val="20"/>
          <w:szCs w:val="20"/>
          <w:lang w:val="es-ES"/>
        </w:rPr>
        <w:t xml:space="preserve"> ha venido dando cumplimiento y debe continuar implementando, en los </w:t>
      </w:r>
      <w:proofErr w:type="spellStart"/>
      <w:r w:rsidRPr="00DD731C">
        <w:rPr>
          <w:rFonts w:ascii="Verdana" w:hAnsi="Verdana"/>
          <w:sz w:val="20"/>
          <w:szCs w:val="20"/>
          <w:lang w:val="es-ES"/>
        </w:rPr>
        <w:t>términos</w:t>
      </w:r>
      <w:proofErr w:type="spellEnd"/>
      <w:r w:rsidRPr="00DD731C">
        <w:rPr>
          <w:rFonts w:ascii="Verdana" w:hAnsi="Verdana"/>
          <w:sz w:val="20"/>
          <w:szCs w:val="20"/>
          <w:lang w:val="es-ES"/>
        </w:rPr>
        <w:t xml:space="preserve"> dispuestos en la Sentencia, la medida ordenada en el punto resolutivo </w:t>
      </w:r>
      <w:proofErr w:type="spellStart"/>
      <w:r w:rsidRPr="00DD731C">
        <w:rPr>
          <w:rFonts w:ascii="Verdana" w:hAnsi="Verdana"/>
          <w:sz w:val="20"/>
          <w:szCs w:val="20"/>
          <w:lang w:val="es-ES"/>
        </w:rPr>
        <w:t>décimo</w:t>
      </w:r>
      <w:proofErr w:type="spellEnd"/>
      <w:r w:rsidRPr="00DD731C">
        <w:rPr>
          <w:rFonts w:ascii="Verdana" w:hAnsi="Verdana"/>
          <w:sz w:val="20"/>
          <w:szCs w:val="20"/>
          <w:lang w:val="es-ES"/>
        </w:rPr>
        <w:t xml:space="preserve"> de la misma, relativa a </w:t>
      </w:r>
      <w:r w:rsidR="009F1F40">
        <w:rPr>
          <w:rFonts w:ascii="Verdana" w:hAnsi="Verdana"/>
          <w:sz w:val="20"/>
          <w:szCs w:val="20"/>
          <w:lang w:val="es-ES"/>
        </w:rPr>
        <w:t xml:space="preserve">brindar </w:t>
      </w:r>
      <w:r w:rsidRPr="001905B8">
        <w:rPr>
          <w:rFonts w:ascii="Verdana" w:hAnsi="Verdana" w:cs="Verdana"/>
          <w:sz w:val="20"/>
          <w:szCs w:val="20"/>
        </w:rPr>
        <w:t xml:space="preserve">tratamiento médico </w:t>
      </w:r>
      <w:r w:rsidR="009F1F40">
        <w:rPr>
          <w:rFonts w:ascii="Verdana" w:hAnsi="Verdana" w:cs="Verdana"/>
          <w:sz w:val="20"/>
          <w:szCs w:val="20"/>
        </w:rPr>
        <w:t>a las once mujeres víctimas del caso, así como tratamiento</w:t>
      </w:r>
      <w:r w:rsidRPr="001905B8">
        <w:rPr>
          <w:rFonts w:ascii="Verdana" w:hAnsi="Verdana" w:cs="Verdana"/>
          <w:sz w:val="20"/>
          <w:szCs w:val="20"/>
        </w:rPr>
        <w:t xml:space="preserve"> psicológico o psiquiátrico</w:t>
      </w:r>
      <w:r>
        <w:rPr>
          <w:rFonts w:ascii="Verdana" w:hAnsi="Verdana" w:cs="Verdana"/>
          <w:sz w:val="20"/>
          <w:szCs w:val="20"/>
        </w:rPr>
        <w:t xml:space="preserve"> </w:t>
      </w:r>
      <w:r w:rsidRPr="001905B8">
        <w:rPr>
          <w:rFonts w:ascii="Verdana" w:hAnsi="Verdana" w:cs="Verdana"/>
          <w:sz w:val="20"/>
          <w:szCs w:val="20"/>
        </w:rPr>
        <w:t xml:space="preserve">a las víctimas </w:t>
      </w:r>
      <w:r w:rsidR="009F1F40">
        <w:rPr>
          <w:rFonts w:ascii="Verdana" w:hAnsi="Verdana" w:cs="Verdana"/>
          <w:sz w:val="20"/>
          <w:szCs w:val="20"/>
        </w:rPr>
        <w:t>que así lo soliciten</w:t>
      </w:r>
      <w:r>
        <w:rPr>
          <w:rFonts w:ascii="Verdana" w:hAnsi="Verdana" w:cs="Verdana"/>
          <w:sz w:val="20"/>
          <w:szCs w:val="20"/>
        </w:rPr>
        <w:t xml:space="preserve">. </w:t>
      </w:r>
    </w:p>
    <w:p w14:paraId="0ADE0133" w14:textId="77777777" w:rsidR="00926BC0" w:rsidRPr="00926BC0" w:rsidRDefault="00926BC0" w:rsidP="00926BC0">
      <w:pPr>
        <w:spacing w:after="200"/>
        <w:jc w:val="both"/>
        <w:rPr>
          <w:rFonts w:ascii="Verdana" w:hAnsi="Verdana" w:cs="Verdana"/>
          <w:sz w:val="20"/>
          <w:szCs w:val="20"/>
          <w:lang w:val="es-MX"/>
        </w:rPr>
      </w:pPr>
    </w:p>
    <w:p w14:paraId="61CEF35B" w14:textId="77777777" w:rsidR="00A14092" w:rsidRDefault="006007F3" w:rsidP="006007F3">
      <w:pPr>
        <w:widowControl w:val="0"/>
        <w:numPr>
          <w:ilvl w:val="0"/>
          <w:numId w:val="15"/>
        </w:numPr>
        <w:spacing w:before="120" w:after="120"/>
        <w:jc w:val="both"/>
        <w:outlineLvl w:val="0"/>
        <w:rPr>
          <w:rFonts w:ascii="Verdana" w:hAnsi="Verdana" w:cs="Verdana"/>
          <w:i/>
          <w:sz w:val="20"/>
          <w:szCs w:val="20"/>
          <w:lang w:val="es-MX"/>
        </w:rPr>
      </w:pPr>
      <w:bookmarkStart w:id="6" w:name="_Toc54301846"/>
      <w:bookmarkStart w:id="7" w:name="_Toc57748148"/>
      <w:r w:rsidRPr="006007F3">
        <w:rPr>
          <w:rFonts w:ascii="Verdana" w:eastAsia="Times" w:hAnsi="Verdana"/>
          <w:b/>
          <w:i/>
          <w:sz w:val="20"/>
          <w:lang w:val="es-ES_tradnl" w:eastAsia="en-US"/>
        </w:rPr>
        <w:t>P</w:t>
      </w:r>
      <w:r>
        <w:rPr>
          <w:rFonts w:ascii="Verdana" w:eastAsia="Times" w:hAnsi="Verdana"/>
          <w:b/>
          <w:i/>
          <w:sz w:val="20"/>
          <w:lang w:val="es-ES_tradnl" w:eastAsia="en-US"/>
        </w:rPr>
        <w:t>ublicación y difusión de la Sentencia</w:t>
      </w:r>
      <w:bookmarkEnd w:id="6"/>
      <w:bookmarkEnd w:id="7"/>
      <w:r w:rsidRPr="006007F3">
        <w:rPr>
          <w:rFonts w:ascii="Verdana" w:hAnsi="Verdana" w:cs="Verdana"/>
          <w:i/>
          <w:sz w:val="20"/>
          <w:szCs w:val="20"/>
          <w:lang w:val="es-MX"/>
        </w:rPr>
        <w:t xml:space="preserve"> </w:t>
      </w:r>
    </w:p>
    <w:p w14:paraId="5B5ACD7D" w14:textId="50F4CCD4" w:rsidR="00D71427" w:rsidRDefault="00D71427" w:rsidP="00627D9A">
      <w:pPr>
        <w:spacing w:after="200"/>
        <w:ind w:firstLine="360"/>
        <w:jc w:val="both"/>
        <w:rPr>
          <w:rFonts w:ascii="Verdana" w:hAnsi="Verdana" w:cs="Verdana"/>
          <w:i/>
          <w:sz w:val="20"/>
          <w:szCs w:val="20"/>
          <w:lang w:val="es-MX"/>
        </w:rPr>
      </w:pPr>
      <w:bookmarkStart w:id="8" w:name="_Toc51054685"/>
      <w:bookmarkStart w:id="9" w:name="_Toc54301847"/>
      <w:r>
        <w:rPr>
          <w:rFonts w:ascii="Verdana" w:hAnsi="Verdana" w:cs="Verdana"/>
          <w:i/>
          <w:sz w:val="20"/>
          <w:szCs w:val="20"/>
          <w:lang w:val="es-MX"/>
        </w:rPr>
        <w:t xml:space="preserve">C.1. </w:t>
      </w:r>
      <w:r w:rsidRPr="00627D9A">
        <w:rPr>
          <w:rFonts w:ascii="Verdana" w:eastAsia="Times" w:hAnsi="Verdana"/>
          <w:i/>
          <w:sz w:val="20"/>
          <w:lang w:val="es-CO" w:eastAsia="en-US"/>
        </w:rPr>
        <w:t>Medida</w:t>
      </w:r>
      <w:r w:rsidR="00D76D3E">
        <w:rPr>
          <w:rFonts w:ascii="Verdana" w:eastAsia="Times" w:hAnsi="Verdana"/>
          <w:i/>
          <w:sz w:val="20"/>
          <w:lang w:val="es-CO" w:eastAsia="en-US"/>
        </w:rPr>
        <w:t>s</w:t>
      </w:r>
      <w:r>
        <w:rPr>
          <w:rFonts w:ascii="Verdana" w:hAnsi="Verdana" w:cs="Verdana"/>
          <w:i/>
          <w:sz w:val="20"/>
          <w:szCs w:val="20"/>
          <w:lang w:val="es-MX"/>
        </w:rPr>
        <w:t xml:space="preserve"> ordenada</w:t>
      </w:r>
      <w:r w:rsidR="00D76D3E">
        <w:rPr>
          <w:rFonts w:ascii="Verdana" w:hAnsi="Verdana" w:cs="Verdana"/>
          <w:i/>
          <w:sz w:val="20"/>
          <w:szCs w:val="20"/>
          <w:lang w:val="es-MX"/>
        </w:rPr>
        <w:t>s</w:t>
      </w:r>
      <w:r>
        <w:rPr>
          <w:rFonts w:ascii="Verdana" w:hAnsi="Verdana" w:cs="Verdana"/>
          <w:i/>
          <w:sz w:val="20"/>
          <w:szCs w:val="20"/>
          <w:lang w:val="es-MX"/>
        </w:rPr>
        <w:t xml:space="preserve"> por la Corte</w:t>
      </w:r>
      <w:bookmarkEnd w:id="8"/>
      <w:bookmarkEnd w:id="9"/>
    </w:p>
    <w:p w14:paraId="458A0FAC" w14:textId="3230DB1F" w:rsidR="00D83446" w:rsidRPr="00D83446" w:rsidRDefault="00CE12C9" w:rsidP="00CE12C9">
      <w:pPr>
        <w:numPr>
          <w:ilvl w:val="0"/>
          <w:numId w:val="9"/>
        </w:numPr>
        <w:spacing w:after="200"/>
        <w:ind w:left="0" w:firstLine="0"/>
        <w:jc w:val="both"/>
        <w:rPr>
          <w:rFonts w:ascii="Verdana" w:hAnsi="Verdana" w:cs="Verdana"/>
          <w:sz w:val="20"/>
          <w:szCs w:val="20"/>
          <w:lang w:val="es-MX"/>
        </w:rPr>
      </w:pPr>
      <w:r>
        <w:rPr>
          <w:rFonts w:ascii="Verdana" w:hAnsi="Verdana" w:cs="Verdana"/>
          <w:sz w:val="20"/>
          <w:szCs w:val="20"/>
          <w:lang w:val="es-MX"/>
        </w:rPr>
        <w:t xml:space="preserve">En el punto resolutivo </w:t>
      </w:r>
      <w:r w:rsidR="00B906DA">
        <w:rPr>
          <w:rFonts w:ascii="Verdana" w:hAnsi="Verdana" w:cs="Verdana"/>
          <w:sz w:val="20"/>
          <w:szCs w:val="20"/>
          <w:lang w:val="es-MX"/>
        </w:rPr>
        <w:t>décimo primero</w:t>
      </w:r>
      <w:r>
        <w:rPr>
          <w:rFonts w:ascii="Verdana" w:hAnsi="Verdana" w:cs="Verdana"/>
          <w:sz w:val="20"/>
          <w:szCs w:val="20"/>
          <w:lang w:val="es-MX"/>
        </w:rPr>
        <w:t xml:space="preserve"> y en los párrafos 344 y 345 de la Sentencia, la Corte dispuso </w:t>
      </w:r>
      <w:r w:rsidRPr="00CE12C9">
        <w:rPr>
          <w:rFonts w:ascii="Verdana" w:hAnsi="Verdana" w:cs="Verdana"/>
          <w:sz w:val="20"/>
          <w:szCs w:val="20"/>
        </w:rPr>
        <w:t>que el Estado debía publicar, en el plazo de seis meses contado a partir de la notificación de la Sentencia:</w:t>
      </w:r>
      <w:r>
        <w:rPr>
          <w:rFonts w:ascii="Verdana" w:hAnsi="Verdana" w:cs="Verdana"/>
          <w:sz w:val="20"/>
          <w:szCs w:val="20"/>
        </w:rPr>
        <w:t xml:space="preserve"> “</w:t>
      </w:r>
      <w:r w:rsidRPr="00CE12C9">
        <w:rPr>
          <w:rFonts w:ascii="Verdana" w:hAnsi="Verdana" w:cs="Verdana"/>
          <w:sz w:val="20"/>
          <w:szCs w:val="20"/>
        </w:rPr>
        <w:t xml:space="preserve">a) el resumen oficial de la Sentencia elaborado por la Corte, por una sola vez, en el Diario Oficial, en un diario de amplia circulación nacional y en un diario de amplia circulación en el estado de México, en un tamaño de letra legible y adecuado, y b) la </w:t>
      </w:r>
      <w:r w:rsidR="005C1CB7">
        <w:rPr>
          <w:rFonts w:ascii="Verdana" w:hAnsi="Verdana" w:cs="Verdana"/>
          <w:sz w:val="20"/>
          <w:szCs w:val="20"/>
        </w:rPr>
        <w:t>[…]</w:t>
      </w:r>
      <w:r w:rsidRPr="00CE12C9">
        <w:rPr>
          <w:rFonts w:ascii="Verdana" w:hAnsi="Verdana" w:cs="Verdana"/>
          <w:sz w:val="20"/>
          <w:szCs w:val="20"/>
        </w:rPr>
        <w:t xml:space="preserve"> Sentencia en su integridad, disponible al menos por un período de un año, en los sitios web de la Secretaría de Relaciones Exteriores y del Gobierno del estado de México, de manera accesible al público desde las páginas de inicio de los referidos sitio</w:t>
      </w:r>
      <w:r w:rsidR="005C1CB7">
        <w:rPr>
          <w:rFonts w:ascii="Verdana" w:hAnsi="Verdana" w:cs="Verdana"/>
          <w:sz w:val="20"/>
          <w:szCs w:val="20"/>
        </w:rPr>
        <w:t>s</w:t>
      </w:r>
      <w:r w:rsidRPr="00CE12C9">
        <w:rPr>
          <w:rFonts w:ascii="Verdana" w:hAnsi="Verdana" w:cs="Verdana"/>
          <w:sz w:val="20"/>
          <w:szCs w:val="20"/>
        </w:rPr>
        <w:t xml:space="preserve"> web</w:t>
      </w:r>
      <w:r>
        <w:rPr>
          <w:rFonts w:ascii="Verdana" w:hAnsi="Verdana" w:cs="Verdana"/>
          <w:sz w:val="20"/>
          <w:szCs w:val="20"/>
        </w:rPr>
        <w:t>”</w:t>
      </w:r>
      <w:r w:rsidR="005C1CB7">
        <w:rPr>
          <w:rStyle w:val="Refdenotaalpie"/>
          <w:rFonts w:ascii="Verdana" w:hAnsi="Verdana" w:cs="Verdana"/>
          <w:sz w:val="20"/>
          <w:szCs w:val="20"/>
        </w:rPr>
        <w:footnoteReference w:id="38"/>
      </w:r>
      <w:r w:rsidRPr="00CE12C9">
        <w:rPr>
          <w:rFonts w:ascii="Verdana" w:hAnsi="Verdana" w:cs="Verdana"/>
          <w:sz w:val="20"/>
          <w:szCs w:val="20"/>
        </w:rPr>
        <w:t>.</w:t>
      </w:r>
    </w:p>
    <w:p w14:paraId="5C881C77" w14:textId="77777777" w:rsidR="00D71427" w:rsidRDefault="00D71427" w:rsidP="00627D9A">
      <w:pPr>
        <w:spacing w:after="200"/>
        <w:ind w:firstLine="360"/>
        <w:jc w:val="both"/>
        <w:rPr>
          <w:rFonts w:ascii="Verdana" w:hAnsi="Verdana" w:cs="Verdana"/>
          <w:i/>
          <w:sz w:val="20"/>
          <w:szCs w:val="20"/>
          <w:lang w:val="es-MX"/>
        </w:rPr>
      </w:pPr>
      <w:bookmarkStart w:id="10" w:name="_Toc51054686"/>
      <w:bookmarkStart w:id="11" w:name="_Toc54301848"/>
      <w:r>
        <w:rPr>
          <w:rFonts w:ascii="Verdana" w:hAnsi="Verdana" w:cs="Verdana"/>
          <w:i/>
          <w:sz w:val="20"/>
          <w:szCs w:val="20"/>
          <w:lang w:val="es-MX"/>
        </w:rPr>
        <w:t>C.2. Consideraciones de la Corte</w:t>
      </w:r>
      <w:bookmarkEnd w:id="10"/>
      <w:bookmarkEnd w:id="11"/>
    </w:p>
    <w:p w14:paraId="6CB8D90B" w14:textId="666885B2" w:rsidR="00B06728" w:rsidRPr="00630119" w:rsidRDefault="004653B8" w:rsidP="00630119">
      <w:pPr>
        <w:numPr>
          <w:ilvl w:val="0"/>
          <w:numId w:val="9"/>
        </w:numPr>
        <w:spacing w:after="200"/>
        <w:ind w:left="0" w:firstLine="0"/>
        <w:jc w:val="both"/>
        <w:rPr>
          <w:rFonts w:ascii="Verdana" w:hAnsi="Verdana" w:cs="Verdana"/>
          <w:sz w:val="20"/>
          <w:szCs w:val="20"/>
        </w:rPr>
      </w:pPr>
      <w:r w:rsidRPr="004653B8">
        <w:rPr>
          <w:rFonts w:ascii="Verdana" w:hAnsi="Verdana" w:cs="Verdana"/>
          <w:sz w:val="20"/>
          <w:szCs w:val="20"/>
        </w:rPr>
        <w:t xml:space="preserve">La Corte ha constatado, con base en los comprobantes aportados por el </w:t>
      </w:r>
      <w:r w:rsidR="00204442">
        <w:rPr>
          <w:rFonts w:ascii="Verdana" w:hAnsi="Verdana" w:cs="Verdana"/>
          <w:sz w:val="20"/>
          <w:szCs w:val="20"/>
        </w:rPr>
        <w:t>Estado y las observaciones de la</w:t>
      </w:r>
      <w:r w:rsidRPr="004653B8">
        <w:rPr>
          <w:rFonts w:ascii="Verdana" w:hAnsi="Verdana" w:cs="Verdana"/>
          <w:sz w:val="20"/>
          <w:szCs w:val="20"/>
        </w:rPr>
        <w:t>s representantes</w:t>
      </w:r>
      <w:r w:rsidR="004A4374">
        <w:rPr>
          <w:rStyle w:val="Refdenotaalpie"/>
          <w:rFonts w:ascii="Verdana" w:hAnsi="Verdana" w:cs="Verdana"/>
          <w:sz w:val="20"/>
          <w:szCs w:val="20"/>
        </w:rPr>
        <w:footnoteReference w:id="39"/>
      </w:r>
      <w:r w:rsidRPr="004653B8">
        <w:rPr>
          <w:rFonts w:ascii="Verdana" w:hAnsi="Verdana" w:cs="Verdana"/>
          <w:sz w:val="20"/>
          <w:szCs w:val="20"/>
        </w:rPr>
        <w:t xml:space="preserve"> y la Comisión</w:t>
      </w:r>
      <w:r w:rsidR="004A4374">
        <w:rPr>
          <w:rStyle w:val="Refdenotaalpie"/>
          <w:rFonts w:ascii="Verdana" w:hAnsi="Verdana" w:cs="Verdana"/>
          <w:sz w:val="20"/>
          <w:szCs w:val="20"/>
        </w:rPr>
        <w:footnoteReference w:id="40"/>
      </w:r>
      <w:r w:rsidRPr="004653B8">
        <w:rPr>
          <w:rFonts w:ascii="Verdana" w:hAnsi="Verdana" w:cs="Verdana"/>
          <w:sz w:val="20"/>
          <w:szCs w:val="20"/>
        </w:rPr>
        <w:t>, que México cumplió con publicar:</w:t>
      </w:r>
      <w:r>
        <w:rPr>
          <w:rFonts w:ascii="Verdana" w:hAnsi="Verdana" w:cs="Verdana"/>
          <w:sz w:val="20"/>
          <w:szCs w:val="20"/>
        </w:rPr>
        <w:t xml:space="preserve"> a) el resumen oficial de la Sentencia en el Diario Oficial</w:t>
      </w:r>
      <w:r w:rsidR="00FE0BC5">
        <w:rPr>
          <w:rStyle w:val="Refdenotaalpie"/>
          <w:rFonts w:ascii="Verdana" w:hAnsi="Verdana" w:cs="Verdana"/>
          <w:sz w:val="20"/>
          <w:szCs w:val="20"/>
        </w:rPr>
        <w:footnoteReference w:id="41"/>
      </w:r>
      <w:r>
        <w:rPr>
          <w:rFonts w:ascii="Verdana" w:hAnsi="Verdana" w:cs="Verdana"/>
          <w:sz w:val="20"/>
          <w:szCs w:val="20"/>
        </w:rPr>
        <w:t>, en un diario de amplia circulación nacional</w:t>
      </w:r>
      <w:r w:rsidR="00FE0BC5">
        <w:rPr>
          <w:rStyle w:val="Refdenotaalpie"/>
          <w:rFonts w:ascii="Verdana" w:hAnsi="Verdana" w:cs="Verdana"/>
          <w:sz w:val="20"/>
          <w:szCs w:val="20"/>
        </w:rPr>
        <w:footnoteReference w:id="42"/>
      </w:r>
      <w:r>
        <w:rPr>
          <w:rFonts w:ascii="Verdana" w:hAnsi="Verdana" w:cs="Verdana"/>
          <w:sz w:val="20"/>
          <w:szCs w:val="20"/>
        </w:rPr>
        <w:t xml:space="preserve"> y en un diario de amplia circulación en el estado de México</w:t>
      </w:r>
      <w:r w:rsidR="00FE0BC5">
        <w:rPr>
          <w:rStyle w:val="Refdenotaalpie"/>
          <w:rFonts w:ascii="Verdana" w:hAnsi="Verdana" w:cs="Verdana"/>
          <w:sz w:val="20"/>
          <w:szCs w:val="20"/>
        </w:rPr>
        <w:footnoteReference w:id="43"/>
      </w:r>
      <w:r>
        <w:rPr>
          <w:rFonts w:ascii="Verdana" w:hAnsi="Verdana" w:cs="Verdana"/>
          <w:sz w:val="20"/>
          <w:szCs w:val="20"/>
        </w:rPr>
        <w:t xml:space="preserve">, y b) la Sentencia en </w:t>
      </w:r>
      <w:r>
        <w:rPr>
          <w:rFonts w:ascii="Verdana" w:hAnsi="Verdana" w:cs="Verdana"/>
          <w:sz w:val="20"/>
          <w:szCs w:val="20"/>
        </w:rPr>
        <w:lastRenderedPageBreak/>
        <w:t xml:space="preserve">su integridad en los sitios </w:t>
      </w:r>
      <w:r w:rsidRPr="004653B8">
        <w:rPr>
          <w:rFonts w:ascii="Verdana" w:hAnsi="Verdana" w:cs="Verdana"/>
          <w:sz w:val="20"/>
          <w:szCs w:val="20"/>
        </w:rPr>
        <w:t>web de la Secretaría de Relaciones Exteriores y del Gobierno del estado de México</w:t>
      </w:r>
      <w:r w:rsidR="00FE0BC5">
        <w:rPr>
          <w:rStyle w:val="Refdenotaalpie"/>
          <w:rFonts w:ascii="Verdana" w:hAnsi="Verdana" w:cs="Verdana"/>
          <w:sz w:val="20"/>
          <w:szCs w:val="20"/>
        </w:rPr>
        <w:footnoteReference w:id="44"/>
      </w:r>
      <w:r>
        <w:rPr>
          <w:rFonts w:ascii="Verdana" w:hAnsi="Verdana" w:cs="Verdana"/>
          <w:sz w:val="20"/>
          <w:szCs w:val="20"/>
        </w:rPr>
        <w:t xml:space="preserve">. </w:t>
      </w:r>
    </w:p>
    <w:p w14:paraId="0A6B76B5" w14:textId="7836DD00" w:rsidR="004653B8" w:rsidRPr="00B906DA" w:rsidRDefault="004653B8" w:rsidP="008124CA">
      <w:pPr>
        <w:numPr>
          <w:ilvl w:val="0"/>
          <w:numId w:val="9"/>
        </w:numPr>
        <w:spacing w:after="200"/>
        <w:ind w:left="0" w:firstLine="0"/>
        <w:jc w:val="both"/>
        <w:rPr>
          <w:rFonts w:ascii="Verdana" w:hAnsi="Verdana" w:cs="Verdana"/>
          <w:sz w:val="20"/>
          <w:szCs w:val="20"/>
          <w:lang w:val="es-MX"/>
        </w:rPr>
      </w:pPr>
      <w:r w:rsidRPr="004653B8">
        <w:rPr>
          <w:rFonts w:ascii="Verdana" w:hAnsi="Verdana" w:cs="Verdana"/>
          <w:sz w:val="20"/>
          <w:szCs w:val="20"/>
        </w:rPr>
        <w:t xml:space="preserve">En virtud de lo anterior, la Corte declara que el Estado ha dado cumplimiento total a las medidas de publicación y difusión de la Sentencia y de su resumen oficial, ordenadas en el punto resolutivo </w:t>
      </w:r>
      <w:r w:rsidR="000A2A2B">
        <w:rPr>
          <w:rFonts w:ascii="Verdana" w:hAnsi="Verdana" w:cs="Verdana"/>
          <w:sz w:val="20"/>
          <w:szCs w:val="20"/>
        </w:rPr>
        <w:t>décimo primero</w:t>
      </w:r>
      <w:r w:rsidRPr="004653B8">
        <w:rPr>
          <w:rFonts w:ascii="Verdana" w:hAnsi="Verdana" w:cs="Verdana"/>
          <w:sz w:val="20"/>
          <w:szCs w:val="20"/>
        </w:rPr>
        <w:t xml:space="preserve"> de la misma.</w:t>
      </w:r>
    </w:p>
    <w:p w14:paraId="0A131257" w14:textId="77777777" w:rsidR="00B906DA" w:rsidRPr="004653B8" w:rsidRDefault="00B906DA" w:rsidP="00B906DA">
      <w:pPr>
        <w:spacing w:after="200"/>
        <w:jc w:val="both"/>
        <w:rPr>
          <w:rFonts w:ascii="Verdana" w:hAnsi="Verdana" w:cs="Verdana"/>
          <w:sz w:val="20"/>
          <w:szCs w:val="20"/>
          <w:lang w:val="es-MX"/>
        </w:rPr>
      </w:pPr>
    </w:p>
    <w:p w14:paraId="57B5AD08" w14:textId="5DEAB96B" w:rsidR="006007F3" w:rsidRDefault="006007F3" w:rsidP="006007F3">
      <w:pPr>
        <w:widowControl w:val="0"/>
        <w:numPr>
          <w:ilvl w:val="0"/>
          <w:numId w:val="15"/>
        </w:numPr>
        <w:spacing w:before="120" w:after="120"/>
        <w:jc w:val="both"/>
        <w:outlineLvl w:val="0"/>
        <w:rPr>
          <w:rFonts w:ascii="Verdana" w:hAnsi="Verdana" w:cs="Verdana"/>
          <w:b/>
          <w:i/>
          <w:sz w:val="20"/>
          <w:szCs w:val="20"/>
          <w:lang w:val="es-MX"/>
        </w:rPr>
      </w:pPr>
      <w:bookmarkStart w:id="12" w:name="_Toc54301849"/>
      <w:bookmarkStart w:id="13" w:name="_Toc57748149"/>
      <w:r w:rsidRPr="006007F3">
        <w:rPr>
          <w:rFonts w:ascii="Verdana" w:hAnsi="Verdana" w:cs="Verdana"/>
          <w:b/>
          <w:i/>
          <w:sz w:val="20"/>
          <w:szCs w:val="20"/>
          <w:lang w:val="es-MX"/>
        </w:rPr>
        <w:t xml:space="preserve">Acto público de reconocimiento </w:t>
      </w:r>
      <w:r w:rsidR="00B936FB">
        <w:rPr>
          <w:rFonts w:ascii="Verdana" w:hAnsi="Verdana" w:cs="Verdana"/>
          <w:b/>
          <w:i/>
          <w:sz w:val="20"/>
          <w:szCs w:val="20"/>
          <w:lang w:val="es-MX"/>
        </w:rPr>
        <w:t xml:space="preserve">de responsabilidad internacional </w:t>
      </w:r>
      <w:r w:rsidRPr="006007F3">
        <w:rPr>
          <w:rFonts w:ascii="Verdana" w:hAnsi="Verdana" w:cs="Verdana"/>
          <w:b/>
          <w:i/>
          <w:sz w:val="20"/>
          <w:szCs w:val="20"/>
          <w:lang w:val="es-MX"/>
        </w:rPr>
        <w:t>y disculpas públicas</w:t>
      </w:r>
      <w:bookmarkEnd w:id="12"/>
      <w:bookmarkEnd w:id="13"/>
    </w:p>
    <w:p w14:paraId="6FBBFD58" w14:textId="77777777" w:rsidR="00D71427" w:rsidRDefault="00D71427" w:rsidP="00627D9A">
      <w:pPr>
        <w:spacing w:after="200"/>
        <w:ind w:firstLine="360"/>
        <w:jc w:val="both"/>
        <w:rPr>
          <w:rFonts w:ascii="Verdana" w:hAnsi="Verdana" w:cs="Verdana"/>
          <w:i/>
          <w:sz w:val="20"/>
          <w:szCs w:val="20"/>
          <w:lang w:val="es-MX"/>
        </w:rPr>
      </w:pPr>
      <w:bookmarkStart w:id="14" w:name="_Toc51054688"/>
      <w:bookmarkStart w:id="15" w:name="_Toc54301850"/>
      <w:r>
        <w:rPr>
          <w:rFonts w:ascii="Verdana" w:hAnsi="Verdana" w:cs="Verdana"/>
          <w:i/>
          <w:sz w:val="20"/>
          <w:szCs w:val="20"/>
          <w:lang w:val="es-MX"/>
        </w:rPr>
        <w:t>D.1. Medida ordenada por la Corte</w:t>
      </w:r>
      <w:bookmarkEnd w:id="14"/>
      <w:bookmarkEnd w:id="15"/>
    </w:p>
    <w:p w14:paraId="19F31953" w14:textId="11FB6CF1" w:rsidR="001A2F7F" w:rsidRPr="001A2F7F" w:rsidRDefault="001A2F7F" w:rsidP="001A2F7F">
      <w:pPr>
        <w:numPr>
          <w:ilvl w:val="0"/>
          <w:numId w:val="9"/>
        </w:numPr>
        <w:spacing w:after="200"/>
        <w:ind w:left="0" w:firstLine="0"/>
        <w:jc w:val="both"/>
        <w:rPr>
          <w:rFonts w:ascii="Verdana" w:hAnsi="Verdana" w:cs="Verdana"/>
          <w:sz w:val="20"/>
          <w:szCs w:val="20"/>
          <w:lang w:val="es-MX"/>
        </w:rPr>
      </w:pPr>
      <w:r>
        <w:rPr>
          <w:rFonts w:ascii="Verdana" w:hAnsi="Verdana" w:cs="Verdana"/>
          <w:sz w:val="20"/>
          <w:szCs w:val="20"/>
          <w:lang w:val="es-MX"/>
        </w:rPr>
        <w:t>En el punto resolutivo décimo segundo y en los párrafos 347 y 348 de la Sentencia, la Corte ordenó “</w:t>
      </w:r>
      <w:r w:rsidRPr="001A2F7F">
        <w:rPr>
          <w:rFonts w:ascii="Verdana" w:hAnsi="Verdana" w:cs="Verdana"/>
          <w:sz w:val="20"/>
          <w:szCs w:val="20"/>
        </w:rPr>
        <w:t>realizar un acto público de reconocimiento de responsabilidad internacional y disculpas públicas en relación con los hechos del presente caso</w:t>
      </w:r>
      <w:r>
        <w:rPr>
          <w:rFonts w:ascii="Verdana" w:hAnsi="Verdana" w:cs="Verdana"/>
          <w:sz w:val="20"/>
          <w:szCs w:val="20"/>
        </w:rPr>
        <w:t xml:space="preserve">”. </w:t>
      </w:r>
      <w:r w:rsidR="00A11546">
        <w:rPr>
          <w:rFonts w:ascii="Verdana" w:hAnsi="Verdana" w:cs="Verdana"/>
          <w:sz w:val="20"/>
          <w:szCs w:val="20"/>
        </w:rPr>
        <w:t>E</w:t>
      </w:r>
      <w:r>
        <w:rPr>
          <w:rFonts w:ascii="Verdana" w:hAnsi="Verdana" w:cs="Verdana"/>
          <w:sz w:val="20"/>
          <w:szCs w:val="20"/>
        </w:rPr>
        <w:t xml:space="preserve">l Tribunal </w:t>
      </w:r>
      <w:r w:rsidR="00A11546">
        <w:rPr>
          <w:rFonts w:ascii="Verdana" w:hAnsi="Verdana" w:cs="Verdana"/>
          <w:sz w:val="20"/>
          <w:szCs w:val="20"/>
        </w:rPr>
        <w:t>dispuso que</w:t>
      </w:r>
      <w:r w:rsidR="00EB09D7">
        <w:rPr>
          <w:rFonts w:ascii="Verdana" w:hAnsi="Verdana" w:cs="Verdana"/>
          <w:sz w:val="20"/>
          <w:szCs w:val="20"/>
        </w:rPr>
        <w:t xml:space="preserve"> </w:t>
      </w:r>
      <w:r w:rsidR="003378AE">
        <w:rPr>
          <w:rFonts w:ascii="Verdana" w:hAnsi="Verdana" w:cs="Verdana"/>
          <w:sz w:val="20"/>
          <w:szCs w:val="20"/>
        </w:rPr>
        <w:t xml:space="preserve">en </w:t>
      </w:r>
      <w:r w:rsidR="00EB09D7">
        <w:rPr>
          <w:rFonts w:ascii="Verdana" w:hAnsi="Verdana" w:cs="Verdana"/>
          <w:sz w:val="20"/>
          <w:szCs w:val="20"/>
        </w:rPr>
        <w:t>dicho</w:t>
      </w:r>
      <w:r w:rsidRPr="001A2F7F">
        <w:rPr>
          <w:rFonts w:ascii="Verdana" w:hAnsi="Verdana" w:cs="Verdana"/>
          <w:sz w:val="20"/>
          <w:szCs w:val="20"/>
        </w:rPr>
        <w:t xml:space="preserve"> acto se </w:t>
      </w:r>
      <w:r w:rsidR="003378AE">
        <w:rPr>
          <w:rFonts w:ascii="Verdana" w:hAnsi="Verdana" w:cs="Verdana"/>
          <w:sz w:val="20"/>
          <w:szCs w:val="20"/>
        </w:rPr>
        <w:t>debía</w:t>
      </w:r>
      <w:r w:rsidRPr="001A2F7F">
        <w:rPr>
          <w:rFonts w:ascii="Verdana" w:hAnsi="Verdana" w:cs="Verdana"/>
          <w:sz w:val="20"/>
          <w:szCs w:val="20"/>
        </w:rPr>
        <w:t xml:space="preserve"> </w:t>
      </w:r>
      <w:r w:rsidR="003378AE">
        <w:rPr>
          <w:rFonts w:ascii="Verdana" w:hAnsi="Verdana" w:cs="Verdana"/>
          <w:sz w:val="20"/>
          <w:szCs w:val="20"/>
        </w:rPr>
        <w:t>“</w:t>
      </w:r>
      <w:r w:rsidRPr="001A2F7F">
        <w:rPr>
          <w:rFonts w:ascii="Verdana" w:hAnsi="Verdana" w:cs="Verdana"/>
          <w:sz w:val="20"/>
          <w:szCs w:val="20"/>
        </w:rPr>
        <w:t>hacer referencia a las violaciones</w:t>
      </w:r>
      <w:r w:rsidR="00EB09D7">
        <w:rPr>
          <w:rFonts w:ascii="Verdana" w:hAnsi="Verdana" w:cs="Verdana"/>
          <w:sz w:val="20"/>
          <w:szCs w:val="20"/>
        </w:rPr>
        <w:t xml:space="preserve"> de derechos humanos declaradas en la […] Sentencia</w:t>
      </w:r>
      <w:r w:rsidR="00A11546">
        <w:rPr>
          <w:rFonts w:ascii="Verdana" w:hAnsi="Verdana" w:cs="Verdana"/>
          <w:sz w:val="20"/>
          <w:szCs w:val="20"/>
        </w:rPr>
        <w:t xml:space="preserve">”, y detalló que debía llevarse </w:t>
      </w:r>
      <w:r w:rsidR="00EB09D7">
        <w:rPr>
          <w:rFonts w:ascii="Verdana" w:hAnsi="Verdana" w:cs="Verdana"/>
          <w:sz w:val="20"/>
          <w:szCs w:val="20"/>
        </w:rPr>
        <w:t xml:space="preserve">a cabo </w:t>
      </w:r>
      <w:r w:rsidR="00A11546">
        <w:rPr>
          <w:rFonts w:ascii="Verdana" w:hAnsi="Verdana" w:cs="Verdana"/>
          <w:sz w:val="20"/>
          <w:szCs w:val="20"/>
        </w:rPr>
        <w:t>“</w:t>
      </w:r>
      <w:r w:rsidR="00EB09D7" w:rsidRPr="00EB09D7">
        <w:rPr>
          <w:rFonts w:ascii="Verdana" w:hAnsi="Verdana" w:cs="Verdana"/>
          <w:sz w:val="20"/>
          <w:szCs w:val="20"/>
        </w:rPr>
        <w:t>mediante una ceremonia pública en presencia de altos funcionarios del Estado, el estado de México y de las víctimas</w:t>
      </w:r>
      <w:r w:rsidR="00EB09D7">
        <w:rPr>
          <w:rFonts w:ascii="Verdana" w:hAnsi="Verdana" w:cs="Verdana"/>
          <w:sz w:val="20"/>
          <w:szCs w:val="20"/>
        </w:rPr>
        <w:t xml:space="preserve">”, para lo cual “el Estado </w:t>
      </w:r>
      <w:r w:rsidR="00EB09D7" w:rsidRPr="00EB09D7">
        <w:rPr>
          <w:rFonts w:ascii="Verdana" w:hAnsi="Verdana" w:cs="Verdana"/>
          <w:sz w:val="20"/>
          <w:szCs w:val="20"/>
        </w:rPr>
        <w:t>y las víctimas</w:t>
      </w:r>
      <w:r w:rsidR="00EB09D7">
        <w:rPr>
          <w:rFonts w:ascii="Verdana" w:hAnsi="Verdana" w:cs="Verdana"/>
          <w:sz w:val="20"/>
          <w:szCs w:val="20"/>
        </w:rPr>
        <w:t xml:space="preserve"> y/o sus representantes, </w:t>
      </w:r>
      <w:proofErr w:type="spellStart"/>
      <w:r w:rsidR="00EB09D7">
        <w:rPr>
          <w:rFonts w:ascii="Verdana" w:hAnsi="Verdana" w:cs="Verdana"/>
          <w:sz w:val="20"/>
          <w:szCs w:val="20"/>
        </w:rPr>
        <w:t>deb</w:t>
      </w:r>
      <w:proofErr w:type="spellEnd"/>
      <w:r w:rsidR="00EB09D7">
        <w:rPr>
          <w:rFonts w:ascii="Verdana" w:hAnsi="Verdana" w:cs="Verdana"/>
          <w:sz w:val="20"/>
          <w:szCs w:val="20"/>
        </w:rPr>
        <w:t>[</w:t>
      </w:r>
      <w:proofErr w:type="spellStart"/>
      <w:r w:rsidR="00EB09D7">
        <w:rPr>
          <w:rFonts w:ascii="Verdana" w:hAnsi="Verdana" w:cs="Verdana"/>
          <w:sz w:val="20"/>
          <w:szCs w:val="20"/>
        </w:rPr>
        <w:t>ían</w:t>
      </w:r>
      <w:proofErr w:type="spellEnd"/>
      <w:r w:rsidR="00EB09D7">
        <w:rPr>
          <w:rFonts w:ascii="Verdana" w:hAnsi="Verdana" w:cs="Verdana"/>
          <w:sz w:val="20"/>
          <w:szCs w:val="20"/>
        </w:rPr>
        <w:t>]</w:t>
      </w:r>
      <w:r w:rsidR="00EB09D7" w:rsidRPr="001A2F7F">
        <w:rPr>
          <w:rFonts w:ascii="Verdana" w:hAnsi="Verdana" w:cs="Verdana"/>
          <w:sz w:val="20"/>
          <w:szCs w:val="20"/>
        </w:rPr>
        <w:t xml:space="preserve"> </w:t>
      </w:r>
      <w:r w:rsidR="00EB09D7" w:rsidRPr="00EB09D7">
        <w:rPr>
          <w:rFonts w:ascii="Verdana" w:hAnsi="Verdana" w:cs="Verdana"/>
          <w:sz w:val="20"/>
          <w:szCs w:val="20"/>
        </w:rPr>
        <w:t>acordar la modalidad de cumplim</w:t>
      </w:r>
      <w:r w:rsidR="009F566A">
        <w:rPr>
          <w:rFonts w:ascii="Verdana" w:hAnsi="Verdana" w:cs="Verdana"/>
          <w:sz w:val="20"/>
          <w:szCs w:val="20"/>
        </w:rPr>
        <w:t>i</w:t>
      </w:r>
      <w:r w:rsidR="00EB09D7" w:rsidRPr="00EB09D7">
        <w:rPr>
          <w:rFonts w:ascii="Verdana" w:hAnsi="Verdana" w:cs="Verdana"/>
          <w:sz w:val="20"/>
          <w:szCs w:val="20"/>
        </w:rPr>
        <w:t>ento del acto público, así como las particularidades que se requieran</w:t>
      </w:r>
      <w:r w:rsidR="00B47362">
        <w:rPr>
          <w:rFonts w:ascii="Verdana" w:hAnsi="Verdana" w:cs="Verdana"/>
          <w:sz w:val="20"/>
          <w:szCs w:val="20"/>
        </w:rPr>
        <w:t xml:space="preserve"> […] para su realización</w:t>
      </w:r>
      <w:r w:rsidR="00EB09D7">
        <w:rPr>
          <w:rFonts w:ascii="Verdana" w:hAnsi="Verdana" w:cs="Verdana"/>
          <w:sz w:val="20"/>
          <w:szCs w:val="20"/>
        </w:rPr>
        <w:t>”</w:t>
      </w:r>
      <w:r w:rsidR="00EB09D7" w:rsidRPr="00EB09D7">
        <w:rPr>
          <w:rFonts w:ascii="Verdana" w:hAnsi="Verdana" w:cs="Verdana"/>
          <w:sz w:val="20"/>
          <w:szCs w:val="20"/>
        </w:rPr>
        <w:t>.</w:t>
      </w:r>
      <w:r w:rsidR="00EB09D7">
        <w:rPr>
          <w:rFonts w:ascii="Verdana" w:hAnsi="Verdana" w:cs="Verdana"/>
          <w:sz w:val="20"/>
          <w:szCs w:val="20"/>
        </w:rPr>
        <w:t xml:space="preserve"> En este sentido, </w:t>
      </w:r>
      <w:r w:rsidR="00B47362">
        <w:rPr>
          <w:rFonts w:ascii="Verdana" w:hAnsi="Verdana" w:cs="Verdana"/>
          <w:sz w:val="20"/>
          <w:szCs w:val="20"/>
        </w:rPr>
        <w:t xml:space="preserve">la </w:t>
      </w:r>
      <w:r w:rsidR="00EB09D7">
        <w:rPr>
          <w:rFonts w:ascii="Verdana" w:hAnsi="Verdana" w:cs="Verdana"/>
          <w:sz w:val="20"/>
          <w:szCs w:val="20"/>
        </w:rPr>
        <w:t>Corte también ordenó al Estado “</w:t>
      </w:r>
      <w:r w:rsidR="00EB09D7" w:rsidRPr="00EB09D7">
        <w:rPr>
          <w:rFonts w:ascii="Verdana" w:hAnsi="Verdana" w:cs="Verdana"/>
          <w:sz w:val="20"/>
          <w:szCs w:val="20"/>
        </w:rPr>
        <w:t>difundir dicho acto a través de los medios de comunicación de la manera más amplia posible, incluyendo la difusión en la radio, televisión y redes sociales</w:t>
      </w:r>
      <w:r w:rsidR="00A11546">
        <w:rPr>
          <w:rFonts w:ascii="Verdana" w:hAnsi="Verdana" w:cs="Verdana"/>
          <w:sz w:val="20"/>
          <w:szCs w:val="20"/>
        </w:rPr>
        <w:t>”, y</w:t>
      </w:r>
      <w:r w:rsidR="00EB09D7">
        <w:rPr>
          <w:rFonts w:ascii="Verdana" w:hAnsi="Verdana" w:cs="Verdana"/>
          <w:sz w:val="20"/>
          <w:szCs w:val="20"/>
        </w:rPr>
        <w:t xml:space="preserve"> que</w:t>
      </w:r>
      <w:r w:rsidR="00EB09D7" w:rsidRPr="00EB09D7">
        <w:rPr>
          <w:rFonts w:ascii="Verdana" w:hAnsi="Verdana" w:cs="Verdana"/>
          <w:sz w:val="20"/>
          <w:szCs w:val="20"/>
        </w:rPr>
        <w:t xml:space="preserve"> </w:t>
      </w:r>
      <w:r w:rsidR="00A11546">
        <w:rPr>
          <w:rFonts w:ascii="Verdana" w:hAnsi="Verdana" w:cs="Verdana"/>
          <w:sz w:val="20"/>
          <w:szCs w:val="20"/>
        </w:rPr>
        <w:t>“</w:t>
      </w:r>
      <w:r w:rsidR="00EB09D7" w:rsidRPr="00EB09D7">
        <w:rPr>
          <w:rFonts w:ascii="Verdana" w:hAnsi="Verdana" w:cs="Verdana"/>
          <w:sz w:val="20"/>
          <w:szCs w:val="20"/>
        </w:rPr>
        <w:t>la disculpa conste también por escrito, firmada por las autoridades locales y federales correspondientes, a efectos de facilitar su difusión</w:t>
      </w:r>
      <w:r w:rsidR="00EB09D7">
        <w:rPr>
          <w:rFonts w:ascii="Verdana" w:hAnsi="Verdana" w:cs="Verdana"/>
          <w:sz w:val="20"/>
          <w:szCs w:val="20"/>
        </w:rPr>
        <w:t>”</w:t>
      </w:r>
      <w:r w:rsidR="00EB09D7" w:rsidRPr="00EB09D7">
        <w:rPr>
          <w:rFonts w:ascii="Verdana" w:hAnsi="Verdana" w:cs="Verdana"/>
          <w:sz w:val="20"/>
          <w:szCs w:val="20"/>
        </w:rPr>
        <w:t>.</w:t>
      </w:r>
    </w:p>
    <w:p w14:paraId="2FAC8013" w14:textId="2FBD4B66" w:rsidR="00B06728" w:rsidRPr="004950FC" w:rsidRDefault="00D71427" w:rsidP="00627D9A">
      <w:pPr>
        <w:spacing w:after="200"/>
        <w:ind w:firstLine="360"/>
        <w:jc w:val="both"/>
        <w:rPr>
          <w:rFonts w:ascii="Verdana" w:hAnsi="Verdana" w:cs="Verdana"/>
          <w:i/>
          <w:sz w:val="20"/>
          <w:szCs w:val="20"/>
          <w:lang w:val="es-MX"/>
        </w:rPr>
      </w:pPr>
      <w:bookmarkStart w:id="16" w:name="_Toc51054689"/>
      <w:bookmarkStart w:id="17" w:name="_Toc54301851"/>
      <w:r>
        <w:rPr>
          <w:rFonts w:ascii="Verdana" w:hAnsi="Verdana" w:cs="Verdana"/>
          <w:i/>
          <w:sz w:val="20"/>
          <w:szCs w:val="20"/>
          <w:lang w:val="es-MX"/>
        </w:rPr>
        <w:t>D.2. Consideraciones de la Corte</w:t>
      </w:r>
      <w:bookmarkEnd w:id="16"/>
      <w:bookmarkEnd w:id="17"/>
    </w:p>
    <w:p w14:paraId="5C1AB5F2" w14:textId="1FA153BB" w:rsidR="0045646D" w:rsidRPr="0045646D" w:rsidRDefault="004950FC" w:rsidP="0045646D">
      <w:pPr>
        <w:numPr>
          <w:ilvl w:val="0"/>
          <w:numId w:val="9"/>
        </w:numPr>
        <w:spacing w:after="200"/>
        <w:ind w:left="0" w:firstLine="0"/>
        <w:jc w:val="both"/>
        <w:rPr>
          <w:rFonts w:ascii="Verdana" w:hAnsi="Verdana" w:cs="Verdana"/>
          <w:sz w:val="20"/>
          <w:szCs w:val="20"/>
          <w:lang w:val="es-MX"/>
        </w:rPr>
      </w:pPr>
      <w:r>
        <w:rPr>
          <w:rFonts w:ascii="Verdana" w:hAnsi="Verdana" w:cs="Verdana"/>
          <w:sz w:val="20"/>
          <w:szCs w:val="20"/>
          <w:lang w:val="es-MX"/>
        </w:rPr>
        <w:t>El Estado informó</w:t>
      </w:r>
      <w:r w:rsidR="004D64D4">
        <w:rPr>
          <w:rFonts w:ascii="Verdana" w:hAnsi="Verdana" w:cs="Verdana"/>
          <w:sz w:val="20"/>
          <w:szCs w:val="20"/>
          <w:lang w:val="es-MX"/>
        </w:rPr>
        <w:t>, en diciembre de 2019,</w:t>
      </w:r>
      <w:r>
        <w:rPr>
          <w:rFonts w:ascii="Verdana" w:hAnsi="Verdana" w:cs="Verdana"/>
          <w:sz w:val="20"/>
          <w:szCs w:val="20"/>
          <w:lang w:val="es-MX"/>
        </w:rPr>
        <w:t xml:space="preserve"> que había “</w:t>
      </w:r>
      <w:r w:rsidRPr="00F445D5">
        <w:rPr>
          <w:rFonts w:ascii="Verdana" w:hAnsi="Verdana" w:cs="Verdana"/>
          <w:sz w:val="20"/>
          <w:szCs w:val="20"/>
          <w:lang w:val="es-MX"/>
        </w:rPr>
        <w:t>llevado a cabo las gestiones necesarias a fin de contar con la</w:t>
      </w:r>
      <w:r>
        <w:rPr>
          <w:rFonts w:ascii="Verdana" w:hAnsi="Verdana" w:cs="Verdana"/>
          <w:sz w:val="20"/>
          <w:szCs w:val="20"/>
          <w:lang w:val="es-MX"/>
        </w:rPr>
        <w:t xml:space="preserve"> </w:t>
      </w:r>
      <w:r w:rsidRPr="00B342DD">
        <w:rPr>
          <w:rFonts w:ascii="Verdana" w:hAnsi="Verdana" w:cs="Verdana"/>
          <w:sz w:val="20"/>
          <w:szCs w:val="20"/>
        </w:rPr>
        <w:t>participación</w:t>
      </w:r>
      <w:r w:rsidRPr="00F445D5">
        <w:rPr>
          <w:rFonts w:ascii="Verdana" w:hAnsi="Verdana" w:cs="Verdana"/>
          <w:sz w:val="20"/>
          <w:szCs w:val="20"/>
          <w:lang w:val="es-MX"/>
        </w:rPr>
        <w:t xml:space="preserve"> de las autoridades competentes</w:t>
      </w:r>
      <w:r>
        <w:rPr>
          <w:rFonts w:ascii="Verdana" w:hAnsi="Verdana" w:cs="Verdana"/>
          <w:sz w:val="20"/>
          <w:szCs w:val="20"/>
          <w:lang w:val="es-MX"/>
        </w:rPr>
        <w:t>”</w:t>
      </w:r>
      <w:r w:rsidR="00D76D3E">
        <w:rPr>
          <w:rStyle w:val="Refdenotaalpie"/>
          <w:rFonts w:ascii="Verdana" w:hAnsi="Verdana" w:cs="Verdana"/>
          <w:sz w:val="20"/>
          <w:szCs w:val="20"/>
          <w:lang w:val="es-MX"/>
        </w:rPr>
        <w:footnoteReference w:id="45"/>
      </w:r>
      <w:r w:rsidR="009F566A">
        <w:rPr>
          <w:rFonts w:ascii="Verdana" w:hAnsi="Verdana" w:cs="Verdana"/>
          <w:sz w:val="20"/>
          <w:szCs w:val="20"/>
          <w:lang w:val="es-MX"/>
        </w:rPr>
        <w:t>.</w:t>
      </w:r>
      <w:r w:rsidR="00204442">
        <w:rPr>
          <w:rFonts w:ascii="Verdana" w:hAnsi="Verdana" w:cs="Verdana"/>
          <w:sz w:val="20"/>
          <w:szCs w:val="20"/>
          <w:lang w:val="es-MX"/>
        </w:rPr>
        <w:t xml:space="preserve"> </w:t>
      </w:r>
      <w:r w:rsidR="009F566A">
        <w:rPr>
          <w:rFonts w:ascii="Verdana" w:hAnsi="Verdana" w:cs="Verdana"/>
          <w:sz w:val="20"/>
          <w:szCs w:val="20"/>
          <w:lang w:val="es-MX"/>
        </w:rPr>
        <w:t>N</w:t>
      </w:r>
      <w:r w:rsidR="00204442">
        <w:rPr>
          <w:rFonts w:ascii="Verdana" w:hAnsi="Verdana" w:cs="Verdana"/>
          <w:sz w:val="20"/>
          <w:szCs w:val="20"/>
          <w:lang w:val="es-MX"/>
        </w:rPr>
        <w:t>o obstante, la</w:t>
      </w:r>
      <w:r>
        <w:rPr>
          <w:rFonts w:ascii="Verdana" w:hAnsi="Verdana" w:cs="Verdana"/>
          <w:sz w:val="20"/>
          <w:szCs w:val="20"/>
          <w:lang w:val="es-MX"/>
        </w:rPr>
        <w:t xml:space="preserve">s representantes refirieron que </w:t>
      </w:r>
      <w:r w:rsidRPr="00F56103">
        <w:rPr>
          <w:rFonts w:ascii="Verdana" w:hAnsi="Verdana" w:cs="Verdana"/>
          <w:sz w:val="20"/>
          <w:szCs w:val="20"/>
          <w:lang w:val="es-MX"/>
        </w:rPr>
        <w:t xml:space="preserve">las once mujeres </w:t>
      </w:r>
      <w:r>
        <w:rPr>
          <w:rFonts w:ascii="Verdana" w:hAnsi="Verdana" w:cs="Verdana"/>
          <w:sz w:val="20"/>
          <w:szCs w:val="20"/>
          <w:lang w:val="es-MX"/>
        </w:rPr>
        <w:t>víctimas del caso no desea</w:t>
      </w:r>
      <w:r w:rsidR="00282259">
        <w:rPr>
          <w:rFonts w:ascii="Verdana" w:hAnsi="Verdana" w:cs="Verdana"/>
          <w:sz w:val="20"/>
          <w:szCs w:val="20"/>
          <w:lang w:val="es-MX"/>
        </w:rPr>
        <w:t>ba</w:t>
      </w:r>
      <w:r>
        <w:rPr>
          <w:rFonts w:ascii="Verdana" w:hAnsi="Verdana" w:cs="Verdana"/>
          <w:sz w:val="20"/>
          <w:szCs w:val="20"/>
          <w:lang w:val="es-MX"/>
        </w:rPr>
        <w:t>n “</w:t>
      </w:r>
      <w:r w:rsidRPr="00F56103">
        <w:rPr>
          <w:rFonts w:ascii="Verdana" w:hAnsi="Verdana" w:cs="Verdana"/>
          <w:sz w:val="20"/>
          <w:szCs w:val="20"/>
          <w:lang w:val="es-MX"/>
        </w:rPr>
        <w:t>fijar una fecha para la realización del acto público de reconocimiento</w:t>
      </w:r>
      <w:r>
        <w:rPr>
          <w:rFonts w:ascii="Verdana" w:hAnsi="Verdana" w:cs="Verdana"/>
          <w:sz w:val="20"/>
          <w:szCs w:val="20"/>
          <w:lang w:val="es-MX"/>
        </w:rPr>
        <w:t xml:space="preserve"> </w:t>
      </w:r>
      <w:r w:rsidRPr="00F56103">
        <w:rPr>
          <w:rFonts w:ascii="Verdana" w:hAnsi="Verdana" w:cs="Verdana"/>
          <w:sz w:val="20"/>
          <w:szCs w:val="20"/>
          <w:lang w:val="es-MX"/>
        </w:rPr>
        <w:t>de responsabilidad, hasta que existan avances concretos en otros rubros de gran</w:t>
      </w:r>
      <w:r>
        <w:rPr>
          <w:rFonts w:ascii="Verdana" w:hAnsi="Verdana" w:cs="Verdana"/>
          <w:sz w:val="20"/>
          <w:szCs w:val="20"/>
          <w:lang w:val="es-MX"/>
        </w:rPr>
        <w:t xml:space="preserve"> </w:t>
      </w:r>
      <w:r w:rsidRPr="00F56103">
        <w:rPr>
          <w:rFonts w:ascii="Verdana" w:hAnsi="Verdana" w:cs="Verdana"/>
          <w:sz w:val="20"/>
          <w:szCs w:val="20"/>
          <w:lang w:val="es-MX"/>
        </w:rPr>
        <w:t>importancia para ellas, particularmente en cuanto al desarrollo de la investigación</w:t>
      </w:r>
      <w:r>
        <w:rPr>
          <w:rFonts w:ascii="Verdana" w:hAnsi="Verdana" w:cs="Verdana"/>
          <w:sz w:val="20"/>
          <w:szCs w:val="20"/>
          <w:lang w:val="es-MX"/>
        </w:rPr>
        <w:t xml:space="preserve"> </w:t>
      </w:r>
      <w:r w:rsidRPr="00F56103">
        <w:rPr>
          <w:rFonts w:ascii="Verdana" w:hAnsi="Verdana" w:cs="Verdana"/>
          <w:sz w:val="20"/>
          <w:szCs w:val="20"/>
          <w:lang w:val="es-MX"/>
        </w:rPr>
        <w:t>penal y el consecuente acceso a la justicia</w:t>
      </w:r>
      <w:r>
        <w:rPr>
          <w:rFonts w:ascii="Verdana" w:hAnsi="Verdana" w:cs="Verdana"/>
          <w:sz w:val="20"/>
          <w:szCs w:val="20"/>
          <w:lang w:val="es-MX"/>
        </w:rPr>
        <w:t>”</w:t>
      </w:r>
      <w:r>
        <w:rPr>
          <w:rStyle w:val="Refdenotaalpie"/>
          <w:rFonts w:ascii="Verdana" w:hAnsi="Verdana" w:cs="Verdana"/>
          <w:sz w:val="20"/>
          <w:szCs w:val="20"/>
          <w:lang w:val="es-MX"/>
        </w:rPr>
        <w:footnoteReference w:id="46"/>
      </w:r>
      <w:r>
        <w:rPr>
          <w:rFonts w:ascii="Verdana" w:hAnsi="Verdana" w:cs="Verdana"/>
          <w:sz w:val="20"/>
          <w:szCs w:val="20"/>
          <w:lang w:val="es-MX"/>
        </w:rPr>
        <w:t>.</w:t>
      </w:r>
    </w:p>
    <w:p w14:paraId="2586FB72" w14:textId="66793253" w:rsidR="0045646D" w:rsidRPr="0045646D" w:rsidRDefault="0045646D" w:rsidP="0045646D">
      <w:pPr>
        <w:numPr>
          <w:ilvl w:val="0"/>
          <w:numId w:val="9"/>
        </w:numPr>
        <w:spacing w:after="200"/>
        <w:ind w:left="0" w:firstLine="0"/>
        <w:jc w:val="both"/>
        <w:rPr>
          <w:rFonts w:ascii="Verdana" w:hAnsi="Verdana" w:cs="Verdana"/>
          <w:sz w:val="20"/>
          <w:szCs w:val="20"/>
          <w:lang w:val="es-ES"/>
        </w:rPr>
      </w:pPr>
      <w:r w:rsidRPr="00197E7B">
        <w:rPr>
          <w:rFonts w:ascii="Verdana" w:hAnsi="Verdana" w:cs="Verdana"/>
          <w:sz w:val="20"/>
          <w:szCs w:val="20"/>
          <w:lang w:val="es-MX"/>
        </w:rPr>
        <w:t xml:space="preserve"> </w:t>
      </w:r>
      <w:r>
        <w:rPr>
          <w:rFonts w:ascii="Verdana" w:hAnsi="Verdana" w:cs="Verdana"/>
          <w:sz w:val="20"/>
          <w:szCs w:val="20"/>
          <w:lang w:val="es-MX"/>
        </w:rPr>
        <w:t>De conformidad con lo establecido en el punto resolutivo décimo segundo y los párrafos 347 y 348 de la Sentencia (</w:t>
      </w:r>
      <w:r>
        <w:rPr>
          <w:rFonts w:ascii="Verdana" w:hAnsi="Verdana" w:cs="Verdana"/>
          <w:i/>
          <w:sz w:val="20"/>
          <w:szCs w:val="20"/>
          <w:lang w:val="es-MX"/>
        </w:rPr>
        <w:t xml:space="preserve">supra </w:t>
      </w:r>
      <w:r w:rsidRPr="00D76D3E">
        <w:rPr>
          <w:rFonts w:ascii="Verdana" w:hAnsi="Verdana" w:cs="Verdana"/>
          <w:sz w:val="20"/>
          <w:szCs w:val="20"/>
          <w:lang w:val="es-MX"/>
        </w:rPr>
        <w:t xml:space="preserve">Considerando </w:t>
      </w:r>
      <w:r w:rsidR="00AB5467" w:rsidRPr="00D76D3E">
        <w:rPr>
          <w:rFonts w:ascii="Verdana" w:hAnsi="Verdana" w:cs="Verdana"/>
          <w:sz w:val="20"/>
          <w:szCs w:val="20"/>
          <w:lang w:val="es-MX"/>
        </w:rPr>
        <w:t>21</w:t>
      </w:r>
      <w:r w:rsidRPr="00402DE1">
        <w:rPr>
          <w:rFonts w:ascii="Verdana" w:hAnsi="Verdana" w:cs="Verdana"/>
          <w:sz w:val="20"/>
          <w:szCs w:val="20"/>
          <w:lang w:val="es-MX"/>
        </w:rPr>
        <w:t>),</w:t>
      </w:r>
      <w:r>
        <w:rPr>
          <w:rFonts w:ascii="Verdana" w:hAnsi="Verdana" w:cs="Verdana"/>
          <w:sz w:val="20"/>
          <w:szCs w:val="20"/>
          <w:lang w:val="es-MX"/>
        </w:rPr>
        <w:t xml:space="preserve"> </w:t>
      </w:r>
      <w:r w:rsidRPr="0045646D">
        <w:rPr>
          <w:rFonts w:ascii="Verdana" w:hAnsi="Verdana" w:cs="Verdana"/>
          <w:sz w:val="20"/>
          <w:szCs w:val="20"/>
          <w:lang w:val="es-ES"/>
        </w:rPr>
        <w:t xml:space="preserve">la modalidad y particularidades de cumplimiento del acto </w:t>
      </w:r>
      <w:proofErr w:type="spellStart"/>
      <w:r w:rsidRPr="0045646D">
        <w:rPr>
          <w:rFonts w:ascii="Verdana" w:hAnsi="Verdana" w:cs="Verdana"/>
          <w:sz w:val="20"/>
          <w:szCs w:val="20"/>
          <w:lang w:val="es-ES"/>
        </w:rPr>
        <w:t>público</w:t>
      </w:r>
      <w:proofErr w:type="spellEnd"/>
      <w:r w:rsidRPr="0045646D">
        <w:rPr>
          <w:rFonts w:ascii="Verdana" w:hAnsi="Verdana" w:cs="Verdana"/>
          <w:sz w:val="20"/>
          <w:szCs w:val="20"/>
          <w:lang w:val="es-ES"/>
        </w:rPr>
        <w:t xml:space="preserve"> de reconocimiento de responsabilidad internacional </w:t>
      </w:r>
      <w:r>
        <w:rPr>
          <w:rFonts w:ascii="Verdana" w:hAnsi="Verdana" w:cs="Verdana"/>
          <w:sz w:val="20"/>
          <w:szCs w:val="20"/>
          <w:lang w:val="es-ES"/>
        </w:rPr>
        <w:t>deberán ser</w:t>
      </w:r>
      <w:r w:rsidRPr="0045646D">
        <w:rPr>
          <w:rFonts w:ascii="Verdana" w:hAnsi="Verdana" w:cs="Verdana"/>
          <w:sz w:val="20"/>
          <w:szCs w:val="20"/>
          <w:lang w:val="es-ES"/>
        </w:rPr>
        <w:t xml:space="preserve"> acordadas con las </w:t>
      </w:r>
      <w:proofErr w:type="spellStart"/>
      <w:r w:rsidRPr="0045646D">
        <w:rPr>
          <w:rFonts w:ascii="Verdana" w:hAnsi="Verdana" w:cs="Verdana"/>
          <w:sz w:val="20"/>
          <w:szCs w:val="20"/>
          <w:lang w:val="es-ES"/>
        </w:rPr>
        <w:t>víctimas</w:t>
      </w:r>
      <w:proofErr w:type="spellEnd"/>
      <w:r w:rsidRPr="0045646D">
        <w:rPr>
          <w:rFonts w:ascii="Verdana" w:hAnsi="Verdana" w:cs="Verdana"/>
          <w:sz w:val="20"/>
          <w:szCs w:val="20"/>
          <w:lang w:val="es-ES"/>
        </w:rPr>
        <w:t xml:space="preserve"> o sus representantes. </w:t>
      </w:r>
      <w:r>
        <w:rPr>
          <w:rFonts w:ascii="Verdana" w:hAnsi="Verdana" w:cs="Verdana"/>
          <w:sz w:val="20"/>
          <w:szCs w:val="20"/>
          <w:lang w:val="es-ES"/>
        </w:rPr>
        <w:t xml:space="preserve">Este Tribunal ha precisado, en otros casos donde se ordenaron medidas similares, que </w:t>
      </w:r>
      <w:r w:rsidRPr="0045646D">
        <w:rPr>
          <w:rFonts w:ascii="Verdana" w:hAnsi="Verdana" w:cs="Verdana"/>
          <w:sz w:val="20"/>
          <w:szCs w:val="20"/>
          <w:lang w:val="es-ES"/>
        </w:rPr>
        <w:t xml:space="preserve">ello no implica que </w:t>
      </w:r>
      <w:r w:rsidR="00D76D3E">
        <w:rPr>
          <w:rFonts w:ascii="Verdana" w:hAnsi="Verdana" w:cs="Verdana"/>
          <w:sz w:val="20"/>
          <w:szCs w:val="20"/>
          <w:lang w:val="es-ES"/>
        </w:rPr>
        <w:t>é</w:t>
      </w:r>
      <w:r w:rsidRPr="0045646D">
        <w:rPr>
          <w:rFonts w:ascii="Verdana" w:hAnsi="Verdana" w:cs="Verdana"/>
          <w:sz w:val="20"/>
          <w:szCs w:val="20"/>
          <w:lang w:val="es-ES"/>
        </w:rPr>
        <w:t xml:space="preserve">stos </w:t>
      </w:r>
      <w:proofErr w:type="spellStart"/>
      <w:r w:rsidRPr="0045646D">
        <w:rPr>
          <w:rFonts w:ascii="Verdana" w:hAnsi="Verdana" w:cs="Verdana"/>
          <w:sz w:val="20"/>
          <w:szCs w:val="20"/>
          <w:lang w:val="es-ES"/>
        </w:rPr>
        <w:t>últimos</w:t>
      </w:r>
      <w:proofErr w:type="spellEnd"/>
      <w:r w:rsidRPr="0045646D">
        <w:rPr>
          <w:rFonts w:ascii="Verdana" w:hAnsi="Verdana" w:cs="Verdana"/>
          <w:sz w:val="20"/>
          <w:szCs w:val="20"/>
          <w:lang w:val="es-ES"/>
        </w:rPr>
        <w:t xml:space="preserve"> </w:t>
      </w:r>
      <w:r>
        <w:rPr>
          <w:rFonts w:ascii="Verdana" w:hAnsi="Verdana" w:cs="Verdana"/>
          <w:sz w:val="20"/>
          <w:szCs w:val="20"/>
          <w:lang w:val="es-ES"/>
        </w:rPr>
        <w:t>puedan</w:t>
      </w:r>
      <w:r w:rsidRPr="0045646D">
        <w:rPr>
          <w:rFonts w:ascii="Verdana" w:hAnsi="Verdana" w:cs="Verdana"/>
          <w:sz w:val="20"/>
          <w:szCs w:val="20"/>
          <w:lang w:val="es-ES"/>
        </w:rPr>
        <w:t xml:space="preserve"> condicionar la </w:t>
      </w:r>
      <w:proofErr w:type="spellStart"/>
      <w:r w:rsidRPr="0045646D">
        <w:rPr>
          <w:rFonts w:ascii="Verdana" w:hAnsi="Verdana" w:cs="Verdana"/>
          <w:sz w:val="20"/>
          <w:szCs w:val="20"/>
          <w:lang w:val="es-ES"/>
        </w:rPr>
        <w:t>realización</w:t>
      </w:r>
      <w:proofErr w:type="spellEnd"/>
      <w:r w:rsidRPr="0045646D">
        <w:rPr>
          <w:rFonts w:ascii="Verdana" w:hAnsi="Verdana" w:cs="Verdana"/>
          <w:sz w:val="20"/>
          <w:szCs w:val="20"/>
          <w:lang w:val="es-ES"/>
        </w:rPr>
        <w:t xml:space="preserve"> del </w:t>
      </w:r>
      <w:r>
        <w:rPr>
          <w:rFonts w:ascii="Verdana" w:hAnsi="Verdana" w:cs="Verdana"/>
          <w:sz w:val="20"/>
          <w:szCs w:val="20"/>
          <w:lang w:val="es-ES"/>
        </w:rPr>
        <w:t>referido acto</w:t>
      </w:r>
      <w:r w:rsidRPr="0045646D">
        <w:rPr>
          <w:rFonts w:ascii="Verdana" w:hAnsi="Verdana" w:cs="Verdana"/>
          <w:sz w:val="20"/>
          <w:szCs w:val="20"/>
          <w:lang w:val="es-ES"/>
        </w:rPr>
        <w:t xml:space="preserve"> al avance en el cumplimiento de otras medidas </w:t>
      </w:r>
      <w:r w:rsidRPr="0045646D">
        <w:rPr>
          <w:rFonts w:ascii="Verdana" w:hAnsi="Verdana" w:cs="Verdana"/>
          <w:sz w:val="20"/>
          <w:szCs w:val="20"/>
          <w:lang w:val="es-ES"/>
        </w:rPr>
        <w:lastRenderedPageBreak/>
        <w:t>ordenadas en el Fallo</w:t>
      </w:r>
      <w:r>
        <w:rPr>
          <w:rStyle w:val="Refdenotaalpie"/>
          <w:rFonts w:ascii="Verdana" w:hAnsi="Verdana" w:cs="Verdana"/>
          <w:sz w:val="20"/>
          <w:szCs w:val="20"/>
          <w:lang w:val="es-ES"/>
        </w:rPr>
        <w:footnoteReference w:id="47"/>
      </w:r>
      <w:r w:rsidRPr="0045646D">
        <w:rPr>
          <w:rFonts w:ascii="Verdana" w:hAnsi="Verdana" w:cs="Verdana"/>
          <w:sz w:val="20"/>
          <w:szCs w:val="20"/>
          <w:lang w:val="es-ES"/>
        </w:rPr>
        <w:t xml:space="preserve">. Por ello, se insta a las partes a </w:t>
      </w:r>
      <w:r>
        <w:rPr>
          <w:rFonts w:ascii="Verdana" w:hAnsi="Verdana" w:cs="Verdana"/>
          <w:sz w:val="20"/>
          <w:szCs w:val="20"/>
          <w:lang w:val="es-ES"/>
        </w:rPr>
        <w:t xml:space="preserve">que, </w:t>
      </w:r>
      <w:r>
        <w:rPr>
          <w:rFonts w:ascii="Verdana" w:hAnsi="Verdana" w:cs="Verdana"/>
          <w:sz w:val="20"/>
          <w:szCs w:val="20"/>
          <w:lang w:val="es-MX"/>
        </w:rPr>
        <w:t xml:space="preserve">una vez estén dadas las condiciones de seguridad y salubridad necesarias para la realización del referido acto público, </w:t>
      </w:r>
      <w:r w:rsidRPr="00197E7B">
        <w:rPr>
          <w:rFonts w:ascii="Verdana" w:hAnsi="Verdana" w:cs="Verdana"/>
          <w:sz w:val="20"/>
          <w:szCs w:val="20"/>
          <w:lang w:val="es-ES"/>
        </w:rPr>
        <w:t>mantengan</w:t>
      </w:r>
      <w:r w:rsidRPr="0045646D">
        <w:rPr>
          <w:rFonts w:ascii="Verdana" w:hAnsi="Verdana" w:cs="Verdana"/>
          <w:sz w:val="20"/>
          <w:szCs w:val="20"/>
          <w:lang w:val="es-ES"/>
        </w:rPr>
        <w:t xml:space="preserve"> la </w:t>
      </w:r>
      <w:proofErr w:type="spellStart"/>
      <w:r w:rsidRPr="0045646D">
        <w:rPr>
          <w:rFonts w:ascii="Verdana" w:hAnsi="Verdana" w:cs="Verdana"/>
          <w:sz w:val="20"/>
          <w:szCs w:val="20"/>
          <w:lang w:val="es-ES"/>
        </w:rPr>
        <w:t>comunicación</w:t>
      </w:r>
      <w:proofErr w:type="spellEnd"/>
      <w:r w:rsidRPr="0045646D">
        <w:rPr>
          <w:rFonts w:ascii="Verdana" w:hAnsi="Verdana" w:cs="Verdana"/>
          <w:sz w:val="20"/>
          <w:szCs w:val="20"/>
          <w:lang w:val="es-ES"/>
        </w:rPr>
        <w:t xml:space="preserve"> pertinente a fin de que acuerden, de </w:t>
      </w:r>
      <w:r w:rsidRPr="00197E7B">
        <w:rPr>
          <w:rFonts w:ascii="Verdana" w:hAnsi="Verdana" w:cs="Verdana"/>
          <w:sz w:val="20"/>
          <w:szCs w:val="20"/>
          <w:lang w:val="es-ES"/>
        </w:rPr>
        <w:t xml:space="preserve">la forma </w:t>
      </w:r>
      <w:proofErr w:type="spellStart"/>
      <w:r w:rsidRPr="00197E7B">
        <w:rPr>
          <w:rFonts w:ascii="Verdana" w:hAnsi="Verdana" w:cs="Verdana"/>
          <w:sz w:val="20"/>
          <w:szCs w:val="20"/>
          <w:lang w:val="es-ES"/>
        </w:rPr>
        <w:t>más</w:t>
      </w:r>
      <w:proofErr w:type="spellEnd"/>
      <w:r w:rsidRPr="00197E7B">
        <w:rPr>
          <w:rFonts w:ascii="Verdana" w:hAnsi="Verdana" w:cs="Verdana"/>
          <w:sz w:val="20"/>
          <w:szCs w:val="20"/>
          <w:lang w:val="es-ES"/>
        </w:rPr>
        <w:t xml:space="preserve"> pronta posible, su </w:t>
      </w:r>
      <w:proofErr w:type="spellStart"/>
      <w:r w:rsidRPr="00197E7B">
        <w:rPr>
          <w:rFonts w:ascii="Verdana" w:hAnsi="Verdana" w:cs="Verdana"/>
          <w:sz w:val="20"/>
          <w:szCs w:val="20"/>
          <w:lang w:val="es-ES"/>
        </w:rPr>
        <w:t>realización</w:t>
      </w:r>
      <w:proofErr w:type="spellEnd"/>
      <w:r>
        <w:rPr>
          <w:rFonts w:ascii="Verdana" w:hAnsi="Verdana" w:cs="Verdana"/>
          <w:sz w:val="20"/>
          <w:szCs w:val="20"/>
          <w:lang w:val="es-ES"/>
        </w:rPr>
        <w:t>.</w:t>
      </w:r>
    </w:p>
    <w:p w14:paraId="455C4798" w14:textId="77777777" w:rsidR="0045646D" w:rsidRPr="00B342DD" w:rsidRDefault="0045646D" w:rsidP="0045646D">
      <w:pPr>
        <w:numPr>
          <w:ilvl w:val="0"/>
          <w:numId w:val="9"/>
        </w:numPr>
        <w:spacing w:after="200"/>
        <w:ind w:left="0" w:firstLine="0"/>
        <w:jc w:val="both"/>
        <w:rPr>
          <w:rFonts w:ascii="Verdana" w:hAnsi="Verdana" w:cs="Verdana"/>
          <w:sz w:val="20"/>
          <w:szCs w:val="20"/>
          <w:lang w:val="es-ES"/>
        </w:rPr>
      </w:pPr>
      <w:r w:rsidRPr="00B342DD">
        <w:rPr>
          <w:rFonts w:ascii="Verdana" w:hAnsi="Verdana"/>
          <w:sz w:val="20"/>
          <w:szCs w:val="20"/>
          <w:lang w:val="es-ES"/>
        </w:rPr>
        <w:t xml:space="preserve">En virtud de las consideraciones anteriores, la Corte concluye que la presente medida de </w:t>
      </w:r>
      <w:proofErr w:type="spellStart"/>
      <w:r w:rsidRPr="00B342DD">
        <w:rPr>
          <w:rFonts w:ascii="Verdana" w:hAnsi="Verdana"/>
          <w:sz w:val="20"/>
          <w:szCs w:val="20"/>
          <w:lang w:val="es-ES"/>
        </w:rPr>
        <w:t>reparación</w:t>
      </w:r>
      <w:proofErr w:type="spellEnd"/>
      <w:r w:rsidRPr="00B342DD">
        <w:rPr>
          <w:rFonts w:ascii="Verdana" w:hAnsi="Verdana"/>
          <w:sz w:val="20"/>
          <w:szCs w:val="20"/>
          <w:lang w:val="es-ES"/>
        </w:rPr>
        <w:t xml:space="preserve"> se encuentra pendiente de cumplimiento, pero valora positivamente la </w:t>
      </w:r>
      <w:proofErr w:type="spellStart"/>
      <w:r w:rsidRPr="00B342DD">
        <w:rPr>
          <w:rFonts w:ascii="Verdana" w:hAnsi="Verdana"/>
          <w:sz w:val="20"/>
          <w:szCs w:val="20"/>
          <w:lang w:val="es-ES"/>
        </w:rPr>
        <w:t>disposición</w:t>
      </w:r>
      <w:proofErr w:type="spellEnd"/>
      <w:r w:rsidRPr="00B342DD">
        <w:rPr>
          <w:rFonts w:ascii="Verdana" w:hAnsi="Verdana"/>
          <w:sz w:val="20"/>
          <w:szCs w:val="20"/>
          <w:lang w:val="es-ES"/>
        </w:rPr>
        <w:t xml:space="preserve"> del Estado de dialogar con las </w:t>
      </w:r>
      <w:proofErr w:type="spellStart"/>
      <w:r w:rsidRPr="00B342DD">
        <w:rPr>
          <w:rFonts w:ascii="Verdana" w:hAnsi="Verdana"/>
          <w:sz w:val="20"/>
          <w:szCs w:val="20"/>
          <w:lang w:val="es-ES"/>
        </w:rPr>
        <w:t>víctimas</w:t>
      </w:r>
      <w:proofErr w:type="spellEnd"/>
      <w:r w:rsidRPr="00B342DD">
        <w:rPr>
          <w:rFonts w:ascii="Verdana" w:hAnsi="Verdana"/>
          <w:sz w:val="20"/>
          <w:szCs w:val="20"/>
          <w:lang w:val="es-ES"/>
        </w:rPr>
        <w:t xml:space="preserve"> para cumplir con la misma, a la vez que solicita que </w:t>
      </w:r>
      <w:proofErr w:type="spellStart"/>
      <w:r w:rsidRPr="00B342DD">
        <w:rPr>
          <w:rFonts w:ascii="Verdana" w:hAnsi="Verdana"/>
          <w:sz w:val="20"/>
          <w:szCs w:val="20"/>
          <w:lang w:val="es-ES"/>
        </w:rPr>
        <w:t>continúe</w:t>
      </w:r>
      <w:proofErr w:type="spellEnd"/>
      <w:r w:rsidRPr="00B342DD">
        <w:rPr>
          <w:rFonts w:ascii="Verdana" w:hAnsi="Verdana"/>
          <w:sz w:val="20"/>
          <w:szCs w:val="20"/>
          <w:lang w:val="es-ES"/>
        </w:rPr>
        <w:t xml:space="preserve"> informando al respecto.</w:t>
      </w:r>
    </w:p>
    <w:p w14:paraId="4957FE01" w14:textId="77777777" w:rsidR="004950FC" w:rsidRPr="004950FC" w:rsidRDefault="004950FC" w:rsidP="004950FC">
      <w:pPr>
        <w:widowControl w:val="0"/>
        <w:spacing w:before="120" w:after="120"/>
        <w:jc w:val="both"/>
        <w:outlineLvl w:val="0"/>
        <w:rPr>
          <w:rFonts w:ascii="Verdana" w:hAnsi="Verdana" w:cs="Verdana"/>
          <w:sz w:val="20"/>
          <w:szCs w:val="20"/>
          <w:lang w:val="es-ES"/>
        </w:rPr>
      </w:pPr>
    </w:p>
    <w:p w14:paraId="07BA23C2" w14:textId="77777777" w:rsidR="00990438" w:rsidRPr="00990438" w:rsidRDefault="00990438" w:rsidP="00782DB7">
      <w:pPr>
        <w:widowControl w:val="0"/>
        <w:numPr>
          <w:ilvl w:val="0"/>
          <w:numId w:val="15"/>
        </w:numPr>
        <w:spacing w:before="120" w:after="120"/>
        <w:jc w:val="both"/>
        <w:outlineLvl w:val="0"/>
        <w:rPr>
          <w:rFonts w:ascii="Verdana" w:hAnsi="Verdana" w:cs="Verdana"/>
          <w:i/>
          <w:sz w:val="20"/>
          <w:szCs w:val="20"/>
          <w:lang w:val="es-MX"/>
        </w:rPr>
      </w:pPr>
      <w:bookmarkStart w:id="18" w:name="_Toc54301852"/>
      <w:bookmarkStart w:id="19" w:name="_Toc57748150"/>
      <w:r>
        <w:rPr>
          <w:rFonts w:ascii="Verdana" w:hAnsi="Verdana" w:cs="Verdana"/>
          <w:b/>
          <w:i/>
          <w:sz w:val="20"/>
          <w:szCs w:val="20"/>
          <w:lang w:val="es-MX"/>
        </w:rPr>
        <w:t>B</w:t>
      </w:r>
      <w:proofErr w:type="spellStart"/>
      <w:r w:rsidRPr="00990438">
        <w:rPr>
          <w:rFonts w:ascii="Verdana" w:hAnsi="Verdana" w:cs="Verdana"/>
          <w:b/>
          <w:i/>
          <w:sz w:val="20"/>
          <w:szCs w:val="20"/>
        </w:rPr>
        <w:t>eca</w:t>
      </w:r>
      <w:proofErr w:type="spellEnd"/>
      <w:r w:rsidRPr="00990438">
        <w:rPr>
          <w:rFonts w:ascii="Verdana" w:hAnsi="Verdana" w:cs="Verdana"/>
          <w:b/>
          <w:i/>
          <w:sz w:val="20"/>
          <w:szCs w:val="20"/>
        </w:rPr>
        <w:t xml:space="preserve"> en una institución pública de educación superior</w:t>
      </w:r>
      <w:bookmarkEnd w:id="18"/>
      <w:bookmarkEnd w:id="19"/>
    </w:p>
    <w:p w14:paraId="0AFA8E90" w14:textId="77777777" w:rsidR="00D71427" w:rsidRDefault="00990438" w:rsidP="00627D9A">
      <w:pPr>
        <w:spacing w:after="200"/>
        <w:ind w:firstLine="360"/>
        <w:jc w:val="both"/>
        <w:rPr>
          <w:rFonts w:ascii="Verdana" w:hAnsi="Verdana" w:cs="Verdana"/>
          <w:i/>
          <w:sz w:val="20"/>
          <w:szCs w:val="20"/>
          <w:lang w:val="es-MX"/>
        </w:rPr>
      </w:pPr>
      <w:bookmarkStart w:id="20" w:name="_Toc51054691"/>
      <w:bookmarkStart w:id="21" w:name="_Toc54301853"/>
      <w:r w:rsidRPr="00990438">
        <w:rPr>
          <w:rFonts w:ascii="Verdana" w:hAnsi="Verdana" w:cs="Verdana"/>
          <w:i/>
          <w:sz w:val="20"/>
          <w:szCs w:val="20"/>
          <w:lang w:val="es-MX"/>
        </w:rPr>
        <w:t>E.1. Medida ordenada</w:t>
      </w:r>
      <w:r w:rsidR="00D71427" w:rsidRPr="00990438">
        <w:rPr>
          <w:rFonts w:ascii="Verdana" w:hAnsi="Verdana" w:cs="Verdana"/>
          <w:i/>
          <w:sz w:val="20"/>
          <w:szCs w:val="20"/>
          <w:lang w:val="es-MX"/>
        </w:rPr>
        <w:t xml:space="preserve"> por la Corte</w:t>
      </w:r>
      <w:bookmarkEnd w:id="20"/>
      <w:bookmarkEnd w:id="21"/>
    </w:p>
    <w:p w14:paraId="493BEFEC" w14:textId="5A92AF9B" w:rsidR="00990438" w:rsidRPr="00990438" w:rsidRDefault="00990438" w:rsidP="00990438">
      <w:pPr>
        <w:numPr>
          <w:ilvl w:val="0"/>
          <w:numId w:val="9"/>
        </w:numPr>
        <w:spacing w:after="200"/>
        <w:ind w:left="0" w:firstLine="0"/>
        <w:jc w:val="both"/>
        <w:rPr>
          <w:rFonts w:ascii="Verdana" w:hAnsi="Verdana" w:cs="Verdana"/>
          <w:i/>
          <w:sz w:val="20"/>
          <w:szCs w:val="20"/>
          <w:lang w:val="es-MX"/>
        </w:rPr>
      </w:pPr>
      <w:r>
        <w:rPr>
          <w:rFonts w:ascii="Verdana" w:hAnsi="Verdana" w:cs="Verdana"/>
          <w:sz w:val="20"/>
          <w:szCs w:val="20"/>
          <w:lang w:val="es-MX"/>
        </w:rPr>
        <w:t>En el punto resolutivo décimo cuarto y en el párrafo 351 de la Sentencia, la Corte dispuso “</w:t>
      </w:r>
      <w:r w:rsidRPr="00990438">
        <w:rPr>
          <w:rFonts w:ascii="Verdana" w:hAnsi="Verdana" w:cs="Verdana"/>
          <w:sz w:val="20"/>
          <w:szCs w:val="20"/>
        </w:rPr>
        <w:t xml:space="preserve">otorgar una beca en una institución pública mexicana de educación superior a favor de Angélica Patricia Torres Linares, Claudia Hernández Martínez y </w:t>
      </w:r>
      <w:proofErr w:type="spellStart"/>
      <w:r w:rsidRPr="00990438">
        <w:rPr>
          <w:rFonts w:ascii="Verdana" w:hAnsi="Verdana" w:cs="Verdana"/>
          <w:sz w:val="20"/>
          <w:szCs w:val="20"/>
        </w:rPr>
        <w:t>Suhelen</w:t>
      </w:r>
      <w:proofErr w:type="spellEnd"/>
      <w:r w:rsidRPr="00990438">
        <w:rPr>
          <w:rFonts w:ascii="Verdana" w:hAnsi="Verdana" w:cs="Verdana"/>
          <w:sz w:val="20"/>
          <w:szCs w:val="20"/>
        </w:rPr>
        <w:t xml:space="preserve"> Gabriela Cuevas Jaramillo, para realizar estudios superiores técnicos o universitarios</w:t>
      </w:r>
      <w:r>
        <w:rPr>
          <w:rFonts w:ascii="Verdana" w:hAnsi="Verdana" w:cs="Verdana"/>
          <w:sz w:val="20"/>
          <w:szCs w:val="20"/>
        </w:rPr>
        <w:t xml:space="preserve">”, </w:t>
      </w:r>
      <w:r w:rsidR="007D7A94">
        <w:rPr>
          <w:rFonts w:ascii="Verdana" w:hAnsi="Verdana" w:cs="Verdana"/>
          <w:sz w:val="20"/>
          <w:szCs w:val="20"/>
        </w:rPr>
        <w:t xml:space="preserve">los cuales podrán ser </w:t>
      </w:r>
      <w:r>
        <w:rPr>
          <w:rFonts w:ascii="Verdana" w:hAnsi="Verdana" w:cs="Verdana"/>
          <w:sz w:val="20"/>
          <w:szCs w:val="20"/>
        </w:rPr>
        <w:t>“</w:t>
      </w:r>
      <w:r w:rsidRPr="00990438">
        <w:rPr>
          <w:rFonts w:ascii="Verdana" w:hAnsi="Verdana" w:cs="Verdana"/>
          <w:sz w:val="20"/>
          <w:szCs w:val="20"/>
        </w:rPr>
        <w:t>de pregrado y/o posgrado, o bie</w:t>
      </w:r>
      <w:r>
        <w:rPr>
          <w:rFonts w:ascii="Verdana" w:hAnsi="Verdana" w:cs="Verdana"/>
          <w:sz w:val="20"/>
          <w:szCs w:val="20"/>
        </w:rPr>
        <w:t xml:space="preserve">n para capacitarse en un oficio”. Al respecto, el Tribunal precisó que </w:t>
      </w:r>
      <w:r w:rsidR="007D7A94">
        <w:rPr>
          <w:rFonts w:ascii="Verdana" w:hAnsi="Verdana" w:cs="Verdana"/>
          <w:sz w:val="20"/>
          <w:szCs w:val="20"/>
        </w:rPr>
        <w:t xml:space="preserve">la beca </w:t>
      </w:r>
      <w:r>
        <w:rPr>
          <w:rFonts w:ascii="Verdana" w:hAnsi="Verdana" w:cs="Verdana"/>
          <w:sz w:val="20"/>
          <w:szCs w:val="20"/>
        </w:rPr>
        <w:t>“</w:t>
      </w:r>
      <w:r w:rsidRPr="00990438">
        <w:rPr>
          <w:rFonts w:ascii="Verdana" w:hAnsi="Verdana" w:cs="Verdana"/>
          <w:sz w:val="20"/>
          <w:szCs w:val="20"/>
        </w:rPr>
        <w:t>se otorgará desde el momento en que las beneficiarias la soliciten al Estado hasta la conclusión de sus estudios superiores técnicos o universitarios</w:t>
      </w:r>
      <w:r w:rsidR="007D7A94">
        <w:rPr>
          <w:rFonts w:ascii="Verdana" w:hAnsi="Verdana" w:cs="Verdana"/>
          <w:sz w:val="20"/>
          <w:szCs w:val="20"/>
        </w:rPr>
        <w:t>”,</w:t>
      </w:r>
      <w:r w:rsidRPr="00990438">
        <w:rPr>
          <w:rFonts w:ascii="Verdana" w:hAnsi="Verdana" w:cs="Verdana"/>
          <w:sz w:val="20"/>
          <w:szCs w:val="20"/>
        </w:rPr>
        <w:t xml:space="preserve"> y deberá cubrir </w:t>
      </w:r>
      <w:r w:rsidR="007D7A94">
        <w:rPr>
          <w:rFonts w:ascii="Verdana" w:hAnsi="Verdana" w:cs="Verdana"/>
          <w:sz w:val="20"/>
          <w:szCs w:val="20"/>
        </w:rPr>
        <w:t>“</w:t>
      </w:r>
      <w:r w:rsidRPr="00990438">
        <w:rPr>
          <w:rFonts w:ascii="Verdana" w:hAnsi="Verdana" w:cs="Verdana"/>
          <w:sz w:val="20"/>
          <w:szCs w:val="20"/>
        </w:rPr>
        <w:t>todos los gastos para la completa finalización de dichos estudios, incluyendo el material académico o educativo</w:t>
      </w:r>
      <w:r>
        <w:rPr>
          <w:rFonts w:ascii="Verdana" w:hAnsi="Verdana" w:cs="Verdana"/>
          <w:sz w:val="20"/>
          <w:szCs w:val="20"/>
        </w:rPr>
        <w:t>”</w:t>
      </w:r>
      <w:r w:rsidRPr="00990438">
        <w:rPr>
          <w:rFonts w:ascii="Verdana" w:hAnsi="Verdana" w:cs="Verdana"/>
          <w:sz w:val="20"/>
          <w:szCs w:val="20"/>
        </w:rPr>
        <w:t>.</w:t>
      </w:r>
      <w:r>
        <w:rPr>
          <w:rFonts w:ascii="Verdana" w:hAnsi="Verdana" w:cs="Verdana"/>
          <w:sz w:val="20"/>
          <w:szCs w:val="20"/>
        </w:rPr>
        <w:t xml:space="preserve"> La</w:t>
      </w:r>
      <w:r w:rsidR="007D7A94">
        <w:rPr>
          <w:rFonts w:ascii="Verdana" w:hAnsi="Verdana" w:cs="Verdana"/>
          <w:sz w:val="20"/>
          <w:szCs w:val="20"/>
        </w:rPr>
        <w:t xml:space="preserve">s beneficiarias cuentan con un plazo de dos años contado a partir de la notificación de la Sentencia para dar a </w:t>
      </w:r>
      <w:r w:rsidRPr="00990438">
        <w:rPr>
          <w:rFonts w:ascii="Verdana" w:hAnsi="Verdana" w:cs="Verdana"/>
          <w:sz w:val="20"/>
          <w:szCs w:val="20"/>
        </w:rPr>
        <w:t>conocer al Estado su intención de recibir las becas</w:t>
      </w:r>
      <w:r>
        <w:rPr>
          <w:rFonts w:ascii="Verdana" w:hAnsi="Verdana" w:cs="Verdana"/>
          <w:sz w:val="20"/>
          <w:szCs w:val="20"/>
        </w:rPr>
        <w:t xml:space="preserve">. </w:t>
      </w:r>
    </w:p>
    <w:p w14:paraId="1B7000C3" w14:textId="77777777" w:rsidR="00D71427" w:rsidRDefault="00D71427" w:rsidP="00627D9A">
      <w:pPr>
        <w:spacing w:after="200"/>
        <w:ind w:firstLine="360"/>
        <w:jc w:val="both"/>
        <w:rPr>
          <w:rFonts w:ascii="Verdana" w:hAnsi="Verdana" w:cs="Verdana"/>
          <w:sz w:val="20"/>
          <w:szCs w:val="20"/>
          <w:lang w:val="es-MX"/>
        </w:rPr>
      </w:pPr>
      <w:bookmarkStart w:id="22" w:name="_Toc51054692"/>
      <w:bookmarkStart w:id="23" w:name="_Toc54301854"/>
      <w:r>
        <w:rPr>
          <w:rFonts w:ascii="Verdana" w:hAnsi="Verdana" w:cs="Verdana"/>
          <w:i/>
          <w:sz w:val="20"/>
          <w:szCs w:val="20"/>
          <w:lang w:val="es-MX"/>
        </w:rPr>
        <w:t>E.2. Consideraciones de la Corte</w:t>
      </w:r>
      <w:bookmarkEnd w:id="22"/>
      <w:bookmarkEnd w:id="23"/>
    </w:p>
    <w:p w14:paraId="730250B5" w14:textId="0BE08901" w:rsidR="00B25D6E" w:rsidRDefault="00C433B6" w:rsidP="00581F34">
      <w:pPr>
        <w:numPr>
          <w:ilvl w:val="0"/>
          <w:numId w:val="9"/>
        </w:numPr>
        <w:spacing w:after="200"/>
        <w:ind w:left="0" w:firstLine="0"/>
        <w:jc w:val="both"/>
        <w:rPr>
          <w:rFonts w:ascii="Verdana" w:hAnsi="Verdana" w:cs="Verdana"/>
          <w:sz w:val="20"/>
          <w:szCs w:val="20"/>
          <w:lang w:val="es-MX"/>
        </w:rPr>
      </w:pPr>
      <w:r>
        <w:rPr>
          <w:rFonts w:ascii="Verdana" w:hAnsi="Verdana" w:cs="Verdana"/>
          <w:sz w:val="20"/>
          <w:szCs w:val="20"/>
          <w:lang w:val="es-MX"/>
        </w:rPr>
        <w:t>El Estado manifestó</w:t>
      </w:r>
      <w:r w:rsidRPr="00C433B6">
        <w:rPr>
          <w:rFonts w:ascii="Verdana" w:hAnsi="Verdana" w:cs="Verdana"/>
          <w:sz w:val="20"/>
          <w:szCs w:val="20"/>
          <w:lang w:val="es-MX"/>
        </w:rPr>
        <w:t xml:space="preserve"> su </w:t>
      </w:r>
      <w:r>
        <w:rPr>
          <w:rFonts w:ascii="Verdana" w:hAnsi="Verdana" w:cs="Verdana"/>
          <w:sz w:val="20"/>
          <w:szCs w:val="20"/>
          <w:lang w:val="es-MX"/>
        </w:rPr>
        <w:t>“</w:t>
      </w:r>
      <w:r w:rsidRPr="00C433B6">
        <w:rPr>
          <w:rFonts w:ascii="Verdana" w:hAnsi="Verdana" w:cs="Verdana"/>
          <w:sz w:val="20"/>
          <w:szCs w:val="20"/>
          <w:lang w:val="es-MX"/>
        </w:rPr>
        <w:t>total disposición para dar cumplimiento a este</w:t>
      </w:r>
      <w:r>
        <w:rPr>
          <w:rFonts w:ascii="Verdana" w:hAnsi="Verdana" w:cs="Verdana"/>
          <w:sz w:val="20"/>
          <w:szCs w:val="20"/>
          <w:lang w:val="es-MX"/>
        </w:rPr>
        <w:t xml:space="preserve"> </w:t>
      </w:r>
      <w:r w:rsidRPr="00C433B6">
        <w:rPr>
          <w:rFonts w:ascii="Verdana" w:hAnsi="Verdana" w:cs="Verdana"/>
          <w:sz w:val="20"/>
          <w:szCs w:val="20"/>
          <w:lang w:val="es-MX"/>
        </w:rPr>
        <w:t xml:space="preserve">punto resolutivo, una vez que </w:t>
      </w:r>
      <w:r w:rsidRPr="00581F34">
        <w:rPr>
          <w:rFonts w:ascii="Verdana" w:hAnsi="Verdana" w:cs="Verdana"/>
          <w:sz w:val="20"/>
          <w:szCs w:val="20"/>
        </w:rPr>
        <w:t>reciba</w:t>
      </w:r>
      <w:r w:rsidRPr="00C433B6">
        <w:rPr>
          <w:rFonts w:ascii="Verdana" w:hAnsi="Verdana" w:cs="Verdana"/>
          <w:sz w:val="20"/>
          <w:szCs w:val="20"/>
          <w:lang w:val="es-MX"/>
        </w:rPr>
        <w:t>, por parte de la representación de las víctimas, la</w:t>
      </w:r>
      <w:r>
        <w:rPr>
          <w:rFonts w:ascii="Verdana" w:hAnsi="Verdana" w:cs="Verdana"/>
          <w:sz w:val="20"/>
          <w:szCs w:val="20"/>
          <w:lang w:val="es-MX"/>
        </w:rPr>
        <w:t xml:space="preserve"> </w:t>
      </w:r>
      <w:r w:rsidRPr="00C433B6">
        <w:rPr>
          <w:rFonts w:ascii="Verdana" w:hAnsi="Verdana" w:cs="Verdana"/>
          <w:sz w:val="20"/>
          <w:szCs w:val="20"/>
          <w:lang w:val="es-MX"/>
        </w:rPr>
        <w:t>información requerida con base en sus intereses</w:t>
      </w:r>
      <w:r>
        <w:rPr>
          <w:rFonts w:ascii="Verdana" w:hAnsi="Verdana" w:cs="Verdana"/>
          <w:sz w:val="20"/>
          <w:szCs w:val="20"/>
          <w:lang w:val="es-MX"/>
        </w:rPr>
        <w:t>”</w:t>
      </w:r>
      <w:r w:rsidR="00EE5C1A">
        <w:rPr>
          <w:rStyle w:val="Refdenotaalpie"/>
          <w:rFonts w:ascii="Verdana" w:hAnsi="Verdana" w:cs="Verdana"/>
          <w:sz w:val="20"/>
          <w:szCs w:val="20"/>
          <w:lang w:val="es-MX"/>
        </w:rPr>
        <w:footnoteReference w:id="48"/>
      </w:r>
      <w:r>
        <w:rPr>
          <w:rFonts w:ascii="Verdana" w:hAnsi="Verdana" w:cs="Verdana"/>
          <w:sz w:val="20"/>
          <w:szCs w:val="20"/>
          <w:lang w:val="es-MX"/>
        </w:rPr>
        <w:t>.</w:t>
      </w:r>
      <w:r w:rsidR="00386AC6">
        <w:rPr>
          <w:rFonts w:ascii="Verdana" w:hAnsi="Verdana" w:cs="Verdana"/>
          <w:sz w:val="20"/>
          <w:szCs w:val="20"/>
          <w:lang w:val="es-MX"/>
        </w:rPr>
        <w:t xml:space="preserve"> </w:t>
      </w:r>
      <w:r>
        <w:rPr>
          <w:rFonts w:ascii="Verdana" w:hAnsi="Verdana" w:cs="Verdana"/>
          <w:sz w:val="20"/>
          <w:szCs w:val="20"/>
          <w:lang w:val="es-MX"/>
        </w:rPr>
        <w:t xml:space="preserve">Por su parte, </w:t>
      </w:r>
      <w:r w:rsidR="006432F7">
        <w:rPr>
          <w:rFonts w:ascii="Verdana" w:hAnsi="Verdana" w:cs="Verdana"/>
          <w:sz w:val="20"/>
          <w:szCs w:val="20"/>
          <w:lang w:val="es-MX"/>
        </w:rPr>
        <w:t xml:space="preserve">en sus observaciones de febrero de 2020, </w:t>
      </w:r>
      <w:r w:rsidR="00204442">
        <w:rPr>
          <w:rFonts w:ascii="Verdana" w:hAnsi="Verdana" w:cs="Verdana"/>
          <w:sz w:val="20"/>
          <w:szCs w:val="20"/>
          <w:lang w:val="es-MX"/>
        </w:rPr>
        <w:t>la</w:t>
      </w:r>
      <w:r w:rsidR="00B25D6E">
        <w:rPr>
          <w:rFonts w:ascii="Verdana" w:hAnsi="Verdana" w:cs="Verdana"/>
          <w:sz w:val="20"/>
          <w:szCs w:val="20"/>
          <w:lang w:val="es-MX"/>
        </w:rPr>
        <w:t>s representantes confirmaron que “</w:t>
      </w:r>
      <w:r w:rsidR="00B25D6E" w:rsidRPr="00B25D6E">
        <w:rPr>
          <w:rFonts w:ascii="Verdana" w:hAnsi="Verdana" w:cs="Verdana"/>
          <w:sz w:val="20"/>
          <w:szCs w:val="20"/>
          <w:lang w:val="es-MX"/>
        </w:rPr>
        <w:t xml:space="preserve">las tres víctimas beneficiarias de las becas ordenadas </w:t>
      </w:r>
      <w:r w:rsidR="00B25D6E">
        <w:rPr>
          <w:rFonts w:ascii="Verdana" w:hAnsi="Verdana" w:cs="Verdana"/>
          <w:sz w:val="20"/>
          <w:szCs w:val="20"/>
          <w:lang w:val="es-MX"/>
        </w:rPr>
        <w:t>[…]</w:t>
      </w:r>
      <w:r w:rsidR="00B25D6E" w:rsidRPr="00B25D6E">
        <w:rPr>
          <w:rFonts w:ascii="Verdana" w:hAnsi="Verdana" w:cs="Verdana"/>
          <w:sz w:val="20"/>
          <w:szCs w:val="20"/>
          <w:lang w:val="es-MX"/>
        </w:rPr>
        <w:t xml:space="preserve"> se</w:t>
      </w:r>
      <w:r w:rsidR="00B25D6E">
        <w:rPr>
          <w:rFonts w:ascii="Verdana" w:hAnsi="Verdana" w:cs="Verdana"/>
          <w:sz w:val="20"/>
          <w:szCs w:val="20"/>
          <w:lang w:val="es-MX"/>
        </w:rPr>
        <w:t xml:space="preserve"> </w:t>
      </w:r>
      <w:r w:rsidR="00B25D6E" w:rsidRPr="00B25D6E">
        <w:rPr>
          <w:rFonts w:ascii="Verdana" w:hAnsi="Verdana" w:cs="Verdana"/>
          <w:sz w:val="20"/>
          <w:szCs w:val="20"/>
          <w:lang w:val="es-MX"/>
        </w:rPr>
        <w:t xml:space="preserve">encuentran explorando </w:t>
      </w:r>
      <w:r w:rsidR="00B25D6E">
        <w:rPr>
          <w:rFonts w:ascii="Verdana" w:hAnsi="Verdana" w:cs="Verdana"/>
          <w:sz w:val="20"/>
          <w:szCs w:val="20"/>
          <w:lang w:val="es-MX"/>
        </w:rPr>
        <w:t>opciones”, y que inform</w:t>
      </w:r>
      <w:r w:rsidR="00B936FB">
        <w:rPr>
          <w:rFonts w:ascii="Verdana" w:hAnsi="Verdana" w:cs="Verdana"/>
          <w:sz w:val="20"/>
          <w:szCs w:val="20"/>
          <w:lang w:val="es-MX"/>
        </w:rPr>
        <w:t>a</w:t>
      </w:r>
      <w:r w:rsidR="00B25D6E">
        <w:rPr>
          <w:rFonts w:ascii="Verdana" w:hAnsi="Verdana" w:cs="Verdana"/>
          <w:sz w:val="20"/>
          <w:szCs w:val="20"/>
          <w:lang w:val="es-MX"/>
        </w:rPr>
        <w:t>r</w:t>
      </w:r>
      <w:r w:rsidR="00B936FB">
        <w:rPr>
          <w:rFonts w:ascii="Verdana" w:hAnsi="Verdana" w:cs="Verdana"/>
          <w:sz w:val="20"/>
          <w:szCs w:val="20"/>
          <w:lang w:val="es-MX"/>
        </w:rPr>
        <w:t>á</w:t>
      </w:r>
      <w:r w:rsidR="00B25D6E">
        <w:rPr>
          <w:rFonts w:ascii="Verdana" w:hAnsi="Verdana" w:cs="Verdana"/>
          <w:sz w:val="20"/>
          <w:szCs w:val="20"/>
          <w:lang w:val="es-MX"/>
        </w:rPr>
        <w:t>n al Estado oportunamente “</w:t>
      </w:r>
      <w:r w:rsidR="00B25D6E" w:rsidRPr="00B25D6E">
        <w:rPr>
          <w:rFonts w:ascii="Verdana" w:hAnsi="Verdana" w:cs="Verdana"/>
          <w:sz w:val="20"/>
          <w:szCs w:val="20"/>
          <w:lang w:val="es-MX"/>
        </w:rPr>
        <w:t>una vez</w:t>
      </w:r>
      <w:r w:rsidR="00B25D6E">
        <w:rPr>
          <w:rFonts w:ascii="Verdana" w:hAnsi="Verdana" w:cs="Verdana"/>
          <w:sz w:val="20"/>
          <w:szCs w:val="20"/>
          <w:lang w:val="es-MX"/>
        </w:rPr>
        <w:t xml:space="preserve"> </w:t>
      </w:r>
      <w:r w:rsidR="00B25D6E" w:rsidRPr="00B25D6E">
        <w:rPr>
          <w:rFonts w:ascii="Verdana" w:hAnsi="Verdana" w:cs="Verdana"/>
          <w:sz w:val="20"/>
          <w:szCs w:val="20"/>
          <w:lang w:val="es-MX"/>
        </w:rPr>
        <w:t>que hayan tomado una decisión</w:t>
      </w:r>
      <w:r w:rsidR="00B25D6E">
        <w:rPr>
          <w:rFonts w:ascii="Verdana" w:hAnsi="Verdana" w:cs="Verdana"/>
          <w:sz w:val="20"/>
          <w:szCs w:val="20"/>
          <w:lang w:val="es-MX"/>
        </w:rPr>
        <w:t>”.</w:t>
      </w:r>
    </w:p>
    <w:p w14:paraId="60B5DE38" w14:textId="56EFFF7B" w:rsidR="00B25D6E" w:rsidRPr="00B25D6E" w:rsidRDefault="00B25D6E" w:rsidP="00581F34">
      <w:pPr>
        <w:numPr>
          <w:ilvl w:val="0"/>
          <w:numId w:val="9"/>
        </w:numPr>
        <w:spacing w:after="200"/>
        <w:ind w:left="0" w:firstLine="0"/>
        <w:jc w:val="both"/>
        <w:rPr>
          <w:rFonts w:ascii="Verdana" w:hAnsi="Verdana" w:cs="Verdana"/>
          <w:sz w:val="20"/>
          <w:szCs w:val="20"/>
          <w:lang w:val="es-MX"/>
        </w:rPr>
      </w:pPr>
      <w:r>
        <w:rPr>
          <w:rFonts w:ascii="Verdana" w:hAnsi="Verdana" w:cs="Verdana"/>
          <w:sz w:val="20"/>
          <w:szCs w:val="20"/>
          <w:lang w:val="es-MX"/>
        </w:rPr>
        <w:t xml:space="preserve">Al respecto, teniendo en cuenta lo manifestado por ambas partes, este Tribunal valora positivamente la disposición manifestada por México y constata que </w:t>
      </w:r>
      <w:r w:rsidRPr="00B342DD">
        <w:rPr>
          <w:rFonts w:ascii="Verdana" w:hAnsi="Verdana"/>
          <w:sz w:val="20"/>
          <w:szCs w:val="20"/>
          <w:lang w:val="es-ES"/>
        </w:rPr>
        <w:t xml:space="preserve">la presente medida de </w:t>
      </w:r>
      <w:proofErr w:type="spellStart"/>
      <w:r w:rsidRPr="00B342DD">
        <w:rPr>
          <w:rFonts w:ascii="Verdana" w:hAnsi="Verdana"/>
          <w:sz w:val="20"/>
          <w:szCs w:val="20"/>
          <w:lang w:val="es-ES"/>
        </w:rPr>
        <w:t>reparación</w:t>
      </w:r>
      <w:proofErr w:type="spellEnd"/>
      <w:r w:rsidRPr="00B342DD">
        <w:rPr>
          <w:rFonts w:ascii="Verdana" w:hAnsi="Verdana"/>
          <w:sz w:val="20"/>
          <w:szCs w:val="20"/>
          <w:lang w:val="es-ES"/>
        </w:rPr>
        <w:t xml:space="preserve"> se </w:t>
      </w:r>
      <w:r w:rsidRPr="00581F34">
        <w:rPr>
          <w:rFonts w:ascii="Verdana" w:hAnsi="Verdana" w:cs="Verdana"/>
          <w:sz w:val="20"/>
          <w:szCs w:val="20"/>
        </w:rPr>
        <w:t>encuentra</w:t>
      </w:r>
      <w:r w:rsidRPr="00B342DD">
        <w:rPr>
          <w:rFonts w:ascii="Verdana" w:hAnsi="Verdana"/>
          <w:sz w:val="20"/>
          <w:szCs w:val="20"/>
          <w:lang w:val="es-ES"/>
        </w:rPr>
        <w:t xml:space="preserve"> pendiente de cumplimiento</w:t>
      </w:r>
      <w:r>
        <w:rPr>
          <w:rFonts w:ascii="Verdana" w:hAnsi="Verdana"/>
          <w:sz w:val="20"/>
          <w:szCs w:val="20"/>
          <w:lang w:val="es-ES"/>
        </w:rPr>
        <w:t xml:space="preserve">, haciendo notar asimismo que </w:t>
      </w:r>
      <w:r>
        <w:rPr>
          <w:rFonts w:ascii="Verdana" w:hAnsi="Verdana" w:cs="Verdana"/>
          <w:sz w:val="20"/>
          <w:szCs w:val="20"/>
          <w:lang w:val="es-MX"/>
        </w:rPr>
        <w:t>el plazo de dos años</w:t>
      </w:r>
      <w:r w:rsidR="00627D9A">
        <w:rPr>
          <w:rFonts w:ascii="Verdana" w:hAnsi="Verdana" w:cs="Verdana"/>
          <w:sz w:val="20"/>
          <w:szCs w:val="20"/>
          <w:lang w:val="es-MX"/>
        </w:rPr>
        <w:t>,</w:t>
      </w:r>
      <w:r>
        <w:rPr>
          <w:rFonts w:ascii="Verdana" w:hAnsi="Verdana" w:cs="Verdana"/>
          <w:sz w:val="20"/>
          <w:szCs w:val="20"/>
          <w:lang w:val="es-MX"/>
        </w:rPr>
        <w:t xml:space="preserve"> contado a partir de la notificación </w:t>
      </w:r>
      <w:r w:rsidR="006432F7">
        <w:rPr>
          <w:rFonts w:ascii="Verdana" w:hAnsi="Verdana" w:cs="Verdana"/>
          <w:sz w:val="20"/>
          <w:szCs w:val="20"/>
          <w:lang w:val="es-MX"/>
        </w:rPr>
        <w:t xml:space="preserve">de </w:t>
      </w:r>
      <w:r>
        <w:rPr>
          <w:rFonts w:ascii="Verdana" w:hAnsi="Verdana" w:cs="Verdana"/>
          <w:sz w:val="20"/>
          <w:szCs w:val="20"/>
          <w:lang w:val="es-MX"/>
        </w:rPr>
        <w:t>la Sen</w:t>
      </w:r>
      <w:r w:rsidR="006432F7">
        <w:rPr>
          <w:rFonts w:ascii="Verdana" w:hAnsi="Verdana" w:cs="Verdana"/>
          <w:sz w:val="20"/>
          <w:szCs w:val="20"/>
          <w:lang w:val="es-MX"/>
        </w:rPr>
        <w:t>t</w:t>
      </w:r>
      <w:r>
        <w:rPr>
          <w:rFonts w:ascii="Verdana" w:hAnsi="Verdana" w:cs="Verdana"/>
          <w:sz w:val="20"/>
          <w:szCs w:val="20"/>
          <w:lang w:val="es-MX"/>
        </w:rPr>
        <w:t>encia</w:t>
      </w:r>
      <w:r w:rsidR="006432F7">
        <w:rPr>
          <w:rFonts w:ascii="Verdana" w:hAnsi="Verdana" w:cs="Verdana"/>
          <w:sz w:val="20"/>
          <w:szCs w:val="20"/>
          <w:lang w:val="es-MX"/>
        </w:rPr>
        <w:t>,</w:t>
      </w:r>
      <w:r>
        <w:rPr>
          <w:rFonts w:ascii="Verdana" w:hAnsi="Verdana" w:cs="Verdana"/>
          <w:sz w:val="20"/>
          <w:szCs w:val="20"/>
          <w:lang w:val="es-MX"/>
        </w:rPr>
        <w:t xml:space="preserve"> para que las beneficiarias de la presente medida den a conocer al Estado su intención de recibir las becas (</w:t>
      </w:r>
      <w:r>
        <w:rPr>
          <w:rFonts w:ascii="Verdana" w:hAnsi="Verdana" w:cs="Verdana"/>
          <w:i/>
          <w:sz w:val="20"/>
          <w:szCs w:val="20"/>
          <w:lang w:val="es-MX"/>
        </w:rPr>
        <w:t xml:space="preserve">supra </w:t>
      </w:r>
      <w:r>
        <w:rPr>
          <w:rFonts w:ascii="Verdana" w:hAnsi="Verdana" w:cs="Verdana"/>
          <w:sz w:val="20"/>
          <w:szCs w:val="20"/>
          <w:lang w:val="es-MX"/>
        </w:rPr>
        <w:t xml:space="preserve">Considerando </w:t>
      </w:r>
      <w:r w:rsidR="0054464E" w:rsidRPr="0056197B">
        <w:rPr>
          <w:rFonts w:ascii="Verdana" w:hAnsi="Verdana" w:cs="Verdana"/>
          <w:sz w:val="20"/>
          <w:szCs w:val="20"/>
          <w:lang w:val="es-MX"/>
        </w:rPr>
        <w:t>25</w:t>
      </w:r>
      <w:r>
        <w:rPr>
          <w:rFonts w:ascii="Verdana" w:hAnsi="Verdana" w:cs="Verdana"/>
          <w:sz w:val="20"/>
          <w:szCs w:val="20"/>
          <w:lang w:val="es-MX"/>
        </w:rPr>
        <w:t>)</w:t>
      </w:r>
      <w:r w:rsidR="0056197B">
        <w:rPr>
          <w:rFonts w:ascii="Verdana" w:hAnsi="Verdana" w:cs="Verdana"/>
          <w:sz w:val="20"/>
          <w:szCs w:val="20"/>
          <w:lang w:val="es-MX"/>
        </w:rPr>
        <w:t>,</w:t>
      </w:r>
      <w:r>
        <w:rPr>
          <w:rFonts w:ascii="Verdana" w:hAnsi="Verdana" w:cs="Verdana"/>
          <w:sz w:val="20"/>
          <w:szCs w:val="20"/>
          <w:lang w:val="es-MX"/>
        </w:rPr>
        <w:t xml:space="preserve"> finalizará el </w:t>
      </w:r>
      <w:r w:rsidR="000273E1">
        <w:rPr>
          <w:rFonts w:ascii="Verdana" w:hAnsi="Verdana" w:cs="Verdana"/>
          <w:sz w:val="20"/>
          <w:szCs w:val="20"/>
          <w:lang w:val="es-MX"/>
        </w:rPr>
        <w:t>4 de enero de 2021</w:t>
      </w:r>
      <w:r w:rsidR="006A02B4">
        <w:rPr>
          <w:rFonts w:ascii="Verdana" w:hAnsi="Verdana" w:cs="Verdana"/>
          <w:sz w:val="20"/>
          <w:szCs w:val="20"/>
          <w:lang w:val="es-MX"/>
        </w:rPr>
        <w:t xml:space="preserve">. </w:t>
      </w:r>
    </w:p>
    <w:p w14:paraId="41811CA9" w14:textId="1F001520" w:rsidR="00C433B6" w:rsidRDefault="00C433B6" w:rsidP="00C433B6">
      <w:pPr>
        <w:widowControl w:val="0"/>
        <w:spacing w:before="120" w:after="120"/>
        <w:jc w:val="both"/>
        <w:outlineLvl w:val="0"/>
        <w:rPr>
          <w:rFonts w:ascii="Verdana" w:hAnsi="Verdana" w:cs="Verdana"/>
          <w:sz w:val="20"/>
          <w:szCs w:val="20"/>
          <w:lang w:val="es-MX"/>
        </w:rPr>
      </w:pPr>
    </w:p>
    <w:p w14:paraId="61371D54" w14:textId="77777777" w:rsidR="00370D9C" w:rsidRDefault="00370D9C" w:rsidP="00C433B6">
      <w:pPr>
        <w:widowControl w:val="0"/>
        <w:spacing w:before="120" w:after="120"/>
        <w:jc w:val="both"/>
        <w:outlineLvl w:val="0"/>
        <w:rPr>
          <w:rFonts w:ascii="Verdana" w:hAnsi="Verdana" w:cs="Verdana"/>
          <w:sz w:val="20"/>
          <w:szCs w:val="20"/>
          <w:lang w:val="es-MX"/>
        </w:rPr>
      </w:pPr>
    </w:p>
    <w:p w14:paraId="57AF7D4B" w14:textId="77777777" w:rsidR="0056197B" w:rsidRDefault="0056197B" w:rsidP="00C433B6">
      <w:pPr>
        <w:widowControl w:val="0"/>
        <w:spacing w:before="120" w:after="120"/>
        <w:jc w:val="both"/>
        <w:outlineLvl w:val="0"/>
        <w:rPr>
          <w:rFonts w:ascii="Verdana" w:hAnsi="Verdana" w:cs="Verdana"/>
          <w:sz w:val="20"/>
          <w:szCs w:val="20"/>
          <w:lang w:val="es-MX"/>
        </w:rPr>
      </w:pPr>
    </w:p>
    <w:p w14:paraId="64B57FD3" w14:textId="77777777" w:rsidR="0056197B" w:rsidRPr="00C433B6" w:rsidRDefault="0056197B" w:rsidP="00C433B6">
      <w:pPr>
        <w:widowControl w:val="0"/>
        <w:spacing w:before="120" w:after="120"/>
        <w:jc w:val="both"/>
        <w:outlineLvl w:val="0"/>
        <w:rPr>
          <w:rFonts w:ascii="Verdana" w:hAnsi="Verdana" w:cs="Verdana"/>
          <w:sz w:val="20"/>
          <w:szCs w:val="20"/>
          <w:lang w:val="es-MX"/>
        </w:rPr>
      </w:pPr>
    </w:p>
    <w:p w14:paraId="32D9EC04" w14:textId="77777777" w:rsidR="00990438" w:rsidRDefault="00990438" w:rsidP="00990438">
      <w:pPr>
        <w:widowControl w:val="0"/>
        <w:numPr>
          <w:ilvl w:val="0"/>
          <w:numId w:val="15"/>
        </w:numPr>
        <w:spacing w:before="120" w:after="120"/>
        <w:jc w:val="both"/>
        <w:outlineLvl w:val="0"/>
        <w:rPr>
          <w:rFonts w:ascii="Verdana" w:hAnsi="Verdana" w:cs="Verdana"/>
          <w:b/>
          <w:i/>
          <w:sz w:val="20"/>
          <w:szCs w:val="20"/>
          <w:lang w:val="es-MX"/>
        </w:rPr>
      </w:pPr>
      <w:bookmarkStart w:id="24" w:name="_Toc54301855"/>
      <w:bookmarkStart w:id="25" w:name="_Toc57748151"/>
      <w:r>
        <w:rPr>
          <w:rFonts w:ascii="Verdana" w:hAnsi="Verdana" w:cs="Verdana"/>
          <w:b/>
          <w:i/>
          <w:sz w:val="20"/>
          <w:szCs w:val="20"/>
          <w:lang w:val="es-MX"/>
        </w:rPr>
        <w:lastRenderedPageBreak/>
        <w:t>Indemnizaciones por concepto de daño material e inmaterial y reintegro de costas y gastos</w:t>
      </w:r>
      <w:bookmarkEnd w:id="24"/>
      <w:bookmarkEnd w:id="25"/>
    </w:p>
    <w:p w14:paraId="6D40319D" w14:textId="77777777" w:rsidR="006007F3" w:rsidRDefault="00990438" w:rsidP="00627D9A">
      <w:pPr>
        <w:spacing w:after="200"/>
        <w:ind w:firstLine="360"/>
        <w:jc w:val="both"/>
        <w:rPr>
          <w:rFonts w:ascii="Verdana" w:hAnsi="Verdana" w:cs="Verdana"/>
          <w:i/>
          <w:sz w:val="20"/>
          <w:szCs w:val="20"/>
          <w:lang w:val="es-MX"/>
        </w:rPr>
      </w:pPr>
      <w:bookmarkStart w:id="26" w:name="_Toc51054694"/>
      <w:bookmarkStart w:id="27" w:name="_Toc54301856"/>
      <w:r w:rsidRPr="00990438">
        <w:rPr>
          <w:rFonts w:ascii="Verdana" w:hAnsi="Verdana" w:cs="Verdana"/>
          <w:i/>
          <w:sz w:val="20"/>
          <w:szCs w:val="20"/>
          <w:lang w:val="es-MX"/>
        </w:rPr>
        <w:t>F.1. Medidas ordenadas por la Corte</w:t>
      </w:r>
      <w:bookmarkEnd w:id="26"/>
      <w:bookmarkEnd w:id="27"/>
    </w:p>
    <w:p w14:paraId="790C5AE6" w14:textId="77777777" w:rsidR="0098046F" w:rsidRPr="0098046F" w:rsidRDefault="00990438" w:rsidP="0098046F">
      <w:pPr>
        <w:numPr>
          <w:ilvl w:val="0"/>
          <w:numId w:val="9"/>
        </w:numPr>
        <w:spacing w:after="200"/>
        <w:ind w:left="0" w:firstLine="0"/>
        <w:jc w:val="both"/>
        <w:rPr>
          <w:rFonts w:ascii="Verdana" w:hAnsi="Verdana" w:cs="Verdana"/>
          <w:i/>
          <w:sz w:val="20"/>
          <w:szCs w:val="20"/>
          <w:lang w:val="es-MX"/>
        </w:rPr>
      </w:pPr>
      <w:r>
        <w:rPr>
          <w:rFonts w:ascii="Verdana" w:hAnsi="Verdana" w:cs="Verdana"/>
          <w:sz w:val="20"/>
          <w:szCs w:val="20"/>
          <w:lang w:val="es-MX"/>
        </w:rPr>
        <w:t xml:space="preserve">En el punto resolutivo décimo sexto </w:t>
      </w:r>
      <w:r w:rsidR="008124CA">
        <w:rPr>
          <w:rFonts w:ascii="Verdana" w:hAnsi="Verdana" w:cs="Verdana"/>
          <w:sz w:val="20"/>
          <w:szCs w:val="20"/>
        </w:rPr>
        <w:t>de la Sentencia</w:t>
      </w:r>
      <w:r>
        <w:rPr>
          <w:rFonts w:ascii="Verdana" w:hAnsi="Verdana" w:cs="Verdana"/>
          <w:sz w:val="20"/>
          <w:szCs w:val="20"/>
        </w:rPr>
        <w:t xml:space="preserve">, </w:t>
      </w:r>
      <w:r w:rsidR="00D42500">
        <w:rPr>
          <w:rFonts w:ascii="Verdana" w:hAnsi="Verdana" w:cs="Verdana"/>
          <w:sz w:val="20"/>
          <w:szCs w:val="20"/>
        </w:rPr>
        <w:t>se</w:t>
      </w:r>
      <w:r>
        <w:rPr>
          <w:rFonts w:ascii="Verdana" w:hAnsi="Verdana" w:cs="Verdana"/>
          <w:sz w:val="20"/>
          <w:szCs w:val="20"/>
        </w:rPr>
        <w:t xml:space="preserve"> dispuso que </w:t>
      </w:r>
      <w:r w:rsidR="00D42500">
        <w:rPr>
          <w:rFonts w:ascii="Verdana" w:hAnsi="Verdana" w:cs="Verdana"/>
          <w:sz w:val="20"/>
          <w:szCs w:val="20"/>
        </w:rPr>
        <w:t>México</w:t>
      </w:r>
      <w:r>
        <w:rPr>
          <w:rFonts w:ascii="Verdana" w:hAnsi="Verdana" w:cs="Verdana"/>
          <w:sz w:val="20"/>
          <w:szCs w:val="20"/>
        </w:rPr>
        <w:t xml:space="preserve"> debía pagar</w:t>
      </w:r>
      <w:r w:rsidR="0098046F">
        <w:rPr>
          <w:rFonts w:ascii="Verdana" w:hAnsi="Verdana" w:cs="Verdana"/>
          <w:sz w:val="20"/>
          <w:szCs w:val="20"/>
        </w:rPr>
        <w:t>:</w:t>
      </w:r>
    </w:p>
    <w:p w14:paraId="502CD577" w14:textId="4AC416C4" w:rsidR="00B26963" w:rsidRPr="00B26963" w:rsidRDefault="00B26963" w:rsidP="0098046F">
      <w:pPr>
        <w:pStyle w:val="Prrafodelista"/>
        <w:numPr>
          <w:ilvl w:val="0"/>
          <w:numId w:val="26"/>
        </w:numPr>
        <w:spacing w:after="200"/>
        <w:jc w:val="both"/>
        <w:rPr>
          <w:rFonts w:ascii="Verdana" w:hAnsi="Verdana" w:cs="Verdana"/>
          <w:i/>
          <w:sz w:val="20"/>
          <w:szCs w:val="20"/>
          <w:lang w:val="es-MX"/>
        </w:rPr>
      </w:pPr>
      <w:r w:rsidRPr="0098046F">
        <w:rPr>
          <w:rFonts w:ascii="Verdana" w:hAnsi="Verdana" w:cs="Verdana"/>
          <w:sz w:val="20"/>
          <w:szCs w:val="20"/>
        </w:rPr>
        <w:t>a cada una de las diez mujeres víctimas de este caso que solicitaron indemnización económica</w:t>
      </w:r>
      <w:r>
        <w:rPr>
          <w:rStyle w:val="Refdenotaalpie"/>
          <w:rFonts w:ascii="Verdana" w:hAnsi="Verdana" w:cs="Verdana"/>
          <w:sz w:val="20"/>
          <w:szCs w:val="20"/>
        </w:rPr>
        <w:footnoteReference w:id="49"/>
      </w:r>
      <w:r>
        <w:rPr>
          <w:rFonts w:ascii="Verdana" w:hAnsi="Verdana" w:cs="Verdana"/>
          <w:sz w:val="20"/>
          <w:szCs w:val="20"/>
        </w:rPr>
        <w:t>, las cantidades fijadas a favor de cada una de ellas en los párrafos 371</w:t>
      </w:r>
      <w:r>
        <w:rPr>
          <w:rStyle w:val="Refdenotaalpie"/>
          <w:rFonts w:ascii="Verdana" w:hAnsi="Verdana" w:cs="Verdana"/>
          <w:sz w:val="20"/>
          <w:szCs w:val="20"/>
        </w:rPr>
        <w:footnoteReference w:id="50"/>
      </w:r>
      <w:r>
        <w:rPr>
          <w:rFonts w:ascii="Verdana" w:hAnsi="Verdana" w:cs="Verdana"/>
          <w:sz w:val="20"/>
          <w:szCs w:val="20"/>
        </w:rPr>
        <w:t xml:space="preserve"> </w:t>
      </w:r>
      <w:r w:rsidR="00CD67B8">
        <w:rPr>
          <w:rFonts w:ascii="Verdana" w:hAnsi="Verdana" w:cs="Verdana"/>
          <w:sz w:val="20"/>
          <w:szCs w:val="20"/>
        </w:rPr>
        <w:t xml:space="preserve">y 376 </w:t>
      </w:r>
      <w:r>
        <w:rPr>
          <w:rFonts w:ascii="Verdana" w:hAnsi="Verdana" w:cs="Verdana"/>
          <w:sz w:val="20"/>
          <w:szCs w:val="20"/>
        </w:rPr>
        <w:t>de la Sentencia</w:t>
      </w:r>
      <w:r w:rsidR="00CD67B8">
        <w:rPr>
          <w:rStyle w:val="Refdenotaalpie"/>
          <w:rFonts w:ascii="Verdana" w:hAnsi="Verdana" w:cs="Verdana"/>
          <w:sz w:val="20"/>
          <w:szCs w:val="20"/>
        </w:rPr>
        <w:footnoteReference w:id="51"/>
      </w:r>
      <w:r>
        <w:rPr>
          <w:rFonts w:ascii="Verdana" w:hAnsi="Verdana" w:cs="Verdana"/>
          <w:sz w:val="20"/>
          <w:szCs w:val="20"/>
        </w:rPr>
        <w:t>, por concepto de indemnización del daño emergente y del daño inmaterial;</w:t>
      </w:r>
    </w:p>
    <w:p w14:paraId="3B3C0487" w14:textId="7D734D33" w:rsidR="00B26963" w:rsidRPr="00B26963" w:rsidRDefault="00B26963" w:rsidP="0098046F">
      <w:pPr>
        <w:pStyle w:val="Prrafodelista"/>
        <w:numPr>
          <w:ilvl w:val="0"/>
          <w:numId w:val="26"/>
        </w:numPr>
        <w:spacing w:after="200"/>
        <w:jc w:val="both"/>
        <w:rPr>
          <w:rFonts w:ascii="Verdana" w:hAnsi="Verdana" w:cs="Verdana"/>
          <w:i/>
          <w:sz w:val="20"/>
          <w:szCs w:val="20"/>
          <w:lang w:val="es-MX"/>
        </w:rPr>
      </w:pPr>
      <w:r>
        <w:rPr>
          <w:rFonts w:ascii="Verdana" w:hAnsi="Verdana" w:cs="Verdana"/>
          <w:sz w:val="20"/>
          <w:szCs w:val="20"/>
          <w:lang w:val="es-MX"/>
        </w:rPr>
        <w:t xml:space="preserve">a </w:t>
      </w:r>
      <w:r>
        <w:rPr>
          <w:rFonts w:ascii="Verdana" w:hAnsi="Verdana" w:cs="Verdana"/>
          <w:sz w:val="20"/>
          <w:szCs w:val="20"/>
        </w:rPr>
        <w:t xml:space="preserve">Yolanda Muñoz </w:t>
      </w:r>
      <w:proofErr w:type="spellStart"/>
      <w:r>
        <w:rPr>
          <w:rFonts w:ascii="Verdana" w:hAnsi="Verdana" w:cs="Verdana"/>
          <w:sz w:val="20"/>
          <w:szCs w:val="20"/>
        </w:rPr>
        <w:t>Diosdada</w:t>
      </w:r>
      <w:proofErr w:type="spellEnd"/>
      <w:r>
        <w:rPr>
          <w:rFonts w:ascii="Verdana" w:hAnsi="Verdana" w:cs="Verdana"/>
          <w:sz w:val="20"/>
          <w:szCs w:val="20"/>
        </w:rPr>
        <w:t xml:space="preserve"> y </w:t>
      </w:r>
      <w:r w:rsidRPr="0098046F">
        <w:rPr>
          <w:rFonts w:ascii="Verdana" w:hAnsi="Verdana" w:cs="Verdana"/>
          <w:sz w:val="20"/>
          <w:szCs w:val="20"/>
        </w:rPr>
        <w:t>María Patricia Romero Hernández</w:t>
      </w:r>
      <w:r>
        <w:rPr>
          <w:rFonts w:ascii="Verdana" w:hAnsi="Verdana" w:cs="Verdana"/>
          <w:sz w:val="20"/>
          <w:szCs w:val="20"/>
        </w:rPr>
        <w:t>, las cantidades fijadas a favor de cada una de ellas en el párrafo 373</w:t>
      </w:r>
      <w:r>
        <w:rPr>
          <w:rStyle w:val="Refdenotaalpie"/>
          <w:rFonts w:ascii="Verdana" w:hAnsi="Verdana" w:cs="Verdana"/>
          <w:sz w:val="20"/>
          <w:szCs w:val="20"/>
        </w:rPr>
        <w:footnoteReference w:id="52"/>
      </w:r>
      <w:r>
        <w:rPr>
          <w:rFonts w:ascii="Verdana" w:hAnsi="Verdana" w:cs="Verdana"/>
          <w:sz w:val="20"/>
          <w:szCs w:val="20"/>
        </w:rPr>
        <w:t xml:space="preserve"> de la Sentencia</w:t>
      </w:r>
      <w:r w:rsidR="00CD67B8">
        <w:rPr>
          <w:rFonts w:ascii="Verdana" w:hAnsi="Verdana" w:cs="Verdana"/>
          <w:sz w:val="20"/>
          <w:szCs w:val="20"/>
        </w:rPr>
        <w:t>,</w:t>
      </w:r>
      <w:r>
        <w:rPr>
          <w:rFonts w:ascii="Verdana" w:hAnsi="Verdana" w:cs="Verdana"/>
          <w:sz w:val="20"/>
          <w:szCs w:val="20"/>
        </w:rPr>
        <w:t xml:space="preserve"> por concepto de </w:t>
      </w:r>
      <w:r w:rsidR="00CD67B8">
        <w:rPr>
          <w:rFonts w:ascii="Verdana" w:hAnsi="Verdana" w:cs="Verdana"/>
          <w:sz w:val="20"/>
          <w:szCs w:val="20"/>
        </w:rPr>
        <w:t xml:space="preserve">indemnización del </w:t>
      </w:r>
      <w:r>
        <w:rPr>
          <w:rFonts w:ascii="Verdana" w:hAnsi="Verdana" w:cs="Verdana"/>
          <w:sz w:val="20"/>
          <w:szCs w:val="20"/>
        </w:rPr>
        <w:t>lucro cesante;</w:t>
      </w:r>
      <w:r w:rsidRPr="0098046F">
        <w:rPr>
          <w:rFonts w:ascii="Verdana" w:hAnsi="Verdana" w:cs="Verdana"/>
          <w:sz w:val="20"/>
          <w:szCs w:val="20"/>
        </w:rPr>
        <w:t xml:space="preserve"> </w:t>
      </w:r>
    </w:p>
    <w:p w14:paraId="334767BB" w14:textId="238B4A3D" w:rsidR="00B26963" w:rsidRPr="00B26963" w:rsidRDefault="00B26963" w:rsidP="0098046F">
      <w:pPr>
        <w:pStyle w:val="Prrafodelista"/>
        <w:numPr>
          <w:ilvl w:val="0"/>
          <w:numId w:val="26"/>
        </w:numPr>
        <w:spacing w:after="200"/>
        <w:jc w:val="both"/>
        <w:rPr>
          <w:rFonts w:ascii="Verdana" w:hAnsi="Verdana" w:cs="Verdana"/>
          <w:i/>
          <w:sz w:val="20"/>
          <w:szCs w:val="20"/>
          <w:lang w:val="es-MX"/>
        </w:rPr>
      </w:pPr>
      <w:r>
        <w:rPr>
          <w:rFonts w:ascii="Verdana" w:hAnsi="Verdana" w:cs="Verdana"/>
          <w:sz w:val="20"/>
          <w:szCs w:val="20"/>
          <w:lang w:val="es-MX"/>
        </w:rPr>
        <w:t>a los familiares de las diez mujeres víctimas de este caso que solicitaron indemnización económica,</w:t>
      </w:r>
      <w:r w:rsidR="008E5D18">
        <w:rPr>
          <w:rFonts w:ascii="Verdana" w:hAnsi="Verdana" w:cs="Verdana"/>
          <w:sz w:val="20"/>
          <w:szCs w:val="20"/>
          <w:lang w:val="es-MX"/>
        </w:rPr>
        <w:t xml:space="preserve"> identificados en el párrafo 324 de la Sentencia,</w:t>
      </w:r>
      <w:r>
        <w:rPr>
          <w:rFonts w:ascii="Verdana" w:hAnsi="Verdana" w:cs="Verdana"/>
          <w:sz w:val="20"/>
          <w:szCs w:val="20"/>
          <w:lang w:val="es-MX"/>
        </w:rPr>
        <w:t xml:space="preserve"> las cantidades fijadas a favor de c</w:t>
      </w:r>
      <w:r w:rsidR="00CD67B8">
        <w:rPr>
          <w:rFonts w:ascii="Verdana" w:hAnsi="Verdana" w:cs="Verdana"/>
          <w:sz w:val="20"/>
          <w:szCs w:val="20"/>
          <w:lang w:val="es-MX"/>
        </w:rPr>
        <w:t>ada uno de ellos en el párrafo</w:t>
      </w:r>
      <w:r>
        <w:rPr>
          <w:rFonts w:ascii="Verdana" w:hAnsi="Verdana" w:cs="Verdana"/>
          <w:sz w:val="20"/>
          <w:szCs w:val="20"/>
          <w:lang w:val="es-MX"/>
        </w:rPr>
        <w:t xml:space="preserve"> </w:t>
      </w:r>
      <w:r w:rsidR="00CD67B8">
        <w:rPr>
          <w:rFonts w:ascii="Verdana" w:hAnsi="Verdana" w:cs="Verdana"/>
          <w:sz w:val="20"/>
          <w:szCs w:val="20"/>
          <w:lang w:val="es-MX"/>
        </w:rPr>
        <w:t>376</w:t>
      </w:r>
      <w:r>
        <w:rPr>
          <w:rFonts w:ascii="Verdana" w:hAnsi="Verdana" w:cs="Verdana"/>
          <w:sz w:val="20"/>
          <w:szCs w:val="20"/>
          <w:lang w:val="es-MX"/>
        </w:rPr>
        <w:t xml:space="preserve"> de la Sentencia, por concepto de indemnización del daño inmaterial</w:t>
      </w:r>
      <w:r w:rsidR="00CD67B8">
        <w:rPr>
          <w:rStyle w:val="Refdenotaalpie"/>
          <w:rFonts w:ascii="Verdana" w:hAnsi="Verdana" w:cs="Verdana"/>
          <w:sz w:val="20"/>
          <w:szCs w:val="20"/>
          <w:lang w:val="es-MX"/>
        </w:rPr>
        <w:footnoteReference w:id="53"/>
      </w:r>
      <w:r>
        <w:rPr>
          <w:rFonts w:ascii="Verdana" w:hAnsi="Verdana" w:cs="Verdana"/>
          <w:sz w:val="20"/>
          <w:szCs w:val="20"/>
          <w:lang w:val="es-MX"/>
        </w:rPr>
        <w:t>;</w:t>
      </w:r>
    </w:p>
    <w:p w14:paraId="6C68CE34" w14:textId="565F237E" w:rsidR="00B26963" w:rsidRPr="00B26963" w:rsidRDefault="00B26963" w:rsidP="0098046F">
      <w:pPr>
        <w:pStyle w:val="Prrafodelista"/>
        <w:numPr>
          <w:ilvl w:val="0"/>
          <w:numId w:val="26"/>
        </w:numPr>
        <w:spacing w:after="200"/>
        <w:jc w:val="both"/>
        <w:rPr>
          <w:rFonts w:ascii="Verdana" w:hAnsi="Verdana" w:cs="Verdana"/>
          <w:i/>
          <w:sz w:val="20"/>
          <w:szCs w:val="20"/>
          <w:lang w:val="es-MX"/>
        </w:rPr>
      </w:pPr>
      <w:r>
        <w:rPr>
          <w:rFonts w:ascii="Verdana" w:hAnsi="Verdana" w:cs="Verdana"/>
          <w:sz w:val="20"/>
          <w:szCs w:val="20"/>
          <w:lang w:val="es-MX"/>
        </w:rPr>
        <w:t xml:space="preserve">al Centro </w:t>
      </w:r>
      <w:r w:rsidR="006432F7">
        <w:rPr>
          <w:rFonts w:ascii="Verdana" w:hAnsi="Verdana" w:cs="Verdana"/>
          <w:sz w:val="20"/>
          <w:szCs w:val="20"/>
          <w:lang w:val="es-MX"/>
        </w:rPr>
        <w:t>por</w:t>
      </w:r>
      <w:r>
        <w:rPr>
          <w:rFonts w:ascii="Verdana" w:hAnsi="Verdana" w:cs="Verdana"/>
          <w:sz w:val="20"/>
          <w:szCs w:val="20"/>
          <w:lang w:val="es-MX"/>
        </w:rPr>
        <w:t xml:space="preserve"> la Justicia y el Derecho Internacional (CEJIL), la cant</w:t>
      </w:r>
      <w:r w:rsidR="00CD67B8">
        <w:rPr>
          <w:rFonts w:ascii="Verdana" w:hAnsi="Verdana" w:cs="Verdana"/>
          <w:sz w:val="20"/>
          <w:szCs w:val="20"/>
          <w:lang w:val="es-MX"/>
        </w:rPr>
        <w:t>idad fijada en el párrafo 380 de la Sentencia, por</w:t>
      </w:r>
      <w:r>
        <w:rPr>
          <w:rFonts w:ascii="Verdana" w:hAnsi="Verdana" w:cs="Verdana"/>
          <w:sz w:val="20"/>
          <w:szCs w:val="20"/>
          <w:lang w:val="es-MX"/>
        </w:rPr>
        <w:t xml:space="preserve"> concepto de </w:t>
      </w:r>
      <w:r w:rsidR="00CD67B8">
        <w:rPr>
          <w:rFonts w:ascii="Verdana" w:hAnsi="Verdana" w:cs="Verdana"/>
          <w:sz w:val="20"/>
          <w:szCs w:val="20"/>
          <w:lang w:val="es-MX"/>
        </w:rPr>
        <w:t xml:space="preserve">reintegro de </w:t>
      </w:r>
      <w:r>
        <w:rPr>
          <w:rFonts w:ascii="Verdana" w:hAnsi="Verdana" w:cs="Verdana"/>
          <w:sz w:val="20"/>
          <w:szCs w:val="20"/>
          <w:lang w:val="es-MX"/>
        </w:rPr>
        <w:t>costas y gastos</w:t>
      </w:r>
      <w:r w:rsidR="00D52A4B">
        <w:rPr>
          <w:rStyle w:val="Refdenotaalpie"/>
          <w:rFonts w:ascii="Verdana" w:hAnsi="Verdana" w:cs="Verdana"/>
          <w:sz w:val="20"/>
          <w:szCs w:val="20"/>
          <w:lang w:val="es-MX"/>
        </w:rPr>
        <w:footnoteReference w:id="54"/>
      </w:r>
      <w:r>
        <w:rPr>
          <w:rFonts w:ascii="Verdana" w:hAnsi="Verdana" w:cs="Verdana"/>
          <w:sz w:val="20"/>
          <w:szCs w:val="20"/>
          <w:lang w:val="es-MX"/>
        </w:rPr>
        <w:t xml:space="preserve">. </w:t>
      </w:r>
    </w:p>
    <w:p w14:paraId="1A9FE073" w14:textId="033C6AE9" w:rsidR="00CF7564" w:rsidRPr="00B936FB" w:rsidRDefault="00CF7564" w:rsidP="00990438">
      <w:pPr>
        <w:numPr>
          <w:ilvl w:val="0"/>
          <w:numId w:val="9"/>
        </w:numPr>
        <w:spacing w:after="200"/>
        <w:ind w:left="0" w:firstLine="0"/>
        <w:jc w:val="both"/>
        <w:rPr>
          <w:rFonts w:ascii="Verdana" w:hAnsi="Verdana" w:cs="Verdana"/>
          <w:i/>
          <w:sz w:val="20"/>
          <w:szCs w:val="20"/>
          <w:lang w:val="es-MX"/>
        </w:rPr>
      </w:pPr>
      <w:r>
        <w:rPr>
          <w:rFonts w:ascii="Verdana" w:hAnsi="Verdana" w:cs="Verdana"/>
          <w:sz w:val="20"/>
          <w:szCs w:val="20"/>
        </w:rPr>
        <w:t>En cuanto a la modalid</w:t>
      </w:r>
      <w:r w:rsidR="0047256C">
        <w:rPr>
          <w:rFonts w:ascii="Verdana" w:hAnsi="Verdana" w:cs="Verdana"/>
          <w:sz w:val="20"/>
          <w:szCs w:val="20"/>
        </w:rPr>
        <w:t>ad de cumplimiento de los pagos</w:t>
      </w:r>
      <w:r>
        <w:rPr>
          <w:rFonts w:ascii="Verdana" w:hAnsi="Verdana" w:cs="Verdana"/>
          <w:sz w:val="20"/>
          <w:szCs w:val="20"/>
        </w:rPr>
        <w:t xml:space="preserve">, en el párrafo 384 de la Sentencia, la Corte dispuso que </w:t>
      </w:r>
      <w:r w:rsidR="0056197B">
        <w:rPr>
          <w:rFonts w:ascii="Verdana" w:hAnsi="Verdana" w:cs="Verdana"/>
          <w:sz w:val="20"/>
          <w:szCs w:val="20"/>
        </w:rPr>
        <w:t>é</w:t>
      </w:r>
      <w:r>
        <w:rPr>
          <w:rFonts w:ascii="Verdana" w:hAnsi="Verdana" w:cs="Verdana"/>
          <w:sz w:val="20"/>
          <w:szCs w:val="20"/>
        </w:rPr>
        <w:t xml:space="preserve">stos debían ser efectuados dentro del plazo de un año </w:t>
      </w:r>
      <w:r w:rsidR="000E263C">
        <w:rPr>
          <w:rFonts w:ascii="Verdana" w:hAnsi="Verdana" w:cs="Verdana"/>
          <w:sz w:val="20"/>
          <w:szCs w:val="20"/>
        </w:rPr>
        <w:t xml:space="preserve">contado a partir de la notificación de la Sentencia. Adicionalmente, en el párrafo 387 del Fallo, el Tribunal dispuso que </w:t>
      </w:r>
      <w:r w:rsidR="00365810">
        <w:rPr>
          <w:rFonts w:ascii="Verdana" w:hAnsi="Verdana" w:cs="Verdana"/>
          <w:sz w:val="20"/>
          <w:szCs w:val="20"/>
        </w:rPr>
        <w:t>si “</w:t>
      </w:r>
      <w:r w:rsidR="00365810" w:rsidRPr="00365810">
        <w:rPr>
          <w:rFonts w:ascii="Verdana" w:hAnsi="Verdana" w:cs="Verdana"/>
          <w:sz w:val="20"/>
          <w:szCs w:val="20"/>
        </w:rPr>
        <w:t>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mexicana solvente, en dólares de los Estados Unidos de América, y en las condiciones financieras más favorables que permitan la legislación y la práctica bancaria</w:t>
      </w:r>
      <w:r w:rsidR="00365810">
        <w:rPr>
          <w:rFonts w:ascii="Verdana" w:hAnsi="Verdana" w:cs="Verdana"/>
          <w:sz w:val="20"/>
          <w:szCs w:val="20"/>
        </w:rPr>
        <w:t>”</w:t>
      </w:r>
      <w:r w:rsidR="00365810" w:rsidRPr="00365810">
        <w:rPr>
          <w:rFonts w:ascii="Verdana" w:hAnsi="Verdana" w:cs="Verdana"/>
          <w:sz w:val="20"/>
          <w:szCs w:val="20"/>
        </w:rPr>
        <w:t>.</w:t>
      </w:r>
      <w:r w:rsidR="0047256C">
        <w:rPr>
          <w:rFonts w:ascii="Verdana" w:hAnsi="Verdana" w:cs="Verdana"/>
          <w:sz w:val="20"/>
          <w:szCs w:val="20"/>
        </w:rPr>
        <w:t xml:space="preserve"> De conformidad con el</w:t>
      </w:r>
      <w:r w:rsidR="00A53419">
        <w:rPr>
          <w:rFonts w:ascii="Verdana" w:hAnsi="Verdana" w:cs="Verdana"/>
          <w:sz w:val="20"/>
          <w:szCs w:val="20"/>
        </w:rPr>
        <w:t xml:space="preserve"> párrafo 389, </w:t>
      </w:r>
      <w:r w:rsidR="0047256C">
        <w:rPr>
          <w:rFonts w:ascii="Verdana" w:hAnsi="Verdana" w:cs="Verdana"/>
          <w:sz w:val="20"/>
          <w:szCs w:val="20"/>
        </w:rPr>
        <w:t xml:space="preserve">si </w:t>
      </w:r>
      <w:r w:rsidR="00A53419">
        <w:rPr>
          <w:rFonts w:ascii="Verdana" w:hAnsi="Verdana" w:cs="Verdana"/>
          <w:sz w:val="20"/>
          <w:szCs w:val="20"/>
        </w:rPr>
        <w:t>“</w:t>
      </w:r>
      <w:r w:rsidR="00A53419" w:rsidRPr="00A53419">
        <w:rPr>
          <w:rFonts w:ascii="Verdana" w:hAnsi="Verdana" w:cs="Verdana"/>
          <w:sz w:val="20"/>
          <w:szCs w:val="20"/>
        </w:rPr>
        <w:t xml:space="preserve">el Estado incurriera en mora, </w:t>
      </w:r>
      <w:r w:rsidR="00A53419">
        <w:rPr>
          <w:rFonts w:ascii="Verdana" w:hAnsi="Verdana" w:cs="Verdana"/>
          <w:sz w:val="20"/>
          <w:szCs w:val="20"/>
        </w:rPr>
        <w:t>[…]</w:t>
      </w:r>
      <w:r w:rsidR="00A53419" w:rsidRPr="00A53419">
        <w:rPr>
          <w:rFonts w:ascii="Verdana" w:hAnsi="Verdana" w:cs="Verdana"/>
          <w:sz w:val="20"/>
          <w:szCs w:val="20"/>
        </w:rPr>
        <w:t xml:space="preserve"> deberá pagar un interés sobre la cantidad adeudada correspondiente al interés bancario moratorio en los Estados Unidos Mexicanos</w:t>
      </w:r>
      <w:r w:rsidR="00A53419">
        <w:rPr>
          <w:rFonts w:ascii="Verdana" w:hAnsi="Verdana" w:cs="Verdana"/>
          <w:sz w:val="20"/>
          <w:szCs w:val="20"/>
        </w:rPr>
        <w:t xml:space="preserve">”.  </w:t>
      </w:r>
    </w:p>
    <w:p w14:paraId="3FDE218B" w14:textId="77777777" w:rsidR="00B936FB" w:rsidRPr="00990438" w:rsidRDefault="00B936FB" w:rsidP="00B936FB">
      <w:pPr>
        <w:spacing w:after="200"/>
        <w:jc w:val="both"/>
        <w:rPr>
          <w:rFonts w:ascii="Verdana" w:hAnsi="Verdana" w:cs="Verdana"/>
          <w:i/>
          <w:sz w:val="20"/>
          <w:szCs w:val="20"/>
          <w:lang w:val="es-MX"/>
        </w:rPr>
      </w:pPr>
    </w:p>
    <w:p w14:paraId="0272563A" w14:textId="77777777" w:rsidR="00990438" w:rsidRDefault="00990438" w:rsidP="00627D9A">
      <w:pPr>
        <w:spacing w:after="200"/>
        <w:ind w:firstLine="360"/>
        <w:jc w:val="both"/>
        <w:rPr>
          <w:rFonts w:ascii="Verdana" w:hAnsi="Verdana" w:cs="Verdana"/>
          <w:i/>
          <w:sz w:val="20"/>
          <w:szCs w:val="20"/>
          <w:lang w:val="es-MX"/>
        </w:rPr>
      </w:pPr>
      <w:bookmarkStart w:id="28" w:name="_Toc51054695"/>
      <w:bookmarkStart w:id="29" w:name="_Toc54301857"/>
      <w:r w:rsidRPr="00990438">
        <w:rPr>
          <w:rFonts w:ascii="Verdana" w:hAnsi="Verdana" w:cs="Verdana"/>
          <w:i/>
          <w:sz w:val="20"/>
          <w:szCs w:val="20"/>
          <w:lang w:val="es-MX"/>
        </w:rPr>
        <w:lastRenderedPageBreak/>
        <w:t>F.2. Consideraciones de la Corte</w:t>
      </w:r>
      <w:bookmarkEnd w:id="28"/>
      <w:bookmarkEnd w:id="29"/>
    </w:p>
    <w:p w14:paraId="6C2C12F9" w14:textId="2AD5C419" w:rsidR="00F93B65" w:rsidRPr="00CD7374" w:rsidRDefault="00F7654F" w:rsidP="00CF7564">
      <w:pPr>
        <w:numPr>
          <w:ilvl w:val="0"/>
          <w:numId w:val="9"/>
        </w:numPr>
        <w:spacing w:after="200"/>
        <w:ind w:left="0" w:firstLine="0"/>
        <w:jc w:val="both"/>
        <w:rPr>
          <w:rFonts w:ascii="Verdana" w:hAnsi="Verdana" w:cs="Verdana"/>
          <w:sz w:val="20"/>
          <w:szCs w:val="20"/>
          <w:lang w:val="es-MX"/>
        </w:rPr>
      </w:pPr>
      <w:r w:rsidRPr="00F7654F">
        <w:rPr>
          <w:rFonts w:ascii="Verdana" w:hAnsi="Verdana" w:cs="Verdana"/>
          <w:sz w:val="20"/>
          <w:szCs w:val="20"/>
        </w:rPr>
        <w:t>Con base en la info</w:t>
      </w:r>
      <w:r>
        <w:rPr>
          <w:rFonts w:ascii="Verdana" w:hAnsi="Verdana" w:cs="Verdana"/>
          <w:sz w:val="20"/>
          <w:szCs w:val="20"/>
        </w:rPr>
        <w:t>rmación aportada por el Estado</w:t>
      </w:r>
      <w:r w:rsidR="00B06637">
        <w:rPr>
          <w:rStyle w:val="Refdenotaalpie"/>
          <w:rFonts w:ascii="Verdana" w:hAnsi="Verdana" w:cs="Verdana"/>
          <w:sz w:val="20"/>
          <w:szCs w:val="20"/>
        </w:rPr>
        <w:footnoteReference w:id="55"/>
      </w:r>
      <w:r w:rsidRPr="00F7654F">
        <w:rPr>
          <w:rFonts w:ascii="Verdana" w:hAnsi="Verdana" w:cs="Verdana"/>
          <w:sz w:val="20"/>
          <w:szCs w:val="20"/>
        </w:rPr>
        <w:t xml:space="preserve">, así como lo </w:t>
      </w:r>
      <w:r w:rsidR="00204442">
        <w:rPr>
          <w:rFonts w:ascii="Verdana" w:hAnsi="Verdana" w:cs="Verdana"/>
          <w:sz w:val="20"/>
          <w:szCs w:val="20"/>
        </w:rPr>
        <w:t>observado por la</w:t>
      </w:r>
      <w:r>
        <w:rPr>
          <w:rFonts w:ascii="Verdana" w:hAnsi="Verdana" w:cs="Verdana"/>
          <w:sz w:val="20"/>
          <w:szCs w:val="20"/>
        </w:rPr>
        <w:t>s representantes</w:t>
      </w:r>
      <w:r w:rsidR="00E43C03">
        <w:rPr>
          <w:rStyle w:val="Refdenotaalpie"/>
          <w:rFonts w:ascii="Verdana" w:hAnsi="Verdana" w:cs="Verdana"/>
          <w:sz w:val="20"/>
          <w:szCs w:val="20"/>
        </w:rPr>
        <w:footnoteReference w:id="56"/>
      </w:r>
      <w:r>
        <w:rPr>
          <w:rFonts w:ascii="Verdana" w:hAnsi="Verdana" w:cs="Verdana"/>
          <w:sz w:val="20"/>
          <w:szCs w:val="20"/>
        </w:rPr>
        <w:t xml:space="preserve"> y la Comisión</w:t>
      </w:r>
      <w:r w:rsidR="00D834CC">
        <w:rPr>
          <w:rStyle w:val="Refdenotaalpie"/>
          <w:rFonts w:ascii="Verdana" w:hAnsi="Verdana" w:cs="Verdana"/>
          <w:sz w:val="20"/>
          <w:szCs w:val="20"/>
        </w:rPr>
        <w:footnoteReference w:id="57"/>
      </w:r>
      <w:r w:rsidRPr="00F7654F">
        <w:rPr>
          <w:rFonts w:ascii="Verdana" w:hAnsi="Verdana" w:cs="Verdana"/>
          <w:sz w:val="20"/>
          <w:szCs w:val="20"/>
        </w:rPr>
        <w:t xml:space="preserve">, esta Corte </w:t>
      </w:r>
      <w:r>
        <w:rPr>
          <w:rFonts w:ascii="Verdana" w:hAnsi="Verdana" w:cs="Verdana"/>
          <w:sz w:val="20"/>
          <w:szCs w:val="20"/>
        </w:rPr>
        <w:t xml:space="preserve">constata que </w:t>
      </w:r>
      <w:r w:rsidRPr="00F7654F">
        <w:rPr>
          <w:rFonts w:ascii="Verdana" w:hAnsi="Verdana" w:cs="Verdana"/>
          <w:sz w:val="20"/>
          <w:szCs w:val="20"/>
        </w:rPr>
        <w:t xml:space="preserve">el Estado </w:t>
      </w:r>
      <w:r>
        <w:rPr>
          <w:rFonts w:ascii="Verdana" w:hAnsi="Verdana" w:cs="Verdana"/>
          <w:sz w:val="20"/>
          <w:szCs w:val="20"/>
        </w:rPr>
        <w:t>ha pagado</w:t>
      </w:r>
      <w:r w:rsidR="00F93B65">
        <w:rPr>
          <w:rFonts w:ascii="Verdana" w:hAnsi="Verdana" w:cs="Verdana"/>
          <w:sz w:val="20"/>
          <w:szCs w:val="20"/>
        </w:rPr>
        <w:t xml:space="preserve"> la totalidad de las cantidades ordenadas en la Sentencia</w:t>
      </w:r>
      <w:r>
        <w:rPr>
          <w:rFonts w:ascii="Verdana" w:hAnsi="Verdana" w:cs="Verdana"/>
          <w:sz w:val="20"/>
          <w:szCs w:val="20"/>
        </w:rPr>
        <w:t xml:space="preserve"> a </w:t>
      </w:r>
      <w:r w:rsidR="00F93B65">
        <w:rPr>
          <w:rFonts w:ascii="Verdana" w:hAnsi="Verdana" w:cs="Verdana"/>
          <w:sz w:val="20"/>
          <w:szCs w:val="20"/>
        </w:rPr>
        <w:t>nueve de las diez</w:t>
      </w:r>
      <w:r w:rsidR="006432F7">
        <w:rPr>
          <w:rFonts w:ascii="Verdana" w:hAnsi="Verdana" w:cs="Verdana"/>
          <w:sz w:val="20"/>
          <w:szCs w:val="20"/>
        </w:rPr>
        <w:t xml:space="preserve"> víctimas a favor de quienes se ordenó </w:t>
      </w:r>
      <w:r w:rsidR="006432F7" w:rsidRPr="00210FAE">
        <w:rPr>
          <w:rFonts w:ascii="Verdana" w:hAnsi="Verdana" w:cs="Verdana"/>
          <w:sz w:val="20"/>
          <w:szCs w:val="20"/>
        </w:rPr>
        <w:t>indemnización</w:t>
      </w:r>
      <w:r w:rsidR="00210FAE" w:rsidRPr="00B42F79">
        <w:rPr>
          <w:rFonts w:ascii="Verdana" w:hAnsi="Verdana" w:cs="Verdana"/>
          <w:sz w:val="20"/>
          <w:szCs w:val="20"/>
        </w:rPr>
        <w:t>, así como a</w:t>
      </w:r>
      <w:r w:rsidR="006432F7" w:rsidRPr="00210FAE">
        <w:rPr>
          <w:rFonts w:ascii="Verdana" w:hAnsi="Verdana" w:cs="Verdana"/>
          <w:sz w:val="20"/>
          <w:szCs w:val="20"/>
        </w:rPr>
        <w:t xml:space="preserve"> </w:t>
      </w:r>
      <w:r w:rsidR="00604EED" w:rsidRPr="00210FAE">
        <w:rPr>
          <w:rFonts w:ascii="Verdana" w:hAnsi="Verdana" w:cs="Verdana"/>
          <w:sz w:val="20"/>
          <w:szCs w:val="20"/>
        </w:rPr>
        <w:t>sus</w:t>
      </w:r>
      <w:r w:rsidR="00604EED">
        <w:rPr>
          <w:rFonts w:ascii="Verdana" w:hAnsi="Verdana" w:cs="Verdana"/>
          <w:sz w:val="20"/>
          <w:szCs w:val="20"/>
        </w:rPr>
        <w:t xml:space="preserve"> familiares identificados en el párrafo 324 de la Sentencia</w:t>
      </w:r>
      <w:r w:rsidR="00F93B65">
        <w:rPr>
          <w:rFonts w:ascii="Verdana" w:hAnsi="Verdana" w:cs="Verdana"/>
          <w:sz w:val="20"/>
          <w:szCs w:val="20"/>
        </w:rPr>
        <w:t xml:space="preserve">, quedando pendiente el cumplimiento de este punto respecto de la señora </w:t>
      </w:r>
      <w:r w:rsidR="00F93B65" w:rsidRPr="00F93B65">
        <w:rPr>
          <w:rFonts w:ascii="Verdana" w:hAnsi="Verdana" w:cs="Verdana"/>
          <w:sz w:val="20"/>
          <w:szCs w:val="20"/>
        </w:rPr>
        <w:t xml:space="preserve">María Patricia Romero Hernández </w:t>
      </w:r>
      <w:r w:rsidR="00F93B65">
        <w:rPr>
          <w:rFonts w:ascii="Verdana" w:hAnsi="Verdana" w:cs="Verdana"/>
          <w:sz w:val="20"/>
          <w:szCs w:val="20"/>
        </w:rPr>
        <w:t xml:space="preserve">y sus familiares, </w:t>
      </w:r>
      <w:r w:rsidR="006432F7">
        <w:rPr>
          <w:rFonts w:ascii="Verdana" w:hAnsi="Verdana" w:cs="Verdana"/>
          <w:sz w:val="20"/>
          <w:szCs w:val="20"/>
        </w:rPr>
        <w:t>debido a que recién en febrero de 2020 remitieron al Estado la información necesaria para el pago</w:t>
      </w:r>
      <w:r w:rsidR="00F93B65">
        <w:rPr>
          <w:rStyle w:val="Refdenotaalpie"/>
          <w:rFonts w:ascii="Verdana" w:hAnsi="Verdana" w:cs="Verdana"/>
          <w:sz w:val="20"/>
          <w:szCs w:val="20"/>
        </w:rPr>
        <w:footnoteReference w:id="58"/>
      </w:r>
      <w:r w:rsidR="00604EED">
        <w:rPr>
          <w:rFonts w:ascii="Verdana" w:hAnsi="Verdana" w:cs="Verdana"/>
          <w:sz w:val="20"/>
          <w:szCs w:val="20"/>
        </w:rPr>
        <w:t>.</w:t>
      </w:r>
    </w:p>
    <w:p w14:paraId="06AEBD5D" w14:textId="65D0C61A" w:rsidR="00CD7374" w:rsidRDefault="00CD7374" w:rsidP="00CF7564">
      <w:pPr>
        <w:numPr>
          <w:ilvl w:val="0"/>
          <w:numId w:val="9"/>
        </w:numPr>
        <w:spacing w:after="200"/>
        <w:ind w:left="0" w:firstLine="0"/>
        <w:jc w:val="both"/>
        <w:rPr>
          <w:rFonts w:ascii="Verdana" w:hAnsi="Verdana" w:cs="Verdana"/>
          <w:sz w:val="20"/>
          <w:szCs w:val="20"/>
          <w:lang w:val="es-MX"/>
        </w:rPr>
      </w:pPr>
      <w:r w:rsidRPr="00BD5033">
        <w:rPr>
          <w:rFonts w:ascii="Verdana" w:hAnsi="Verdana" w:cs="Verdana"/>
          <w:sz w:val="20"/>
          <w:szCs w:val="20"/>
        </w:rPr>
        <w:t xml:space="preserve">Con base en lo anterior, la Corte </w:t>
      </w:r>
      <w:r>
        <w:rPr>
          <w:rFonts w:ascii="Verdana" w:hAnsi="Verdana" w:cs="Verdana"/>
          <w:sz w:val="20"/>
          <w:szCs w:val="20"/>
        </w:rPr>
        <w:t>declara</w:t>
      </w:r>
      <w:r w:rsidRPr="00BD5033">
        <w:rPr>
          <w:rFonts w:ascii="Verdana" w:hAnsi="Verdana" w:cs="Verdana"/>
          <w:sz w:val="20"/>
          <w:szCs w:val="20"/>
        </w:rPr>
        <w:t xml:space="preserve"> que </w:t>
      </w:r>
      <w:r>
        <w:rPr>
          <w:rFonts w:ascii="Verdana" w:hAnsi="Verdana" w:cs="Verdana"/>
          <w:sz w:val="20"/>
          <w:szCs w:val="20"/>
        </w:rPr>
        <w:t>México</w:t>
      </w:r>
      <w:r w:rsidRPr="00BD5033">
        <w:rPr>
          <w:rFonts w:ascii="Verdana" w:hAnsi="Verdana" w:cs="Verdana"/>
          <w:sz w:val="20"/>
          <w:szCs w:val="20"/>
        </w:rPr>
        <w:t xml:space="preserve"> ha</w:t>
      </w:r>
      <w:r w:rsidR="008E5D18">
        <w:rPr>
          <w:rFonts w:ascii="Verdana" w:hAnsi="Verdana" w:cs="Verdana"/>
          <w:sz w:val="20"/>
          <w:szCs w:val="20"/>
        </w:rPr>
        <w:t xml:space="preserve"> </w:t>
      </w:r>
      <w:r w:rsidR="008E5D18" w:rsidRPr="008E5D18">
        <w:rPr>
          <w:rFonts w:ascii="Verdana" w:hAnsi="Verdana" w:cs="Verdana"/>
          <w:sz w:val="20"/>
          <w:szCs w:val="20"/>
        </w:rPr>
        <w:t xml:space="preserve">cumplido parcialmente con el pago de </w:t>
      </w:r>
      <w:r w:rsidR="00604EED" w:rsidRPr="008E5D18">
        <w:rPr>
          <w:rFonts w:ascii="Verdana" w:hAnsi="Verdana" w:cs="Verdana"/>
          <w:sz w:val="20"/>
          <w:szCs w:val="20"/>
        </w:rPr>
        <w:t>las cantidades fijadas en la Sentenci</w:t>
      </w:r>
      <w:r w:rsidR="00604EED">
        <w:rPr>
          <w:rFonts w:ascii="Verdana" w:hAnsi="Verdana" w:cs="Verdana"/>
          <w:sz w:val="20"/>
          <w:szCs w:val="20"/>
        </w:rPr>
        <w:t>a por concepto de indemnizaciones por daño material e inmaterial ordenado en el punto resolutivo décimo sexto de la Sentencia, en razón de que pagó a las señoras Yolanda Muñ</w:t>
      </w:r>
      <w:r w:rsidR="00604EED" w:rsidRPr="008E5D18">
        <w:rPr>
          <w:rFonts w:ascii="Verdana" w:hAnsi="Verdana" w:cs="Verdana"/>
          <w:sz w:val="20"/>
          <w:szCs w:val="20"/>
        </w:rPr>
        <w:t xml:space="preserve">oz </w:t>
      </w:r>
      <w:proofErr w:type="spellStart"/>
      <w:r w:rsidR="00604EED" w:rsidRPr="008E5D18">
        <w:rPr>
          <w:rFonts w:ascii="Verdana" w:hAnsi="Verdana" w:cs="Verdana"/>
          <w:sz w:val="20"/>
          <w:szCs w:val="20"/>
        </w:rPr>
        <w:t>Diosdada</w:t>
      </w:r>
      <w:proofErr w:type="spellEnd"/>
      <w:r w:rsidR="00604EED" w:rsidRPr="008E5D18">
        <w:rPr>
          <w:rFonts w:ascii="Verdana" w:hAnsi="Verdana" w:cs="Verdana"/>
          <w:sz w:val="20"/>
          <w:szCs w:val="20"/>
        </w:rPr>
        <w:t xml:space="preserve">, Norma </w:t>
      </w:r>
      <w:proofErr w:type="spellStart"/>
      <w:r w:rsidR="00604EED" w:rsidRPr="008E5D18">
        <w:rPr>
          <w:rFonts w:ascii="Verdana" w:hAnsi="Verdana" w:cs="Verdana"/>
          <w:sz w:val="20"/>
          <w:szCs w:val="20"/>
        </w:rPr>
        <w:t>Aide</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Jiménez</w:t>
      </w:r>
      <w:proofErr w:type="spellEnd"/>
      <w:r w:rsidR="00604EED" w:rsidRPr="008E5D18">
        <w:rPr>
          <w:rFonts w:ascii="Verdana" w:hAnsi="Verdana" w:cs="Verdana"/>
          <w:sz w:val="20"/>
          <w:szCs w:val="20"/>
        </w:rPr>
        <w:t xml:space="preserve"> Osorio, Mariana Selvas </w:t>
      </w:r>
      <w:proofErr w:type="spellStart"/>
      <w:r w:rsidR="00604EED" w:rsidRPr="008E5D18">
        <w:rPr>
          <w:rFonts w:ascii="Verdana" w:hAnsi="Verdana" w:cs="Verdana"/>
          <w:sz w:val="20"/>
          <w:szCs w:val="20"/>
        </w:rPr>
        <w:t>Gómez</w:t>
      </w:r>
      <w:proofErr w:type="spellEnd"/>
      <w:r w:rsidR="00604EED" w:rsidRPr="008E5D18">
        <w:rPr>
          <w:rFonts w:ascii="Verdana" w:hAnsi="Verdana" w:cs="Verdana"/>
          <w:sz w:val="20"/>
          <w:szCs w:val="20"/>
        </w:rPr>
        <w:t xml:space="preserve">, Ana </w:t>
      </w:r>
      <w:proofErr w:type="spellStart"/>
      <w:r w:rsidR="00604EED" w:rsidRPr="008E5D18">
        <w:rPr>
          <w:rFonts w:ascii="Verdana" w:hAnsi="Verdana" w:cs="Verdana"/>
          <w:sz w:val="20"/>
          <w:szCs w:val="20"/>
        </w:rPr>
        <w:t>María</w:t>
      </w:r>
      <w:proofErr w:type="spellEnd"/>
      <w:r w:rsidR="00604EED" w:rsidRPr="008E5D18">
        <w:rPr>
          <w:rFonts w:ascii="Verdana" w:hAnsi="Verdana" w:cs="Verdana"/>
          <w:sz w:val="20"/>
          <w:szCs w:val="20"/>
        </w:rPr>
        <w:t xml:space="preserve"> Velasco </w:t>
      </w:r>
      <w:proofErr w:type="spellStart"/>
      <w:r w:rsidR="00604EED" w:rsidRPr="008E5D18">
        <w:rPr>
          <w:rFonts w:ascii="Verdana" w:hAnsi="Verdana" w:cs="Verdana"/>
          <w:sz w:val="20"/>
          <w:szCs w:val="20"/>
        </w:rPr>
        <w:t>Rodríguez</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Suhelen</w:t>
      </w:r>
      <w:proofErr w:type="spellEnd"/>
      <w:r w:rsidR="00604EED" w:rsidRPr="008E5D18">
        <w:rPr>
          <w:rFonts w:ascii="Verdana" w:hAnsi="Verdana" w:cs="Verdana"/>
          <w:sz w:val="20"/>
          <w:szCs w:val="20"/>
        </w:rPr>
        <w:t xml:space="preserve"> Gabriela Cuevas Jaramillo, </w:t>
      </w:r>
      <w:proofErr w:type="spellStart"/>
      <w:r w:rsidR="00604EED" w:rsidRPr="008E5D18">
        <w:rPr>
          <w:rFonts w:ascii="Verdana" w:hAnsi="Verdana" w:cs="Verdana"/>
          <w:sz w:val="20"/>
          <w:szCs w:val="20"/>
        </w:rPr>
        <w:t>Bárbara</w:t>
      </w:r>
      <w:proofErr w:type="spellEnd"/>
      <w:r w:rsidR="00604EED" w:rsidRPr="008E5D18">
        <w:rPr>
          <w:rFonts w:ascii="Verdana" w:hAnsi="Verdana" w:cs="Verdana"/>
          <w:sz w:val="20"/>
          <w:szCs w:val="20"/>
        </w:rPr>
        <w:t xml:space="preserve"> Italia </w:t>
      </w:r>
      <w:proofErr w:type="spellStart"/>
      <w:r w:rsidR="00604EED" w:rsidRPr="008E5D18">
        <w:rPr>
          <w:rFonts w:ascii="Verdana" w:hAnsi="Verdana" w:cs="Verdana"/>
          <w:sz w:val="20"/>
          <w:szCs w:val="20"/>
        </w:rPr>
        <w:t>Méndez</w:t>
      </w:r>
      <w:proofErr w:type="spellEnd"/>
      <w:r w:rsidR="00604EED" w:rsidRPr="008E5D18">
        <w:rPr>
          <w:rFonts w:ascii="Verdana" w:hAnsi="Verdana" w:cs="Verdana"/>
          <w:sz w:val="20"/>
          <w:szCs w:val="20"/>
        </w:rPr>
        <w:t xml:space="preserve"> Moreno, </w:t>
      </w:r>
      <w:proofErr w:type="spellStart"/>
      <w:r w:rsidR="00604EED" w:rsidRPr="008E5D18">
        <w:rPr>
          <w:rFonts w:ascii="Verdana" w:hAnsi="Verdana" w:cs="Verdana"/>
          <w:sz w:val="20"/>
          <w:szCs w:val="20"/>
        </w:rPr>
        <w:t>María</w:t>
      </w:r>
      <w:proofErr w:type="spellEnd"/>
      <w:r w:rsidR="00604EED" w:rsidRPr="008E5D18">
        <w:rPr>
          <w:rFonts w:ascii="Verdana" w:hAnsi="Verdana" w:cs="Verdana"/>
          <w:sz w:val="20"/>
          <w:szCs w:val="20"/>
        </w:rPr>
        <w:t xml:space="preserve"> Cristina </w:t>
      </w:r>
      <w:proofErr w:type="spellStart"/>
      <w:r w:rsidR="00604EED" w:rsidRPr="008E5D18">
        <w:rPr>
          <w:rFonts w:ascii="Verdana" w:hAnsi="Verdana" w:cs="Verdana"/>
          <w:sz w:val="20"/>
          <w:szCs w:val="20"/>
        </w:rPr>
        <w:t>Sánchez</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Hernández</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Angélica</w:t>
      </w:r>
      <w:proofErr w:type="spellEnd"/>
      <w:r w:rsidR="00604EED" w:rsidRPr="008E5D18">
        <w:rPr>
          <w:rFonts w:ascii="Verdana" w:hAnsi="Verdana" w:cs="Verdana"/>
          <w:sz w:val="20"/>
          <w:szCs w:val="20"/>
        </w:rPr>
        <w:t xml:space="preserve"> Patricia Torres Linares y Claudia </w:t>
      </w:r>
      <w:proofErr w:type="spellStart"/>
      <w:r w:rsidR="00604EED" w:rsidRPr="008E5D18">
        <w:rPr>
          <w:rFonts w:ascii="Verdana" w:hAnsi="Verdana" w:cs="Verdana"/>
          <w:sz w:val="20"/>
          <w:szCs w:val="20"/>
        </w:rPr>
        <w:t>Hernández</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Martínez</w:t>
      </w:r>
      <w:proofErr w:type="spellEnd"/>
      <w:r w:rsidR="00604EED">
        <w:rPr>
          <w:rFonts w:ascii="Verdana" w:hAnsi="Verdana" w:cs="Verdana"/>
          <w:sz w:val="20"/>
          <w:szCs w:val="20"/>
        </w:rPr>
        <w:t xml:space="preserve">, así como con las </w:t>
      </w:r>
      <w:proofErr w:type="spellStart"/>
      <w:r w:rsidR="00604EED">
        <w:rPr>
          <w:rFonts w:ascii="Verdana" w:hAnsi="Verdana" w:cs="Verdana"/>
          <w:sz w:val="20"/>
          <w:szCs w:val="20"/>
        </w:rPr>
        <w:t>cantidadas</w:t>
      </w:r>
      <w:proofErr w:type="spellEnd"/>
      <w:r w:rsidR="00604EED">
        <w:rPr>
          <w:rFonts w:ascii="Verdana" w:hAnsi="Verdana" w:cs="Verdana"/>
          <w:sz w:val="20"/>
          <w:szCs w:val="20"/>
        </w:rPr>
        <w:t xml:space="preserve"> fijadas por concepto de indemnizaciones por daño inmaterial a sus familiares </w:t>
      </w:r>
      <w:r w:rsidR="00604EED">
        <w:rPr>
          <w:rFonts w:ascii="Verdana" w:hAnsi="Verdana" w:cs="Verdana"/>
          <w:sz w:val="20"/>
          <w:szCs w:val="20"/>
          <w:lang w:val="es-MX"/>
        </w:rPr>
        <w:t xml:space="preserve">identificados en el párrafo 324 de la Sentencia, quedando pendiente el cumplimiento de la presente medida con respecto a la señora </w:t>
      </w:r>
      <w:r w:rsidR="00604EED" w:rsidRPr="00F93B65">
        <w:rPr>
          <w:rFonts w:ascii="Verdana" w:hAnsi="Verdana" w:cs="Verdana"/>
          <w:sz w:val="20"/>
          <w:szCs w:val="20"/>
        </w:rPr>
        <w:t>María Patricia Romero Hernández</w:t>
      </w:r>
      <w:r w:rsidR="00604EED">
        <w:rPr>
          <w:rFonts w:ascii="Verdana" w:hAnsi="Verdana" w:cs="Verdana"/>
          <w:sz w:val="20"/>
          <w:szCs w:val="20"/>
        </w:rPr>
        <w:t xml:space="preserve">, así como a sus familiares </w:t>
      </w:r>
      <w:r w:rsidR="00604EED">
        <w:rPr>
          <w:rFonts w:ascii="Verdana" w:hAnsi="Verdana" w:cs="Verdana"/>
          <w:sz w:val="20"/>
          <w:szCs w:val="20"/>
          <w:lang w:val="es-MX"/>
        </w:rPr>
        <w:t xml:space="preserve">identificados en el párrafo </w:t>
      </w:r>
      <w:r w:rsidR="00604EED" w:rsidRPr="00210FAE">
        <w:rPr>
          <w:rFonts w:ascii="Verdana" w:hAnsi="Verdana" w:cs="Verdana"/>
          <w:sz w:val="20"/>
          <w:szCs w:val="20"/>
          <w:lang w:val="es-MX"/>
        </w:rPr>
        <w:t>324 de</w:t>
      </w:r>
      <w:r w:rsidR="00315019" w:rsidRPr="00210FAE">
        <w:rPr>
          <w:rFonts w:ascii="Verdana" w:hAnsi="Verdana" w:cs="Verdana"/>
          <w:sz w:val="20"/>
          <w:szCs w:val="20"/>
          <w:lang w:val="es-MX"/>
        </w:rPr>
        <w:t>l Fallo</w:t>
      </w:r>
      <w:r w:rsidR="008E5D18" w:rsidRPr="00210FAE">
        <w:rPr>
          <w:rFonts w:ascii="Verdana" w:hAnsi="Verdana" w:cs="Verdana"/>
          <w:sz w:val="20"/>
          <w:szCs w:val="20"/>
          <w:lang w:val="es-MX"/>
        </w:rPr>
        <w:t>.</w:t>
      </w:r>
      <w:r w:rsidR="008E5D18">
        <w:rPr>
          <w:rFonts w:ascii="Verdana" w:hAnsi="Verdana" w:cs="Verdana"/>
          <w:sz w:val="20"/>
          <w:szCs w:val="20"/>
          <w:lang w:val="es-MX"/>
        </w:rPr>
        <w:t xml:space="preserve"> </w:t>
      </w:r>
    </w:p>
    <w:p w14:paraId="54AA8DCF" w14:textId="6DD7A028" w:rsidR="00AB0B23" w:rsidRPr="00F17E06" w:rsidRDefault="00604EED" w:rsidP="00CF7564">
      <w:pPr>
        <w:numPr>
          <w:ilvl w:val="0"/>
          <w:numId w:val="9"/>
        </w:numPr>
        <w:spacing w:after="200"/>
        <w:ind w:left="0" w:firstLine="0"/>
        <w:jc w:val="both"/>
        <w:rPr>
          <w:rFonts w:ascii="Verdana" w:hAnsi="Verdana" w:cs="Verdana"/>
          <w:sz w:val="20"/>
          <w:szCs w:val="20"/>
          <w:lang w:val="es-MX"/>
        </w:rPr>
      </w:pPr>
      <w:r>
        <w:rPr>
          <w:rFonts w:ascii="Verdana" w:hAnsi="Verdana" w:cs="Verdana"/>
          <w:sz w:val="20"/>
          <w:szCs w:val="20"/>
        </w:rPr>
        <w:t>E</w:t>
      </w:r>
      <w:r w:rsidR="009D6B98">
        <w:rPr>
          <w:rFonts w:ascii="Verdana" w:hAnsi="Verdana" w:cs="Verdana"/>
          <w:sz w:val="20"/>
          <w:szCs w:val="20"/>
        </w:rPr>
        <w:t>s</w:t>
      </w:r>
      <w:r>
        <w:rPr>
          <w:rFonts w:ascii="Verdana" w:hAnsi="Verdana" w:cs="Verdana"/>
          <w:sz w:val="20"/>
          <w:szCs w:val="20"/>
        </w:rPr>
        <w:t>t</w:t>
      </w:r>
      <w:r w:rsidR="009D6B98">
        <w:rPr>
          <w:rFonts w:ascii="Verdana" w:hAnsi="Verdana" w:cs="Verdana"/>
          <w:sz w:val="20"/>
          <w:szCs w:val="20"/>
        </w:rPr>
        <w:t xml:space="preserve">e Tribunal observa que el Estado no ha remitido información </w:t>
      </w:r>
      <w:r>
        <w:rPr>
          <w:rFonts w:ascii="Verdana" w:hAnsi="Verdana" w:cs="Verdana"/>
          <w:sz w:val="20"/>
          <w:szCs w:val="20"/>
        </w:rPr>
        <w:t>con</w:t>
      </w:r>
      <w:r w:rsidR="009D6B98">
        <w:rPr>
          <w:rFonts w:ascii="Verdana" w:hAnsi="Verdana" w:cs="Verdana"/>
          <w:sz w:val="20"/>
          <w:szCs w:val="20"/>
        </w:rPr>
        <w:t xml:space="preserve"> respecto</w:t>
      </w:r>
      <w:r>
        <w:rPr>
          <w:rFonts w:ascii="Verdana" w:hAnsi="Verdana" w:cs="Verdana"/>
          <w:sz w:val="20"/>
          <w:szCs w:val="20"/>
        </w:rPr>
        <w:t xml:space="preserve"> al reintegro de las costas y gastos</w:t>
      </w:r>
      <w:r w:rsidR="009D6B98">
        <w:rPr>
          <w:rFonts w:ascii="Verdana" w:hAnsi="Verdana" w:cs="Verdana"/>
          <w:sz w:val="20"/>
          <w:szCs w:val="20"/>
        </w:rPr>
        <w:t>, y que las representantes afirman no haber recibido pago alguno</w:t>
      </w:r>
      <w:r w:rsidR="00C35093">
        <w:rPr>
          <w:rStyle w:val="Refdenotaalpie"/>
          <w:rFonts w:ascii="Verdana" w:hAnsi="Verdana" w:cs="Verdana"/>
          <w:sz w:val="20"/>
          <w:szCs w:val="20"/>
        </w:rPr>
        <w:footnoteReference w:id="59"/>
      </w:r>
      <w:r w:rsidR="009D6B98">
        <w:rPr>
          <w:rFonts w:ascii="Verdana" w:hAnsi="Verdana" w:cs="Verdana"/>
          <w:sz w:val="20"/>
          <w:szCs w:val="20"/>
        </w:rPr>
        <w:t>. Por consiguiente, declara que continúa</w:t>
      </w:r>
      <w:r w:rsidR="0024096E">
        <w:rPr>
          <w:rFonts w:ascii="Verdana" w:hAnsi="Verdana" w:cs="Verdana"/>
          <w:sz w:val="20"/>
          <w:szCs w:val="20"/>
        </w:rPr>
        <w:t xml:space="preserve"> pendiente </w:t>
      </w:r>
      <w:r w:rsidR="00DE49E1">
        <w:rPr>
          <w:rFonts w:ascii="Verdana" w:hAnsi="Verdana" w:cs="Verdana"/>
          <w:sz w:val="20"/>
          <w:szCs w:val="20"/>
        </w:rPr>
        <w:t xml:space="preserve">de cumplimiento </w:t>
      </w:r>
      <w:r w:rsidR="0024096E">
        <w:rPr>
          <w:rFonts w:ascii="Verdana" w:hAnsi="Verdana" w:cs="Verdana"/>
          <w:sz w:val="20"/>
          <w:szCs w:val="20"/>
        </w:rPr>
        <w:t xml:space="preserve">el </w:t>
      </w:r>
      <w:r w:rsidR="00DE49E1">
        <w:rPr>
          <w:rFonts w:ascii="Verdana" w:hAnsi="Verdana" w:cs="Verdana"/>
          <w:sz w:val="20"/>
          <w:szCs w:val="20"/>
        </w:rPr>
        <w:t>reintegro</w:t>
      </w:r>
      <w:r w:rsidR="0024096E">
        <w:rPr>
          <w:rFonts w:ascii="Verdana" w:hAnsi="Verdana" w:cs="Verdana"/>
          <w:sz w:val="20"/>
          <w:szCs w:val="20"/>
        </w:rPr>
        <w:t xml:space="preserve"> de costas y gastos a favor de CEJIL</w:t>
      </w:r>
      <w:r w:rsidR="001F6B84">
        <w:rPr>
          <w:rFonts w:ascii="Verdana" w:hAnsi="Verdana" w:cs="Verdana"/>
          <w:sz w:val="20"/>
          <w:szCs w:val="20"/>
        </w:rPr>
        <w:t xml:space="preserve"> ordenado en el punto resolutivo décimo sexto de la Sentencia</w:t>
      </w:r>
      <w:r w:rsidR="0024096E" w:rsidRPr="005B4E2A">
        <w:rPr>
          <w:rFonts w:ascii="Verdana" w:hAnsi="Verdana" w:cs="Verdana"/>
          <w:sz w:val="20"/>
          <w:szCs w:val="20"/>
        </w:rPr>
        <w:t>.</w:t>
      </w:r>
    </w:p>
    <w:p w14:paraId="460FA01F" w14:textId="77777777" w:rsidR="00F17E06" w:rsidRPr="00AB0B23" w:rsidRDefault="00F17E06" w:rsidP="00F17E06">
      <w:pPr>
        <w:spacing w:after="200"/>
        <w:jc w:val="both"/>
        <w:rPr>
          <w:rFonts w:ascii="Verdana" w:hAnsi="Verdana" w:cs="Verdana"/>
          <w:sz w:val="20"/>
          <w:szCs w:val="20"/>
          <w:lang w:val="es-MX"/>
        </w:rPr>
      </w:pPr>
    </w:p>
    <w:p w14:paraId="0DDDF2F1" w14:textId="146F7422" w:rsidR="00B906DA" w:rsidRPr="00423534" w:rsidRDefault="00AE14DC" w:rsidP="00423534">
      <w:pPr>
        <w:widowControl w:val="0"/>
        <w:numPr>
          <w:ilvl w:val="0"/>
          <w:numId w:val="15"/>
        </w:numPr>
        <w:spacing w:before="120" w:after="120"/>
        <w:jc w:val="both"/>
        <w:outlineLvl w:val="0"/>
        <w:rPr>
          <w:rFonts w:ascii="Verdana" w:hAnsi="Verdana" w:cs="Verdana"/>
          <w:b/>
          <w:i/>
          <w:sz w:val="20"/>
          <w:szCs w:val="20"/>
          <w:lang w:val="es-MX"/>
        </w:rPr>
      </w:pPr>
      <w:bookmarkStart w:id="30" w:name="_Toc57748152"/>
      <w:bookmarkStart w:id="31" w:name="_Toc54301858"/>
      <w:r w:rsidRPr="00423534">
        <w:rPr>
          <w:rFonts w:ascii="Verdana" w:hAnsi="Verdana" w:cs="Verdana"/>
          <w:b/>
          <w:i/>
          <w:sz w:val="20"/>
          <w:szCs w:val="20"/>
          <w:lang w:val="es-MX"/>
        </w:rPr>
        <w:t xml:space="preserve">Solicitud de información </w:t>
      </w:r>
      <w:r w:rsidR="007F7C09" w:rsidRPr="00423534">
        <w:rPr>
          <w:rFonts w:ascii="Verdana" w:hAnsi="Verdana" w:cs="Verdana"/>
          <w:b/>
          <w:i/>
          <w:sz w:val="20"/>
          <w:szCs w:val="20"/>
          <w:lang w:val="es-MX"/>
        </w:rPr>
        <w:t>sobre las garantías de no repetición</w:t>
      </w:r>
      <w:bookmarkEnd w:id="30"/>
      <w:r w:rsidR="007F7C09" w:rsidRPr="00423534">
        <w:rPr>
          <w:rFonts w:ascii="Verdana" w:hAnsi="Verdana" w:cs="Verdana"/>
          <w:b/>
          <w:i/>
          <w:sz w:val="20"/>
          <w:szCs w:val="20"/>
          <w:lang w:val="es-MX"/>
        </w:rPr>
        <w:t xml:space="preserve"> </w:t>
      </w:r>
      <w:bookmarkEnd w:id="31"/>
    </w:p>
    <w:p w14:paraId="1868D367" w14:textId="21D6675E" w:rsidR="007F7C09" w:rsidRDefault="007F7C09" w:rsidP="00423534">
      <w:pPr>
        <w:numPr>
          <w:ilvl w:val="0"/>
          <w:numId w:val="9"/>
        </w:numPr>
        <w:spacing w:after="200"/>
        <w:ind w:left="0" w:firstLine="0"/>
        <w:jc w:val="both"/>
        <w:rPr>
          <w:rFonts w:ascii="Verdana" w:hAnsi="Verdana" w:cs="Verdana"/>
          <w:sz w:val="20"/>
          <w:szCs w:val="20"/>
        </w:rPr>
      </w:pPr>
      <w:r>
        <w:rPr>
          <w:rFonts w:ascii="Verdana" w:hAnsi="Verdana" w:cs="Verdana"/>
          <w:sz w:val="20"/>
          <w:szCs w:val="20"/>
        </w:rPr>
        <w:t>En la Sentencia, la Corte ordenó las siguientes garantías de no repetición:</w:t>
      </w:r>
    </w:p>
    <w:p w14:paraId="0C17D1FA" w14:textId="7594CDA1" w:rsidR="007F7C09" w:rsidRDefault="00F17E06" w:rsidP="00B906DA">
      <w:pPr>
        <w:pStyle w:val="Prrafodelista"/>
        <w:numPr>
          <w:ilvl w:val="0"/>
          <w:numId w:val="19"/>
        </w:numPr>
        <w:spacing w:after="200"/>
        <w:jc w:val="both"/>
        <w:rPr>
          <w:rFonts w:ascii="Verdana" w:hAnsi="Verdana" w:cs="Verdana"/>
          <w:sz w:val="20"/>
          <w:szCs w:val="20"/>
          <w:lang w:val="es-ES"/>
        </w:rPr>
      </w:pPr>
      <w:r>
        <w:rPr>
          <w:rFonts w:ascii="Verdana" w:hAnsi="Verdana" w:cs="Verdana"/>
          <w:sz w:val="20"/>
          <w:szCs w:val="20"/>
          <w:lang w:val="es-ES"/>
        </w:rPr>
        <w:t>c</w:t>
      </w:r>
      <w:r w:rsidR="007F7C09" w:rsidRPr="007F7C09">
        <w:rPr>
          <w:rFonts w:ascii="Verdana" w:hAnsi="Verdana" w:cs="Verdana"/>
          <w:sz w:val="20"/>
          <w:szCs w:val="20"/>
          <w:lang w:val="es-ES"/>
        </w:rPr>
        <w:t>rear</w:t>
      </w:r>
      <w:r>
        <w:rPr>
          <w:rFonts w:ascii="Verdana" w:hAnsi="Verdana" w:cs="Verdana"/>
          <w:sz w:val="20"/>
          <w:szCs w:val="20"/>
          <w:lang w:val="es-ES"/>
        </w:rPr>
        <w:t xml:space="preserve"> </w:t>
      </w:r>
      <w:r w:rsidR="007F7C09" w:rsidRPr="007F7C09">
        <w:rPr>
          <w:rFonts w:ascii="Verdana" w:hAnsi="Verdana" w:cs="Verdana"/>
          <w:sz w:val="20"/>
          <w:szCs w:val="20"/>
          <w:lang w:val="es-ES"/>
        </w:rPr>
        <w:t xml:space="preserve">un plan de </w:t>
      </w:r>
      <w:proofErr w:type="spellStart"/>
      <w:r w:rsidR="007F7C09" w:rsidRPr="007F7C09">
        <w:rPr>
          <w:rFonts w:ascii="Verdana" w:hAnsi="Verdana" w:cs="Verdana"/>
          <w:sz w:val="20"/>
          <w:szCs w:val="20"/>
          <w:lang w:val="es-ES"/>
        </w:rPr>
        <w:t>capacitación</w:t>
      </w:r>
      <w:proofErr w:type="spellEnd"/>
      <w:r w:rsidR="007F7C09" w:rsidRPr="007F7C09">
        <w:rPr>
          <w:rFonts w:ascii="Verdana" w:hAnsi="Verdana" w:cs="Verdana"/>
          <w:sz w:val="20"/>
          <w:szCs w:val="20"/>
          <w:lang w:val="es-ES"/>
        </w:rPr>
        <w:t xml:space="preserve"> de oficiales de la </w:t>
      </w:r>
      <w:proofErr w:type="spellStart"/>
      <w:r w:rsidR="007F7C09" w:rsidRPr="007F7C09">
        <w:rPr>
          <w:rFonts w:ascii="Verdana" w:hAnsi="Verdana" w:cs="Verdana"/>
          <w:sz w:val="20"/>
          <w:szCs w:val="20"/>
          <w:lang w:val="es-ES"/>
        </w:rPr>
        <w:t>Policía</w:t>
      </w:r>
      <w:proofErr w:type="spellEnd"/>
      <w:r w:rsidR="007F7C09" w:rsidRPr="007F7C09">
        <w:rPr>
          <w:rFonts w:ascii="Verdana" w:hAnsi="Verdana" w:cs="Verdana"/>
          <w:sz w:val="20"/>
          <w:szCs w:val="20"/>
          <w:lang w:val="es-ES"/>
        </w:rPr>
        <w:t xml:space="preserve"> Federal y del estado de </w:t>
      </w:r>
      <w:proofErr w:type="spellStart"/>
      <w:r w:rsidR="007F7C09" w:rsidRPr="007F7C09">
        <w:rPr>
          <w:rFonts w:ascii="Verdana" w:hAnsi="Verdana" w:cs="Verdana"/>
          <w:sz w:val="20"/>
          <w:szCs w:val="20"/>
          <w:lang w:val="es-ES"/>
        </w:rPr>
        <w:t>México</w:t>
      </w:r>
      <w:proofErr w:type="spellEnd"/>
      <w:r w:rsidR="004B3D6E">
        <w:rPr>
          <w:rStyle w:val="Refdenotaalpie"/>
          <w:rFonts w:ascii="Verdana" w:hAnsi="Verdana" w:cs="Verdana"/>
          <w:sz w:val="20"/>
          <w:szCs w:val="20"/>
          <w:lang w:val="es-ES"/>
        </w:rPr>
        <w:footnoteReference w:id="60"/>
      </w:r>
      <w:r w:rsidR="007F7C09">
        <w:rPr>
          <w:rFonts w:ascii="Verdana" w:hAnsi="Verdana" w:cs="Verdana"/>
          <w:sz w:val="20"/>
          <w:szCs w:val="20"/>
          <w:lang w:val="es-ES"/>
        </w:rPr>
        <w:t xml:space="preserve"> (</w:t>
      </w:r>
      <w:r w:rsidR="007F7C09">
        <w:rPr>
          <w:rFonts w:ascii="Verdana" w:hAnsi="Verdana" w:cs="Verdana"/>
          <w:i/>
          <w:sz w:val="20"/>
          <w:szCs w:val="20"/>
          <w:lang w:val="es-ES"/>
        </w:rPr>
        <w:t>punto resolutivo décimo tercero de la Sentencia</w:t>
      </w:r>
      <w:r w:rsidR="007F7C09">
        <w:rPr>
          <w:rFonts w:ascii="Verdana" w:hAnsi="Verdana" w:cs="Verdana"/>
          <w:sz w:val="20"/>
          <w:szCs w:val="20"/>
          <w:lang w:val="es-ES"/>
        </w:rPr>
        <w:t>)</w:t>
      </w:r>
      <w:r w:rsidR="007F7C09" w:rsidRPr="007F7C09">
        <w:rPr>
          <w:rFonts w:ascii="Verdana" w:hAnsi="Verdana" w:cs="Verdana"/>
          <w:sz w:val="20"/>
          <w:szCs w:val="20"/>
          <w:lang w:val="es-ES"/>
        </w:rPr>
        <w:t>;</w:t>
      </w:r>
    </w:p>
    <w:p w14:paraId="03755E5D" w14:textId="691B3F3C" w:rsidR="007F7C09" w:rsidRDefault="007F7C09" w:rsidP="007F7C09">
      <w:pPr>
        <w:pStyle w:val="Prrafodelista"/>
        <w:numPr>
          <w:ilvl w:val="0"/>
          <w:numId w:val="19"/>
        </w:numPr>
        <w:spacing w:after="200"/>
        <w:jc w:val="both"/>
        <w:rPr>
          <w:rFonts w:ascii="Verdana" w:hAnsi="Verdana" w:cs="Verdana"/>
          <w:sz w:val="20"/>
          <w:szCs w:val="20"/>
          <w:lang w:val="es-ES"/>
        </w:rPr>
      </w:pPr>
      <w:r w:rsidRPr="007F7C09">
        <w:rPr>
          <w:rFonts w:ascii="Verdana" w:hAnsi="Verdana" w:cs="Verdana"/>
          <w:sz w:val="20"/>
          <w:szCs w:val="20"/>
          <w:lang w:val="es-ES"/>
        </w:rPr>
        <w:lastRenderedPageBreak/>
        <w:t xml:space="preserve">establecer un mecanismo de monitoreo y </w:t>
      </w:r>
      <w:proofErr w:type="spellStart"/>
      <w:r w:rsidRPr="007F7C09">
        <w:rPr>
          <w:rFonts w:ascii="Verdana" w:hAnsi="Verdana" w:cs="Verdana"/>
          <w:sz w:val="20"/>
          <w:szCs w:val="20"/>
          <w:lang w:val="es-ES"/>
        </w:rPr>
        <w:t>fiscalización</w:t>
      </w:r>
      <w:proofErr w:type="spellEnd"/>
      <w:r w:rsidRPr="007F7C09">
        <w:rPr>
          <w:rFonts w:ascii="Verdana" w:hAnsi="Verdana" w:cs="Verdana"/>
          <w:sz w:val="20"/>
          <w:szCs w:val="20"/>
          <w:lang w:val="es-ES"/>
        </w:rPr>
        <w:t xml:space="preserve"> para medir y evaluar la efectividad de las </w:t>
      </w:r>
      <w:proofErr w:type="spellStart"/>
      <w:r w:rsidRPr="007F7C09">
        <w:rPr>
          <w:rFonts w:ascii="Verdana" w:hAnsi="Verdana" w:cs="Verdana"/>
          <w:sz w:val="20"/>
          <w:szCs w:val="20"/>
          <w:lang w:val="es-ES"/>
        </w:rPr>
        <w:t>políticas</w:t>
      </w:r>
      <w:proofErr w:type="spellEnd"/>
      <w:r w:rsidRPr="007F7C09">
        <w:rPr>
          <w:rFonts w:ascii="Verdana" w:hAnsi="Verdana" w:cs="Verdana"/>
          <w:sz w:val="20"/>
          <w:szCs w:val="20"/>
          <w:lang w:val="es-ES"/>
        </w:rPr>
        <w:t xml:space="preserve"> e instituciones existentes en materia de </w:t>
      </w:r>
      <w:proofErr w:type="spellStart"/>
      <w:r w:rsidRPr="007F7C09">
        <w:rPr>
          <w:rFonts w:ascii="Verdana" w:hAnsi="Verdana" w:cs="Verdana"/>
          <w:sz w:val="20"/>
          <w:szCs w:val="20"/>
          <w:lang w:val="es-ES"/>
        </w:rPr>
        <w:t>rendición</w:t>
      </w:r>
      <w:proofErr w:type="spellEnd"/>
      <w:r w:rsidRPr="007F7C09">
        <w:rPr>
          <w:rFonts w:ascii="Verdana" w:hAnsi="Verdana" w:cs="Verdana"/>
          <w:sz w:val="20"/>
          <w:szCs w:val="20"/>
          <w:lang w:val="es-ES"/>
        </w:rPr>
        <w:t xml:space="preserve"> de cuentas y monitoreo del uso de la fuerza de la </w:t>
      </w:r>
      <w:proofErr w:type="spellStart"/>
      <w:r w:rsidRPr="007F7C09">
        <w:rPr>
          <w:rFonts w:ascii="Verdana" w:hAnsi="Verdana" w:cs="Verdana"/>
          <w:sz w:val="20"/>
          <w:szCs w:val="20"/>
          <w:lang w:val="es-ES"/>
        </w:rPr>
        <w:t>Policía</w:t>
      </w:r>
      <w:proofErr w:type="spellEnd"/>
      <w:r w:rsidRPr="007F7C09">
        <w:rPr>
          <w:rFonts w:ascii="Verdana" w:hAnsi="Verdana" w:cs="Verdana"/>
          <w:sz w:val="20"/>
          <w:szCs w:val="20"/>
          <w:lang w:val="es-ES"/>
        </w:rPr>
        <w:t xml:space="preserve"> Federal y la </w:t>
      </w:r>
      <w:proofErr w:type="spellStart"/>
      <w:r w:rsidRPr="007F7C09">
        <w:rPr>
          <w:rFonts w:ascii="Verdana" w:hAnsi="Verdana" w:cs="Verdana"/>
          <w:sz w:val="20"/>
          <w:szCs w:val="20"/>
          <w:lang w:val="es-ES"/>
        </w:rPr>
        <w:t>policía</w:t>
      </w:r>
      <w:proofErr w:type="spellEnd"/>
      <w:r w:rsidRPr="007F7C09">
        <w:rPr>
          <w:rFonts w:ascii="Verdana" w:hAnsi="Verdana" w:cs="Verdana"/>
          <w:sz w:val="20"/>
          <w:szCs w:val="20"/>
          <w:lang w:val="es-ES"/>
        </w:rPr>
        <w:t xml:space="preserve"> del estado de </w:t>
      </w:r>
      <w:proofErr w:type="spellStart"/>
      <w:r w:rsidRPr="007F7C09">
        <w:rPr>
          <w:rFonts w:ascii="Verdana" w:hAnsi="Verdana" w:cs="Verdana"/>
          <w:sz w:val="20"/>
          <w:szCs w:val="20"/>
          <w:lang w:val="es-ES"/>
        </w:rPr>
        <w:t>México</w:t>
      </w:r>
      <w:proofErr w:type="spellEnd"/>
      <w:r w:rsidR="004B3D6E">
        <w:rPr>
          <w:rStyle w:val="Refdenotaalpie"/>
          <w:rFonts w:ascii="Verdana" w:hAnsi="Verdana" w:cs="Verdana"/>
          <w:sz w:val="20"/>
          <w:szCs w:val="20"/>
          <w:lang w:val="es-ES"/>
        </w:rPr>
        <w:footnoteReference w:id="61"/>
      </w:r>
      <w:r>
        <w:rPr>
          <w:rFonts w:ascii="Verdana" w:hAnsi="Verdana" w:cs="Verdana"/>
          <w:sz w:val="20"/>
          <w:szCs w:val="20"/>
          <w:lang w:val="es-ES"/>
        </w:rPr>
        <w:t xml:space="preserve"> (</w:t>
      </w:r>
      <w:r>
        <w:rPr>
          <w:rFonts w:ascii="Verdana" w:hAnsi="Verdana" w:cs="Verdana"/>
          <w:i/>
          <w:sz w:val="20"/>
          <w:szCs w:val="20"/>
          <w:lang w:val="es-ES"/>
        </w:rPr>
        <w:t>punto resolutivo décimo tercero de la Sentencia</w:t>
      </w:r>
      <w:r>
        <w:rPr>
          <w:rFonts w:ascii="Verdana" w:hAnsi="Verdana" w:cs="Verdana"/>
          <w:sz w:val="20"/>
          <w:szCs w:val="20"/>
          <w:lang w:val="es-ES"/>
        </w:rPr>
        <w:t>), y</w:t>
      </w:r>
    </w:p>
    <w:p w14:paraId="67A7108D" w14:textId="0F9F6469" w:rsidR="007F7C09" w:rsidRPr="007F7C09" w:rsidRDefault="007F7C09" w:rsidP="007F7C09">
      <w:pPr>
        <w:pStyle w:val="Prrafodelista"/>
        <w:numPr>
          <w:ilvl w:val="0"/>
          <w:numId w:val="19"/>
        </w:numPr>
        <w:spacing w:after="200"/>
        <w:jc w:val="both"/>
        <w:rPr>
          <w:rFonts w:ascii="Verdana" w:hAnsi="Verdana" w:cs="Verdana"/>
          <w:sz w:val="20"/>
          <w:szCs w:val="20"/>
          <w:lang w:val="es-ES"/>
        </w:rPr>
      </w:pPr>
      <w:r w:rsidRPr="007F7C09">
        <w:rPr>
          <w:rFonts w:ascii="Verdana" w:hAnsi="Verdana"/>
          <w:sz w:val="20"/>
          <w:szCs w:val="20"/>
          <w:lang w:val="es-ES"/>
        </w:rPr>
        <w:t>elaborar un plan de fortalecimiento calendarizado del Mecanismo de Seguimiento de Casos de Tortura S</w:t>
      </w:r>
      <w:r>
        <w:rPr>
          <w:rFonts w:ascii="Verdana" w:hAnsi="Verdana"/>
          <w:sz w:val="20"/>
          <w:szCs w:val="20"/>
          <w:lang w:val="es-ES"/>
        </w:rPr>
        <w:t xml:space="preserve">exual cometida contra Mujeres </w:t>
      </w:r>
      <w:r>
        <w:rPr>
          <w:rFonts w:ascii="Verdana" w:hAnsi="Verdana" w:cs="Verdana"/>
          <w:sz w:val="20"/>
          <w:szCs w:val="20"/>
          <w:lang w:val="es-ES"/>
        </w:rPr>
        <w:t>(</w:t>
      </w:r>
      <w:r>
        <w:rPr>
          <w:rFonts w:ascii="Verdana" w:hAnsi="Verdana" w:cs="Verdana"/>
          <w:i/>
          <w:sz w:val="20"/>
          <w:szCs w:val="20"/>
          <w:lang w:val="es-ES"/>
        </w:rPr>
        <w:t>punto resolutivo décimo quinto de la Sentencia</w:t>
      </w:r>
      <w:r>
        <w:rPr>
          <w:rFonts w:ascii="Verdana" w:hAnsi="Verdana" w:cs="Verdana"/>
          <w:sz w:val="20"/>
          <w:szCs w:val="20"/>
          <w:lang w:val="es-ES"/>
        </w:rPr>
        <w:t>)</w:t>
      </w:r>
      <w:r w:rsidR="0011375D">
        <w:rPr>
          <w:rStyle w:val="Refdenotaalpie"/>
          <w:rFonts w:ascii="Verdana" w:hAnsi="Verdana" w:cs="Verdana"/>
          <w:sz w:val="20"/>
          <w:szCs w:val="20"/>
          <w:lang w:val="es-ES"/>
        </w:rPr>
        <w:footnoteReference w:id="62"/>
      </w:r>
      <w:r>
        <w:rPr>
          <w:rFonts w:ascii="Verdana" w:hAnsi="Verdana" w:cs="Verdana"/>
          <w:sz w:val="20"/>
          <w:szCs w:val="20"/>
          <w:lang w:val="es-ES"/>
        </w:rPr>
        <w:t xml:space="preserve">. </w:t>
      </w:r>
    </w:p>
    <w:p w14:paraId="03878E27" w14:textId="078E2C23" w:rsidR="00AE4B34" w:rsidRPr="00AE4B34" w:rsidRDefault="00AE4B34" w:rsidP="00423534">
      <w:pPr>
        <w:numPr>
          <w:ilvl w:val="0"/>
          <w:numId w:val="9"/>
        </w:numPr>
        <w:spacing w:after="200"/>
        <w:ind w:left="0" w:firstLine="0"/>
        <w:jc w:val="both"/>
        <w:rPr>
          <w:rFonts w:ascii="Verdana" w:hAnsi="Verdana"/>
          <w:sz w:val="20"/>
          <w:szCs w:val="20"/>
          <w:lang w:val="es-ES"/>
        </w:rPr>
      </w:pPr>
      <w:r>
        <w:rPr>
          <w:rFonts w:ascii="Verdana" w:hAnsi="Verdana"/>
          <w:sz w:val="20"/>
          <w:szCs w:val="20"/>
          <w:lang w:val="es-ES"/>
        </w:rPr>
        <w:t>En la Sentencia, se estableció que México debía dar cumplimiento a las referidas medidas de reparación en el plazo de dos años</w:t>
      </w:r>
      <w:r w:rsidR="001F6B84">
        <w:rPr>
          <w:rFonts w:ascii="Verdana" w:hAnsi="Verdana"/>
          <w:sz w:val="20"/>
          <w:szCs w:val="20"/>
          <w:lang w:val="es-ES"/>
        </w:rPr>
        <w:t>,</w:t>
      </w:r>
      <w:r>
        <w:rPr>
          <w:rFonts w:ascii="Verdana" w:hAnsi="Verdana"/>
          <w:sz w:val="20"/>
          <w:szCs w:val="20"/>
          <w:lang w:val="es-ES"/>
        </w:rPr>
        <w:t xml:space="preserve"> contado a partir de su notificación, el cual finalizará el </w:t>
      </w:r>
      <w:r>
        <w:rPr>
          <w:rFonts w:ascii="Verdana" w:hAnsi="Verdana" w:cs="Verdana"/>
          <w:sz w:val="20"/>
          <w:szCs w:val="20"/>
          <w:lang w:val="es-MX"/>
        </w:rPr>
        <w:t xml:space="preserve">4 de enero de 2021. </w:t>
      </w:r>
    </w:p>
    <w:p w14:paraId="3ED5D902" w14:textId="3DBD19C2" w:rsidR="00423534" w:rsidRPr="00423534" w:rsidRDefault="00423534" w:rsidP="00423534">
      <w:pPr>
        <w:numPr>
          <w:ilvl w:val="0"/>
          <w:numId w:val="9"/>
        </w:numPr>
        <w:spacing w:after="200"/>
        <w:ind w:left="0" w:firstLine="0"/>
        <w:jc w:val="both"/>
        <w:rPr>
          <w:rFonts w:ascii="Verdana" w:hAnsi="Verdana"/>
          <w:sz w:val="20"/>
          <w:szCs w:val="20"/>
          <w:lang w:val="es-ES"/>
        </w:rPr>
      </w:pPr>
      <w:r w:rsidRPr="00423534">
        <w:rPr>
          <w:rFonts w:ascii="Verdana" w:hAnsi="Verdana" w:cs="Verdana"/>
          <w:sz w:val="20"/>
          <w:szCs w:val="20"/>
          <w:lang w:val="es-MX"/>
        </w:rPr>
        <w:t xml:space="preserve">Tomando en cuenta los informes presentados por el Estado, así como </w:t>
      </w:r>
      <w:r w:rsidR="00204442">
        <w:rPr>
          <w:rFonts w:ascii="Verdana" w:hAnsi="Verdana" w:cs="Verdana"/>
          <w:sz w:val="20"/>
          <w:szCs w:val="20"/>
          <w:lang w:val="es-MX"/>
        </w:rPr>
        <w:t>las observaciones de la</w:t>
      </w:r>
      <w:r w:rsidRPr="00423534">
        <w:rPr>
          <w:rFonts w:ascii="Verdana" w:hAnsi="Verdana" w:cs="Verdana"/>
          <w:sz w:val="20"/>
          <w:szCs w:val="20"/>
          <w:lang w:val="es-MX"/>
        </w:rPr>
        <w:t xml:space="preserve">s representantes y de la Comisión, </w:t>
      </w:r>
      <w:r w:rsidRPr="00423534">
        <w:rPr>
          <w:rFonts w:ascii="Verdana" w:hAnsi="Verdana"/>
          <w:sz w:val="20"/>
          <w:szCs w:val="20"/>
          <w:lang w:val="es-ES"/>
        </w:rPr>
        <w:t>la Corte estima pertinente</w:t>
      </w:r>
      <w:r w:rsidR="002D3FBC">
        <w:rPr>
          <w:rFonts w:ascii="Verdana" w:hAnsi="Verdana"/>
          <w:sz w:val="20"/>
          <w:szCs w:val="20"/>
          <w:lang w:val="es-ES"/>
        </w:rPr>
        <w:t xml:space="preserve"> </w:t>
      </w:r>
      <w:r w:rsidRPr="00423534">
        <w:rPr>
          <w:rFonts w:ascii="Verdana" w:hAnsi="Verdana"/>
          <w:sz w:val="20"/>
          <w:szCs w:val="20"/>
          <w:lang w:val="es-ES"/>
        </w:rPr>
        <w:t>que México presente un nuevo informe (</w:t>
      </w:r>
      <w:r w:rsidRPr="00423534">
        <w:rPr>
          <w:rFonts w:ascii="Verdana" w:hAnsi="Verdana"/>
          <w:i/>
          <w:sz w:val="20"/>
          <w:szCs w:val="20"/>
          <w:lang w:val="es-ES"/>
        </w:rPr>
        <w:t>infra</w:t>
      </w:r>
      <w:r w:rsidRPr="00423534">
        <w:rPr>
          <w:rFonts w:ascii="Verdana" w:hAnsi="Verdana"/>
          <w:sz w:val="20"/>
          <w:szCs w:val="20"/>
          <w:lang w:val="es-ES"/>
        </w:rPr>
        <w:t xml:space="preserve"> punto resolutivo </w:t>
      </w:r>
      <w:r w:rsidR="007A3B13" w:rsidRPr="005B4E2A">
        <w:rPr>
          <w:rFonts w:ascii="Verdana" w:hAnsi="Verdana"/>
          <w:sz w:val="20"/>
          <w:szCs w:val="20"/>
          <w:lang w:val="es-ES"/>
        </w:rPr>
        <w:t>6</w:t>
      </w:r>
      <w:r w:rsidRPr="00423534">
        <w:rPr>
          <w:rFonts w:ascii="Verdana" w:hAnsi="Verdana"/>
          <w:sz w:val="20"/>
          <w:szCs w:val="20"/>
          <w:lang w:val="es-ES"/>
        </w:rPr>
        <w:t>) actualizado y detallado sobre las referidas garantías de no repetición</w:t>
      </w:r>
      <w:r w:rsidR="005B4E2A">
        <w:rPr>
          <w:rFonts w:ascii="Verdana" w:hAnsi="Verdana"/>
          <w:sz w:val="20"/>
          <w:szCs w:val="20"/>
          <w:lang w:val="es-ES"/>
        </w:rPr>
        <w:t>,</w:t>
      </w:r>
      <w:r w:rsidR="002D3FBC">
        <w:rPr>
          <w:rFonts w:ascii="Verdana" w:hAnsi="Verdana"/>
          <w:sz w:val="20"/>
          <w:szCs w:val="20"/>
          <w:lang w:val="es-ES"/>
        </w:rPr>
        <w:t xml:space="preserve"> a fin de poder valorar su cumplimiento</w:t>
      </w:r>
      <w:r w:rsidR="005B4E2A">
        <w:rPr>
          <w:rFonts w:ascii="Verdana" w:hAnsi="Verdana"/>
          <w:sz w:val="20"/>
          <w:szCs w:val="20"/>
          <w:lang w:val="es-ES"/>
        </w:rPr>
        <w:t xml:space="preserve"> en una resolución posterior</w:t>
      </w:r>
      <w:r w:rsidRPr="00423534">
        <w:rPr>
          <w:rFonts w:ascii="Verdana" w:hAnsi="Verdana"/>
          <w:sz w:val="20"/>
          <w:szCs w:val="20"/>
          <w:lang w:val="es-ES"/>
        </w:rPr>
        <w:t xml:space="preserve">. Se requiere que en el mismo se refiera a las observaciones formuladas por </w:t>
      </w:r>
      <w:r w:rsidR="00204442">
        <w:rPr>
          <w:rFonts w:ascii="Verdana" w:hAnsi="Verdana"/>
          <w:sz w:val="20"/>
          <w:szCs w:val="20"/>
          <w:lang w:val="es-ES"/>
        </w:rPr>
        <w:t>la representación</w:t>
      </w:r>
      <w:r w:rsidRPr="00423534">
        <w:rPr>
          <w:rFonts w:ascii="Verdana" w:hAnsi="Verdana"/>
          <w:sz w:val="20"/>
          <w:szCs w:val="20"/>
          <w:lang w:val="es-ES"/>
        </w:rPr>
        <w:t xml:space="preserve"> de las </w:t>
      </w:r>
      <w:proofErr w:type="spellStart"/>
      <w:r w:rsidRPr="00423534">
        <w:rPr>
          <w:rFonts w:ascii="Verdana" w:hAnsi="Verdana"/>
          <w:sz w:val="20"/>
          <w:szCs w:val="20"/>
          <w:lang w:val="es-ES"/>
        </w:rPr>
        <w:t>víctimas</w:t>
      </w:r>
      <w:proofErr w:type="spellEnd"/>
      <w:r w:rsidRPr="00423534">
        <w:rPr>
          <w:rFonts w:ascii="Verdana" w:hAnsi="Verdana"/>
          <w:sz w:val="20"/>
          <w:szCs w:val="20"/>
          <w:lang w:val="es-ES"/>
        </w:rPr>
        <w:t xml:space="preserve"> y la </w:t>
      </w:r>
      <w:proofErr w:type="spellStart"/>
      <w:r w:rsidRPr="00423534">
        <w:rPr>
          <w:rFonts w:ascii="Verdana" w:hAnsi="Verdana"/>
          <w:sz w:val="20"/>
          <w:szCs w:val="20"/>
          <w:lang w:val="es-ES"/>
        </w:rPr>
        <w:t>Comisión</w:t>
      </w:r>
      <w:proofErr w:type="spellEnd"/>
      <w:r w:rsidRPr="00423534">
        <w:rPr>
          <w:rFonts w:ascii="Verdana" w:hAnsi="Verdana"/>
          <w:sz w:val="20"/>
          <w:szCs w:val="20"/>
          <w:lang w:val="es-ES"/>
        </w:rPr>
        <w:t xml:space="preserve"> Interamericana. En particular, la Corte solicita al Estado que se refiera a los siguientes aspectos: </w:t>
      </w:r>
    </w:p>
    <w:p w14:paraId="6F0EA212" w14:textId="1E72B610" w:rsidR="00E72521" w:rsidRPr="00E72521" w:rsidRDefault="00423534" w:rsidP="00E72521">
      <w:pPr>
        <w:pStyle w:val="NormalWeb"/>
        <w:numPr>
          <w:ilvl w:val="0"/>
          <w:numId w:val="22"/>
        </w:numPr>
        <w:jc w:val="both"/>
        <w:rPr>
          <w:rFonts w:ascii="Verdana" w:hAnsi="Verdana" w:cs="Verdana"/>
          <w:sz w:val="20"/>
          <w:szCs w:val="20"/>
          <w:lang w:val="es-ES"/>
        </w:rPr>
      </w:pPr>
      <w:r w:rsidRPr="00423534">
        <w:rPr>
          <w:rFonts w:ascii="Verdana" w:hAnsi="Verdana"/>
          <w:i/>
          <w:sz w:val="20"/>
          <w:szCs w:val="20"/>
          <w:lang w:val="es-ES"/>
        </w:rPr>
        <w:t xml:space="preserve">Con relación a la creación de un plan de capacitación </w:t>
      </w:r>
      <w:r w:rsidRPr="00423534">
        <w:rPr>
          <w:rFonts w:ascii="Verdana" w:hAnsi="Verdana" w:cs="Verdana"/>
          <w:i/>
          <w:sz w:val="20"/>
          <w:szCs w:val="20"/>
          <w:lang w:val="es-ES"/>
        </w:rPr>
        <w:t xml:space="preserve">de oficiales de la </w:t>
      </w:r>
      <w:proofErr w:type="spellStart"/>
      <w:r w:rsidRPr="00423534">
        <w:rPr>
          <w:rFonts w:ascii="Verdana" w:hAnsi="Verdana" w:cs="Verdana"/>
          <w:i/>
          <w:sz w:val="20"/>
          <w:szCs w:val="20"/>
          <w:lang w:val="es-ES"/>
        </w:rPr>
        <w:t>Policía</w:t>
      </w:r>
      <w:proofErr w:type="spellEnd"/>
      <w:r w:rsidRPr="00423534">
        <w:rPr>
          <w:rFonts w:ascii="Verdana" w:hAnsi="Verdana" w:cs="Verdana"/>
          <w:i/>
          <w:sz w:val="20"/>
          <w:szCs w:val="20"/>
          <w:lang w:val="es-ES"/>
        </w:rPr>
        <w:t xml:space="preserve"> Federal</w:t>
      </w:r>
      <w:r w:rsidR="00BC33EC">
        <w:rPr>
          <w:rFonts w:ascii="Verdana" w:hAnsi="Verdana" w:cs="Verdana"/>
          <w:i/>
          <w:sz w:val="20"/>
          <w:szCs w:val="20"/>
          <w:lang w:val="es-ES"/>
        </w:rPr>
        <w:t xml:space="preserve"> y de la policía del estado de México</w:t>
      </w:r>
      <w:r>
        <w:rPr>
          <w:rFonts w:ascii="Verdana" w:hAnsi="Verdana" w:cs="Verdana"/>
          <w:sz w:val="20"/>
          <w:szCs w:val="20"/>
          <w:lang w:val="es-ES"/>
        </w:rPr>
        <w:t>:</w:t>
      </w:r>
    </w:p>
    <w:p w14:paraId="7CB5025A" w14:textId="6398A94D" w:rsidR="00132BB3" w:rsidRDefault="00910496" w:rsidP="00D23992">
      <w:pPr>
        <w:pStyle w:val="NormalWeb"/>
        <w:numPr>
          <w:ilvl w:val="1"/>
          <w:numId w:val="23"/>
        </w:numPr>
        <w:jc w:val="both"/>
        <w:rPr>
          <w:rFonts w:ascii="Verdana" w:hAnsi="Verdana" w:cs="Verdana"/>
          <w:sz w:val="20"/>
          <w:szCs w:val="20"/>
          <w:lang w:val="es-ES"/>
        </w:rPr>
      </w:pPr>
      <w:r>
        <w:rPr>
          <w:rFonts w:ascii="Verdana" w:hAnsi="Verdana" w:cs="Verdana"/>
          <w:sz w:val="20"/>
          <w:szCs w:val="20"/>
          <w:lang w:val="es-ES"/>
        </w:rPr>
        <w:t>E</w:t>
      </w:r>
      <w:r w:rsidRPr="00910496">
        <w:rPr>
          <w:rFonts w:ascii="Verdana" w:hAnsi="Verdana" w:cs="Verdana"/>
          <w:sz w:val="20"/>
          <w:szCs w:val="20"/>
          <w:lang w:val="es-ES"/>
        </w:rPr>
        <w:t>l Estado refirió que había desarrollado</w:t>
      </w:r>
      <w:r>
        <w:rPr>
          <w:rFonts w:ascii="Verdana" w:hAnsi="Verdana" w:cs="Verdana"/>
          <w:sz w:val="20"/>
          <w:szCs w:val="20"/>
          <w:lang w:val="es-ES"/>
        </w:rPr>
        <w:t>: (a</w:t>
      </w:r>
      <w:r w:rsidRPr="00910496">
        <w:rPr>
          <w:rFonts w:ascii="Verdana" w:hAnsi="Verdana" w:cs="Verdana"/>
          <w:sz w:val="20"/>
          <w:szCs w:val="20"/>
          <w:lang w:val="es-ES"/>
        </w:rPr>
        <w:t xml:space="preserve">) un plan de capacitación dirigido a los oficiales de la Policía Federal denominado “Programa Integral de Derechos Humanos”, y </w:t>
      </w:r>
      <w:r>
        <w:rPr>
          <w:rFonts w:ascii="Verdana" w:hAnsi="Verdana" w:cs="Verdana"/>
          <w:sz w:val="20"/>
          <w:szCs w:val="20"/>
          <w:lang w:val="es-ES"/>
        </w:rPr>
        <w:t>(b</w:t>
      </w:r>
      <w:r w:rsidRPr="00910496">
        <w:rPr>
          <w:rFonts w:ascii="Verdana" w:hAnsi="Verdana" w:cs="Verdana"/>
          <w:sz w:val="20"/>
          <w:szCs w:val="20"/>
          <w:lang w:val="es-ES"/>
        </w:rPr>
        <w:t>) un plan de capacitación dirigido a los miembros de la policía de la Secretaría de Seguridad del estado de México,</w:t>
      </w:r>
      <w:r w:rsidR="00BC33EC">
        <w:rPr>
          <w:rFonts w:ascii="Verdana" w:hAnsi="Verdana" w:cs="Verdana"/>
          <w:sz w:val="20"/>
          <w:szCs w:val="20"/>
          <w:lang w:val="es-ES"/>
        </w:rPr>
        <w:t xml:space="preserve"> </w:t>
      </w:r>
      <w:r w:rsidR="00BC33EC" w:rsidRPr="00910496">
        <w:rPr>
          <w:rFonts w:ascii="Verdana" w:hAnsi="Verdana" w:cs="Verdana"/>
          <w:sz w:val="20"/>
          <w:szCs w:val="20"/>
          <w:lang w:val="es-ES"/>
        </w:rPr>
        <w:t>en conjunto con la Universidad Mexiquense de Seguridad</w:t>
      </w:r>
      <w:r w:rsidR="00BC33EC">
        <w:rPr>
          <w:rFonts w:ascii="Verdana" w:hAnsi="Verdana" w:cs="Verdana"/>
          <w:sz w:val="20"/>
          <w:szCs w:val="20"/>
          <w:lang w:val="es-ES"/>
        </w:rPr>
        <w:t>,</w:t>
      </w:r>
      <w:r w:rsidRPr="00910496">
        <w:rPr>
          <w:rFonts w:ascii="Verdana" w:hAnsi="Verdana" w:cs="Verdana"/>
          <w:sz w:val="20"/>
          <w:szCs w:val="20"/>
          <w:lang w:val="es-ES"/>
        </w:rPr>
        <w:t xml:space="preserve"> que comprendía el curso “Sensibilización en la Actuación Policial y los Derechos Humanos con Perspectiva de Género”</w:t>
      </w:r>
      <w:r w:rsidR="001E32EA">
        <w:rPr>
          <w:rStyle w:val="Refdenotaalpie"/>
          <w:rFonts w:ascii="Verdana" w:hAnsi="Verdana" w:cs="Verdana"/>
          <w:sz w:val="20"/>
          <w:szCs w:val="20"/>
          <w:lang w:val="es-ES"/>
        </w:rPr>
        <w:footnoteReference w:id="63"/>
      </w:r>
      <w:r w:rsidRPr="00910496">
        <w:rPr>
          <w:rFonts w:ascii="Verdana" w:hAnsi="Verdana" w:cs="Verdana"/>
          <w:sz w:val="20"/>
          <w:szCs w:val="20"/>
          <w:lang w:val="es-ES"/>
        </w:rPr>
        <w:t xml:space="preserve">. Con respecto al primero, </w:t>
      </w:r>
      <w:r w:rsidRPr="00910496">
        <w:rPr>
          <w:rFonts w:ascii="Verdana" w:hAnsi="Verdana" w:cs="Verdana"/>
          <w:sz w:val="20"/>
          <w:szCs w:val="20"/>
          <w:lang w:val="es-CR"/>
        </w:rPr>
        <w:t xml:space="preserve">informó que la Unidad de Derechos Humanos de la Policía Federal había solicitado a la </w:t>
      </w:r>
      <w:r w:rsidR="007032E9">
        <w:rPr>
          <w:rFonts w:ascii="Verdana" w:hAnsi="Verdana" w:cs="Verdana"/>
          <w:sz w:val="20"/>
          <w:szCs w:val="20"/>
          <w:lang w:val="es-ES"/>
        </w:rPr>
        <w:t xml:space="preserve">Comisión Nacional para Prevenir y Erradicar la Violencia contra las </w:t>
      </w:r>
      <w:r w:rsidR="007032E9" w:rsidRPr="007032E9">
        <w:rPr>
          <w:rFonts w:ascii="Verdana" w:hAnsi="Verdana" w:cs="Verdana"/>
          <w:sz w:val="20"/>
          <w:szCs w:val="20"/>
          <w:lang w:val="es-ES"/>
        </w:rPr>
        <w:t>Mujeres</w:t>
      </w:r>
      <w:r w:rsidR="007032E9" w:rsidRPr="007032E9">
        <w:rPr>
          <w:rFonts w:ascii="Verdana" w:hAnsi="Verdana" w:cs="Verdana"/>
          <w:sz w:val="20"/>
          <w:szCs w:val="20"/>
          <w:lang w:val="es-CR"/>
        </w:rPr>
        <w:t xml:space="preserve"> (en adelante, “</w:t>
      </w:r>
      <w:r w:rsidRPr="007032E9">
        <w:rPr>
          <w:rFonts w:ascii="Verdana" w:hAnsi="Verdana" w:cs="Verdana"/>
          <w:sz w:val="20"/>
          <w:szCs w:val="20"/>
          <w:lang w:val="es-CR"/>
        </w:rPr>
        <w:t>CONAVIM</w:t>
      </w:r>
      <w:r w:rsidR="007032E9" w:rsidRPr="007032E9">
        <w:rPr>
          <w:rFonts w:ascii="Verdana" w:hAnsi="Verdana" w:cs="Verdana"/>
          <w:sz w:val="20"/>
          <w:szCs w:val="20"/>
          <w:lang w:val="es-CR"/>
        </w:rPr>
        <w:t>”)</w:t>
      </w:r>
      <w:r w:rsidRPr="00910496">
        <w:rPr>
          <w:rFonts w:ascii="Verdana" w:hAnsi="Verdana" w:cs="Verdana"/>
          <w:sz w:val="20"/>
          <w:szCs w:val="20"/>
          <w:lang w:val="es-CR"/>
        </w:rPr>
        <w:t xml:space="preserve"> y al Coordinador de Sistema de Desarrollo Policial incluir dicho Programa “a la estructura curricular, a los procedimientos de evaluación y a la acreditación de la corporación”</w:t>
      </w:r>
      <w:r w:rsidR="00A8122C">
        <w:rPr>
          <w:rStyle w:val="Refdenotaalpie"/>
          <w:rFonts w:ascii="Verdana" w:hAnsi="Verdana" w:cs="Verdana"/>
          <w:sz w:val="20"/>
          <w:szCs w:val="20"/>
          <w:lang w:val="es-CR"/>
        </w:rPr>
        <w:footnoteReference w:id="64"/>
      </w:r>
      <w:r w:rsidR="00657E64">
        <w:rPr>
          <w:rFonts w:ascii="Verdana" w:hAnsi="Verdana" w:cs="Verdana"/>
          <w:sz w:val="20"/>
          <w:szCs w:val="20"/>
          <w:lang w:val="es-CR"/>
        </w:rPr>
        <w:t>.</w:t>
      </w:r>
      <w:r w:rsidRPr="00910496">
        <w:rPr>
          <w:rFonts w:ascii="Verdana" w:hAnsi="Verdana" w:cs="Verdana"/>
          <w:sz w:val="20"/>
          <w:szCs w:val="20"/>
          <w:lang w:val="es-CR"/>
        </w:rPr>
        <w:t xml:space="preserve"> </w:t>
      </w:r>
      <w:r w:rsidR="00657E64">
        <w:rPr>
          <w:rFonts w:ascii="Verdana" w:hAnsi="Verdana" w:cs="Verdana"/>
          <w:sz w:val="20"/>
          <w:szCs w:val="20"/>
          <w:lang w:val="es-ES"/>
        </w:rPr>
        <w:t>S</w:t>
      </w:r>
      <w:r w:rsidR="00204442">
        <w:rPr>
          <w:rFonts w:ascii="Verdana" w:hAnsi="Verdana" w:cs="Verdana"/>
          <w:sz w:val="20"/>
          <w:szCs w:val="20"/>
          <w:lang w:val="es-ES"/>
        </w:rPr>
        <w:t>in embargo, la</w:t>
      </w:r>
      <w:r w:rsidRPr="00910496">
        <w:rPr>
          <w:rFonts w:ascii="Verdana" w:hAnsi="Verdana" w:cs="Verdana"/>
          <w:sz w:val="20"/>
          <w:szCs w:val="20"/>
          <w:lang w:val="es-ES"/>
        </w:rPr>
        <w:t>s representantes hicieron notar que “no queda[</w:t>
      </w:r>
      <w:proofErr w:type="spellStart"/>
      <w:r w:rsidRPr="00910496">
        <w:rPr>
          <w:rFonts w:ascii="Verdana" w:hAnsi="Verdana" w:cs="Verdana"/>
          <w:sz w:val="20"/>
          <w:szCs w:val="20"/>
          <w:lang w:val="es-ES"/>
        </w:rPr>
        <w:t>ba</w:t>
      </w:r>
      <w:proofErr w:type="spellEnd"/>
      <w:r w:rsidRPr="00910496">
        <w:rPr>
          <w:rFonts w:ascii="Verdana" w:hAnsi="Verdana" w:cs="Verdana"/>
          <w:sz w:val="20"/>
          <w:szCs w:val="20"/>
          <w:lang w:val="es-ES"/>
        </w:rPr>
        <w:t>] claro […] si dicho curso ya [había sido] incorporado a la estructura curricular –que ahora corresponderá a la Guardia Nacional”</w:t>
      </w:r>
      <w:r w:rsidR="00A8122C">
        <w:rPr>
          <w:rStyle w:val="Refdenotaalpie"/>
          <w:rFonts w:ascii="Verdana" w:hAnsi="Verdana" w:cs="Verdana"/>
          <w:sz w:val="20"/>
          <w:szCs w:val="20"/>
          <w:lang w:val="es-ES"/>
        </w:rPr>
        <w:footnoteReference w:id="65"/>
      </w:r>
      <w:r w:rsidRPr="00910496">
        <w:rPr>
          <w:rFonts w:ascii="Verdana" w:hAnsi="Verdana" w:cs="Verdana"/>
          <w:sz w:val="20"/>
          <w:szCs w:val="20"/>
          <w:lang w:val="es-ES"/>
        </w:rPr>
        <w:t xml:space="preserve">. Con </w:t>
      </w:r>
      <w:r w:rsidRPr="00910496">
        <w:rPr>
          <w:rFonts w:ascii="Verdana" w:hAnsi="Verdana" w:cs="Verdana"/>
          <w:sz w:val="20"/>
          <w:szCs w:val="20"/>
          <w:lang w:val="es-ES"/>
        </w:rPr>
        <w:lastRenderedPageBreak/>
        <w:t>respecto al segundo, indicó que el curso “Sensibilización en la Actuación Policial y los Derechos Humanos con Perspectiva de Género” había “</w:t>
      </w:r>
      <w:proofErr w:type="spellStart"/>
      <w:r w:rsidRPr="00910496">
        <w:rPr>
          <w:rFonts w:ascii="Verdana" w:hAnsi="Verdana" w:cs="Verdana"/>
          <w:sz w:val="20"/>
          <w:szCs w:val="20"/>
          <w:lang w:val="es-ES"/>
        </w:rPr>
        <w:t>cont</w:t>
      </w:r>
      <w:proofErr w:type="spellEnd"/>
      <w:r w:rsidRPr="00910496">
        <w:rPr>
          <w:rFonts w:ascii="Verdana" w:hAnsi="Verdana" w:cs="Verdana"/>
          <w:sz w:val="20"/>
          <w:szCs w:val="20"/>
          <w:lang w:val="es-ES"/>
        </w:rPr>
        <w:t>[</w:t>
      </w:r>
      <w:proofErr w:type="spellStart"/>
      <w:r w:rsidRPr="00910496">
        <w:rPr>
          <w:rFonts w:ascii="Verdana" w:hAnsi="Verdana" w:cs="Verdana"/>
          <w:sz w:val="20"/>
          <w:szCs w:val="20"/>
          <w:lang w:val="es-ES"/>
        </w:rPr>
        <w:t>ado</w:t>
      </w:r>
      <w:proofErr w:type="spellEnd"/>
      <w:r w:rsidRPr="00910496">
        <w:rPr>
          <w:rFonts w:ascii="Verdana" w:hAnsi="Verdana" w:cs="Verdana"/>
          <w:sz w:val="20"/>
          <w:szCs w:val="20"/>
          <w:lang w:val="es-ES"/>
        </w:rPr>
        <w:t xml:space="preserve">] con la validación y registro al Secretariado Ejecutivo del Sistema Nacional de Seguridad Pública” y había sido impartido “a 14.200 agentes policiales operativos”. </w:t>
      </w:r>
      <w:r w:rsidR="00BC33EC">
        <w:rPr>
          <w:rFonts w:ascii="Verdana" w:hAnsi="Verdana" w:cs="Verdana"/>
          <w:sz w:val="20"/>
          <w:szCs w:val="20"/>
          <w:lang w:val="es-ES"/>
        </w:rPr>
        <w:t>A</w:t>
      </w:r>
      <w:r w:rsidRPr="00910496">
        <w:rPr>
          <w:rFonts w:ascii="Verdana" w:hAnsi="Verdana" w:cs="Verdana"/>
          <w:sz w:val="20"/>
          <w:szCs w:val="20"/>
          <w:lang w:val="es-ES"/>
        </w:rPr>
        <w:t>gregó que, “a partir del mencionado curso”, la Fiscalía General de Justicia del estado de México había “elaborado un plan de capacitación específico</w:t>
      </w:r>
      <w:r w:rsidR="003D7628">
        <w:rPr>
          <w:rFonts w:ascii="Verdana" w:hAnsi="Verdana" w:cs="Verdana"/>
          <w:sz w:val="20"/>
          <w:szCs w:val="20"/>
          <w:lang w:val="es-ES"/>
        </w:rPr>
        <w:t>”</w:t>
      </w:r>
      <w:r>
        <w:rPr>
          <w:rStyle w:val="Refdenotaalpie"/>
          <w:rFonts w:ascii="Verdana" w:hAnsi="Verdana" w:cs="Verdana"/>
          <w:sz w:val="20"/>
          <w:szCs w:val="20"/>
          <w:lang w:val="es-ES"/>
        </w:rPr>
        <w:footnoteReference w:id="66"/>
      </w:r>
      <w:r w:rsidRPr="00910496">
        <w:rPr>
          <w:rFonts w:ascii="Verdana" w:hAnsi="Verdana" w:cs="Verdana"/>
          <w:sz w:val="20"/>
          <w:szCs w:val="20"/>
          <w:lang w:val="es-ES"/>
        </w:rPr>
        <w:t xml:space="preserve">. </w:t>
      </w:r>
      <w:r>
        <w:rPr>
          <w:rFonts w:ascii="Verdana" w:hAnsi="Verdana" w:cs="Verdana"/>
          <w:sz w:val="20"/>
          <w:szCs w:val="20"/>
          <w:lang w:val="es-ES"/>
        </w:rPr>
        <w:t xml:space="preserve">A la luz de esta información, </w:t>
      </w:r>
      <w:r w:rsidR="00657E64">
        <w:rPr>
          <w:rFonts w:ascii="Verdana" w:hAnsi="Verdana" w:cs="Verdana"/>
          <w:sz w:val="20"/>
          <w:szCs w:val="20"/>
          <w:lang w:val="es-ES"/>
        </w:rPr>
        <w:t xml:space="preserve">se requiere al Estado que </w:t>
      </w:r>
      <w:r w:rsidR="00A330C2">
        <w:rPr>
          <w:rFonts w:ascii="Verdana" w:hAnsi="Verdana" w:cs="Verdana"/>
          <w:sz w:val="20"/>
          <w:szCs w:val="20"/>
          <w:lang w:val="es-ES"/>
        </w:rPr>
        <w:t xml:space="preserve">precise </w:t>
      </w:r>
      <w:r w:rsidR="00132BB3">
        <w:rPr>
          <w:rFonts w:ascii="Verdana" w:hAnsi="Verdana" w:cs="Verdana"/>
          <w:sz w:val="20"/>
          <w:szCs w:val="20"/>
          <w:lang w:val="es-ES"/>
        </w:rPr>
        <w:t xml:space="preserve">si los planes de capacitación desarrollados han sido </w:t>
      </w:r>
      <w:r>
        <w:rPr>
          <w:rFonts w:ascii="Verdana" w:hAnsi="Verdana" w:cs="Verdana"/>
          <w:sz w:val="20"/>
          <w:szCs w:val="20"/>
          <w:lang w:val="es-ES"/>
        </w:rPr>
        <w:t>“</w:t>
      </w:r>
      <w:r w:rsidR="00132BB3" w:rsidRPr="00132BB3">
        <w:rPr>
          <w:rFonts w:ascii="Verdana" w:hAnsi="Verdana" w:cs="Verdana"/>
          <w:sz w:val="20"/>
          <w:szCs w:val="20"/>
          <w:lang w:val="es-ES"/>
        </w:rPr>
        <w:t>incorporado</w:t>
      </w:r>
      <w:r w:rsidR="00132BB3">
        <w:rPr>
          <w:rFonts w:ascii="Verdana" w:hAnsi="Verdana" w:cs="Verdana"/>
          <w:sz w:val="20"/>
          <w:szCs w:val="20"/>
          <w:lang w:val="es-ES"/>
        </w:rPr>
        <w:t>s</w:t>
      </w:r>
      <w:r w:rsidR="00132BB3" w:rsidRPr="00132BB3">
        <w:rPr>
          <w:rFonts w:ascii="Verdana" w:hAnsi="Verdana" w:cs="Verdana"/>
          <w:sz w:val="20"/>
          <w:szCs w:val="20"/>
          <w:lang w:val="es-ES"/>
        </w:rPr>
        <w:t xml:space="preserve"> en el curso de </w:t>
      </w:r>
      <w:proofErr w:type="spellStart"/>
      <w:r w:rsidR="00132BB3" w:rsidRPr="00132BB3">
        <w:rPr>
          <w:rFonts w:ascii="Verdana" w:hAnsi="Verdana" w:cs="Verdana"/>
          <w:sz w:val="20"/>
          <w:szCs w:val="20"/>
          <w:lang w:val="es-ES"/>
        </w:rPr>
        <w:t>formación</w:t>
      </w:r>
      <w:proofErr w:type="spellEnd"/>
      <w:r w:rsidR="00132BB3" w:rsidRPr="00132BB3">
        <w:rPr>
          <w:rFonts w:ascii="Verdana" w:hAnsi="Verdana" w:cs="Verdana"/>
          <w:sz w:val="20"/>
          <w:szCs w:val="20"/>
          <w:lang w:val="es-ES"/>
        </w:rPr>
        <w:t xml:space="preserve"> regular de los miembros del cuerpo de </w:t>
      </w:r>
      <w:proofErr w:type="spellStart"/>
      <w:r w:rsidR="00132BB3" w:rsidRPr="00132BB3">
        <w:rPr>
          <w:rFonts w:ascii="Verdana" w:hAnsi="Verdana" w:cs="Verdana"/>
          <w:sz w:val="20"/>
          <w:szCs w:val="20"/>
          <w:lang w:val="es-ES"/>
        </w:rPr>
        <w:t>policía</w:t>
      </w:r>
      <w:proofErr w:type="spellEnd"/>
      <w:r w:rsidR="00132BB3" w:rsidRPr="00132BB3">
        <w:rPr>
          <w:rFonts w:ascii="Verdana" w:hAnsi="Verdana" w:cs="Verdana"/>
          <w:sz w:val="20"/>
          <w:szCs w:val="20"/>
          <w:lang w:val="es-ES"/>
        </w:rPr>
        <w:t xml:space="preserve"> federal y estadual</w:t>
      </w:r>
      <w:r>
        <w:rPr>
          <w:rFonts w:ascii="Verdana" w:hAnsi="Verdana" w:cs="Verdana"/>
          <w:sz w:val="20"/>
          <w:szCs w:val="20"/>
          <w:lang w:val="es-ES"/>
        </w:rPr>
        <w:t>”</w:t>
      </w:r>
      <w:r w:rsidR="00657E64">
        <w:rPr>
          <w:rFonts w:ascii="Verdana" w:hAnsi="Verdana" w:cs="Verdana"/>
          <w:sz w:val="20"/>
          <w:szCs w:val="20"/>
          <w:lang w:val="es-ES"/>
        </w:rPr>
        <w:t>, tal como fue ordenado en el párrafo 355 de la Sentencia</w:t>
      </w:r>
      <w:r w:rsidR="00132BB3">
        <w:rPr>
          <w:rFonts w:ascii="Verdana" w:hAnsi="Verdana" w:cs="Verdana"/>
          <w:sz w:val="20"/>
          <w:szCs w:val="20"/>
          <w:lang w:val="es-ES"/>
        </w:rPr>
        <w:t>;</w:t>
      </w:r>
    </w:p>
    <w:p w14:paraId="2170F088" w14:textId="103F1C4B" w:rsidR="00910496" w:rsidRDefault="00FD66C5" w:rsidP="00D23992">
      <w:pPr>
        <w:pStyle w:val="NormalWeb"/>
        <w:numPr>
          <w:ilvl w:val="1"/>
          <w:numId w:val="23"/>
        </w:numPr>
        <w:jc w:val="both"/>
        <w:rPr>
          <w:rFonts w:ascii="Verdana" w:hAnsi="Verdana" w:cs="Verdana"/>
          <w:sz w:val="20"/>
          <w:szCs w:val="20"/>
          <w:lang w:val="es-ES"/>
        </w:rPr>
      </w:pPr>
      <w:r>
        <w:rPr>
          <w:rFonts w:ascii="Verdana" w:hAnsi="Verdana" w:cs="Verdana"/>
          <w:sz w:val="20"/>
          <w:szCs w:val="20"/>
          <w:lang w:val="es-ES"/>
        </w:rPr>
        <w:t>Explique cómo los re</w:t>
      </w:r>
      <w:r w:rsidR="00FA560A">
        <w:rPr>
          <w:rFonts w:ascii="Verdana" w:hAnsi="Verdana" w:cs="Verdana"/>
          <w:sz w:val="20"/>
          <w:szCs w:val="20"/>
          <w:lang w:val="es-ES"/>
        </w:rPr>
        <w:t>feridos planes de capacitación</w:t>
      </w:r>
      <w:r>
        <w:rPr>
          <w:rFonts w:ascii="Verdana" w:hAnsi="Verdana" w:cs="Verdana"/>
          <w:sz w:val="20"/>
          <w:szCs w:val="20"/>
          <w:lang w:val="es-ES"/>
        </w:rPr>
        <w:t xml:space="preserve"> están </w:t>
      </w:r>
      <w:r w:rsidR="0094397E">
        <w:rPr>
          <w:rFonts w:ascii="Verdana" w:hAnsi="Verdana" w:cs="Verdana"/>
          <w:sz w:val="20"/>
          <w:szCs w:val="20"/>
          <w:lang w:val="es-ES"/>
        </w:rPr>
        <w:t>“</w:t>
      </w:r>
      <w:r w:rsidRPr="00FD66C5">
        <w:rPr>
          <w:rFonts w:ascii="Verdana" w:hAnsi="Verdana" w:cs="Verdana"/>
          <w:sz w:val="20"/>
          <w:szCs w:val="20"/>
          <w:lang w:val="es-ES"/>
        </w:rPr>
        <w:t>orientado</w:t>
      </w:r>
      <w:r>
        <w:rPr>
          <w:rFonts w:ascii="Verdana" w:hAnsi="Verdana" w:cs="Verdana"/>
          <w:sz w:val="20"/>
          <w:szCs w:val="20"/>
          <w:lang w:val="es-ES"/>
        </w:rPr>
        <w:t>s</w:t>
      </w:r>
      <w:r w:rsidRPr="00FD66C5">
        <w:rPr>
          <w:rFonts w:ascii="Verdana" w:hAnsi="Verdana" w:cs="Verdana"/>
          <w:sz w:val="20"/>
          <w:szCs w:val="20"/>
          <w:lang w:val="es-ES"/>
        </w:rPr>
        <w:t xml:space="preserve"> a: (i) sensibilizar a los miembros de los cuerpos de </w:t>
      </w:r>
      <w:proofErr w:type="spellStart"/>
      <w:r w:rsidRPr="00FD66C5">
        <w:rPr>
          <w:rFonts w:ascii="Verdana" w:hAnsi="Verdana" w:cs="Verdana"/>
          <w:sz w:val="20"/>
          <w:szCs w:val="20"/>
          <w:lang w:val="es-ES"/>
        </w:rPr>
        <w:t>policía</w:t>
      </w:r>
      <w:proofErr w:type="spellEnd"/>
      <w:r w:rsidRPr="00FD66C5">
        <w:rPr>
          <w:rFonts w:ascii="Verdana" w:hAnsi="Verdana" w:cs="Verdana"/>
          <w:sz w:val="20"/>
          <w:szCs w:val="20"/>
          <w:lang w:val="es-ES"/>
        </w:rPr>
        <w:t xml:space="preserve"> en abordar con perspectiva de </w:t>
      </w:r>
      <w:proofErr w:type="spellStart"/>
      <w:r w:rsidRPr="00FD66C5">
        <w:rPr>
          <w:rFonts w:ascii="Verdana" w:hAnsi="Verdana" w:cs="Verdana"/>
          <w:sz w:val="20"/>
          <w:szCs w:val="20"/>
          <w:lang w:val="es-ES"/>
        </w:rPr>
        <w:t>género</w:t>
      </w:r>
      <w:proofErr w:type="spellEnd"/>
      <w:r w:rsidRPr="00FD66C5">
        <w:rPr>
          <w:rFonts w:ascii="Verdana" w:hAnsi="Verdana" w:cs="Verdana"/>
          <w:sz w:val="20"/>
          <w:szCs w:val="20"/>
          <w:lang w:val="es-ES"/>
        </w:rPr>
        <w:t xml:space="preserve"> los operativos policiales, el </w:t>
      </w:r>
      <w:proofErr w:type="spellStart"/>
      <w:r w:rsidRPr="00FD66C5">
        <w:rPr>
          <w:rFonts w:ascii="Verdana" w:hAnsi="Verdana" w:cs="Verdana"/>
          <w:sz w:val="20"/>
          <w:szCs w:val="20"/>
          <w:lang w:val="es-ES"/>
        </w:rPr>
        <w:t>carácter</w:t>
      </w:r>
      <w:proofErr w:type="spellEnd"/>
      <w:r w:rsidRPr="00FD66C5">
        <w:rPr>
          <w:rFonts w:ascii="Verdana" w:hAnsi="Verdana" w:cs="Verdana"/>
          <w:sz w:val="20"/>
          <w:szCs w:val="20"/>
          <w:lang w:val="es-ES"/>
        </w:rPr>
        <w:t xml:space="preserve"> discriminatorio de los estereotipos de </w:t>
      </w:r>
      <w:proofErr w:type="spellStart"/>
      <w:r w:rsidRPr="00FD66C5">
        <w:rPr>
          <w:rFonts w:ascii="Verdana" w:hAnsi="Verdana" w:cs="Verdana"/>
          <w:sz w:val="20"/>
          <w:szCs w:val="20"/>
          <w:lang w:val="es-ES"/>
        </w:rPr>
        <w:t>género</w:t>
      </w:r>
      <w:proofErr w:type="spellEnd"/>
      <w:r w:rsidRPr="00FD66C5">
        <w:rPr>
          <w:rFonts w:ascii="Verdana" w:hAnsi="Verdana" w:cs="Verdana"/>
          <w:sz w:val="20"/>
          <w:szCs w:val="20"/>
          <w:lang w:val="es-ES"/>
        </w:rPr>
        <w:t xml:space="preserve"> como los empleados en este caso y el absoluto deber de respeto y </w:t>
      </w:r>
      <w:proofErr w:type="spellStart"/>
      <w:r w:rsidRPr="00FD66C5">
        <w:rPr>
          <w:rFonts w:ascii="Verdana" w:hAnsi="Verdana" w:cs="Verdana"/>
          <w:sz w:val="20"/>
          <w:szCs w:val="20"/>
          <w:lang w:val="es-ES"/>
        </w:rPr>
        <w:t>protección</w:t>
      </w:r>
      <w:proofErr w:type="spellEnd"/>
      <w:r w:rsidRPr="00FD66C5">
        <w:rPr>
          <w:rFonts w:ascii="Verdana" w:hAnsi="Verdana" w:cs="Verdana"/>
          <w:sz w:val="20"/>
          <w:szCs w:val="20"/>
          <w:lang w:val="es-ES"/>
        </w:rPr>
        <w:t xml:space="preserve"> de la </w:t>
      </w:r>
      <w:proofErr w:type="spellStart"/>
      <w:r w:rsidRPr="00FD66C5">
        <w:rPr>
          <w:rFonts w:ascii="Verdana" w:hAnsi="Verdana" w:cs="Verdana"/>
          <w:sz w:val="20"/>
          <w:szCs w:val="20"/>
          <w:lang w:val="es-ES"/>
        </w:rPr>
        <w:t>población</w:t>
      </w:r>
      <w:proofErr w:type="spellEnd"/>
      <w:r w:rsidRPr="00FD66C5">
        <w:rPr>
          <w:rFonts w:ascii="Verdana" w:hAnsi="Verdana" w:cs="Verdana"/>
          <w:sz w:val="20"/>
          <w:szCs w:val="20"/>
          <w:lang w:val="es-ES"/>
        </w:rPr>
        <w:t xml:space="preserve"> civil con la que entran en contacto en el marco de sus labores orden </w:t>
      </w:r>
      <w:proofErr w:type="spellStart"/>
      <w:r w:rsidRPr="00FD66C5">
        <w:rPr>
          <w:rFonts w:ascii="Verdana" w:hAnsi="Verdana" w:cs="Verdana"/>
          <w:sz w:val="20"/>
          <w:szCs w:val="20"/>
          <w:lang w:val="es-ES"/>
        </w:rPr>
        <w:t>público</w:t>
      </w:r>
      <w:proofErr w:type="spellEnd"/>
      <w:r w:rsidRPr="00FD66C5">
        <w:rPr>
          <w:rFonts w:ascii="Verdana" w:hAnsi="Verdana" w:cs="Verdana"/>
          <w:sz w:val="20"/>
          <w:szCs w:val="20"/>
          <w:lang w:val="es-ES"/>
        </w:rPr>
        <w:t xml:space="preserve">, </w:t>
      </w:r>
      <w:proofErr w:type="spellStart"/>
      <w:r w:rsidRPr="00FD66C5">
        <w:rPr>
          <w:rFonts w:ascii="Verdana" w:hAnsi="Verdana" w:cs="Verdana"/>
          <w:sz w:val="20"/>
          <w:szCs w:val="20"/>
          <w:lang w:val="es-ES"/>
        </w:rPr>
        <w:t>asi</w:t>
      </w:r>
      <w:proofErr w:type="spellEnd"/>
      <w:r w:rsidRPr="00FD66C5">
        <w:rPr>
          <w:rFonts w:ascii="Verdana" w:hAnsi="Verdana" w:cs="Verdana"/>
          <w:sz w:val="20"/>
          <w:szCs w:val="20"/>
          <w:lang w:val="es-ES"/>
        </w:rPr>
        <w:t>́ como a (</w:t>
      </w:r>
      <w:proofErr w:type="spellStart"/>
      <w:r w:rsidRPr="00FD66C5">
        <w:rPr>
          <w:rFonts w:ascii="Verdana" w:hAnsi="Verdana" w:cs="Verdana"/>
          <w:sz w:val="20"/>
          <w:szCs w:val="20"/>
          <w:lang w:val="es-ES"/>
        </w:rPr>
        <w:t>ii</w:t>
      </w:r>
      <w:proofErr w:type="spellEnd"/>
      <w:r w:rsidRPr="00FD66C5">
        <w:rPr>
          <w:rFonts w:ascii="Verdana" w:hAnsi="Verdana" w:cs="Verdana"/>
          <w:sz w:val="20"/>
          <w:szCs w:val="20"/>
          <w:lang w:val="es-ES"/>
        </w:rPr>
        <w:t xml:space="preserve">) capacitar a los agentes de </w:t>
      </w:r>
      <w:proofErr w:type="spellStart"/>
      <w:r w:rsidRPr="00FD66C5">
        <w:rPr>
          <w:rFonts w:ascii="Verdana" w:hAnsi="Verdana" w:cs="Verdana"/>
          <w:sz w:val="20"/>
          <w:szCs w:val="20"/>
          <w:lang w:val="es-ES"/>
        </w:rPr>
        <w:t>policía</w:t>
      </w:r>
      <w:proofErr w:type="spellEnd"/>
      <w:r w:rsidRPr="00FD66C5">
        <w:rPr>
          <w:rFonts w:ascii="Verdana" w:hAnsi="Verdana" w:cs="Verdana"/>
          <w:sz w:val="20"/>
          <w:szCs w:val="20"/>
          <w:lang w:val="es-ES"/>
        </w:rPr>
        <w:t xml:space="preserve"> sobre los </w:t>
      </w:r>
      <w:proofErr w:type="spellStart"/>
      <w:r w:rsidRPr="00FD66C5">
        <w:rPr>
          <w:rFonts w:ascii="Verdana" w:hAnsi="Verdana" w:cs="Verdana"/>
          <w:sz w:val="20"/>
          <w:szCs w:val="20"/>
          <w:lang w:val="es-ES"/>
        </w:rPr>
        <w:t>estándares</w:t>
      </w:r>
      <w:proofErr w:type="spellEnd"/>
      <w:r w:rsidRPr="00FD66C5">
        <w:rPr>
          <w:rFonts w:ascii="Verdana" w:hAnsi="Verdana" w:cs="Verdana"/>
          <w:sz w:val="20"/>
          <w:szCs w:val="20"/>
          <w:lang w:val="es-ES"/>
        </w:rPr>
        <w:t xml:space="preserve"> en materia del uso de la fuerza en contextos de protesta social establecidos en esta Sentencia y en la jurisprudencia de esta Corte</w:t>
      </w:r>
      <w:r w:rsidR="0094397E">
        <w:rPr>
          <w:rFonts w:ascii="Verdana" w:hAnsi="Verdana" w:cs="Verdana"/>
          <w:sz w:val="20"/>
          <w:szCs w:val="20"/>
          <w:lang w:val="es-ES"/>
        </w:rPr>
        <w:t>”</w:t>
      </w:r>
      <w:r w:rsidR="00A330C2">
        <w:rPr>
          <w:rFonts w:ascii="Verdana" w:hAnsi="Verdana" w:cs="Verdana"/>
          <w:sz w:val="20"/>
          <w:szCs w:val="20"/>
          <w:lang w:val="es-ES"/>
        </w:rPr>
        <w:t>, tal como fue solicitado en el párrafo 355 del Fallo</w:t>
      </w:r>
      <w:r w:rsidRPr="00FD66C5">
        <w:rPr>
          <w:rFonts w:ascii="Verdana" w:hAnsi="Verdana" w:cs="Verdana"/>
          <w:sz w:val="20"/>
          <w:szCs w:val="20"/>
          <w:lang w:val="es-ES"/>
        </w:rPr>
        <w:t>.</w:t>
      </w:r>
      <w:r>
        <w:rPr>
          <w:rFonts w:ascii="Verdana" w:hAnsi="Verdana" w:cs="Verdana"/>
          <w:sz w:val="20"/>
          <w:szCs w:val="20"/>
          <w:lang w:val="es-ES"/>
        </w:rPr>
        <w:t xml:space="preserve"> En particular, </w:t>
      </w:r>
      <w:r w:rsidR="007032E9">
        <w:rPr>
          <w:rFonts w:ascii="Verdana" w:hAnsi="Verdana" w:cs="Verdana"/>
          <w:sz w:val="20"/>
          <w:szCs w:val="20"/>
          <w:lang w:val="es-ES"/>
        </w:rPr>
        <w:t>debe</w:t>
      </w:r>
      <w:r w:rsidR="009B47C7">
        <w:rPr>
          <w:rFonts w:ascii="Verdana" w:hAnsi="Verdana" w:cs="Verdana"/>
          <w:sz w:val="20"/>
          <w:szCs w:val="20"/>
          <w:lang w:val="es-ES"/>
        </w:rPr>
        <w:t xml:space="preserve"> </w:t>
      </w:r>
      <w:r>
        <w:rPr>
          <w:rFonts w:ascii="Verdana" w:hAnsi="Verdana" w:cs="Verdana"/>
          <w:sz w:val="20"/>
          <w:szCs w:val="20"/>
          <w:lang w:val="es-ES"/>
        </w:rPr>
        <w:t>referirse</w:t>
      </w:r>
      <w:r w:rsidR="00204442">
        <w:rPr>
          <w:rFonts w:ascii="Verdana" w:hAnsi="Verdana"/>
          <w:sz w:val="20"/>
          <w:szCs w:val="20"/>
          <w:lang w:val="es-ES"/>
        </w:rPr>
        <w:t xml:space="preserve"> a lo afirmado por la</w:t>
      </w:r>
      <w:r w:rsidRPr="007F1F67">
        <w:rPr>
          <w:rFonts w:ascii="Verdana" w:hAnsi="Verdana"/>
          <w:sz w:val="20"/>
          <w:szCs w:val="20"/>
          <w:lang w:val="es-ES"/>
        </w:rPr>
        <w:t xml:space="preserve">s representantes en cuanto a que, si bien el referido </w:t>
      </w:r>
      <w:r w:rsidR="0094397E">
        <w:rPr>
          <w:rFonts w:ascii="Verdana" w:hAnsi="Verdana"/>
          <w:sz w:val="20"/>
          <w:szCs w:val="20"/>
          <w:lang w:val="es-ES"/>
        </w:rPr>
        <w:t>“</w:t>
      </w:r>
      <w:r w:rsidRPr="007F1F67">
        <w:rPr>
          <w:rFonts w:ascii="Verdana" w:hAnsi="Verdana"/>
          <w:sz w:val="20"/>
          <w:szCs w:val="20"/>
          <w:lang w:val="es-ES"/>
        </w:rPr>
        <w:t xml:space="preserve">Programa </w:t>
      </w:r>
      <w:r>
        <w:rPr>
          <w:rFonts w:ascii="Verdana" w:hAnsi="Verdana" w:cs="Verdana"/>
          <w:sz w:val="20"/>
          <w:szCs w:val="20"/>
          <w:lang w:val="es-ES"/>
        </w:rPr>
        <w:t>Integral de Derechos Humanos</w:t>
      </w:r>
      <w:r w:rsidR="0094397E">
        <w:rPr>
          <w:rFonts w:ascii="Verdana" w:hAnsi="Verdana" w:cs="Verdana"/>
          <w:sz w:val="20"/>
          <w:szCs w:val="20"/>
          <w:lang w:val="es-ES"/>
        </w:rPr>
        <w:t>”</w:t>
      </w:r>
      <w:r>
        <w:rPr>
          <w:rFonts w:ascii="Verdana" w:hAnsi="Verdana" w:cs="Verdana"/>
          <w:sz w:val="20"/>
          <w:szCs w:val="20"/>
          <w:lang w:val="es-ES"/>
        </w:rPr>
        <w:t xml:space="preserve"> </w:t>
      </w:r>
      <w:r w:rsidRPr="007F1F67">
        <w:rPr>
          <w:rFonts w:ascii="Verdana" w:hAnsi="Verdana"/>
          <w:sz w:val="20"/>
          <w:szCs w:val="20"/>
          <w:lang w:val="es-ES"/>
        </w:rPr>
        <w:t>inclu</w:t>
      </w:r>
      <w:r w:rsidR="0094397E">
        <w:rPr>
          <w:rFonts w:ascii="Verdana" w:hAnsi="Verdana"/>
          <w:sz w:val="20"/>
          <w:szCs w:val="20"/>
          <w:lang w:val="es-ES"/>
        </w:rPr>
        <w:t>ye</w:t>
      </w:r>
      <w:r w:rsidRPr="007F1F67">
        <w:rPr>
          <w:rFonts w:ascii="Verdana" w:hAnsi="Verdana"/>
          <w:sz w:val="20"/>
          <w:szCs w:val="20"/>
          <w:lang w:val="es-ES"/>
        </w:rPr>
        <w:t xml:space="preserve"> “l</w:t>
      </w:r>
      <w:r w:rsidRPr="007F1F67">
        <w:rPr>
          <w:rFonts w:ascii="Verdana" w:hAnsi="Verdana" w:cs="Verdana"/>
          <w:sz w:val="20"/>
          <w:szCs w:val="20"/>
          <w:lang w:val="es-ES"/>
        </w:rPr>
        <w:t>as temáticas precisadas por la Corte […] en la Sentencia”</w:t>
      </w:r>
      <w:r w:rsidR="0094397E">
        <w:rPr>
          <w:rFonts w:ascii="Verdana" w:hAnsi="Verdana" w:cs="Verdana"/>
          <w:sz w:val="20"/>
          <w:szCs w:val="20"/>
          <w:lang w:val="es-ES"/>
        </w:rPr>
        <w:t>, resulta</w:t>
      </w:r>
      <w:r w:rsidRPr="007F1F67">
        <w:rPr>
          <w:rFonts w:ascii="Verdana" w:hAnsi="Verdana" w:cs="Verdana"/>
          <w:sz w:val="20"/>
          <w:szCs w:val="20"/>
          <w:lang w:val="es-ES"/>
        </w:rPr>
        <w:t xml:space="preserve"> necesario que “se incorpore de forma clara y completa el abordaje de los estándares interamericanos sobre el uso de la fuerza”</w:t>
      </w:r>
      <w:r>
        <w:rPr>
          <w:rStyle w:val="Refdenotaalpie"/>
          <w:rFonts w:ascii="Verdana" w:hAnsi="Verdana" w:cs="Verdana"/>
          <w:sz w:val="20"/>
          <w:szCs w:val="20"/>
          <w:lang w:val="es-ES"/>
        </w:rPr>
        <w:footnoteReference w:id="67"/>
      </w:r>
      <w:r w:rsidRPr="007F1F67">
        <w:rPr>
          <w:rFonts w:ascii="Verdana" w:hAnsi="Verdana" w:cs="Verdana"/>
          <w:sz w:val="20"/>
          <w:szCs w:val="20"/>
          <w:lang w:val="es-ES"/>
        </w:rPr>
        <w:t>.</w:t>
      </w:r>
    </w:p>
    <w:p w14:paraId="24D54468" w14:textId="28F8E759" w:rsidR="00BF550E" w:rsidRPr="00BF550E" w:rsidRDefault="00910496" w:rsidP="00BF550E">
      <w:pPr>
        <w:pStyle w:val="NormalWeb"/>
        <w:numPr>
          <w:ilvl w:val="1"/>
          <w:numId w:val="23"/>
        </w:numPr>
        <w:jc w:val="both"/>
        <w:rPr>
          <w:rFonts w:ascii="Verdana" w:hAnsi="Verdana" w:cs="Verdana"/>
          <w:sz w:val="20"/>
          <w:szCs w:val="20"/>
          <w:lang w:val="es-ES"/>
        </w:rPr>
      </w:pPr>
      <w:r>
        <w:rPr>
          <w:rFonts w:ascii="Verdana" w:hAnsi="Verdana" w:cs="Verdana"/>
          <w:sz w:val="20"/>
          <w:szCs w:val="20"/>
          <w:lang w:val="es-ES"/>
        </w:rPr>
        <w:t xml:space="preserve">De la información aportada por el Estado surge que ambos planes de capacitación fueron remitidos a la </w:t>
      </w:r>
      <w:r w:rsidR="007032E9">
        <w:rPr>
          <w:rFonts w:ascii="Verdana" w:hAnsi="Verdana" w:cs="Verdana"/>
          <w:sz w:val="20"/>
          <w:szCs w:val="20"/>
          <w:lang w:val="es-ES"/>
        </w:rPr>
        <w:t>CONAVIM</w:t>
      </w:r>
      <w:r w:rsidR="009B47C7">
        <w:rPr>
          <w:rFonts w:ascii="Verdana" w:hAnsi="Verdana" w:cs="Verdana"/>
          <w:sz w:val="20"/>
          <w:szCs w:val="20"/>
          <w:lang w:val="es-ES"/>
        </w:rPr>
        <w:t xml:space="preserve"> para su revisión</w:t>
      </w:r>
      <w:r w:rsidR="00402DE1">
        <w:rPr>
          <w:rStyle w:val="Refdenotaalpie"/>
          <w:rFonts w:ascii="Verdana" w:hAnsi="Verdana" w:cs="Verdana"/>
          <w:sz w:val="20"/>
          <w:szCs w:val="20"/>
          <w:lang w:val="es-ES"/>
        </w:rPr>
        <w:footnoteReference w:id="68"/>
      </w:r>
      <w:r w:rsidR="009B47C7">
        <w:rPr>
          <w:rFonts w:ascii="Verdana" w:hAnsi="Verdana" w:cs="Verdana"/>
          <w:sz w:val="20"/>
          <w:szCs w:val="20"/>
          <w:lang w:val="es-ES"/>
        </w:rPr>
        <w:t>.</w:t>
      </w:r>
      <w:r w:rsidR="004D4734">
        <w:rPr>
          <w:rFonts w:ascii="Verdana" w:hAnsi="Verdana" w:cs="Verdana"/>
          <w:sz w:val="20"/>
          <w:szCs w:val="20"/>
          <w:lang w:val="es-ES"/>
        </w:rPr>
        <w:t xml:space="preserve"> </w:t>
      </w:r>
      <w:r w:rsidR="009B47C7">
        <w:rPr>
          <w:rFonts w:ascii="Verdana" w:hAnsi="Verdana" w:cs="Verdana"/>
          <w:sz w:val="20"/>
          <w:szCs w:val="20"/>
          <w:lang w:val="es-ES"/>
        </w:rPr>
        <w:t xml:space="preserve">Las observaciones realizadas por la Unidad de Género de dicho organismo </w:t>
      </w:r>
      <w:r w:rsidR="00402DE1">
        <w:rPr>
          <w:rFonts w:ascii="Verdana" w:hAnsi="Verdana" w:cs="Verdana"/>
          <w:sz w:val="20"/>
          <w:szCs w:val="20"/>
          <w:lang w:val="es-ES"/>
        </w:rPr>
        <w:t xml:space="preserve">a dichos planes </w:t>
      </w:r>
      <w:r w:rsidR="009B47C7">
        <w:rPr>
          <w:rFonts w:ascii="Verdana" w:hAnsi="Verdana" w:cs="Verdana"/>
          <w:sz w:val="20"/>
          <w:szCs w:val="20"/>
          <w:lang w:val="es-ES"/>
        </w:rPr>
        <w:t>fueron remitidas</w:t>
      </w:r>
      <w:r w:rsidR="00402DE1">
        <w:rPr>
          <w:rFonts w:ascii="Verdana" w:hAnsi="Verdana" w:cs="Verdana"/>
          <w:sz w:val="20"/>
          <w:szCs w:val="20"/>
          <w:lang w:val="es-ES"/>
        </w:rPr>
        <w:t xml:space="preserve">, tanto </w:t>
      </w:r>
      <w:r w:rsidR="009B47C7">
        <w:rPr>
          <w:rFonts w:ascii="Verdana" w:hAnsi="Verdana" w:cs="Verdana"/>
          <w:sz w:val="20"/>
          <w:szCs w:val="20"/>
          <w:lang w:val="es-ES"/>
        </w:rPr>
        <w:t xml:space="preserve">a la Policía Federal </w:t>
      </w:r>
      <w:r w:rsidR="00402DE1">
        <w:rPr>
          <w:rFonts w:ascii="Verdana" w:hAnsi="Verdana" w:cs="Verdana"/>
          <w:sz w:val="20"/>
          <w:szCs w:val="20"/>
          <w:lang w:val="es-ES"/>
        </w:rPr>
        <w:t>como</w:t>
      </w:r>
      <w:r w:rsidR="009B47C7">
        <w:rPr>
          <w:rFonts w:ascii="Verdana" w:hAnsi="Verdana" w:cs="Verdana"/>
          <w:sz w:val="20"/>
          <w:szCs w:val="20"/>
          <w:lang w:val="es-ES"/>
        </w:rPr>
        <w:t xml:space="preserve"> a la policía del estado de México</w:t>
      </w:r>
      <w:r w:rsidR="00402DE1">
        <w:rPr>
          <w:rFonts w:ascii="Verdana" w:hAnsi="Verdana" w:cs="Verdana"/>
          <w:sz w:val="20"/>
          <w:szCs w:val="20"/>
          <w:lang w:val="es-ES"/>
        </w:rPr>
        <w:t>,</w:t>
      </w:r>
      <w:r w:rsidR="009B47C7">
        <w:rPr>
          <w:rFonts w:ascii="Verdana" w:hAnsi="Verdana" w:cs="Verdana"/>
          <w:sz w:val="20"/>
          <w:szCs w:val="20"/>
          <w:lang w:val="es-ES"/>
        </w:rPr>
        <w:t xml:space="preserve"> en julio de 2019.</w:t>
      </w:r>
      <w:r w:rsidR="004D4734" w:rsidRPr="00B42F79">
        <w:rPr>
          <w:rFonts w:ascii="Verdana" w:hAnsi="Verdana" w:cs="Verdana"/>
          <w:sz w:val="20"/>
          <w:szCs w:val="20"/>
          <w:lang w:val="es-ES"/>
        </w:rPr>
        <w:t xml:space="preserve"> </w:t>
      </w:r>
      <w:r w:rsidR="003D7628">
        <w:rPr>
          <w:rFonts w:ascii="Verdana" w:hAnsi="Verdana" w:cs="Verdana"/>
          <w:sz w:val="20"/>
          <w:szCs w:val="20"/>
          <w:lang w:val="es-ES"/>
        </w:rPr>
        <w:t xml:space="preserve">Con relación al plan de capacitación de la Policía Federal, de </w:t>
      </w:r>
      <w:r w:rsidR="003D7628" w:rsidRPr="003D7628">
        <w:rPr>
          <w:rFonts w:ascii="Verdana" w:hAnsi="Verdana" w:cs="Verdana"/>
          <w:sz w:val="20"/>
          <w:szCs w:val="20"/>
          <w:lang w:val="es-ES"/>
        </w:rPr>
        <w:t>la documentación anexa al informe estatal de diciembre de 2019</w:t>
      </w:r>
      <w:r w:rsidR="003D7628">
        <w:rPr>
          <w:rFonts w:ascii="Verdana" w:hAnsi="Verdana" w:cs="Verdana"/>
          <w:sz w:val="20"/>
          <w:szCs w:val="20"/>
          <w:lang w:val="es-ES"/>
        </w:rPr>
        <w:t xml:space="preserve"> surge que</w:t>
      </w:r>
      <w:r w:rsidR="004D4734">
        <w:rPr>
          <w:rFonts w:ascii="Verdana" w:hAnsi="Verdana" w:cs="Verdana"/>
          <w:sz w:val="20"/>
          <w:szCs w:val="20"/>
          <w:lang w:val="es-ES"/>
        </w:rPr>
        <w:t>, para agosto de 2019,</w:t>
      </w:r>
      <w:r w:rsidR="003D7628">
        <w:rPr>
          <w:rFonts w:ascii="Verdana" w:hAnsi="Verdana" w:cs="Verdana"/>
          <w:sz w:val="20"/>
          <w:szCs w:val="20"/>
          <w:lang w:val="es-ES"/>
        </w:rPr>
        <w:t xml:space="preserve"> la CONAVIM no </w:t>
      </w:r>
      <w:r w:rsidR="004D4734">
        <w:rPr>
          <w:rFonts w:ascii="Verdana" w:hAnsi="Verdana" w:cs="Verdana"/>
          <w:sz w:val="20"/>
          <w:szCs w:val="20"/>
          <w:lang w:val="es-ES"/>
        </w:rPr>
        <w:t xml:space="preserve">había </w:t>
      </w:r>
      <w:r w:rsidR="003D7628">
        <w:rPr>
          <w:rFonts w:ascii="Verdana" w:hAnsi="Verdana" w:cs="Verdana"/>
          <w:sz w:val="20"/>
          <w:szCs w:val="20"/>
          <w:lang w:val="es-ES"/>
        </w:rPr>
        <w:t>recibi</w:t>
      </w:r>
      <w:r w:rsidR="004D4734">
        <w:rPr>
          <w:rFonts w:ascii="Verdana" w:hAnsi="Verdana" w:cs="Verdana"/>
          <w:sz w:val="20"/>
          <w:szCs w:val="20"/>
          <w:lang w:val="es-ES"/>
        </w:rPr>
        <w:t>do</w:t>
      </w:r>
      <w:r w:rsidR="003D7628">
        <w:rPr>
          <w:rFonts w:ascii="Verdana" w:hAnsi="Verdana" w:cs="Verdana"/>
          <w:sz w:val="20"/>
          <w:szCs w:val="20"/>
          <w:lang w:val="es-ES"/>
        </w:rPr>
        <w:t xml:space="preserve"> respuesta con respecto a las observaciones realizadas</w:t>
      </w:r>
      <w:r w:rsidR="004D4734">
        <w:rPr>
          <w:rStyle w:val="Refdenotaalpie"/>
          <w:rFonts w:ascii="Verdana" w:hAnsi="Verdana" w:cs="Verdana"/>
          <w:sz w:val="20"/>
          <w:szCs w:val="20"/>
          <w:lang w:val="es-ES"/>
        </w:rPr>
        <w:footnoteReference w:id="69"/>
      </w:r>
      <w:r w:rsidR="003D7628" w:rsidRPr="003D7628">
        <w:rPr>
          <w:rFonts w:ascii="Verdana" w:hAnsi="Verdana" w:cs="Verdana"/>
          <w:sz w:val="20"/>
          <w:szCs w:val="20"/>
          <w:lang w:val="es-ES"/>
        </w:rPr>
        <w:t>.</w:t>
      </w:r>
      <w:r w:rsidR="004D4734">
        <w:rPr>
          <w:rFonts w:ascii="Verdana" w:hAnsi="Verdana" w:cs="Verdana"/>
          <w:sz w:val="20"/>
          <w:szCs w:val="20"/>
          <w:lang w:val="es-ES"/>
        </w:rPr>
        <w:t xml:space="preserve"> </w:t>
      </w:r>
      <w:r w:rsidR="00767703">
        <w:rPr>
          <w:rFonts w:ascii="Verdana" w:hAnsi="Verdana" w:cs="Verdana"/>
          <w:sz w:val="20"/>
          <w:szCs w:val="20"/>
          <w:lang w:val="es-ES"/>
        </w:rPr>
        <w:t xml:space="preserve">Con </w:t>
      </w:r>
      <w:r w:rsidR="00767703" w:rsidRPr="00B42F79">
        <w:rPr>
          <w:rFonts w:ascii="Verdana" w:hAnsi="Verdana" w:cs="Verdana"/>
          <w:sz w:val="20"/>
          <w:szCs w:val="20"/>
          <w:lang w:val="es-ES"/>
        </w:rPr>
        <w:t>r</w:t>
      </w:r>
      <w:r w:rsidR="009B47C7">
        <w:rPr>
          <w:rFonts w:ascii="Verdana" w:hAnsi="Verdana" w:cs="Verdana"/>
          <w:sz w:val="20"/>
          <w:szCs w:val="20"/>
          <w:lang w:val="es-ES"/>
        </w:rPr>
        <w:t xml:space="preserve">especto </w:t>
      </w:r>
      <w:r w:rsidR="00767703">
        <w:rPr>
          <w:rFonts w:ascii="Verdana" w:hAnsi="Verdana" w:cs="Verdana"/>
          <w:sz w:val="20"/>
          <w:szCs w:val="20"/>
          <w:lang w:val="es-ES"/>
        </w:rPr>
        <w:t>a</w:t>
      </w:r>
      <w:r w:rsidR="009B47C7">
        <w:rPr>
          <w:rFonts w:ascii="Verdana" w:hAnsi="Verdana" w:cs="Verdana"/>
          <w:sz w:val="20"/>
          <w:szCs w:val="20"/>
          <w:lang w:val="es-ES"/>
        </w:rPr>
        <w:t xml:space="preserve">l plan de capacitación de la policía del estado de México, </w:t>
      </w:r>
      <w:r w:rsidR="00BC33EC">
        <w:rPr>
          <w:rFonts w:ascii="Verdana" w:hAnsi="Verdana" w:cs="Verdana"/>
          <w:sz w:val="20"/>
          <w:szCs w:val="20"/>
          <w:lang w:val="es-ES"/>
        </w:rPr>
        <w:t xml:space="preserve">de la referida documentación anexa al informe estatal de diciembre de 2019 surge que, </w:t>
      </w:r>
      <w:r w:rsidR="00653E17">
        <w:rPr>
          <w:rFonts w:ascii="Verdana" w:hAnsi="Verdana" w:cs="Verdana"/>
          <w:sz w:val="20"/>
          <w:szCs w:val="20"/>
          <w:lang w:val="es-ES"/>
        </w:rPr>
        <w:t xml:space="preserve">tras varios intercambios y reuniones </w:t>
      </w:r>
      <w:r w:rsidR="00FB49A6">
        <w:rPr>
          <w:rFonts w:ascii="Verdana" w:hAnsi="Verdana" w:cs="Verdana"/>
          <w:sz w:val="20"/>
          <w:szCs w:val="20"/>
          <w:lang w:val="es-ES"/>
        </w:rPr>
        <w:t xml:space="preserve">entre </w:t>
      </w:r>
      <w:r w:rsidR="003D7628">
        <w:rPr>
          <w:rFonts w:ascii="Verdana" w:hAnsi="Verdana" w:cs="Verdana"/>
          <w:sz w:val="20"/>
          <w:szCs w:val="20"/>
          <w:lang w:val="es-ES"/>
        </w:rPr>
        <w:t>la CONAVIM</w:t>
      </w:r>
      <w:r w:rsidR="00FB49A6">
        <w:rPr>
          <w:rFonts w:ascii="Verdana" w:hAnsi="Verdana" w:cs="Verdana"/>
          <w:sz w:val="20"/>
          <w:szCs w:val="20"/>
          <w:lang w:val="es-ES"/>
        </w:rPr>
        <w:t xml:space="preserve"> y </w:t>
      </w:r>
      <w:r w:rsidR="00653E17">
        <w:rPr>
          <w:rFonts w:ascii="Verdana" w:hAnsi="Verdana" w:cs="Verdana"/>
          <w:sz w:val="20"/>
          <w:szCs w:val="20"/>
          <w:lang w:val="es-ES"/>
        </w:rPr>
        <w:t xml:space="preserve">el personal de la Universidad Mexiquense de Seguridad, las observaciones realizadas </w:t>
      </w:r>
      <w:r w:rsidR="00FB49A6">
        <w:rPr>
          <w:rFonts w:ascii="Verdana" w:hAnsi="Verdana" w:cs="Verdana"/>
          <w:sz w:val="20"/>
          <w:szCs w:val="20"/>
          <w:lang w:val="es-ES"/>
        </w:rPr>
        <w:t xml:space="preserve">por la CONAVIM </w:t>
      </w:r>
      <w:r w:rsidR="00653E17">
        <w:rPr>
          <w:rFonts w:ascii="Verdana" w:hAnsi="Verdana" w:cs="Verdana"/>
          <w:sz w:val="20"/>
          <w:szCs w:val="20"/>
          <w:lang w:val="es-ES"/>
        </w:rPr>
        <w:t>estarían “prácticamente concluidas”</w:t>
      </w:r>
      <w:r w:rsidR="004D4734">
        <w:rPr>
          <w:rStyle w:val="Refdenotaalpie"/>
          <w:rFonts w:ascii="Verdana" w:hAnsi="Verdana" w:cs="Verdana"/>
          <w:sz w:val="20"/>
          <w:szCs w:val="20"/>
          <w:lang w:val="es-ES"/>
        </w:rPr>
        <w:footnoteReference w:id="70"/>
      </w:r>
      <w:r w:rsidR="00BC33EC">
        <w:rPr>
          <w:rFonts w:ascii="Verdana" w:hAnsi="Verdana" w:cs="Verdana"/>
          <w:sz w:val="20"/>
          <w:szCs w:val="20"/>
          <w:lang w:val="es-ES"/>
        </w:rPr>
        <w:t>.</w:t>
      </w:r>
      <w:r w:rsidR="003D7628">
        <w:rPr>
          <w:rFonts w:ascii="Verdana" w:hAnsi="Verdana" w:cs="Verdana"/>
          <w:sz w:val="20"/>
          <w:szCs w:val="20"/>
          <w:lang w:val="es-ES"/>
        </w:rPr>
        <w:t xml:space="preserve"> </w:t>
      </w:r>
      <w:r w:rsidR="00BC33EC">
        <w:rPr>
          <w:rFonts w:ascii="Verdana" w:hAnsi="Verdana" w:cs="Verdana"/>
          <w:sz w:val="20"/>
          <w:szCs w:val="20"/>
          <w:lang w:val="es-ES"/>
        </w:rPr>
        <w:t>Por su parte,</w:t>
      </w:r>
      <w:r w:rsidR="003D7628">
        <w:rPr>
          <w:rFonts w:ascii="Verdana" w:hAnsi="Verdana" w:cs="Verdana"/>
          <w:sz w:val="20"/>
          <w:szCs w:val="20"/>
          <w:lang w:val="es-ES"/>
        </w:rPr>
        <w:t xml:space="preserve"> </w:t>
      </w:r>
      <w:r w:rsidR="004D4734">
        <w:rPr>
          <w:rFonts w:ascii="Verdana" w:hAnsi="Verdana" w:cs="Verdana"/>
          <w:sz w:val="20"/>
          <w:szCs w:val="20"/>
          <w:lang w:val="es-ES"/>
        </w:rPr>
        <w:t>el referido</w:t>
      </w:r>
      <w:r w:rsidR="003D7628">
        <w:rPr>
          <w:rFonts w:ascii="Verdana" w:hAnsi="Verdana" w:cs="Verdana"/>
          <w:sz w:val="20"/>
          <w:szCs w:val="20"/>
          <w:lang w:val="es-ES"/>
        </w:rPr>
        <w:t xml:space="preserve"> informe estatal </w:t>
      </w:r>
      <w:r w:rsidR="004D4734">
        <w:rPr>
          <w:rFonts w:ascii="Verdana" w:hAnsi="Verdana" w:cs="Verdana"/>
          <w:sz w:val="20"/>
          <w:szCs w:val="20"/>
          <w:lang w:val="es-ES"/>
        </w:rPr>
        <w:t>indica</w:t>
      </w:r>
      <w:r w:rsidR="00FB49A6">
        <w:rPr>
          <w:rFonts w:ascii="Verdana" w:hAnsi="Verdana" w:cs="Verdana"/>
          <w:sz w:val="20"/>
          <w:szCs w:val="20"/>
          <w:lang w:val="es-ES"/>
        </w:rPr>
        <w:t xml:space="preserve"> que el plan de capacitación elaborado por la Fiscalía General de Justicia del estado de México </w:t>
      </w:r>
      <w:r w:rsidR="003D7628">
        <w:rPr>
          <w:rFonts w:ascii="Verdana" w:hAnsi="Verdana" w:cs="Verdana"/>
          <w:sz w:val="20"/>
          <w:szCs w:val="20"/>
          <w:lang w:val="es-ES"/>
        </w:rPr>
        <w:t>(</w:t>
      </w:r>
      <w:r w:rsidR="003D7628">
        <w:rPr>
          <w:rFonts w:ascii="Verdana" w:hAnsi="Verdana" w:cs="Verdana"/>
          <w:i/>
          <w:sz w:val="20"/>
          <w:szCs w:val="20"/>
          <w:lang w:val="es-ES"/>
        </w:rPr>
        <w:t xml:space="preserve">supra </w:t>
      </w:r>
      <w:r w:rsidR="003D7628" w:rsidRPr="00767703">
        <w:rPr>
          <w:rFonts w:ascii="Verdana" w:hAnsi="Verdana" w:cs="Verdana"/>
          <w:sz w:val="20"/>
          <w:szCs w:val="20"/>
          <w:lang w:val="es-ES"/>
        </w:rPr>
        <w:t xml:space="preserve">Considerando </w:t>
      </w:r>
      <w:r w:rsidR="0023386E" w:rsidRPr="00BA3F11">
        <w:rPr>
          <w:rFonts w:ascii="Verdana" w:hAnsi="Verdana" w:cs="Verdana"/>
          <w:sz w:val="20"/>
          <w:szCs w:val="20"/>
          <w:lang w:val="es-ES"/>
        </w:rPr>
        <w:t>35</w:t>
      </w:r>
      <w:r w:rsidR="00767703" w:rsidRPr="00B42F79">
        <w:rPr>
          <w:rFonts w:ascii="Verdana" w:hAnsi="Verdana" w:cs="Verdana"/>
          <w:sz w:val="20"/>
          <w:szCs w:val="20"/>
          <w:lang w:val="es-ES"/>
        </w:rPr>
        <w:t>.</w:t>
      </w:r>
      <w:r w:rsidR="0023386E" w:rsidRPr="00BA3F11">
        <w:rPr>
          <w:rFonts w:ascii="Verdana" w:hAnsi="Verdana" w:cs="Verdana"/>
          <w:sz w:val="20"/>
          <w:szCs w:val="20"/>
          <w:lang w:val="es-ES"/>
        </w:rPr>
        <w:t>a</w:t>
      </w:r>
      <w:proofErr w:type="gramStart"/>
      <w:r w:rsidR="0023386E" w:rsidRPr="00BA3F11">
        <w:rPr>
          <w:rFonts w:ascii="Verdana" w:hAnsi="Verdana" w:cs="Verdana"/>
          <w:sz w:val="20"/>
          <w:szCs w:val="20"/>
          <w:lang w:val="es-ES"/>
        </w:rPr>
        <w:t>)</w:t>
      </w:r>
      <w:r w:rsidR="00767703" w:rsidRPr="00B42F79">
        <w:rPr>
          <w:rFonts w:ascii="Verdana" w:hAnsi="Verdana" w:cs="Verdana"/>
          <w:sz w:val="20"/>
          <w:szCs w:val="20"/>
          <w:lang w:val="es-ES"/>
        </w:rPr>
        <w:t>.</w:t>
      </w:r>
      <w:r w:rsidR="0023386E" w:rsidRPr="00BA3F11">
        <w:rPr>
          <w:rFonts w:ascii="Verdana" w:hAnsi="Verdana" w:cs="Verdana"/>
          <w:sz w:val="20"/>
          <w:szCs w:val="20"/>
          <w:lang w:val="es-ES"/>
        </w:rPr>
        <w:t>i</w:t>
      </w:r>
      <w:proofErr w:type="gramEnd"/>
      <w:r w:rsidR="003D7628" w:rsidRPr="00BA3F11">
        <w:rPr>
          <w:rFonts w:ascii="Verdana" w:hAnsi="Verdana" w:cs="Verdana"/>
          <w:sz w:val="20"/>
          <w:szCs w:val="20"/>
          <w:lang w:val="es-ES"/>
        </w:rPr>
        <w:t>)</w:t>
      </w:r>
      <w:r w:rsidR="003D7628">
        <w:rPr>
          <w:rFonts w:ascii="Verdana" w:hAnsi="Verdana" w:cs="Verdana"/>
          <w:sz w:val="20"/>
          <w:szCs w:val="20"/>
          <w:lang w:val="es-ES"/>
        </w:rPr>
        <w:t xml:space="preserve"> “atiende las recomendaciones </w:t>
      </w:r>
      <w:r w:rsidR="003D7628">
        <w:rPr>
          <w:rFonts w:ascii="Verdana" w:hAnsi="Verdana" w:cs="Verdana"/>
          <w:sz w:val="20"/>
          <w:szCs w:val="20"/>
          <w:lang w:val="es-ES"/>
        </w:rPr>
        <w:lastRenderedPageBreak/>
        <w:t>formuladas por la Unidad de Género de la [CONAVIM]”</w:t>
      </w:r>
      <w:r w:rsidR="004D4734">
        <w:rPr>
          <w:rStyle w:val="Refdenotaalpie"/>
          <w:rFonts w:ascii="Verdana" w:hAnsi="Verdana" w:cs="Verdana"/>
          <w:sz w:val="20"/>
          <w:szCs w:val="20"/>
          <w:lang w:val="es-ES"/>
        </w:rPr>
        <w:footnoteReference w:id="71"/>
      </w:r>
      <w:r w:rsidR="003D7628">
        <w:rPr>
          <w:rFonts w:ascii="Verdana" w:hAnsi="Verdana" w:cs="Verdana"/>
          <w:sz w:val="20"/>
          <w:szCs w:val="20"/>
          <w:lang w:val="es-ES"/>
        </w:rPr>
        <w:t>. Tomando en cuenta dicha información, se solicita</w:t>
      </w:r>
      <w:r w:rsidR="00824649">
        <w:rPr>
          <w:rFonts w:ascii="Verdana" w:hAnsi="Verdana" w:cs="Verdana"/>
          <w:sz w:val="20"/>
          <w:szCs w:val="20"/>
          <w:lang w:val="es-ES"/>
        </w:rPr>
        <w:t xml:space="preserve"> al Estado detallar</w:t>
      </w:r>
      <w:r w:rsidR="00CD5049" w:rsidRPr="003D7628">
        <w:rPr>
          <w:rFonts w:ascii="Verdana" w:hAnsi="Verdana" w:cs="Verdana"/>
          <w:sz w:val="20"/>
          <w:szCs w:val="20"/>
          <w:lang w:val="es-ES"/>
        </w:rPr>
        <w:t xml:space="preserve"> cuál ha sido el seguimiento dado a las observaciones realizadas por la CONAVIM</w:t>
      </w:r>
      <w:r w:rsidR="003D7628">
        <w:rPr>
          <w:rFonts w:ascii="Verdana" w:hAnsi="Verdana" w:cs="Verdana"/>
          <w:sz w:val="20"/>
          <w:szCs w:val="20"/>
          <w:lang w:val="es-ES"/>
        </w:rPr>
        <w:t xml:space="preserve"> al plan de capacitación </w:t>
      </w:r>
      <w:r w:rsidR="00CD5049" w:rsidRPr="003D7628">
        <w:rPr>
          <w:rFonts w:ascii="Verdana" w:hAnsi="Verdana" w:cs="Verdana"/>
          <w:sz w:val="20"/>
          <w:szCs w:val="20"/>
          <w:lang w:val="es-ES"/>
        </w:rPr>
        <w:t>de la Policía Federa</w:t>
      </w:r>
      <w:r w:rsidR="00FD66C5" w:rsidRPr="003D7628">
        <w:rPr>
          <w:rFonts w:ascii="Verdana" w:hAnsi="Verdana" w:cs="Verdana"/>
          <w:sz w:val="20"/>
          <w:szCs w:val="20"/>
          <w:lang w:val="es-ES"/>
        </w:rPr>
        <w:t>l</w:t>
      </w:r>
      <w:r w:rsidR="00BC33EC">
        <w:rPr>
          <w:rStyle w:val="Refdenotaalpie"/>
          <w:rFonts w:ascii="Verdana" w:hAnsi="Verdana" w:cs="Verdana"/>
          <w:sz w:val="20"/>
          <w:szCs w:val="20"/>
          <w:lang w:val="es-ES"/>
        </w:rPr>
        <w:footnoteReference w:id="72"/>
      </w:r>
      <w:r w:rsidR="00824649">
        <w:rPr>
          <w:rFonts w:ascii="Verdana" w:hAnsi="Verdana" w:cs="Verdana"/>
          <w:sz w:val="20"/>
          <w:szCs w:val="20"/>
          <w:lang w:val="es-ES"/>
        </w:rPr>
        <w:t xml:space="preserve">, y </w:t>
      </w:r>
      <w:r w:rsidR="003D7628">
        <w:rPr>
          <w:rFonts w:ascii="Verdana" w:hAnsi="Verdana" w:cs="Verdana"/>
          <w:sz w:val="20"/>
          <w:szCs w:val="20"/>
          <w:lang w:val="es-ES"/>
        </w:rPr>
        <w:t>aportar copia de las versiones finales de los planes de capacitación desarrollados a nivel federal y del estado de México</w:t>
      </w:r>
      <w:r w:rsidR="00BC33EC">
        <w:rPr>
          <w:rFonts w:ascii="Verdana" w:hAnsi="Verdana" w:cs="Verdana"/>
          <w:sz w:val="20"/>
          <w:szCs w:val="20"/>
          <w:lang w:val="es-ES"/>
        </w:rPr>
        <w:t>.</w:t>
      </w:r>
    </w:p>
    <w:p w14:paraId="1970520D" w14:textId="1FD78350" w:rsidR="007C4F45" w:rsidRPr="00817BCA" w:rsidRDefault="00423534" w:rsidP="00B42F79">
      <w:pPr>
        <w:pStyle w:val="NormalWeb"/>
        <w:numPr>
          <w:ilvl w:val="0"/>
          <w:numId w:val="23"/>
        </w:numPr>
        <w:ind w:left="714" w:hanging="357"/>
        <w:jc w:val="both"/>
        <w:rPr>
          <w:rFonts w:ascii="Verdana" w:hAnsi="Verdana" w:cs="Verdana"/>
          <w:sz w:val="20"/>
          <w:szCs w:val="20"/>
          <w:lang w:val="es-ES"/>
        </w:rPr>
      </w:pPr>
      <w:r w:rsidRPr="009C16FA">
        <w:rPr>
          <w:rFonts w:ascii="Verdana" w:hAnsi="Verdana" w:cs="Verdana"/>
          <w:i/>
          <w:sz w:val="20"/>
          <w:szCs w:val="20"/>
          <w:lang w:val="es-ES"/>
        </w:rPr>
        <w:t xml:space="preserve">Con relación a la creación de un mecanismo de monitoreo y </w:t>
      </w:r>
      <w:proofErr w:type="spellStart"/>
      <w:r w:rsidRPr="009C16FA">
        <w:rPr>
          <w:rFonts w:ascii="Verdana" w:hAnsi="Verdana" w:cs="Verdana"/>
          <w:i/>
          <w:sz w:val="20"/>
          <w:szCs w:val="20"/>
          <w:lang w:val="es-ES"/>
        </w:rPr>
        <w:t>fiscalización</w:t>
      </w:r>
      <w:proofErr w:type="spellEnd"/>
      <w:r w:rsidRPr="009C16FA">
        <w:rPr>
          <w:rFonts w:ascii="Verdana" w:hAnsi="Verdana" w:cs="Verdana"/>
          <w:i/>
          <w:sz w:val="20"/>
          <w:szCs w:val="20"/>
          <w:lang w:val="es-ES"/>
        </w:rPr>
        <w:t xml:space="preserve"> para medir y evaluar la efectividad de las </w:t>
      </w:r>
      <w:proofErr w:type="spellStart"/>
      <w:r w:rsidRPr="009C16FA">
        <w:rPr>
          <w:rFonts w:ascii="Verdana" w:hAnsi="Verdana" w:cs="Verdana"/>
          <w:i/>
          <w:sz w:val="20"/>
          <w:szCs w:val="20"/>
          <w:lang w:val="es-ES"/>
        </w:rPr>
        <w:t>políticas</w:t>
      </w:r>
      <w:proofErr w:type="spellEnd"/>
      <w:r w:rsidRPr="009C16FA">
        <w:rPr>
          <w:rFonts w:ascii="Verdana" w:hAnsi="Verdana" w:cs="Verdana"/>
          <w:i/>
          <w:sz w:val="20"/>
          <w:szCs w:val="20"/>
          <w:lang w:val="es-ES"/>
        </w:rPr>
        <w:t xml:space="preserve"> e instituciones existentes en materia de </w:t>
      </w:r>
      <w:proofErr w:type="spellStart"/>
      <w:r w:rsidRPr="009C16FA">
        <w:rPr>
          <w:rFonts w:ascii="Verdana" w:hAnsi="Verdana" w:cs="Verdana"/>
          <w:i/>
          <w:sz w:val="20"/>
          <w:szCs w:val="20"/>
          <w:lang w:val="es-ES"/>
        </w:rPr>
        <w:t>rendición</w:t>
      </w:r>
      <w:proofErr w:type="spellEnd"/>
      <w:r w:rsidRPr="009C16FA">
        <w:rPr>
          <w:rFonts w:ascii="Verdana" w:hAnsi="Verdana" w:cs="Verdana"/>
          <w:i/>
          <w:sz w:val="20"/>
          <w:szCs w:val="20"/>
          <w:lang w:val="es-ES"/>
        </w:rPr>
        <w:t xml:space="preserve"> de cuentas y monitoreo del uso de la fuerza de la </w:t>
      </w:r>
      <w:proofErr w:type="spellStart"/>
      <w:r w:rsidRPr="009C16FA">
        <w:rPr>
          <w:rFonts w:ascii="Verdana" w:hAnsi="Verdana" w:cs="Verdana"/>
          <w:i/>
          <w:sz w:val="20"/>
          <w:szCs w:val="20"/>
          <w:lang w:val="es-ES"/>
        </w:rPr>
        <w:t>Policía</w:t>
      </w:r>
      <w:proofErr w:type="spellEnd"/>
      <w:r w:rsidRPr="009C16FA">
        <w:rPr>
          <w:rFonts w:ascii="Verdana" w:hAnsi="Verdana" w:cs="Verdana"/>
          <w:i/>
          <w:sz w:val="20"/>
          <w:szCs w:val="20"/>
          <w:lang w:val="es-ES"/>
        </w:rPr>
        <w:t xml:space="preserve"> Federal y la </w:t>
      </w:r>
      <w:proofErr w:type="spellStart"/>
      <w:r w:rsidRPr="009C16FA">
        <w:rPr>
          <w:rFonts w:ascii="Verdana" w:hAnsi="Verdana" w:cs="Verdana"/>
          <w:i/>
          <w:sz w:val="20"/>
          <w:szCs w:val="20"/>
          <w:lang w:val="es-ES"/>
        </w:rPr>
        <w:t>policía</w:t>
      </w:r>
      <w:proofErr w:type="spellEnd"/>
      <w:r w:rsidRPr="009C16FA">
        <w:rPr>
          <w:rFonts w:ascii="Verdana" w:hAnsi="Verdana" w:cs="Verdana"/>
          <w:i/>
          <w:sz w:val="20"/>
          <w:szCs w:val="20"/>
          <w:lang w:val="es-ES"/>
        </w:rPr>
        <w:t xml:space="preserve"> del estado de </w:t>
      </w:r>
      <w:proofErr w:type="spellStart"/>
      <w:r w:rsidRPr="009C16FA">
        <w:rPr>
          <w:rFonts w:ascii="Verdana" w:hAnsi="Verdana" w:cs="Verdana"/>
          <w:i/>
          <w:sz w:val="20"/>
          <w:szCs w:val="20"/>
          <w:lang w:val="es-ES"/>
        </w:rPr>
        <w:t>México</w:t>
      </w:r>
      <w:proofErr w:type="spellEnd"/>
      <w:r>
        <w:rPr>
          <w:rFonts w:ascii="Verdana" w:hAnsi="Verdana" w:cs="Verdana"/>
          <w:sz w:val="20"/>
          <w:szCs w:val="20"/>
          <w:lang w:val="es-ES"/>
        </w:rPr>
        <w:t>:</w:t>
      </w:r>
      <w:r w:rsidR="00817BCA">
        <w:rPr>
          <w:rFonts w:ascii="Verdana" w:hAnsi="Verdana" w:cs="Verdana"/>
          <w:sz w:val="20"/>
          <w:szCs w:val="20"/>
          <w:lang w:val="es-ES"/>
        </w:rPr>
        <w:t xml:space="preserve"> </w:t>
      </w:r>
      <w:r w:rsidR="00657E64">
        <w:rPr>
          <w:rFonts w:ascii="Verdana" w:hAnsi="Verdana" w:cs="Verdana"/>
          <w:sz w:val="20"/>
          <w:szCs w:val="20"/>
          <w:lang w:val="es-ES"/>
        </w:rPr>
        <w:t>e</w:t>
      </w:r>
      <w:r w:rsidR="00FA560A">
        <w:rPr>
          <w:rFonts w:ascii="Verdana" w:hAnsi="Verdana" w:cs="Verdana"/>
          <w:sz w:val="20"/>
          <w:szCs w:val="20"/>
          <w:lang w:val="es-ES"/>
        </w:rPr>
        <w:t>l Estado</w:t>
      </w:r>
      <w:r w:rsidR="00F95100" w:rsidRPr="00817BCA">
        <w:rPr>
          <w:rFonts w:ascii="Verdana" w:hAnsi="Verdana" w:cs="Verdana"/>
          <w:sz w:val="20"/>
          <w:szCs w:val="20"/>
          <w:lang w:val="es-ES"/>
        </w:rPr>
        <w:t xml:space="preserve"> señal</w:t>
      </w:r>
      <w:r w:rsidR="00BF550E">
        <w:rPr>
          <w:rFonts w:ascii="Verdana" w:hAnsi="Verdana" w:cs="Verdana"/>
          <w:sz w:val="20"/>
          <w:szCs w:val="20"/>
          <w:lang w:val="es-ES"/>
        </w:rPr>
        <w:t>ó</w:t>
      </w:r>
      <w:r w:rsidR="00F95100" w:rsidRPr="00817BCA">
        <w:rPr>
          <w:rFonts w:ascii="Verdana" w:hAnsi="Verdana" w:cs="Verdana"/>
          <w:sz w:val="20"/>
          <w:szCs w:val="20"/>
          <w:lang w:val="es-ES"/>
        </w:rPr>
        <w:t xml:space="preserve"> que los planes de capacitación ordenados en la Sentencia serán tenidos en cuenta para el establecimiento del mecanismo</w:t>
      </w:r>
      <w:r w:rsidR="00F95100">
        <w:rPr>
          <w:rStyle w:val="Refdenotaalpie"/>
          <w:rFonts w:ascii="Verdana" w:hAnsi="Verdana" w:cs="Verdana"/>
          <w:sz w:val="20"/>
          <w:szCs w:val="20"/>
          <w:lang w:val="es-ES"/>
        </w:rPr>
        <w:footnoteReference w:id="73"/>
      </w:r>
      <w:r w:rsidR="00F95100" w:rsidRPr="00817BCA">
        <w:rPr>
          <w:rFonts w:ascii="Verdana" w:hAnsi="Verdana" w:cs="Verdana"/>
          <w:sz w:val="20"/>
          <w:szCs w:val="20"/>
          <w:lang w:val="es-ES"/>
        </w:rPr>
        <w:t>, y que analizará la propuesta efectuada por la representación de las víctimas</w:t>
      </w:r>
      <w:r w:rsidR="00F95100">
        <w:rPr>
          <w:rStyle w:val="Refdenotaalpie"/>
          <w:rFonts w:ascii="Verdana" w:hAnsi="Verdana" w:cs="Verdana"/>
          <w:sz w:val="20"/>
          <w:szCs w:val="20"/>
          <w:lang w:val="es-ES"/>
        </w:rPr>
        <w:footnoteReference w:id="74"/>
      </w:r>
      <w:r w:rsidR="00F95100" w:rsidRPr="00817BCA">
        <w:rPr>
          <w:rFonts w:ascii="Verdana" w:hAnsi="Verdana" w:cs="Verdana"/>
          <w:sz w:val="20"/>
          <w:szCs w:val="20"/>
          <w:lang w:val="es-ES"/>
        </w:rPr>
        <w:t xml:space="preserve">. En el informe solicitado en el punto resolutivo </w:t>
      </w:r>
      <w:r w:rsidR="008B211E" w:rsidRPr="00EE207E">
        <w:rPr>
          <w:rFonts w:ascii="Verdana" w:hAnsi="Verdana" w:cs="Verdana"/>
          <w:sz w:val="20"/>
          <w:szCs w:val="20"/>
          <w:lang w:val="es-ES"/>
        </w:rPr>
        <w:t>6</w:t>
      </w:r>
      <w:r w:rsidR="00186E31">
        <w:rPr>
          <w:rFonts w:ascii="Verdana" w:hAnsi="Verdana" w:cs="Verdana"/>
          <w:sz w:val="20"/>
          <w:szCs w:val="20"/>
          <w:lang w:val="es-ES"/>
        </w:rPr>
        <w:t xml:space="preserve"> de esta Resolución</w:t>
      </w:r>
      <w:r w:rsidR="00F95100" w:rsidRPr="00817BCA">
        <w:rPr>
          <w:rFonts w:ascii="Verdana" w:hAnsi="Verdana" w:cs="Verdana"/>
          <w:sz w:val="20"/>
          <w:szCs w:val="20"/>
          <w:lang w:val="es-ES"/>
        </w:rPr>
        <w:t xml:space="preserve">, deberá incluir información detallada y actualizada </w:t>
      </w:r>
      <w:r w:rsidR="00657E64">
        <w:rPr>
          <w:rFonts w:ascii="Verdana" w:hAnsi="Verdana" w:cs="Verdana"/>
          <w:sz w:val="20"/>
          <w:szCs w:val="20"/>
          <w:lang w:val="es-ES"/>
        </w:rPr>
        <w:t xml:space="preserve">sobre </w:t>
      </w:r>
      <w:r w:rsidR="00F95100" w:rsidRPr="00817BCA">
        <w:rPr>
          <w:rFonts w:ascii="Verdana" w:hAnsi="Verdana" w:cs="Verdana"/>
          <w:sz w:val="20"/>
          <w:szCs w:val="20"/>
          <w:lang w:val="es-ES"/>
        </w:rPr>
        <w:t xml:space="preserve">las acciones concretas realizadas para dar cumplimiento a esta medida de reparación. </w:t>
      </w:r>
    </w:p>
    <w:p w14:paraId="05131DF3" w14:textId="35243D74" w:rsidR="004D1844" w:rsidRPr="00411C0F" w:rsidRDefault="009C16FA" w:rsidP="00411C0F">
      <w:pPr>
        <w:pStyle w:val="NormalWeb"/>
        <w:numPr>
          <w:ilvl w:val="0"/>
          <w:numId w:val="23"/>
        </w:numPr>
        <w:jc w:val="both"/>
        <w:rPr>
          <w:rFonts w:ascii="Verdana" w:hAnsi="Verdana" w:cs="Verdana"/>
          <w:sz w:val="20"/>
          <w:szCs w:val="20"/>
          <w:lang w:val="es-ES"/>
        </w:rPr>
      </w:pPr>
      <w:r w:rsidRPr="009C16FA">
        <w:rPr>
          <w:rFonts w:ascii="Verdana" w:hAnsi="Verdana" w:cs="Verdana"/>
          <w:i/>
          <w:sz w:val="20"/>
          <w:szCs w:val="20"/>
          <w:lang w:val="es-ES"/>
        </w:rPr>
        <w:t xml:space="preserve">Con relación a la elaboración de </w:t>
      </w:r>
      <w:r w:rsidRPr="009C16FA">
        <w:rPr>
          <w:rFonts w:ascii="Verdana" w:hAnsi="Verdana"/>
          <w:i/>
          <w:sz w:val="20"/>
          <w:szCs w:val="20"/>
          <w:lang w:val="es-ES"/>
        </w:rPr>
        <w:t>un plan de fortalecimiento calendarizado del Mecanismo de Seguimiento de Casos de Tortura Sexual cometida contra Mujeres</w:t>
      </w:r>
      <w:r>
        <w:rPr>
          <w:rFonts w:ascii="Verdana" w:hAnsi="Verdana"/>
          <w:sz w:val="20"/>
          <w:szCs w:val="20"/>
          <w:lang w:val="es-ES"/>
        </w:rPr>
        <w:t>:</w:t>
      </w:r>
      <w:r w:rsidR="00817BCA">
        <w:rPr>
          <w:rFonts w:ascii="Verdana" w:hAnsi="Verdana" w:cs="Verdana"/>
          <w:sz w:val="20"/>
          <w:szCs w:val="20"/>
          <w:lang w:val="es-ES"/>
        </w:rPr>
        <w:t xml:space="preserve"> </w:t>
      </w:r>
      <w:r w:rsidR="00657E64">
        <w:rPr>
          <w:rFonts w:ascii="Verdana" w:hAnsi="Verdana" w:cs="Verdana"/>
          <w:sz w:val="20"/>
          <w:szCs w:val="20"/>
          <w:lang w:val="es-ES"/>
        </w:rPr>
        <w:t>d</w:t>
      </w:r>
      <w:r w:rsidR="00435AA8" w:rsidRPr="00817BCA">
        <w:rPr>
          <w:rFonts w:ascii="Verdana" w:hAnsi="Verdana" w:cs="Verdana"/>
          <w:sz w:val="20"/>
          <w:szCs w:val="20"/>
          <w:lang w:val="es-ES"/>
        </w:rPr>
        <w:t>e la información aportada por las partes, este Tribunal observa que luego de varias reuniones de trabajo en las que participaron las víctimas, sus representantes y las autoridades que integran el Mecanismo</w:t>
      </w:r>
      <w:r w:rsidR="00EE207E">
        <w:rPr>
          <w:rStyle w:val="Refdenotaalpie"/>
          <w:rFonts w:ascii="Verdana" w:hAnsi="Verdana" w:cs="Verdana"/>
          <w:sz w:val="20"/>
          <w:szCs w:val="20"/>
          <w:lang w:val="es-ES"/>
        </w:rPr>
        <w:footnoteReference w:id="75"/>
      </w:r>
      <w:r w:rsidR="00435AA8" w:rsidRPr="00817BCA">
        <w:rPr>
          <w:rFonts w:ascii="Verdana" w:hAnsi="Verdana" w:cs="Verdana"/>
          <w:sz w:val="20"/>
          <w:szCs w:val="20"/>
          <w:lang w:val="es-ES"/>
        </w:rPr>
        <w:t>, se identificó una serie de “retos”</w:t>
      </w:r>
      <w:r w:rsidR="006953F1">
        <w:rPr>
          <w:rStyle w:val="Refdenotaalpie"/>
          <w:rFonts w:ascii="Verdana" w:hAnsi="Verdana" w:cs="Verdana"/>
          <w:sz w:val="20"/>
          <w:szCs w:val="20"/>
          <w:lang w:val="es-ES"/>
        </w:rPr>
        <w:footnoteReference w:id="76"/>
      </w:r>
      <w:r w:rsidR="00435AA8" w:rsidRPr="00817BCA">
        <w:rPr>
          <w:rFonts w:ascii="Verdana" w:hAnsi="Verdana" w:cs="Verdana"/>
          <w:sz w:val="20"/>
          <w:szCs w:val="20"/>
          <w:lang w:val="es-ES"/>
        </w:rPr>
        <w:t xml:space="preserve"> y se concluyó que “se daría validez jurídica al Mecanismo […] mediante un Decreto que establezca la creación de una ‘Comisión Intersecretarial para dar seguimiento a casos de tortura sexual contra mujeres en México […]’”</w:t>
      </w:r>
      <w:r w:rsidR="001246F2">
        <w:rPr>
          <w:rStyle w:val="Refdenotaalpie"/>
          <w:rFonts w:ascii="Verdana" w:hAnsi="Verdana" w:cs="Verdana"/>
          <w:sz w:val="20"/>
          <w:szCs w:val="20"/>
          <w:lang w:val="es-ES"/>
        </w:rPr>
        <w:footnoteReference w:id="77"/>
      </w:r>
      <w:r w:rsidR="006953F1" w:rsidRPr="00817BCA">
        <w:rPr>
          <w:rFonts w:ascii="Verdana" w:hAnsi="Verdana" w:cs="Verdana"/>
          <w:sz w:val="20"/>
          <w:szCs w:val="20"/>
          <w:lang w:val="es-ES"/>
        </w:rPr>
        <w:t>. Ambas partes coincidieron en cuanto a que</w:t>
      </w:r>
      <w:r w:rsidR="00435AA8" w:rsidRPr="00817BCA">
        <w:rPr>
          <w:rFonts w:ascii="Verdana" w:hAnsi="Verdana" w:cs="Verdana"/>
          <w:sz w:val="20"/>
          <w:szCs w:val="20"/>
          <w:lang w:val="es-ES"/>
        </w:rPr>
        <w:t xml:space="preserve"> </w:t>
      </w:r>
      <w:r w:rsidR="006953F1" w:rsidRPr="00817BCA">
        <w:rPr>
          <w:rFonts w:ascii="Verdana" w:hAnsi="Verdana" w:cs="Verdana"/>
          <w:sz w:val="20"/>
          <w:szCs w:val="20"/>
          <w:lang w:val="es-ES"/>
        </w:rPr>
        <w:t>dicho</w:t>
      </w:r>
      <w:r w:rsidR="00435AA8" w:rsidRPr="00817BCA">
        <w:rPr>
          <w:rFonts w:ascii="Verdana" w:hAnsi="Verdana" w:cs="Verdana"/>
          <w:sz w:val="20"/>
          <w:szCs w:val="20"/>
          <w:lang w:val="es-ES"/>
        </w:rPr>
        <w:t xml:space="preserve"> Decreto sería el </w:t>
      </w:r>
      <w:r w:rsidR="006953F1" w:rsidRPr="00817BCA">
        <w:rPr>
          <w:rFonts w:ascii="Verdana" w:hAnsi="Verdana" w:cs="Verdana"/>
          <w:sz w:val="20"/>
          <w:szCs w:val="20"/>
          <w:lang w:val="es-ES"/>
        </w:rPr>
        <w:t>“</w:t>
      </w:r>
      <w:r w:rsidR="00435AA8" w:rsidRPr="00817BCA">
        <w:rPr>
          <w:rFonts w:ascii="Verdana" w:hAnsi="Verdana" w:cs="Verdana"/>
          <w:sz w:val="20"/>
          <w:szCs w:val="20"/>
          <w:lang w:val="es-ES"/>
        </w:rPr>
        <w:t>instrumento jurídico idóneo para que dicha</w:t>
      </w:r>
      <w:r w:rsidR="006953F1" w:rsidRPr="00817BCA">
        <w:rPr>
          <w:rFonts w:ascii="Verdana" w:hAnsi="Verdana" w:cs="Verdana"/>
          <w:sz w:val="20"/>
          <w:szCs w:val="20"/>
          <w:lang w:val="es-ES"/>
        </w:rPr>
        <w:t xml:space="preserve"> </w:t>
      </w:r>
      <w:r w:rsidR="00435AA8" w:rsidRPr="00817BCA">
        <w:rPr>
          <w:rFonts w:ascii="Verdana" w:hAnsi="Verdana" w:cs="Verdana"/>
          <w:sz w:val="20"/>
          <w:szCs w:val="20"/>
          <w:lang w:val="es-ES"/>
        </w:rPr>
        <w:t>Comisión cuente con un marco jurídico específico en la materia que permita el acceso a un</w:t>
      </w:r>
      <w:r w:rsidR="006953F1" w:rsidRPr="00817BCA">
        <w:rPr>
          <w:rFonts w:ascii="Verdana" w:hAnsi="Verdana" w:cs="Verdana"/>
          <w:sz w:val="20"/>
          <w:szCs w:val="20"/>
          <w:lang w:val="es-ES"/>
        </w:rPr>
        <w:t xml:space="preserve"> </w:t>
      </w:r>
      <w:r w:rsidR="00435AA8" w:rsidRPr="00817BCA">
        <w:rPr>
          <w:rFonts w:ascii="Verdana" w:hAnsi="Verdana" w:cs="Verdana"/>
          <w:sz w:val="20"/>
          <w:szCs w:val="20"/>
          <w:lang w:val="es-ES"/>
        </w:rPr>
        <w:t>presupuesto para su operación</w:t>
      </w:r>
      <w:r w:rsidR="006953F1" w:rsidRPr="00817BCA">
        <w:rPr>
          <w:rFonts w:ascii="Verdana" w:hAnsi="Verdana" w:cs="Verdana"/>
          <w:sz w:val="20"/>
          <w:szCs w:val="20"/>
          <w:lang w:val="es-ES"/>
        </w:rPr>
        <w:t>”</w:t>
      </w:r>
      <w:r w:rsidR="006953F1">
        <w:rPr>
          <w:rStyle w:val="Refdenotaalpie"/>
          <w:rFonts w:ascii="Verdana" w:hAnsi="Verdana" w:cs="Verdana"/>
          <w:sz w:val="20"/>
          <w:szCs w:val="20"/>
          <w:lang w:val="es-ES"/>
        </w:rPr>
        <w:footnoteReference w:id="78"/>
      </w:r>
      <w:r w:rsidR="006953F1" w:rsidRPr="00817BCA">
        <w:rPr>
          <w:rFonts w:ascii="Verdana" w:hAnsi="Verdana" w:cs="Verdana"/>
          <w:sz w:val="20"/>
          <w:szCs w:val="20"/>
          <w:lang w:val="es-ES"/>
        </w:rPr>
        <w:t xml:space="preserve">. </w:t>
      </w:r>
      <w:r w:rsidR="005D5373">
        <w:rPr>
          <w:rFonts w:ascii="Verdana" w:hAnsi="Verdana" w:cs="Verdana"/>
          <w:sz w:val="20"/>
          <w:szCs w:val="20"/>
          <w:lang w:val="es-ES"/>
        </w:rPr>
        <w:t xml:space="preserve">Sin embargo, </w:t>
      </w:r>
      <w:r w:rsidR="00400CCA">
        <w:rPr>
          <w:rFonts w:ascii="Verdana" w:hAnsi="Verdana" w:cs="Verdana"/>
          <w:sz w:val="20"/>
          <w:szCs w:val="20"/>
          <w:lang w:val="es-ES"/>
        </w:rPr>
        <w:t>las representantes “</w:t>
      </w:r>
      <w:r w:rsidR="00400CCA" w:rsidRPr="00400CCA">
        <w:rPr>
          <w:rFonts w:ascii="Verdana" w:hAnsi="Verdana" w:cs="Verdana"/>
          <w:sz w:val="20"/>
          <w:szCs w:val="20"/>
          <w:lang w:val="es-ES"/>
        </w:rPr>
        <w:t xml:space="preserve">recalcaron </w:t>
      </w:r>
      <w:r w:rsidR="00411C0F">
        <w:rPr>
          <w:rFonts w:ascii="Verdana" w:hAnsi="Verdana" w:cs="Verdana"/>
          <w:sz w:val="20"/>
          <w:szCs w:val="20"/>
          <w:lang w:val="es-ES"/>
        </w:rPr>
        <w:lastRenderedPageBreak/>
        <w:t>[…]</w:t>
      </w:r>
      <w:r w:rsidR="00400CCA" w:rsidRPr="00400CCA">
        <w:rPr>
          <w:rFonts w:ascii="Verdana" w:hAnsi="Verdana" w:cs="Verdana"/>
          <w:sz w:val="20"/>
          <w:szCs w:val="20"/>
          <w:lang w:val="es-ES"/>
        </w:rPr>
        <w:t xml:space="preserve"> la necesidad de acelerar el cumplimiento de esta medida</w:t>
      </w:r>
      <w:r w:rsidR="00411C0F">
        <w:rPr>
          <w:rFonts w:ascii="Verdana" w:hAnsi="Verdana" w:cs="Verdana"/>
          <w:sz w:val="20"/>
          <w:szCs w:val="20"/>
          <w:lang w:val="es-ES"/>
        </w:rPr>
        <w:t>”, haciendo notar que “</w:t>
      </w:r>
      <w:r w:rsidR="00411C0F" w:rsidRPr="00411C0F">
        <w:rPr>
          <w:rFonts w:ascii="Verdana" w:hAnsi="Verdana" w:cs="Verdana"/>
          <w:sz w:val="20"/>
          <w:szCs w:val="20"/>
          <w:lang w:val="es-ES"/>
        </w:rPr>
        <w:t>el proyecto de Decreto sigue bajo análisis de las</w:t>
      </w:r>
      <w:r w:rsidR="00411C0F">
        <w:rPr>
          <w:rFonts w:ascii="Verdana" w:hAnsi="Verdana" w:cs="Verdana"/>
          <w:sz w:val="20"/>
          <w:szCs w:val="20"/>
          <w:lang w:val="es-ES"/>
        </w:rPr>
        <w:t xml:space="preserve"> </w:t>
      </w:r>
      <w:r w:rsidR="00411C0F" w:rsidRPr="00411C0F">
        <w:rPr>
          <w:rFonts w:ascii="Verdana" w:hAnsi="Verdana" w:cs="Verdana"/>
          <w:sz w:val="20"/>
          <w:szCs w:val="20"/>
          <w:lang w:val="es-ES"/>
        </w:rPr>
        <w:t>áreas jurídicas de las instituciones implicadas</w:t>
      </w:r>
      <w:r w:rsidR="00411C0F">
        <w:rPr>
          <w:rFonts w:ascii="Verdana" w:hAnsi="Verdana" w:cs="Verdana"/>
          <w:sz w:val="20"/>
          <w:szCs w:val="20"/>
          <w:lang w:val="es-ES"/>
        </w:rPr>
        <w:t>”</w:t>
      </w:r>
      <w:r w:rsidR="00F06FF2">
        <w:rPr>
          <w:rStyle w:val="Refdenotaalpie"/>
          <w:rFonts w:ascii="Verdana" w:hAnsi="Verdana" w:cs="Verdana"/>
          <w:sz w:val="20"/>
          <w:szCs w:val="20"/>
          <w:lang w:val="es-ES"/>
        </w:rPr>
        <w:footnoteReference w:id="79"/>
      </w:r>
      <w:r w:rsidR="00411C0F">
        <w:rPr>
          <w:rFonts w:ascii="Verdana" w:hAnsi="Verdana" w:cs="Verdana"/>
          <w:sz w:val="20"/>
          <w:szCs w:val="20"/>
          <w:lang w:val="es-ES"/>
        </w:rPr>
        <w:t>. Tomando en cuenta lo informado, México deberá</w:t>
      </w:r>
      <w:r w:rsidR="00311909">
        <w:rPr>
          <w:rFonts w:ascii="Verdana" w:hAnsi="Verdana" w:cs="Verdana"/>
          <w:sz w:val="20"/>
          <w:szCs w:val="20"/>
          <w:lang w:val="es-ES"/>
        </w:rPr>
        <w:t xml:space="preserve"> presentar información detallada y actualizada sobre el cumplimiento de la medida, que incluya una explicación sobre el estado </w:t>
      </w:r>
      <w:r w:rsidR="004C3BA6">
        <w:rPr>
          <w:rFonts w:ascii="Verdana" w:hAnsi="Verdana" w:cs="Verdana"/>
          <w:sz w:val="20"/>
          <w:szCs w:val="20"/>
          <w:lang w:val="es-ES"/>
        </w:rPr>
        <w:t xml:space="preserve">en que se encuentra el referido proyecto de Decreto. </w:t>
      </w:r>
    </w:p>
    <w:p w14:paraId="4DD00CB9" w14:textId="05E83C76" w:rsidR="00B906DA" w:rsidRPr="00990438" w:rsidRDefault="00B906DA" w:rsidP="00627D9A">
      <w:pPr>
        <w:spacing w:after="200"/>
        <w:ind w:firstLine="360"/>
        <w:jc w:val="both"/>
        <w:rPr>
          <w:rFonts w:ascii="Verdana" w:hAnsi="Verdana" w:cs="Verdana"/>
          <w:sz w:val="20"/>
          <w:szCs w:val="20"/>
          <w:lang w:val="es-MX"/>
        </w:rPr>
      </w:pPr>
    </w:p>
    <w:p w14:paraId="419FC9CE" w14:textId="77777777" w:rsidR="0065520B" w:rsidRPr="00F10321" w:rsidRDefault="0065520B" w:rsidP="0066130C">
      <w:pPr>
        <w:spacing w:after="200"/>
        <w:ind w:right="366"/>
        <w:jc w:val="both"/>
        <w:rPr>
          <w:rFonts w:ascii="Verdana" w:hAnsi="Verdana"/>
          <w:b/>
          <w:sz w:val="20"/>
          <w:szCs w:val="20"/>
        </w:rPr>
      </w:pPr>
      <w:r w:rsidRPr="00F10321">
        <w:rPr>
          <w:rFonts w:ascii="Verdana" w:hAnsi="Verdana"/>
          <w:b/>
          <w:sz w:val="20"/>
          <w:szCs w:val="20"/>
        </w:rPr>
        <w:t>POR TANTO:</w:t>
      </w:r>
    </w:p>
    <w:p w14:paraId="2A0DBF40" w14:textId="77777777" w:rsidR="0065520B" w:rsidRPr="00F10321" w:rsidRDefault="0065520B" w:rsidP="0066130C">
      <w:pPr>
        <w:spacing w:after="200"/>
        <w:ind w:right="366"/>
        <w:jc w:val="both"/>
        <w:rPr>
          <w:rFonts w:ascii="Verdana" w:hAnsi="Verdana"/>
          <w:sz w:val="20"/>
          <w:szCs w:val="20"/>
        </w:rPr>
      </w:pPr>
      <w:r w:rsidRPr="00F10321">
        <w:rPr>
          <w:rFonts w:ascii="Verdana" w:hAnsi="Verdana"/>
          <w:b/>
          <w:sz w:val="20"/>
          <w:szCs w:val="20"/>
        </w:rPr>
        <w:t>LA CORTE INTERAMERICANA DE DERECHOS HUMANOS,</w:t>
      </w:r>
    </w:p>
    <w:p w14:paraId="6C6EC4CD" w14:textId="77777777" w:rsidR="0065520B" w:rsidRPr="00F344F0" w:rsidRDefault="00475813" w:rsidP="00F344F0">
      <w:pPr>
        <w:spacing w:after="200"/>
        <w:jc w:val="both"/>
        <w:rPr>
          <w:rFonts w:ascii="Verdana" w:hAnsi="Verdana" w:cs="Verdana"/>
          <w:sz w:val="20"/>
        </w:rPr>
      </w:pPr>
      <w:r w:rsidRPr="00475813">
        <w:rPr>
          <w:rFonts w:ascii="Verdana" w:hAnsi="Verdana"/>
          <w:sz w:val="20"/>
        </w:rPr>
        <w:t>en el ejercicio de sus atribuciones de supervisión del cumplimiento de sus decisiones y de conformidad con los artículos 33, 62.1, 62.3, 65, 67 y 68.1 de la Convención Americana sobre Derechos Humanos, 24, 25 y 30 del Estatut</w:t>
      </w:r>
      <w:r>
        <w:rPr>
          <w:rFonts w:ascii="Verdana" w:hAnsi="Verdana"/>
          <w:sz w:val="20"/>
        </w:rPr>
        <w:t>o, y 31.2 y 69 de su Reglamento</w:t>
      </w:r>
      <w:r w:rsidR="000549D4">
        <w:rPr>
          <w:rFonts w:ascii="Verdana" w:hAnsi="Verdana"/>
          <w:sz w:val="20"/>
        </w:rPr>
        <w:t>,</w:t>
      </w:r>
    </w:p>
    <w:p w14:paraId="1B7AAC64" w14:textId="0D5CA964" w:rsidR="00660348" w:rsidRPr="00A15172" w:rsidRDefault="0065520B" w:rsidP="00A15172">
      <w:pPr>
        <w:spacing w:after="200"/>
        <w:ind w:right="366"/>
        <w:jc w:val="both"/>
        <w:rPr>
          <w:rFonts w:ascii="Verdana" w:hAnsi="Verdana"/>
          <w:b/>
          <w:caps/>
          <w:sz w:val="20"/>
          <w:szCs w:val="20"/>
        </w:rPr>
      </w:pPr>
      <w:r w:rsidRPr="00F10321">
        <w:rPr>
          <w:rFonts w:ascii="Verdana" w:hAnsi="Verdana"/>
          <w:b/>
          <w:caps/>
          <w:sz w:val="20"/>
          <w:szCs w:val="20"/>
        </w:rPr>
        <w:t>Resuelve:</w:t>
      </w:r>
    </w:p>
    <w:p w14:paraId="4F76E275" w14:textId="7D818DE9" w:rsidR="00AB74AB" w:rsidRDefault="00A15172" w:rsidP="001C627E">
      <w:pPr>
        <w:jc w:val="both"/>
        <w:rPr>
          <w:rFonts w:ascii="Verdana" w:hAnsi="Verdana"/>
          <w:sz w:val="20"/>
          <w:szCs w:val="20"/>
          <w:lang w:val="es-ES"/>
        </w:rPr>
      </w:pPr>
      <w:r>
        <w:rPr>
          <w:rFonts w:ascii="Verdana" w:hAnsi="Verdana"/>
          <w:sz w:val="20"/>
          <w:szCs w:val="20"/>
          <w:lang w:val="es-ES"/>
        </w:rPr>
        <w:t>1.</w:t>
      </w:r>
      <w:r>
        <w:rPr>
          <w:rFonts w:ascii="Verdana" w:hAnsi="Verdana"/>
          <w:sz w:val="20"/>
          <w:szCs w:val="20"/>
          <w:lang w:val="es-ES"/>
        </w:rPr>
        <w:tab/>
      </w:r>
      <w:r w:rsidRPr="00A15172">
        <w:rPr>
          <w:rFonts w:ascii="Verdana" w:hAnsi="Verdana"/>
          <w:sz w:val="20"/>
          <w:szCs w:val="20"/>
          <w:lang w:val="es-ES"/>
        </w:rPr>
        <w:t xml:space="preserve">Declarar, de conformidad con lo </w:t>
      </w:r>
      <w:proofErr w:type="spellStart"/>
      <w:r w:rsidRPr="00A15172">
        <w:rPr>
          <w:rFonts w:ascii="Verdana" w:hAnsi="Verdana"/>
          <w:sz w:val="20"/>
          <w:szCs w:val="20"/>
          <w:lang w:val="es-ES"/>
        </w:rPr>
        <w:t>señalado</w:t>
      </w:r>
      <w:proofErr w:type="spellEnd"/>
      <w:r w:rsidRPr="00A15172">
        <w:rPr>
          <w:rFonts w:ascii="Verdana" w:hAnsi="Verdana"/>
          <w:sz w:val="20"/>
          <w:szCs w:val="20"/>
          <w:lang w:val="es-ES"/>
        </w:rPr>
        <w:t xml:space="preserve"> </w:t>
      </w:r>
      <w:r w:rsidR="00AB74AB">
        <w:rPr>
          <w:rFonts w:ascii="Verdana" w:hAnsi="Verdana"/>
          <w:sz w:val="20"/>
          <w:szCs w:val="20"/>
          <w:lang w:val="es-ES"/>
        </w:rPr>
        <w:t xml:space="preserve">en </w:t>
      </w:r>
      <w:r w:rsidR="00382C5F">
        <w:rPr>
          <w:rFonts w:ascii="Verdana" w:hAnsi="Verdana"/>
          <w:sz w:val="20"/>
          <w:szCs w:val="20"/>
          <w:lang w:val="es-ES"/>
        </w:rPr>
        <w:t>el</w:t>
      </w:r>
      <w:r w:rsidR="00AB74AB">
        <w:rPr>
          <w:rFonts w:ascii="Verdana" w:hAnsi="Verdana"/>
          <w:sz w:val="20"/>
          <w:szCs w:val="20"/>
          <w:lang w:val="es-ES"/>
        </w:rPr>
        <w:t xml:space="preserve"> Considerando </w:t>
      </w:r>
      <w:r w:rsidR="00D41F9C" w:rsidRPr="00382C5F">
        <w:rPr>
          <w:rFonts w:ascii="Verdana" w:hAnsi="Verdana"/>
          <w:sz w:val="20"/>
          <w:szCs w:val="20"/>
          <w:lang w:val="es-ES"/>
        </w:rPr>
        <w:t>20</w:t>
      </w:r>
      <w:r w:rsidR="00AB74AB">
        <w:rPr>
          <w:rFonts w:ascii="Verdana" w:hAnsi="Verdana"/>
          <w:sz w:val="20"/>
          <w:szCs w:val="20"/>
          <w:lang w:val="es-ES"/>
        </w:rPr>
        <w:t xml:space="preserve"> </w:t>
      </w:r>
      <w:r w:rsidRPr="00A15172">
        <w:rPr>
          <w:rFonts w:ascii="Verdana" w:hAnsi="Verdana"/>
          <w:sz w:val="20"/>
          <w:szCs w:val="20"/>
          <w:lang w:val="es-ES"/>
        </w:rPr>
        <w:t xml:space="preserve">de la presente </w:t>
      </w:r>
      <w:proofErr w:type="spellStart"/>
      <w:r w:rsidRPr="00A15172">
        <w:rPr>
          <w:rFonts w:ascii="Verdana" w:hAnsi="Verdana"/>
          <w:sz w:val="20"/>
          <w:szCs w:val="20"/>
          <w:lang w:val="es-ES"/>
        </w:rPr>
        <w:t>Resolución</w:t>
      </w:r>
      <w:proofErr w:type="spellEnd"/>
      <w:r w:rsidRPr="00A15172">
        <w:rPr>
          <w:rFonts w:ascii="Verdana" w:hAnsi="Verdana"/>
          <w:sz w:val="20"/>
          <w:szCs w:val="20"/>
          <w:lang w:val="es-ES"/>
        </w:rPr>
        <w:t xml:space="preserve">, que el Estado ha dado cumplimiento total a </w:t>
      </w:r>
      <w:r w:rsidR="002D29ED" w:rsidRPr="004653B8">
        <w:rPr>
          <w:rFonts w:ascii="Verdana" w:hAnsi="Verdana" w:cs="Verdana"/>
          <w:sz w:val="20"/>
          <w:szCs w:val="20"/>
        </w:rPr>
        <w:t>las medidas de publicación y difusión de la Sentencia y de su resumen oficial</w:t>
      </w:r>
      <w:r w:rsidR="00382C5F">
        <w:rPr>
          <w:rFonts w:ascii="Verdana" w:hAnsi="Verdana" w:cs="Verdana"/>
          <w:sz w:val="20"/>
          <w:szCs w:val="20"/>
        </w:rPr>
        <w:t xml:space="preserve"> </w:t>
      </w:r>
      <w:r w:rsidR="00D41F9C" w:rsidRPr="00A15172">
        <w:rPr>
          <w:rFonts w:ascii="Verdana" w:hAnsi="Verdana"/>
          <w:sz w:val="20"/>
          <w:szCs w:val="20"/>
          <w:lang w:val="es-ES"/>
        </w:rPr>
        <w:t>(</w:t>
      </w:r>
      <w:r w:rsidR="00D41F9C" w:rsidRPr="00A15172">
        <w:rPr>
          <w:rFonts w:ascii="Verdana" w:hAnsi="Verdana"/>
          <w:i/>
          <w:sz w:val="20"/>
          <w:szCs w:val="20"/>
          <w:lang w:val="es-ES"/>
        </w:rPr>
        <w:t>punto resolutivo décimo</w:t>
      </w:r>
      <w:r w:rsidR="00D41F9C">
        <w:rPr>
          <w:rFonts w:ascii="Verdana" w:hAnsi="Verdana"/>
          <w:i/>
          <w:sz w:val="20"/>
          <w:szCs w:val="20"/>
          <w:lang w:val="es-ES"/>
        </w:rPr>
        <w:t xml:space="preserve"> primero</w:t>
      </w:r>
      <w:r w:rsidR="00D41F9C" w:rsidRPr="00A15172">
        <w:rPr>
          <w:rFonts w:ascii="Verdana" w:hAnsi="Verdana"/>
          <w:i/>
          <w:sz w:val="20"/>
          <w:szCs w:val="20"/>
          <w:lang w:val="es-ES"/>
        </w:rPr>
        <w:t xml:space="preserve"> de la Sentencia</w:t>
      </w:r>
      <w:r w:rsidR="00D41F9C" w:rsidRPr="00A15172">
        <w:rPr>
          <w:rFonts w:ascii="Verdana" w:hAnsi="Verdana"/>
          <w:sz w:val="20"/>
          <w:szCs w:val="20"/>
          <w:lang w:val="es-ES"/>
        </w:rPr>
        <w:t>)</w:t>
      </w:r>
      <w:r w:rsidR="002D29ED">
        <w:rPr>
          <w:rFonts w:ascii="Verdana" w:hAnsi="Verdana" w:cs="Verdana"/>
          <w:sz w:val="20"/>
          <w:szCs w:val="20"/>
        </w:rPr>
        <w:t>.</w:t>
      </w:r>
    </w:p>
    <w:p w14:paraId="472F5633" w14:textId="77777777" w:rsidR="00A15172" w:rsidRDefault="00A15172" w:rsidP="001C627E">
      <w:pPr>
        <w:jc w:val="both"/>
        <w:rPr>
          <w:rFonts w:ascii="Verdana" w:hAnsi="Verdana"/>
          <w:sz w:val="20"/>
          <w:szCs w:val="20"/>
          <w:lang w:val="es-ES"/>
        </w:rPr>
      </w:pPr>
    </w:p>
    <w:p w14:paraId="4B95A613" w14:textId="70D26470" w:rsidR="00A15172" w:rsidRDefault="00A15172" w:rsidP="00A15172">
      <w:pPr>
        <w:jc w:val="both"/>
        <w:rPr>
          <w:rFonts w:ascii="Verdana" w:hAnsi="Verdana"/>
          <w:sz w:val="20"/>
          <w:szCs w:val="20"/>
          <w:lang w:val="es-ES"/>
        </w:rPr>
      </w:pPr>
      <w:r w:rsidRPr="00A15172">
        <w:rPr>
          <w:rFonts w:ascii="Verdana" w:hAnsi="Verdana"/>
          <w:sz w:val="20"/>
          <w:szCs w:val="20"/>
          <w:lang w:val="es-ES"/>
        </w:rPr>
        <w:t>2.</w:t>
      </w:r>
      <w:r>
        <w:rPr>
          <w:rFonts w:ascii="Verdana" w:hAnsi="Verdana"/>
          <w:sz w:val="20"/>
          <w:szCs w:val="20"/>
          <w:lang w:val="es-ES"/>
        </w:rPr>
        <w:tab/>
        <w:t xml:space="preserve">Declarar, de conformidad con lo señalado en </w:t>
      </w:r>
      <w:r w:rsidR="00382C5F">
        <w:rPr>
          <w:rFonts w:ascii="Verdana" w:hAnsi="Verdana"/>
          <w:sz w:val="20"/>
          <w:szCs w:val="20"/>
          <w:lang w:val="es-ES"/>
        </w:rPr>
        <w:t>el</w:t>
      </w:r>
      <w:r>
        <w:rPr>
          <w:rFonts w:ascii="Verdana" w:hAnsi="Verdana"/>
          <w:sz w:val="20"/>
          <w:szCs w:val="20"/>
          <w:lang w:val="es-ES"/>
        </w:rPr>
        <w:t xml:space="preserve"> Considerando </w:t>
      </w:r>
      <w:r w:rsidR="00D41F9C" w:rsidRPr="00382C5F">
        <w:rPr>
          <w:rFonts w:ascii="Verdana" w:hAnsi="Verdana"/>
          <w:sz w:val="20"/>
          <w:szCs w:val="20"/>
          <w:lang w:val="es-ES"/>
        </w:rPr>
        <w:t>17</w:t>
      </w:r>
      <w:r>
        <w:rPr>
          <w:rFonts w:ascii="Verdana" w:hAnsi="Verdana"/>
          <w:sz w:val="20"/>
          <w:szCs w:val="20"/>
          <w:lang w:val="es-ES"/>
        </w:rPr>
        <w:t xml:space="preserve"> de la presente Resolución, que el Estado ha venido dando cumplimiento y debe continuar implementando la reparación relativa </w:t>
      </w:r>
      <w:r w:rsidRPr="00A15172">
        <w:rPr>
          <w:rFonts w:ascii="Verdana" w:hAnsi="Verdana"/>
          <w:sz w:val="20"/>
          <w:szCs w:val="20"/>
          <w:lang w:val="es-ES"/>
        </w:rPr>
        <w:t xml:space="preserve">a brindar el tratamiento </w:t>
      </w:r>
      <w:proofErr w:type="spellStart"/>
      <w:r w:rsidRPr="00A15172">
        <w:rPr>
          <w:rFonts w:ascii="Verdana" w:hAnsi="Verdana"/>
          <w:sz w:val="20"/>
          <w:szCs w:val="20"/>
          <w:lang w:val="es-ES"/>
        </w:rPr>
        <w:t>médico</w:t>
      </w:r>
      <w:proofErr w:type="spellEnd"/>
      <w:r w:rsidRPr="00A15172">
        <w:rPr>
          <w:rFonts w:ascii="Verdana" w:hAnsi="Verdana"/>
          <w:sz w:val="20"/>
          <w:szCs w:val="20"/>
          <w:lang w:val="es-ES"/>
        </w:rPr>
        <w:t xml:space="preserve"> y </w:t>
      </w:r>
      <w:proofErr w:type="spellStart"/>
      <w:r w:rsidRPr="00A15172">
        <w:rPr>
          <w:rFonts w:ascii="Verdana" w:hAnsi="Verdana"/>
          <w:sz w:val="20"/>
          <w:szCs w:val="20"/>
          <w:lang w:val="es-ES"/>
        </w:rPr>
        <w:t>psicológico</w:t>
      </w:r>
      <w:proofErr w:type="spellEnd"/>
      <w:r w:rsidRPr="00A15172">
        <w:rPr>
          <w:rFonts w:ascii="Verdana" w:hAnsi="Verdana"/>
          <w:sz w:val="20"/>
          <w:szCs w:val="20"/>
          <w:lang w:val="es-ES"/>
        </w:rPr>
        <w:t xml:space="preserve"> o </w:t>
      </w:r>
      <w:proofErr w:type="spellStart"/>
      <w:r w:rsidRPr="00A15172">
        <w:rPr>
          <w:rFonts w:ascii="Verdana" w:hAnsi="Verdana"/>
          <w:sz w:val="20"/>
          <w:szCs w:val="20"/>
          <w:lang w:val="es-ES"/>
        </w:rPr>
        <w:t>psiquiátrico</w:t>
      </w:r>
      <w:proofErr w:type="spellEnd"/>
      <w:r w:rsidRPr="00A15172">
        <w:rPr>
          <w:rFonts w:ascii="Verdana" w:hAnsi="Verdana"/>
          <w:sz w:val="20"/>
          <w:szCs w:val="20"/>
          <w:lang w:val="es-ES"/>
        </w:rPr>
        <w:t xml:space="preserve"> a las </w:t>
      </w:r>
      <w:proofErr w:type="spellStart"/>
      <w:r w:rsidRPr="00A15172">
        <w:rPr>
          <w:rFonts w:ascii="Verdana" w:hAnsi="Verdana"/>
          <w:sz w:val="20"/>
          <w:szCs w:val="20"/>
          <w:lang w:val="es-ES"/>
        </w:rPr>
        <w:t>víctimas</w:t>
      </w:r>
      <w:proofErr w:type="spellEnd"/>
      <w:r w:rsidRPr="00A15172">
        <w:rPr>
          <w:rFonts w:ascii="Verdana" w:hAnsi="Verdana"/>
          <w:sz w:val="20"/>
          <w:szCs w:val="20"/>
          <w:lang w:val="es-ES"/>
        </w:rPr>
        <w:t xml:space="preserve"> que </w:t>
      </w:r>
      <w:proofErr w:type="spellStart"/>
      <w:r w:rsidRPr="00A15172">
        <w:rPr>
          <w:rFonts w:ascii="Verdana" w:hAnsi="Verdana"/>
          <w:sz w:val="20"/>
          <w:szCs w:val="20"/>
          <w:lang w:val="es-ES"/>
        </w:rPr>
        <w:t>asi</w:t>
      </w:r>
      <w:proofErr w:type="spellEnd"/>
      <w:r w:rsidRPr="00A15172">
        <w:rPr>
          <w:rFonts w:ascii="Verdana" w:hAnsi="Verdana"/>
          <w:sz w:val="20"/>
          <w:szCs w:val="20"/>
          <w:lang w:val="es-ES"/>
        </w:rPr>
        <w:t>́ lo soliciten (</w:t>
      </w:r>
      <w:r w:rsidRPr="00A15172">
        <w:rPr>
          <w:rFonts w:ascii="Verdana" w:hAnsi="Verdana"/>
          <w:i/>
          <w:sz w:val="20"/>
          <w:szCs w:val="20"/>
          <w:lang w:val="es-ES"/>
        </w:rPr>
        <w:t>punto resolutivo décimo de la Sentencia</w:t>
      </w:r>
      <w:r w:rsidRPr="00A15172">
        <w:rPr>
          <w:rFonts w:ascii="Verdana" w:hAnsi="Verdana"/>
          <w:sz w:val="20"/>
          <w:szCs w:val="20"/>
          <w:lang w:val="es-ES"/>
        </w:rPr>
        <w:t xml:space="preserve">). </w:t>
      </w:r>
    </w:p>
    <w:p w14:paraId="482128A7" w14:textId="77777777" w:rsidR="00A15172" w:rsidRDefault="00A15172" w:rsidP="00A15172">
      <w:pPr>
        <w:jc w:val="both"/>
        <w:rPr>
          <w:rFonts w:ascii="Verdana" w:hAnsi="Verdana"/>
          <w:sz w:val="20"/>
          <w:szCs w:val="20"/>
          <w:lang w:val="es-ES"/>
        </w:rPr>
      </w:pPr>
    </w:p>
    <w:p w14:paraId="51D97E13" w14:textId="1627F41D" w:rsidR="00A15172" w:rsidRDefault="00A15172" w:rsidP="00A15172">
      <w:pPr>
        <w:jc w:val="both"/>
        <w:rPr>
          <w:rFonts w:ascii="Verdana" w:hAnsi="Verdana"/>
          <w:sz w:val="20"/>
          <w:szCs w:val="20"/>
          <w:lang w:val="es-ES"/>
        </w:rPr>
      </w:pPr>
      <w:r>
        <w:rPr>
          <w:rFonts w:ascii="Verdana" w:hAnsi="Verdana"/>
          <w:sz w:val="20"/>
          <w:szCs w:val="20"/>
          <w:lang w:val="es-ES"/>
        </w:rPr>
        <w:t>3.</w:t>
      </w:r>
      <w:r>
        <w:rPr>
          <w:rFonts w:ascii="Verdana" w:hAnsi="Verdana"/>
          <w:sz w:val="20"/>
          <w:szCs w:val="20"/>
          <w:lang w:val="es-ES"/>
        </w:rPr>
        <w:tab/>
        <w:t xml:space="preserve">Declarar, de conformidad con lo señalado en </w:t>
      </w:r>
      <w:r w:rsidR="00382C5F">
        <w:rPr>
          <w:rFonts w:ascii="Verdana" w:hAnsi="Verdana"/>
          <w:sz w:val="20"/>
          <w:szCs w:val="20"/>
          <w:lang w:val="es-ES"/>
        </w:rPr>
        <w:t>el</w:t>
      </w:r>
      <w:r>
        <w:rPr>
          <w:rFonts w:ascii="Verdana" w:hAnsi="Verdana"/>
          <w:sz w:val="20"/>
          <w:szCs w:val="20"/>
          <w:lang w:val="es-ES"/>
        </w:rPr>
        <w:t xml:space="preserve"> Considerando </w:t>
      </w:r>
      <w:r w:rsidR="00382C5F" w:rsidRPr="00B42F79">
        <w:rPr>
          <w:rFonts w:ascii="Verdana" w:hAnsi="Verdana"/>
          <w:sz w:val="20"/>
          <w:szCs w:val="20"/>
          <w:lang w:val="es-ES"/>
        </w:rPr>
        <w:t>31</w:t>
      </w:r>
      <w:r>
        <w:rPr>
          <w:rFonts w:ascii="Verdana" w:hAnsi="Verdana"/>
          <w:sz w:val="20"/>
          <w:szCs w:val="20"/>
          <w:lang w:val="es-ES"/>
        </w:rPr>
        <w:t xml:space="preserve"> de la presente Resolución, que el Estado ha dado cumplimiento parcial </w:t>
      </w:r>
      <w:r w:rsidR="00604EED">
        <w:rPr>
          <w:rFonts w:ascii="Verdana" w:hAnsi="Verdana" w:cs="Verdana"/>
          <w:sz w:val="20"/>
          <w:szCs w:val="20"/>
        </w:rPr>
        <w:t>al</w:t>
      </w:r>
      <w:r w:rsidR="00604EED" w:rsidRPr="008E5D18">
        <w:rPr>
          <w:rFonts w:ascii="Verdana" w:hAnsi="Verdana" w:cs="Verdana"/>
          <w:sz w:val="20"/>
          <w:szCs w:val="20"/>
        </w:rPr>
        <w:t xml:space="preserve"> pago de las cantidades fijadas en la Sentenci</w:t>
      </w:r>
      <w:r w:rsidR="00604EED">
        <w:rPr>
          <w:rFonts w:ascii="Verdana" w:hAnsi="Verdana" w:cs="Verdana"/>
          <w:sz w:val="20"/>
          <w:szCs w:val="20"/>
        </w:rPr>
        <w:t>a por concepto de indemnizaciones por daño material e inmaterial ordenado en el punto resolutivo décimo sexto de la Sentencia, en razón de que pagó a las señoras Yolanda Muñ</w:t>
      </w:r>
      <w:r w:rsidR="00604EED" w:rsidRPr="008E5D18">
        <w:rPr>
          <w:rFonts w:ascii="Verdana" w:hAnsi="Verdana" w:cs="Verdana"/>
          <w:sz w:val="20"/>
          <w:szCs w:val="20"/>
        </w:rPr>
        <w:t xml:space="preserve">oz </w:t>
      </w:r>
      <w:proofErr w:type="spellStart"/>
      <w:r w:rsidR="00604EED" w:rsidRPr="008E5D18">
        <w:rPr>
          <w:rFonts w:ascii="Verdana" w:hAnsi="Verdana" w:cs="Verdana"/>
          <w:sz w:val="20"/>
          <w:szCs w:val="20"/>
        </w:rPr>
        <w:t>Diosdada</w:t>
      </w:r>
      <w:proofErr w:type="spellEnd"/>
      <w:r w:rsidR="00604EED" w:rsidRPr="008E5D18">
        <w:rPr>
          <w:rFonts w:ascii="Verdana" w:hAnsi="Verdana" w:cs="Verdana"/>
          <w:sz w:val="20"/>
          <w:szCs w:val="20"/>
        </w:rPr>
        <w:t xml:space="preserve">, Norma </w:t>
      </w:r>
      <w:proofErr w:type="spellStart"/>
      <w:r w:rsidR="00604EED" w:rsidRPr="008E5D18">
        <w:rPr>
          <w:rFonts w:ascii="Verdana" w:hAnsi="Verdana" w:cs="Verdana"/>
          <w:sz w:val="20"/>
          <w:szCs w:val="20"/>
        </w:rPr>
        <w:t>Aide</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Jiménez</w:t>
      </w:r>
      <w:proofErr w:type="spellEnd"/>
      <w:r w:rsidR="00604EED" w:rsidRPr="008E5D18">
        <w:rPr>
          <w:rFonts w:ascii="Verdana" w:hAnsi="Verdana" w:cs="Verdana"/>
          <w:sz w:val="20"/>
          <w:szCs w:val="20"/>
        </w:rPr>
        <w:t xml:space="preserve"> Osorio, Mariana Selvas </w:t>
      </w:r>
      <w:proofErr w:type="spellStart"/>
      <w:r w:rsidR="00604EED" w:rsidRPr="008E5D18">
        <w:rPr>
          <w:rFonts w:ascii="Verdana" w:hAnsi="Verdana" w:cs="Verdana"/>
          <w:sz w:val="20"/>
          <w:szCs w:val="20"/>
        </w:rPr>
        <w:t>Gómez</w:t>
      </w:r>
      <w:proofErr w:type="spellEnd"/>
      <w:r w:rsidR="00604EED" w:rsidRPr="008E5D18">
        <w:rPr>
          <w:rFonts w:ascii="Verdana" w:hAnsi="Verdana" w:cs="Verdana"/>
          <w:sz w:val="20"/>
          <w:szCs w:val="20"/>
        </w:rPr>
        <w:t xml:space="preserve">, Ana </w:t>
      </w:r>
      <w:proofErr w:type="spellStart"/>
      <w:r w:rsidR="00604EED" w:rsidRPr="008E5D18">
        <w:rPr>
          <w:rFonts w:ascii="Verdana" w:hAnsi="Verdana" w:cs="Verdana"/>
          <w:sz w:val="20"/>
          <w:szCs w:val="20"/>
        </w:rPr>
        <w:t>María</w:t>
      </w:r>
      <w:proofErr w:type="spellEnd"/>
      <w:r w:rsidR="00604EED" w:rsidRPr="008E5D18">
        <w:rPr>
          <w:rFonts w:ascii="Verdana" w:hAnsi="Verdana" w:cs="Verdana"/>
          <w:sz w:val="20"/>
          <w:szCs w:val="20"/>
        </w:rPr>
        <w:t xml:space="preserve"> Velasco </w:t>
      </w:r>
      <w:proofErr w:type="spellStart"/>
      <w:r w:rsidR="00604EED" w:rsidRPr="008E5D18">
        <w:rPr>
          <w:rFonts w:ascii="Verdana" w:hAnsi="Verdana" w:cs="Verdana"/>
          <w:sz w:val="20"/>
          <w:szCs w:val="20"/>
        </w:rPr>
        <w:t>Rodríguez</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Suhelen</w:t>
      </w:r>
      <w:proofErr w:type="spellEnd"/>
      <w:r w:rsidR="00604EED" w:rsidRPr="008E5D18">
        <w:rPr>
          <w:rFonts w:ascii="Verdana" w:hAnsi="Verdana" w:cs="Verdana"/>
          <w:sz w:val="20"/>
          <w:szCs w:val="20"/>
        </w:rPr>
        <w:t xml:space="preserve"> Gabriela Cuevas Jaramillo, </w:t>
      </w:r>
      <w:proofErr w:type="spellStart"/>
      <w:r w:rsidR="00604EED" w:rsidRPr="008E5D18">
        <w:rPr>
          <w:rFonts w:ascii="Verdana" w:hAnsi="Verdana" w:cs="Verdana"/>
          <w:sz w:val="20"/>
          <w:szCs w:val="20"/>
        </w:rPr>
        <w:t>Bárbara</w:t>
      </w:r>
      <w:proofErr w:type="spellEnd"/>
      <w:r w:rsidR="00604EED" w:rsidRPr="008E5D18">
        <w:rPr>
          <w:rFonts w:ascii="Verdana" w:hAnsi="Verdana" w:cs="Verdana"/>
          <w:sz w:val="20"/>
          <w:szCs w:val="20"/>
        </w:rPr>
        <w:t xml:space="preserve"> Italia </w:t>
      </w:r>
      <w:proofErr w:type="spellStart"/>
      <w:r w:rsidR="00604EED" w:rsidRPr="008E5D18">
        <w:rPr>
          <w:rFonts w:ascii="Verdana" w:hAnsi="Verdana" w:cs="Verdana"/>
          <w:sz w:val="20"/>
          <w:szCs w:val="20"/>
        </w:rPr>
        <w:t>Méndez</w:t>
      </w:r>
      <w:proofErr w:type="spellEnd"/>
      <w:r w:rsidR="00604EED" w:rsidRPr="008E5D18">
        <w:rPr>
          <w:rFonts w:ascii="Verdana" w:hAnsi="Verdana" w:cs="Verdana"/>
          <w:sz w:val="20"/>
          <w:szCs w:val="20"/>
        </w:rPr>
        <w:t xml:space="preserve"> Moreno, </w:t>
      </w:r>
      <w:proofErr w:type="spellStart"/>
      <w:r w:rsidR="00604EED" w:rsidRPr="008E5D18">
        <w:rPr>
          <w:rFonts w:ascii="Verdana" w:hAnsi="Verdana" w:cs="Verdana"/>
          <w:sz w:val="20"/>
          <w:szCs w:val="20"/>
        </w:rPr>
        <w:t>María</w:t>
      </w:r>
      <w:proofErr w:type="spellEnd"/>
      <w:r w:rsidR="00604EED" w:rsidRPr="008E5D18">
        <w:rPr>
          <w:rFonts w:ascii="Verdana" w:hAnsi="Verdana" w:cs="Verdana"/>
          <w:sz w:val="20"/>
          <w:szCs w:val="20"/>
        </w:rPr>
        <w:t xml:space="preserve"> Cristina </w:t>
      </w:r>
      <w:proofErr w:type="spellStart"/>
      <w:r w:rsidR="00604EED" w:rsidRPr="008E5D18">
        <w:rPr>
          <w:rFonts w:ascii="Verdana" w:hAnsi="Verdana" w:cs="Verdana"/>
          <w:sz w:val="20"/>
          <w:szCs w:val="20"/>
        </w:rPr>
        <w:t>Sánchez</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Hernández</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Angélica</w:t>
      </w:r>
      <w:proofErr w:type="spellEnd"/>
      <w:r w:rsidR="00604EED" w:rsidRPr="008E5D18">
        <w:rPr>
          <w:rFonts w:ascii="Verdana" w:hAnsi="Verdana" w:cs="Verdana"/>
          <w:sz w:val="20"/>
          <w:szCs w:val="20"/>
        </w:rPr>
        <w:t xml:space="preserve"> Patricia Torres Linares y Claudia </w:t>
      </w:r>
      <w:proofErr w:type="spellStart"/>
      <w:r w:rsidR="00604EED" w:rsidRPr="008E5D18">
        <w:rPr>
          <w:rFonts w:ascii="Verdana" w:hAnsi="Verdana" w:cs="Verdana"/>
          <w:sz w:val="20"/>
          <w:szCs w:val="20"/>
        </w:rPr>
        <w:t>Hernández</w:t>
      </w:r>
      <w:proofErr w:type="spellEnd"/>
      <w:r w:rsidR="00604EED" w:rsidRPr="008E5D18">
        <w:rPr>
          <w:rFonts w:ascii="Verdana" w:hAnsi="Verdana" w:cs="Verdana"/>
          <w:sz w:val="20"/>
          <w:szCs w:val="20"/>
        </w:rPr>
        <w:t xml:space="preserve"> </w:t>
      </w:r>
      <w:proofErr w:type="spellStart"/>
      <w:r w:rsidR="00604EED" w:rsidRPr="008E5D18">
        <w:rPr>
          <w:rFonts w:ascii="Verdana" w:hAnsi="Verdana" w:cs="Verdana"/>
          <w:sz w:val="20"/>
          <w:szCs w:val="20"/>
        </w:rPr>
        <w:t>Martínez</w:t>
      </w:r>
      <w:proofErr w:type="spellEnd"/>
      <w:r w:rsidR="00604EED">
        <w:rPr>
          <w:rFonts w:ascii="Verdana" w:hAnsi="Verdana" w:cs="Verdana"/>
          <w:sz w:val="20"/>
          <w:szCs w:val="20"/>
        </w:rPr>
        <w:t xml:space="preserve">, así como con las </w:t>
      </w:r>
      <w:proofErr w:type="spellStart"/>
      <w:r w:rsidR="00604EED">
        <w:rPr>
          <w:rFonts w:ascii="Verdana" w:hAnsi="Verdana" w:cs="Verdana"/>
          <w:sz w:val="20"/>
          <w:szCs w:val="20"/>
        </w:rPr>
        <w:t>cantidadas</w:t>
      </w:r>
      <w:proofErr w:type="spellEnd"/>
      <w:r w:rsidR="00604EED">
        <w:rPr>
          <w:rFonts w:ascii="Verdana" w:hAnsi="Verdana" w:cs="Verdana"/>
          <w:sz w:val="20"/>
          <w:szCs w:val="20"/>
        </w:rPr>
        <w:t xml:space="preserve"> fijadas por concepto de indemnizaciones por daño inmaterial a sus familiares </w:t>
      </w:r>
      <w:r w:rsidR="00604EED">
        <w:rPr>
          <w:rFonts w:ascii="Verdana" w:hAnsi="Verdana" w:cs="Verdana"/>
          <w:sz w:val="20"/>
          <w:szCs w:val="20"/>
          <w:lang w:val="es-MX"/>
        </w:rPr>
        <w:t xml:space="preserve">identificados en el párrafo 324 de la Sentencia, quedando pendiente </w:t>
      </w:r>
      <w:r w:rsidR="00186E31">
        <w:rPr>
          <w:rFonts w:ascii="Verdana" w:hAnsi="Verdana" w:cs="Verdana"/>
          <w:sz w:val="20"/>
          <w:szCs w:val="20"/>
          <w:lang w:val="es-MX"/>
        </w:rPr>
        <w:t xml:space="preserve">únicamente </w:t>
      </w:r>
      <w:r w:rsidR="00604EED">
        <w:rPr>
          <w:rFonts w:ascii="Verdana" w:hAnsi="Verdana" w:cs="Verdana"/>
          <w:sz w:val="20"/>
          <w:szCs w:val="20"/>
          <w:lang w:val="es-MX"/>
        </w:rPr>
        <w:t xml:space="preserve">el cumplimiento de la presente medida con respecto a la señora </w:t>
      </w:r>
      <w:r w:rsidR="00604EED" w:rsidRPr="00F93B65">
        <w:rPr>
          <w:rFonts w:ascii="Verdana" w:hAnsi="Verdana" w:cs="Verdana"/>
          <w:sz w:val="20"/>
          <w:szCs w:val="20"/>
        </w:rPr>
        <w:t>María Patricia Romero Hernández</w:t>
      </w:r>
      <w:r w:rsidR="00604EED">
        <w:rPr>
          <w:rFonts w:ascii="Verdana" w:hAnsi="Verdana" w:cs="Verdana"/>
          <w:sz w:val="20"/>
          <w:szCs w:val="20"/>
        </w:rPr>
        <w:t xml:space="preserve">, así como a sus familiares </w:t>
      </w:r>
      <w:r w:rsidR="00604EED">
        <w:rPr>
          <w:rFonts w:ascii="Verdana" w:hAnsi="Verdana" w:cs="Verdana"/>
          <w:sz w:val="20"/>
          <w:szCs w:val="20"/>
          <w:lang w:val="es-MX"/>
        </w:rPr>
        <w:t>identificados en el párrafo 324 de la Sentencia.</w:t>
      </w:r>
    </w:p>
    <w:p w14:paraId="79E1C245" w14:textId="77777777" w:rsidR="00A15172" w:rsidRDefault="00A15172" w:rsidP="00A15172">
      <w:pPr>
        <w:jc w:val="both"/>
        <w:rPr>
          <w:rFonts w:ascii="Verdana" w:hAnsi="Verdana"/>
          <w:sz w:val="20"/>
          <w:szCs w:val="20"/>
          <w:lang w:val="es-ES"/>
        </w:rPr>
      </w:pPr>
    </w:p>
    <w:p w14:paraId="024FEC4B" w14:textId="7D7A4C6D" w:rsidR="00A15172" w:rsidRDefault="00A15172" w:rsidP="00A15172">
      <w:pPr>
        <w:jc w:val="both"/>
        <w:rPr>
          <w:rFonts w:ascii="Verdana" w:hAnsi="Verdana"/>
          <w:sz w:val="20"/>
          <w:szCs w:val="20"/>
          <w:lang w:val="es-ES"/>
        </w:rPr>
      </w:pPr>
      <w:r>
        <w:rPr>
          <w:rFonts w:ascii="Verdana" w:hAnsi="Verdana"/>
          <w:sz w:val="20"/>
          <w:szCs w:val="20"/>
          <w:lang w:val="es-ES"/>
        </w:rPr>
        <w:t>4.</w:t>
      </w:r>
      <w:r>
        <w:rPr>
          <w:rFonts w:ascii="Verdana" w:hAnsi="Verdana"/>
          <w:sz w:val="20"/>
          <w:szCs w:val="20"/>
          <w:lang w:val="es-ES"/>
        </w:rPr>
        <w:tab/>
        <w:t>Mantener abierto el procedimiento de supervisión de cumplimiento de las siguientes medidas de reparación:</w:t>
      </w:r>
    </w:p>
    <w:p w14:paraId="6F1B5CD7" w14:textId="77777777" w:rsidR="004C7F2E" w:rsidRDefault="004C7F2E" w:rsidP="00371BC2">
      <w:pPr>
        <w:pStyle w:val="NormalWeb"/>
        <w:numPr>
          <w:ilvl w:val="0"/>
          <w:numId w:val="27"/>
        </w:numPr>
        <w:jc w:val="both"/>
        <w:rPr>
          <w:rFonts w:ascii="Verdana" w:hAnsi="Verdana"/>
          <w:sz w:val="20"/>
          <w:szCs w:val="20"/>
          <w:lang w:val="es-ES"/>
        </w:rPr>
      </w:pPr>
      <w:r w:rsidRPr="004C7F2E">
        <w:rPr>
          <w:rFonts w:ascii="Verdana" w:hAnsi="Verdana"/>
          <w:sz w:val="20"/>
          <w:szCs w:val="20"/>
          <w:lang w:val="es-ES"/>
        </w:rPr>
        <w:t xml:space="preserve">continuar e iniciar las investigaciones amplias, </w:t>
      </w:r>
      <w:proofErr w:type="spellStart"/>
      <w:r w:rsidRPr="004C7F2E">
        <w:rPr>
          <w:rFonts w:ascii="Verdana" w:hAnsi="Verdana"/>
          <w:sz w:val="20"/>
          <w:szCs w:val="20"/>
          <w:lang w:val="es-ES"/>
        </w:rPr>
        <w:t>sistemáticas</w:t>
      </w:r>
      <w:proofErr w:type="spellEnd"/>
      <w:r w:rsidRPr="004C7F2E">
        <w:rPr>
          <w:rFonts w:ascii="Verdana" w:hAnsi="Verdana"/>
          <w:sz w:val="20"/>
          <w:szCs w:val="20"/>
          <w:lang w:val="es-ES"/>
        </w:rPr>
        <w:t xml:space="preserve"> y minuciosas que sean necesarias para determinar, juzgar, y, en su caso, sancionar a todos los responsables de la violencia y tortura sexual sufrida por las once mujeres </w:t>
      </w:r>
      <w:proofErr w:type="spellStart"/>
      <w:r w:rsidRPr="004C7F2E">
        <w:rPr>
          <w:rFonts w:ascii="Verdana" w:hAnsi="Verdana"/>
          <w:sz w:val="20"/>
          <w:szCs w:val="20"/>
          <w:lang w:val="es-ES"/>
        </w:rPr>
        <w:t>víctimas</w:t>
      </w:r>
      <w:proofErr w:type="spellEnd"/>
      <w:r w:rsidRPr="004C7F2E">
        <w:rPr>
          <w:rFonts w:ascii="Verdana" w:hAnsi="Verdana"/>
          <w:sz w:val="20"/>
          <w:szCs w:val="20"/>
          <w:lang w:val="es-ES"/>
        </w:rPr>
        <w:t xml:space="preserve"> de este caso </w:t>
      </w:r>
      <w:r>
        <w:rPr>
          <w:rFonts w:ascii="Verdana" w:hAnsi="Verdana"/>
          <w:sz w:val="20"/>
          <w:szCs w:val="20"/>
          <w:lang w:val="es-ES"/>
        </w:rPr>
        <w:t>(</w:t>
      </w:r>
      <w:r>
        <w:rPr>
          <w:rFonts w:ascii="Verdana" w:hAnsi="Verdana"/>
          <w:i/>
          <w:sz w:val="20"/>
          <w:szCs w:val="20"/>
          <w:lang w:val="es-ES"/>
        </w:rPr>
        <w:t>punto resolutivo noveno de la Sentencia</w:t>
      </w:r>
      <w:r>
        <w:rPr>
          <w:rFonts w:ascii="Verdana" w:hAnsi="Verdana"/>
          <w:sz w:val="20"/>
          <w:szCs w:val="20"/>
          <w:lang w:val="es-ES"/>
        </w:rPr>
        <w:t>);</w:t>
      </w:r>
    </w:p>
    <w:p w14:paraId="3CCEE8E3" w14:textId="07C596AD" w:rsidR="004C7F2E" w:rsidRDefault="004C7F2E" w:rsidP="00371BC2">
      <w:pPr>
        <w:pStyle w:val="NormalWeb"/>
        <w:numPr>
          <w:ilvl w:val="0"/>
          <w:numId w:val="27"/>
        </w:numPr>
        <w:jc w:val="both"/>
        <w:rPr>
          <w:rFonts w:ascii="Verdana" w:hAnsi="Verdana"/>
          <w:sz w:val="20"/>
          <w:szCs w:val="20"/>
          <w:lang w:val="es-ES"/>
        </w:rPr>
      </w:pPr>
      <w:r w:rsidRPr="004C7F2E">
        <w:rPr>
          <w:rFonts w:ascii="Verdana" w:hAnsi="Verdana"/>
          <w:sz w:val="20"/>
          <w:szCs w:val="20"/>
          <w:lang w:val="es-ES"/>
        </w:rPr>
        <w:t xml:space="preserve">brindar de forma gratuita e inmediata, el tratamiento </w:t>
      </w:r>
      <w:proofErr w:type="spellStart"/>
      <w:r w:rsidRPr="004C7F2E">
        <w:rPr>
          <w:rFonts w:ascii="Verdana" w:hAnsi="Verdana"/>
          <w:sz w:val="20"/>
          <w:szCs w:val="20"/>
          <w:lang w:val="es-ES"/>
        </w:rPr>
        <w:t>médico</w:t>
      </w:r>
      <w:proofErr w:type="spellEnd"/>
      <w:r w:rsidRPr="004C7F2E">
        <w:rPr>
          <w:rFonts w:ascii="Verdana" w:hAnsi="Verdana"/>
          <w:sz w:val="20"/>
          <w:szCs w:val="20"/>
          <w:lang w:val="es-ES"/>
        </w:rPr>
        <w:t xml:space="preserve"> y </w:t>
      </w:r>
      <w:proofErr w:type="spellStart"/>
      <w:r w:rsidRPr="004C7F2E">
        <w:rPr>
          <w:rFonts w:ascii="Verdana" w:hAnsi="Verdana"/>
          <w:sz w:val="20"/>
          <w:szCs w:val="20"/>
          <w:lang w:val="es-ES"/>
        </w:rPr>
        <w:t>psicológico</w:t>
      </w:r>
      <w:proofErr w:type="spellEnd"/>
      <w:r w:rsidRPr="004C7F2E">
        <w:rPr>
          <w:rFonts w:ascii="Verdana" w:hAnsi="Verdana"/>
          <w:sz w:val="20"/>
          <w:szCs w:val="20"/>
          <w:lang w:val="es-ES"/>
        </w:rPr>
        <w:t xml:space="preserve"> o </w:t>
      </w:r>
      <w:proofErr w:type="spellStart"/>
      <w:r w:rsidRPr="004C7F2E">
        <w:rPr>
          <w:rFonts w:ascii="Verdana" w:hAnsi="Verdana"/>
          <w:sz w:val="20"/>
          <w:szCs w:val="20"/>
          <w:lang w:val="es-ES"/>
        </w:rPr>
        <w:t>psiquiátrico</w:t>
      </w:r>
      <w:proofErr w:type="spellEnd"/>
      <w:r w:rsidRPr="004C7F2E">
        <w:rPr>
          <w:rFonts w:ascii="Verdana" w:hAnsi="Verdana"/>
          <w:sz w:val="20"/>
          <w:szCs w:val="20"/>
          <w:lang w:val="es-ES"/>
        </w:rPr>
        <w:t xml:space="preserve">, </w:t>
      </w:r>
      <w:proofErr w:type="spellStart"/>
      <w:r w:rsidRPr="004C7F2E">
        <w:rPr>
          <w:rFonts w:ascii="Verdana" w:hAnsi="Verdana"/>
          <w:sz w:val="20"/>
          <w:szCs w:val="20"/>
          <w:lang w:val="es-ES"/>
        </w:rPr>
        <w:t>según</w:t>
      </w:r>
      <w:proofErr w:type="spellEnd"/>
      <w:r w:rsidRPr="004C7F2E">
        <w:rPr>
          <w:rFonts w:ascii="Verdana" w:hAnsi="Verdana"/>
          <w:sz w:val="20"/>
          <w:szCs w:val="20"/>
          <w:lang w:val="es-ES"/>
        </w:rPr>
        <w:t xml:space="preserve"> corresponda, a las </w:t>
      </w:r>
      <w:proofErr w:type="spellStart"/>
      <w:r w:rsidRPr="004C7F2E">
        <w:rPr>
          <w:rFonts w:ascii="Verdana" w:hAnsi="Verdana"/>
          <w:sz w:val="20"/>
          <w:szCs w:val="20"/>
          <w:lang w:val="es-ES"/>
        </w:rPr>
        <w:t>víctimas</w:t>
      </w:r>
      <w:proofErr w:type="spellEnd"/>
      <w:r w:rsidRPr="004C7F2E">
        <w:rPr>
          <w:rFonts w:ascii="Verdana" w:hAnsi="Verdana"/>
          <w:sz w:val="20"/>
          <w:szCs w:val="20"/>
          <w:lang w:val="es-ES"/>
        </w:rPr>
        <w:t xml:space="preserve"> del presente caso que </w:t>
      </w:r>
      <w:proofErr w:type="spellStart"/>
      <w:r w:rsidRPr="004C7F2E">
        <w:rPr>
          <w:rFonts w:ascii="Verdana" w:hAnsi="Verdana"/>
          <w:sz w:val="20"/>
          <w:szCs w:val="20"/>
          <w:lang w:val="es-ES"/>
        </w:rPr>
        <w:t>asi</w:t>
      </w:r>
      <w:proofErr w:type="spellEnd"/>
      <w:r w:rsidRPr="004C7F2E">
        <w:rPr>
          <w:rFonts w:ascii="Verdana" w:hAnsi="Verdana"/>
          <w:sz w:val="20"/>
          <w:szCs w:val="20"/>
          <w:lang w:val="es-ES"/>
        </w:rPr>
        <w:t>́ lo soliciten (</w:t>
      </w:r>
      <w:r w:rsidRPr="004C7F2E">
        <w:rPr>
          <w:rFonts w:ascii="Verdana" w:hAnsi="Verdana"/>
          <w:i/>
          <w:sz w:val="20"/>
          <w:szCs w:val="20"/>
          <w:lang w:val="es-ES"/>
        </w:rPr>
        <w:t>punto resolutivo décimo de la Sentencia</w:t>
      </w:r>
      <w:r w:rsidRPr="004C7F2E">
        <w:rPr>
          <w:rFonts w:ascii="Verdana" w:hAnsi="Verdana"/>
          <w:sz w:val="20"/>
          <w:szCs w:val="20"/>
          <w:lang w:val="es-ES"/>
        </w:rPr>
        <w:t>)</w:t>
      </w:r>
    </w:p>
    <w:p w14:paraId="0D8930E4" w14:textId="77777777" w:rsidR="00371BC2" w:rsidRDefault="004C7F2E" w:rsidP="00371BC2">
      <w:pPr>
        <w:pStyle w:val="NormalWeb"/>
        <w:numPr>
          <w:ilvl w:val="0"/>
          <w:numId w:val="27"/>
        </w:numPr>
        <w:jc w:val="both"/>
        <w:rPr>
          <w:rFonts w:ascii="Verdana" w:hAnsi="Verdana"/>
          <w:sz w:val="20"/>
          <w:szCs w:val="20"/>
          <w:lang w:val="es-ES"/>
        </w:rPr>
      </w:pPr>
      <w:r w:rsidRPr="00371BC2">
        <w:rPr>
          <w:rFonts w:ascii="Verdana" w:hAnsi="Verdana"/>
          <w:sz w:val="20"/>
          <w:szCs w:val="20"/>
          <w:lang w:val="es-ES"/>
        </w:rPr>
        <w:lastRenderedPageBreak/>
        <w:t xml:space="preserve">realizar un acto </w:t>
      </w:r>
      <w:proofErr w:type="spellStart"/>
      <w:r w:rsidRPr="00371BC2">
        <w:rPr>
          <w:rFonts w:ascii="Verdana" w:hAnsi="Verdana"/>
          <w:sz w:val="20"/>
          <w:szCs w:val="20"/>
          <w:lang w:val="es-ES"/>
        </w:rPr>
        <w:t>público</w:t>
      </w:r>
      <w:proofErr w:type="spellEnd"/>
      <w:r w:rsidRPr="00371BC2">
        <w:rPr>
          <w:rFonts w:ascii="Verdana" w:hAnsi="Verdana"/>
          <w:sz w:val="20"/>
          <w:szCs w:val="20"/>
          <w:lang w:val="es-ES"/>
        </w:rPr>
        <w:t xml:space="preserve"> de reconocimiento de responsabilidad internacional y disculpas </w:t>
      </w:r>
      <w:proofErr w:type="spellStart"/>
      <w:r w:rsidRPr="00371BC2">
        <w:rPr>
          <w:rFonts w:ascii="Verdana" w:hAnsi="Verdana"/>
          <w:sz w:val="20"/>
          <w:szCs w:val="20"/>
          <w:lang w:val="es-ES"/>
        </w:rPr>
        <w:t>públicas</w:t>
      </w:r>
      <w:proofErr w:type="spellEnd"/>
      <w:r w:rsidRPr="00371BC2">
        <w:rPr>
          <w:rFonts w:ascii="Verdana" w:hAnsi="Verdana"/>
          <w:sz w:val="20"/>
          <w:szCs w:val="20"/>
          <w:lang w:val="es-ES"/>
        </w:rPr>
        <w:t xml:space="preserve"> en </w:t>
      </w:r>
      <w:proofErr w:type="spellStart"/>
      <w:r w:rsidRPr="00371BC2">
        <w:rPr>
          <w:rFonts w:ascii="Verdana" w:hAnsi="Verdana"/>
          <w:sz w:val="20"/>
          <w:szCs w:val="20"/>
          <w:lang w:val="es-ES"/>
        </w:rPr>
        <w:t>relación</w:t>
      </w:r>
      <w:proofErr w:type="spellEnd"/>
      <w:r w:rsidRPr="00371BC2">
        <w:rPr>
          <w:rFonts w:ascii="Verdana" w:hAnsi="Verdana"/>
          <w:sz w:val="20"/>
          <w:szCs w:val="20"/>
          <w:lang w:val="es-ES"/>
        </w:rPr>
        <w:t xml:space="preserve"> con los hechos del presente caso (</w:t>
      </w:r>
      <w:r w:rsidRPr="00371BC2">
        <w:rPr>
          <w:rFonts w:ascii="Verdana" w:hAnsi="Verdana"/>
          <w:i/>
          <w:sz w:val="20"/>
          <w:szCs w:val="20"/>
          <w:lang w:val="es-ES"/>
        </w:rPr>
        <w:t>punto resolutivo décimo segundo de la Sentencia</w:t>
      </w:r>
      <w:r w:rsidRPr="00371BC2">
        <w:rPr>
          <w:rFonts w:ascii="Verdana" w:hAnsi="Verdana"/>
          <w:sz w:val="20"/>
          <w:szCs w:val="20"/>
          <w:lang w:val="es-ES"/>
        </w:rPr>
        <w:t xml:space="preserve">); </w:t>
      </w:r>
    </w:p>
    <w:p w14:paraId="6435DFAA" w14:textId="77777777" w:rsidR="00371BC2" w:rsidRDefault="004C7F2E" w:rsidP="00371BC2">
      <w:pPr>
        <w:pStyle w:val="NormalWeb"/>
        <w:numPr>
          <w:ilvl w:val="0"/>
          <w:numId w:val="27"/>
        </w:numPr>
        <w:jc w:val="both"/>
        <w:rPr>
          <w:rFonts w:ascii="Verdana" w:hAnsi="Verdana"/>
          <w:sz w:val="20"/>
          <w:szCs w:val="20"/>
          <w:lang w:val="es-ES"/>
        </w:rPr>
      </w:pPr>
      <w:r w:rsidRPr="00371BC2">
        <w:rPr>
          <w:rFonts w:ascii="Verdana" w:hAnsi="Verdana"/>
          <w:sz w:val="20"/>
          <w:szCs w:val="20"/>
          <w:lang w:val="es-ES"/>
        </w:rPr>
        <w:t xml:space="preserve">crear un plan de </w:t>
      </w:r>
      <w:proofErr w:type="spellStart"/>
      <w:r w:rsidRPr="00371BC2">
        <w:rPr>
          <w:rFonts w:ascii="Verdana" w:hAnsi="Verdana"/>
          <w:sz w:val="20"/>
          <w:szCs w:val="20"/>
          <w:lang w:val="es-ES"/>
        </w:rPr>
        <w:t>capacitación</w:t>
      </w:r>
      <w:proofErr w:type="spellEnd"/>
      <w:r w:rsidRPr="00371BC2">
        <w:rPr>
          <w:rFonts w:ascii="Verdana" w:hAnsi="Verdana"/>
          <w:sz w:val="20"/>
          <w:szCs w:val="20"/>
          <w:lang w:val="es-ES"/>
        </w:rPr>
        <w:t xml:space="preserve"> de oficiales de la </w:t>
      </w:r>
      <w:proofErr w:type="spellStart"/>
      <w:r w:rsidRPr="00371BC2">
        <w:rPr>
          <w:rFonts w:ascii="Verdana" w:hAnsi="Verdana"/>
          <w:sz w:val="20"/>
          <w:szCs w:val="20"/>
          <w:lang w:val="es-ES"/>
        </w:rPr>
        <w:t>Policía</w:t>
      </w:r>
      <w:proofErr w:type="spellEnd"/>
      <w:r w:rsidRPr="00371BC2">
        <w:rPr>
          <w:rFonts w:ascii="Verdana" w:hAnsi="Verdana"/>
          <w:sz w:val="20"/>
          <w:szCs w:val="20"/>
          <w:lang w:val="es-ES"/>
        </w:rPr>
        <w:t xml:space="preserve"> Federal y del estado de </w:t>
      </w:r>
      <w:proofErr w:type="spellStart"/>
      <w:r w:rsidRPr="00371BC2">
        <w:rPr>
          <w:rFonts w:ascii="Verdana" w:hAnsi="Verdana"/>
          <w:sz w:val="20"/>
          <w:szCs w:val="20"/>
          <w:lang w:val="es-ES"/>
        </w:rPr>
        <w:t>México</w:t>
      </w:r>
      <w:proofErr w:type="spellEnd"/>
      <w:r w:rsidRPr="00371BC2">
        <w:rPr>
          <w:rFonts w:ascii="Verdana" w:hAnsi="Verdana"/>
          <w:sz w:val="20"/>
          <w:szCs w:val="20"/>
          <w:lang w:val="es-ES"/>
        </w:rPr>
        <w:t xml:space="preserve"> (</w:t>
      </w:r>
      <w:r w:rsidRPr="00371BC2">
        <w:rPr>
          <w:rFonts w:ascii="Verdana" w:hAnsi="Verdana"/>
          <w:i/>
          <w:sz w:val="20"/>
          <w:szCs w:val="20"/>
          <w:lang w:val="es-ES"/>
        </w:rPr>
        <w:t>punto resolutivo décimo tercero de la Sentencia</w:t>
      </w:r>
      <w:r w:rsidRPr="00371BC2">
        <w:rPr>
          <w:rFonts w:ascii="Verdana" w:hAnsi="Verdana"/>
          <w:sz w:val="20"/>
          <w:szCs w:val="20"/>
          <w:lang w:val="es-ES"/>
        </w:rPr>
        <w:t xml:space="preserve">); </w:t>
      </w:r>
    </w:p>
    <w:p w14:paraId="2C2877F6" w14:textId="77777777" w:rsidR="00371BC2" w:rsidRDefault="004C7F2E" w:rsidP="00371BC2">
      <w:pPr>
        <w:pStyle w:val="NormalWeb"/>
        <w:numPr>
          <w:ilvl w:val="0"/>
          <w:numId w:val="27"/>
        </w:numPr>
        <w:jc w:val="both"/>
        <w:rPr>
          <w:rFonts w:ascii="Verdana" w:hAnsi="Verdana"/>
          <w:sz w:val="20"/>
          <w:szCs w:val="20"/>
          <w:lang w:val="es-ES"/>
        </w:rPr>
      </w:pPr>
      <w:r w:rsidRPr="00371BC2">
        <w:rPr>
          <w:rFonts w:ascii="Verdana" w:hAnsi="Verdana"/>
          <w:sz w:val="20"/>
          <w:szCs w:val="20"/>
          <w:lang w:val="es-ES"/>
        </w:rPr>
        <w:t xml:space="preserve">establecer un mecanismo de monitoreo y </w:t>
      </w:r>
      <w:proofErr w:type="spellStart"/>
      <w:r w:rsidRPr="00371BC2">
        <w:rPr>
          <w:rFonts w:ascii="Verdana" w:hAnsi="Verdana"/>
          <w:sz w:val="20"/>
          <w:szCs w:val="20"/>
          <w:lang w:val="es-ES"/>
        </w:rPr>
        <w:t>fiscalización</w:t>
      </w:r>
      <w:proofErr w:type="spellEnd"/>
      <w:r w:rsidRPr="00371BC2">
        <w:rPr>
          <w:rFonts w:ascii="Verdana" w:hAnsi="Verdana"/>
          <w:sz w:val="20"/>
          <w:szCs w:val="20"/>
          <w:lang w:val="es-ES"/>
        </w:rPr>
        <w:t xml:space="preserve"> para medir y evaluar la efectividad de las </w:t>
      </w:r>
      <w:proofErr w:type="spellStart"/>
      <w:r w:rsidRPr="00371BC2">
        <w:rPr>
          <w:rFonts w:ascii="Verdana" w:hAnsi="Verdana"/>
          <w:sz w:val="20"/>
          <w:szCs w:val="20"/>
          <w:lang w:val="es-ES"/>
        </w:rPr>
        <w:t>políticas</w:t>
      </w:r>
      <w:proofErr w:type="spellEnd"/>
      <w:r w:rsidRPr="00371BC2">
        <w:rPr>
          <w:rFonts w:ascii="Verdana" w:hAnsi="Verdana"/>
          <w:sz w:val="20"/>
          <w:szCs w:val="20"/>
          <w:lang w:val="es-ES"/>
        </w:rPr>
        <w:t xml:space="preserve"> e instituciones existentes en materia de </w:t>
      </w:r>
      <w:proofErr w:type="spellStart"/>
      <w:r w:rsidRPr="00371BC2">
        <w:rPr>
          <w:rFonts w:ascii="Verdana" w:hAnsi="Verdana"/>
          <w:sz w:val="20"/>
          <w:szCs w:val="20"/>
          <w:lang w:val="es-ES"/>
        </w:rPr>
        <w:t>rendición</w:t>
      </w:r>
      <w:proofErr w:type="spellEnd"/>
      <w:r w:rsidRPr="00371BC2">
        <w:rPr>
          <w:rFonts w:ascii="Verdana" w:hAnsi="Verdana"/>
          <w:sz w:val="20"/>
          <w:szCs w:val="20"/>
          <w:lang w:val="es-ES"/>
        </w:rPr>
        <w:t xml:space="preserve"> de cuentas y monitoreo del uso de la fuerza de la </w:t>
      </w:r>
      <w:proofErr w:type="spellStart"/>
      <w:r w:rsidRPr="00371BC2">
        <w:rPr>
          <w:rFonts w:ascii="Verdana" w:hAnsi="Verdana"/>
          <w:sz w:val="20"/>
          <w:szCs w:val="20"/>
          <w:lang w:val="es-ES"/>
        </w:rPr>
        <w:t>Policía</w:t>
      </w:r>
      <w:proofErr w:type="spellEnd"/>
      <w:r w:rsidRPr="00371BC2">
        <w:rPr>
          <w:rFonts w:ascii="Verdana" w:hAnsi="Verdana"/>
          <w:sz w:val="20"/>
          <w:szCs w:val="20"/>
          <w:lang w:val="es-ES"/>
        </w:rPr>
        <w:t xml:space="preserve"> Federal y la </w:t>
      </w:r>
      <w:proofErr w:type="spellStart"/>
      <w:r w:rsidRPr="00371BC2">
        <w:rPr>
          <w:rFonts w:ascii="Verdana" w:hAnsi="Verdana"/>
          <w:sz w:val="20"/>
          <w:szCs w:val="20"/>
          <w:lang w:val="es-ES"/>
        </w:rPr>
        <w:t>policía</w:t>
      </w:r>
      <w:proofErr w:type="spellEnd"/>
      <w:r w:rsidRPr="00371BC2">
        <w:rPr>
          <w:rFonts w:ascii="Verdana" w:hAnsi="Verdana"/>
          <w:sz w:val="20"/>
          <w:szCs w:val="20"/>
          <w:lang w:val="es-ES"/>
        </w:rPr>
        <w:t xml:space="preserve"> del estado de </w:t>
      </w:r>
      <w:proofErr w:type="spellStart"/>
      <w:r w:rsidRPr="00371BC2">
        <w:rPr>
          <w:rFonts w:ascii="Verdana" w:hAnsi="Verdana"/>
          <w:sz w:val="20"/>
          <w:szCs w:val="20"/>
          <w:lang w:val="es-ES"/>
        </w:rPr>
        <w:t>México</w:t>
      </w:r>
      <w:proofErr w:type="spellEnd"/>
      <w:r w:rsidRPr="00371BC2">
        <w:rPr>
          <w:rFonts w:ascii="Verdana" w:hAnsi="Verdana"/>
          <w:sz w:val="20"/>
          <w:szCs w:val="20"/>
          <w:lang w:val="es-ES"/>
        </w:rPr>
        <w:t xml:space="preserve"> (</w:t>
      </w:r>
      <w:r w:rsidRPr="00371BC2">
        <w:rPr>
          <w:rFonts w:ascii="Verdana" w:hAnsi="Verdana"/>
          <w:i/>
          <w:sz w:val="20"/>
          <w:szCs w:val="20"/>
          <w:lang w:val="es-ES"/>
        </w:rPr>
        <w:t>punto resolutivo décimo tercero de la Sentencia</w:t>
      </w:r>
      <w:r w:rsidRPr="00371BC2">
        <w:rPr>
          <w:rFonts w:ascii="Verdana" w:hAnsi="Verdana"/>
          <w:sz w:val="20"/>
          <w:szCs w:val="20"/>
          <w:lang w:val="es-ES"/>
        </w:rPr>
        <w:t xml:space="preserve">); </w:t>
      </w:r>
    </w:p>
    <w:p w14:paraId="395C1AF0" w14:textId="77777777" w:rsidR="00371BC2" w:rsidRDefault="004C7F2E" w:rsidP="00371BC2">
      <w:pPr>
        <w:pStyle w:val="NormalWeb"/>
        <w:numPr>
          <w:ilvl w:val="0"/>
          <w:numId w:val="27"/>
        </w:numPr>
        <w:jc w:val="both"/>
        <w:rPr>
          <w:rFonts w:ascii="Verdana" w:hAnsi="Verdana"/>
          <w:sz w:val="20"/>
          <w:szCs w:val="20"/>
          <w:lang w:val="es-ES"/>
        </w:rPr>
      </w:pPr>
      <w:r w:rsidRPr="00371BC2">
        <w:rPr>
          <w:rFonts w:ascii="Verdana" w:hAnsi="Verdana"/>
          <w:sz w:val="20"/>
          <w:szCs w:val="20"/>
          <w:lang w:val="es-ES"/>
        </w:rPr>
        <w:t xml:space="preserve">otorgar una beca en una </w:t>
      </w:r>
      <w:proofErr w:type="spellStart"/>
      <w:r w:rsidRPr="00371BC2">
        <w:rPr>
          <w:rFonts w:ascii="Verdana" w:hAnsi="Verdana"/>
          <w:sz w:val="20"/>
          <w:szCs w:val="20"/>
          <w:lang w:val="es-ES"/>
        </w:rPr>
        <w:t>institución</w:t>
      </w:r>
      <w:proofErr w:type="spellEnd"/>
      <w:r w:rsidRPr="00371BC2">
        <w:rPr>
          <w:rFonts w:ascii="Verdana" w:hAnsi="Verdana"/>
          <w:sz w:val="20"/>
          <w:szCs w:val="20"/>
          <w:lang w:val="es-ES"/>
        </w:rPr>
        <w:t xml:space="preserve"> </w:t>
      </w:r>
      <w:proofErr w:type="spellStart"/>
      <w:r w:rsidRPr="00371BC2">
        <w:rPr>
          <w:rFonts w:ascii="Verdana" w:hAnsi="Verdana"/>
          <w:sz w:val="20"/>
          <w:szCs w:val="20"/>
          <w:lang w:val="es-ES"/>
        </w:rPr>
        <w:t>pública</w:t>
      </w:r>
      <w:proofErr w:type="spellEnd"/>
      <w:r w:rsidRPr="00371BC2">
        <w:rPr>
          <w:rFonts w:ascii="Verdana" w:hAnsi="Verdana"/>
          <w:sz w:val="20"/>
          <w:szCs w:val="20"/>
          <w:lang w:val="es-ES"/>
        </w:rPr>
        <w:t xml:space="preserve"> mexicana de </w:t>
      </w:r>
      <w:proofErr w:type="spellStart"/>
      <w:r w:rsidRPr="00371BC2">
        <w:rPr>
          <w:rFonts w:ascii="Verdana" w:hAnsi="Verdana"/>
          <w:sz w:val="20"/>
          <w:szCs w:val="20"/>
          <w:lang w:val="es-ES"/>
        </w:rPr>
        <w:t>educación</w:t>
      </w:r>
      <w:proofErr w:type="spellEnd"/>
      <w:r w:rsidRPr="00371BC2">
        <w:rPr>
          <w:rFonts w:ascii="Verdana" w:hAnsi="Verdana"/>
          <w:sz w:val="20"/>
          <w:szCs w:val="20"/>
          <w:lang w:val="es-ES"/>
        </w:rPr>
        <w:t xml:space="preserve"> superior a favor de </w:t>
      </w:r>
      <w:proofErr w:type="spellStart"/>
      <w:r w:rsidRPr="00371BC2">
        <w:rPr>
          <w:rFonts w:ascii="Verdana" w:hAnsi="Verdana"/>
          <w:sz w:val="20"/>
          <w:szCs w:val="20"/>
          <w:lang w:val="es-ES"/>
        </w:rPr>
        <w:t>Angélica</w:t>
      </w:r>
      <w:proofErr w:type="spellEnd"/>
      <w:r w:rsidRPr="00371BC2">
        <w:rPr>
          <w:rFonts w:ascii="Verdana" w:hAnsi="Verdana"/>
          <w:sz w:val="20"/>
          <w:szCs w:val="20"/>
          <w:lang w:val="es-ES"/>
        </w:rPr>
        <w:t xml:space="preserve"> Patricia Torres Linares, Claudia </w:t>
      </w:r>
      <w:proofErr w:type="spellStart"/>
      <w:r w:rsidRPr="00371BC2">
        <w:rPr>
          <w:rFonts w:ascii="Verdana" w:hAnsi="Verdana"/>
          <w:sz w:val="20"/>
          <w:szCs w:val="20"/>
          <w:lang w:val="es-ES"/>
        </w:rPr>
        <w:t>Hernández</w:t>
      </w:r>
      <w:proofErr w:type="spellEnd"/>
      <w:r w:rsidRPr="00371BC2">
        <w:rPr>
          <w:rFonts w:ascii="Verdana" w:hAnsi="Verdana"/>
          <w:sz w:val="20"/>
          <w:szCs w:val="20"/>
          <w:lang w:val="es-ES"/>
        </w:rPr>
        <w:t xml:space="preserve"> </w:t>
      </w:r>
      <w:proofErr w:type="spellStart"/>
      <w:r w:rsidRPr="00371BC2">
        <w:rPr>
          <w:rFonts w:ascii="Verdana" w:hAnsi="Verdana"/>
          <w:sz w:val="20"/>
          <w:szCs w:val="20"/>
          <w:lang w:val="es-ES"/>
        </w:rPr>
        <w:t>Martínez</w:t>
      </w:r>
      <w:proofErr w:type="spellEnd"/>
      <w:r w:rsidRPr="00371BC2">
        <w:rPr>
          <w:rFonts w:ascii="Verdana" w:hAnsi="Verdana"/>
          <w:sz w:val="20"/>
          <w:szCs w:val="20"/>
          <w:lang w:val="es-ES"/>
        </w:rPr>
        <w:t xml:space="preserve"> y </w:t>
      </w:r>
      <w:proofErr w:type="spellStart"/>
      <w:r w:rsidRPr="00371BC2">
        <w:rPr>
          <w:rFonts w:ascii="Verdana" w:hAnsi="Verdana"/>
          <w:sz w:val="20"/>
          <w:szCs w:val="20"/>
          <w:lang w:val="es-ES"/>
        </w:rPr>
        <w:t>Suhelen</w:t>
      </w:r>
      <w:proofErr w:type="spellEnd"/>
      <w:r w:rsidRPr="00371BC2">
        <w:rPr>
          <w:rFonts w:ascii="Verdana" w:hAnsi="Verdana"/>
          <w:sz w:val="20"/>
          <w:szCs w:val="20"/>
          <w:lang w:val="es-ES"/>
        </w:rPr>
        <w:t xml:space="preserve"> Gabriela Cuevas Jaramillo, para realizar estudios superiores </w:t>
      </w:r>
      <w:proofErr w:type="spellStart"/>
      <w:r w:rsidRPr="00371BC2">
        <w:rPr>
          <w:rFonts w:ascii="Verdana" w:hAnsi="Verdana"/>
          <w:sz w:val="20"/>
          <w:szCs w:val="20"/>
          <w:lang w:val="es-ES"/>
        </w:rPr>
        <w:t>técnicos</w:t>
      </w:r>
      <w:proofErr w:type="spellEnd"/>
      <w:r w:rsidRPr="00371BC2">
        <w:rPr>
          <w:rFonts w:ascii="Verdana" w:hAnsi="Verdana"/>
          <w:sz w:val="20"/>
          <w:szCs w:val="20"/>
          <w:lang w:val="es-ES"/>
        </w:rPr>
        <w:t xml:space="preserve"> o universitarios (</w:t>
      </w:r>
      <w:r w:rsidRPr="00371BC2">
        <w:rPr>
          <w:rFonts w:ascii="Verdana" w:hAnsi="Verdana"/>
          <w:i/>
          <w:sz w:val="20"/>
          <w:szCs w:val="20"/>
          <w:lang w:val="es-ES"/>
        </w:rPr>
        <w:t>punto resolutivo décimo cuarto de la Sentencia</w:t>
      </w:r>
      <w:r w:rsidRPr="00371BC2">
        <w:rPr>
          <w:rFonts w:ascii="Verdana" w:hAnsi="Verdana"/>
          <w:sz w:val="20"/>
          <w:szCs w:val="20"/>
          <w:lang w:val="es-ES"/>
        </w:rPr>
        <w:t xml:space="preserve">); </w:t>
      </w:r>
    </w:p>
    <w:p w14:paraId="1341B930" w14:textId="77777777" w:rsidR="00371BC2" w:rsidRDefault="004C7F2E" w:rsidP="00371BC2">
      <w:pPr>
        <w:pStyle w:val="NormalWeb"/>
        <w:numPr>
          <w:ilvl w:val="0"/>
          <w:numId w:val="27"/>
        </w:numPr>
        <w:jc w:val="both"/>
        <w:rPr>
          <w:rFonts w:ascii="Verdana" w:hAnsi="Verdana"/>
          <w:sz w:val="20"/>
          <w:szCs w:val="20"/>
          <w:lang w:val="es-ES"/>
        </w:rPr>
      </w:pPr>
      <w:r w:rsidRPr="00371BC2">
        <w:rPr>
          <w:rFonts w:ascii="Verdana" w:hAnsi="Verdana"/>
          <w:sz w:val="20"/>
          <w:szCs w:val="20"/>
          <w:lang w:val="es-ES"/>
        </w:rPr>
        <w:t>elaborar un plan de fortalecimiento calendarizado del Mecanismo de Seguimiento de Casos de Tortura Sexual cometida contra Mujeres (</w:t>
      </w:r>
      <w:r w:rsidRPr="00371BC2">
        <w:rPr>
          <w:rFonts w:ascii="Verdana" w:hAnsi="Verdana"/>
          <w:i/>
          <w:sz w:val="20"/>
          <w:szCs w:val="20"/>
          <w:lang w:val="es-ES"/>
        </w:rPr>
        <w:t>punto resolutivo décimo quinto de la Sentencia</w:t>
      </w:r>
      <w:r w:rsidRPr="00371BC2">
        <w:rPr>
          <w:rFonts w:ascii="Verdana" w:hAnsi="Verdana"/>
          <w:sz w:val="20"/>
          <w:szCs w:val="20"/>
          <w:lang w:val="es-ES"/>
        </w:rPr>
        <w:t xml:space="preserve">); </w:t>
      </w:r>
    </w:p>
    <w:p w14:paraId="04881EA8" w14:textId="77777777" w:rsidR="00371BC2" w:rsidRPr="00371BC2" w:rsidRDefault="00371BC2" w:rsidP="00371BC2">
      <w:pPr>
        <w:pStyle w:val="NormalWeb"/>
        <w:numPr>
          <w:ilvl w:val="0"/>
          <w:numId w:val="27"/>
        </w:numPr>
        <w:jc w:val="both"/>
        <w:rPr>
          <w:rFonts w:ascii="Verdana" w:hAnsi="Verdana"/>
          <w:sz w:val="20"/>
          <w:szCs w:val="20"/>
          <w:lang w:val="es-ES"/>
        </w:rPr>
      </w:pPr>
      <w:r w:rsidRPr="00371BC2">
        <w:rPr>
          <w:rFonts w:ascii="Verdana" w:hAnsi="Verdana"/>
          <w:sz w:val="20"/>
          <w:szCs w:val="20"/>
          <w:lang w:val="es-ES"/>
        </w:rPr>
        <w:t xml:space="preserve">pagar las cantidades fijadas en la Sentencia por concepto de indemnizaciones por daño material e inmaterial en favor de María Patricia </w:t>
      </w:r>
      <w:r w:rsidRPr="00371BC2">
        <w:rPr>
          <w:rFonts w:ascii="Verdana" w:hAnsi="Verdana" w:cs="Verdana"/>
          <w:sz w:val="20"/>
          <w:szCs w:val="20"/>
          <w:lang w:val="es-ES"/>
        </w:rPr>
        <w:t>Romero Hernández y sus familiares (</w:t>
      </w:r>
      <w:r w:rsidRPr="00371BC2">
        <w:rPr>
          <w:rFonts w:ascii="Verdana" w:hAnsi="Verdana" w:cs="Verdana"/>
          <w:i/>
          <w:sz w:val="20"/>
          <w:szCs w:val="20"/>
          <w:lang w:val="es-ES"/>
        </w:rPr>
        <w:t>punto resolutivo décimo sexto de la Sentencia</w:t>
      </w:r>
      <w:r>
        <w:rPr>
          <w:rFonts w:ascii="Verdana" w:hAnsi="Verdana" w:cs="Verdana"/>
          <w:sz w:val="20"/>
          <w:szCs w:val="20"/>
          <w:lang w:val="es-ES"/>
        </w:rPr>
        <w:t>), y</w:t>
      </w:r>
      <w:r w:rsidRPr="00371BC2">
        <w:rPr>
          <w:rFonts w:ascii="Verdana" w:hAnsi="Verdana" w:cs="Verdana"/>
          <w:sz w:val="20"/>
          <w:szCs w:val="20"/>
          <w:lang w:val="es-ES"/>
        </w:rPr>
        <w:t xml:space="preserve"> </w:t>
      </w:r>
    </w:p>
    <w:p w14:paraId="346ABA50" w14:textId="0878AFC3" w:rsidR="00A15172" w:rsidRPr="006E11A2" w:rsidRDefault="00371BC2" w:rsidP="00A15172">
      <w:pPr>
        <w:pStyle w:val="NormalWeb"/>
        <w:numPr>
          <w:ilvl w:val="0"/>
          <w:numId w:val="27"/>
        </w:numPr>
        <w:jc w:val="both"/>
        <w:rPr>
          <w:rFonts w:ascii="Verdana" w:hAnsi="Verdana"/>
          <w:sz w:val="20"/>
          <w:szCs w:val="20"/>
          <w:lang w:val="es-ES"/>
        </w:rPr>
      </w:pPr>
      <w:r w:rsidRPr="00371BC2">
        <w:rPr>
          <w:rFonts w:ascii="Verdana" w:hAnsi="Verdana" w:cs="Verdana"/>
          <w:sz w:val="20"/>
          <w:szCs w:val="20"/>
          <w:lang w:val="es-ES"/>
        </w:rPr>
        <w:t>pagar el reintegro de costas y gastos (</w:t>
      </w:r>
      <w:r w:rsidRPr="00371BC2">
        <w:rPr>
          <w:rFonts w:ascii="Verdana" w:hAnsi="Verdana" w:cs="Verdana"/>
          <w:i/>
          <w:sz w:val="20"/>
          <w:szCs w:val="20"/>
          <w:lang w:val="es-ES"/>
        </w:rPr>
        <w:t>punto resolutivo décimo sexto de la Sentencia</w:t>
      </w:r>
      <w:r w:rsidRPr="00371BC2">
        <w:rPr>
          <w:rFonts w:ascii="Verdana" w:hAnsi="Verdana" w:cs="Verdana"/>
          <w:sz w:val="20"/>
          <w:szCs w:val="20"/>
          <w:lang w:val="es-ES"/>
        </w:rPr>
        <w:t xml:space="preserve">). </w:t>
      </w:r>
    </w:p>
    <w:p w14:paraId="7A6C23C4" w14:textId="474AE189" w:rsidR="00B315ED" w:rsidRPr="00B315ED" w:rsidRDefault="00B315ED" w:rsidP="00B315ED">
      <w:pPr>
        <w:jc w:val="both"/>
        <w:rPr>
          <w:rFonts w:ascii="Verdana" w:hAnsi="Verdana"/>
          <w:sz w:val="20"/>
          <w:szCs w:val="20"/>
          <w:lang w:val="es-ES"/>
        </w:rPr>
      </w:pPr>
      <w:r>
        <w:rPr>
          <w:rFonts w:ascii="Verdana" w:hAnsi="Verdana"/>
          <w:sz w:val="20"/>
          <w:szCs w:val="20"/>
          <w:lang w:val="es-ES"/>
        </w:rPr>
        <w:t>5.</w:t>
      </w:r>
      <w:r>
        <w:rPr>
          <w:rFonts w:ascii="Verdana" w:hAnsi="Verdana"/>
          <w:sz w:val="20"/>
          <w:szCs w:val="20"/>
          <w:lang w:val="es-ES"/>
        </w:rPr>
        <w:tab/>
        <w:t xml:space="preserve">Disponer que el Estado adopte, en definitiva y a la mayor brevedad posible, las medidas </w:t>
      </w:r>
      <w:r w:rsidRPr="00B315ED">
        <w:rPr>
          <w:rFonts w:ascii="Verdana" w:hAnsi="Verdana"/>
          <w:sz w:val="20"/>
          <w:szCs w:val="20"/>
          <w:lang w:val="es-ES"/>
        </w:rPr>
        <w:t xml:space="preserve">que sean necesarias para dar efectivo y pronto cumplimiento a las reparaciones indicadas en el punto resolutivo anterior, de acuerdo con lo considerado en la presente </w:t>
      </w:r>
      <w:proofErr w:type="spellStart"/>
      <w:r w:rsidRPr="00B315ED">
        <w:rPr>
          <w:rFonts w:ascii="Verdana" w:hAnsi="Verdana"/>
          <w:sz w:val="20"/>
          <w:szCs w:val="20"/>
          <w:lang w:val="es-ES"/>
        </w:rPr>
        <w:t>Resolución</w:t>
      </w:r>
      <w:proofErr w:type="spellEnd"/>
      <w:r w:rsidRPr="00B315ED">
        <w:rPr>
          <w:rFonts w:ascii="Verdana" w:hAnsi="Verdana"/>
          <w:sz w:val="20"/>
          <w:szCs w:val="20"/>
          <w:lang w:val="es-ES"/>
        </w:rPr>
        <w:t xml:space="preserve">, y con lo estipulado en el </w:t>
      </w:r>
      <w:proofErr w:type="spellStart"/>
      <w:r w:rsidRPr="00B315ED">
        <w:rPr>
          <w:rFonts w:ascii="Verdana" w:hAnsi="Verdana"/>
          <w:sz w:val="20"/>
          <w:szCs w:val="20"/>
          <w:lang w:val="es-ES"/>
        </w:rPr>
        <w:t>artículo</w:t>
      </w:r>
      <w:proofErr w:type="spellEnd"/>
      <w:r w:rsidRPr="00B315ED">
        <w:rPr>
          <w:rFonts w:ascii="Verdana" w:hAnsi="Verdana"/>
          <w:sz w:val="20"/>
          <w:szCs w:val="20"/>
          <w:lang w:val="es-ES"/>
        </w:rPr>
        <w:t xml:space="preserve"> 68.1 de la </w:t>
      </w:r>
      <w:proofErr w:type="spellStart"/>
      <w:r w:rsidRPr="00B315ED">
        <w:rPr>
          <w:rFonts w:ascii="Verdana" w:hAnsi="Verdana"/>
          <w:sz w:val="20"/>
          <w:szCs w:val="20"/>
          <w:lang w:val="es-ES"/>
        </w:rPr>
        <w:t>Convención</w:t>
      </w:r>
      <w:proofErr w:type="spellEnd"/>
      <w:r w:rsidRPr="00B315ED">
        <w:rPr>
          <w:rFonts w:ascii="Verdana" w:hAnsi="Verdana"/>
          <w:sz w:val="20"/>
          <w:szCs w:val="20"/>
          <w:lang w:val="es-ES"/>
        </w:rPr>
        <w:t xml:space="preserve"> </w:t>
      </w:r>
      <w:proofErr w:type="gramStart"/>
      <w:r w:rsidRPr="00B315ED">
        <w:rPr>
          <w:rFonts w:ascii="Verdana" w:hAnsi="Verdana"/>
          <w:sz w:val="20"/>
          <w:szCs w:val="20"/>
          <w:lang w:val="es-ES"/>
        </w:rPr>
        <w:t>Americana</w:t>
      </w:r>
      <w:proofErr w:type="gramEnd"/>
      <w:r w:rsidRPr="00B315ED">
        <w:rPr>
          <w:rFonts w:ascii="Verdana" w:hAnsi="Verdana"/>
          <w:sz w:val="20"/>
          <w:szCs w:val="20"/>
          <w:lang w:val="es-ES"/>
        </w:rPr>
        <w:t xml:space="preserve"> sobre Derechos Humanos. </w:t>
      </w:r>
    </w:p>
    <w:p w14:paraId="3046EE17" w14:textId="77777777" w:rsidR="00B315ED" w:rsidRDefault="00B315ED" w:rsidP="00A15172">
      <w:pPr>
        <w:jc w:val="both"/>
        <w:rPr>
          <w:rFonts w:ascii="Verdana" w:hAnsi="Verdana"/>
          <w:sz w:val="20"/>
          <w:szCs w:val="20"/>
          <w:lang w:val="es-ES"/>
        </w:rPr>
      </w:pPr>
    </w:p>
    <w:p w14:paraId="5E1FEAB4" w14:textId="73009BFE" w:rsidR="00A15172" w:rsidRDefault="00B315ED" w:rsidP="00A15172">
      <w:pPr>
        <w:jc w:val="both"/>
        <w:rPr>
          <w:rFonts w:ascii="Verdana" w:hAnsi="Verdana"/>
          <w:sz w:val="20"/>
          <w:szCs w:val="20"/>
          <w:lang w:val="es-ES"/>
        </w:rPr>
      </w:pPr>
      <w:r>
        <w:rPr>
          <w:rFonts w:ascii="Verdana" w:hAnsi="Verdana"/>
          <w:sz w:val="20"/>
          <w:szCs w:val="20"/>
          <w:lang w:val="es-ES"/>
        </w:rPr>
        <w:t>6.</w:t>
      </w:r>
      <w:r w:rsidR="00A15172">
        <w:rPr>
          <w:rFonts w:ascii="Verdana" w:hAnsi="Verdana"/>
          <w:sz w:val="20"/>
          <w:szCs w:val="20"/>
          <w:lang w:val="es-ES"/>
        </w:rPr>
        <w:tab/>
        <w:t xml:space="preserve">Disponer que México presente a la Corte Interamericana de Derechos Humanos, a más tardar el </w:t>
      </w:r>
      <w:r w:rsidR="002A6DF8">
        <w:rPr>
          <w:rFonts w:ascii="Verdana" w:hAnsi="Verdana"/>
          <w:sz w:val="20"/>
          <w:szCs w:val="20"/>
          <w:lang w:val="es-ES"/>
        </w:rPr>
        <w:t>22</w:t>
      </w:r>
      <w:r w:rsidR="00A15172">
        <w:rPr>
          <w:rFonts w:ascii="Verdana" w:hAnsi="Verdana"/>
          <w:sz w:val="20"/>
          <w:szCs w:val="20"/>
          <w:lang w:val="es-ES"/>
        </w:rPr>
        <w:t xml:space="preserve"> de </w:t>
      </w:r>
      <w:r w:rsidR="00382C5F">
        <w:rPr>
          <w:rFonts w:ascii="Verdana" w:hAnsi="Verdana"/>
          <w:sz w:val="20"/>
          <w:szCs w:val="20"/>
          <w:lang w:val="es-ES"/>
        </w:rPr>
        <w:t xml:space="preserve">marzo </w:t>
      </w:r>
      <w:r w:rsidR="00A15172">
        <w:rPr>
          <w:rFonts w:ascii="Verdana" w:hAnsi="Verdana"/>
          <w:sz w:val="20"/>
          <w:szCs w:val="20"/>
          <w:lang w:val="es-ES"/>
        </w:rPr>
        <w:t xml:space="preserve">de 2021, un informe </w:t>
      </w:r>
      <w:r>
        <w:rPr>
          <w:rFonts w:ascii="Verdana" w:hAnsi="Verdana"/>
          <w:sz w:val="20"/>
          <w:szCs w:val="20"/>
          <w:lang w:val="es-ES"/>
        </w:rPr>
        <w:t>sobre</w:t>
      </w:r>
      <w:r w:rsidR="00A15172">
        <w:rPr>
          <w:rFonts w:ascii="Verdana" w:hAnsi="Verdana"/>
          <w:sz w:val="20"/>
          <w:szCs w:val="20"/>
          <w:lang w:val="es-ES"/>
        </w:rPr>
        <w:t xml:space="preserve"> todas las reparaciones pendientes de cumplimiento, de conformidad con lo </w:t>
      </w:r>
      <w:r>
        <w:rPr>
          <w:rFonts w:ascii="Verdana" w:hAnsi="Verdana"/>
          <w:sz w:val="20"/>
          <w:szCs w:val="20"/>
          <w:lang w:val="es-ES"/>
        </w:rPr>
        <w:t xml:space="preserve">indicado en el punto resolutivo </w:t>
      </w:r>
      <w:r w:rsidR="00563836" w:rsidRPr="00B42F79">
        <w:rPr>
          <w:rFonts w:ascii="Verdana" w:hAnsi="Verdana"/>
          <w:sz w:val="20"/>
          <w:szCs w:val="20"/>
          <w:lang w:val="es-ES"/>
        </w:rPr>
        <w:t>4</w:t>
      </w:r>
      <w:r>
        <w:rPr>
          <w:rFonts w:ascii="Verdana" w:hAnsi="Verdana"/>
          <w:sz w:val="20"/>
          <w:szCs w:val="20"/>
          <w:lang w:val="es-ES"/>
        </w:rPr>
        <w:t xml:space="preserve"> de la presente Resolución. </w:t>
      </w:r>
    </w:p>
    <w:p w14:paraId="24A65D90" w14:textId="77777777" w:rsidR="00B315ED" w:rsidRDefault="00B315ED" w:rsidP="00A15172">
      <w:pPr>
        <w:jc w:val="both"/>
        <w:rPr>
          <w:rFonts w:ascii="Verdana" w:hAnsi="Verdana"/>
          <w:sz w:val="20"/>
          <w:szCs w:val="20"/>
          <w:lang w:val="es-ES"/>
        </w:rPr>
      </w:pPr>
    </w:p>
    <w:p w14:paraId="1A49ED92" w14:textId="20DFAF2C" w:rsidR="00B315ED" w:rsidRPr="00A15172" w:rsidRDefault="00B315ED" w:rsidP="00A15172">
      <w:pPr>
        <w:jc w:val="both"/>
        <w:rPr>
          <w:rFonts w:ascii="Verdana" w:hAnsi="Verdana"/>
          <w:sz w:val="20"/>
          <w:szCs w:val="20"/>
          <w:lang w:val="es-ES"/>
        </w:rPr>
      </w:pPr>
      <w:r>
        <w:rPr>
          <w:rFonts w:ascii="Verdana" w:hAnsi="Verdana"/>
          <w:sz w:val="20"/>
          <w:szCs w:val="20"/>
          <w:lang w:val="es-ES"/>
        </w:rPr>
        <w:t>7.</w:t>
      </w:r>
      <w:r>
        <w:rPr>
          <w:rFonts w:ascii="Verdana" w:hAnsi="Verdana"/>
          <w:sz w:val="20"/>
          <w:szCs w:val="20"/>
          <w:lang w:val="es-ES"/>
        </w:rPr>
        <w:tab/>
      </w:r>
      <w:r w:rsidR="00204442">
        <w:rPr>
          <w:rFonts w:ascii="Verdana" w:hAnsi="Verdana"/>
          <w:sz w:val="20"/>
          <w:szCs w:val="20"/>
          <w:lang w:val="es-ES"/>
        </w:rPr>
        <w:t>Disponer que la</w:t>
      </w:r>
      <w:r w:rsidRPr="00B315ED">
        <w:rPr>
          <w:rFonts w:ascii="Verdana" w:hAnsi="Verdana"/>
          <w:sz w:val="20"/>
          <w:szCs w:val="20"/>
          <w:lang w:val="es-ES"/>
        </w:rPr>
        <w:t xml:space="preserve">s representantes de las </w:t>
      </w:r>
      <w:proofErr w:type="spellStart"/>
      <w:r w:rsidRPr="00B315ED">
        <w:rPr>
          <w:rFonts w:ascii="Verdana" w:hAnsi="Verdana"/>
          <w:sz w:val="20"/>
          <w:szCs w:val="20"/>
          <w:lang w:val="es-ES"/>
        </w:rPr>
        <w:t>víctimas</w:t>
      </w:r>
      <w:proofErr w:type="spellEnd"/>
      <w:r w:rsidRPr="00B315ED">
        <w:rPr>
          <w:rFonts w:ascii="Verdana" w:hAnsi="Verdana"/>
          <w:sz w:val="20"/>
          <w:szCs w:val="20"/>
          <w:lang w:val="es-ES"/>
        </w:rPr>
        <w:t xml:space="preserve"> y la </w:t>
      </w:r>
      <w:proofErr w:type="spellStart"/>
      <w:r w:rsidRPr="00B315ED">
        <w:rPr>
          <w:rFonts w:ascii="Verdana" w:hAnsi="Verdana"/>
          <w:sz w:val="20"/>
          <w:szCs w:val="20"/>
          <w:lang w:val="es-ES"/>
        </w:rPr>
        <w:t>Comisión</w:t>
      </w:r>
      <w:proofErr w:type="spellEnd"/>
      <w:r w:rsidRPr="00B315ED">
        <w:rPr>
          <w:rFonts w:ascii="Verdana" w:hAnsi="Verdana"/>
          <w:sz w:val="20"/>
          <w:szCs w:val="20"/>
          <w:lang w:val="es-ES"/>
        </w:rPr>
        <w:t xml:space="preserve"> </w:t>
      </w:r>
      <w:r w:rsidR="00186E31">
        <w:rPr>
          <w:rFonts w:ascii="Verdana" w:hAnsi="Verdana"/>
          <w:sz w:val="20"/>
          <w:szCs w:val="20"/>
          <w:lang w:val="es-ES"/>
        </w:rPr>
        <w:t xml:space="preserve">Interamericana de Derechos Humanos </w:t>
      </w:r>
      <w:r w:rsidRPr="00B315ED">
        <w:rPr>
          <w:rFonts w:ascii="Verdana" w:hAnsi="Verdana"/>
          <w:sz w:val="20"/>
          <w:szCs w:val="20"/>
          <w:lang w:val="es-ES"/>
        </w:rPr>
        <w:t xml:space="preserve">presenten observaciones al informe del Estado mencionado en el punto resolutivo anterior, en los plazos de cuatro y seis semanas, respectivamente, contados a partir de la </w:t>
      </w:r>
      <w:proofErr w:type="spellStart"/>
      <w:r w:rsidRPr="00B315ED">
        <w:rPr>
          <w:rFonts w:ascii="Verdana" w:hAnsi="Verdana"/>
          <w:sz w:val="20"/>
          <w:szCs w:val="20"/>
          <w:lang w:val="es-ES"/>
        </w:rPr>
        <w:t>recepción</w:t>
      </w:r>
      <w:proofErr w:type="spellEnd"/>
      <w:r w:rsidRPr="00B315ED">
        <w:rPr>
          <w:rFonts w:ascii="Verdana" w:hAnsi="Verdana"/>
          <w:sz w:val="20"/>
          <w:szCs w:val="20"/>
          <w:lang w:val="es-ES"/>
        </w:rPr>
        <w:t xml:space="preserve"> del informe.</w:t>
      </w:r>
    </w:p>
    <w:p w14:paraId="6B03FFFA" w14:textId="77777777" w:rsidR="00A15172" w:rsidRPr="00A15172" w:rsidRDefault="00A15172" w:rsidP="001C627E">
      <w:pPr>
        <w:jc w:val="both"/>
        <w:rPr>
          <w:rFonts w:ascii="Verdana" w:hAnsi="Verdana"/>
          <w:sz w:val="20"/>
          <w:szCs w:val="20"/>
          <w:lang w:val="es-ES"/>
        </w:rPr>
      </w:pPr>
    </w:p>
    <w:p w14:paraId="4EF04DEC" w14:textId="38991925" w:rsidR="00AB1C79" w:rsidRDefault="00B315ED" w:rsidP="001C627E">
      <w:pPr>
        <w:jc w:val="both"/>
        <w:rPr>
          <w:rFonts w:ascii="Verdana" w:hAnsi="Verdana"/>
          <w:sz w:val="20"/>
          <w:szCs w:val="20"/>
        </w:rPr>
      </w:pPr>
      <w:r>
        <w:rPr>
          <w:rFonts w:ascii="Verdana" w:hAnsi="Verdana"/>
          <w:sz w:val="20"/>
          <w:szCs w:val="20"/>
        </w:rPr>
        <w:t>8.</w:t>
      </w:r>
      <w:r>
        <w:rPr>
          <w:rFonts w:ascii="Verdana" w:hAnsi="Verdana"/>
          <w:sz w:val="20"/>
          <w:szCs w:val="20"/>
        </w:rPr>
        <w:tab/>
      </w:r>
      <w:r w:rsidRPr="00B315ED">
        <w:rPr>
          <w:rFonts w:ascii="Verdana" w:hAnsi="Verdana"/>
          <w:sz w:val="20"/>
          <w:szCs w:val="20"/>
        </w:rPr>
        <w:t xml:space="preserve">Disponer que la </w:t>
      </w:r>
      <w:proofErr w:type="spellStart"/>
      <w:r w:rsidRPr="00B315ED">
        <w:rPr>
          <w:rFonts w:ascii="Verdana" w:hAnsi="Verdana"/>
          <w:sz w:val="20"/>
          <w:szCs w:val="20"/>
        </w:rPr>
        <w:t>Secretaría</w:t>
      </w:r>
      <w:proofErr w:type="spellEnd"/>
      <w:r w:rsidRPr="00B315ED">
        <w:rPr>
          <w:rFonts w:ascii="Verdana" w:hAnsi="Verdana"/>
          <w:sz w:val="20"/>
          <w:szCs w:val="20"/>
        </w:rPr>
        <w:t xml:space="preserve"> de la Corte notifique la pres</w:t>
      </w:r>
      <w:r w:rsidR="00204442">
        <w:rPr>
          <w:rFonts w:ascii="Verdana" w:hAnsi="Verdana"/>
          <w:sz w:val="20"/>
          <w:szCs w:val="20"/>
        </w:rPr>
        <w:t xml:space="preserve">ente </w:t>
      </w:r>
      <w:proofErr w:type="spellStart"/>
      <w:r w:rsidR="00204442">
        <w:rPr>
          <w:rFonts w:ascii="Verdana" w:hAnsi="Verdana"/>
          <w:sz w:val="20"/>
          <w:szCs w:val="20"/>
        </w:rPr>
        <w:t>Resolución</w:t>
      </w:r>
      <w:proofErr w:type="spellEnd"/>
      <w:r w:rsidR="00204442">
        <w:rPr>
          <w:rFonts w:ascii="Verdana" w:hAnsi="Verdana"/>
          <w:sz w:val="20"/>
          <w:szCs w:val="20"/>
        </w:rPr>
        <w:t xml:space="preserve"> al Estado, a la</w:t>
      </w:r>
      <w:r w:rsidRPr="00B315ED">
        <w:rPr>
          <w:rFonts w:ascii="Verdana" w:hAnsi="Verdana"/>
          <w:sz w:val="20"/>
          <w:szCs w:val="20"/>
        </w:rPr>
        <w:t xml:space="preserve">s representantes de las </w:t>
      </w:r>
      <w:proofErr w:type="spellStart"/>
      <w:r w:rsidRPr="00B315ED">
        <w:rPr>
          <w:rFonts w:ascii="Verdana" w:hAnsi="Verdana"/>
          <w:sz w:val="20"/>
          <w:szCs w:val="20"/>
        </w:rPr>
        <w:t>víctimas</w:t>
      </w:r>
      <w:proofErr w:type="spellEnd"/>
      <w:r w:rsidRPr="00B315ED">
        <w:rPr>
          <w:rFonts w:ascii="Verdana" w:hAnsi="Verdana"/>
          <w:sz w:val="20"/>
          <w:szCs w:val="20"/>
        </w:rPr>
        <w:t xml:space="preserve"> y a la </w:t>
      </w:r>
      <w:proofErr w:type="spellStart"/>
      <w:r w:rsidRPr="00B315ED">
        <w:rPr>
          <w:rFonts w:ascii="Verdana" w:hAnsi="Verdana"/>
          <w:sz w:val="20"/>
          <w:szCs w:val="20"/>
        </w:rPr>
        <w:t>Comisión</w:t>
      </w:r>
      <w:proofErr w:type="spellEnd"/>
      <w:r w:rsidRPr="00B315ED">
        <w:rPr>
          <w:rFonts w:ascii="Verdana" w:hAnsi="Verdana"/>
          <w:sz w:val="20"/>
          <w:szCs w:val="20"/>
        </w:rPr>
        <w:t xml:space="preserve"> Interamericana de Derechos Humanos.</w:t>
      </w:r>
    </w:p>
    <w:p w14:paraId="6466612D" w14:textId="46AAF927" w:rsidR="00CF01A1" w:rsidRDefault="00CF01A1">
      <w:pPr>
        <w:rPr>
          <w:rFonts w:ascii="Verdana" w:hAnsi="Verdana"/>
          <w:sz w:val="20"/>
          <w:szCs w:val="20"/>
        </w:rPr>
      </w:pPr>
      <w:r>
        <w:rPr>
          <w:rFonts w:ascii="Verdana" w:hAnsi="Verdana"/>
          <w:sz w:val="20"/>
          <w:szCs w:val="20"/>
        </w:rPr>
        <w:br w:type="page"/>
      </w:r>
    </w:p>
    <w:p w14:paraId="3430EB15" w14:textId="77777777" w:rsidR="00CF01A1" w:rsidRDefault="00CF01A1" w:rsidP="00CF01A1">
      <w:pPr>
        <w:jc w:val="both"/>
        <w:rPr>
          <w:rFonts w:ascii="Verdana" w:hAnsi="Verdana"/>
          <w:sz w:val="20"/>
          <w:lang w:val="es-ES"/>
        </w:rPr>
      </w:pPr>
    </w:p>
    <w:p w14:paraId="53B746DD" w14:textId="77777777" w:rsidR="00CF01A1" w:rsidRPr="00442C70" w:rsidRDefault="00CF01A1" w:rsidP="00CF01A1">
      <w:pPr>
        <w:jc w:val="both"/>
        <w:rPr>
          <w:rFonts w:ascii="Verdana" w:eastAsiaTheme="minorHAnsi" w:hAnsi="Verdana"/>
          <w:sz w:val="20"/>
        </w:rPr>
      </w:pPr>
      <w:r w:rsidRPr="00442C70">
        <w:rPr>
          <w:rFonts w:ascii="Verdana" w:hAnsi="Verdana"/>
          <w:sz w:val="20"/>
        </w:rPr>
        <w:t xml:space="preserve">Corte IDH. </w:t>
      </w:r>
      <w:r w:rsidRPr="00442C70">
        <w:rPr>
          <w:rFonts w:ascii="Verdana" w:hAnsi="Verdana"/>
          <w:i/>
          <w:iCs/>
          <w:sz w:val="20"/>
        </w:rPr>
        <w:t xml:space="preserve">Caso </w:t>
      </w:r>
      <w:r>
        <w:rPr>
          <w:rFonts w:ascii="Verdana" w:hAnsi="Verdana"/>
          <w:i/>
          <w:iCs/>
          <w:sz w:val="20"/>
        </w:rPr>
        <w:t>Mujeres Víctimas de Tortura Sexual en Atenco</w:t>
      </w:r>
      <w:r w:rsidRPr="00442C70">
        <w:rPr>
          <w:rFonts w:ascii="Verdana" w:hAnsi="Verdana"/>
          <w:i/>
          <w:iCs/>
          <w:sz w:val="20"/>
        </w:rPr>
        <w:t xml:space="preserve"> Vs. </w:t>
      </w:r>
      <w:r>
        <w:rPr>
          <w:rFonts w:ascii="Verdana" w:hAnsi="Verdana"/>
          <w:i/>
          <w:iCs/>
          <w:sz w:val="20"/>
        </w:rPr>
        <w:t>México</w:t>
      </w:r>
      <w:r w:rsidRPr="00442C70">
        <w:rPr>
          <w:rFonts w:ascii="Verdana" w:hAnsi="Verdana"/>
          <w:i/>
          <w:iCs/>
          <w:sz w:val="20"/>
        </w:rPr>
        <w:t xml:space="preserve">. Supervisión de Cumplimiento de Sentencia. </w:t>
      </w:r>
      <w:r w:rsidRPr="00442C70">
        <w:rPr>
          <w:rFonts w:ascii="Verdana" w:hAnsi="Verdana"/>
          <w:sz w:val="20"/>
        </w:rPr>
        <w:t>Resolución de la Corte Interamericana de Derechos Humanos de 1</w:t>
      </w:r>
      <w:r>
        <w:rPr>
          <w:rFonts w:ascii="Verdana" w:hAnsi="Verdana"/>
          <w:sz w:val="20"/>
        </w:rPr>
        <w:t>9</w:t>
      </w:r>
      <w:r w:rsidRPr="00442C70">
        <w:rPr>
          <w:rFonts w:ascii="Verdana" w:hAnsi="Verdana"/>
          <w:sz w:val="20"/>
        </w:rPr>
        <w:t xml:space="preserve"> de noviembre de 2020. Resolución adoptada en San José de Costa Rica por medio de sesión virtual.</w:t>
      </w:r>
    </w:p>
    <w:p w14:paraId="39267C01" w14:textId="77777777" w:rsidR="00CF01A1" w:rsidRPr="00442C70" w:rsidRDefault="00CF01A1" w:rsidP="00CF01A1">
      <w:pPr>
        <w:jc w:val="center"/>
        <w:rPr>
          <w:rFonts w:ascii="Verdana" w:hAnsi="Verdana"/>
          <w:sz w:val="20"/>
        </w:rPr>
      </w:pPr>
    </w:p>
    <w:p w14:paraId="14700589" w14:textId="77777777" w:rsidR="00CF01A1" w:rsidRDefault="00CF01A1" w:rsidP="00CF01A1">
      <w:pPr>
        <w:jc w:val="center"/>
        <w:rPr>
          <w:rFonts w:ascii="Verdana" w:hAnsi="Verdana"/>
          <w:sz w:val="20"/>
          <w:lang w:val="pt-BR"/>
        </w:rPr>
      </w:pPr>
    </w:p>
    <w:p w14:paraId="28912413" w14:textId="77777777" w:rsidR="00CF01A1" w:rsidRDefault="00CF01A1" w:rsidP="00CF01A1">
      <w:pPr>
        <w:jc w:val="center"/>
        <w:rPr>
          <w:rFonts w:ascii="Verdana" w:hAnsi="Verdana"/>
          <w:sz w:val="20"/>
          <w:lang w:val="pt-BR"/>
        </w:rPr>
      </w:pPr>
    </w:p>
    <w:p w14:paraId="6321B56E" w14:textId="77777777" w:rsidR="00CF01A1" w:rsidRDefault="00CF01A1" w:rsidP="00CF01A1">
      <w:pPr>
        <w:jc w:val="center"/>
        <w:rPr>
          <w:rFonts w:ascii="Verdana" w:hAnsi="Verdana"/>
          <w:sz w:val="20"/>
          <w:lang w:val="pt-BR"/>
        </w:rPr>
      </w:pPr>
    </w:p>
    <w:p w14:paraId="1F3A3692" w14:textId="77777777" w:rsidR="00CF01A1" w:rsidRDefault="00CF01A1" w:rsidP="00CF01A1">
      <w:pPr>
        <w:jc w:val="center"/>
        <w:rPr>
          <w:rFonts w:ascii="Verdana" w:hAnsi="Verdana"/>
          <w:sz w:val="20"/>
          <w:lang w:val="pt-BR"/>
        </w:rPr>
      </w:pPr>
    </w:p>
    <w:p w14:paraId="174C5150" w14:textId="77777777" w:rsidR="00CF01A1" w:rsidRDefault="00CF01A1" w:rsidP="00CF01A1">
      <w:pPr>
        <w:jc w:val="center"/>
        <w:rPr>
          <w:rFonts w:ascii="Verdana" w:hAnsi="Verdana"/>
          <w:sz w:val="20"/>
          <w:lang w:val="pt-BR"/>
        </w:rPr>
      </w:pPr>
      <w:r>
        <w:rPr>
          <w:rFonts w:ascii="Verdana" w:hAnsi="Verdana"/>
          <w:sz w:val="20"/>
          <w:lang w:val="pt-BR"/>
        </w:rPr>
        <w:t xml:space="preserve">Elizabeth </w:t>
      </w:r>
      <w:proofErr w:type="spellStart"/>
      <w:r>
        <w:rPr>
          <w:rFonts w:ascii="Verdana" w:hAnsi="Verdana"/>
          <w:sz w:val="20"/>
          <w:lang w:val="pt-BR"/>
        </w:rPr>
        <w:t>Odio</w:t>
      </w:r>
      <w:proofErr w:type="spellEnd"/>
      <w:r>
        <w:rPr>
          <w:rFonts w:ascii="Verdana" w:hAnsi="Verdana"/>
          <w:sz w:val="20"/>
          <w:lang w:val="pt-BR"/>
        </w:rPr>
        <w:t xml:space="preserve"> Benito</w:t>
      </w:r>
    </w:p>
    <w:p w14:paraId="65D82E78" w14:textId="77777777" w:rsidR="00CF01A1" w:rsidRDefault="00CF01A1" w:rsidP="00CF01A1">
      <w:pPr>
        <w:jc w:val="center"/>
        <w:rPr>
          <w:rFonts w:ascii="Verdana" w:hAnsi="Verdana"/>
          <w:sz w:val="20"/>
          <w:lang w:val="pt-BR"/>
        </w:rPr>
      </w:pPr>
      <w:r>
        <w:rPr>
          <w:rFonts w:ascii="Verdana" w:hAnsi="Verdana"/>
          <w:sz w:val="20"/>
          <w:lang w:val="pt-BR"/>
        </w:rPr>
        <w:t>Presidenta</w:t>
      </w:r>
    </w:p>
    <w:p w14:paraId="317BAB94" w14:textId="77777777" w:rsidR="00CF01A1" w:rsidRDefault="00CF01A1" w:rsidP="00CF01A1">
      <w:pPr>
        <w:jc w:val="center"/>
        <w:rPr>
          <w:rFonts w:ascii="Verdana" w:hAnsi="Verdana"/>
          <w:sz w:val="20"/>
          <w:lang w:val="pt-BR"/>
        </w:rPr>
      </w:pPr>
    </w:p>
    <w:p w14:paraId="70721B83" w14:textId="77777777" w:rsidR="00CF01A1" w:rsidRDefault="00CF01A1" w:rsidP="00CF01A1">
      <w:pPr>
        <w:jc w:val="center"/>
        <w:rPr>
          <w:rFonts w:ascii="Verdana" w:hAnsi="Verdana"/>
          <w:sz w:val="20"/>
          <w:lang w:val="pt-BR"/>
        </w:rPr>
      </w:pPr>
    </w:p>
    <w:p w14:paraId="64966D1E" w14:textId="77777777" w:rsidR="00CF01A1" w:rsidRDefault="00CF01A1" w:rsidP="00CF01A1">
      <w:pPr>
        <w:rPr>
          <w:rFonts w:ascii="Verdana" w:hAnsi="Verdana"/>
          <w:sz w:val="20"/>
          <w:lang w:val="pt-BR"/>
        </w:rPr>
      </w:pPr>
    </w:p>
    <w:p w14:paraId="79E513E7" w14:textId="77777777" w:rsidR="00CF01A1" w:rsidRDefault="00CF01A1" w:rsidP="00CF01A1">
      <w:pPr>
        <w:rPr>
          <w:rFonts w:ascii="Verdana" w:hAnsi="Verdana"/>
          <w:sz w:val="20"/>
          <w:lang w:val="pt-BR"/>
        </w:rPr>
      </w:pPr>
    </w:p>
    <w:p w14:paraId="6439765C" w14:textId="77777777" w:rsidR="00CF01A1" w:rsidRDefault="00CF01A1" w:rsidP="00CF01A1">
      <w:pPr>
        <w:rPr>
          <w:rFonts w:ascii="Verdana" w:hAnsi="Verdana"/>
          <w:sz w:val="20"/>
          <w:lang w:val="pt-BR"/>
        </w:rPr>
      </w:pPr>
      <w:r>
        <w:rPr>
          <w:rFonts w:ascii="Verdana" w:hAnsi="Verdana"/>
          <w:sz w:val="20"/>
          <w:lang w:val="pt-BR"/>
        </w:rPr>
        <w:t xml:space="preserve">L. </w:t>
      </w:r>
      <w:proofErr w:type="spellStart"/>
      <w:r>
        <w:rPr>
          <w:rFonts w:ascii="Verdana" w:hAnsi="Verdana"/>
          <w:sz w:val="20"/>
          <w:lang w:val="pt-BR"/>
        </w:rPr>
        <w:t>Patricio</w:t>
      </w:r>
      <w:proofErr w:type="spellEnd"/>
      <w:r>
        <w:rPr>
          <w:rFonts w:ascii="Verdana" w:hAnsi="Verdana"/>
          <w:sz w:val="20"/>
          <w:lang w:val="pt-BR"/>
        </w:rPr>
        <w:t xml:space="preserve"> </w:t>
      </w:r>
      <w:proofErr w:type="spellStart"/>
      <w:r>
        <w:rPr>
          <w:rFonts w:ascii="Verdana" w:hAnsi="Verdana"/>
          <w:sz w:val="20"/>
          <w:lang w:val="pt-BR"/>
        </w:rPr>
        <w:t>Pazmiño</w:t>
      </w:r>
      <w:proofErr w:type="spellEnd"/>
      <w:r>
        <w:rPr>
          <w:rFonts w:ascii="Verdana" w:hAnsi="Verdana"/>
          <w:sz w:val="20"/>
          <w:lang w:val="pt-BR"/>
        </w:rPr>
        <w:t xml:space="preserve"> Frei</w:t>
      </w:r>
      <w:r w:rsidRPr="0019261A">
        <w:rPr>
          <w:rFonts w:ascii="Verdana" w:hAnsi="Verdana"/>
          <w:sz w:val="20"/>
          <w:lang w:val="pt-BR"/>
        </w:rPr>
        <w:t>re</w:t>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r>
      <w:r>
        <w:rPr>
          <w:rFonts w:ascii="Verdana" w:hAnsi="Verdana"/>
          <w:sz w:val="20"/>
          <w:lang w:val="pt-BR"/>
        </w:rPr>
        <w:tab/>
        <w:t xml:space="preserve">Eduardo </w:t>
      </w:r>
      <w:proofErr w:type="spellStart"/>
      <w:r>
        <w:rPr>
          <w:rFonts w:ascii="Verdana" w:hAnsi="Verdana"/>
          <w:sz w:val="20"/>
          <w:lang w:val="pt-BR"/>
        </w:rPr>
        <w:t>Vio</w:t>
      </w:r>
      <w:proofErr w:type="spellEnd"/>
      <w:r>
        <w:rPr>
          <w:rFonts w:ascii="Verdana" w:hAnsi="Verdana"/>
          <w:sz w:val="20"/>
          <w:lang w:val="pt-BR"/>
        </w:rPr>
        <w:t xml:space="preserve"> Grossi</w:t>
      </w:r>
    </w:p>
    <w:p w14:paraId="0B7E8190" w14:textId="77777777" w:rsidR="00CF01A1" w:rsidRDefault="00CF01A1" w:rsidP="00CF01A1">
      <w:pPr>
        <w:rPr>
          <w:rFonts w:ascii="Verdana" w:hAnsi="Verdana"/>
          <w:sz w:val="20"/>
          <w:lang w:val="pt-BR"/>
        </w:rPr>
      </w:pPr>
    </w:p>
    <w:p w14:paraId="0F3D387F" w14:textId="77777777" w:rsidR="00CF01A1" w:rsidRDefault="00CF01A1" w:rsidP="00CF01A1">
      <w:pPr>
        <w:rPr>
          <w:rFonts w:ascii="Verdana" w:hAnsi="Verdana"/>
          <w:sz w:val="20"/>
          <w:lang w:val="pt-BR"/>
        </w:rPr>
      </w:pPr>
    </w:p>
    <w:p w14:paraId="3AAD290B" w14:textId="77777777" w:rsidR="00CF01A1" w:rsidRDefault="00CF01A1" w:rsidP="00CF01A1">
      <w:pPr>
        <w:rPr>
          <w:rFonts w:ascii="Verdana" w:hAnsi="Verdana"/>
          <w:sz w:val="20"/>
          <w:lang w:val="pt-BR"/>
        </w:rPr>
      </w:pPr>
    </w:p>
    <w:p w14:paraId="200C5AB9" w14:textId="77777777" w:rsidR="00CF01A1" w:rsidRDefault="00CF01A1" w:rsidP="00CF01A1">
      <w:pPr>
        <w:rPr>
          <w:rFonts w:ascii="Verdana" w:hAnsi="Verdana"/>
          <w:sz w:val="20"/>
          <w:lang w:val="pt-BR"/>
        </w:rPr>
      </w:pPr>
    </w:p>
    <w:p w14:paraId="150128E0" w14:textId="77777777" w:rsidR="00CF01A1" w:rsidRDefault="00CF01A1" w:rsidP="00CF01A1">
      <w:pPr>
        <w:rPr>
          <w:rFonts w:ascii="Verdana" w:hAnsi="Verdana"/>
          <w:sz w:val="20"/>
          <w:lang w:val="pt-BR"/>
        </w:rPr>
      </w:pPr>
    </w:p>
    <w:p w14:paraId="6889DFA8" w14:textId="77777777" w:rsidR="00CF01A1" w:rsidRDefault="00CF01A1" w:rsidP="00CF01A1">
      <w:pPr>
        <w:rPr>
          <w:rFonts w:ascii="Verdana" w:hAnsi="Verdana"/>
          <w:sz w:val="20"/>
          <w:lang w:val="pt-BR"/>
        </w:rPr>
      </w:pPr>
    </w:p>
    <w:p w14:paraId="0C561869" w14:textId="77777777" w:rsidR="00CF01A1" w:rsidRDefault="00CF01A1" w:rsidP="00CF01A1">
      <w:pPr>
        <w:rPr>
          <w:rFonts w:ascii="Verdana" w:hAnsi="Verdana"/>
          <w:sz w:val="20"/>
          <w:lang w:val="pt-BR"/>
        </w:rPr>
      </w:pPr>
      <w:r>
        <w:rPr>
          <w:rFonts w:ascii="Verdana" w:hAnsi="Verdana"/>
          <w:sz w:val="20"/>
          <w:lang w:val="pt-BR"/>
        </w:rPr>
        <w:t xml:space="preserve">Humberto </w:t>
      </w:r>
      <w:proofErr w:type="spellStart"/>
      <w:r>
        <w:rPr>
          <w:rFonts w:ascii="Verdana" w:hAnsi="Verdana"/>
          <w:sz w:val="20"/>
          <w:lang w:val="pt-BR"/>
        </w:rPr>
        <w:t>Antonio</w:t>
      </w:r>
      <w:proofErr w:type="spellEnd"/>
      <w:r>
        <w:rPr>
          <w:rFonts w:ascii="Verdana" w:hAnsi="Verdana"/>
          <w:sz w:val="20"/>
          <w:lang w:val="pt-BR"/>
        </w:rPr>
        <w:t xml:space="preserve"> </w:t>
      </w:r>
      <w:proofErr w:type="spellStart"/>
      <w:r>
        <w:rPr>
          <w:rFonts w:ascii="Verdana" w:hAnsi="Verdana"/>
          <w:sz w:val="20"/>
          <w:lang w:val="pt-BR"/>
        </w:rPr>
        <w:t>Sierra</w:t>
      </w:r>
      <w:proofErr w:type="spellEnd"/>
      <w:r>
        <w:rPr>
          <w:rFonts w:ascii="Verdana" w:hAnsi="Verdana"/>
          <w:sz w:val="20"/>
          <w:lang w:val="pt-BR"/>
        </w:rPr>
        <w:t xml:space="preserve"> Porto</w:t>
      </w:r>
      <w:r>
        <w:rPr>
          <w:rFonts w:ascii="Verdana" w:hAnsi="Verdana"/>
          <w:sz w:val="20"/>
          <w:lang w:val="pt-BR"/>
        </w:rPr>
        <w:tab/>
      </w:r>
      <w:r>
        <w:rPr>
          <w:rFonts w:ascii="Verdana" w:hAnsi="Verdana"/>
          <w:sz w:val="20"/>
          <w:lang w:val="pt-BR"/>
        </w:rPr>
        <w:tab/>
      </w:r>
      <w:r>
        <w:rPr>
          <w:rFonts w:ascii="Verdana" w:hAnsi="Verdana"/>
          <w:sz w:val="20"/>
          <w:lang w:val="pt-BR"/>
        </w:rPr>
        <w:tab/>
      </w:r>
      <w:proofErr w:type="gramStart"/>
      <w:r>
        <w:rPr>
          <w:rFonts w:ascii="Verdana" w:hAnsi="Verdana"/>
          <w:sz w:val="20"/>
          <w:lang w:val="pt-BR"/>
        </w:rPr>
        <w:tab/>
        <w:t xml:space="preserve">  </w:t>
      </w:r>
      <w:r>
        <w:rPr>
          <w:rFonts w:ascii="Verdana" w:hAnsi="Verdana"/>
          <w:sz w:val="20"/>
          <w:lang w:val="pt-BR"/>
        </w:rPr>
        <w:tab/>
      </w:r>
      <w:proofErr w:type="gramEnd"/>
      <w:r>
        <w:rPr>
          <w:rFonts w:ascii="Verdana" w:hAnsi="Verdana"/>
          <w:sz w:val="20"/>
          <w:lang w:val="pt-BR"/>
        </w:rPr>
        <w:t xml:space="preserve">        Eugenio </w:t>
      </w:r>
      <w:proofErr w:type="spellStart"/>
      <w:r>
        <w:rPr>
          <w:rFonts w:ascii="Verdana" w:hAnsi="Verdana"/>
          <w:sz w:val="20"/>
          <w:lang w:val="pt-BR"/>
        </w:rPr>
        <w:t>Raúl</w:t>
      </w:r>
      <w:proofErr w:type="spellEnd"/>
      <w:r>
        <w:rPr>
          <w:rFonts w:ascii="Verdana" w:hAnsi="Verdana"/>
          <w:sz w:val="20"/>
          <w:lang w:val="pt-BR"/>
        </w:rPr>
        <w:t xml:space="preserve"> </w:t>
      </w:r>
      <w:proofErr w:type="spellStart"/>
      <w:r>
        <w:rPr>
          <w:rFonts w:ascii="Verdana" w:hAnsi="Verdana"/>
          <w:sz w:val="20"/>
          <w:lang w:val="pt-BR"/>
        </w:rPr>
        <w:t>Zaffaroni</w:t>
      </w:r>
      <w:proofErr w:type="spellEnd"/>
    </w:p>
    <w:p w14:paraId="5DF32898" w14:textId="77777777" w:rsidR="00CF01A1" w:rsidRDefault="00CF01A1" w:rsidP="00CF01A1">
      <w:pPr>
        <w:rPr>
          <w:rFonts w:ascii="Verdana" w:hAnsi="Verdana"/>
          <w:sz w:val="20"/>
          <w:lang w:val="pt-BR"/>
        </w:rPr>
      </w:pPr>
    </w:p>
    <w:p w14:paraId="54692EC0" w14:textId="77777777" w:rsidR="00CF01A1" w:rsidRDefault="00CF01A1" w:rsidP="00CF01A1">
      <w:pPr>
        <w:rPr>
          <w:rFonts w:ascii="Verdana" w:hAnsi="Verdana"/>
          <w:sz w:val="20"/>
          <w:lang w:val="pt-BR"/>
        </w:rPr>
      </w:pPr>
    </w:p>
    <w:p w14:paraId="62336C4A" w14:textId="77777777" w:rsidR="00CF01A1" w:rsidRDefault="00CF01A1" w:rsidP="00CF01A1">
      <w:pPr>
        <w:rPr>
          <w:rFonts w:ascii="Verdana" w:hAnsi="Verdana"/>
          <w:sz w:val="20"/>
          <w:lang w:val="pt-BR"/>
        </w:rPr>
      </w:pPr>
    </w:p>
    <w:p w14:paraId="69CE4C57" w14:textId="77777777" w:rsidR="00CF01A1" w:rsidRDefault="00CF01A1" w:rsidP="00CF01A1">
      <w:pPr>
        <w:rPr>
          <w:rFonts w:ascii="Verdana" w:hAnsi="Verdana"/>
          <w:sz w:val="20"/>
          <w:lang w:val="pt-BR"/>
        </w:rPr>
      </w:pPr>
    </w:p>
    <w:p w14:paraId="2A53904E" w14:textId="77777777" w:rsidR="00CF01A1" w:rsidRDefault="00CF01A1" w:rsidP="00CF01A1">
      <w:pPr>
        <w:rPr>
          <w:rFonts w:ascii="Verdana" w:hAnsi="Verdana"/>
          <w:sz w:val="20"/>
          <w:lang w:val="pt-BR"/>
        </w:rPr>
      </w:pPr>
    </w:p>
    <w:p w14:paraId="62D3CCFC" w14:textId="77777777" w:rsidR="00CF01A1" w:rsidRDefault="00CF01A1" w:rsidP="00CF01A1">
      <w:pPr>
        <w:rPr>
          <w:rFonts w:ascii="Verdana" w:hAnsi="Verdana"/>
          <w:sz w:val="20"/>
          <w:lang w:val="pt-BR"/>
        </w:rPr>
      </w:pPr>
    </w:p>
    <w:p w14:paraId="726BD8C7" w14:textId="77777777" w:rsidR="00CF01A1" w:rsidRPr="0019261A" w:rsidRDefault="00CF01A1" w:rsidP="00CF01A1">
      <w:pPr>
        <w:jc w:val="center"/>
        <w:rPr>
          <w:rFonts w:ascii="Verdana" w:hAnsi="Verdana"/>
          <w:sz w:val="20"/>
          <w:lang w:val="pt-BR"/>
        </w:rPr>
      </w:pPr>
      <w:r>
        <w:rPr>
          <w:rFonts w:ascii="Verdana" w:hAnsi="Verdana"/>
          <w:sz w:val="20"/>
          <w:lang w:val="pt-BR"/>
        </w:rPr>
        <w:t xml:space="preserve">Ricardo C. Pérez </w:t>
      </w:r>
      <w:proofErr w:type="spellStart"/>
      <w:r>
        <w:rPr>
          <w:rFonts w:ascii="Verdana" w:hAnsi="Verdana"/>
          <w:sz w:val="20"/>
          <w:lang w:val="pt-BR"/>
        </w:rPr>
        <w:t>Manrique</w:t>
      </w:r>
      <w:proofErr w:type="spellEnd"/>
    </w:p>
    <w:p w14:paraId="2E684673" w14:textId="77777777" w:rsidR="00CF01A1" w:rsidRDefault="00CF01A1" w:rsidP="00CF01A1">
      <w:pPr>
        <w:jc w:val="both"/>
        <w:rPr>
          <w:rFonts w:ascii="Verdana" w:hAnsi="Verdana"/>
          <w:sz w:val="20"/>
          <w:lang w:val="pt-BR"/>
        </w:rPr>
      </w:pPr>
    </w:p>
    <w:p w14:paraId="716382DD" w14:textId="77777777" w:rsidR="00CF01A1" w:rsidRDefault="00CF01A1" w:rsidP="00CF01A1">
      <w:pPr>
        <w:jc w:val="both"/>
        <w:rPr>
          <w:rFonts w:ascii="Verdana" w:hAnsi="Verdana"/>
          <w:sz w:val="20"/>
          <w:lang w:val="pt-BR"/>
        </w:rPr>
      </w:pPr>
    </w:p>
    <w:p w14:paraId="11A0575E" w14:textId="77777777" w:rsidR="00CF01A1" w:rsidRDefault="00CF01A1" w:rsidP="00CF01A1">
      <w:pPr>
        <w:jc w:val="both"/>
        <w:rPr>
          <w:rFonts w:ascii="Verdana" w:hAnsi="Verdana"/>
          <w:sz w:val="20"/>
          <w:lang w:val="pt-BR"/>
        </w:rPr>
      </w:pPr>
    </w:p>
    <w:p w14:paraId="4F446705" w14:textId="77777777" w:rsidR="00CF01A1" w:rsidRPr="0019261A" w:rsidRDefault="00CF01A1" w:rsidP="00CF01A1">
      <w:pPr>
        <w:jc w:val="both"/>
        <w:rPr>
          <w:rFonts w:ascii="Verdana" w:hAnsi="Verdana"/>
          <w:sz w:val="20"/>
          <w:lang w:val="pt-BR"/>
        </w:rPr>
      </w:pPr>
    </w:p>
    <w:p w14:paraId="0E311BA9" w14:textId="77777777" w:rsidR="00CF01A1" w:rsidRPr="0019261A" w:rsidRDefault="00CF01A1" w:rsidP="00CF01A1">
      <w:pPr>
        <w:jc w:val="both"/>
        <w:rPr>
          <w:rFonts w:ascii="Verdana" w:hAnsi="Verdana"/>
          <w:sz w:val="20"/>
          <w:lang w:val="pt-BR"/>
        </w:rPr>
      </w:pPr>
    </w:p>
    <w:p w14:paraId="0CFEEB01" w14:textId="77777777" w:rsidR="00CF01A1" w:rsidRPr="00FC4051" w:rsidRDefault="00CF01A1" w:rsidP="00CF01A1">
      <w:pPr>
        <w:jc w:val="center"/>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2A8A3937" w14:textId="77777777" w:rsidR="00CF01A1" w:rsidRDefault="00CF01A1" w:rsidP="00CF01A1">
      <w:pPr>
        <w:jc w:val="center"/>
        <w:rPr>
          <w:rFonts w:ascii="Verdana" w:hAnsi="Verdana"/>
          <w:sz w:val="20"/>
          <w:lang w:val="pt-BR"/>
        </w:rPr>
      </w:pPr>
      <w:r w:rsidRPr="00FC4051">
        <w:rPr>
          <w:rFonts w:ascii="Verdana" w:hAnsi="Verdana"/>
          <w:sz w:val="20"/>
          <w:lang w:val="pt-BR"/>
        </w:rPr>
        <w:t>Secret</w:t>
      </w:r>
      <w:r>
        <w:rPr>
          <w:rFonts w:ascii="Verdana" w:hAnsi="Verdana"/>
          <w:sz w:val="20"/>
          <w:lang w:val="pt-BR"/>
        </w:rPr>
        <w:t>a</w:t>
      </w:r>
      <w:r w:rsidRPr="00FC4051">
        <w:rPr>
          <w:rFonts w:ascii="Verdana" w:hAnsi="Verdana"/>
          <w:sz w:val="20"/>
          <w:lang w:val="pt-BR"/>
        </w:rPr>
        <w:t>rio</w:t>
      </w:r>
    </w:p>
    <w:p w14:paraId="13C1C122" w14:textId="77777777" w:rsidR="00CF01A1" w:rsidRPr="00FC4051" w:rsidRDefault="00CF01A1" w:rsidP="00CF01A1">
      <w:pPr>
        <w:pStyle w:val="Textonotapie"/>
        <w:rPr>
          <w:rFonts w:ascii="Verdana" w:hAnsi="Verdana"/>
          <w:lang w:val="pt-BR"/>
        </w:rPr>
      </w:pPr>
    </w:p>
    <w:p w14:paraId="0B1AFA24" w14:textId="77777777" w:rsidR="00CF01A1" w:rsidRPr="00FC4051" w:rsidRDefault="00CF01A1" w:rsidP="00CF01A1">
      <w:pPr>
        <w:jc w:val="both"/>
        <w:rPr>
          <w:rFonts w:ascii="Verdana" w:hAnsi="Verdana"/>
          <w:sz w:val="20"/>
          <w:lang w:val="pt-BR"/>
        </w:rPr>
      </w:pPr>
      <w:proofErr w:type="spellStart"/>
      <w:r>
        <w:rPr>
          <w:rFonts w:ascii="Verdana" w:hAnsi="Verdana"/>
          <w:sz w:val="20"/>
          <w:lang w:val="pt-BR"/>
        </w:rPr>
        <w:t>Comuníquese</w:t>
      </w:r>
      <w:proofErr w:type="spellEnd"/>
      <w:r>
        <w:rPr>
          <w:rFonts w:ascii="Verdana" w:hAnsi="Verdana"/>
          <w:sz w:val="20"/>
          <w:lang w:val="pt-BR"/>
        </w:rPr>
        <w:t xml:space="preserve"> y </w:t>
      </w:r>
      <w:proofErr w:type="spellStart"/>
      <w:r>
        <w:rPr>
          <w:rFonts w:ascii="Verdana" w:hAnsi="Verdana"/>
          <w:sz w:val="20"/>
          <w:lang w:val="pt-BR"/>
        </w:rPr>
        <w:t>ejecútese</w:t>
      </w:r>
      <w:proofErr w:type="spellEnd"/>
      <w:r w:rsidRPr="00FC4051">
        <w:rPr>
          <w:rFonts w:ascii="Verdana" w:hAnsi="Verdana"/>
          <w:sz w:val="20"/>
          <w:lang w:val="pt-BR"/>
        </w:rPr>
        <w:t>,</w:t>
      </w:r>
    </w:p>
    <w:p w14:paraId="24FAE0D1" w14:textId="77777777" w:rsidR="00CF01A1" w:rsidRPr="00FC4051" w:rsidRDefault="00CF01A1" w:rsidP="00CF01A1">
      <w:pPr>
        <w:rPr>
          <w:rFonts w:ascii="Verdana" w:hAnsi="Verdana"/>
          <w:sz w:val="20"/>
          <w:lang w:val="pt-BR"/>
        </w:rPr>
      </w:pPr>
    </w:p>
    <w:p w14:paraId="478F6C12" w14:textId="77777777" w:rsidR="00CF01A1" w:rsidRDefault="00CF01A1" w:rsidP="00CF01A1">
      <w:pPr>
        <w:jc w:val="center"/>
        <w:rPr>
          <w:rFonts w:ascii="Verdana" w:hAnsi="Verdana"/>
          <w:sz w:val="20"/>
          <w:lang w:val="pt-BR"/>
        </w:rPr>
      </w:pPr>
    </w:p>
    <w:p w14:paraId="6431C694" w14:textId="77777777" w:rsidR="00CF01A1" w:rsidRDefault="00CF01A1" w:rsidP="00CF01A1">
      <w:pPr>
        <w:jc w:val="center"/>
        <w:rPr>
          <w:rFonts w:ascii="Verdana" w:hAnsi="Verdana"/>
          <w:sz w:val="20"/>
          <w:lang w:val="pt-BR"/>
        </w:rPr>
      </w:pPr>
    </w:p>
    <w:p w14:paraId="649C0603" w14:textId="77777777" w:rsidR="00CF01A1" w:rsidRPr="00FC4051" w:rsidRDefault="00CF01A1" w:rsidP="00CF01A1">
      <w:pPr>
        <w:jc w:val="right"/>
        <w:rPr>
          <w:rFonts w:ascii="Verdana" w:hAnsi="Verdana"/>
          <w:sz w:val="20"/>
          <w:lang w:val="pt-BR"/>
        </w:rPr>
      </w:pPr>
    </w:p>
    <w:p w14:paraId="509F90A8" w14:textId="77777777" w:rsidR="00CF01A1" w:rsidRDefault="00CF01A1" w:rsidP="00CF01A1">
      <w:pPr>
        <w:jc w:val="center"/>
        <w:rPr>
          <w:rFonts w:ascii="Verdana" w:hAnsi="Verdana"/>
          <w:sz w:val="20"/>
          <w:lang w:val="pt-BR"/>
        </w:rPr>
      </w:pPr>
      <w:r>
        <w:rPr>
          <w:rFonts w:ascii="Verdana" w:hAnsi="Verdana"/>
          <w:sz w:val="20"/>
          <w:lang w:val="pt-BR"/>
        </w:rPr>
        <w:t xml:space="preserve">                                                                                                Elizabeth </w:t>
      </w:r>
      <w:proofErr w:type="spellStart"/>
      <w:r>
        <w:rPr>
          <w:rFonts w:ascii="Verdana" w:hAnsi="Verdana"/>
          <w:sz w:val="20"/>
          <w:lang w:val="pt-BR"/>
        </w:rPr>
        <w:t>Odio</w:t>
      </w:r>
      <w:proofErr w:type="spellEnd"/>
      <w:r>
        <w:rPr>
          <w:rFonts w:ascii="Verdana" w:hAnsi="Verdana"/>
          <w:sz w:val="20"/>
          <w:lang w:val="pt-BR"/>
        </w:rPr>
        <w:t xml:space="preserve"> Benito</w:t>
      </w:r>
    </w:p>
    <w:p w14:paraId="147D68A2" w14:textId="77777777" w:rsidR="00CF01A1" w:rsidRDefault="00CF01A1" w:rsidP="00CF01A1">
      <w:pPr>
        <w:ind w:left="6480" w:firstLine="720"/>
        <w:rPr>
          <w:rFonts w:ascii="Verdana" w:hAnsi="Verdana"/>
          <w:sz w:val="20"/>
          <w:lang w:val="pt-BR"/>
        </w:rPr>
      </w:pPr>
      <w:r>
        <w:rPr>
          <w:rFonts w:ascii="Verdana" w:hAnsi="Verdana"/>
          <w:sz w:val="20"/>
          <w:lang w:val="pt-BR"/>
        </w:rPr>
        <w:t xml:space="preserve">     Presidenta</w:t>
      </w:r>
    </w:p>
    <w:p w14:paraId="2A23BC09" w14:textId="77777777" w:rsidR="00CF01A1" w:rsidRPr="00FC4051" w:rsidRDefault="00CF01A1" w:rsidP="00CF01A1">
      <w:pPr>
        <w:jc w:val="both"/>
        <w:rPr>
          <w:rFonts w:ascii="Verdana" w:hAnsi="Verdana"/>
          <w:sz w:val="20"/>
          <w:lang w:val="pt-BR"/>
        </w:rPr>
      </w:pPr>
    </w:p>
    <w:p w14:paraId="37F16D0D" w14:textId="77777777" w:rsidR="00CF01A1" w:rsidRPr="00FC4051" w:rsidRDefault="00CF01A1" w:rsidP="00CF01A1">
      <w:pPr>
        <w:jc w:val="both"/>
        <w:rPr>
          <w:rFonts w:ascii="Verdana" w:hAnsi="Verdana"/>
          <w:sz w:val="20"/>
          <w:lang w:val="pt-BR"/>
        </w:rPr>
      </w:pPr>
      <w:r w:rsidRPr="00FC4051">
        <w:rPr>
          <w:rFonts w:ascii="Verdana" w:hAnsi="Verdana"/>
          <w:sz w:val="20"/>
          <w:lang w:val="pt-BR"/>
        </w:rPr>
        <w:t xml:space="preserve">Pablo Saavedra </w:t>
      </w:r>
      <w:proofErr w:type="spellStart"/>
      <w:r w:rsidRPr="00FC4051">
        <w:rPr>
          <w:rFonts w:ascii="Verdana" w:hAnsi="Verdana"/>
          <w:sz w:val="20"/>
          <w:lang w:val="pt-BR"/>
        </w:rPr>
        <w:t>Alessandri</w:t>
      </w:r>
      <w:proofErr w:type="spellEnd"/>
    </w:p>
    <w:p w14:paraId="43F16603" w14:textId="77777777" w:rsidR="00CF01A1" w:rsidRPr="007E10A8" w:rsidRDefault="00CF01A1" w:rsidP="00CF01A1">
      <w:pPr>
        <w:rPr>
          <w:lang w:val="es-ES"/>
        </w:rPr>
      </w:pPr>
      <w:r>
        <w:rPr>
          <w:rFonts w:ascii="Verdana" w:hAnsi="Verdana"/>
          <w:sz w:val="20"/>
          <w:lang w:val="pt-BR"/>
        </w:rPr>
        <w:t xml:space="preserve">          </w:t>
      </w:r>
      <w:r w:rsidRPr="0019261A">
        <w:rPr>
          <w:rFonts w:ascii="Verdana" w:hAnsi="Verdana"/>
          <w:sz w:val="20"/>
          <w:lang w:val="es-ES"/>
        </w:rPr>
        <w:t>Secret</w:t>
      </w:r>
      <w:r>
        <w:rPr>
          <w:rFonts w:ascii="Verdana" w:hAnsi="Verdana"/>
          <w:sz w:val="20"/>
          <w:lang w:val="es-ES"/>
        </w:rPr>
        <w:t>ario</w:t>
      </w:r>
    </w:p>
    <w:p w14:paraId="28252609" w14:textId="77777777" w:rsidR="00CF01A1" w:rsidRPr="00464EE6" w:rsidRDefault="00CF01A1" w:rsidP="001C627E">
      <w:pPr>
        <w:jc w:val="both"/>
        <w:rPr>
          <w:rFonts w:ascii="Verdana" w:hAnsi="Verdana"/>
          <w:sz w:val="20"/>
          <w:szCs w:val="20"/>
          <w:lang w:val="es-ES"/>
        </w:rPr>
      </w:pPr>
    </w:p>
    <w:sectPr w:rsidR="00CF01A1" w:rsidRPr="00464EE6" w:rsidSect="00B42F79">
      <w:headerReference w:type="default" r:id="rId8"/>
      <w:footerReference w:type="default" r:id="rId9"/>
      <w:headerReference w:type="first" r:id="rId10"/>
      <w:footerReference w:type="first" r:id="rId1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A7FA078" w14:textId="77777777" w:rsidR="006C14E3" w:rsidRDefault="006C14E3" w:rsidP="0065520B">
      <w:r>
        <w:separator/>
      </w:r>
    </w:p>
  </w:endnote>
  <w:endnote w:type="continuationSeparator" w:id="0">
    <w:p w14:paraId="6B330F52" w14:textId="77777777" w:rsidR="006C14E3" w:rsidRDefault="006C14E3" w:rsidP="006552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69A95D" w14:textId="6BDF8A27" w:rsidR="008B4E2A" w:rsidRPr="008B4E2A" w:rsidRDefault="008B4E2A" w:rsidP="008B4E2A">
    <w:pPr>
      <w:pStyle w:val="Encabezado"/>
      <w:jc w:val="center"/>
      <w:rPr>
        <w:rFonts w:ascii="Verdana" w:hAnsi="Verdana"/>
        <w:noProof/>
        <w:sz w:val="20"/>
        <w:szCs w:val="20"/>
        <w:lang w:val="es-CR"/>
      </w:rPr>
    </w:pPr>
    <w:r>
      <w:rPr>
        <w:rFonts w:ascii="Verdana" w:hAnsi="Verdana"/>
        <w:sz w:val="20"/>
        <w:szCs w:val="20"/>
        <w:lang w:val="es-CR"/>
      </w:rPr>
      <w:t>-</w:t>
    </w:r>
    <w:r w:rsidRPr="00A75F01">
      <w:rPr>
        <w:rFonts w:ascii="Verdana" w:hAnsi="Verdana"/>
        <w:sz w:val="20"/>
        <w:szCs w:val="20"/>
      </w:rPr>
      <w:fldChar w:fldCharType="begin"/>
    </w:r>
    <w:r w:rsidRPr="00A75F01">
      <w:rPr>
        <w:rFonts w:ascii="Verdana" w:hAnsi="Verdana"/>
        <w:sz w:val="20"/>
        <w:szCs w:val="20"/>
      </w:rPr>
      <w:instrText xml:space="preserve"> PAGE   \* MERGEFORMAT </w:instrText>
    </w:r>
    <w:r w:rsidRPr="00A75F01">
      <w:rPr>
        <w:rFonts w:ascii="Verdana" w:hAnsi="Verdana"/>
        <w:sz w:val="20"/>
        <w:szCs w:val="20"/>
      </w:rPr>
      <w:fldChar w:fldCharType="separate"/>
    </w:r>
    <w:r w:rsidR="00815DC8">
      <w:rPr>
        <w:rFonts w:ascii="Verdana" w:hAnsi="Verdana"/>
        <w:noProof/>
        <w:sz w:val="20"/>
        <w:szCs w:val="20"/>
      </w:rPr>
      <w:t>4</w:t>
    </w:r>
    <w:r w:rsidRPr="00A75F01">
      <w:rPr>
        <w:rFonts w:ascii="Verdana" w:hAnsi="Verdana"/>
        <w:noProof/>
        <w:sz w:val="20"/>
        <w:szCs w:val="20"/>
      </w:rPr>
      <w:fldChar w:fldCharType="end"/>
    </w:r>
    <w:r>
      <w:rPr>
        <w:rFonts w:ascii="Verdana" w:hAnsi="Verdana"/>
        <w:noProof/>
        <w:sz w:val="20"/>
        <w:szCs w:val="20"/>
        <w:lang w:val="es-CR"/>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BB0DE4" w14:textId="57869C8C" w:rsidR="00C563A0" w:rsidRPr="00C563A0" w:rsidRDefault="00C563A0" w:rsidP="00C563A0">
    <w:pPr>
      <w:pStyle w:val="Encabezado"/>
      <w:jc w:val="center"/>
      <w:rPr>
        <w:rFonts w:ascii="Verdana" w:hAnsi="Verdana"/>
        <w:noProof/>
        <w:sz w:val="20"/>
        <w:szCs w:val="20"/>
        <w:lang w:val="es-CR"/>
      </w:rPr>
    </w:pPr>
    <w:r>
      <w:rPr>
        <w:rFonts w:ascii="Verdana" w:hAnsi="Verdana"/>
        <w:sz w:val="20"/>
        <w:szCs w:val="20"/>
        <w:lang w:val="es-CR"/>
      </w:rPr>
      <w:t>-</w:t>
    </w:r>
    <w:r w:rsidRPr="00A75F01">
      <w:rPr>
        <w:rFonts w:ascii="Verdana" w:hAnsi="Verdana"/>
        <w:sz w:val="20"/>
        <w:szCs w:val="20"/>
      </w:rPr>
      <w:fldChar w:fldCharType="begin"/>
    </w:r>
    <w:r w:rsidRPr="00A75F01">
      <w:rPr>
        <w:rFonts w:ascii="Verdana" w:hAnsi="Verdana"/>
        <w:sz w:val="20"/>
        <w:szCs w:val="20"/>
      </w:rPr>
      <w:instrText xml:space="preserve"> PAGE   \* MERGEFORMAT </w:instrText>
    </w:r>
    <w:r w:rsidRPr="00A75F01">
      <w:rPr>
        <w:rFonts w:ascii="Verdana" w:hAnsi="Verdana"/>
        <w:sz w:val="20"/>
        <w:szCs w:val="20"/>
      </w:rPr>
      <w:fldChar w:fldCharType="separate"/>
    </w:r>
    <w:r w:rsidR="00815DC8">
      <w:rPr>
        <w:rFonts w:ascii="Verdana" w:hAnsi="Verdana"/>
        <w:noProof/>
        <w:sz w:val="20"/>
        <w:szCs w:val="20"/>
      </w:rPr>
      <w:t>1</w:t>
    </w:r>
    <w:r w:rsidRPr="00A75F01">
      <w:rPr>
        <w:rFonts w:ascii="Verdana" w:hAnsi="Verdana"/>
        <w:noProof/>
        <w:sz w:val="20"/>
        <w:szCs w:val="20"/>
      </w:rPr>
      <w:fldChar w:fldCharType="end"/>
    </w:r>
    <w:r>
      <w:rPr>
        <w:rFonts w:ascii="Verdana" w:hAnsi="Verdana"/>
        <w:noProof/>
        <w:sz w:val="20"/>
        <w:szCs w:val="20"/>
        <w:lang w:val="es-CR"/>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0C85197" w14:textId="77777777" w:rsidR="006C14E3" w:rsidRDefault="006C14E3" w:rsidP="0065520B">
      <w:r>
        <w:separator/>
      </w:r>
    </w:p>
  </w:footnote>
  <w:footnote w:type="continuationSeparator" w:id="0">
    <w:p w14:paraId="1D40D222" w14:textId="77777777" w:rsidR="006C14E3" w:rsidRDefault="006C14E3" w:rsidP="0065520B">
      <w:r>
        <w:continuationSeparator/>
      </w:r>
    </w:p>
  </w:footnote>
  <w:footnote w:id="1">
    <w:p w14:paraId="5D746530" w14:textId="3E2021C5" w:rsidR="004D1244" w:rsidRPr="00464EE6" w:rsidRDefault="004D1244" w:rsidP="00464EE6">
      <w:pPr>
        <w:pStyle w:val="Textonotapie"/>
        <w:jc w:val="both"/>
        <w:rPr>
          <w:rFonts w:ascii="Verdana" w:hAnsi="Verdana" w:cs="Verdana"/>
          <w:sz w:val="16"/>
          <w:szCs w:val="16"/>
          <w:lang w:val="es-CO"/>
        </w:rPr>
      </w:pPr>
      <w:r w:rsidRPr="00D10C7F">
        <w:rPr>
          <w:rFonts w:ascii="Verdana" w:hAnsi="Verdana"/>
          <w:sz w:val="16"/>
          <w:szCs w:val="16"/>
          <w:vertAlign w:val="superscript"/>
          <w:lang w:val="es-CR"/>
        </w:rPr>
        <w:t>*</w:t>
      </w:r>
      <w:r w:rsidRPr="00D10C7F">
        <w:rPr>
          <w:rFonts w:ascii="Verdana" w:hAnsi="Verdana"/>
          <w:sz w:val="16"/>
          <w:szCs w:val="16"/>
          <w:lang w:val="es-CR"/>
        </w:rPr>
        <w:tab/>
      </w:r>
      <w:r w:rsidRPr="00D10C7F">
        <w:rPr>
          <w:rFonts w:ascii="Verdana" w:hAnsi="Verdana"/>
          <w:sz w:val="16"/>
          <w:szCs w:val="16"/>
        </w:rPr>
        <w:t>El Juez Eduardo Ferrer Mac-</w:t>
      </w:r>
      <w:proofErr w:type="spellStart"/>
      <w:r w:rsidRPr="00D10C7F">
        <w:rPr>
          <w:rFonts w:ascii="Verdana" w:hAnsi="Verdana"/>
          <w:sz w:val="16"/>
          <w:szCs w:val="16"/>
        </w:rPr>
        <w:t>Gregor</w:t>
      </w:r>
      <w:proofErr w:type="spellEnd"/>
      <w:r w:rsidRPr="00D10C7F">
        <w:rPr>
          <w:rFonts w:ascii="Verdana" w:hAnsi="Verdana"/>
          <w:sz w:val="16"/>
          <w:szCs w:val="16"/>
        </w:rPr>
        <w:t xml:space="preserve"> </w:t>
      </w:r>
      <w:proofErr w:type="spellStart"/>
      <w:r w:rsidRPr="00D10C7F">
        <w:rPr>
          <w:rFonts w:ascii="Verdana" w:hAnsi="Verdana"/>
          <w:sz w:val="16"/>
          <w:szCs w:val="16"/>
        </w:rPr>
        <w:t>Poisot</w:t>
      </w:r>
      <w:proofErr w:type="spellEnd"/>
      <w:r w:rsidRPr="00D10C7F">
        <w:rPr>
          <w:rFonts w:ascii="Verdana" w:hAnsi="Verdana"/>
          <w:sz w:val="16"/>
          <w:szCs w:val="16"/>
        </w:rPr>
        <w:t>, de nacionalidad mexicana</w:t>
      </w:r>
      <w:r w:rsidRPr="00D10C7F">
        <w:rPr>
          <w:rFonts w:ascii="Verdana" w:hAnsi="Verdana" w:cs="Verdana"/>
          <w:sz w:val="16"/>
          <w:szCs w:val="16"/>
          <w:lang w:val="es-CO"/>
        </w:rPr>
        <w:t xml:space="preserve">, </w:t>
      </w:r>
      <w:r w:rsidRPr="00D10C7F">
        <w:rPr>
          <w:rFonts w:ascii="Verdana" w:hAnsi="Verdana"/>
          <w:sz w:val="16"/>
          <w:szCs w:val="16"/>
          <w:lang w:val="es-CR"/>
        </w:rPr>
        <w:t xml:space="preserve">no participó en la deliberación y firma de la Sentencia del presente caso, ni en el conocimiento y deliberación de la presente Resolución, de conformidad con lo dispuesto en </w:t>
      </w:r>
      <w:r>
        <w:rPr>
          <w:rFonts w:ascii="Verdana" w:hAnsi="Verdana"/>
          <w:sz w:val="16"/>
          <w:szCs w:val="16"/>
          <w:lang w:val="es-CR"/>
        </w:rPr>
        <w:t>los</w:t>
      </w:r>
      <w:r w:rsidRPr="00D10C7F">
        <w:rPr>
          <w:rFonts w:ascii="Verdana" w:hAnsi="Verdana"/>
          <w:sz w:val="16"/>
          <w:szCs w:val="16"/>
          <w:lang w:val="es-CR"/>
        </w:rPr>
        <w:t xml:space="preserve"> </w:t>
      </w:r>
      <w:r w:rsidRPr="00D10C7F">
        <w:rPr>
          <w:rFonts w:ascii="Verdana" w:hAnsi="Verdana" w:cs="Verdana"/>
          <w:sz w:val="16"/>
          <w:szCs w:val="16"/>
          <w:lang w:val="es-CO"/>
        </w:rPr>
        <w:t>artículos 19.2 del Estatuto y 19.1 del Reglamento de la Corte.</w:t>
      </w:r>
      <w:r>
        <w:rPr>
          <w:rFonts w:ascii="Verdana" w:hAnsi="Verdana" w:cs="Verdana"/>
          <w:sz w:val="16"/>
          <w:szCs w:val="16"/>
          <w:lang w:val="es-CO"/>
        </w:rPr>
        <w:t xml:space="preserve"> </w:t>
      </w:r>
      <w:r w:rsidRPr="00464EE6">
        <w:rPr>
          <w:rFonts w:ascii="Verdana" w:hAnsi="Verdana" w:cs="Verdana"/>
          <w:sz w:val="16"/>
          <w:szCs w:val="16"/>
          <w:lang w:val="es-CO"/>
        </w:rPr>
        <w:t xml:space="preserve">Debido a las circunstancias excepcionales ocasionadas por la pandemia COVID-19, esta </w:t>
      </w:r>
      <w:proofErr w:type="spellStart"/>
      <w:r w:rsidRPr="00464EE6">
        <w:rPr>
          <w:rFonts w:ascii="Verdana" w:hAnsi="Verdana" w:cs="Verdana"/>
          <w:sz w:val="16"/>
          <w:szCs w:val="16"/>
          <w:lang w:val="es-CO"/>
        </w:rPr>
        <w:t>Resolución</w:t>
      </w:r>
      <w:proofErr w:type="spellEnd"/>
      <w:r w:rsidRPr="00464EE6">
        <w:rPr>
          <w:rFonts w:ascii="Verdana" w:hAnsi="Verdana" w:cs="Verdana"/>
          <w:sz w:val="16"/>
          <w:szCs w:val="16"/>
          <w:lang w:val="es-CO"/>
        </w:rPr>
        <w:t xml:space="preserve"> fue</w:t>
      </w:r>
      <w:r>
        <w:rPr>
          <w:rFonts w:ascii="Verdana" w:hAnsi="Verdana" w:cs="Verdana"/>
          <w:sz w:val="16"/>
          <w:szCs w:val="16"/>
          <w:lang w:val="es-CO"/>
        </w:rPr>
        <w:t xml:space="preserve"> </w:t>
      </w:r>
      <w:r w:rsidRPr="00464EE6">
        <w:rPr>
          <w:rFonts w:ascii="Verdana" w:hAnsi="Verdana" w:cs="Verdana"/>
          <w:sz w:val="16"/>
          <w:szCs w:val="16"/>
          <w:lang w:val="es-CO"/>
        </w:rPr>
        <w:t>deliberada y aprobada durante el 13</w:t>
      </w:r>
      <w:r>
        <w:rPr>
          <w:rFonts w:ascii="Verdana" w:hAnsi="Verdana" w:cs="Verdana"/>
          <w:sz w:val="16"/>
          <w:szCs w:val="16"/>
          <w:lang w:val="es-CO"/>
        </w:rPr>
        <w:t>8</w:t>
      </w:r>
      <w:r w:rsidRPr="00464EE6">
        <w:rPr>
          <w:rFonts w:ascii="Verdana" w:hAnsi="Verdana" w:cs="Verdana"/>
          <w:sz w:val="16"/>
          <w:szCs w:val="16"/>
          <w:lang w:val="es-CO"/>
        </w:rPr>
        <w:t xml:space="preserve"> </w:t>
      </w:r>
      <w:proofErr w:type="spellStart"/>
      <w:r w:rsidRPr="00464EE6">
        <w:rPr>
          <w:rFonts w:ascii="Verdana" w:hAnsi="Verdana" w:cs="Verdana"/>
          <w:sz w:val="16"/>
          <w:szCs w:val="16"/>
          <w:lang w:val="es-CO"/>
        </w:rPr>
        <w:t>Período</w:t>
      </w:r>
      <w:proofErr w:type="spellEnd"/>
      <w:r w:rsidRPr="00464EE6">
        <w:rPr>
          <w:rFonts w:ascii="Verdana" w:hAnsi="Verdana" w:cs="Verdana"/>
          <w:sz w:val="16"/>
          <w:szCs w:val="16"/>
          <w:lang w:val="es-CO"/>
        </w:rPr>
        <w:t xml:space="preserve"> Ordinario de Sesiones, el cual se </w:t>
      </w:r>
      <w:proofErr w:type="spellStart"/>
      <w:r w:rsidRPr="00464EE6">
        <w:rPr>
          <w:rFonts w:ascii="Verdana" w:hAnsi="Verdana" w:cs="Verdana"/>
          <w:sz w:val="16"/>
          <w:szCs w:val="16"/>
          <w:lang w:val="es-CO"/>
        </w:rPr>
        <w:t>llevo</w:t>
      </w:r>
      <w:proofErr w:type="spellEnd"/>
      <w:r w:rsidRPr="00464EE6">
        <w:rPr>
          <w:rFonts w:ascii="Verdana" w:hAnsi="Verdana" w:cs="Verdana"/>
          <w:sz w:val="16"/>
          <w:szCs w:val="16"/>
          <w:lang w:val="es-CO"/>
        </w:rPr>
        <w:t>́ a cabo de forma no presencial</w:t>
      </w:r>
      <w:r>
        <w:rPr>
          <w:rFonts w:ascii="Verdana" w:hAnsi="Verdana" w:cs="Verdana"/>
          <w:sz w:val="16"/>
          <w:szCs w:val="16"/>
          <w:lang w:val="es-CO"/>
        </w:rPr>
        <w:t xml:space="preserve"> </w:t>
      </w:r>
      <w:r w:rsidRPr="00464EE6">
        <w:rPr>
          <w:rFonts w:ascii="Verdana" w:hAnsi="Verdana" w:cs="Verdana"/>
          <w:sz w:val="16"/>
          <w:szCs w:val="16"/>
          <w:lang w:val="es-CO"/>
        </w:rPr>
        <w:t xml:space="preserve">utilizando medios </w:t>
      </w:r>
      <w:proofErr w:type="spellStart"/>
      <w:r w:rsidRPr="00464EE6">
        <w:rPr>
          <w:rFonts w:ascii="Verdana" w:hAnsi="Verdana" w:cs="Verdana"/>
          <w:sz w:val="16"/>
          <w:szCs w:val="16"/>
          <w:lang w:val="es-CO"/>
        </w:rPr>
        <w:t>tecnológicos</w:t>
      </w:r>
      <w:proofErr w:type="spellEnd"/>
      <w:r w:rsidRPr="00464EE6">
        <w:rPr>
          <w:rFonts w:ascii="Verdana" w:hAnsi="Verdana" w:cs="Verdana"/>
          <w:sz w:val="16"/>
          <w:szCs w:val="16"/>
          <w:lang w:val="es-CO"/>
        </w:rPr>
        <w:t xml:space="preserve"> de conformidad con lo establecido en el Reglamento de la Corte.</w:t>
      </w:r>
    </w:p>
  </w:footnote>
  <w:footnote w:id="2">
    <w:p w14:paraId="4A9D05B0" w14:textId="77777777" w:rsidR="004D1244" w:rsidRPr="00EE4992" w:rsidRDefault="004D1244" w:rsidP="00FE1438">
      <w:pPr>
        <w:pStyle w:val="Textonotapie"/>
        <w:jc w:val="both"/>
        <w:rPr>
          <w:rFonts w:ascii="Verdana" w:hAnsi="Verdana"/>
          <w:sz w:val="16"/>
          <w:szCs w:val="16"/>
          <w:lang w:val="es-CR"/>
        </w:rPr>
      </w:pPr>
      <w:r w:rsidRPr="00EE4992">
        <w:rPr>
          <w:rStyle w:val="Refdenotaalpie"/>
          <w:rFonts w:ascii="Verdana" w:hAnsi="Verdana"/>
          <w:sz w:val="16"/>
          <w:szCs w:val="16"/>
        </w:rPr>
        <w:footnoteRef/>
      </w:r>
      <w:r w:rsidRPr="00EE4992">
        <w:rPr>
          <w:rFonts w:ascii="Verdana" w:hAnsi="Verdana"/>
          <w:sz w:val="16"/>
          <w:szCs w:val="16"/>
          <w:lang w:val="es-CR"/>
        </w:rPr>
        <w:t xml:space="preserve"> </w:t>
      </w:r>
      <w:r w:rsidRPr="00EE4992">
        <w:rPr>
          <w:rFonts w:ascii="Verdana" w:hAnsi="Verdana"/>
          <w:sz w:val="16"/>
          <w:szCs w:val="16"/>
          <w:lang w:val="es-CR"/>
        </w:rPr>
        <w:tab/>
      </w:r>
      <w:r w:rsidRPr="00EE4992">
        <w:rPr>
          <w:rFonts w:ascii="Verdana" w:hAnsi="Verdana"/>
          <w:i/>
          <w:sz w:val="16"/>
          <w:szCs w:val="16"/>
          <w:lang w:val="es-CR"/>
        </w:rPr>
        <w:t xml:space="preserve">Cfr. </w:t>
      </w:r>
      <w:r w:rsidRPr="00EE4992">
        <w:rPr>
          <w:rStyle w:val="Textoennegrita"/>
          <w:rFonts w:ascii="Verdana" w:hAnsi="Verdana"/>
          <w:b w:val="0"/>
          <w:i/>
          <w:color w:val="000000"/>
          <w:sz w:val="16"/>
          <w:szCs w:val="16"/>
          <w:shd w:val="clear" w:color="auto" w:fill="FFFFFF"/>
        </w:rPr>
        <w:t xml:space="preserve">Caso </w:t>
      </w:r>
      <w:r>
        <w:rPr>
          <w:rStyle w:val="Textoennegrita"/>
          <w:rFonts w:ascii="Verdana" w:hAnsi="Verdana"/>
          <w:b w:val="0"/>
          <w:i/>
          <w:color w:val="000000"/>
          <w:sz w:val="16"/>
          <w:szCs w:val="16"/>
          <w:shd w:val="clear" w:color="auto" w:fill="FFFFFF"/>
          <w:lang w:val="es-CR"/>
        </w:rPr>
        <w:t>Mujeres Víctimas de Tortura Sexual en Atenco</w:t>
      </w:r>
      <w:r w:rsidRPr="00EE4992">
        <w:rPr>
          <w:rStyle w:val="Textoennegrita"/>
          <w:rFonts w:ascii="Verdana" w:hAnsi="Verdana"/>
          <w:b w:val="0"/>
          <w:i/>
          <w:color w:val="000000"/>
          <w:sz w:val="16"/>
          <w:szCs w:val="16"/>
          <w:shd w:val="clear" w:color="auto" w:fill="FFFFFF"/>
        </w:rPr>
        <w:t xml:space="preserve"> Vs. </w:t>
      </w:r>
      <w:r>
        <w:rPr>
          <w:rStyle w:val="Textoennegrita"/>
          <w:rFonts w:ascii="Verdana" w:hAnsi="Verdana"/>
          <w:b w:val="0"/>
          <w:i/>
          <w:color w:val="000000"/>
          <w:sz w:val="16"/>
          <w:szCs w:val="16"/>
          <w:shd w:val="clear" w:color="auto" w:fill="FFFFFF"/>
          <w:lang w:val="es-CR"/>
        </w:rPr>
        <w:t>México</w:t>
      </w:r>
      <w:r w:rsidRPr="00EE4992">
        <w:rPr>
          <w:rStyle w:val="Textoennegrita"/>
          <w:rFonts w:ascii="Verdana" w:hAnsi="Verdana"/>
          <w:b w:val="0"/>
          <w:i/>
          <w:color w:val="000000"/>
          <w:sz w:val="16"/>
          <w:szCs w:val="16"/>
          <w:shd w:val="clear" w:color="auto" w:fill="FFFFFF"/>
        </w:rPr>
        <w:t xml:space="preserve">. </w:t>
      </w:r>
      <w:r>
        <w:rPr>
          <w:rStyle w:val="Textoennegrita"/>
          <w:rFonts w:ascii="Verdana" w:hAnsi="Verdana"/>
          <w:b w:val="0"/>
          <w:i/>
          <w:color w:val="000000"/>
          <w:sz w:val="16"/>
          <w:szCs w:val="16"/>
          <w:shd w:val="clear" w:color="auto" w:fill="FFFFFF"/>
          <w:lang w:val="es-CR"/>
        </w:rPr>
        <w:t xml:space="preserve">Excepción Preliminar, </w:t>
      </w:r>
      <w:r w:rsidRPr="00EE4992">
        <w:rPr>
          <w:rStyle w:val="Textoennegrita"/>
          <w:rFonts w:ascii="Verdana" w:hAnsi="Verdana"/>
          <w:b w:val="0"/>
          <w:i/>
          <w:color w:val="000000"/>
          <w:sz w:val="16"/>
          <w:szCs w:val="16"/>
          <w:shd w:val="clear" w:color="auto" w:fill="FFFFFF"/>
        </w:rPr>
        <w:t>Fondo, Reparaciones y Costas</w:t>
      </w:r>
      <w:r w:rsidRPr="00EE4992">
        <w:rPr>
          <w:rStyle w:val="Textoennegrita"/>
          <w:rFonts w:ascii="Verdana" w:hAnsi="Verdana"/>
          <w:b w:val="0"/>
          <w:color w:val="000000"/>
          <w:sz w:val="16"/>
          <w:szCs w:val="16"/>
          <w:shd w:val="clear" w:color="auto" w:fill="FFFFFF"/>
        </w:rPr>
        <w:t xml:space="preserve">. Sentencia de </w:t>
      </w:r>
      <w:r>
        <w:rPr>
          <w:rStyle w:val="Textoennegrita"/>
          <w:rFonts w:ascii="Verdana" w:hAnsi="Verdana"/>
          <w:b w:val="0"/>
          <w:color w:val="000000"/>
          <w:sz w:val="16"/>
          <w:szCs w:val="16"/>
          <w:shd w:val="clear" w:color="auto" w:fill="FFFFFF"/>
          <w:lang w:val="es-CR"/>
        </w:rPr>
        <w:t>28</w:t>
      </w:r>
      <w:r w:rsidRPr="00EE4992">
        <w:rPr>
          <w:rStyle w:val="Textoennegrita"/>
          <w:rFonts w:ascii="Verdana" w:hAnsi="Verdana"/>
          <w:b w:val="0"/>
          <w:color w:val="000000"/>
          <w:sz w:val="16"/>
          <w:szCs w:val="16"/>
          <w:shd w:val="clear" w:color="auto" w:fill="FFFFFF"/>
        </w:rPr>
        <w:t xml:space="preserve"> de </w:t>
      </w:r>
      <w:r>
        <w:rPr>
          <w:rStyle w:val="Textoennegrita"/>
          <w:rFonts w:ascii="Verdana" w:hAnsi="Verdana"/>
          <w:b w:val="0"/>
          <w:color w:val="000000"/>
          <w:sz w:val="16"/>
          <w:szCs w:val="16"/>
          <w:shd w:val="clear" w:color="auto" w:fill="FFFFFF"/>
          <w:lang w:val="es-CR"/>
        </w:rPr>
        <w:t>noviembre</w:t>
      </w:r>
      <w:r w:rsidRPr="00EE4992">
        <w:rPr>
          <w:rStyle w:val="Textoennegrita"/>
          <w:rFonts w:ascii="Verdana" w:hAnsi="Verdana"/>
          <w:b w:val="0"/>
          <w:color w:val="000000"/>
          <w:sz w:val="16"/>
          <w:szCs w:val="16"/>
          <w:shd w:val="clear" w:color="auto" w:fill="FFFFFF"/>
        </w:rPr>
        <w:t xml:space="preserve"> de 2018. Serie C No. </w:t>
      </w:r>
      <w:r>
        <w:rPr>
          <w:rStyle w:val="Textoennegrita"/>
          <w:rFonts w:ascii="Verdana" w:hAnsi="Verdana"/>
          <w:b w:val="0"/>
          <w:color w:val="000000"/>
          <w:sz w:val="16"/>
          <w:szCs w:val="16"/>
          <w:shd w:val="clear" w:color="auto" w:fill="FFFFFF"/>
          <w:lang w:val="es-CR"/>
        </w:rPr>
        <w:t>371</w:t>
      </w:r>
      <w:r w:rsidRPr="00EE4992">
        <w:rPr>
          <w:rStyle w:val="Textoennegrita"/>
          <w:rFonts w:ascii="Verdana" w:hAnsi="Verdana"/>
          <w:b w:val="0"/>
          <w:color w:val="000000"/>
          <w:sz w:val="16"/>
          <w:szCs w:val="16"/>
          <w:shd w:val="clear" w:color="auto" w:fill="FFFFFF"/>
        </w:rPr>
        <w:t>.</w:t>
      </w:r>
      <w:r w:rsidRPr="00EE4992">
        <w:rPr>
          <w:rFonts w:ascii="Verdana" w:hAnsi="Verdana"/>
          <w:b/>
          <w:sz w:val="16"/>
          <w:szCs w:val="16"/>
          <w:lang w:val="es-CR"/>
        </w:rPr>
        <w:t xml:space="preserve"> </w:t>
      </w:r>
      <w:r w:rsidRPr="00EE4992">
        <w:rPr>
          <w:rFonts w:ascii="Verdana" w:hAnsi="Verdana"/>
          <w:sz w:val="16"/>
          <w:szCs w:val="16"/>
          <w:lang w:val="es-CR"/>
        </w:rPr>
        <w:t xml:space="preserve">El texto íntegro de la Sentencia se encuentra disponible en: </w:t>
      </w:r>
      <w:hyperlink r:id="rId1" w:history="1">
        <w:r w:rsidRPr="001B0B1E">
          <w:rPr>
            <w:rStyle w:val="Hipervnculo"/>
            <w:rFonts w:ascii="Verdana" w:hAnsi="Verdana"/>
            <w:sz w:val="16"/>
            <w:szCs w:val="16"/>
            <w:lang w:val="es-CR"/>
          </w:rPr>
          <w:t>http://www.corteidh.or.cr/docs/casos/articulos/seriec_371_esp.pdf</w:t>
        </w:r>
      </w:hyperlink>
      <w:r w:rsidRPr="00EE4992">
        <w:rPr>
          <w:rFonts w:ascii="Verdana" w:hAnsi="Verdana"/>
          <w:sz w:val="16"/>
          <w:szCs w:val="16"/>
          <w:lang w:val="es-CR"/>
        </w:rPr>
        <w:t xml:space="preserve">. La Sentencia </w:t>
      </w:r>
      <w:r>
        <w:rPr>
          <w:rFonts w:ascii="Verdana" w:hAnsi="Verdana"/>
          <w:sz w:val="16"/>
          <w:szCs w:val="16"/>
          <w:lang w:val="es-CR"/>
        </w:rPr>
        <w:t>se notificó</w:t>
      </w:r>
      <w:r w:rsidRPr="00EE4992">
        <w:rPr>
          <w:rFonts w:ascii="Verdana" w:hAnsi="Verdana"/>
          <w:sz w:val="16"/>
          <w:szCs w:val="16"/>
          <w:lang w:val="es-CR"/>
        </w:rPr>
        <w:t xml:space="preserve"> el </w:t>
      </w:r>
      <w:r>
        <w:rPr>
          <w:rFonts w:ascii="Verdana" w:hAnsi="Verdana"/>
          <w:sz w:val="16"/>
          <w:szCs w:val="16"/>
          <w:lang w:val="es-CR"/>
        </w:rPr>
        <w:t>21 de diciembre de 2018.</w:t>
      </w:r>
    </w:p>
  </w:footnote>
  <w:footnote w:id="3">
    <w:p w14:paraId="38334F61" w14:textId="14657141" w:rsidR="004D1244" w:rsidRPr="00457E67" w:rsidRDefault="004D1244" w:rsidP="00457E67">
      <w:pPr>
        <w:pStyle w:val="Textonotapie"/>
        <w:jc w:val="both"/>
        <w:rPr>
          <w:rFonts w:ascii="Verdana" w:hAnsi="Verdana"/>
          <w:sz w:val="16"/>
          <w:szCs w:val="16"/>
          <w:lang w:val="es-ES"/>
        </w:rPr>
      </w:pPr>
      <w:r w:rsidRPr="00457E67">
        <w:rPr>
          <w:rStyle w:val="Refdenotaalpie"/>
          <w:rFonts w:ascii="Verdana" w:hAnsi="Verdana"/>
          <w:sz w:val="16"/>
          <w:szCs w:val="16"/>
        </w:rPr>
        <w:footnoteRef/>
      </w:r>
      <w:r w:rsidRPr="00457E67">
        <w:rPr>
          <w:rFonts w:ascii="Verdana" w:hAnsi="Verdana"/>
          <w:sz w:val="16"/>
          <w:szCs w:val="16"/>
        </w:rPr>
        <w:t xml:space="preserve"> </w:t>
      </w:r>
      <w:r w:rsidRPr="00457E67">
        <w:rPr>
          <w:rFonts w:ascii="Verdana" w:hAnsi="Verdana"/>
          <w:sz w:val="16"/>
          <w:szCs w:val="16"/>
        </w:rPr>
        <w:tab/>
        <w:t>Yolanda Mu</w:t>
      </w:r>
      <w:r>
        <w:rPr>
          <w:rFonts w:ascii="Verdana" w:hAnsi="Verdana"/>
          <w:sz w:val="16"/>
          <w:szCs w:val="16"/>
        </w:rPr>
        <w:t>ñ</w:t>
      </w:r>
      <w:r w:rsidRPr="00457E67">
        <w:rPr>
          <w:rFonts w:ascii="Verdana" w:hAnsi="Verdana"/>
          <w:sz w:val="16"/>
          <w:szCs w:val="16"/>
        </w:rPr>
        <w:t xml:space="preserve">oz </w:t>
      </w:r>
      <w:proofErr w:type="spellStart"/>
      <w:r w:rsidRPr="00457E67">
        <w:rPr>
          <w:rFonts w:ascii="Verdana" w:hAnsi="Verdana"/>
          <w:sz w:val="16"/>
          <w:szCs w:val="16"/>
        </w:rPr>
        <w:t>Diosdada</w:t>
      </w:r>
      <w:proofErr w:type="spellEnd"/>
      <w:r w:rsidRPr="00457E67">
        <w:rPr>
          <w:rFonts w:ascii="Verdana" w:hAnsi="Verdana"/>
          <w:sz w:val="16"/>
          <w:szCs w:val="16"/>
        </w:rPr>
        <w:t xml:space="preserve">, Norma </w:t>
      </w:r>
      <w:proofErr w:type="spellStart"/>
      <w:r w:rsidRPr="00457E67">
        <w:rPr>
          <w:rFonts w:ascii="Verdana" w:hAnsi="Verdana"/>
          <w:sz w:val="16"/>
          <w:szCs w:val="16"/>
        </w:rPr>
        <w:t>Aide</w:t>
      </w:r>
      <w:proofErr w:type="spellEnd"/>
      <w:r w:rsidRPr="00457E67">
        <w:rPr>
          <w:rFonts w:ascii="Verdana" w:hAnsi="Verdana"/>
          <w:sz w:val="16"/>
          <w:szCs w:val="16"/>
        </w:rPr>
        <w:t xml:space="preserve">́ </w:t>
      </w:r>
      <w:proofErr w:type="spellStart"/>
      <w:r w:rsidRPr="00457E67">
        <w:rPr>
          <w:rFonts w:ascii="Verdana" w:hAnsi="Verdana"/>
          <w:sz w:val="16"/>
          <w:szCs w:val="16"/>
        </w:rPr>
        <w:t>Jiménez</w:t>
      </w:r>
      <w:proofErr w:type="spellEnd"/>
      <w:r w:rsidRPr="00457E67">
        <w:rPr>
          <w:rFonts w:ascii="Verdana" w:hAnsi="Verdana"/>
          <w:sz w:val="16"/>
          <w:szCs w:val="16"/>
        </w:rPr>
        <w:t xml:space="preserve"> Osorio, </w:t>
      </w:r>
      <w:proofErr w:type="spellStart"/>
      <w:r w:rsidRPr="00457E67">
        <w:rPr>
          <w:rFonts w:ascii="Verdana" w:hAnsi="Verdana"/>
          <w:sz w:val="16"/>
          <w:szCs w:val="16"/>
        </w:rPr>
        <w:t>María</w:t>
      </w:r>
      <w:proofErr w:type="spellEnd"/>
      <w:r w:rsidRPr="00457E67">
        <w:rPr>
          <w:rFonts w:ascii="Verdana" w:hAnsi="Verdana"/>
          <w:sz w:val="16"/>
          <w:szCs w:val="16"/>
        </w:rPr>
        <w:t xml:space="preserve"> Patricia Romero </w:t>
      </w:r>
      <w:proofErr w:type="spellStart"/>
      <w:r w:rsidRPr="00457E67">
        <w:rPr>
          <w:rFonts w:ascii="Verdana" w:hAnsi="Verdana"/>
          <w:sz w:val="16"/>
          <w:szCs w:val="16"/>
        </w:rPr>
        <w:t>Hernández</w:t>
      </w:r>
      <w:proofErr w:type="spellEnd"/>
      <w:r w:rsidRPr="00457E67">
        <w:rPr>
          <w:rFonts w:ascii="Verdana" w:hAnsi="Verdana"/>
          <w:sz w:val="16"/>
          <w:szCs w:val="16"/>
        </w:rPr>
        <w:t xml:space="preserve">, Mariana Selvas </w:t>
      </w:r>
      <w:proofErr w:type="spellStart"/>
      <w:r w:rsidRPr="00457E67">
        <w:rPr>
          <w:rFonts w:ascii="Verdana" w:hAnsi="Verdana"/>
          <w:sz w:val="16"/>
          <w:szCs w:val="16"/>
        </w:rPr>
        <w:t>Gómez</w:t>
      </w:r>
      <w:proofErr w:type="spellEnd"/>
      <w:r w:rsidRPr="00457E67">
        <w:rPr>
          <w:rFonts w:ascii="Verdana" w:hAnsi="Verdana"/>
          <w:sz w:val="16"/>
          <w:szCs w:val="16"/>
        </w:rPr>
        <w:t xml:space="preserve">, Georgina Edith Rosales </w:t>
      </w:r>
      <w:proofErr w:type="spellStart"/>
      <w:r w:rsidRPr="00457E67">
        <w:rPr>
          <w:rFonts w:ascii="Verdana" w:hAnsi="Verdana"/>
          <w:sz w:val="16"/>
          <w:szCs w:val="16"/>
        </w:rPr>
        <w:t>Gutiérrez</w:t>
      </w:r>
      <w:proofErr w:type="spellEnd"/>
      <w:r w:rsidRPr="00457E67">
        <w:rPr>
          <w:rFonts w:ascii="Verdana" w:hAnsi="Verdana"/>
          <w:sz w:val="16"/>
          <w:szCs w:val="16"/>
        </w:rPr>
        <w:t xml:space="preserve">, Ana </w:t>
      </w:r>
      <w:proofErr w:type="spellStart"/>
      <w:r w:rsidRPr="00457E67">
        <w:rPr>
          <w:rFonts w:ascii="Verdana" w:hAnsi="Verdana"/>
          <w:sz w:val="16"/>
          <w:szCs w:val="16"/>
        </w:rPr>
        <w:t>María</w:t>
      </w:r>
      <w:proofErr w:type="spellEnd"/>
      <w:r w:rsidRPr="00457E67">
        <w:rPr>
          <w:rFonts w:ascii="Verdana" w:hAnsi="Verdana"/>
          <w:sz w:val="16"/>
          <w:szCs w:val="16"/>
        </w:rPr>
        <w:t xml:space="preserve"> Velasco </w:t>
      </w:r>
      <w:proofErr w:type="spellStart"/>
      <w:r w:rsidRPr="00457E67">
        <w:rPr>
          <w:rFonts w:ascii="Verdana" w:hAnsi="Verdana"/>
          <w:sz w:val="16"/>
          <w:szCs w:val="16"/>
        </w:rPr>
        <w:t>Rodríguez</w:t>
      </w:r>
      <w:proofErr w:type="spellEnd"/>
      <w:r w:rsidRPr="00457E67">
        <w:rPr>
          <w:rFonts w:ascii="Verdana" w:hAnsi="Verdana"/>
          <w:sz w:val="16"/>
          <w:szCs w:val="16"/>
        </w:rPr>
        <w:t xml:space="preserve">, </w:t>
      </w:r>
      <w:proofErr w:type="spellStart"/>
      <w:r w:rsidRPr="00457E67">
        <w:rPr>
          <w:rFonts w:ascii="Verdana" w:hAnsi="Verdana"/>
          <w:sz w:val="16"/>
          <w:szCs w:val="16"/>
        </w:rPr>
        <w:t>Suhelen</w:t>
      </w:r>
      <w:proofErr w:type="spellEnd"/>
      <w:r w:rsidRPr="00457E67">
        <w:rPr>
          <w:rFonts w:ascii="Verdana" w:hAnsi="Verdana"/>
          <w:sz w:val="16"/>
          <w:szCs w:val="16"/>
        </w:rPr>
        <w:t xml:space="preserve"> Gabriela Cuevas Jaramillo, </w:t>
      </w:r>
      <w:proofErr w:type="spellStart"/>
      <w:r w:rsidRPr="00457E67">
        <w:rPr>
          <w:rFonts w:ascii="Verdana" w:hAnsi="Verdana"/>
          <w:sz w:val="16"/>
          <w:szCs w:val="16"/>
        </w:rPr>
        <w:t>Bárbara</w:t>
      </w:r>
      <w:proofErr w:type="spellEnd"/>
      <w:r w:rsidRPr="00457E67">
        <w:rPr>
          <w:rFonts w:ascii="Verdana" w:hAnsi="Verdana"/>
          <w:sz w:val="16"/>
          <w:szCs w:val="16"/>
        </w:rPr>
        <w:t xml:space="preserve"> Italia </w:t>
      </w:r>
      <w:proofErr w:type="spellStart"/>
      <w:r w:rsidRPr="00457E67">
        <w:rPr>
          <w:rFonts w:ascii="Verdana" w:hAnsi="Verdana"/>
          <w:sz w:val="16"/>
          <w:szCs w:val="16"/>
        </w:rPr>
        <w:t>Méndez</w:t>
      </w:r>
      <w:proofErr w:type="spellEnd"/>
      <w:r w:rsidRPr="00457E67">
        <w:rPr>
          <w:rFonts w:ascii="Verdana" w:hAnsi="Verdana"/>
          <w:sz w:val="16"/>
          <w:szCs w:val="16"/>
        </w:rPr>
        <w:t xml:space="preserve"> Moreno, </w:t>
      </w:r>
      <w:proofErr w:type="spellStart"/>
      <w:r w:rsidRPr="00457E67">
        <w:rPr>
          <w:rFonts w:ascii="Verdana" w:hAnsi="Verdana"/>
          <w:sz w:val="16"/>
          <w:szCs w:val="16"/>
        </w:rPr>
        <w:t>María</w:t>
      </w:r>
      <w:proofErr w:type="spellEnd"/>
      <w:r w:rsidRPr="00457E67">
        <w:rPr>
          <w:rFonts w:ascii="Verdana" w:hAnsi="Verdana"/>
          <w:sz w:val="16"/>
          <w:szCs w:val="16"/>
        </w:rPr>
        <w:t xml:space="preserve"> Cristina </w:t>
      </w:r>
      <w:proofErr w:type="spellStart"/>
      <w:r w:rsidRPr="00457E67">
        <w:rPr>
          <w:rFonts w:ascii="Verdana" w:hAnsi="Verdana"/>
          <w:sz w:val="16"/>
          <w:szCs w:val="16"/>
        </w:rPr>
        <w:t>Sánchez</w:t>
      </w:r>
      <w:proofErr w:type="spellEnd"/>
      <w:r w:rsidRPr="00457E67">
        <w:rPr>
          <w:rFonts w:ascii="Verdana" w:hAnsi="Verdana"/>
          <w:sz w:val="16"/>
          <w:szCs w:val="16"/>
        </w:rPr>
        <w:t xml:space="preserve"> </w:t>
      </w:r>
      <w:proofErr w:type="spellStart"/>
      <w:r w:rsidRPr="00457E67">
        <w:rPr>
          <w:rFonts w:ascii="Verdana" w:hAnsi="Verdana"/>
          <w:sz w:val="16"/>
          <w:szCs w:val="16"/>
        </w:rPr>
        <w:t>Hernández</w:t>
      </w:r>
      <w:proofErr w:type="spellEnd"/>
      <w:r w:rsidRPr="00457E67">
        <w:rPr>
          <w:rFonts w:ascii="Verdana" w:hAnsi="Verdana"/>
          <w:sz w:val="16"/>
          <w:szCs w:val="16"/>
        </w:rPr>
        <w:t xml:space="preserve">, </w:t>
      </w:r>
      <w:proofErr w:type="spellStart"/>
      <w:r w:rsidRPr="00457E67">
        <w:rPr>
          <w:rFonts w:ascii="Verdana" w:hAnsi="Verdana"/>
          <w:sz w:val="16"/>
          <w:szCs w:val="16"/>
        </w:rPr>
        <w:t>Angélica</w:t>
      </w:r>
      <w:proofErr w:type="spellEnd"/>
      <w:r w:rsidRPr="00457E67">
        <w:rPr>
          <w:rFonts w:ascii="Verdana" w:hAnsi="Verdana"/>
          <w:sz w:val="16"/>
          <w:szCs w:val="16"/>
        </w:rPr>
        <w:t xml:space="preserve"> Patricia Torres Linares y Claudia </w:t>
      </w:r>
      <w:proofErr w:type="spellStart"/>
      <w:r w:rsidRPr="00457E67">
        <w:rPr>
          <w:rFonts w:ascii="Verdana" w:hAnsi="Verdana"/>
          <w:sz w:val="16"/>
          <w:szCs w:val="16"/>
        </w:rPr>
        <w:t>Hernández</w:t>
      </w:r>
      <w:proofErr w:type="spellEnd"/>
      <w:r w:rsidRPr="00457E67">
        <w:rPr>
          <w:rFonts w:ascii="Verdana" w:hAnsi="Verdana"/>
          <w:sz w:val="16"/>
          <w:szCs w:val="16"/>
        </w:rPr>
        <w:t xml:space="preserve"> </w:t>
      </w:r>
      <w:proofErr w:type="spellStart"/>
      <w:r w:rsidRPr="00457E67">
        <w:rPr>
          <w:rFonts w:ascii="Verdana" w:hAnsi="Verdana"/>
          <w:sz w:val="16"/>
          <w:szCs w:val="16"/>
        </w:rPr>
        <w:t>Martínez</w:t>
      </w:r>
      <w:proofErr w:type="spellEnd"/>
      <w:r w:rsidRPr="00457E67">
        <w:rPr>
          <w:rFonts w:ascii="Verdana" w:hAnsi="Verdana"/>
          <w:sz w:val="16"/>
          <w:szCs w:val="16"/>
        </w:rPr>
        <w:t>.</w:t>
      </w:r>
    </w:p>
  </w:footnote>
  <w:footnote w:id="4">
    <w:p w14:paraId="5D447ADD" w14:textId="77777777" w:rsidR="004D1244" w:rsidRPr="00F418AC" w:rsidRDefault="004D1244" w:rsidP="00F418AC">
      <w:pPr>
        <w:pStyle w:val="Textonotapie"/>
        <w:jc w:val="both"/>
        <w:rPr>
          <w:rFonts w:ascii="Verdana" w:hAnsi="Verdana"/>
          <w:sz w:val="16"/>
          <w:szCs w:val="16"/>
          <w:lang w:val="es-MX"/>
        </w:rPr>
      </w:pPr>
      <w:r w:rsidRPr="00F418AC">
        <w:rPr>
          <w:rStyle w:val="Refdenotaalpie"/>
          <w:rFonts w:ascii="Verdana" w:hAnsi="Verdana"/>
          <w:sz w:val="16"/>
          <w:szCs w:val="16"/>
        </w:rPr>
        <w:footnoteRef/>
      </w:r>
      <w:r w:rsidRPr="00F418AC">
        <w:rPr>
          <w:rFonts w:ascii="Verdana" w:hAnsi="Verdana"/>
          <w:sz w:val="16"/>
          <w:szCs w:val="16"/>
        </w:rPr>
        <w:t xml:space="preserve"> </w:t>
      </w:r>
      <w:r>
        <w:rPr>
          <w:rFonts w:ascii="Verdana" w:hAnsi="Verdana"/>
          <w:sz w:val="16"/>
          <w:szCs w:val="16"/>
          <w:lang w:val="es-MX"/>
        </w:rPr>
        <w:t xml:space="preserve"> </w:t>
      </w:r>
      <w:r>
        <w:rPr>
          <w:rFonts w:ascii="Verdana" w:hAnsi="Verdana"/>
          <w:sz w:val="16"/>
          <w:szCs w:val="16"/>
          <w:lang w:val="es-MX"/>
        </w:rPr>
        <w:tab/>
      </w:r>
      <w:r w:rsidRPr="00EE4992">
        <w:rPr>
          <w:rFonts w:ascii="Verdana" w:hAnsi="Verdana"/>
          <w:i/>
          <w:sz w:val="16"/>
          <w:szCs w:val="16"/>
          <w:lang w:val="es-CR"/>
        </w:rPr>
        <w:t xml:space="preserve">Cfr. </w:t>
      </w:r>
      <w:r w:rsidRPr="00EE4992">
        <w:rPr>
          <w:rStyle w:val="Textoennegrita"/>
          <w:rFonts w:ascii="Verdana" w:hAnsi="Verdana"/>
          <w:b w:val="0"/>
          <w:i/>
          <w:color w:val="000000"/>
          <w:sz w:val="16"/>
          <w:szCs w:val="16"/>
          <w:shd w:val="clear" w:color="auto" w:fill="FFFFFF"/>
        </w:rPr>
        <w:t xml:space="preserve">Caso </w:t>
      </w:r>
      <w:r>
        <w:rPr>
          <w:rStyle w:val="Textoennegrita"/>
          <w:rFonts w:ascii="Verdana" w:hAnsi="Verdana"/>
          <w:b w:val="0"/>
          <w:i/>
          <w:color w:val="000000"/>
          <w:sz w:val="16"/>
          <w:szCs w:val="16"/>
          <w:shd w:val="clear" w:color="auto" w:fill="FFFFFF"/>
          <w:lang w:val="es-CR"/>
        </w:rPr>
        <w:t>Mujeres Víctimas de Tortura Sexual en Atenco</w:t>
      </w:r>
      <w:r w:rsidRPr="00EE4992">
        <w:rPr>
          <w:rStyle w:val="Textoennegrita"/>
          <w:rFonts w:ascii="Verdana" w:hAnsi="Verdana"/>
          <w:b w:val="0"/>
          <w:i/>
          <w:color w:val="000000"/>
          <w:sz w:val="16"/>
          <w:szCs w:val="16"/>
          <w:shd w:val="clear" w:color="auto" w:fill="FFFFFF"/>
        </w:rPr>
        <w:t xml:space="preserve"> Vs. </w:t>
      </w:r>
      <w:r>
        <w:rPr>
          <w:rStyle w:val="Textoennegrita"/>
          <w:rFonts w:ascii="Verdana" w:hAnsi="Verdana"/>
          <w:b w:val="0"/>
          <w:i/>
          <w:color w:val="000000"/>
          <w:sz w:val="16"/>
          <w:szCs w:val="16"/>
          <w:shd w:val="clear" w:color="auto" w:fill="FFFFFF"/>
          <w:lang w:val="es-CR"/>
        </w:rPr>
        <w:t>México</w:t>
      </w:r>
      <w:r w:rsidRPr="00EE4992">
        <w:rPr>
          <w:rStyle w:val="Textoennegrita"/>
          <w:rFonts w:ascii="Verdana" w:hAnsi="Verdana"/>
          <w:b w:val="0"/>
          <w:i/>
          <w:color w:val="000000"/>
          <w:sz w:val="16"/>
          <w:szCs w:val="16"/>
          <w:shd w:val="clear" w:color="auto" w:fill="FFFFFF"/>
        </w:rPr>
        <w:t>.</w:t>
      </w:r>
      <w:r>
        <w:rPr>
          <w:rStyle w:val="Textoennegrita"/>
          <w:rFonts w:ascii="Verdana" w:hAnsi="Verdana"/>
          <w:b w:val="0"/>
          <w:i/>
          <w:color w:val="000000"/>
          <w:sz w:val="16"/>
          <w:szCs w:val="16"/>
          <w:shd w:val="clear" w:color="auto" w:fill="FFFFFF"/>
          <w:lang w:val="es-CR"/>
        </w:rPr>
        <w:t xml:space="preserve"> Reintegro al Fondo de Asistencia Legal de Víctimas</w:t>
      </w:r>
      <w:r w:rsidRPr="00EE4992">
        <w:rPr>
          <w:rStyle w:val="Textoennegrita"/>
          <w:rFonts w:ascii="Verdana" w:hAnsi="Verdana"/>
          <w:b w:val="0"/>
          <w:color w:val="000000"/>
          <w:sz w:val="16"/>
          <w:szCs w:val="16"/>
          <w:shd w:val="clear" w:color="auto" w:fill="FFFFFF"/>
        </w:rPr>
        <w:t xml:space="preserve">. </w:t>
      </w:r>
      <w:r>
        <w:rPr>
          <w:rStyle w:val="Textoennegrita"/>
          <w:rFonts w:ascii="Verdana" w:hAnsi="Verdana"/>
          <w:b w:val="0"/>
          <w:color w:val="000000"/>
          <w:sz w:val="16"/>
          <w:szCs w:val="16"/>
          <w:shd w:val="clear" w:color="auto" w:fill="FFFFFF"/>
          <w:lang w:val="es-MX"/>
        </w:rPr>
        <w:t>Resolución de la Corte Interamericana de Derechos Humanos</w:t>
      </w:r>
      <w:r w:rsidRPr="00EE4992">
        <w:rPr>
          <w:rStyle w:val="Textoennegrita"/>
          <w:rFonts w:ascii="Verdana" w:hAnsi="Verdana"/>
          <w:b w:val="0"/>
          <w:color w:val="000000"/>
          <w:sz w:val="16"/>
          <w:szCs w:val="16"/>
          <w:shd w:val="clear" w:color="auto" w:fill="FFFFFF"/>
        </w:rPr>
        <w:t xml:space="preserve"> de </w:t>
      </w:r>
      <w:r>
        <w:rPr>
          <w:rStyle w:val="Textoennegrita"/>
          <w:rFonts w:ascii="Verdana" w:hAnsi="Verdana"/>
          <w:b w:val="0"/>
          <w:color w:val="000000"/>
          <w:sz w:val="16"/>
          <w:szCs w:val="16"/>
          <w:shd w:val="clear" w:color="auto" w:fill="FFFFFF"/>
          <w:lang w:val="es-CR"/>
        </w:rPr>
        <w:t>7</w:t>
      </w:r>
      <w:r w:rsidRPr="00EE4992">
        <w:rPr>
          <w:rStyle w:val="Textoennegrita"/>
          <w:rFonts w:ascii="Verdana" w:hAnsi="Verdana"/>
          <w:b w:val="0"/>
          <w:color w:val="000000"/>
          <w:sz w:val="16"/>
          <w:szCs w:val="16"/>
          <w:shd w:val="clear" w:color="auto" w:fill="FFFFFF"/>
        </w:rPr>
        <w:t xml:space="preserve"> de </w:t>
      </w:r>
      <w:r>
        <w:rPr>
          <w:rStyle w:val="Textoennegrita"/>
          <w:rFonts w:ascii="Verdana" w:hAnsi="Verdana"/>
          <w:b w:val="0"/>
          <w:color w:val="000000"/>
          <w:sz w:val="16"/>
          <w:szCs w:val="16"/>
          <w:shd w:val="clear" w:color="auto" w:fill="FFFFFF"/>
          <w:lang w:val="es-CR"/>
        </w:rPr>
        <w:t>octubre</w:t>
      </w:r>
      <w:r>
        <w:rPr>
          <w:rStyle w:val="Textoennegrita"/>
          <w:rFonts w:ascii="Verdana" w:hAnsi="Verdana"/>
          <w:b w:val="0"/>
          <w:color w:val="000000"/>
          <w:sz w:val="16"/>
          <w:szCs w:val="16"/>
          <w:shd w:val="clear" w:color="auto" w:fill="FFFFFF"/>
        </w:rPr>
        <w:t xml:space="preserve"> de 2019</w:t>
      </w:r>
      <w:r w:rsidRPr="00EE4992">
        <w:rPr>
          <w:rStyle w:val="Textoennegrita"/>
          <w:rFonts w:ascii="Verdana" w:hAnsi="Verdana"/>
          <w:b w:val="0"/>
          <w:color w:val="000000"/>
          <w:sz w:val="16"/>
          <w:szCs w:val="16"/>
          <w:shd w:val="clear" w:color="auto" w:fill="FFFFFF"/>
        </w:rPr>
        <w:t>.</w:t>
      </w:r>
      <w:r>
        <w:rPr>
          <w:rStyle w:val="Textoennegrita"/>
          <w:rFonts w:ascii="Verdana" w:hAnsi="Verdana"/>
          <w:b w:val="0"/>
          <w:color w:val="000000"/>
          <w:sz w:val="16"/>
          <w:szCs w:val="16"/>
          <w:shd w:val="clear" w:color="auto" w:fill="FFFFFF"/>
          <w:lang w:val="es-MX"/>
        </w:rPr>
        <w:t xml:space="preserve"> Disponible en: </w:t>
      </w:r>
      <w:hyperlink r:id="rId2" w:history="1">
        <w:r w:rsidRPr="008E3382">
          <w:rPr>
            <w:rStyle w:val="Hipervnculo"/>
            <w:rFonts w:ascii="Verdana" w:hAnsi="Verdana"/>
            <w:sz w:val="16"/>
            <w:szCs w:val="16"/>
            <w:shd w:val="clear" w:color="auto" w:fill="FFFFFF"/>
            <w:lang w:val="es-MX"/>
          </w:rPr>
          <w:t>http://www.corteidh.or.cr/docs/asuntos/mujer_atenco_fv_19.pdf</w:t>
        </w:r>
      </w:hyperlink>
      <w:r>
        <w:rPr>
          <w:rStyle w:val="Textoennegrita"/>
          <w:rFonts w:ascii="Verdana" w:hAnsi="Verdana"/>
          <w:b w:val="0"/>
          <w:color w:val="000000"/>
          <w:sz w:val="16"/>
          <w:szCs w:val="16"/>
          <w:shd w:val="clear" w:color="auto" w:fill="FFFFFF"/>
          <w:lang w:val="es-MX"/>
        </w:rPr>
        <w:t xml:space="preserve"> </w:t>
      </w:r>
    </w:p>
  </w:footnote>
  <w:footnote w:id="5">
    <w:p w14:paraId="5EAF5897" w14:textId="73118735" w:rsidR="004D1244" w:rsidRPr="00922DE4" w:rsidRDefault="004D1244" w:rsidP="00922DE4">
      <w:pPr>
        <w:pStyle w:val="Textonotapie"/>
        <w:jc w:val="both"/>
        <w:rPr>
          <w:rFonts w:ascii="Verdana" w:hAnsi="Verdana"/>
          <w:sz w:val="16"/>
          <w:szCs w:val="16"/>
          <w:lang w:val="es-CR"/>
        </w:rPr>
      </w:pPr>
      <w:r w:rsidRPr="003D4E29">
        <w:rPr>
          <w:rStyle w:val="Refdenotaalpie"/>
          <w:rFonts w:ascii="Verdana" w:hAnsi="Verdana"/>
          <w:sz w:val="16"/>
          <w:szCs w:val="16"/>
        </w:rPr>
        <w:footnoteRef/>
      </w:r>
      <w:r w:rsidRPr="003D4E29">
        <w:rPr>
          <w:rFonts w:ascii="Verdana" w:hAnsi="Verdana"/>
          <w:sz w:val="16"/>
          <w:szCs w:val="16"/>
        </w:rPr>
        <w:t xml:space="preserve"> </w:t>
      </w:r>
      <w:r w:rsidRPr="003D4E29">
        <w:rPr>
          <w:rFonts w:ascii="Verdana" w:hAnsi="Verdana"/>
          <w:sz w:val="16"/>
          <w:szCs w:val="16"/>
        </w:rPr>
        <w:tab/>
      </w:r>
      <w:r>
        <w:rPr>
          <w:rFonts w:ascii="Verdana" w:hAnsi="Verdana"/>
          <w:sz w:val="16"/>
          <w:szCs w:val="16"/>
          <w:lang w:val="es-CR"/>
        </w:rPr>
        <w:t>La</w:t>
      </w:r>
      <w:r w:rsidRPr="003D4E29">
        <w:rPr>
          <w:rFonts w:ascii="Verdana" w:hAnsi="Verdana"/>
          <w:sz w:val="16"/>
          <w:szCs w:val="16"/>
          <w:lang w:val="es-CR"/>
        </w:rPr>
        <w:t>s representantes en el presente caso son el Centro por la Justicia y el Derecho Internacional (CEJIL)</w:t>
      </w:r>
      <w:r>
        <w:rPr>
          <w:rFonts w:ascii="Verdana" w:hAnsi="Verdana"/>
          <w:sz w:val="16"/>
          <w:szCs w:val="16"/>
          <w:lang w:val="es-CR"/>
        </w:rPr>
        <w:t xml:space="preserve"> y el </w:t>
      </w:r>
      <w:r w:rsidRPr="00922DE4">
        <w:rPr>
          <w:rFonts w:ascii="Verdana" w:hAnsi="Verdana"/>
          <w:sz w:val="16"/>
          <w:szCs w:val="16"/>
          <w:lang w:val="es-CR"/>
        </w:rPr>
        <w:t xml:space="preserve">Centro </w:t>
      </w:r>
      <w:proofErr w:type="gramStart"/>
      <w:r w:rsidRPr="00922DE4">
        <w:rPr>
          <w:rFonts w:ascii="Verdana" w:hAnsi="Verdana"/>
          <w:sz w:val="16"/>
          <w:szCs w:val="16"/>
          <w:lang w:val="es-CR"/>
        </w:rPr>
        <w:t>de  Dere</w:t>
      </w:r>
      <w:r>
        <w:rPr>
          <w:rFonts w:ascii="Verdana" w:hAnsi="Verdana"/>
          <w:sz w:val="16"/>
          <w:szCs w:val="16"/>
          <w:lang w:val="es-CR"/>
        </w:rPr>
        <w:t>chos</w:t>
      </w:r>
      <w:proofErr w:type="gramEnd"/>
      <w:r>
        <w:rPr>
          <w:rFonts w:ascii="Verdana" w:hAnsi="Verdana"/>
          <w:sz w:val="16"/>
          <w:szCs w:val="16"/>
          <w:lang w:val="es-CR"/>
        </w:rPr>
        <w:t xml:space="preserve"> Humanos Miguel Agustín Pro Juárez A.C. (</w:t>
      </w:r>
      <w:r w:rsidR="00582E7F">
        <w:rPr>
          <w:rFonts w:ascii="Verdana" w:hAnsi="Verdana"/>
          <w:sz w:val="16"/>
          <w:szCs w:val="16"/>
          <w:lang w:val="es-CR"/>
        </w:rPr>
        <w:t xml:space="preserve">Centro </w:t>
      </w:r>
      <w:proofErr w:type="spellStart"/>
      <w:r w:rsidR="00582E7F">
        <w:rPr>
          <w:rFonts w:ascii="Verdana" w:hAnsi="Verdana"/>
          <w:sz w:val="16"/>
          <w:szCs w:val="16"/>
          <w:lang w:val="es-CR"/>
        </w:rPr>
        <w:t>Prodeh</w:t>
      </w:r>
      <w:proofErr w:type="spellEnd"/>
      <w:r>
        <w:rPr>
          <w:rFonts w:ascii="Verdana" w:hAnsi="Verdana"/>
          <w:sz w:val="16"/>
          <w:szCs w:val="16"/>
          <w:lang w:val="es-CR"/>
        </w:rPr>
        <w:t>)</w:t>
      </w:r>
      <w:r w:rsidRPr="003D4E29">
        <w:rPr>
          <w:rFonts w:ascii="Verdana" w:hAnsi="Verdana"/>
          <w:sz w:val="16"/>
          <w:szCs w:val="16"/>
          <w:lang w:val="es-CR"/>
        </w:rPr>
        <w:t>.</w:t>
      </w:r>
    </w:p>
  </w:footnote>
  <w:footnote w:id="6">
    <w:p w14:paraId="07E68F8C" w14:textId="77777777" w:rsidR="004D1244" w:rsidRPr="00475813" w:rsidRDefault="004D1244" w:rsidP="00475813">
      <w:pPr>
        <w:pStyle w:val="Textonotapie"/>
        <w:jc w:val="both"/>
        <w:rPr>
          <w:lang w:val="es-MX"/>
        </w:rPr>
      </w:pPr>
      <w:r w:rsidRPr="00475813">
        <w:rPr>
          <w:rStyle w:val="Refdenotaalpie"/>
          <w:rFonts w:ascii="Verdana" w:hAnsi="Verdana"/>
          <w:sz w:val="16"/>
          <w:szCs w:val="16"/>
        </w:rPr>
        <w:footnoteRef/>
      </w:r>
      <w:r>
        <w:t xml:space="preserve"> </w:t>
      </w:r>
      <w:r>
        <w:tab/>
      </w:r>
      <w:r w:rsidRPr="00475813">
        <w:rPr>
          <w:rFonts w:ascii="Verdana" w:hAnsi="Verdana"/>
          <w:sz w:val="16"/>
          <w:lang w:val="es-CR"/>
        </w:rPr>
        <w:t>Facultad que además se desprende de lo dispuesto en los artículos 33, 62.1, 62.3 y 65 de la Convención Americana sobre Derechos Humanos y 30 de su Estatuto y se encuentra regulada en el artículo 69 de su Reglamento.</w:t>
      </w:r>
    </w:p>
  </w:footnote>
  <w:footnote w:id="7">
    <w:p w14:paraId="331D968C" w14:textId="457BA5D1" w:rsidR="004D1244" w:rsidRPr="00475813" w:rsidRDefault="004D1244" w:rsidP="00444511">
      <w:pPr>
        <w:pStyle w:val="Textonotapie"/>
        <w:jc w:val="both"/>
        <w:rPr>
          <w:rFonts w:ascii="Verdana" w:hAnsi="Verdana"/>
          <w:sz w:val="16"/>
          <w:szCs w:val="16"/>
          <w:lang w:val="es-MX"/>
        </w:rPr>
      </w:pPr>
      <w:r w:rsidRPr="00475813">
        <w:rPr>
          <w:rStyle w:val="Refdenotaalpie"/>
          <w:rFonts w:ascii="Verdana" w:hAnsi="Verdana"/>
          <w:sz w:val="16"/>
          <w:szCs w:val="16"/>
        </w:rPr>
        <w:footnoteRef/>
      </w:r>
      <w:r w:rsidRPr="00475813">
        <w:rPr>
          <w:rFonts w:ascii="Verdana" w:hAnsi="Verdana"/>
          <w:sz w:val="16"/>
          <w:szCs w:val="16"/>
        </w:rPr>
        <w:t xml:space="preserve"> </w:t>
      </w:r>
      <w:r>
        <w:rPr>
          <w:rFonts w:ascii="Verdana" w:hAnsi="Verdana"/>
          <w:sz w:val="16"/>
          <w:szCs w:val="16"/>
        </w:rPr>
        <w:tab/>
      </w:r>
      <w:r w:rsidRPr="00444511">
        <w:rPr>
          <w:rFonts w:ascii="Verdana" w:hAnsi="Verdana"/>
          <w:i/>
          <w:sz w:val="16"/>
          <w:szCs w:val="16"/>
          <w:lang w:val="es-CR"/>
        </w:rPr>
        <w:t>Cfr.</w:t>
      </w:r>
      <w:r w:rsidRPr="00444511">
        <w:rPr>
          <w:rFonts w:ascii="Verdana" w:hAnsi="Verdana"/>
          <w:sz w:val="16"/>
          <w:szCs w:val="16"/>
          <w:lang w:val="es-CR"/>
        </w:rPr>
        <w:t xml:space="preserve"> </w:t>
      </w:r>
      <w:r w:rsidRPr="00444511">
        <w:rPr>
          <w:rFonts w:ascii="Verdana" w:hAnsi="Verdana"/>
          <w:i/>
          <w:sz w:val="16"/>
          <w:szCs w:val="16"/>
          <w:lang w:val="es-CR"/>
        </w:rPr>
        <w:t>Caso Cinco Pensionistas Vs. Perú.</w:t>
      </w:r>
      <w:r w:rsidRPr="00444511">
        <w:rPr>
          <w:rFonts w:ascii="Verdana" w:hAnsi="Verdana"/>
          <w:sz w:val="16"/>
          <w:szCs w:val="16"/>
          <w:lang w:val="es-CR"/>
        </w:rPr>
        <w:t xml:space="preserve"> </w:t>
      </w:r>
      <w:r w:rsidRPr="00444511">
        <w:rPr>
          <w:rFonts w:ascii="Verdana" w:hAnsi="Verdana"/>
          <w:i/>
          <w:sz w:val="16"/>
          <w:szCs w:val="16"/>
          <w:lang w:val="es-CR"/>
        </w:rPr>
        <w:t>Supervisión de cumplimiento de Sentencia</w:t>
      </w:r>
      <w:r w:rsidRPr="00444511">
        <w:rPr>
          <w:rFonts w:ascii="Verdana" w:hAnsi="Verdana"/>
          <w:sz w:val="16"/>
          <w:szCs w:val="16"/>
          <w:lang w:val="es-CR"/>
        </w:rPr>
        <w:t>. Resolución de la Corte Interamericana de Derechos Humanos de 17 de noviembre de 2004, Considerando 5, y</w:t>
      </w:r>
      <w:r>
        <w:rPr>
          <w:rFonts w:ascii="Verdana" w:hAnsi="Verdana"/>
          <w:sz w:val="16"/>
          <w:szCs w:val="16"/>
          <w:lang w:val="es-CR"/>
        </w:rPr>
        <w:t xml:space="preserve"> </w:t>
      </w:r>
      <w:r w:rsidRPr="00865A92">
        <w:rPr>
          <w:rFonts w:ascii="Verdana" w:hAnsi="Verdana"/>
          <w:i/>
          <w:sz w:val="16"/>
          <w:szCs w:val="16"/>
          <w:lang w:val="es-CR"/>
        </w:rPr>
        <w:t xml:space="preserve">Caso </w:t>
      </w:r>
      <w:r w:rsidRPr="00AA03AC">
        <w:rPr>
          <w:rFonts w:ascii="Verdana" w:hAnsi="Verdana"/>
          <w:i/>
          <w:sz w:val="16"/>
          <w:szCs w:val="16"/>
          <w:lang w:val="es-CR"/>
        </w:rPr>
        <w:t xml:space="preserve">Galindo Cárdenas y otros Vs. Perú. Supervisión de Cumplimiento de Sentencia. </w:t>
      </w:r>
      <w:r w:rsidRPr="00865A92">
        <w:rPr>
          <w:rFonts w:ascii="Verdana" w:hAnsi="Verdana"/>
          <w:sz w:val="16"/>
          <w:szCs w:val="16"/>
          <w:lang w:val="es-CR"/>
        </w:rPr>
        <w:t>Resolución de la Corte Interamericana de Derechos Humanos de 8 de octubre de 2020, Considerando 2.</w:t>
      </w:r>
      <w:r>
        <w:rPr>
          <w:rFonts w:ascii="Verdana" w:hAnsi="Verdana"/>
          <w:sz w:val="16"/>
          <w:szCs w:val="16"/>
          <w:lang w:val="es-CR"/>
        </w:rPr>
        <w:t xml:space="preserve"> </w:t>
      </w:r>
    </w:p>
  </w:footnote>
  <w:footnote w:id="8">
    <w:p w14:paraId="1125448A" w14:textId="15D70509" w:rsidR="004D1244" w:rsidRPr="00444511" w:rsidRDefault="004D1244" w:rsidP="00444511">
      <w:pPr>
        <w:pStyle w:val="Textonotapie"/>
        <w:jc w:val="both"/>
        <w:rPr>
          <w:rFonts w:ascii="Verdana" w:hAnsi="Verdana"/>
          <w:sz w:val="18"/>
          <w:szCs w:val="18"/>
          <w:lang w:val="es-MX"/>
        </w:rPr>
      </w:pPr>
      <w:r w:rsidRPr="00444511">
        <w:rPr>
          <w:rStyle w:val="Refdenotaalpie"/>
          <w:rFonts w:ascii="Verdana" w:hAnsi="Verdana"/>
          <w:sz w:val="16"/>
          <w:szCs w:val="18"/>
        </w:rPr>
        <w:footnoteRef/>
      </w:r>
      <w:r w:rsidRPr="00444511">
        <w:rPr>
          <w:rFonts w:ascii="Verdana" w:hAnsi="Verdana"/>
          <w:sz w:val="16"/>
          <w:szCs w:val="18"/>
        </w:rPr>
        <w:t xml:space="preserve"> </w:t>
      </w:r>
      <w:r>
        <w:rPr>
          <w:rFonts w:ascii="Verdana" w:hAnsi="Verdana"/>
          <w:sz w:val="16"/>
          <w:szCs w:val="18"/>
        </w:rPr>
        <w:tab/>
      </w:r>
      <w:r w:rsidRPr="00444511">
        <w:rPr>
          <w:rFonts w:ascii="Verdana" w:hAnsi="Verdana"/>
          <w:i/>
          <w:sz w:val="16"/>
          <w:szCs w:val="18"/>
          <w:lang w:val="es-CR"/>
        </w:rPr>
        <w:t>Cfr.</w:t>
      </w:r>
      <w:r w:rsidRPr="00444511">
        <w:rPr>
          <w:rFonts w:ascii="Verdana" w:hAnsi="Verdana"/>
          <w:sz w:val="16"/>
          <w:szCs w:val="18"/>
          <w:lang w:val="es-CR"/>
        </w:rPr>
        <w:t xml:space="preserve"> </w:t>
      </w:r>
      <w:r w:rsidRPr="00444511">
        <w:rPr>
          <w:rFonts w:ascii="Verdana" w:hAnsi="Verdana"/>
          <w:i/>
          <w:sz w:val="16"/>
          <w:szCs w:val="18"/>
          <w:lang w:val="es-CR"/>
        </w:rPr>
        <w:t xml:space="preserve">Caso </w:t>
      </w:r>
      <w:proofErr w:type="spellStart"/>
      <w:r w:rsidRPr="00444511">
        <w:rPr>
          <w:rFonts w:ascii="Verdana" w:hAnsi="Verdana"/>
          <w:i/>
          <w:sz w:val="16"/>
          <w:szCs w:val="18"/>
          <w:lang w:val="es-CR"/>
        </w:rPr>
        <w:t>Ivcher</w:t>
      </w:r>
      <w:proofErr w:type="spellEnd"/>
      <w:r w:rsidRPr="00444511">
        <w:rPr>
          <w:rFonts w:ascii="Verdana" w:hAnsi="Verdana"/>
          <w:i/>
          <w:sz w:val="16"/>
          <w:szCs w:val="18"/>
          <w:lang w:val="es-CR"/>
        </w:rPr>
        <w:t xml:space="preserve"> </w:t>
      </w:r>
      <w:proofErr w:type="spellStart"/>
      <w:r w:rsidRPr="00444511">
        <w:rPr>
          <w:rFonts w:ascii="Verdana" w:hAnsi="Verdana"/>
          <w:i/>
          <w:sz w:val="16"/>
          <w:szCs w:val="18"/>
          <w:lang w:val="es-CR"/>
        </w:rPr>
        <w:t>Bronstein</w:t>
      </w:r>
      <w:proofErr w:type="spellEnd"/>
      <w:r w:rsidRPr="00444511">
        <w:rPr>
          <w:rFonts w:ascii="Verdana" w:hAnsi="Verdana"/>
          <w:i/>
          <w:sz w:val="16"/>
          <w:szCs w:val="18"/>
          <w:lang w:val="es-CR"/>
        </w:rPr>
        <w:t xml:space="preserve"> Vs. Perú.</w:t>
      </w:r>
      <w:r w:rsidRPr="00444511">
        <w:rPr>
          <w:rFonts w:ascii="Verdana" w:hAnsi="Verdana"/>
          <w:sz w:val="16"/>
          <w:szCs w:val="18"/>
          <w:lang w:val="es-CR"/>
        </w:rPr>
        <w:t xml:space="preserve"> </w:t>
      </w:r>
      <w:r w:rsidRPr="00444511">
        <w:rPr>
          <w:rFonts w:ascii="Verdana" w:hAnsi="Verdana"/>
          <w:i/>
          <w:sz w:val="16"/>
          <w:szCs w:val="18"/>
          <w:lang w:val="es-CR"/>
        </w:rPr>
        <w:t>Competencia</w:t>
      </w:r>
      <w:r w:rsidRPr="00444511">
        <w:rPr>
          <w:rFonts w:ascii="Verdana" w:hAnsi="Verdana"/>
          <w:sz w:val="16"/>
          <w:szCs w:val="18"/>
          <w:lang w:val="es-CR"/>
        </w:rPr>
        <w:t>. Sentencia de la Corte Interamericana de Derechos Humanos de 24 de septiembre de 1999. Serie C No. 54, párr. 37, y</w:t>
      </w:r>
      <w:r>
        <w:rPr>
          <w:rFonts w:ascii="Verdana" w:hAnsi="Verdana"/>
          <w:sz w:val="16"/>
          <w:szCs w:val="18"/>
          <w:lang w:val="es-CR"/>
        </w:rPr>
        <w:t xml:space="preserve"> </w:t>
      </w:r>
      <w:r w:rsidRPr="00664E1F">
        <w:rPr>
          <w:rFonts w:ascii="Verdana" w:hAnsi="Verdana"/>
          <w:i/>
          <w:sz w:val="16"/>
          <w:szCs w:val="16"/>
          <w:lang w:val="es-CR"/>
        </w:rPr>
        <w:t>Caso Galindo Cárdenas y otros</w:t>
      </w:r>
      <w:r>
        <w:rPr>
          <w:rFonts w:ascii="Verdana" w:hAnsi="Verdana"/>
          <w:i/>
          <w:sz w:val="16"/>
          <w:szCs w:val="16"/>
          <w:lang w:val="es-CR"/>
        </w:rPr>
        <w:t xml:space="preserve"> Vs. Perú, supra </w:t>
      </w:r>
      <w:r>
        <w:rPr>
          <w:rFonts w:ascii="Verdana" w:hAnsi="Verdana"/>
          <w:sz w:val="16"/>
          <w:szCs w:val="16"/>
          <w:lang w:val="es-CR"/>
        </w:rPr>
        <w:t xml:space="preserve">nota </w:t>
      </w:r>
      <w:r w:rsidR="00815DC8">
        <w:rPr>
          <w:rFonts w:ascii="Verdana" w:hAnsi="Verdana"/>
          <w:sz w:val="16"/>
          <w:szCs w:val="16"/>
          <w:lang w:val="es-CR"/>
        </w:rPr>
        <w:t>6</w:t>
      </w:r>
      <w:r>
        <w:rPr>
          <w:rFonts w:ascii="Verdana" w:hAnsi="Verdana"/>
          <w:sz w:val="16"/>
          <w:szCs w:val="16"/>
          <w:lang w:val="es-CR"/>
        </w:rPr>
        <w:t>, Considerando 2</w:t>
      </w:r>
      <w:r>
        <w:rPr>
          <w:rFonts w:ascii="Verdana" w:hAnsi="Verdana"/>
          <w:sz w:val="16"/>
          <w:szCs w:val="18"/>
          <w:lang w:val="es-CR"/>
        </w:rPr>
        <w:t xml:space="preserve">. </w:t>
      </w:r>
    </w:p>
  </w:footnote>
  <w:footnote w:id="9">
    <w:p w14:paraId="01FAE9DF" w14:textId="1DED6A4D" w:rsidR="004D1244" w:rsidRPr="007F7A58" w:rsidRDefault="004D1244" w:rsidP="007F7A58">
      <w:pPr>
        <w:pStyle w:val="Textonotapie"/>
        <w:jc w:val="both"/>
        <w:rPr>
          <w:rFonts w:ascii="Verdana" w:hAnsi="Verdana"/>
          <w:sz w:val="16"/>
          <w:szCs w:val="16"/>
        </w:rPr>
      </w:pPr>
      <w:r w:rsidRPr="007F7A58">
        <w:rPr>
          <w:rStyle w:val="Refdenotaalpie"/>
          <w:rFonts w:ascii="Verdana" w:hAnsi="Verdana"/>
          <w:sz w:val="16"/>
          <w:szCs w:val="16"/>
        </w:rPr>
        <w:footnoteRef/>
      </w:r>
      <w:r w:rsidRPr="007F7A58">
        <w:rPr>
          <w:rFonts w:ascii="Verdana" w:hAnsi="Verdana"/>
          <w:sz w:val="16"/>
          <w:szCs w:val="16"/>
        </w:rPr>
        <w:t xml:space="preserve"> </w:t>
      </w:r>
      <w:r w:rsidRPr="007F7A58">
        <w:rPr>
          <w:rFonts w:ascii="Verdana" w:hAnsi="Verdana"/>
          <w:sz w:val="16"/>
          <w:szCs w:val="16"/>
        </w:rPr>
        <w:tab/>
        <w:t xml:space="preserve">La </w:t>
      </w:r>
      <w:proofErr w:type="spellStart"/>
      <w:r w:rsidRPr="007F7A58">
        <w:rPr>
          <w:rFonts w:ascii="Verdana" w:hAnsi="Verdana"/>
          <w:sz w:val="16"/>
          <w:szCs w:val="16"/>
        </w:rPr>
        <w:t>Procuraduría</w:t>
      </w:r>
      <w:proofErr w:type="spellEnd"/>
      <w:r w:rsidRPr="007F7A58">
        <w:rPr>
          <w:rFonts w:ascii="Verdana" w:hAnsi="Verdana"/>
          <w:sz w:val="16"/>
          <w:szCs w:val="16"/>
        </w:rPr>
        <w:t xml:space="preserve"> General de Justicia del estado de </w:t>
      </w:r>
      <w:proofErr w:type="spellStart"/>
      <w:r w:rsidRPr="007F7A58">
        <w:rPr>
          <w:rFonts w:ascii="Verdana" w:hAnsi="Verdana"/>
          <w:sz w:val="16"/>
          <w:szCs w:val="16"/>
        </w:rPr>
        <w:t>México</w:t>
      </w:r>
      <w:proofErr w:type="spellEnd"/>
      <w:r w:rsidRPr="007F7A58">
        <w:rPr>
          <w:rFonts w:ascii="Verdana" w:hAnsi="Verdana"/>
          <w:sz w:val="16"/>
          <w:szCs w:val="16"/>
        </w:rPr>
        <w:t xml:space="preserve"> inició la </w:t>
      </w:r>
      <w:proofErr w:type="spellStart"/>
      <w:r w:rsidRPr="007F7A58">
        <w:rPr>
          <w:rFonts w:ascii="Verdana" w:hAnsi="Verdana"/>
          <w:sz w:val="16"/>
          <w:szCs w:val="16"/>
        </w:rPr>
        <w:t>averiguación</w:t>
      </w:r>
      <w:proofErr w:type="spellEnd"/>
      <w:r w:rsidRPr="007F7A58">
        <w:rPr>
          <w:rFonts w:ascii="Verdana" w:hAnsi="Verdana"/>
          <w:sz w:val="16"/>
          <w:szCs w:val="16"/>
        </w:rPr>
        <w:t xml:space="preserve"> previa TOL/DR/I/466/2006, la cual dio origen a las causas penales </w:t>
      </w:r>
      <w:r w:rsidRPr="007F7A58">
        <w:rPr>
          <w:rFonts w:ascii="Verdana" w:hAnsi="Verdana"/>
          <w:sz w:val="16"/>
          <w:szCs w:val="16"/>
          <w:lang w:val="es-ES"/>
        </w:rPr>
        <w:t>59/2006, 418/2011 (</w:t>
      </w:r>
      <w:proofErr w:type="spellStart"/>
      <w:r w:rsidRPr="007F7A58">
        <w:rPr>
          <w:rFonts w:ascii="Verdana" w:hAnsi="Verdana"/>
          <w:sz w:val="16"/>
          <w:szCs w:val="16"/>
          <w:lang w:val="es-ES"/>
        </w:rPr>
        <w:t>recaratulada</w:t>
      </w:r>
      <w:proofErr w:type="spellEnd"/>
      <w:r w:rsidRPr="007F7A58">
        <w:rPr>
          <w:rFonts w:ascii="Verdana" w:hAnsi="Verdana"/>
          <w:sz w:val="16"/>
          <w:szCs w:val="16"/>
          <w:lang w:val="es-ES"/>
        </w:rPr>
        <w:t xml:space="preserve"> como 55/2013), 166/2014, 105/2016 y 79/2006.</w:t>
      </w:r>
    </w:p>
  </w:footnote>
  <w:footnote w:id="10">
    <w:p w14:paraId="143CB448" w14:textId="3DDB22BA" w:rsidR="004D1244" w:rsidRPr="002A5D2D" w:rsidRDefault="004D1244" w:rsidP="002A5D2D">
      <w:pPr>
        <w:pStyle w:val="Textonotapie"/>
        <w:jc w:val="both"/>
        <w:rPr>
          <w:rFonts w:ascii="Verdana" w:hAnsi="Verdana"/>
          <w:sz w:val="16"/>
          <w:szCs w:val="16"/>
          <w:lang w:val="es-ES"/>
        </w:rPr>
      </w:pPr>
      <w:r w:rsidRPr="002A5D2D">
        <w:rPr>
          <w:rStyle w:val="Refdenotaalpie"/>
          <w:rFonts w:ascii="Verdana" w:hAnsi="Verdana"/>
          <w:sz w:val="16"/>
          <w:szCs w:val="16"/>
        </w:rPr>
        <w:footnoteRef/>
      </w:r>
      <w:r w:rsidRPr="002A5D2D">
        <w:rPr>
          <w:rFonts w:ascii="Verdana" w:hAnsi="Verdana"/>
          <w:sz w:val="16"/>
          <w:szCs w:val="16"/>
        </w:rPr>
        <w:t xml:space="preserve"> </w:t>
      </w:r>
      <w:r w:rsidRPr="002A5D2D">
        <w:rPr>
          <w:rFonts w:ascii="Verdana" w:hAnsi="Verdana"/>
          <w:sz w:val="16"/>
          <w:szCs w:val="16"/>
        </w:rPr>
        <w:tab/>
        <w:t xml:space="preserve">Se trata de la </w:t>
      </w:r>
      <w:proofErr w:type="spellStart"/>
      <w:r w:rsidRPr="002A5D2D">
        <w:rPr>
          <w:rFonts w:ascii="Verdana" w:hAnsi="Verdana"/>
          <w:sz w:val="16"/>
          <w:szCs w:val="16"/>
        </w:rPr>
        <w:t>averiguación</w:t>
      </w:r>
      <w:proofErr w:type="spellEnd"/>
      <w:r w:rsidRPr="002A5D2D">
        <w:rPr>
          <w:rFonts w:ascii="Verdana" w:hAnsi="Verdana"/>
          <w:sz w:val="16"/>
          <w:szCs w:val="16"/>
        </w:rPr>
        <w:t xml:space="preserve"> previa AP/FEVIM/003/05-2006.</w:t>
      </w:r>
    </w:p>
  </w:footnote>
  <w:footnote w:id="11">
    <w:p w14:paraId="37B7265E" w14:textId="2FAFA918" w:rsidR="004D1244" w:rsidRPr="00893739" w:rsidRDefault="004D1244" w:rsidP="00893739">
      <w:pPr>
        <w:pStyle w:val="Textonotapie"/>
        <w:jc w:val="both"/>
        <w:rPr>
          <w:rFonts w:ascii="Verdana" w:hAnsi="Verdana"/>
          <w:sz w:val="16"/>
          <w:szCs w:val="16"/>
        </w:rPr>
      </w:pPr>
      <w:r w:rsidRPr="00893739">
        <w:rPr>
          <w:rStyle w:val="Refdenotaalpie"/>
          <w:rFonts w:ascii="Verdana" w:hAnsi="Verdana"/>
          <w:sz w:val="16"/>
          <w:szCs w:val="16"/>
        </w:rPr>
        <w:footnoteRef/>
      </w:r>
      <w:r w:rsidRPr="00893739">
        <w:rPr>
          <w:rFonts w:ascii="Verdana" w:hAnsi="Verdana"/>
          <w:sz w:val="16"/>
          <w:szCs w:val="16"/>
        </w:rPr>
        <w:t xml:space="preserve"> </w:t>
      </w:r>
      <w:r w:rsidRPr="00893739">
        <w:rPr>
          <w:rFonts w:ascii="Verdana" w:hAnsi="Verdana"/>
          <w:sz w:val="16"/>
          <w:szCs w:val="16"/>
        </w:rPr>
        <w:tab/>
        <w:t>En la nota al pie 210 de la Sentencia, se aclaró que “[a]</w:t>
      </w:r>
      <w:proofErr w:type="spellStart"/>
      <w:r w:rsidRPr="00893739">
        <w:rPr>
          <w:rFonts w:ascii="Verdana" w:hAnsi="Verdana"/>
          <w:sz w:val="16"/>
          <w:szCs w:val="16"/>
        </w:rPr>
        <w:t>ctualmente</w:t>
      </w:r>
      <w:proofErr w:type="spellEnd"/>
      <w:r w:rsidRPr="00893739">
        <w:rPr>
          <w:rFonts w:ascii="Verdana" w:hAnsi="Verdana"/>
          <w:sz w:val="16"/>
          <w:szCs w:val="16"/>
        </w:rPr>
        <w:t xml:space="preserve">, esta fiscalía se identifica como Fiscalía Especial para los Delitos de Violencia Contra las Mujeres y Trata de Personas (FEVIMTRA)”. </w:t>
      </w:r>
    </w:p>
  </w:footnote>
  <w:footnote w:id="12">
    <w:p w14:paraId="2CA93D7A" w14:textId="4DCE87DD" w:rsidR="004D1244" w:rsidRPr="004F6445" w:rsidRDefault="004D1244" w:rsidP="004F6445">
      <w:pPr>
        <w:pStyle w:val="Textonotapie"/>
        <w:jc w:val="both"/>
        <w:rPr>
          <w:rFonts w:ascii="Verdana" w:hAnsi="Verdana"/>
          <w:sz w:val="16"/>
          <w:szCs w:val="16"/>
        </w:rPr>
      </w:pPr>
      <w:r w:rsidRPr="004F6445">
        <w:rPr>
          <w:rStyle w:val="Refdenotaalpie"/>
          <w:rFonts w:ascii="Verdana" w:hAnsi="Verdana"/>
          <w:sz w:val="16"/>
          <w:szCs w:val="16"/>
        </w:rPr>
        <w:footnoteRef/>
      </w:r>
      <w:r w:rsidRPr="004F6445">
        <w:rPr>
          <w:rFonts w:ascii="Verdana" w:hAnsi="Verdana"/>
          <w:sz w:val="16"/>
          <w:szCs w:val="16"/>
        </w:rPr>
        <w:t xml:space="preserve"> </w:t>
      </w:r>
      <w:r w:rsidRPr="004F6445">
        <w:rPr>
          <w:rFonts w:ascii="Verdana" w:hAnsi="Verdana"/>
          <w:sz w:val="16"/>
          <w:szCs w:val="16"/>
        </w:rPr>
        <w:tab/>
        <w:t xml:space="preserve">El 13 de julio de 2009, la FEVIM se declaró incompetente de oficio, en tanto consideró que los hechos no eran de orden federal sino del orden </w:t>
      </w:r>
      <w:proofErr w:type="spellStart"/>
      <w:r w:rsidRPr="004F6445">
        <w:rPr>
          <w:rFonts w:ascii="Verdana" w:hAnsi="Verdana"/>
          <w:sz w:val="16"/>
          <w:szCs w:val="16"/>
        </w:rPr>
        <w:t>común</w:t>
      </w:r>
      <w:proofErr w:type="spellEnd"/>
      <w:r w:rsidRPr="004F6445">
        <w:rPr>
          <w:rFonts w:ascii="Verdana" w:hAnsi="Verdana"/>
          <w:sz w:val="16"/>
          <w:szCs w:val="16"/>
        </w:rPr>
        <w:t xml:space="preserve"> y que </w:t>
      </w:r>
      <w:proofErr w:type="spellStart"/>
      <w:r w:rsidRPr="004F6445">
        <w:rPr>
          <w:rFonts w:ascii="Verdana" w:hAnsi="Verdana"/>
          <w:sz w:val="16"/>
          <w:szCs w:val="16"/>
        </w:rPr>
        <w:t>competían</w:t>
      </w:r>
      <w:proofErr w:type="spellEnd"/>
      <w:r w:rsidRPr="004F6445">
        <w:rPr>
          <w:rFonts w:ascii="Verdana" w:hAnsi="Verdana"/>
          <w:sz w:val="16"/>
          <w:szCs w:val="16"/>
        </w:rPr>
        <w:t xml:space="preserve"> a los </w:t>
      </w:r>
      <w:proofErr w:type="spellStart"/>
      <w:r w:rsidRPr="004F6445">
        <w:rPr>
          <w:rFonts w:ascii="Verdana" w:hAnsi="Verdana"/>
          <w:sz w:val="16"/>
          <w:szCs w:val="16"/>
        </w:rPr>
        <w:t>órganos</w:t>
      </w:r>
      <w:proofErr w:type="spellEnd"/>
      <w:r w:rsidRPr="004F6445">
        <w:rPr>
          <w:rFonts w:ascii="Verdana" w:hAnsi="Verdana"/>
          <w:sz w:val="16"/>
          <w:szCs w:val="16"/>
        </w:rPr>
        <w:t xml:space="preserve"> investigadores del estado de </w:t>
      </w:r>
      <w:proofErr w:type="spellStart"/>
      <w:r w:rsidRPr="004F6445">
        <w:rPr>
          <w:rFonts w:ascii="Verdana" w:hAnsi="Verdana"/>
          <w:sz w:val="16"/>
          <w:szCs w:val="16"/>
        </w:rPr>
        <w:t>México</w:t>
      </w:r>
      <w:proofErr w:type="spellEnd"/>
      <w:r w:rsidRPr="004F6445">
        <w:rPr>
          <w:rFonts w:ascii="Verdana" w:hAnsi="Verdana"/>
          <w:sz w:val="16"/>
          <w:szCs w:val="16"/>
        </w:rPr>
        <w:t>, donde tuvo lugar el evento delictivo.</w:t>
      </w:r>
    </w:p>
  </w:footnote>
  <w:footnote w:id="13">
    <w:p w14:paraId="72B57AC5" w14:textId="674E9CFF" w:rsidR="004D1244" w:rsidRPr="000824E2" w:rsidRDefault="004D1244" w:rsidP="00133EC8">
      <w:pPr>
        <w:pStyle w:val="Textonotapie"/>
        <w:jc w:val="both"/>
        <w:rPr>
          <w:rFonts w:ascii="Verdana" w:eastAsia="Times" w:hAnsi="Verdana"/>
          <w:b/>
          <w:sz w:val="16"/>
          <w:szCs w:val="16"/>
          <w:lang w:val="es-ES" w:eastAsia="en-US"/>
        </w:rPr>
      </w:pPr>
      <w:r w:rsidRPr="000824E2">
        <w:rPr>
          <w:rStyle w:val="Refdenotaalpie"/>
          <w:rFonts w:ascii="Verdana" w:hAnsi="Verdana"/>
          <w:sz w:val="16"/>
          <w:szCs w:val="16"/>
        </w:rPr>
        <w:footnoteRef/>
      </w:r>
      <w:r w:rsidRPr="000824E2">
        <w:rPr>
          <w:rFonts w:ascii="Verdana" w:hAnsi="Verdana"/>
          <w:sz w:val="16"/>
          <w:szCs w:val="16"/>
        </w:rPr>
        <w:t xml:space="preserve"> </w:t>
      </w:r>
      <w:r w:rsidRPr="000824E2">
        <w:rPr>
          <w:rFonts w:ascii="Verdana" w:hAnsi="Verdana"/>
          <w:sz w:val="16"/>
          <w:szCs w:val="16"/>
        </w:rPr>
        <w:tab/>
      </w:r>
      <w:r w:rsidRPr="001F661B">
        <w:rPr>
          <w:rFonts w:ascii="Verdana" w:hAnsi="Verdana"/>
          <w:sz w:val="16"/>
          <w:szCs w:val="16"/>
        </w:rPr>
        <w:t xml:space="preserve">Se trata de la indagatoria </w:t>
      </w:r>
      <w:r w:rsidRPr="001F661B">
        <w:rPr>
          <w:rFonts w:ascii="Verdana" w:hAnsi="Verdana"/>
          <w:sz w:val="16"/>
          <w:szCs w:val="16"/>
          <w:lang w:val="es-ES"/>
        </w:rPr>
        <w:t>AP/FGR/FEVIMTRA/007/2019.</w:t>
      </w:r>
      <w:r>
        <w:rPr>
          <w:rFonts w:ascii="Verdana" w:hAnsi="Verdana"/>
          <w:sz w:val="16"/>
          <w:szCs w:val="16"/>
          <w:lang w:val="es-ES"/>
        </w:rPr>
        <w:t xml:space="preserve"> </w:t>
      </w:r>
      <w:r>
        <w:rPr>
          <w:rFonts w:ascii="Verdana" w:hAnsi="Verdana"/>
          <w:i/>
          <w:sz w:val="16"/>
          <w:szCs w:val="16"/>
          <w:lang w:val="es-ES"/>
        </w:rPr>
        <w:t xml:space="preserve">Cfr. </w:t>
      </w:r>
      <w:r>
        <w:rPr>
          <w:rFonts w:ascii="Verdana" w:hAnsi="Verdana"/>
          <w:sz w:val="16"/>
          <w:szCs w:val="16"/>
          <w:lang w:val="es-ES"/>
        </w:rPr>
        <w:t xml:space="preserve">Informe estatal de 23 de diciembre de 2019 y </w:t>
      </w:r>
      <w:r>
        <w:rPr>
          <w:rFonts w:ascii="Verdana" w:hAnsi="Verdana"/>
          <w:sz w:val="16"/>
          <w:szCs w:val="16"/>
        </w:rPr>
        <w:t>e</w:t>
      </w:r>
      <w:r w:rsidRPr="000824E2">
        <w:rPr>
          <w:rFonts w:ascii="Verdana" w:hAnsi="Verdana"/>
          <w:sz w:val="16"/>
          <w:szCs w:val="16"/>
        </w:rPr>
        <w:t>scrito de notificación de apertura de la investigación penal de 17 de abril de 2019 (</w:t>
      </w:r>
      <w:r>
        <w:rPr>
          <w:rFonts w:ascii="Verdana" w:hAnsi="Verdana"/>
          <w:sz w:val="16"/>
          <w:szCs w:val="16"/>
        </w:rPr>
        <w:t>A</w:t>
      </w:r>
      <w:r w:rsidRPr="000824E2">
        <w:rPr>
          <w:rFonts w:ascii="Verdana" w:hAnsi="Verdana"/>
          <w:sz w:val="16"/>
          <w:szCs w:val="16"/>
        </w:rPr>
        <w:t xml:space="preserve">nexo 1 al escrito </w:t>
      </w:r>
      <w:r>
        <w:rPr>
          <w:rFonts w:ascii="Verdana" w:hAnsi="Verdana"/>
          <w:sz w:val="16"/>
          <w:szCs w:val="16"/>
        </w:rPr>
        <w:t>de observaciones de las representantes de</w:t>
      </w:r>
      <w:r w:rsidRPr="000824E2">
        <w:rPr>
          <w:rFonts w:ascii="Verdana" w:hAnsi="Verdana"/>
          <w:sz w:val="16"/>
          <w:szCs w:val="16"/>
        </w:rPr>
        <w:t xml:space="preserve"> 26 de febrero de 2020).</w:t>
      </w:r>
    </w:p>
  </w:footnote>
  <w:footnote w:id="14">
    <w:p w14:paraId="7715C062" w14:textId="205B1D29" w:rsidR="004D1244" w:rsidRPr="001072BB" w:rsidRDefault="004D1244" w:rsidP="001072BB">
      <w:pPr>
        <w:pStyle w:val="Textonotapie"/>
        <w:jc w:val="both"/>
        <w:rPr>
          <w:rFonts w:ascii="Verdana" w:hAnsi="Verdana"/>
          <w:sz w:val="16"/>
          <w:szCs w:val="16"/>
        </w:rPr>
      </w:pPr>
      <w:r w:rsidRPr="001072BB">
        <w:rPr>
          <w:rStyle w:val="Refdenotaalpie"/>
          <w:rFonts w:ascii="Verdana" w:hAnsi="Verdana"/>
          <w:sz w:val="16"/>
          <w:szCs w:val="16"/>
        </w:rPr>
        <w:footnoteRef/>
      </w:r>
      <w:r w:rsidRPr="001072BB">
        <w:rPr>
          <w:rFonts w:ascii="Verdana" w:hAnsi="Verdana"/>
          <w:sz w:val="16"/>
          <w:szCs w:val="16"/>
        </w:rPr>
        <w:t xml:space="preserve"> </w:t>
      </w:r>
      <w:r w:rsidRPr="001072BB">
        <w:rPr>
          <w:rFonts w:ascii="Verdana" w:hAnsi="Verdana"/>
          <w:sz w:val="16"/>
          <w:szCs w:val="16"/>
        </w:rPr>
        <w:tab/>
      </w:r>
      <w:r w:rsidRPr="001072BB">
        <w:rPr>
          <w:rFonts w:ascii="Verdana" w:hAnsi="Verdana"/>
          <w:i/>
          <w:sz w:val="16"/>
          <w:szCs w:val="16"/>
        </w:rPr>
        <w:t xml:space="preserve">Cfr. </w:t>
      </w:r>
      <w:r w:rsidRPr="001072BB">
        <w:rPr>
          <w:rFonts w:ascii="Verdana" w:hAnsi="Verdana"/>
          <w:sz w:val="16"/>
          <w:szCs w:val="16"/>
        </w:rPr>
        <w:t xml:space="preserve">Informe estatal de 23 de diciembre de 2019 y escrito de observaciones de las representantes de 15 de noviembre de 2019. </w:t>
      </w:r>
      <w:r>
        <w:rPr>
          <w:rFonts w:ascii="Verdana" w:hAnsi="Verdana"/>
          <w:sz w:val="16"/>
          <w:szCs w:val="16"/>
        </w:rPr>
        <w:t xml:space="preserve">En su escrito de observaciones de 26 de febrero de 2020, </w:t>
      </w:r>
      <w:r>
        <w:rPr>
          <w:rFonts w:ascii="Verdana" w:hAnsi="Verdana"/>
          <w:sz w:val="16"/>
          <w:szCs w:val="16"/>
          <w:lang w:val="es-ES"/>
        </w:rPr>
        <w:t>la</w:t>
      </w:r>
      <w:r w:rsidRPr="001F661B">
        <w:rPr>
          <w:rFonts w:ascii="Verdana" w:hAnsi="Verdana"/>
          <w:sz w:val="16"/>
          <w:szCs w:val="16"/>
          <w:lang w:val="es-ES"/>
        </w:rPr>
        <w:t>s representantes</w:t>
      </w:r>
      <w:r>
        <w:rPr>
          <w:rFonts w:ascii="Verdana" w:hAnsi="Verdana"/>
          <w:sz w:val="16"/>
          <w:szCs w:val="16"/>
          <w:lang w:val="es-ES"/>
        </w:rPr>
        <w:t xml:space="preserve"> también</w:t>
      </w:r>
      <w:r w:rsidRPr="001F661B">
        <w:rPr>
          <w:rFonts w:ascii="Verdana" w:hAnsi="Verdana"/>
          <w:sz w:val="16"/>
          <w:szCs w:val="16"/>
          <w:lang w:val="es-ES"/>
        </w:rPr>
        <w:t xml:space="preserve"> informaron que “[e]l Centro </w:t>
      </w:r>
      <w:proofErr w:type="spellStart"/>
      <w:r w:rsidRPr="001F661B">
        <w:rPr>
          <w:rFonts w:ascii="Verdana" w:hAnsi="Verdana"/>
          <w:sz w:val="16"/>
          <w:szCs w:val="16"/>
          <w:lang w:val="es-ES"/>
        </w:rPr>
        <w:t>Prodh</w:t>
      </w:r>
      <w:proofErr w:type="spellEnd"/>
      <w:r w:rsidRPr="001F661B">
        <w:rPr>
          <w:rFonts w:ascii="Verdana" w:hAnsi="Verdana"/>
          <w:sz w:val="16"/>
          <w:szCs w:val="16"/>
          <w:lang w:val="es-ES"/>
        </w:rPr>
        <w:t xml:space="preserve">, a través de diversos integrantes de la organización, ha sido nombrado y es reconocido por la </w:t>
      </w:r>
      <w:r>
        <w:rPr>
          <w:rFonts w:ascii="Verdana" w:hAnsi="Verdana"/>
          <w:sz w:val="16"/>
          <w:szCs w:val="16"/>
          <w:lang w:val="es-ES"/>
        </w:rPr>
        <w:t>[Fiscalía]</w:t>
      </w:r>
      <w:r w:rsidRPr="001F661B">
        <w:rPr>
          <w:rFonts w:ascii="Verdana" w:hAnsi="Verdana"/>
          <w:sz w:val="16"/>
          <w:szCs w:val="16"/>
          <w:lang w:val="es-ES"/>
        </w:rPr>
        <w:t xml:space="preserve"> como representante legal de las 11 mujeres”.</w:t>
      </w:r>
    </w:p>
  </w:footnote>
  <w:footnote w:id="15">
    <w:p w14:paraId="5ACF938D" w14:textId="027CE861" w:rsidR="004D1244" w:rsidRPr="006435D8" w:rsidRDefault="004D1244" w:rsidP="00F53872">
      <w:pPr>
        <w:pStyle w:val="p1"/>
        <w:jc w:val="both"/>
        <w:rPr>
          <w:rFonts w:ascii="Verdana" w:hAnsi="Verdana"/>
          <w:sz w:val="16"/>
          <w:szCs w:val="16"/>
          <w:lang w:val="es-ES"/>
        </w:rPr>
      </w:pPr>
      <w:r w:rsidRPr="00AA3A9A">
        <w:rPr>
          <w:rStyle w:val="Refdenotaalpie"/>
          <w:rFonts w:ascii="Verdana" w:hAnsi="Verdana"/>
          <w:sz w:val="16"/>
          <w:szCs w:val="16"/>
        </w:rPr>
        <w:footnoteRef/>
      </w:r>
      <w:r w:rsidRPr="00AA3A9A">
        <w:rPr>
          <w:rFonts w:ascii="Verdana" w:hAnsi="Verdana"/>
          <w:sz w:val="16"/>
          <w:szCs w:val="16"/>
          <w:lang w:val="es-ES"/>
        </w:rPr>
        <w:t xml:space="preserve"> </w:t>
      </w:r>
      <w:r w:rsidRPr="00AA3A9A">
        <w:rPr>
          <w:rFonts w:ascii="Verdana" w:hAnsi="Verdana"/>
          <w:sz w:val="16"/>
          <w:szCs w:val="16"/>
          <w:lang w:val="es-ES"/>
        </w:rPr>
        <w:tab/>
        <w:t xml:space="preserve">México refirió que </w:t>
      </w:r>
      <w:r>
        <w:rPr>
          <w:rFonts w:ascii="Verdana" w:hAnsi="Verdana"/>
          <w:sz w:val="16"/>
          <w:szCs w:val="16"/>
          <w:lang w:val="es-ES"/>
        </w:rPr>
        <w:t>la representación de</w:t>
      </w:r>
      <w:r w:rsidRPr="00AA3A9A">
        <w:rPr>
          <w:rFonts w:ascii="Verdana" w:hAnsi="Verdana"/>
          <w:sz w:val="16"/>
          <w:szCs w:val="16"/>
          <w:lang w:val="es-ES"/>
        </w:rPr>
        <w:t xml:space="preserve"> las víctimas present</w:t>
      </w:r>
      <w:r>
        <w:rPr>
          <w:rFonts w:ascii="Verdana" w:hAnsi="Verdana"/>
          <w:sz w:val="16"/>
          <w:szCs w:val="16"/>
          <w:lang w:val="es-ES"/>
        </w:rPr>
        <w:t>ó</w:t>
      </w:r>
      <w:r w:rsidRPr="00AA3A9A">
        <w:rPr>
          <w:rFonts w:ascii="Verdana" w:hAnsi="Verdana"/>
          <w:sz w:val="16"/>
          <w:szCs w:val="16"/>
          <w:lang w:val="es-ES"/>
        </w:rPr>
        <w:t xml:space="preserve"> “un historial cronológico de las diligencias practicadas en la averiguación previa TOL/DR/I/466/2006”, así como una serie de documentos de los cuales, a</w:t>
      </w:r>
      <w:r>
        <w:rPr>
          <w:rFonts w:ascii="Verdana" w:hAnsi="Verdana"/>
          <w:sz w:val="16"/>
          <w:szCs w:val="16"/>
          <w:lang w:val="es-ES"/>
        </w:rPr>
        <w:t xml:space="preserve"> </w:t>
      </w:r>
      <w:r w:rsidRPr="00AA3A9A">
        <w:rPr>
          <w:rFonts w:ascii="Verdana" w:hAnsi="Verdana"/>
          <w:sz w:val="16"/>
          <w:szCs w:val="16"/>
          <w:lang w:val="es-ES"/>
        </w:rPr>
        <w:t>juicio</w:t>
      </w:r>
      <w:r>
        <w:rPr>
          <w:rFonts w:ascii="Verdana" w:hAnsi="Verdana"/>
          <w:sz w:val="16"/>
          <w:szCs w:val="16"/>
          <w:lang w:val="es-ES"/>
        </w:rPr>
        <w:t>, de dicha representación, se desprendía</w:t>
      </w:r>
      <w:r w:rsidRPr="00AA3A9A">
        <w:rPr>
          <w:rFonts w:ascii="Verdana" w:hAnsi="Verdana"/>
          <w:sz w:val="16"/>
          <w:szCs w:val="16"/>
          <w:lang w:val="es-ES"/>
        </w:rPr>
        <w:t xml:space="preserve"> “la probable responsabilidad en la que incurrieron los funcionarios públicos que intervinieron en el operativo”, a saber: un oficio signado por el entonces Titular de la Unidad de Enlace de la Policía Federal Preventiva, así como “las consideraciones de hecho y de derecho dirigidas al Poder Judicial de la Federación y la entonces Comisión Investigadora del caso Atenco de la Suprema Corte de Justicia de la Nación”. </w:t>
      </w:r>
      <w:r>
        <w:rPr>
          <w:rFonts w:ascii="Verdana" w:hAnsi="Verdana"/>
          <w:sz w:val="16"/>
          <w:szCs w:val="16"/>
          <w:lang w:val="es-ES"/>
        </w:rPr>
        <w:t>Informe estatal de 23 de diciembre de 2019. Sobre este punto, las representantes observaron que “</w:t>
      </w:r>
      <w:r w:rsidRPr="00A5310A">
        <w:rPr>
          <w:rFonts w:ascii="Verdana" w:hAnsi="Verdana"/>
          <w:sz w:val="16"/>
          <w:szCs w:val="16"/>
          <w:lang w:val="es-ES"/>
        </w:rPr>
        <w:t>al entregar la lista de</w:t>
      </w:r>
      <w:r>
        <w:rPr>
          <w:rFonts w:ascii="Verdana" w:hAnsi="Verdana"/>
          <w:sz w:val="16"/>
          <w:szCs w:val="16"/>
          <w:lang w:val="es-ES"/>
        </w:rPr>
        <w:t xml:space="preserve"> </w:t>
      </w:r>
      <w:r w:rsidRPr="00A5310A">
        <w:rPr>
          <w:rFonts w:ascii="Verdana" w:hAnsi="Verdana"/>
          <w:sz w:val="16"/>
          <w:szCs w:val="16"/>
          <w:lang w:val="es-ES"/>
        </w:rPr>
        <w:t xml:space="preserve">diligencias realizadas, </w:t>
      </w:r>
      <w:r>
        <w:rPr>
          <w:rFonts w:ascii="Verdana" w:hAnsi="Verdana"/>
          <w:sz w:val="16"/>
          <w:szCs w:val="16"/>
          <w:lang w:val="es-ES"/>
        </w:rPr>
        <w:t>[…] busca[n]</w:t>
      </w:r>
      <w:r w:rsidRPr="00A5310A">
        <w:rPr>
          <w:rFonts w:ascii="Verdana" w:hAnsi="Verdana"/>
          <w:sz w:val="16"/>
          <w:szCs w:val="16"/>
          <w:lang w:val="es-ES"/>
        </w:rPr>
        <w:t xml:space="preserve"> aportar información para orientar el</w:t>
      </w:r>
      <w:r>
        <w:rPr>
          <w:rFonts w:ascii="Verdana" w:hAnsi="Verdana"/>
          <w:sz w:val="16"/>
          <w:szCs w:val="16"/>
          <w:lang w:val="es-ES"/>
        </w:rPr>
        <w:t xml:space="preserve"> </w:t>
      </w:r>
      <w:r w:rsidRPr="00A5310A">
        <w:rPr>
          <w:rFonts w:ascii="Verdana" w:hAnsi="Verdana"/>
          <w:sz w:val="16"/>
          <w:szCs w:val="16"/>
          <w:lang w:val="es-ES"/>
        </w:rPr>
        <w:t>diseño de las diligencias nuevas a practicar</w:t>
      </w:r>
      <w:r>
        <w:rPr>
          <w:rFonts w:ascii="Verdana" w:hAnsi="Verdana"/>
          <w:sz w:val="16"/>
          <w:szCs w:val="16"/>
          <w:lang w:val="es-ES"/>
        </w:rPr>
        <w:t>”, teniendo en cuenta que “</w:t>
      </w:r>
      <w:r w:rsidRPr="00F53872">
        <w:rPr>
          <w:rFonts w:ascii="Verdana" w:hAnsi="Verdana"/>
          <w:sz w:val="16"/>
          <w:szCs w:val="16"/>
          <w:lang w:val="es-ES"/>
        </w:rPr>
        <w:t xml:space="preserve">la </w:t>
      </w:r>
      <w:r>
        <w:rPr>
          <w:rFonts w:ascii="Verdana" w:hAnsi="Verdana"/>
          <w:sz w:val="16"/>
          <w:szCs w:val="16"/>
          <w:lang w:val="es-ES"/>
        </w:rPr>
        <w:t>[Fiscalía General de la República]</w:t>
      </w:r>
      <w:r w:rsidRPr="00F53872">
        <w:rPr>
          <w:rFonts w:ascii="Verdana" w:hAnsi="Verdana"/>
          <w:sz w:val="16"/>
          <w:szCs w:val="16"/>
          <w:lang w:val="es-ES"/>
        </w:rPr>
        <w:t xml:space="preserve"> sigue sin tener acceso físico al expediente completo</w:t>
      </w:r>
      <w:r>
        <w:rPr>
          <w:rFonts w:ascii="Verdana" w:hAnsi="Verdana"/>
          <w:sz w:val="16"/>
          <w:szCs w:val="16"/>
          <w:lang w:val="es-ES"/>
        </w:rPr>
        <w:t xml:space="preserve"> </w:t>
      </w:r>
      <w:r w:rsidRPr="00F53872">
        <w:rPr>
          <w:rFonts w:ascii="Verdana" w:hAnsi="Verdana"/>
          <w:sz w:val="16"/>
          <w:szCs w:val="16"/>
          <w:lang w:val="es-ES"/>
        </w:rPr>
        <w:t>de la investigación penal ya realizada, porque la Fiscalí</w:t>
      </w:r>
      <w:r>
        <w:rPr>
          <w:rFonts w:ascii="Verdana" w:hAnsi="Verdana"/>
          <w:sz w:val="16"/>
          <w:szCs w:val="16"/>
          <w:lang w:val="es-ES"/>
        </w:rPr>
        <w:t>a General de Justicia del [e]</w:t>
      </w:r>
      <w:proofErr w:type="spellStart"/>
      <w:r w:rsidRPr="00F53872">
        <w:rPr>
          <w:rFonts w:ascii="Verdana" w:hAnsi="Verdana"/>
          <w:sz w:val="16"/>
          <w:szCs w:val="16"/>
          <w:lang w:val="es-ES"/>
        </w:rPr>
        <w:t>stado</w:t>
      </w:r>
      <w:proofErr w:type="spellEnd"/>
      <w:r>
        <w:rPr>
          <w:rFonts w:ascii="Verdana" w:hAnsi="Verdana"/>
          <w:sz w:val="16"/>
          <w:szCs w:val="16"/>
          <w:lang w:val="es-ES"/>
        </w:rPr>
        <w:t xml:space="preserve"> </w:t>
      </w:r>
      <w:r w:rsidRPr="00F53872">
        <w:rPr>
          <w:rFonts w:ascii="Verdana" w:hAnsi="Verdana"/>
          <w:sz w:val="16"/>
          <w:szCs w:val="16"/>
          <w:lang w:val="es-ES"/>
        </w:rPr>
        <w:t xml:space="preserve">de México </w:t>
      </w:r>
      <w:r>
        <w:rPr>
          <w:rFonts w:ascii="Verdana" w:hAnsi="Verdana"/>
          <w:sz w:val="16"/>
          <w:szCs w:val="16"/>
          <w:lang w:val="es-ES"/>
        </w:rPr>
        <w:t>[…]</w:t>
      </w:r>
      <w:r w:rsidRPr="00F53872">
        <w:rPr>
          <w:rFonts w:ascii="Verdana" w:hAnsi="Verdana"/>
          <w:sz w:val="16"/>
          <w:szCs w:val="16"/>
          <w:lang w:val="es-ES"/>
        </w:rPr>
        <w:t xml:space="preserve"> –quien tiene en sus instalaciones el expediente–, sigue sin entregar</w:t>
      </w:r>
      <w:r>
        <w:rPr>
          <w:rFonts w:ascii="Verdana" w:hAnsi="Verdana"/>
          <w:sz w:val="16"/>
          <w:szCs w:val="16"/>
          <w:lang w:val="es-ES"/>
        </w:rPr>
        <w:t xml:space="preserve"> </w:t>
      </w:r>
      <w:r w:rsidRPr="00F53872">
        <w:rPr>
          <w:rFonts w:ascii="Verdana" w:hAnsi="Verdana"/>
          <w:sz w:val="16"/>
          <w:szCs w:val="16"/>
          <w:lang w:val="es-ES"/>
        </w:rPr>
        <w:t>ni el expediente en sí, ni copia completa del mismo</w:t>
      </w:r>
      <w:r>
        <w:rPr>
          <w:rFonts w:ascii="Verdana" w:hAnsi="Verdana"/>
          <w:sz w:val="16"/>
          <w:szCs w:val="16"/>
          <w:lang w:val="es-ES"/>
        </w:rPr>
        <w:t>” (</w:t>
      </w:r>
      <w:r>
        <w:rPr>
          <w:rFonts w:ascii="Verdana" w:hAnsi="Verdana"/>
          <w:i/>
          <w:sz w:val="16"/>
          <w:szCs w:val="16"/>
          <w:lang w:val="es-ES"/>
        </w:rPr>
        <w:t xml:space="preserve">infra </w:t>
      </w:r>
      <w:r w:rsidRPr="009F3302">
        <w:rPr>
          <w:rFonts w:ascii="Verdana" w:hAnsi="Verdana"/>
          <w:sz w:val="16"/>
          <w:szCs w:val="16"/>
          <w:lang w:val="es-ES"/>
        </w:rPr>
        <w:t>Considerando 7).</w:t>
      </w:r>
      <w:r w:rsidRPr="00A5310A">
        <w:rPr>
          <w:rFonts w:ascii="Verdana" w:hAnsi="Verdana"/>
          <w:sz w:val="16"/>
          <w:szCs w:val="16"/>
          <w:lang w:val="es-ES"/>
        </w:rPr>
        <w:t xml:space="preserve"> </w:t>
      </w:r>
      <w:r>
        <w:rPr>
          <w:rFonts w:ascii="Verdana" w:hAnsi="Verdana"/>
          <w:sz w:val="16"/>
          <w:szCs w:val="16"/>
          <w:lang w:val="es-ES"/>
        </w:rPr>
        <w:t xml:space="preserve">Escrito de observaciones de las representantes de 26 de febrero de 2020. </w:t>
      </w:r>
    </w:p>
  </w:footnote>
  <w:footnote w:id="16">
    <w:p w14:paraId="685C6E46" w14:textId="3AC7F1A9" w:rsidR="004D1244" w:rsidRPr="000E07E3" w:rsidRDefault="004D1244" w:rsidP="00133EC8">
      <w:pPr>
        <w:pStyle w:val="Textonotapie"/>
        <w:jc w:val="both"/>
        <w:rPr>
          <w:rFonts w:ascii="Verdana" w:hAnsi="Verdana"/>
          <w:sz w:val="16"/>
          <w:szCs w:val="16"/>
          <w:lang w:val="es-ES"/>
        </w:rPr>
      </w:pPr>
      <w:r w:rsidRPr="00B3650F">
        <w:rPr>
          <w:rStyle w:val="Refdenotaalpie"/>
          <w:rFonts w:ascii="Verdana" w:hAnsi="Verdana"/>
          <w:sz w:val="16"/>
          <w:szCs w:val="16"/>
        </w:rPr>
        <w:footnoteRef/>
      </w:r>
      <w:r w:rsidRPr="00B3650F">
        <w:rPr>
          <w:rFonts w:ascii="Verdana" w:hAnsi="Verdana"/>
          <w:sz w:val="16"/>
          <w:szCs w:val="16"/>
        </w:rPr>
        <w:t xml:space="preserve"> </w:t>
      </w:r>
      <w:r>
        <w:rPr>
          <w:rFonts w:ascii="Verdana" w:hAnsi="Verdana"/>
          <w:sz w:val="16"/>
          <w:szCs w:val="16"/>
        </w:rPr>
        <w:tab/>
      </w:r>
      <w:r w:rsidRPr="00B3650F">
        <w:rPr>
          <w:rFonts w:ascii="Verdana" w:hAnsi="Verdana"/>
          <w:sz w:val="16"/>
          <w:szCs w:val="16"/>
          <w:lang w:val="es-ES"/>
        </w:rPr>
        <w:t>El 4 de octubre de 2019 se solicitó al Ministro Presidente de la Suprema Corte de Justicia de la Nación copia certificada del expediente de inve</w:t>
      </w:r>
      <w:r>
        <w:rPr>
          <w:rFonts w:ascii="Verdana" w:hAnsi="Verdana"/>
          <w:sz w:val="16"/>
          <w:szCs w:val="16"/>
          <w:lang w:val="es-ES"/>
        </w:rPr>
        <w:t>stigación constitucional 3/2006.</w:t>
      </w:r>
      <w:r w:rsidRPr="00B3650F">
        <w:rPr>
          <w:rFonts w:ascii="Verdana" w:hAnsi="Verdana"/>
          <w:sz w:val="16"/>
          <w:szCs w:val="16"/>
          <w:lang w:val="es-ES"/>
        </w:rPr>
        <w:t xml:space="preserve"> </w:t>
      </w:r>
      <w:r>
        <w:rPr>
          <w:rFonts w:ascii="Verdana" w:hAnsi="Verdana"/>
          <w:sz w:val="16"/>
          <w:szCs w:val="16"/>
          <w:lang w:val="es-ES"/>
        </w:rPr>
        <w:t>El</w:t>
      </w:r>
      <w:r w:rsidRPr="00B3650F">
        <w:rPr>
          <w:rFonts w:ascii="Verdana" w:hAnsi="Verdana"/>
          <w:sz w:val="16"/>
          <w:szCs w:val="16"/>
          <w:lang w:val="es-ES"/>
        </w:rPr>
        <w:t xml:space="preserve"> 6 y 7 de noviembre de 2019 se solicitó información y documentación al Secretario de Seguridad y Protección Ciudadana y al Comisionado General Interino de la Policía Federal, respectivamente, relacionada con “los servidores públicos que intervinieron en los hechos ocurridos el 3 y 4 de mayo de 2006, en San Salvador”. Asimismo, la Dirección General de lo Contencioso y Procedimientos Constitucionales de la Unidad General de Asuntos Jurídicos y</w:t>
      </w:r>
      <w:r>
        <w:rPr>
          <w:rFonts w:ascii="Verdana" w:hAnsi="Verdana"/>
          <w:sz w:val="16"/>
          <w:szCs w:val="16"/>
          <w:lang w:val="es-ES"/>
        </w:rPr>
        <w:t xml:space="preserve"> </w:t>
      </w:r>
      <w:r w:rsidRPr="00B3650F">
        <w:rPr>
          <w:rFonts w:ascii="Verdana" w:hAnsi="Verdana"/>
          <w:sz w:val="16"/>
          <w:szCs w:val="16"/>
          <w:lang w:val="es-ES"/>
        </w:rPr>
        <w:t xml:space="preserve">Transparencia de la Secretaría de Seguridad y Protección Ciudadana solicitó información sobre los hechos a los Encargados Interinos de las Divisiones de Inteligencia, Investigación, Seguridad Regional y Fuerzas Federales de la Policía Federal. </w:t>
      </w:r>
      <w:r>
        <w:rPr>
          <w:rFonts w:ascii="Verdana" w:hAnsi="Verdana"/>
          <w:sz w:val="16"/>
          <w:szCs w:val="16"/>
          <w:lang w:val="es-ES"/>
        </w:rPr>
        <w:t xml:space="preserve">Al respecto, las representantes informaron que la Suprema Corte de Justicia de la Nación remitió copia del expediente solicitado, mientras que la Secretaría de Seguridad y Protección Ciudadana refirió no contar con documentación relevante. </w:t>
      </w:r>
      <w:r>
        <w:rPr>
          <w:rFonts w:ascii="Verdana" w:hAnsi="Verdana"/>
          <w:i/>
          <w:sz w:val="16"/>
          <w:szCs w:val="16"/>
          <w:lang w:val="es-ES"/>
        </w:rPr>
        <w:t xml:space="preserve">Cfr. </w:t>
      </w:r>
      <w:r>
        <w:rPr>
          <w:rFonts w:ascii="Verdana" w:hAnsi="Verdana"/>
          <w:sz w:val="16"/>
          <w:szCs w:val="16"/>
          <w:lang w:val="es-ES"/>
        </w:rPr>
        <w:t xml:space="preserve">Informe estatal de 23 de diciembre de 2019 y escrito de observaciones de las representantes de 26 de febrero de 2020. </w:t>
      </w:r>
    </w:p>
  </w:footnote>
  <w:footnote w:id="17">
    <w:p w14:paraId="3CFF5C68" w14:textId="4C5E29AA" w:rsidR="004D1244" w:rsidRPr="00D5393C" w:rsidRDefault="004D1244" w:rsidP="00133EC8">
      <w:pPr>
        <w:pStyle w:val="Textonotapie"/>
        <w:jc w:val="both"/>
        <w:rPr>
          <w:rFonts w:ascii="Verdana" w:hAnsi="Verdana"/>
          <w:sz w:val="16"/>
          <w:szCs w:val="16"/>
        </w:rPr>
      </w:pPr>
      <w:r w:rsidRPr="00D5393C">
        <w:rPr>
          <w:rStyle w:val="Refdenotaalpie"/>
          <w:rFonts w:ascii="Verdana" w:hAnsi="Verdana"/>
          <w:sz w:val="16"/>
          <w:szCs w:val="16"/>
        </w:rPr>
        <w:footnoteRef/>
      </w:r>
      <w:r w:rsidRPr="00D5393C">
        <w:rPr>
          <w:rFonts w:ascii="Verdana" w:hAnsi="Verdana"/>
          <w:sz w:val="16"/>
          <w:szCs w:val="16"/>
        </w:rPr>
        <w:t xml:space="preserve"> </w:t>
      </w:r>
      <w:r w:rsidRPr="00D5393C">
        <w:rPr>
          <w:rFonts w:ascii="Verdana" w:hAnsi="Verdana"/>
          <w:sz w:val="16"/>
          <w:szCs w:val="16"/>
        </w:rPr>
        <w:tab/>
      </w:r>
      <w:r>
        <w:rPr>
          <w:rFonts w:ascii="Verdana" w:hAnsi="Verdana"/>
          <w:i/>
          <w:sz w:val="16"/>
          <w:szCs w:val="16"/>
        </w:rPr>
        <w:t xml:space="preserve">Cfr. </w:t>
      </w:r>
      <w:r>
        <w:rPr>
          <w:rFonts w:ascii="Verdana" w:hAnsi="Verdana"/>
          <w:sz w:val="16"/>
          <w:szCs w:val="16"/>
        </w:rPr>
        <w:t>Oficio FEMDH/FEVIMTRA/0381/2019 de 23 de septiembre de 2019 mediante el cual la Fiscalía General de la República notificó a la Fiscalía General de Justicia del estado de México el ejercicio de la facultad de atracción respecto de la averiguación previa TOL/DR/I/466/2006 con sus acumuladas y anexos que la integran (Anexo 4 al e</w:t>
      </w:r>
      <w:r w:rsidRPr="00AA3A9A">
        <w:rPr>
          <w:rFonts w:ascii="Verdana" w:hAnsi="Verdana"/>
          <w:sz w:val="16"/>
          <w:szCs w:val="16"/>
        </w:rPr>
        <w:t xml:space="preserve">scrito </w:t>
      </w:r>
      <w:r>
        <w:rPr>
          <w:rFonts w:ascii="Verdana" w:hAnsi="Verdana"/>
          <w:sz w:val="16"/>
          <w:szCs w:val="16"/>
        </w:rPr>
        <w:t>de observaciones de las representantes de</w:t>
      </w:r>
      <w:r w:rsidRPr="00AA3A9A">
        <w:rPr>
          <w:rFonts w:ascii="Verdana" w:hAnsi="Verdana"/>
          <w:sz w:val="16"/>
          <w:szCs w:val="16"/>
        </w:rPr>
        <w:t xml:space="preserve"> 15 de noviembre de 2019</w:t>
      </w:r>
      <w:r>
        <w:rPr>
          <w:rFonts w:ascii="Verdana" w:hAnsi="Verdana"/>
          <w:sz w:val="16"/>
          <w:szCs w:val="16"/>
        </w:rPr>
        <w:t>)</w:t>
      </w:r>
      <w:r w:rsidRPr="00AA3A9A">
        <w:rPr>
          <w:rFonts w:ascii="Verdana" w:hAnsi="Verdana"/>
          <w:sz w:val="16"/>
          <w:szCs w:val="16"/>
        </w:rPr>
        <w:t>.</w:t>
      </w:r>
      <w:r>
        <w:rPr>
          <w:rFonts w:ascii="Verdana" w:hAnsi="Verdana"/>
          <w:sz w:val="16"/>
          <w:szCs w:val="16"/>
        </w:rPr>
        <w:t xml:space="preserve"> </w:t>
      </w:r>
      <w:r w:rsidRPr="00D5393C">
        <w:rPr>
          <w:rFonts w:ascii="Verdana" w:hAnsi="Verdana"/>
          <w:sz w:val="16"/>
          <w:szCs w:val="16"/>
        </w:rPr>
        <w:t>Anteriormente, el 24</w:t>
      </w:r>
      <w:r>
        <w:rPr>
          <w:rFonts w:ascii="Verdana" w:hAnsi="Verdana"/>
          <w:sz w:val="16"/>
          <w:szCs w:val="16"/>
        </w:rPr>
        <w:t xml:space="preserve"> de junio de 2019, la</w:t>
      </w:r>
      <w:r w:rsidRPr="00D5393C">
        <w:rPr>
          <w:rFonts w:ascii="Verdana" w:hAnsi="Verdana"/>
          <w:sz w:val="16"/>
          <w:szCs w:val="16"/>
        </w:rPr>
        <w:t xml:space="preserve">s representantes habían solicitado a la autoridad a cargo de la investigación ejercer dicha facultad “a fin de que la Fiscalía General de Justicia del estado de México remitiera la totalidad de las constancias de dicha averiguación, así como de los expedientes acumulados, desgloses y anexos de la misma”. Informe estatal de 23 de diciembre de 2019 y escrito </w:t>
      </w:r>
      <w:r>
        <w:rPr>
          <w:rFonts w:ascii="Verdana" w:hAnsi="Verdana"/>
          <w:sz w:val="16"/>
          <w:szCs w:val="16"/>
        </w:rPr>
        <w:t>de observaciones de las representantes de</w:t>
      </w:r>
      <w:r w:rsidRPr="00D5393C">
        <w:rPr>
          <w:rFonts w:ascii="Verdana" w:hAnsi="Verdana"/>
          <w:sz w:val="16"/>
          <w:szCs w:val="16"/>
        </w:rPr>
        <w:t xml:space="preserve"> 26 de febrero de 2020.</w:t>
      </w:r>
    </w:p>
  </w:footnote>
  <w:footnote w:id="18">
    <w:p w14:paraId="7A62BFD0" w14:textId="512F21BC" w:rsidR="004D1244" w:rsidRPr="00FF48BB" w:rsidRDefault="004D1244" w:rsidP="00FF48BB">
      <w:pPr>
        <w:pStyle w:val="Textonotapie"/>
        <w:jc w:val="both"/>
        <w:rPr>
          <w:rFonts w:ascii="Verdana" w:hAnsi="Verdana"/>
          <w:sz w:val="16"/>
          <w:szCs w:val="16"/>
        </w:rPr>
      </w:pPr>
      <w:r w:rsidRPr="00FF48BB">
        <w:rPr>
          <w:rStyle w:val="Refdenotaalpie"/>
          <w:rFonts w:ascii="Verdana" w:hAnsi="Verdana"/>
          <w:sz w:val="16"/>
          <w:szCs w:val="16"/>
        </w:rPr>
        <w:footnoteRef/>
      </w:r>
      <w:r w:rsidRPr="00FF48BB">
        <w:rPr>
          <w:rFonts w:ascii="Verdana" w:hAnsi="Verdana"/>
          <w:sz w:val="16"/>
          <w:szCs w:val="16"/>
        </w:rPr>
        <w:t xml:space="preserve"> </w:t>
      </w:r>
      <w:r w:rsidRPr="00FF48BB">
        <w:rPr>
          <w:rFonts w:ascii="Verdana" w:hAnsi="Verdana"/>
          <w:sz w:val="16"/>
          <w:szCs w:val="16"/>
        </w:rPr>
        <w:tab/>
        <w:t xml:space="preserve">Escrito de observaciones de las representantes de 15 de noviembre de 2019. </w:t>
      </w:r>
    </w:p>
  </w:footnote>
  <w:footnote w:id="19">
    <w:p w14:paraId="2B88C79E" w14:textId="373E32C5" w:rsidR="004D1244" w:rsidRPr="00787DF1" w:rsidRDefault="004D1244" w:rsidP="00133EC8">
      <w:pPr>
        <w:pStyle w:val="Textonotapie"/>
        <w:jc w:val="both"/>
        <w:rPr>
          <w:rFonts w:ascii="Verdana" w:hAnsi="Verdana"/>
          <w:sz w:val="16"/>
          <w:szCs w:val="16"/>
        </w:rPr>
      </w:pPr>
      <w:r w:rsidRPr="00787DF1">
        <w:rPr>
          <w:rStyle w:val="Refdenotaalpie"/>
          <w:rFonts w:ascii="Verdana" w:hAnsi="Verdana"/>
          <w:sz w:val="16"/>
          <w:szCs w:val="16"/>
        </w:rPr>
        <w:footnoteRef/>
      </w:r>
      <w:r>
        <w:rPr>
          <w:rFonts w:ascii="Verdana" w:hAnsi="Verdana"/>
          <w:sz w:val="16"/>
          <w:szCs w:val="16"/>
        </w:rPr>
        <w:t xml:space="preserve"> </w:t>
      </w:r>
      <w:r>
        <w:rPr>
          <w:rFonts w:ascii="Verdana" w:hAnsi="Verdana"/>
          <w:sz w:val="16"/>
          <w:szCs w:val="16"/>
        </w:rPr>
        <w:tab/>
        <w:t>Sobre este punto, la</w:t>
      </w:r>
      <w:r w:rsidRPr="00787DF1">
        <w:rPr>
          <w:rFonts w:ascii="Verdana" w:hAnsi="Verdana"/>
          <w:sz w:val="16"/>
          <w:szCs w:val="16"/>
        </w:rPr>
        <w:t>s representantes indicaron que solicitaron directamente a la Fisc</w:t>
      </w:r>
      <w:r>
        <w:rPr>
          <w:rFonts w:ascii="Verdana" w:hAnsi="Verdana"/>
          <w:sz w:val="16"/>
          <w:szCs w:val="16"/>
        </w:rPr>
        <w:t>a</w:t>
      </w:r>
      <w:r w:rsidRPr="00787DF1">
        <w:rPr>
          <w:rFonts w:ascii="Verdana" w:hAnsi="Verdana"/>
          <w:sz w:val="16"/>
          <w:szCs w:val="16"/>
        </w:rPr>
        <w:t xml:space="preserve">lía General del estado de México el envío del expediente a la Fiscalía General de la República, así como una reunión para entrevistarse con el personal a cargo. </w:t>
      </w:r>
      <w:r w:rsidRPr="00787DF1">
        <w:rPr>
          <w:rFonts w:ascii="Verdana" w:hAnsi="Verdana"/>
          <w:i/>
          <w:sz w:val="16"/>
          <w:szCs w:val="16"/>
        </w:rPr>
        <w:t xml:space="preserve">Cfr. </w:t>
      </w:r>
      <w:r w:rsidRPr="00787DF1">
        <w:rPr>
          <w:rFonts w:ascii="Verdana" w:hAnsi="Verdana"/>
          <w:sz w:val="16"/>
          <w:szCs w:val="16"/>
        </w:rPr>
        <w:t xml:space="preserve">Escrito </w:t>
      </w:r>
      <w:r>
        <w:rPr>
          <w:rFonts w:ascii="Verdana" w:hAnsi="Verdana"/>
          <w:sz w:val="16"/>
          <w:szCs w:val="16"/>
        </w:rPr>
        <w:t>de observaciones de las representantes de</w:t>
      </w:r>
      <w:r w:rsidRPr="00787DF1">
        <w:rPr>
          <w:rFonts w:ascii="Verdana" w:hAnsi="Verdana"/>
          <w:sz w:val="16"/>
          <w:szCs w:val="16"/>
        </w:rPr>
        <w:t xml:space="preserve"> 26 de febrero de 2020. </w:t>
      </w:r>
    </w:p>
  </w:footnote>
  <w:footnote w:id="20">
    <w:p w14:paraId="793163AE" w14:textId="59241170" w:rsidR="004D1244" w:rsidRPr="00516813" w:rsidRDefault="004D1244" w:rsidP="00516813">
      <w:pPr>
        <w:pStyle w:val="Textonotapie"/>
        <w:jc w:val="both"/>
        <w:rPr>
          <w:rFonts w:ascii="Verdana" w:hAnsi="Verdana"/>
          <w:sz w:val="16"/>
          <w:szCs w:val="16"/>
        </w:rPr>
      </w:pPr>
      <w:r w:rsidRPr="00516813">
        <w:rPr>
          <w:rStyle w:val="Refdenotaalpie"/>
          <w:rFonts w:ascii="Verdana" w:hAnsi="Verdana"/>
          <w:sz w:val="16"/>
          <w:szCs w:val="16"/>
        </w:rPr>
        <w:footnoteRef/>
      </w:r>
      <w:r w:rsidRPr="00516813">
        <w:rPr>
          <w:rFonts w:ascii="Verdana" w:hAnsi="Verdana"/>
          <w:sz w:val="16"/>
          <w:szCs w:val="16"/>
        </w:rPr>
        <w:t xml:space="preserve"> </w:t>
      </w:r>
      <w:r w:rsidRPr="00516813">
        <w:rPr>
          <w:rFonts w:ascii="Verdana" w:hAnsi="Verdana"/>
          <w:sz w:val="16"/>
          <w:szCs w:val="16"/>
        </w:rPr>
        <w:tab/>
        <w:t>Escrito de observaciones de las representantes de 26 de febrero de 2020.</w:t>
      </w:r>
    </w:p>
  </w:footnote>
  <w:footnote w:id="21">
    <w:p w14:paraId="395EB6F7" w14:textId="2BE590A4" w:rsidR="004D1244" w:rsidRPr="00526863" w:rsidRDefault="004D1244" w:rsidP="00133EC8">
      <w:pPr>
        <w:pStyle w:val="Textonotapie"/>
        <w:jc w:val="both"/>
        <w:rPr>
          <w:rFonts w:ascii="Verdana" w:hAnsi="Verdana"/>
          <w:sz w:val="16"/>
          <w:szCs w:val="16"/>
        </w:rPr>
      </w:pPr>
      <w:r w:rsidRPr="00526863">
        <w:rPr>
          <w:rStyle w:val="Refdenotaalpie"/>
          <w:rFonts w:ascii="Verdana" w:hAnsi="Verdana"/>
          <w:sz w:val="16"/>
          <w:szCs w:val="16"/>
        </w:rPr>
        <w:footnoteRef/>
      </w:r>
      <w:r w:rsidRPr="00526863">
        <w:rPr>
          <w:rFonts w:ascii="Verdana" w:hAnsi="Verdana"/>
          <w:sz w:val="16"/>
          <w:szCs w:val="16"/>
        </w:rPr>
        <w:t xml:space="preserve"> </w:t>
      </w:r>
      <w:r w:rsidRPr="00526863">
        <w:rPr>
          <w:rFonts w:ascii="Verdana" w:hAnsi="Verdana"/>
          <w:sz w:val="16"/>
          <w:szCs w:val="16"/>
        </w:rPr>
        <w:tab/>
        <w:t xml:space="preserve">Escrito de observaciones de la Comisión de 26 de mayo de 2020. </w:t>
      </w:r>
    </w:p>
  </w:footnote>
  <w:footnote w:id="22">
    <w:p w14:paraId="04E616EC" w14:textId="105B4872" w:rsidR="004D1244" w:rsidRPr="002A15D0" w:rsidRDefault="004D1244" w:rsidP="00B42F79">
      <w:pPr>
        <w:pStyle w:val="Textonotapie"/>
        <w:jc w:val="both"/>
      </w:pPr>
      <w:r w:rsidRPr="00B42F79">
        <w:rPr>
          <w:rStyle w:val="Refdenotaalpie"/>
          <w:rFonts w:ascii="Verdana" w:hAnsi="Verdana"/>
          <w:sz w:val="16"/>
          <w:szCs w:val="16"/>
        </w:rPr>
        <w:footnoteRef/>
      </w:r>
      <w:r w:rsidRPr="00B42F79">
        <w:rPr>
          <w:rFonts w:ascii="Verdana" w:hAnsi="Verdana"/>
          <w:sz w:val="16"/>
          <w:szCs w:val="16"/>
        </w:rPr>
        <w:t xml:space="preserve"> </w:t>
      </w:r>
      <w:r w:rsidRPr="00B42F79">
        <w:rPr>
          <w:rFonts w:ascii="Verdana" w:hAnsi="Verdana"/>
          <w:sz w:val="16"/>
          <w:szCs w:val="16"/>
        </w:rPr>
        <w:tab/>
      </w:r>
      <w:r w:rsidRPr="002A15D0">
        <w:rPr>
          <w:rFonts w:ascii="Verdana" w:hAnsi="Verdana"/>
          <w:i/>
          <w:sz w:val="16"/>
          <w:szCs w:val="16"/>
          <w:lang w:val="es-CR"/>
        </w:rPr>
        <w:t xml:space="preserve">Cfr. </w:t>
      </w:r>
      <w:r w:rsidRPr="002A15D0">
        <w:rPr>
          <w:rStyle w:val="Textoennegrita"/>
          <w:rFonts w:ascii="Verdana" w:hAnsi="Verdana"/>
          <w:b w:val="0"/>
          <w:i/>
          <w:color w:val="000000"/>
          <w:sz w:val="16"/>
          <w:szCs w:val="16"/>
          <w:shd w:val="clear" w:color="auto" w:fill="FFFFFF"/>
        </w:rPr>
        <w:t xml:space="preserve">Caso </w:t>
      </w:r>
      <w:r w:rsidRPr="002A15D0">
        <w:rPr>
          <w:rStyle w:val="Textoennegrita"/>
          <w:rFonts w:ascii="Verdana" w:hAnsi="Verdana"/>
          <w:b w:val="0"/>
          <w:i/>
          <w:color w:val="000000"/>
          <w:sz w:val="16"/>
          <w:szCs w:val="16"/>
          <w:shd w:val="clear" w:color="auto" w:fill="FFFFFF"/>
          <w:lang w:val="es-CR"/>
        </w:rPr>
        <w:t>Mujeres Víctimas de Tortura Sexual en Atenco</w:t>
      </w:r>
      <w:r w:rsidRPr="002A15D0">
        <w:rPr>
          <w:rStyle w:val="Textoennegrita"/>
          <w:rFonts w:ascii="Verdana" w:hAnsi="Verdana"/>
          <w:b w:val="0"/>
          <w:i/>
          <w:color w:val="000000"/>
          <w:sz w:val="16"/>
          <w:szCs w:val="16"/>
          <w:shd w:val="clear" w:color="auto" w:fill="FFFFFF"/>
        </w:rPr>
        <w:t xml:space="preserve"> Vs. </w:t>
      </w:r>
      <w:r w:rsidRPr="002A15D0">
        <w:rPr>
          <w:rStyle w:val="Textoennegrita"/>
          <w:rFonts w:ascii="Verdana" w:hAnsi="Verdana"/>
          <w:b w:val="0"/>
          <w:i/>
          <w:color w:val="000000"/>
          <w:sz w:val="16"/>
          <w:szCs w:val="16"/>
          <w:shd w:val="clear" w:color="auto" w:fill="FFFFFF"/>
          <w:lang w:val="es-CR"/>
        </w:rPr>
        <w:t>México</w:t>
      </w:r>
      <w:r>
        <w:rPr>
          <w:rStyle w:val="Textoennegrita"/>
          <w:rFonts w:ascii="Verdana" w:hAnsi="Verdana"/>
          <w:b w:val="0"/>
          <w:i/>
          <w:color w:val="000000"/>
          <w:sz w:val="16"/>
          <w:szCs w:val="16"/>
          <w:shd w:val="clear" w:color="auto" w:fill="FFFFFF"/>
          <w:lang w:val="es-CR"/>
        </w:rPr>
        <w:t xml:space="preserve">, supra </w:t>
      </w:r>
      <w:r>
        <w:rPr>
          <w:rStyle w:val="Textoennegrita"/>
          <w:rFonts w:ascii="Verdana" w:hAnsi="Verdana"/>
          <w:b w:val="0"/>
          <w:color w:val="000000"/>
          <w:sz w:val="16"/>
          <w:szCs w:val="16"/>
          <w:shd w:val="clear" w:color="auto" w:fill="FFFFFF"/>
          <w:lang w:val="es-CR"/>
        </w:rPr>
        <w:t>nota 1, párr.</w:t>
      </w:r>
      <w:r>
        <w:rPr>
          <w:rStyle w:val="Textoennegrita"/>
          <w:rFonts w:ascii="Verdana" w:hAnsi="Verdana"/>
          <w:b w:val="0"/>
          <w:color w:val="000000"/>
          <w:sz w:val="16"/>
          <w:szCs w:val="16"/>
          <w:shd w:val="clear" w:color="auto" w:fill="FFFFFF"/>
        </w:rPr>
        <w:t xml:space="preserve"> 292.</w:t>
      </w:r>
    </w:p>
  </w:footnote>
  <w:footnote w:id="23">
    <w:p w14:paraId="6E721271" w14:textId="20EAB913" w:rsidR="004D1244" w:rsidRPr="00EB2273" w:rsidRDefault="004D1244" w:rsidP="00B42F79">
      <w:pPr>
        <w:pStyle w:val="Textonotapie"/>
        <w:jc w:val="both"/>
        <w:rPr>
          <w:rFonts w:ascii="Verdana" w:hAnsi="Verdana"/>
          <w:sz w:val="16"/>
          <w:szCs w:val="16"/>
        </w:rPr>
      </w:pPr>
      <w:r w:rsidRPr="00EB2273">
        <w:rPr>
          <w:rStyle w:val="Refdenotaalpie"/>
          <w:rFonts w:ascii="Verdana" w:hAnsi="Verdana"/>
          <w:sz w:val="16"/>
          <w:szCs w:val="16"/>
        </w:rPr>
        <w:footnoteRef/>
      </w:r>
      <w:r w:rsidRPr="00EB2273">
        <w:rPr>
          <w:rFonts w:ascii="Verdana" w:hAnsi="Verdana"/>
          <w:sz w:val="16"/>
          <w:szCs w:val="16"/>
        </w:rPr>
        <w:t xml:space="preserve"> </w:t>
      </w:r>
      <w:r w:rsidRPr="00EB2273">
        <w:rPr>
          <w:rFonts w:ascii="Verdana" w:hAnsi="Verdana"/>
          <w:sz w:val="16"/>
          <w:szCs w:val="16"/>
        </w:rPr>
        <w:tab/>
      </w:r>
      <w:r w:rsidRPr="00EB2273">
        <w:rPr>
          <w:rFonts w:ascii="Verdana" w:hAnsi="Verdana" w:cs="Verdana"/>
          <w:sz w:val="16"/>
          <w:szCs w:val="16"/>
        </w:rPr>
        <w:t>Se dispuso de un plazo de seis meses a partir de la notificación de la Sentencia para que los beneficiarios confirmaran al Estado su anuencia a recibir atención psicológica o psiquiátrica. A su vez, el Estado disponía de un plazo de tres meses, contado a partir de la recepción de dicha solicitud, para brindar de manera efectiva la atención solicitada.</w:t>
      </w:r>
    </w:p>
  </w:footnote>
  <w:footnote w:id="24">
    <w:p w14:paraId="4C1D8567" w14:textId="69DC473A" w:rsidR="004D1244" w:rsidRPr="00BD493A" w:rsidRDefault="004D1244" w:rsidP="00926BC0">
      <w:pPr>
        <w:pStyle w:val="Textonotapie"/>
        <w:jc w:val="both"/>
        <w:rPr>
          <w:rFonts w:ascii="Verdana" w:hAnsi="Verdana"/>
          <w:sz w:val="16"/>
          <w:szCs w:val="16"/>
        </w:rPr>
      </w:pPr>
      <w:r w:rsidRPr="003759D1">
        <w:rPr>
          <w:rStyle w:val="Refdenotaalpie"/>
          <w:rFonts w:ascii="Verdana" w:hAnsi="Verdana"/>
          <w:sz w:val="16"/>
          <w:szCs w:val="16"/>
        </w:rPr>
        <w:footnoteRef/>
      </w:r>
      <w:r w:rsidRPr="003759D1">
        <w:rPr>
          <w:rFonts w:ascii="Verdana" w:hAnsi="Verdana"/>
          <w:sz w:val="16"/>
          <w:szCs w:val="16"/>
        </w:rPr>
        <w:t xml:space="preserve"> </w:t>
      </w:r>
      <w:r w:rsidRPr="003759D1">
        <w:rPr>
          <w:rFonts w:ascii="Verdana" w:hAnsi="Verdana"/>
          <w:sz w:val="16"/>
          <w:szCs w:val="16"/>
        </w:rPr>
        <w:tab/>
      </w:r>
      <w:r>
        <w:rPr>
          <w:rFonts w:ascii="Verdana" w:hAnsi="Verdana"/>
          <w:sz w:val="16"/>
          <w:szCs w:val="16"/>
        </w:rPr>
        <w:t>El referido</w:t>
      </w:r>
      <w:r w:rsidRPr="003759D1">
        <w:rPr>
          <w:rFonts w:ascii="Verdana" w:hAnsi="Verdana"/>
          <w:sz w:val="16"/>
          <w:szCs w:val="16"/>
        </w:rPr>
        <w:t xml:space="preserve"> grupo interdisciplina</w:t>
      </w:r>
      <w:r>
        <w:rPr>
          <w:rFonts w:ascii="Verdana" w:hAnsi="Verdana"/>
          <w:sz w:val="16"/>
          <w:szCs w:val="16"/>
        </w:rPr>
        <w:t>rio se encuentra conformado por: la Secretaría de Gobernación;</w:t>
      </w:r>
      <w:r w:rsidRPr="003759D1">
        <w:rPr>
          <w:rFonts w:ascii="Verdana" w:hAnsi="Verdana"/>
          <w:sz w:val="16"/>
          <w:szCs w:val="16"/>
        </w:rPr>
        <w:t xml:space="preserve"> la Secretaría de Salud</w:t>
      </w:r>
      <w:r>
        <w:rPr>
          <w:rFonts w:ascii="Verdana" w:hAnsi="Verdana"/>
          <w:sz w:val="16"/>
          <w:szCs w:val="16"/>
        </w:rPr>
        <w:t xml:space="preserve"> Federal;</w:t>
      </w:r>
      <w:r w:rsidRPr="003759D1">
        <w:rPr>
          <w:rFonts w:ascii="Verdana" w:hAnsi="Verdana"/>
          <w:sz w:val="16"/>
          <w:szCs w:val="16"/>
        </w:rPr>
        <w:t xml:space="preserve"> la Secretaría </w:t>
      </w:r>
      <w:r>
        <w:rPr>
          <w:rFonts w:ascii="Verdana" w:hAnsi="Verdana"/>
          <w:sz w:val="16"/>
          <w:szCs w:val="16"/>
        </w:rPr>
        <w:t>de Salud de la Ciudad de México;</w:t>
      </w:r>
      <w:r w:rsidRPr="003759D1">
        <w:rPr>
          <w:rFonts w:ascii="Verdana" w:hAnsi="Verdana"/>
          <w:sz w:val="16"/>
          <w:szCs w:val="16"/>
        </w:rPr>
        <w:t xml:space="preserve"> los Servicios de Salud de la Ciudad</w:t>
      </w:r>
      <w:r>
        <w:rPr>
          <w:rFonts w:ascii="Verdana" w:hAnsi="Verdana"/>
          <w:sz w:val="16"/>
          <w:szCs w:val="16"/>
        </w:rPr>
        <w:t xml:space="preserve"> de México;</w:t>
      </w:r>
      <w:r w:rsidRPr="003759D1">
        <w:rPr>
          <w:rFonts w:ascii="Verdana" w:hAnsi="Verdana"/>
          <w:sz w:val="16"/>
          <w:szCs w:val="16"/>
        </w:rPr>
        <w:t xml:space="preserve"> el Institut</w:t>
      </w:r>
      <w:r>
        <w:rPr>
          <w:rFonts w:ascii="Verdana" w:hAnsi="Verdana"/>
          <w:sz w:val="16"/>
          <w:szCs w:val="16"/>
        </w:rPr>
        <w:t>o de Salud del estado de México;</w:t>
      </w:r>
      <w:r w:rsidRPr="003759D1">
        <w:rPr>
          <w:rFonts w:ascii="Verdana" w:hAnsi="Verdana"/>
          <w:sz w:val="16"/>
          <w:szCs w:val="16"/>
        </w:rPr>
        <w:t xml:space="preserve"> la Comisión Ejecutiva de Atención a</w:t>
      </w:r>
      <w:r>
        <w:rPr>
          <w:rFonts w:ascii="Verdana" w:hAnsi="Verdana"/>
          <w:sz w:val="16"/>
          <w:szCs w:val="16"/>
        </w:rPr>
        <w:t xml:space="preserve"> Víctimas;</w:t>
      </w:r>
      <w:r w:rsidRPr="003759D1">
        <w:rPr>
          <w:rFonts w:ascii="Verdana" w:hAnsi="Verdana"/>
          <w:sz w:val="16"/>
          <w:szCs w:val="16"/>
        </w:rPr>
        <w:t xml:space="preserve"> la Comisión Ejecutiva de Atención </w:t>
      </w:r>
      <w:r>
        <w:rPr>
          <w:rFonts w:ascii="Verdana" w:hAnsi="Verdana"/>
          <w:sz w:val="16"/>
          <w:szCs w:val="16"/>
        </w:rPr>
        <w:t>a Víctimas del estado de México;</w:t>
      </w:r>
      <w:r w:rsidRPr="003759D1">
        <w:rPr>
          <w:rFonts w:ascii="Verdana" w:hAnsi="Verdana"/>
          <w:sz w:val="16"/>
          <w:szCs w:val="16"/>
        </w:rPr>
        <w:t xml:space="preserve"> la Comisión</w:t>
      </w:r>
      <w:r>
        <w:rPr>
          <w:rFonts w:ascii="Verdana" w:hAnsi="Verdana"/>
          <w:sz w:val="16"/>
          <w:szCs w:val="16"/>
        </w:rPr>
        <w:t xml:space="preserve"> </w:t>
      </w:r>
      <w:r w:rsidRPr="003759D1">
        <w:rPr>
          <w:rFonts w:ascii="Verdana" w:hAnsi="Verdana"/>
          <w:sz w:val="16"/>
          <w:szCs w:val="16"/>
        </w:rPr>
        <w:t xml:space="preserve">Ejecutiva de Atención a </w:t>
      </w:r>
      <w:r>
        <w:rPr>
          <w:rFonts w:ascii="Verdana" w:hAnsi="Verdana"/>
          <w:sz w:val="16"/>
          <w:szCs w:val="16"/>
        </w:rPr>
        <w:t>Víctimas de la Ciudad de México;</w:t>
      </w:r>
      <w:r w:rsidRPr="003759D1">
        <w:rPr>
          <w:rFonts w:ascii="Verdana" w:hAnsi="Verdana"/>
          <w:sz w:val="16"/>
          <w:szCs w:val="16"/>
        </w:rPr>
        <w:t xml:space="preserve"> el Instituto Mexicano del</w:t>
      </w:r>
      <w:r>
        <w:rPr>
          <w:rFonts w:ascii="Verdana" w:hAnsi="Verdana"/>
          <w:sz w:val="16"/>
          <w:szCs w:val="16"/>
        </w:rPr>
        <w:t xml:space="preserve"> </w:t>
      </w:r>
      <w:r w:rsidRPr="003759D1">
        <w:rPr>
          <w:rFonts w:ascii="Verdana" w:hAnsi="Verdana"/>
          <w:sz w:val="16"/>
          <w:szCs w:val="16"/>
        </w:rPr>
        <w:t>Seguro Social y el Instituto de Seguridad y Servicios Sociales de los Trabajadores del</w:t>
      </w:r>
      <w:r>
        <w:rPr>
          <w:rFonts w:ascii="Verdana" w:hAnsi="Verdana"/>
          <w:sz w:val="16"/>
          <w:szCs w:val="16"/>
        </w:rPr>
        <w:t xml:space="preserve"> </w:t>
      </w:r>
      <w:r w:rsidRPr="003759D1">
        <w:rPr>
          <w:rFonts w:ascii="Verdana" w:hAnsi="Verdana"/>
          <w:sz w:val="16"/>
          <w:szCs w:val="16"/>
        </w:rPr>
        <w:t>Estado.</w:t>
      </w:r>
      <w:r>
        <w:rPr>
          <w:rFonts w:ascii="Verdana" w:hAnsi="Verdana"/>
          <w:sz w:val="16"/>
          <w:szCs w:val="16"/>
        </w:rPr>
        <w:t xml:space="preserve"> </w:t>
      </w:r>
      <w:r>
        <w:rPr>
          <w:rFonts w:ascii="Verdana" w:hAnsi="Verdana"/>
          <w:i/>
          <w:sz w:val="16"/>
          <w:szCs w:val="16"/>
        </w:rPr>
        <w:t xml:space="preserve">Cfr. </w:t>
      </w:r>
      <w:r>
        <w:rPr>
          <w:rFonts w:ascii="Verdana" w:hAnsi="Verdana"/>
          <w:sz w:val="16"/>
          <w:szCs w:val="16"/>
        </w:rPr>
        <w:t xml:space="preserve">Informe estatal de 23 de diciembre de 2019. </w:t>
      </w:r>
    </w:p>
  </w:footnote>
  <w:footnote w:id="25">
    <w:p w14:paraId="2393A413" w14:textId="76C7FDD0" w:rsidR="004D1244" w:rsidRPr="001A3D2A" w:rsidRDefault="004D1244" w:rsidP="00926BC0">
      <w:pPr>
        <w:pStyle w:val="Textonotapie"/>
        <w:jc w:val="both"/>
        <w:rPr>
          <w:rFonts w:ascii="Verdana" w:eastAsia="Times" w:hAnsi="Verdana"/>
          <w:sz w:val="16"/>
          <w:szCs w:val="16"/>
          <w:lang w:val="es-MX" w:eastAsia="en-US"/>
        </w:rPr>
      </w:pPr>
      <w:r w:rsidRPr="001A3D2A">
        <w:rPr>
          <w:rStyle w:val="Refdenotaalpie"/>
          <w:rFonts w:ascii="Verdana" w:hAnsi="Verdana"/>
          <w:sz w:val="16"/>
          <w:szCs w:val="16"/>
        </w:rPr>
        <w:footnoteRef/>
      </w:r>
      <w:r w:rsidRPr="001A3D2A">
        <w:rPr>
          <w:rFonts w:ascii="Verdana" w:hAnsi="Verdana"/>
          <w:sz w:val="16"/>
          <w:szCs w:val="16"/>
        </w:rPr>
        <w:t xml:space="preserve"> </w:t>
      </w:r>
      <w:r w:rsidRPr="001A3D2A">
        <w:rPr>
          <w:rFonts w:ascii="Verdana" w:hAnsi="Verdana"/>
          <w:sz w:val="16"/>
          <w:szCs w:val="16"/>
        </w:rPr>
        <w:tab/>
      </w:r>
      <w:r>
        <w:rPr>
          <w:rFonts w:ascii="Verdana" w:eastAsia="Times" w:hAnsi="Verdana"/>
          <w:sz w:val="16"/>
          <w:szCs w:val="16"/>
          <w:lang w:val="es-MX" w:eastAsia="en-US"/>
        </w:rPr>
        <w:t xml:space="preserve">Informe estatal de 23 de diciembre de 2019. </w:t>
      </w:r>
      <w:r w:rsidRPr="001A3D2A">
        <w:rPr>
          <w:rFonts w:ascii="Verdana" w:hAnsi="Verdana"/>
          <w:sz w:val="16"/>
          <w:szCs w:val="16"/>
        </w:rPr>
        <w:t>Ello</w:t>
      </w:r>
      <w:r>
        <w:rPr>
          <w:rFonts w:ascii="Verdana" w:hAnsi="Verdana"/>
          <w:sz w:val="16"/>
          <w:szCs w:val="16"/>
        </w:rPr>
        <w:t>,</w:t>
      </w:r>
      <w:r w:rsidRPr="001A3D2A">
        <w:rPr>
          <w:rFonts w:ascii="Verdana" w:hAnsi="Verdana"/>
          <w:sz w:val="16"/>
          <w:szCs w:val="16"/>
        </w:rPr>
        <w:t xml:space="preserve"> en seguimiento de lo acordado en la reunión de trabajo sostenida el 11 de junio de 2019 entre autoridades estatales, las víctimas y su representación, en cuanto a </w:t>
      </w:r>
      <w:r w:rsidRPr="001A3D2A">
        <w:rPr>
          <w:rFonts w:ascii="Verdana" w:eastAsia="Times" w:hAnsi="Verdana"/>
          <w:sz w:val="16"/>
          <w:szCs w:val="16"/>
          <w:lang w:val="es-MX" w:eastAsia="en-US"/>
        </w:rPr>
        <w:t xml:space="preserve">que “en el momento en que [las </w:t>
      </w:r>
      <w:r>
        <w:rPr>
          <w:rFonts w:ascii="Verdana" w:eastAsia="Times" w:hAnsi="Verdana"/>
          <w:sz w:val="16"/>
          <w:szCs w:val="16"/>
          <w:lang w:val="es-MX" w:eastAsia="en-US"/>
        </w:rPr>
        <w:t>beneficiarias</w:t>
      </w:r>
      <w:r w:rsidRPr="001A3D2A">
        <w:rPr>
          <w:rFonts w:ascii="Verdana" w:eastAsia="Times" w:hAnsi="Verdana"/>
          <w:sz w:val="16"/>
          <w:szCs w:val="16"/>
          <w:lang w:val="es-MX" w:eastAsia="en-US"/>
        </w:rPr>
        <w:t xml:space="preserve">] tengan algún requerimiento específico, </w:t>
      </w:r>
      <w:r>
        <w:rPr>
          <w:rFonts w:ascii="Verdana" w:eastAsia="Times" w:hAnsi="Verdana"/>
          <w:sz w:val="16"/>
          <w:szCs w:val="16"/>
          <w:lang w:val="es-MX" w:eastAsia="en-US"/>
        </w:rPr>
        <w:t>[éste]se ha[</w:t>
      </w:r>
      <w:proofErr w:type="spellStart"/>
      <w:r>
        <w:rPr>
          <w:rFonts w:ascii="Verdana" w:eastAsia="Times" w:hAnsi="Verdana"/>
          <w:sz w:val="16"/>
          <w:szCs w:val="16"/>
          <w:lang w:val="es-MX" w:eastAsia="en-US"/>
        </w:rPr>
        <w:t>rá</w:t>
      </w:r>
      <w:proofErr w:type="spellEnd"/>
      <w:r>
        <w:rPr>
          <w:rFonts w:ascii="Verdana" w:eastAsia="Times" w:hAnsi="Verdana"/>
          <w:sz w:val="16"/>
          <w:szCs w:val="16"/>
          <w:lang w:val="es-MX" w:eastAsia="en-US"/>
        </w:rPr>
        <w:t>]</w:t>
      </w:r>
      <w:r w:rsidRPr="001A3D2A">
        <w:rPr>
          <w:rFonts w:ascii="Verdana" w:eastAsia="Times" w:hAnsi="Verdana"/>
          <w:sz w:val="16"/>
          <w:szCs w:val="16"/>
          <w:lang w:val="es-MX" w:eastAsia="en-US"/>
        </w:rPr>
        <w:t xml:space="preserve"> de manera directa a través de un enlace”. Minuta de trabajo de la reunión sostenida el 11 de junio de 2019 (</w:t>
      </w:r>
      <w:r>
        <w:rPr>
          <w:rFonts w:ascii="Verdana" w:eastAsia="Times" w:hAnsi="Verdana"/>
          <w:sz w:val="16"/>
          <w:szCs w:val="16"/>
          <w:lang w:val="es-MX" w:eastAsia="en-US"/>
        </w:rPr>
        <w:t>A</w:t>
      </w:r>
      <w:r w:rsidRPr="001A3D2A">
        <w:rPr>
          <w:rFonts w:ascii="Verdana" w:eastAsia="Times" w:hAnsi="Verdana"/>
          <w:sz w:val="16"/>
          <w:szCs w:val="16"/>
          <w:lang w:val="es-MX" w:eastAsia="en-US"/>
        </w:rPr>
        <w:t xml:space="preserve">nexo 1 al informe estatal de 26 de agosto de 2019). </w:t>
      </w:r>
      <w:r>
        <w:rPr>
          <w:rFonts w:ascii="Verdana" w:eastAsia="Times" w:hAnsi="Verdana"/>
          <w:sz w:val="16"/>
          <w:szCs w:val="16"/>
          <w:lang w:val="es-MX" w:eastAsia="en-US"/>
        </w:rPr>
        <w:t xml:space="preserve">México remarcó que las personas designadas como enlaces </w:t>
      </w:r>
      <w:r w:rsidRPr="001A3D2A">
        <w:rPr>
          <w:rFonts w:ascii="Verdana" w:eastAsia="Times" w:hAnsi="Verdana"/>
          <w:sz w:val="16"/>
          <w:szCs w:val="16"/>
          <w:lang w:val="es-MX" w:eastAsia="en-US"/>
        </w:rPr>
        <w:t>“tienen capacidad de toma de decisiones y serían los responsables de la ruta de atención”</w:t>
      </w:r>
      <w:r>
        <w:rPr>
          <w:rFonts w:ascii="Verdana" w:eastAsia="Times" w:hAnsi="Verdana"/>
          <w:sz w:val="16"/>
          <w:szCs w:val="16"/>
          <w:lang w:val="es-MX" w:eastAsia="en-US"/>
        </w:rPr>
        <w:t xml:space="preserve">. Informe estatal de 23 de diciembre de 2019. </w:t>
      </w:r>
    </w:p>
  </w:footnote>
  <w:footnote w:id="26">
    <w:p w14:paraId="720A36B4" w14:textId="66F54180" w:rsidR="004D1244" w:rsidRPr="001A3D2A" w:rsidRDefault="004D1244" w:rsidP="00926BC0">
      <w:pPr>
        <w:pStyle w:val="Textonotapie"/>
        <w:jc w:val="both"/>
        <w:rPr>
          <w:rFonts w:ascii="Verdana" w:hAnsi="Verdana"/>
          <w:sz w:val="16"/>
          <w:szCs w:val="16"/>
          <w:vertAlign w:val="subscript"/>
        </w:rPr>
      </w:pPr>
      <w:r w:rsidRPr="001A3D2A">
        <w:rPr>
          <w:rStyle w:val="Refdenotaalpie"/>
          <w:rFonts w:ascii="Verdana" w:hAnsi="Verdana"/>
          <w:sz w:val="16"/>
          <w:szCs w:val="16"/>
        </w:rPr>
        <w:footnoteRef/>
      </w:r>
      <w:r w:rsidRPr="001A3D2A">
        <w:rPr>
          <w:rFonts w:ascii="Verdana" w:hAnsi="Verdana"/>
          <w:sz w:val="16"/>
          <w:szCs w:val="16"/>
        </w:rPr>
        <w:t xml:space="preserve"> </w:t>
      </w:r>
      <w:r w:rsidRPr="001A3D2A">
        <w:rPr>
          <w:rFonts w:ascii="Verdana" w:hAnsi="Verdana"/>
          <w:sz w:val="16"/>
          <w:szCs w:val="16"/>
        </w:rPr>
        <w:tab/>
      </w:r>
      <w:r>
        <w:rPr>
          <w:rFonts w:ascii="Verdana" w:hAnsi="Verdana"/>
          <w:sz w:val="16"/>
          <w:szCs w:val="16"/>
        </w:rPr>
        <w:t>El Estado r</w:t>
      </w:r>
      <w:r w:rsidRPr="001A3D2A">
        <w:rPr>
          <w:rFonts w:ascii="Verdana" w:hAnsi="Verdana"/>
          <w:sz w:val="16"/>
          <w:szCs w:val="16"/>
        </w:rPr>
        <w:t>efirió que dicha propuesta</w:t>
      </w:r>
      <w:r>
        <w:rPr>
          <w:rFonts w:ascii="Verdana" w:hAnsi="Verdana"/>
          <w:sz w:val="16"/>
          <w:szCs w:val="16"/>
        </w:rPr>
        <w:t xml:space="preserve"> fue puesta en conocimiento de las víctimas y sus representantes,</w:t>
      </w:r>
      <w:r>
        <w:rPr>
          <w:rFonts w:ascii="Verdana" w:hAnsi="Verdana"/>
          <w:b/>
          <w:sz w:val="16"/>
          <w:szCs w:val="16"/>
        </w:rPr>
        <w:t xml:space="preserve"> </w:t>
      </w:r>
      <w:r w:rsidRPr="00E723D0">
        <w:rPr>
          <w:rFonts w:ascii="Verdana" w:hAnsi="Verdana"/>
          <w:sz w:val="16"/>
          <w:szCs w:val="16"/>
        </w:rPr>
        <w:t xml:space="preserve">y que su objetivo </w:t>
      </w:r>
      <w:r w:rsidRPr="001A3D2A">
        <w:rPr>
          <w:rFonts w:ascii="Verdana" w:hAnsi="Verdana"/>
          <w:sz w:val="16"/>
          <w:szCs w:val="16"/>
        </w:rPr>
        <w:t xml:space="preserve">es </w:t>
      </w:r>
      <w:r>
        <w:rPr>
          <w:rFonts w:ascii="Verdana" w:hAnsi="Verdana"/>
          <w:sz w:val="16"/>
          <w:szCs w:val="16"/>
        </w:rPr>
        <w:t>“</w:t>
      </w:r>
      <w:r w:rsidRPr="001A3D2A">
        <w:rPr>
          <w:rFonts w:ascii="Verdana" w:eastAsia="Times" w:hAnsi="Verdana"/>
          <w:sz w:val="16"/>
          <w:szCs w:val="16"/>
          <w:lang w:val="es-MX" w:eastAsia="en-US"/>
        </w:rPr>
        <w:t>pon</w:t>
      </w:r>
      <w:r>
        <w:rPr>
          <w:rFonts w:ascii="Verdana" w:eastAsia="Times" w:hAnsi="Verdana"/>
          <w:sz w:val="16"/>
          <w:szCs w:val="16"/>
          <w:lang w:val="es-MX" w:eastAsia="en-US"/>
        </w:rPr>
        <w:t>[</w:t>
      </w:r>
      <w:proofErr w:type="spellStart"/>
      <w:r w:rsidRPr="001A3D2A">
        <w:rPr>
          <w:rFonts w:ascii="Verdana" w:eastAsia="Times" w:hAnsi="Verdana"/>
          <w:sz w:val="16"/>
          <w:szCs w:val="16"/>
          <w:lang w:val="es-MX" w:eastAsia="en-US"/>
        </w:rPr>
        <w:t>er</w:t>
      </w:r>
      <w:proofErr w:type="spellEnd"/>
      <w:r>
        <w:rPr>
          <w:rFonts w:ascii="Verdana" w:eastAsia="Times" w:hAnsi="Verdana"/>
          <w:sz w:val="16"/>
          <w:szCs w:val="16"/>
          <w:lang w:val="es-MX" w:eastAsia="en-US"/>
        </w:rPr>
        <w:t xml:space="preserve">] </w:t>
      </w:r>
      <w:r w:rsidRPr="001A3D2A">
        <w:rPr>
          <w:rFonts w:ascii="Verdana" w:eastAsia="Times" w:hAnsi="Verdana"/>
          <w:sz w:val="16"/>
          <w:szCs w:val="16"/>
          <w:lang w:val="es-MX" w:eastAsia="en-US"/>
        </w:rPr>
        <w:t xml:space="preserve">a disposición de las víctimas procedimientos que garanticen servicios de salud médica, psicológica y psiquiátrica, de manera prioritaria”, los cuales deberán ser “accesibles, de calidad, gratuitos y considerando, además, las circunstancias y necesidades particulares de cada víctima, con el fin de proteger, promover y restaurar su salud con un enfoque diferencial y de inclusión social”, </w:t>
      </w:r>
      <w:r>
        <w:rPr>
          <w:rFonts w:ascii="Verdana" w:eastAsia="Times" w:hAnsi="Verdana"/>
          <w:sz w:val="16"/>
          <w:szCs w:val="16"/>
          <w:lang w:val="es-MX" w:eastAsia="en-US"/>
        </w:rPr>
        <w:t>lo cual</w:t>
      </w:r>
      <w:r w:rsidRPr="001A3D2A">
        <w:rPr>
          <w:rFonts w:ascii="Verdana" w:eastAsia="Times" w:hAnsi="Verdana"/>
          <w:sz w:val="16"/>
          <w:szCs w:val="16"/>
          <w:lang w:val="es-MX" w:eastAsia="en-US"/>
        </w:rPr>
        <w:t xml:space="preserve"> se llevará a cabo de forma “interinstitucional, garantizando la atención de las víctimas en el presente caso, bajo un enfoque diferenciado y con perspectiva de derechos humanos”.</w:t>
      </w:r>
      <w:r>
        <w:rPr>
          <w:rFonts w:ascii="Verdana" w:eastAsia="Times" w:hAnsi="Verdana"/>
          <w:sz w:val="16"/>
          <w:szCs w:val="16"/>
          <w:lang w:val="es-MX" w:eastAsia="en-US"/>
        </w:rPr>
        <w:t xml:space="preserve"> Informe estatal de 23 de diciembre de 2019. </w:t>
      </w:r>
    </w:p>
  </w:footnote>
  <w:footnote w:id="27">
    <w:p w14:paraId="7812E981" w14:textId="4719399B" w:rsidR="004D1244" w:rsidRPr="00B42F79" w:rsidRDefault="004D1244" w:rsidP="00B42F79">
      <w:pPr>
        <w:pStyle w:val="Textonotapie"/>
        <w:jc w:val="both"/>
        <w:rPr>
          <w:rFonts w:ascii="Verdana" w:hAnsi="Verdana"/>
          <w:sz w:val="16"/>
          <w:szCs w:val="16"/>
        </w:rPr>
      </w:pPr>
      <w:r w:rsidRPr="00B42F79">
        <w:rPr>
          <w:rStyle w:val="Refdenotaalpie"/>
          <w:rFonts w:ascii="Verdana" w:hAnsi="Verdana"/>
          <w:sz w:val="16"/>
          <w:szCs w:val="16"/>
        </w:rPr>
        <w:footnoteRef/>
      </w:r>
      <w:r w:rsidRPr="00B42F79">
        <w:rPr>
          <w:rFonts w:ascii="Verdana" w:hAnsi="Verdana"/>
          <w:sz w:val="16"/>
          <w:szCs w:val="16"/>
        </w:rPr>
        <w:t xml:space="preserve"> </w:t>
      </w:r>
      <w:r w:rsidRPr="00B42F79">
        <w:rPr>
          <w:rFonts w:ascii="Verdana" w:hAnsi="Verdana"/>
          <w:sz w:val="16"/>
          <w:szCs w:val="16"/>
        </w:rPr>
        <w:tab/>
      </w:r>
      <w:r w:rsidRPr="00B42F79">
        <w:rPr>
          <w:rFonts w:ascii="Verdana" w:hAnsi="Verdana"/>
          <w:i/>
          <w:sz w:val="16"/>
          <w:szCs w:val="16"/>
        </w:rPr>
        <w:t xml:space="preserve">Cfr. </w:t>
      </w:r>
      <w:r w:rsidRPr="00B42F79">
        <w:rPr>
          <w:rFonts w:ascii="Verdana" w:hAnsi="Verdana"/>
          <w:sz w:val="16"/>
          <w:szCs w:val="16"/>
        </w:rPr>
        <w:t xml:space="preserve">Escrito de observaciones de las representantes de 15 de noviembre de 2019. </w:t>
      </w:r>
    </w:p>
  </w:footnote>
  <w:footnote w:id="28">
    <w:p w14:paraId="4505D974" w14:textId="7C299215" w:rsidR="004D1244" w:rsidRPr="00B42F79" w:rsidRDefault="004D1244" w:rsidP="00926BC0">
      <w:pPr>
        <w:pStyle w:val="Textonotapie"/>
        <w:jc w:val="both"/>
        <w:rPr>
          <w:rFonts w:ascii="Verdana" w:hAnsi="Verdana"/>
          <w:sz w:val="16"/>
          <w:szCs w:val="16"/>
        </w:rPr>
      </w:pPr>
      <w:r w:rsidRPr="00AA642A">
        <w:rPr>
          <w:rStyle w:val="Refdenotaalpie"/>
          <w:rFonts w:ascii="Verdana" w:hAnsi="Verdana"/>
          <w:sz w:val="16"/>
          <w:szCs w:val="16"/>
        </w:rPr>
        <w:footnoteRef/>
      </w:r>
      <w:r w:rsidRPr="00AA642A">
        <w:rPr>
          <w:rFonts w:ascii="Verdana" w:hAnsi="Verdana"/>
          <w:sz w:val="16"/>
          <w:szCs w:val="16"/>
        </w:rPr>
        <w:t xml:space="preserve"> </w:t>
      </w:r>
      <w:r w:rsidRPr="00AA642A">
        <w:rPr>
          <w:rFonts w:ascii="Verdana" w:hAnsi="Verdana"/>
          <w:sz w:val="16"/>
          <w:szCs w:val="16"/>
        </w:rPr>
        <w:tab/>
        <w:t xml:space="preserve">México refirió que las referidas reuniones perseguían </w:t>
      </w:r>
      <w:r w:rsidRPr="00AA642A">
        <w:rPr>
          <w:rFonts w:ascii="Verdana" w:eastAsia="Times" w:hAnsi="Verdana"/>
          <w:sz w:val="16"/>
          <w:szCs w:val="16"/>
          <w:lang w:val="es-ES" w:eastAsia="en-US"/>
        </w:rPr>
        <w:t>el fin de explicarles a cada una de las víctimas su “ruta de salud, de acuerdo con los padecimientos reportados y el hospital que la[s] atenderá”, así como fijar una fecha para realizarles una “valoración inicial”.</w:t>
      </w:r>
      <w:r>
        <w:rPr>
          <w:rFonts w:ascii="Verdana" w:eastAsia="Times" w:hAnsi="Verdana"/>
          <w:sz w:val="16"/>
          <w:szCs w:val="16"/>
          <w:lang w:val="es-MX" w:eastAsia="en-US"/>
        </w:rPr>
        <w:t xml:space="preserve"> Informe estatal de 23 de diciembre de 2019.</w:t>
      </w:r>
    </w:p>
  </w:footnote>
  <w:footnote w:id="29">
    <w:p w14:paraId="0C7401EC" w14:textId="42F02AEA" w:rsidR="004D1244" w:rsidRPr="00F93A54" w:rsidRDefault="004D1244" w:rsidP="00926BC0">
      <w:pPr>
        <w:pStyle w:val="Textonotapie"/>
        <w:jc w:val="both"/>
        <w:rPr>
          <w:rFonts w:ascii="Verdana" w:hAnsi="Verdana"/>
          <w:sz w:val="16"/>
          <w:szCs w:val="16"/>
        </w:rPr>
      </w:pPr>
      <w:r w:rsidRPr="0078641C">
        <w:rPr>
          <w:rStyle w:val="Refdenotaalpie"/>
          <w:rFonts w:ascii="Verdana" w:hAnsi="Verdana"/>
          <w:sz w:val="16"/>
          <w:szCs w:val="16"/>
        </w:rPr>
        <w:footnoteRef/>
      </w:r>
      <w:r w:rsidRPr="0078641C">
        <w:rPr>
          <w:rFonts w:ascii="Verdana" w:hAnsi="Verdana"/>
          <w:sz w:val="16"/>
          <w:szCs w:val="16"/>
        </w:rPr>
        <w:t xml:space="preserve"> </w:t>
      </w:r>
      <w:r w:rsidRPr="0078641C">
        <w:rPr>
          <w:rFonts w:ascii="Verdana" w:hAnsi="Verdana"/>
          <w:sz w:val="16"/>
          <w:szCs w:val="16"/>
        </w:rPr>
        <w:tab/>
        <w:t xml:space="preserve">A la fecha del </w:t>
      </w:r>
      <w:r>
        <w:rPr>
          <w:rFonts w:ascii="Verdana" w:hAnsi="Verdana"/>
          <w:sz w:val="16"/>
          <w:szCs w:val="16"/>
        </w:rPr>
        <w:t xml:space="preserve">último </w:t>
      </w:r>
      <w:r w:rsidRPr="0078641C">
        <w:rPr>
          <w:rFonts w:ascii="Verdana" w:hAnsi="Verdana"/>
          <w:sz w:val="16"/>
          <w:szCs w:val="16"/>
        </w:rPr>
        <w:t xml:space="preserve">escrito </w:t>
      </w:r>
      <w:r>
        <w:rPr>
          <w:rFonts w:ascii="Verdana" w:hAnsi="Verdana"/>
          <w:sz w:val="16"/>
          <w:szCs w:val="16"/>
        </w:rPr>
        <w:t xml:space="preserve">de observaciones de las representantes </w:t>
      </w:r>
      <w:r w:rsidRPr="0078641C">
        <w:rPr>
          <w:rFonts w:ascii="Verdana" w:hAnsi="Verdana"/>
          <w:sz w:val="16"/>
          <w:szCs w:val="16"/>
        </w:rPr>
        <w:t>estaba pendiente la rea</w:t>
      </w:r>
      <w:r>
        <w:rPr>
          <w:rFonts w:ascii="Verdana" w:hAnsi="Verdana"/>
          <w:sz w:val="16"/>
          <w:szCs w:val="16"/>
        </w:rPr>
        <w:t xml:space="preserve">lización de la referida reunión y </w:t>
      </w:r>
      <w:proofErr w:type="spellStart"/>
      <w:r>
        <w:rPr>
          <w:rFonts w:ascii="Verdana" w:hAnsi="Verdana"/>
          <w:sz w:val="16"/>
          <w:szCs w:val="16"/>
        </w:rPr>
        <w:t>exámen</w:t>
      </w:r>
      <w:proofErr w:type="spellEnd"/>
      <w:r>
        <w:rPr>
          <w:rFonts w:ascii="Verdana" w:hAnsi="Verdana"/>
          <w:sz w:val="16"/>
          <w:szCs w:val="16"/>
        </w:rPr>
        <w:t xml:space="preserve"> médico inicial respecto de </w:t>
      </w:r>
      <w:r>
        <w:rPr>
          <w:rFonts w:ascii="Verdana" w:hAnsi="Verdana"/>
          <w:sz w:val="16"/>
          <w:szCs w:val="16"/>
          <w:lang w:val="es-CR"/>
        </w:rPr>
        <w:t>una de las once mujeres</w:t>
      </w:r>
      <w:r w:rsidRPr="0078641C">
        <w:rPr>
          <w:rFonts w:ascii="Verdana" w:hAnsi="Verdana"/>
          <w:sz w:val="16"/>
          <w:szCs w:val="16"/>
        </w:rPr>
        <w:t xml:space="preserve">. </w:t>
      </w:r>
      <w:r w:rsidRPr="006B691F">
        <w:rPr>
          <w:rFonts w:ascii="Verdana" w:hAnsi="Verdana"/>
          <w:i/>
          <w:sz w:val="16"/>
          <w:szCs w:val="16"/>
        </w:rPr>
        <w:t xml:space="preserve">Cfr. </w:t>
      </w:r>
      <w:r w:rsidRPr="006B691F">
        <w:rPr>
          <w:rFonts w:ascii="Verdana" w:hAnsi="Verdana"/>
          <w:sz w:val="16"/>
          <w:szCs w:val="16"/>
        </w:rPr>
        <w:t xml:space="preserve">Escrito </w:t>
      </w:r>
      <w:r>
        <w:rPr>
          <w:rFonts w:ascii="Verdana" w:hAnsi="Verdana"/>
          <w:sz w:val="16"/>
          <w:szCs w:val="16"/>
        </w:rPr>
        <w:t>de observaciones de las representantes de</w:t>
      </w:r>
      <w:r w:rsidRPr="00F93A54">
        <w:rPr>
          <w:rFonts w:ascii="Verdana" w:hAnsi="Verdana"/>
          <w:sz w:val="16"/>
          <w:szCs w:val="16"/>
        </w:rPr>
        <w:t xml:space="preserve"> 26 de febrero de 2020.</w:t>
      </w:r>
    </w:p>
  </w:footnote>
  <w:footnote w:id="30">
    <w:p w14:paraId="597A78D9" w14:textId="6BA417F6" w:rsidR="004D1244" w:rsidRPr="00C31EA6" w:rsidRDefault="004D1244" w:rsidP="00926BC0">
      <w:pPr>
        <w:pStyle w:val="Textonotapie"/>
        <w:jc w:val="both"/>
        <w:rPr>
          <w:rFonts w:ascii="Verdana" w:hAnsi="Verdana"/>
          <w:sz w:val="16"/>
          <w:szCs w:val="16"/>
        </w:rPr>
      </w:pPr>
      <w:r w:rsidRPr="00C31EA6">
        <w:rPr>
          <w:rStyle w:val="Refdenotaalpie"/>
          <w:rFonts w:ascii="Verdana" w:hAnsi="Verdana"/>
          <w:sz w:val="16"/>
          <w:szCs w:val="16"/>
        </w:rPr>
        <w:footnoteRef/>
      </w:r>
      <w:r w:rsidRPr="00C31EA6">
        <w:rPr>
          <w:rFonts w:ascii="Verdana" w:hAnsi="Verdana"/>
          <w:sz w:val="16"/>
          <w:szCs w:val="16"/>
        </w:rPr>
        <w:t xml:space="preserve"> </w:t>
      </w:r>
      <w:r w:rsidRPr="00C31EA6">
        <w:rPr>
          <w:rFonts w:ascii="Verdana" w:hAnsi="Verdana"/>
          <w:sz w:val="16"/>
          <w:szCs w:val="16"/>
        </w:rPr>
        <w:tab/>
      </w:r>
      <w:r w:rsidRPr="00AA390C">
        <w:rPr>
          <w:rFonts w:ascii="Verdana" w:hAnsi="Verdana"/>
          <w:i/>
          <w:sz w:val="16"/>
          <w:szCs w:val="16"/>
          <w:lang w:val="es-MX"/>
        </w:rPr>
        <w:t>Cfr.</w:t>
      </w:r>
      <w:r>
        <w:rPr>
          <w:rFonts w:ascii="Verdana" w:hAnsi="Verdana"/>
          <w:i/>
          <w:sz w:val="16"/>
          <w:szCs w:val="16"/>
          <w:lang w:val="es-MX"/>
        </w:rPr>
        <w:t xml:space="preserve"> </w:t>
      </w:r>
      <w:r w:rsidRPr="00C31EA6">
        <w:rPr>
          <w:rFonts w:ascii="Verdana" w:hAnsi="Verdana"/>
          <w:sz w:val="16"/>
          <w:szCs w:val="16"/>
        </w:rPr>
        <w:t xml:space="preserve">Escrito </w:t>
      </w:r>
      <w:r>
        <w:rPr>
          <w:rFonts w:ascii="Verdana" w:hAnsi="Verdana"/>
          <w:sz w:val="16"/>
          <w:szCs w:val="16"/>
        </w:rPr>
        <w:t>de observaciones de las representantes de</w:t>
      </w:r>
      <w:r w:rsidRPr="00C31EA6">
        <w:rPr>
          <w:rFonts w:ascii="Verdana" w:hAnsi="Verdana"/>
          <w:sz w:val="16"/>
          <w:szCs w:val="16"/>
        </w:rPr>
        <w:t xml:space="preserve"> 15 de noviembre de 2019. </w:t>
      </w:r>
    </w:p>
  </w:footnote>
  <w:footnote w:id="31">
    <w:p w14:paraId="4A7B0CED" w14:textId="2D365B49" w:rsidR="004D1244" w:rsidRPr="00D73249" w:rsidRDefault="004D1244" w:rsidP="00926BC0">
      <w:pPr>
        <w:pStyle w:val="Textonotapie"/>
        <w:jc w:val="both"/>
        <w:rPr>
          <w:rFonts w:ascii="Verdana" w:hAnsi="Verdana"/>
          <w:sz w:val="16"/>
          <w:szCs w:val="16"/>
        </w:rPr>
      </w:pPr>
      <w:r w:rsidRPr="00D73249">
        <w:rPr>
          <w:rStyle w:val="Refdenotaalpie"/>
          <w:rFonts w:ascii="Verdana" w:hAnsi="Verdana"/>
          <w:sz w:val="16"/>
          <w:szCs w:val="16"/>
        </w:rPr>
        <w:footnoteRef/>
      </w:r>
      <w:r w:rsidRPr="00D73249">
        <w:rPr>
          <w:rFonts w:ascii="Verdana" w:hAnsi="Verdana"/>
          <w:sz w:val="16"/>
          <w:szCs w:val="16"/>
        </w:rPr>
        <w:t xml:space="preserve"> </w:t>
      </w:r>
      <w:r w:rsidRPr="00D73249">
        <w:rPr>
          <w:rFonts w:ascii="Verdana" w:hAnsi="Verdana"/>
          <w:sz w:val="16"/>
          <w:szCs w:val="16"/>
        </w:rPr>
        <w:tab/>
      </w:r>
      <w:r>
        <w:rPr>
          <w:rFonts w:ascii="Verdana" w:hAnsi="Verdana"/>
          <w:sz w:val="16"/>
          <w:szCs w:val="16"/>
        </w:rPr>
        <w:t>México</w:t>
      </w:r>
      <w:r w:rsidRPr="00D73249">
        <w:rPr>
          <w:rFonts w:ascii="Verdana" w:hAnsi="Verdana"/>
          <w:sz w:val="16"/>
          <w:szCs w:val="16"/>
        </w:rPr>
        <w:t xml:space="preserve"> hizo referencia a las reuniones celebradas el 11 de junio, 4 de julio, 4 de septiembre y 26 de noviembre de 20</w:t>
      </w:r>
      <w:r>
        <w:rPr>
          <w:rFonts w:ascii="Verdana" w:hAnsi="Verdana"/>
          <w:sz w:val="16"/>
          <w:szCs w:val="16"/>
        </w:rPr>
        <w:t>19.</w:t>
      </w:r>
      <w:r w:rsidRPr="00D73249">
        <w:rPr>
          <w:rFonts w:ascii="Verdana" w:hAnsi="Verdana"/>
          <w:sz w:val="16"/>
          <w:szCs w:val="16"/>
        </w:rPr>
        <w:t xml:space="preserve"> </w:t>
      </w:r>
      <w:r>
        <w:rPr>
          <w:rFonts w:ascii="Verdana" w:hAnsi="Verdana"/>
          <w:sz w:val="16"/>
          <w:szCs w:val="16"/>
        </w:rPr>
        <w:t>La</w:t>
      </w:r>
      <w:r w:rsidRPr="00D73249">
        <w:rPr>
          <w:rFonts w:ascii="Verdana" w:hAnsi="Verdana"/>
          <w:sz w:val="16"/>
          <w:szCs w:val="16"/>
        </w:rPr>
        <w:t>s representantes se refirieron a la reunión del 11 junio de 2019</w:t>
      </w:r>
      <w:r>
        <w:rPr>
          <w:rFonts w:ascii="Verdana" w:hAnsi="Verdana"/>
          <w:sz w:val="16"/>
          <w:szCs w:val="16"/>
        </w:rPr>
        <w:t>,</w:t>
      </w:r>
      <w:r w:rsidRPr="00D73249">
        <w:rPr>
          <w:rFonts w:ascii="Verdana" w:hAnsi="Verdana"/>
          <w:sz w:val="16"/>
          <w:szCs w:val="16"/>
        </w:rPr>
        <w:t xml:space="preserve"> así como a “reuniones puntuales sostenidas de manera mensual en julio, agosto y septiembre</w:t>
      </w:r>
      <w:r w:rsidRPr="00AA390C">
        <w:rPr>
          <w:rFonts w:ascii="Verdana" w:hAnsi="Verdana"/>
          <w:sz w:val="16"/>
          <w:szCs w:val="16"/>
          <w:lang w:val="es-MX"/>
        </w:rPr>
        <w:t>”</w:t>
      </w:r>
      <w:r w:rsidRPr="00D73249">
        <w:rPr>
          <w:rFonts w:ascii="Verdana" w:hAnsi="Verdana"/>
          <w:sz w:val="16"/>
          <w:szCs w:val="16"/>
        </w:rPr>
        <w:t xml:space="preserve"> de 2019. </w:t>
      </w:r>
      <w:r w:rsidRPr="00AA390C">
        <w:rPr>
          <w:rFonts w:ascii="Verdana" w:hAnsi="Verdana"/>
          <w:i/>
          <w:sz w:val="16"/>
          <w:szCs w:val="16"/>
          <w:lang w:val="es-MX"/>
        </w:rPr>
        <w:t>Cfr.</w:t>
      </w:r>
      <w:r>
        <w:rPr>
          <w:rFonts w:ascii="Verdana" w:hAnsi="Verdana"/>
          <w:i/>
          <w:sz w:val="16"/>
          <w:szCs w:val="16"/>
          <w:lang w:val="es-MX"/>
        </w:rPr>
        <w:t xml:space="preserve"> </w:t>
      </w:r>
      <w:r w:rsidRPr="00D73249">
        <w:rPr>
          <w:rFonts w:ascii="Verdana" w:hAnsi="Verdana"/>
          <w:sz w:val="16"/>
          <w:szCs w:val="16"/>
        </w:rPr>
        <w:t>Informes estatales de 26 de agosto y 23 de diciembre de 2019 y escrito</w:t>
      </w:r>
      <w:r>
        <w:rPr>
          <w:rFonts w:ascii="Verdana" w:hAnsi="Verdana"/>
          <w:sz w:val="16"/>
          <w:szCs w:val="16"/>
          <w:lang w:val="es-MX"/>
        </w:rPr>
        <w:t>s</w:t>
      </w:r>
      <w:r w:rsidRPr="00D73249">
        <w:rPr>
          <w:rFonts w:ascii="Verdana" w:hAnsi="Verdana"/>
          <w:sz w:val="16"/>
          <w:szCs w:val="16"/>
        </w:rPr>
        <w:t xml:space="preserve"> </w:t>
      </w:r>
      <w:r>
        <w:rPr>
          <w:rFonts w:ascii="Verdana" w:hAnsi="Verdana"/>
          <w:sz w:val="16"/>
          <w:szCs w:val="16"/>
        </w:rPr>
        <w:t>de observaciones de las representantes de</w:t>
      </w:r>
      <w:r w:rsidRPr="00D73249">
        <w:rPr>
          <w:rFonts w:ascii="Verdana" w:hAnsi="Verdana"/>
          <w:sz w:val="16"/>
          <w:szCs w:val="16"/>
        </w:rPr>
        <w:t xml:space="preserve"> 15 de noviembre de 2019</w:t>
      </w:r>
      <w:r>
        <w:rPr>
          <w:rFonts w:ascii="Verdana" w:hAnsi="Verdana"/>
          <w:sz w:val="16"/>
          <w:szCs w:val="16"/>
          <w:lang w:val="es-MX"/>
        </w:rPr>
        <w:t xml:space="preserve"> y 26 de febrero de 2020</w:t>
      </w:r>
      <w:r w:rsidRPr="00D73249">
        <w:rPr>
          <w:rFonts w:ascii="Verdana" w:hAnsi="Verdana"/>
          <w:sz w:val="16"/>
          <w:szCs w:val="16"/>
        </w:rPr>
        <w:t xml:space="preserve">. </w:t>
      </w:r>
    </w:p>
  </w:footnote>
  <w:footnote w:id="32">
    <w:p w14:paraId="6DABAFBE" w14:textId="0CE460E4" w:rsidR="004D1244" w:rsidRPr="00731F66" w:rsidRDefault="004D1244" w:rsidP="00926BC0">
      <w:pPr>
        <w:pStyle w:val="Textonotapie"/>
        <w:jc w:val="both"/>
        <w:rPr>
          <w:rFonts w:ascii="Verdana" w:hAnsi="Verdana"/>
          <w:sz w:val="16"/>
          <w:szCs w:val="16"/>
          <w:lang w:val="es-MX"/>
        </w:rPr>
      </w:pPr>
      <w:r w:rsidRPr="0075188C">
        <w:rPr>
          <w:rStyle w:val="Refdenotaalpie"/>
          <w:rFonts w:ascii="Verdana" w:hAnsi="Verdana"/>
          <w:sz w:val="16"/>
          <w:szCs w:val="16"/>
        </w:rPr>
        <w:footnoteRef/>
      </w:r>
      <w:r w:rsidRPr="0075188C">
        <w:rPr>
          <w:rFonts w:ascii="Verdana" w:hAnsi="Verdana"/>
          <w:sz w:val="16"/>
          <w:szCs w:val="16"/>
        </w:rPr>
        <w:t xml:space="preserve"> </w:t>
      </w:r>
      <w:r w:rsidRPr="0075188C">
        <w:rPr>
          <w:rFonts w:ascii="Verdana" w:hAnsi="Verdana"/>
          <w:sz w:val="16"/>
          <w:szCs w:val="16"/>
        </w:rPr>
        <w:tab/>
      </w:r>
      <w:r>
        <w:rPr>
          <w:rFonts w:ascii="Verdana" w:hAnsi="Verdana"/>
          <w:sz w:val="16"/>
          <w:szCs w:val="16"/>
        </w:rPr>
        <w:t xml:space="preserve">Según lo informado por las representantes, lo cual no fue objetado por el Estado, </w:t>
      </w:r>
      <w:r w:rsidRPr="0075188C">
        <w:rPr>
          <w:rFonts w:ascii="Verdana" w:hAnsi="Verdana"/>
          <w:sz w:val="16"/>
          <w:szCs w:val="16"/>
          <w:lang w:val="es-MX"/>
        </w:rPr>
        <w:t>“se trabajó una propuesta de lineamientos para la atención médica, psicológica y/o psiquiátrica, por las mujeres y sus representantes, junto con</w:t>
      </w:r>
      <w:r>
        <w:rPr>
          <w:rFonts w:ascii="Verdana" w:hAnsi="Verdana"/>
          <w:sz w:val="16"/>
          <w:szCs w:val="16"/>
          <w:lang w:val="es-MX"/>
        </w:rPr>
        <w:t xml:space="preserve"> </w:t>
      </w:r>
      <w:r w:rsidRPr="0075188C">
        <w:rPr>
          <w:rFonts w:ascii="Verdana" w:hAnsi="Verdana"/>
          <w:sz w:val="16"/>
          <w:szCs w:val="16"/>
          <w:lang w:val="es-MX"/>
        </w:rPr>
        <w:t>las autoridades involucradas”</w:t>
      </w:r>
      <w:r>
        <w:rPr>
          <w:rFonts w:ascii="Verdana" w:hAnsi="Verdana"/>
          <w:sz w:val="16"/>
          <w:szCs w:val="16"/>
          <w:lang w:val="es-MX"/>
        </w:rPr>
        <w:t>, respecto de la cual</w:t>
      </w:r>
      <w:r w:rsidRPr="0075188C">
        <w:rPr>
          <w:rFonts w:ascii="Verdana" w:hAnsi="Verdana"/>
          <w:sz w:val="16"/>
          <w:szCs w:val="16"/>
          <w:lang w:val="es-MX"/>
        </w:rPr>
        <w:t xml:space="preserve"> “desde octubre ya se cuenta con un borrador final, […] a la espera de que sea firmado por la autoridad respectiva”. Escrito </w:t>
      </w:r>
      <w:r>
        <w:rPr>
          <w:rFonts w:ascii="Verdana" w:hAnsi="Verdana"/>
          <w:sz w:val="16"/>
          <w:szCs w:val="16"/>
          <w:lang w:val="es-MX"/>
        </w:rPr>
        <w:t>de observaciones de las representantes de</w:t>
      </w:r>
      <w:r w:rsidRPr="0075188C">
        <w:rPr>
          <w:rFonts w:ascii="Verdana" w:hAnsi="Verdana"/>
          <w:sz w:val="16"/>
          <w:szCs w:val="16"/>
          <w:lang w:val="es-MX"/>
        </w:rPr>
        <w:t xml:space="preserve"> 15 de noviembre de 2019.</w:t>
      </w:r>
      <w:r>
        <w:rPr>
          <w:lang w:val="es-MX"/>
        </w:rPr>
        <w:t xml:space="preserve"> </w:t>
      </w:r>
    </w:p>
  </w:footnote>
  <w:footnote w:id="33">
    <w:p w14:paraId="6E820F72" w14:textId="79749074" w:rsidR="004D1244" w:rsidRPr="0075188C" w:rsidRDefault="004D1244" w:rsidP="00926BC0">
      <w:pPr>
        <w:pStyle w:val="Textonotapie"/>
        <w:jc w:val="both"/>
        <w:rPr>
          <w:rFonts w:ascii="Verdana" w:hAnsi="Verdana"/>
          <w:sz w:val="16"/>
          <w:szCs w:val="16"/>
        </w:rPr>
      </w:pPr>
      <w:r w:rsidRPr="003B5E6B">
        <w:rPr>
          <w:rStyle w:val="Refdenotaalpie"/>
          <w:rFonts w:ascii="Verdana" w:hAnsi="Verdana"/>
          <w:sz w:val="16"/>
          <w:szCs w:val="16"/>
        </w:rPr>
        <w:footnoteRef/>
      </w:r>
      <w:r w:rsidRPr="003B5E6B">
        <w:rPr>
          <w:rFonts w:ascii="Verdana" w:hAnsi="Verdana"/>
          <w:sz w:val="16"/>
          <w:szCs w:val="16"/>
        </w:rPr>
        <w:t xml:space="preserve"> </w:t>
      </w:r>
      <w:r w:rsidRPr="003B5E6B">
        <w:rPr>
          <w:rFonts w:ascii="Verdana" w:hAnsi="Verdana"/>
          <w:sz w:val="16"/>
          <w:szCs w:val="16"/>
        </w:rPr>
        <w:tab/>
      </w:r>
      <w:r w:rsidRPr="00A20D37">
        <w:rPr>
          <w:rFonts w:ascii="Verdana" w:hAnsi="Verdana"/>
          <w:i/>
          <w:sz w:val="16"/>
          <w:szCs w:val="16"/>
          <w:lang w:val="es-MX"/>
        </w:rPr>
        <w:t>Cfr.</w:t>
      </w:r>
      <w:r>
        <w:rPr>
          <w:rFonts w:ascii="Verdana" w:hAnsi="Verdana"/>
          <w:i/>
          <w:sz w:val="16"/>
          <w:szCs w:val="16"/>
          <w:lang w:val="es-MX"/>
        </w:rPr>
        <w:t xml:space="preserve"> </w:t>
      </w:r>
      <w:r>
        <w:rPr>
          <w:rFonts w:ascii="Verdana" w:hAnsi="Verdana"/>
          <w:sz w:val="16"/>
          <w:szCs w:val="16"/>
        </w:rPr>
        <w:t xml:space="preserve">Informes estatales de 26 de agosto y 23 de diciembre de 2019. </w:t>
      </w:r>
      <w:r w:rsidRPr="003B5E6B">
        <w:rPr>
          <w:rFonts w:ascii="Verdana" w:hAnsi="Verdana"/>
          <w:sz w:val="16"/>
          <w:szCs w:val="16"/>
        </w:rPr>
        <w:t>El Estado precisó que “</w:t>
      </w:r>
      <w:r w:rsidRPr="003B5E6B">
        <w:rPr>
          <w:rFonts w:ascii="Verdana" w:hAnsi="Verdana"/>
          <w:sz w:val="16"/>
          <w:szCs w:val="16"/>
          <w:lang w:val="es-ES"/>
        </w:rPr>
        <w:t xml:space="preserve">[e]l objetivo del documento en mención, es dar cuenta de los compromisos y obligaciones de las instituciones del Estado mexicano para dar cabal cumplimiento a lo ordenado por la Corte IDH, en apego a cada uno de los elementos enunciados en el párrafo 341 de la sentencia, lo cual se hará conforme a los más altos estándares nacionales e internacionales de reparación a las víctimas de tortura, con el propósito de garantizar que la atención recibida por las víctimas tenga el efecto más reparador posible, mismo que cubrirá los siguientes parámetros: i) Atención adecuada; </w:t>
      </w:r>
      <w:proofErr w:type="spellStart"/>
      <w:r w:rsidRPr="003B5E6B">
        <w:rPr>
          <w:rFonts w:ascii="Verdana" w:hAnsi="Verdana"/>
          <w:sz w:val="16"/>
          <w:szCs w:val="16"/>
          <w:lang w:val="es-ES"/>
        </w:rPr>
        <w:t>ii</w:t>
      </w:r>
      <w:proofErr w:type="spellEnd"/>
      <w:r w:rsidRPr="003B5E6B">
        <w:rPr>
          <w:rFonts w:ascii="Verdana" w:hAnsi="Verdana"/>
          <w:sz w:val="16"/>
          <w:szCs w:val="16"/>
          <w:lang w:val="es-ES"/>
        </w:rPr>
        <w:t xml:space="preserve">) Que atienda a sus especificidades de género y antecedentes; </w:t>
      </w:r>
      <w:proofErr w:type="spellStart"/>
      <w:r w:rsidRPr="003B5E6B">
        <w:rPr>
          <w:rFonts w:ascii="Verdana" w:hAnsi="Verdana"/>
          <w:sz w:val="16"/>
          <w:szCs w:val="16"/>
          <w:lang w:val="es-ES"/>
        </w:rPr>
        <w:t>iii</w:t>
      </w:r>
      <w:proofErr w:type="spellEnd"/>
      <w:r w:rsidRPr="003B5E6B">
        <w:rPr>
          <w:rFonts w:ascii="Verdana" w:hAnsi="Verdana"/>
          <w:sz w:val="16"/>
          <w:szCs w:val="16"/>
          <w:lang w:val="es-ES"/>
        </w:rPr>
        <w:t xml:space="preserve">) Gratuita, y </w:t>
      </w:r>
      <w:proofErr w:type="spellStart"/>
      <w:r w:rsidRPr="003B5E6B">
        <w:rPr>
          <w:rFonts w:ascii="Verdana" w:hAnsi="Verdana"/>
          <w:sz w:val="16"/>
          <w:szCs w:val="16"/>
          <w:lang w:val="es-ES"/>
        </w:rPr>
        <w:t>iv</w:t>
      </w:r>
      <w:proofErr w:type="spellEnd"/>
      <w:r w:rsidRPr="003B5E6B">
        <w:rPr>
          <w:rFonts w:ascii="Verdana" w:hAnsi="Verdana"/>
          <w:sz w:val="16"/>
          <w:szCs w:val="16"/>
          <w:lang w:val="es-ES"/>
        </w:rPr>
        <w:t>) De forma prioritaria”.</w:t>
      </w:r>
    </w:p>
  </w:footnote>
  <w:footnote w:id="34">
    <w:p w14:paraId="0E977956" w14:textId="53454320" w:rsidR="004D1244" w:rsidRPr="00AE448D" w:rsidRDefault="004D1244" w:rsidP="00926BC0">
      <w:pPr>
        <w:pStyle w:val="Textonotapie"/>
        <w:jc w:val="both"/>
        <w:rPr>
          <w:rFonts w:ascii="Verdana" w:hAnsi="Verdana"/>
          <w:sz w:val="16"/>
          <w:szCs w:val="16"/>
        </w:rPr>
      </w:pPr>
      <w:r w:rsidRPr="00AE448D">
        <w:rPr>
          <w:rStyle w:val="Refdenotaalpie"/>
          <w:rFonts w:ascii="Verdana" w:hAnsi="Verdana"/>
          <w:sz w:val="16"/>
          <w:szCs w:val="16"/>
        </w:rPr>
        <w:footnoteRef/>
      </w:r>
      <w:r w:rsidRPr="00AE448D">
        <w:rPr>
          <w:rFonts w:ascii="Verdana" w:hAnsi="Verdana"/>
          <w:sz w:val="16"/>
          <w:szCs w:val="16"/>
        </w:rPr>
        <w:t xml:space="preserve"> </w:t>
      </w:r>
      <w:r w:rsidRPr="00AE448D">
        <w:rPr>
          <w:rFonts w:ascii="Verdana" w:hAnsi="Verdana"/>
          <w:sz w:val="16"/>
          <w:szCs w:val="16"/>
        </w:rPr>
        <w:tab/>
      </w:r>
      <w:r>
        <w:rPr>
          <w:rFonts w:ascii="Verdana" w:hAnsi="Verdana"/>
          <w:sz w:val="16"/>
          <w:szCs w:val="16"/>
        </w:rPr>
        <w:t xml:space="preserve">Informe estatal de 23 de diciembre de 2019. </w:t>
      </w:r>
    </w:p>
  </w:footnote>
  <w:footnote w:id="35">
    <w:p w14:paraId="64168187" w14:textId="23AA472F" w:rsidR="004D1244" w:rsidRPr="00987960" w:rsidRDefault="004D1244" w:rsidP="00926BC0">
      <w:pPr>
        <w:pStyle w:val="Textonotapie"/>
        <w:jc w:val="both"/>
        <w:rPr>
          <w:rFonts w:ascii="Verdana" w:hAnsi="Verdana"/>
          <w:sz w:val="16"/>
          <w:szCs w:val="16"/>
          <w:lang w:val="es-CR"/>
        </w:rPr>
      </w:pPr>
      <w:r w:rsidRPr="009063A3">
        <w:rPr>
          <w:rStyle w:val="Refdenotaalpie"/>
          <w:rFonts w:ascii="Verdana" w:hAnsi="Verdana"/>
          <w:sz w:val="16"/>
          <w:szCs w:val="16"/>
        </w:rPr>
        <w:footnoteRef/>
      </w:r>
      <w:r w:rsidRPr="009063A3">
        <w:rPr>
          <w:rFonts w:ascii="Verdana" w:hAnsi="Verdana"/>
          <w:sz w:val="16"/>
          <w:szCs w:val="16"/>
        </w:rPr>
        <w:t xml:space="preserve"> </w:t>
      </w:r>
      <w:r w:rsidRPr="009063A3">
        <w:rPr>
          <w:rFonts w:ascii="Verdana" w:hAnsi="Verdana"/>
          <w:sz w:val="16"/>
          <w:szCs w:val="16"/>
        </w:rPr>
        <w:tab/>
        <w:t xml:space="preserve">Escrito </w:t>
      </w:r>
      <w:r>
        <w:rPr>
          <w:rFonts w:ascii="Verdana" w:hAnsi="Verdana"/>
          <w:sz w:val="16"/>
          <w:szCs w:val="16"/>
        </w:rPr>
        <w:t>de observaciones de las representantes de</w:t>
      </w:r>
      <w:r w:rsidRPr="009063A3">
        <w:rPr>
          <w:rFonts w:ascii="Verdana" w:hAnsi="Verdana"/>
          <w:sz w:val="16"/>
          <w:szCs w:val="16"/>
        </w:rPr>
        <w:t xml:space="preserve"> 26 de febrero de 2020. </w:t>
      </w:r>
      <w:r>
        <w:rPr>
          <w:rFonts w:ascii="Verdana" w:hAnsi="Verdana"/>
          <w:sz w:val="16"/>
          <w:szCs w:val="16"/>
        </w:rPr>
        <w:t>En dicha oportunidad, las representantes remarcaron que la diversidad de</w:t>
      </w:r>
      <w:r w:rsidRPr="0064491B">
        <w:rPr>
          <w:rFonts w:ascii="Verdana" w:hAnsi="Verdana"/>
          <w:sz w:val="16"/>
          <w:szCs w:val="16"/>
        </w:rPr>
        <w:t xml:space="preserve"> </w:t>
      </w:r>
      <w:r>
        <w:rPr>
          <w:rFonts w:ascii="Verdana" w:hAnsi="Verdana"/>
          <w:sz w:val="16"/>
          <w:szCs w:val="16"/>
        </w:rPr>
        <w:t>“</w:t>
      </w:r>
      <w:r w:rsidRPr="0064491B">
        <w:rPr>
          <w:rFonts w:ascii="Verdana" w:hAnsi="Verdana"/>
          <w:sz w:val="16"/>
          <w:szCs w:val="16"/>
        </w:rPr>
        <w:t>instituciones implicadas en brindar y atender necesidades de salud</w:t>
      </w:r>
      <w:r>
        <w:rPr>
          <w:rFonts w:ascii="Verdana" w:hAnsi="Verdana"/>
          <w:sz w:val="16"/>
          <w:szCs w:val="16"/>
        </w:rPr>
        <w:t>” en este caso fue uno de los elementos principales por los cuales las partes decidieron “</w:t>
      </w:r>
      <w:r w:rsidRPr="0064491B">
        <w:rPr>
          <w:rFonts w:ascii="Verdana" w:hAnsi="Verdana"/>
          <w:sz w:val="16"/>
          <w:szCs w:val="16"/>
        </w:rPr>
        <w:t>plasmar en un documento</w:t>
      </w:r>
      <w:r>
        <w:rPr>
          <w:rFonts w:ascii="Verdana" w:hAnsi="Verdana"/>
          <w:sz w:val="16"/>
          <w:szCs w:val="16"/>
        </w:rPr>
        <w:t>”</w:t>
      </w:r>
      <w:r w:rsidRPr="0064491B">
        <w:rPr>
          <w:rFonts w:ascii="Verdana" w:hAnsi="Verdana"/>
          <w:sz w:val="16"/>
          <w:szCs w:val="16"/>
        </w:rPr>
        <w:t xml:space="preserve"> los lineamientos para el cumplimiento de la presente medida</w:t>
      </w:r>
      <w:r>
        <w:rPr>
          <w:rFonts w:ascii="Verdana" w:hAnsi="Verdana"/>
          <w:sz w:val="16"/>
          <w:szCs w:val="16"/>
        </w:rPr>
        <w:t xml:space="preserve">. Con el fin de ilustrar la importancia del esquema interinstitucional acordado, resaltaron que, </w:t>
      </w:r>
      <w:r w:rsidRPr="00987960">
        <w:rPr>
          <w:rFonts w:ascii="Verdana" w:hAnsi="Verdana"/>
          <w:sz w:val="16"/>
          <w:szCs w:val="16"/>
          <w:lang w:val="es-MX"/>
        </w:rPr>
        <w:t xml:space="preserve">en algunos casos, las instituciones públicas designadas para coordinar la atención médica de cada una de las víctimas les </w:t>
      </w:r>
      <w:r>
        <w:rPr>
          <w:rFonts w:ascii="Verdana" w:hAnsi="Verdana"/>
          <w:sz w:val="16"/>
          <w:szCs w:val="16"/>
          <w:lang w:val="es-MX"/>
        </w:rPr>
        <w:t>habían recetado</w:t>
      </w:r>
      <w:r w:rsidRPr="00987960">
        <w:rPr>
          <w:rFonts w:ascii="Verdana" w:hAnsi="Verdana"/>
          <w:sz w:val="16"/>
          <w:szCs w:val="16"/>
          <w:lang w:val="es-MX"/>
        </w:rPr>
        <w:t xml:space="preserve"> “medicamentos u otros tratamientos con los que no c[</w:t>
      </w:r>
      <w:proofErr w:type="spellStart"/>
      <w:r w:rsidRPr="00987960">
        <w:rPr>
          <w:rFonts w:ascii="Verdana" w:hAnsi="Verdana"/>
          <w:sz w:val="16"/>
          <w:szCs w:val="16"/>
          <w:lang w:val="es-MX"/>
        </w:rPr>
        <w:t>ontaba</w:t>
      </w:r>
      <w:proofErr w:type="spellEnd"/>
      <w:r w:rsidRPr="00987960">
        <w:rPr>
          <w:rFonts w:ascii="Verdana" w:hAnsi="Verdana"/>
          <w:sz w:val="16"/>
          <w:szCs w:val="16"/>
          <w:lang w:val="es-MX"/>
        </w:rPr>
        <w:t>] [dicha] institución y/o […] las instituciones públicas en general”, siendo entonces “necesaria la compra de medicamentos o materiales en farmacias particulares mediante reembolso por la [Comisión Eje</w:t>
      </w:r>
      <w:r>
        <w:rPr>
          <w:rFonts w:ascii="Verdana" w:hAnsi="Verdana"/>
          <w:sz w:val="16"/>
          <w:szCs w:val="16"/>
          <w:lang w:val="es-MX"/>
        </w:rPr>
        <w:t>cutiva de Atención a Víctimas]”.</w:t>
      </w:r>
    </w:p>
  </w:footnote>
  <w:footnote w:id="36">
    <w:p w14:paraId="1A69AEC5" w14:textId="5B7121F9" w:rsidR="004D1244" w:rsidRPr="00541062" w:rsidRDefault="004D1244" w:rsidP="003A66F3">
      <w:pPr>
        <w:pStyle w:val="Textonotapie"/>
        <w:jc w:val="both"/>
        <w:rPr>
          <w:rFonts w:ascii="Verdana" w:hAnsi="Verdana"/>
          <w:b/>
          <w:sz w:val="16"/>
          <w:szCs w:val="16"/>
          <w:lang w:val="es-MX"/>
        </w:rPr>
      </w:pPr>
      <w:r w:rsidRPr="00667321">
        <w:rPr>
          <w:rStyle w:val="Refdenotaalpie"/>
          <w:rFonts w:ascii="Verdana" w:hAnsi="Verdana"/>
          <w:sz w:val="16"/>
          <w:szCs w:val="16"/>
        </w:rPr>
        <w:footnoteRef/>
      </w:r>
      <w:r w:rsidRPr="00667321">
        <w:rPr>
          <w:rFonts w:ascii="Verdana" w:hAnsi="Verdana"/>
          <w:sz w:val="16"/>
          <w:szCs w:val="16"/>
        </w:rPr>
        <w:t xml:space="preserve"> </w:t>
      </w:r>
      <w:r w:rsidRPr="00667321">
        <w:rPr>
          <w:rFonts w:ascii="Verdana" w:hAnsi="Verdana"/>
          <w:sz w:val="16"/>
          <w:szCs w:val="16"/>
        </w:rPr>
        <w:tab/>
      </w:r>
      <w:r>
        <w:rPr>
          <w:rFonts w:ascii="Verdana" w:hAnsi="Verdana"/>
          <w:sz w:val="16"/>
          <w:szCs w:val="16"/>
          <w:lang w:val="es-MX"/>
        </w:rPr>
        <w:t xml:space="preserve">Escrito de observaciones de la Comisión de 26 de mayo de 2020. </w:t>
      </w:r>
      <w:r w:rsidRPr="00667321">
        <w:rPr>
          <w:rFonts w:ascii="Verdana" w:hAnsi="Verdana"/>
          <w:sz w:val="16"/>
          <w:szCs w:val="16"/>
        </w:rPr>
        <w:t>En particular, hizo referencia a “la creación de un grupo interdisciplinario de trabajo, una serie de reuniones de trabajo entre los representantes y las autoridades del sector de salud, a fin de acordar criterios de atención y la activación de la ruta de salud de casi la totalidad de las víctimas”.</w:t>
      </w:r>
      <w:r>
        <w:rPr>
          <w:rFonts w:ascii="Verdana" w:hAnsi="Verdana"/>
          <w:sz w:val="16"/>
          <w:szCs w:val="16"/>
          <w:lang w:val="es-MX"/>
        </w:rPr>
        <w:t xml:space="preserve"> </w:t>
      </w:r>
    </w:p>
  </w:footnote>
  <w:footnote w:id="37">
    <w:p w14:paraId="6F3C4773" w14:textId="5679AC8A" w:rsidR="004D1244" w:rsidRPr="003C0613" w:rsidRDefault="004D1244" w:rsidP="003C0613">
      <w:pPr>
        <w:pStyle w:val="Textonotapie"/>
        <w:jc w:val="both"/>
        <w:rPr>
          <w:rFonts w:ascii="Verdana" w:hAnsi="Verdana"/>
          <w:sz w:val="16"/>
          <w:szCs w:val="16"/>
        </w:rPr>
      </w:pPr>
      <w:r w:rsidRPr="003C0613">
        <w:rPr>
          <w:rStyle w:val="Refdenotaalpie"/>
          <w:rFonts w:ascii="Verdana" w:hAnsi="Verdana"/>
          <w:sz w:val="16"/>
          <w:szCs w:val="16"/>
        </w:rPr>
        <w:footnoteRef/>
      </w:r>
      <w:r w:rsidRPr="003C0613">
        <w:rPr>
          <w:rFonts w:ascii="Verdana" w:hAnsi="Verdana"/>
          <w:sz w:val="16"/>
          <w:szCs w:val="16"/>
        </w:rPr>
        <w:t xml:space="preserve"> </w:t>
      </w:r>
      <w:r w:rsidRPr="003C0613">
        <w:rPr>
          <w:rFonts w:ascii="Verdana" w:hAnsi="Verdana"/>
          <w:sz w:val="16"/>
          <w:szCs w:val="16"/>
        </w:rPr>
        <w:tab/>
      </w:r>
      <w:r w:rsidRPr="003C0613">
        <w:rPr>
          <w:rFonts w:ascii="Verdana" w:hAnsi="Verdana"/>
          <w:i/>
          <w:sz w:val="16"/>
          <w:szCs w:val="16"/>
        </w:rPr>
        <w:t xml:space="preserve">Cfr. </w:t>
      </w:r>
      <w:r w:rsidRPr="003C0613">
        <w:rPr>
          <w:rFonts w:ascii="Verdana" w:hAnsi="Verdana"/>
          <w:sz w:val="16"/>
          <w:szCs w:val="16"/>
        </w:rPr>
        <w:t xml:space="preserve">Casos </w:t>
      </w:r>
      <w:r w:rsidRPr="00B42F79">
        <w:rPr>
          <w:rFonts w:ascii="Verdana" w:hAnsi="Verdana"/>
          <w:i/>
          <w:sz w:val="16"/>
          <w:szCs w:val="16"/>
        </w:rPr>
        <w:t>Fernández Ortega y otros y Rosendo Cantú y otra Vs. México</w:t>
      </w:r>
      <w:r w:rsidRPr="003C0613">
        <w:rPr>
          <w:rFonts w:ascii="Verdana" w:hAnsi="Verdana"/>
          <w:sz w:val="16"/>
          <w:szCs w:val="16"/>
        </w:rPr>
        <w:t xml:space="preserve">. </w:t>
      </w:r>
      <w:r w:rsidRPr="00B42F79">
        <w:rPr>
          <w:rFonts w:ascii="Verdana" w:hAnsi="Verdana"/>
          <w:i/>
          <w:sz w:val="16"/>
          <w:szCs w:val="16"/>
        </w:rPr>
        <w:t>Supervisión de cumplimiento de Sentencia</w:t>
      </w:r>
      <w:r w:rsidRPr="003C0613">
        <w:rPr>
          <w:rFonts w:ascii="Verdana" w:hAnsi="Verdana"/>
          <w:sz w:val="16"/>
          <w:szCs w:val="16"/>
        </w:rPr>
        <w:t>. Resolución de la Corte Interamericana de Derechos Humanos de 21 de noviembre de 2014, Considerando 20.</w:t>
      </w:r>
    </w:p>
  </w:footnote>
  <w:footnote w:id="38">
    <w:p w14:paraId="26A9A182" w14:textId="1A5C8C0B" w:rsidR="004D1244" w:rsidRPr="005C1CB7" w:rsidRDefault="004D1244" w:rsidP="005C1CB7">
      <w:pPr>
        <w:pStyle w:val="Textonotapie"/>
        <w:jc w:val="both"/>
        <w:rPr>
          <w:rFonts w:ascii="Verdana" w:hAnsi="Verdana"/>
          <w:sz w:val="16"/>
          <w:szCs w:val="16"/>
        </w:rPr>
      </w:pPr>
      <w:r w:rsidRPr="005C1CB7">
        <w:rPr>
          <w:rStyle w:val="Refdenotaalpie"/>
          <w:rFonts w:ascii="Verdana" w:hAnsi="Verdana"/>
          <w:sz w:val="16"/>
          <w:szCs w:val="16"/>
        </w:rPr>
        <w:footnoteRef/>
      </w:r>
      <w:r w:rsidRPr="005C1CB7">
        <w:rPr>
          <w:rFonts w:ascii="Verdana" w:hAnsi="Verdana"/>
          <w:sz w:val="16"/>
          <w:szCs w:val="16"/>
        </w:rPr>
        <w:t xml:space="preserve"> </w:t>
      </w:r>
      <w:r>
        <w:rPr>
          <w:rFonts w:ascii="Verdana" w:hAnsi="Verdana"/>
          <w:sz w:val="16"/>
          <w:szCs w:val="16"/>
        </w:rPr>
        <w:tab/>
      </w:r>
      <w:r w:rsidRPr="005C1CB7">
        <w:rPr>
          <w:rFonts w:ascii="Verdana" w:hAnsi="Verdana" w:cs="Verdana"/>
          <w:sz w:val="16"/>
          <w:szCs w:val="16"/>
        </w:rPr>
        <w:t xml:space="preserve">Al respecto, el Tribunal detalló que el Estado debía “informar de forma inmediata […] una vez que </w:t>
      </w:r>
      <w:proofErr w:type="spellStart"/>
      <w:r w:rsidRPr="005C1CB7">
        <w:rPr>
          <w:rFonts w:ascii="Verdana" w:hAnsi="Verdana" w:cs="Verdana"/>
          <w:sz w:val="16"/>
          <w:szCs w:val="16"/>
        </w:rPr>
        <w:t>proced</w:t>
      </w:r>
      <w:proofErr w:type="spellEnd"/>
      <w:r w:rsidRPr="005C1CB7">
        <w:rPr>
          <w:rFonts w:ascii="Verdana" w:hAnsi="Verdana" w:cs="Verdana"/>
          <w:sz w:val="16"/>
          <w:szCs w:val="16"/>
        </w:rPr>
        <w:t>[</w:t>
      </w:r>
      <w:proofErr w:type="spellStart"/>
      <w:r w:rsidRPr="005C1CB7">
        <w:rPr>
          <w:rFonts w:ascii="Verdana" w:hAnsi="Verdana" w:cs="Verdana"/>
          <w:sz w:val="16"/>
          <w:szCs w:val="16"/>
        </w:rPr>
        <w:t>iera</w:t>
      </w:r>
      <w:proofErr w:type="spellEnd"/>
      <w:r w:rsidRPr="005C1CB7">
        <w:rPr>
          <w:rFonts w:ascii="Verdana" w:hAnsi="Verdana" w:cs="Verdana"/>
          <w:sz w:val="16"/>
          <w:szCs w:val="16"/>
        </w:rPr>
        <w:t>] a realizar cada una de las publicaciones dispuestas, independientemente del plazo de un año para presentar su primer informe dispuesto en la parte resolutiva de [la] Sentencia”.</w:t>
      </w:r>
    </w:p>
  </w:footnote>
  <w:footnote w:id="39">
    <w:p w14:paraId="019DEEE9" w14:textId="0174D086" w:rsidR="004D1244" w:rsidRPr="004A4374" w:rsidRDefault="004D1244" w:rsidP="004A4374">
      <w:pPr>
        <w:pStyle w:val="Textonotapie"/>
        <w:jc w:val="both"/>
        <w:rPr>
          <w:rFonts w:ascii="Verdana" w:hAnsi="Verdana"/>
          <w:sz w:val="16"/>
          <w:szCs w:val="16"/>
          <w:lang w:val="es-CR"/>
        </w:rPr>
      </w:pPr>
      <w:r w:rsidRPr="004A4374">
        <w:rPr>
          <w:rStyle w:val="Refdenotaalpie"/>
          <w:rFonts w:ascii="Verdana" w:hAnsi="Verdana"/>
          <w:sz w:val="16"/>
          <w:szCs w:val="16"/>
        </w:rPr>
        <w:footnoteRef/>
      </w:r>
      <w:r w:rsidRPr="004A4374">
        <w:rPr>
          <w:rFonts w:ascii="Verdana" w:hAnsi="Verdana"/>
          <w:sz w:val="16"/>
          <w:szCs w:val="16"/>
        </w:rPr>
        <w:t xml:space="preserve"> </w:t>
      </w:r>
      <w:r>
        <w:rPr>
          <w:rFonts w:ascii="Verdana" w:hAnsi="Verdana"/>
          <w:sz w:val="16"/>
          <w:szCs w:val="16"/>
        </w:rPr>
        <w:tab/>
      </w:r>
      <w:r>
        <w:rPr>
          <w:rFonts w:ascii="Verdana" w:hAnsi="Verdana"/>
          <w:sz w:val="16"/>
          <w:szCs w:val="16"/>
          <w:lang w:val="es-MX"/>
        </w:rPr>
        <w:t xml:space="preserve">Las representantes “valora[ron] </w:t>
      </w:r>
      <w:r w:rsidRPr="004A4374">
        <w:rPr>
          <w:rFonts w:ascii="Verdana" w:hAnsi="Verdana"/>
          <w:sz w:val="16"/>
          <w:szCs w:val="16"/>
          <w:lang w:val="es-CR"/>
        </w:rPr>
        <w:t>positivamente las ac</w:t>
      </w:r>
      <w:r>
        <w:rPr>
          <w:rFonts w:ascii="Verdana" w:hAnsi="Verdana"/>
          <w:sz w:val="16"/>
          <w:szCs w:val="16"/>
          <w:lang w:val="es-CR"/>
        </w:rPr>
        <w:t xml:space="preserve">ciones realizadas por el Estado </w:t>
      </w:r>
      <w:r w:rsidRPr="004A4374">
        <w:rPr>
          <w:rFonts w:ascii="Verdana" w:hAnsi="Verdana"/>
          <w:sz w:val="16"/>
          <w:szCs w:val="16"/>
          <w:lang w:val="es-CR"/>
        </w:rPr>
        <w:t>mexicano para cumplir con la medida en cuestión</w:t>
      </w:r>
      <w:r>
        <w:rPr>
          <w:rFonts w:ascii="Verdana" w:hAnsi="Verdana"/>
          <w:sz w:val="16"/>
          <w:szCs w:val="16"/>
          <w:lang w:val="es-CR"/>
        </w:rPr>
        <w:t xml:space="preserve">”, y “confirma[ron] </w:t>
      </w:r>
      <w:r w:rsidRPr="004A4374">
        <w:rPr>
          <w:rFonts w:ascii="Verdana" w:hAnsi="Verdana"/>
          <w:sz w:val="16"/>
          <w:szCs w:val="16"/>
          <w:lang w:val="es-CR"/>
        </w:rPr>
        <w:t>la realización de las publicaciones ordenadas en la Sentencia</w:t>
      </w:r>
      <w:r>
        <w:rPr>
          <w:rFonts w:ascii="Verdana" w:hAnsi="Verdana"/>
          <w:sz w:val="16"/>
          <w:szCs w:val="16"/>
          <w:lang w:val="es-CR"/>
        </w:rPr>
        <w:t>”</w:t>
      </w:r>
      <w:r w:rsidRPr="004A4374">
        <w:rPr>
          <w:rFonts w:ascii="Verdana" w:hAnsi="Verdana"/>
          <w:sz w:val="16"/>
          <w:szCs w:val="16"/>
          <w:lang w:val="es-CR"/>
        </w:rPr>
        <w:t>.</w:t>
      </w:r>
      <w:r>
        <w:rPr>
          <w:rFonts w:ascii="Verdana" w:hAnsi="Verdana"/>
          <w:sz w:val="16"/>
          <w:szCs w:val="16"/>
          <w:lang w:val="es-CR"/>
        </w:rPr>
        <w:t xml:space="preserve"> </w:t>
      </w:r>
      <w:r w:rsidRPr="00922ABF">
        <w:rPr>
          <w:rFonts w:ascii="Verdana" w:hAnsi="Verdana"/>
          <w:i/>
          <w:sz w:val="16"/>
          <w:szCs w:val="16"/>
          <w:lang w:val="es-CR"/>
        </w:rPr>
        <w:t>Cfr.</w:t>
      </w:r>
      <w:r>
        <w:rPr>
          <w:rFonts w:ascii="Verdana" w:hAnsi="Verdana"/>
          <w:sz w:val="16"/>
          <w:szCs w:val="16"/>
          <w:lang w:val="es-CR"/>
        </w:rPr>
        <w:t xml:space="preserve"> Escritos de observaciones de las representantes de 15 de noviembre de 2019 y 26 de febrero de 2020.</w:t>
      </w:r>
    </w:p>
  </w:footnote>
  <w:footnote w:id="40">
    <w:p w14:paraId="22E31792" w14:textId="7970620B" w:rsidR="004D1244" w:rsidRPr="004A4374" w:rsidRDefault="004D1244" w:rsidP="004A4374">
      <w:pPr>
        <w:pStyle w:val="Textonotapie"/>
        <w:jc w:val="both"/>
        <w:rPr>
          <w:rFonts w:ascii="Verdana" w:hAnsi="Verdana"/>
          <w:sz w:val="16"/>
          <w:szCs w:val="16"/>
          <w:lang w:val="es-MX"/>
        </w:rPr>
      </w:pPr>
      <w:r w:rsidRPr="004A4374">
        <w:rPr>
          <w:rStyle w:val="Refdenotaalpie"/>
          <w:rFonts w:ascii="Verdana" w:hAnsi="Verdana"/>
          <w:sz w:val="16"/>
          <w:szCs w:val="16"/>
        </w:rPr>
        <w:footnoteRef/>
      </w:r>
      <w:r w:rsidRPr="004A4374">
        <w:rPr>
          <w:rFonts w:ascii="Verdana" w:hAnsi="Verdana"/>
          <w:sz w:val="16"/>
          <w:szCs w:val="16"/>
        </w:rPr>
        <w:t xml:space="preserve"> </w:t>
      </w:r>
      <w:r>
        <w:rPr>
          <w:rFonts w:ascii="Verdana" w:hAnsi="Verdana"/>
          <w:sz w:val="16"/>
          <w:szCs w:val="16"/>
        </w:rPr>
        <w:tab/>
      </w:r>
      <w:r>
        <w:rPr>
          <w:rFonts w:ascii="Verdana" w:hAnsi="Verdana"/>
          <w:sz w:val="16"/>
          <w:szCs w:val="16"/>
          <w:lang w:val="es-MX"/>
        </w:rPr>
        <w:t xml:space="preserve">La Comisión consideró que “el Estado mexicano ha cumplido en su totalidad con esta medida de reparación”. </w:t>
      </w:r>
      <w:r w:rsidRPr="004A4374">
        <w:rPr>
          <w:rFonts w:ascii="Verdana" w:hAnsi="Verdana"/>
          <w:i/>
          <w:sz w:val="16"/>
          <w:szCs w:val="16"/>
          <w:lang w:val="es-MX"/>
        </w:rPr>
        <w:t>Cfr</w:t>
      </w:r>
      <w:r>
        <w:rPr>
          <w:rFonts w:ascii="Verdana" w:hAnsi="Verdana"/>
          <w:sz w:val="16"/>
          <w:szCs w:val="16"/>
          <w:lang w:val="es-MX"/>
        </w:rPr>
        <w:t>. Escrito de observaciones de la Comisión de 26 de mayo de 2020.</w:t>
      </w:r>
    </w:p>
  </w:footnote>
  <w:footnote w:id="41">
    <w:p w14:paraId="7D0BF4FB" w14:textId="0A45F164" w:rsidR="004D1244" w:rsidRPr="00FE0BC5" w:rsidRDefault="004D1244" w:rsidP="00FE0BC5">
      <w:pPr>
        <w:pStyle w:val="Textonotapie"/>
        <w:jc w:val="both"/>
        <w:rPr>
          <w:rFonts w:ascii="Verdana" w:hAnsi="Verdana"/>
          <w:sz w:val="16"/>
          <w:szCs w:val="16"/>
          <w:lang w:val="es-MX"/>
        </w:rPr>
      </w:pPr>
      <w:r w:rsidRPr="00FE0BC5">
        <w:rPr>
          <w:rStyle w:val="Refdenotaalpie"/>
          <w:rFonts w:ascii="Verdana" w:hAnsi="Verdana"/>
          <w:sz w:val="16"/>
          <w:szCs w:val="16"/>
        </w:rPr>
        <w:footnoteRef/>
      </w:r>
      <w:r w:rsidRPr="00FE0BC5">
        <w:rPr>
          <w:rFonts w:ascii="Verdana" w:hAnsi="Verdana"/>
          <w:sz w:val="16"/>
          <w:szCs w:val="16"/>
        </w:rPr>
        <w:t xml:space="preserve"> </w:t>
      </w:r>
      <w:r w:rsidRPr="00FE0BC5">
        <w:rPr>
          <w:rFonts w:ascii="Verdana" w:hAnsi="Verdana"/>
          <w:sz w:val="16"/>
          <w:szCs w:val="16"/>
        </w:rPr>
        <w:tab/>
      </w:r>
      <w:r w:rsidRPr="00BE7856">
        <w:rPr>
          <w:rFonts w:ascii="Verdana" w:hAnsi="Verdana"/>
          <w:i/>
          <w:sz w:val="16"/>
          <w:szCs w:val="16"/>
          <w:lang w:val="es-MX"/>
        </w:rPr>
        <w:t>Cfr.</w:t>
      </w:r>
      <w:r w:rsidRPr="00FE0BC5">
        <w:rPr>
          <w:rFonts w:ascii="Verdana" w:hAnsi="Verdana"/>
          <w:sz w:val="16"/>
          <w:szCs w:val="16"/>
          <w:lang w:val="es-MX"/>
        </w:rPr>
        <w:t xml:space="preserve"> Copia de la publicación realizada en el Diario Oficial </w:t>
      </w:r>
      <w:r>
        <w:rPr>
          <w:rFonts w:ascii="Verdana" w:hAnsi="Verdana"/>
          <w:sz w:val="16"/>
          <w:szCs w:val="16"/>
          <w:lang w:val="es-MX"/>
        </w:rPr>
        <w:t xml:space="preserve">de la Federación de 17 de mayo de 2019 </w:t>
      </w:r>
      <w:r w:rsidRPr="00BE7856">
        <w:rPr>
          <w:rFonts w:ascii="Verdana" w:hAnsi="Verdana"/>
          <w:sz w:val="16"/>
          <w:szCs w:val="16"/>
          <w:lang w:val="es-CR"/>
        </w:rPr>
        <w:t>(</w:t>
      </w:r>
      <w:r>
        <w:rPr>
          <w:rFonts w:ascii="Verdana" w:hAnsi="Verdana"/>
          <w:sz w:val="16"/>
          <w:szCs w:val="16"/>
          <w:lang w:val="es-CR"/>
        </w:rPr>
        <w:t>A</w:t>
      </w:r>
      <w:r w:rsidRPr="00BE7856">
        <w:rPr>
          <w:rFonts w:ascii="Verdana" w:hAnsi="Verdana"/>
          <w:sz w:val="16"/>
          <w:szCs w:val="16"/>
          <w:lang w:val="es-CR"/>
        </w:rPr>
        <w:t xml:space="preserve">nexo </w:t>
      </w:r>
      <w:r>
        <w:rPr>
          <w:rFonts w:ascii="Verdana" w:hAnsi="Verdana"/>
          <w:sz w:val="16"/>
          <w:szCs w:val="16"/>
          <w:lang w:val="es-CR"/>
        </w:rPr>
        <w:t>único</w:t>
      </w:r>
      <w:r w:rsidRPr="00BE7856">
        <w:rPr>
          <w:rFonts w:ascii="Verdana" w:hAnsi="Verdana"/>
          <w:sz w:val="16"/>
          <w:szCs w:val="16"/>
          <w:lang w:val="es-CR"/>
        </w:rPr>
        <w:t xml:space="preserve"> al informe estatal de </w:t>
      </w:r>
      <w:r>
        <w:rPr>
          <w:rFonts w:ascii="Verdana" w:hAnsi="Verdana"/>
          <w:sz w:val="16"/>
          <w:szCs w:val="16"/>
          <w:lang w:val="es-CR"/>
        </w:rPr>
        <w:t>21</w:t>
      </w:r>
      <w:r w:rsidRPr="00BE7856">
        <w:rPr>
          <w:rFonts w:ascii="Verdana" w:hAnsi="Verdana"/>
          <w:sz w:val="16"/>
          <w:szCs w:val="16"/>
          <w:lang w:val="es-CR"/>
        </w:rPr>
        <w:t xml:space="preserve"> de </w:t>
      </w:r>
      <w:r>
        <w:rPr>
          <w:rFonts w:ascii="Verdana" w:hAnsi="Verdana"/>
          <w:sz w:val="16"/>
          <w:szCs w:val="16"/>
          <w:lang w:val="es-CR"/>
        </w:rPr>
        <w:t>junio de 2019 y Anexo 2 al informe estatal de 26 de agosto de 2019</w:t>
      </w:r>
      <w:r w:rsidRPr="00BE7856">
        <w:rPr>
          <w:rFonts w:ascii="Verdana" w:hAnsi="Verdana"/>
          <w:sz w:val="16"/>
          <w:szCs w:val="16"/>
          <w:lang w:val="es-CR"/>
        </w:rPr>
        <w:t>).</w:t>
      </w:r>
    </w:p>
  </w:footnote>
  <w:footnote w:id="42">
    <w:p w14:paraId="4EC24EAF" w14:textId="2EEDB0EA" w:rsidR="004D1244" w:rsidRPr="00FE0BC5" w:rsidRDefault="004D1244" w:rsidP="00FE0BC5">
      <w:pPr>
        <w:pStyle w:val="Textonotapie"/>
        <w:jc w:val="both"/>
        <w:rPr>
          <w:rFonts w:ascii="Verdana" w:hAnsi="Verdana"/>
          <w:sz w:val="16"/>
          <w:szCs w:val="16"/>
          <w:lang w:val="es-MX"/>
        </w:rPr>
      </w:pPr>
      <w:r w:rsidRPr="00FE0BC5">
        <w:rPr>
          <w:rStyle w:val="Refdenotaalpie"/>
          <w:rFonts w:ascii="Verdana" w:hAnsi="Verdana"/>
          <w:sz w:val="16"/>
          <w:szCs w:val="16"/>
        </w:rPr>
        <w:footnoteRef/>
      </w:r>
      <w:r w:rsidRPr="00FE0BC5">
        <w:rPr>
          <w:rFonts w:ascii="Verdana" w:hAnsi="Verdana"/>
          <w:sz w:val="16"/>
          <w:szCs w:val="16"/>
        </w:rPr>
        <w:t xml:space="preserve"> </w:t>
      </w:r>
      <w:r w:rsidRPr="00FE0BC5">
        <w:rPr>
          <w:rFonts w:ascii="Verdana" w:hAnsi="Verdana"/>
          <w:sz w:val="16"/>
          <w:szCs w:val="16"/>
        </w:rPr>
        <w:tab/>
      </w:r>
      <w:r w:rsidRPr="00BE7856">
        <w:rPr>
          <w:rFonts w:ascii="Verdana" w:hAnsi="Verdana"/>
          <w:i/>
          <w:sz w:val="16"/>
          <w:szCs w:val="16"/>
          <w:lang w:val="es-MX"/>
        </w:rPr>
        <w:t>Cfr</w:t>
      </w:r>
      <w:r w:rsidRPr="00FE0BC5">
        <w:rPr>
          <w:rFonts w:ascii="Verdana" w:hAnsi="Verdana"/>
          <w:sz w:val="16"/>
          <w:szCs w:val="16"/>
          <w:lang w:val="es-MX"/>
        </w:rPr>
        <w:t xml:space="preserve">. Copia de la publicación realizada en el </w:t>
      </w:r>
      <w:r>
        <w:rPr>
          <w:rFonts w:ascii="Verdana" w:hAnsi="Verdana"/>
          <w:sz w:val="16"/>
          <w:szCs w:val="16"/>
          <w:lang w:val="es-MX"/>
        </w:rPr>
        <w:t xml:space="preserve">diario “El Universal” de 4 de mayo de 2019 (Anexo 3 </w:t>
      </w:r>
      <w:r>
        <w:rPr>
          <w:rFonts w:ascii="Verdana" w:hAnsi="Verdana"/>
          <w:sz w:val="16"/>
          <w:szCs w:val="16"/>
          <w:lang w:val="es-CR"/>
        </w:rPr>
        <w:t>al informe estatal de 26 de agosto de 2019).</w:t>
      </w:r>
    </w:p>
  </w:footnote>
  <w:footnote w:id="43">
    <w:p w14:paraId="0F517DCC" w14:textId="38F52A21" w:rsidR="004D1244" w:rsidRPr="00FE0BC5" w:rsidRDefault="004D1244" w:rsidP="00FE0BC5">
      <w:pPr>
        <w:pStyle w:val="Textonotapie"/>
        <w:jc w:val="both"/>
        <w:rPr>
          <w:rFonts w:ascii="Verdana" w:hAnsi="Verdana"/>
          <w:sz w:val="16"/>
          <w:szCs w:val="16"/>
          <w:lang w:val="es-MX"/>
        </w:rPr>
      </w:pPr>
      <w:r w:rsidRPr="00FE0BC5">
        <w:rPr>
          <w:rStyle w:val="Refdenotaalpie"/>
          <w:rFonts w:ascii="Verdana" w:hAnsi="Verdana"/>
          <w:sz w:val="16"/>
          <w:szCs w:val="16"/>
        </w:rPr>
        <w:footnoteRef/>
      </w:r>
      <w:r w:rsidRPr="00FE0BC5">
        <w:rPr>
          <w:rFonts w:ascii="Verdana" w:hAnsi="Verdana"/>
          <w:sz w:val="16"/>
          <w:szCs w:val="16"/>
        </w:rPr>
        <w:t xml:space="preserve"> </w:t>
      </w:r>
      <w:r w:rsidRPr="00FE0BC5">
        <w:rPr>
          <w:rFonts w:ascii="Verdana" w:hAnsi="Verdana"/>
          <w:sz w:val="16"/>
          <w:szCs w:val="16"/>
        </w:rPr>
        <w:tab/>
      </w:r>
      <w:r w:rsidRPr="00BE7856">
        <w:rPr>
          <w:rFonts w:ascii="Verdana" w:hAnsi="Verdana"/>
          <w:i/>
          <w:sz w:val="16"/>
          <w:szCs w:val="16"/>
          <w:lang w:val="es-MX"/>
        </w:rPr>
        <w:t>Cfr.</w:t>
      </w:r>
      <w:r w:rsidRPr="00FE0BC5">
        <w:rPr>
          <w:rFonts w:ascii="Verdana" w:hAnsi="Verdana"/>
          <w:sz w:val="16"/>
          <w:szCs w:val="16"/>
          <w:lang w:val="es-MX"/>
        </w:rPr>
        <w:t xml:space="preserve"> Copia de la publicación realizada en el periódico</w:t>
      </w:r>
      <w:r>
        <w:rPr>
          <w:rFonts w:ascii="Verdana" w:hAnsi="Verdana"/>
          <w:sz w:val="16"/>
          <w:szCs w:val="16"/>
          <w:lang w:val="es-MX"/>
        </w:rPr>
        <w:t xml:space="preserve"> “El Sol de Toluca” de 11 de mayo de 2019 (Anexos 4 y 5 </w:t>
      </w:r>
      <w:r>
        <w:rPr>
          <w:rFonts w:ascii="Verdana" w:hAnsi="Verdana"/>
          <w:sz w:val="16"/>
          <w:szCs w:val="16"/>
          <w:lang w:val="es-CR"/>
        </w:rPr>
        <w:t>al informe estatal de 26 de agosto de 2019).</w:t>
      </w:r>
    </w:p>
  </w:footnote>
  <w:footnote w:id="44">
    <w:p w14:paraId="4453B601" w14:textId="14A098A2" w:rsidR="004D1244" w:rsidRPr="00BE7856" w:rsidRDefault="004D1244" w:rsidP="00BE7856">
      <w:pPr>
        <w:pStyle w:val="Textonotapie"/>
        <w:jc w:val="both"/>
        <w:rPr>
          <w:rFonts w:ascii="Verdana" w:hAnsi="Verdana"/>
          <w:sz w:val="16"/>
          <w:szCs w:val="16"/>
        </w:rPr>
      </w:pPr>
      <w:r w:rsidRPr="00FE0BC5">
        <w:rPr>
          <w:rStyle w:val="Refdenotaalpie"/>
          <w:rFonts w:ascii="Verdana" w:hAnsi="Verdana"/>
          <w:sz w:val="16"/>
          <w:szCs w:val="16"/>
        </w:rPr>
        <w:footnoteRef/>
      </w:r>
      <w:r w:rsidRPr="00FE0BC5">
        <w:rPr>
          <w:rFonts w:ascii="Verdana" w:hAnsi="Verdana"/>
          <w:sz w:val="16"/>
          <w:szCs w:val="16"/>
        </w:rPr>
        <w:t xml:space="preserve"> </w:t>
      </w:r>
      <w:r w:rsidRPr="00FE0BC5">
        <w:rPr>
          <w:rFonts w:ascii="Verdana" w:hAnsi="Verdana"/>
          <w:sz w:val="16"/>
          <w:szCs w:val="16"/>
        </w:rPr>
        <w:tab/>
      </w:r>
      <w:r>
        <w:rPr>
          <w:rFonts w:ascii="Verdana" w:hAnsi="Verdana"/>
          <w:sz w:val="16"/>
          <w:szCs w:val="16"/>
          <w:lang w:val="es-CR"/>
        </w:rPr>
        <w:t>México</w:t>
      </w:r>
      <w:r w:rsidRPr="00FE0BC5">
        <w:rPr>
          <w:rFonts w:ascii="Verdana" w:hAnsi="Verdana"/>
          <w:sz w:val="16"/>
          <w:szCs w:val="16"/>
          <w:lang w:val="es-CR"/>
        </w:rPr>
        <w:t xml:space="preserve"> indicó que el texto íntegro de la Sentencia </w:t>
      </w:r>
      <w:r>
        <w:rPr>
          <w:rFonts w:ascii="Verdana" w:hAnsi="Verdana"/>
          <w:sz w:val="16"/>
          <w:szCs w:val="16"/>
          <w:lang w:val="es-CR"/>
        </w:rPr>
        <w:t>se podía</w:t>
      </w:r>
      <w:r w:rsidRPr="00FE0BC5">
        <w:rPr>
          <w:rFonts w:ascii="Verdana" w:hAnsi="Verdana"/>
          <w:sz w:val="16"/>
          <w:szCs w:val="16"/>
          <w:lang w:val="es-CR"/>
        </w:rPr>
        <w:t xml:space="preserve"> consultar desde el </w:t>
      </w:r>
      <w:r>
        <w:rPr>
          <w:rFonts w:ascii="Verdana" w:hAnsi="Verdana"/>
          <w:sz w:val="16"/>
          <w:szCs w:val="16"/>
          <w:lang w:val="es-CR"/>
        </w:rPr>
        <w:t>15 de enero de 2019</w:t>
      </w:r>
      <w:r w:rsidRPr="00FE0BC5">
        <w:rPr>
          <w:rFonts w:ascii="Verdana" w:hAnsi="Verdana"/>
          <w:sz w:val="16"/>
          <w:szCs w:val="16"/>
          <w:lang w:val="es-CR"/>
        </w:rPr>
        <w:t xml:space="preserve"> en el sitio </w:t>
      </w:r>
      <w:r>
        <w:rPr>
          <w:rFonts w:ascii="Verdana" w:hAnsi="Verdana"/>
          <w:sz w:val="16"/>
          <w:szCs w:val="16"/>
          <w:lang w:val="es-CR"/>
        </w:rPr>
        <w:t xml:space="preserve">web </w:t>
      </w:r>
      <w:r w:rsidRPr="00FE0BC5">
        <w:rPr>
          <w:rFonts w:ascii="Verdana" w:hAnsi="Verdana"/>
          <w:sz w:val="16"/>
          <w:szCs w:val="16"/>
          <w:lang w:val="es-CR"/>
        </w:rPr>
        <w:t>de la Secretaría de Relaciones Exteriores en el enlace:</w:t>
      </w:r>
      <w:r>
        <w:rPr>
          <w:rFonts w:ascii="Verdana" w:hAnsi="Verdana"/>
          <w:sz w:val="16"/>
          <w:szCs w:val="16"/>
          <w:lang w:val="es-CR"/>
        </w:rPr>
        <w:t xml:space="preserve"> </w:t>
      </w:r>
      <w:hyperlink r:id="rId3" w:history="1">
        <w:r w:rsidRPr="00215079">
          <w:rPr>
            <w:rStyle w:val="Hipervnculo"/>
            <w:rFonts w:ascii="Verdana" w:hAnsi="Verdana"/>
            <w:sz w:val="16"/>
            <w:szCs w:val="16"/>
            <w:lang w:val="es-CR"/>
          </w:rPr>
          <w:t>https://www.gob.mx/sre/documentos/sentencia-de-la-cidh-sobre-el-caso-mujeres-victimas-de-tortura-sexual-en-atenco-vs-mexico</w:t>
        </w:r>
      </w:hyperlink>
      <w:r>
        <w:rPr>
          <w:rFonts w:ascii="Verdana" w:hAnsi="Verdana"/>
          <w:sz w:val="16"/>
          <w:szCs w:val="16"/>
          <w:lang w:val="es-CR"/>
        </w:rPr>
        <w:t xml:space="preserve"> (visitada por última vez el 19 de noviembre de 2020); </w:t>
      </w:r>
      <w:r w:rsidRPr="00FE0BC5">
        <w:rPr>
          <w:rFonts w:ascii="Verdana" w:hAnsi="Verdana"/>
          <w:sz w:val="16"/>
          <w:szCs w:val="16"/>
          <w:lang w:val="es-CR"/>
        </w:rPr>
        <w:t xml:space="preserve">y desde el </w:t>
      </w:r>
      <w:r>
        <w:rPr>
          <w:rFonts w:ascii="Verdana" w:hAnsi="Verdana"/>
          <w:sz w:val="16"/>
          <w:szCs w:val="16"/>
          <w:lang w:val="es-CR"/>
        </w:rPr>
        <w:t>14</w:t>
      </w:r>
      <w:r w:rsidRPr="00FE0BC5">
        <w:rPr>
          <w:rFonts w:ascii="Verdana" w:hAnsi="Verdana"/>
          <w:sz w:val="16"/>
          <w:szCs w:val="16"/>
          <w:lang w:val="es-CR"/>
        </w:rPr>
        <w:t xml:space="preserve"> de </w:t>
      </w:r>
      <w:r>
        <w:rPr>
          <w:rFonts w:ascii="Verdana" w:hAnsi="Verdana"/>
          <w:sz w:val="16"/>
          <w:szCs w:val="16"/>
          <w:lang w:val="es-CR"/>
        </w:rPr>
        <w:t>mayo de 2019</w:t>
      </w:r>
      <w:r w:rsidRPr="00FE0BC5">
        <w:rPr>
          <w:rFonts w:ascii="Verdana" w:hAnsi="Verdana"/>
          <w:sz w:val="16"/>
          <w:szCs w:val="16"/>
          <w:lang w:val="es-CR"/>
        </w:rPr>
        <w:t xml:space="preserve"> en la página web del Gobierno del estado de México en</w:t>
      </w:r>
      <w:r>
        <w:rPr>
          <w:rFonts w:ascii="Verdana" w:hAnsi="Verdana"/>
          <w:sz w:val="16"/>
          <w:szCs w:val="16"/>
          <w:lang w:val="es-CR"/>
        </w:rPr>
        <w:t>:</w:t>
      </w:r>
      <w:r w:rsidRPr="00FE0BC5">
        <w:rPr>
          <w:rFonts w:ascii="Verdana" w:hAnsi="Verdana"/>
          <w:sz w:val="16"/>
          <w:szCs w:val="16"/>
          <w:lang w:val="es-CR"/>
        </w:rPr>
        <w:t xml:space="preserve"> </w:t>
      </w:r>
      <w:hyperlink r:id="rId4" w:history="1">
        <w:r w:rsidRPr="00215079">
          <w:rPr>
            <w:rStyle w:val="Hipervnculo"/>
            <w:rFonts w:ascii="Verdana" w:hAnsi="Verdana"/>
            <w:sz w:val="16"/>
            <w:szCs w:val="16"/>
          </w:rPr>
          <w:t>http://www.edomex.gob.mx/sites/edomex.gob.mx/files/files/Sentencia%20Caso%20Ate</w:t>
        </w:r>
        <w:r w:rsidRPr="00215079">
          <w:rPr>
            <w:rStyle w:val="Hipervnculo"/>
            <w:rFonts w:ascii="Verdana" w:hAnsi="Verdana"/>
            <w:sz w:val="16"/>
            <w:szCs w:val="16"/>
            <w:lang w:val="es-CR"/>
          </w:rPr>
          <w:t>nco_%2028_12_18.pdf</w:t>
        </w:r>
      </w:hyperlink>
      <w:r>
        <w:rPr>
          <w:rFonts w:ascii="Verdana" w:hAnsi="Verdana"/>
          <w:sz w:val="16"/>
          <w:szCs w:val="16"/>
          <w:lang w:val="es-MX"/>
        </w:rPr>
        <w:t xml:space="preserve"> (visitada por última vez el 19 de noviembre de 2020). </w:t>
      </w:r>
      <w:r w:rsidRPr="00BE7856">
        <w:rPr>
          <w:rFonts w:ascii="Verdana" w:hAnsi="Verdana"/>
          <w:i/>
          <w:sz w:val="16"/>
          <w:szCs w:val="16"/>
          <w:lang w:val="es-CR"/>
        </w:rPr>
        <w:t>Cfr</w:t>
      </w:r>
      <w:r>
        <w:rPr>
          <w:rFonts w:ascii="Verdana" w:hAnsi="Verdana"/>
          <w:sz w:val="16"/>
          <w:szCs w:val="16"/>
          <w:lang w:val="es-CR"/>
        </w:rPr>
        <w:t xml:space="preserve">. Informes estatales de 21 de junio de 2019 y 26 de agosto de 2019. Asimismo, el Estado informó que </w:t>
      </w:r>
      <w:r>
        <w:rPr>
          <w:rFonts w:ascii="Verdana" w:hAnsi="Verdana"/>
          <w:sz w:val="16"/>
          <w:szCs w:val="16"/>
          <w:lang w:val="es-MX"/>
        </w:rPr>
        <w:t xml:space="preserve">desde el 24 de mayo de 2019 el texto íntegro de la Sentencia se podía consultar en la página oficial de la </w:t>
      </w:r>
      <w:r w:rsidRPr="00B906DA">
        <w:rPr>
          <w:rFonts w:ascii="Verdana" w:hAnsi="Verdana"/>
          <w:sz w:val="16"/>
          <w:szCs w:val="16"/>
          <w:lang w:val="es-MX"/>
        </w:rPr>
        <w:t>Secretaría de Seguridad y Protección Ciudadana</w:t>
      </w:r>
      <w:r>
        <w:rPr>
          <w:rFonts w:ascii="Verdana" w:hAnsi="Verdana"/>
          <w:sz w:val="16"/>
          <w:szCs w:val="16"/>
          <w:lang w:val="es-MX"/>
        </w:rPr>
        <w:t xml:space="preserve"> </w:t>
      </w:r>
      <w:r>
        <w:rPr>
          <w:rFonts w:ascii="Verdana" w:hAnsi="Verdana"/>
          <w:sz w:val="16"/>
          <w:szCs w:val="16"/>
          <w:lang w:val="es-CR"/>
        </w:rPr>
        <w:t>en el enlace</w:t>
      </w:r>
      <w:r w:rsidRPr="00630119">
        <w:rPr>
          <w:rFonts w:ascii="Verdana" w:hAnsi="Verdana"/>
          <w:sz w:val="16"/>
          <w:szCs w:val="16"/>
          <w:lang w:val="es-CR"/>
        </w:rPr>
        <w:t xml:space="preserve">: </w:t>
      </w:r>
      <w:hyperlink r:id="rId5" w:history="1">
        <w:r w:rsidRPr="00215079">
          <w:rPr>
            <w:rStyle w:val="Hipervnculo"/>
            <w:rFonts w:ascii="Verdana" w:hAnsi="Verdana"/>
            <w:sz w:val="16"/>
            <w:szCs w:val="16"/>
          </w:rPr>
          <w:t>https://www.gob.mx/sspc/acciones-yprogramas/</w:t>
        </w:r>
        <w:r w:rsidRPr="00215079">
          <w:rPr>
            <w:rStyle w:val="Hipervnculo"/>
            <w:rFonts w:ascii="Verdana" w:hAnsi="Verdana"/>
            <w:sz w:val="16"/>
            <w:szCs w:val="16"/>
            <w:lang w:val="es-CR"/>
          </w:rPr>
          <w:t>sentencias-de-la-corte-interamericana-de-derechos-humanos-201544</w:t>
        </w:r>
      </w:hyperlink>
      <w:r>
        <w:rPr>
          <w:rFonts w:ascii="Verdana" w:hAnsi="Verdana"/>
          <w:sz w:val="16"/>
          <w:szCs w:val="16"/>
          <w:lang w:val="es-MX"/>
        </w:rPr>
        <w:t>.</w:t>
      </w:r>
      <w:r>
        <w:rPr>
          <w:rFonts w:ascii="Verdana" w:hAnsi="Verdana"/>
          <w:sz w:val="16"/>
          <w:szCs w:val="16"/>
          <w:lang w:val="es-CR"/>
        </w:rPr>
        <w:t xml:space="preserve"> </w:t>
      </w:r>
      <w:r w:rsidRPr="00BE7856">
        <w:rPr>
          <w:rFonts w:ascii="Verdana" w:hAnsi="Verdana"/>
          <w:i/>
          <w:sz w:val="16"/>
          <w:szCs w:val="16"/>
          <w:lang w:val="es-CR"/>
        </w:rPr>
        <w:t>Cfr</w:t>
      </w:r>
      <w:r>
        <w:rPr>
          <w:rFonts w:ascii="Verdana" w:hAnsi="Verdana"/>
          <w:sz w:val="16"/>
          <w:szCs w:val="16"/>
          <w:lang w:val="es-CR"/>
        </w:rPr>
        <w:t>. Informes estatales de 21 de junio de 2019 y 26 de agosto de 2019.</w:t>
      </w:r>
    </w:p>
  </w:footnote>
  <w:footnote w:id="45">
    <w:p w14:paraId="1A5381F7" w14:textId="4B5AB6CF" w:rsidR="004D1244" w:rsidRPr="00B42F79" w:rsidRDefault="004D1244" w:rsidP="00B42F79">
      <w:pPr>
        <w:pStyle w:val="Textonotapie"/>
        <w:jc w:val="both"/>
        <w:rPr>
          <w:rFonts w:ascii="Verdana" w:hAnsi="Verdana"/>
          <w:sz w:val="16"/>
          <w:szCs w:val="16"/>
        </w:rPr>
      </w:pPr>
      <w:r w:rsidRPr="00B42F79">
        <w:rPr>
          <w:rStyle w:val="Refdenotaalpie"/>
          <w:rFonts w:ascii="Verdana" w:hAnsi="Verdana"/>
          <w:sz w:val="16"/>
          <w:szCs w:val="16"/>
        </w:rPr>
        <w:footnoteRef/>
      </w:r>
      <w:r w:rsidRPr="00B42F79">
        <w:rPr>
          <w:rFonts w:ascii="Verdana" w:hAnsi="Verdana"/>
          <w:sz w:val="16"/>
          <w:szCs w:val="16"/>
        </w:rPr>
        <w:t xml:space="preserve"> </w:t>
      </w:r>
      <w:r w:rsidRPr="00B42F79">
        <w:rPr>
          <w:rFonts w:ascii="Verdana" w:hAnsi="Verdana"/>
          <w:sz w:val="16"/>
          <w:szCs w:val="16"/>
        </w:rPr>
        <w:tab/>
        <w:t xml:space="preserve">Informe estatal de 23 de diciembre de 2019. </w:t>
      </w:r>
    </w:p>
  </w:footnote>
  <w:footnote w:id="46">
    <w:p w14:paraId="72929AC7" w14:textId="20B3FE04" w:rsidR="004D1244" w:rsidRPr="00B342DD" w:rsidRDefault="004D1244" w:rsidP="004950FC">
      <w:pPr>
        <w:pStyle w:val="Textonotapie"/>
        <w:jc w:val="both"/>
      </w:pPr>
      <w:r w:rsidRPr="00B342DD">
        <w:rPr>
          <w:rStyle w:val="Refdenotaalpie"/>
          <w:rFonts w:ascii="Verdana" w:hAnsi="Verdana"/>
          <w:sz w:val="16"/>
          <w:szCs w:val="16"/>
        </w:rPr>
        <w:footnoteRef/>
      </w:r>
      <w:r w:rsidRPr="00B342DD">
        <w:rPr>
          <w:rFonts w:ascii="Verdana" w:hAnsi="Verdana"/>
          <w:sz w:val="16"/>
          <w:szCs w:val="16"/>
        </w:rPr>
        <w:t xml:space="preserve"> </w:t>
      </w:r>
      <w:r w:rsidRPr="00B342DD">
        <w:rPr>
          <w:rFonts w:ascii="Verdana" w:hAnsi="Verdana"/>
          <w:sz w:val="16"/>
          <w:szCs w:val="16"/>
        </w:rPr>
        <w:tab/>
        <w:t xml:space="preserve">Escritos </w:t>
      </w:r>
      <w:r>
        <w:rPr>
          <w:rFonts w:ascii="Verdana" w:hAnsi="Verdana"/>
          <w:sz w:val="16"/>
          <w:szCs w:val="16"/>
        </w:rPr>
        <w:t>de observaciones de las representantes de</w:t>
      </w:r>
      <w:r w:rsidRPr="00B342DD">
        <w:rPr>
          <w:rFonts w:ascii="Verdana" w:hAnsi="Verdana"/>
          <w:sz w:val="16"/>
          <w:szCs w:val="16"/>
        </w:rPr>
        <w:t xml:space="preserve"> 15 de noviembre de 2019 y 26 de febrero de 2020. </w:t>
      </w:r>
    </w:p>
  </w:footnote>
  <w:footnote w:id="47">
    <w:p w14:paraId="4E7ABBFE" w14:textId="0DF5F693" w:rsidR="004D1244" w:rsidRPr="00AE4B34" w:rsidRDefault="004D1244" w:rsidP="00AE4B34">
      <w:pPr>
        <w:pStyle w:val="Textonotapie"/>
        <w:jc w:val="both"/>
        <w:rPr>
          <w:rFonts w:ascii="Verdana" w:hAnsi="Verdana"/>
          <w:sz w:val="16"/>
          <w:szCs w:val="16"/>
          <w:lang w:val="es-ES"/>
        </w:rPr>
      </w:pPr>
      <w:r w:rsidRPr="00AE4B34">
        <w:rPr>
          <w:rStyle w:val="Refdenotaalpie"/>
          <w:rFonts w:ascii="Verdana" w:hAnsi="Verdana"/>
          <w:sz w:val="16"/>
          <w:szCs w:val="16"/>
        </w:rPr>
        <w:footnoteRef/>
      </w:r>
      <w:r w:rsidRPr="00AE4B34">
        <w:rPr>
          <w:rFonts w:ascii="Verdana" w:hAnsi="Verdana"/>
          <w:sz w:val="16"/>
          <w:szCs w:val="16"/>
        </w:rPr>
        <w:t xml:space="preserve"> </w:t>
      </w:r>
      <w:r w:rsidRPr="00AE4B34">
        <w:rPr>
          <w:rFonts w:ascii="Verdana" w:hAnsi="Verdana"/>
          <w:sz w:val="16"/>
          <w:szCs w:val="16"/>
        </w:rPr>
        <w:tab/>
        <w:t xml:space="preserve">Ver </w:t>
      </w:r>
      <w:r w:rsidRPr="00AE4B34">
        <w:rPr>
          <w:rFonts w:ascii="Verdana" w:hAnsi="Verdana"/>
          <w:i/>
          <w:iCs/>
          <w:sz w:val="16"/>
          <w:szCs w:val="16"/>
          <w:lang w:val="es-ES"/>
        </w:rPr>
        <w:t>Caso Gomes Lund y otros ("</w:t>
      </w:r>
      <w:proofErr w:type="spellStart"/>
      <w:r w:rsidRPr="00AE4B34">
        <w:rPr>
          <w:rFonts w:ascii="Verdana" w:hAnsi="Verdana"/>
          <w:i/>
          <w:iCs/>
          <w:sz w:val="16"/>
          <w:szCs w:val="16"/>
          <w:lang w:val="es-ES"/>
        </w:rPr>
        <w:t>Guerrilha</w:t>
      </w:r>
      <w:proofErr w:type="spellEnd"/>
      <w:r w:rsidRPr="00AE4B34">
        <w:rPr>
          <w:rFonts w:ascii="Verdana" w:hAnsi="Verdana"/>
          <w:i/>
          <w:iCs/>
          <w:sz w:val="16"/>
          <w:szCs w:val="16"/>
          <w:lang w:val="es-ES"/>
        </w:rPr>
        <w:t xml:space="preserve"> do </w:t>
      </w:r>
      <w:proofErr w:type="spellStart"/>
      <w:r w:rsidRPr="00AE4B34">
        <w:rPr>
          <w:rFonts w:ascii="Verdana" w:hAnsi="Verdana"/>
          <w:i/>
          <w:iCs/>
          <w:sz w:val="16"/>
          <w:szCs w:val="16"/>
          <w:lang w:val="es-ES"/>
        </w:rPr>
        <w:t>Araguaia</w:t>
      </w:r>
      <w:proofErr w:type="spellEnd"/>
      <w:r w:rsidRPr="00AE4B34">
        <w:rPr>
          <w:rFonts w:ascii="Verdana" w:hAnsi="Verdana"/>
          <w:i/>
          <w:iCs/>
          <w:sz w:val="16"/>
          <w:szCs w:val="16"/>
          <w:lang w:val="es-ES"/>
        </w:rPr>
        <w:t xml:space="preserve">") Vs. Brasil. </w:t>
      </w:r>
      <w:proofErr w:type="spellStart"/>
      <w:r w:rsidRPr="00AE4B34">
        <w:rPr>
          <w:rFonts w:ascii="Verdana" w:hAnsi="Verdana"/>
          <w:i/>
          <w:iCs/>
          <w:sz w:val="16"/>
          <w:szCs w:val="16"/>
          <w:lang w:val="es-ES"/>
        </w:rPr>
        <w:t>Supervisión</w:t>
      </w:r>
      <w:proofErr w:type="spellEnd"/>
      <w:r w:rsidRPr="00AE4B34">
        <w:rPr>
          <w:rFonts w:ascii="Verdana" w:hAnsi="Verdana"/>
          <w:i/>
          <w:iCs/>
          <w:sz w:val="16"/>
          <w:szCs w:val="16"/>
          <w:lang w:val="es-ES"/>
        </w:rPr>
        <w:t xml:space="preserve"> de Cumplimiento de Sentencia</w:t>
      </w:r>
      <w:r w:rsidRPr="00AE4B34">
        <w:rPr>
          <w:rFonts w:ascii="Verdana" w:hAnsi="Verdana"/>
          <w:sz w:val="16"/>
          <w:szCs w:val="16"/>
          <w:lang w:val="es-ES"/>
        </w:rPr>
        <w:t xml:space="preserve">. </w:t>
      </w:r>
      <w:proofErr w:type="spellStart"/>
      <w:r w:rsidRPr="00AE4B34">
        <w:rPr>
          <w:rFonts w:ascii="Verdana" w:hAnsi="Verdana"/>
          <w:sz w:val="16"/>
          <w:szCs w:val="16"/>
          <w:lang w:val="es-ES"/>
        </w:rPr>
        <w:t>Resolución</w:t>
      </w:r>
      <w:proofErr w:type="spellEnd"/>
      <w:r w:rsidRPr="00AE4B34">
        <w:rPr>
          <w:rFonts w:ascii="Verdana" w:hAnsi="Verdana"/>
          <w:sz w:val="16"/>
          <w:szCs w:val="16"/>
          <w:lang w:val="es-ES"/>
        </w:rPr>
        <w:t xml:space="preserve"> de la Corte Interamericana de Derechos Humanos de 17 de octubre de 2014, Considerando 57, y </w:t>
      </w:r>
      <w:r w:rsidRPr="00AE4B34">
        <w:rPr>
          <w:rFonts w:ascii="Verdana" w:hAnsi="Verdana"/>
          <w:i/>
          <w:sz w:val="16"/>
          <w:szCs w:val="16"/>
          <w:lang w:val="es-ES"/>
        </w:rPr>
        <w:t xml:space="preserve">Caso Comunidad Garífuna Triunfo de la Cruz y sus miembros Vs. Honduras. Supervisión de Cumplimiento de Sentencia. </w:t>
      </w:r>
      <w:r w:rsidRPr="00AE4B34">
        <w:rPr>
          <w:rFonts w:ascii="Verdana" w:hAnsi="Verdana"/>
          <w:sz w:val="16"/>
          <w:szCs w:val="16"/>
          <w:lang w:val="es-ES"/>
        </w:rPr>
        <w:t xml:space="preserve">Resolución de la Corte Interamericana de Derechos Humanos de 14 de mayo de 2019, Considerando 41. </w:t>
      </w:r>
    </w:p>
  </w:footnote>
  <w:footnote w:id="48">
    <w:p w14:paraId="58B85D10" w14:textId="7B7E769C" w:rsidR="004D1244" w:rsidRPr="00EE5C1A" w:rsidRDefault="004D1244" w:rsidP="00EE5C1A">
      <w:pPr>
        <w:pStyle w:val="Textonotapie"/>
        <w:jc w:val="both"/>
        <w:rPr>
          <w:rFonts w:ascii="Verdana" w:hAnsi="Verdana"/>
          <w:sz w:val="16"/>
          <w:szCs w:val="16"/>
        </w:rPr>
      </w:pPr>
      <w:r w:rsidRPr="00EE5C1A">
        <w:rPr>
          <w:rStyle w:val="Refdenotaalpie"/>
          <w:rFonts w:ascii="Verdana" w:hAnsi="Verdana"/>
          <w:sz w:val="16"/>
          <w:szCs w:val="16"/>
        </w:rPr>
        <w:footnoteRef/>
      </w:r>
      <w:r w:rsidRPr="00EE5C1A">
        <w:rPr>
          <w:rFonts w:ascii="Verdana" w:hAnsi="Verdana"/>
          <w:sz w:val="16"/>
          <w:szCs w:val="16"/>
        </w:rPr>
        <w:t xml:space="preserve"> </w:t>
      </w:r>
      <w:r w:rsidRPr="00EE5C1A">
        <w:rPr>
          <w:rFonts w:ascii="Verdana" w:hAnsi="Verdana"/>
          <w:sz w:val="16"/>
          <w:szCs w:val="16"/>
        </w:rPr>
        <w:tab/>
        <w:t>Informe estatal de 23 de diciembre de 2019.</w:t>
      </w:r>
    </w:p>
  </w:footnote>
  <w:footnote w:id="49">
    <w:p w14:paraId="16B3DE40" w14:textId="2975D928" w:rsidR="004D1244" w:rsidRPr="00BC59EE" w:rsidRDefault="004D1244" w:rsidP="00B26963">
      <w:pPr>
        <w:pStyle w:val="Textonotapie"/>
        <w:jc w:val="both"/>
        <w:rPr>
          <w:rFonts w:ascii="Verdana" w:hAnsi="Verdana"/>
          <w:lang w:val="es-MX"/>
        </w:rPr>
      </w:pPr>
      <w:r w:rsidRPr="00BC59EE">
        <w:rPr>
          <w:rStyle w:val="Refdenotaalpie"/>
          <w:rFonts w:ascii="Verdana" w:hAnsi="Verdana"/>
          <w:sz w:val="16"/>
        </w:rPr>
        <w:footnoteRef/>
      </w:r>
      <w:r w:rsidRPr="00BC59EE">
        <w:rPr>
          <w:rFonts w:ascii="Verdana" w:hAnsi="Verdana"/>
          <w:sz w:val="16"/>
        </w:rPr>
        <w:t xml:space="preserve"> </w:t>
      </w:r>
      <w:r>
        <w:rPr>
          <w:rFonts w:ascii="Verdana" w:hAnsi="Verdana"/>
          <w:sz w:val="16"/>
        </w:rPr>
        <w:tab/>
        <w:t xml:space="preserve">Durante el trámite del caso, las representantes aclararon que </w:t>
      </w:r>
      <w:r w:rsidRPr="00D42500">
        <w:rPr>
          <w:rFonts w:ascii="Verdana" w:hAnsi="Verdana"/>
          <w:sz w:val="16"/>
        </w:rPr>
        <w:t xml:space="preserve">Georgina Edith Rosales </w:t>
      </w:r>
      <w:proofErr w:type="spellStart"/>
      <w:r w:rsidRPr="00D42500">
        <w:rPr>
          <w:rFonts w:ascii="Verdana" w:hAnsi="Verdana"/>
          <w:sz w:val="16"/>
        </w:rPr>
        <w:t>Gutiérrez</w:t>
      </w:r>
      <w:proofErr w:type="spellEnd"/>
      <w:r w:rsidRPr="00D42500">
        <w:rPr>
          <w:rFonts w:ascii="Verdana" w:hAnsi="Verdana"/>
          <w:sz w:val="16"/>
        </w:rPr>
        <w:t xml:space="preserve"> </w:t>
      </w:r>
      <w:r>
        <w:rPr>
          <w:rFonts w:ascii="Verdana" w:hAnsi="Verdana"/>
          <w:sz w:val="16"/>
        </w:rPr>
        <w:t>y</w:t>
      </w:r>
      <w:r w:rsidRPr="00D42500">
        <w:rPr>
          <w:rFonts w:ascii="Verdana" w:hAnsi="Verdana"/>
          <w:sz w:val="16"/>
        </w:rPr>
        <w:t xml:space="preserve"> sus familiares </w:t>
      </w:r>
      <w:r>
        <w:rPr>
          <w:rFonts w:ascii="Verdana" w:hAnsi="Verdana"/>
          <w:sz w:val="16"/>
        </w:rPr>
        <w:t xml:space="preserve">no </w:t>
      </w:r>
      <w:r w:rsidRPr="00D42500">
        <w:rPr>
          <w:rFonts w:ascii="Verdana" w:hAnsi="Verdana"/>
          <w:sz w:val="16"/>
        </w:rPr>
        <w:t>desea</w:t>
      </w:r>
      <w:r>
        <w:rPr>
          <w:rFonts w:ascii="Verdana" w:hAnsi="Verdana"/>
          <w:sz w:val="16"/>
        </w:rPr>
        <w:t>ba</w:t>
      </w:r>
      <w:r w:rsidRPr="00D42500">
        <w:rPr>
          <w:rFonts w:ascii="Verdana" w:hAnsi="Verdana"/>
          <w:sz w:val="16"/>
        </w:rPr>
        <w:t xml:space="preserve">n recibir indemnizaciones </w:t>
      </w:r>
      <w:proofErr w:type="spellStart"/>
      <w:r w:rsidRPr="00D42500">
        <w:rPr>
          <w:rFonts w:ascii="Verdana" w:hAnsi="Verdana"/>
          <w:sz w:val="16"/>
        </w:rPr>
        <w:t>económicas</w:t>
      </w:r>
      <w:proofErr w:type="spellEnd"/>
      <w:r w:rsidRPr="00D42500">
        <w:rPr>
          <w:rFonts w:ascii="Verdana" w:hAnsi="Verdana"/>
          <w:sz w:val="16"/>
        </w:rPr>
        <w:t xml:space="preserve">, por lo cual solicitaron otorgar tales medidas </w:t>
      </w:r>
      <w:proofErr w:type="spellStart"/>
      <w:r w:rsidRPr="00D42500">
        <w:rPr>
          <w:rFonts w:ascii="Verdana" w:hAnsi="Verdana"/>
          <w:sz w:val="16"/>
        </w:rPr>
        <w:t>únicamente</w:t>
      </w:r>
      <w:proofErr w:type="spellEnd"/>
      <w:r w:rsidRPr="00D42500">
        <w:rPr>
          <w:rFonts w:ascii="Verdana" w:hAnsi="Verdana"/>
          <w:sz w:val="16"/>
        </w:rPr>
        <w:t xml:space="preserve"> a favor de las restantes diez </w:t>
      </w:r>
      <w:proofErr w:type="spellStart"/>
      <w:r w:rsidRPr="00D42500">
        <w:rPr>
          <w:rFonts w:ascii="Verdana" w:hAnsi="Verdana"/>
          <w:sz w:val="16"/>
        </w:rPr>
        <w:t>víctimas</w:t>
      </w:r>
      <w:proofErr w:type="spellEnd"/>
      <w:r w:rsidRPr="00D42500">
        <w:rPr>
          <w:rFonts w:ascii="Verdana" w:hAnsi="Verdana"/>
          <w:sz w:val="16"/>
        </w:rPr>
        <w:t xml:space="preserve"> del caso</w:t>
      </w:r>
      <w:r w:rsidRPr="00BC59EE">
        <w:rPr>
          <w:rFonts w:ascii="Verdana" w:hAnsi="Verdana"/>
          <w:sz w:val="16"/>
          <w:lang w:val="es-CR"/>
        </w:rPr>
        <w:t>.</w:t>
      </w:r>
      <w:r>
        <w:rPr>
          <w:rFonts w:ascii="Verdana" w:hAnsi="Verdana"/>
          <w:sz w:val="16"/>
          <w:lang w:val="es-CR"/>
        </w:rPr>
        <w:t xml:space="preserve"> </w:t>
      </w:r>
      <w:r w:rsidRPr="00EE4992">
        <w:rPr>
          <w:rFonts w:ascii="Verdana" w:hAnsi="Verdana"/>
          <w:i/>
          <w:sz w:val="16"/>
          <w:szCs w:val="16"/>
          <w:lang w:val="es-CR"/>
        </w:rPr>
        <w:t xml:space="preserve">Cfr. </w:t>
      </w:r>
      <w:r w:rsidRPr="00EE4992">
        <w:rPr>
          <w:rStyle w:val="Textoennegrita"/>
          <w:rFonts w:ascii="Verdana" w:hAnsi="Verdana"/>
          <w:b w:val="0"/>
          <w:i/>
          <w:color w:val="000000"/>
          <w:sz w:val="16"/>
          <w:szCs w:val="16"/>
          <w:shd w:val="clear" w:color="auto" w:fill="FFFFFF"/>
        </w:rPr>
        <w:t xml:space="preserve">Caso </w:t>
      </w:r>
      <w:r>
        <w:rPr>
          <w:rStyle w:val="Textoennegrita"/>
          <w:rFonts w:ascii="Verdana" w:hAnsi="Verdana"/>
          <w:b w:val="0"/>
          <w:i/>
          <w:color w:val="000000"/>
          <w:sz w:val="16"/>
          <w:szCs w:val="16"/>
          <w:shd w:val="clear" w:color="auto" w:fill="FFFFFF"/>
          <w:lang w:val="es-CR"/>
        </w:rPr>
        <w:t>Mujeres Víctimas de Tortura Sexual en Atenco</w:t>
      </w:r>
      <w:r w:rsidRPr="00EE4992">
        <w:rPr>
          <w:rStyle w:val="Textoennegrita"/>
          <w:rFonts w:ascii="Verdana" w:hAnsi="Verdana"/>
          <w:b w:val="0"/>
          <w:i/>
          <w:color w:val="000000"/>
          <w:sz w:val="16"/>
          <w:szCs w:val="16"/>
          <w:shd w:val="clear" w:color="auto" w:fill="FFFFFF"/>
        </w:rPr>
        <w:t xml:space="preserve"> Vs. </w:t>
      </w:r>
      <w:r>
        <w:rPr>
          <w:rStyle w:val="Textoennegrita"/>
          <w:rFonts w:ascii="Verdana" w:hAnsi="Verdana"/>
          <w:b w:val="0"/>
          <w:i/>
          <w:color w:val="000000"/>
          <w:sz w:val="16"/>
          <w:szCs w:val="16"/>
          <w:shd w:val="clear" w:color="auto" w:fill="FFFFFF"/>
          <w:lang w:val="es-CR"/>
        </w:rPr>
        <w:t xml:space="preserve">México, supra </w:t>
      </w:r>
      <w:r>
        <w:rPr>
          <w:rStyle w:val="Textoennegrita"/>
          <w:rFonts w:ascii="Verdana" w:hAnsi="Verdana"/>
          <w:b w:val="0"/>
          <w:color w:val="000000"/>
          <w:sz w:val="16"/>
          <w:szCs w:val="16"/>
          <w:shd w:val="clear" w:color="auto" w:fill="FFFFFF"/>
          <w:lang w:val="es-CR"/>
        </w:rPr>
        <w:t xml:space="preserve">nota 1, párr. </w:t>
      </w:r>
      <w:r>
        <w:rPr>
          <w:rFonts w:ascii="Verdana" w:hAnsi="Verdana"/>
          <w:sz w:val="16"/>
          <w:lang w:val="es-CR"/>
        </w:rPr>
        <w:t>367.</w:t>
      </w:r>
    </w:p>
  </w:footnote>
  <w:footnote w:id="50">
    <w:p w14:paraId="256AC32E" w14:textId="0977CAA5" w:rsidR="004D1244" w:rsidRPr="00CD67B8" w:rsidRDefault="004D1244" w:rsidP="00CD67B8">
      <w:pPr>
        <w:pStyle w:val="Textonotapie"/>
        <w:jc w:val="both"/>
        <w:rPr>
          <w:rFonts w:ascii="Verdana" w:hAnsi="Verdana"/>
          <w:sz w:val="16"/>
          <w:szCs w:val="16"/>
          <w:lang w:val="es-ES"/>
        </w:rPr>
      </w:pPr>
      <w:r w:rsidRPr="00CD67B8">
        <w:rPr>
          <w:rStyle w:val="Refdenotaalpie"/>
          <w:rFonts w:ascii="Verdana" w:hAnsi="Verdana"/>
          <w:sz w:val="16"/>
          <w:szCs w:val="16"/>
        </w:rPr>
        <w:footnoteRef/>
      </w:r>
      <w:r w:rsidRPr="00CD67B8">
        <w:rPr>
          <w:rFonts w:ascii="Verdana" w:hAnsi="Verdana"/>
          <w:sz w:val="16"/>
          <w:szCs w:val="16"/>
        </w:rPr>
        <w:t xml:space="preserve"> </w:t>
      </w:r>
      <w:r w:rsidRPr="00CD67B8">
        <w:rPr>
          <w:rFonts w:ascii="Verdana" w:hAnsi="Verdana"/>
          <w:sz w:val="16"/>
          <w:szCs w:val="16"/>
          <w:lang w:val="es-ES"/>
        </w:rPr>
        <w:tab/>
        <w:t xml:space="preserve">En el párrafo 371 de la Sentencia se fijó la cantidad de </w:t>
      </w:r>
      <w:r w:rsidRPr="00CD67B8">
        <w:rPr>
          <w:rFonts w:ascii="Verdana" w:hAnsi="Verdana" w:cs="Verdana"/>
          <w:sz w:val="16"/>
          <w:szCs w:val="16"/>
        </w:rPr>
        <w:t xml:space="preserve">USD$ 5.000,00 (cinco mil dólares de los Estados Unidos de América) a cada una de las diez mujeres víctimas de este caso que solicitaron indemnización económica por concepto de indemnización del daño emergente. </w:t>
      </w:r>
    </w:p>
  </w:footnote>
  <w:footnote w:id="51">
    <w:p w14:paraId="777128F2" w14:textId="43C0C5E8" w:rsidR="004D1244" w:rsidRPr="00CD67B8" w:rsidRDefault="004D1244" w:rsidP="00CD67B8">
      <w:pPr>
        <w:pStyle w:val="Textonotapie"/>
        <w:jc w:val="both"/>
        <w:rPr>
          <w:rFonts w:ascii="Verdana" w:hAnsi="Verdana"/>
          <w:sz w:val="16"/>
          <w:szCs w:val="16"/>
        </w:rPr>
      </w:pPr>
      <w:r w:rsidRPr="00CD67B8">
        <w:rPr>
          <w:rStyle w:val="Refdenotaalpie"/>
          <w:rFonts w:ascii="Verdana" w:hAnsi="Verdana"/>
          <w:sz w:val="16"/>
          <w:szCs w:val="16"/>
        </w:rPr>
        <w:footnoteRef/>
      </w:r>
      <w:r w:rsidRPr="00CD67B8">
        <w:rPr>
          <w:rFonts w:ascii="Verdana" w:hAnsi="Verdana"/>
          <w:sz w:val="16"/>
          <w:szCs w:val="16"/>
        </w:rPr>
        <w:t xml:space="preserve"> </w:t>
      </w:r>
      <w:r w:rsidRPr="00CD67B8">
        <w:rPr>
          <w:rFonts w:ascii="Verdana" w:hAnsi="Verdana"/>
          <w:sz w:val="16"/>
          <w:szCs w:val="16"/>
        </w:rPr>
        <w:tab/>
        <w:t xml:space="preserve">En el párrafo 376 de la Sentencia se fijó la cantidad de </w:t>
      </w:r>
      <w:r w:rsidRPr="00CD67B8">
        <w:rPr>
          <w:rFonts w:ascii="Verdana" w:hAnsi="Verdana" w:cs="Verdana"/>
          <w:sz w:val="16"/>
          <w:szCs w:val="16"/>
        </w:rPr>
        <w:t xml:space="preserve">USD$ 70.000,00 (setenta mil dólares de los Estados Unidos de América) a cada una de las diez mujeres víctimas de este caso que solicitaron indemnización económica por concepto de indemnización del daño inmaterial. </w:t>
      </w:r>
    </w:p>
  </w:footnote>
  <w:footnote w:id="52">
    <w:p w14:paraId="3B9EC586" w14:textId="5228F1B3" w:rsidR="004D1244" w:rsidRPr="00CD67B8" w:rsidRDefault="004D1244" w:rsidP="00CD67B8">
      <w:pPr>
        <w:pStyle w:val="Textonotapie"/>
        <w:jc w:val="both"/>
        <w:rPr>
          <w:rFonts w:ascii="Verdana" w:hAnsi="Verdana"/>
          <w:sz w:val="16"/>
          <w:szCs w:val="16"/>
        </w:rPr>
      </w:pPr>
      <w:r w:rsidRPr="00CD67B8">
        <w:rPr>
          <w:rStyle w:val="Refdenotaalpie"/>
          <w:rFonts w:ascii="Verdana" w:hAnsi="Verdana"/>
          <w:sz w:val="16"/>
          <w:szCs w:val="16"/>
        </w:rPr>
        <w:footnoteRef/>
      </w:r>
      <w:r w:rsidRPr="00CD67B8">
        <w:rPr>
          <w:rFonts w:ascii="Verdana" w:hAnsi="Verdana"/>
          <w:sz w:val="16"/>
          <w:szCs w:val="16"/>
        </w:rPr>
        <w:t xml:space="preserve"> </w:t>
      </w:r>
      <w:r w:rsidRPr="00CD67B8">
        <w:rPr>
          <w:rFonts w:ascii="Verdana" w:hAnsi="Verdana"/>
          <w:sz w:val="16"/>
          <w:szCs w:val="16"/>
        </w:rPr>
        <w:tab/>
        <w:t xml:space="preserve">En el párrafo 373 de la Sentencia se fijó la cantidad de </w:t>
      </w:r>
      <w:r w:rsidRPr="00CD67B8">
        <w:rPr>
          <w:rFonts w:ascii="Verdana" w:hAnsi="Verdana" w:cs="Verdana"/>
          <w:sz w:val="16"/>
          <w:szCs w:val="16"/>
        </w:rPr>
        <w:t xml:space="preserve">USD$ 10.000,00 (diez mil dólares de los Estados Unidos de América) a favor de Yolanda Muñoz </w:t>
      </w:r>
      <w:proofErr w:type="spellStart"/>
      <w:r w:rsidRPr="00CD67B8">
        <w:rPr>
          <w:rFonts w:ascii="Verdana" w:hAnsi="Verdana" w:cs="Verdana"/>
          <w:sz w:val="16"/>
          <w:szCs w:val="16"/>
        </w:rPr>
        <w:t>Diosdada</w:t>
      </w:r>
      <w:proofErr w:type="spellEnd"/>
      <w:r w:rsidRPr="00CD67B8">
        <w:rPr>
          <w:rFonts w:ascii="Verdana" w:hAnsi="Verdana" w:cs="Verdana"/>
          <w:sz w:val="16"/>
          <w:szCs w:val="16"/>
        </w:rPr>
        <w:t xml:space="preserve"> y USD$ 2.000,00 (dos mil dólares de los Estados Unidos de América) a María Patricia Romero Hernández por concepto de indemnización del lucro cesante. </w:t>
      </w:r>
    </w:p>
  </w:footnote>
  <w:footnote w:id="53">
    <w:p w14:paraId="045B601A" w14:textId="6A9CBE77" w:rsidR="004D1244" w:rsidRPr="00CD67B8" w:rsidRDefault="004D1244" w:rsidP="00CD67B8">
      <w:pPr>
        <w:pStyle w:val="Textonotapie"/>
        <w:jc w:val="both"/>
      </w:pPr>
      <w:r w:rsidRPr="00CD67B8">
        <w:rPr>
          <w:rStyle w:val="Refdenotaalpie"/>
          <w:rFonts w:ascii="Verdana" w:hAnsi="Verdana"/>
          <w:sz w:val="16"/>
          <w:szCs w:val="16"/>
        </w:rPr>
        <w:footnoteRef/>
      </w:r>
      <w:r w:rsidRPr="00CD67B8">
        <w:rPr>
          <w:rFonts w:ascii="Verdana" w:hAnsi="Verdana"/>
          <w:sz w:val="16"/>
          <w:szCs w:val="16"/>
        </w:rPr>
        <w:t xml:space="preserve"> </w:t>
      </w:r>
      <w:r w:rsidRPr="00CD67B8">
        <w:rPr>
          <w:rFonts w:ascii="Verdana" w:hAnsi="Verdana"/>
          <w:sz w:val="16"/>
          <w:szCs w:val="16"/>
        </w:rPr>
        <w:tab/>
        <w:t xml:space="preserve">En el párrafo 376 de la Sentencia se fijó la cantidad de </w:t>
      </w:r>
      <w:r w:rsidRPr="00CD67B8">
        <w:rPr>
          <w:rFonts w:ascii="Verdana" w:hAnsi="Verdana" w:cs="Verdana"/>
          <w:sz w:val="16"/>
          <w:szCs w:val="16"/>
        </w:rPr>
        <w:t>USD$ 15.000,00 (quince mil dólares de los Estados Unidos de América) a favor de cada una de las madres, padres, hijas e hijos, cónyuges, compañeros y compañeras permanentes de las diez mujeres que solicitaron indemnización económica</w:t>
      </w:r>
      <w:r w:rsidR="008E074D">
        <w:rPr>
          <w:rFonts w:ascii="Verdana" w:hAnsi="Verdana" w:cs="Verdana"/>
          <w:sz w:val="16"/>
          <w:szCs w:val="16"/>
          <w:lang w:val="es-CR"/>
        </w:rPr>
        <w:t>,</w:t>
      </w:r>
      <w:r w:rsidR="008E074D" w:rsidRPr="008E074D">
        <w:rPr>
          <w:rFonts w:ascii="Verdana" w:hAnsi="Verdana" w:cs="Verdana"/>
          <w:sz w:val="16"/>
          <w:szCs w:val="16"/>
          <w:lang w:val="es-CR"/>
        </w:rPr>
        <w:t xml:space="preserve"> </w:t>
      </w:r>
      <w:r w:rsidR="008E074D">
        <w:rPr>
          <w:rFonts w:ascii="Verdana" w:hAnsi="Verdana" w:cs="Verdana"/>
          <w:sz w:val="16"/>
          <w:szCs w:val="16"/>
          <w:lang w:val="es-CR"/>
        </w:rPr>
        <w:t>identificados en el párrafo 324 de la Sentencia</w:t>
      </w:r>
      <w:r w:rsidRPr="00CD67B8">
        <w:rPr>
          <w:rFonts w:ascii="Verdana" w:hAnsi="Verdana" w:cs="Verdana"/>
          <w:sz w:val="16"/>
          <w:szCs w:val="16"/>
        </w:rPr>
        <w:t>, y USD$ 10.000,00 (diez mil dólares de los Estados Unidos de América) a favor de cada uno de sus hermanos, hermanas, sobrinos y sobrinas</w:t>
      </w:r>
      <w:r w:rsidR="008E074D">
        <w:rPr>
          <w:rFonts w:ascii="Verdana" w:hAnsi="Verdana" w:cs="Verdana"/>
          <w:sz w:val="16"/>
          <w:szCs w:val="16"/>
          <w:lang w:val="es-CR"/>
        </w:rPr>
        <w:t xml:space="preserve"> identificados en el párrafo 324 de la Sentencia</w:t>
      </w:r>
      <w:r w:rsidRPr="00CD67B8">
        <w:rPr>
          <w:rFonts w:ascii="Verdana" w:hAnsi="Verdana" w:cs="Verdana"/>
          <w:sz w:val="16"/>
          <w:szCs w:val="16"/>
        </w:rPr>
        <w:t>, por concepto de indemnización del daño inmaterial.</w:t>
      </w:r>
      <w:r>
        <w:rPr>
          <w:rFonts w:ascii="Verdana" w:hAnsi="Verdana" w:cs="Verdana"/>
          <w:sz w:val="20"/>
          <w:szCs w:val="20"/>
        </w:rPr>
        <w:t xml:space="preserve"> </w:t>
      </w:r>
    </w:p>
  </w:footnote>
  <w:footnote w:id="54">
    <w:p w14:paraId="1AE18AD1" w14:textId="5FD66371" w:rsidR="004D1244" w:rsidRPr="00B42F79" w:rsidRDefault="004D1244" w:rsidP="00D52A4B">
      <w:pPr>
        <w:pStyle w:val="Textonotapie"/>
        <w:jc w:val="both"/>
        <w:rPr>
          <w:rFonts w:ascii="Verdana" w:hAnsi="Verdana" w:cstheme="minorHAnsi"/>
          <w:lang w:val="es-MX"/>
        </w:rPr>
      </w:pPr>
      <w:r w:rsidRPr="00D52A4B">
        <w:rPr>
          <w:rStyle w:val="Refdenotaalpie"/>
          <w:rFonts w:ascii="Verdana" w:hAnsi="Verdana" w:cstheme="minorHAnsi"/>
          <w:sz w:val="16"/>
        </w:rPr>
        <w:footnoteRef/>
      </w:r>
      <w:r w:rsidRPr="00B42F79">
        <w:rPr>
          <w:rFonts w:ascii="Verdana" w:hAnsi="Verdana" w:cstheme="minorHAnsi"/>
          <w:sz w:val="16"/>
        </w:rPr>
        <w:t xml:space="preserve"> </w:t>
      </w:r>
      <w:r w:rsidRPr="00D52A4B">
        <w:rPr>
          <w:rFonts w:ascii="Verdana" w:hAnsi="Verdana" w:cstheme="minorHAnsi"/>
          <w:sz w:val="16"/>
        </w:rPr>
        <w:tab/>
      </w:r>
      <w:r>
        <w:rPr>
          <w:rFonts w:ascii="Verdana" w:hAnsi="Verdana" w:cstheme="minorHAnsi"/>
          <w:sz w:val="16"/>
          <w:lang w:val="es-MX"/>
        </w:rPr>
        <w:t xml:space="preserve">En el párrafo 380 de la Sentencia se fijó la cantidad de USD$ 30.000,00 </w:t>
      </w:r>
      <w:r w:rsidRPr="00D52A4B">
        <w:rPr>
          <w:rFonts w:ascii="Verdana" w:hAnsi="Verdana" w:cstheme="minorHAnsi"/>
          <w:sz w:val="16"/>
          <w:lang w:val="es-CR"/>
        </w:rPr>
        <w:t>(treinta mil dólares de los Estados Unidos de América) por concepto de costas y gastos a favor de CEJIL.</w:t>
      </w:r>
    </w:p>
  </w:footnote>
  <w:footnote w:id="55">
    <w:p w14:paraId="336FE95E" w14:textId="260DFC18" w:rsidR="004D1244" w:rsidRPr="008E2D5C" w:rsidRDefault="004D1244" w:rsidP="00441A32">
      <w:pPr>
        <w:pStyle w:val="Textonotapie"/>
        <w:jc w:val="both"/>
        <w:rPr>
          <w:rFonts w:ascii="Verdana" w:hAnsi="Verdana"/>
          <w:color w:val="00B050"/>
          <w:sz w:val="16"/>
          <w:szCs w:val="16"/>
        </w:rPr>
      </w:pPr>
      <w:r w:rsidRPr="00441A32">
        <w:rPr>
          <w:rStyle w:val="Refdenotaalpie"/>
          <w:rFonts w:ascii="Verdana" w:hAnsi="Verdana"/>
          <w:sz w:val="16"/>
          <w:szCs w:val="16"/>
        </w:rPr>
        <w:footnoteRef/>
      </w:r>
      <w:r w:rsidRPr="00441A32">
        <w:rPr>
          <w:rFonts w:ascii="Verdana" w:hAnsi="Verdana"/>
          <w:sz w:val="16"/>
          <w:szCs w:val="16"/>
        </w:rPr>
        <w:t xml:space="preserve"> </w:t>
      </w:r>
      <w:r w:rsidRPr="00441A32">
        <w:rPr>
          <w:rFonts w:ascii="Verdana" w:hAnsi="Verdana"/>
          <w:sz w:val="16"/>
          <w:szCs w:val="16"/>
        </w:rPr>
        <w:tab/>
        <w:t xml:space="preserve">El Estado refirió que se había emitido resolución </w:t>
      </w:r>
      <w:r>
        <w:rPr>
          <w:rFonts w:ascii="Verdana" w:hAnsi="Verdana"/>
          <w:sz w:val="16"/>
          <w:szCs w:val="16"/>
        </w:rPr>
        <w:t xml:space="preserve">para </w:t>
      </w:r>
      <w:r w:rsidRPr="00D07F6E">
        <w:rPr>
          <w:rFonts w:ascii="Verdana" w:hAnsi="Verdana"/>
          <w:sz w:val="16"/>
          <w:szCs w:val="16"/>
        </w:rPr>
        <w:t>“</w:t>
      </w:r>
      <w:r w:rsidRPr="00441A32">
        <w:rPr>
          <w:rFonts w:ascii="Verdana" w:hAnsi="Verdana"/>
          <w:sz w:val="16"/>
          <w:szCs w:val="16"/>
        </w:rPr>
        <w:t xml:space="preserve">determinar sobre el pago de medidas de rehabilitación” en cada uno de los expedientes administrativos que se encontraban tramitando ante la Comisión de Atención a Víctimas con respecto a Yolanda Muñoz </w:t>
      </w:r>
      <w:proofErr w:type="spellStart"/>
      <w:r w:rsidRPr="00441A32">
        <w:rPr>
          <w:rFonts w:ascii="Verdana" w:hAnsi="Verdana"/>
          <w:sz w:val="16"/>
          <w:szCs w:val="16"/>
        </w:rPr>
        <w:t>Diosdada</w:t>
      </w:r>
      <w:proofErr w:type="spellEnd"/>
      <w:r w:rsidRPr="00441A32">
        <w:rPr>
          <w:rFonts w:ascii="Verdana" w:hAnsi="Verdana"/>
          <w:sz w:val="16"/>
          <w:szCs w:val="16"/>
        </w:rPr>
        <w:t xml:space="preserve">, Norma </w:t>
      </w:r>
      <w:proofErr w:type="spellStart"/>
      <w:r w:rsidRPr="00441A32">
        <w:rPr>
          <w:rFonts w:ascii="Verdana" w:hAnsi="Verdana"/>
          <w:sz w:val="16"/>
          <w:szCs w:val="16"/>
        </w:rPr>
        <w:t>Aide</w:t>
      </w:r>
      <w:proofErr w:type="spellEnd"/>
      <w:r w:rsidRPr="00441A32">
        <w:rPr>
          <w:rFonts w:ascii="Verdana" w:hAnsi="Verdana"/>
          <w:sz w:val="16"/>
          <w:szCs w:val="16"/>
        </w:rPr>
        <w:t xml:space="preserve">́ </w:t>
      </w:r>
      <w:proofErr w:type="spellStart"/>
      <w:r w:rsidRPr="00441A32">
        <w:rPr>
          <w:rFonts w:ascii="Verdana" w:hAnsi="Verdana"/>
          <w:sz w:val="16"/>
          <w:szCs w:val="16"/>
        </w:rPr>
        <w:t>Jiménez</w:t>
      </w:r>
      <w:proofErr w:type="spellEnd"/>
      <w:r w:rsidRPr="00441A32">
        <w:rPr>
          <w:rFonts w:ascii="Verdana" w:hAnsi="Verdana"/>
          <w:sz w:val="16"/>
          <w:szCs w:val="16"/>
        </w:rPr>
        <w:t xml:space="preserve"> Osorio, Mariana Selvas </w:t>
      </w:r>
      <w:proofErr w:type="spellStart"/>
      <w:r w:rsidRPr="00441A32">
        <w:rPr>
          <w:rFonts w:ascii="Verdana" w:hAnsi="Verdana"/>
          <w:sz w:val="16"/>
          <w:szCs w:val="16"/>
        </w:rPr>
        <w:t>Gómez</w:t>
      </w:r>
      <w:proofErr w:type="spellEnd"/>
      <w:r w:rsidRPr="00441A32">
        <w:rPr>
          <w:rFonts w:ascii="Verdana" w:hAnsi="Verdana"/>
          <w:sz w:val="16"/>
          <w:szCs w:val="16"/>
        </w:rPr>
        <w:t xml:space="preserve">, Ana </w:t>
      </w:r>
      <w:proofErr w:type="spellStart"/>
      <w:r w:rsidRPr="00441A32">
        <w:rPr>
          <w:rFonts w:ascii="Verdana" w:hAnsi="Verdana"/>
          <w:sz w:val="16"/>
          <w:szCs w:val="16"/>
        </w:rPr>
        <w:t>María</w:t>
      </w:r>
      <w:proofErr w:type="spellEnd"/>
      <w:r w:rsidRPr="00441A32">
        <w:rPr>
          <w:rFonts w:ascii="Verdana" w:hAnsi="Verdana"/>
          <w:sz w:val="16"/>
          <w:szCs w:val="16"/>
        </w:rPr>
        <w:t xml:space="preserve"> Velasco </w:t>
      </w:r>
      <w:proofErr w:type="spellStart"/>
      <w:r w:rsidRPr="00441A32">
        <w:rPr>
          <w:rFonts w:ascii="Verdana" w:hAnsi="Verdana"/>
          <w:sz w:val="16"/>
          <w:szCs w:val="16"/>
        </w:rPr>
        <w:t>Rodríguez</w:t>
      </w:r>
      <w:proofErr w:type="spellEnd"/>
      <w:r w:rsidRPr="00441A32">
        <w:rPr>
          <w:rFonts w:ascii="Verdana" w:hAnsi="Verdana"/>
          <w:sz w:val="16"/>
          <w:szCs w:val="16"/>
        </w:rPr>
        <w:t xml:space="preserve">, </w:t>
      </w:r>
      <w:proofErr w:type="spellStart"/>
      <w:r w:rsidRPr="00441A32">
        <w:rPr>
          <w:rFonts w:ascii="Verdana" w:hAnsi="Verdana"/>
          <w:sz w:val="16"/>
          <w:szCs w:val="16"/>
        </w:rPr>
        <w:t>Suhelen</w:t>
      </w:r>
      <w:proofErr w:type="spellEnd"/>
      <w:r w:rsidRPr="00441A32">
        <w:rPr>
          <w:rFonts w:ascii="Verdana" w:hAnsi="Verdana"/>
          <w:sz w:val="16"/>
          <w:szCs w:val="16"/>
        </w:rPr>
        <w:t xml:space="preserve"> Gabriela Cuevas Jaramillo, </w:t>
      </w:r>
      <w:proofErr w:type="spellStart"/>
      <w:r w:rsidRPr="00441A32">
        <w:rPr>
          <w:rFonts w:ascii="Verdana" w:hAnsi="Verdana"/>
          <w:sz w:val="16"/>
          <w:szCs w:val="16"/>
        </w:rPr>
        <w:t>Bárbara</w:t>
      </w:r>
      <w:proofErr w:type="spellEnd"/>
      <w:r w:rsidRPr="00441A32">
        <w:rPr>
          <w:rFonts w:ascii="Verdana" w:hAnsi="Verdana"/>
          <w:sz w:val="16"/>
          <w:szCs w:val="16"/>
        </w:rPr>
        <w:t xml:space="preserve"> Italia </w:t>
      </w:r>
      <w:proofErr w:type="spellStart"/>
      <w:r w:rsidRPr="00441A32">
        <w:rPr>
          <w:rFonts w:ascii="Verdana" w:hAnsi="Verdana"/>
          <w:sz w:val="16"/>
          <w:szCs w:val="16"/>
        </w:rPr>
        <w:t>Méndez</w:t>
      </w:r>
      <w:proofErr w:type="spellEnd"/>
      <w:r w:rsidRPr="00441A32">
        <w:rPr>
          <w:rFonts w:ascii="Verdana" w:hAnsi="Verdana"/>
          <w:sz w:val="16"/>
          <w:szCs w:val="16"/>
        </w:rPr>
        <w:t xml:space="preserve"> Moreno, </w:t>
      </w:r>
      <w:proofErr w:type="spellStart"/>
      <w:r w:rsidRPr="00441A32">
        <w:rPr>
          <w:rFonts w:ascii="Verdana" w:hAnsi="Verdana"/>
          <w:sz w:val="16"/>
          <w:szCs w:val="16"/>
        </w:rPr>
        <w:t>María</w:t>
      </w:r>
      <w:proofErr w:type="spellEnd"/>
      <w:r w:rsidRPr="00441A32">
        <w:rPr>
          <w:rFonts w:ascii="Verdana" w:hAnsi="Verdana"/>
          <w:sz w:val="16"/>
          <w:szCs w:val="16"/>
        </w:rPr>
        <w:t xml:space="preserve"> Cristina </w:t>
      </w:r>
      <w:proofErr w:type="spellStart"/>
      <w:r w:rsidRPr="00441A32">
        <w:rPr>
          <w:rFonts w:ascii="Verdana" w:hAnsi="Verdana"/>
          <w:sz w:val="16"/>
          <w:szCs w:val="16"/>
        </w:rPr>
        <w:t>Sánchez</w:t>
      </w:r>
      <w:proofErr w:type="spellEnd"/>
      <w:r w:rsidRPr="00441A32">
        <w:rPr>
          <w:rFonts w:ascii="Verdana" w:hAnsi="Verdana"/>
          <w:sz w:val="16"/>
          <w:szCs w:val="16"/>
        </w:rPr>
        <w:t xml:space="preserve"> </w:t>
      </w:r>
      <w:proofErr w:type="spellStart"/>
      <w:r w:rsidRPr="00441A32">
        <w:rPr>
          <w:rFonts w:ascii="Verdana" w:hAnsi="Verdana"/>
          <w:sz w:val="16"/>
          <w:szCs w:val="16"/>
        </w:rPr>
        <w:t>Hernández</w:t>
      </w:r>
      <w:proofErr w:type="spellEnd"/>
      <w:r w:rsidRPr="00441A32">
        <w:rPr>
          <w:rFonts w:ascii="Verdana" w:hAnsi="Verdana"/>
          <w:sz w:val="16"/>
          <w:szCs w:val="16"/>
        </w:rPr>
        <w:t xml:space="preserve">, </w:t>
      </w:r>
      <w:proofErr w:type="spellStart"/>
      <w:r w:rsidRPr="00441A32">
        <w:rPr>
          <w:rFonts w:ascii="Verdana" w:hAnsi="Verdana"/>
          <w:sz w:val="16"/>
          <w:szCs w:val="16"/>
        </w:rPr>
        <w:t>Angélica</w:t>
      </w:r>
      <w:proofErr w:type="spellEnd"/>
      <w:r w:rsidRPr="00441A32">
        <w:rPr>
          <w:rFonts w:ascii="Verdana" w:hAnsi="Verdana"/>
          <w:sz w:val="16"/>
          <w:szCs w:val="16"/>
        </w:rPr>
        <w:t xml:space="preserve"> Patricia Torres Linares y Claudia </w:t>
      </w:r>
      <w:proofErr w:type="spellStart"/>
      <w:r w:rsidRPr="00441A32">
        <w:rPr>
          <w:rFonts w:ascii="Verdana" w:hAnsi="Verdana"/>
          <w:sz w:val="16"/>
          <w:szCs w:val="16"/>
        </w:rPr>
        <w:t>Hernández</w:t>
      </w:r>
      <w:proofErr w:type="spellEnd"/>
      <w:r w:rsidRPr="00441A32">
        <w:rPr>
          <w:rFonts w:ascii="Verdana" w:hAnsi="Verdana"/>
          <w:sz w:val="16"/>
          <w:szCs w:val="16"/>
        </w:rPr>
        <w:t xml:space="preserve"> </w:t>
      </w:r>
      <w:proofErr w:type="spellStart"/>
      <w:r w:rsidRPr="00441A32">
        <w:rPr>
          <w:rFonts w:ascii="Verdana" w:hAnsi="Verdana"/>
          <w:sz w:val="16"/>
          <w:szCs w:val="16"/>
        </w:rPr>
        <w:t>Martínez</w:t>
      </w:r>
      <w:proofErr w:type="spellEnd"/>
      <w:r w:rsidRPr="00441A32">
        <w:rPr>
          <w:rFonts w:ascii="Verdana" w:hAnsi="Verdana"/>
          <w:sz w:val="16"/>
          <w:szCs w:val="16"/>
        </w:rPr>
        <w:t xml:space="preserve"> (Anexos 3 a 12 al informe estatal de 23 de diciembre de 2019). </w:t>
      </w:r>
    </w:p>
  </w:footnote>
  <w:footnote w:id="56">
    <w:p w14:paraId="1FBDA91A" w14:textId="5BDEF3F0" w:rsidR="004D1244" w:rsidRPr="00F93B65" w:rsidRDefault="004D1244" w:rsidP="00F93B65">
      <w:pPr>
        <w:pStyle w:val="Textonotapie"/>
        <w:jc w:val="both"/>
        <w:rPr>
          <w:rFonts w:ascii="Verdana" w:hAnsi="Verdana"/>
          <w:b/>
          <w:i/>
          <w:sz w:val="16"/>
          <w:szCs w:val="16"/>
          <w:lang w:val="es-MX"/>
        </w:rPr>
      </w:pPr>
      <w:r w:rsidRPr="00E43C03">
        <w:rPr>
          <w:rStyle w:val="Refdenotaalpie"/>
          <w:rFonts w:ascii="Verdana" w:hAnsi="Verdana"/>
          <w:sz w:val="16"/>
          <w:szCs w:val="16"/>
        </w:rPr>
        <w:footnoteRef/>
      </w:r>
      <w:r w:rsidRPr="00E43C03">
        <w:rPr>
          <w:rFonts w:ascii="Verdana" w:hAnsi="Verdana"/>
          <w:sz w:val="16"/>
          <w:szCs w:val="16"/>
        </w:rPr>
        <w:t xml:space="preserve"> </w:t>
      </w:r>
      <w:r w:rsidRPr="00E43C03">
        <w:rPr>
          <w:rFonts w:ascii="Verdana" w:hAnsi="Verdana"/>
          <w:sz w:val="16"/>
          <w:szCs w:val="16"/>
        </w:rPr>
        <w:tab/>
      </w:r>
      <w:r w:rsidRPr="00E43C03">
        <w:rPr>
          <w:rFonts w:ascii="Verdana" w:hAnsi="Verdana"/>
          <w:sz w:val="16"/>
          <w:szCs w:val="16"/>
          <w:lang w:val="es-MX"/>
        </w:rPr>
        <w:t xml:space="preserve">Constataron que “el Estado ha depositado las indemnizaciones a 9 de las 10 familias beneficiarias”. Escrito </w:t>
      </w:r>
      <w:r>
        <w:rPr>
          <w:rFonts w:ascii="Verdana" w:hAnsi="Verdana"/>
          <w:sz w:val="16"/>
          <w:szCs w:val="16"/>
          <w:lang w:val="es-MX"/>
        </w:rPr>
        <w:t>de observaciones de las representantes de</w:t>
      </w:r>
      <w:r w:rsidRPr="00E43C03">
        <w:rPr>
          <w:rFonts w:ascii="Verdana" w:hAnsi="Verdana"/>
          <w:sz w:val="16"/>
          <w:szCs w:val="16"/>
          <w:lang w:val="es-MX"/>
        </w:rPr>
        <w:t xml:space="preserve"> 26 de febrero de 2020. </w:t>
      </w:r>
    </w:p>
  </w:footnote>
  <w:footnote w:id="57">
    <w:p w14:paraId="4A0CFEBF" w14:textId="77777777" w:rsidR="004D1244" w:rsidRPr="00D834CC" w:rsidRDefault="004D1244" w:rsidP="00D834CC">
      <w:pPr>
        <w:pStyle w:val="Textonotapie"/>
        <w:jc w:val="both"/>
        <w:rPr>
          <w:rFonts w:ascii="Verdana" w:hAnsi="Verdana"/>
          <w:sz w:val="16"/>
          <w:szCs w:val="16"/>
          <w:lang w:val="es-CR"/>
        </w:rPr>
      </w:pPr>
      <w:r w:rsidRPr="00D834CC">
        <w:rPr>
          <w:rStyle w:val="Refdenotaalpie"/>
          <w:rFonts w:ascii="Verdana" w:hAnsi="Verdana"/>
          <w:sz w:val="16"/>
          <w:szCs w:val="16"/>
        </w:rPr>
        <w:footnoteRef/>
      </w:r>
      <w:r w:rsidRPr="00D834CC">
        <w:rPr>
          <w:rFonts w:ascii="Verdana" w:hAnsi="Verdana"/>
          <w:sz w:val="16"/>
          <w:szCs w:val="16"/>
        </w:rPr>
        <w:t xml:space="preserve"> </w:t>
      </w:r>
      <w:r w:rsidRPr="00D834CC">
        <w:rPr>
          <w:rFonts w:ascii="Verdana" w:hAnsi="Verdana"/>
          <w:sz w:val="16"/>
          <w:szCs w:val="16"/>
          <w:lang w:val="es-MX"/>
        </w:rPr>
        <w:tab/>
        <w:t>La Comisión valoró positivamente “</w:t>
      </w:r>
      <w:r w:rsidRPr="00D834CC">
        <w:rPr>
          <w:rFonts w:ascii="Verdana" w:hAnsi="Verdana"/>
          <w:sz w:val="16"/>
          <w:szCs w:val="16"/>
          <w:lang w:val="es-CR"/>
        </w:rPr>
        <w:t>el avance significativo en el cumplim</w:t>
      </w:r>
      <w:r>
        <w:rPr>
          <w:rFonts w:ascii="Verdana" w:hAnsi="Verdana"/>
          <w:sz w:val="16"/>
          <w:szCs w:val="16"/>
          <w:lang w:val="es-CR"/>
        </w:rPr>
        <w:t>iento de este punto</w:t>
      </w:r>
      <w:r w:rsidRPr="00D834CC">
        <w:rPr>
          <w:rFonts w:ascii="Verdana" w:hAnsi="Verdana"/>
          <w:sz w:val="16"/>
          <w:szCs w:val="16"/>
          <w:lang w:val="es-CR"/>
        </w:rPr>
        <w:t xml:space="preserve">”, y tomó nota los pagos que continúan pendientes. </w:t>
      </w:r>
      <w:r w:rsidRPr="00D834CC">
        <w:rPr>
          <w:rFonts w:ascii="Verdana" w:hAnsi="Verdana"/>
          <w:i/>
          <w:sz w:val="16"/>
          <w:szCs w:val="16"/>
          <w:lang w:val="es-CR"/>
        </w:rPr>
        <w:t>Cfr</w:t>
      </w:r>
      <w:r w:rsidRPr="00D834CC">
        <w:rPr>
          <w:rFonts w:ascii="Verdana" w:hAnsi="Verdana"/>
          <w:sz w:val="16"/>
          <w:szCs w:val="16"/>
          <w:lang w:val="es-CR"/>
        </w:rPr>
        <w:t>. Escrito de observaciones de la Comisión de 26 de mayo de 2020.</w:t>
      </w:r>
    </w:p>
  </w:footnote>
  <w:footnote w:id="58">
    <w:p w14:paraId="245F4A04" w14:textId="12AB1C6E" w:rsidR="004D1244" w:rsidRPr="00F93B65" w:rsidRDefault="004D1244" w:rsidP="00F93B65">
      <w:pPr>
        <w:pStyle w:val="Textonotapie"/>
        <w:jc w:val="both"/>
        <w:rPr>
          <w:rFonts w:ascii="Verdana" w:hAnsi="Verdana"/>
          <w:sz w:val="16"/>
          <w:szCs w:val="16"/>
        </w:rPr>
      </w:pPr>
      <w:r w:rsidRPr="00F93B65">
        <w:rPr>
          <w:rStyle w:val="Refdenotaalpie"/>
          <w:rFonts w:ascii="Verdana" w:hAnsi="Verdana"/>
          <w:sz w:val="16"/>
          <w:szCs w:val="16"/>
        </w:rPr>
        <w:footnoteRef/>
      </w:r>
      <w:r w:rsidRPr="00F93B65">
        <w:rPr>
          <w:rFonts w:ascii="Verdana" w:hAnsi="Verdana"/>
          <w:sz w:val="16"/>
          <w:szCs w:val="16"/>
        </w:rPr>
        <w:t xml:space="preserve"> </w:t>
      </w:r>
      <w:r w:rsidRPr="00F93B65">
        <w:rPr>
          <w:rFonts w:ascii="Verdana" w:hAnsi="Verdana"/>
          <w:sz w:val="16"/>
          <w:szCs w:val="16"/>
        </w:rPr>
        <w:tab/>
        <w:t xml:space="preserve">Las representantes explicaron que </w:t>
      </w:r>
      <w:r w:rsidRPr="00F93B65">
        <w:rPr>
          <w:rFonts w:ascii="Verdana" w:hAnsi="Verdana"/>
          <w:sz w:val="16"/>
          <w:szCs w:val="16"/>
          <w:lang w:val="es-MX"/>
        </w:rPr>
        <w:t>la señora María Patricia Romero Hernández y sus familiares habían enfrentado una “serie de dificultades […] para reunir los documentos necesarios para tramitar las indemnizaciones”, los cuales fueron entregados a la Comisión Ejecutiv</w:t>
      </w:r>
      <w:r w:rsidR="001F6B84">
        <w:rPr>
          <w:rFonts w:ascii="Verdana" w:hAnsi="Verdana"/>
          <w:sz w:val="16"/>
          <w:szCs w:val="16"/>
          <w:lang w:val="es-MX"/>
        </w:rPr>
        <w:t>a</w:t>
      </w:r>
      <w:r w:rsidRPr="00F93B65">
        <w:rPr>
          <w:rFonts w:ascii="Verdana" w:hAnsi="Verdana"/>
          <w:sz w:val="16"/>
          <w:szCs w:val="16"/>
          <w:lang w:val="es-MX"/>
        </w:rPr>
        <w:t xml:space="preserve"> de Atención a Víctimas recién en febrero de 2020. </w:t>
      </w:r>
      <w:r w:rsidRPr="00F93B65">
        <w:rPr>
          <w:rFonts w:ascii="Verdana" w:hAnsi="Verdana"/>
          <w:i/>
          <w:sz w:val="16"/>
          <w:szCs w:val="16"/>
          <w:lang w:val="es-MX"/>
        </w:rPr>
        <w:t>Cfr</w:t>
      </w:r>
      <w:r w:rsidRPr="00F93B65">
        <w:rPr>
          <w:rFonts w:ascii="Verdana" w:hAnsi="Verdana"/>
          <w:sz w:val="16"/>
          <w:szCs w:val="16"/>
          <w:lang w:val="es-MX"/>
        </w:rPr>
        <w:t>. Escrito de observaciones de las representantes de 26 de febrero de 2020.</w:t>
      </w:r>
    </w:p>
  </w:footnote>
  <w:footnote w:id="59">
    <w:p w14:paraId="158CDDF3" w14:textId="3049E09A" w:rsidR="004D1244" w:rsidRPr="00B42F79" w:rsidRDefault="004D1244">
      <w:pPr>
        <w:pStyle w:val="Textonotapie"/>
        <w:rPr>
          <w:rFonts w:ascii="Verdana" w:hAnsi="Verdana"/>
          <w:sz w:val="16"/>
          <w:szCs w:val="16"/>
          <w:lang w:val="es-MX"/>
        </w:rPr>
      </w:pPr>
      <w:r w:rsidRPr="00B42F79">
        <w:rPr>
          <w:rStyle w:val="Refdenotaalpie"/>
          <w:rFonts w:ascii="Verdana" w:hAnsi="Verdana"/>
          <w:sz w:val="16"/>
          <w:szCs w:val="16"/>
        </w:rPr>
        <w:footnoteRef/>
      </w:r>
      <w:r w:rsidRPr="00B42F79">
        <w:rPr>
          <w:rFonts w:ascii="Verdana" w:hAnsi="Verdana"/>
          <w:sz w:val="16"/>
          <w:szCs w:val="16"/>
        </w:rPr>
        <w:t xml:space="preserve"> </w:t>
      </w:r>
      <w:r>
        <w:rPr>
          <w:rFonts w:ascii="Verdana" w:hAnsi="Verdana"/>
          <w:sz w:val="16"/>
          <w:szCs w:val="16"/>
        </w:rPr>
        <w:tab/>
      </w:r>
      <w:r>
        <w:rPr>
          <w:rFonts w:ascii="Verdana" w:hAnsi="Verdana"/>
          <w:i/>
          <w:sz w:val="16"/>
          <w:szCs w:val="16"/>
          <w:lang w:val="es-MX"/>
        </w:rPr>
        <w:t xml:space="preserve">Cfr. </w:t>
      </w:r>
      <w:r>
        <w:rPr>
          <w:rFonts w:ascii="Verdana" w:hAnsi="Verdana"/>
          <w:sz w:val="16"/>
          <w:szCs w:val="16"/>
          <w:lang w:val="es-MX"/>
        </w:rPr>
        <w:t>Escrito de observaciones de las representantes de 26 de febrero de 2020.</w:t>
      </w:r>
    </w:p>
  </w:footnote>
  <w:footnote w:id="60">
    <w:p w14:paraId="4801718E" w14:textId="77777777" w:rsidR="004D1244" w:rsidRPr="0011375D" w:rsidRDefault="004D1244" w:rsidP="004B3D6E">
      <w:pPr>
        <w:pStyle w:val="Textonotapie"/>
        <w:jc w:val="both"/>
        <w:rPr>
          <w:rFonts w:ascii="Verdana" w:hAnsi="Verdana"/>
          <w:sz w:val="16"/>
          <w:szCs w:val="16"/>
          <w:lang w:val="es-ES"/>
        </w:rPr>
      </w:pPr>
      <w:r w:rsidRPr="0011375D">
        <w:rPr>
          <w:rStyle w:val="Refdenotaalpie"/>
          <w:rFonts w:ascii="Verdana" w:hAnsi="Verdana"/>
          <w:sz w:val="16"/>
          <w:szCs w:val="16"/>
        </w:rPr>
        <w:footnoteRef/>
      </w:r>
      <w:r w:rsidRPr="0011375D">
        <w:rPr>
          <w:rFonts w:ascii="Verdana" w:hAnsi="Verdana"/>
          <w:sz w:val="16"/>
          <w:szCs w:val="16"/>
        </w:rPr>
        <w:t xml:space="preserve"> </w:t>
      </w:r>
      <w:r w:rsidRPr="0011375D">
        <w:rPr>
          <w:rFonts w:ascii="Verdana" w:hAnsi="Verdana"/>
          <w:sz w:val="16"/>
          <w:szCs w:val="16"/>
          <w:lang w:val="es-ES"/>
        </w:rPr>
        <w:tab/>
      </w:r>
      <w:r>
        <w:rPr>
          <w:rFonts w:ascii="Verdana" w:hAnsi="Verdana"/>
          <w:sz w:val="16"/>
          <w:szCs w:val="16"/>
          <w:lang w:val="es-ES"/>
        </w:rPr>
        <w:t xml:space="preserve">De conformidad con lo establecido en el punto resolutivo décimo tercero y el párrafo 355 de la Sentencia, dicho plan de </w:t>
      </w:r>
      <w:proofErr w:type="spellStart"/>
      <w:r w:rsidRPr="00D456D3">
        <w:rPr>
          <w:rFonts w:ascii="Verdana" w:hAnsi="Verdana"/>
          <w:sz w:val="16"/>
          <w:szCs w:val="16"/>
          <w:lang w:val="es-ES"/>
        </w:rPr>
        <w:t>capacitación</w:t>
      </w:r>
      <w:proofErr w:type="spellEnd"/>
      <w:r w:rsidRPr="00D456D3">
        <w:rPr>
          <w:rFonts w:ascii="Verdana" w:hAnsi="Verdana"/>
          <w:sz w:val="16"/>
          <w:szCs w:val="16"/>
          <w:lang w:val="es-ES"/>
        </w:rPr>
        <w:t xml:space="preserve"> debe ser incorporado en el curso de </w:t>
      </w:r>
      <w:proofErr w:type="spellStart"/>
      <w:r w:rsidRPr="00D456D3">
        <w:rPr>
          <w:rFonts w:ascii="Verdana" w:hAnsi="Verdana"/>
          <w:sz w:val="16"/>
          <w:szCs w:val="16"/>
          <w:lang w:val="es-ES"/>
        </w:rPr>
        <w:t>formación</w:t>
      </w:r>
      <w:proofErr w:type="spellEnd"/>
      <w:r w:rsidRPr="00D456D3">
        <w:rPr>
          <w:rFonts w:ascii="Verdana" w:hAnsi="Verdana"/>
          <w:sz w:val="16"/>
          <w:szCs w:val="16"/>
          <w:lang w:val="es-ES"/>
        </w:rPr>
        <w:t xml:space="preserve"> regular de los miembros del cuerpo de </w:t>
      </w:r>
      <w:proofErr w:type="spellStart"/>
      <w:r w:rsidRPr="00D456D3">
        <w:rPr>
          <w:rFonts w:ascii="Verdana" w:hAnsi="Verdana"/>
          <w:sz w:val="16"/>
          <w:szCs w:val="16"/>
          <w:lang w:val="es-ES"/>
        </w:rPr>
        <w:t>policía</w:t>
      </w:r>
      <w:proofErr w:type="spellEnd"/>
      <w:r w:rsidRPr="00D456D3">
        <w:rPr>
          <w:rFonts w:ascii="Verdana" w:hAnsi="Verdana"/>
          <w:sz w:val="16"/>
          <w:szCs w:val="16"/>
          <w:lang w:val="es-ES"/>
        </w:rPr>
        <w:t xml:space="preserve"> federal y estadual</w:t>
      </w:r>
      <w:r>
        <w:rPr>
          <w:rFonts w:ascii="Verdana" w:hAnsi="Verdana"/>
          <w:sz w:val="16"/>
          <w:szCs w:val="16"/>
          <w:lang w:val="es-ES"/>
        </w:rPr>
        <w:t xml:space="preserve">, y debe estar </w:t>
      </w:r>
      <w:r w:rsidRPr="00D456D3">
        <w:rPr>
          <w:rFonts w:ascii="Verdana" w:hAnsi="Verdana"/>
          <w:sz w:val="16"/>
          <w:szCs w:val="16"/>
          <w:lang w:val="es-ES"/>
        </w:rPr>
        <w:t xml:space="preserve">orientado a: (i) sensibilizar a los miembros de los cuerpos de </w:t>
      </w:r>
      <w:proofErr w:type="spellStart"/>
      <w:r w:rsidRPr="00D456D3">
        <w:rPr>
          <w:rFonts w:ascii="Verdana" w:hAnsi="Verdana"/>
          <w:sz w:val="16"/>
          <w:szCs w:val="16"/>
          <w:lang w:val="es-ES"/>
        </w:rPr>
        <w:t>policía</w:t>
      </w:r>
      <w:proofErr w:type="spellEnd"/>
      <w:r w:rsidRPr="00D456D3">
        <w:rPr>
          <w:rFonts w:ascii="Verdana" w:hAnsi="Verdana"/>
          <w:sz w:val="16"/>
          <w:szCs w:val="16"/>
          <w:lang w:val="es-ES"/>
        </w:rPr>
        <w:t xml:space="preserve"> en abordar con perspectiva de </w:t>
      </w:r>
      <w:proofErr w:type="spellStart"/>
      <w:r w:rsidRPr="00D456D3">
        <w:rPr>
          <w:rFonts w:ascii="Verdana" w:hAnsi="Verdana"/>
          <w:sz w:val="16"/>
          <w:szCs w:val="16"/>
          <w:lang w:val="es-ES"/>
        </w:rPr>
        <w:t>género</w:t>
      </w:r>
      <w:proofErr w:type="spellEnd"/>
      <w:r w:rsidRPr="00D456D3">
        <w:rPr>
          <w:rFonts w:ascii="Verdana" w:hAnsi="Verdana"/>
          <w:sz w:val="16"/>
          <w:szCs w:val="16"/>
          <w:lang w:val="es-ES"/>
        </w:rPr>
        <w:t xml:space="preserve"> los operativos policiales, el </w:t>
      </w:r>
      <w:proofErr w:type="spellStart"/>
      <w:r w:rsidRPr="00D456D3">
        <w:rPr>
          <w:rFonts w:ascii="Verdana" w:hAnsi="Verdana"/>
          <w:sz w:val="16"/>
          <w:szCs w:val="16"/>
          <w:lang w:val="es-ES"/>
        </w:rPr>
        <w:t>carácter</w:t>
      </w:r>
      <w:proofErr w:type="spellEnd"/>
      <w:r w:rsidRPr="00D456D3">
        <w:rPr>
          <w:rFonts w:ascii="Verdana" w:hAnsi="Verdana"/>
          <w:sz w:val="16"/>
          <w:szCs w:val="16"/>
          <w:lang w:val="es-ES"/>
        </w:rPr>
        <w:t xml:space="preserve"> discriminatorio de los estereotipos de </w:t>
      </w:r>
      <w:proofErr w:type="spellStart"/>
      <w:r w:rsidRPr="00D456D3">
        <w:rPr>
          <w:rFonts w:ascii="Verdana" w:hAnsi="Verdana"/>
          <w:sz w:val="16"/>
          <w:szCs w:val="16"/>
          <w:lang w:val="es-ES"/>
        </w:rPr>
        <w:t>género</w:t>
      </w:r>
      <w:proofErr w:type="spellEnd"/>
      <w:r w:rsidRPr="00D456D3">
        <w:rPr>
          <w:rFonts w:ascii="Verdana" w:hAnsi="Verdana"/>
          <w:sz w:val="16"/>
          <w:szCs w:val="16"/>
          <w:lang w:val="es-ES"/>
        </w:rPr>
        <w:t xml:space="preserve"> como los empleados en este caso y el absoluto deber de respeto y </w:t>
      </w:r>
      <w:proofErr w:type="spellStart"/>
      <w:r w:rsidRPr="00D456D3">
        <w:rPr>
          <w:rFonts w:ascii="Verdana" w:hAnsi="Verdana"/>
          <w:sz w:val="16"/>
          <w:szCs w:val="16"/>
          <w:lang w:val="es-ES"/>
        </w:rPr>
        <w:t>protección</w:t>
      </w:r>
      <w:proofErr w:type="spellEnd"/>
      <w:r w:rsidRPr="00D456D3">
        <w:rPr>
          <w:rFonts w:ascii="Verdana" w:hAnsi="Verdana"/>
          <w:sz w:val="16"/>
          <w:szCs w:val="16"/>
          <w:lang w:val="es-ES"/>
        </w:rPr>
        <w:t xml:space="preserve"> de la </w:t>
      </w:r>
      <w:proofErr w:type="spellStart"/>
      <w:r w:rsidRPr="00D456D3">
        <w:rPr>
          <w:rFonts w:ascii="Verdana" w:hAnsi="Verdana"/>
          <w:sz w:val="16"/>
          <w:szCs w:val="16"/>
          <w:lang w:val="es-ES"/>
        </w:rPr>
        <w:t>población</w:t>
      </w:r>
      <w:proofErr w:type="spellEnd"/>
      <w:r w:rsidRPr="00D456D3">
        <w:rPr>
          <w:rFonts w:ascii="Verdana" w:hAnsi="Verdana"/>
          <w:sz w:val="16"/>
          <w:szCs w:val="16"/>
          <w:lang w:val="es-ES"/>
        </w:rPr>
        <w:t xml:space="preserve"> civil con la que entran en contacto en el marco de sus labores orden </w:t>
      </w:r>
      <w:proofErr w:type="spellStart"/>
      <w:r w:rsidRPr="00D456D3">
        <w:rPr>
          <w:rFonts w:ascii="Verdana" w:hAnsi="Verdana"/>
          <w:sz w:val="16"/>
          <w:szCs w:val="16"/>
          <w:lang w:val="es-ES"/>
        </w:rPr>
        <w:t>público</w:t>
      </w:r>
      <w:proofErr w:type="spellEnd"/>
      <w:r w:rsidRPr="00D456D3">
        <w:rPr>
          <w:rFonts w:ascii="Verdana" w:hAnsi="Verdana"/>
          <w:sz w:val="16"/>
          <w:szCs w:val="16"/>
          <w:lang w:val="es-ES"/>
        </w:rPr>
        <w:t xml:space="preserve">, </w:t>
      </w:r>
      <w:proofErr w:type="spellStart"/>
      <w:r w:rsidRPr="00D456D3">
        <w:rPr>
          <w:rFonts w:ascii="Verdana" w:hAnsi="Verdana"/>
          <w:sz w:val="16"/>
          <w:szCs w:val="16"/>
          <w:lang w:val="es-ES"/>
        </w:rPr>
        <w:t>asi</w:t>
      </w:r>
      <w:proofErr w:type="spellEnd"/>
      <w:r w:rsidRPr="00D456D3">
        <w:rPr>
          <w:rFonts w:ascii="Verdana" w:hAnsi="Verdana"/>
          <w:sz w:val="16"/>
          <w:szCs w:val="16"/>
          <w:lang w:val="es-ES"/>
        </w:rPr>
        <w:t>́ como a (</w:t>
      </w:r>
      <w:proofErr w:type="spellStart"/>
      <w:r w:rsidRPr="00D456D3">
        <w:rPr>
          <w:rFonts w:ascii="Verdana" w:hAnsi="Verdana"/>
          <w:sz w:val="16"/>
          <w:szCs w:val="16"/>
          <w:lang w:val="es-ES"/>
        </w:rPr>
        <w:t>ii</w:t>
      </w:r>
      <w:proofErr w:type="spellEnd"/>
      <w:r w:rsidRPr="00D456D3">
        <w:rPr>
          <w:rFonts w:ascii="Verdana" w:hAnsi="Verdana"/>
          <w:sz w:val="16"/>
          <w:szCs w:val="16"/>
          <w:lang w:val="es-ES"/>
        </w:rPr>
        <w:t xml:space="preserve">) capacitar a los agentes de </w:t>
      </w:r>
      <w:proofErr w:type="spellStart"/>
      <w:r w:rsidRPr="00D456D3">
        <w:rPr>
          <w:rFonts w:ascii="Verdana" w:hAnsi="Verdana"/>
          <w:sz w:val="16"/>
          <w:szCs w:val="16"/>
          <w:lang w:val="es-ES"/>
        </w:rPr>
        <w:t>policía</w:t>
      </w:r>
      <w:proofErr w:type="spellEnd"/>
      <w:r w:rsidRPr="00D456D3">
        <w:rPr>
          <w:rFonts w:ascii="Verdana" w:hAnsi="Verdana"/>
          <w:sz w:val="16"/>
          <w:szCs w:val="16"/>
          <w:lang w:val="es-ES"/>
        </w:rPr>
        <w:t xml:space="preserve"> sobre los </w:t>
      </w:r>
      <w:proofErr w:type="spellStart"/>
      <w:r w:rsidRPr="00D456D3">
        <w:rPr>
          <w:rFonts w:ascii="Verdana" w:hAnsi="Verdana"/>
          <w:sz w:val="16"/>
          <w:szCs w:val="16"/>
          <w:lang w:val="es-ES"/>
        </w:rPr>
        <w:t>estándares</w:t>
      </w:r>
      <w:proofErr w:type="spellEnd"/>
      <w:r w:rsidRPr="00D456D3">
        <w:rPr>
          <w:rFonts w:ascii="Verdana" w:hAnsi="Verdana"/>
          <w:sz w:val="16"/>
          <w:szCs w:val="16"/>
          <w:lang w:val="es-ES"/>
        </w:rPr>
        <w:t xml:space="preserve"> en materia del uso de la fuerza en contextos de protesta social establecidos en esta Sentencia y en l</w:t>
      </w:r>
      <w:r>
        <w:rPr>
          <w:rFonts w:ascii="Verdana" w:hAnsi="Verdana"/>
          <w:sz w:val="16"/>
          <w:szCs w:val="16"/>
          <w:lang w:val="es-ES"/>
        </w:rPr>
        <w:t>a jurisprudencia de esta Corte.</w:t>
      </w:r>
    </w:p>
  </w:footnote>
  <w:footnote w:id="61">
    <w:p w14:paraId="153C0736" w14:textId="78A90FDC" w:rsidR="004D1244" w:rsidRPr="004B3D6E" w:rsidRDefault="004D1244" w:rsidP="004B3D6E">
      <w:pPr>
        <w:pStyle w:val="Textonotapie"/>
        <w:jc w:val="both"/>
        <w:rPr>
          <w:rFonts w:ascii="Verdana" w:hAnsi="Verdana"/>
          <w:sz w:val="16"/>
          <w:szCs w:val="16"/>
        </w:rPr>
      </w:pPr>
      <w:r w:rsidRPr="004B3D6E">
        <w:rPr>
          <w:rStyle w:val="Refdenotaalpie"/>
          <w:rFonts w:ascii="Verdana" w:hAnsi="Verdana"/>
          <w:sz w:val="16"/>
          <w:szCs w:val="16"/>
        </w:rPr>
        <w:footnoteRef/>
      </w:r>
      <w:r w:rsidRPr="004B3D6E">
        <w:rPr>
          <w:rFonts w:ascii="Verdana" w:hAnsi="Verdana"/>
          <w:sz w:val="16"/>
          <w:szCs w:val="16"/>
        </w:rPr>
        <w:t xml:space="preserve"> </w:t>
      </w:r>
      <w:r w:rsidRPr="004B3D6E">
        <w:rPr>
          <w:rFonts w:ascii="Verdana" w:hAnsi="Verdana"/>
          <w:sz w:val="16"/>
          <w:szCs w:val="16"/>
        </w:rPr>
        <w:tab/>
      </w:r>
      <w:r w:rsidRPr="004B3D6E">
        <w:rPr>
          <w:rFonts w:ascii="Verdana" w:hAnsi="Verdana"/>
          <w:sz w:val="16"/>
          <w:szCs w:val="16"/>
          <w:lang w:val="es-ES"/>
        </w:rPr>
        <w:t xml:space="preserve">De conformidad con lo establecido en el punto resolutivo décimo tercero y el párrafo 356 de la Sentencia, dicho mecanismo consistirá en el establecimiento al nivel federal de un observatorio independiente que permita dar seguimiento a la </w:t>
      </w:r>
      <w:proofErr w:type="spellStart"/>
      <w:r w:rsidRPr="004B3D6E">
        <w:rPr>
          <w:rFonts w:ascii="Verdana" w:hAnsi="Verdana"/>
          <w:sz w:val="16"/>
          <w:szCs w:val="16"/>
          <w:lang w:val="es-ES"/>
        </w:rPr>
        <w:t>implementación</w:t>
      </w:r>
      <w:proofErr w:type="spellEnd"/>
      <w:r w:rsidRPr="004B3D6E">
        <w:rPr>
          <w:rFonts w:ascii="Verdana" w:hAnsi="Verdana"/>
          <w:sz w:val="16"/>
          <w:szCs w:val="16"/>
          <w:lang w:val="es-ES"/>
        </w:rPr>
        <w:t xml:space="preserve"> de las </w:t>
      </w:r>
      <w:proofErr w:type="spellStart"/>
      <w:r w:rsidRPr="004B3D6E">
        <w:rPr>
          <w:rFonts w:ascii="Verdana" w:hAnsi="Verdana"/>
          <w:sz w:val="16"/>
          <w:szCs w:val="16"/>
          <w:lang w:val="es-ES"/>
        </w:rPr>
        <w:t>políticas</w:t>
      </w:r>
      <w:proofErr w:type="spellEnd"/>
      <w:r w:rsidRPr="004B3D6E">
        <w:rPr>
          <w:rFonts w:ascii="Verdana" w:hAnsi="Verdana"/>
          <w:sz w:val="16"/>
          <w:szCs w:val="16"/>
          <w:lang w:val="es-ES"/>
        </w:rPr>
        <w:t xml:space="preserve"> en materia de </w:t>
      </w:r>
      <w:proofErr w:type="spellStart"/>
      <w:r w:rsidRPr="004B3D6E">
        <w:rPr>
          <w:rFonts w:ascii="Verdana" w:hAnsi="Verdana"/>
          <w:sz w:val="16"/>
          <w:szCs w:val="16"/>
          <w:lang w:val="es-ES"/>
        </w:rPr>
        <w:t>rendición</w:t>
      </w:r>
      <w:proofErr w:type="spellEnd"/>
      <w:r w:rsidRPr="004B3D6E">
        <w:rPr>
          <w:rFonts w:ascii="Verdana" w:hAnsi="Verdana"/>
          <w:sz w:val="16"/>
          <w:szCs w:val="16"/>
          <w:lang w:val="es-ES"/>
        </w:rPr>
        <w:t xml:space="preserve"> de cuentas y monitoreo del uso de la fuerza de la </w:t>
      </w:r>
      <w:proofErr w:type="spellStart"/>
      <w:r w:rsidRPr="004B3D6E">
        <w:rPr>
          <w:rFonts w:ascii="Verdana" w:hAnsi="Verdana"/>
          <w:sz w:val="16"/>
          <w:szCs w:val="16"/>
          <w:lang w:val="es-ES"/>
        </w:rPr>
        <w:t>Policía</w:t>
      </w:r>
      <w:proofErr w:type="spellEnd"/>
      <w:r w:rsidRPr="004B3D6E">
        <w:rPr>
          <w:rFonts w:ascii="Verdana" w:hAnsi="Verdana"/>
          <w:sz w:val="16"/>
          <w:szCs w:val="16"/>
          <w:lang w:val="es-ES"/>
        </w:rPr>
        <w:t xml:space="preserve"> Federal y la </w:t>
      </w:r>
      <w:proofErr w:type="spellStart"/>
      <w:r w:rsidRPr="004B3D6E">
        <w:rPr>
          <w:rFonts w:ascii="Verdana" w:hAnsi="Verdana"/>
          <w:sz w:val="16"/>
          <w:szCs w:val="16"/>
          <w:lang w:val="es-ES"/>
        </w:rPr>
        <w:t>policía</w:t>
      </w:r>
      <w:proofErr w:type="spellEnd"/>
      <w:r w:rsidRPr="004B3D6E">
        <w:rPr>
          <w:rFonts w:ascii="Verdana" w:hAnsi="Verdana"/>
          <w:sz w:val="16"/>
          <w:szCs w:val="16"/>
          <w:lang w:val="es-ES"/>
        </w:rPr>
        <w:t xml:space="preserve"> del estado de </w:t>
      </w:r>
      <w:proofErr w:type="spellStart"/>
      <w:r w:rsidRPr="004B3D6E">
        <w:rPr>
          <w:rFonts w:ascii="Verdana" w:hAnsi="Verdana"/>
          <w:sz w:val="16"/>
          <w:szCs w:val="16"/>
          <w:lang w:val="es-ES"/>
        </w:rPr>
        <w:t>México</w:t>
      </w:r>
      <w:proofErr w:type="spellEnd"/>
      <w:r w:rsidRPr="004B3D6E">
        <w:rPr>
          <w:rFonts w:ascii="Verdana" w:hAnsi="Verdana"/>
          <w:sz w:val="16"/>
          <w:szCs w:val="16"/>
          <w:lang w:val="es-ES"/>
        </w:rPr>
        <w:t xml:space="preserve">, dentro del cual se permita la </w:t>
      </w:r>
      <w:proofErr w:type="spellStart"/>
      <w:r w:rsidRPr="004B3D6E">
        <w:rPr>
          <w:rFonts w:ascii="Verdana" w:hAnsi="Verdana"/>
          <w:sz w:val="16"/>
          <w:szCs w:val="16"/>
          <w:lang w:val="es-ES"/>
        </w:rPr>
        <w:t>participación</w:t>
      </w:r>
      <w:proofErr w:type="spellEnd"/>
      <w:r w:rsidRPr="004B3D6E">
        <w:rPr>
          <w:rFonts w:ascii="Verdana" w:hAnsi="Verdana"/>
          <w:sz w:val="16"/>
          <w:szCs w:val="16"/>
          <w:lang w:val="es-ES"/>
        </w:rPr>
        <w:t xml:space="preserve"> de miembros de la sociedad civil. Dicho observatorio </w:t>
      </w:r>
      <w:proofErr w:type="spellStart"/>
      <w:r w:rsidRPr="004B3D6E">
        <w:rPr>
          <w:rFonts w:ascii="Verdana" w:hAnsi="Verdana"/>
          <w:sz w:val="16"/>
          <w:szCs w:val="16"/>
          <w:lang w:val="es-ES"/>
        </w:rPr>
        <w:t>debera</w:t>
      </w:r>
      <w:proofErr w:type="spellEnd"/>
      <w:r w:rsidRPr="004B3D6E">
        <w:rPr>
          <w:rFonts w:ascii="Verdana" w:hAnsi="Verdana"/>
          <w:sz w:val="16"/>
          <w:szCs w:val="16"/>
          <w:lang w:val="es-ES"/>
        </w:rPr>
        <w:t xml:space="preserve">́ generar </w:t>
      </w:r>
      <w:proofErr w:type="spellStart"/>
      <w:r w:rsidRPr="004B3D6E">
        <w:rPr>
          <w:rFonts w:ascii="Verdana" w:hAnsi="Verdana"/>
          <w:sz w:val="16"/>
          <w:szCs w:val="16"/>
          <w:lang w:val="es-ES"/>
        </w:rPr>
        <w:t>información</w:t>
      </w:r>
      <w:proofErr w:type="spellEnd"/>
      <w:r w:rsidRPr="004B3D6E">
        <w:rPr>
          <w:rFonts w:ascii="Verdana" w:hAnsi="Verdana"/>
          <w:sz w:val="16"/>
          <w:szCs w:val="16"/>
          <w:lang w:val="es-ES"/>
        </w:rPr>
        <w:t xml:space="preserve"> que permita realizar mejoras institucionales en la materia. Para tales efectos, el Estado </w:t>
      </w:r>
      <w:proofErr w:type="spellStart"/>
      <w:r w:rsidRPr="004B3D6E">
        <w:rPr>
          <w:rFonts w:ascii="Verdana" w:hAnsi="Verdana"/>
          <w:sz w:val="16"/>
          <w:szCs w:val="16"/>
          <w:lang w:val="es-ES"/>
        </w:rPr>
        <w:t>debera</w:t>
      </w:r>
      <w:proofErr w:type="spellEnd"/>
      <w:r w:rsidRPr="004B3D6E">
        <w:rPr>
          <w:rFonts w:ascii="Verdana" w:hAnsi="Verdana"/>
          <w:sz w:val="16"/>
          <w:szCs w:val="16"/>
          <w:lang w:val="es-ES"/>
        </w:rPr>
        <w:t xml:space="preserve">́ generar sistemas de </w:t>
      </w:r>
      <w:proofErr w:type="spellStart"/>
      <w:r w:rsidRPr="004B3D6E">
        <w:rPr>
          <w:rFonts w:ascii="Verdana" w:hAnsi="Verdana"/>
          <w:sz w:val="16"/>
          <w:szCs w:val="16"/>
          <w:lang w:val="es-ES"/>
        </w:rPr>
        <w:t>información</w:t>
      </w:r>
      <w:proofErr w:type="spellEnd"/>
      <w:r w:rsidRPr="004B3D6E">
        <w:rPr>
          <w:rFonts w:ascii="Verdana" w:hAnsi="Verdana"/>
          <w:sz w:val="16"/>
          <w:szCs w:val="16"/>
          <w:lang w:val="es-ES"/>
        </w:rPr>
        <w:t xml:space="preserve"> que permitan: (i) evaluar la efectividad de los mecanismos existentes de </w:t>
      </w:r>
      <w:proofErr w:type="spellStart"/>
      <w:r w:rsidRPr="004B3D6E">
        <w:rPr>
          <w:rFonts w:ascii="Verdana" w:hAnsi="Verdana"/>
          <w:sz w:val="16"/>
          <w:szCs w:val="16"/>
          <w:lang w:val="es-ES"/>
        </w:rPr>
        <w:t>supervisión</w:t>
      </w:r>
      <w:proofErr w:type="spellEnd"/>
      <w:r w:rsidRPr="004B3D6E">
        <w:rPr>
          <w:rFonts w:ascii="Verdana" w:hAnsi="Verdana"/>
          <w:sz w:val="16"/>
          <w:szCs w:val="16"/>
          <w:lang w:val="es-ES"/>
        </w:rPr>
        <w:t xml:space="preserve"> y </w:t>
      </w:r>
      <w:proofErr w:type="spellStart"/>
      <w:r w:rsidRPr="004B3D6E">
        <w:rPr>
          <w:rFonts w:ascii="Verdana" w:hAnsi="Verdana"/>
          <w:sz w:val="16"/>
          <w:szCs w:val="16"/>
          <w:lang w:val="es-ES"/>
        </w:rPr>
        <w:t>fiscalización</w:t>
      </w:r>
      <w:proofErr w:type="spellEnd"/>
      <w:r w:rsidRPr="004B3D6E">
        <w:rPr>
          <w:rFonts w:ascii="Verdana" w:hAnsi="Verdana"/>
          <w:sz w:val="16"/>
          <w:szCs w:val="16"/>
          <w:lang w:val="es-ES"/>
        </w:rPr>
        <w:t xml:space="preserve"> de los operativos policiales antes, durante y </w:t>
      </w:r>
      <w:proofErr w:type="spellStart"/>
      <w:r w:rsidRPr="004B3D6E">
        <w:rPr>
          <w:rFonts w:ascii="Verdana" w:hAnsi="Verdana"/>
          <w:sz w:val="16"/>
          <w:szCs w:val="16"/>
          <w:lang w:val="es-ES"/>
        </w:rPr>
        <w:t>después</w:t>
      </w:r>
      <w:proofErr w:type="spellEnd"/>
      <w:r w:rsidRPr="004B3D6E">
        <w:rPr>
          <w:rFonts w:ascii="Verdana" w:hAnsi="Verdana"/>
          <w:sz w:val="16"/>
          <w:szCs w:val="16"/>
          <w:lang w:val="es-ES"/>
        </w:rPr>
        <w:t xml:space="preserve"> del uso de la fuerza, y (</w:t>
      </w:r>
      <w:proofErr w:type="spellStart"/>
      <w:r w:rsidRPr="004B3D6E">
        <w:rPr>
          <w:rFonts w:ascii="Verdana" w:hAnsi="Verdana"/>
          <w:sz w:val="16"/>
          <w:szCs w:val="16"/>
          <w:lang w:val="es-ES"/>
        </w:rPr>
        <w:t>ii</w:t>
      </w:r>
      <w:proofErr w:type="spellEnd"/>
      <w:r w:rsidRPr="004B3D6E">
        <w:rPr>
          <w:rFonts w:ascii="Verdana" w:hAnsi="Verdana"/>
          <w:sz w:val="16"/>
          <w:szCs w:val="16"/>
          <w:lang w:val="es-ES"/>
        </w:rPr>
        <w:t xml:space="preserve">) brindar </w:t>
      </w:r>
      <w:proofErr w:type="spellStart"/>
      <w:r w:rsidRPr="004B3D6E">
        <w:rPr>
          <w:rFonts w:ascii="Verdana" w:hAnsi="Verdana"/>
          <w:sz w:val="16"/>
          <w:szCs w:val="16"/>
          <w:lang w:val="es-ES"/>
        </w:rPr>
        <w:t>retroalimentación</w:t>
      </w:r>
      <w:proofErr w:type="spellEnd"/>
      <w:r w:rsidRPr="004B3D6E">
        <w:rPr>
          <w:rFonts w:ascii="Verdana" w:hAnsi="Verdana"/>
          <w:sz w:val="16"/>
          <w:szCs w:val="16"/>
          <w:lang w:val="es-ES"/>
        </w:rPr>
        <w:t xml:space="preserve"> sobre las mejoras institucionales que correspondan de acuerdo con la </w:t>
      </w:r>
      <w:proofErr w:type="spellStart"/>
      <w:r w:rsidRPr="004B3D6E">
        <w:rPr>
          <w:rFonts w:ascii="Verdana" w:hAnsi="Verdana"/>
          <w:sz w:val="16"/>
          <w:szCs w:val="16"/>
          <w:lang w:val="es-ES"/>
        </w:rPr>
        <w:t>información</w:t>
      </w:r>
      <w:proofErr w:type="spellEnd"/>
      <w:r w:rsidRPr="004B3D6E">
        <w:rPr>
          <w:rFonts w:ascii="Verdana" w:hAnsi="Verdana"/>
          <w:sz w:val="16"/>
          <w:szCs w:val="16"/>
          <w:lang w:val="es-ES"/>
        </w:rPr>
        <w:t xml:space="preserve"> obtenida por medio del observatorio. Para el cumplimiento de esta medida el Estado </w:t>
      </w:r>
      <w:proofErr w:type="spellStart"/>
      <w:r w:rsidRPr="004B3D6E">
        <w:rPr>
          <w:rFonts w:ascii="Verdana" w:hAnsi="Verdana"/>
          <w:sz w:val="16"/>
          <w:szCs w:val="16"/>
          <w:lang w:val="es-ES"/>
        </w:rPr>
        <w:t>debera</w:t>
      </w:r>
      <w:proofErr w:type="spellEnd"/>
      <w:r w:rsidRPr="004B3D6E">
        <w:rPr>
          <w:rFonts w:ascii="Verdana" w:hAnsi="Verdana"/>
          <w:sz w:val="16"/>
          <w:szCs w:val="16"/>
          <w:lang w:val="es-ES"/>
        </w:rPr>
        <w:t xml:space="preserve">́ acreditar la </w:t>
      </w:r>
      <w:proofErr w:type="spellStart"/>
      <w:r w:rsidRPr="004B3D6E">
        <w:rPr>
          <w:rFonts w:ascii="Verdana" w:hAnsi="Verdana"/>
          <w:sz w:val="16"/>
          <w:szCs w:val="16"/>
          <w:lang w:val="es-ES"/>
        </w:rPr>
        <w:t>creación</w:t>
      </w:r>
      <w:proofErr w:type="spellEnd"/>
      <w:r w:rsidRPr="004B3D6E">
        <w:rPr>
          <w:rFonts w:ascii="Verdana" w:hAnsi="Verdana"/>
          <w:sz w:val="16"/>
          <w:szCs w:val="16"/>
          <w:lang w:val="es-ES"/>
        </w:rPr>
        <w:t xml:space="preserve"> del observatorio, con las </w:t>
      </w:r>
      <w:proofErr w:type="spellStart"/>
      <w:r w:rsidRPr="004B3D6E">
        <w:rPr>
          <w:rFonts w:ascii="Verdana" w:hAnsi="Verdana"/>
          <w:sz w:val="16"/>
          <w:szCs w:val="16"/>
          <w:lang w:val="es-ES"/>
        </w:rPr>
        <w:t>características</w:t>
      </w:r>
      <w:proofErr w:type="spellEnd"/>
      <w:r w:rsidRPr="004B3D6E">
        <w:rPr>
          <w:rFonts w:ascii="Verdana" w:hAnsi="Verdana"/>
          <w:sz w:val="16"/>
          <w:szCs w:val="16"/>
          <w:lang w:val="es-ES"/>
        </w:rPr>
        <w:t xml:space="preserve"> especificadas, </w:t>
      </w:r>
      <w:proofErr w:type="spellStart"/>
      <w:r w:rsidRPr="004B3D6E">
        <w:rPr>
          <w:rFonts w:ascii="Verdana" w:hAnsi="Verdana"/>
          <w:sz w:val="16"/>
          <w:szCs w:val="16"/>
          <w:lang w:val="es-ES"/>
        </w:rPr>
        <w:t>asi</w:t>
      </w:r>
      <w:proofErr w:type="spellEnd"/>
      <w:r w:rsidRPr="004B3D6E">
        <w:rPr>
          <w:rFonts w:ascii="Verdana" w:hAnsi="Verdana"/>
          <w:sz w:val="16"/>
          <w:szCs w:val="16"/>
          <w:lang w:val="es-ES"/>
        </w:rPr>
        <w:t xml:space="preserve">́ como su puesta en funcionamiento. Sin embargo, la Corte no supervisará su </w:t>
      </w:r>
      <w:proofErr w:type="spellStart"/>
      <w:r w:rsidRPr="004B3D6E">
        <w:rPr>
          <w:rFonts w:ascii="Verdana" w:hAnsi="Verdana"/>
          <w:sz w:val="16"/>
          <w:szCs w:val="16"/>
          <w:lang w:val="es-ES"/>
        </w:rPr>
        <w:t>implementación</w:t>
      </w:r>
      <w:proofErr w:type="spellEnd"/>
      <w:r w:rsidRPr="004B3D6E">
        <w:rPr>
          <w:rFonts w:ascii="Verdana" w:hAnsi="Verdana"/>
          <w:sz w:val="16"/>
          <w:szCs w:val="16"/>
          <w:lang w:val="es-ES"/>
        </w:rPr>
        <w:t>.</w:t>
      </w:r>
    </w:p>
  </w:footnote>
  <w:footnote w:id="62">
    <w:p w14:paraId="273479D2" w14:textId="4E284CA7" w:rsidR="004D1244" w:rsidRPr="0011375D" w:rsidRDefault="004D1244" w:rsidP="0011375D">
      <w:pPr>
        <w:pStyle w:val="Textonotapie"/>
        <w:jc w:val="both"/>
        <w:rPr>
          <w:rFonts w:ascii="Verdana" w:hAnsi="Verdana"/>
          <w:sz w:val="16"/>
          <w:szCs w:val="16"/>
          <w:lang w:val="es-ES"/>
        </w:rPr>
      </w:pPr>
      <w:r w:rsidRPr="0011375D">
        <w:rPr>
          <w:rStyle w:val="Refdenotaalpie"/>
          <w:rFonts w:ascii="Verdana" w:hAnsi="Verdana"/>
          <w:sz w:val="16"/>
          <w:szCs w:val="16"/>
        </w:rPr>
        <w:footnoteRef/>
      </w:r>
      <w:r w:rsidRPr="0011375D">
        <w:rPr>
          <w:rFonts w:ascii="Verdana" w:hAnsi="Verdana"/>
          <w:sz w:val="16"/>
          <w:szCs w:val="16"/>
        </w:rPr>
        <w:t xml:space="preserve"> </w:t>
      </w:r>
      <w:r w:rsidRPr="0011375D">
        <w:rPr>
          <w:rFonts w:ascii="Verdana" w:hAnsi="Verdana"/>
          <w:sz w:val="16"/>
          <w:szCs w:val="16"/>
          <w:lang w:val="es-ES"/>
        </w:rPr>
        <w:tab/>
        <w:t xml:space="preserve">De conformidad con lo establecido en el punto resolutivo décimo quinto y el párrafo 360 de la Sentencia, dicho plan debe incluir “la </w:t>
      </w:r>
      <w:proofErr w:type="spellStart"/>
      <w:r w:rsidRPr="0011375D">
        <w:rPr>
          <w:rFonts w:ascii="Verdana" w:hAnsi="Verdana"/>
          <w:sz w:val="16"/>
          <w:szCs w:val="16"/>
          <w:lang w:val="es-ES"/>
        </w:rPr>
        <w:t>asignación</w:t>
      </w:r>
      <w:proofErr w:type="spellEnd"/>
      <w:r w:rsidRPr="0011375D">
        <w:rPr>
          <w:rFonts w:ascii="Verdana" w:hAnsi="Verdana"/>
          <w:sz w:val="16"/>
          <w:szCs w:val="16"/>
          <w:lang w:val="es-ES"/>
        </w:rPr>
        <w:t xml:space="preserve"> de recursos para el cumplimiento de sus funciones en el territorio nacional” y “estable[</w:t>
      </w:r>
      <w:proofErr w:type="spellStart"/>
      <w:r w:rsidRPr="0011375D">
        <w:rPr>
          <w:rFonts w:ascii="Verdana" w:hAnsi="Verdana"/>
          <w:sz w:val="16"/>
          <w:szCs w:val="16"/>
          <w:lang w:val="es-ES"/>
        </w:rPr>
        <w:t>cer</w:t>
      </w:r>
      <w:proofErr w:type="spellEnd"/>
      <w:r w:rsidRPr="0011375D">
        <w:rPr>
          <w:rFonts w:ascii="Verdana" w:hAnsi="Verdana"/>
          <w:sz w:val="16"/>
          <w:szCs w:val="16"/>
          <w:lang w:val="es-ES"/>
        </w:rPr>
        <w:t xml:space="preserve">] plazos anuales para la </w:t>
      </w:r>
      <w:proofErr w:type="spellStart"/>
      <w:r w:rsidRPr="0011375D">
        <w:rPr>
          <w:rFonts w:ascii="Verdana" w:hAnsi="Verdana"/>
          <w:sz w:val="16"/>
          <w:szCs w:val="16"/>
          <w:lang w:val="es-ES"/>
        </w:rPr>
        <w:t>presentación</w:t>
      </w:r>
      <w:proofErr w:type="spellEnd"/>
      <w:r w:rsidRPr="0011375D">
        <w:rPr>
          <w:rFonts w:ascii="Verdana" w:hAnsi="Verdana"/>
          <w:sz w:val="16"/>
          <w:szCs w:val="16"/>
          <w:lang w:val="es-ES"/>
        </w:rPr>
        <w:t xml:space="preserve"> de informes”. Asimismo, dentro de las funciones del mecanismo deberá incluirse la “</w:t>
      </w:r>
      <w:proofErr w:type="spellStart"/>
      <w:r w:rsidRPr="0011375D">
        <w:rPr>
          <w:rFonts w:ascii="Verdana" w:hAnsi="Verdana"/>
          <w:sz w:val="16"/>
          <w:szCs w:val="16"/>
          <w:lang w:val="es-ES"/>
        </w:rPr>
        <w:t>realización</w:t>
      </w:r>
      <w:proofErr w:type="spellEnd"/>
      <w:r w:rsidRPr="0011375D">
        <w:rPr>
          <w:rFonts w:ascii="Verdana" w:hAnsi="Verdana"/>
          <w:sz w:val="16"/>
          <w:szCs w:val="16"/>
          <w:lang w:val="es-ES"/>
        </w:rPr>
        <w:t xml:space="preserve"> de un </w:t>
      </w:r>
      <w:proofErr w:type="spellStart"/>
      <w:r w:rsidRPr="0011375D">
        <w:rPr>
          <w:rFonts w:ascii="Verdana" w:hAnsi="Verdana"/>
          <w:sz w:val="16"/>
          <w:szCs w:val="16"/>
          <w:lang w:val="es-ES"/>
        </w:rPr>
        <w:t>diagnóstico</w:t>
      </w:r>
      <w:proofErr w:type="spellEnd"/>
      <w:r w:rsidRPr="0011375D">
        <w:rPr>
          <w:rFonts w:ascii="Verdana" w:hAnsi="Verdana"/>
          <w:sz w:val="16"/>
          <w:szCs w:val="16"/>
          <w:lang w:val="es-ES"/>
        </w:rPr>
        <w:t xml:space="preserve"> del </w:t>
      </w:r>
      <w:proofErr w:type="spellStart"/>
      <w:r w:rsidRPr="0011375D">
        <w:rPr>
          <w:rFonts w:ascii="Verdana" w:hAnsi="Verdana"/>
          <w:sz w:val="16"/>
          <w:szCs w:val="16"/>
          <w:lang w:val="es-ES"/>
        </w:rPr>
        <w:t>fenómeno</w:t>
      </w:r>
      <w:proofErr w:type="spellEnd"/>
      <w:r w:rsidRPr="0011375D">
        <w:rPr>
          <w:rFonts w:ascii="Verdana" w:hAnsi="Verdana"/>
          <w:sz w:val="16"/>
          <w:szCs w:val="16"/>
          <w:lang w:val="es-ES"/>
        </w:rPr>
        <w:t xml:space="preserve"> de la tortura sexual a mujeres en el </w:t>
      </w:r>
      <w:proofErr w:type="spellStart"/>
      <w:r w:rsidRPr="0011375D">
        <w:rPr>
          <w:rFonts w:ascii="Verdana" w:hAnsi="Verdana"/>
          <w:sz w:val="16"/>
          <w:szCs w:val="16"/>
          <w:lang w:val="es-ES"/>
        </w:rPr>
        <w:t>país</w:t>
      </w:r>
      <w:proofErr w:type="spellEnd"/>
      <w:r w:rsidRPr="0011375D">
        <w:rPr>
          <w:rFonts w:ascii="Verdana" w:hAnsi="Verdana"/>
          <w:sz w:val="16"/>
          <w:szCs w:val="16"/>
          <w:lang w:val="es-ES"/>
        </w:rPr>
        <w:t xml:space="preserve"> y formular propuestas de </w:t>
      </w:r>
      <w:proofErr w:type="spellStart"/>
      <w:r w:rsidRPr="0011375D">
        <w:rPr>
          <w:rFonts w:ascii="Verdana" w:hAnsi="Verdana"/>
          <w:sz w:val="16"/>
          <w:szCs w:val="16"/>
          <w:lang w:val="es-ES"/>
        </w:rPr>
        <w:t>políticas</w:t>
      </w:r>
      <w:proofErr w:type="spellEnd"/>
      <w:r w:rsidRPr="0011375D">
        <w:rPr>
          <w:rFonts w:ascii="Verdana" w:hAnsi="Verdana"/>
          <w:sz w:val="16"/>
          <w:szCs w:val="16"/>
          <w:lang w:val="es-ES"/>
        </w:rPr>
        <w:t xml:space="preserve"> </w:t>
      </w:r>
      <w:proofErr w:type="spellStart"/>
      <w:r w:rsidRPr="0011375D">
        <w:rPr>
          <w:rFonts w:ascii="Verdana" w:hAnsi="Verdana"/>
          <w:sz w:val="16"/>
          <w:szCs w:val="16"/>
          <w:lang w:val="es-ES"/>
        </w:rPr>
        <w:t>públicas</w:t>
      </w:r>
      <w:proofErr w:type="spellEnd"/>
      <w:r w:rsidRPr="0011375D">
        <w:rPr>
          <w:rFonts w:ascii="Verdana" w:hAnsi="Verdana"/>
          <w:sz w:val="16"/>
          <w:szCs w:val="16"/>
          <w:lang w:val="es-ES"/>
        </w:rPr>
        <w:t xml:space="preserve"> de manera </w:t>
      </w:r>
      <w:proofErr w:type="spellStart"/>
      <w:r w:rsidRPr="0011375D">
        <w:rPr>
          <w:rFonts w:ascii="Verdana" w:hAnsi="Verdana"/>
          <w:sz w:val="16"/>
          <w:szCs w:val="16"/>
          <w:lang w:val="es-ES"/>
        </w:rPr>
        <w:t>periódica</w:t>
      </w:r>
      <w:proofErr w:type="spellEnd"/>
      <w:r w:rsidRPr="0011375D">
        <w:rPr>
          <w:rFonts w:ascii="Verdana" w:hAnsi="Verdana"/>
          <w:sz w:val="16"/>
          <w:szCs w:val="16"/>
          <w:lang w:val="es-ES"/>
        </w:rPr>
        <w:t xml:space="preserve">”. </w:t>
      </w:r>
    </w:p>
  </w:footnote>
  <w:footnote w:id="63">
    <w:p w14:paraId="7C4A3801" w14:textId="41BE220F" w:rsidR="004D1244" w:rsidRPr="001E32EA" w:rsidRDefault="004D1244" w:rsidP="001E32EA">
      <w:pPr>
        <w:pStyle w:val="Textonotapie"/>
        <w:jc w:val="both"/>
        <w:rPr>
          <w:rFonts w:ascii="Verdana" w:hAnsi="Verdana"/>
          <w:sz w:val="16"/>
          <w:szCs w:val="16"/>
        </w:rPr>
      </w:pPr>
      <w:r w:rsidRPr="001E32EA">
        <w:rPr>
          <w:rStyle w:val="Refdenotaalpie"/>
          <w:rFonts w:ascii="Verdana" w:hAnsi="Verdana"/>
          <w:sz w:val="16"/>
          <w:szCs w:val="16"/>
        </w:rPr>
        <w:footnoteRef/>
      </w:r>
      <w:r w:rsidRPr="001E32EA">
        <w:rPr>
          <w:rFonts w:ascii="Verdana" w:hAnsi="Verdana"/>
          <w:sz w:val="16"/>
          <w:szCs w:val="16"/>
        </w:rPr>
        <w:t xml:space="preserve"> </w:t>
      </w:r>
      <w:r w:rsidRPr="001E32EA">
        <w:rPr>
          <w:rFonts w:ascii="Verdana" w:hAnsi="Verdana"/>
          <w:sz w:val="16"/>
          <w:szCs w:val="16"/>
        </w:rPr>
        <w:tab/>
      </w:r>
      <w:r w:rsidRPr="001E32EA">
        <w:rPr>
          <w:rFonts w:ascii="Verdana" w:hAnsi="Verdana"/>
          <w:i/>
          <w:sz w:val="16"/>
          <w:szCs w:val="16"/>
        </w:rPr>
        <w:t xml:space="preserve">Cfr. </w:t>
      </w:r>
      <w:r w:rsidRPr="001E32EA">
        <w:rPr>
          <w:rFonts w:ascii="Verdana" w:hAnsi="Verdana"/>
          <w:sz w:val="16"/>
          <w:szCs w:val="16"/>
        </w:rPr>
        <w:t>Informe estatal de 26 de agosto de 2019.</w:t>
      </w:r>
    </w:p>
  </w:footnote>
  <w:footnote w:id="64">
    <w:p w14:paraId="2FD23D8F" w14:textId="19DB19EF" w:rsidR="004D1244" w:rsidRPr="00A8122C" w:rsidRDefault="004D1244" w:rsidP="00A8122C">
      <w:pPr>
        <w:pStyle w:val="Textonotapie"/>
        <w:jc w:val="both"/>
        <w:rPr>
          <w:rFonts w:ascii="Verdana" w:hAnsi="Verdana"/>
          <w:sz w:val="16"/>
          <w:szCs w:val="16"/>
        </w:rPr>
      </w:pPr>
      <w:r w:rsidRPr="00A8122C">
        <w:rPr>
          <w:rStyle w:val="Refdenotaalpie"/>
          <w:rFonts w:ascii="Verdana" w:hAnsi="Verdana"/>
          <w:sz w:val="16"/>
          <w:szCs w:val="16"/>
        </w:rPr>
        <w:footnoteRef/>
      </w:r>
      <w:r w:rsidRPr="00A8122C">
        <w:rPr>
          <w:rFonts w:ascii="Verdana" w:hAnsi="Verdana"/>
          <w:sz w:val="16"/>
          <w:szCs w:val="16"/>
        </w:rPr>
        <w:t xml:space="preserve"> </w:t>
      </w:r>
      <w:r w:rsidRPr="00A8122C">
        <w:rPr>
          <w:rFonts w:ascii="Verdana" w:hAnsi="Verdana"/>
          <w:sz w:val="16"/>
          <w:szCs w:val="16"/>
        </w:rPr>
        <w:tab/>
        <w:t>Informe estatal de 23 de diciembre de 2019.</w:t>
      </w:r>
    </w:p>
  </w:footnote>
  <w:footnote w:id="65">
    <w:p w14:paraId="1F0B1971" w14:textId="65FCA2EF" w:rsidR="004D1244" w:rsidRPr="00A8122C" w:rsidRDefault="004D1244" w:rsidP="00A8122C">
      <w:pPr>
        <w:pStyle w:val="Textonotapie"/>
        <w:jc w:val="both"/>
        <w:rPr>
          <w:rFonts w:ascii="Verdana" w:hAnsi="Verdana"/>
          <w:sz w:val="16"/>
          <w:szCs w:val="16"/>
        </w:rPr>
      </w:pPr>
      <w:r w:rsidRPr="00A8122C">
        <w:rPr>
          <w:rStyle w:val="Refdenotaalpie"/>
          <w:rFonts w:ascii="Verdana" w:hAnsi="Verdana"/>
          <w:sz w:val="16"/>
          <w:szCs w:val="16"/>
        </w:rPr>
        <w:footnoteRef/>
      </w:r>
      <w:r w:rsidRPr="00A8122C">
        <w:rPr>
          <w:rFonts w:ascii="Verdana" w:hAnsi="Verdana"/>
          <w:sz w:val="16"/>
          <w:szCs w:val="16"/>
        </w:rPr>
        <w:t xml:space="preserve"> </w:t>
      </w:r>
      <w:r w:rsidRPr="00A8122C">
        <w:rPr>
          <w:rFonts w:ascii="Verdana" w:hAnsi="Verdana"/>
          <w:sz w:val="16"/>
          <w:szCs w:val="16"/>
        </w:rPr>
        <w:tab/>
        <w:t xml:space="preserve">Escrito de observaciones de las representantes de 26 de febrero de 2020. </w:t>
      </w:r>
    </w:p>
  </w:footnote>
  <w:footnote w:id="66">
    <w:p w14:paraId="4A704E12" w14:textId="693E4C6B" w:rsidR="004D1244" w:rsidRPr="004D4734" w:rsidRDefault="004D1244" w:rsidP="004D4734">
      <w:pPr>
        <w:pStyle w:val="Textonotapie"/>
        <w:jc w:val="both"/>
        <w:rPr>
          <w:rFonts w:ascii="Verdana" w:hAnsi="Verdana" w:cs="Verdana"/>
          <w:b/>
          <w:sz w:val="16"/>
          <w:szCs w:val="16"/>
          <w:vertAlign w:val="subscript"/>
          <w:lang w:val="es-ES"/>
        </w:rPr>
      </w:pPr>
      <w:r w:rsidRPr="00B130F2">
        <w:rPr>
          <w:rStyle w:val="Refdenotaalpie"/>
          <w:rFonts w:ascii="Verdana" w:hAnsi="Verdana"/>
          <w:sz w:val="16"/>
          <w:szCs w:val="16"/>
        </w:rPr>
        <w:footnoteRef/>
      </w:r>
      <w:r w:rsidRPr="00B130F2">
        <w:rPr>
          <w:rFonts w:ascii="Verdana" w:hAnsi="Verdana"/>
          <w:sz w:val="16"/>
          <w:szCs w:val="16"/>
        </w:rPr>
        <w:t xml:space="preserve"> </w:t>
      </w:r>
      <w:r w:rsidRPr="00B130F2">
        <w:rPr>
          <w:rFonts w:ascii="Verdana" w:hAnsi="Verdana"/>
          <w:sz w:val="16"/>
          <w:szCs w:val="16"/>
        </w:rPr>
        <w:tab/>
      </w:r>
      <w:r>
        <w:rPr>
          <w:rFonts w:ascii="Verdana" w:hAnsi="Verdana" w:cs="Verdana"/>
          <w:sz w:val="16"/>
          <w:szCs w:val="16"/>
          <w:lang w:val="es-ES"/>
        </w:rPr>
        <w:t xml:space="preserve">Informe estatal de 23 de diciembre de 2019. México también refirió que “[a] </w:t>
      </w:r>
      <w:r w:rsidRPr="004D4734">
        <w:rPr>
          <w:rFonts w:ascii="Verdana" w:hAnsi="Verdana" w:cs="Verdana"/>
          <w:sz w:val="16"/>
          <w:szCs w:val="16"/>
          <w:lang w:val="es-ES"/>
        </w:rPr>
        <w:t>dicha</w:t>
      </w:r>
      <w:r>
        <w:rPr>
          <w:rFonts w:ascii="Verdana" w:hAnsi="Verdana" w:cs="Verdana"/>
          <w:sz w:val="16"/>
          <w:szCs w:val="16"/>
          <w:lang w:val="es-ES"/>
        </w:rPr>
        <w:t xml:space="preserve"> </w:t>
      </w:r>
      <w:r w:rsidRPr="004D4734">
        <w:rPr>
          <w:rFonts w:ascii="Verdana" w:hAnsi="Verdana" w:cs="Verdana"/>
          <w:sz w:val="16"/>
          <w:szCs w:val="16"/>
          <w:lang w:val="es-ES"/>
        </w:rPr>
        <w:t>capacitación se sumará la Policía de Investigación, una vez que sea validado por el</w:t>
      </w:r>
      <w:r>
        <w:rPr>
          <w:rFonts w:ascii="Verdana" w:hAnsi="Verdana" w:cs="Verdana"/>
          <w:sz w:val="16"/>
          <w:szCs w:val="16"/>
          <w:lang w:val="es-ES"/>
        </w:rPr>
        <w:t xml:space="preserve"> </w:t>
      </w:r>
      <w:r w:rsidRPr="004D4734">
        <w:rPr>
          <w:rFonts w:ascii="Verdana" w:hAnsi="Verdana" w:cs="Verdana"/>
          <w:sz w:val="16"/>
          <w:szCs w:val="16"/>
          <w:lang w:val="es-ES"/>
        </w:rPr>
        <w:t>Secretariado Ejecutivo del Sistema Nacional de Seguridad Pública</w:t>
      </w:r>
      <w:r>
        <w:rPr>
          <w:rFonts w:ascii="Verdana" w:hAnsi="Verdana" w:cs="Verdana"/>
          <w:sz w:val="16"/>
          <w:szCs w:val="16"/>
          <w:lang w:val="es-ES"/>
        </w:rPr>
        <w:t>”</w:t>
      </w:r>
      <w:r w:rsidRPr="004D4734">
        <w:rPr>
          <w:rFonts w:ascii="Verdana" w:hAnsi="Verdana" w:cs="Verdana"/>
          <w:sz w:val="16"/>
          <w:szCs w:val="16"/>
          <w:lang w:val="es-ES"/>
        </w:rPr>
        <w:t>.</w:t>
      </w:r>
    </w:p>
  </w:footnote>
  <w:footnote w:id="67">
    <w:p w14:paraId="4D1A8D91" w14:textId="319D0D7A" w:rsidR="004D1244" w:rsidRPr="007F1F67" w:rsidRDefault="004D1244" w:rsidP="00FD66C5">
      <w:pPr>
        <w:pStyle w:val="Textonotapie"/>
        <w:jc w:val="both"/>
        <w:rPr>
          <w:rFonts w:ascii="Verdana" w:hAnsi="Verdana"/>
          <w:sz w:val="16"/>
          <w:szCs w:val="16"/>
        </w:rPr>
      </w:pPr>
      <w:r w:rsidRPr="007F1F67">
        <w:rPr>
          <w:rStyle w:val="Refdenotaalpie"/>
          <w:rFonts w:ascii="Verdana" w:hAnsi="Verdana"/>
          <w:sz w:val="16"/>
          <w:szCs w:val="16"/>
        </w:rPr>
        <w:footnoteRef/>
      </w:r>
      <w:r w:rsidRPr="007F1F67">
        <w:rPr>
          <w:rFonts w:ascii="Verdana" w:hAnsi="Verdana"/>
          <w:sz w:val="16"/>
          <w:szCs w:val="16"/>
        </w:rPr>
        <w:t xml:space="preserve"> </w:t>
      </w:r>
      <w:r w:rsidRPr="007F1F67">
        <w:rPr>
          <w:rFonts w:ascii="Verdana" w:hAnsi="Verdana"/>
          <w:sz w:val="16"/>
          <w:szCs w:val="16"/>
        </w:rPr>
        <w:tab/>
        <w:t xml:space="preserve">Escrito </w:t>
      </w:r>
      <w:r>
        <w:rPr>
          <w:rFonts w:ascii="Verdana" w:hAnsi="Verdana"/>
          <w:sz w:val="16"/>
          <w:szCs w:val="16"/>
        </w:rPr>
        <w:t>de observaciones de las representantes de</w:t>
      </w:r>
      <w:r w:rsidRPr="007F1F67">
        <w:rPr>
          <w:rFonts w:ascii="Verdana" w:hAnsi="Verdana"/>
          <w:sz w:val="16"/>
          <w:szCs w:val="16"/>
        </w:rPr>
        <w:t xml:space="preserve"> 15 de noviembre de 2019. </w:t>
      </w:r>
      <w:r>
        <w:rPr>
          <w:rFonts w:ascii="Verdana" w:hAnsi="Verdana"/>
          <w:sz w:val="16"/>
          <w:szCs w:val="16"/>
        </w:rPr>
        <w:t>Esta Corte hace notar, asimismo, que las representantes indicaron que habían enviado sus observaciones al referido Programa directamente a la CONAVIM, y que dentro de las observaciones realizadas por dicho organismo al referido Programa se encontraban algunas recomendaciones relativas al contenido en materia de estándares sobre uso de la fuerza (</w:t>
      </w:r>
      <w:r>
        <w:rPr>
          <w:rFonts w:ascii="Verdana" w:hAnsi="Verdana"/>
          <w:i/>
          <w:sz w:val="16"/>
          <w:szCs w:val="16"/>
        </w:rPr>
        <w:t xml:space="preserve">infra </w:t>
      </w:r>
      <w:r>
        <w:rPr>
          <w:rFonts w:ascii="Verdana" w:hAnsi="Verdana"/>
          <w:sz w:val="16"/>
          <w:szCs w:val="16"/>
        </w:rPr>
        <w:t xml:space="preserve">nota al pie </w:t>
      </w:r>
      <w:r w:rsidRPr="00B42F79">
        <w:rPr>
          <w:rFonts w:ascii="Verdana" w:hAnsi="Verdana"/>
          <w:sz w:val="16"/>
          <w:szCs w:val="16"/>
          <w:lang w:val="es-MX"/>
        </w:rPr>
        <w:t>7</w:t>
      </w:r>
      <w:r w:rsidRPr="00402DE1">
        <w:rPr>
          <w:rFonts w:ascii="Verdana" w:hAnsi="Verdana"/>
          <w:sz w:val="16"/>
          <w:szCs w:val="16"/>
          <w:lang w:val="es-MX"/>
        </w:rPr>
        <w:t>4</w:t>
      </w:r>
      <w:r>
        <w:rPr>
          <w:rFonts w:ascii="Verdana" w:hAnsi="Verdana"/>
          <w:sz w:val="16"/>
          <w:szCs w:val="16"/>
        </w:rPr>
        <w:t xml:space="preserve">). </w:t>
      </w:r>
    </w:p>
  </w:footnote>
  <w:footnote w:id="68">
    <w:p w14:paraId="080B1F9C" w14:textId="2D657150" w:rsidR="004D1244" w:rsidRPr="00B42F79" w:rsidRDefault="004D1244" w:rsidP="00B42F79">
      <w:pPr>
        <w:pStyle w:val="Textonotapie"/>
        <w:jc w:val="both"/>
        <w:rPr>
          <w:rFonts w:ascii="Verdana" w:hAnsi="Verdana"/>
          <w:sz w:val="16"/>
          <w:szCs w:val="16"/>
          <w:lang w:val="es-ES"/>
        </w:rPr>
      </w:pPr>
      <w:r w:rsidRPr="00B42F79">
        <w:rPr>
          <w:rStyle w:val="Refdenotaalpie"/>
          <w:rFonts w:ascii="Verdana" w:hAnsi="Verdana"/>
          <w:sz w:val="16"/>
          <w:szCs w:val="16"/>
        </w:rPr>
        <w:footnoteRef/>
      </w:r>
      <w:r w:rsidRPr="00B42F79">
        <w:rPr>
          <w:rFonts w:ascii="Verdana" w:hAnsi="Verdana"/>
          <w:sz w:val="16"/>
          <w:szCs w:val="16"/>
        </w:rPr>
        <w:t xml:space="preserve"> </w:t>
      </w:r>
      <w:r w:rsidRPr="00B42F79">
        <w:rPr>
          <w:rFonts w:ascii="Verdana" w:hAnsi="Verdana"/>
          <w:sz w:val="16"/>
          <w:szCs w:val="16"/>
          <w:lang w:val="es-ES"/>
        </w:rPr>
        <w:tab/>
      </w:r>
      <w:r w:rsidRPr="00B42F79">
        <w:rPr>
          <w:rFonts w:ascii="Verdana" w:hAnsi="Verdana"/>
          <w:i/>
          <w:sz w:val="16"/>
          <w:szCs w:val="16"/>
          <w:lang w:val="es-ES"/>
        </w:rPr>
        <w:t xml:space="preserve">Cfr. </w:t>
      </w:r>
      <w:r w:rsidRPr="00B42F79">
        <w:rPr>
          <w:rFonts w:ascii="Verdana" w:hAnsi="Verdana"/>
          <w:sz w:val="16"/>
          <w:szCs w:val="16"/>
          <w:lang w:val="es-ES"/>
        </w:rPr>
        <w:t>Informe estatal de 23 de diciembre de 2019.</w:t>
      </w:r>
    </w:p>
  </w:footnote>
  <w:footnote w:id="69">
    <w:p w14:paraId="5243609B" w14:textId="2AB8EF36" w:rsidR="004D1244" w:rsidRPr="004D4734" w:rsidRDefault="004D1244" w:rsidP="004D4734">
      <w:pPr>
        <w:pStyle w:val="Textonotapie"/>
        <w:jc w:val="both"/>
        <w:rPr>
          <w:rFonts w:ascii="Verdana" w:hAnsi="Verdana"/>
          <w:sz w:val="16"/>
          <w:szCs w:val="16"/>
          <w:lang w:val="es-ES"/>
        </w:rPr>
      </w:pPr>
      <w:r w:rsidRPr="004D4734">
        <w:rPr>
          <w:rStyle w:val="Refdenotaalpie"/>
          <w:rFonts w:ascii="Verdana" w:hAnsi="Verdana"/>
          <w:sz w:val="16"/>
          <w:szCs w:val="16"/>
        </w:rPr>
        <w:footnoteRef/>
      </w:r>
      <w:r w:rsidRPr="004D4734">
        <w:rPr>
          <w:rFonts w:ascii="Verdana" w:hAnsi="Verdana"/>
          <w:sz w:val="16"/>
          <w:szCs w:val="16"/>
        </w:rPr>
        <w:t xml:space="preserve"> </w:t>
      </w:r>
      <w:r w:rsidRPr="004D4734">
        <w:rPr>
          <w:rFonts w:ascii="Verdana" w:hAnsi="Verdana"/>
          <w:sz w:val="16"/>
          <w:szCs w:val="16"/>
          <w:lang w:val="es-ES"/>
        </w:rPr>
        <w:tab/>
      </w:r>
      <w:r w:rsidRPr="00B42F79">
        <w:rPr>
          <w:rFonts w:ascii="Verdana" w:hAnsi="Verdana"/>
          <w:i/>
          <w:sz w:val="16"/>
          <w:szCs w:val="16"/>
          <w:lang w:val="es-MX"/>
        </w:rPr>
        <w:t>Cfr</w:t>
      </w:r>
      <w:r>
        <w:rPr>
          <w:rFonts w:ascii="Verdana" w:hAnsi="Verdana"/>
          <w:i/>
          <w:sz w:val="16"/>
          <w:szCs w:val="16"/>
          <w:lang w:val="es-MX"/>
        </w:rPr>
        <w:t xml:space="preserve">. </w:t>
      </w:r>
      <w:r w:rsidRPr="004D4734">
        <w:rPr>
          <w:rFonts w:ascii="Verdana" w:hAnsi="Verdana" w:cs="Verdana"/>
          <w:sz w:val="16"/>
          <w:szCs w:val="16"/>
          <w:lang w:val="es-ES"/>
        </w:rPr>
        <w:t>Oficio No. CNPEVM/DGARI/032/2019 de la Dirección de Relaciones Internacionales de la CONAVIM de 22 de agosto de 2019 (</w:t>
      </w:r>
      <w:r w:rsidRPr="004D4734">
        <w:rPr>
          <w:rFonts w:ascii="Verdana" w:hAnsi="Verdana"/>
          <w:sz w:val="16"/>
          <w:szCs w:val="16"/>
          <w:lang w:val="es-ES"/>
        </w:rPr>
        <w:t xml:space="preserve">Anexo 1 al informe estatal </w:t>
      </w:r>
      <w:r w:rsidRPr="004D4734">
        <w:rPr>
          <w:rFonts w:ascii="Verdana" w:hAnsi="Verdana" w:cs="Verdana"/>
          <w:sz w:val="16"/>
          <w:szCs w:val="16"/>
          <w:lang w:val="es-ES"/>
        </w:rPr>
        <w:t>sobre garantías de no repetición de 23 de diciembre de 2019).</w:t>
      </w:r>
      <w:r>
        <w:rPr>
          <w:rFonts w:ascii="Verdana" w:hAnsi="Verdana" w:cs="Verdana"/>
          <w:sz w:val="16"/>
          <w:szCs w:val="16"/>
          <w:lang w:val="es-ES"/>
        </w:rPr>
        <w:t xml:space="preserve"> En su escrito de observaciones de 26 de febrero de 2020, las representantes refirieron que “no queda claro […] </w:t>
      </w:r>
      <w:r w:rsidRPr="00997686">
        <w:rPr>
          <w:rFonts w:ascii="Verdana" w:hAnsi="Verdana" w:cs="Verdana"/>
          <w:sz w:val="16"/>
          <w:szCs w:val="16"/>
          <w:lang w:val="es-ES"/>
        </w:rPr>
        <w:t>si la versión final del programa cambió a partir de los comentarios</w:t>
      </w:r>
      <w:r>
        <w:rPr>
          <w:rFonts w:ascii="Verdana" w:hAnsi="Verdana" w:cs="Verdana"/>
          <w:sz w:val="16"/>
          <w:szCs w:val="16"/>
          <w:lang w:val="es-ES"/>
        </w:rPr>
        <w:t xml:space="preserve"> </w:t>
      </w:r>
      <w:r w:rsidRPr="00997686">
        <w:rPr>
          <w:rFonts w:ascii="Verdana" w:hAnsi="Verdana" w:cs="Verdana"/>
          <w:sz w:val="16"/>
          <w:szCs w:val="16"/>
          <w:lang w:val="es-ES"/>
        </w:rPr>
        <w:t>recibidos, pues incluso se indica que no hubo retroalimentación después del envío de las</w:t>
      </w:r>
      <w:r>
        <w:rPr>
          <w:rFonts w:ascii="Verdana" w:hAnsi="Verdana" w:cs="Verdana"/>
          <w:sz w:val="16"/>
          <w:szCs w:val="16"/>
          <w:lang w:val="es-ES"/>
        </w:rPr>
        <w:t xml:space="preserve"> </w:t>
      </w:r>
      <w:r w:rsidRPr="00997686">
        <w:rPr>
          <w:rFonts w:ascii="Verdana" w:hAnsi="Verdana" w:cs="Verdana"/>
          <w:sz w:val="16"/>
          <w:szCs w:val="16"/>
          <w:lang w:val="es-ES"/>
        </w:rPr>
        <w:t xml:space="preserve">observaciones de la </w:t>
      </w:r>
      <w:r>
        <w:rPr>
          <w:rFonts w:ascii="Verdana" w:hAnsi="Verdana" w:cs="Verdana"/>
          <w:sz w:val="16"/>
          <w:szCs w:val="16"/>
          <w:lang w:val="es-ES"/>
        </w:rPr>
        <w:t xml:space="preserve">[…] </w:t>
      </w:r>
      <w:r w:rsidRPr="00997686">
        <w:rPr>
          <w:rFonts w:ascii="Verdana" w:hAnsi="Verdana" w:cs="Verdana"/>
          <w:sz w:val="16"/>
          <w:szCs w:val="16"/>
          <w:lang w:val="es-ES"/>
        </w:rPr>
        <w:t>CONAVIM</w:t>
      </w:r>
      <w:r>
        <w:rPr>
          <w:rFonts w:ascii="Verdana" w:hAnsi="Verdana" w:cs="Verdana"/>
          <w:sz w:val="16"/>
          <w:szCs w:val="16"/>
          <w:lang w:val="es-ES"/>
        </w:rPr>
        <w:t>”.</w:t>
      </w:r>
    </w:p>
  </w:footnote>
  <w:footnote w:id="70">
    <w:p w14:paraId="7DDDEB01" w14:textId="6CFD6925" w:rsidR="004D1244" w:rsidRPr="009369C3" w:rsidRDefault="004D1244" w:rsidP="009369C3">
      <w:pPr>
        <w:pStyle w:val="Textonotapie"/>
        <w:jc w:val="both"/>
        <w:rPr>
          <w:rFonts w:ascii="Verdana" w:hAnsi="Verdana"/>
          <w:sz w:val="16"/>
          <w:szCs w:val="16"/>
        </w:rPr>
      </w:pPr>
      <w:r w:rsidRPr="009369C3">
        <w:rPr>
          <w:rStyle w:val="Refdenotaalpie"/>
          <w:rFonts w:ascii="Verdana" w:hAnsi="Verdana"/>
          <w:sz w:val="16"/>
          <w:szCs w:val="16"/>
        </w:rPr>
        <w:footnoteRef/>
      </w:r>
      <w:r w:rsidRPr="009369C3">
        <w:rPr>
          <w:rFonts w:ascii="Verdana" w:hAnsi="Verdana"/>
          <w:sz w:val="16"/>
          <w:szCs w:val="16"/>
        </w:rPr>
        <w:t xml:space="preserve"> </w:t>
      </w:r>
      <w:r w:rsidRPr="009369C3">
        <w:rPr>
          <w:rFonts w:ascii="Verdana" w:hAnsi="Verdana"/>
          <w:sz w:val="16"/>
          <w:szCs w:val="16"/>
        </w:rPr>
        <w:tab/>
      </w:r>
      <w:r w:rsidRPr="00B42F79">
        <w:rPr>
          <w:rFonts w:ascii="Verdana" w:hAnsi="Verdana"/>
          <w:i/>
          <w:sz w:val="16"/>
          <w:szCs w:val="16"/>
          <w:lang w:val="es-MX"/>
        </w:rPr>
        <w:t>Cfr</w:t>
      </w:r>
      <w:r>
        <w:rPr>
          <w:rFonts w:ascii="Verdana" w:hAnsi="Verdana"/>
          <w:i/>
          <w:sz w:val="16"/>
          <w:szCs w:val="16"/>
          <w:lang w:val="es-MX"/>
        </w:rPr>
        <w:t xml:space="preserve">. </w:t>
      </w:r>
      <w:r w:rsidRPr="009369C3">
        <w:rPr>
          <w:rFonts w:ascii="Verdana" w:hAnsi="Verdana" w:cs="Verdana"/>
          <w:sz w:val="16"/>
          <w:szCs w:val="16"/>
          <w:lang w:val="es-ES"/>
        </w:rPr>
        <w:t>Oficio No. CNPEVM/DGARI/032/2019 de la Dirección de Relaciones Internacionales de la CONAVIM de 22 de agosto de 2019 (</w:t>
      </w:r>
      <w:r w:rsidRPr="009369C3">
        <w:rPr>
          <w:rFonts w:ascii="Verdana" w:hAnsi="Verdana"/>
          <w:sz w:val="16"/>
          <w:szCs w:val="16"/>
          <w:lang w:val="es-ES"/>
        </w:rPr>
        <w:t xml:space="preserve">Anexo 1 al informe estatal </w:t>
      </w:r>
      <w:r w:rsidRPr="009369C3">
        <w:rPr>
          <w:rFonts w:ascii="Verdana" w:hAnsi="Verdana" w:cs="Verdana"/>
          <w:sz w:val="16"/>
          <w:szCs w:val="16"/>
          <w:lang w:val="es-ES"/>
        </w:rPr>
        <w:t>sobre garantías de no repetición de 23 de diciembre de 2019).</w:t>
      </w:r>
    </w:p>
  </w:footnote>
  <w:footnote w:id="71">
    <w:p w14:paraId="458D7741" w14:textId="6FB9AA1C" w:rsidR="004D1244" w:rsidRPr="004D4734" w:rsidRDefault="004D1244" w:rsidP="009369C3">
      <w:pPr>
        <w:pStyle w:val="Textonotapie"/>
        <w:jc w:val="both"/>
      </w:pPr>
      <w:r w:rsidRPr="009369C3">
        <w:rPr>
          <w:rStyle w:val="Refdenotaalpie"/>
          <w:rFonts w:ascii="Verdana" w:hAnsi="Verdana"/>
          <w:sz w:val="16"/>
          <w:szCs w:val="16"/>
        </w:rPr>
        <w:footnoteRef/>
      </w:r>
      <w:r w:rsidRPr="009369C3">
        <w:rPr>
          <w:rFonts w:ascii="Verdana" w:hAnsi="Verdana"/>
          <w:sz w:val="16"/>
          <w:szCs w:val="16"/>
        </w:rPr>
        <w:t xml:space="preserve"> </w:t>
      </w:r>
      <w:r w:rsidRPr="009369C3">
        <w:rPr>
          <w:rFonts w:ascii="Verdana" w:hAnsi="Verdana"/>
          <w:sz w:val="16"/>
          <w:szCs w:val="16"/>
        </w:rPr>
        <w:tab/>
      </w:r>
      <w:r w:rsidRPr="009369C3">
        <w:rPr>
          <w:rFonts w:ascii="Verdana" w:hAnsi="Verdana" w:cs="Verdana"/>
          <w:sz w:val="16"/>
          <w:szCs w:val="16"/>
          <w:lang w:val="es-ES"/>
        </w:rPr>
        <w:t>I</w:t>
      </w:r>
      <w:r w:rsidRPr="009369C3">
        <w:rPr>
          <w:rFonts w:ascii="Verdana" w:hAnsi="Verdana"/>
          <w:sz w:val="16"/>
          <w:szCs w:val="16"/>
          <w:lang w:val="es-ES"/>
        </w:rPr>
        <w:t xml:space="preserve">nforme estatal </w:t>
      </w:r>
      <w:r w:rsidRPr="009369C3">
        <w:rPr>
          <w:rFonts w:ascii="Verdana" w:hAnsi="Verdana" w:cs="Verdana"/>
          <w:sz w:val="16"/>
          <w:szCs w:val="16"/>
          <w:lang w:val="es-ES"/>
        </w:rPr>
        <w:t>sobre garantías de no repetición de 23 de diciembre de 2019.</w:t>
      </w:r>
    </w:p>
  </w:footnote>
  <w:footnote w:id="72">
    <w:p w14:paraId="5F24D60C" w14:textId="1A68CE2A" w:rsidR="004D1244" w:rsidRPr="00997686" w:rsidRDefault="004D1244" w:rsidP="00BC33EC">
      <w:pPr>
        <w:pStyle w:val="Textonotapie"/>
        <w:jc w:val="both"/>
        <w:rPr>
          <w:rFonts w:ascii="Verdana" w:hAnsi="Verdana" w:cs="Verdana"/>
          <w:b/>
          <w:sz w:val="16"/>
          <w:szCs w:val="16"/>
          <w:lang w:val="es-ES"/>
        </w:rPr>
      </w:pPr>
      <w:r w:rsidRPr="00FD3127">
        <w:rPr>
          <w:rStyle w:val="Refdenotaalpie"/>
          <w:rFonts w:ascii="Verdana" w:hAnsi="Verdana"/>
          <w:sz w:val="16"/>
          <w:szCs w:val="16"/>
        </w:rPr>
        <w:footnoteRef/>
      </w:r>
      <w:r w:rsidRPr="00FD3127">
        <w:rPr>
          <w:rFonts w:ascii="Verdana" w:hAnsi="Verdana"/>
          <w:sz w:val="16"/>
          <w:szCs w:val="16"/>
        </w:rPr>
        <w:t xml:space="preserve"> </w:t>
      </w:r>
      <w:r>
        <w:rPr>
          <w:rFonts w:ascii="Verdana" w:hAnsi="Verdana"/>
          <w:sz w:val="16"/>
          <w:szCs w:val="16"/>
        </w:rPr>
        <w:tab/>
        <w:t>Las observaciones de la Unidad de Género de la CONAVIM al plan de capacitación de la Policía Federal hacen referencia, entre otros puntos, a:</w:t>
      </w:r>
      <w:r w:rsidRPr="00FD3127">
        <w:rPr>
          <w:rFonts w:ascii="Verdana" w:hAnsi="Verdana"/>
          <w:sz w:val="16"/>
          <w:szCs w:val="16"/>
          <w:lang w:val="es-ES"/>
        </w:rPr>
        <w:t xml:space="preserve"> (i) la caracterización de las personas que recibirían la capacitación; (</w:t>
      </w:r>
      <w:proofErr w:type="spellStart"/>
      <w:r w:rsidRPr="00FD3127">
        <w:rPr>
          <w:rFonts w:ascii="Verdana" w:hAnsi="Verdana"/>
          <w:sz w:val="16"/>
          <w:szCs w:val="16"/>
          <w:lang w:val="es-ES"/>
        </w:rPr>
        <w:t>ii</w:t>
      </w:r>
      <w:proofErr w:type="spellEnd"/>
      <w:r w:rsidRPr="00FD3127">
        <w:rPr>
          <w:rFonts w:ascii="Verdana" w:hAnsi="Verdana"/>
          <w:sz w:val="16"/>
          <w:szCs w:val="16"/>
          <w:lang w:val="es-ES"/>
        </w:rPr>
        <w:t>) la metodología a seguir, reconociendo la existencia de contradicciones y falta de claridad en algunos puntos; (</w:t>
      </w:r>
      <w:proofErr w:type="spellStart"/>
      <w:r w:rsidRPr="00FD3127">
        <w:rPr>
          <w:rFonts w:ascii="Verdana" w:hAnsi="Verdana"/>
          <w:sz w:val="16"/>
          <w:szCs w:val="16"/>
          <w:lang w:val="es-ES"/>
        </w:rPr>
        <w:t>iii</w:t>
      </w:r>
      <w:proofErr w:type="spellEnd"/>
      <w:r w:rsidRPr="00FD3127">
        <w:rPr>
          <w:rFonts w:ascii="Verdana" w:hAnsi="Verdana"/>
          <w:sz w:val="16"/>
          <w:szCs w:val="16"/>
          <w:lang w:val="es-ES"/>
        </w:rPr>
        <w:t>) el contenido y temario del programa, incluyendo sugerencias concretas orientadas a transversalizar e integrar en todo el Programa el enfoque de género así como respecto de los contenidos en materia de uso de la fuerza; (</w:t>
      </w:r>
      <w:proofErr w:type="spellStart"/>
      <w:r w:rsidRPr="00FD3127">
        <w:rPr>
          <w:rFonts w:ascii="Verdana" w:hAnsi="Verdana"/>
          <w:sz w:val="16"/>
          <w:szCs w:val="16"/>
          <w:lang w:val="es-ES"/>
        </w:rPr>
        <w:t>iv</w:t>
      </w:r>
      <w:proofErr w:type="spellEnd"/>
      <w:r w:rsidRPr="00FD3127">
        <w:rPr>
          <w:rFonts w:ascii="Verdana" w:hAnsi="Verdana"/>
          <w:sz w:val="16"/>
          <w:szCs w:val="16"/>
          <w:lang w:val="es-ES"/>
        </w:rPr>
        <w:t>) las formas de evaluación, y (v) el perfil de las y los capacitadores.</w:t>
      </w:r>
      <w:r>
        <w:rPr>
          <w:rFonts w:ascii="Verdana" w:hAnsi="Verdana"/>
          <w:sz w:val="16"/>
          <w:szCs w:val="16"/>
          <w:lang w:val="es-ES"/>
        </w:rPr>
        <w:t xml:space="preserve"> </w:t>
      </w:r>
      <w:r w:rsidRPr="00FD3127">
        <w:rPr>
          <w:rFonts w:ascii="Verdana" w:hAnsi="Verdana"/>
          <w:i/>
          <w:sz w:val="16"/>
          <w:szCs w:val="16"/>
          <w:lang w:val="es-ES"/>
        </w:rPr>
        <w:t xml:space="preserve">Cfr. </w:t>
      </w:r>
      <w:r w:rsidRPr="00FD3127">
        <w:rPr>
          <w:rFonts w:ascii="Verdana" w:hAnsi="Verdana"/>
          <w:sz w:val="16"/>
          <w:szCs w:val="16"/>
          <w:lang w:val="es-ES"/>
        </w:rPr>
        <w:t xml:space="preserve">Nota informativa No. 2 de la Directora General Adjunta de la Unidad de Género de 11 de julio de 2019 (Anexo 1 al informe estatal </w:t>
      </w:r>
      <w:r w:rsidRPr="00FD3127">
        <w:rPr>
          <w:rFonts w:ascii="Verdana" w:hAnsi="Verdana" w:cs="Verdana"/>
          <w:sz w:val="16"/>
          <w:szCs w:val="16"/>
          <w:lang w:val="es-ES"/>
        </w:rPr>
        <w:t>sobre garantías de no repetición de 23 de diciembre de 2019).</w:t>
      </w:r>
      <w:r w:rsidRPr="00FD3127">
        <w:rPr>
          <w:rFonts w:ascii="Verdana" w:hAnsi="Verdana"/>
          <w:b/>
          <w:sz w:val="16"/>
          <w:szCs w:val="16"/>
          <w:lang w:val="es-ES"/>
        </w:rPr>
        <w:t xml:space="preserve"> </w:t>
      </w:r>
    </w:p>
  </w:footnote>
  <w:footnote w:id="73">
    <w:p w14:paraId="19FAA3C9" w14:textId="5F58FA1A" w:rsidR="004D1244" w:rsidRPr="00F7053A" w:rsidRDefault="004D1244" w:rsidP="00F7053A">
      <w:pPr>
        <w:pStyle w:val="Textonotapie"/>
        <w:jc w:val="both"/>
        <w:rPr>
          <w:rFonts w:ascii="Verdana" w:hAnsi="Verdana"/>
          <w:sz w:val="16"/>
          <w:szCs w:val="16"/>
          <w:lang w:val="es-ES"/>
        </w:rPr>
      </w:pPr>
      <w:r w:rsidRPr="00F7053A">
        <w:rPr>
          <w:rStyle w:val="Refdenotaalpie"/>
          <w:rFonts w:ascii="Verdana" w:hAnsi="Verdana"/>
          <w:sz w:val="16"/>
          <w:szCs w:val="16"/>
        </w:rPr>
        <w:footnoteRef/>
      </w:r>
      <w:r w:rsidRPr="00F7053A">
        <w:rPr>
          <w:rFonts w:ascii="Verdana" w:hAnsi="Verdana"/>
          <w:sz w:val="16"/>
          <w:szCs w:val="16"/>
        </w:rPr>
        <w:t xml:space="preserve"> </w:t>
      </w:r>
      <w:r w:rsidRPr="00F7053A">
        <w:rPr>
          <w:rFonts w:ascii="Verdana" w:hAnsi="Verdana"/>
          <w:sz w:val="16"/>
          <w:szCs w:val="16"/>
        </w:rPr>
        <w:tab/>
      </w:r>
      <w:r w:rsidRPr="00B42F79">
        <w:rPr>
          <w:rFonts w:ascii="Verdana" w:hAnsi="Verdana"/>
          <w:i/>
          <w:sz w:val="16"/>
          <w:szCs w:val="16"/>
          <w:lang w:val="es-MX"/>
        </w:rPr>
        <w:t>Cfr</w:t>
      </w:r>
      <w:r>
        <w:rPr>
          <w:rFonts w:ascii="Verdana" w:hAnsi="Verdana"/>
          <w:i/>
          <w:sz w:val="16"/>
          <w:szCs w:val="16"/>
          <w:lang w:val="es-MX"/>
        </w:rPr>
        <w:t xml:space="preserve">. </w:t>
      </w:r>
      <w:r w:rsidRPr="00F7053A">
        <w:rPr>
          <w:rFonts w:ascii="Verdana" w:hAnsi="Verdana"/>
          <w:sz w:val="16"/>
          <w:szCs w:val="16"/>
        </w:rPr>
        <w:t xml:space="preserve">Informe estatal de 26 de agosto de 2019. </w:t>
      </w:r>
    </w:p>
  </w:footnote>
  <w:footnote w:id="74">
    <w:p w14:paraId="73129A6C" w14:textId="3F8D7683" w:rsidR="004D1244" w:rsidRPr="00F7053A" w:rsidRDefault="004D1244" w:rsidP="00F7053A">
      <w:pPr>
        <w:pStyle w:val="Textonotapie"/>
        <w:jc w:val="both"/>
        <w:rPr>
          <w:rFonts w:ascii="Verdana" w:hAnsi="Verdana"/>
          <w:sz w:val="16"/>
          <w:szCs w:val="16"/>
        </w:rPr>
      </w:pPr>
      <w:r w:rsidRPr="00F7053A">
        <w:rPr>
          <w:rStyle w:val="Refdenotaalpie"/>
          <w:rFonts w:ascii="Verdana" w:hAnsi="Verdana"/>
          <w:sz w:val="16"/>
          <w:szCs w:val="16"/>
        </w:rPr>
        <w:footnoteRef/>
      </w:r>
      <w:r w:rsidRPr="00F7053A">
        <w:rPr>
          <w:rFonts w:ascii="Verdana" w:hAnsi="Verdana"/>
          <w:sz w:val="16"/>
          <w:szCs w:val="16"/>
        </w:rPr>
        <w:t xml:space="preserve"> </w:t>
      </w:r>
      <w:r w:rsidRPr="00F7053A">
        <w:rPr>
          <w:rFonts w:ascii="Verdana" w:hAnsi="Verdana"/>
          <w:sz w:val="16"/>
          <w:szCs w:val="16"/>
        </w:rPr>
        <w:tab/>
        <w:t>El Estado precisó que “el 16 de diciembre de 2019, la representación de las víctimas remitió una propuesta sobre lo que podría ser un ‘Observatorio de las Fuerzas Policiales’, basado</w:t>
      </w:r>
      <w:r>
        <w:rPr>
          <w:rFonts w:ascii="Verdana" w:hAnsi="Verdana"/>
          <w:sz w:val="16"/>
          <w:szCs w:val="16"/>
        </w:rPr>
        <w:t xml:space="preserve"> </w:t>
      </w:r>
      <w:r w:rsidRPr="00F7053A">
        <w:rPr>
          <w:rFonts w:ascii="Verdana" w:hAnsi="Verdana"/>
          <w:sz w:val="16"/>
          <w:szCs w:val="16"/>
        </w:rPr>
        <w:t>en lo ordenado en la sentencia dictada por esa Corte”. Informe estatal sobre garantías de no repetición de 23 de diciembre de 2019.</w:t>
      </w:r>
      <w:r>
        <w:t xml:space="preserve"> </w:t>
      </w:r>
    </w:p>
  </w:footnote>
  <w:footnote w:id="75">
    <w:p w14:paraId="27A96C05" w14:textId="065FE14D" w:rsidR="004D1244" w:rsidRPr="00541062" w:rsidRDefault="004D1244" w:rsidP="00EE207E">
      <w:pPr>
        <w:pStyle w:val="Textonotapie"/>
        <w:jc w:val="both"/>
        <w:rPr>
          <w:rFonts w:ascii="Verdana" w:hAnsi="Verdana"/>
          <w:sz w:val="16"/>
          <w:szCs w:val="16"/>
        </w:rPr>
      </w:pPr>
      <w:r w:rsidRPr="00E01E1A">
        <w:rPr>
          <w:rStyle w:val="Refdenotaalpie"/>
          <w:rFonts w:ascii="Verdana" w:hAnsi="Verdana"/>
          <w:sz w:val="16"/>
          <w:szCs w:val="16"/>
        </w:rPr>
        <w:footnoteRef/>
      </w:r>
      <w:r w:rsidRPr="00E01E1A">
        <w:rPr>
          <w:rFonts w:ascii="Verdana" w:hAnsi="Verdana"/>
          <w:sz w:val="16"/>
          <w:szCs w:val="16"/>
        </w:rPr>
        <w:t xml:space="preserve"> </w:t>
      </w:r>
      <w:r w:rsidRPr="00E01E1A">
        <w:rPr>
          <w:rFonts w:ascii="Verdana" w:hAnsi="Verdana"/>
          <w:sz w:val="16"/>
          <w:szCs w:val="16"/>
        </w:rPr>
        <w:tab/>
      </w:r>
      <w:r w:rsidRPr="00B42F79">
        <w:rPr>
          <w:rFonts w:ascii="Verdana" w:hAnsi="Verdana"/>
          <w:i/>
          <w:sz w:val="16"/>
          <w:szCs w:val="16"/>
          <w:lang w:val="es-MX"/>
        </w:rPr>
        <w:t>Cfr</w:t>
      </w:r>
      <w:r>
        <w:rPr>
          <w:rFonts w:ascii="Verdana" w:hAnsi="Verdana"/>
          <w:i/>
          <w:sz w:val="16"/>
          <w:szCs w:val="16"/>
          <w:lang w:val="es-MX"/>
        </w:rPr>
        <w:t xml:space="preserve">. </w:t>
      </w:r>
      <w:r w:rsidRPr="006953F1">
        <w:rPr>
          <w:rFonts w:ascii="Verdana" w:hAnsi="Verdana"/>
          <w:sz w:val="16"/>
          <w:szCs w:val="16"/>
        </w:rPr>
        <w:t xml:space="preserve">Informe </w:t>
      </w:r>
      <w:r w:rsidRPr="006953F1">
        <w:rPr>
          <w:rFonts w:ascii="Verdana" w:hAnsi="Verdana"/>
          <w:sz w:val="16"/>
          <w:szCs w:val="16"/>
          <w:lang w:val="es-ES"/>
        </w:rPr>
        <w:t>estatal sobre garantías de no repetición de 23 de diciembre de 2019.</w:t>
      </w:r>
      <w:r>
        <w:rPr>
          <w:rFonts w:ascii="Verdana" w:hAnsi="Verdana"/>
          <w:sz w:val="16"/>
          <w:szCs w:val="16"/>
          <w:lang w:val="es-ES"/>
        </w:rPr>
        <w:t xml:space="preserve"> </w:t>
      </w:r>
      <w:r>
        <w:rPr>
          <w:rFonts w:ascii="Verdana" w:hAnsi="Verdana"/>
          <w:sz w:val="16"/>
          <w:szCs w:val="16"/>
          <w:lang w:val="es-MX"/>
        </w:rPr>
        <w:t xml:space="preserve">En </w:t>
      </w:r>
      <w:r w:rsidRPr="00E01E1A">
        <w:rPr>
          <w:rFonts w:ascii="Verdana" w:hAnsi="Verdana"/>
          <w:sz w:val="16"/>
          <w:szCs w:val="16"/>
        </w:rPr>
        <w:t>su escrito de observaciones de 15 de noviembre de 2019, las representantes hicieron notar que dicho “proceso […] se ha[</w:t>
      </w:r>
      <w:proofErr w:type="spellStart"/>
      <w:r w:rsidRPr="00E01E1A">
        <w:rPr>
          <w:rFonts w:ascii="Verdana" w:hAnsi="Verdana"/>
          <w:sz w:val="16"/>
          <w:szCs w:val="16"/>
        </w:rPr>
        <w:t>bía</w:t>
      </w:r>
      <w:proofErr w:type="spellEnd"/>
      <w:r w:rsidRPr="00E01E1A">
        <w:rPr>
          <w:rFonts w:ascii="Verdana" w:hAnsi="Verdana"/>
          <w:sz w:val="16"/>
          <w:szCs w:val="16"/>
        </w:rPr>
        <w:t>] caracterizado por un diálogo fructífero”</w:t>
      </w:r>
      <w:r>
        <w:rPr>
          <w:rFonts w:ascii="Verdana" w:hAnsi="Verdana"/>
          <w:sz w:val="16"/>
          <w:szCs w:val="16"/>
        </w:rPr>
        <w:t>.</w:t>
      </w:r>
    </w:p>
  </w:footnote>
  <w:footnote w:id="76">
    <w:p w14:paraId="4FF7B3BB" w14:textId="07F9E088" w:rsidR="004D1244" w:rsidRPr="006953F1" w:rsidRDefault="004D1244" w:rsidP="006953F1">
      <w:pPr>
        <w:pStyle w:val="Textonotapie"/>
        <w:jc w:val="both"/>
        <w:rPr>
          <w:rFonts w:ascii="Verdana" w:hAnsi="Verdana"/>
          <w:sz w:val="16"/>
          <w:szCs w:val="16"/>
        </w:rPr>
      </w:pPr>
      <w:r w:rsidRPr="006953F1">
        <w:rPr>
          <w:rStyle w:val="Refdenotaalpie"/>
          <w:rFonts w:ascii="Verdana" w:hAnsi="Verdana"/>
          <w:sz w:val="16"/>
          <w:szCs w:val="16"/>
        </w:rPr>
        <w:footnoteRef/>
      </w:r>
      <w:r w:rsidRPr="006953F1">
        <w:rPr>
          <w:rFonts w:ascii="Verdana" w:hAnsi="Verdana"/>
          <w:sz w:val="16"/>
          <w:szCs w:val="16"/>
        </w:rPr>
        <w:t xml:space="preserve"> </w:t>
      </w:r>
      <w:r w:rsidRPr="006953F1">
        <w:rPr>
          <w:rFonts w:ascii="Verdana" w:hAnsi="Verdana"/>
          <w:sz w:val="16"/>
          <w:szCs w:val="16"/>
        </w:rPr>
        <w:tab/>
        <w:t xml:space="preserve">Los “retos” identificados por el Estado son los </w:t>
      </w:r>
      <w:r w:rsidRPr="00EE207E">
        <w:rPr>
          <w:rFonts w:ascii="Verdana" w:hAnsi="Verdana"/>
          <w:sz w:val="16"/>
          <w:szCs w:val="16"/>
        </w:rPr>
        <w:t>siguientes: “i. La</w:t>
      </w:r>
      <w:r w:rsidRPr="006953F1">
        <w:rPr>
          <w:rFonts w:ascii="Verdana" w:hAnsi="Verdana"/>
          <w:sz w:val="16"/>
          <w:szCs w:val="16"/>
        </w:rPr>
        <w:t xml:space="preserve"> falta de un marco legal que dote de facultades y atribuciones al Mecanismo y que obligue a los representantes de las instituciones y organizaciones de la sociedad civil que actualmente participan en él, a contribuir en los trabajos colectivos, más allá de la voluntad política que hasta ahora ha sostenido su funcionamiento[;] </w:t>
      </w:r>
      <w:proofErr w:type="spellStart"/>
      <w:r w:rsidRPr="006953F1">
        <w:rPr>
          <w:rFonts w:ascii="Verdana" w:hAnsi="Verdana"/>
          <w:sz w:val="16"/>
          <w:szCs w:val="16"/>
        </w:rPr>
        <w:t>ii</w:t>
      </w:r>
      <w:proofErr w:type="spellEnd"/>
      <w:r w:rsidRPr="006953F1">
        <w:rPr>
          <w:rFonts w:ascii="Verdana" w:hAnsi="Verdana"/>
          <w:sz w:val="16"/>
          <w:szCs w:val="16"/>
        </w:rPr>
        <w:t xml:space="preserve">. La necesidad de que el Mecanismo cuente con un presupuesto propio y suficiente para cumplir sus funciones en todo el territorio nacional, asignado en el Presupuesto de Egresos de la Federación para la implementación y operación del Mecanismo[;] </w:t>
      </w:r>
      <w:proofErr w:type="spellStart"/>
      <w:r w:rsidRPr="006953F1">
        <w:rPr>
          <w:rFonts w:ascii="Verdana" w:hAnsi="Verdana"/>
          <w:sz w:val="16"/>
          <w:szCs w:val="16"/>
        </w:rPr>
        <w:t>iii</w:t>
      </w:r>
      <w:proofErr w:type="spellEnd"/>
      <w:r w:rsidRPr="006953F1">
        <w:rPr>
          <w:rFonts w:ascii="Verdana" w:hAnsi="Verdana"/>
          <w:sz w:val="16"/>
          <w:szCs w:val="16"/>
        </w:rPr>
        <w:t xml:space="preserve">. La necesidad de que el Mecanismo cuente con personal propio para la realización del diagnóstico y el ejercicio de sus funciones en todo el territorio nacional[;] </w:t>
      </w:r>
      <w:proofErr w:type="spellStart"/>
      <w:r w:rsidRPr="006953F1">
        <w:rPr>
          <w:rFonts w:ascii="Verdana" w:hAnsi="Verdana"/>
          <w:sz w:val="16"/>
          <w:szCs w:val="16"/>
        </w:rPr>
        <w:t>iv</w:t>
      </w:r>
      <w:proofErr w:type="spellEnd"/>
      <w:r w:rsidRPr="006953F1">
        <w:rPr>
          <w:rFonts w:ascii="Verdana" w:hAnsi="Verdana"/>
          <w:sz w:val="16"/>
          <w:szCs w:val="16"/>
        </w:rPr>
        <w:t xml:space="preserve">. La facultad legal para incorporar al MSCTS a nuevas instituciones en calidad de integrantes y/o invitados para dar seguimiento a los casos que se atiendan”. Informe </w:t>
      </w:r>
      <w:r w:rsidRPr="006953F1">
        <w:rPr>
          <w:rFonts w:ascii="Verdana" w:hAnsi="Verdana"/>
          <w:sz w:val="16"/>
          <w:szCs w:val="16"/>
          <w:lang w:val="es-ES"/>
        </w:rPr>
        <w:t xml:space="preserve">estatal sobre garantías de no repetición de 23 de diciembre de 2019. </w:t>
      </w:r>
    </w:p>
  </w:footnote>
  <w:footnote w:id="77">
    <w:p w14:paraId="4F0F37C8" w14:textId="3EB89CE2" w:rsidR="004D1244" w:rsidRPr="001246F2" w:rsidRDefault="004D1244">
      <w:pPr>
        <w:pStyle w:val="Textonotapie"/>
        <w:rPr>
          <w:rFonts w:ascii="Verdana" w:hAnsi="Verdana"/>
          <w:sz w:val="16"/>
          <w:szCs w:val="16"/>
        </w:rPr>
      </w:pPr>
      <w:r w:rsidRPr="001246F2">
        <w:rPr>
          <w:rStyle w:val="Refdenotaalpie"/>
          <w:rFonts w:ascii="Verdana" w:hAnsi="Verdana"/>
          <w:sz w:val="16"/>
          <w:szCs w:val="16"/>
        </w:rPr>
        <w:footnoteRef/>
      </w:r>
      <w:r w:rsidRPr="001246F2">
        <w:rPr>
          <w:rFonts w:ascii="Verdana" w:hAnsi="Verdana"/>
          <w:sz w:val="16"/>
          <w:szCs w:val="16"/>
        </w:rPr>
        <w:t xml:space="preserve"> </w:t>
      </w:r>
      <w:r w:rsidRPr="001246F2">
        <w:rPr>
          <w:rFonts w:ascii="Verdana" w:hAnsi="Verdana"/>
          <w:sz w:val="16"/>
          <w:szCs w:val="16"/>
        </w:rPr>
        <w:tab/>
      </w:r>
      <w:r w:rsidRPr="001246F2">
        <w:rPr>
          <w:rFonts w:ascii="Verdana" w:hAnsi="Verdana"/>
          <w:sz w:val="16"/>
          <w:szCs w:val="16"/>
          <w:lang w:val="es-ES"/>
        </w:rPr>
        <w:t>Informe estatal sobre garantías de no repetición de 23 de diciembre de 2019.</w:t>
      </w:r>
    </w:p>
  </w:footnote>
  <w:footnote w:id="78">
    <w:p w14:paraId="6CB6DD7B" w14:textId="50565225" w:rsidR="004D1244" w:rsidRPr="006953F1" w:rsidRDefault="004D1244" w:rsidP="006953F1">
      <w:pPr>
        <w:pStyle w:val="Textonotapie"/>
        <w:jc w:val="both"/>
        <w:rPr>
          <w:lang w:val="es-ES"/>
        </w:rPr>
      </w:pPr>
      <w:r w:rsidRPr="006953F1">
        <w:rPr>
          <w:rStyle w:val="Refdenotaalpie"/>
          <w:rFonts w:ascii="Verdana" w:hAnsi="Verdana"/>
          <w:sz w:val="16"/>
          <w:szCs w:val="16"/>
        </w:rPr>
        <w:footnoteRef/>
      </w:r>
      <w:r w:rsidRPr="006953F1">
        <w:rPr>
          <w:rFonts w:ascii="Verdana" w:hAnsi="Verdana"/>
          <w:sz w:val="16"/>
          <w:szCs w:val="16"/>
        </w:rPr>
        <w:t xml:space="preserve"> </w:t>
      </w:r>
      <w:r w:rsidRPr="006953F1">
        <w:rPr>
          <w:rFonts w:ascii="Verdana" w:hAnsi="Verdana"/>
          <w:sz w:val="16"/>
          <w:szCs w:val="16"/>
          <w:lang w:val="es-ES"/>
        </w:rPr>
        <w:tab/>
        <w:t xml:space="preserve">Informe estatal sobre garantías de no repetición de 23 de diciembre de 2019. Por su parte, las representantes indicaron que “[t]al como refiere el Estado, las instituciones integrantes del Mecanismo de Seguimiento de Casos de Tortura Sexual cometida contra Mujeres, las mujeres y sus representantes [sostuvieron] diversas reuniones de trabajo, concluyendo que la forma adecuada para fortalecer el trabajo del Mecanismo es mediante la publicación de un Decreto que formalmente establezca dicha instancia, le dote de facultades y le permita acceder a un presupuesto suficiente para el cumplimiento de su mandato”. Escrito de observaciones de las representantes de </w:t>
      </w:r>
      <w:r w:rsidRPr="00382C5F">
        <w:rPr>
          <w:rFonts w:ascii="Verdana" w:hAnsi="Verdana"/>
          <w:sz w:val="16"/>
          <w:szCs w:val="16"/>
          <w:lang w:val="es-ES"/>
        </w:rPr>
        <w:t>26 de febrero de</w:t>
      </w:r>
      <w:r w:rsidRPr="006953F1">
        <w:rPr>
          <w:rFonts w:ascii="Verdana" w:hAnsi="Verdana"/>
          <w:sz w:val="16"/>
          <w:szCs w:val="16"/>
          <w:lang w:val="es-ES"/>
        </w:rPr>
        <w:t xml:space="preserve"> 2020.</w:t>
      </w:r>
      <w:r>
        <w:rPr>
          <w:lang w:val="es-ES"/>
        </w:rPr>
        <w:t xml:space="preserve"> </w:t>
      </w:r>
    </w:p>
  </w:footnote>
  <w:footnote w:id="79">
    <w:p w14:paraId="1CDEBA66" w14:textId="7A4E8037" w:rsidR="004D1244" w:rsidRPr="00B42F79" w:rsidRDefault="004D1244">
      <w:pPr>
        <w:pStyle w:val="Textonotapie"/>
        <w:rPr>
          <w:rFonts w:ascii="Verdana" w:hAnsi="Verdana"/>
          <w:sz w:val="16"/>
          <w:szCs w:val="16"/>
          <w:lang w:val="es-MX"/>
        </w:rPr>
      </w:pPr>
      <w:r w:rsidRPr="00B42F79">
        <w:rPr>
          <w:rStyle w:val="Refdenotaalpie"/>
          <w:rFonts w:ascii="Verdana" w:hAnsi="Verdana"/>
          <w:sz w:val="16"/>
          <w:szCs w:val="16"/>
        </w:rPr>
        <w:footnoteRef/>
      </w:r>
      <w:r w:rsidRPr="00B42F79">
        <w:rPr>
          <w:rFonts w:ascii="Verdana" w:hAnsi="Verdana"/>
          <w:sz w:val="16"/>
          <w:szCs w:val="16"/>
        </w:rPr>
        <w:t xml:space="preserve"> </w:t>
      </w:r>
      <w:r>
        <w:rPr>
          <w:rFonts w:ascii="Verdana" w:hAnsi="Verdana"/>
          <w:sz w:val="16"/>
          <w:szCs w:val="16"/>
        </w:rPr>
        <w:tab/>
      </w:r>
      <w:r>
        <w:rPr>
          <w:rFonts w:ascii="Verdana" w:hAnsi="Verdana"/>
          <w:i/>
          <w:sz w:val="16"/>
          <w:szCs w:val="16"/>
          <w:lang w:val="es-MX"/>
        </w:rPr>
        <w:t xml:space="preserve">Cfr. </w:t>
      </w:r>
      <w:r>
        <w:rPr>
          <w:rFonts w:ascii="Verdana" w:hAnsi="Verdana"/>
          <w:sz w:val="16"/>
          <w:szCs w:val="16"/>
          <w:lang w:val="es-MX"/>
        </w:rPr>
        <w:t>Escrito de observaciones de las representantes de 26 de febrero de 2020.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333BD2" w14:textId="77777777" w:rsidR="004D1244" w:rsidRDefault="004D1244" w:rsidP="00A830DE">
    <w:pPr>
      <w:pStyle w:val="Encabezado"/>
    </w:pPr>
  </w:p>
  <w:p w14:paraId="1E8AC3D4" w14:textId="77777777" w:rsidR="004D1244" w:rsidRDefault="004D1244">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C64C83" w14:textId="1A42FA4D" w:rsidR="004D1244" w:rsidRPr="00B876A3" w:rsidRDefault="004D1244" w:rsidP="00B876A3">
    <w:pPr>
      <w:tabs>
        <w:tab w:val="center" w:pos="4419"/>
        <w:tab w:val="right" w:pos="8838"/>
      </w:tabs>
      <w:jc w:val="right"/>
      <w:rPr>
        <w:rFonts w:ascii="Calibri" w:eastAsia="Calibri" w:hAnsi="Calibri"/>
        <w:i/>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5F98ACE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1B2048"/>
    <w:multiLevelType w:val="hybridMultilevel"/>
    <w:tmpl w:val="749ACE7C"/>
    <w:lvl w:ilvl="0" w:tplc="4F1AEC80">
      <w:start w:val="1"/>
      <w:numFmt w:val="decimal"/>
      <w:lvlText w:val="%1."/>
      <w:lvlJc w:val="left"/>
      <w:pPr>
        <w:ind w:left="1065" w:hanging="705"/>
      </w:pPr>
      <w:rPr>
        <w:rFonts w:hint="default"/>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063970B8"/>
    <w:multiLevelType w:val="hybridMultilevel"/>
    <w:tmpl w:val="28A0F28A"/>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 w15:restartNumberingAfterBreak="0">
    <w:nsid w:val="07336EF5"/>
    <w:multiLevelType w:val="hybridMultilevel"/>
    <w:tmpl w:val="2FB6C44E"/>
    <w:lvl w:ilvl="0" w:tplc="6A744E00">
      <w:start w:val="1"/>
      <w:numFmt w:val="decimal"/>
      <w:lvlText w:val="%1."/>
      <w:lvlJc w:val="left"/>
      <w:pPr>
        <w:ind w:left="360" w:hanging="360"/>
      </w:pPr>
      <w:rPr>
        <w:rFonts w:hint="default"/>
        <w:b/>
        <w:i w:val="0"/>
      </w:rPr>
    </w:lvl>
    <w:lvl w:ilvl="1" w:tplc="140A0019" w:tentative="1">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4" w15:restartNumberingAfterBreak="0">
    <w:nsid w:val="07EF1900"/>
    <w:multiLevelType w:val="hybridMultilevel"/>
    <w:tmpl w:val="8840685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ACB3B95"/>
    <w:multiLevelType w:val="hybridMultilevel"/>
    <w:tmpl w:val="0AF49946"/>
    <w:lvl w:ilvl="0" w:tplc="140A000F">
      <w:start w:val="1"/>
      <w:numFmt w:val="decimal"/>
      <w:lvlText w:val="%1."/>
      <w:lvlJc w:val="left"/>
      <w:pPr>
        <w:ind w:left="720" w:hanging="360"/>
      </w:p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6" w15:restartNumberingAfterBreak="0">
    <w:nsid w:val="102057B5"/>
    <w:multiLevelType w:val="hybridMultilevel"/>
    <w:tmpl w:val="FD3A4FBE"/>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13F5C5D"/>
    <w:multiLevelType w:val="multilevel"/>
    <w:tmpl w:val="2EC0D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88F68DD"/>
    <w:multiLevelType w:val="hybridMultilevel"/>
    <w:tmpl w:val="5EBE15E0"/>
    <w:lvl w:ilvl="0" w:tplc="924E4690">
      <w:start w:val="1"/>
      <w:numFmt w:val="decimal"/>
      <w:lvlText w:val="%1."/>
      <w:lvlJc w:val="left"/>
      <w:pPr>
        <w:ind w:left="1440" w:hanging="360"/>
      </w:pPr>
      <w:rPr>
        <w:rFonts w:cs="Times New Roman"/>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F774104"/>
    <w:multiLevelType w:val="hybridMultilevel"/>
    <w:tmpl w:val="0C2442F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21185F3C"/>
    <w:multiLevelType w:val="hybridMultilevel"/>
    <w:tmpl w:val="FBEE6E1C"/>
    <w:lvl w:ilvl="0" w:tplc="C42EAADE">
      <w:start w:val="1"/>
      <w:numFmt w:val="decimal"/>
      <w:lvlText w:val="%1."/>
      <w:lvlJc w:val="left"/>
      <w:pPr>
        <w:ind w:left="360" w:hanging="360"/>
      </w:pPr>
      <w:rPr>
        <w:rFonts w:hint="default"/>
        <w:b w:val="0"/>
        <w:i w:val="0"/>
        <w:color w:val="auto"/>
        <w:sz w:val="20"/>
        <w:szCs w:val="20"/>
      </w:rPr>
    </w:lvl>
    <w:lvl w:ilvl="1" w:tplc="140A0019">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1" w15:restartNumberingAfterBreak="0">
    <w:nsid w:val="276E55E3"/>
    <w:multiLevelType w:val="hybridMultilevel"/>
    <w:tmpl w:val="09985A76"/>
    <w:lvl w:ilvl="0" w:tplc="68420E5A">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A0411B9"/>
    <w:multiLevelType w:val="multilevel"/>
    <w:tmpl w:val="58F419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2FF03B4F"/>
    <w:multiLevelType w:val="hybridMultilevel"/>
    <w:tmpl w:val="D372765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4" w15:restartNumberingAfterBreak="0">
    <w:nsid w:val="32563C3E"/>
    <w:multiLevelType w:val="hybridMultilevel"/>
    <w:tmpl w:val="AA6435CC"/>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5" w15:restartNumberingAfterBreak="0">
    <w:nsid w:val="38A1355E"/>
    <w:multiLevelType w:val="hybridMultilevel"/>
    <w:tmpl w:val="E3B403A0"/>
    <w:lvl w:ilvl="0" w:tplc="8D2669C8">
      <w:start w:val="1"/>
      <w:numFmt w:val="decimal"/>
      <w:lvlText w:val="%1."/>
      <w:lvlJc w:val="left"/>
      <w:pPr>
        <w:ind w:left="360" w:hanging="360"/>
      </w:pPr>
      <w:rPr>
        <w:rFonts w:ascii="Verdana" w:eastAsia="Calibri" w:hAnsi="Verdana" w:cs="Verdana" w:hint="default"/>
        <w:b/>
      </w:rPr>
    </w:lvl>
    <w:lvl w:ilvl="1" w:tplc="140A0019">
      <w:start w:val="1"/>
      <w:numFmt w:val="lowerLetter"/>
      <w:lvlText w:val="%2."/>
      <w:lvlJc w:val="left"/>
      <w:pPr>
        <w:ind w:left="1080" w:hanging="360"/>
      </w:pPr>
    </w:lvl>
    <w:lvl w:ilvl="2" w:tplc="140A001B">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6" w15:restartNumberingAfterBreak="0">
    <w:nsid w:val="40716E08"/>
    <w:multiLevelType w:val="hybridMultilevel"/>
    <w:tmpl w:val="010EF388"/>
    <w:lvl w:ilvl="0" w:tplc="04090019">
      <w:start w:val="1"/>
      <w:numFmt w:val="lowerLetter"/>
      <w:lvlText w:val="%1."/>
      <w:lvlJc w:val="left"/>
      <w:pPr>
        <w:ind w:left="794" w:hanging="360"/>
      </w:pPr>
      <w:rPr>
        <w:i w:val="0"/>
      </w:rPr>
    </w:lvl>
    <w:lvl w:ilvl="1" w:tplc="04090019" w:tentative="1">
      <w:start w:val="1"/>
      <w:numFmt w:val="lowerLetter"/>
      <w:lvlText w:val="%2."/>
      <w:lvlJc w:val="left"/>
      <w:pPr>
        <w:ind w:left="1514" w:hanging="360"/>
      </w:pPr>
    </w:lvl>
    <w:lvl w:ilvl="2" w:tplc="0409001B" w:tentative="1">
      <w:start w:val="1"/>
      <w:numFmt w:val="lowerRoman"/>
      <w:lvlText w:val="%3."/>
      <w:lvlJc w:val="right"/>
      <w:pPr>
        <w:ind w:left="2234" w:hanging="180"/>
      </w:pPr>
    </w:lvl>
    <w:lvl w:ilvl="3" w:tplc="0409000F" w:tentative="1">
      <w:start w:val="1"/>
      <w:numFmt w:val="decimal"/>
      <w:lvlText w:val="%4."/>
      <w:lvlJc w:val="left"/>
      <w:pPr>
        <w:ind w:left="2954" w:hanging="360"/>
      </w:pPr>
    </w:lvl>
    <w:lvl w:ilvl="4" w:tplc="04090019" w:tentative="1">
      <w:start w:val="1"/>
      <w:numFmt w:val="lowerLetter"/>
      <w:lvlText w:val="%5."/>
      <w:lvlJc w:val="left"/>
      <w:pPr>
        <w:ind w:left="3674" w:hanging="360"/>
      </w:pPr>
    </w:lvl>
    <w:lvl w:ilvl="5" w:tplc="0409001B" w:tentative="1">
      <w:start w:val="1"/>
      <w:numFmt w:val="lowerRoman"/>
      <w:lvlText w:val="%6."/>
      <w:lvlJc w:val="right"/>
      <w:pPr>
        <w:ind w:left="4394" w:hanging="180"/>
      </w:pPr>
    </w:lvl>
    <w:lvl w:ilvl="6" w:tplc="0409000F" w:tentative="1">
      <w:start w:val="1"/>
      <w:numFmt w:val="decimal"/>
      <w:lvlText w:val="%7."/>
      <w:lvlJc w:val="left"/>
      <w:pPr>
        <w:ind w:left="5114" w:hanging="360"/>
      </w:pPr>
    </w:lvl>
    <w:lvl w:ilvl="7" w:tplc="04090019" w:tentative="1">
      <w:start w:val="1"/>
      <w:numFmt w:val="lowerLetter"/>
      <w:lvlText w:val="%8."/>
      <w:lvlJc w:val="left"/>
      <w:pPr>
        <w:ind w:left="5834" w:hanging="360"/>
      </w:pPr>
    </w:lvl>
    <w:lvl w:ilvl="8" w:tplc="0409001B" w:tentative="1">
      <w:start w:val="1"/>
      <w:numFmt w:val="lowerRoman"/>
      <w:lvlText w:val="%9."/>
      <w:lvlJc w:val="right"/>
      <w:pPr>
        <w:ind w:left="6554" w:hanging="180"/>
      </w:pPr>
    </w:lvl>
  </w:abstractNum>
  <w:abstractNum w:abstractNumId="17" w15:restartNumberingAfterBreak="0">
    <w:nsid w:val="41715276"/>
    <w:multiLevelType w:val="multilevel"/>
    <w:tmpl w:val="6B5AE208"/>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50C2DCB"/>
    <w:multiLevelType w:val="hybridMultilevel"/>
    <w:tmpl w:val="A1FA60C2"/>
    <w:lvl w:ilvl="0" w:tplc="B3C4F042">
      <w:start w:val="1"/>
      <w:numFmt w:val="decimal"/>
      <w:lvlText w:val="%1."/>
      <w:lvlJc w:val="left"/>
      <w:pPr>
        <w:ind w:left="1065" w:hanging="705"/>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45B86030"/>
    <w:multiLevelType w:val="hybridMultilevel"/>
    <w:tmpl w:val="FD3A4FBE"/>
    <w:lvl w:ilvl="0" w:tplc="04090017">
      <w:start w:val="1"/>
      <w:numFmt w:val="lowerLetter"/>
      <w:lvlText w:val="%1)"/>
      <w:lvlJc w:val="left"/>
      <w:pPr>
        <w:ind w:left="720" w:hanging="360"/>
      </w:pPr>
      <w:rPr>
        <w:rFonts w:hint="default"/>
      </w:rPr>
    </w:lvl>
    <w:lvl w:ilvl="1" w:tplc="0409001B">
      <w:start w:val="1"/>
      <w:numFmt w:val="lowerRoman"/>
      <w:lvlText w:val="%2."/>
      <w:lvlJc w:val="righ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6DF2E4E"/>
    <w:multiLevelType w:val="hybridMultilevel"/>
    <w:tmpl w:val="3C34F1D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62EA1"/>
    <w:multiLevelType w:val="hybridMultilevel"/>
    <w:tmpl w:val="3146B556"/>
    <w:lvl w:ilvl="0" w:tplc="90B85E7A">
      <w:start w:val="1"/>
      <w:numFmt w:val="lowerRoman"/>
      <w:lvlText w:val="%1)"/>
      <w:lvlJc w:val="left"/>
      <w:pPr>
        <w:ind w:left="1080" w:hanging="720"/>
      </w:pPr>
      <w:rPr>
        <w:rFonts w:hint="default"/>
      </w:rPr>
    </w:lvl>
    <w:lvl w:ilvl="1" w:tplc="35F68836">
      <w:start w:val="1"/>
      <w:numFmt w:val="lowerLetter"/>
      <w:lvlText w:val="%2)"/>
      <w:lvlJc w:val="left"/>
      <w:pPr>
        <w:ind w:left="1440" w:hanging="360"/>
      </w:pPr>
      <w:rPr>
        <w:rFonts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AA7266C"/>
    <w:multiLevelType w:val="hybridMultilevel"/>
    <w:tmpl w:val="DA3E008E"/>
    <w:lvl w:ilvl="0" w:tplc="F1EA2968">
      <w:start w:val="2"/>
      <w:numFmt w:val="bullet"/>
      <w:lvlText w:val="-"/>
      <w:lvlJc w:val="left"/>
      <w:pPr>
        <w:ind w:left="720" w:hanging="360"/>
      </w:pPr>
      <w:rPr>
        <w:rFonts w:ascii="Verdana" w:eastAsia="Times"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B980DE8"/>
    <w:multiLevelType w:val="multilevel"/>
    <w:tmpl w:val="7D00E22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D11103A"/>
    <w:multiLevelType w:val="hybridMultilevel"/>
    <w:tmpl w:val="B6A20FD0"/>
    <w:lvl w:ilvl="0" w:tplc="BCDA839A">
      <w:start w:val="1"/>
      <w:numFmt w:val="upperLetter"/>
      <w:lvlText w:val="%1."/>
      <w:lvlJc w:val="left"/>
      <w:pPr>
        <w:ind w:left="720" w:hanging="360"/>
      </w:pPr>
      <w:rPr>
        <w:rFonts w:ascii="Verdana" w:hAnsi="Verdana" w:hint="default"/>
        <w:b/>
        <w:i/>
        <w:color w:val="000000"/>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5" w15:restartNumberingAfterBreak="0">
    <w:nsid w:val="62AB7FE6"/>
    <w:multiLevelType w:val="hybridMultilevel"/>
    <w:tmpl w:val="CFB28BF2"/>
    <w:lvl w:ilvl="0" w:tplc="90B85E7A">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2630F7B"/>
    <w:multiLevelType w:val="hybridMultilevel"/>
    <w:tmpl w:val="E392EA52"/>
    <w:lvl w:ilvl="0" w:tplc="F904C440">
      <w:start w:val="1"/>
      <w:numFmt w:val="decimal"/>
      <w:lvlText w:val="%1."/>
      <w:lvlJc w:val="left"/>
      <w:pPr>
        <w:ind w:left="360" w:hanging="360"/>
      </w:pPr>
      <w:rPr>
        <w:rFonts w:ascii="Verdana" w:hAnsi="Verdana" w:hint="default"/>
        <w:b w:val="0"/>
        <w:i w:val="0"/>
        <w:color w:val="auto"/>
        <w:sz w:val="20"/>
      </w:rPr>
    </w:lvl>
    <w:lvl w:ilvl="1" w:tplc="04090019">
      <w:start w:val="1"/>
      <w:numFmt w:val="lowerLetter"/>
      <w:lvlText w:val="%2."/>
      <w:lvlJc w:val="left"/>
      <w:pPr>
        <w:ind w:left="1440" w:hanging="360"/>
      </w:pPr>
    </w:lvl>
    <w:lvl w:ilvl="2" w:tplc="EB48BB0A">
      <w:start w:val="1"/>
      <w:numFmt w:val="upperLetter"/>
      <w:lvlText w:val="%3."/>
      <w:lvlJc w:val="left"/>
      <w:pPr>
        <w:ind w:left="2340" w:hanging="36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78455DB"/>
    <w:multiLevelType w:val="hybridMultilevel"/>
    <w:tmpl w:val="DB1EB88E"/>
    <w:lvl w:ilvl="0" w:tplc="71F64FA2">
      <w:start w:val="1"/>
      <w:numFmt w:val="decimal"/>
      <w:lvlText w:val="%1."/>
      <w:lvlJc w:val="left"/>
      <w:pPr>
        <w:ind w:left="720" w:hanging="360"/>
      </w:pPr>
      <w:rPr>
        <w:rFonts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7C047983"/>
    <w:multiLevelType w:val="hybridMultilevel"/>
    <w:tmpl w:val="0EB45F0A"/>
    <w:lvl w:ilvl="0" w:tplc="8F3EC32E">
      <w:start w:val="1"/>
      <w:numFmt w:val="decimal"/>
      <w:lvlText w:val="%1."/>
      <w:lvlJc w:val="left"/>
      <w:pPr>
        <w:ind w:left="720" w:hanging="360"/>
      </w:pPr>
      <w:rPr>
        <w:rFonts w:ascii="Verdana" w:hAnsi="Verdana" w:hint="default"/>
        <w:b w:val="0"/>
        <w:color w:val="auto"/>
        <w:sz w:val="20"/>
        <w:szCs w:val="2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8"/>
  </w:num>
  <w:num w:numId="2">
    <w:abstractNumId w:val="3"/>
  </w:num>
  <w:num w:numId="3">
    <w:abstractNumId w:val="15"/>
  </w:num>
  <w:num w:numId="4">
    <w:abstractNumId w:val="11"/>
  </w:num>
  <w:num w:numId="5">
    <w:abstractNumId w:val="0"/>
  </w:num>
  <w:num w:numId="6">
    <w:abstractNumId w:val="28"/>
  </w:num>
  <w:num w:numId="7">
    <w:abstractNumId w:val="1"/>
  </w:num>
  <w:num w:numId="8">
    <w:abstractNumId w:val="14"/>
  </w:num>
  <w:num w:numId="9">
    <w:abstractNumId w:val="10"/>
  </w:num>
  <w:num w:numId="10">
    <w:abstractNumId w:val="18"/>
  </w:num>
  <w:num w:numId="11">
    <w:abstractNumId w:val="2"/>
  </w:num>
  <w:num w:numId="12">
    <w:abstractNumId w:val="27"/>
  </w:num>
  <w:num w:numId="13">
    <w:abstractNumId w:val="13"/>
  </w:num>
  <w:num w:numId="1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4"/>
  </w:num>
  <w:num w:numId="16">
    <w:abstractNumId w:val="26"/>
  </w:num>
  <w:num w:numId="17">
    <w:abstractNumId w:val="22"/>
  </w:num>
  <w:num w:numId="18">
    <w:abstractNumId w:val="4"/>
  </w:num>
  <w:num w:numId="19">
    <w:abstractNumId w:val="21"/>
  </w:num>
  <w:num w:numId="20">
    <w:abstractNumId w:val="23"/>
  </w:num>
  <w:num w:numId="21">
    <w:abstractNumId w:val="25"/>
  </w:num>
  <w:num w:numId="22">
    <w:abstractNumId w:val="19"/>
  </w:num>
  <w:num w:numId="23">
    <w:abstractNumId w:val="6"/>
  </w:num>
  <w:num w:numId="24">
    <w:abstractNumId w:val="17"/>
  </w:num>
  <w:num w:numId="25">
    <w:abstractNumId w:val="9"/>
  </w:num>
  <w:num w:numId="26">
    <w:abstractNumId w:val="16"/>
  </w:num>
  <w:num w:numId="27">
    <w:abstractNumId w:val="20"/>
  </w:num>
  <w:num w:numId="28">
    <w:abstractNumId w:val="12"/>
  </w:num>
  <w:num w:numId="2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ctiveWritingStyle w:appName="MSWord" w:lang="pt-BR" w:vendorID="64" w:dllVersion="6" w:nlCheck="1" w:checkStyle="0"/>
  <w:activeWritingStyle w:appName="MSWord" w:lang="es-ES" w:vendorID="64" w:dllVersion="6" w:nlCheck="1" w:checkStyle="0"/>
  <w:activeWritingStyle w:appName="MSWord" w:lang="es-CR" w:vendorID="64" w:dllVersion="6" w:nlCheck="1" w:checkStyle="0"/>
  <w:activeWritingStyle w:appName="MSWord" w:lang="es-AR" w:vendorID="64" w:dllVersion="6" w:nlCheck="1" w:checkStyle="0"/>
  <w:activeWritingStyle w:appName="MSWord" w:lang="es-MX" w:vendorID="64" w:dllVersion="6" w:nlCheck="1" w:checkStyle="0"/>
  <w:activeWritingStyle w:appName="MSWord" w:lang="es-MX" w:vendorID="64" w:dllVersion="4096" w:nlCheck="1" w:checkStyle="0"/>
  <w:activeWritingStyle w:appName="MSWord" w:lang="es-CR" w:vendorID="64" w:dllVersion="4096" w:nlCheck="1" w:checkStyle="0"/>
  <w:activeWritingStyle w:appName="MSWord" w:lang="pt-BR" w:vendorID="64" w:dllVersion="4096" w:nlCheck="1" w:checkStyle="0"/>
  <w:activeWritingStyle w:appName="MSWord" w:lang="es-ES" w:vendorID="64" w:dllVersion="4096" w:nlCheck="1" w:checkStyle="0"/>
  <w:activeWritingStyle w:appName="MSWord" w:lang="es-CO" w:vendorID="64" w:dllVersion="6" w:nlCheck="1" w:checkStyle="0"/>
  <w:activeWritingStyle w:appName="MSWord" w:lang="es-ES_tradnl" w:vendorID="64" w:dllVersion="6" w:nlCheck="1" w:checkStyle="0"/>
  <w:activeWritingStyle w:appName="MSWord" w:lang="es-ES_tradnl" w:vendorID="64" w:dllVersion="4096" w:nlCheck="1" w:checkStyle="0"/>
  <w:activeWritingStyle w:appName="MSWord" w:lang="en-US" w:vendorID="64" w:dllVersion="4096" w:nlCheck="1" w:checkStyle="0"/>
  <w:activeWritingStyle w:appName="MSWord" w:lang="es-MX" w:vendorID="64" w:dllVersion="0" w:nlCheck="1" w:checkStyle="0"/>
  <w:activeWritingStyle w:appName="MSWord" w:lang="es-CR" w:vendorID="64" w:dllVersion="0" w:nlCheck="1" w:checkStyle="0"/>
  <w:activeWritingStyle w:appName="MSWord" w:lang="es-ES" w:vendorID="64" w:dllVersion="0" w:nlCheck="1" w:checkStyle="0"/>
  <w:activeWritingStyle w:appName="MSWord" w:lang="es-CO" w:vendorID="64" w:dllVersion="0" w:nlCheck="1" w:checkStyle="0"/>
  <w:activeWritingStyle w:appName="MSWord" w:lang="es-ES_tradnl" w:vendorID="64" w:dllVersion="0" w:nlCheck="1" w:checkStyle="0"/>
  <w:activeWritingStyle w:appName="MSWord" w:lang="pt-BR" w:vendorID="64" w:dllVersion="0" w:nlCheck="1" w:checkStyle="0"/>
  <w:proofState w:spelling="clean" w:grammar="clean"/>
  <w:defaultTabStop w:val="708"/>
  <w:hyphenationZone w:val="425"/>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20B"/>
    <w:rsid w:val="000001E3"/>
    <w:rsid w:val="00002792"/>
    <w:rsid w:val="000046FE"/>
    <w:rsid w:val="00004DA2"/>
    <w:rsid w:val="00006348"/>
    <w:rsid w:val="00007302"/>
    <w:rsid w:val="00007EEB"/>
    <w:rsid w:val="000105DC"/>
    <w:rsid w:val="00011A45"/>
    <w:rsid w:val="0001586D"/>
    <w:rsid w:val="000159C8"/>
    <w:rsid w:val="00017792"/>
    <w:rsid w:val="000273E1"/>
    <w:rsid w:val="00027E00"/>
    <w:rsid w:val="0003198B"/>
    <w:rsid w:val="00040C65"/>
    <w:rsid w:val="000411F3"/>
    <w:rsid w:val="000418EE"/>
    <w:rsid w:val="00053E2A"/>
    <w:rsid w:val="000549D4"/>
    <w:rsid w:val="00055C2E"/>
    <w:rsid w:val="00055DA8"/>
    <w:rsid w:val="00057DDD"/>
    <w:rsid w:val="000629DF"/>
    <w:rsid w:val="00062A6D"/>
    <w:rsid w:val="00066893"/>
    <w:rsid w:val="00067093"/>
    <w:rsid w:val="00070050"/>
    <w:rsid w:val="000701FC"/>
    <w:rsid w:val="000741B4"/>
    <w:rsid w:val="000817ED"/>
    <w:rsid w:val="00087CE8"/>
    <w:rsid w:val="00090157"/>
    <w:rsid w:val="000906E9"/>
    <w:rsid w:val="00093141"/>
    <w:rsid w:val="000A08E5"/>
    <w:rsid w:val="000A2A2B"/>
    <w:rsid w:val="000A2ED3"/>
    <w:rsid w:val="000A41F7"/>
    <w:rsid w:val="000B2984"/>
    <w:rsid w:val="000B3637"/>
    <w:rsid w:val="000B45D2"/>
    <w:rsid w:val="000C163F"/>
    <w:rsid w:val="000C6BC2"/>
    <w:rsid w:val="000D0A8C"/>
    <w:rsid w:val="000D3AB1"/>
    <w:rsid w:val="000E07DA"/>
    <w:rsid w:val="000E263C"/>
    <w:rsid w:val="000E33B8"/>
    <w:rsid w:val="000E39CA"/>
    <w:rsid w:val="000E5B55"/>
    <w:rsid w:val="000E6152"/>
    <w:rsid w:val="000F614E"/>
    <w:rsid w:val="001006F7"/>
    <w:rsid w:val="0010107F"/>
    <w:rsid w:val="00101760"/>
    <w:rsid w:val="001072BB"/>
    <w:rsid w:val="00107D81"/>
    <w:rsid w:val="00111D34"/>
    <w:rsid w:val="0011375D"/>
    <w:rsid w:val="00115D6C"/>
    <w:rsid w:val="00120113"/>
    <w:rsid w:val="00121EB0"/>
    <w:rsid w:val="00123E63"/>
    <w:rsid w:val="001246F2"/>
    <w:rsid w:val="00124A5B"/>
    <w:rsid w:val="001264D4"/>
    <w:rsid w:val="00127A7C"/>
    <w:rsid w:val="0013292A"/>
    <w:rsid w:val="00132BB3"/>
    <w:rsid w:val="00133EC8"/>
    <w:rsid w:val="001350DD"/>
    <w:rsid w:val="001362A5"/>
    <w:rsid w:val="00137D31"/>
    <w:rsid w:val="00140C83"/>
    <w:rsid w:val="00142A27"/>
    <w:rsid w:val="00143841"/>
    <w:rsid w:val="001457B1"/>
    <w:rsid w:val="0015319D"/>
    <w:rsid w:val="00154AEB"/>
    <w:rsid w:val="001569B6"/>
    <w:rsid w:val="00156D68"/>
    <w:rsid w:val="00157774"/>
    <w:rsid w:val="0016151F"/>
    <w:rsid w:val="00161B21"/>
    <w:rsid w:val="00162C69"/>
    <w:rsid w:val="00165540"/>
    <w:rsid w:val="00165749"/>
    <w:rsid w:val="00171A49"/>
    <w:rsid w:val="0017363E"/>
    <w:rsid w:val="001747A5"/>
    <w:rsid w:val="00175DBF"/>
    <w:rsid w:val="001819E8"/>
    <w:rsid w:val="001822FD"/>
    <w:rsid w:val="001832EF"/>
    <w:rsid w:val="00183C9B"/>
    <w:rsid w:val="00185F9C"/>
    <w:rsid w:val="00186877"/>
    <w:rsid w:val="00186E31"/>
    <w:rsid w:val="001905B8"/>
    <w:rsid w:val="00197C19"/>
    <w:rsid w:val="001A2269"/>
    <w:rsid w:val="001A254F"/>
    <w:rsid w:val="001A2F7F"/>
    <w:rsid w:val="001B04F9"/>
    <w:rsid w:val="001B0A6A"/>
    <w:rsid w:val="001B3720"/>
    <w:rsid w:val="001B394E"/>
    <w:rsid w:val="001C1B90"/>
    <w:rsid w:val="001C3239"/>
    <w:rsid w:val="001C541C"/>
    <w:rsid w:val="001C5C66"/>
    <w:rsid w:val="001C5EC6"/>
    <w:rsid w:val="001C627E"/>
    <w:rsid w:val="001D0913"/>
    <w:rsid w:val="001D5AB1"/>
    <w:rsid w:val="001D73F5"/>
    <w:rsid w:val="001E1D26"/>
    <w:rsid w:val="001E32EA"/>
    <w:rsid w:val="001E4D18"/>
    <w:rsid w:val="001E5A40"/>
    <w:rsid w:val="001E6645"/>
    <w:rsid w:val="001F18A9"/>
    <w:rsid w:val="001F6B84"/>
    <w:rsid w:val="0020016F"/>
    <w:rsid w:val="00204442"/>
    <w:rsid w:val="00204BF2"/>
    <w:rsid w:val="00210C83"/>
    <w:rsid w:val="00210FAE"/>
    <w:rsid w:val="0021115E"/>
    <w:rsid w:val="0021622B"/>
    <w:rsid w:val="002177A8"/>
    <w:rsid w:val="00221351"/>
    <w:rsid w:val="0022342C"/>
    <w:rsid w:val="00223BA8"/>
    <w:rsid w:val="002253CD"/>
    <w:rsid w:val="00230A1C"/>
    <w:rsid w:val="00230E6E"/>
    <w:rsid w:val="0023386E"/>
    <w:rsid w:val="0024096E"/>
    <w:rsid w:val="0024162C"/>
    <w:rsid w:val="00241DA9"/>
    <w:rsid w:val="002436F9"/>
    <w:rsid w:val="00244418"/>
    <w:rsid w:val="00252DD4"/>
    <w:rsid w:val="002623FE"/>
    <w:rsid w:val="00263548"/>
    <w:rsid w:val="00265D6E"/>
    <w:rsid w:val="002778A4"/>
    <w:rsid w:val="00277B79"/>
    <w:rsid w:val="002810E0"/>
    <w:rsid w:val="00282259"/>
    <w:rsid w:val="0028491C"/>
    <w:rsid w:val="002860E3"/>
    <w:rsid w:val="002872E5"/>
    <w:rsid w:val="002929AD"/>
    <w:rsid w:val="00292E75"/>
    <w:rsid w:val="00296450"/>
    <w:rsid w:val="002A15D0"/>
    <w:rsid w:val="002A4BCC"/>
    <w:rsid w:val="002A4D28"/>
    <w:rsid w:val="002A5D2D"/>
    <w:rsid w:val="002A6DF8"/>
    <w:rsid w:val="002B127E"/>
    <w:rsid w:val="002B1627"/>
    <w:rsid w:val="002B4F4B"/>
    <w:rsid w:val="002C2188"/>
    <w:rsid w:val="002C220C"/>
    <w:rsid w:val="002D260D"/>
    <w:rsid w:val="002D29ED"/>
    <w:rsid w:val="002D3FBC"/>
    <w:rsid w:val="002D5646"/>
    <w:rsid w:val="002D69F1"/>
    <w:rsid w:val="002E39D6"/>
    <w:rsid w:val="002E7D03"/>
    <w:rsid w:val="002F3403"/>
    <w:rsid w:val="002F5BC5"/>
    <w:rsid w:val="00300969"/>
    <w:rsid w:val="00301900"/>
    <w:rsid w:val="00307699"/>
    <w:rsid w:val="00307BA3"/>
    <w:rsid w:val="00307C31"/>
    <w:rsid w:val="0031129C"/>
    <w:rsid w:val="00311716"/>
    <w:rsid w:val="00311909"/>
    <w:rsid w:val="003119FE"/>
    <w:rsid w:val="00315019"/>
    <w:rsid w:val="00320837"/>
    <w:rsid w:val="0032195B"/>
    <w:rsid w:val="00321A6E"/>
    <w:rsid w:val="0032643A"/>
    <w:rsid w:val="003267B3"/>
    <w:rsid w:val="003274EB"/>
    <w:rsid w:val="003275C8"/>
    <w:rsid w:val="0033156C"/>
    <w:rsid w:val="00333A55"/>
    <w:rsid w:val="00336F0F"/>
    <w:rsid w:val="00337141"/>
    <w:rsid w:val="003378AE"/>
    <w:rsid w:val="00337D3B"/>
    <w:rsid w:val="00343CDF"/>
    <w:rsid w:val="0034609B"/>
    <w:rsid w:val="003468F3"/>
    <w:rsid w:val="00351B74"/>
    <w:rsid w:val="00352EFA"/>
    <w:rsid w:val="0035713A"/>
    <w:rsid w:val="0035777D"/>
    <w:rsid w:val="00357B78"/>
    <w:rsid w:val="00365810"/>
    <w:rsid w:val="0036772C"/>
    <w:rsid w:val="00370D9C"/>
    <w:rsid w:val="00371076"/>
    <w:rsid w:val="003712B9"/>
    <w:rsid w:val="00371BC2"/>
    <w:rsid w:val="003722D5"/>
    <w:rsid w:val="00372925"/>
    <w:rsid w:val="00372E06"/>
    <w:rsid w:val="0037393C"/>
    <w:rsid w:val="003801B5"/>
    <w:rsid w:val="003805C1"/>
    <w:rsid w:val="00381BA1"/>
    <w:rsid w:val="00382C5F"/>
    <w:rsid w:val="003836FD"/>
    <w:rsid w:val="00386274"/>
    <w:rsid w:val="00386AC6"/>
    <w:rsid w:val="00394007"/>
    <w:rsid w:val="00395CE6"/>
    <w:rsid w:val="003A2E33"/>
    <w:rsid w:val="003A66F3"/>
    <w:rsid w:val="003A767D"/>
    <w:rsid w:val="003B3976"/>
    <w:rsid w:val="003B4622"/>
    <w:rsid w:val="003C0613"/>
    <w:rsid w:val="003C101C"/>
    <w:rsid w:val="003C1435"/>
    <w:rsid w:val="003C7197"/>
    <w:rsid w:val="003D073C"/>
    <w:rsid w:val="003D1C57"/>
    <w:rsid w:val="003D22BE"/>
    <w:rsid w:val="003D3C2B"/>
    <w:rsid w:val="003D4E29"/>
    <w:rsid w:val="003D5BF4"/>
    <w:rsid w:val="003D5F4E"/>
    <w:rsid w:val="003D7628"/>
    <w:rsid w:val="003E2962"/>
    <w:rsid w:val="003E31B4"/>
    <w:rsid w:val="003E4D6A"/>
    <w:rsid w:val="003E51F2"/>
    <w:rsid w:val="003E52EF"/>
    <w:rsid w:val="003E7838"/>
    <w:rsid w:val="003F5319"/>
    <w:rsid w:val="003F7FE7"/>
    <w:rsid w:val="00400CCA"/>
    <w:rsid w:val="00402DE1"/>
    <w:rsid w:val="00411882"/>
    <w:rsid w:val="00411C0F"/>
    <w:rsid w:val="004143B6"/>
    <w:rsid w:val="00423534"/>
    <w:rsid w:val="00423BFC"/>
    <w:rsid w:val="004249DE"/>
    <w:rsid w:val="00424A36"/>
    <w:rsid w:val="004256F4"/>
    <w:rsid w:val="004259F1"/>
    <w:rsid w:val="00426818"/>
    <w:rsid w:val="00430E2B"/>
    <w:rsid w:val="0043355C"/>
    <w:rsid w:val="0043434E"/>
    <w:rsid w:val="00434B40"/>
    <w:rsid w:val="00435AA8"/>
    <w:rsid w:val="00441A32"/>
    <w:rsid w:val="00443034"/>
    <w:rsid w:val="0044335A"/>
    <w:rsid w:val="00444511"/>
    <w:rsid w:val="00444BEC"/>
    <w:rsid w:val="004517BE"/>
    <w:rsid w:val="0045463F"/>
    <w:rsid w:val="00455306"/>
    <w:rsid w:val="00455DE8"/>
    <w:rsid w:val="0045646D"/>
    <w:rsid w:val="00456948"/>
    <w:rsid w:val="00457E67"/>
    <w:rsid w:val="00460732"/>
    <w:rsid w:val="00464D96"/>
    <w:rsid w:val="00464DA2"/>
    <w:rsid w:val="00464EE6"/>
    <w:rsid w:val="00465170"/>
    <w:rsid w:val="004653B8"/>
    <w:rsid w:val="00467953"/>
    <w:rsid w:val="004722E5"/>
    <w:rsid w:val="0047242D"/>
    <w:rsid w:val="004724DF"/>
    <w:rsid w:val="0047256C"/>
    <w:rsid w:val="00474D7D"/>
    <w:rsid w:val="00475813"/>
    <w:rsid w:val="00483023"/>
    <w:rsid w:val="004830A3"/>
    <w:rsid w:val="004853A8"/>
    <w:rsid w:val="004950FC"/>
    <w:rsid w:val="004A0CD9"/>
    <w:rsid w:val="004A4094"/>
    <w:rsid w:val="004A4374"/>
    <w:rsid w:val="004A5BD4"/>
    <w:rsid w:val="004B3D6E"/>
    <w:rsid w:val="004C3ADC"/>
    <w:rsid w:val="004C3BA6"/>
    <w:rsid w:val="004C6EF8"/>
    <w:rsid w:val="004C7F2E"/>
    <w:rsid w:val="004D1244"/>
    <w:rsid w:val="004D1844"/>
    <w:rsid w:val="004D4734"/>
    <w:rsid w:val="004D64D4"/>
    <w:rsid w:val="004D6B6D"/>
    <w:rsid w:val="004E0553"/>
    <w:rsid w:val="004E2C09"/>
    <w:rsid w:val="004E42C7"/>
    <w:rsid w:val="004E493A"/>
    <w:rsid w:val="004E4C17"/>
    <w:rsid w:val="004F32FE"/>
    <w:rsid w:val="004F4966"/>
    <w:rsid w:val="004F6445"/>
    <w:rsid w:val="00503E62"/>
    <w:rsid w:val="005067D4"/>
    <w:rsid w:val="00506A65"/>
    <w:rsid w:val="005127E9"/>
    <w:rsid w:val="0051492D"/>
    <w:rsid w:val="005160B4"/>
    <w:rsid w:val="00516813"/>
    <w:rsid w:val="00522D13"/>
    <w:rsid w:val="00524382"/>
    <w:rsid w:val="00525A1B"/>
    <w:rsid w:val="00526DE4"/>
    <w:rsid w:val="005313ED"/>
    <w:rsid w:val="005317EC"/>
    <w:rsid w:val="005328C3"/>
    <w:rsid w:val="0053786D"/>
    <w:rsid w:val="0054464E"/>
    <w:rsid w:val="00545C89"/>
    <w:rsid w:val="00561923"/>
    <w:rsid w:val="0056197B"/>
    <w:rsid w:val="005629EE"/>
    <w:rsid w:val="00563836"/>
    <w:rsid w:val="00570010"/>
    <w:rsid w:val="005734F9"/>
    <w:rsid w:val="00575E62"/>
    <w:rsid w:val="005763C1"/>
    <w:rsid w:val="0058109C"/>
    <w:rsid w:val="00581F34"/>
    <w:rsid w:val="00582E7F"/>
    <w:rsid w:val="00582FE8"/>
    <w:rsid w:val="00583D80"/>
    <w:rsid w:val="00585226"/>
    <w:rsid w:val="00585E45"/>
    <w:rsid w:val="00595FF1"/>
    <w:rsid w:val="005963D2"/>
    <w:rsid w:val="00596AE5"/>
    <w:rsid w:val="005A1859"/>
    <w:rsid w:val="005A2690"/>
    <w:rsid w:val="005A29A1"/>
    <w:rsid w:val="005A5FA7"/>
    <w:rsid w:val="005A7DDE"/>
    <w:rsid w:val="005B0583"/>
    <w:rsid w:val="005B0B51"/>
    <w:rsid w:val="005B4E2A"/>
    <w:rsid w:val="005B6B5F"/>
    <w:rsid w:val="005B7714"/>
    <w:rsid w:val="005C081E"/>
    <w:rsid w:val="005C0F77"/>
    <w:rsid w:val="005C13DA"/>
    <w:rsid w:val="005C1CB7"/>
    <w:rsid w:val="005C31BF"/>
    <w:rsid w:val="005C336C"/>
    <w:rsid w:val="005C4BB8"/>
    <w:rsid w:val="005C5211"/>
    <w:rsid w:val="005C75B8"/>
    <w:rsid w:val="005C7717"/>
    <w:rsid w:val="005D4406"/>
    <w:rsid w:val="005D5373"/>
    <w:rsid w:val="005D653C"/>
    <w:rsid w:val="005E48EC"/>
    <w:rsid w:val="005E5FB5"/>
    <w:rsid w:val="005E7846"/>
    <w:rsid w:val="005F0598"/>
    <w:rsid w:val="005F7C45"/>
    <w:rsid w:val="006007F3"/>
    <w:rsid w:val="00604EED"/>
    <w:rsid w:val="00605625"/>
    <w:rsid w:val="006060F7"/>
    <w:rsid w:val="006073EB"/>
    <w:rsid w:val="00612864"/>
    <w:rsid w:val="00613522"/>
    <w:rsid w:val="00613A26"/>
    <w:rsid w:val="00614166"/>
    <w:rsid w:val="0061533F"/>
    <w:rsid w:val="006168A8"/>
    <w:rsid w:val="00622045"/>
    <w:rsid w:val="00627D9A"/>
    <w:rsid w:val="00630119"/>
    <w:rsid w:val="0063510A"/>
    <w:rsid w:val="006371E5"/>
    <w:rsid w:val="006417D7"/>
    <w:rsid w:val="00642D02"/>
    <w:rsid w:val="006432F7"/>
    <w:rsid w:val="00643DB1"/>
    <w:rsid w:val="0064526F"/>
    <w:rsid w:val="00645E23"/>
    <w:rsid w:val="00653E17"/>
    <w:rsid w:val="0065520B"/>
    <w:rsid w:val="00656029"/>
    <w:rsid w:val="00657E64"/>
    <w:rsid w:val="00660348"/>
    <w:rsid w:val="0066130C"/>
    <w:rsid w:val="006624B7"/>
    <w:rsid w:val="00664E1F"/>
    <w:rsid w:val="00664E56"/>
    <w:rsid w:val="00667C8F"/>
    <w:rsid w:val="00673B10"/>
    <w:rsid w:val="00673DCD"/>
    <w:rsid w:val="006740B6"/>
    <w:rsid w:val="006777FB"/>
    <w:rsid w:val="00677935"/>
    <w:rsid w:val="006830A4"/>
    <w:rsid w:val="00684C01"/>
    <w:rsid w:val="00692823"/>
    <w:rsid w:val="00693119"/>
    <w:rsid w:val="006953F1"/>
    <w:rsid w:val="006979BA"/>
    <w:rsid w:val="006A02B4"/>
    <w:rsid w:val="006A40CD"/>
    <w:rsid w:val="006A4AAD"/>
    <w:rsid w:val="006A53AF"/>
    <w:rsid w:val="006B00A4"/>
    <w:rsid w:val="006B5E2E"/>
    <w:rsid w:val="006B64BE"/>
    <w:rsid w:val="006B7911"/>
    <w:rsid w:val="006B7931"/>
    <w:rsid w:val="006C14E3"/>
    <w:rsid w:val="006C62D3"/>
    <w:rsid w:val="006D089F"/>
    <w:rsid w:val="006D1801"/>
    <w:rsid w:val="006D27C0"/>
    <w:rsid w:val="006D391D"/>
    <w:rsid w:val="006E11A2"/>
    <w:rsid w:val="006E6F3B"/>
    <w:rsid w:val="006E7E54"/>
    <w:rsid w:val="006F05E8"/>
    <w:rsid w:val="006F4A70"/>
    <w:rsid w:val="00701B76"/>
    <w:rsid w:val="007032E9"/>
    <w:rsid w:val="00707546"/>
    <w:rsid w:val="00707915"/>
    <w:rsid w:val="00711E3E"/>
    <w:rsid w:val="00717DB0"/>
    <w:rsid w:val="007227CA"/>
    <w:rsid w:val="0073073D"/>
    <w:rsid w:val="00730A69"/>
    <w:rsid w:val="00735FDD"/>
    <w:rsid w:val="00750C1C"/>
    <w:rsid w:val="007547B9"/>
    <w:rsid w:val="00762573"/>
    <w:rsid w:val="00767703"/>
    <w:rsid w:val="00770894"/>
    <w:rsid w:val="0077307A"/>
    <w:rsid w:val="007756F4"/>
    <w:rsid w:val="007762CE"/>
    <w:rsid w:val="00776847"/>
    <w:rsid w:val="00776CF6"/>
    <w:rsid w:val="00776EF4"/>
    <w:rsid w:val="00782DB7"/>
    <w:rsid w:val="007861C0"/>
    <w:rsid w:val="00792F4F"/>
    <w:rsid w:val="00793FAD"/>
    <w:rsid w:val="007A1810"/>
    <w:rsid w:val="007A255C"/>
    <w:rsid w:val="007A3B13"/>
    <w:rsid w:val="007B08F5"/>
    <w:rsid w:val="007C0C51"/>
    <w:rsid w:val="007C160D"/>
    <w:rsid w:val="007C4F45"/>
    <w:rsid w:val="007D1F4E"/>
    <w:rsid w:val="007D223B"/>
    <w:rsid w:val="007D22E5"/>
    <w:rsid w:val="007D2350"/>
    <w:rsid w:val="007D3DA8"/>
    <w:rsid w:val="007D3FBE"/>
    <w:rsid w:val="007D7A94"/>
    <w:rsid w:val="007E488F"/>
    <w:rsid w:val="007E550C"/>
    <w:rsid w:val="007E7081"/>
    <w:rsid w:val="007E75FF"/>
    <w:rsid w:val="007E7CBD"/>
    <w:rsid w:val="007F0685"/>
    <w:rsid w:val="007F1F67"/>
    <w:rsid w:val="007F7A58"/>
    <w:rsid w:val="007F7C09"/>
    <w:rsid w:val="007F7FEB"/>
    <w:rsid w:val="00800660"/>
    <w:rsid w:val="00800889"/>
    <w:rsid w:val="008020D2"/>
    <w:rsid w:val="0080234B"/>
    <w:rsid w:val="00811596"/>
    <w:rsid w:val="008124CA"/>
    <w:rsid w:val="00812937"/>
    <w:rsid w:val="00813E35"/>
    <w:rsid w:val="00815DC8"/>
    <w:rsid w:val="008160C1"/>
    <w:rsid w:val="0081674C"/>
    <w:rsid w:val="00817BCA"/>
    <w:rsid w:val="00821FA0"/>
    <w:rsid w:val="00822D31"/>
    <w:rsid w:val="00824649"/>
    <w:rsid w:val="00834732"/>
    <w:rsid w:val="00835090"/>
    <w:rsid w:val="008350FF"/>
    <w:rsid w:val="008433A5"/>
    <w:rsid w:val="00843FEA"/>
    <w:rsid w:val="00844F89"/>
    <w:rsid w:val="008548C9"/>
    <w:rsid w:val="00857CD3"/>
    <w:rsid w:val="00861269"/>
    <w:rsid w:val="00863B8D"/>
    <w:rsid w:val="00865A92"/>
    <w:rsid w:val="00867010"/>
    <w:rsid w:val="00874DE9"/>
    <w:rsid w:val="0087767F"/>
    <w:rsid w:val="00880B7E"/>
    <w:rsid w:val="008814E0"/>
    <w:rsid w:val="008836DC"/>
    <w:rsid w:val="008906A0"/>
    <w:rsid w:val="00893739"/>
    <w:rsid w:val="00893CCE"/>
    <w:rsid w:val="008972DD"/>
    <w:rsid w:val="008A61D8"/>
    <w:rsid w:val="008B0E1B"/>
    <w:rsid w:val="008B211E"/>
    <w:rsid w:val="008B2B5E"/>
    <w:rsid w:val="008B31AB"/>
    <w:rsid w:val="008B4981"/>
    <w:rsid w:val="008B4E2A"/>
    <w:rsid w:val="008B781F"/>
    <w:rsid w:val="008B7E13"/>
    <w:rsid w:val="008C2E56"/>
    <w:rsid w:val="008C310A"/>
    <w:rsid w:val="008C74ED"/>
    <w:rsid w:val="008D1040"/>
    <w:rsid w:val="008D75F2"/>
    <w:rsid w:val="008E074D"/>
    <w:rsid w:val="008E1B4D"/>
    <w:rsid w:val="008E2D5C"/>
    <w:rsid w:val="008E54C6"/>
    <w:rsid w:val="008E5D18"/>
    <w:rsid w:val="008F01C7"/>
    <w:rsid w:val="008F3FF8"/>
    <w:rsid w:val="008F40A4"/>
    <w:rsid w:val="008F4923"/>
    <w:rsid w:val="008F4C48"/>
    <w:rsid w:val="008F76C9"/>
    <w:rsid w:val="009067B5"/>
    <w:rsid w:val="00907279"/>
    <w:rsid w:val="00910496"/>
    <w:rsid w:val="00912502"/>
    <w:rsid w:val="009139C8"/>
    <w:rsid w:val="009178F6"/>
    <w:rsid w:val="0092020F"/>
    <w:rsid w:val="00922ABF"/>
    <w:rsid w:val="00922DE4"/>
    <w:rsid w:val="00926BC0"/>
    <w:rsid w:val="00931199"/>
    <w:rsid w:val="00932472"/>
    <w:rsid w:val="009366A1"/>
    <w:rsid w:val="009369C3"/>
    <w:rsid w:val="00942872"/>
    <w:rsid w:val="0094397E"/>
    <w:rsid w:val="00944AD8"/>
    <w:rsid w:val="00947347"/>
    <w:rsid w:val="0095299F"/>
    <w:rsid w:val="009529D7"/>
    <w:rsid w:val="00962D21"/>
    <w:rsid w:val="00966E85"/>
    <w:rsid w:val="009710A4"/>
    <w:rsid w:val="00971922"/>
    <w:rsid w:val="00972493"/>
    <w:rsid w:val="0097374C"/>
    <w:rsid w:val="0098046F"/>
    <w:rsid w:val="0098210E"/>
    <w:rsid w:val="00982815"/>
    <w:rsid w:val="0098403E"/>
    <w:rsid w:val="00985468"/>
    <w:rsid w:val="00985F14"/>
    <w:rsid w:val="009860D1"/>
    <w:rsid w:val="00987960"/>
    <w:rsid w:val="00990438"/>
    <w:rsid w:val="00990623"/>
    <w:rsid w:val="00992A26"/>
    <w:rsid w:val="00997686"/>
    <w:rsid w:val="009A1B4E"/>
    <w:rsid w:val="009A488D"/>
    <w:rsid w:val="009B4516"/>
    <w:rsid w:val="009B47C7"/>
    <w:rsid w:val="009B635D"/>
    <w:rsid w:val="009C16FA"/>
    <w:rsid w:val="009D0265"/>
    <w:rsid w:val="009D1286"/>
    <w:rsid w:val="009D6B98"/>
    <w:rsid w:val="009E094C"/>
    <w:rsid w:val="009E4609"/>
    <w:rsid w:val="009E5EF7"/>
    <w:rsid w:val="009F10CF"/>
    <w:rsid w:val="009F1F40"/>
    <w:rsid w:val="009F28E5"/>
    <w:rsid w:val="009F3302"/>
    <w:rsid w:val="009F566A"/>
    <w:rsid w:val="00A019B7"/>
    <w:rsid w:val="00A06292"/>
    <w:rsid w:val="00A11546"/>
    <w:rsid w:val="00A13E9F"/>
    <w:rsid w:val="00A14092"/>
    <w:rsid w:val="00A15172"/>
    <w:rsid w:val="00A20D37"/>
    <w:rsid w:val="00A3270F"/>
    <w:rsid w:val="00A330C2"/>
    <w:rsid w:val="00A36626"/>
    <w:rsid w:val="00A430C6"/>
    <w:rsid w:val="00A43CDE"/>
    <w:rsid w:val="00A4492E"/>
    <w:rsid w:val="00A51231"/>
    <w:rsid w:val="00A53419"/>
    <w:rsid w:val="00A53D07"/>
    <w:rsid w:val="00A54AA4"/>
    <w:rsid w:val="00A55184"/>
    <w:rsid w:val="00A60E7D"/>
    <w:rsid w:val="00A64F67"/>
    <w:rsid w:val="00A6546D"/>
    <w:rsid w:val="00A66378"/>
    <w:rsid w:val="00A66870"/>
    <w:rsid w:val="00A73C47"/>
    <w:rsid w:val="00A7410E"/>
    <w:rsid w:val="00A75F01"/>
    <w:rsid w:val="00A76F4E"/>
    <w:rsid w:val="00A8122C"/>
    <w:rsid w:val="00A82B5A"/>
    <w:rsid w:val="00A830DE"/>
    <w:rsid w:val="00A836C3"/>
    <w:rsid w:val="00A83818"/>
    <w:rsid w:val="00A85A67"/>
    <w:rsid w:val="00A93E05"/>
    <w:rsid w:val="00A9506C"/>
    <w:rsid w:val="00AA03AC"/>
    <w:rsid w:val="00AA0918"/>
    <w:rsid w:val="00AA121F"/>
    <w:rsid w:val="00AA26A9"/>
    <w:rsid w:val="00AA32AD"/>
    <w:rsid w:val="00AA390C"/>
    <w:rsid w:val="00AA5A58"/>
    <w:rsid w:val="00AA78DB"/>
    <w:rsid w:val="00AB04CC"/>
    <w:rsid w:val="00AB0B23"/>
    <w:rsid w:val="00AB1C79"/>
    <w:rsid w:val="00AB48F8"/>
    <w:rsid w:val="00AB4AD7"/>
    <w:rsid w:val="00AB5467"/>
    <w:rsid w:val="00AB74AB"/>
    <w:rsid w:val="00AC0007"/>
    <w:rsid w:val="00AC56E8"/>
    <w:rsid w:val="00AC699B"/>
    <w:rsid w:val="00AD283A"/>
    <w:rsid w:val="00AD6B6B"/>
    <w:rsid w:val="00AE1402"/>
    <w:rsid w:val="00AE14DC"/>
    <w:rsid w:val="00AE4B34"/>
    <w:rsid w:val="00AE58F6"/>
    <w:rsid w:val="00AF0ACE"/>
    <w:rsid w:val="00AF1972"/>
    <w:rsid w:val="00AF712E"/>
    <w:rsid w:val="00B06637"/>
    <w:rsid w:val="00B06728"/>
    <w:rsid w:val="00B07063"/>
    <w:rsid w:val="00B11E0D"/>
    <w:rsid w:val="00B12113"/>
    <w:rsid w:val="00B129ED"/>
    <w:rsid w:val="00B130F2"/>
    <w:rsid w:val="00B14829"/>
    <w:rsid w:val="00B172B8"/>
    <w:rsid w:val="00B17B0F"/>
    <w:rsid w:val="00B17B64"/>
    <w:rsid w:val="00B228F7"/>
    <w:rsid w:val="00B22BCC"/>
    <w:rsid w:val="00B25D6E"/>
    <w:rsid w:val="00B2680C"/>
    <w:rsid w:val="00B26963"/>
    <w:rsid w:val="00B315ED"/>
    <w:rsid w:val="00B37020"/>
    <w:rsid w:val="00B416F8"/>
    <w:rsid w:val="00B42F79"/>
    <w:rsid w:val="00B451D0"/>
    <w:rsid w:val="00B45BDB"/>
    <w:rsid w:val="00B47362"/>
    <w:rsid w:val="00B503E8"/>
    <w:rsid w:val="00B54163"/>
    <w:rsid w:val="00B56243"/>
    <w:rsid w:val="00B562D4"/>
    <w:rsid w:val="00B6160D"/>
    <w:rsid w:val="00B61CA0"/>
    <w:rsid w:val="00B6380A"/>
    <w:rsid w:val="00B6584A"/>
    <w:rsid w:val="00B6682A"/>
    <w:rsid w:val="00B7367C"/>
    <w:rsid w:val="00B74D01"/>
    <w:rsid w:val="00B80F19"/>
    <w:rsid w:val="00B817EE"/>
    <w:rsid w:val="00B8276E"/>
    <w:rsid w:val="00B82CB7"/>
    <w:rsid w:val="00B82DF7"/>
    <w:rsid w:val="00B866DE"/>
    <w:rsid w:val="00B876A3"/>
    <w:rsid w:val="00B906DA"/>
    <w:rsid w:val="00B936FB"/>
    <w:rsid w:val="00B96979"/>
    <w:rsid w:val="00BA3A27"/>
    <w:rsid w:val="00BA3F11"/>
    <w:rsid w:val="00BA4549"/>
    <w:rsid w:val="00BA51AF"/>
    <w:rsid w:val="00BB03D8"/>
    <w:rsid w:val="00BB12F2"/>
    <w:rsid w:val="00BB5B08"/>
    <w:rsid w:val="00BB7CE5"/>
    <w:rsid w:val="00BC2119"/>
    <w:rsid w:val="00BC33EC"/>
    <w:rsid w:val="00BC5816"/>
    <w:rsid w:val="00BC59EE"/>
    <w:rsid w:val="00BD357A"/>
    <w:rsid w:val="00BD358F"/>
    <w:rsid w:val="00BD5033"/>
    <w:rsid w:val="00BE0057"/>
    <w:rsid w:val="00BE0DAF"/>
    <w:rsid w:val="00BE219D"/>
    <w:rsid w:val="00BE2211"/>
    <w:rsid w:val="00BE5CBB"/>
    <w:rsid w:val="00BE7856"/>
    <w:rsid w:val="00BF2685"/>
    <w:rsid w:val="00BF2A3D"/>
    <w:rsid w:val="00BF413C"/>
    <w:rsid w:val="00BF550E"/>
    <w:rsid w:val="00BF56C8"/>
    <w:rsid w:val="00C01A61"/>
    <w:rsid w:val="00C11B7F"/>
    <w:rsid w:val="00C122F0"/>
    <w:rsid w:val="00C12CC4"/>
    <w:rsid w:val="00C1325B"/>
    <w:rsid w:val="00C14EA7"/>
    <w:rsid w:val="00C20CEA"/>
    <w:rsid w:val="00C23C3B"/>
    <w:rsid w:val="00C24B88"/>
    <w:rsid w:val="00C24C2E"/>
    <w:rsid w:val="00C305B3"/>
    <w:rsid w:val="00C31E3E"/>
    <w:rsid w:val="00C35093"/>
    <w:rsid w:val="00C3585B"/>
    <w:rsid w:val="00C358C6"/>
    <w:rsid w:val="00C3715C"/>
    <w:rsid w:val="00C433B6"/>
    <w:rsid w:val="00C44D64"/>
    <w:rsid w:val="00C45923"/>
    <w:rsid w:val="00C506D3"/>
    <w:rsid w:val="00C50B6D"/>
    <w:rsid w:val="00C520B4"/>
    <w:rsid w:val="00C522B1"/>
    <w:rsid w:val="00C563A0"/>
    <w:rsid w:val="00C6033E"/>
    <w:rsid w:val="00C61044"/>
    <w:rsid w:val="00C63B1E"/>
    <w:rsid w:val="00C63C15"/>
    <w:rsid w:val="00C82107"/>
    <w:rsid w:val="00C83A92"/>
    <w:rsid w:val="00C91262"/>
    <w:rsid w:val="00C92E60"/>
    <w:rsid w:val="00C970B5"/>
    <w:rsid w:val="00CA0BD3"/>
    <w:rsid w:val="00CA2E20"/>
    <w:rsid w:val="00CA462B"/>
    <w:rsid w:val="00CA4D9C"/>
    <w:rsid w:val="00CB63AE"/>
    <w:rsid w:val="00CB775C"/>
    <w:rsid w:val="00CC0586"/>
    <w:rsid w:val="00CC0D28"/>
    <w:rsid w:val="00CC7636"/>
    <w:rsid w:val="00CD0F98"/>
    <w:rsid w:val="00CD161B"/>
    <w:rsid w:val="00CD23D6"/>
    <w:rsid w:val="00CD3346"/>
    <w:rsid w:val="00CD376B"/>
    <w:rsid w:val="00CD5049"/>
    <w:rsid w:val="00CD67B8"/>
    <w:rsid w:val="00CD7374"/>
    <w:rsid w:val="00CE061B"/>
    <w:rsid w:val="00CE12C9"/>
    <w:rsid w:val="00CE2356"/>
    <w:rsid w:val="00CE2385"/>
    <w:rsid w:val="00CF01A1"/>
    <w:rsid w:val="00CF3059"/>
    <w:rsid w:val="00CF45D6"/>
    <w:rsid w:val="00CF504A"/>
    <w:rsid w:val="00CF6C3D"/>
    <w:rsid w:val="00CF7564"/>
    <w:rsid w:val="00D0007E"/>
    <w:rsid w:val="00D01395"/>
    <w:rsid w:val="00D021FE"/>
    <w:rsid w:val="00D04358"/>
    <w:rsid w:val="00D04A50"/>
    <w:rsid w:val="00D060CA"/>
    <w:rsid w:val="00D07F6E"/>
    <w:rsid w:val="00D10C7F"/>
    <w:rsid w:val="00D11644"/>
    <w:rsid w:val="00D1436E"/>
    <w:rsid w:val="00D164FA"/>
    <w:rsid w:val="00D230DE"/>
    <w:rsid w:val="00D23992"/>
    <w:rsid w:val="00D23F08"/>
    <w:rsid w:val="00D258F8"/>
    <w:rsid w:val="00D261EA"/>
    <w:rsid w:val="00D27DC0"/>
    <w:rsid w:val="00D32431"/>
    <w:rsid w:val="00D3273D"/>
    <w:rsid w:val="00D4075C"/>
    <w:rsid w:val="00D41F9C"/>
    <w:rsid w:val="00D42500"/>
    <w:rsid w:val="00D44BEB"/>
    <w:rsid w:val="00D456D3"/>
    <w:rsid w:val="00D45EF9"/>
    <w:rsid w:val="00D5118B"/>
    <w:rsid w:val="00D52A4B"/>
    <w:rsid w:val="00D54C91"/>
    <w:rsid w:val="00D564A7"/>
    <w:rsid w:val="00D56D1B"/>
    <w:rsid w:val="00D63CAC"/>
    <w:rsid w:val="00D64704"/>
    <w:rsid w:val="00D71427"/>
    <w:rsid w:val="00D7223C"/>
    <w:rsid w:val="00D72282"/>
    <w:rsid w:val="00D72669"/>
    <w:rsid w:val="00D72C61"/>
    <w:rsid w:val="00D72E47"/>
    <w:rsid w:val="00D73C6E"/>
    <w:rsid w:val="00D75B7B"/>
    <w:rsid w:val="00D762E5"/>
    <w:rsid w:val="00D76D3E"/>
    <w:rsid w:val="00D76D85"/>
    <w:rsid w:val="00D8206B"/>
    <w:rsid w:val="00D83446"/>
    <w:rsid w:val="00D834CC"/>
    <w:rsid w:val="00D93C58"/>
    <w:rsid w:val="00D962F0"/>
    <w:rsid w:val="00D9762B"/>
    <w:rsid w:val="00DA0E34"/>
    <w:rsid w:val="00DA1B8E"/>
    <w:rsid w:val="00DA578A"/>
    <w:rsid w:val="00DA664D"/>
    <w:rsid w:val="00DA67F6"/>
    <w:rsid w:val="00DB4B7B"/>
    <w:rsid w:val="00DB52DF"/>
    <w:rsid w:val="00DB7F9B"/>
    <w:rsid w:val="00DC2794"/>
    <w:rsid w:val="00DC36D5"/>
    <w:rsid w:val="00DE2FC4"/>
    <w:rsid w:val="00DE49E1"/>
    <w:rsid w:val="00DF2221"/>
    <w:rsid w:val="00DF42CB"/>
    <w:rsid w:val="00E01E1A"/>
    <w:rsid w:val="00E02257"/>
    <w:rsid w:val="00E02976"/>
    <w:rsid w:val="00E10995"/>
    <w:rsid w:val="00E10ADA"/>
    <w:rsid w:val="00E10E93"/>
    <w:rsid w:val="00E12DCD"/>
    <w:rsid w:val="00E16848"/>
    <w:rsid w:val="00E20347"/>
    <w:rsid w:val="00E30F64"/>
    <w:rsid w:val="00E420FE"/>
    <w:rsid w:val="00E42123"/>
    <w:rsid w:val="00E43C03"/>
    <w:rsid w:val="00E45088"/>
    <w:rsid w:val="00E53F65"/>
    <w:rsid w:val="00E55372"/>
    <w:rsid w:val="00E55B56"/>
    <w:rsid w:val="00E56C67"/>
    <w:rsid w:val="00E631C1"/>
    <w:rsid w:val="00E645CB"/>
    <w:rsid w:val="00E70B00"/>
    <w:rsid w:val="00E72521"/>
    <w:rsid w:val="00E80EB7"/>
    <w:rsid w:val="00E960E6"/>
    <w:rsid w:val="00EA075E"/>
    <w:rsid w:val="00EA29A0"/>
    <w:rsid w:val="00EA7EA0"/>
    <w:rsid w:val="00EB09D7"/>
    <w:rsid w:val="00EB2273"/>
    <w:rsid w:val="00EC18B3"/>
    <w:rsid w:val="00EC5BE9"/>
    <w:rsid w:val="00EC7035"/>
    <w:rsid w:val="00EC7EC2"/>
    <w:rsid w:val="00ED0ABA"/>
    <w:rsid w:val="00ED329E"/>
    <w:rsid w:val="00ED533E"/>
    <w:rsid w:val="00ED6058"/>
    <w:rsid w:val="00ED6F8F"/>
    <w:rsid w:val="00EE1F07"/>
    <w:rsid w:val="00EE207E"/>
    <w:rsid w:val="00EE3E14"/>
    <w:rsid w:val="00EE4992"/>
    <w:rsid w:val="00EE5C1A"/>
    <w:rsid w:val="00F002C0"/>
    <w:rsid w:val="00F06FF2"/>
    <w:rsid w:val="00F07FA5"/>
    <w:rsid w:val="00F177B7"/>
    <w:rsid w:val="00F17E06"/>
    <w:rsid w:val="00F2304B"/>
    <w:rsid w:val="00F2351E"/>
    <w:rsid w:val="00F23D27"/>
    <w:rsid w:val="00F25AE1"/>
    <w:rsid w:val="00F30D62"/>
    <w:rsid w:val="00F344F0"/>
    <w:rsid w:val="00F37FE3"/>
    <w:rsid w:val="00F40386"/>
    <w:rsid w:val="00F418AC"/>
    <w:rsid w:val="00F45D41"/>
    <w:rsid w:val="00F46CFE"/>
    <w:rsid w:val="00F47208"/>
    <w:rsid w:val="00F52E19"/>
    <w:rsid w:val="00F52F91"/>
    <w:rsid w:val="00F53872"/>
    <w:rsid w:val="00F54D3E"/>
    <w:rsid w:val="00F60CAE"/>
    <w:rsid w:val="00F66FEB"/>
    <w:rsid w:val="00F7053A"/>
    <w:rsid w:val="00F7654F"/>
    <w:rsid w:val="00F8532B"/>
    <w:rsid w:val="00F93576"/>
    <w:rsid w:val="00F93B65"/>
    <w:rsid w:val="00F94DC2"/>
    <w:rsid w:val="00F95100"/>
    <w:rsid w:val="00F97D92"/>
    <w:rsid w:val="00FA0765"/>
    <w:rsid w:val="00FA1146"/>
    <w:rsid w:val="00FA4BDB"/>
    <w:rsid w:val="00FA560A"/>
    <w:rsid w:val="00FB209C"/>
    <w:rsid w:val="00FB2A31"/>
    <w:rsid w:val="00FB49A6"/>
    <w:rsid w:val="00FB76F5"/>
    <w:rsid w:val="00FC2398"/>
    <w:rsid w:val="00FC2FBC"/>
    <w:rsid w:val="00FC5BBF"/>
    <w:rsid w:val="00FD3127"/>
    <w:rsid w:val="00FD34C0"/>
    <w:rsid w:val="00FD365D"/>
    <w:rsid w:val="00FD3A9D"/>
    <w:rsid w:val="00FD66C5"/>
    <w:rsid w:val="00FE0BC5"/>
    <w:rsid w:val="00FE1438"/>
    <w:rsid w:val="00FE14AC"/>
    <w:rsid w:val="00FE21C8"/>
    <w:rsid w:val="00FE2391"/>
    <w:rsid w:val="00FE71A8"/>
    <w:rsid w:val="00FE77CA"/>
    <w:rsid w:val="00FE79A2"/>
    <w:rsid w:val="00FF48BB"/>
    <w:rsid w:val="00FF7C60"/>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D296F5"/>
  <w15:chartTrackingRefBased/>
  <w15:docId w15:val="{18EA4513-F394-41F5-8202-E5CCF06182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s-CR" w:eastAsia="es-C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65520B"/>
    <w:rPr>
      <w:rFonts w:ascii="Times New Roman" w:eastAsia="Times New Roman" w:hAnsi="Times New Roman"/>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link w:val="TtuloCar"/>
    <w:uiPriority w:val="10"/>
    <w:qFormat/>
    <w:rsid w:val="0065520B"/>
    <w:pPr>
      <w:jc w:val="center"/>
    </w:pPr>
    <w:rPr>
      <w:rFonts w:ascii="Verdana" w:hAnsi="Verdana"/>
      <w:b/>
      <w:smallCaps/>
      <w:sz w:val="20"/>
      <w:lang w:val="x-none"/>
    </w:rPr>
  </w:style>
  <w:style w:type="character" w:customStyle="1" w:styleId="TtuloCar">
    <w:name w:val="Título Car"/>
    <w:link w:val="Ttulo"/>
    <w:uiPriority w:val="10"/>
    <w:rsid w:val="0065520B"/>
    <w:rPr>
      <w:rFonts w:ascii="Verdana" w:eastAsia="Times New Roman" w:hAnsi="Verdana" w:cs="Times New Roman"/>
      <w:b/>
      <w:smallCaps/>
      <w:sz w:val="20"/>
      <w:szCs w:val="24"/>
      <w:lang w:eastAsia="es-ES"/>
    </w:rPr>
  </w:style>
  <w:style w:type="paragraph" w:styleId="Textonotapie">
    <w:name w:val="footnote text"/>
    <w:aliases w:val="Footnote reference,FA Fu,Footnote Text Char Char Char Char Char,Footnote Text Char Char Char Char,Footnote Text Char Char Char,Footnote Text Cha,FA Fußnotentext,FA Fuﬂnotentext,Footnote Text Char Char,FA Fu?notentext,Ca,Texto nota pie Car"/>
    <w:basedOn w:val="Normal"/>
    <w:link w:val="TextonotapieCar1"/>
    <w:qFormat/>
    <w:rsid w:val="0065520B"/>
    <w:rPr>
      <w:lang w:val="x-none"/>
    </w:rPr>
  </w:style>
  <w:style w:type="character" w:customStyle="1" w:styleId="TextonotapieCar1">
    <w:name w:val="Texto nota pie Car1"/>
    <w:aliases w:val="Footnote reference Car,FA Fu Car,Footnote Text Char Char Char Char Char Car,Footnote Text Char Char Char Char Car,Footnote Text Char Char Char Car,Footnote Text Cha Car,FA Fußnotentext Car,FA Fuﬂnotentext Car,FA Fu?notentext Car"/>
    <w:link w:val="Textonotapie"/>
    <w:qFormat/>
    <w:rsid w:val="0065520B"/>
    <w:rPr>
      <w:rFonts w:ascii="Times New Roman" w:eastAsia="Times New Roman" w:hAnsi="Times New Roman" w:cs="Times New Roman"/>
      <w:sz w:val="24"/>
      <w:szCs w:val="24"/>
      <w:lang w:eastAsia="es-ES"/>
    </w:rPr>
  </w:style>
  <w:style w:type="character" w:styleId="Refdenotaalpie">
    <w:name w:val="footnote reference"/>
    <w:aliases w:val="Texto de nota al pie,Footnotes refss,Appel note de bas de page,Footnote number,referencia nota al pie,BVI fnr,f,4_G,16 Point,Superscript 6 Point,Footnote Reference Char3,Footnote Reference Char1 Char,Footnote Reference Char Char Char"/>
    <w:link w:val="4GChar"/>
    <w:uiPriority w:val="99"/>
    <w:qFormat/>
    <w:rsid w:val="0065520B"/>
    <w:rPr>
      <w:vertAlign w:val="superscript"/>
    </w:rPr>
  </w:style>
  <w:style w:type="paragraph" w:styleId="Encabezado">
    <w:name w:val="header"/>
    <w:basedOn w:val="Normal"/>
    <w:link w:val="EncabezadoCar"/>
    <w:uiPriority w:val="99"/>
    <w:unhideWhenUsed/>
    <w:rsid w:val="0065520B"/>
    <w:pPr>
      <w:tabs>
        <w:tab w:val="center" w:pos="4419"/>
        <w:tab w:val="right" w:pos="8838"/>
      </w:tabs>
    </w:pPr>
    <w:rPr>
      <w:lang w:val="x-none"/>
    </w:rPr>
  </w:style>
  <w:style w:type="character" w:customStyle="1" w:styleId="EncabezadoCar">
    <w:name w:val="Encabezado Car"/>
    <w:link w:val="Encabezado"/>
    <w:uiPriority w:val="99"/>
    <w:rsid w:val="0065520B"/>
    <w:rPr>
      <w:rFonts w:ascii="Times New Roman" w:eastAsia="Times New Roman" w:hAnsi="Times New Roman" w:cs="Times New Roman"/>
      <w:sz w:val="24"/>
      <w:szCs w:val="24"/>
      <w:lang w:eastAsia="es-ES"/>
    </w:rPr>
  </w:style>
  <w:style w:type="character" w:styleId="Textoennegrita">
    <w:name w:val="Strong"/>
    <w:uiPriority w:val="22"/>
    <w:qFormat/>
    <w:rsid w:val="00B172B8"/>
    <w:rPr>
      <w:b/>
      <w:bCs/>
    </w:rPr>
  </w:style>
  <w:style w:type="paragraph" w:customStyle="1" w:styleId="Cuadrculaclara-nfasis31">
    <w:name w:val="Cuadrícula clara - Énfasis 31"/>
    <w:basedOn w:val="Normal"/>
    <w:uiPriority w:val="34"/>
    <w:qFormat/>
    <w:rsid w:val="00FC5BBF"/>
    <w:pPr>
      <w:spacing w:after="200" w:line="276" w:lineRule="auto"/>
      <w:ind w:left="720"/>
      <w:contextualSpacing/>
    </w:pPr>
    <w:rPr>
      <w:rFonts w:ascii="Calibri" w:eastAsia="Calibri" w:hAnsi="Calibri"/>
      <w:sz w:val="22"/>
      <w:szCs w:val="22"/>
      <w:lang w:eastAsia="en-US"/>
    </w:rPr>
  </w:style>
  <w:style w:type="character" w:styleId="Hipervnculo">
    <w:name w:val="Hyperlink"/>
    <w:uiPriority w:val="99"/>
    <w:unhideWhenUsed/>
    <w:rsid w:val="00DE2FC4"/>
    <w:rPr>
      <w:color w:val="0000FF"/>
      <w:u w:val="single"/>
    </w:rPr>
  </w:style>
  <w:style w:type="paragraph" w:styleId="Textodeglobo">
    <w:name w:val="Balloon Text"/>
    <w:basedOn w:val="Normal"/>
    <w:link w:val="TextodegloboCar"/>
    <w:uiPriority w:val="99"/>
    <w:semiHidden/>
    <w:unhideWhenUsed/>
    <w:rsid w:val="00F40386"/>
    <w:rPr>
      <w:rFonts w:ascii="Tahoma" w:hAnsi="Tahoma"/>
      <w:sz w:val="16"/>
      <w:szCs w:val="16"/>
    </w:rPr>
  </w:style>
  <w:style w:type="character" w:customStyle="1" w:styleId="TextodegloboCar">
    <w:name w:val="Texto de globo Car"/>
    <w:link w:val="Textodeglobo"/>
    <w:uiPriority w:val="99"/>
    <w:semiHidden/>
    <w:rsid w:val="00F40386"/>
    <w:rPr>
      <w:rFonts w:ascii="Tahoma" w:eastAsia="Times New Roman" w:hAnsi="Tahoma" w:cs="Tahoma"/>
      <w:sz w:val="16"/>
      <w:szCs w:val="16"/>
      <w:lang w:val="es-CR" w:eastAsia="es-ES"/>
    </w:rPr>
  </w:style>
  <w:style w:type="character" w:styleId="Refdecomentario">
    <w:name w:val="annotation reference"/>
    <w:uiPriority w:val="99"/>
    <w:semiHidden/>
    <w:unhideWhenUsed/>
    <w:rsid w:val="00F40386"/>
    <w:rPr>
      <w:sz w:val="16"/>
      <w:szCs w:val="16"/>
    </w:rPr>
  </w:style>
  <w:style w:type="paragraph" w:styleId="Textocomentario">
    <w:name w:val="annotation text"/>
    <w:basedOn w:val="Normal"/>
    <w:link w:val="TextocomentarioCar"/>
    <w:uiPriority w:val="99"/>
    <w:semiHidden/>
    <w:unhideWhenUsed/>
    <w:rsid w:val="00F40386"/>
    <w:rPr>
      <w:sz w:val="20"/>
      <w:szCs w:val="20"/>
    </w:rPr>
  </w:style>
  <w:style w:type="character" w:customStyle="1" w:styleId="TextocomentarioCar">
    <w:name w:val="Texto comentario Car"/>
    <w:link w:val="Textocomentario"/>
    <w:uiPriority w:val="99"/>
    <w:semiHidden/>
    <w:rsid w:val="00F40386"/>
    <w:rPr>
      <w:rFonts w:ascii="Times New Roman" w:eastAsia="Times New Roman" w:hAnsi="Times New Roman"/>
      <w:lang w:val="es-CR" w:eastAsia="es-ES"/>
    </w:rPr>
  </w:style>
  <w:style w:type="paragraph" w:styleId="Asuntodelcomentario">
    <w:name w:val="annotation subject"/>
    <w:basedOn w:val="Textocomentario"/>
    <w:next w:val="Textocomentario"/>
    <w:link w:val="AsuntodelcomentarioCar"/>
    <w:uiPriority w:val="99"/>
    <w:semiHidden/>
    <w:unhideWhenUsed/>
    <w:rsid w:val="00F40386"/>
    <w:rPr>
      <w:b/>
      <w:bCs/>
    </w:rPr>
  </w:style>
  <w:style w:type="character" w:customStyle="1" w:styleId="AsuntodelcomentarioCar">
    <w:name w:val="Asunto del comentario Car"/>
    <w:link w:val="Asuntodelcomentario"/>
    <w:uiPriority w:val="99"/>
    <w:semiHidden/>
    <w:rsid w:val="00F40386"/>
    <w:rPr>
      <w:rFonts w:ascii="Times New Roman" w:eastAsia="Times New Roman" w:hAnsi="Times New Roman"/>
      <w:b/>
      <w:bCs/>
      <w:lang w:val="es-CR" w:eastAsia="es-ES"/>
    </w:rPr>
  </w:style>
  <w:style w:type="character" w:customStyle="1" w:styleId="apple-converted-space">
    <w:name w:val="apple-converted-space"/>
    <w:basedOn w:val="Fuentedeprrafopredeter"/>
    <w:rsid w:val="00CE061B"/>
  </w:style>
  <w:style w:type="paragraph" w:styleId="Piedepgina">
    <w:name w:val="footer"/>
    <w:basedOn w:val="Normal"/>
    <w:link w:val="PiedepginaCar"/>
    <w:uiPriority w:val="99"/>
    <w:unhideWhenUsed/>
    <w:rsid w:val="00066893"/>
    <w:pPr>
      <w:tabs>
        <w:tab w:val="center" w:pos="4419"/>
        <w:tab w:val="right" w:pos="8838"/>
      </w:tabs>
    </w:pPr>
    <w:rPr>
      <w:lang w:val="x-none"/>
    </w:rPr>
  </w:style>
  <w:style w:type="character" w:customStyle="1" w:styleId="PiedepginaCar">
    <w:name w:val="Pie de página Car"/>
    <w:link w:val="Piedepgina"/>
    <w:uiPriority w:val="99"/>
    <w:rsid w:val="00066893"/>
    <w:rPr>
      <w:rFonts w:ascii="Times New Roman" w:eastAsia="Times New Roman" w:hAnsi="Times New Roman"/>
      <w:sz w:val="24"/>
      <w:szCs w:val="24"/>
      <w:lang w:eastAsia="es-ES"/>
    </w:rPr>
  </w:style>
  <w:style w:type="character" w:styleId="Nmerodelnea">
    <w:name w:val="line number"/>
    <w:uiPriority w:val="99"/>
    <w:semiHidden/>
    <w:unhideWhenUsed/>
    <w:rsid w:val="00066893"/>
  </w:style>
  <w:style w:type="character" w:styleId="Hipervnculovisitado">
    <w:name w:val="FollowedHyperlink"/>
    <w:uiPriority w:val="99"/>
    <w:semiHidden/>
    <w:unhideWhenUsed/>
    <w:rsid w:val="00BA4549"/>
    <w:rPr>
      <w:color w:val="800080"/>
      <w:u w:val="single"/>
    </w:rPr>
  </w:style>
  <w:style w:type="paragraph" w:customStyle="1" w:styleId="Default">
    <w:name w:val="Default"/>
    <w:rsid w:val="00055C2E"/>
    <w:pPr>
      <w:autoSpaceDE w:val="0"/>
      <w:autoSpaceDN w:val="0"/>
      <w:adjustRightInd w:val="0"/>
    </w:pPr>
    <w:rPr>
      <w:rFonts w:ascii="Verdana" w:hAnsi="Verdana" w:cs="Verdana"/>
      <w:color w:val="000000"/>
      <w:sz w:val="24"/>
      <w:szCs w:val="24"/>
    </w:rPr>
  </w:style>
  <w:style w:type="paragraph" w:customStyle="1" w:styleId="Listavistosa-nfasis11">
    <w:name w:val="Lista vistosa - Énfasis 11"/>
    <w:basedOn w:val="Normal"/>
    <w:uiPriority w:val="34"/>
    <w:qFormat/>
    <w:rsid w:val="00FE1438"/>
    <w:pPr>
      <w:ind w:left="720"/>
    </w:p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D10C7F"/>
    <w:pPr>
      <w:jc w:val="both"/>
    </w:pPr>
    <w:rPr>
      <w:rFonts w:ascii="Calibri" w:eastAsia="Calibri" w:hAnsi="Calibri"/>
      <w:sz w:val="20"/>
      <w:szCs w:val="20"/>
      <w:vertAlign w:val="superscript"/>
      <w:lang w:val="en-US" w:eastAsia="en-US"/>
    </w:rPr>
  </w:style>
  <w:style w:type="paragraph" w:styleId="TDC1">
    <w:name w:val="toc 1"/>
    <w:basedOn w:val="Normal"/>
    <w:next w:val="Normal"/>
    <w:autoRedefine/>
    <w:uiPriority w:val="39"/>
    <w:unhideWhenUsed/>
    <w:qFormat/>
    <w:rsid w:val="00D71427"/>
  </w:style>
  <w:style w:type="paragraph" w:customStyle="1" w:styleId="p1">
    <w:name w:val="p1"/>
    <w:basedOn w:val="Normal"/>
    <w:rsid w:val="00133EC8"/>
    <w:rPr>
      <w:rFonts w:ascii="Helvetica" w:eastAsia="Calibri" w:hAnsi="Helvetica"/>
      <w:sz w:val="18"/>
      <w:szCs w:val="18"/>
      <w:lang w:val="en-US" w:eastAsia="en-US"/>
    </w:rPr>
  </w:style>
  <w:style w:type="paragraph" w:styleId="Prrafodelista">
    <w:name w:val="List Paragraph"/>
    <w:basedOn w:val="Normal"/>
    <w:link w:val="PrrafodelistaCar"/>
    <w:uiPriority w:val="34"/>
    <w:qFormat/>
    <w:rsid w:val="00926BC0"/>
    <w:pPr>
      <w:ind w:left="720"/>
      <w:contextualSpacing/>
    </w:pPr>
  </w:style>
  <w:style w:type="paragraph" w:styleId="NormalWeb">
    <w:name w:val="Normal (Web)"/>
    <w:basedOn w:val="Normal"/>
    <w:uiPriority w:val="99"/>
    <w:unhideWhenUsed/>
    <w:rsid w:val="007F7C09"/>
    <w:pPr>
      <w:spacing w:before="100" w:beforeAutospacing="1" w:after="100" w:afterAutospacing="1"/>
    </w:pPr>
    <w:rPr>
      <w:rFonts w:eastAsia="Calibri"/>
      <w:lang w:val="en-US" w:eastAsia="en-US"/>
    </w:rPr>
  </w:style>
  <w:style w:type="character" w:customStyle="1" w:styleId="s1">
    <w:name w:val="s1"/>
    <w:basedOn w:val="Fuentedeprrafopredeter"/>
    <w:rsid w:val="004D1844"/>
    <w:rPr>
      <w:rFonts w:ascii="Helvetica" w:hAnsi="Helvetica" w:hint="default"/>
      <w:sz w:val="12"/>
      <w:szCs w:val="12"/>
    </w:rPr>
  </w:style>
  <w:style w:type="paragraph" w:styleId="Revisin">
    <w:name w:val="Revision"/>
    <w:hidden/>
    <w:uiPriority w:val="99"/>
    <w:semiHidden/>
    <w:rsid w:val="00204442"/>
    <w:rPr>
      <w:rFonts w:ascii="Times New Roman" w:eastAsia="Times New Roman" w:hAnsi="Times New Roman"/>
      <w:sz w:val="24"/>
      <w:szCs w:val="24"/>
      <w:lang w:eastAsia="es-ES"/>
    </w:rPr>
  </w:style>
  <w:style w:type="character" w:customStyle="1" w:styleId="PrrafodelistaCar">
    <w:name w:val="Párrafo de lista Car"/>
    <w:link w:val="Prrafodelista"/>
    <w:uiPriority w:val="34"/>
    <w:locked/>
    <w:rsid w:val="00627D9A"/>
    <w:rPr>
      <w:rFonts w:ascii="Times New Roman" w:eastAsia="Times New Roman" w:hAnsi="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01651">
      <w:bodyDiv w:val="1"/>
      <w:marLeft w:val="0"/>
      <w:marRight w:val="0"/>
      <w:marTop w:val="0"/>
      <w:marBottom w:val="0"/>
      <w:divBdr>
        <w:top w:val="none" w:sz="0" w:space="0" w:color="auto"/>
        <w:left w:val="none" w:sz="0" w:space="0" w:color="auto"/>
        <w:bottom w:val="none" w:sz="0" w:space="0" w:color="auto"/>
        <w:right w:val="none" w:sz="0" w:space="0" w:color="auto"/>
      </w:divBdr>
      <w:divsChild>
        <w:div w:id="106657063">
          <w:marLeft w:val="0"/>
          <w:marRight w:val="0"/>
          <w:marTop w:val="0"/>
          <w:marBottom w:val="0"/>
          <w:divBdr>
            <w:top w:val="none" w:sz="0" w:space="0" w:color="auto"/>
            <w:left w:val="none" w:sz="0" w:space="0" w:color="auto"/>
            <w:bottom w:val="none" w:sz="0" w:space="0" w:color="auto"/>
            <w:right w:val="none" w:sz="0" w:space="0" w:color="auto"/>
          </w:divBdr>
          <w:divsChild>
            <w:div w:id="1306280371">
              <w:marLeft w:val="0"/>
              <w:marRight w:val="0"/>
              <w:marTop w:val="0"/>
              <w:marBottom w:val="0"/>
              <w:divBdr>
                <w:top w:val="none" w:sz="0" w:space="0" w:color="auto"/>
                <w:left w:val="none" w:sz="0" w:space="0" w:color="auto"/>
                <w:bottom w:val="none" w:sz="0" w:space="0" w:color="auto"/>
                <w:right w:val="none" w:sz="0" w:space="0" w:color="auto"/>
              </w:divBdr>
              <w:divsChild>
                <w:div w:id="746923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9271087">
      <w:bodyDiv w:val="1"/>
      <w:marLeft w:val="0"/>
      <w:marRight w:val="0"/>
      <w:marTop w:val="0"/>
      <w:marBottom w:val="0"/>
      <w:divBdr>
        <w:top w:val="none" w:sz="0" w:space="0" w:color="auto"/>
        <w:left w:val="none" w:sz="0" w:space="0" w:color="auto"/>
        <w:bottom w:val="none" w:sz="0" w:space="0" w:color="auto"/>
        <w:right w:val="none" w:sz="0" w:space="0" w:color="auto"/>
      </w:divBdr>
    </w:div>
    <w:div w:id="142427376">
      <w:bodyDiv w:val="1"/>
      <w:marLeft w:val="0"/>
      <w:marRight w:val="0"/>
      <w:marTop w:val="0"/>
      <w:marBottom w:val="0"/>
      <w:divBdr>
        <w:top w:val="none" w:sz="0" w:space="0" w:color="auto"/>
        <w:left w:val="none" w:sz="0" w:space="0" w:color="auto"/>
        <w:bottom w:val="none" w:sz="0" w:space="0" w:color="auto"/>
        <w:right w:val="none" w:sz="0" w:space="0" w:color="auto"/>
      </w:divBdr>
    </w:div>
    <w:div w:id="147014072">
      <w:bodyDiv w:val="1"/>
      <w:marLeft w:val="0"/>
      <w:marRight w:val="0"/>
      <w:marTop w:val="0"/>
      <w:marBottom w:val="0"/>
      <w:divBdr>
        <w:top w:val="none" w:sz="0" w:space="0" w:color="auto"/>
        <w:left w:val="none" w:sz="0" w:space="0" w:color="auto"/>
        <w:bottom w:val="none" w:sz="0" w:space="0" w:color="auto"/>
        <w:right w:val="none" w:sz="0" w:space="0" w:color="auto"/>
      </w:divBdr>
    </w:div>
    <w:div w:id="211818446">
      <w:bodyDiv w:val="1"/>
      <w:marLeft w:val="0"/>
      <w:marRight w:val="0"/>
      <w:marTop w:val="0"/>
      <w:marBottom w:val="0"/>
      <w:divBdr>
        <w:top w:val="none" w:sz="0" w:space="0" w:color="auto"/>
        <w:left w:val="none" w:sz="0" w:space="0" w:color="auto"/>
        <w:bottom w:val="none" w:sz="0" w:space="0" w:color="auto"/>
        <w:right w:val="none" w:sz="0" w:space="0" w:color="auto"/>
      </w:divBdr>
    </w:div>
    <w:div w:id="213665365">
      <w:bodyDiv w:val="1"/>
      <w:marLeft w:val="0"/>
      <w:marRight w:val="0"/>
      <w:marTop w:val="0"/>
      <w:marBottom w:val="0"/>
      <w:divBdr>
        <w:top w:val="none" w:sz="0" w:space="0" w:color="auto"/>
        <w:left w:val="none" w:sz="0" w:space="0" w:color="auto"/>
        <w:bottom w:val="none" w:sz="0" w:space="0" w:color="auto"/>
        <w:right w:val="none" w:sz="0" w:space="0" w:color="auto"/>
      </w:divBdr>
      <w:divsChild>
        <w:div w:id="1598630965">
          <w:marLeft w:val="0"/>
          <w:marRight w:val="0"/>
          <w:marTop w:val="0"/>
          <w:marBottom w:val="0"/>
          <w:divBdr>
            <w:top w:val="none" w:sz="0" w:space="0" w:color="auto"/>
            <w:left w:val="none" w:sz="0" w:space="0" w:color="auto"/>
            <w:bottom w:val="none" w:sz="0" w:space="0" w:color="auto"/>
            <w:right w:val="none" w:sz="0" w:space="0" w:color="auto"/>
          </w:divBdr>
          <w:divsChild>
            <w:div w:id="165755086">
              <w:marLeft w:val="0"/>
              <w:marRight w:val="0"/>
              <w:marTop w:val="0"/>
              <w:marBottom w:val="0"/>
              <w:divBdr>
                <w:top w:val="none" w:sz="0" w:space="0" w:color="auto"/>
                <w:left w:val="none" w:sz="0" w:space="0" w:color="auto"/>
                <w:bottom w:val="none" w:sz="0" w:space="0" w:color="auto"/>
                <w:right w:val="none" w:sz="0" w:space="0" w:color="auto"/>
              </w:divBdr>
              <w:divsChild>
                <w:div w:id="711805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147454">
      <w:bodyDiv w:val="1"/>
      <w:marLeft w:val="0"/>
      <w:marRight w:val="0"/>
      <w:marTop w:val="0"/>
      <w:marBottom w:val="0"/>
      <w:divBdr>
        <w:top w:val="none" w:sz="0" w:space="0" w:color="auto"/>
        <w:left w:val="none" w:sz="0" w:space="0" w:color="auto"/>
        <w:bottom w:val="none" w:sz="0" w:space="0" w:color="auto"/>
        <w:right w:val="none" w:sz="0" w:space="0" w:color="auto"/>
      </w:divBdr>
    </w:div>
    <w:div w:id="278535885">
      <w:bodyDiv w:val="1"/>
      <w:marLeft w:val="0"/>
      <w:marRight w:val="0"/>
      <w:marTop w:val="0"/>
      <w:marBottom w:val="0"/>
      <w:divBdr>
        <w:top w:val="none" w:sz="0" w:space="0" w:color="auto"/>
        <w:left w:val="none" w:sz="0" w:space="0" w:color="auto"/>
        <w:bottom w:val="none" w:sz="0" w:space="0" w:color="auto"/>
        <w:right w:val="none" w:sz="0" w:space="0" w:color="auto"/>
      </w:divBdr>
      <w:divsChild>
        <w:div w:id="1029329826">
          <w:marLeft w:val="0"/>
          <w:marRight w:val="0"/>
          <w:marTop w:val="0"/>
          <w:marBottom w:val="0"/>
          <w:divBdr>
            <w:top w:val="none" w:sz="0" w:space="0" w:color="auto"/>
            <w:left w:val="none" w:sz="0" w:space="0" w:color="auto"/>
            <w:bottom w:val="none" w:sz="0" w:space="0" w:color="auto"/>
            <w:right w:val="none" w:sz="0" w:space="0" w:color="auto"/>
          </w:divBdr>
          <w:divsChild>
            <w:div w:id="681391953">
              <w:marLeft w:val="0"/>
              <w:marRight w:val="0"/>
              <w:marTop w:val="0"/>
              <w:marBottom w:val="0"/>
              <w:divBdr>
                <w:top w:val="none" w:sz="0" w:space="0" w:color="auto"/>
                <w:left w:val="none" w:sz="0" w:space="0" w:color="auto"/>
                <w:bottom w:val="none" w:sz="0" w:space="0" w:color="auto"/>
                <w:right w:val="none" w:sz="0" w:space="0" w:color="auto"/>
              </w:divBdr>
              <w:divsChild>
                <w:div w:id="244463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28338683">
      <w:bodyDiv w:val="1"/>
      <w:marLeft w:val="0"/>
      <w:marRight w:val="0"/>
      <w:marTop w:val="0"/>
      <w:marBottom w:val="0"/>
      <w:divBdr>
        <w:top w:val="none" w:sz="0" w:space="0" w:color="auto"/>
        <w:left w:val="none" w:sz="0" w:space="0" w:color="auto"/>
        <w:bottom w:val="none" w:sz="0" w:space="0" w:color="auto"/>
        <w:right w:val="none" w:sz="0" w:space="0" w:color="auto"/>
      </w:divBdr>
      <w:divsChild>
        <w:div w:id="56128594">
          <w:marLeft w:val="0"/>
          <w:marRight w:val="0"/>
          <w:marTop w:val="0"/>
          <w:marBottom w:val="0"/>
          <w:divBdr>
            <w:top w:val="none" w:sz="0" w:space="0" w:color="auto"/>
            <w:left w:val="none" w:sz="0" w:space="0" w:color="auto"/>
            <w:bottom w:val="none" w:sz="0" w:space="0" w:color="auto"/>
            <w:right w:val="none" w:sz="0" w:space="0" w:color="auto"/>
          </w:divBdr>
          <w:divsChild>
            <w:div w:id="378434535">
              <w:marLeft w:val="0"/>
              <w:marRight w:val="0"/>
              <w:marTop w:val="0"/>
              <w:marBottom w:val="0"/>
              <w:divBdr>
                <w:top w:val="none" w:sz="0" w:space="0" w:color="auto"/>
                <w:left w:val="none" w:sz="0" w:space="0" w:color="auto"/>
                <w:bottom w:val="none" w:sz="0" w:space="0" w:color="auto"/>
                <w:right w:val="none" w:sz="0" w:space="0" w:color="auto"/>
              </w:divBdr>
              <w:divsChild>
                <w:div w:id="84378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38000">
      <w:bodyDiv w:val="1"/>
      <w:marLeft w:val="0"/>
      <w:marRight w:val="0"/>
      <w:marTop w:val="0"/>
      <w:marBottom w:val="0"/>
      <w:divBdr>
        <w:top w:val="none" w:sz="0" w:space="0" w:color="auto"/>
        <w:left w:val="none" w:sz="0" w:space="0" w:color="auto"/>
        <w:bottom w:val="none" w:sz="0" w:space="0" w:color="auto"/>
        <w:right w:val="none" w:sz="0" w:space="0" w:color="auto"/>
      </w:divBdr>
      <w:divsChild>
        <w:div w:id="1510801445">
          <w:marLeft w:val="0"/>
          <w:marRight w:val="0"/>
          <w:marTop w:val="0"/>
          <w:marBottom w:val="0"/>
          <w:divBdr>
            <w:top w:val="none" w:sz="0" w:space="0" w:color="auto"/>
            <w:left w:val="none" w:sz="0" w:space="0" w:color="auto"/>
            <w:bottom w:val="none" w:sz="0" w:space="0" w:color="auto"/>
            <w:right w:val="none" w:sz="0" w:space="0" w:color="auto"/>
          </w:divBdr>
          <w:divsChild>
            <w:div w:id="1114903909">
              <w:marLeft w:val="0"/>
              <w:marRight w:val="0"/>
              <w:marTop w:val="0"/>
              <w:marBottom w:val="0"/>
              <w:divBdr>
                <w:top w:val="none" w:sz="0" w:space="0" w:color="auto"/>
                <w:left w:val="none" w:sz="0" w:space="0" w:color="auto"/>
                <w:bottom w:val="none" w:sz="0" w:space="0" w:color="auto"/>
                <w:right w:val="none" w:sz="0" w:space="0" w:color="auto"/>
              </w:divBdr>
              <w:divsChild>
                <w:div w:id="636956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6877806">
      <w:bodyDiv w:val="1"/>
      <w:marLeft w:val="0"/>
      <w:marRight w:val="0"/>
      <w:marTop w:val="0"/>
      <w:marBottom w:val="0"/>
      <w:divBdr>
        <w:top w:val="none" w:sz="0" w:space="0" w:color="auto"/>
        <w:left w:val="none" w:sz="0" w:space="0" w:color="auto"/>
        <w:bottom w:val="none" w:sz="0" w:space="0" w:color="auto"/>
        <w:right w:val="none" w:sz="0" w:space="0" w:color="auto"/>
      </w:divBdr>
    </w:div>
    <w:div w:id="410200523">
      <w:bodyDiv w:val="1"/>
      <w:marLeft w:val="0"/>
      <w:marRight w:val="0"/>
      <w:marTop w:val="0"/>
      <w:marBottom w:val="0"/>
      <w:divBdr>
        <w:top w:val="none" w:sz="0" w:space="0" w:color="auto"/>
        <w:left w:val="none" w:sz="0" w:space="0" w:color="auto"/>
        <w:bottom w:val="none" w:sz="0" w:space="0" w:color="auto"/>
        <w:right w:val="none" w:sz="0" w:space="0" w:color="auto"/>
      </w:divBdr>
      <w:divsChild>
        <w:div w:id="1402368906">
          <w:marLeft w:val="0"/>
          <w:marRight w:val="0"/>
          <w:marTop w:val="0"/>
          <w:marBottom w:val="0"/>
          <w:divBdr>
            <w:top w:val="none" w:sz="0" w:space="0" w:color="auto"/>
            <w:left w:val="none" w:sz="0" w:space="0" w:color="auto"/>
            <w:bottom w:val="none" w:sz="0" w:space="0" w:color="auto"/>
            <w:right w:val="none" w:sz="0" w:space="0" w:color="auto"/>
          </w:divBdr>
          <w:divsChild>
            <w:div w:id="1113550267">
              <w:marLeft w:val="0"/>
              <w:marRight w:val="0"/>
              <w:marTop w:val="0"/>
              <w:marBottom w:val="0"/>
              <w:divBdr>
                <w:top w:val="none" w:sz="0" w:space="0" w:color="auto"/>
                <w:left w:val="none" w:sz="0" w:space="0" w:color="auto"/>
                <w:bottom w:val="none" w:sz="0" w:space="0" w:color="auto"/>
                <w:right w:val="none" w:sz="0" w:space="0" w:color="auto"/>
              </w:divBdr>
              <w:divsChild>
                <w:div w:id="1850102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1875437">
      <w:bodyDiv w:val="1"/>
      <w:marLeft w:val="0"/>
      <w:marRight w:val="0"/>
      <w:marTop w:val="0"/>
      <w:marBottom w:val="0"/>
      <w:divBdr>
        <w:top w:val="none" w:sz="0" w:space="0" w:color="auto"/>
        <w:left w:val="none" w:sz="0" w:space="0" w:color="auto"/>
        <w:bottom w:val="none" w:sz="0" w:space="0" w:color="auto"/>
        <w:right w:val="none" w:sz="0" w:space="0" w:color="auto"/>
      </w:divBdr>
    </w:div>
    <w:div w:id="475337269">
      <w:bodyDiv w:val="1"/>
      <w:marLeft w:val="0"/>
      <w:marRight w:val="0"/>
      <w:marTop w:val="0"/>
      <w:marBottom w:val="0"/>
      <w:divBdr>
        <w:top w:val="none" w:sz="0" w:space="0" w:color="auto"/>
        <w:left w:val="none" w:sz="0" w:space="0" w:color="auto"/>
        <w:bottom w:val="none" w:sz="0" w:space="0" w:color="auto"/>
        <w:right w:val="none" w:sz="0" w:space="0" w:color="auto"/>
      </w:divBdr>
    </w:div>
    <w:div w:id="479929426">
      <w:bodyDiv w:val="1"/>
      <w:marLeft w:val="0"/>
      <w:marRight w:val="0"/>
      <w:marTop w:val="0"/>
      <w:marBottom w:val="0"/>
      <w:divBdr>
        <w:top w:val="none" w:sz="0" w:space="0" w:color="auto"/>
        <w:left w:val="none" w:sz="0" w:space="0" w:color="auto"/>
        <w:bottom w:val="none" w:sz="0" w:space="0" w:color="auto"/>
        <w:right w:val="none" w:sz="0" w:space="0" w:color="auto"/>
      </w:divBdr>
      <w:divsChild>
        <w:div w:id="1854999170">
          <w:marLeft w:val="0"/>
          <w:marRight w:val="0"/>
          <w:marTop w:val="0"/>
          <w:marBottom w:val="0"/>
          <w:divBdr>
            <w:top w:val="none" w:sz="0" w:space="0" w:color="auto"/>
            <w:left w:val="none" w:sz="0" w:space="0" w:color="auto"/>
            <w:bottom w:val="none" w:sz="0" w:space="0" w:color="auto"/>
            <w:right w:val="none" w:sz="0" w:space="0" w:color="auto"/>
          </w:divBdr>
          <w:divsChild>
            <w:div w:id="719327379">
              <w:marLeft w:val="0"/>
              <w:marRight w:val="0"/>
              <w:marTop w:val="0"/>
              <w:marBottom w:val="0"/>
              <w:divBdr>
                <w:top w:val="none" w:sz="0" w:space="0" w:color="auto"/>
                <w:left w:val="none" w:sz="0" w:space="0" w:color="auto"/>
                <w:bottom w:val="none" w:sz="0" w:space="0" w:color="auto"/>
                <w:right w:val="none" w:sz="0" w:space="0" w:color="auto"/>
              </w:divBdr>
              <w:divsChild>
                <w:div w:id="56256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3346609">
      <w:bodyDiv w:val="1"/>
      <w:marLeft w:val="0"/>
      <w:marRight w:val="0"/>
      <w:marTop w:val="0"/>
      <w:marBottom w:val="0"/>
      <w:divBdr>
        <w:top w:val="none" w:sz="0" w:space="0" w:color="auto"/>
        <w:left w:val="none" w:sz="0" w:space="0" w:color="auto"/>
        <w:bottom w:val="none" w:sz="0" w:space="0" w:color="auto"/>
        <w:right w:val="none" w:sz="0" w:space="0" w:color="auto"/>
      </w:divBdr>
      <w:divsChild>
        <w:div w:id="2062631007">
          <w:marLeft w:val="0"/>
          <w:marRight w:val="0"/>
          <w:marTop w:val="0"/>
          <w:marBottom w:val="0"/>
          <w:divBdr>
            <w:top w:val="none" w:sz="0" w:space="0" w:color="auto"/>
            <w:left w:val="none" w:sz="0" w:space="0" w:color="auto"/>
            <w:bottom w:val="none" w:sz="0" w:space="0" w:color="auto"/>
            <w:right w:val="none" w:sz="0" w:space="0" w:color="auto"/>
          </w:divBdr>
          <w:divsChild>
            <w:div w:id="1211578141">
              <w:marLeft w:val="0"/>
              <w:marRight w:val="0"/>
              <w:marTop w:val="0"/>
              <w:marBottom w:val="0"/>
              <w:divBdr>
                <w:top w:val="none" w:sz="0" w:space="0" w:color="auto"/>
                <w:left w:val="none" w:sz="0" w:space="0" w:color="auto"/>
                <w:bottom w:val="none" w:sz="0" w:space="0" w:color="auto"/>
                <w:right w:val="none" w:sz="0" w:space="0" w:color="auto"/>
              </w:divBdr>
              <w:divsChild>
                <w:div w:id="1725525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615961">
      <w:bodyDiv w:val="1"/>
      <w:marLeft w:val="0"/>
      <w:marRight w:val="0"/>
      <w:marTop w:val="0"/>
      <w:marBottom w:val="0"/>
      <w:divBdr>
        <w:top w:val="none" w:sz="0" w:space="0" w:color="auto"/>
        <w:left w:val="none" w:sz="0" w:space="0" w:color="auto"/>
        <w:bottom w:val="none" w:sz="0" w:space="0" w:color="auto"/>
        <w:right w:val="none" w:sz="0" w:space="0" w:color="auto"/>
      </w:divBdr>
    </w:div>
    <w:div w:id="574583259">
      <w:bodyDiv w:val="1"/>
      <w:marLeft w:val="0"/>
      <w:marRight w:val="0"/>
      <w:marTop w:val="0"/>
      <w:marBottom w:val="0"/>
      <w:divBdr>
        <w:top w:val="none" w:sz="0" w:space="0" w:color="auto"/>
        <w:left w:val="none" w:sz="0" w:space="0" w:color="auto"/>
        <w:bottom w:val="none" w:sz="0" w:space="0" w:color="auto"/>
        <w:right w:val="none" w:sz="0" w:space="0" w:color="auto"/>
      </w:divBdr>
    </w:div>
    <w:div w:id="576718967">
      <w:bodyDiv w:val="1"/>
      <w:marLeft w:val="0"/>
      <w:marRight w:val="0"/>
      <w:marTop w:val="0"/>
      <w:marBottom w:val="0"/>
      <w:divBdr>
        <w:top w:val="none" w:sz="0" w:space="0" w:color="auto"/>
        <w:left w:val="none" w:sz="0" w:space="0" w:color="auto"/>
        <w:bottom w:val="none" w:sz="0" w:space="0" w:color="auto"/>
        <w:right w:val="none" w:sz="0" w:space="0" w:color="auto"/>
      </w:divBdr>
    </w:div>
    <w:div w:id="592126604">
      <w:bodyDiv w:val="1"/>
      <w:marLeft w:val="0"/>
      <w:marRight w:val="0"/>
      <w:marTop w:val="0"/>
      <w:marBottom w:val="0"/>
      <w:divBdr>
        <w:top w:val="none" w:sz="0" w:space="0" w:color="auto"/>
        <w:left w:val="none" w:sz="0" w:space="0" w:color="auto"/>
        <w:bottom w:val="none" w:sz="0" w:space="0" w:color="auto"/>
        <w:right w:val="none" w:sz="0" w:space="0" w:color="auto"/>
      </w:divBdr>
    </w:div>
    <w:div w:id="594048675">
      <w:bodyDiv w:val="1"/>
      <w:marLeft w:val="0"/>
      <w:marRight w:val="0"/>
      <w:marTop w:val="0"/>
      <w:marBottom w:val="0"/>
      <w:divBdr>
        <w:top w:val="none" w:sz="0" w:space="0" w:color="auto"/>
        <w:left w:val="none" w:sz="0" w:space="0" w:color="auto"/>
        <w:bottom w:val="none" w:sz="0" w:space="0" w:color="auto"/>
        <w:right w:val="none" w:sz="0" w:space="0" w:color="auto"/>
      </w:divBdr>
      <w:divsChild>
        <w:div w:id="2037269219">
          <w:marLeft w:val="0"/>
          <w:marRight w:val="0"/>
          <w:marTop w:val="0"/>
          <w:marBottom w:val="0"/>
          <w:divBdr>
            <w:top w:val="none" w:sz="0" w:space="0" w:color="auto"/>
            <w:left w:val="none" w:sz="0" w:space="0" w:color="auto"/>
            <w:bottom w:val="none" w:sz="0" w:space="0" w:color="auto"/>
            <w:right w:val="none" w:sz="0" w:space="0" w:color="auto"/>
          </w:divBdr>
          <w:divsChild>
            <w:div w:id="1112363530">
              <w:marLeft w:val="0"/>
              <w:marRight w:val="0"/>
              <w:marTop w:val="0"/>
              <w:marBottom w:val="0"/>
              <w:divBdr>
                <w:top w:val="none" w:sz="0" w:space="0" w:color="auto"/>
                <w:left w:val="none" w:sz="0" w:space="0" w:color="auto"/>
                <w:bottom w:val="none" w:sz="0" w:space="0" w:color="auto"/>
                <w:right w:val="none" w:sz="0" w:space="0" w:color="auto"/>
              </w:divBdr>
              <w:divsChild>
                <w:div w:id="422652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380754">
      <w:bodyDiv w:val="1"/>
      <w:marLeft w:val="0"/>
      <w:marRight w:val="0"/>
      <w:marTop w:val="0"/>
      <w:marBottom w:val="0"/>
      <w:divBdr>
        <w:top w:val="none" w:sz="0" w:space="0" w:color="auto"/>
        <w:left w:val="none" w:sz="0" w:space="0" w:color="auto"/>
        <w:bottom w:val="none" w:sz="0" w:space="0" w:color="auto"/>
        <w:right w:val="none" w:sz="0" w:space="0" w:color="auto"/>
      </w:divBdr>
      <w:divsChild>
        <w:div w:id="1101074551">
          <w:marLeft w:val="0"/>
          <w:marRight w:val="0"/>
          <w:marTop w:val="0"/>
          <w:marBottom w:val="0"/>
          <w:divBdr>
            <w:top w:val="none" w:sz="0" w:space="0" w:color="auto"/>
            <w:left w:val="none" w:sz="0" w:space="0" w:color="auto"/>
            <w:bottom w:val="none" w:sz="0" w:space="0" w:color="auto"/>
            <w:right w:val="none" w:sz="0" w:space="0" w:color="auto"/>
          </w:divBdr>
          <w:divsChild>
            <w:div w:id="1919290287">
              <w:marLeft w:val="0"/>
              <w:marRight w:val="0"/>
              <w:marTop w:val="0"/>
              <w:marBottom w:val="0"/>
              <w:divBdr>
                <w:top w:val="none" w:sz="0" w:space="0" w:color="auto"/>
                <w:left w:val="none" w:sz="0" w:space="0" w:color="auto"/>
                <w:bottom w:val="none" w:sz="0" w:space="0" w:color="auto"/>
                <w:right w:val="none" w:sz="0" w:space="0" w:color="auto"/>
              </w:divBdr>
              <w:divsChild>
                <w:div w:id="1979262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0768889">
      <w:bodyDiv w:val="1"/>
      <w:marLeft w:val="0"/>
      <w:marRight w:val="0"/>
      <w:marTop w:val="0"/>
      <w:marBottom w:val="0"/>
      <w:divBdr>
        <w:top w:val="none" w:sz="0" w:space="0" w:color="auto"/>
        <w:left w:val="none" w:sz="0" w:space="0" w:color="auto"/>
        <w:bottom w:val="none" w:sz="0" w:space="0" w:color="auto"/>
        <w:right w:val="none" w:sz="0" w:space="0" w:color="auto"/>
      </w:divBdr>
      <w:divsChild>
        <w:div w:id="1746104032">
          <w:marLeft w:val="0"/>
          <w:marRight w:val="0"/>
          <w:marTop w:val="0"/>
          <w:marBottom w:val="0"/>
          <w:divBdr>
            <w:top w:val="none" w:sz="0" w:space="0" w:color="auto"/>
            <w:left w:val="none" w:sz="0" w:space="0" w:color="auto"/>
            <w:bottom w:val="none" w:sz="0" w:space="0" w:color="auto"/>
            <w:right w:val="none" w:sz="0" w:space="0" w:color="auto"/>
          </w:divBdr>
          <w:divsChild>
            <w:div w:id="1171138642">
              <w:marLeft w:val="0"/>
              <w:marRight w:val="0"/>
              <w:marTop w:val="0"/>
              <w:marBottom w:val="0"/>
              <w:divBdr>
                <w:top w:val="none" w:sz="0" w:space="0" w:color="auto"/>
                <w:left w:val="none" w:sz="0" w:space="0" w:color="auto"/>
                <w:bottom w:val="none" w:sz="0" w:space="0" w:color="auto"/>
                <w:right w:val="none" w:sz="0" w:space="0" w:color="auto"/>
              </w:divBdr>
              <w:divsChild>
                <w:div w:id="12607221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1281438">
      <w:bodyDiv w:val="1"/>
      <w:marLeft w:val="0"/>
      <w:marRight w:val="0"/>
      <w:marTop w:val="0"/>
      <w:marBottom w:val="0"/>
      <w:divBdr>
        <w:top w:val="none" w:sz="0" w:space="0" w:color="auto"/>
        <w:left w:val="none" w:sz="0" w:space="0" w:color="auto"/>
        <w:bottom w:val="none" w:sz="0" w:space="0" w:color="auto"/>
        <w:right w:val="none" w:sz="0" w:space="0" w:color="auto"/>
      </w:divBdr>
    </w:div>
    <w:div w:id="611672517">
      <w:bodyDiv w:val="1"/>
      <w:marLeft w:val="0"/>
      <w:marRight w:val="0"/>
      <w:marTop w:val="0"/>
      <w:marBottom w:val="0"/>
      <w:divBdr>
        <w:top w:val="none" w:sz="0" w:space="0" w:color="auto"/>
        <w:left w:val="none" w:sz="0" w:space="0" w:color="auto"/>
        <w:bottom w:val="none" w:sz="0" w:space="0" w:color="auto"/>
        <w:right w:val="none" w:sz="0" w:space="0" w:color="auto"/>
      </w:divBdr>
    </w:div>
    <w:div w:id="668145069">
      <w:bodyDiv w:val="1"/>
      <w:marLeft w:val="0"/>
      <w:marRight w:val="0"/>
      <w:marTop w:val="0"/>
      <w:marBottom w:val="0"/>
      <w:divBdr>
        <w:top w:val="none" w:sz="0" w:space="0" w:color="auto"/>
        <w:left w:val="none" w:sz="0" w:space="0" w:color="auto"/>
        <w:bottom w:val="none" w:sz="0" w:space="0" w:color="auto"/>
        <w:right w:val="none" w:sz="0" w:space="0" w:color="auto"/>
      </w:divBdr>
    </w:div>
    <w:div w:id="706762142">
      <w:bodyDiv w:val="1"/>
      <w:marLeft w:val="0"/>
      <w:marRight w:val="0"/>
      <w:marTop w:val="0"/>
      <w:marBottom w:val="0"/>
      <w:divBdr>
        <w:top w:val="none" w:sz="0" w:space="0" w:color="auto"/>
        <w:left w:val="none" w:sz="0" w:space="0" w:color="auto"/>
        <w:bottom w:val="none" w:sz="0" w:space="0" w:color="auto"/>
        <w:right w:val="none" w:sz="0" w:space="0" w:color="auto"/>
      </w:divBdr>
    </w:div>
    <w:div w:id="707295045">
      <w:bodyDiv w:val="1"/>
      <w:marLeft w:val="0"/>
      <w:marRight w:val="0"/>
      <w:marTop w:val="0"/>
      <w:marBottom w:val="0"/>
      <w:divBdr>
        <w:top w:val="none" w:sz="0" w:space="0" w:color="auto"/>
        <w:left w:val="none" w:sz="0" w:space="0" w:color="auto"/>
        <w:bottom w:val="none" w:sz="0" w:space="0" w:color="auto"/>
        <w:right w:val="none" w:sz="0" w:space="0" w:color="auto"/>
      </w:divBdr>
    </w:div>
    <w:div w:id="732238510">
      <w:bodyDiv w:val="1"/>
      <w:marLeft w:val="0"/>
      <w:marRight w:val="0"/>
      <w:marTop w:val="0"/>
      <w:marBottom w:val="0"/>
      <w:divBdr>
        <w:top w:val="none" w:sz="0" w:space="0" w:color="auto"/>
        <w:left w:val="none" w:sz="0" w:space="0" w:color="auto"/>
        <w:bottom w:val="none" w:sz="0" w:space="0" w:color="auto"/>
        <w:right w:val="none" w:sz="0" w:space="0" w:color="auto"/>
      </w:divBdr>
      <w:divsChild>
        <w:div w:id="1913272318">
          <w:marLeft w:val="0"/>
          <w:marRight w:val="0"/>
          <w:marTop w:val="0"/>
          <w:marBottom w:val="0"/>
          <w:divBdr>
            <w:top w:val="none" w:sz="0" w:space="0" w:color="auto"/>
            <w:left w:val="none" w:sz="0" w:space="0" w:color="auto"/>
            <w:bottom w:val="none" w:sz="0" w:space="0" w:color="auto"/>
            <w:right w:val="none" w:sz="0" w:space="0" w:color="auto"/>
          </w:divBdr>
          <w:divsChild>
            <w:div w:id="923878257">
              <w:marLeft w:val="0"/>
              <w:marRight w:val="0"/>
              <w:marTop w:val="0"/>
              <w:marBottom w:val="0"/>
              <w:divBdr>
                <w:top w:val="none" w:sz="0" w:space="0" w:color="auto"/>
                <w:left w:val="none" w:sz="0" w:space="0" w:color="auto"/>
                <w:bottom w:val="none" w:sz="0" w:space="0" w:color="auto"/>
                <w:right w:val="none" w:sz="0" w:space="0" w:color="auto"/>
              </w:divBdr>
              <w:divsChild>
                <w:div w:id="2116359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4491057">
      <w:bodyDiv w:val="1"/>
      <w:marLeft w:val="0"/>
      <w:marRight w:val="0"/>
      <w:marTop w:val="0"/>
      <w:marBottom w:val="0"/>
      <w:divBdr>
        <w:top w:val="none" w:sz="0" w:space="0" w:color="auto"/>
        <w:left w:val="none" w:sz="0" w:space="0" w:color="auto"/>
        <w:bottom w:val="none" w:sz="0" w:space="0" w:color="auto"/>
        <w:right w:val="none" w:sz="0" w:space="0" w:color="auto"/>
      </w:divBdr>
    </w:div>
    <w:div w:id="760178351">
      <w:bodyDiv w:val="1"/>
      <w:marLeft w:val="0"/>
      <w:marRight w:val="0"/>
      <w:marTop w:val="0"/>
      <w:marBottom w:val="0"/>
      <w:divBdr>
        <w:top w:val="none" w:sz="0" w:space="0" w:color="auto"/>
        <w:left w:val="none" w:sz="0" w:space="0" w:color="auto"/>
        <w:bottom w:val="none" w:sz="0" w:space="0" w:color="auto"/>
        <w:right w:val="none" w:sz="0" w:space="0" w:color="auto"/>
      </w:divBdr>
      <w:divsChild>
        <w:div w:id="744497332">
          <w:marLeft w:val="0"/>
          <w:marRight w:val="0"/>
          <w:marTop w:val="0"/>
          <w:marBottom w:val="0"/>
          <w:divBdr>
            <w:top w:val="none" w:sz="0" w:space="0" w:color="auto"/>
            <w:left w:val="none" w:sz="0" w:space="0" w:color="auto"/>
            <w:bottom w:val="none" w:sz="0" w:space="0" w:color="auto"/>
            <w:right w:val="none" w:sz="0" w:space="0" w:color="auto"/>
          </w:divBdr>
          <w:divsChild>
            <w:div w:id="1523978072">
              <w:marLeft w:val="0"/>
              <w:marRight w:val="0"/>
              <w:marTop w:val="0"/>
              <w:marBottom w:val="0"/>
              <w:divBdr>
                <w:top w:val="none" w:sz="0" w:space="0" w:color="auto"/>
                <w:left w:val="none" w:sz="0" w:space="0" w:color="auto"/>
                <w:bottom w:val="none" w:sz="0" w:space="0" w:color="auto"/>
                <w:right w:val="none" w:sz="0" w:space="0" w:color="auto"/>
              </w:divBdr>
              <w:divsChild>
                <w:div w:id="428739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2803090">
      <w:bodyDiv w:val="1"/>
      <w:marLeft w:val="0"/>
      <w:marRight w:val="0"/>
      <w:marTop w:val="0"/>
      <w:marBottom w:val="0"/>
      <w:divBdr>
        <w:top w:val="none" w:sz="0" w:space="0" w:color="auto"/>
        <w:left w:val="none" w:sz="0" w:space="0" w:color="auto"/>
        <w:bottom w:val="none" w:sz="0" w:space="0" w:color="auto"/>
        <w:right w:val="none" w:sz="0" w:space="0" w:color="auto"/>
      </w:divBdr>
    </w:div>
    <w:div w:id="798769122">
      <w:bodyDiv w:val="1"/>
      <w:marLeft w:val="0"/>
      <w:marRight w:val="0"/>
      <w:marTop w:val="0"/>
      <w:marBottom w:val="0"/>
      <w:divBdr>
        <w:top w:val="none" w:sz="0" w:space="0" w:color="auto"/>
        <w:left w:val="none" w:sz="0" w:space="0" w:color="auto"/>
        <w:bottom w:val="none" w:sz="0" w:space="0" w:color="auto"/>
        <w:right w:val="none" w:sz="0" w:space="0" w:color="auto"/>
      </w:divBdr>
      <w:divsChild>
        <w:div w:id="956062050">
          <w:marLeft w:val="0"/>
          <w:marRight w:val="0"/>
          <w:marTop w:val="0"/>
          <w:marBottom w:val="0"/>
          <w:divBdr>
            <w:top w:val="none" w:sz="0" w:space="0" w:color="auto"/>
            <w:left w:val="none" w:sz="0" w:space="0" w:color="auto"/>
            <w:bottom w:val="none" w:sz="0" w:space="0" w:color="auto"/>
            <w:right w:val="none" w:sz="0" w:space="0" w:color="auto"/>
          </w:divBdr>
          <w:divsChild>
            <w:div w:id="1543591303">
              <w:marLeft w:val="0"/>
              <w:marRight w:val="0"/>
              <w:marTop w:val="0"/>
              <w:marBottom w:val="0"/>
              <w:divBdr>
                <w:top w:val="none" w:sz="0" w:space="0" w:color="auto"/>
                <w:left w:val="none" w:sz="0" w:space="0" w:color="auto"/>
                <w:bottom w:val="none" w:sz="0" w:space="0" w:color="auto"/>
                <w:right w:val="none" w:sz="0" w:space="0" w:color="auto"/>
              </w:divBdr>
              <w:divsChild>
                <w:div w:id="1905791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6310589">
      <w:bodyDiv w:val="1"/>
      <w:marLeft w:val="0"/>
      <w:marRight w:val="0"/>
      <w:marTop w:val="0"/>
      <w:marBottom w:val="0"/>
      <w:divBdr>
        <w:top w:val="none" w:sz="0" w:space="0" w:color="auto"/>
        <w:left w:val="none" w:sz="0" w:space="0" w:color="auto"/>
        <w:bottom w:val="none" w:sz="0" w:space="0" w:color="auto"/>
        <w:right w:val="none" w:sz="0" w:space="0" w:color="auto"/>
      </w:divBdr>
    </w:div>
    <w:div w:id="908073792">
      <w:bodyDiv w:val="1"/>
      <w:marLeft w:val="0"/>
      <w:marRight w:val="0"/>
      <w:marTop w:val="0"/>
      <w:marBottom w:val="0"/>
      <w:divBdr>
        <w:top w:val="none" w:sz="0" w:space="0" w:color="auto"/>
        <w:left w:val="none" w:sz="0" w:space="0" w:color="auto"/>
        <w:bottom w:val="none" w:sz="0" w:space="0" w:color="auto"/>
        <w:right w:val="none" w:sz="0" w:space="0" w:color="auto"/>
      </w:divBdr>
      <w:divsChild>
        <w:div w:id="1053313434">
          <w:marLeft w:val="0"/>
          <w:marRight w:val="0"/>
          <w:marTop w:val="0"/>
          <w:marBottom w:val="0"/>
          <w:divBdr>
            <w:top w:val="none" w:sz="0" w:space="0" w:color="auto"/>
            <w:left w:val="none" w:sz="0" w:space="0" w:color="auto"/>
            <w:bottom w:val="none" w:sz="0" w:space="0" w:color="auto"/>
            <w:right w:val="none" w:sz="0" w:space="0" w:color="auto"/>
          </w:divBdr>
          <w:divsChild>
            <w:div w:id="1908373651">
              <w:marLeft w:val="0"/>
              <w:marRight w:val="0"/>
              <w:marTop w:val="0"/>
              <w:marBottom w:val="0"/>
              <w:divBdr>
                <w:top w:val="none" w:sz="0" w:space="0" w:color="auto"/>
                <w:left w:val="none" w:sz="0" w:space="0" w:color="auto"/>
                <w:bottom w:val="none" w:sz="0" w:space="0" w:color="auto"/>
                <w:right w:val="none" w:sz="0" w:space="0" w:color="auto"/>
              </w:divBdr>
              <w:divsChild>
                <w:div w:id="443573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3949519">
      <w:bodyDiv w:val="1"/>
      <w:marLeft w:val="0"/>
      <w:marRight w:val="0"/>
      <w:marTop w:val="0"/>
      <w:marBottom w:val="0"/>
      <w:divBdr>
        <w:top w:val="none" w:sz="0" w:space="0" w:color="auto"/>
        <w:left w:val="none" w:sz="0" w:space="0" w:color="auto"/>
        <w:bottom w:val="none" w:sz="0" w:space="0" w:color="auto"/>
        <w:right w:val="none" w:sz="0" w:space="0" w:color="auto"/>
      </w:divBdr>
    </w:div>
    <w:div w:id="1002050178">
      <w:bodyDiv w:val="1"/>
      <w:marLeft w:val="0"/>
      <w:marRight w:val="0"/>
      <w:marTop w:val="0"/>
      <w:marBottom w:val="0"/>
      <w:divBdr>
        <w:top w:val="none" w:sz="0" w:space="0" w:color="auto"/>
        <w:left w:val="none" w:sz="0" w:space="0" w:color="auto"/>
        <w:bottom w:val="none" w:sz="0" w:space="0" w:color="auto"/>
        <w:right w:val="none" w:sz="0" w:space="0" w:color="auto"/>
      </w:divBdr>
      <w:divsChild>
        <w:div w:id="225381698">
          <w:marLeft w:val="0"/>
          <w:marRight w:val="0"/>
          <w:marTop w:val="0"/>
          <w:marBottom w:val="0"/>
          <w:divBdr>
            <w:top w:val="none" w:sz="0" w:space="0" w:color="auto"/>
            <w:left w:val="none" w:sz="0" w:space="0" w:color="auto"/>
            <w:bottom w:val="none" w:sz="0" w:space="0" w:color="auto"/>
            <w:right w:val="none" w:sz="0" w:space="0" w:color="auto"/>
          </w:divBdr>
          <w:divsChild>
            <w:div w:id="553472219">
              <w:marLeft w:val="0"/>
              <w:marRight w:val="0"/>
              <w:marTop w:val="0"/>
              <w:marBottom w:val="0"/>
              <w:divBdr>
                <w:top w:val="none" w:sz="0" w:space="0" w:color="auto"/>
                <w:left w:val="none" w:sz="0" w:space="0" w:color="auto"/>
                <w:bottom w:val="none" w:sz="0" w:space="0" w:color="auto"/>
                <w:right w:val="none" w:sz="0" w:space="0" w:color="auto"/>
              </w:divBdr>
              <w:divsChild>
                <w:div w:id="383717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66535211">
      <w:bodyDiv w:val="1"/>
      <w:marLeft w:val="0"/>
      <w:marRight w:val="0"/>
      <w:marTop w:val="0"/>
      <w:marBottom w:val="0"/>
      <w:divBdr>
        <w:top w:val="none" w:sz="0" w:space="0" w:color="auto"/>
        <w:left w:val="none" w:sz="0" w:space="0" w:color="auto"/>
        <w:bottom w:val="none" w:sz="0" w:space="0" w:color="auto"/>
        <w:right w:val="none" w:sz="0" w:space="0" w:color="auto"/>
      </w:divBdr>
    </w:div>
    <w:div w:id="1066731219">
      <w:bodyDiv w:val="1"/>
      <w:marLeft w:val="0"/>
      <w:marRight w:val="0"/>
      <w:marTop w:val="0"/>
      <w:marBottom w:val="0"/>
      <w:divBdr>
        <w:top w:val="none" w:sz="0" w:space="0" w:color="auto"/>
        <w:left w:val="none" w:sz="0" w:space="0" w:color="auto"/>
        <w:bottom w:val="none" w:sz="0" w:space="0" w:color="auto"/>
        <w:right w:val="none" w:sz="0" w:space="0" w:color="auto"/>
      </w:divBdr>
      <w:divsChild>
        <w:div w:id="1281496471">
          <w:marLeft w:val="0"/>
          <w:marRight w:val="0"/>
          <w:marTop w:val="0"/>
          <w:marBottom w:val="0"/>
          <w:divBdr>
            <w:top w:val="none" w:sz="0" w:space="0" w:color="auto"/>
            <w:left w:val="none" w:sz="0" w:space="0" w:color="auto"/>
            <w:bottom w:val="none" w:sz="0" w:space="0" w:color="auto"/>
            <w:right w:val="none" w:sz="0" w:space="0" w:color="auto"/>
          </w:divBdr>
          <w:divsChild>
            <w:div w:id="1219125340">
              <w:marLeft w:val="0"/>
              <w:marRight w:val="0"/>
              <w:marTop w:val="0"/>
              <w:marBottom w:val="0"/>
              <w:divBdr>
                <w:top w:val="none" w:sz="0" w:space="0" w:color="auto"/>
                <w:left w:val="none" w:sz="0" w:space="0" w:color="auto"/>
                <w:bottom w:val="none" w:sz="0" w:space="0" w:color="auto"/>
                <w:right w:val="none" w:sz="0" w:space="0" w:color="auto"/>
              </w:divBdr>
              <w:divsChild>
                <w:div w:id="102736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449976">
      <w:bodyDiv w:val="1"/>
      <w:marLeft w:val="0"/>
      <w:marRight w:val="0"/>
      <w:marTop w:val="0"/>
      <w:marBottom w:val="0"/>
      <w:divBdr>
        <w:top w:val="none" w:sz="0" w:space="0" w:color="auto"/>
        <w:left w:val="none" w:sz="0" w:space="0" w:color="auto"/>
        <w:bottom w:val="none" w:sz="0" w:space="0" w:color="auto"/>
        <w:right w:val="none" w:sz="0" w:space="0" w:color="auto"/>
      </w:divBdr>
      <w:divsChild>
        <w:div w:id="1722946463">
          <w:marLeft w:val="0"/>
          <w:marRight w:val="0"/>
          <w:marTop w:val="0"/>
          <w:marBottom w:val="0"/>
          <w:divBdr>
            <w:top w:val="none" w:sz="0" w:space="0" w:color="auto"/>
            <w:left w:val="none" w:sz="0" w:space="0" w:color="auto"/>
            <w:bottom w:val="none" w:sz="0" w:space="0" w:color="auto"/>
            <w:right w:val="none" w:sz="0" w:space="0" w:color="auto"/>
          </w:divBdr>
          <w:divsChild>
            <w:div w:id="1349865423">
              <w:marLeft w:val="0"/>
              <w:marRight w:val="0"/>
              <w:marTop w:val="0"/>
              <w:marBottom w:val="0"/>
              <w:divBdr>
                <w:top w:val="none" w:sz="0" w:space="0" w:color="auto"/>
                <w:left w:val="none" w:sz="0" w:space="0" w:color="auto"/>
                <w:bottom w:val="none" w:sz="0" w:space="0" w:color="auto"/>
                <w:right w:val="none" w:sz="0" w:space="0" w:color="auto"/>
              </w:divBdr>
              <w:divsChild>
                <w:div w:id="1031303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23382319">
      <w:bodyDiv w:val="1"/>
      <w:marLeft w:val="0"/>
      <w:marRight w:val="0"/>
      <w:marTop w:val="0"/>
      <w:marBottom w:val="0"/>
      <w:divBdr>
        <w:top w:val="none" w:sz="0" w:space="0" w:color="auto"/>
        <w:left w:val="none" w:sz="0" w:space="0" w:color="auto"/>
        <w:bottom w:val="none" w:sz="0" w:space="0" w:color="auto"/>
        <w:right w:val="none" w:sz="0" w:space="0" w:color="auto"/>
      </w:divBdr>
      <w:divsChild>
        <w:div w:id="940186160">
          <w:marLeft w:val="0"/>
          <w:marRight w:val="0"/>
          <w:marTop w:val="0"/>
          <w:marBottom w:val="0"/>
          <w:divBdr>
            <w:top w:val="none" w:sz="0" w:space="0" w:color="auto"/>
            <w:left w:val="none" w:sz="0" w:space="0" w:color="auto"/>
            <w:bottom w:val="none" w:sz="0" w:space="0" w:color="auto"/>
            <w:right w:val="none" w:sz="0" w:space="0" w:color="auto"/>
          </w:divBdr>
          <w:divsChild>
            <w:div w:id="1455370478">
              <w:marLeft w:val="0"/>
              <w:marRight w:val="0"/>
              <w:marTop w:val="0"/>
              <w:marBottom w:val="0"/>
              <w:divBdr>
                <w:top w:val="none" w:sz="0" w:space="0" w:color="auto"/>
                <w:left w:val="none" w:sz="0" w:space="0" w:color="auto"/>
                <w:bottom w:val="none" w:sz="0" w:space="0" w:color="auto"/>
                <w:right w:val="none" w:sz="0" w:space="0" w:color="auto"/>
              </w:divBdr>
              <w:divsChild>
                <w:div w:id="182986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373567">
      <w:bodyDiv w:val="1"/>
      <w:marLeft w:val="0"/>
      <w:marRight w:val="0"/>
      <w:marTop w:val="0"/>
      <w:marBottom w:val="0"/>
      <w:divBdr>
        <w:top w:val="none" w:sz="0" w:space="0" w:color="auto"/>
        <w:left w:val="none" w:sz="0" w:space="0" w:color="auto"/>
        <w:bottom w:val="none" w:sz="0" w:space="0" w:color="auto"/>
        <w:right w:val="none" w:sz="0" w:space="0" w:color="auto"/>
      </w:divBdr>
    </w:div>
    <w:div w:id="1167866619">
      <w:bodyDiv w:val="1"/>
      <w:marLeft w:val="0"/>
      <w:marRight w:val="0"/>
      <w:marTop w:val="0"/>
      <w:marBottom w:val="0"/>
      <w:divBdr>
        <w:top w:val="none" w:sz="0" w:space="0" w:color="auto"/>
        <w:left w:val="none" w:sz="0" w:space="0" w:color="auto"/>
        <w:bottom w:val="none" w:sz="0" w:space="0" w:color="auto"/>
        <w:right w:val="none" w:sz="0" w:space="0" w:color="auto"/>
      </w:divBdr>
      <w:divsChild>
        <w:div w:id="2091852063">
          <w:marLeft w:val="0"/>
          <w:marRight w:val="0"/>
          <w:marTop w:val="0"/>
          <w:marBottom w:val="0"/>
          <w:divBdr>
            <w:top w:val="none" w:sz="0" w:space="0" w:color="auto"/>
            <w:left w:val="none" w:sz="0" w:space="0" w:color="auto"/>
            <w:bottom w:val="none" w:sz="0" w:space="0" w:color="auto"/>
            <w:right w:val="none" w:sz="0" w:space="0" w:color="auto"/>
          </w:divBdr>
          <w:divsChild>
            <w:div w:id="218177945">
              <w:marLeft w:val="0"/>
              <w:marRight w:val="0"/>
              <w:marTop w:val="0"/>
              <w:marBottom w:val="0"/>
              <w:divBdr>
                <w:top w:val="none" w:sz="0" w:space="0" w:color="auto"/>
                <w:left w:val="none" w:sz="0" w:space="0" w:color="auto"/>
                <w:bottom w:val="none" w:sz="0" w:space="0" w:color="auto"/>
                <w:right w:val="none" w:sz="0" w:space="0" w:color="auto"/>
              </w:divBdr>
              <w:divsChild>
                <w:div w:id="7807326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250123">
      <w:bodyDiv w:val="1"/>
      <w:marLeft w:val="0"/>
      <w:marRight w:val="0"/>
      <w:marTop w:val="0"/>
      <w:marBottom w:val="0"/>
      <w:divBdr>
        <w:top w:val="none" w:sz="0" w:space="0" w:color="auto"/>
        <w:left w:val="none" w:sz="0" w:space="0" w:color="auto"/>
        <w:bottom w:val="none" w:sz="0" w:space="0" w:color="auto"/>
        <w:right w:val="none" w:sz="0" w:space="0" w:color="auto"/>
      </w:divBdr>
      <w:divsChild>
        <w:div w:id="1506556640">
          <w:marLeft w:val="0"/>
          <w:marRight w:val="0"/>
          <w:marTop w:val="0"/>
          <w:marBottom w:val="0"/>
          <w:divBdr>
            <w:top w:val="none" w:sz="0" w:space="0" w:color="auto"/>
            <w:left w:val="none" w:sz="0" w:space="0" w:color="auto"/>
            <w:bottom w:val="none" w:sz="0" w:space="0" w:color="auto"/>
            <w:right w:val="none" w:sz="0" w:space="0" w:color="auto"/>
          </w:divBdr>
          <w:divsChild>
            <w:div w:id="1818644047">
              <w:marLeft w:val="0"/>
              <w:marRight w:val="0"/>
              <w:marTop w:val="0"/>
              <w:marBottom w:val="0"/>
              <w:divBdr>
                <w:top w:val="none" w:sz="0" w:space="0" w:color="auto"/>
                <w:left w:val="none" w:sz="0" w:space="0" w:color="auto"/>
                <w:bottom w:val="none" w:sz="0" w:space="0" w:color="auto"/>
                <w:right w:val="none" w:sz="0" w:space="0" w:color="auto"/>
              </w:divBdr>
              <w:divsChild>
                <w:div w:id="583759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2456805">
      <w:bodyDiv w:val="1"/>
      <w:marLeft w:val="0"/>
      <w:marRight w:val="0"/>
      <w:marTop w:val="0"/>
      <w:marBottom w:val="0"/>
      <w:divBdr>
        <w:top w:val="none" w:sz="0" w:space="0" w:color="auto"/>
        <w:left w:val="none" w:sz="0" w:space="0" w:color="auto"/>
        <w:bottom w:val="none" w:sz="0" w:space="0" w:color="auto"/>
        <w:right w:val="none" w:sz="0" w:space="0" w:color="auto"/>
      </w:divBdr>
    </w:div>
    <w:div w:id="1192567148">
      <w:bodyDiv w:val="1"/>
      <w:marLeft w:val="0"/>
      <w:marRight w:val="0"/>
      <w:marTop w:val="0"/>
      <w:marBottom w:val="0"/>
      <w:divBdr>
        <w:top w:val="none" w:sz="0" w:space="0" w:color="auto"/>
        <w:left w:val="none" w:sz="0" w:space="0" w:color="auto"/>
        <w:bottom w:val="none" w:sz="0" w:space="0" w:color="auto"/>
        <w:right w:val="none" w:sz="0" w:space="0" w:color="auto"/>
      </w:divBdr>
    </w:div>
    <w:div w:id="1202471784">
      <w:bodyDiv w:val="1"/>
      <w:marLeft w:val="0"/>
      <w:marRight w:val="0"/>
      <w:marTop w:val="0"/>
      <w:marBottom w:val="0"/>
      <w:divBdr>
        <w:top w:val="none" w:sz="0" w:space="0" w:color="auto"/>
        <w:left w:val="none" w:sz="0" w:space="0" w:color="auto"/>
        <w:bottom w:val="none" w:sz="0" w:space="0" w:color="auto"/>
        <w:right w:val="none" w:sz="0" w:space="0" w:color="auto"/>
      </w:divBdr>
    </w:div>
    <w:div w:id="1204826671">
      <w:bodyDiv w:val="1"/>
      <w:marLeft w:val="0"/>
      <w:marRight w:val="0"/>
      <w:marTop w:val="0"/>
      <w:marBottom w:val="0"/>
      <w:divBdr>
        <w:top w:val="none" w:sz="0" w:space="0" w:color="auto"/>
        <w:left w:val="none" w:sz="0" w:space="0" w:color="auto"/>
        <w:bottom w:val="none" w:sz="0" w:space="0" w:color="auto"/>
        <w:right w:val="none" w:sz="0" w:space="0" w:color="auto"/>
      </w:divBdr>
    </w:div>
    <w:div w:id="1215697497">
      <w:bodyDiv w:val="1"/>
      <w:marLeft w:val="0"/>
      <w:marRight w:val="0"/>
      <w:marTop w:val="0"/>
      <w:marBottom w:val="0"/>
      <w:divBdr>
        <w:top w:val="none" w:sz="0" w:space="0" w:color="auto"/>
        <w:left w:val="none" w:sz="0" w:space="0" w:color="auto"/>
        <w:bottom w:val="none" w:sz="0" w:space="0" w:color="auto"/>
        <w:right w:val="none" w:sz="0" w:space="0" w:color="auto"/>
      </w:divBdr>
      <w:divsChild>
        <w:div w:id="1539002108">
          <w:marLeft w:val="0"/>
          <w:marRight w:val="0"/>
          <w:marTop w:val="0"/>
          <w:marBottom w:val="0"/>
          <w:divBdr>
            <w:top w:val="none" w:sz="0" w:space="0" w:color="auto"/>
            <w:left w:val="none" w:sz="0" w:space="0" w:color="auto"/>
            <w:bottom w:val="none" w:sz="0" w:space="0" w:color="auto"/>
            <w:right w:val="none" w:sz="0" w:space="0" w:color="auto"/>
          </w:divBdr>
          <w:divsChild>
            <w:div w:id="1977298439">
              <w:marLeft w:val="0"/>
              <w:marRight w:val="0"/>
              <w:marTop w:val="0"/>
              <w:marBottom w:val="0"/>
              <w:divBdr>
                <w:top w:val="none" w:sz="0" w:space="0" w:color="auto"/>
                <w:left w:val="none" w:sz="0" w:space="0" w:color="auto"/>
                <w:bottom w:val="none" w:sz="0" w:space="0" w:color="auto"/>
                <w:right w:val="none" w:sz="0" w:space="0" w:color="auto"/>
              </w:divBdr>
              <w:divsChild>
                <w:div w:id="104197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4104213">
      <w:bodyDiv w:val="1"/>
      <w:marLeft w:val="0"/>
      <w:marRight w:val="0"/>
      <w:marTop w:val="0"/>
      <w:marBottom w:val="0"/>
      <w:divBdr>
        <w:top w:val="none" w:sz="0" w:space="0" w:color="auto"/>
        <w:left w:val="none" w:sz="0" w:space="0" w:color="auto"/>
        <w:bottom w:val="none" w:sz="0" w:space="0" w:color="auto"/>
        <w:right w:val="none" w:sz="0" w:space="0" w:color="auto"/>
      </w:divBdr>
      <w:divsChild>
        <w:div w:id="991521805">
          <w:marLeft w:val="0"/>
          <w:marRight w:val="0"/>
          <w:marTop w:val="0"/>
          <w:marBottom w:val="0"/>
          <w:divBdr>
            <w:top w:val="none" w:sz="0" w:space="0" w:color="auto"/>
            <w:left w:val="none" w:sz="0" w:space="0" w:color="auto"/>
            <w:bottom w:val="none" w:sz="0" w:space="0" w:color="auto"/>
            <w:right w:val="none" w:sz="0" w:space="0" w:color="auto"/>
          </w:divBdr>
          <w:divsChild>
            <w:div w:id="816411681">
              <w:marLeft w:val="0"/>
              <w:marRight w:val="0"/>
              <w:marTop w:val="0"/>
              <w:marBottom w:val="0"/>
              <w:divBdr>
                <w:top w:val="none" w:sz="0" w:space="0" w:color="auto"/>
                <w:left w:val="none" w:sz="0" w:space="0" w:color="auto"/>
                <w:bottom w:val="none" w:sz="0" w:space="0" w:color="auto"/>
                <w:right w:val="none" w:sz="0" w:space="0" w:color="auto"/>
              </w:divBdr>
              <w:divsChild>
                <w:div w:id="147097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9656930">
      <w:bodyDiv w:val="1"/>
      <w:marLeft w:val="0"/>
      <w:marRight w:val="0"/>
      <w:marTop w:val="0"/>
      <w:marBottom w:val="0"/>
      <w:divBdr>
        <w:top w:val="none" w:sz="0" w:space="0" w:color="auto"/>
        <w:left w:val="none" w:sz="0" w:space="0" w:color="auto"/>
        <w:bottom w:val="none" w:sz="0" w:space="0" w:color="auto"/>
        <w:right w:val="none" w:sz="0" w:space="0" w:color="auto"/>
      </w:divBdr>
    </w:div>
    <w:div w:id="1234438541">
      <w:bodyDiv w:val="1"/>
      <w:marLeft w:val="0"/>
      <w:marRight w:val="0"/>
      <w:marTop w:val="0"/>
      <w:marBottom w:val="0"/>
      <w:divBdr>
        <w:top w:val="none" w:sz="0" w:space="0" w:color="auto"/>
        <w:left w:val="none" w:sz="0" w:space="0" w:color="auto"/>
        <w:bottom w:val="none" w:sz="0" w:space="0" w:color="auto"/>
        <w:right w:val="none" w:sz="0" w:space="0" w:color="auto"/>
      </w:divBdr>
    </w:div>
    <w:div w:id="1269384534">
      <w:bodyDiv w:val="1"/>
      <w:marLeft w:val="0"/>
      <w:marRight w:val="0"/>
      <w:marTop w:val="0"/>
      <w:marBottom w:val="0"/>
      <w:divBdr>
        <w:top w:val="none" w:sz="0" w:space="0" w:color="auto"/>
        <w:left w:val="none" w:sz="0" w:space="0" w:color="auto"/>
        <w:bottom w:val="none" w:sz="0" w:space="0" w:color="auto"/>
        <w:right w:val="none" w:sz="0" w:space="0" w:color="auto"/>
      </w:divBdr>
    </w:div>
    <w:div w:id="1277248300">
      <w:bodyDiv w:val="1"/>
      <w:marLeft w:val="0"/>
      <w:marRight w:val="0"/>
      <w:marTop w:val="0"/>
      <w:marBottom w:val="0"/>
      <w:divBdr>
        <w:top w:val="none" w:sz="0" w:space="0" w:color="auto"/>
        <w:left w:val="none" w:sz="0" w:space="0" w:color="auto"/>
        <w:bottom w:val="none" w:sz="0" w:space="0" w:color="auto"/>
        <w:right w:val="none" w:sz="0" w:space="0" w:color="auto"/>
      </w:divBdr>
    </w:div>
    <w:div w:id="1291086360">
      <w:bodyDiv w:val="1"/>
      <w:marLeft w:val="0"/>
      <w:marRight w:val="0"/>
      <w:marTop w:val="0"/>
      <w:marBottom w:val="0"/>
      <w:divBdr>
        <w:top w:val="none" w:sz="0" w:space="0" w:color="auto"/>
        <w:left w:val="none" w:sz="0" w:space="0" w:color="auto"/>
        <w:bottom w:val="none" w:sz="0" w:space="0" w:color="auto"/>
        <w:right w:val="none" w:sz="0" w:space="0" w:color="auto"/>
      </w:divBdr>
    </w:div>
    <w:div w:id="1294941390">
      <w:bodyDiv w:val="1"/>
      <w:marLeft w:val="0"/>
      <w:marRight w:val="0"/>
      <w:marTop w:val="0"/>
      <w:marBottom w:val="0"/>
      <w:divBdr>
        <w:top w:val="none" w:sz="0" w:space="0" w:color="auto"/>
        <w:left w:val="none" w:sz="0" w:space="0" w:color="auto"/>
        <w:bottom w:val="none" w:sz="0" w:space="0" w:color="auto"/>
        <w:right w:val="none" w:sz="0" w:space="0" w:color="auto"/>
      </w:divBdr>
      <w:divsChild>
        <w:div w:id="957369251">
          <w:marLeft w:val="0"/>
          <w:marRight w:val="0"/>
          <w:marTop w:val="0"/>
          <w:marBottom w:val="0"/>
          <w:divBdr>
            <w:top w:val="none" w:sz="0" w:space="0" w:color="auto"/>
            <w:left w:val="none" w:sz="0" w:space="0" w:color="auto"/>
            <w:bottom w:val="none" w:sz="0" w:space="0" w:color="auto"/>
            <w:right w:val="none" w:sz="0" w:space="0" w:color="auto"/>
          </w:divBdr>
          <w:divsChild>
            <w:div w:id="194971430">
              <w:marLeft w:val="0"/>
              <w:marRight w:val="0"/>
              <w:marTop w:val="0"/>
              <w:marBottom w:val="0"/>
              <w:divBdr>
                <w:top w:val="none" w:sz="0" w:space="0" w:color="auto"/>
                <w:left w:val="none" w:sz="0" w:space="0" w:color="auto"/>
                <w:bottom w:val="none" w:sz="0" w:space="0" w:color="auto"/>
                <w:right w:val="none" w:sz="0" w:space="0" w:color="auto"/>
              </w:divBdr>
              <w:divsChild>
                <w:div w:id="650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4158858">
      <w:bodyDiv w:val="1"/>
      <w:marLeft w:val="0"/>
      <w:marRight w:val="0"/>
      <w:marTop w:val="0"/>
      <w:marBottom w:val="0"/>
      <w:divBdr>
        <w:top w:val="none" w:sz="0" w:space="0" w:color="auto"/>
        <w:left w:val="none" w:sz="0" w:space="0" w:color="auto"/>
        <w:bottom w:val="none" w:sz="0" w:space="0" w:color="auto"/>
        <w:right w:val="none" w:sz="0" w:space="0" w:color="auto"/>
      </w:divBdr>
    </w:div>
    <w:div w:id="1356731806">
      <w:bodyDiv w:val="1"/>
      <w:marLeft w:val="0"/>
      <w:marRight w:val="0"/>
      <w:marTop w:val="0"/>
      <w:marBottom w:val="0"/>
      <w:divBdr>
        <w:top w:val="none" w:sz="0" w:space="0" w:color="auto"/>
        <w:left w:val="none" w:sz="0" w:space="0" w:color="auto"/>
        <w:bottom w:val="none" w:sz="0" w:space="0" w:color="auto"/>
        <w:right w:val="none" w:sz="0" w:space="0" w:color="auto"/>
      </w:divBdr>
    </w:div>
    <w:div w:id="1366952818">
      <w:bodyDiv w:val="1"/>
      <w:marLeft w:val="0"/>
      <w:marRight w:val="0"/>
      <w:marTop w:val="0"/>
      <w:marBottom w:val="0"/>
      <w:divBdr>
        <w:top w:val="none" w:sz="0" w:space="0" w:color="auto"/>
        <w:left w:val="none" w:sz="0" w:space="0" w:color="auto"/>
        <w:bottom w:val="none" w:sz="0" w:space="0" w:color="auto"/>
        <w:right w:val="none" w:sz="0" w:space="0" w:color="auto"/>
      </w:divBdr>
      <w:divsChild>
        <w:div w:id="1599562034">
          <w:marLeft w:val="0"/>
          <w:marRight w:val="0"/>
          <w:marTop w:val="0"/>
          <w:marBottom w:val="0"/>
          <w:divBdr>
            <w:top w:val="none" w:sz="0" w:space="0" w:color="auto"/>
            <w:left w:val="none" w:sz="0" w:space="0" w:color="auto"/>
            <w:bottom w:val="none" w:sz="0" w:space="0" w:color="auto"/>
            <w:right w:val="none" w:sz="0" w:space="0" w:color="auto"/>
          </w:divBdr>
          <w:divsChild>
            <w:div w:id="1997805699">
              <w:marLeft w:val="0"/>
              <w:marRight w:val="0"/>
              <w:marTop w:val="0"/>
              <w:marBottom w:val="0"/>
              <w:divBdr>
                <w:top w:val="none" w:sz="0" w:space="0" w:color="auto"/>
                <w:left w:val="none" w:sz="0" w:space="0" w:color="auto"/>
                <w:bottom w:val="none" w:sz="0" w:space="0" w:color="auto"/>
                <w:right w:val="none" w:sz="0" w:space="0" w:color="auto"/>
              </w:divBdr>
              <w:divsChild>
                <w:div w:id="138864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532133">
      <w:bodyDiv w:val="1"/>
      <w:marLeft w:val="0"/>
      <w:marRight w:val="0"/>
      <w:marTop w:val="0"/>
      <w:marBottom w:val="0"/>
      <w:divBdr>
        <w:top w:val="none" w:sz="0" w:space="0" w:color="auto"/>
        <w:left w:val="none" w:sz="0" w:space="0" w:color="auto"/>
        <w:bottom w:val="none" w:sz="0" w:space="0" w:color="auto"/>
        <w:right w:val="none" w:sz="0" w:space="0" w:color="auto"/>
      </w:divBdr>
      <w:divsChild>
        <w:div w:id="1251544567">
          <w:marLeft w:val="0"/>
          <w:marRight w:val="0"/>
          <w:marTop w:val="0"/>
          <w:marBottom w:val="0"/>
          <w:divBdr>
            <w:top w:val="none" w:sz="0" w:space="0" w:color="auto"/>
            <w:left w:val="none" w:sz="0" w:space="0" w:color="auto"/>
            <w:bottom w:val="none" w:sz="0" w:space="0" w:color="auto"/>
            <w:right w:val="none" w:sz="0" w:space="0" w:color="auto"/>
          </w:divBdr>
          <w:divsChild>
            <w:div w:id="13382828">
              <w:marLeft w:val="0"/>
              <w:marRight w:val="0"/>
              <w:marTop w:val="0"/>
              <w:marBottom w:val="0"/>
              <w:divBdr>
                <w:top w:val="none" w:sz="0" w:space="0" w:color="auto"/>
                <w:left w:val="none" w:sz="0" w:space="0" w:color="auto"/>
                <w:bottom w:val="none" w:sz="0" w:space="0" w:color="auto"/>
                <w:right w:val="none" w:sz="0" w:space="0" w:color="auto"/>
              </w:divBdr>
              <w:divsChild>
                <w:div w:id="201957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8816303">
      <w:bodyDiv w:val="1"/>
      <w:marLeft w:val="0"/>
      <w:marRight w:val="0"/>
      <w:marTop w:val="0"/>
      <w:marBottom w:val="0"/>
      <w:divBdr>
        <w:top w:val="none" w:sz="0" w:space="0" w:color="auto"/>
        <w:left w:val="none" w:sz="0" w:space="0" w:color="auto"/>
        <w:bottom w:val="none" w:sz="0" w:space="0" w:color="auto"/>
        <w:right w:val="none" w:sz="0" w:space="0" w:color="auto"/>
      </w:divBdr>
      <w:divsChild>
        <w:div w:id="780957790">
          <w:marLeft w:val="0"/>
          <w:marRight w:val="0"/>
          <w:marTop w:val="0"/>
          <w:marBottom w:val="0"/>
          <w:divBdr>
            <w:top w:val="none" w:sz="0" w:space="0" w:color="auto"/>
            <w:left w:val="none" w:sz="0" w:space="0" w:color="auto"/>
            <w:bottom w:val="none" w:sz="0" w:space="0" w:color="auto"/>
            <w:right w:val="none" w:sz="0" w:space="0" w:color="auto"/>
          </w:divBdr>
          <w:divsChild>
            <w:div w:id="1718386454">
              <w:marLeft w:val="0"/>
              <w:marRight w:val="0"/>
              <w:marTop w:val="0"/>
              <w:marBottom w:val="0"/>
              <w:divBdr>
                <w:top w:val="none" w:sz="0" w:space="0" w:color="auto"/>
                <w:left w:val="none" w:sz="0" w:space="0" w:color="auto"/>
                <w:bottom w:val="none" w:sz="0" w:space="0" w:color="auto"/>
                <w:right w:val="none" w:sz="0" w:space="0" w:color="auto"/>
              </w:divBdr>
              <w:divsChild>
                <w:div w:id="210190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07862">
      <w:bodyDiv w:val="1"/>
      <w:marLeft w:val="0"/>
      <w:marRight w:val="0"/>
      <w:marTop w:val="0"/>
      <w:marBottom w:val="0"/>
      <w:divBdr>
        <w:top w:val="none" w:sz="0" w:space="0" w:color="auto"/>
        <w:left w:val="none" w:sz="0" w:space="0" w:color="auto"/>
        <w:bottom w:val="none" w:sz="0" w:space="0" w:color="auto"/>
        <w:right w:val="none" w:sz="0" w:space="0" w:color="auto"/>
      </w:divBdr>
      <w:divsChild>
        <w:div w:id="761687870">
          <w:marLeft w:val="0"/>
          <w:marRight w:val="0"/>
          <w:marTop w:val="0"/>
          <w:marBottom w:val="0"/>
          <w:divBdr>
            <w:top w:val="none" w:sz="0" w:space="0" w:color="auto"/>
            <w:left w:val="none" w:sz="0" w:space="0" w:color="auto"/>
            <w:bottom w:val="none" w:sz="0" w:space="0" w:color="auto"/>
            <w:right w:val="none" w:sz="0" w:space="0" w:color="auto"/>
          </w:divBdr>
          <w:divsChild>
            <w:div w:id="207380304">
              <w:marLeft w:val="0"/>
              <w:marRight w:val="0"/>
              <w:marTop w:val="0"/>
              <w:marBottom w:val="0"/>
              <w:divBdr>
                <w:top w:val="none" w:sz="0" w:space="0" w:color="auto"/>
                <w:left w:val="none" w:sz="0" w:space="0" w:color="auto"/>
                <w:bottom w:val="none" w:sz="0" w:space="0" w:color="auto"/>
                <w:right w:val="none" w:sz="0" w:space="0" w:color="auto"/>
              </w:divBdr>
              <w:divsChild>
                <w:div w:id="121393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5241512">
      <w:bodyDiv w:val="1"/>
      <w:marLeft w:val="0"/>
      <w:marRight w:val="0"/>
      <w:marTop w:val="0"/>
      <w:marBottom w:val="0"/>
      <w:divBdr>
        <w:top w:val="none" w:sz="0" w:space="0" w:color="auto"/>
        <w:left w:val="none" w:sz="0" w:space="0" w:color="auto"/>
        <w:bottom w:val="none" w:sz="0" w:space="0" w:color="auto"/>
        <w:right w:val="none" w:sz="0" w:space="0" w:color="auto"/>
      </w:divBdr>
    </w:div>
    <w:div w:id="1579363798">
      <w:bodyDiv w:val="1"/>
      <w:marLeft w:val="0"/>
      <w:marRight w:val="0"/>
      <w:marTop w:val="0"/>
      <w:marBottom w:val="0"/>
      <w:divBdr>
        <w:top w:val="none" w:sz="0" w:space="0" w:color="auto"/>
        <w:left w:val="none" w:sz="0" w:space="0" w:color="auto"/>
        <w:bottom w:val="none" w:sz="0" w:space="0" w:color="auto"/>
        <w:right w:val="none" w:sz="0" w:space="0" w:color="auto"/>
      </w:divBdr>
      <w:divsChild>
        <w:div w:id="524516944">
          <w:marLeft w:val="0"/>
          <w:marRight w:val="0"/>
          <w:marTop w:val="0"/>
          <w:marBottom w:val="0"/>
          <w:divBdr>
            <w:top w:val="none" w:sz="0" w:space="0" w:color="auto"/>
            <w:left w:val="none" w:sz="0" w:space="0" w:color="auto"/>
            <w:bottom w:val="none" w:sz="0" w:space="0" w:color="auto"/>
            <w:right w:val="none" w:sz="0" w:space="0" w:color="auto"/>
          </w:divBdr>
          <w:divsChild>
            <w:div w:id="971254654">
              <w:marLeft w:val="0"/>
              <w:marRight w:val="0"/>
              <w:marTop w:val="0"/>
              <w:marBottom w:val="0"/>
              <w:divBdr>
                <w:top w:val="none" w:sz="0" w:space="0" w:color="auto"/>
                <w:left w:val="none" w:sz="0" w:space="0" w:color="auto"/>
                <w:bottom w:val="none" w:sz="0" w:space="0" w:color="auto"/>
                <w:right w:val="none" w:sz="0" w:space="0" w:color="auto"/>
              </w:divBdr>
              <w:divsChild>
                <w:div w:id="997541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8903121">
      <w:bodyDiv w:val="1"/>
      <w:marLeft w:val="0"/>
      <w:marRight w:val="0"/>
      <w:marTop w:val="0"/>
      <w:marBottom w:val="0"/>
      <w:divBdr>
        <w:top w:val="none" w:sz="0" w:space="0" w:color="auto"/>
        <w:left w:val="none" w:sz="0" w:space="0" w:color="auto"/>
        <w:bottom w:val="none" w:sz="0" w:space="0" w:color="auto"/>
        <w:right w:val="none" w:sz="0" w:space="0" w:color="auto"/>
      </w:divBdr>
    </w:div>
    <w:div w:id="1627852072">
      <w:bodyDiv w:val="1"/>
      <w:marLeft w:val="0"/>
      <w:marRight w:val="0"/>
      <w:marTop w:val="0"/>
      <w:marBottom w:val="0"/>
      <w:divBdr>
        <w:top w:val="none" w:sz="0" w:space="0" w:color="auto"/>
        <w:left w:val="none" w:sz="0" w:space="0" w:color="auto"/>
        <w:bottom w:val="none" w:sz="0" w:space="0" w:color="auto"/>
        <w:right w:val="none" w:sz="0" w:space="0" w:color="auto"/>
      </w:divBdr>
    </w:div>
    <w:div w:id="1719233023">
      <w:bodyDiv w:val="1"/>
      <w:marLeft w:val="0"/>
      <w:marRight w:val="0"/>
      <w:marTop w:val="0"/>
      <w:marBottom w:val="0"/>
      <w:divBdr>
        <w:top w:val="none" w:sz="0" w:space="0" w:color="auto"/>
        <w:left w:val="none" w:sz="0" w:space="0" w:color="auto"/>
        <w:bottom w:val="none" w:sz="0" w:space="0" w:color="auto"/>
        <w:right w:val="none" w:sz="0" w:space="0" w:color="auto"/>
      </w:divBdr>
      <w:divsChild>
        <w:div w:id="449664305">
          <w:marLeft w:val="0"/>
          <w:marRight w:val="0"/>
          <w:marTop w:val="0"/>
          <w:marBottom w:val="0"/>
          <w:divBdr>
            <w:top w:val="none" w:sz="0" w:space="0" w:color="auto"/>
            <w:left w:val="none" w:sz="0" w:space="0" w:color="auto"/>
            <w:bottom w:val="none" w:sz="0" w:space="0" w:color="auto"/>
            <w:right w:val="none" w:sz="0" w:space="0" w:color="auto"/>
          </w:divBdr>
          <w:divsChild>
            <w:div w:id="340358219">
              <w:marLeft w:val="0"/>
              <w:marRight w:val="0"/>
              <w:marTop w:val="0"/>
              <w:marBottom w:val="0"/>
              <w:divBdr>
                <w:top w:val="none" w:sz="0" w:space="0" w:color="auto"/>
                <w:left w:val="none" w:sz="0" w:space="0" w:color="auto"/>
                <w:bottom w:val="none" w:sz="0" w:space="0" w:color="auto"/>
                <w:right w:val="none" w:sz="0" w:space="0" w:color="auto"/>
              </w:divBdr>
              <w:divsChild>
                <w:div w:id="195777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09170">
      <w:bodyDiv w:val="1"/>
      <w:marLeft w:val="0"/>
      <w:marRight w:val="0"/>
      <w:marTop w:val="0"/>
      <w:marBottom w:val="0"/>
      <w:divBdr>
        <w:top w:val="none" w:sz="0" w:space="0" w:color="auto"/>
        <w:left w:val="none" w:sz="0" w:space="0" w:color="auto"/>
        <w:bottom w:val="none" w:sz="0" w:space="0" w:color="auto"/>
        <w:right w:val="none" w:sz="0" w:space="0" w:color="auto"/>
      </w:divBdr>
      <w:divsChild>
        <w:div w:id="498883788">
          <w:marLeft w:val="0"/>
          <w:marRight w:val="0"/>
          <w:marTop w:val="0"/>
          <w:marBottom w:val="0"/>
          <w:divBdr>
            <w:top w:val="none" w:sz="0" w:space="0" w:color="auto"/>
            <w:left w:val="none" w:sz="0" w:space="0" w:color="auto"/>
            <w:bottom w:val="none" w:sz="0" w:space="0" w:color="auto"/>
            <w:right w:val="none" w:sz="0" w:space="0" w:color="auto"/>
          </w:divBdr>
          <w:divsChild>
            <w:div w:id="17437110">
              <w:marLeft w:val="0"/>
              <w:marRight w:val="0"/>
              <w:marTop w:val="0"/>
              <w:marBottom w:val="0"/>
              <w:divBdr>
                <w:top w:val="none" w:sz="0" w:space="0" w:color="auto"/>
                <w:left w:val="none" w:sz="0" w:space="0" w:color="auto"/>
                <w:bottom w:val="none" w:sz="0" w:space="0" w:color="auto"/>
                <w:right w:val="none" w:sz="0" w:space="0" w:color="auto"/>
              </w:divBdr>
              <w:divsChild>
                <w:div w:id="1898710620">
                  <w:marLeft w:val="0"/>
                  <w:marRight w:val="0"/>
                  <w:marTop w:val="0"/>
                  <w:marBottom w:val="0"/>
                  <w:divBdr>
                    <w:top w:val="none" w:sz="0" w:space="0" w:color="auto"/>
                    <w:left w:val="none" w:sz="0" w:space="0" w:color="auto"/>
                    <w:bottom w:val="none" w:sz="0" w:space="0" w:color="auto"/>
                    <w:right w:val="none" w:sz="0" w:space="0" w:color="auto"/>
                  </w:divBdr>
                </w:div>
              </w:divsChild>
            </w:div>
            <w:div w:id="275674021">
              <w:marLeft w:val="-15"/>
              <w:marRight w:val="0"/>
              <w:marTop w:val="0"/>
              <w:marBottom w:val="0"/>
              <w:divBdr>
                <w:top w:val="none" w:sz="0" w:space="0" w:color="auto"/>
                <w:left w:val="none" w:sz="0" w:space="0" w:color="auto"/>
                <w:bottom w:val="none" w:sz="0" w:space="0" w:color="auto"/>
                <w:right w:val="none" w:sz="0" w:space="0" w:color="auto"/>
              </w:divBdr>
            </w:div>
            <w:div w:id="461968983">
              <w:marLeft w:val="0"/>
              <w:marRight w:val="0"/>
              <w:marTop w:val="0"/>
              <w:marBottom w:val="0"/>
              <w:divBdr>
                <w:top w:val="none" w:sz="0" w:space="0" w:color="auto"/>
                <w:left w:val="none" w:sz="0" w:space="0" w:color="auto"/>
                <w:bottom w:val="none" w:sz="0" w:space="0" w:color="auto"/>
                <w:right w:val="none" w:sz="0" w:space="0" w:color="auto"/>
              </w:divBdr>
            </w:div>
            <w:div w:id="564485780">
              <w:marLeft w:val="75"/>
              <w:marRight w:val="0"/>
              <w:marTop w:val="0"/>
              <w:marBottom w:val="0"/>
              <w:divBdr>
                <w:top w:val="none" w:sz="0" w:space="0" w:color="auto"/>
                <w:left w:val="none" w:sz="0" w:space="0" w:color="auto"/>
                <w:bottom w:val="none" w:sz="0" w:space="0" w:color="auto"/>
                <w:right w:val="none" w:sz="0" w:space="0" w:color="auto"/>
              </w:divBdr>
            </w:div>
          </w:divsChild>
        </w:div>
        <w:div w:id="607741875">
          <w:marLeft w:val="0"/>
          <w:marRight w:val="225"/>
          <w:marTop w:val="75"/>
          <w:marBottom w:val="0"/>
          <w:divBdr>
            <w:top w:val="none" w:sz="0" w:space="0" w:color="auto"/>
            <w:left w:val="none" w:sz="0" w:space="0" w:color="auto"/>
            <w:bottom w:val="none" w:sz="0" w:space="0" w:color="auto"/>
            <w:right w:val="none" w:sz="0" w:space="0" w:color="auto"/>
          </w:divBdr>
          <w:divsChild>
            <w:div w:id="149444351">
              <w:marLeft w:val="0"/>
              <w:marRight w:val="0"/>
              <w:marTop w:val="0"/>
              <w:marBottom w:val="0"/>
              <w:divBdr>
                <w:top w:val="none" w:sz="0" w:space="0" w:color="auto"/>
                <w:left w:val="none" w:sz="0" w:space="0" w:color="auto"/>
                <w:bottom w:val="none" w:sz="0" w:space="0" w:color="auto"/>
                <w:right w:val="none" w:sz="0" w:space="0" w:color="auto"/>
              </w:divBdr>
              <w:divsChild>
                <w:div w:id="1153451350">
                  <w:marLeft w:val="0"/>
                  <w:marRight w:val="0"/>
                  <w:marTop w:val="0"/>
                  <w:marBottom w:val="0"/>
                  <w:divBdr>
                    <w:top w:val="none" w:sz="0" w:space="0" w:color="auto"/>
                    <w:left w:val="none" w:sz="0" w:space="0" w:color="auto"/>
                    <w:bottom w:val="none" w:sz="0" w:space="0" w:color="auto"/>
                    <w:right w:val="none" w:sz="0" w:space="0" w:color="auto"/>
                  </w:divBdr>
                  <w:divsChild>
                    <w:div w:id="1684629736">
                      <w:marLeft w:val="0"/>
                      <w:marRight w:val="0"/>
                      <w:marTop w:val="0"/>
                      <w:marBottom w:val="0"/>
                      <w:divBdr>
                        <w:top w:val="none" w:sz="0" w:space="0" w:color="auto"/>
                        <w:left w:val="none" w:sz="0" w:space="0" w:color="auto"/>
                        <w:bottom w:val="none" w:sz="0" w:space="0" w:color="auto"/>
                        <w:right w:val="none" w:sz="0" w:space="0" w:color="auto"/>
                      </w:divBdr>
                      <w:divsChild>
                        <w:div w:id="198974344">
                          <w:marLeft w:val="0"/>
                          <w:marRight w:val="0"/>
                          <w:marTop w:val="0"/>
                          <w:marBottom w:val="0"/>
                          <w:divBdr>
                            <w:top w:val="none" w:sz="0" w:space="0" w:color="auto"/>
                            <w:left w:val="none" w:sz="0" w:space="0" w:color="auto"/>
                            <w:bottom w:val="none" w:sz="0" w:space="0" w:color="auto"/>
                            <w:right w:val="none" w:sz="0" w:space="0" w:color="auto"/>
                          </w:divBdr>
                        </w:div>
                        <w:div w:id="237398020">
                          <w:marLeft w:val="0"/>
                          <w:marRight w:val="0"/>
                          <w:marTop w:val="0"/>
                          <w:marBottom w:val="0"/>
                          <w:divBdr>
                            <w:top w:val="none" w:sz="0" w:space="0" w:color="auto"/>
                            <w:left w:val="none" w:sz="0" w:space="0" w:color="auto"/>
                            <w:bottom w:val="none" w:sz="0" w:space="0" w:color="auto"/>
                            <w:right w:val="none" w:sz="0" w:space="0" w:color="auto"/>
                          </w:divBdr>
                        </w:div>
                        <w:div w:id="473568266">
                          <w:marLeft w:val="0"/>
                          <w:marRight w:val="0"/>
                          <w:marTop w:val="0"/>
                          <w:marBottom w:val="0"/>
                          <w:divBdr>
                            <w:top w:val="none" w:sz="0" w:space="0" w:color="auto"/>
                            <w:left w:val="none" w:sz="0" w:space="0" w:color="auto"/>
                            <w:bottom w:val="none" w:sz="0" w:space="0" w:color="auto"/>
                            <w:right w:val="none" w:sz="0" w:space="0" w:color="auto"/>
                          </w:divBdr>
                        </w:div>
                        <w:div w:id="897713426">
                          <w:marLeft w:val="0"/>
                          <w:marRight w:val="0"/>
                          <w:marTop w:val="0"/>
                          <w:marBottom w:val="0"/>
                          <w:divBdr>
                            <w:top w:val="none" w:sz="0" w:space="0" w:color="auto"/>
                            <w:left w:val="none" w:sz="0" w:space="0" w:color="auto"/>
                            <w:bottom w:val="none" w:sz="0" w:space="0" w:color="auto"/>
                            <w:right w:val="none" w:sz="0" w:space="0" w:color="auto"/>
                          </w:divBdr>
                        </w:div>
                        <w:div w:id="970137882">
                          <w:marLeft w:val="0"/>
                          <w:marRight w:val="0"/>
                          <w:marTop w:val="0"/>
                          <w:marBottom w:val="0"/>
                          <w:divBdr>
                            <w:top w:val="none" w:sz="0" w:space="0" w:color="auto"/>
                            <w:left w:val="none" w:sz="0" w:space="0" w:color="auto"/>
                            <w:bottom w:val="none" w:sz="0" w:space="0" w:color="auto"/>
                            <w:right w:val="none" w:sz="0" w:space="0" w:color="auto"/>
                          </w:divBdr>
                        </w:div>
                        <w:div w:id="1040324428">
                          <w:marLeft w:val="0"/>
                          <w:marRight w:val="0"/>
                          <w:marTop w:val="0"/>
                          <w:marBottom w:val="0"/>
                          <w:divBdr>
                            <w:top w:val="none" w:sz="0" w:space="0" w:color="auto"/>
                            <w:left w:val="none" w:sz="0" w:space="0" w:color="auto"/>
                            <w:bottom w:val="none" w:sz="0" w:space="0" w:color="auto"/>
                            <w:right w:val="none" w:sz="0" w:space="0" w:color="auto"/>
                          </w:divBdr>
                        </w:div>
                        <w:div w:id="1405569531">
                          <w:marLeft w:val="0"/>
                          <w:marRight w:val="0"/>
                          <w:marTop w:val="0"/>
                          <w:marBottom w:val="0"/>
                          <w:divBdr>
                            <w:top w:val="none" w:sz="0" w:space="0" w:color="auto"/>
                            <w:left w:val="none" w:sz="0" w:space="0" w:color="auto"/>
                            <w:bottom w:val="none" w:sz="0" w:space="0" w:color="auto"/>
                            <w:right w:val="none" w:sz="0" w:space="0" w:color="auto"/>
                          </w:divBdr>
                        </w:div>
                        <w:div w:id="1637030576">
                          <w:marLeft w:val="0"/>
                          <w:marRight w:val="0"/>
                          <w:marTop w:val="0"/>
                          <w:marBottom w:val="0"/>
                          <w:divBdr>
                            <w:top w:val="none" w:sz="0" w:space="0" w:color="auto"/>
                            <w:left w:val="none" w:sz="0" w:space="0" w:color="auto"/>
                            <w:bottom w:val="none" w:sz="0" w:space="0" w:color="auto"/>
                            <w:right w:val="none" w:sz="0" w:space="0" w:color="auto"/>
                          </w:divBdr>
                        </w:div>
                        <w:div w:id="1750273448">
                          <w:marLeft w:val="0"/>
                          <w:marRight w:val="0"/>
                          <w:marTop w:val="0"/>
                          <w:marBottom w:val="0"/>
                          <w:divBdr>
                            <w:top w:val="none" w:sz="0" w:space="0" w:color="auto"/>
                            <w:left w:val="none" w:sz="0" w:space="0" w:color="auto"/>
                            <w:bottom w:val="none" w:sz="0" w:space="0" w:color="auto"/>
                            <w:right w:val="none" w:sz="0" w:space="0" w:color="auto"/>
                          </w:divBdr>
                        </w:div>
                        <w:div w:id="1884050408">
                          <w:marLeft w:val="0"/>
                          <w:marRight w:val="0"/>
                          <w:marTop w:val="0"/>
                          <w:marBottom w:val="0"/>
                          <w:divBdr>
                            <w:top w:val="none" w:sz="0" w:space="0" w:color="auto"/>
                            <w:left w:val="none" w:sz="0" w:space="0" w:color="auto"/>
                            <w:bottom w:val="none" w:sz="0" w:space="0" w:color="auto"/>
                            <w:right w:val="none" w:sz="0" w:space="0" w:color="auto"/>
                          </w:divBdr>
                        </w:div>
                        <w:div w:id="1989046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167464">
      <w:bodyDiv w:val="1"/>
      <w:marLeft w:val="0"/>
      <w:marRight w:val="0"/>
      <w:marTop w:val="0"/>
      <w:marBottom w:val="0"/>
      <w:divBdr>
        <w:top w:val="none" w:sz="0" w:space="0" w:color="auto"/>
        <w:left w:val="none" w:sz="0" w:space="0" w:color="auto"/>
        <w:bottom w:val="none" w:sz="0" w:space="0" w:color="auto"/>
        <w:right w:val="none" w:sz="0" w:space="0" w:color="auto"/>
      </w:divBdr>
      <w:divsChild>
        <w:div w:id="91629056">
          <w:marLeft w:val="0"/>
          <w:marRight w:val="0"/>
          <w:marTop w:val="0"/>
          <w:marBottom w:val="0"/>
          <w:divBdr>
            <w:top w:val="none" w:sz="0" w:space="0" w:color="auto"/>
            <w:left w:val="none" w:sz="0" w:space="0" w:color="auto"/>
            <w:bottom w:val="none" w:sz="0" w:space="0" w:color="auto"/>
            <w:right w:val="none" w:sz="0" w:space="0" w:color="auto"/>
          </w:divBdr>
          <w:divsChild>
            <w:div w:id="1708484892">
              <w:marLeft w:val="0"/>
              <w:marRight w:val="0"/>
              <w:marTop w:val="0"/>
              <w:marBottom w:val="0"/>
              <w:divBdr>
                <w:top w:val="none" w:sz="0" w:space="0" w:color="auto"/>
                <w:left w:val="none" w:sz="0" w:space="0" w:color="auto"/>
                <w:bottom w:val="none" w:sz="0" w:space="0" w:color="auto"/>
                <w:right w:val="none" w:sz="0" w:space="0" w:color="auto"/>
              </w:divBdr>
              <w:divsChild>
                <w:div w:id="902759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3259670">
      <w:bodyDiv w:val="1"/>
      <w:marLeft w:val="0"/>
      <w:marRight w:val="0"/>
      <w:marTop w:val="0"/>
      <w:marBottom w:val="0"/>
      <w:divBdr>
        <w:top w:val="none" w:sz="0" w:space="0" w:color="auto"/>
        <w:left w:val="none" w:sz="0" w:space="0" w:color="auto"/>
        <w:bottom w:val="none" w:sz="0" w:space="0" w:color="auto"/>
        <w:right w:val="none" w:sz="0" w:space="0" w:color="auto"/>
      </w:divBdr>
    </w:div>
    <w:div w:id="1751922524">
      <w:bodyDiv w:val="1"/>
      <w:marLeft w:val="0"/>
      <w:marRight w:val="0"/>
      <w:marTop w:val="0"/>
      <w:marBottom w:val="0"/>
      <w:divBdr>
        <w:top w:val="none" w:sz="0" w:space="0" w:color="auto"/>
        <w:left w:val="none" w:sz="0" w:space="0" w:color="auto"/>
        <w:bottom w:val="none" w:sz="0" w:space="0" w:color="auto"/>
        <w:right w:val="none" w:sz="0" w:space="0" w:color="auto"/>
      </w:divBdr>
      <w:divsChild>
        <w:div w:id="1286353773">
          <w:marLeft w:val="0"/>
          <w:marRight w:val="0"/>
          <w:marTop w:val="0"/>
          <w:marBottom w:val="0"/>
          <w:divBdr>
            <w:top w:val="none" w:sz="0" w:space="0" w:color="auto"/>
            <w:left w:val="none" w:sz="0" w:space="0" w:color="auto"/>
            <w:bottom w:val="none" w:sz="0" w:space="0" w:color="auto"/>
            <w:right w:val="none" w:sz="0" w:space="0" w:color="auto"/>
          </w:divBdr>
          <w:divsChild>
            <w:div w:id="469055180">
              <w:marLeft w:val="0"/>
              <w:marRight w:val="0"/>
              <w:marTop w:val="0"/>
              <w:marBottom w:val="0"/>
              <w:divBdr>
                <w:top w:val="none" w:sz="0" w:space="0" w:color="auto"/>
                <w:left w:val="none" w:sz="0" w:space="0" w:color="auto"/>
                <w:bottom w:val="none" w:sz="0" w:space="0" w:color="auto"/>
                <w:right w:val="none" w:sz="0" w:space="0" w:color="auto"/>
              </w:divBdr>
              <w:divsChild>
                <w:div w:id="272439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0661561">
      <w:bodyDiv w:val="1"/>
      <w:marLeft w:val="0"/>
      <w:marRight w:val="0"/>
      <w:marTop w:val="0"/>
      <w:marBottom w:val="0"/>
      <w:divBdr>
        <w:top w:val="none" w:sz="0" w:space="0" w:color="auto"/>
        <w:left w:val="none" w:sz="0" w:space="0" w:color="auto"/>
        <w:bottom w:val="none" w:sz="0" w:space="0" w:color="auto"/>
        <w:right w:val="none" w:sz="0" w:space="0" w:color="auto"/>
      </w:divBdr>
      <w:divsChild>
        <w:div w:id="590702061">
          <w:marLeft w:val="0"/>
          <w:marRight w:val="0"/>
          <w:marTop w:val="0"/>
          <w:marBottom w:val="0"/>
          <w:divBdr>
            <w:top w:val="none" w:sz="0" w:space="0" w:color="auto"/>
            <w:left w:val="none" w:sz="0" w:space="0" w:color="auto"/>
            <w:bottom w:val="none" w:sz="0" w:space="0" w:color="auto"/>
            <w:right w:val="none" w:sz="0" w:space="0" w:color="auto"/>
          </w:divBdr>
          <w:divsChild>
            <w:div w:id="1356923958">
              <w:marLeft w:val="0"/>
              <w:marRight w:val="0"/>
              <w:marTop w:val="0"/>
              <w:marBottom w:val="0"/>
              <w:divBdr>
                <w:top w:val="none" w:sz="0" w:space="0" w:color="auto"/>
                <w:left w:val="none" w:sz="0" w:space="0" w:color="auto"/>
                <w:bottom w:val="none" w:sz="0" w:space="0" w:color="auto"/>
                <w:right w:val="none" w:sz="0" w:space="0" w:color="auto"/>
              </w:divBdr>
              <w:divsChild>
                <w:div w:id="1273900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152803">
      <w:bodyDiv w:val="1"/>
      <w:marLeft w:val="0"/>
      <w:marRight w:val="0"/>
      <w:marTop w:val="0"/>
      <w:marBottom w:val="0"/>
      <w:divBdr>
        <w:top w:val="none" w:sz="0" w:space="0" w:color="auto"/>
        <w:left w:val="none" w:sz="0" w:space="0" w:color="auto"/>
        <w:bottom w:val="none" w:sz="0" w:space="0" w:color="auto"/>
        <w:right w:val="none" w:sz="0" w:space="0" w:color="auto"/>
      </w:divBdr>
      <w:divsChild>
        <w:div w:id="1579167340">
          <w:marLeft w:val="0"/>
          <w:marRight w:val="0"/>
          <w:marTop w:val="0"/>
          <w:marBottom w:val="0"/>
          <w:divBdr>
            <w:top w:val="none" w:sz="0" w:space="0" w:color="auto"/>
            <w:left w:val="none" w:sz="0" w:space="0" w:color="auto"/>
            <w:bottom w:val="none" w:sz="0" w:space="0" w:color="auto"/>
            <w:right w:val="none" w:sz="0" w:space="0" w:color="auto"/>
          </w:divBdr>
          <w:divsChild>
            <w:div w:id="1073552852">
              <w:marLeft w:val="0"/>
              <w:marRight w:val="0"/>
              <w:marTop w:val="0"/>
              <w:marBottom w:val="0"/>
              <w:divBdr>
                <w:top w:val="none" w:sz="0" w:space="0" w:color="auto"/>
                <w:left w:val="none" w:sz="0" w:space="0" w:color="auto"/>
                <w:bottom w:val="none" w:sz="0" w:space="0" w:color="auto"/>
                <w:right w:val="none" w:sz="0" w:space="0" w:color="auto"/>
              </w:divBdr>
              <w:divsChild>
                <w:div w:id="701439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4471872">
      <w:bodyDiv w:val="1"/>
      <w:marLeft w:val="0"/>
      <w:marRight w:val="0"/>
      <w:marTop w:val="0"/>
      <w:marBottom w:val="0"/>
      <w:divBdr>
        <w:top w:val="none" w:sz="0" w:space="0" w:color="auto"/>
        <w:left w:val="none" w:sz="0" w:space="0" w:color="auto"/>
        <w:bottom w:val="none" w:sz="0" w:space="0" w:color="auto"/>
        <w:right w:val="none" w:sz="0" w:space="0" w:color="auto"/>
      </w:divBdr>
    </w:div>
    <w:div w:id="1886722553">
      <w:bodyDiv w:val="1"/>
      <w:marLeft w:val="0"/>
      <w:marRight w:val="0"/>
      <w:marTop w:val="0"/>
      <w:marBottom w:val="0"/>
      <w:divBdr>
        <w:top w:val="none" w:sz="0" w:space="0" w:color="auto"/>
        <w:left w:val="none" w:sz="0" w:space="0" w:color="auto"/>
        <w:bottom w:val="none" w:sz="0" w:space="0" w:color="auto"/>
        <w:right w:val="none" w:sz="0" w:space="0" w:color="auto"/>
      </w:divBdr>
    </w:div>
    <w:div w:id="1894122142">
      <w:bodyDiv w:val="1"/>
      <w:marLeft w:val="0"/>
      <w:marRight w:val="0"/>
      <w:marTop w:val="0"/>
      <w:marBottom w:val="0"/>
      <w:divBdr>
        <w:top w:val="none" w:sz="0" w:space="0" w:color="auto"/>
        <w:left w:val="none" w:sz="0" w:space="0" w:color="auto"/>
        <w:bottom w:val="none" w:sz="0" w:space="0" w:color="auto"/>
        <w:right w:val="none" w:sz="0" w:space="0" w:color="auto"/>
      </w:divBdr>
      <w:divsChild>
        <w:div w:id="615259775">
          <w:marLeft w:val="0"/>
          <w:marRight w:val="0"/>
          <w:marTop w:val="0"/>
          <w:marBottom w:val="0"/>
          <w:divBdr>
            <w:top w:val="none" w:sz="0" w:space="0" w:color="auto"/>
            <w:left w:val="none" w:sz="0" w:space="0" w:color="auto"/>
            <w:bottom w:val="none" w:sz="0" w:space="0" w:color="auto"/>
            <w:right w:val="none" w:sz="0" w:space="0" w:color="auto"/>
          </w:divBdr>
          <w:divsChild>
            <w:div w:id="696391259">
              <w:marLeft w:val="0"/>
              <w:marRight w:val="0"/>
              <w:marTop w:val="0"/>
              <w:marBottom w:val="0"/>
              <w:divBdr>
                <w:top w:val="none" w:sz="0" w:space="0" w:color="auto"/>
                <w:left w:val="none" w:sz="0" w:space="0" w:color="auto"/>
                <w:bottom w:val="none" w:sz="0" w:space="0" w:color="auto"/>
                <w:right w:val="none" w:sz="0" w:space="0" w:color="auto"/>
              </w:divBdr>
              <w:divsChild>
                <w:div w:id="732310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9731588">
      <w:bodyDiv w:val="1"/>
      <w:marLeft w:val="0"/>
      <w:marRight w:val="0"/>
      <w:marTop w:val="0"/>
      <w:marBottom w:val="0"/>
      <w:divBdr>
        <w:top w:val="none" w:sz="0" w:space="0" w:color="auto"/>
        <w:left w:val="none" w:sz="0" w:space="0" w:color="auto"/>
        <w:bottom w:val="none" w:sz="0" w:space="0" w:color="auto"/>
        <w:right w:val="none" w:sz="0" w:space="0" w:color="auto"/>
      </w:divBdr>
      <w:divsChild>
        <w:div w:id="995766031">
          <w:marLeft w:val="0"/>
          <w:marRight w:val="0"/>
          <w:marTop w:val="0"/>
          <w:marBottom w:val="0"/>
          <w:divBdr>
            <w:top w:val="none" w:sz="0" w:space="0" w:color="auto"/>
            <w:left w:val="none" w:sz="0" w:space="0" w:color="auto"/>
            <w:bottom w:val="none" w:sz="0" w:space="0" w:color="auto"/>
            <w:right w:val="none" w:sz="0" w:space="0" w:color="auto"/>
          </w:divBdr>
          <w:divsChild>
            <w:div w:id="1888833239">
              <w:marLeft w:val="0"/>
              <w:marRight w:val="0"/>
              <w:marTop w:val="0"/>
              <w:marBottom w:val="0"/>
              <w:divBdr>
                <w:top w:val="none" w:sz="0" w:space="0" w:color="auto"/>
                <w:left w:val="none" w:sz="0" w:space="0" w:color="auto"/>
                <w:bottom w:val="none" w:sz="0" w:space="0" w:color="auto"/>
                <w:right w:val="none" w:sz="0" w:space="0" w:color="auto"/>
              </w:divBdr>
              <w:divsChild>
                <w:div w:id="1686982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1209498">
      <w:bodyDiv w:val="1"/>
      <w:marLeft w:val="0"/>
      <w:marRight w:val="0"/>
      <w:marTop w:val="0"/>
      <w:marBottom w:val="0"/>
      <w:divBdr>
        <w:top w:val="none" w:sz="0" w:space="0" w:color="auto"/>
        <w:left w:val="none" w:sz="0" w:space="0" w:color="auto"/>
        <w:bottom w:val="none" w:sz="0" w:space="0" w:color="auto"/>
        <w:right w:val="none" w:sz="0" w:space="0" w:color="auto"/>
      </w:divBdr>
    </w:div>
    <w:div w:id="1930195985">
      <w:bodyDiv w:val="1"/>
      <w:marLeft w:val="0"/>
      <w:marRight w:val="0"/>
      <w:marTop w:val="0"/>
      <w:marBottom w:val="0"/>
      <w:divBdr>
        <w:top w:val="none" w:sz="0" w:space="0" w:color="auto"/>
        <w:left w:val="none" w:sz="0" w:space="0" w:color="auto"/>
        <w:bottom w:val="none" w:sz="0" w:space="0" w:color="auto"/>
        <w:right w:val="none" w:sz="0" w:space="0" w:color="auto"/>
      </w:divBdr>
      <w:divsChild>
        <w:div w:id="1101029189">
          <w:marLeft w:val="0"/>
          <w:marRight w:val="0"/>
          <w:marTop w:val="0"/>
          <w:marBottom w:val="0"/>
          <w:divBdr>
            <w:top w:val="none" w:sz="0" w:space="0" w:color="auto"/>
            <w:left w:val="none" w:sz="0" w:space="0" w:color="auto"/>
            <w:bottom w:val="none" w:sz="0" w:space="0" w:color="auto"/>
            <w:right w:val="none" w:sz="0" w:space="0" w:color="auto"/>
          </w:divBdr>
          <w:divsChild>
            <w:div w:id="1571192352">
              <w:marLeft w:val="0"/>
              <w:marRight w:val="0"/>
              <w:marTop w:val="0"/>
              <w:marBottom w:val="0"/>
              <w:divBdr>
                <w:top w:val="none" w:sz="0" w:space="0" w:color="auto"/>
                <w:left w:val="none" w:sz="0" w:space="0" w:color="auto"/>
                <w:bottom w:val="none" w:sz="0" w:space="0" w:color="auto"/>
                <w:right w:val="none" w:sz="0" w:space="0" w:color="auto"/>
              </w:divBdr>
              <w:divsChild>
                <w:div w:id="2051764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9099542">
      <w:bodyDiv w:val="1"/>
      <w:marLeft w:val="0"/>
      <w:marRight w:val="0"/>
      <w:marTop w:val="0"/>
      <w:marBottom w:val="0"/>
      <w:divBdr>
        <w:top w:val="none" w:sz="0" w:space="0" w:color="auto"/>
        <w:left w:val="none" w:sz="0" w:space="0" w:color="auto"/>
        <w:bottom w:val="none" w:sz="0" w:space="0" w:color="auto"/>
        <w:right w:val="none" w:sz="0" w:space="0" w:color="auto"/>
      </w:divBdr>
    </w:div>
    <w:div w:id="1989361740">
      <w:bodyDiv w:val="1"/>
      <w:marLeft w:val="0"/>
      <w:marRight w:val="0"/>
      <w:marTop w:val="0"/>
      <w:marBottom w:val="0"/>
      <w:divBdr>
        <w:top w:val="none" w:sz="0" w:space="0" w:color="auto"/>
        <w:left w:val="none" w:sz="0" w:space="0" w:color="auto"/>
        <w:bottom w:val="none" w:sz="0" w:space="0" w:color="auto"/>
        <w:right w:val="none" w:sz="0" w:space="0" w:color="auto"/>
      </w:divBdr>
      <w:divsChild>
        <w:div w:id="382095652">
          <w:marLeft w:val="0"/>
          <w:marRight w:val="0"/>
          <w:marTop w:val="0"/>
          <w:marBottom w:val="0"/>
          <w:divBdr>
            <w:top w:val="none" w:sz="0" w:space="0" w:color="auto"/>
            <w:left w:val="none" w:sz="0" w:space="0" w:color="auto"/>
            <w:bottom w:val="none" w:sz="0" w:space="0" w:color="auto"/>
            <w:right w:val="none" w:sz="0" w:space="0" w:color="auto"/>
          </w:divBdr>
          <w:divsChild>
            <w:div w:id="1042486474">
              <w:marLeft w:val="0"/>
              <w:marRight w:val="0"/>
              <w:marTop w:val="0"/>
              <w:marBottom w:val="0"/>
              <w:divBdr>
                <w:top w:val="none" w:sz="0" w:space="0" w:color="auto"/>
                <w:left w:val="none" w:sz="0" w:space="0" w:color="auto"/>
                <w:bottom w:val="none" w:sz="0" w:space="0" w:color="auto"/>
                <w:right w:val="none" w:sz="0" w:space="0" w:color="auto"/>
              </w:divBdr>
              <w:divsChild>
                <w:div w:id="162207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5397829">
      <w:bodyDiv w:val="1"/>
      <w:marLeft w:val="0"/>
      <w:marRight w:val="0"/>
      <w:marTop w:val="0"/>
      <w:marBottom w:val="0"/>
      <w:divBdr>
        <w:top w:val="none" w:sz="0" w:space="0" w:color="auto"/>
        <w:left w:val="none" w:sz="0" w:space="0" w:color="auto"/>
        <w:bottom w:val="none" w:sz="0" w:space="0" w:color="auto"/>
        <w:right w:val="none" w:sz="0" w:space="0" w:color="auto"/>
      </w:divBdr>
      <w:divsChild>
        <w:div w:id="977757928">
          <w:marLeft w:val="0"/>
          <w:marRight w:val="0"/>
          <w:marTop w:val="0"/>
          <w:marBottom w:val="0"/>
          <w:divBdr>
            <w:top w:val="none" w:sz="0" w:space="0" w:color="auto"/>
            <w:left w:val="none" w:sz="0" w:space="0" w:color="auto"/>
            <w:bottom w:val="none" w:sz="0" w:space="0" w:color="auto"/>
            <w:right w:val="none" w:sz="0" w:space="0" w:color="auto"/>
          </w:divBdr>
          <w:divsChild>
            <w:div w:id="2138330420">
              <w:marLeft w:val="0"/>
              <w:marRight w:val="0"/>
              <w:marTop w:val="0"/>
              <w:marBottom w:val="0"/>
              <w:divBdr>
                <w:top w:val="none" w:sz="0" w:space="0" w:color="auto"/>
                <w:left w:val="none" w:sz="0" w:space="0" w:color="auto"/>
                <w:bottom w:val="none" w:sz="0" w:space="0" w:color="auto"/>
                <w:right w:val="none" w:sz="0" w:space="0" w:color="auto"/>
              </w:divBdr>
              <w:divsChild>
                <w:div w:id="22769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8242208">
      <w:bodyDiv w:val="1"/>
      <w:marLeft w:val="0"/>
      <w:marRight w:val="0"/>
      <w:marTop w:val="0"/>
      <w:marBottom w:val="0"/>
      <w:divBdr>
        <w:top w:val="none" w:sz="0" w:space="0" w:color="auto"/>
        <w:left w:val="none" w:sz="0" w:space="0" w:color="auto"/>
        <w:bottom w:val="none" w:sz="0" w:space="0" w:color="auto"/>
        <w:right w:val="none" w:sz="0" w:space="0" w:color="auto"/>
      </w:divBdr>
      <w:divsChild>
        <w:div w:id="1570074808">
          <w:marLeft w:val="0"/>
          <w:marRight w:val="0"/>
          <w:marTop w:val="0"/>
          <w:marBottom w:val="0"/>
          <w:divBdr>
            <w:top w:val="none" w:sz="0" w:space="0" w:color="auto"/>
            <w:left w:val="none" w:sz="0" w:space="0" w:color="auto"/>
            <w:bottom w:val="none" w:sz="0" w:space="0" w:color="auto"/>
            <w:right w:val="none" w:sz="0" w:space="0" w:color="auto"/>
          </w:divBdr>
          <w:divsChild>
            <w:div w:id="1396197597">
              <w:marLeft w:val="0"/>
              <w:marRight w:val="0"/>
              <w:marTop w:val="0"/>
              <w:marBottom w:val="0"/>
              <w:divBdr>
                <w:top w:val="none" w:sz="0" w:space="0" w:color="auto"/>
                <w:left w:val="none" w:sz="0" w:space="0" w:color="auto"/>
                <w:bottom w:val="none" w:sz="0" w:space="0" w:color="auto"/>
                <w:right w:val="none" w:sz="0" w:space="0" w:color="auto"/>
              </w:divBdr>
              <w:divsChild>
                <w:div w:id="60465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7365632">
      <w:bodyDiv w:val="1"/>
      <w:marLeft w:val="0"/>
      <w:marRight w:val="0"/>
      <w:marTop w:val="0"/>
      <w:marBottom w:val="0"/>
      <w:divBdr>
        <w:top w:val="none" w:sz="0" w:space="0" w:color="auto"/>
        <w:left w:val="none" w:sz="0" w:space="0" w:color="auto"/>
        <w:bottom w:val="none" w:sz="0" w:space="0" w:color="auto"/>
        <w:right w:val="none" w:sz="0" w:space="0" w:color="auto"/>
      </w:divBdr>
      <w:divsChild>
        <w:div w:id="550649947">
          <w:marLeft w:val="0"/>
          <w:marRight w:val="0"/>
          <w:marTop w:val="0"/>
          <w:marBottom w:val="0"/>
          <w:divBdr>
            <w:top w:val="none" w:sz="0" w:space="0" w:color="auto"/>
            <w:left w:val="none" w:sz="0" w:space="0" w:color="auto"/>
            <w:bottom w:val="none" w:sz="0" w:space="0" w:color="auto"/>
            <w:right w:val="none" w:sz="0" w:space="0" w:color="auto"/>
          </w:divBdr>
          <w:divsChild>
            <w:div w:id="376198828">
              <w:marLeft w:val="0"/>
              <w:marRight w:val="0"/>
              <w:marTop w:val="0"/>
              <w:marBottom w:val="0"/>
              <w:divBdr>
                <w:top w:val="none" w:sz="0" w:space="0" w:color="auto"/>
                <w:left w:val="none" w:sz="0" w:space="0" w:color="auto"/>
                <w:bottom w:val="none" w:sz="0" w:space="0" w:color="auto"/>
                <w:right w:val="none" w:sz="0" w:space="0" w:color="auto"/>
              </w:divBdr>
              <w:divsChild>
                <w:div w:id="882906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3939821">
      <w:bodyDiv w:val="1"/>
      <w:marLeft w:val="0"/>
      <w:marRight w:val="0"/>
      <w:marTop w:val="0"/>
      <w:marBottom w:val="0"/>
      <w:divBdr>
        <w:top w:val="none" w:sz="0" w:space="0" w:color="auto"/>
        <w:left w:val="none" w:sz="0" w:space="0" w:color="auto"/>
        <w:bottom w:val="none" w:sz="0" w:space="0" w:color="auto"/>
        <w:right w:val="none" w:sz="0" w:space="0" w:color="auto"/>
      </w:divBdr>
      <w:divsChild>
        <w:div w:id="8602999">
          <w:marLeft w:val="0"/>
          <w:marRight w:val="0"/>
          <w:marTop w:val="0"/>
          <w:marBottom w:val="0"/>
          <w:divBdr>
            <w:top w:val="none" w:sz="0" w:space="0" w:color="auto"/>
            <w:left w:val="none" w:sz="0" w:space="0" w:color="auto"/>
            <w:bottom w:val="none" w:sz="0" w:space="0" w:color="auto"/>
            <w:right w:val="none" w:sz="0" w:space="0" w:color="auto"/>
          </w:divBdr>
          <w:divsChild>
            <w:div w:id="1139032168">
              <w:marLeft w:val="0"/>
              <w:marRight w:val="0"/>
              <w:marTop w:val="0"/>
              <w:marBottom w:val="0"/>
              <w:divBdr>
                <w:top w:val="none" w:sz="0" w:space="0" w:color="auto"/>
                <w:left w:val="none" w:sz="0" w:space="0" w:color="auto"/>
                <w:bottom w:val="none" w:sz="0" w:space="0" w:color="auto"/>
                <w:right w:val="none" w:sz="0" w:space="0" w:color="auto"/>
              </w:divBdr>
              <w:divsChild>
                <w:div w:id="1261376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5367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sre/documentos/sentencia-de-la-cidh-sobre-el-caso-mujeres-victimas-de-tortura-sexual-en-atenco-vs-mexico" TargetMode="External"/><Relationship Id="rId2" Type="http://schemas.openxmlformats.org/officeDocument/2006/relationships/hyperlink" Target="http://www.corteidh.or.cr/docs/asuntos/mujer_atenco_fv_19.pdf" TargetMode="External"/><Relationship Id="rId1" Type="http://schemas.openxmlformats.org/officeDocument/2006/relationships/hyperlink" Target="http://www.corteidh.or.cr/docs/casos/articulos/seriec_371_esp.pdf" TargetMode="External"/><Relationship Id="rId5" Type="http://schemas.openxmlformats.org/officeDocument/2006/relationships/hyperlink" Target="https://www.gob.mx/sspc/acciones-yprogramas/sentencias-de-la-corte-interamericana-de-derechos-humanos-201544" TargetMode="External"/><Relationship Id="rId4" Type="http://schemas.openxmlformats.org/officeDocument/2006/relationships/hyperlink" Target="http://www.edomex.gob.mx/sites/edomex.gob.mx/files/files/Sentencia%20Caso%20Atenco_%2028_12_18.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06F222-F83C-3C49-9D07-42EB69DB26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18</Pages>
  <Words>6608</Words>
  <Characters>36350</Characters>
  <Application>Microsoft Office Word</Application>
  <DocSecurity>0</DocSecurity>
  <Lines>302</Lines>
  <Paragraphs>85</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42873</CharactersWithSpaces>
  <SharedDoc>false</SharedDoc>
  <HLinks>
    <vt:vector size="66" baseType="variant">
      <vt:variant>
        <vt:i4>1441848</vt:i4>
      </vt:variant>
      <vt:variant>
        <vt:i4>32</vt:i4>
      </vt:variant>
      <vt:variant>
        <vt:i4>0</vt:i4>
      </vt:variant>
      <vt:variant>
        <vt:i4>5</vt:i4>
      </vt:variant>
      <vt:variant>
        <vt:lpwstr/>
      </vt:variant>
      <vt:variant>
        <vt:lpwstr>_Toc51054693</vt:lpwstr>
      </vt:variant>
      <vt:variant>
        <vt:i4>1376312</vt:i4>
      </vt:variant>
      <vt:variant>
        <vt:i4>26</vt:i4>
      </vt:variant>
      <vt:variant>
        <vt:i4>0</vt:i4>
      </vt:variant>
      <vt:variant>
        <vt:i4>5</vt:i4>
      </vt:variant>
      <vt:variant>
        <vt:lpwstr/>
      </vt:variant>
      <vt:variant>
        <vt:lpwstr>_Toc51054690</vt:lpwstr>
      </vt:variant>
      <vt:variant>
        <vt:i4>1179705</vt:i4>
      </vt:variant>
      <vt:variant>
        <vt:i4>20</vt:i4>
      </vt:variant>
      <vt:variant>
        <vt:i4>0</vt:i4>
      </vt:variant>
      <vt:variant>
        <vt:i4>5</vt:i4>
      </vt:variant>
      <vt:variant>
        <vt:lpwstr/>
      </vt:variant>
      <vt:variant>
        <vt:lpwstr>_Toc51054687</vt:lpwstr>
      </vt:variant>
      <vt:variant>
        <vt:i4>1114169</vt:i4>
      </vt:variant>
      <vt:variant>
        <vt:i4>14</vt:i4>
      </vt:variant>
      <vt:variant>
        <vt:i4>0</vt:i4>
      </vt:variant>
      <vt:variant>
        <vt:i4>5</vt:i4>
      </vt:variant>
      <vt:variant>
        <vt:lpwstr/>
      </vt:variant>
      <vt:variant>
        <vt:lpwstr>_Toc51054684</vt:lpwstr>
      </vt:variant>
      <vt:variant>
        <vt:i4>1441849</vt:i4>
      </vt:variant>
      <vt:variant>
        <vt:i4>8</vt:i4>
      </vt:variant>
      <vt:variant>
        <vt:i4>0</vt:i4>
      </vt:variant>
      <vt:variant>
        <vt:i4>5</vt:i4>
      </vt:variant>
      <vt:variant>
        <vt:lpwstr/>
      </vt:variant>
      <vt:variant>
        <vt:lpwstr>_Toc51054683</vt:lpwstr>
      </vt:variant>
      <vt:variant>
        <vt:i4>1507385</vt:i4>
      </vt:variant>
      <vt:variant>
        <vt:i4>2</vt:i4>
      </vt:variant>
      <vt:variant>
        <vt:i4>0</vt:i4>
      </vt:variant>
      <vt:variant>
        <vt:i4>5</vt:i4>
      </vt:variant>
      <vt:variant>
        <vt:lpwstr/>
      </vt:variant>
      <vt:variant>
        <vt:lpwstr>_Toc51054682</vt:lpwstr>
      </vt:variant>
      <vt:variant>
        <vt:i4>5570591</vt:i4>
      </vt:variant>
      <vt:variant>
        <vt:i4>12</vt:i4>
      </vt:variant>
      <vt:variant>
        <vt:i4>0</vt:i4>
      </vt:variant>
      <vt:variant>
        <vt:i4>5</vt:i4>
      </vt:variant>
      <vt:variant>
        <vt:lpwstr>https://www.gob.mx/sspc/acciones-yprogramas/sentencias-de-la-corte-interamericana-de-derechos-humanos-201544</vt:lpwstr>
      </vt:variant>
      <vt:variant>
        <vt:lpwstr/>
      </vt:variant>
      <vt:variant>
        <vt:i4>3670103</vt:i4>
      </vt:variant>
      <vt:variant>
        <vt:i4>9</vt:i4>
      </vt:variant>
      <vt:variant>
        <vt:i4>0</vt:i4>
      </vt:variant>
      <vt:variant>
        <vt:i4>5</vt:i4>
      </vt:variant>
      <vt:variant>
        <vt:lpwstr>http://www.edomex.gob.mx/sites/edomex.gob.mx/files/files/Sentencia Caso Atenco_ 28_12_18.pdf</vt:lpwstr>
      </vt:variant>
      <vt:variant>
        <vt:lpwstr/>
      </vt:variant>
      <vt:variant>
        <vt:i4>2621563</vt:i4>
      </vt:variant>
      <vt:variant>
        <vt:i4>6</vt:i4>
      </vt:variant>
      <vt:variant>
        <vt:i4>0</vt:i4>
      </vt:variant>
      <vt:variant>
        <vt:i4>5</vt:i4>
      </vt:variant>
      <vt:variant>
        <vt:lpwstr>https://www.gob.mx/sre/documentos/sentencia-de-la-cidh-sobre-el-caso-mujeres-victimas-de-tortura-sexual-en-atenco-vs-mexico</vt:lpwstr>
      </vt:variant>
      <vt:variant>
        <vt:lpwstr/>
      </vt:variant>
      <vt:variant>
        <vt:i4>6553670</vt:i4>
      </vt:variant>
      <vt:variant>
        <vt:i4>3</vt:i4>
      </vt:variant>
      <vt:variant>
        <vt:i4>0</vt:i4>
      </vt:variant>
      <vt:variant>
        <vt:i4>5</vt:i4>
      </vt:variant>
      <vt:variant>
        <vt:lpwstr>http://www.corteidh.or.cr/docs/asuntos/mujer_atenco_fv_19.pdf</vt:lpwstr>
      </vt:variant>
      <vt:variant>
        <vt:lpwstr/>
      </vt:variant>
      <vt:variant>
        <vt:i4>5701718</vt:i4>
      </vt:variant>
      <vt:variant>
        <vt:i4>0</vt:i4>
      </vt:variant>
      <vt:variant>
        <vt:i4>0</vt:i4>
      </vt:variant>
      <vt:variant>
        <vt:i4>5</vt:i4>
      </vt:variant>
      <vt:variant>
        <vt:lpwstr>http://www.corteidh.or.cr/docs/casos/articulos/seriec_371_esp.pdf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Corte IDH</dc:creator>
  <cp:keywords/>
  <cp:lastModifiedBy>Liliana Tojo</cp:lastModifiedBy>
  <cp:revision>2</cp:revision>
  <cp:lastPrinted>2020-12-02T17:42:00Z</cp:lastPrinted>
  <dcterms:created xsi:type="dcterms:W3CDTF">2020-12-21T16:44:00Z</dcterms:created>
  <dcterms:modified xsi:type="dcterms:W3CDTF">2020-12-21T16:44:00Z</dcterms:modified>
</cp:coreProperties>
</file>