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1D3EC" w14:textId="7CADD12A" w:rsidR="005A44EA" w:rsidRDefault="005A44EA" w:rsidP="00B9712F">
      <w:pPr>
        <w:jc w:val="center"/>
        <w:rPr>
          <w:rFonts w:ascii="Verdana" w:hAnsi="Verdana"/>
          <w:b/>
          <w:sz w:val="20"/>
          <w:szCs w:val="20"/>
        </w:rPr>
      </w:pPr>
    </w:p>
    <w:p w14:paraId="333E34F1" w14:textId="27D82871" w:rsidR="0043058C" w:rsidRDefault="0043058C" w:rsidP="00B9712F">
      <w:pPr>
        <w:jc w:val="center"/>
        <w:rPr>
          <w:rFonts w:ascii="Verdana" w:hAnsi="Verdana"/>
          <w:b/>
          <w:sz w:val="20"/>
          <w:szCs w:val="20"/>
        </w:rPr>
      </w:pPr>
    </w:p>
    <w:p w14:paraId="2A942BF4" w14:textId="05E12906" w:rsidR="0043058C" w:rsidRDefault="0043058C" w:rsidP="00B9712F">
      <w:pPr>
        <w:jc w:val="center"/>
        <w:rPr>
          <w:rFonts w:ascii="Verdana" w:hAnsi="Verdana"/>
          <w:b/>
          <w:sz w:val="20"/>
          <w:szCs w:val="20"/>
        </w:rPr>
      </w:pPr>
    </w:p>
    <w:p w14:paraId="465D2B8C" w14:textId="77777777" w:rsidR="0043058C" w:rsidRDefault="0043058C" w:rsidP="00B9712F">
      <w:pPr>
        <w:jc w:val="center"/>
        <w:rPr>
          <w:rFonts w:ascii="Verdana" w:hAnsi="Verdana"/>
          <w:b/>
          <w:sz w:val="20"/>
          <w:szCs w:val="20"/>
        </w:rPr>
      </w:pPr>
    </w:p>
    <w:p w14:paraId="46D493F2" w14:textId="7E8FDE58" w:rsidR="00B9712F" w:rsidRPr="00B9712F" w:rsidRDefault="00B9712F" w:rsidP="00B9712F">
      <w:pPr>
        <w:jc w:val="center"/>
        <w:rPr>
          <w:rFonts w:ascii="Verdana" w:hAnsi="Verdana"/>
          <w:b/>
          <w:sz w:val="20"/>
          <w:szCs w:val="20"/>
        </w:rPr>
      </w:pPr>
      <w:r w:rsidRPr="00B9712F">
        <w:rPr>
          <w:rFonts w:ascii="Verdana" w:hAnsi="Verdana"/>
          <w:b/>
          <w:sz w:val="20"/>
          <w:szCs w:val="20"/>
        </w:rPr>
        <w:t>RESOLUCIÓN DE LA</w:t>
      </w:r>
    </w:p>
    <w:p w14:paraId="643C8221" w14:textId="77777777" w:rsidR="00B9712F" w:rsidRDefault="00B9712F" w:rsidP="00B9712F">
      <w:pPr>
        <w:jc w:val="center"/>
        <w:rPr>
          <w:rFonts w:ascii="Verdana" w:hAnsi="Verdana"/>
          <w:b/>
          <w:sz w:val="20"/>
          <w:szCs w:val="20"/>
        </w:rPr>
      </w:pPr>
      <w:r w:rsidRPr="00B9712F">
        <w:rPr>
          <w:rFonts w:ascii="Verdana" w:hAnsi="Verdana"/>
          <w:b/>
          <w:sz w:val="20"/>
          <w:szCs w:val="20"/>
        </w:rPr>
        <w:t>CORTE INT</w:t>
      </w:r>
      <w:r>
        <w:rPr>
          <w:rFonts w:ascii="Verdana" w:hAnsi="Verdana"/>
          <w:b/>
          <w:sz w:val="20"/>
          <w:szCs w:val="20"/>
        </w:rPr>
        <w:t>ERAMERICANA DE DERECHOS HUMANOS</w:t>
      </w:r>
      <w:r w:rsidR="00146E28" w:rsidRPr="00395069">
        <w:rPr>
          <w:rStyle w:val="Refdenotaalpie"/>
          <w:rFonts w:cs="Arial"/>
          <w:b/>
          <w:bCs/>
          <w:color w:val="000000"/>
          <w:spacing w:val="-4"/>
        </w:rPr>
        <w:footnoteReference w:customMarkFollows="1" w:id="1"/>
        <w:t>*</w:t>
      </w:r>
    </w:p>
    <w:p w14:paraId="00591651" w14:textId="77777777" w:rsidR="000E4913" w:rsidRPr="00B9712F" w:rsidRDefault="000E4913" w:rsidP="00B9712F">
      <w:pPr>
        <w:jc w:val="center"/>
        <w:rPr>
          <w:rFonts w:ascii="Verdana" w:hAnsi="Verdana"/>
          <w:b/>
          <w:sz w:val="20"/>
          <w:szCs w:val="20"/>
        </w:rPr>
      </w:pPr>
    </w:p>
    <w:p w14:paraId="74B9CB3C" w14:textId="1A21927E" w:rsidR="00B9712F" w:rsidRDefault="00B9712F" w:rsidP="00B9712F">
      <w:pPr>
        <w:jc w:val="center"/>
        <w:rPr>
          <w:rFonts w:ascii="Verdana" w:hAnsi="Verdana"/>
          <w:b/>
          <w:sz w:val="20"/>
          <w:szCs w:val="20"/>
        </w:rPr>
      </w:pPr>
      <w:r w:rsidRPr="00B9712F">
        <w:rPr>
          <w:rFonts w:ascii="Verdana" w:hAnsi="Verdana"/>
          <w:b/>
          <w:sz w:val="20"/>
          <w:szCs w:val="20"/>
        </w:rPr>
        <w:t xml:space="preserve">DE </w:t>
      </w:r>
      <w:r w:rsidR="00094A53">
        <w:rPr>
          <w:rFonts w:ascii="Verdana" w:hAnsi="Verdana"/>
          <w:b/>
          <w:sz w:val="20"/>
          <w:szCs w:val="20"/>
        </w:rPr>
        <w:t xml:space="preserve">18 </w:t>
      </w:r>
      <w:r w:rsidRPr="00B9712F">
        <w:rPr>
          <w:rFonts w:ascii="Verdana" w:hAnsi="Verdana"/>
          <w:b/>
          <w:sz w:val="20"/>
          <w:szCs w:val="20"/>
        </w:rPr>
        <w:t>DE NOVIEMBRE DE 20</w:t>
      </w:r>
      <w:r>
        <w:rPr>
          <w:rFonts w:ascii="Verdana" w:hAnsi="Verdana"/>
          <w:b/>
          <w:sz w:val="20"/>
          <w:szCs w:val="20"/>
        </w:rPr>
        <w:t>20</w:t>
      </w:r>
    </w:p>
    <w:p w14:paraId="16B6A447" w14:textId="44C401FE" w:rsidR="000E4913" w:rsidRDefault="000E4913" w:rsidP="00B9712F">
      <w:pPr>
        <w:jc w:val="center"/>
        <w:rPr>
          <w:rFonts w:ascii="Verdana" w:hAnsi="Verdana"/>
          <w:b/>
          <w:sz w:val="20"/>
          <w:szCs w:val="20"/>
        </w:rPr>
      </w:pPr>
    </w:p>
    <w:p w14:paraId="2E8D54E7" w14:textId="77777777" w:rsidR="00B9252E" w:rsidRPr="00B9712F" w:rsidRDefault="00B9252E" w:rsidP="00B9712F">
      <w:pPr>
        <w:jc w:val="center"/>
        <w:rPr>
          <w:rFonts w:ascii="Verdana" w:hAnsi="Verdana"/>
          <w:b/>
          <w:sz w:val="20"/>
          <w:szCs w:val="20"/>
        </w:rPr>
      </w:pPr>
    </w:p>
    <w:p w14:paraId="77C8F3CF" w14:textId="77777777" w:rsidR="00B9712F" w:rsidRDefault="00B9712F" w:rsidP="00B9712F">
      <w:pPr>
        <w:jc w:val="center"/>
        <w:rPr>
          <w:rFonts w:ascii="Verdana" w:hAnsi="Verdana"/>
          <w:b/>
          <w:i/>
          <w:sz w:val="20"/>
          <w:szCs w:val="20"/>
        </w:rPr>
      </w:pPr>
      <w:r w:rsidRPr="000E4913">
        <w:rPr>
          <w:rFonts w:ascii="Verdana" w:hAnsi="Verdana"/>
          <w:b/>
          <w:i/>
          <w:sz w:val="20"/>
          <w:szCs w:val="20"/>
        </w:rPr>
        <w:t>CASO COLINDRES SCHONENBERG VS. EL SALVADOR</w:t>
      </w:r>
    </w:p>
    <w:p w14:paraId="733E38FE" w14:textId="77777777" w:rsidR="000E4913" w:rsidRPr="000E4913" w:rsidRDefault="000E4913" w:rsidP="00B9712F">
      <w:pPr>
        <w:jc w:val="center"/>
        <w:rPr>
          <w:rFonts w:ascii="Verdana" w:hAnsi="Verdana"/>
          <w:b/>
          <w:i/>
          <w:sz w:val="20"/>
          <w:szCs w:val="20"/>
        </w:rPr>
      </w:pPr>
    </w:p>
    <w:p w14:paraId="351D5E96" w14:textId="77777777" w:rsidR="00B9712F" w:rsidRPr="00B9712F" w:rsidRDefault="00B9712F" w:rsidP="00B9712F">
      <w:pPr>
        <w:jc w:val="center"/>
        <w:rPr>
          <w:rFonts w:ascii="Verdana" w:hAnsi="Verdana"/>
          <w:b/>
          <w:sz w:val="20"/>
          <w:szCs w:val="20"/>
        </w:rPr>
      </w:pPr>
      <w:r w:rsidRPr="00B9712F">
        <w:rPr>
          <w:rFonts w:ascii="Verdana" w:hAnsi="Verdana"/>
          <w:b/>
          <w:sz w:val="20"/>
          <w:szCs w:val="20"/>
        </w:rPr>
        <w:t>SUPERVISIÓN DE CUMPLIMIENTO DE SENTENCIA</w:t>
      </w:r>
    </w:p>
    <w:p w14:paraId="42C27323" w14:textId="272020E5" w:rsidR="00B9712F" w:rsidRDefault="00B9712F" w:rsidP="00B9712F">
      <w:pPr>
        <w:rPr>
          <w:rFonts w:ascii="Verdana" w:hAnsi="Verdana"/>
          <w:sz w:val="20"/>
          <w:szCs w:val="20"/>
        </w:rPr>
      </w:pPr>
    </w:p>
    <w:p w14:paraId="169AAC50" w14:textId="2530FFA0" w:rsidR="00B9252E" w:rsidRDefault="00B9252E" w:rsidP="00B9712F">
      <w:pPr>
        <w:rPr>
          <w:rFonts w:ascii="Verdana" w:hAnsi="Verdana"/>
          <w:sz w:val="20"/>
          <w:szCs w:val="20"/>
        </w:rPr>
      </w:pPr>
    </w:p>
    <w:p w14:paraId="63CB5AF0" w14:textId="77777777" w:rsidR="00B9252E" w:rsidRDefault="00B9252E" w:rsidP="00B9712F">
      <w:pPr>
        <w:rPr>
          <w:rFonts w:ascii="Verdana" w:hAnsi="Verdana"/>
          <w:sz w:val="20"/>
          <w:szCs w:val="20"/>
        </w:rPr>
      </w:pPr>
    </w:p>
    <w:p w14:paraId="38C7ECF7" w14:textId="77777777" w:rsidR="00B9712F" w:rsidRPr="000E4913" w:rsidRDefault="00B9712F" w:rsidP="000E4913">
      <w:pPr>
        <w:pStyle w:val="Prrafodelista"/>
        <w:spacing w:before="120" w:after="120"/>
        <w:ind w:left="-142"/>
        <w:jc w:val="both"/>
        <w:rPr>
          <w:rFonts w:ascii="Verdana" w:hAnsi="Verdana" w:cstheme="minorBidi"/>
          <w:b/>
          <w:sz w:val="20"/>
          <w:szCs w:val="20"/>
        </w:rPr>
      </w:pPr>
      <w:r w:rsidRPr="000E4913">
        <w:rPr>
          <w:rFonts w:ascii="Verdana" w:hAnsi="Verdana" w:cstheme="minorBidi"/>
          <w:b/>
          <w:sz w:val="20"/>
          <w:szCs w:val="20"/>
        </w:rPr>
        <w:t>VISTO:</w:t>
      </w:r>
    </w:p>
    <w:p w14:paraId="68DAA51B" w14:textId="766D639C" w:rsidR="000E4913" w:rsidRDefault="00B9712F" w:rsidP="004A58D0">
      <w:pPr>
        <w:pStyle w:val="Prrafodelista"/>
        <w:numPr>
          <w:ilvl w:val="0"/>
          <w:numId w:val="3"/>
        </w:numPr>
        <w:spacing w:before="120" w:after="120"/>
        <w:ind w:left="-142" w:firstLine="0"/>
        <w:jc w:val="both"/>
        <w:rPr>
          <w:rFonts w:ascii="Verdana" w:hAnsi="Verdana" w:cstheme="minorBidi"/>
          <w:sz w:val="20"/>
          <w:szCs w:val="20"/>
        </w:rPr>
      </w:pPr>
      <w:r w:rsidRPr="000E4913">
        <w:rPr>
          <w:rFonts w:ascii="Verdana" w:hAnsi="Verdana" w:cstheme="minorBidi"/>
          <w:sz w:val="20"/>
          <w:szCs w:val="20"/>
        </w:rPr>
        <w:t>La Sentencia de fondo, reparaciones y costas (en adelante “la Sentencia”) dictada por la Corte Interamericana de Derechos Humanos (en adelante “la Corte Interamericana”, “la Corte” o “el Tribunal”) el 4 de febrero de 2019</w:t>
      </w:r>
      <w:r w:rsidR="000E4913">
        <w:rPr>
          <w:rStyle w:val="Refdenotaalpie"/>
          <w:rFonts w:ascii="Verdana" w:hAnsi="Verdana" w:cstheme="minorBidi"/>
          <w:sz w:val="20"/>
          <w:szCs w:val="20"/>
        </w:rPr>
        <w:footnoteReference w:id="2"/>
      </w:r>
      <w:r w:rsidRPr="000E4913">
        <w:rPr>
          <w:rFonts w:ascii="Verdana" w:hAnsi="Verdana" w:cstheme="minorBidi"/>
          <w:sz w:val="20"/>
          <w:szCs w:val="20"/>
        </w:rPr>
        <w:t xml:space="preserve">. </w:t>
      </w:r>
      <w:r w:rsidR="00146E28">
        <w:rPr>
          <w:rFonts w:ascii="Verdana" w:hAnsi="Verdana"/>
          <w:sz w:val="20"/>
          <w:szCs w:val="20"/>
        </w:rPr>
        <w:t>La Corte declaró la responsabilidad internacional de la República de El Salvador (en adelante “el Estado” o “El Salvador</w:t>
      </w:r>
      <w:r w:rsidR="00FA0927">
        <w:rPr>
          <w:rFonts w:ascii="Verdana" w:hAnsi="Verdana"/>
          <w:sz w:val="20"/>
          <w:szCs w:val="20"/>
        </w:rPr>
        <w:t>”</w:t>
      </w:r>
      <w:r w:rsidR="00146E28">
        <w:rPr>
          <w:rFonts w:ascii="Verdana" w:hAnsi="Verdana"/>
          <w:sz w:val="20"/>
          <w:szCs w:val="20"/>
        </w:rPr>
        <w:t xml:space="preserve">) por la violación de los derechos a las garantías judiciales, a la protección judicial, del derecho a permanecer en el cargo en condiciones de igualdad, de las obligaciones de respetar y garantizar derechos y de la obligación de adoptar disposiciones de derecho interno, en perjuicio del señor Eduardo Benjamín Colindres </w:t>
      </w:r>
      <w:proofErr w:type="spellStart"/>
      <w:r w:rsidR="00146E28">
        <w:rPr>
          <w:rFonts w:ascii="Verdana" w:hAnsi="Verdana"/>
          <w:sz w:val="20"/>
          <w:szCs w:val="20"/>
        </w:rPr>
        <w:t>Schonenberg</w:t>
      </w:r>
      <w:proofErr w:type="spellEnd"/>
      <w:r w:rsidR="00146E28">
        <w:rPr>
          <w:rFonts w:ascii="Verdana" w:hAnsi="Verdana"/>
          <w:sz w:val="20"/>
          <w:szCs w:val="20"/>
        </w:rPr>
        <w:t xml:space="preserve">. Dichas violaciones se </w:t>
      </w:r>
      <w:r w:rsidR="000321A3">
        <w:rPr>
          <w:rFonts w:ascii="Verdana" w:hAnsi="Verdana"/>
          <w:sz w:val="20"/>
          <w:szCs w:val="20"/>
        </w:rPr>
        <w:t>produjeron debido</w:t>
      </w:r>
      <w:r w:rsidR="00146E28">
        <w:rPr>
          <w:rFonts w:ascii="Verdana" w:hAnsi="Verdana"/>
          <w:sz w:val="20"/>
          <w:szCs w:val="20"/>
        </w:rPr>
        <w:t xml:space="preserve"> a la destitución arbitraria del señor Colindres </w:t>
      </w:r>
      <w:proofErr w:type="spellStart"/>
      <w:r w:rsidR="00146E28">
        <w:rPr>
          <w:rFonts w:ascii="Verdana" w:hAnsi="Verdana"/>
          <w:sz w:val="20"/>
          <w:szCs w:val="20"/>
        </w:rPr>
        <w:t>Schonenberg</w:t>
      </w:r>
      <w:proofErr w:type="spellEnd"/>
      <w:r w:rsidR="00146E28">
        <w:rPr>
          <w:rFonts w:ascii="Verdana" w:hAnsi="Verdana"/>
          <w:sz w:val="20"/>
          <w:szCs w:val="20"/>
        </w:rPr>
        <w:t xml:space="preserve"> de su cargo de magistrado propietario del Tribunal Supremo Electoral, ocurrida en julio de 1998. </w:t>
      </w:r>
      <w:r w:rsidR="0073299B">
        <w:rPr>
          <w:rFonts w:ascii="Verdana" w:hAnsi="Verdana"/>
          <w:sz w:val="20"/>
          <w:szCs w:val="20"/>
        </w:rPr>
        <w:t>La referida víctima fue removida</w:t>
      </w:r>
      <w:r w:rsidR="00146E28">
        <w:rPr>
          <w:rFonts w:ascii="Verdana" w:hAnsi="Verdana"/>
          <w:sz w:val="20"/>
          <w:szCs w:val="20"/>
        </w:rPr>
        <w:t xml:space="preserve"> de dicho cargo por un órgano incompetente y sin que existiera un procedimiento previamente establecido. </w:t>
      </w:r>
      <w:r w:rsidR="00DA25C7">
        <w:rPr>
          <w:rFonts w:ascii="Verdana" w:hAnsi="Verdana"/>
          <w:sz w:val="20"/>
          <w:szCs w:val="20"/>
        </w:rPr>
        <w:t>T</w:t>
      </w:r>
      <w:r w:rsidR="00146E28">
        <w:rPr>
          <w:rFonts w:ascii="Verdana" w:hAnsi="Verdana"/>
          <w:sz w:val="20"/>
          <w:szCs w:val="20"/>
        </w:rPr>
        <w:t xml:space="preserve">ampoco tuvo acceso a un recurso efectivo para garantizar su protección judicial. Asimismo, este Tribunal determinó que hubo una demora excesiva del proceso civil de daños y perjuicios que planteó el señor Colindres </w:t>
      </w:r>
      <w:proofErr w:type="spellStart"/>
      <w:r w:rsidR="00146E28">
        <w:rPr>
          <w:rFonts w:ascii="Verdana" w:hAnsi="Verdana"/>
          <w:sz w:val="20"/>
          <w:szCs w:val="20"/>
        </w:rPr>
        <w:t>Schonenberg</w:t>
      </w:r>
      <w:proofErr w:type="spellEnd"/>
      <w:r w:rsidR="00146E28">
        <w:rPr>
          <w:rFonts w:ascii="Verdana" w:hAnsi="Verdana"/>
          <w:sz w:val="20"/>
          <w:szCs w:val="20"/>
        </w:rPr>
        <w:t xml:space="preserve"> en virtud de los daños producidos por la primera destitución de su cargo, ocurrida en noviembre de 1996</w:t>
      </w:r>
      <w:r w:rsidR="00146E28">
        <w:rPr>
          <w:rStyle w:val="Refdenotaalpie"/>
          <w:rFonts w:ascii="Verdana" w:hAnsi="Verdana"/>
          <w:sz w:val="20"/>
          <w:szCs w:val="20"/>
        </w:rPr>
        <w:footnoteReference w:id="3"/>
      </w:r>
      <w:r w:rsidR="00146E28">
        <w:rPr>
          <w:rFonts w:ascii="Verdana" w:hAnsi="Verdana"/>
          <w:sz w:val="20"/>
          <w:szCs w:val="20"/>
        </w:rPr>
        <w:t>. La Corte estableció que su Sentencia constituye por sí misma una forma de reparación y, además, ordenó al Estado determinadas medidas de reparación (</w:t>
      </w:r>
      <w:r w:rsidR="00146E28">
        <w:rPr>
          <w:rFonts w:ascii="Verdana" w:hAnsi="Verdana"/>
          <w:i/>
          <w:sz w:val="20"/>
          <w:szCs w:val="20"/>
        </w:rPr>
        <w:t xml:space="preserve">infra </w:t>
      </w:r>
      <w:r w:rsidR="00146E28">
        <w:rPr>
          <w:rFonts w:ascii="Verdana" w:hAnsi="Verdana"/>
          <w:sz w:val="20"/>
          <w:szCs w:val="20"/>
        </w:rPr>
        <w:t>Considerando</w:t>
      </w:r>
      <w:r w:rsidR="004F518F">
        <w:rPr>
          <w:rFonts w:ascii="Verdana" w:hAnsi="Verdana"/>
          <w:sz w:val="20"/>
          <w:szCs w:val="20"/>
        </w:rPr>
        <w:t xml:space="preserve"> 1</w:t>
      </w:r>
      <w:r w:rsidR="00146E28">
        <w:rPr>
          <w:rFonts w:ascii="Verdana" w:hAnsi="Verdana"/>
          <w:sz w:val="20"/>
          <w:szCs w:val="20"/>
        </w:rPr>
        <w:t>).</w:t>
      </w:r>
    </w:p>
    <w:p w14:paraId="26FCF3CC" w14:textId="1DBD1FC6" w:rsidR="00B9712F" w:rsidRDefault="000E4913" w:rsidP="000E4913">
      <w:pPr>
        <w:pStyle w:val="Prrafodelista"/>
        <w:numPr>
          <w:ilvl w:val="0"/>
          <w:numId w:val="3"/>
        </w:numPr>
        <w:spacing w:before="120" w:after="120"/>
        <w:ind w:left="-142" w:firstLine="0"/>
        <w:jc w:val="both"/>
        <w:rPr>
          <w:rFonts w:ascii="Verdana" w:hAnsi="Verdana" w:cstheme="minorBidi"/>
          <w:sz w:val="20"/>
          <w:szCs w:val="20"/>
        </w:rPr>
      </w:pPr>
      <w:r w:rsidRPr="000E4913">
        <w:rPr>
          <w:rFonts w:ascii="Verdana" w:hAnsi="Verdana" w:cstheme="minorBidi"/>
          <w:sz w:val="20"/>
          <w:szCs w:val="20"/>
        </w:rPr>
        <w:lastRenderedPageBreak/>
        <w:t>La Resolución</w:t>
      </w:r>
      <w:r w:rsidR="00146E28">
        <w:rPr>
          <w:rFonts w:ascii="Verdana" w:hAnsi="Verdana" w:cstheme="minorBidi"/>
          <w:sz w:val="20"/>
          <w:szCs w:val="20"/>
        </w:rPr>
        <w:t xml:space="preserve"> de supervisión de cumplimiento de Sentencia</w:t>
      </w:r>
      <w:r w:rsidRPr="000E4913">
        <w:rPr>
          <w:rFonts w:ascii="Verdana" w:hAnsi="Verdana" w:cstheme="minorBidi"/>
          <w:sz w:val="20"/>
          <w:szCs w:val="20"/>
        </w:rPr>
        <w:t xml:space="preserve"> emitida por la Corte el 22 de noviembre de 2019</w:t>
      </w:r>
      <w:r w:rsidR="007F76B1">
        <w:rPr>
          <w:rStyle w:val="Refdenotaalpie"/>
          <w:rFonts w:ascii="Verdana" w:hAnsi="Verdana" w:cstheme="minorBidi"/>
          <w:sz w:val="20"/>
          <w:szCs w:val="20"/>
        </w:rPr>
        <w:footnoteReference w:id="4"/>
      </w:r>
      <w:r>
        <w:rPr>
          <w:rFonts w:ascii="Verdana" w:hAnsi="Verdana" w:cstheme="minorBidi"/>
          <w:sz w:val="20"/>
          <w:szCs w:val="20"/>
        </w:rPr>
        <w:t>.</w:t>
      </w:r>
    </w:p>
    <w:p w14:paraId="51219DAB" w14:textId="694D7C4A" w:rsidR="000E4913" w:rsidRDefault="008F153B" w:rsidP="000E4913">
      <w:pPr>
        <w:pStyle w:val="Prrafodelista"/>
        <w:numPr>
          <w:ilvl w:val="0"/>
          <w:numId w:val="3"/>
        </w:numPr>
        <w:spacing w:before="120" w:after="120"/>
        <w:ind w:left="-142" w:firstLine="0"/>
        <w:jc w:val="both"/>
        <w:rPr>
          <w:rFonts w:ascii="Verdana" w:hAnsi="Verdana" w:cstheme="minorBidi"/>
          <w:sz w:val="20"/>
          <w:szCs w:val="20"/>
        </w:rPr>
      </w:pPr>
      <w:r>
        <w:rPr>
          <w:rFonts w:ascii="Verdana" w:hAnsi="Verdana" w:cstheme="minorBidi"/>
          <w:sz w:val="20"/>
          <w:szCs w:val="20"/>
        </w:rPr>
        <w:t>Los informes presentados por el Estado e</w:t>
      </w:r>
      <w:r w:rsidR="00DC2134">
        <w:rPr>
          <w:rFonts w:ascii="Verdana" w:hAnsi="Verdana" w:cstheme="minorBidi"/>
          <w:sz w:val="20"/>
          <w:szCs w:val="20"/>
        </w:rPr>
        <w:t xml:space="preserve">ntre </w:t>
      </w:r>
      <w:r w:rsidR="003F2A0D">
        <w:rPr>
          <w:rFonts w:ascii="Verdana" w:hAnsi="Verdana" w:cstheme="minorBidi"/>
          <w:sz w:val="20"/>
          <w:szCs w:val="20"/>
        </w:rPr>
        <w:t xml:space="preserve">febrero </w:t>
      </w:r>
      <w:r w:rsidR="00DC2134">
        <w:rPr>
          <w:rFonts w:ascii="Verdana" w:hAnsi="Verdana" w:cstheme="minorBidi"/>
          <w:sz w:val="20"/>
          <w:szCs w:val="20"/>
        </w:rPr>
        <w:t>y octubre de 2020.</w:t>
      </w:r>
      <w:r w:rsidR="003F2A0D">
        <w:rPr>
          <w:rFonts w:ascii="Verdana" w:hAnsi="Verdana" w:cstheme="minorBidi"/>
          <w:sz w:val="20"/>
          <w:szCs w:val="20"/>
        </w:rPr>
        <w:t xml:space="preserve"> </w:t>
      </w:r>
    </w:p>
    <w:p w14:paraId="11AA8AAE" w14:textId="10528FD5" w:rsidR="008F153B" w:rsidRDefault="008F153B" w:rsidP="000E4913">
      <w:pPr>
        <w:pStyle w:val="Prrafodelista"/>
        <w:numPr>
          <w:ilvl w:val="0"/>
          <w:numId w:val="3"/>
        </w:numPr>
        <w:spacing w:before="120" w:after="120"/>
        <w:ind w:left="-142" w:firstLine="0"/>
        <w:jc w:val="both"/>
        <w:rPr>
          <w:rFonts w:ascii="Verdana" w:hAnsi="Verdana" w:cstheme="minorBidi"/>
          <w:sz w:val="20"/>
          <w:szCs w:val="20"/>
        </w:rPr>
      </w:pPr>
      <w:r>
        <w:rPr>
          <w:rFonts w:ascii="Verdana" w:hAnsi="Verdana" w:cstheme="minorBidi"/>
          <w:sz w:val="20"/>
          <w:szCs w:val="20"/>
        </w:rPr>
        <w:t xml:space="preserve">Los escritos </w:t>
      </w:r>
      <w:r w:rsidR="00146E28">
        <w:rPr>
          <w:rFonts w:ascii="Verdana" w:hAnsi="Verdana" w:cstheme="minorBidi"/>
          <w:sz w:val="20"/>
          <w:szCs w:val="20"/>
        </w:rPr>
        <w:t xml:space="preserve">de observaciones </w:t>
      </w:r>
      <w:r w:rsidR="001154BE">
        <w:rPr>
          <w:rFonts w:ascii="Verdana" w:hAnsi="Verdana" w:cstheme="minorBidi"/>
          <w:sz w:val="20"/>
          <w:szCs w:val="20"/>
        </w:rPr>
        <w:t xml:space="preserve">presentados por </w:t>
      </w:r>
      <w:r w:rsidR="00911146">
        <w:rPr>
          <w:rFonts w:ascii="Verdana" w:hAnsi="Verdana" w:cstheme="minorBidi"/>
          <w:sz w:val="20"/>
          <w:szCs w:val="20"/>
        </w:rPr>
        <w:t xml:space="preserve">los representantes </w:t>
      </w:r>
      <w:r w:rsidR="001154BE">
        <w:rPr>
          <w:rFonts w:ascii="Verdana" w:hAnsi="Verdana" w:cstheme="minorBidi"/>
          <w:sz w:val="20"/>
          <w:szCs w:val="20"/>
        </w:rPr>
        <w:t xml:space="preserve">de la víctima </w:t>
      </w:r>
      <w:r w:rsidR="00911146">
        <w:rPr>
          <w:rFonts w:ascii="Verdana" w:hAnsi="Verdana" w:cstheme="minorBidi"/>
          <w:sz w:val="20"/>
          <w:szCs w:val="20"/>
        </w:rPr>
        <w:t>(en adelante “los representantes</w:t>
      </w:r>
      <w:r w:rsidR="00DA25C7">
        <w:rPr>
          <w:rFonts w:ascii="Verdana" w:hAnsi="Verdana" w:cstheme="minorBidi"/>
          <w:sz w:val="20"/>
          <w:szCs w:val="20"/>
        </w:rPr>
        <w:t>”</w:t>
      </w:r>
      <w:r w:rsidR="00911146">
        <w:rPr>
          <w:rFonts w:ascii="Verdana" w:hAnsi="Verdana" w:cstheme="minorBidi"/>
          <w:sz w:val="20"/>
          <w:szCs w:val="20"/>
        </w:rPr>
        <w:t>)</w:t>
      </w:r>
      <w:r w:rsidR="00911146">
        <w:rPr>
          <w:rStyle w:val="Refdenotaalpie"/>
          <w:rFonts w:ascii="Verdana" w:hAnsi="Verdana"/>
          <w:sz w:val="20"/>
          <w:szCs w:val="20"/>
        </w:rPr>
        <w:footnoteReference w:id="5"/>
      </w:r>
      <w:r w:rsidR="00911146">
        <w:rPr>
          <w:rFonts w:ascii="Verdana" w:hAnsi="Verdana" w:cstheme="minorBidi"/>
          <w:sz w:val="20"/>
          <w:szCs w:val="20"/>
        </w:rPr>
        <w:t xml:space="preserve"> </w:t>
      </w:r>
      <w:r w:rsidR="001154BE">
        <w:rPr>
          <w:rFonts w:ascii="Verdana" w:hAnsi="Verdana" w:cstheme="minorBidi"/>
          <w:sz w:val="20"/>
          <w:szCs w:val="20"/>
        </w:rPr>
        <w:t xml:space="preserve">entre </w:t>
      </w:r>
      <w:r w:rsidR="003F2A0D">
        <w:rPr>
          <w:rFonts w:ascii="Verdana" w:hAnsi="Verdana" w:cstheme="minorBidi"/>
          <w:sz w:val="20"/>
          <w:szCs w:val="20"/>
        </w:rPr>
        <w:t xml:space="preserve">agosto </w:t>
      </w:r>
      <w:r w:rsidR="001154BE">
        <w:rPr>
          <w:rFonts w:ascii="Verdana" w:hAnsi="Verdana" w:cstheme="minorBidi"/>
          <w:sz w:val="20"/>
          <w:szCs w:val="20"/>
        </w:rPr>
        <w:t xml:space="preserve">y </w:t>
      </w:r>
      <w:r w:rsidR="00A00A38">
        <w:rPr>
          <w:rFonts w:ascii="Verdana" w:hAnsi="Verdana" w:cstheme="minorBidi"/>
          <w:sz w:val="20"/>
          <w:szCs w:val="20"/>
        </w:rPr>
        <w:t xml:space="preserve">noviembre </w:t>
      </w:r>
      <w:r w:rsidR="001154BE">
        <w:rPr>
          <w:rFonts w:ascii="Verdana" w:hAnsi="Verdana" w:cstheme="minorBidi"/>
          <w:sz w:val="20"/>
          <w:szCs w:val="20"/>
        </w:rPr>
        <w:t>de 2020.</w:t>
      </w:r>
      <w:r>
        <w:rPr>
          <w:rFonts w:ascii="Verdana" w:hAnsi="Verdana" w:cstheme="minorBidi"/>
          <w:sz w:val="20"/>
          <w:szCs w:val="20"/>
        </w:rPr>
        <w:t xml:space="preserve"> </w:t>
      </w:r>
    </w:p>
    <w:p w14:paraId="5696FBB8" w14:textId="4C31932F" w:rsidR="00DC2134" w:rsidRDefault="00911146" w:rsidP="000E4913">
      <w:pPr>
        <w:pStyle w:val="Prrafodelista"/>
        <w:numPr>
          <w:ilvl w:val="0"/>
          <w:numId w:val="3"/>
        </w:numPr>
        <w:spacing w:before="120" w:after="120"/>
        <w:ind w:left="-142" w:firstLine="0"/>
        <w:jc w:val="both"/>
        <w:rPr>
          <w:rFonts w:ascii="Verdana" w:hAnsi="Verdana" w:cstheme="minorBidi"/>
          <w:sz w:val="20"/>
          <w:szCs w:val="20"/>
        </w:rPr>
      </w:pPr>
      <w:r>
        <w:rPr>
          <w:rFonts w:ascii="Verdana" w:hAnsi="Verdana" w:cstheme="minorBidi"/>
          <w:sz w:val="20"/>
          <w:szCs w:val="20"/>
        </w:rPr>
        <w:t xml:space="preserve">El escrito de </w:t>
      </w:r>
      <w:r w:rsidR="00DC2134">
        <w:rPr>
          <w:rFonts w:ascii="Verdana" w:hAnsi="Verdana" w:cstheme="minorBidi"/>
          <w:sz w:val="20"/>
          <w:szCs w:val="20"/>
        </w:rPr>
        <w:t>observaciones presentad</w:t>
      </w:r>
      <w:r>
        <w:rPr>
          <w:rFonts w:ascii="Verdana" w:hAnsi="Verdana" w:cstheme="minorBidi"/>
          <w:sz w:val="20"/>
          <w:szCs w:val="20"/>
        </w:rPr>
        <w:t>o</w:t>
      </w:r>
      <w:r w:rsidR="00DC2134">
        <w:rPr>
          <w:rFonts w:ascii="Verdana" w:hAnsi="Verdana" w:cstheme="minorBidi"/>
          <w:sz w:val="20"/>
          <w:szCs w:val="20"/>
        </w:rPr>
        <w:t xml:space="preserve"> por la Comisión </w:t>
      </w:r>
      <w:r>
        <w:rPr>
          <w:rFonts w:ascii="Verdana" w:hAnsi="Verdana" w:cstheme="minorBidi"/>
          <w:sz w:val="20"/>
          <w:szCs w:val="20"/>
        </w:rPr>
        <w:t xml:space="preserve">Interamericana de Derechos Humanos </w:t>
      </w:r>
      <w:r w:rsidR="0073299B">
        <w:rPr>
          <w:rFonts w:ascii="Verdana" w:hAnsi="Verdana" w:cstheme="minorBidi"/>
          <w:sz w:val="20"/>
          <w:szCs w:val="20"/>
        </w:rPr>
        <w:t xml:space="preserve">(en adelante “la Comisión Interamericana”) </w:t>
      </w:r>
      <w:r w:rsidR="00DC2134">
        <w:rPr>
          <w:rFonts w:ascii="Verdana" w:hAnsi="Verdana" w:cstheme="minorBidi"/>
          <w:sz w:val="20"/>
          <w:szCs w:val="20"/>
        </w:rPr>
        <w:t>e</w:t>
      </w:r>
      <w:r w:rsidR="00432B6D">
        <w:rPr>
          <w:rFonts w:ascii="Verdana" w:hAnsi="Verdana" w:cstheme="minorBidi"/>
          <w:sz w:val="20"/>
          <w:szCs w:val="20"/>
        </w:rPr>
        <w:t>l 20 de jun</w:t>
      </w:r>
      <w:r w:rsidR="00DC2134">
        <w:rPr>
          <w:rFonts w:ascii="Verdana" w:hAnsi="Verdana" w:cstheme="minorBidi"/>
          <w:sz w:val="20"/>
          <w:szCs w:val="20"/>
        </w:rPr>
        <w:t>io de 2020.</w:t>
      </w:r>
    </w:p>
    <w:p w14:paraId="794398C2" w14:textId="77777777" w:rsidR="007F76B1" w:rsidRDefault="007F76B1" w:rsidP="007F76B1">
      <w:pPr>
        <w:spacing w:before="120" w:after="120"/>
        <w:ind w:left="-142"/>
        <w:jc w:val="both"/>
        <w:rPr>
          <w:rFonts w:ascii="Verdana" w:hAnsi="Verdana" w:cstheme="minorBidi"/>
          <w:sz w:val="20"/>
          <w:szCs w:val="20"/>
        </w:rPr>
      </w:pPr>
    </w:p>
    <w:p w14:paraId="31483F4A" w14:textId="71DEE28A" w:rsidR="007F76B1" w:rsidRDefault="007F76B1" w:rsidP="007F76B1">
      <w:pPr>
        <w:pStyle w:val="Prrafodelista"/>
        <w:spacing w:before="120" w:after="120"/>
        <w:ind w:left="-142"/>
        <w:jc w:val="both"/>
        <w:rPr>
          <w:rFonts w:ascii="Verdana" w:hAnsi="Verdana"/>
          <w:b/>
          <w:sz w:val="20"/>
        </w:rPr>
      </w:pPr>
      <w:r w:rsidRPr="0046619D">
        <w:rPr>
          <w:rFonts w:ascii="Verdana" w:hAnsi="Verdana"/>
          <w:b/>
          <w:sz w:val="20"/>
        </w:rPr>
        <w:t xml:space="preserve">CONSIDERANDO QUE: </w:t>
      </w:r>
    </w:p>
    <w:p w14:paraId="0EA5C484" w14:textId="77777777" w:rsidR="0043058C" w:rsidRPr="0043058C" w:rsidRDefault="0043058C" w:rsidP="007F76B1">
      <w:pPr>
        <w:pStyle w:val="Prrafodelista"/>
        <w:spacing w:before="120" w:after="120"/>
        <w:ind w:left="-142"/>
        <w:jc w:val="both"/>
        <w:rPr>
          <w:rFonts w:ascii="Verdana" w:hAnsi="Verdana"/>
          <w:b/>
          <w:sz w:val="2"/>
          <w:szCs w:val="10"/>
        </w:rPr>
      </w:pPr>
    </w:p>
    <w:p w14:paraId="3BB0DA9E" w14:textId="4FECF71A" w:rsidR="00FF42B8" w:rsidRDefault="007F76B1" w:rsidP="006A4C43">
      <w:pPr>
        <w:pStyle w:val="Prrafodelista"/>
        <w:numPr>
          <w:ilvl w:val="0"/>
          <w:numId w:val="6"/>
        </w:numPr>
        <w:spacing w:before="120" w:after="120"/>
        <w:ind w:left="-142" w:firstLine="0"/>
        <w:jc w:val="both"/>
        <w:rPr>
          <w:rFonts w:ascii="Verdana" w:hAnsi="Verdana" w:cstheme="minorBidi"/>
          <w:sz w:val="20"/>
          <w:szCs w:val="20"/>
        </w:rPr>
      </w:pPr>
      <w:r w:rsidRPr="00FF42B8">
        <w:rPr>
          <w:rFonts w:ascii="Verdana" w:hAnsi="Verdana" w:cstheme="minorBidi"/>
          <w:sz w:val="20"/>
          <w:szCs w:val="20"/>
        </w:rPr>
        <w:t>En el ejercicio de su función jurisdiccional de supervisar el cumplimiento de sus decisiones</w:t>
      </w:r>
      <w:r>
        <w:rPr>
          <w:rStyle w:val="Refdenotaalpie"/>
          <w:rFonts w:ascii="Verdana" w:hAnsi="Verdana" w:cstheme="minorBidi"/>
          <w:sz w:val="20"/>
          <w:szCs w:val="20"/>
        </w:rPr>
        <w:footnoteReference w:id="6"/>
      </w:r>
      <w:r w:rsidRPr="00FF42B8">
        <w:rPr>
          <w:rFonts w:ascii="Verdana" w:hAnsi="Verdana" w:cstheme="minorBidi"/>
          <w:sz w:val="20"/>
          <w:szCs w:val="20"/>
        </w:rPr>
        <w:t xml:space="preserve">, la Corte ha venido supervisando la ejecución de la Sentencia emitida en el </w:t>
      </w:r>
      <w:r w:rsidR="00FF42B8" w:rsidRPr="00FF42B8">
        <w:rPr>
          <w:rFonts w:ascii="Verdana" w:hAnsi="Verdana" w:cstheme="minorBidi"/>
          <w:sz w:val="20"/>
          <w:szCs w:val="20"/>
        </w:rPr>
        <w:t>presente caso en</w:t>
      </w:r>
      <w:r w:rsidR="006B3E10">
        <w:rPr>
          <w:rFonts w:ascii="Verdana" w:hAnsi="Verdana" w:cstheme="minorBidi"/>
          <w:sz w:val="20"/>
          <w:szCs w:val="20"/>
        </w:rPr>
        <w:t xml:space="preserve"> febrero de</w:t>
      </w:r>
      <w:r w:rsidR="00FF42B8" w:rsidRPr="00FF42B8">
        <w:rPr>
          <w:rFonts w:ascii="Verdana" w:hAnsi="Verdana" w:cstheme="minorBidi"/>
          <w:sz w:val="20"/>
          <w:szCs w:val="20"/>
        </w:rPr>
        <w:t xml:space="preserve"> 2019</w:t>
      </w:r>
      <w:r w:rsidRPr="00FF42B8">
        <w:rPr>
          <w:rFonts w:ascii="Verdana" w:hAnsi="Verdana" w:cstheme="minorBidi"/>
          <w:sz w:val="20"/>
          <w:szCs w:val="20"/>
        </w:rPr>
        <w:t xml:space="preserve"> (</w:t>
      </w:r>
      <w:r w:rsidRPr="0048077F">
        <w:rPr>
          <w:rFonts w:ascii="Verdana" w:hAnsi="Verdana" w:cstheme="minorBidi"/>
          <w:i/>
          <w:sz w:val="20"/>
          <w:szCs w:val="20"/>
        </w:rPr>
        <w:t>supra</w:t>
      </w:r>
      <w:r w:rsidRPr="00FF42B8">
        <w:rPr>
          <w:rFonts w:ascii="Verdana" w:hAnsi="Verdana" w:cstheme="minorBidi"/>
          <w:sz w:val="20"/>
          <w:szCs w:val="20"/>
        </w:rPr>
        <w:t xml:space="preserve"> Visto 1). En dicho fallo</w:t>
      </w:r>
      <w:r w:rsidR="0073299B">
        <w:rPr>
          <w:rFonts w:ascii="Verdana" w:hAnsi="Verdana" w:cstheme="minorBidi"/>
          <w:sz w:val="20"/>
          <w:szCs w:val="20"/>
        </w:rPr>
        <w:t>,</w:t>
      </w:r>
      <w:r w:rsidRPr="00FF42B8">
        <w:rPr>
          <w:rFonts w:ascii="Verdana" w:hAnsi="Verdana" w:cstheme="minorBidi"/>
          <w:sz w:val="20"/>
          <w:szCs w:val="20"/>
        </w:rPr>
        <w:t xml:space="preserve"> la Corte dispuso </w:t>
      </w:r>
      <w:r w:rsidR="00911146">
        <w:rPr>
          <w:rFonts w:ascii="Verdana" w:hAnsi="Verdana" w:cstheme="minorBidi"/>
          <w:sz w:val="20"/>
          <w:szCs w:val="20"/>
        </w:rPr>
        <w:t>dos</w:t>
      </w:r>
      <w:r w:rsidR="00911146" w:rsidRPr="00FF42B8">
        <w:rPr>
          <w:rFonts w:ascii="Verdana" w:hAnsi="Verdana" w:cstheme="minorBidi"/>
          <w:sz w:val="20"/>
          <w:szCs w:val="20"/>
        </w:rPr>
        <w:t xml:space="preserve"> </w:t>
      </w:r>
      <w:r w:rsidRPr="00FF42B8">
        <w:rPr>
          <w:rFonts w:ascii="Verdana" w:hAnsi="Verdana" w:cstheme="minorBidi"/>
          <w:sz w:val="20"/>
          <w:szCs w:val="20"/>
        </w:rPr>
        <w:t xml:space="preserve">medidas de reparación. El Tribunal </w:t>
      </w:r>
      <w:r w:rsidR="0048077F">
        <w:rPr>
          <w:rFonts w:ascii="Verdana" w:hAnsi="Verdana" w:cstheme="minorBidi"/>
          <w:sz w:val="20"/>
          <w:szCs w:val="20"/>
        </w:rPr>
        <w:t>emitió</w:t>
      </w:r>
      <w:r w:rsidRPr="00FF42B8">
        <w:rPr>
          <w:rFonts w:ascii="Verdana" w:hAnsi="Verdana" w:cstheme="minorBidi"/>
          <w:sz w:val="20"/>
          <w:szCs w:val="20"/>
        </w:rPr>
        <w:t xml:space="preserve"> </w:t>
      </w:r>
      <w:r w:rsidR="00FF42B8" w:rsidRPr="00FF42B8">
        <w:rPr>
          <w:rFonts w:ascii="Verdana" w:hAnsi="Verdana" w:cstheme="minorBidi"/>
          <w:sz w:val="20"/>
          <w:szCs w:val="20"/>
        </w:rPr>
        <w:t>una resolución</w:t>
      </w:r>
      <w:r w:rsidRPr="00FF42B8">
        <w:rPr>
          <w:rFonts w:ascii="Verdana" w:hAnsi="Verdana" w:cstheme="minorBidi"/>
          <w:sz w:val="20"/>
          <w:szCs w:val="20"/>
        </w:rPr>
        <w:t xml:space="preserve"> de supervisión </w:t>
      </w:r>
      <w:r w:rsidR="00437F7E">
        <w:rPr>
          <w:rFonts w:ascii="Verdana" w:hAnsi="Verdana" w:cstheme="minorBidi"/>
          <w:sz w:val="20"/>
          <w:szCs w:val="20"/>
        </w:rPr>
        <w:t xml:space="preserve">de cumplimiento </w:t>
      </w:r>
      <w:r w:rsidRPr="00FF42B8">
        <w:rPr>
          <w:rFonts w:ascii="Verdana" w:hAnsi="Verdana" w:cstheme="minorBidi"/>
          <w:sz w:val="20"/>
          <w:szCs w:val="20"/>
        </w:rPr>
        <w:t xml:space="preserve">en </w:t>
      </w:r>
      <w:r w:rsidR="006B3E10">
        <w:rPr>
          <w:rFonts w:ascii="Verdana" w:hAnsi="Verdana" w:cstheme="minorBidi"/>
          <w:sz w:val="20"/>
          <w:szCs w:val="20"/>
        </w:rPr>
        <w:t xml:space="preserve">noviembre de </w:t>
      </w:r>
      <w:r w:rsidR="00FF42B8" w:rsidRPr="00FF42B8">
        <w:rPr>
          <w:rFonts w:ascii="Verdana" w:hAnsi="Verdana" w:cstheme="minorBidi"/>
          <w:sz w:val="20"/>
          <w:szCs w:val="20"/>
        </w:rPr>
        <w:t>2019 (</w:t>
      </w:r>
      <w:r w:rsidR="00FF42B8" w:rsidRPr="00FF42B8">
        <w:rPr>
          <w:rFonts w:ascii="Verdana" w:hAnsi="Verdana" w:cstheme="minorBidi"/>
          <w:i/>
          <w:sz w:val="20"/>
          <w:szCs w:val="20"/>
        </w:rPr>
        <w:t>supra</w:t>
      </w:r>
      <w:r w:rsidR="00FF42B8" w:rsidRPr="00FF42B8">
        <w:rPr>
          <w:rFonts w:ascii="Verdana" w:hAnsi="Verdana" w:cstheme="minorBidi"/>
          <w:sz w:val="20"/>
          <w:szCs w:val="20"/>
        </w:rPr>
        <w:t xml:space="preserve"> Visto 2), en la cual</w:t>
      </w:r>
      <w:r w:rsidRPr="00FF42B8">
        <w:rPr>
          <w:rFonts w:ascii="Verdana" w:hAnsi="Verdana" w:cstheme="minorBidi"/>
          <w:sz w:val="20"/>
          <w:szCs w:val="20"/>
        </w:rPr>
        <w:t xml:space="preserve"> declaró que </w:t>
      </w:r>
      <w:r w:rsidR="00FF42B8" w:rsidRPr="00FF42B8">
        <w:rPr>
          <w:rFonts w:ascii="Verdana" w:hAnsi="Verdana" w:cstheme="minorBidi"/>
          <w:sz w:val="20"/>
          <w:szCs w:val="20"/>
        </w:rPr>
        <w:t>El Salvador dio cumplimiento total a las medidas relativas a la</w:t>
      </w:r>
      <w:r w:rsidR="00FF42B8">
        <w:rPr>
          <w:rFonts w:ascii="Verdana" w:hAnsi="Verdana" w:cstheme="minorBidi"/>
          <w:sz w:val="20"/>
          <w:szCs w:val="20"/>
        </w:rPr>
        <w:t xml:space="preserve"> </w:t>
      </w:r>
      <w:r w:rsidR="00FF42B8" w:rsidRPr="00FF42B8">
        <w:rPr>
          <w:rFonts w:ascii="Verdana" w:hAnsi="Verdana" w:cstheme="minorBidi"/>
          <w:sz w:val="20"/>
          <w:szCs w:val="20"/>
        </w:rPr>
        <w:t xml:space="preserve">publicación y difusión de la Sentencia y </w:t>
      </w:r>
      <w:r w:rsidR="0073299B">
        <w:rPr>
          <w:rFonts w:ascii="Verdana" w:hAnsi="Verdana" w:cstheme="minorBidi"/>
          <w:sz w:val="20"/>
          <w:szCs w:val="20"/>
        </w:rPr>
        <w:t xml:space="preserve">de </w:t>
      </w:r>
      <w:r w:rsidR="00FF42B8" w:rsidRPr="00FF42B8">
        <w:rPr>
          <w:rFonts w:ascii="Verdana" w:hAnsi="Verdana" w:cstheme="minorBidi"/>
          <w:sz w:val="20"/>
          <w:szCs w:val="20"/>
        </w:rPr>
        <w:t>su resumen oficial</w:t>
      </w:r>
      <w:r w:rsidR="0048077F">
        <w:rPr>
          <w:rStyle w:val="Refdenotaalpie"/>
          <w:rFonts w:ascii="Verdana" w:hAnsi="Verdana" w:cstheme="minorBidi"/>
          <w:sz w:val="20"/>
          <w:szCs w:val="20"/>
        </w:rPr>
        <w:footnoteReference w:id="7"/>
      </w:r>
      <w:r w:rsidR="0035233E">
        <w:rPr>
          <w:rFonts w:ascii="Verdana" w:hAnsi="Verdana" w:cstheme="minorBidi"/>
          <w:sz w:val="20"/>
          <w:szCs w:val="20"/>
        </w:rPr>
        <w:t xml:space="preserve">, y que la medida relativa a </w:t>
      </w:r>
      <w:r w:rsidR="0035233E" w:rsidRPr="0009217C">
        <w:rPr>
          <w:rFonts w:ascii="Verdana" w:hAnsi="Verdana"/>
          <w:sz w:val="20"/>
          <w:szCs w:val="20"/>
        </w:rPr>
        <w:t>pagar a la víctima las cantidades fijadas en la Sentencia por concepto de indemnizaci</w:t>
      </w:r>
      <w:r w:rsidR="00277834">
        <w:rPr>
          <w:rFonts w:ascii="Verdana" w:hAnsi="Verdana"/>
          <w:sz w:val="20"/>
          <w:szCs w:val="20"/>
        </w:rPr>
        <w:t>ones</w:t>
      </w:r>
      <w:r w:rsidR="0035233E">
        <w:rPr>
          <w:rFonts w:ascii="Verdana" w:hAnsi="Verdana"/>
          <w:sz w:val="20"/>
          <w:szCs w:val="20"/>
        </w:rPr>
        <w:t xml:space="preserve"> por daño</w:t>
      </w:r>
      <w:r w:rsidR="00277834">
        <w:rPr>
          <w:rFonts w:ascii="Verdana" w:hAnsi="Verdana"/>
          <w:sz w:val="20"/>
          <w:szCs w:val="20"/>
        </w:rPr>
        <w:t>s</w:t>
      </w:r>
      <w:r w:rsidR="0035233E">
        <w:rPr>
          <w:rFonts w:ascii="Verdana" w:hAnsi="Verdana"/>
          <w:sz w:val="20"/>
          <w:szCs w:val="20"/>
        </w:rPr>
        <w:t xml:space="preserve"> material e inmaterial</w:t>
      </w:r>
      <w:r w:rsidR="00DA25C7">
        <w:rPr>
          <w:rFonts w:ascii="Verdana" w:hAnsi="Verdana"/>
          <w:sz w:val="20"/>
          <w:szCs w:val="20"/>
        </w:rPr>
        <w:t xml:space="preserve"> </w:t>
      </w:r>
      <w:r w:rsidR="00A00A38">
        <w:rPr>
          <w:rFonts w:ascii="Verdana" w:hAnsi="Verdana"/>
          <w:sz w:val="20"/>
          <w:szCs w:val="20"/>
        </w:rPr>
        <w:t>sería valorada en una posterior resolución</w:t>
      </w:r>
      <w:r w:rsidR="00FF42B8">
        <w:rPr>
          <w:rFonts w:ascii="Verdana" w:hAnsi="Verdana" w:cstheme="minorBidi"/>
          <w:sz w:val="20"/>
          <w:szCs w:val="20"/>
        </w:rPr>
        <w:t xml:space="preserve">. </w:t>
      </w:r>
      <w:r w:rsidR="00277834">
        <w:rPr>
          <w:rFonts w:ascii="Verdana" w:hAnsi="Verdana" w:cstheme="minorBidi"/>
          <w:sz w:val="20"/>
          <w:szCs w:val="20"/>
        </w:rPr>
        <w:t xml:space="preserve">En la presente </w:t>
      </w:r>
      <w:r w:rsidR="00B9252E">
        <w:rPr>
          <w:rFonts w:ascii="Verdana" w:hAnsi="Verdana" w:cstheme="minorBidi"/>
          <w:sz w:val="20"/>
          <w:szCs w:val="20"/>
        </w:rPr>
        <w:t>R</w:t>
      </w:r>
      <w:r w:rsidR="00437F7E">
        <w:rPr>
          <w:rFonts w:ascii="Verdana" w:hAnsi="Verdana" w:cstheme="minorBidi"/>
          <w:sz w:val="20"/>
          <w:szCs w:val="20"/>
        </w:rPr>
        <w:t xml:space="preserve">esolución </w:t>
      </w:r>
      <w:r w:rsidR="00277834">
        <w:rPr>
          <w:rFonts w:ascii="Verdana" w:hAnsi="Verdana" w:cstheme="minorBidi"/>
          <w:sz w:val="20"/>
          <w:szCs w:val="20"/>
        </w:rPr>
        <w:t xml:space="preserve">la Corte valorará la información relativa al cumplimiento de esa reparación. </w:t>
      </w:r>
    </w:p>
    <w:p w14:paraId="0ABFA5FC" w14:textId="3F8D0789" w:rsidR="00FF42B8" w:rsidRPr="00675A46" w:rsidRDefault="00FF42B8" w:rsidP="006A4C43">
      <w:pPr>
        <w:pStyle w:val="Prrafodelista"/>
        <w:numPr>
          <w:ilvl w:val="0"/>
          <w:numId w:val="6"/>
        </w:numPr>
        <w:spacing w:before="120" w:after="120"/>
        <w:ind w:left="-142" w:firstLine="0"/>
        <w:jc w:val="both"/>
        <w:rPr>
          <w:rFonts w:ascii="Verdana" w:hAnsi="Verdana" w:cstheme="minorBidi"/>
          <w:sz w:val="20"/>
          <w:szCs w:val="20"/>
        </w:rPr>
      </w:pPr>
      <w:r w:rsidRPr="00FF42B8">
        <w:rPr>
          <w:rFonts w:ascii="Verdana" w:hAnsi="Verdana"/>
          <w:sz w:val="20"/>
          <w:szCs w:val="20"/>
        </w:rPr>
        <w:t xml:space="preserve">De conformidad con lo establecido en el artículo 68.1 de la Convención Americana sobre Derechos Humanos, “[l]os Estados Partes en la Convención se comprometen a cumplir la decisión de la Corte en todo caso en que sean partes”. Esta obligación incluye el deber del Estado de informar a la Corte sobre las medidas adoptadas para cumplir cada uno de los puntos ordenados, lo cual es fundamental para evaluar el estado de cumplimiento </w:t>
      </w:r>
      <w:r>
        <w:rPr>
          <w:rFonts w:ascii="Verdana" w:hAnsi="Verdana"/>
          <w:sz w:val="20"/>
          <w:szCs w:val="20"/>
        </w:rPr>
        <w:t>de la Sentencia en su conjunto</w:t>
      </w:r>
      <w:r>
        <w:rPr>
          <w:rStyle w:val="Refdenotaalpie"/>
          <w:rFonts w:ascii="Verdana" w:hAnsi="Verdana"/>
          <w:sz w:val="20"/>
          <w:szCs w:val="20"/>
        </w:rPr>
        <w:footnoteReference w:id="8"/>
      </w:r>
      <w:r w:rsidRPr="00FF42B8">
        <w:rPr>
          <w:rFonts w:ascii="Verdana" w:hAnsi="Verdana"/>
          <w:sz w:val="20"/>
          <w:szCs w:val="20"/>
        </w:rPr>
        <w:t>. Los Estados Parte en la Convención deben garantizar el cumplimiento de las disposiciones convencionales y sus efectos propios (</w:t>
      </w:r>
      <w:proofErr w:type="spellStart"/>
      <w:r w:rsidRPr="00FF42B8">
        <w:rPr>
          <w:rFonts w:ascii="Verdana" w:hAnsi="Verdana"/>
          <w:i/>
          <w:sz w:val="20"/>
          <w:szCs w:val="20"/>
        </w:rPr>
        <w:t>effet</w:t>
      </w:r>
      <w:proofErr w:type="spellEnd"/>
      <w:r w:rsidRPr="00FF42B8">
        <w:rPr>
          <w:rFonts w:ascii="Verdana" w:hAnsi="Verdana"/>
          <w:i/>
          <w:sz w:val="20"/>
          <w:szCs w:val="20"/>
        </w:rPr>
        <w:t xml:space="preserve"> </w:t>
      </w:r>
      <w:proofErr w:type="spellStart"/>
      <w:r w:rsidRPr="00FF42B8">
        <w:rPr>
          <w:rFonts w:ascii="Verdana" w:hAnsi="Verdana"/>
          <w:i/>
          <w:sz w:val="20"/>
          <w:szCs w:val="20"/>
        </w:rPr>
        <w:t>utile</w:t>
      </w:r>
      <w:proofErr w:type="spellEnd"/>
      <w:r w:rsidRPr="00FF42B8">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w:t>
      </w:r>
      <w:r>
        <w:rPr>
          <w:rFonts w:ascii="Verdana" w:hAnsi="Verdana"/>
          <w:sz w:val="20"/>
          <w:szCs w:val="20"/>
        </w:rPr>
        <w:t>ados de derechos humanos</w:t>
      </w:r>
      <w:r w:rsidR="006B3E10">
        <w:rPr>
          <w:rStyle w:val="Refdenotaalpie"/>
          <w:rFonts w:ascii="Verdana" w:hAnsi="Verdana"/>
          <w:sz w:val="20"/>
          <w:szCs w:val="20"/>
        </w:rPr>
        <w:footnoteReference w:id="9"/>
      </w:r>
      <w:r>
        <w:rPr>
          <w:rFonts w:ascii="Verdana" w:hAnsi="Verdana"/>
          <w:sz w:val="20"/>
          <w:szCs w:val="20"/>
        </w:rPr>
        <w:t>.</w:t>
      </w:r>
    </w:p>
    <w:p w14:paraId="2066E292" w14:textId="7D6FC635" w:rsidR="00675A46" w:rsidRDefault="00675A46" w:rsidP="00675A46">
      <w:pPr>
        <w:pStyle w:val="Prrafodelista"/>
        <w:spacing w:before="120" w:after="120"/>
        <w:ind w:left="-142"/>
        <w:jc w:val="both"/>
        <w:rPr>
          <w:rFonts w:ascii="Verdana" w:hAnsi="Verdana" w:cstheme="minorBidi"/>
          <w:sz w:val="20"/>
          <w:szCs w:val="20"/>
        </w:rPr>
      </w:pPr>
    </w:p>
    <w:p w14:paraId="4413D45E" w14:textId="7AC81C76" w:rsidR="0043058C" w:rsidRDefault="0043058C" w:rsidP="00675A46">
      <w:pPr>
        <w:pStyle w:val="Prrafodelista"/>
        <w:spacing w:before="120" w:after="120"/>
        <w:ind w:left="-142"/>
        <w:jc w:val="both"/>
        <w:rPr>
          <w:rFonts w:ascii="Verdana" w:hAnsi="Verdana" w:cstheme="minorBidi"/>
          <w:sz w:val="20"/>
          <w:szCs w:val="20"/>
        </w:rPr>
      </w:pPr>
    </w:p>
    <w:p w14:paraId="69F8C4BD" w14:textId="4AC4D206" w:rsidR="0043058C" w:rsidRDefault="0043058C" w:rsidP="00675A46">
      <w:pPr>
        <w:pStyle w:val="Prrafodelista"/>
        <w:spacing w:before="120" w:after="120"/>
        <w:ind w:left="-142"/>
        <w:jc w:val="both"/>
        <w:rPr>
          <w:rFonts w:ascii="Verdana" w:hAnsi="Verdana" w:cstheme="minorBidi"/>
          <w:sz w:val="20"/>
          <w:szCs w:val="20"/>
        </w:rPr>
      </w:pPr>
    </w:p>
    <w:p w14:paraId="7BBA1328" w14:textId="77777777" w:rsidR="008D03A8" w:rsidRPr="0043058C" w:rsidRDefault="008D03A8" w:rsidP="00675A46">
      <w:pPr>
        <w:pStyle w:val="Prrafodelista"/>
        <w:spacing w:before="120" w:after="120"/>
        <w:ind w:left="-142"/>
        <w:jc w:val="both"/>
        <w:rPr>
          <w:rFonts w:ascii="Verdana" w:hAnsi="Verdana" w:cstheme="minorBidi"/>
          <w:sz w:val="20"/>
          <w:szCs w:val="20"/>
        </w:rPr>
      </w:pPr>
    </w:p>
    <w:p w14:paraId="02F1B8DF" w14:textId="4A89A427" w:rsidR="00FF42B8" w:rsidRPr="00FF42B8" w:rsidRDefault="00FF42B8" w:rsidP="00FF42B8">
      <w:pPr>
        <w:pStyle w:val="Prrafodelista"/>
        <w:numPr>
          <w:ilvl w:val="0"/>
          <w:numId w:val="5"/>
        </w:numPr>
        <w:spacing w:before="120" w:after="120"/>
        <w:jc w:val="both"/>
        <w:rPr>
          <w:rFonts w:ascii="Verdana" w:hAnsi="Verdana" w:cstheme="minorBidi"/>
          <w:b/>
          <w:i/>
          <w:sz w:val="20"/>
          <w:szCs w:val="20"/>
        </w:rPr>
      </w:pPr>
      <w:r w:rsidRPr="00FF42B8">
        <w:rPr>
          <w:rFonts w:ascii="Verdana" w:hAnsi="Verdana"/>
          <w:b/>
          <w:i/>
          <w:sz w:val="20"/>
          <w:szCs w:val="20"/>
        </w:rPr>
        <w:t xml:space="preserve">Medida ordenada por la Corte </w:t>
      </w:r>
    </w:p>
    <w:p w14:paraId="0E4DFDAF" w14:textId="7B904790" w:rsidR="00B16011" w:rsidRPr="0073299B" w:rsidRDefault="00B16011" w:rsidP="006A4C43">
      <w:pPr>
        <w:pStyle w:val="Prrafodelista"/>
        <w:numPr>
          <w:ilvl w:val="0"/>
          <w:numId w:val="6"/>
        </w:numPr>
        <w:spacing w:before="120" w:after="120"/>
        <w:ind w:left="-142" w:firstLine="0"/>
        <w:jc w:val="both"/>
        <w:rPr>
          <w:rFonts w:ascii="Verdana" w:hAnsi="Verdana" w:cstheme="minorBidi"/>
          <w:sz w:val="20"/>
          <w:szCs w:val="20"/>
        </w:rPr>
      </w:pPr>
      <w:r>
        <w:rPr>
          <w:rFonts w:ascii="Verdana" w:hAnsi="Verdana" w:cstheme="minorBidi"/>
          <w:sz w:val="20"/>
          <w:szCs w:val="20"/>
        </w:rPr>
        <w:t xml:space="preserve">En el punto </w:t>
      </w:r>
      <w:r w:rsidR="00AE3A47">
        <w:rPr>
          <w:rFonts w:ascii="Verdana" w:hAnsi="Verdana" w:cstheme="minorBidi"/>
          <w:sz w:val="20"/>
          <w:szCs w:val="20"/>
        </w:rPr>
        <w:t xml:space="preserve">resolutivo séptimo </w:t>
      </w:r>
      <w:r>
        <w:rPr>
          <w:rFonts w:ascii="Verdana" w:hAnsi="Verdana" w:cstheme="minorBidi"/>
          <w:sz w:val="20"/>
          <w:szCs w:val="20"/>
        </w:rPr>
        <w:t xml:space="preserve">de la Sentencia, la Corte dispuso que el Estado </w:t>
      </w:r>
      <w:r w:rsidR="00675A46">
        <w:rPr>
          <w:rFonts w:ascii="Verdana" w:hAnsi="Verdana"/>
          <w:sz w:val="20"/>
          <w:szCs w:val="20"/>
        </w:rPr>
        <w:t>debía</w:t>
      </w:r>
      <w:r w:rsidR="00A00A38">
        <w:rPr>
          <w:rFonts w:ascii="Verdana" w:hAnsi="Verdana"/>
          <w:sz w:val="20"/>
          <w:szCs w:val="20"/>
        </w:rPr>
        <w:t xml:space="preserve"> pagar</w:t>
      </w:r>
      <w:r w:rsidR="003E3697">
        <w:rPr>
          <w:rFonts w:ascii="Verdana" w:hAnsi="Verdana"/>
          <w:sz w:val="20"/>
          <w:szCs w:val="20"/>
        </w:rPr>
        <w:t xml:space="preserve"> al señor Colindres </w:t>
      </w:r>
      <w:proofErr w:type="spellStart"/>
      <w:r w:rsidR="003E3697">
        <w:rPr>
          <w:rFonts w:ascii="Verdana" w:hAnsi="Verdana"/>
          <w:sz w:val="20"/>
          <w:szCs w:val="20"/>
        </w:rPr>
        <w:t>Schonenberg</w:t>
      </w:r>
      <w:proofErr w:type="spellEnd"/>
      <w:r w:rsidR="00A00A38">
        <w:rPr>
          <w:rFonts w:ascii="Verdana" w:hAnsi="Verdana"/>
          <w:sz w:val="20"/>
          <w:szCs w:val="20"/>
        </w:rPr>
        <w:t xml:space="preserve"> las cantidades fijadas en los párrafos 142 y 147 de la Sentencia, por concepto de indemnizaci</w:t>
      </w:r>
      <w:r w:rsidR="00DA25C7">
        <w:rPr>
          <w:rFonts w:ascii="Verdana" w:hAnsi="Verdana"/>
          <w:sz w:val="20"/>
          <w:szCs w:val="20"/>
        </w:rPr>
        <w:t>ones</w:t>
      </w:r>
      <w:r w:rsidR="00A00A38">
        <w:rPr>
          <w:rFonts w:ascii="Verdana" w:hAnsi="Verdana"/>
          <w:sz w:val="20"/>
          <w:szCs w:val="20"/>
        </w:rPr>
        <w:t xml:space="preserve"> por daño</w:t>
      </w:r>
      <w:r w:rsidR="00DA25C7">
        <w:rPr>
          <w:rFonts w:ascii="Verdana" w:hAnsi="Verdana"/>
          <w:sz w:val="20"/>
          <w:szCs w:val="20"/>
        </w:rPr>
        <w:t>s</w:t>
      </w:r>
      <w:r w:rsidR="00A00A38">
        <w:rPr>
          <w:rFonts w:ascii="Verdana" w:hAnsi="Verdana"/>
          <w:sz w:val="20"/>
          <w:szCs w:val="20"/>
        </w:rPr>
        <w:t xml:space="preserve"> material e inmaterial</w:t>
      </w:r>
      <w:r w:rsidR="00A00A38">
        <w:rPr>
          <w:rStyle w:val="Refdenotaalpie"/>
          <w:rFonts w:ascii="Verdana" w:hAnsi="Verdana"/>
          <w:sz w:val="20"/>
          <w:szCs w:val="20"/>
        </w:rPr>
        <w:footnoteReference w:id="10"/>
      </w:r>
      <w:r w:rsidR="00A00A38">
        <w:rPr>
          <w:rFonts w:ascii="Verdana" w:hAnsi="Verdana"/>
          <w:sz w:val="20"/>
          <w:szCs w:val="20"/>
        </w:rPr>
        <w:t>, en los términos de los referidos párrafos y de los párrafos 150 a 154</w:t>
      </w:r>
      <w:r w:rsidR="0073299B">
        <w:rPr>
          <w:rFonts w:ascii="Verdana" w:hAnsi="Verdana"/>
          <w:sz w:val="20"/>
          <w:szCs w:val="20"/>
        </w:rPr>
        <w:t xml:space="preserve">, en los cuales se </w:t>
      </w:r>
      <w:r w:rsidR="00A00A38">
        <w:rPr>
          <w:rFonts w:ascii="Verdana" w:hAnsi="Verdana"/>
          <w:sz w:val="20"/>
          <w:szCs w:val="20"/>
        </w:rPr>
        <w:t>establece la modalidad de cumplimiento de los pagos ordenados en la Sentencia</w:t>
      </w:r>
      <w:r w:rsidRPr="00B16011">
        <w:rPr>
          <w:rFonts w:ascii="Verdana" w:hAnsi="Verdana"/>
          <w:sz w:val="20"/>
          <w:szCs w:val="20"/>
        </w:rPr>
        <w:t>.</w:t>
      </w:r>
    </w:p>
    <w:p w14:paraId="016EF567" w14:textId="77777777" w:rsidR="0073299B" w:rsidRPr="0043058C" w:rsidRDefault="0073299B" w:rsidP="0073299B">
      <w:pPr>
        <w:pStyle w:val="Prrafodelista"/>
        <w:spacing w:before="120" w:after="120"/>
        <w:ind w:left="-142"/>
        <w:jc w:val="both"/>
        <w:rPr>
          <w:rFonts w:ascii="Verdana" w:hAnsi="Verdana" w:cstheme="minorBidi"/>
          <w:sz w:val="20"/>
          <w:szCs w:val="20"/>
        </w:rPr>
      </w:pPr>
    </w:p>
    <w:p w14:paraId="3D6037FF" w14:textId="2A794503" w:rsidR="001154BE" w:rsidRPr="002F0DCC" w:rsidRDefault="00225948" w:rsidP="002F0DCC">
      <w:pPr>
        <w:pStyle w:val="Prrafodelista"/>
        <w:numPr>
          <w:ilvl w:val="0"/>
          <w:numId w:val="5"/>
        </w:numPr>
        <w:spacing w:before="120" w:after="120"/>
        <w:jc w:val="both"/>
        <w:rPr>
          <w:rFonts w:ascii="Verdana" w:hAnsi="Verdana" w:cstheme="minorBidi"/>
          <w:b/>
          <w:i/>
          <w:sz w:val="16"/>
          <w:szCs w:val="20"/>
        </w:rPr>
      </w:pPr>
      <w:r w:rsidRPr="00225948">
        <w:rPr>
          <w:rFonts w:ascii="Verdana" w:hAnsi="Verdana"/>
          <w:b/>
          <w:i/>
          <w:sz w:val="20"/>
        </w:rPr>
        <w:t>Consideraciones de la Corte</w:t>
      </w:r>
    </w:p>
    <w:p w14:paraId="2F50FF90" w14:textId="72FF6DED" w:rsidR="001154BE" w:rsidRPr="006A4C43" w:rsidRDefault="0048077F" w:rsidP="006A4C43">
      <w:pPr>
        <w:pStyle w:val="Prrafodelista"/>
        <w:numPr>
          <w:ilvl w:val="0"/>
          <w:numId w:val="6"/>
        </w:numPr>
        <w:spacing w:before="120" w:after="120"/>
        <w:ind w:left="-142" w:firstLine="0"/>
        <w:jc w:val="both"/>
        <w:rPr>
          <w:rFonts w:ascii="Verdana" w:hAnsi="Verdana" w:cstheme="minorBidi"/>
          <w:sz w:val="20"/>
          <w:szCs w:val="20"/>
        </w:rPr>
      </w:pPr>
      <w:r w:rsidRPr="0048077F">
        <w:rPr>
          <w:rFonts w:ascii="Verdana" w:hAnsi="Verdana"/>
          <w:sz w:val="20"/>
          <w:szCs w:val="20"/>
        </w:rPr>
        <w:t xml:space="preserve">Tomando en cuenta la información y </w:t>
      </w:r>
      <w:r w:rsidR="003E3697">
        <w:rPr>
          <w:rFonts w:ascii="Verdana" w:hAnsi="Verdana"/>
          <w:sz w:val="20"/>
          <w:szCs w:val="20"/>
        </w:rPr>
        <w:t>comprobantes</w:t>
      </w:r>
      <w:r w:rsidR="003E3697" w:rsidRPr="0048077F">
        <w:rPr>
          <w:rFonts w:ascii="Verdana" w:hAnsi="Verdana"/>
          <w:sz w:val="20"/>
          <w:szCs w:val="20"/>
        </w:rPr>
        <w:t xml:space="preserve"> </w:t>
      </w:r>
      <w:r w:rsidRPr="0048077F">
        <w:rPr>
          <w:rFonts w:ascii="Verdana" w:hAnsi="Verdana"/>
          <w:sz w:val="20"/>
          <w:szCs w:val="20"/>
        </w:rPr>
        <w:t>aportados por el Estado</w:t>
      </w:r>
      <w:r w:rsidR="00DA25C7">
        <w:rPr>
          <w:rStyle w:val="Refdenotaalpie"/>
          <w:rFonts w:ascii="Verdana" w:hAnsi="Verdana"/>
          <w:sz w:val="20"/>
          <w:szCs w:val="20"/>
        </w:rPr>
        <w:footnoteReference w:id="11"/>
      </w:r>
      <w:r w:rsidRPr="0048077F">
        <w:rPr>
          <w:rFonts w:ascii="Verdana" w:hAnsi="Verdana"/>
          <w:sz w:val="20"/>
          <w:szCs w:val="20"/>
        </w:rPr>
        <w:t xml:space="preserve">, así como </w:t>
      </w:r>
      <w:r w:rsidR="00DA25C7">
        <w:rPr>
          <w:rFonts w:ascii="Verdana" w:hAnsi="Verdana"/>
          <w:sz w:val="20"/>
          <w:szCs w:val="20"/>
        </w:rPr>
        <w:t xml:space="preserve">lo confirmado por </w:t>
      </w:r>
      <w:r w:rsidR="002F0DCC">
        <w:rPr>
          <w:rFonts w:ascii="Verdana" w:hAnsi="Verdana"/>
          <w:sz w:val="20"/>
          <w:szCs w:val="20"/>
        </w:rPr>
        <w:t>lo</w:t>
      </w:r>
      <w:r w:rsidRPr="0048077F">
        <w:rPr>
          <w:rFonts w:ascii="Verdana" w:hAnsi="Verdana"/>
          <w:sz w:val="20"/>
          <w:szCs w:val="20"/>
        </w:rPr>
        <w:t>s representantes</w:t>
      </w:r>
      <w:r w:rsidR="00DA25C7">
        <w:rPr>
          <w:rFonts w:ascii="Verdana" w:hAnsi="Verdana"/>
          <w:sz w:val="20"/>
          <w:szCs w:val="20"/>
        </w:rPr>
        <w:t xml:space="preserve"> en sus observaciones</w:t>
      </w:r>
      <w:r w:rsidR="00E20433">
        <w:rPr>
          <w:rStyle w:val="Refdenotaalpie"/>
          <w:rFonts w:ascii="Verdana" w:hAnsi="Verdana"/>
          <w:sz w:val="20"/>
          <w:szCs w:val="20"/>
        </w:rPr>
        <w:footnoteReference w:id="12"/>
      </w:r>
      <w:r w:rsidR="00DA25C7">
        <w:rPr>
          <w:rFonts w:ascii="Verdana" w:hAnsi="Verdana"/>
          <w:sz w:val="20"/>
          <w:szCs w:val="20"/>
        </w:rPr>
        <w:t xml:space="preserve">, la Corte constata que el 16 de octubre de 2020 El Salvador pagó a la víctima las cantidades dispuestas en la Sentencia por concepto de indemnizaciones de daños material e inmaterial. </w:t>
      </w:r>
      <w:r w:rsidR="00E20433">
        <w:rPr>
          <w:rFonts w:ascii="Verdana" w:hAnsi="Verdana"/>
          <w:sz w:val="20"/>
          <w:szCs w:val="20"/>
        </w:rPr>
        <w:t xml:space="preserve">Los representantes </w:t>
      </w:r>
      <w:r w:rsidR="001F5D4E">
        <w:rPr>
          <w:rFonts w:ascii="Verdana" w:hAnsi="Verdana"/>
          <w:sz w:val="20"/>
          <w:szCs w:val="20"/>
        </w:rPr>
        <w:t xml:space="preserve">de la víctima </w:t>
      </w:r>
      <w:r w:rsidR="00E20433">
        <w:rPr>
          <w:rFonts w:ascii="Verdana" w:hAnsi="Verdana"/>
          <w:sz w:val="20"/>
          <w:szCs w:val="20"/>
        </w:rPr>
        <w:t xml:space="preserve">expresaron que </w:t>
      </w:r>
      <w:r w:rsidR="00E20433" w:rsidRPr="00E20433">
        <w:rPr>
          <w:rFonts w:ascii="Verdana" w:hAnsi="Verdana"/>
          <w:sz w:val="20"/>
          <w:szCs w:val="20"/>
        </w:rPr>
        <w:t>“</w:t>
      </w:r>
      <w:r w:rsidR="00E20433" w:rsidRPr="00E20433">
        <w:rPr>
          <w:rFonts w:ascii="Verdana" w:hAnsi="Verdana" w:cstheme="minorBidi"/>
          <w:sz w:val="20"/>
          <w:szCs w:val="20"/>
        </w:rPr>
        <w:t>se tiene por satisfechas a su totalidad las obligaciones establecidas en la [S]</w:t>
      </w:r>
      <w:proofErr w:type="spellStart"/>
      <w:r w:rsidR="00E20433" w:rsidRPr="00E20433">
        <w:rPr>
          <w:rFonts w:ascii="Verdana" w:hAnsi="Verdana" w:cstheme="minorBidi"/>
          <w:sz w:val="20"/>
          <w:szCs w:val="20"/>
        </w:rPr>
        <w:t>entencia</w:t>
      </w:r>
      <w:proofErr w:type="spellEnd"/>
      <w:r w:rsidR="00E20433" w:rsidRPr="00E20433">
        <w:rPr>
          <w:rFonts w:ascii="Verdana" w:hAnsi="Verdana" w:cstheme="minorBidi"/>
          <w:sz w:val="20"/>
          <w:szCs w:val="20"/>
        </w:rPr>
        <w:t xml:space="preserve">”. </w:t>
      </w:r>
      <w:r w:rsidR="00DA25C7">
        <w:rPr>
          <w:rFonts w:ascii="Verdana" w:hAnsi="Verdana"/>
          <w:sz w:val="20"/>
          <w:szCs w:val="20"/>
        </w:rPr>
        <w:t xml:space="preserve">Por consiguiente, </w:t>
      </w:r>
      <w:r w:rsidRPr="0048077F">
        <w:rPr>
          <w:rFonts w:ascii="Verdana" w:hAnsi="Verdana"/>
          <w:sz w:val="20"/>
          <w:szCs w:val="20"/>
        </w:rPr>
        <w:t xml:space="preserve">la Corte </w:t>
      </w:r>
      <w:r w:rsidR="006A4C43" w:rsidRPr="006A4C43">
        <w:rPr>
          <w:rFonts w:ascii="Verdana" w:hAnsi="Verdana"/>
          <w:sz w:val="20"/>
        </w:rPr>
        <w:t xml:space="preserve">considera que </w:t>
      </w:r>
      <w:r w:rsidR="002F0DCC">
        <w:rPr>
          <w:rFonts w:ascii="Verdana" w:hAnsi="Verdana"/>
          <w:sz w:val="20"/>
        </w:rPr>
        <w:t>el Estado</w:t>
      </w:r>
      <w:r w:rsidR="006A4C43" w:rsidRPr="006A4C43">
        <w:rPr>
          <w:rFonts w:ascii="Verdana" w:hAnsi="Verdana"/>
          <w:sz w:val="20"/>
        </w:rPr>
        <w:t xml:space="preserve"> ha dado cumplimiento total a la medida de reparación o</w:t>
      </w:r>
      <w:r w:rsidR="006A4C43">
        <w:rPr>
          <w:rFonts w:ascii="Verdana" w:hAnsi="Verdana"/>
          <w:sz w:val="20"/>
        </w:rPr>
        <w:t xml:space="preserve">rdenada en el punto resolutivo </w:t>
      </w:r>
      <w:r w:rsidR="003E3697">
        <w:rPr>
          <w:rFonts w:ascii="Verdana" w:hAnsi="Verdana"/>
          <w:sz w:val="20"/>
        </w:rPr>
        <w:t>séptimo</w:t>
      </w:r>
      <w:r w:rsidR="003E3697" w:rsidRPr="006A4C43">
        <w:rPr>
          <w:rFonts w:ascii="Verdana" w:hAnsi="Verdana"/>
          <w:sz w:val="20"/>
        </w:rPr>
        <w:t xml:space="preserve"> </w:t>
      </w:r>
      <w:r w:rsidR="006A4C43" w:rsidRPr="006A4C43">
        <w:rPr>
          <w:rFonts w:ascii="Verdana" w:hAnsi="Verdana"/>
          <w:sz w:val="20"/>
        </w:rPr>
        <w:t>de la Sentencia.</w:t>
      </w:r>
      <w:r w:rsidR="003E3697">
        <w:rPr>
          <w:rFonts w:ascii="Verdana" w:hAnsi="Verdana"/>
          <w:sz w:val="20"/>
        </w:rPr>
        <w:t xml:space="preserve"> </w:t>
      </w:r>
    </w:p>
    <w:p w14:paraId="370EC01F" w14:textId="77777777" w:rsidR="008D03A8" w:rsidRPr="00692C8A" w:rsidRDefault="008D03A8" w:rsidP="00692C8A">
      <w:pPr>
        <w:spacing w:before="120" w:after="120"/>
        <w:jc w:val="both"/>
        <w:rPr>
          <w:rFonts w:ascii="Verdana" w:hAnsi="Verdana"/>
          <w:b/>
          <w:sz w:val="20"/>
          <w:szCs w:val="20"/>
        </w:rPr>
      </w:pPr>
    </w:p>
    <w:p w14:paraId="51690D8E" w14:textId="1DF59685" w:rsidR="006A4C43" w:rsidRPr="006A4C43" w:rsidRDefault="006A4C43" w:rsidP="008124D0">
      <w:pPr>
        <w:pStyle w:val="Prrafodelista"/>
        <w:spacing w:before="120" w:after="120"/>
        <w:ind w:left="-142"/>
        <w:jc w:val="both"/>
        <w:rPr>
          <w:rFonts w:ascii="Verdana" w:hAnsi="Verdana"/>
          <w:b/>
          <w:sz w:val="20"/>
        </w:rPr>
      </w:pPr>
      <w:r w:rsidRPr="006A4C43">
        <w:rPr>
          <w:rFonts w:ascii="Verdana" w:hAnsi="Verdana"/>
          <w:b/>
          <w:sz w:val="20"/>
        </w:rPr>
        <w:t xml:space="preserve">POR TANTO: </w:t>
      </w:r>
    </w:p>
    <w:p w14:paraId="4639DD0C" w14:textId="77777777" w:rsidR="006A4C43" w:rsidRPr="006A4C43" w:rsidRDefault="006A4C43" w:rsidP="008124D0">
      <w:pPr>
        <w:pStyle w:val="Prrafodelista"/>
        <w:spacing w:before="120" w:after="120"/>
        <w:ind w:left="-142"/>
        <w:jc w:val="both"/>
        <w:rPr>
          <w:rFonts w:ascii="Verdana" w:hAnsi="Verdana"/>
          <w:b/>
          <w:sz w:val="20"/>
        </w:rPr>
      </w:pPr>
      <w:r w:rsidRPr="006A4C43">
        <w:rPr>
          <w:rFonts w:ascii="Verdana" w:hAnsi="Verdana"/>
          <w:b/>
          <w:sz w:val="20"/>
        </w:rPr>
        <w:t xml:space="preserve">LA CORTE INTERAMERICANA DE DERECHOS HUMANOS, </w:t>
      </w:r>
    </w:p>
    <w:p w14:paraId="34E1F4BE" w14:textId="77777777" w:rsidR="006A4C43" w:rsidRDefault="006A4C43" w:rsidP="008124D0">
      <w:pPr>
        <w:pStyle w:val="Prrafodelista"/>
        <w:spacing w:before="120" w:after="120"/>
        <w:ind w:left="-142"/>
        <w:jc w:val="both"/>
        <w:rPr>
          <w:rFonts w:ascii="Verdana" w:hAnsi="Verdana"/>
          <w:sz w:val="20"/>
        </w:rPr>
      </w:pPr>
      <w:r w:rsidRPr="006A4C43">
        <w:rPr>
          <w:rFonts w:ascii="Verdana" w:hAnsi="Verdana"/>
          <w:sz w:val="20"/>
        </w:rPr>
        <w:t>en el ejercicio de sus atribuciones de supervisión del cumplimiento de sus decisiones, de conformidad con los artículos 33, 62.1, 62.3, 65, 67 y 68.1 de la Convención Americana sobre Derechos Humanos, 24, 25 y 30 del Estatuto, y 31.2 y 69 de su Reglamento,</w:t>
      </w:r>
    </w:p>
    <w:p w14:paraId="103061F1" w14:textId="2C33E5D8" w:rsidR="008124D0" w:rsidRDefault="008124D0" w:rsidP="008124D0">
      <w:pPr>
        <w:pStyle w:val="Prrafodelista"/>
        <w:spacing w:before="120" w:after="120"/>
        <w:ind w:left="-142"/>
        <w:jc w:val="both"/>
        <w:rPr>
          <w:rFonts w:ascii="Verdana" w:hAnsi="Verdana"/>
          <w:b/>
          <w:sz w:val="10"/>
          <w:szCs w:val="10"/>
        </w:rPr>
      </w:pPr>
    </w:p>
    <w:p w14:paraId="0248114E" w14:textId="77777777" w:rsidR="008D03A8" w:rsidRPr="00692C8A" w:rsidRDefault="008D03A8" w:rsidP="00692C8A">
      <w:pPr>
        <w:spacing w:before="120" w:after="120"/>
        <w:jc w:val="both"/>
        <w:rPr>
          <w:rFonts w:ascii="Verdana" w:hAnsi="Verdana"/>
          <w:b/>
          <w:sz w:val="10"/>
          <w:szCs w:val="10"/>
        </w:rPr>
      </w:pPr>
    </w:p>
    <w:p w14:paraId="5B76FFA1" w14:textId="654CAB92" w:rsidR="006A4C43" w:rsidRDefault="006A4C43" w:rsidP="008124D0">
      <w:pPr>
        <w:pStyle w:val="Prrafodelista"/>
        <w:spacing w:before="120" w:after="120"/>
        <w:ind w:left="-142"/>
        <w:jc w:val="both"/>
        <w:rPr>
          <w:rFonts w:ascii="Verdana" w:hAnsi="Verdana"/>
          <w:b/>
          <w:sz w:val="20"/>
        </w:rPr>
      </w:pPr>
      <w:r w:rsidRPr="006A4C43">
        <w:rPr>
          <w:rFonts w:ascii="Verdana" w:hAnsi="Verdana"/>
          <w:b/>
          <w:sz w:val="20"/>
        </w:rPr>
        <w:t>RESUELVE:</w:t>
      </w:r>
    </w:p>
    <w:p w14:paraId="7F399ED3" w14:textId="68DFA08B" w:rsidR="006A4C43" w:rsidRPr="006A4C43" w:rsidRDefault="006A4C43" w:rsidP="008124D0">
      <w:pPr>
        <w:pStyle w:val="Prrafodelista"/>
        <w:numPr>
          <w:ilvl w:val="0"/>
          <w:numId w:val="7"/>
        </w:numPr>
        <w:spacing w:before="120" w:after="120"/>
        <w:ind w:left="-142" w:firstLine="0"/>
        <w:jc w:val="both"/>
        <w:rPr>
          <w:rFonts w:ascii="Verdana" w:hAnsi="Verdana" w:cstheme="minorBidi"/>
          <w:sz w:val="18"/>
          <w:szCs w:val="20"/>
        </w:rPr>
      </w:pPr>
      <w:r w:rsidRPr="006A4C43">
        <w:rPr>
          <w:rFonts w:ascii="Verdana" w:hAnsi="Verdana"/>
          <w:sz w:val="20"/>
        </w:rPr>
        <w:t xml:space="preserve">Declarar, de conformidad con lo </w:t>
      </w:r>
      <w:r w:rsidR="008523FD">
        <w:rPr>
          <w:rFonts w:ascii="Verdana" w:hAnsi="Verdana"/>
          <w:sz w:val="20"/>
        </w:rPr>
        <w:t xml:space="preserve">indicado en </w:t>
      </w:r>
      <w:r w:rsidR="001F5D4E">
        <w:rPr>
          <w:rFonts w:ascii="Verdana" w:hAnsi="Verdana"/>
          <w:sz w:val="20"/>
        </w:rPr>
        <w:t xml:space="preserve">la parte considerativa </w:t>
      </w:r>
      <w:r w:rsidRPr="006A4C43">
        <w:rPr>
          <w:rFonts w:ascii="Verdana" w:hAnsi="Verdana"/>
          <w:sz w:val="20"/>
        </w:rPr>
        <w:t xml:space="preserve">de la presente Resolución, que el Estado ha dado cumplimiento total a la medida de reparación relativa a </w:t>
      </w:r>
      <w:r w:rsidR="008523FD">
        <w:rPr>
          <w:rFonts w:ascii="Verdana" w:hAnsi="Verdana"/>
          <w:sz w:val="20"/>
        </w:rPr>
        <w:t>pag</w:t>
      </w:r>
      <w:r w:rsidR="006427E5">
        <w:rPr>
          <w:rFonts w:ascii="Verdana" w:hAnsi="Verdana"/>
          <w:sz w:val="20"/>
        </w:rPr>
        <w:t xml:space="preserve">ar a la víctima </w:t>
      </w:r>
      <w:r w:rsidR="006427E5">
        <w:rPr>
          <w:rFonts w:ascii="Verdana" w:hAnsi="Verdana"/>
          <w:sz w:val="20"/>
          <w:szCs w:val="20"/>
        </w:rPr>
        <w:t xml:space="preserve">Eduardo Benjamín Colindres </w:t>
      </w:r>
      <w:proofErr w:type="spellStart"/>
      <w:r w:rsidR="006427E5">
        <w:rPr>
          <w:rFonts w:ascii="Verdana" w:hAnsi="Verdana"/>
          <w:sz w:val="20"/>
          <w:szCs w:val="20"/>
        </w:rPr>
        <w:t>Schonenberg</w:t>
      </w:r>
      <w:proofErr w:type="spellEnd"/>
      <w:r w:rsidR="006427E5" w:rsidDel="006427E5">
        <w:rPr>
          <w:rFonts w:ascii="Verdana" w:hAnsi="Verdana"/>
          <w:sz w:val="20"/>
        </w:rPr>
        <w:t xml:space="preserve"> </w:t>
      </w:r>
      <w:r w:rsidR="006427E5">
        <w:rPr>
          <w:rFonts w:ascii="Verdana" w:hAnsi="Verdana"/>
          <w:sz w:val="20"/>
        </w:rPr>
        <w:t xml:space="preserve">las cantidades fijadas en </w:t>
      </w:r>
      <w:r w:rsidR="006427E5">
        <w:rPr>
          <w:rFonts w:ascii="Verdana" w:hAnsi="Verdana"/>
          <w:sz w:val="20"/>
          <w:szCs w:val="20"/>
        </w:rPr>
        <w:lastRenderedPageBreak/>
        <w:t>los párrafos 142 y 147 de la Sentencia</w:t>
      </w:r>
      <w:r w:rsidR="006427E5">
        <w:rPr>
          <w:rFonts w:ascii="Verdana" w:hAnsi="Verdana"/>
          <w:sz w:val="20"/>
        </w:rPr>
        <w:t xml:space="preserve"> </w:t>
      </w:r>
      <w:r w:rsidR="008523FD">
        <w:rPr>
          <w:rFonts w:ascii="Verdana" w:hAnsi="Verdana"/>
          <w:sz w:val="20"/>
        </w:rPr>
        <w:t>por</w:t>
      </w:r>
      <w:r w:rsidR="006427E5">
        <w:rPr>
          <w:rFonts w:ascii="Verdana" w:hAnsi="Verdana"/>
          <w:sz w:val="20"/>
        </w:rPr>
        <w:t xml:space="preserve"> concepto de</w:t>
      </w:r>
      <w:r w:rsidR="008523FD">
        <w:rPr>
          <w:rFonts w:ascii="Verdana" w:hAnsi="Verdana"/>
          <w:sz w:val="20"/>
        </w:rPr>
        <w:t xml:space="preserve"> </w:t>
      </w:r>
      <w:r w:rsidR="008523FD" w:rsidRPr="006711CF">
        <w:rPr>
          <w:rFonts w:ascii="Verdana" w:hAnsi="Verdana"/>
          <w:sz w:val="20"/>
        </w:rPr>
        <w:t>indemnizaci</w:t>
      </w:r>
      <w:r w:rsidR="001F5D4E">
        <w:rPr>
          <w:rFonts w:ascii="Verdana" w:hAnsi="Verdana"/>
          <w:sz w:val="20"/>
        </w:rPr>
        <w:t>ones</w:t>
      </w:r>
      <w:r w:rsidR="008523FD" w:rsidRPr="006711CF">
        <w:rPr>
          <w:rFonts w:ascii="Verdana" w:hAnsi="Verdana"/>
          <w:sz w:val="20"/>
        </w:rPr>
        <w:t xml:space="preserve"> por daño</w:t>
      </w:r>
      <w:r w:rsidR="001F5D4E">
        <w:rPr>
          <w:rFonts w:ascii="Verdana" w:hAnsi="Verdana"/>
          <w:sz w:val="20"/>
        </w:rPr>
        <w:t>s</w:t>
      </w:r>
      <w:r w:rsidR="008523FD" w:rsidRPr="006711CF">
        <w:rPr>
          <w:rFonts w:ascii="Verdana" w:hAnsi="Verdana"/>
          <w:sz w:val="20"/>
        </w:rPr>
        <w:t xml:space="preserve"> material e inmaterial</w:t>
      </w:r>
      <w:r w:rsidR="008523FD">
        <w:rPr>
          <w:rFonts w:ascii="Verdana" w:hAnsi="Verdana"/>
          <w:sz w:val="20"/>
        </w:rPr>
        <w:t>, ordenad</w:t>
      </w:r>
      <w:r w:rsidR="001F5D4E">
        <w:rPr>
          <w:rFonts w:ascii="Verdana" w:hAnsi="Verdana"/>
          <w:sz w:val="20"/>
        </w:rPr>
        <w:t>as</w:t>
      </w:r>
      <w:r w:rsidRPr="006A4C43">
        <w:rPr>
          <w:rFonts w:ascii="Verdana" w:hAnsi="Verdana"/>
          <w:sz w:val="20"/>
        </w:rPr>
        <w:t xml:space="preserve"> en el punto resolutivo </w:t>
      </w:r>
      <w:r w:rsidR="001A1EA8">
        <w:rPr>
          <w:rFonts w:ascii="Verdana" w:hAnsi="Verdana"/>
          <w:sz w:val="20"/>
        </w:rPr>
        <w:t xml:space="preserve">séptimo </w:t>
      </w:r>
      <w:r w:rsidRPr="006A4C43">
        <w:rPr>
          <w:rFonts w:ascii="Verdana" w:hAnsi="Verdana"/>
          <w:sz w:val="20"/>
        </w:rPr>
        <w:t xml:space="preserve">de la Sentencia. </w:t>
      </w:r>
    </w:p>
    <w:p w14:paraId="608EEE99" w14:textId="36362D95" w:rsidR="006A4C43" w:rsidRPr="00DC0232" w:rsidRDefault="006A4C43" w:rsidP="008124D0">
      <w:pPr>
        <w:pStyle w:val="Prrafodelista"/>
        <w:numPr>
          <w:ilvl w:val="0"/>
          <w:numId w:val="7"/>
        </w:numPr>
        <w:spacing w:before="120" w:after="120"/>
        <w:ind w:left="-142" w:firstLine="0"/>
        <w:jc w:val="both"/>
        <w:rPr>
          <w:rFonts w:ascii="Verdana" w:hAnsi="Verdana" w:cstheme="minorBidi"/>
          <w:sz w:val="18"/>
          <w:szCs w:val="20"/>
        </w:rPr>
      </w:pPr>
      <w:r w:rsidRPr="006A4C43">
        <w:rPr>
          <w:rFonts w:ascii="Verdana" w:hAnsi="Verdana"/>
          <w:sz w:val="20"/>
        </w:rPr>
        <w:t xml:space="preserve">Dar por concluido el caso </w:t>
      </w:r>
      <w:r w:rsidR="004C6BAC" w:rsidRPr="008124D0">
        <w:rPr>
          <w:rFonts w:ascii="Verdana" w:hAnsi="Verdana"/>
          <w:i/>
          <w:sz w:val="20"/>
        </w:rPr>
        <w:t xml:space="preserve">Colindres </w:t>
      </w:r>
      <w:proofErr w:type="spellStart"/>
      <w:r w:rsidR="004C6BAC" w:rsidRPr="008124D0">
        <w:rPr>
          <w:rFonts w:ascii="Verdana" w:hAnsi="Verdana"/>
          <w:i/>
          <w:sz w:val="20"/>
        </w:rPr>
        <w:t>Schonenberg</w:t>
      </w:r>
      <w:proofErr w:type="spellEnd"/>
      <w:r w:rsidRPr="006A4C43">
        <w:rPr>
          <w:rFonts w:ascii="Verdana" w:hAnsi="Verdana"/>
          <w:sz w:val="20"/>
        </w:rPr>
        <w:t xml:space="preserve"> dado que la República de </w:t>
      </w:r>
      <w:r w:rsidR="004C6BAC">
        <w:rPr>
          <w:rFonts w:ascii="Verdana" w:hAnsi="Verdana"/>
          <w:sz w:val="20"/>
        </w:rPr>
        <w:t>El Salvador</w:t>
      </w:r>
      <w:r w:rsidRPr="006A4C43">
        <w:rPr>
          <w:rFonts w:ascii="Verdana" w:hAnsi="Verdana"/>
          <w:sz w:val="20"/>
        </w:rPr>
        <w:t xml:space="preserve"> ha dado cumplimiento a lo dispuesto en la Sentencia de fondo, reparaciones y costas emitida por la Corte el </w:t>
      </w:r>
      <w:r w:rsidR="004C6BAC">
        <w:rPr>
          <w:rFonts w:ascii="Verdana" w:hAnsi="Verdana"/>
          <w:sz w:val="20"/>
        </w:rPr>
        <w:t>4 de febrero de 2019</w:t>
      </w:r>
      <w:r w:rsidRPr="006A4C43">
        <w:rPr>
          <w:rFonts w:ascii="Verdana" w:hAnsi="Verdana"/>
          <w:sz w:val="20"/>
        </w:rPr>
        <w:t xml:space="preserve">. </w:t>
      </w:r>
    </w:p>
    <w:p w14:paraId="66645DCA" w14:textId="72437B2C" w:rsidR="006A4C43" w:rsidRPr="00DC0232" w:rsidRDefault="006A4C43" w:rsidP="008124D0">
      <w:pPr>
        <w:pStyle w:val="Prrafodelista"/>
        <w:numPr>
          <w:ilvl w:val="0"/>
          <w:numId w:val="7"/>
        </w:numPr>
        <w:spacing w:before="120" w:after="120"/>
        <w:ind w:left="-142" w:firstLine="0"/>
        <w:jc w:val="both"/>
        <w:rPr>
          <w:rFonts w:ascii="Verdana" w:hAnsi="Verdana" w:cstheme="minorBidi"/>
          <w:sz w:val="18"/>
          <w:szCs w:val="20"/>
        </w:rPr>
      </w:pPr>
      <w:r w:rsidRPr="006A4C43">
        <w:rPr>
          <w:rFonts w:ascii="Verdana" w:hAnsi="Verdana"/>
          <w:sz w:val="20"/>
        </w:rPr>
        <w:t xml:space="preserve">Comunicar esta Resolución a la Asamblea General de la Organización de los Estados Americanos por conducto del Informe Anual de la Corte Interamericana </w:t>
      </w:r>
      <w:r w:rsidR="004C6BAC">
        <w:rPr>
          <w:rFonts w:ascii="Verdana" w:hAnsi="Verdana"/>
          <w:sz w:val="20"/>
        </w:rPr>
        <w:t>de Derechos Humanos del año 202</w:t>
      </w:r>
      <w:r w:rsidR="001A1EA8">
        <w:rPr>
          <w:rFonts w:ascii="Verdana" w:hAnsi="Verdana"/>
          <w:sz w:val="20"/>
        </w:rPr>
        <w:t>0</w:t>
      </w:r>
      <w:r w:rsidRPr="006A4C43">
        <w:rPr>
          <w:rFonts w:ascii="Verdana" w:hAnsi="Verdana"/>
          <w:sz w:val="20"/>
        </w:rPr>
        <w:t xml:space="preserve">. </w:t>
      </w:r>
    </w:p>
    <w:p w14:paraId="336EF20A" w14:textId="761D53F8" w:rsidR="006A4C43" w:rsidRPr="00DC0232" w:rsidRDefault="006A4C43" w:rsidP="008124D0">
      <w:pPr>
        <w:pStyle w:val="Prrafodelista"/>
        <w:numPr>
          <w:ilvl w:val="0"/>
          <w:numId w:val="7"/>
        </w:numPr>
        <w:spacing w:before="120" w:after="120"/>
        <w:ind w:left="-142" w:firstLine="0"/>
        <w:jc w:val="both"/>
        <w:rPr>
          <w:rFonts w:ascii="Verdana" w:hAnsi="Verdana" w:cstheme="minorBidi"/>
          <w:sz w:val="18"/>
          <w:szCs w:val="20"/>
        </w:rPr>
      </w:pPr>
      <w:r w:rsidRPr="006A4C43">
        <w:rPr>
          <w:rFonts w:ascii="Verdana" w:hAnsi="Verdana"/>
          <w:sz w:val="20"/>
        </w:rPr>
        <w:t xml:space="preserve">Archivar el expediente del </w:t>
      </w:r>
      <w:r w:rsidRPr="008124D0">
        <w:rPr>
          <w:rFonts w:ascii="Verdana" w:hAnsi="Verdana"/>
          <w:i/>
          <w:sz w:val="20"/>
        </w:rPr>
        <w:t xml:space="preserve">Caso </w:t>
      </w:r>
      <w:r w:rsidR="004C6BAC" w:rsidRPr="008124D0">
        <w:rPr>
          <w:rFonts w:ascii="Verdana" w:hAnsi="Verdana"/>
          <w:i/>
          <w:sz w:val="20"/>
        </w:rPr>
        <w:t xml:space="preserve">Colindres </w:t>
      </w:r>
      <w:proofErr w:type="spellStart"/>
      <w:r w:rsidR="004C6BAC" w:rsidRPr="008124D0">
        <w:rPr>
          <w:rFonts w:ascii="Verdana" w:hAnsi="Verdana"/>
          <w:i/>
          <w:sz w:val="20"/>
        </w:rPr>
        <w:t>Schonenberg</w:t>
      </w:r>
      <w:proofErr w:type="spellEnd"/>
      <w:r w:rsidRPr="008124D0">
        <w:rPr>
          <w:rFonts w:ascii="Verdana" w:hAnsi="Verdana"/>
          <w:i/>
          <w:sz w:val="20"/>
        </w:rPr>
        <w:t xml:space="preserve"> Vs. </w:t>
      </w:r>
      <w:r w:rsidR="004C6BAC" w:rsidRPr="008124D0">
        <w:rPr>
          <w:rFonts w:ascii="Verdana" w:hAnsi="Verdana"/>
          <w:i/>
          <w:sz w:val="20"/>
        </w:rPr>
        <w:t>El Salvador</w:t>
      </w:r>
      <w:r w:rsidRPr="006A4C43">
        <w:rPr>
          <w:rFonts w:ascii="Verdana" w:hAnsi="Verdana"/>
          <w:sz w:val="20"/>
        </w:rPr>
        <w:t xml:space="preserve">. </w:t>
      </w:r>
    </w:p>
    <w:p w14:paraId="42483370" w14:textId="363E60D7" w:rsidR="006C6876" w:rsidRDefault="006A4C43" w:rsidP="008124D0">
      <w:pPr>
        <w:pStyle w:val="Prrafodelista"/>
        <w:numPr>
          <w:ilvl w:val="0"/>
          <w:numId w:val="7"/>
        </w:numPr>
        <w:spacing w:before="120" w:after="120"/>
        <w:ind w:left="-142" w:firstLine="0"/>
        <w:jc w:val="both"/>
        <w:rPr>
          <w:rFonts w:ascii="Verdana" w:hAnsi="Verdana"/>
          <w:sz w:val="20"/>
        </w:rPr>
      </w:pPr>
      <w:r w:rsidRPr="006A4C43">
        <w:rPr>
          <w:rFonts w:ascii="Verdana" w:hAnsi="Verdana"/>
          <w:sz w:val="20"/>
        </w:rPr>
        <w:t>Disponer que la Secretaría de la Corte notifique la presente Resolución al Estado, a los representantes de la víctima y a la Comisión Interamericana de Derechos Humanos.</w:t>
      </w:r>
    </w:p>
    <w:p w14:paraId="7FB468CC" w14:textId="77777777" w:rsidR="006C6876" w:rsidRPr="00B625F7" w:rsidRDefault="006C6876" w:rsidP="006C6876">
      <w:pPr>
        <w:jc w:val="both"/>
        <w:rPr>
          <w:rFonts w:ascii="Verdana" w:hAnsi="Verdana"/>
          <w:strike/>
          <w:sz w:val="20"/>
        </w:rPr>
      </w:pPr>
    </w:p>
    <w:p w14:paraId="472558D0" w14:textId="77777777" w:rsidR="006C6876" w:rsidRPr="00D809D6" w:rsidRDefault="006C6876" w:rsidP="006C6876">
      <w:pPr>
        <w:jc w:val="both"/>
        <w:rPr>
          <w:rFonts w:ascii="Verdana" w:hAnsi="Verdana"/>
          <w:sz w:val="20"/>
        </w:rPr>
      </w:pPr>
      <w:r w:rsidRPr="00D809D6">
        <w:rPr>
          <w:rFonts w:ascii="Verdana" w:hAnsi="Verdana"/>
          <w:sz w:val="20"/>
        </w:rPr>
        <w:t xml:space="preserve">Corte IDH. </w:t>
      </w:r>
      <w:r w:rsidRPr="00D809D6">
        <w:rPr>
          <w:rFonts w:ascii="Verdana" w:hAnsi="Verdana"/>
          <w:i/>
          <w:iCs/>
          <w:sz w:val="20"/>
        </w:rPr>
        <w:t xml:space="preserve">Caso Colindres </w:t>
      </w:r>
      <w:proofErr w:type="spellStart"/>
      <w:r w:rsidRPr="00D809D6">
        <w:rPr>
          <w:rFonts w:ascii="Verdana" w:hAnsi="Verdana"/>
          <w:i/>
          <w:iCs/>
          <w:sz w:val="20"/>
        </w:rPr>
        <w:t>Schonenberg</w:t>
      </w:r>
      <w:proofErr w:type="spellEnd"/>
      <w:r w:rsidRPr="00D809D6">
        <w:rPr>
          <w:rFonts w:ascii="Verdana" w:hAnsi="Verdana"/>
          <w:i/>
          <w:iCs/>
          <w:sz w:val="20"/>
        </w:rPr>
        <w:t xml:space="preserve"> Vs. El Salvador. Supervisión de Cumplimiento de Sentencia. </w:t>
      </w:r>
      <w:r w:rsidRPr="00D809D6">
        <w:rPr>
          <w:rFonts w:ascii="Verdana" w:hAnsi="Verdana"/>
          <w:sz w:val="20"/>
        </w:rPr>
        <w:t>Resolución de la Corte Interamericana de Derechos Humanos de 18 de noviembre de 2020. Resolución adoptada en San José de Costa Rica por medio de sesión virtual</w:t>
      </w:r>
    </w:p>
    <w:p w14:paraId="7ECD0364" w14:textId="77777777" w:rsidR="006C6876" w:rsidRDefault="006C6876" w:rsidP="006C6876">
      <w:pPr>
        <w:jc w:val="center"/>
        <w:rPr>
          <w:rFonts w:ascii="Verdana" w:hAnsi="Verdana"/>
          <w:sz w:val="20"/>
          <w:lang w:val="pt-BR"/>
        </w:rPr>
      </w:pPr>
    </w:p>
    <w:p w14:paraId="1A081FBF" w14:textId="77777777" w:rsidR="006C6876" w:rsidRDefault="006C6876" w:rsidP="006C6876">
      <w:pPr>
        <w:jc w:val="center"/>
        <w:rPr>
          <w:rFonts w:ascii="Verdana" w:hAnsi="Verdana"/>
          <w:sz w:val="20"/>
          <w:lang w:val="pt-BR"/>
        </w:rPr>
      </w:pPr>
    </w:p>
    <w:p w14:paraId="16D3C217" w14:textId="77777777" w:rsidR="006C6876" w:rsidRDefault="006C6876" w:rsidP="006C6876">
      <w:pPr>
        <w:rPr>
          <w:rFonts w:ascii="Verdana" w:hAnsi="Verdana"/>
          <w:sz w:val="20"/>
          <w:lang w:val="pt-BR"/>
        </w:rPr>
      </w:pPr>
    </w:p>
    <w:p w14:paraId="54C9BA48" w14:textId="77777777" w:rsidR="006C6876" w:rsidRDefault="006C6876" w:rsidP="006C6876">
      <w:pPr>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59FC3266" w14:textId="77777777" w:rsidR="006C6876" w:rsidRDefault="006C6876" w:rsidP="006C6876">
      <w:pPr>
        <w:jc w:val="center"/>
        <w:rPr>
          <w:rFonts w:ascii="Verdana" w:hAnsi="Verdana"/>
          <w:sz w:val="20"/>
          <w:lang w:val="pt-BR"/>
        </w:rPr>
      </w:pPr>
      <w:r>
        <w:rPr>
          <w:rFonts w:ascii="Verdana" w:hAnsi="Verdana"/>
          <w:sz w:val="20"/>
          <w:lang w:val="pt-BR"/>
        </w:rPr>
        <w:t>Presidenta</w:t>
      </w:r>
    </w:p>
    <w:p w14:paraId="3B264F84" w14:textId="77777777" w:rsidR="006C6876" w:rsidRDefault="006C6876" w:rsidP="006C6876">
      <w:pPr>
        <w:jc w:val="center"/>
        <w:rPr>
          <w:rFonts w:ascii="Verdana" w:hAnsi="Verdana"/>
          <w:sz w:val="20"/>
          <w:lang w:val="pt-BR"/>
        </w:rPr>
      </w:pPr>
    </w:p>
    <w:p w14:paraId="47C55A56" w14:textId="77777777" w:rsidR="006C6876" w:rsidRDefault="006C6876" w:rsidP="006C6876">
      <w:pPr>
        <w:jc w:val="center"/>
        <w:rPr>
          <w:rFonts w:ascii="Verdana" w:hAnsi="Verdana"/>
          <w:sz w:val="20"/>
          <w:lang w:val="pt-BR"/>
        </w:rPr>
      </w:pPr>
    </w:p>
    <w:p w14:paraId="422329C7" w14:textId="77777777" w:rsidR="006C6876" w:rsidRDefault="006C6876" w:rsidP="006C6876">
      <w:pPr>
        <w:rPr>
          <w:rFonts w:ascii="Verdana" w:hAnsi="Verdana"/>
          <w:sz w:val="20"/>
          <w:lang w:val="pt-BR"/>
        </w:rPr>
      </w:pPr>
    </w:p>
    <w:p w14:paraId="74CE6209" w14:textId="35034D67" w:rsidR="006C6876" w:rsidRDefault="006C6876" w:rsidP="006C6876">
      <w:pPr>
        <w:rPr>
          <w:rFonts w:ascii="Verdana" w:hAnsi="Verdana"/>
          <w:sz w:val="20"/>
          <w:lang w:val="pt-B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p>
    <w:p w14:paraId="2C93EAC8" w14:textId="77777777" w:rsidR="006C6876" w:rsidRDefault="006C6876" w:rsidP="006C6876">
      <w:pPr>
        <w:rPr>
          <w:rFonts w:ascii="Verdana" w:hAnsi="Verdana"/>
          <w:sz w:val="20"/>
          <w:lang w:val="pt-BR"/>
        </w:rPr>
      </w:pPr>
    </w:p>
    <w:p w14:paraId="41A2C9B5" w14:textId="77777777" w:rsidR="006C6876" w:rsidRDefault="006C6876" w:rsidP="006C6876">
      <w:pPr>
        <w:rPr>
          <w:rFonts w:ascii="Verdana" w:hAnsi="Verdana"/>
          <w:sz w:val="20"/>
          <w:lang w:val="pt-BR"/>
        </w:rPr>
      </w:pPr>
    </w:p>
    <w:p w14:paraId="1D20F06F" w14:textId="77777777" w:rsidR="006C6876" w:rsidRDefault="006C6876" w:rsidP="006C6876">
      <w:pPr>
        <w:rPr>
          <w:rFonts w:ascii="Verdana" w:hAnsi="Verdana"/>
          <w:sz w:val="20"/>
          <w:lang w:val="pt-BR"/>
        </w:rPr>
      </w:pPr>
    </w:p>
    <w:p w14:paraId="13B49756" w14:textId="07BC9687" w:rsidR="006C6876" w:rsidRDefault="006C6876" w:rsidP="006C6876">
      <w:pPr>
        <w:rPr>
          <w:rFonts w:ascii="Verdana" w:hAnsi="Verdana"/>
          <w:sz w:val="20"/>
          <w:lang w:val="pt-BR"/>
        </w:rPr>
      </w:pPr>
      <w:r>
        <w:rPr>
          <w:rFonts w:ascii="Verdana" w:hAnsi="Verdana"/>
          <w:sz w:val="20"/>
          <w:lang w:val="pt-BR"/>
        </w:rPr>
        <w:t xml:space="preserve">Eduardo Ferrer </w:t>
      </w:r>
      <w:proofErr w:type="spellStart"/>
      <w:r>
        <w:rPr>
          <w:rFonts w:ascii="Verdana" w:hAnsi="Verdana"/>
          <w:sz w:val="20"/>
          <w:lang w:val="pt-BR"/>
        </w:rPr>
        <w:t>Mac-Gregor</w:t>
      </w:r>
      <w:proofErr w:type="spellEnd"/>
      <w:r>
        <w:rPr>
          <w:rFonts w:ascii="Verdana" w:hAnsi="Verdana"/>
          <w:sz w:val="20"/>
          <w:lang w:val="pt-BR"/>
        </w:rPr>
        <w:t xml:space="preserve"> Poisot</w:t>
      </w:r>
      <w:r w:rsidRPr="0019261A">
        <w:rPr>
          <w:rFonts w:ascii="Verdana" w:hAnsi="Verdana"/>
          <w:sz w:val="20"/>
          <w:lang w:val="pt-BR"/>
        </w:rPr>
        <w:tab/>
      </w:r>
      <w:r>
        <w:rPr>
          <w:rFonts w:ascii="Verdana" w:hAnsi="Verdana"/>
          <w:sz w:val="20"/>
          <w:lang w:val="pt-BR"/>
        </w:rPr>
        <w:t xml:space="preserve">                                        Eugenio </w:t>
      </w:r>
      <w:proofErr w:type="spellStart"/>
      <w:r>
        <w:rPr>
          <w:rFonts w:ascii="Verdana" w:hAnsi="Verdana"/>
          <w:sz w:val="20"/>
          <w:lang w:val="pt-BR"/>
        </w:rPr>
        <w:t>Raúl</w:t>
      </w:r>
      <w:proofErr w:type="spellEnd"/>
      <w:r>
        <w:rPr>
          <w:rFonts w:ascii="Verdana" w:hAnsi="Verdana"/>
          <w:sz w:val="20"/>
          <w:lang w:val="pt-BR"/>
        </w:rPr>
        <w:t xml:space="preserve"> </w:t>
      </w:r>
      <w:proofErr w:type="spellStart"/>
      <w:r>
        <w:rPr>
          <w:rFonts w:ascii="Verdana" w:hAnsi="Verdana"/>
          <w:sz w:val="20"/>
          <w:lang w:val="pt-BR"/>
        </w:rPr>
        <w:t>Zaffaroni</w:t>
      </w:r>
      <w:proofErr w:type="spellEnd"/>
    </w:p>
    <w:p w14:paraId="3FAFE268" w14:textId="77777777" w:rsidR="006C6876" w:rsidRDefault="006C6876" w:rsidP="006C6876">
      <w:pPr>
        <w:jc w:val="center"/>
        <w:rPr>
          <w:rFonts w:ascii="Verdana" w:hAnsi="Verdana"/>
          <w:sz w:val="20"/>
          <w:lang w:val="pt-BR"/>
        </w:rPr>
      </w:pPr>
    </w:p>
    <w:p w14:paraId="598D87E5" w14:textId="77777777" w:rsidR="006C6876" w:rsidRDefault="006C6876" w:rsidP="006C6876">
      <w:pPr>
        <w:jc w:val="center"/>
        <w:rPr>
          <w:rFonts w:ascii="Verdana" w:hAnsi="Verdana"/>
          <w:sz w:val="20"/>
          <w:lang w:val="pt-BR"/>
        </w:rPr>
      </w:pPr>
    </w:p>
    <w:p w14:paraId="25A34D69" w14:textId="77777777" w:rsidR="006C6876" w:rsidRDefault="006C6876" w:rsidP="006C6876">
      <w:pPr>
        <w:jc w:val="center"/>
        <w:rPr>
          <w:rFonts w:ascii="Verdana" w:hAnsi="Verdana"/>
          <w:sz w:val="20"/>
          <w:lang w:val="pt-BR"/>
        </w:rPr>
      </w:pPr>
    </w:p>
    <w:p w14:paraId="04DD7A3B" w14:textId="77777777" w:rsidR="006C6876" w:rsidRPr="0019261A" w:rsidRDefault="006C6876" w:rsidP="006C6876">
      <w:pPr>
        <w:jc w:val="center"/>
        <w:rPr>
          <w:rFonts w:ascii="Verdana" w:hAnsi="Verdana"/>
          <w:sz w:val="20"/>
          <w:lang w:val="pt-BR"/>
        </w:rPr>
      </w:pPr>
      <w:r>
        <w:rPr>
          <w:rFonts w:ascii="Verdana" w:hAnsi="Verdana"/>
          <w:sz w:val="20"/>
          <w:lang w:val="pt-BR"/>
        </w:rPr>
        <w:t xml:space="preserve">Ricardo C. Pérez </w:t>
      </w:r>
      <w:proofErr w:type="spellStart"/>
      <w:r>
        <w:rPr>
          <w:rFonts w:ascii="Verdana" w:hAnsi="Verdana"/>
          <w:sz w:val="20"/>
          <w:lang w:val="pt-BR"/>
        </w:rPr>
        <w:t>Manrique</w:t>
      </w:r>
      <w:proofErr w:type="spellEnd"/>
    </w:p>
    <w:p w14:paraId="3FA6EF0B" w14:textId="77777777" w:rsidR="006C6876" w:rsidRDefault="006C6876" w:rsidP="006C6876">
      <w:pPr>
        <w:jc w:val="both"/>
        <w:rPr>
          <w:rFonts w:ascii="Verdana" w:hAnsi="Verdana"/>
          <w:sz w:val="20"/>
          <w:lang w:val="pt-BR"/>
        </w:rPr>
      </w:pPr>
    </w:p>
    <w:p w14:paraId="022D4906" w14:textId="77777777" w:rsidR="006C6876" w:rsidRDefault="006C6876" w:rsidP="006C6876">
      <w:pPr>
        <w:jc w:val="both"/>
        <w:rPr>
          <w:rFonts w:ascii="Verdana" w:hAnsi="Verdana"/>
          <w:sz w:val="20"/>
          <w:lang w:val="pt-BR"/>
        </w:rPr>
      </w:pPr>
    </w:p>
    <w:p w14:paraId="1E571E5C" w14:textId="77777777" w:rsidR="006C6876" w:rsidRDefault="006C6876" w:rsidP="006C6876">
      <w:pPr>
        <w:jc w:val="both"/>
        <w:rPr>
          <w:rFonts w:ascii="Verdana" w:hAnsi="Verdana"/>
          <w:sz w:val="20"/>
          <w:lang w:val="pt-BR"/>
        </w:rPr>
      </w:pPr>
    </w:p>
    <w:p w14:paraId="7FB78CCF" w14:textId="77777777" w:rsidR="006C6876" w:rsidRPr="00FC4051" w:rsidRDefault="006C6876" w:rsidP="006C6876">
      <w:pPr>
        <w:jc w:val="center"/>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3FA1D929" w14:textId="77777777" w:rsidR="006C6876" w:rsidRDefault="006C6876" w:rsidP="006C6876">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3F14CC64" w14:textId="77777777" w:rsidR="006C6876" w:rsidRPr="00FC4051" w:rsidRDefault="006C6876" w:rsidP="006C6876">
      <w:pPr>
        <w:pStyle w:val="Textonotapie"/>
        <w:rPr>
          <w:rFonts w:ascii="Verdana" w:hAnsi="Verdana"/>
          <w:lang w:val="pt-BR"/>
        </w:rPr>
      </w:pPr>
    </w:p>
    <w:p w14:paraId="1BF1F1A5" w14:textId="77777777" w:rsidR="006C6876" w:rsidRPr="00FC4051" w:rsidRDefault="006C6876" w:rsidP="006C6876">
      <w:pPr>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2BD00E33" w14:textId="77777777" w:rsidR="006C6876" w:rsidRPr="00FC4051" w:rsidRDefault="006C6876" w:rsidP="006C6876">
      <w:pPr>
        <w:rPr>
          <w:rFonts w:ascii="Verdana" w:hAnsi="Verdana"/>
          <w:sz w:val="20"/>
          <w:lang w:val="pt-BR"/>
        </w:rPr>
      </w:pPr>
    </w:p>
    <w:p w14:paraId="6D735D05" w14:textId="77777777" w:rsidR="006C6876" w:rsidRDefault="006C6876" w:rsidP="006C6876">
      <w:pPr>
        <w:jc w:val="center"/>
        <w:rPr>
          <w:rFonts w:ascii="Verdana" w:hAnsi="Verdana"/>
          <w:sz w:val="20"/>
          <w:lang w:val="pt-BR"/>
        </w:rPr>
      </w:pPr>
    </w:p>
    <w:p w14:paraId="7DC46D38" w14:textId="77777777" w:rsidR="006C6876" w:rsidRPr="00FC4051" w:rsidRDefault="006C6876" w:rsidP="006C6876">
      <w:pPr>
        <w:jc w:val="right"/>
        <w:rPr>
          <w:rFonts w:ascii="Verdana" w:hAnsi="Verdana"/>
          <w:sz w:val="20"/>
          <w:lang w:val="pt-BR"/>
        </w:rPr>
      </w:pPr>
    </w:p>
    <w:p w14:paraId="739EE677" w14:textId="1352EB5A" w:rsidR="006C6876" w:rsidRDefault="006C6876" w:rsidP="006C6876">
      <w:pPr>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31FC5D71" w14:textId="6DEF342D" w:rsidR="006C6876" w:rsidRDefault="006C6876" w:rsidP="006C6876">
      <w:pPr>
        <w:ind w:left="6480" w:firstLine="720"/>
        <w:rPr>
          <w:rFonts w:ascii="Verdana" w:hAnsi="Verdana"/>
          <w:sz w:val="20"/>
          <w:lang w:val="pt-BR"/>
        </w:rPr>
      </w:pPr>
      <w:r>
        <w:rPr>
          <w:rFonts w:ascii="Verdana" w:hAnsi="Verdana"/>
          <w:sz w:val="20"/>
          <w:lang w:val="pt-BR"/>
        </w:rPr>
        <w:t xml:space="preserve"> Presidenta</w:t>
      </w:r>
    </w:p>
    <w:p w14:paraId="3999756B" w14:textId="53EE16C7" w:rsidR="006C6876" w:rsidRDefault="006C6876" w:rsidP="006C6876">
      <w:pPr>
        <w:jc w:val="both"/>
        <w:rPr>
          <w:rFonts w:ascii="Verdana" w:hAnsi="Verdana"/>
          <w:sz w:val="20"/>
          <w:lang w:val="pt-BR"/>
        </w:rPr>
      </w:pPr>
    </w:p>
    <w:p w14:paraId="6FECB61E" w14:textId="77777777" w:rsidR="006C6876" w:rsidRPr="00FC4051" w:rsidRDefault="006C6876" w:rsidP="006C6876">
      <w:pPr>
        <w:jc w:val="both"/>
        <w:rPr>
          <w:rFonts w:ascii="Verdana" w:hAnsi="Verdana"/>
          <w:sz w:val="20"/>
          <w:lang w:val="pt-BR"/>
        </w:rPr>
      </w:pPr>
    </w:p>
    <w:p w14:paraId="4F3A5AA5" w14:textId="77777777" w:rsidR="006C6876" w:rsidRPr="00FC4051" w:rsidRDefault="006C6876" w:rsidP="006C6876">
      <w:pPr>
        <w:jc w:val="both"/>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0F1F1391" w14:textId="503038B8" w:rsidR="006A4C43" w:rsidRPr="006C6876" w:rsidRDefault="006C6876" w:rsidP="006C6876">
      <w:pPr>
        <w:rPr>
          <w:rFonts w:ascii="Verdana" w:hAnsi="Verdana"/>
          <w:sz w:val="20"/>
          <w:lang w:val="pt-BR"/>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sectPr w:rsidR="006A4C43" w:rsidRPr="006C6876" w:rsidSect="00F07D35">
      <w:footerReference w:type="default" r:id="rId8"/>
      <w:pgSz w:w="12240" w:h="15840"/>
      <w:pgMar w:top="1417" w:right="1701" w:bottom="1417"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BE909F" w14:textId="77777777" w:rsidR="00375079" w:rsidRDefault="00375079" w:rsidP="000E4913">
      <w:r>
        <w:separator/>
      </w:r>
    </w:p>
  </w:endnote>
  <w:endnote w:type="continuationSeparator" w:id="0">
    <w:p w14:paraId="6F16AE7C" w14:textId="77777777" w:rsidR="00375079" w:rsidRDefault="00375079" w:rsidP="000E4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8656939"/>
      <w:docPartObj>
        <w:docPartGallery w:val="Page Numbers (Bottom of Page)"/>
        <w:docPartUnique/>
      </w:docPartObj>
    </w:sdtPr>
    <w:sdtEndPr/>
    <w:sdtContent>
      <w:p w14:paraId="256A2917" w14:textId="79AF65D8" w:rsidR="008124D0" w:rsidRDefault="008124D0" w:rsidP="00437F7E">
        <w:pPr>
          <w:pStyle w:val="Piedepgina"/>
          <w:jc w:val="center"/>
        </w:pPr>
        <w:r w:rsidRPr="008124D0">
          <w:rPr>
            <w:rFonts w:ascii="Verdana" w:hAnsi="Verdana"/>
            <w:sz w:val="20"/>
            <w:szCs w:val="20"/>
          </w:rPr>
          <w:t>-</w:t>
        </w:r>
        <w:r w:rsidRPr="008124D0">
          <w:rPr>
            <w:rFonts w:ascii="Verdana" w:hAnsi="Verdana"/>
            <w:sz w:val="20"/>
            <w:szCs w:val="20"/>
          </w:rPr>
          <w:fldChar w:fldCharType="begin"/>
        </w:r>
        <w:r w:rsidRPr="008124D0">
          <w:rPr>
            <w:rFonts w:ascii="Verdana" w:hAnsi="Verdana"/>
            <w:sz w:val="20"/>
            <w:szCs w:val="20"/>
          </w:rPr>
          <w:instrText>PAGE   \* MERGEFORMAT</w:instrText>
        </w:r>
        <w:r w:rsidRPr="008124D0">
          <w:rPr>
            <w:rFonts w:ascii="Verdana" w:hAnsi="Verdana"/>
            <w:sz w:val="20"/>
            <w:szCs w:val="20"/>
          </w:rPr>
          <w:fldChar w:fldCharType="separate"/>
        </w:r>
        <w:r w:rsidR="004F518F" w:rsidRPr="004F518F">
          <w:rPr>
            <w:rFonts w:ascii="Verdana" w:hAnsi="Verdana"/>
            <w:noProof/>
            <w:sz w:val="20"/>
            <w:szCs w:val="20"/>
            <w:lang w:val="es-ES"/>
          </w:rPr>
          <w:t>2</w:t>
        </w:r>
        <w:r w:rsidRPr="008124D0">
          <w:rPr>
            <w:rFonts w:ascii="Verdana" w:hAnsi="Verdana"/>
            <w:sz w:val="20"/>
            <w:szCs w:val="20"/>
          </w:rPr>
          <w:fldChar w:fldCharType="end"/>
        </w:r>
        <w:r w:rsidRPr="008124D0">
          <w:rPr>
            <w:rFonts w:ascii="Verdana" w:hAnsi="Verdana"/>
            <w:sz w:val="20"/>
            <w:szCs w:val="20"/>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47EAA" w14:textId="77777777" w:rsidR="00375079" w:rsidRDefault="00375079" w:rsidP="000E4913">
      <w:r>
        <w:separator/>
      </w:r>
    </w:p>
  </w:footnote>
  <w:footnote w:type="continuationSeparator" w:id="0">
    <w:p w14:paraId="0B200D55" w14:textId="77777777" w:rsidR="00375079" w:rsidRDefault="00375079" w:rsidP="000E4913">
      <w:r>
        <w:continuationSeparator/>
      </w:r>
    </w:p>
  </w:footnote>
  <w:footnote w:id="1">
    <w:p w14:paraId="451F66F6" w14:textId="5986DBB5" w:rsidR="00E04C47" w:rsidRDefault="00146E28" w:rsidP="00146E28">
      <w:pPr>
        <w:pStyle w:val="Textonotapie"/>
        <w:jc w:val="both"/>
        <w:rPr>
          <w:rFonts w:ascii="Verdana" w:hAnsi="Verdana"/>
          <w:sz w:val="16"/>
          <w:szCs w:val="16"/>
          <w:lang w:val="es-AR"/>
        </w:rPr>
      </w:pPr>
      <w:r w:rsidRPr="00D419D5">
        <w:rPr>
          <w:rStyle w:val="Refdenotaalpie"/>
          <w:szCs w:val="16"/>
          <w:lang w:val="es-AR"/>
        </w:rPr>
        <w:t>*</w:t>
      </w:r>
      <w:r w:rsidRPr="00D419D5">
        <w:rPr>
          <w:rFonts w:ascii="Verdana" w:hAnsi="Verdana"/>
          <w:sz w:val="16"/>
          <w:szCs w:val="16"/>
          <w:lang w:val="es-AR"/>
        </w:rPr>
        <w:tab/>
      </w:r>
      <w:r w:rsidR="00E04C47">
        <w:rPr>
          <w:rFonts w:ascii="Verdana" w:hAnsi="Verdana"/>
          <w:sz w:val="16"/>
          <w:szCs w:val="16"/>
          <w:lang w:val="es-AR"/>
        </w:rPr>
        <w:t>El Juez Eduardo Vio Grossi no participó en la deliberación y firma de la presente Resolución por razones de fuerza mayor.</w:t>
      </w:r>
    </w:p>
    <w:p w14:paraId="1A2BC69D" w14:textId="18425E11" w:rsidR="00146E28" w:rsidRPr="0073299B" w:rsidRDefault="00146E28" w:rsidP="00E04C47">
      <w:pPr>
        <w:pStyle w:val="Textonotapie"/>
        <w:ind w:firstLine="708"/>
        <w:jc w:val="both"/>
        <w:rPr>
          <w:rFonts w:ascii="Verdana" w:eastAsia="Times New Roman" w:hAnsi="Verdana"/>
          <w:color w:val="000000"/>
          <w:sz w:val="16"/>
          <w:szCs w:val="16"/>
          <w:lang w:val="es-AR"/>
        </w:rPr>
      </w:pPr>
      <w:r w:rsidRPr="00D419D5">
        <w:rPr>
          <w:rFonts w:ascii="Verdana" w:eastAsia="Times New Roman" w:hAnsi="Verdana"/>
          <w:color w:val="000000"/>
          <w:sz w:val="16"/>
          <w:szCs w:val="16"/>
          <w:lang w:val="es-AR"/>
        </w:rPr>
        <w:t xml:space="preserve">Debido a las circunstancias excepcionales ocasionadas por la pandemia COVID-19, esta Resolución fue </w:t>
      </w:r>
      <w:r w:rsidRPr="00D419D5">
        <w:rPr>
          <w:rFonts w:ascii="Verdana" w:hAnsi="Verdana"/>
          <w:sz w:val="16"/>
          <w:szCs w:val="16"/>
        </w:rPr>
        <w:t>deliberada</w:t>
      </w:r>
      <w:r w:rsidRPr="00D419D5">
        <w:rPr>
          <w:rFonts w:ascii="Verdana" w:eastAsia="Times New Roman" w:hAnsi="Verdana"/>
          <w:color w:val="000000"/>
          <w:sz w:val="16"/>
          <w:szCs w:val="16"/>
          <w:lang w:val="es-AR"/>
        </w:rPr>
        <w:t xml:space="preserve"> y aprobada durante el 13</w:t>
      </w:r>
      <w:r>
        <w:rPr>
          <w:rFonts w:ascii="Verdana" w:eastAsia="Times New Roman" w:hAnsi="Verdana"/>
          <w:color w:val="000000"/>
          <w:sz w:val="16"/>
          <w:szCs w:val="16"/>
          <w:lang w:val="es-AR"/>
        </w:rPr>
        <w:t>8</w:t>
      </w:r>
      <w:r w:rsidRPr="00D419D5">
        <w:rPr>
          <w:rFonts w:ascii="Verdana" w:eastAsia="Times New Roman" w:hAnsi="Verdana"/>
          <w:color w:val="000000"/>
          <w:sz w:val="16"/>
          <w:szCs w:val="16"/>
          <w:lang w:val="es-AR"/>
        </w:rPr>
        <w:t xml:space="preserve"> Período Ordinario de Sesiones, el cual se llevó a cabo de forma no presencial utilizando medios tecnológicos de conformidad con lo establecido en el Reglamento de la Corte.</w:t>
      </w:r>
    </w:p>
  </w:footnote>
  <w:footnote w:id="2">
    <w:p w14:paraId="72437ACC" w14:textId="068115E9" w:rsidR="000E4913" w:rsidRPr="007F76B1" w:rsidRDefault="000E4913" w:rsidP="000E4913">
      <w:pPr>
        <w:pStyle w:val="Textonotapie"/>
        <w:jc w:val="both"/>
        <w:rPr>
          <w:rFonts w:ascii="Verdana" w:hAnsi="Verdana"/>
          <w:sz w:val="16"/>
          <w:szCs w:val="16"/>
        </w:rPr>
      </w:pPr>
      <w:r w:rsidRPr="000E4913">
        <w:rPr>
          <w:rStyle w:val="Refdenotaalpie"/>
          <w:rFonts w:ascii="Verdana" w:hAnsi="Verdana"/>
          <w:sz w:val="16"/>
        </w:rPr>
        <w:footnoteRef/>
      </w:r>
      <w:r w:rsidRPr="000E4913">
        <w:rPr>
          <w:rFonts w:ascii="Verdana" w:hAnsi="Verdana"/>
          <w:sz w:val="16"/>
        </w:rPr>
        <w:t xml:space="preserve"> </w:t>
      </w:r>
      <w:r w:rsidR="005A44EA">
        <w:rPr>
          <w:rFonts w:ascii="Verdana" w:hAnsi="Verdana"/>
          <w:sz w:val="16"/>
        </w:rPr>
        <w:tab/>
      </w:r>
      <w:r w:rsidRPr="000E4913">
        <w:rPr>
          <w:rFonts w:ascii="Verdana" w:hAnsi="Verdana"/>
          <w:i/>
          <w:sz w:val="16"/>
        </w:rPr>
        <w:t xml:space="preserve">Cfr. </w:t>
      </w:r>
      <w:r w:rsidRPr="000E4913">
        <w:rPr>
          <w:rFonts w:ascii="Verdana" w:hAnsi="Verdana" w:cs="Arial"/>
          <w:i/>
          <w:sz w:val="16"/>
          <w:shd w:val="clear" w:color="auto" w:fill="FFFFFF"/>
        </w:rPr>
        <w:t xml:space="preserve">Caso Colindres </w:t>
      </w:r>
      <w:proofErr w:type="spellStart"/>
      <w:r w:rsidRPr="000E4913">
        <w:rPr>
          <w:rFonts w:ascii="Verdana" w:hAnsi="Verdana" w:cs="Arial"/>
          <w:i/>
          <w:sz w:val="16"/>
          <w:shd w:val="clear" w:color="auto" w:fill="FFFFFF"/>
        </w:rPr>
        <w:t>Schonenberg</w:t>
      </w:r>
      <w:proofErr w:type="spellEnd"/>
      <w:r w:rsidRPr="000E4913">
        <w:rPr>
          <w:rFonts w:ascii="Verdana" w:hAnsi="Verdana" w:cs="Arial"/>
          <w:i/>
          <w:sz w:val="16"/>
          <w:shd w:val="clear" w:color="auto" w:fill="FFFFFF"/>
        </w:rPr>
        <w:t xml:space="preserve"> Vs. El Salvador. Fondo, Reparaciones y Costas.</w:t>
      </w:r>
      <w:r w:rsidRPr="000E4913">
        <w:rPr>
          <w:rFonts w:ascii="Verdana" w:hAnsi="Verdana" w:cs="Arial"/>
          <w:sz w:val="16"/>
          <w:shd w:val="clear" w:color="auto" w:fill="FFFFFF"/>
        </w:rPr>
        <w:t xml:space="preserve"> Sentencia de 4 de febrero de 2019. Serie C No. 373. Disponible en: </w:t>
      </w:r>
      <w:hyperlink r:id="rId1" w:history="1">
        <w:r w:rsidRPr="00D01FAD">
          <w:rPr>
            <w:rStyle w:val="Hipervnculo"/>
            <w:rFonts w:ascii="Verdana" w:hAnsi="Verdana" w:cs="Arial"/>
            <w:sz w:val="16"/>
            <w:shd w:val="clear" w:color="auto" w:fill="FFFFFF"/>
          </w:rPr>
          <w:t>http://www.corteidh.or.cr/docs/casos/articulos/seriec_373_esp.pdf</w:t>
        </w:r>
      </w:hyperlink>
      <w:r>
        <w:rPr>
          <w:rFonts w:ascii="Verdana" w:hAnsi="Verdana" w:cs="Arial"/>
          <w:sz w:val="16"/>
          <w:shd w:val="clear" w:color="auto" w:fill="FFFFFF"/>
        </w:rPr>
        <w:t xml:space="preserve">. </w:t>
      </w:r>
      <w:r w:rsidRPr="000E4913">
        <w:rPr>
          <w:rFonts w:ascii="Verdana" w:hAnsi="Verdana" w:cs="Arial"/>
          <w:sz w:val="16"/>
          <w:shd w:val="clear" w:color="auto" w:fill="FFFFFF"/>
        </w:rPr>
        <w:t>La Sentencia fue notificada el 20 de febrero de</w:t>
      </w:r>
      <w:r w:rsidR="005A44EA">
        <w:rPr>
          <w:rFonts w:ascii="Verdana" w:hAnsi="Verdana" w:cs="Arial"/>
          <w:sz w:val="16"/>
          <w:shd w:val="clear" w:color="auto" w:fill="FFFFFF"/>
        </w:rPr>
        <w:t xml:space="preserve"> </w:t>
      </w:r>
      <w:r w:rsidRPr="007F76B1">
        <w:rPr>
          <w:rFonts w:ascii="Verdana" w:hAnsi="Verdana" w:cs="Arial"/>
          <w:sz w:val="16"/>
          <w:szCs w:val="16"/>
          <w:shd w:val="clear" w:color="auto" w:fill="FFFFFF"/>
        </w:rPr>
        <w:t xml:space="preserve">2019. </w:t>
      </w:r>
    </w:p>
  </w:footnote>
  <w:footnote w:id="3">
    <w:p w14:paraId="21CAE54A" w14:textId="73B03034" w:rsidR="00146E28" w:rsidRPr="008E1DA0" w:rsidRDefault="00146E28" w:rsidP="00146E28">
      <w:pPr>
        <w:pStyle w:val="Textonotapie"/>
        <w:jc w:val="both"/>
        <w:rPr>
          <w:rFonts w:ascii="Verdana" w:hAnsi="Verdana"/>
          <w:sz w:val="16"/>
          <w:szCs w:val="16"/>
        </w:rPr>
      </w:pPr>
      <w:r w:rsidRPr="0009217C">
        <w:rPr>
          <w:rStyle w:val="Refdenotaalpie"/>
          <w:rFonts w:ascii="Verdana" w:hAnsi="Verdana"/>
          <w:sz w:val="16"/>
          <w:szCs w:val="16"/>
        </w:rPr>
        <w:footnoteRef/>
      </w:r>
      <w:r w:rsidRPr="0009217C">
        <w:rPr>
          <w:rFonts w:ascii="Verdana" w:hAnsi="Verdana"/>
          <w:sz w:val="16"/>
          <w:szCs w:val="16"/>
        </w:rPr>
        <w:t xml:space="preserve"> </w:t>
      </w:r>
      <w:r w:rsidRPr="0009217C">
        <w:rPr>
          <w:rFonts w:ascii="Verdana" w:hAnsi="Verdana"/>
          <w:sz w:val="16"/>
          <w:szCs w:val="16"/>
        </w:rPr>
        <w:tab/>
      </w:r>
      <w:r w:rsidRPr="004058C6">
        <w:rPr>
          <w:rFonts w:ascii="Verdana" w:hAnsi="Verdana"/>
          <w:sz w:val="16"/>
          <w:szCs w:val="16"/>
        </w:rPr>
        <w:t xml:space="preserve">Respecto a la primera destitución del Colindres </w:t>
      </w:r>
      <w:proofErr w:type="spellStart"/>
      <w:r w:rsidRPr="004058C6">
        <w:rPr>
          <w:rFonts w:ascii="Verdana" w:hAnsi="Verdana"/>
          <w:sz w:val="16"/>
          <w:szCs w:val="16"/>
        </w:rPr>
        <w:t>Schonenberg</w:t>
      </w:r>
      <w:proofErr w:type="spellEnd"/>
      <w:r w:rsidRPr="004058C6">
        <w:rPr>
          <w:rFonts w:ascii="Verdana" w:hAnsi="Verdana"/>
          <w:sz w:val="16"/>
          <w:szCs w:val="16"/>
        </w:rPr>
        <w:t xml:space="preserve">, la Corte consideró </w:t>
      </w:r>
      <w:r w:rsidR="00675A46" w:rsidRPr="004058C6">
        <w:rPr>
          <w:rFonts w:ascii="Verdana" w:hAnsi="Verdana"/>
          <w:sz w:val="16"/>
          <w:szCs w:val="16"/>
        </w:rPr>
        <w:t>que,</w:t>
      </w:r>
      <w:r w:rsidRPr="004058C6">
        <w:rPr>
          <w:rFonts w:ascii="Verdana" w:hAnsi="Verdana"/>
          <w:sz w:val="16"/>
          <w:szCs w:val="16"/>
        </w:rPr>
        <w:t xml:space="preserve"> mediante la sentencia de la Sala de lo Constitucional </w:t>
      </w:r>
      <w:r w:rsidRPr="008E1DA0">
        <w:rPr>
          <w:rFonts w:ascii="Verdana" w:hAnsi="Verdana"/>
          <w:sz w:val="16"/>
          <w:szCs w:val="16"/>
        </w:rPr>
        <w:t>de 4 de noviembre de 1997</w:t>
      </w:r>
      <w:r w:rsidR="00DA25C7">
        <w:rPr>
          <w:rFonts w:ascii="Verdana" w:hAnsi="Verdana"/>
          <w:sz w:val="16"/>
          <w:szCs w:val="16"/>
        </w:rPr>
        <w:t>,</w:t>
      </w:r>
      <w:r w:rsidRPr="008E1DA0">
        <w:rPr>
          <w:rFonts w:ascii="Verdana" w:hAnsi="Verdana"/>
          <w:sz w:val="16"/>
          <w:szCs w:val="16"/>
        </w:rPr>
        <w:t xml:space="preserve"> </w:t>
      </w:r>
      <w:r w:rsidRPr="004058C6">
        <w:rPr>
          <w:rFonts w:ascii="Verdana" w:hAnsi="Verdana"/>
          <w:sz w:val="16"/>
          <w:szCs w:val="16"/>
        </w:rPr>
        <w:t xml:space="preserve">que restituyó al señor Colindres </w:t>
      </w:r>
      <w:proofErr w:type="spellStart"/>
      <w:r w:rsidRPr="004058C6">
        <w:rPr>
          <w:rFonts w:ascii="Verdana" w:hAnsi="Verdana"/>
          <w:sz w:val="16"/>
          <w:szCs w:val="16"/>
        </w:rPr>
        <w:t>Schonenberg</w:t>
      </w:r>
      <w:proofErr w:type="spellEnd"/>
      <w:r w:rsidR="00DA25C7">
        <w:rPr>
          <w:rFonts w:ascii="Verdana" w:hAnsi="Verdana"/>
          <w:sz w:val="16"/>
          <w:szCs w:val="16"/>
        </w:rPr>
        <w:t>,</w:t>
      </w:r>
      <w:r w:rsidRPr="004058C6">
        <w:rPr>
          <w:rFonts w:ascii="Verdana" w:hAnsi="Verdana"/>
          <w:sz w:val="16"/>
          <w:szCs w:val="16"/>
        </w:rPr>
        <w:t xml:space="preserve"> el Estado garantizó efectivamente las garantías judiciales, por lo que cesó la alegada violación. Asimismo, </w:t>
      </w:r>
      <w:r>
        <w:rPr>
          <w:rFonts w:ascii="Verdana" w:hAnsi="Verdana"/>
          <w:sz w:val="16"/>
          <w:szCs w:val="16"/>
        </w:rPr>
        <w:t>se</w:t>
      </w:r>
      <w:r w:rsidRPr="004058C6">
        <w:rPr>
          <w:rFonts w:ascii="Verdana" w:hAnsi="Verdana"/>
          <w:sz w:val="16"/>
          <w:szCs w:val="16"/>
        </w:rPr>
        <w:t xml:space="preserve"> constató que al señor Colindres </w:t>
      </w:r>
      <w:proofErr w:type="spellStart"/>
      <w:r w:rsidRPr="004058C6">
        <w:rPr>
          <w:rFonts w:ascii="Verdana" w:hAnsi="Verdana"/>
          <w:sz w:val="16"/>
          <w:szCs w:val="16"/>
        </w:rPr>
        <w:t>Schonenberg</w:t>
      </w:r>
      <w:proofErr w:type="spellEnd"/>
      <w:r w:rsidRPr="004058C6">
        <w:rPr>
          <w:rFonts w:ascii="Verdana" w:hAnsi="Verdana"/>
          <w:sz w:val="16"/>
          <w:szCs w:val="16"/>
        </w:rPr>
        <w:t xml:space="preserve"> se le reparó el daño causado</w:t>
      </w:r>
      <w:r>
        <w:rPr>
          <w:rFonts w:ascii="Verdana" w:hAnsi="Verdana"/>
          <w:sz w:val="16"/>
          <w:szCs w:val="16"/>
        </w:rPr>
        <w:t>,</w:t>
      </w:r>
      <w:r w:rsidRPr="004058C6">
        <w:rPr>
          <w:rFonts w:ascii="Verdana" w:hAnsi="Verdana"/>
          <w:sz w:val="16"/>
          <w:szCs w:val="16"/>
        </w:rPr>
        <w:t xml:space="preserve"> ya que se pagaron los sueldos que dejó de percibir durante el tie</w:t>
      </w:r>
      <w:r w:rsidRPr="006036FD">
        <w:rPr>
          <w:rFonts w:ascii="Verdana" w:hAnsi="Verdana"/>
          <w:sz w:val="16"/>
          <w:szCs w:val="16"/>
        </w:rPr>
        <w:t>mpo que estuvo destituido y el daño moral ocasionado. Por tanto, este Tribunal, de conformidad con el principio de complementariedad, concluyó que el Estado no e</w:t>
      </w:r>
      <w:r w:rsidRPr="008E1DA0">
        <w:rPr>
          <w:rFonts w:ascii="Verdana" w:hAnsi="Verdana"/>
          <w:sz w:val="16"/>
          <w:szCs w:val="16"/>
        </w:rPr>
        <w:t>ra responsable por la alegada violación a las garantías judiciales</w:t>
      </w:r>
      <w:r w:rsidR="00DA25C7">
        <w:rPr>
          <w:rFonts w:ascii="Verdana" w:hAnsi="Verdana"/>
          <w:sz w:val="16"/>
          <w:szCs w:val="16"/>
        </w:rPr>
        <w:t xml:space="preserve"> respecto de esta primera destitución</w:t>
      </w:r>
      <w:r w:rsidRPr="008E1DA0">
        <w:rPr>
          <w:rFonts w:ascii="Verdana" w:hAnsi="Verdana"/>
          <w:sz w:val="16"/>
          <w:szCs w:val="16"/>
        </w:rPr>
        <w:t xml:space="preserve">. </w:t>
      </w:r>
      <w:r w:rsidRPr="008E1DA0">
        <w:rPr>
          <w:rFonts w:ascii="Verdana" w:hAnsi="Verdana"/>
          <w:i/>
          <w:sz w:val="16"/>
          <w:szCs w:val="16"/>
        </w:rPr>
        <w:t xml:space="preserve">Cfr. Caso Colindres </w:t>
      </w:r>
      <w:proofErr w:type="spellStart"/>
      <w:r w:rsidRPr="008E1DA0">
        <w:rPr>
          <w:rFonts w:ascii="Verdana" w:hAnsi="Verdana"/>
          <w:i/>
          <w:sz w:val="16"/>
          <w:szCs w:val="16"/>
        </w:rPr>
        <w:t>Schonenberg</w:t>
      </w:r>
      <w:proofErr w:type="spellEnd"/>
      <w:r w:rsidRPr="008E1DA0">
        <w:rPr>
          <w:rFonts w:ascii="Verdana" w:hAnsi="Verdana"/>
          <w:i/>
          <w:sz w:val="16"/>
          <w:szCs w:val="16"/>
        </w:rPr>
        <w:t xml:space="preserve"> Vs. El Salvador, supra </w:t>
      </w:r>
      <w:r w:rsidRPr="008E1DA0">
        <w:rPr>
          <w:rFonts w:ascii="Verdana" w:hAnsi="Verdana"/>
          <w:sz w:val="16"/>
          <w:szCs w:val="16"/>
        </w:rPr>
        <w:t xml:space="preserve">nota 1, </w:t>
      </w:r>
      <w:proofErr w:type="spellStart"/>
      <w:r w:rsidRPr="008E1DA0">
        <w:rPr>
          <w:rFonts w:ascii="Verdana" w:hAnsi="Verdana"/>
          <w:sz w:val="16"/>
          <w:szCs w:val="16"/>
        </w:rPr>
        <w:t>párrs</w:t>
      </w:r>
      <w:proofErr w:type="spellEnd"/>
      <w:r w:rsidRPr="008E1DA0">
        <w:rPr>
          <w:rFonts w:ascii="Verdana" w:hAnsi="Verdana"/>
          <w:sz w:val="16"/>
          <w:szCs w:val="16"/>
        </w:rPr>
        <w:t>. 72 a 80.</w:t>
      </w:r>
    </w:p>
  </w:footnote>
  <w:footnote w:id="4">
    <w:p w14:paraId="7FCB010D" w14:textId="77777777" w:rsidR="007F76B1" w:rsidRDefault="007F76B1" w:rsidP="0073299B">
      <w:pPr>
        <w:pStyle w:val="Textonotapie"/>
        <w:jc w:val="both"/>
      </w:pPr>
      <w:r w:rsidRPr="007F76B1">
        <w:rPr>
          <w:rStyle w:val="Refdenotaalpie"/>
          <w:rFonts w:ascii="Verdana" w:hAnsi="Verdana"/>
          <w:sz w:val="16"/>
          <w:szCs w:val="16"/>
        </w:rPr>
        <w:footnoteRef/>
      </w:r>
      <w:r w:rsidRPr="007F76B1">
        <w:rPr>
          <w:rFonts w:ascii="Verdana" w:hAnsi="Verdana"/>
          <w:sz w:val="16"/>
          <w:szCs w:val="16"/>
        </w:rPr>
        <w:t xml:space="preserve"> </w:t>
      </w:r>
      <w:r w:rsidR="00146E28">
        <w:rPr>
          <w:rFonts w:ascii="Verdana" w:hAnsi="Verdana"/>
          <w:sz w:val="16"/>
          <w:szCs w:val="16"/>
        </w:rPr>
        <w:tab/>
      </w:r>
      <w:r w:rsidRPr="007F76B1">
        <w:rPr>
          <w:rFonts w:ascii="Verdana" w:hAnsi="Verdana"/>
          <w:i/>
          <w:sz w:val="16"/>
          <w:szCs w:val="16"/>
        </w:rPr>
        <w:t xml:space="preserve">Cfr. Caso Colindres </w:t>
      </w:r>
      <w:proofErr w:type="spellStart"/>
      <w:r w:rsidRPr="007F76B1">
        <w:rPr>
          <w:rFonts w:ascii="Verdana" w:hAnsi="Verdana"/>
          <w:i/>
          <w:sz w:val="16"/>
          <w:szCs w:val="16"/>
        </w:rPr>
        <w:t>Schonenberg</w:t>
      </w:r>
      <w:proofErr w:type="spellEnd"/>
      <w:r w:rsidRPr="007F76B1">
        <w:rPr>
          <w:rFonts w:ascii="Verdana" w:hAnsi="Verdana"/>
          <w:i/>
          <w:sz w:val="16"/>
          <w:szCs w:val="16"/>
        </w:rPr>
        <w:t xml:space="preserve"> Vs. El Salvador. Supervisión de Cumplimiento de Sentencia</w:t>
      </w:r>
      <w:r w:rsidRPr="007F76B1">
        <w:rPr>
          <w:rFonts w:ascii="Verdana" w:hAnsi="Verdana"/>
          <w:sz w:val="16"/>
          <w:szCs w:val="16"/>
        </w:rPr>
        <w:t>. Resolución de la Corte Interamericana de Derechos Humanos de 22 de noviembre de 2019.</w:t>
      </w:r>
      <w:r>
        <w:rPr>
          <w:rFonts w:ascii="Verdana" w:hAnsi="Verdana"/>
          <w:sz w:val="16"/>
          <w:szCs w:val="16"/>
        </w:rPr>
        <w:t xml:space="preserve"> </w:t>
      </w:r>
      <w:r w:rsidRPr="000E4913">
        <w:rPr>
          <w:rFonts w:ascii="Verdana" w:hAnsi="Verdana" w:cs="Arial"/>
          <w:sz w:val="16"/>
          <w:shd w:val="clear" w:color="auto" w:fill="FFFFFF"/>
        </w:rPr>
        <w:t>Disponible en:</w:t>
      </w:r>
      <w:r>
        <w:rPr>
          <w:rFonts w:ascii="Verdana" w:hAnsi="Verdana" w:cs="Arial"/>
          <w:sz w:val="16"/>
          <w:shd w:val="clear" w:color="auto" w:fill="FFFFFF"/>
        </w:rPr>
        <w:t xml:space="preserve"> </w:t>
      </w:r>
      <w:hyperlink r:id="rId2" w:history="1">
        <w:r w:rsidRPr="00D01FAD">
          <w:rPr>
            <w:rStyle w:val="Hipervnculo"/>
            <w:rFonts w:ascii="Verdana" w:hAnsi="Verdana" w:cs="Arial"/>
            <w:sz w:val="16"/>
            <w:shd w:val="clear" w:color="auto" w:fill="FFFFFF"/>
          </w:rPr>
          <w:t>http://www.corteidh.or.cr/docs/supervisiones/colindres_schonenberg_22_11_19.pdf</w:t>
        </w:r>
      </w:hyperlink>
      <w:r>
        <w:rPr>
          <w:rFonts w:ascii="Verdana" w:hAnsi="Verdana" w:cs="Arial"/>
          <w:sz w:val="16"/>
          <w:shd w:val="clear" w:color="auto" w:fill="FFFFFF"/>
        </w:rPr>
        <w:t xml:space="preserve">. </w:t>
      </w:r>
    </w:p>
  </w:footnote>
  <w:footnote w:id="5">
    <w:p w14:paraId="29F44044" w14:textId="77777777" w:rsidR="00911146" w:rsidRPr="005133F3" w:rsidRDefault="00911146" w:rsidP="00911146">
      <w:pPr>
        <w:pStyle w:val="Textonotapie"/>
        <w:jc w:val="both"/>
        <w:rPr>
          <w:rFonts w:ascii="Verdana" w:hAnsi="Verdana"/>
          <w:sz w:val="16"/>
          <w:szCs w:val="16"/>
        </w:rPr>
      </w:pPr>
      <w:r w:rsidRPr="005133F3">
        <w:rPr>
          <w:rStyle w:val="Refdenotaalpie"/>
          <w:rFonts w:ascii="Verdana" w:hAnsi="Verdana"/>
          <w:sz w:val="16"/>
          <w:szCs w:val="16"/>
        </w:rPr>
        <w:footnoteRef/>
      </w:r>
      <w:r w:rsidRPr="005133F3">
        <w:rPr>
          <w:rFonts w:ascii="Verdana" w:hAnsi="Verdana"/>
          <w:sz w:val="16"/>
          <w:szCs w:val="16"/>
        </w:rPr>
        <w:t xml:space="preserve"> </w:t>
      </w:r>
      <w:r w:rsidRPr="005133F3">
        <w:rPr>
          <w:rFonts w:ascii="Verdana" w:hAnsi="Verdana"/>
          <w:sz w:val="16"/>
          <w:szCs w:val="16"/>
        </w:rPr>
        <w:tab/>
        <w:t xml:space="preserve">El Instituto de Derechos Humanos de la Universidad Centroamericana José Simeón Cañas. </w:t>
      </w:r>
    </w:p>
  </w:footnote>
  <w:footnote w:id="6">
    <w:p w14:paraId="1A5243F3" w14:textId="77777777" w:rsidR="007F76B1" w:rsidRPr="007F76B1" w:rsidRDefault="007F76B1" w:rsidP="007F76B1">
      <w:pPr>
        <w:pStyle w:val="Textonotapie"/>
        <w:jc w:val="both"/>
        <w:rPr>
          <w:rFonts w:ascii="Verdana" w:hAnsi="Verdana"/>
          <w:sz w:val="16"/>
          <w:szCs w:val="16"/>
        </w:rPr>
      </w:pPr>
      <w:r w:rsidRPr="007F76B1">
        <w:rPr>
          <w:rStyle w:val="Refdenotaalpie"/>
          <w:rFonts w:ascii="Verdana" w:hAnsi="Verdana"/>
          <w:sz w:val="16"/>
          <w:szCs w:val="16"/>
        </w:rPr>
        <w:footnoteRef/>
      </w:r>
      <w:r w:rsidRPr="007F76B1">
        <w:rPr>
          <w:rFonts w:ascii="Verdana" w:hAnsi="Verdana"/>
          <w:sz w:val="16"/>
          <w:szCs w:val="16"/>
        </w:rPr>
        <w:t xml:space="preserve"> </w:t>
      </w:r>
      <w:r w:rsidR="00146E28">
        <w:rPr>
          <w:rFonts w:ascii="Verdana" w:hAnsi="Verdana"/>
          <w:sz w:val="16"/>
          <w:szCs w:val="16"/>
        </w:rPr>
        <w:tab/>
      </w:r>
      <w:r w:rsidRPr="007F76B1">
        <w:rPr>
          <w:rFonts w:ascii="Verdana" w:hAnsi="Verdana"/>
          <w:sz w:val="16"/>
          <w:szCs w:val="16"/>
        </w:rPr>
        <w:t>Facultad que además se desprende de lo dispuesto en los artículos 33, 62.1, 62.3 y 65 de la Convención Americana sobre Derechos Humanos y 30 de su Estatuto y se encuentra regulada en el artículo 69 de su Reglamento.</w:t>
      </w:r>
    </w:p>
  </w:footnote>
  <w:footnote w:id="7">
    <w:p w14:paraId="6105938C" w14:textId="69A069ED" w:rsidR="0048077F" w:rsidRPr="0048077F" w:rsidRDefault="0048077F" w:rsidP="0048077F">
      <w:pPr>
        <w:pStyle w:val="Textonotapie"/>
        <w:jc w:val="both"/>
        <w:rPr>
          <w:rFonts w:ascii="Verdana" w:hAnsi="Verdana"/>
          <w:sz w:val="16"/>
        </w:rPr>
      </w:pPr>
      <w:r w:rsidRPr="0048077F">
        <w:rPr>
          <w:rStyle w:val="Refdenotaalpie"/>
          <w:rFonts w:ascii="Verdana" w:hAnsi="Verdana"/>
          <w:sz w:val="16"/>
        </w:rPr>
        <w:footnoteRef/>
      </w:r>
      <w:r w:rsidRPr="0048077F">
        <w:rPr>
          <w:rFonts w:ascii="Verdana" w:hAnsi="Verdana"/>
          <w:sz w:val="16"/>
        </w:rPr>
        <w:t xml:space="preserve"> </w:t>
      </w:r>
      <w:r w:rsidR="00146E28">
        <w:rPr>
          <w:rFonts w:ascii="Verdana" w:hAnsi="Verdana"/>
          <w:sz w:val="16"/>
        </w:rPr>
        <w:tab/>
      </w:r>
      <w:r w:rsidRPr="0048077F">
        <w:rPr>
          <w:rFonts w:ascii="Verdana" w:hAnsi="Verdana"/>
          <w:i/>
          <w:sz w:val="16"/>
        </w:rPr>
        <w:t>Cfr</w:t>
      </w:r>
      <w:r>
        <w:rPr>
          <w:rFonts w:ascii="Verdana" w:hAnsi="Verdana"/>
          <w:sz w:val="16"/>
        </w:rPr>
        <w:t xml:space="preserve">. </w:t>
      </w:r>
      <w:r w:rsidRPr="007F76B1">
        <w:rPr>
          <w:rFonts w:ascii="Verdana" w:hAnsi="Verdana"/>
          <w:i/>
          <w:sz w:val="16"/>
          <w:szCs w:val="16"/>
        </w:rPr>
        <w:t>Caso Colindr</w:t>
      </w:r>
      <w:r>
        <w:rPr>
          <w:rFonts w:ascii="Verdana" w:hAnsi="Verdana"/>
          <w:i/>
          <w:sz w:val="16"/>
          <w:szCs w:val="16"/>
        </w:rPr>
        <w:t xml:space="preserve">es </w:t>
      </w:r>
      <w:proofErr w:type="spellStart"/>
      <w:r>
        <w:rPr>
          <w:rFonts w:ascii="Verdana" w:hAnsi="Verdana"/>
          <w:i/>
          <w:sz w:val="16"/>
          <w:szCs w:val="16"/>
        </w:rPr>
        <w:t>Schonenberg</w:t>
      </w:r>
      <w:proofErr w:type="spellEnd"/>
      <w:r>
        <w:rPr>
          <w:rFonts w:ascii="Verdana" w:hAnsi="Verdana"/>
          <w:i/>
          <w:sz w:val="16"/>
          <w:szCs w:val="16"/>
        </w:rPr>
        <w:t xml:space="preserve"> Vs. El Salvador, supra </w:t>
      </w:r>
      <w:r>
        <w:rPr>
          <w:rFonts w:ascii="Verdana" w:hAnsi="Verdana"/>
          <w:sz w:val="16"/>
          <w:szCs w:val="16"/>
        </w:rPr>
        <w:t xml:space="preserve">nota </w:t>
      </w:r>
      <w:r w:rsidR="006B3E10">
        <w:rPr>
          <w:rFonts w:ascii="Verdana" w:hAnsi="Verdana"/>
          <w:sz w:val="16"/>
          <w:szCs w:val="16"/>
        </w:rPr>
        <w:t>3</w:t>
      </w:r>
      <w:r>
        <w:rPr>
          <w:rFonts w:ascii="Verdana" w:hAnsi="Verdana"/>
          <w:sz w:val="16"/>
          <w:szCs w:val="16"/>
        </w:rPr>
        <w:t>,</w:t>
      </w:r>
      <w:r w:rsidR="006B3E10">
        <w:rPr>
          <w:rFonts w:ascii="Verdana" w:hAnsi="Verdana"/>
          <w:sz w:val="16"/>
          <w:szCs w:val="16"/>
        </w:rPr>
        <w:t xml:space="preserve"> Considerando 6</w:t>
      </w:r>
      <w:r w:rsidRPr="0048077F">
        <w:rPr>
          <w:rFonts w:ascii="Verdana" w:hAnsi="Verdana"/>
          <w:sz w:val="16"/>
          <w:szCs w:val="16"/>
        </w:rPr>
        <w:t>.</w:t>
      </w:r>
      <w:r>
        <w:rPr>
          <w:rFonts w:ascii="Verdana" w:hAnsi="Verdana"/>
          <w:sz w:val="16"/>
        </w:rPr>
        <w:t xml:space="preserve"> </w:t>
      </w:r>
    </w:p>
  </w:footnote>
  <w:footnote w:id="8">
    <w:p w14:paraId="2DFA4CA2" w14:textId="21D1088F" w:rsidR="00FF42B8" w:rsidRPr="006711CF" w:rsidRDefault="00FF42B8" w:rsidP="00FF42B8">
      <w:pPr>
        <w:pStyle w:val="Textonotapie"/>
        <w:jc w:val="both"/>
        <w:rPr>
          <w:rFonts w:ascii="Verdana" w:hAnsi="Verdana"/>
          <w:sz w:val="16"/>
          <w:szCs w:val="16"/>
        </w:rPr>
      </w:pPr>
      <w:r w:rsidRPr="00FF42B8">
        <w:rPr>
          <w:rStyle w:val="Refdenotaalpie"/>
          <w:rFonts w:ascii="Verdana" w:hAnsi="Verdana"/>
          <w:sz w:val="16"/>
          <w:szCs w:val="16"/>
        </w:rPr>
        <w:footnoteRef/>
      </w:r>
      <w:r w:rsidRPr="00FF42B8">
        <w:rPr>
          <w:rFonts w:ascii="Verdana" w:hAnsi="Verdana"/>
          <w:sz w:val="16"/>
          <w:szCs w:val="16"/>
        </w:rPr>
        <w:t xml:space="preserve"> </w:t>
      </w:r>
      <w:r w:rsidR="006B3E10">
        <w:rPr>
          <w:rFonts w:ascii="Verdana" w:hAnsi="Verdana"/>
          <w:sz w:val="16"/>
          <w:szCs w:val="16"/>
        </w:rPr>
        <w:tab/>
      </w:r>
      <w:r w:rsidRPr="00FF42B8">
        <w:rPr>
          <w:rFonts w:ascii="Verdana" w:hAnsi="Verdana"/>
          <w:i/>
          <w:sz w:val="16"/>
          <w:szCs w:val="16"/>
        </w:rPr>
        <w:t>Cfr. Caso Cinco Pensionistas Vs. Perú. Supervisión de cumplimiento de Sentencia</w:t>
      </w:r>
      <w:r w:rsidRPr="00FF42B8">
        <w:rPr>
          <w:rFonts w:ascii="Verdana" w:hAnsi="Verdana"/>
          <w:sz w:val="16"/>
          <w:szCs w:val="16"/>
        </w:rPr>
        <w:t xml:space="preserve">. Resolución de la Corte Interamericana de Derechos Humanos de 17 de noviembre de 2004, Considerando 5, y </w:t>
      </w:r>
      <w:r w:rsidRPr="00FF42B8">
        <w:rPr>
          <w:rFonts w:ascii="Verdana" w:hAnsi="Verdana"/>
          <w:i/>
          <w:sz w:val="16"/>
          <w:szCs w:val="16"/>
        </w:rPr>
        <w:t>Caso Villamizar Durán y otros Vs. Colombia. Supervisión de Cumplimiento de Sentencia</w:t>
      </w:r>
      <w:r w:rsidRPr="00FF42B8">
        <w:rPr>
          <w:rFonts w:ascii="Verdana" w:hAnsi="Verdana"/>
          <w:sz w:val="16"/>
          <w:szCs w:val="16"/>
        </w:rPr>
        <w:t>. Resolución de la Corte Interamericana de Derechos Hum</w:t>
      </w:r>
      <w:r>
        <w:rPr>
          <w:rFonts w:ascii="Verdana" w:hAnsi="Verdana"/>
          <w:sz w:val="16"/>
          <w:szCs w:val="16"/>
        </w:rPr>
        <w:t>anos de 2 de septiembre de 2020, Considerando 2.</w:t>
      </w:r>
    </w:p>
  </w:footnote>
  <w:footnote w:id="9">
    <w:p w14:paraId="6F6A86F3" w14:textId="72BA9071" w:rsidR="006B3E10" w:rsidRPr="006B3E10" w:rsidRDefault="006B3E10" w:rsidP="00CF0B2C">
      <w:pPr>
        <w:pStyle w:val="Textonotapie"/>
        <w:jc w:val="both"/>
      </w:pPr>
      <w:r>
        <w:rPr>
          <w:rStyle w:val="Refdenotaalpie"/>
        </w:rPr>
        <w:footnoteRef/>
      </w:r>
      <w:r>
        <w:t xml:space="preserve"> </w:t>
      </w:r>
      <w:r>
        <w:tab/>
      </w:r>
      <w:r w:rsidRPr="00DF050C">
        <w:rPr>
          <w:rFonts w:ascii="Verdana" w:hAnsi="Verdana"/>
          <w:i/>
          <w:sz w:val="16"/>
          <w:szCs w:val="16"/>
        </w:rPr>
        <w:t xml:space="preserve">Cfr. Caso </w:t>
      </w:r>
      <w:proofErr w:type="spellStart"/>
      <w:r w:rsidRPr="00DF050C">
        <w:rPr>
          <w:rFonts w:ascii="Verdana" w:hAnsi="Verdana"/>
          <w:i/>
          <w:sz w:val="16"/>
          <w:szCs w:val="16"/>
        </w:rPr>
        <w:t>Ivcher</w:t>
      </w:r>
      <w:proofErr w:type="spellEnd"/>
      <w:r w:rsidRPr="00DF050C">
        <w:rPr>
          <w:rFonts w:ascii="Verdana" w:hAnsi="Verdana"/>
          <w:i/>
          <w:sz w:val="16"/>
          <w:szCs w:val="16"/>
        </w:rPr>
        <w:t xml:space="preserve"> </w:t>
      </w:r>
      <w:proofErr w:type="spellStart"/>
      <w:r w:rsidRPr="00DF050C">
        <w:rPr>
          <w:rFonts w:ascii="Verdana" w:hAnsi="Verdana"/>
          <w:i/>
          <w:sz w:val="16"/>
          <w:szCs w:val="16"/>
        </w:rPr>
        <w:t>Bronstein</w:t>
      </w:r>
      <w:proofErr w:type="spellEnd"/>
      <w:r w:rsidRPr="00DF050C">
        <w:rPr>
          <w:rFonts w:ascii="Verdana" w:hAnsi="Verdana"/>
          <w:i/>
          <w:sz w:val="16"/>
          <w:szCs w:val="16"/>
        </w:rPr>
        <w:t xml:space="preserve"> Vs. Perú. Competencia.</w:t>
      </w:r>
      <w:r w:rsidRPr="00DF050C">
        <w:rPr>
          <w:rFonts w:ascii="Verdana" w:hAnsi="Verdana"/>
          <w:sz w:val="16"/>
          <w:szCs w:val="16"/>
        </w:rPr>
        <w:t xml:space="preserve"> Sentencia de la Corte Interamericana de Derechos Humanos de 24 de septiembre de 1999. Serie C No. 54, párr. 37,</w:t>
      </w:r>
      <w:r>
        <w:rPr>
          <w:rFonts w:ascii="Verdana" w:hAnsi="Verdana"/>
          <w:sz w:val="16"/>
          <w:szCs w:val="16"/>
        </w:rPr>
        <w:t xml:space="preserve"> y </w:t>
      </w:r>
      <w:r w:rsidRPr="00FF42B8">
        <w:rPr>
          <w:rFonts w:ascii="Verdana" w:hAnsi="Verdana"/>
          <w:i/>
          <w:sz w:val="16"/>
          <w:szCs w:val="16"/>
        </w:rPr>
        <w:t>Caso Villamizar Durán y otros Vs. Colombia</w:t>
      </w:r>
      <w:r>
        <w:rPr>
          <w:rFonts w:ascii="Verdana" w:hAnsi="Verdana"/>
          <w:i/>
          <w:sz w:val="16"/>
          <w:szCs w:val="16"/>
        </w:rPr>
        <w:t xml:space="preserve">, supra </w:t>
      </w:r>
      <w:r w:rsidRPr="00CF0B2C">
        <w:rPr>
          <w:rFonts w:ascii="Verdana" w:hAnsi="Verdana"/>
          <w:sz w:val="16"/>
          <w:szCs w:val="16"/>
        </w:rPr>
        <w:t>nota 7, Considerando 2.</w:t>
      </w:r>
    </w:p>
  </w:footnote>
  <w:footnote w:id="10">
    <w:p w14:paraId="462152B6" w14:textId="1A8FD2D2" w:rsidR="00A00A38" w:rsidRPr="00CF0B2C" w:rsidRDefault="00A00A38" w:rsidP="00CF0B2C">
      <w:pPr>
        <w:pStyle w:val="Textonotapie"/>
        <w:jc w:val="both"/>
        <w:rPr>
          <w:rFonts w:ascii="Verdana" w:hAnsi="Verdana"/>
          <w:sz w:val="16"/>
          <w:szCs w:val="16"/>
        </w:rPr>
      </w:pPr>
      <w:r w:rsidRPr="00CF0B2C">
        <w:rPr>
          <w:rStyle w:val="Refdenotaalpie"/>
          <w:rFonts w:ascii="Verdana" w:hAnsi="Verdana"/>
          <w:sz w:val="16"/>
          <w:szCs w:val="16"/>
        </w:rPr>
        <w:footnoteRef/>
      </w:r>
      <w:r w:rsidRPr="00CF0B2C">
        <w:rPr>
          <w:rFonts w:ascii="Verdana" w:hAnsi="Verdana"/>
          <w:sz w:val="16"/>
          <w:szCs w:val="16"/>
        </w:rPr>
        <w:t xml:space="preserve"> </w:t>
      </w:r>
      <w:r w:rsidRPr="00CF0B2C">
        <w:rPr>
          <w:rFonts w:ascii="Verdana" w:hAnsi="Verdana"/>
          <w:sz w:val="16"/>
          <w:szCs w:val="16"/>
          <w:lang w:val="es-ES"/>
        </w:rPr>
        <w:tab/>
        <w:t xml:space="preserve">En relación al daño material, en el párrafo 142, “la Corte </w:t>
      </w:r>
      <w:proofErr w:type="spellStart"/>
      <w:r w:rsidRPr="00CF0B2C">
        <w:rPr>
          <w:rFonts w:ascii="Verdana" w:hAnsi="Verdana"/>
          <w:sz w:val="16"/>
          <w:szCs w:val="16"/>
          <w:lang w:val="es-ES"/>
        </w:rPr>
        <w:t>estim</w:t>
      </w:r>
      <w:proofErr w:type="spellEnd"/>
      <w:r w:rsidR="00CF0B2C" w:rsidRPr="00CF0B2C">
        <w:rPr>
          <w:rFonts w:ascii="Verdana" w:hAnsi="Verdana"/>
          <w:sz w:val="16"/>
          <w:szCs w:val="16"/>
          <w:lang w:val="es-ES"/>
        </w:rPr>
        <w:t>[</w:t>
      </w:r>
      <w:proofErr w:type="spellStart"/>
      <w:r w:rsidRPr="00CF0B2C">
        <w:rPr>
          <w:rFonts w:ascii="Verdana" w:hAnsi="Verdana"/>
          <w:sz w:val="16"/>
          <w:szCs w:val="16"/>
          <w:lang w:val="es-ES"/>
        </w:rPr>
        <w:t>ó</w:t>
      </w:r>
      <w:proofErr w:type="spellEnd"/>
      <w:r w:rsidR="00CF0B2C" w:rsidRPr="00CF0B2C">
        <w:rPr>
          <w:rFonts w:ascii="Verdana" w:hAnsi="Verdana"/>
          <w:sz w:val="16"/>
          <w:szCs w:val="16"/>
          <w:lang w:val="es-ES"/>
        </w:rPr>
        <w:t>]</w:t>
      </w:r>
      <w:r w:rsidRPr="00CF0B2C">
        <w:rPr>
          <w:rFonts w:ascii="Verdana" w:hAnsi="Verdana"/>
          <w:sz w:val="16"/>
          <w:szCs w:val="16"/>
          <w:lang w:val="es-ES"/>
        </w:rPr>
        <w:t xml:space="preserve"> </w:t>
      </w:r>
      <w:r w:rsidRPr="00CF0B2C">
        <w:rPr>
          <w:rFonts w:ascii="Verdana" w:hAnsi="Verdana"/>
          <w:sz w:val="16"/>
          <w:szCs w:val="16"/>
        </w:rPr>
        <w:t xml:space="preserve">razonable fijar la cantidad de US$ 32.000,00 (treinta y dos mil dólares de los Estados Unidos de América) por concepto de ingresos dejados de percibir, a favor del señor Eduardo Benjamín Colindres </w:t>
      </w:r>
      <w:proofErr w:type="spellStart"/>
      <w:r w:rsidRPr="00CF0B2C">
        <w:rPr>
          <w:rFonts w:ascii="Verdana" w:hAnsi="Verdana"/>
          <w:sz w:val="16"/>
          <w:szCs w:val="16"/>
        </w:rPr>
        <w:t>Schonenberg</w:t>
      </w:r>
      <w:proofErr w:type="spellEnd"/>
      <w:r w:rsidRPr="00CF0B2C">
        <w:rPr>
          <w:rFonts w:ascii="Verdana" w:hAnsi="Verdana"/>
          <w:sz w:val="16"/>
          <w:szCs w:val="16"/>
        </w:rPr>
        <w:t>”.</w:t>
      </w:r>
    </w:p>
    <w:p w14:paraId="4DCF3C03" w14:textId="39ADD0B6" w:rsidR="00A00A38" w:rsidRPr="00CF0B2C" w:rsidRDefault="00A00A38" w:rsidP="00CF0B2C">
      <w:pPr>
        <w:pStyle w:val="Textonotapie"/>
        <w:jc w:val="both"/>
        <w:rPr>
          <w:lang w:val="es-ES"/>
        </w:rPr>
      </w:pPr>
      <w:r w:rsidRPr="00CF0B2C">
        <w:rPr>
          <w:rFonts w:ascii="Verdana" w:hAnsi="Verdana"/>
          <w:sz w:val="16"/>
          <w:szCs w:val="16"/>
        </w:rPr>
        <w:tab/>
        <w:t xml:space="preserve">En cuanto al daño inmaterial, en el párrafo 147, </w:t>
      </w:r>
      <w:r w:rsidR="00DA25C7">
        <w:rPr>
          <w:rFonts w:ascii="Verdana" w:hAnsi="Verdana"/>
          <w:sz w:val="16"/>
          <w:szCs w:val="16"/>
        </w:rPr>
        <w:t>la Corte fijó, “</w:t>
      </w:r>
      <w:r w:rsidR="00CF0B2C" w:rsidRPr="00CF0B2C">
        <w:rPr>
          <w:rFonts w:ascii="Verdana" w:hAnsi="Verdana"/>
          <w:sz w:val="16"/>
          <w:szCs w:val="16"/>
        </w:rPr>
        <w:t>en equidad, la cantidad de US$ 10.000,00 (diez mil dólares de los Estados Unidos de América)”.</w:t>
      </w:r>
    </w:p>
  </w:footnote>
  <w:footnote w:id="11">
    <w:p w14:paraId="46C2E0AE" w14:textId="4BEA944A" w:rsidR="00DA25C7" w:rsidRPr="00DA25C7" w:rsidRDefault="00DA25C7" w:rsidP="00DA25C7">
      <w:pPr>
        <w:pStyle w:val="Textonotapie"/>
        <w:jc w:val="both"/>
        <w:rPr>
          <w:rFonts w:ascii="Verdana" w:hAnsi="Verdana"/>
          <w:sz w:val="16"/>
          <w:szCs w:val="16"/>
        </w:rPr>
      </w:pPr>
      <w:r w:rsidRPr="00DA25C7">
        <w:rPr>
          <w:rStyle w:val="Refdenotaalpie"/>
          <w:rFonts w:ascii="Verdana" w:hAnsi="Verdana"/>
          <w:sz w:val="16"/>
          <w:szCs w:val="16"/>
        </w:rPr>
        <w:footnoteRef/>
      </w:r>
      <w:r w:rsidRPr="00DA25C7">
        <w:rPr>
          <w:rFonts w:ascii="Verdana" w:hAnsi="Verdana"/>
          <w:sz w:val="16"/>
          <w:szCs w:val="16"/>
        </w:rPr>
        <w:t xml:space="preserve"> </w:t>
      </w:r>
      <w:r w:rsidRPr="00DA25C7">
        <w:rPr>
          <w:rFonts w:ascii="Verdana" w:hAnsi="Verdana"/>
          <w:sz w:val="16"/>
          <w:szCs w:val="16"/>
        </w:rPr>
        <w:tab/>
        <w:t xml:space="preserve">El </w:t>
      </w:r>
      <w:r w:rsidRPr="00CC7F61">
        <w:rPr>
          <w:rFonts w:ascii="Verdana" w:hAnsi="Verdana"/>
          <w:i/>
          <w:sz w:val="16"/>
          <w:szCs w:val="16"/>
        </w:rPr>
        <w:t>Estado</w:t>
      </w:r>
      <w:r w:rsidRPr="00DA25C7">
        <w:rPr>
          <w:rFonts w:ascii="Verdana" w:hAnsi="Verdana"/>
          <w:sz w:val="16"/>
          <w:szCs w:val="16"/>
        </w:rPr>
        <w:t xml:space="preserve"> informó que el 16 de octubre de 2020 se llevó a cabo el pago de las indemnizaciones por daños material e inmaterial causados al señor Colindres </w:t>
      </w:r>
      <w:proofErr w:type="spellStart"/>
      <w:r w:rsidRPr="00DA25C7">
        <w:rPr>
          <w:rFonts w:ascii="Verdana" w:hAnsi="Verdana"/>
          <w:sz w:val="16"/>
          <w:szCs w:val="16"/>
        </w:rPr>
        <w:t>Schonenberg</w:t>
      </w:r>
      <w:proofErr w:type="spellEnd"/>
      <w:r w:rsidRPr="00DA25C7">
        <w:rPr>
          <w:rFonts w:ascii="Verdana" w:hAnsi="Verdana"/>
          <w:sz w:val="16"/>
          <w:szCs w:val="16"/>
        </w:rPr>
        <w:t xml:space="preserve">. Éste fue realizado a la “apoderada general administrativa” de dicha víctima. Como comprobantes del pago, el Estado aportó un “acta </w:t>
      </w:r>
      <w:proofErr w:type="gramStart"/>
      <w:r w:rsidRPr="00DA25C7">
        <w:rPr>
          <w:rFonts w:ascii="Verdana" w:hAnsi="Verdana"/>
          <w:sz w:val="16"/>
          <w:szCs w:val="16"/>
        </w:rPr>
        <w:t>notarial[</w:t>
      </w:r>
      <w:proofErr w:type="gramEnd"/>
      <w:r w:rsidRPr="00DA25C7">
        <w:rPr>
          <w:rFonts w:ascii="Verdana" w:hAnsi="Verdana"/>
          <w:sz w:val="16"/>
          <w:szCs w:val="16"/>
        </w:rPr>
        <w:t>, en la que comparecieron una representante del Ministerio de Relaciones Exteriores y la apoderada de la víctima] y un recibo[,] por los cuales fue formalizado dicho pago”</w:t>
      </w:r>
      <w:r>
        <w:rPr>
          <w:rFonts w:ascii="Verdana" w:hAnsi="Verdana"/>
          <w:sz w:val="16"/>
          <w:szCs w:val="16"/>
        </w:rPr>
        <w:t xml:space="preserve">. </w:t>
      </w:r>
      <w:r w:rsidRPr="008124D0">
        <w:rPr>
          <w:rFonts w:ascii="Verdana" w:hAnsi="Verdana"/>
          <w:i/>
          <w:sz w:val="16"/>
        </w:rPr>
        <w:t>Cfr.</w:t>
      </w:r>
      <w:r>
        <w:rPr>
          <w:rFonts w:ascii="Verdana" w:hAnsi="Verdana"/>
          <w:sz w:val="16"/>
        </w:rPr>
        <w:t xml:space="preserve"> Acta notarial de 16 de octubre de 2020 en la que comparecieron Tania Camila Rosa, en su carácter de Directora General de Derechos Humanos del Ministerio de Relaciones Exteriores y delegada de la señora Ministra de Relaciones Exteriores para comparecer en ese acto, y la señora Carolina Haydee Mendoza de </w:t>
      </w:r>
      <w:proofErr w:type="spellStart"/>
      <w:r>
        <w:rPr>
          <w:rFonts w:ascii="Verdana" w:hAnsi="Verdana"/>
          <w:sz w:val="16"/>
        </w:rPr>
        <w:t>Oqueli</w:t>
      </w:r>
      <w:proofErr w:type="spellEnd"/>
      <w:r>
        <w:rPr>
          <w:rFonts w:ascii="Verdana" w:hAnsi="Verdana"/>
          <w:sz w:val="16"/>
        </w:rPr>
        <w:t xml:space="preserve">, en calidad de apoderada general administrativa del señor Eduardo Benjamín Colindres, y </w:t>
      </w:r>
      <w:r w:rsidR="005D6CCB">
        <w:rPr>
          <w:rFonts w:ascii="Verdana" w:hAnsi="Verdana"/>
          <w:sz w:val="16"/>
        </w:rPr>
        <w:t xml:space="preserve">recibo </w:t>
      </w:r>
      <w:r>
        <w:rPr>
          <w:rFonts w:ascii="Verdana" w:hAnsi="Verdana"/>
          <w:sz w:val="16"/>
        </w:rPr>
        <w:t xml:space="preserve">de dinero por la suma de $42.000 USD, firmado por la señora Carolina Haydee Mendoza de </w:t>
      </w:r>
      <w:proofErr w:type="spellStart"/>
      <w:r>
        <w:rPr>
          <w:rFonts w:ascii="Verdana" w:hAnsi="Verdana"/>
          <w:sz w:val="16"/>
        </w:rPr>
        <w:t>Oqueli</w:t>
      </w:r>
      <w:proofErr w:type="spellEnd"/>
      <w:r>
        <w:rPr>
          <w:rFonts w:ascii="Verdana" w:hAnsi="Verdana"/>
          <w:sz w:val="16"/>
        </w:rPr>
        <w:t>, en calidad de apoderada general administrativa del señor Eduardo Benjamín Colindres, de 16 de octubre de 2020 (a</w:t>
      </w:r>
      <w:r w:rsidRPr="00DC2134">
        <w:rPr>
          <w:rFonts w:ascii="Verdana" w:hAnsi="Verdana"/>
          <w:sz w:val="16"/>
        </w:rPr>
        <w:t xml:space="preserve">nexo al </w:t>
      </w:r>
      <w:r>
        <w:rPr>
          <w:rFonts w:ascii="Verdana" w:hAnsi="Verdana"/>
          <w:sz w:val="16"/>
        </w:rPr>
        <w:t>informe</w:t>
      </w:r>
      <w:r w:rsidRPr="00DC2134">
        <w:rPr>
          <w:rFonts w:ascii="Verdana" w:hAnsi="Verdana"/>
          <w:sz w:val="16"/>
        </w:rPr>
        <w:t xml:space="preserve"> estatal de 16 de octubre de 2020</w:t>
      </w:r>
      <w:r>
        <w:rPr>
          <w:rFonts w:ascii="Verdana" w:hAnsi="Verdana"/>
          <w:sz w:val="16"/>
        </w:rPr>
        <w:t>)</w:t>
      </w:r>
      <w:r w:rsidRPr="00DC2134">
        <w:rPr>
          <w:rFonts w:ascii="Verdana" w:hAnsi="Verdana"/>
          <w:sz w:val="16"/>
        </w:rPr>
        <w:t xml:space="preserve">. </w:t>
      </w:r>
    </w:p>
  </w:footnote>
  <w:footnote w:id="12">
    <w:p w14:paraId="732F0E27" w14:textId="0147B5C6" w:rsidR="00E20433" w:rsidRPr="00E20433" w:rsidRDefault="00E20433" w:rsidP="00E20433">
      <w:pPr>
        <w:pStyle w:val="Textonotapie"/>
        <w:jc w:val="both"/>
        <w:rPr>
          <w:rFonts w:ascii="Verdana" w:hAnsi="Verdana"/>
          <w:sz w:val="16"/>
          <w:szCs w:val="16"/>
        </w:rPr>
      </w:pPr>
      <w:r w:rsidRPr="00E20433">
        <w:rPr>
          <w:rStyle w:val="Refdenotaalpie"/>
          <w:rFonts w:ascii="Verdana" w:hAnsi="Verdana"/>
          <w:sz w:val="16"/>
          <w:szCs w:val="16"/>
        </w:rPr>
        <w:footnoteRef/>
      </w:r>
      <w:r w:rsidRPr="00E20433">
        <w:rPr>
          <w:rFonts w:ascii="Verdana" w:hAnsi="Verdana"/>
          <w:sz w:val="16"/>
          <w:szCs w:val="16"/>
        </w:rPr>
        <w:t xml:space="preserve"> </w:t>
      </w:r>
      <w:r w:rsidRPr="00E20433">
        <w:rPr>
          <w:rFonts w:ascii="Verdana" w:hAnsi="Verdana"/>
          <w:sz w:val="16"/>
          <w:szCs w:val="16"/>
        </w:rPr>
        <w:tab/>
      </w:r>
      <w:r>
        <w:rPr>
          <w:rFonts w:ascii="Verdana" w:hAnsi="Verdana"/>
          <w:sz w:val="16"/>
          <w:szCs w:val="16"/>
        </w:rPr>
        <w:t>L</w:t>
      </w:r>
      <w:r w:rsidRPr="00E20433">
        <w:rPr>
          <w:rFonts w:ascii="Verdana" w:hAnsi="Verdana"/>
          <w:sz w:val="16"/>
          <w:szCs w:val="16"/>
        </w:rPr>
        <w:t xml:space="preserve">os </w:t>
      </w:r>
      <w:r w:rsidRPr="00E20433">
        <w:rPr>
          <w:rFonts w:ascii="Verdana" w:hAnsi="Verdana"/>
          <w:i/>
          <w:sz w:val="16"/>
          <w:szCs w:val="16"/>
        </w:rPr>
        <w:t>representantes</w:t>
      </w:r>
      <w:r w:rsidRPr="00E20433">
        <w:rPr>
          <w:rFonts w:ascii="Verdana" w:hAnsi="Verdana"/>
          <w:sz w:val="16"/>
          <w:szCs w:val="16"/>
        </w:rPr>
        <w:t xml:space="preserve"> confirmaron que “efectivamente el día 16 de octubre del presente año, se realizó por medio de representantes del Estado y la apoderada administrativa del señor Eduardo Colindres </w:t>
      </w:r>
      <w:proofErr w:type="spellStart"/>
      <w:r w:rsidRPr="00E20433">
        <w:rPr>
          <w:rFonts w:ascii="Verdana" w:hAnsi="Verdana"/>
          <w:sz w:val="16"/>
          <w:szCs w:val="16"/>
        </w:rPr>
        <w:t>Schonenberg</w:t>
      </w:r>
      <w:proofErr w:type="spellEnd"/>
      <w:r w:rsidRPr="00E20433">
        <w:rPr>
          <w:rFonts w:ascii="Verdana" w:hAnsi="Verdana"/>
          <w:sz w:val="16"/>
          <w:szCs w:val="16"/>
        </w:rPr>
        <w:t xml:space="preserve">, [una] reunión en la cual se hizo </w:t>
      </w:r>
      <w:r w:rsidRPr="00E20433">
        <w:rPr>
          <w:rFonts w:ascii="Verdana" w:hAnsi="Verdana" w:cstheme="minorBidi"/>
          <w:sz w:val="16"/>
          <w:szCs w:val="16"/>
        </w:rPr>
        <w:t xml:space="preserve">la entrega de un cheque bajo la cantidad de cuarenta y dos mil dólares de los Estados Unidos de América, en concepto de ingresos dejados de percibir y reparación al daño moral ocasionado por la vulneración de derechos”.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35A3E"/>
    <w:multiLevelType w:val="hybridMultilevel"/>
    <w:tmpl w:val="B4D6E3F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1E0A2C56"/>
    <w:multiLevelType w:val="hybridMultilevel"/>
    <w:tmpl w:val="14EADE06"/>
    <w:lvl w:ilvl="0" w:tplc="7B7E1708">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1AD2E81"/>
    <w:multiLevelType w:val="hybridMultilevel"/>
    <w:tmpl w:val="4B08D02C"/>
    <w:lvl w:ilvl="0" w:tplc="AC08401A">
      <w:start w:val="1"/>
      <w:numFmt w:val="decimal"/>
      <w:lvlText w:val="%1."/>
      <w:lvlJc w:val="left"/>
      <w:pPr>
        <w:ind w:left="218" w:hanging="360"/>
      </w:pPr>
      <w:rPr>
        <w:rFonts w:hint="default"/>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3" w15:restartNumberingAfterBreak="0">
    <w:nsid w:val="33213AF6"/>
    <w:multiLevelType w:val="hybridMultilevel"/>
    <w:tmpl w:val="FF7CFA04"/>
    <w:lvl w:ilvl="0" w:tplc="FC0E3B72">
      <w:start w:val="1"/>
      <w:numFmt w:val="decimal"/>
      <w:lvlText w:val="%1."/>
      <w:lvlJc w:val="left"/>
      <w:pPr>
        <w:ind w:left="218" w:hanging="360"/>
      </w:pPr>
      <w:rPr>
        <w:rFonts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4" w15:restartNumberingAfterBreak="0">
    <w:nsid w:val="58DB1541"/>
    <w:multiLevelType w:val="hybridMultilevel"/>
    <w:tmpl w:val="5D2CE372"/>
    <w:lvl w:ilvl="0" w:tplc="2888413E">
      <w:start w:val="1"/>
      <w:numFmt w:val="decimal"/>
      <w:lvlText w:val="%1."/>
      <w:lvlJc w:val="left"/>
      <w:pPr>
        <w:ind w:left="218" w:hanging="360"/>
      </w:pPr>
      <w:rPr>
        <w:rFonts w:ascii="Verdana" w:hAnsi="Verdana" w:hint="default"/>
        <w:sz w:val="20"/>
        <w:szCs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5" w15:restartNumberingAfterBreak="0">
    <w:nsid w:val="67ED2A3F"/>
    <w:multiLevelType w:val="hybridMultilevel"/>
    <w:tmpl w:val="A7F4C7DE"/>
    <w:lvl w:ilvl="0" w:tplc="37A2B598">
      <w:start w:val="1"/>
      <w:numFmt w:val="upperLetter"/>
      <w:lvlText w:val="%1."/>
      <w:lvlJc w:val="left"/>
      <w:pPr>
        <w:ind w:left="1068" w:hanging="360"/>
      </w:pPr>
      <w:rPr>
        <w:rFonts w:cs="Calibri" w:hint="default"/>
        <w:sz w:val="20"/>
        <w:szCs w:val="20"/>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6" w15:restartNumberingAfterBreak="0">
    <w:nsid w:val="68FA15B3"/>
    <w:multiLevelType w:val="hybridMultilevel"/>
    <w:tmpl w:val="13748EAE"/>
    <w:lvl w:ilvl="0" w:tplc="1B26C326">
      <w:start w:val="1"/>
      <w:numFmt w:val="decimal"/>
      <w:lvlText w:val="%1."/>
      <w:lvlJc w:val="left"/>
      <w:pPr>
        <w:ind w:left="218" w:hanging="360"/>
      </w:pPr>
      <w:rPr>
        <w:rFonts w:cs="Calibri" w:hint="default"/>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21B"/>
    <w:rsid w:val="00004AD7"/>
    <w:rsid w:val="000321A3"/>
    <w:rsid w:val="00094A53"/>
    <w:rsid w:val="00095C7F"/>
    <w:rsid w:val="000C2C8A"/>
    <w:rsid w:val="000E4913"/>
    <w:rsid w:val="00101D05"/>
    <w:rsid w:val="001154BE"/>
    <w:rsid w:val="00124C1A"/>
    <w:rsid w:val="00146E28"/>
    <w:rsid w:val="001A1EA8"/>
    <w:rsid w:val="001F5D4E"/>
    <w:rsid w:val="00225948"/>
    <w:rsid w:val="002477E6"/>
    <w:rsid w:val="00257706"/>
    <w:rsid w:val="00276FCE"/>
    <w:rsid w:val="00277834"/>
    <w:rsid w:val="002F0DCC"/>
    <w:rsid w:val="00303B65"/>
    <w:rsid w:val="0035233E"/>
    <w:rsid w:val="00375079"/>
    <w:rsid w:val="003E3697"/>
    <w:rsid w:val="003F2A0D"/>
    <w:rsid w:val="0043058C"/>
    <w:rsid w:val="00432B6D"/>
    <w:rsid w:val="00437F7E"/>
    <w:rsid w:val="0048077F"/>
    <w:rsid w:val="004C6BAC"/>
    <w:rsid w:val="004F518F"/>
    <w:rsid w:val="00576EDF"/>
    <w:rsid w:val="005A44EA"/>
    <w:rsid w:val="005D6CCB"/>
    <w:rsid w:val="005F1FC0"/>
    <w:rsid w:val="006427E5"/>
    <w:rsid w:val="0066321B"/>
    <w:rsid w:val="006711CF"/>
    <w:rsid w:val="00675A46"/>
    <w:rsid w:val="00692C8A"/>
    <w:rsid w:val="00693B76"/>
    <w:rsid w:val="006A4C43"/>
    <w:rsid w:val="006B3E10"/>
    <w:rsid w:val="006C6876"/>
    <w:rsid w:val="0073299B"/>
    <w:rsid w:val="00742BD2"/>
    <w:rsid w:val="007A61C1"/>
    <w:rsid w:val="007A71A7"/>
    <w:rsid w:val="007F76B1"/>
    <w:rsid w:val="008124D0"/>
    <w:rsid w:val="00847206"/>
    <w:rsid w:val="008523FD"/>
    <w:rsid w:val="0089435A"/>
    <w:rsid w:val="008A6A06"/>
    <w:rsid w:val="008D03A8"/>
    <w:rsid w:val="008F153B"/>
    <w:rsid w:val="00911146"/>
    <w:rsid w:val="00920ECE"/>
    <w:rsid w:val="00941B5B"/>
    <w:rsid w:val="00943616"/>
    <w:rsid w:val="00954A44"/>
    <w:rsid w:val="009F41A9"/>
    <w:rsid w:val="00A00A38"/>
    <w:rsid w:val="00A0284B"/>
    <w:rsid w:val="00A85FFA"/>
    <w:rsid w:val="00AE3A47"/>
    <w:rsid w:val="00B16011"/>
    <w:rsid w:val="00B539F5"/>
    <w:rsid w:val="00B625F7"/>
    <w:rsid w:val="00B83043"/>
    <w:rsid w:val="00B9252E"/>
    <w:rsid w:val="00B9712F"/>
    <w:rsid w:val="00BF3472"/>
    <w:rsid w:val="00C0716D"/>
    <w:rsid w:val="00C55AC9"/>
    <w:rsid w:val="00CA5111"/>
    <w:rsid w:val="00CC7F61"/>
    <w:rsid w:val="00CF0B2C"/>
    <w:rsid w:val="00DA25C7"/>
    <w:rsid w:val="00DC0232"/>
    <w:rsid w:val="00DC2134"/>
    <w:rsid w:val="00E02689"/>
    <w:rsid w:val="00E04C47"/>
    <w:rsid w:val="00E12A58"/>
    <w:rsid w:val="00E1688A"/>
    <w:rsid w:val="00E20433"/>
    <w:rsid w:val="00E22F49"/>
    <w:rsid w:val="00E87EF5"/>
    <w:rsid w:val="00F075BF"/>
    <w:rsid w:val="00F07D35"/>
    <w:rsid w:val="00F6097C"/>
    <w:rsid w:val="00FA0927"/>
    <w:rsid w:val="00FA147F"/>
    <w:rsid w:val="00FF42B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9593B"/>
  <w15:chartTrackingRefBased/>
  <w15:docId w15:val="{6F821D56-4563-4860-B556-275B3F890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1D05"/>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01D05"/>
    <w:rPr>
      <w:color w:val="0563C1"/>
      <w:u w:val="single"/>
    </w:rPr>
  </w:style>
  <w:style w:type="paragraph" w:styleId="Prrafodelista">
    <w:name w:val="List Paragraph"/>
    <w:aliases w:val="Footnote,Párrafo de lista1,Colorful List - Accent 11,Cuadrícula clara - Énfasis 31,List Paragraph1,List Paragraph2,Lista vistosa - Énfasis 11,Lista clara - Énfasis 51"/>
    <w:basedOn w:val="Normal"/>
    <w:link w:val="PrrafodelistaCar"/>
    <w:uiPriority w:val="99"/>
    <w:qFormat/>
    <w:rsid w:val="00101D05"/>
    <w:pPr>
      <w:ind w:left="720"/>
    </w:pPr>
  </w:style>
  <w:style w:type="character" w:customStyle="1" w:styleId="PrrafodelistaCar">
    <w:name w:val="Párrafo de lista Car"/>
    <w:aliases w:val="Footnote Car,Párrafo de lista1 Car,Colorful List - Accent 11 Car,Cuadrícula clara - Énfasis 31 Car,List Paragraph1 Car,List Paragraph2 Car,Lista vistosa - Énfasis 11 Car,Lista clara - Énfasis 51 Car"/>
    <w:link w:val="Prrafodelista"/>
    <w:uiPriority w:val="99"/>
    <w:locked/>
    <w:rsid w:val="000E4913"/>
    <w:rPr>
      <w:rFonts w:ascii="Calibri" w:hAnsi="Calibri" w:cs="Calibri"/>
    </w:rPr>
  </w:style>
  <w:style w:type="paragraph" w:styleId="Textonotapie">
    <w:name w:val="footnote text"/>
    <w:aliases w:val="Footnote Text Char Char Char Char Char,Footnote Text Char Char Char Char,Footnote reference,FA Fu,Footnote Text Char Char Char,FA Fu Car,FA Fu Car Car,Footnote Text Cha,FA Fußnotentext,FA Fuﬂnotentext,Ca,footnote text,C,ft,FA Fu?notentext"/>
    <w:basedOn w:val="Normal"/>
    <w:link w:val="TextonotapieCar"/>
    <w:unhideWhenUsed/>
    <w:qFormat/>
    <w:rsid w:val="000E4913"/>
    <w:rPr>
      <w:sz w:val="20"/>
      <w:szCs w:val="20"/>
    </w:rPr>
  </w:style>
  <w:style w:type="character" w:customStyle="1" w:styleId="TextonotapieCar">
    <w:name w:val="Texto nota pie Car"/>
    <w:aliases w:val="Footnote Text Char Char Char Char Char Car,Footnote Text Char Char Char Char Car,Footnote reference Car,FA Fu Car1,Footnote Text Char Char Char Car,FA Fu Car Car1,FA Fu Car Car Car,Footnote Text Cha Car,FA Fußnotentext Car,Ca Car"/>
    <w:basedOn w:val="Fuentedeprrafopredeter"/>
    <w:link w:val="Textonotapie"/>
    <w:qFormat/>
    <w:rsid w:val="000E4913"/>
    <w:rPr>
      <w:rFonts w:ascii="Calibri" w:hAnsi="Calibri" w:cs="Calibri"/>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iPriority w:val="99"/>
    <w:unhideWhenUsed/>
    <w:qFormat/>
    <w:rsid w:val="000E4913"/>
    <w:rPr>
      <w:vertAlign w:val="superscript"/>
    </w:rPr>
  </w:style>
  <w:style w:type="paragraph" w:styleId="Encabezado">
    <w:name w:val="header"/>
    <w:basedOn w:val="Normal"/>
    <w:link w:val="EncabezadoCar"/>
    <w:uiPriority w:val="99"/>
    <w:unhideWhenUsed/>
    <w:rsid w:val="00146E28"/>
    <w:pPr>
      <w:tabs>
        <w:tab w:val="center" w:pos="4419"/>
        <w:tab w:val="right" w:pos="8838"/>
      </w:tabs>
    </w:pPr>
  </w:style>
  <w:style w:type="character" w:customStyle="1" w:styleId="EncabezadoCar">
    <w:name w:val="Encabezado Car"/>
    <w:basedOn w:val="Fuentedeprrafopredeter"/>
    <w:link w:val="Encabezado"/>
    <w:uiPriority w:val="99"/>
    <w:rsid w:val="00146E28"/>
    <w:rPr>
      <w:rFonts w:ascii="Calibri" w:hAnsi="Calibri" w:cs="Calibri"/>
    </w:rPr>
  </w:style>
  <w:style w:type="paragraph" w:styleId="Piedepgina">
    <w:name w:val="footer"/>
    <w:basedOn w:val="Normal"/>
    <w:link w:val="PiedepginaCar"/>
    <w:uiPriority w:val="99"/>
    <w:unhideWhenUsed/>
    <w:rsid w:val="00146E28"/>
    <w:pPr>
      <w:tabs>
        <w:tab w:val="center" w:pos="4419"/>
        <w:tab w:val="right" w:pos="8838"/>
      </w:tabs>
    </w:pPr>
  </w:style>
  <w:style w:type="character" w:customStyle="1" w:styleId="PiedepginaCar">
    <w:name w:val="Pie de página Car"/>
    <w:basedOn w:val="Fuentedeprrafopredeter"/>
    <w:link w:val="Piedepgina"/>
    <w:uiPriority w:val="99"/>
    <w:rsid w:val="00146E28"/>
    <w:rPr>
      <w:rFonts w:ascii="Calibri" w:hAnsi="Calibri" w:cs="Calibri"/>
    </w:rPr>
  </w:style>
  <w:style w:type="paragraph" w:styleId="Textodeglobo">
    <w:name w:val="Balloon Text"/>
    <w:basedOn w:val="Normal"/>
    <w:link w:val="TextodegloboCar"/>
    <w:uiPriority w:val="99"/>
    <w:semiHidden/>
    <w:unhideWhenUsed/>
    <w:rsid w:val="00146E2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46E28"/>
    <w:rPr>
      <w:rFonts w:ascii="Segoe UI" w:hAnsi="Segoe UI" w:cs="Segoe UI"/>
      <w:sz w:val="18"/>
      <w:szCs w:val="18"/>
    </w:rPr>
  </w:style>
  <w:style w:type="character" w:styleId="Refdecomentario">
    <w:name w:val="annotation reference"/>
    <w:basedOn w:val="Fuentedeprrafopredeter"/>
    <w:uiPriority w:val="99"/>
    <w:semiHidden/>
    <w:unhideWhenUsed/>
    <w:rsid w:val="00146E28"/>
    <w:rPr>
      <w:sz w:val="16"/>
      <w:szCs w:val="16"/>
    </w:rPr>
  </w:style>
  <w:style w:type="paragraph" w:styleId="Textocomentario">
    <w:name w:val="annotation text"/>
    <w:basedOn w:val="Normal"/>
    <w:link w:val="TextocomentarioCar"/>
    <w:uiPriority w:val="99"/>
    <w:semiHidden/>
    <w:unhideWhenUsed/>
    <w:rsid w:val="00146E28"/>
    <w:rPr>
      <w:sz w:val="20"/>
      <w:szCs w:val="20"/>
    </w:rPr>
  </w:style>
  <w:style w:type="character" w:customStyle="1" w:styleId="TextocomentarioCar">
    <w:name w:val="Texto comentario Car"/>
    <w:basedOn w:val="Fuentedeprrafopredeter"/>
    <w:link w:val="Textocomentario"/>
    <w:uiPriority w:val="99"/>
    <w:semiHidden/>
    <w:rsid w:val="00146E28"/>
    <w:rPr>
      <w:rFonts w:ascii="Calibri" w:hAnsi="Calibri" w:cs="Calibri"/>
      <w:sz w:val="20"/>
      <w:szCs w:val="20"/>
    </w:rPr>
  </w:style>
  <w:style w:type="paragraph" w:styleId="Asuntodelcomentario">
    <w:name w:val="annotation subject"/>
    <w:basedOn w:val="Textocomentario"/>
    <w:next w:val="Textocomentario"/>
    <w:link w:val="AsuntodelcomentarioCar"/>
    <w:uiPriority w:val="99"/>
    <w:semiHidden/>
    <w:unhideWhenUsed/>
    <w:rsid w:val="00146E28"/>
    <w:rPr>
      <w:b/>
      <w:bCs/>
    </w:rPr>
  </w:style>
  <w:style w:type="character" w:customStyle="1" w:styleId="AsuntodelcomentarioCar">
    <w:name w:val="Asunto del comentario Car"/>
    <w:basedOn w:val="TextocomentarioCar"/>
    <w:link w:val="Asuntodelcomentario"/>
    <w:uiPriority w:val="99"/>
    <w:semiHidden/>
    <w:rsid w:val="00146E28"/>
    <w:rPr>
      <w:rFonts w:ascii="Calibri" w:hAnsi="Calibri" w:cs="Calibri"/>
      <w:b/>
      <w:bCs/>
      <w:sz w:val="20"/>
      <w:szCs w:val="20"/>
    </w:rPr>
  </w:style>
  <w:style w:type="character" w:styleId="Nmerodelnea">
    <w:name w:val="line number"/>
    <w:basedOn w:val="Fuentedeprrafopredeter"/>
    <w:uiPriority w:val="99"/>
    <w:semiHidden/>
    <w:unhideWhenUsed/>
    <w:rsid w:val="00146E28"/>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146E28"/>
    <w:pPr>
      <w:jc w:val="both"/>
    </w:pPr>
    <w:rPr>
      <w:rFonts w:asciiTheme="minorHAnsi" w:hAnsiTheme="minorHAnsi" w:cstheme="minorBidi"/>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35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supervisiones/colindres_schonenberg_22_11_19.pdf" TargetMode="External"/><Relationship Id="rId1" Type="http://schemas.openxmlformats.org/officeDocument/2006/relationships/hyperlink" Target="http://www.corteidh.or.cr/docs/casos/articulos/seriec_373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3B6EDF-C2F5-41BB-B4CB-20F1BC426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1100</Words>
  <Characters>6050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dc:description/>
  <cp:lastModifiedBy>Liliana Tojo</cp:lastModifiedBy>
  <cp:revision>2</cp:revision>
  <cp:lastPrinted>2020-11-26T19:41:00Z</cp:lastPrinted>
  <dcterms:created xsi:type="dcterms:W3CDTF">2020-12-21T16:53:00Z</dcterms:created>
  <dcterms:modified xsi:type="dcterms:W3CDTF">2020-12-21T16:53:00Z</dcterms:modified>
</cp:coreProperties>
</file>