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D769C" w14:textId="77777777" w:rsidR="00D91AF5" w:rsidRDefault="00D91AF5" w:rsidP="00D91AF5">
      <w:pPr>
        <w:spacing w:after="0" w:line="240" w:lineRule="auto"/>
        <w:jc w:val="center"/>
        <w:rPr>
          <w:rFonts w:ascii="Verdana" w:hAnsi="Verdana"/>
          <w:b/>
          <w:sz w:val="20"/>
          <w:szCs w:val="20"/>
        </w:rPr>
      </w:pPr>
    </w:p>
    <w:p w14:paraId="6C1BFC56" w14:textId="77777777" w:rsidR="00326C79" w:rsidRDefault="00326C79" w:rsidP="00D91AF5">
      <w:pPr>
        <w:spacing w:after="0" w:line="240" w:lineRule="auto"/>
        <w:jc w:val="center"/>
        <w:rPr>
          <w:rFonts w:ascii="Verdana" w:hAnsi="Verdana"/>
          <w:b/>
          <w:sz w:val="20"/>
          <w:szCs w:val="20"/>
        </w:rPr>
      </w:pPr>
    </w:p>
    <w:p w14:paraId="08AC5BE4" w14:textId="77777777" w:rsidR="00326C79" w:rsidRDefault="00326C79" w:rsidP="00D91AF5">
      <w:pPr>
        <w:spacing w:after="0" w:line="240" w:lineRule="auto"/>
        <w:jc w:val="center"/>
        <w:rPr>
          <w:rFonts w:ascii="Verdana" w:hAnsi="Verdana"/>
          <w:b/>
          <w:sz w:val="20"/>
          <w:szCs w:val="20"/>
        </w:rPr>
      </w:pPr>
    </w:p>
    <w:p w14:paraId="574DFBFD" w14:textId="77777777" w:rsidR="00D91AF5" w:rsidRDefault="00D91AF5" w:rsidP="00D91AF5">
      <w:pPr>
        <w:spacing w:after="0" w:line="240" w:lineRule="auto"/>
        <w:jc w:val="center"/>
        <w:rPr>
          <w:rFonts w:ascii="Verdana" w:hAnsi="Verdana"/>
          <w:b/>
          <w:sz w:val="20"/>
          <w:szCs w:val="20"/>
        </w:rPr>
      </w:pPr>
    </w:p>
    <w:p w14:paraId="65C901A8" w14:textId="77777777" w:rsidR="00FF5E48" w:rsidRDefault="00D91AF5" w:rsidP="00D91AF5">
      <w:pPr>
        <w:spacing w:after="0" w:line="240" w:lineRule="auto"/>
        <w:jc w:val="center"/>
        <w:rPr>
          <w:rFonts w:ascii="Verdana" w:hAnsi="Verdana"/>
          <w:b/>
          <w:sz w:val="20"/>
          <w:szCs w:val="20"/>
        </w:rPr>
      </w:pPr>
      <w:r>
        <w:rPr>
          <w:rFonts w:ascii="Verdana" w:hAnsi="Verdana"/>
          <w:b/>
          <w:sz w:val="20"/>
          <w:szCs w:val="20"/>
        </w:rPr>
        <w:t xml:space="preserve">CORTE INTERAMERICANA DE DERECHOS HUMANOS </w:t>
      </w:r>
    </w:p>
    <w:p w14:paraId="6B5187AF" w14:textId="77777777" w:rsidR="00D91AF5" w:rsidRDefault="00D91AF5" w:rsidP="00D91AF5">
      <w:pPr>
        <w:spacing w:after="0" w:line="240" w:lineRule="auto"/>
        <w:jc w:val="center"/>
        <w:rPr>
          <w:rFonts w:ascii="Verdana" w:hAnsi="Verdana"/>
          <w:b/>
          <w:sz w:val="20"/>
          <w:szCs w:val="20"/>
        </w:rPr>
      </w:pPr>
    </w:p>
    <w:p w14:paraId="31CF35DE" w14:textId="77777777" w:rsidR="00D91AF5" w:rsidRDefault="00D91AF5" w:rsidP="00D91AF5">
      <w:pPr>
        <w:spacing w:after="0" w:line="240" w:lineRule="auto"/>
        <w:jc w:val="center"/>
        <w:rPr>
          <w:rFonts w:ascii="Verdana" w:hAnsi="Verdana"/>
          <w:b/>
          <w:sz w:val="20"/>
          <w:szCs w:val="20"/>
        </w:rPr>
      </w:pPr>
      <w:r>
        <w:rPr>
          <w:rFonts w:ascii="Verdana" w:hAnsi="Verdana"/>
          <w:b/>
          <w:sz w:val="20"/>
          <w:szCs w:val="20"/>
        </w:rPr>
        <w:t xml:space="preserve">CASO </w:t>
      </w:r>
      <w:r w:rsidR="00EB7379">
        <w:rPr>
          <w:rFonts w:ascii="Verdana" w:hAnsi="Verdana"/>
          <w:b/>
          <w:sz w:val="20"/>
          <w:szCs w:val="20"/>
        </w:rPr>
        <w:t xml:space="preserve">ROCHE AZAÑA Y OTROS </w:t>
      </w:r>
      <w:r w:rsidR="00EB7379" w:rsidRPr="00EB7379">
        <w:rPr>
          <w:rFonts w:ascii="Verdana" w:hAnsi="Verdana"/>
          <w:b/>
          <w:i/>
          <w:sz w:val="20"/>
          <w:szCs w:val="20"/>
        </w:rPr>
        <w:t>VS.</w:t>
      </w:r>
      <w:r w:rsidR="00EB7379">
        <w:rPr>
          <w:rFonts w:ascii="Verdana" w:hAnsi="Verdana"/>
          <w:b/>
          <w:sz w:val="20"/>
          <w:szCs w:val="20"/>
        </w:rPr>
        <w:t xml:space="preserve"> NICARAGUA</w:t>
      </w:r>
    </w:p>
    <w:p w14:paraId="755251B3" w14:textId="77777777" w:rsidR="00D91AF5" w:rsidRDefault="00D91AF5" w:rsidP="00D91AF5">
      <w:pPr>
        <w:spacing w:after="0" w:line="240" w:lineRule="auto"/>
        <w:jc w:val="center"/>
        <w:rPr>
          <w:rFonts w:ascii="Verdana" w:hAnsi="Verdana"/>
          <w:b/>
          <w:sz w:val="20"/>
          <w:szCs w:val="20"/>
        </w:rPr>
      </w:pPr>
    </w:p>
    <w:p w14:paraId="721527E0" w14:textId="6FC48350" w:rsidR="00D91AF5" w:rsidRDefault="00D91AF5" w:rsidP="00D91AF5">
      <w:pPr>
        <w:spacing w:after="0" w:line="240" w:lineRule="auto"/>
        <w:jc w:val="center"/>
        <w:rPr>
          <w:rFonts w:ascii="Verdana" w:hAnsi="Verdana"/>
          <w:b/>
          <w:sz w:val="20"/>
          <w:szCs w:val="20"/>
        </w:rPr>
      </w:pPr>
      <w:r>
        <w:rPr>
          <w:rFonts w:ascii="Verdana" w:hAnsi="Verdana"/>
          <w:b/>
          <w:sz w:val="20"/>
          <w:szCs w:val="20"/>
        </w:rPr>
        <w:t xml:space="preserve">SENTENCIA DE </w:t>
      </w:r>
      <w:r w:rsidR="00E771D4">
        <w:rPr>
          <w:rFonts w:ascii="Verdana" w:hAnsi="Verdana"/>
          <w:b/>
          <w:sz w:val="20"/>
          <w:szCs w:val="20"/>
        </w:rPr>
        <w:t xml:space="preserve">18 </w:t>
      </w:r>
      <w:r w:rsidR="009D0958">
        <w:rPr>
          <w:rFonts w:ascii="Verdana" w:hAnsi="Verdana"/>
          <w:b/>
          <w:sz w:val="20"/>
          <w:szCs w:val="20"/>
        </w:rPr>
        <w:t xml:space="preserve">DE </w:t>
      </w:r>
      <w:r w:rsidR="00EB7379">
        <w:rPr>
          <w:rFonts w:ascii="Verdana" w:hAnsi="Verdana"/>
          <w:b/>
          <w:sz w:val="20"/>
          <w:szCs w:val="20"/>
        </w:rPr>
        <w:t>NOVIEMBRE</w:t>
      </w:r>
      <w:r w:rsidR="009D0958">
        <w:rPr>
          <w:rFonts w:ascii="Verdana" w:hAnsi="Verdana"/>
          <w:b/>
          <w:sz w:val="20"/>
          <w:szCs w:val="20"/>
        </w:rPr>
        <w:t xml:space="preserve"> DE </w:t>
      </w:r>
      <w:r w:rsidR="00EB7379">
        <w:rPr>
          <w:rFonts w:ascii="Verdana" w:hAnsi="Verdana"/>
          <w:b/>
          <w:sz w:val="20"/>
          <w:szCs w:val="20"/>
        </w:rPr>
        <w:t>2020</w:t>
      </w:r>
    </w:p>
    <w:p w14:paraId="30A7B34A" w14:textId="77777777" w:rsidR="00D91AF5" w:rsidRDefault="00D91AF5" w:rsidP="00D91AF5">
      <w:pPr>
        <w:spacing w:after="0" w:line="240" w:lineRule="auto"/>
        <w:jc w:val="center"/>
        <w:rPr>
          <w:rFonts w:ascii="Verdana" w:hAnsi="Verdana"/>
          <w:b/>
          <w:sz w:val="20"/>
          <w:szCs w:val="20"/>
        </w:rPr>
      </w:pPr>
    </w:p>
    <w:p w14:paraId="2C95DB8D" w14:textId="77777777" w:rsidR="00D91AF5" w:rsidRDefault="00D91AF5" w:rsidP="00D91AF5">
      <w:pPr>
        <w:spacing w:after="0" w:line="240" w:lineRule="auto"/>
        <w:jc w:val="center"/>
        <w:rPr>
          <w:rFonts w:ascii="Verdana" w:hAnsi="Verdana"/>
          <w:b/>
          <w:sz w:val="20"/>
          <w:szCs w:val="20"/>
        </w:rPr>
      </w:pPr>
      <w:r>
        <w:rPr>
          <w:rFonts w:ascii="Verdana" w:hAnsi="Verdana"/>
          <w:b/>
          <w:sz w:val="20"/>
          <w:szCs w:val="20"/>
        </w:rPr>
        <w:t>(</w:t>
      </w:r>
      <w:r>
        <w:rPr>
          <w:rFonts w:ascii="Verdana" w:hAnsi="Verdana"/>
          <w:b/>
          <w:i/>
          <w:sz w:val="20"/>
          <w:szCs w:val="20"/>
        </w:rPr>
        <w:t>Interpretación de la Sentencia de Fondo</w:t>
      </w:r>
      <w:r w:rsidR="00EB7379">
        <w:rPr>
          <w:rFonts w:ascii="Verdana" w:hAnsi="Verdana"/>
          <w:b/>
          <w:i/>
          <w:sz w:val="20"/>
          <w:szCs w:val="20"/>
        </w:rPr>
        <w:t xml:space="preserve"> y</w:t>
      </w:r>
      <w:r>
        <w:rPr>
          <w:rFonts w:ascii="Verdana" w:hAnsi="Verdana"/>
          <w:b/>
          <w:i/>
          <w:sz w:val="20"/>
          <w:szCs w:val="20"/>
        </w:rPr>
        <w:t xml:space="preserve"> Reparaciones</w:t>
      </w:r>
      <w:r>
        <w:rPr>
          <w:rFonts w:ascii="Verdana" w:hAnsi="Verdana"/>
          <w:b/>
          <w:sz w:val="20"/>
          <w:szCs w:val="20"/>
        </w:rPr>
        <w:t>)</w:t>
      </w:r>
    </w:p>
    <w:p w14:paraId="0C147682" w14:textId="77777777" w:rsidR="00D91AF5" w:rsidRDefault="00D91AF5" w:rsidP="00D91AF5">
      <w:pPr>
        <w:spacing w:after="0" w:line="240" w:lineRule="auto"/>
        <w:rPr>
          <w:rFonts w:ascii="Verdana" w:hAnsi="Verdana"/>
          <w:b/>
          <w:sz w:val="20"/>
          <w:szCs w:val="20"/>
        </w:rPr>
      </w:pPr>
    </w:p>
    <w:p w14:paraId="08131B3E" w14:textId="77777777" w:rsidR="00D91AF5" w:rsidRDefault="00D91AF5" w:rsidP="00D91AF5">
      <w:pPr>
        <w:spacing w:after="0" w:line="240" w:lineRule="auto"/>
        <w:rPr>
          <w:rFonts w:ascii="Verdana" w:hAnsi="Verdana"/>
          <w:b/>
          <w:sz w:val="20"/>
          <w:szCs w:val="20"/>
        </w:rPr>
      </w:pPr>
    </w:p>
    <w:p w14:paraId="6008CDF9" w14:textId="77777777" w:rsidR="00D91AF5" w:rsidRDefault="00D91AF5" w:rsidP="00D91AF5">
      <w:pPr>
        <w:spacing w:after="0" w:line="240" w:lineRule="auto"/>
        <w:rPr>
          <w:rFonts w:ascii="Verdana" w:hAnsi="Verdana"/>
          <w:b/>
          <w:sz w:val="20"/>
          <w:szCs w:val="20"/>
        </w:rPr>
      </w:pPr>
    </w:p>
    <w:p w14:paraId="4CD2A8FD" w14:textId="77777777" w:rsidR="00D91AF5" w:rsidRDefault="00D91AF5" w:rsidP="00D91AF5">
      <w:pPr>
        <w:spacing w:after="0" w:line="240" w:lineRule="auto"/>
        <w:rPr>
          <w:rFonts w:ascii="Verdana" w:hAnsi="Verdana"/>
          <w:sz w:val="20"/>
          <w:szCs w:val="20"/>
        </w:rPr>
      </w:pPr>
      <w:r>
        <w:rPr>
          <w:rFonts w:ascii="Verdana" w:hAnsi="Verdana"/>
          <w:sz w:val="20"/>
          <w:szCs w:val="20"/>
        </w:rPr>
        <w:t xml:space="preserve">En el caso </w:t>
      </w:r>
      <w:r w:rsidR="00EB7379">
        <w:rPr>
          <w:rFonts w:ascii="Verdana" w:hAnsi="Verdana"/>
          <w:i/>
          <w:sz w:val="20"/>
          <w:szCs w:val="20"/>
        </w:rPr>
        <w:t>Roche Azaña y otros Vs. Nicaragua</w:t>
      </w:r>
      <w:r>
        <w:rPr>
          <w:rFonts w:ascii="Verdana" w:hAnsi="Verdana"/>
          <w:sz w:val="20"/>
          <w:szCs w:val="20"/>
        </w:rPr>
        <w:t>,</w:t>
      </w:r>
    </w:p>
    <w:p w14:paraId="48A9E274" w14:textId="77777777" w:rsidR="00D91AF5" w:rsidRDefault="00D91AF5" w:rsidP="00D91AF5">
      <w:pPr>
        <w:spacing w:after="0" w:line="240" w:lineRule="auto"/>
        <w:rPr>
          <w:rFonts w:ascii="Verdana" w:hAnsi="Verdana"/>
          <w:sz w:val="20"/>
          <w:szCs w:val="20"/>
        </w:rPr>
      </w:pPr>
    </w:p>
    <w:p w14:paraId="38614F3D" w14:textId="77777777" w:rsidR="00D91AF5" w:rsidRDefault="00D91AF5" w:rsidP="00D91AF5">
      <w:pPr>
        <w:spacing w:after="0" w:line="240" w:lineRule="auto"/>
        <w:rPr>
          <w:rFonts w:ascii="Verdana" w:hAnsi="Verdana"/>
          <w:sz w:val="20"/>
          <w:szCs w:val="20"/>
        </w:rPr>
      </w:pPr>
      <w:r>
        <w:rPr>
          <w:rFonts w:ascii="Verdana" w:hAnsi="Verdana"/>
          <w:sz w:val="20"/>
          <w:szCs w:val="20"/>
        </w:rPr>
        <w:t>la Corte Interamericana de Derechos Humanos (en adelante “la Corte Interamericana”, “la Corte” o “</w:t>
      </w:r>
      <w:r w:rsidR="00AA67ED">
        <w:rPr>
          <w:rFonts w:ascii="Verdana" w:hAnsi="Verdana"/>
          <w:sz w:val="20"/>
          <w:szCs w:val="20"/>
        </w:rPr>
        <w:t>el</w:t>
      </w:r>
      <w:r>
        <w:rPr>
          <w:rFonts w:ascii="Verdana" w:hAnsi="Verdana"/>
          <w:sz w:val="20"/>
          <w:szCs w:val="20"/>
        </w:rPr>
        <w:t xml:space="preserve"> Tribunal”)</w:t>
      </w:r>
      <w:r w:rsidR="00EB7379">
        <w:rPr>
          <w:rFonts w:ascii="Verdana" w:hAnsi="Verdana"/>
          <w:sz w:val="20"/>
          <w:szCs w:val="20"/>
        </w:rPr>
        <w:t>, integrada por los siguientes J</w:t>
      </w:r>
      <w:r>
        <w:rPr>
          <w:rFonts w:ascii="Verdana" w:hAnsi="Verdana"/>
          <w:sz w:val="20"/>
          <w:szCs w:val="20"/>
        </w:rPr>
        <w:t>ueces:</w:t>
      </w:r>
    </w:p>
    <w:p w14:paraId="08299B80" w14:textId="77777777" w:rsidR="00D91AF5" w:rsidRDefault="00D91AF5" w:rsidP="00D91AF5">
      <w:pPr>
        <w:spacing w:after="0" w:line="240" w:lineRule="auto"/>
        <w:rPr>
          <w:rFonts w:ascii="Verdana" w:hAnsi="Verdana"/>
          <w:sz w:val="20"/>
          <w:szCs w:val="20"/>
        </w:rPr>
      </w:pPr>
    </w:p>
    <w:p w14:paraId="3F3F23CA" w14:textId="77777777" w:rsidR="00EB7379" w:rsidRDefault="00EB7379" w:rsidP="00D91AF5">
      <w:pPr>
        <w:spacing w:after="0" w:line="240" w:lineRule="auto"/>
        <w:rPr>
          <w:rFonts w:ascii="Verdana" w:hAnsi="Verdana"/>
          <w:sz w:val="20"/>
          <w:szCs w:val="20"/>
        </w:rPr>
      </w:pPr>
      <w:r w:rsidRPr="00EB7379">
        <w:rPr>
          <w:rFonts w:ascii="Verdana" w:hAnsi="Verdana"/>
          <w:sz w:val="20"/>
          <w:szCs w:val="20"/>
        </w:rPr>
        <w:t xml:space="preserve">Elizabeth Odio Benito, </w:t>
      </w:r>
      <w:proofErr w:type="gramStart"/>
      <w:r w:rsidRPr="00EB7379">
        <w:rPr>
          <w:rFonts w:ascii="Verdana" w:hAnsi="Verdana"/>
          <w:sz w:val="20"/>
          <w:szCs w:val="20"/>
        </w:rPr>
        <w:t>Presidenta</w:t>
      </w:r>
      <w:proofErr w:type="gramEnd"/>
      <w:r w:rsidRPr="00EB7379">
        <w:rPr>
          <w:rFonts w:ascii="Verdana" w:hAnsi="Verdana"/>
          <w:sz w:val="20"/>
          <w:szCs w:val="20"/>
        </w:rPr>
        <w:t xml:space="preserve">; </w:t>
      </w:r>
    </w:p>
    <w:p w14:paraId="744CCF40" w14:textId="77777777" w:rsidR="00EB7379" w:rsidRDefault="00EB7379" w:rsidP="00D91AF5">
      <w:pPr>
        <w:spacing w:after="0" w:line="240" w:lineRule="auto"/>
        <w:rPr>
          <w:rFonts w:ascii="Verdana" w:hAnsi="Verdana"/>
          <w:sz w:val="20"/>
          <w:szCs w:val="20"/>
        </w:rPr>
      </w:pPr>
      <w:r w:rsidRPr="00EB7379">
        <w:rPr>
          <w:rFonts w:ascii="Verdana" w:hAnsi="Verdana"/>
          <w:sz w:val="20"/>
          <w:szCs w:val="20"/>
        </w:rPr>
        <w:t xml:space="preserve">L. Patricio Pazmiño Freire, </w:t>
      </w:r>
      <w:proofErr w:type="gramStart"/>
      <w:r w:rsidRPr="00EB7379">
        <w:rPr>
          <w:rFonts w:ascii="Verdana" w:hAnsi="Verdana"/>
          <w:sz w:val="20"/>
          <w:szCs w:val="20"/>
        </w:rPr>
        <w:t>Vicepresidente</w:t>
      </w:r>
      <w:proofErr w:type="gramEnd"/>
      <w:r w:rsidRPr="00EB7379">
        <w:rPr>
          <w:rFonts w:ascii="Verdana" w:hAnsi="Verdana"/>
          <w:sz w:val="20"/>
          <w:szCs w:val="20"/>
        </w:rPr>
        <w:t xml:space="preserve">; </w:t>
      </w:r>
    </w:p>
    <w:p w14:paraId="41B7C668" w14:textId="77777777" w:rsidR="00EB7379" w:rsidRDefault="00EB7379" w:rsidP="00D91AF5">
      <w:pPr>
        <w:spacing w:after="0" w:line="240" w:lineRule="auto"/>
        <w:rPr>
          <w:rFonts w:ascii="Verdana" w:hAnsi="Verdana"/>
          <w:sz w:val="20"/>
          <w:szCs w:val="20"/>
        </w:rPr>
      </w:pPr>
      <w:r w:rsidRPr="00EB7379">
        <w:rPr>
          <w:rFonts w:ascii="Verdana" w:hAnsi="Verdana"/>
          <w:sz w:val="20"/>
          <w:szCs w:val="20"/>
        </w:rPr>
        <w:t xml:space="preserve">Eduardo Vio Grossi, Juez; </w:t>
      </w:r>
    </w:p>
    <w:p w14:paraId="42435CDF" w14:textId="77777777" w:rsidR="00EB7379" w:rsidRDefault="00EB7379" w:rsidP="00D91AF5">
      <w:pPr>
        <w:spacing w:after="0" w:line="240" w:lineRule="auto"/>
        <w:rPr>
          <w:rFonts w:ascii="Verdana" w:hAnsi="Verdana"/>
          <w:sz w:val="20"/>
          <w:szCs w:val="20"/>
        </w:rPr>
      </w:pPr>
      <w:r w:rsidRPr="00EB7379">
        <w:rPr>
          <w:rFonts w:ascii="Verdana" w:hAnsi="Verdana"/>
          <w:sz w:val="20"/>
          <w:szCs w:val="20"/>
        </w:rPr>
        <w:t xml:space="preserve">Humberto Antonio Sierra Porto, Juez; </w:t>
      </w:r>
    </w:p>
    <w:p w14:paraId="2D4EAFBA" w14:textId="77777777" w:rsidR="00EB7379" w:rsidRDefault="00EB7379" w:rsidP="00D91AF5">
      <w:pPr>
        <w:spacing w:after="0" w:line="240" w:lineRule="auto"/>
        <w:rPr>
          <w:rFonts w:ascii="Verdana" w:hAnsi="Verdana"/>
          <w:sz w:val="20"/>
          <w:szCs w:val="20"/>
        </w:rPr>
      </w:pPr>
      <w:r w:rsidRPr="00EB7379">
        <w:rPr>
          <w:rFonts w:ascii="Verdana" w:hAnsi="Verdana"/>
          <w:sz w:val="20"/>
          <w:szCs w:val="20"/>
        </w:rPr>
        <w:t>Eduardo Ferrer Mac-</w:t>
      </w:r>
      <w:proofErr w:type="spellStart"/>
      <w:r w:rsidRPr="00EB7379">
        <w:rPr>
          <w:rFonts w:ascii="Verdana" w:hAnsi="Verdana"/>
          <w:sz w:val="20"/>
          <w:szCs w:val="20"/>
        </w:rPr>
        <w:t>Gregor</w:t>
      </w:r>
      <w:proofErr w:type="spellEnd"/>
      <w:r w:rsidRPr="00EB7379">
        <w:rPr>
          <w:rFonts w:ascii="Verdana" w:hAnsi="Verdana"/>
          <w:sz w:val="20"/>
          <w:szCs w:val="20"/>
        </w:rPr>
        <w:t xml:space="preserve"> </w:t>
      </w:r>
      <w:proofErr w:type="spellStart"/>
      <w:r w:rsidRPr="00EB7379">
        <w:rPr>
          <w:rFonts w:ascii="Verdana" w:hAnsi="Verdana"/>
          <w:sz w:val="20"/>
          <w:szCs w:val="20"/>
        </w:rPr>
        <w:t>Poisot</w:t>
      </w:r>
      <w:proofErr w:type="spellEnd"/>
      <w:r w:rsidRPr="00EB7379">
        <w:rPr>
          <w:rFonts w:ascii="Verdana" w:hAnsi="Verdana"/>
          <w:sz w:val="20"/>
          <w:szCs w:val="20"/>
        </w:rPr>
        <w:t xml:space="preserve">, Juez; </w:t>
      </w:r>
    </w:p>
    <w:p w14:paraId="3EB84ECF" w14:textId="66BF563F" w:rsidR="00EB7379" w:rsidRDefault="00EB7379" w:rsidP="00D91AF5">
      <w:pPr>
        <w:spacing w:after="0" w:line="240" w:lineRule="auto"/>
        <w:rPr>
          <w:rFonts w:ascii="Verdana" w:hAnsi="Verdana"/>
          <w:sz w:val="20"/>
          <w:szCs w:val="20"/>
        </w:rPr>
      </w:pPr>
      <w:r w:rsidRPr="00EB7379">
        <w:rPr>
          <w:rFonts w:ascii="Verdana" w:hAnsi="Verdana"/>
          <w:sz w:val="20"/>
          <w:szCs w:val="20"/>
        </w:rPr>
        <w:t>Eugenio Raúl Zaffaroni, Juez, y</w:t>
      </w:r>
      <w:r w:rsidR="00D42D9E">
        <w:rPr>
          <w:rFonts w:ascii="Verdana" w:hAnsi="Verdana"/>
          <w:sz w:val="20"/>
          <w:szCs w:val="20"/>
        </w:rPr>
        <w:t xml:space="preserve"> </w:t>
      </w:r>
    </w:p>
    <w:p w14:paraId="3FB425AE" w14:textId="2ED0A8E0" w:rsidR="00BD5ECF" w:rsidRDefault="00EB7379" w:rsidP="00D91AF5">
      <w:pPr>
        <w:spacing w:after="0" w:line="240" w:lineRule="auto"/>
        <w:rPr>
          <w:rFonts w:ascii="Verdana" w:hAnsi="Verdana"/>
          <w:sz w:val="20"/>
          <w:szCs w:val="20"/>
        </w:rPr>
      </w:pPr>
      <w:r w:rsidRPr="00EB7379">
        <w:rPr>
          <w:rFonts w:ascii="Verdana" w:hAnsi="Verdana"/>
          <w:sz w:val="20"/>
          <w:szCs w:val="20"/>
        </w:rPr>
        <w:t>Ricardo Pérez Manrique, Juez</w:t>
      </w:r>
      <w:r w:rsidR="00852976">
        <w:rPr>
          <w:rFonts w:ascii="Verdana" w:hAnsi="Verdana"/>
          <w:sz w:val="20"/>
          <w:szCs w:val="20"/>
        </w:rPr>
        <w:t>;</w:t>
      </w:r>
    </w:p>
    <w:p w14:paraId="7D164CD0" w14:textId="77777777" w:rsidR="00EB7379" w:rsidRDefault="00EB7379" w:rsidP="00D91AF5">
      <w:pPr>
        <w:spacing w:after="0" w:line="240" w:lineRule="auto"/>
        <w:rPr>
          <w:rFonts w:ascii="Verdana" w:hAnsi="Verdana"/>
          <w:sz w:val="20"/>
          <w:szCs w:val="20"/>
        </w:rPr>
      </w:pPr>
    </w:p>
    <w:p w14:paraId="5B8DC823" w14:textId="77777777" w:rsidR="00BD5ECF" w:rsidRDefault="00BD5ECF" w:rsidP="00D91AF5">
      <w:pPr>
        <w:spacing w:after="0" w:line="240" w:lineRule="auto"/>
        <w:rPr>
          <w:rFonts w:ascii="Verdana" w:hAnsi="Verdana"/>
          <w:sz w:val="20"/>
          <w:szCs w:val="20"/>
        </w:rPr>
      </w:pPr>
      <w:r>
        <w:rPr>
          <w:rFonts w:ascii="Verdana" w:hAnsi="Verdana"/>
          <w:sz w:val="20"/>
          <w:szCs w:val="20"/>
        </w:rPr>
        <w:t>presente</w:t>
      </w:r>
      <w:r w:rsidR="00EB7379">
        <w:rPr>
          <w:rFonts w:ascii="Verdana" w:hAnsi="Verdana"/>
          <w:sz w:val="20"/>
          <w:szCs w:val="20"/>
        </w:rPr>
        <w:t>s</w:t>
      </w:r>
      <w:r>
        <w:rPr>
          <w:rFonts w:ascii="Verdana" w:hAnsi="Verdana"/>
          <w:sz w:val="20"/>
          <w:szCs w:val="20"/>
        </w:rPr>
        <w:t xml:space="preserve">, además, </w:t>
      </w:r>
    </w:p>
    <w:p w14:paraId="6943DB3A" w14:textId="77777777" w:rsidR="00BD5ECF" w:rsidRDefault="00BD5ECF" w:rsidP="00D91AF5">
      <w:pPr>
        <w:spacing w:after="0" w:line="240" w:lineRule="auto"/>
        <w:rPr>
          <w:rFonts w:ascii="Verdana" w:hAnsi="Verdana"/>
          <w:sz w:val="20"/>
          <w:szCs w:val="20"/>
        </w:rPr>
      </w:pPr>
    </w:p>
    <w:p w14:paraId="6B3E2B37" w14:textId="0B2E181A" w:rsidR="00BD5ECF" w:rsidRDefault="00BD5ECF" w:rsidP="00A03487">
      <w:pPr>
        <w:spacing w:after="0" w:line="240" w:lineRule="auto"/>
        <w:rPr>
          <w:rFonts w:ascii="Verdana" w:hAnsi="Verdana"/>
          <w:sz w:val="20"/>
          <w:szCs w:val="20"/>
        </w:rPr>
      </w:pPr>
      <w:r>
        <w:rPr>
          <w:rFonts w:ascii="Verdana" w:hAnsi="Verdana"/>
          <w:sz w:val="20"/>
          <w:szCs w:val="20"/>
        </w:rPr>
        <w:t xml:space="preserve">Pablo Saavedra Alessandri, </w:t>
      </w:r>
      <w:proofErr w:type="gramStart"/>
      <w:r>
        <w:rPr>
          <w:rFonts w:ascii="Verdana" w:hAnsi="Verdana"/>
          <w:sz w:val="20"/>
          <w:szCs w:val="20"/>
        </w:rPr>
        <w:t>Secretario</w:t>
      </w:r>
      <w:proofErr w:type="gramEnd"/>
      <w:r>
        <w:rPr>
          <w:rFonts w:ascii="Verdana" w:hAnsi="Verdana"/>
          <w:sz w:val="20"/>
          <w:szCs w:val="20"/>
        </w:rPr>
        <w:t xml:space="preserve">, </w:t>
      </w:r>
      <w:r w:rsidR="00852976">
        <w:rPr>
          <w:rFonts w:ascii="Verdana" w:hAnsi="Verdana"/>
          <w:sz w:val="20"/>
          <w:szCs w:val="20"/>
        </w:rPr>
        <w:t>y</w:t>
      </w:r>
    </w:p>
    <w:p w14:paraId="4B0CD371" w14:textId="77777777" w:rsidR="00BD5ECF" w:rsidRDefault="00EB7379" w:rsidP="00D91AF5">
      <w:pPr>
        <w:spacing w:after="0" w:line="240" w:lineRule="auto"/>
        <w:rPr>
          <w:rFonts w:ascii="Verdana" w:hAnsi="Verdana"/>
          <w:sz w:val="20"/>
          <w:szCs w:val="20"/>
        </w:rPr>
      </w:pPr>
      <w:r w:rsidRPr="00EB7379">
        <w:rPr>
          <w:rFonts w:ascii="Verdana" w:hAnsi="Verdana"/>
          <w:sz w:val="20"/>
          <w:szCs w:val="20"/>
        </w:rPr>
        <w:t xml:space="preserve">Romina I. </w:t>
      </w:r>
      <w:proofErr w:type="spellStart"/>
      <w:r w:rsidRPr="00EB7379">
        <w:rPr>
          <w:rFonts w:ascii="Verdana" w:hAnsi="Verdana"/>
          <w:sz w:val="20"/>
          <w:szCs w:val="20"/>
        </w:rPr>
        <w:t>Sijniensky</w:t>
      </w:r>
      <w:proofErr w:type="spellEnd"/>
      <w:r w:rsidRPr="00EB7379">
        <w:rPr>
          <w:rFonts w:ascii="Verdana" w:hAnsi="Verdana"/>
          <w:sz w:val="20"/>
          <w:szCs w:val="20"/>
        </w:rPr>
        <w:t>, Secretaria Adjunta,</w:t>
      </w:r>
    </w:p>
    <w:p w14:paraId="461876A2" w14:textId="77777777" w:rsidR="00EB7379" w:rsidRDefault="00EB7379" w:rsidP="00D91AF5">
      <w:pPr>
        <w:spacing w:after="0" w:line="240" w:lineRule="auto"/>
        <w:rPr>
          <w:rFonts w:ascii="Verdana" w:hAnsi="Verdana"/>
          <w:sz w:val="20"/>
          <w:szCs w:val="20"/>
        </w:rPr>
      </w:pPr>
    </w:p>
    <w:p w14:paraId="338C03DD" w14:textId="40D9BD50" w:rsidR="00BD5ECF" w:rsidRDefault="00BD5ECF" w:rsidP="00BD5ECF">
      <w:pPr>
        <w:spacing w:after="0" w:line="240" w:lineRule="auto"/>
        <w:jc w:val="both"/>
        <w:rPr>
          <w:rFonts w:ascii="Verdana" w:hAnsi="Verdana"/>
          <w:sz w:val="20"/>
          <w:szCs w:val="20"/>
        </w:rPr>
      </w:pPr>
      <w:r>
        <w:rPr>
          <w:rFonts w:ascii="Verdana" w:hAnsi="Verdana"/>
          <w:sz w:val="20"/>
          <w:szCs w:val="20"/>
        </w:rPr>
        <w:t xml:space="preserve">de conformidad con el artículo 67 de la Convención Americana sobre Derechos Humanos (en adelante </w:t>
      </w:r>
      <w:r w:rsidR="00726F1E">
        <w:rPr>
          <w:rFonts w:ascii="Verdana" w:hAnsi="Verdana"/>
          <w:sz w:val="20"/>
          <w:szCs w:val="20"/>
        </w:rPr>
        <w:t xml:space="preserve">también </w:t>
      </w:r>
      <w:r>
        <w:rPr>
          <w:rFonts w:ascii="Verdana" w:hAnsi="Verdana"/>
          <w:sz w:val="20"/>
          <w:szCs w:val="20"/>
        </w:rPr>
        <w:t>“la Convención</w:t>
      </w:r>
      <w:r w:rsidR="00726F1E">
        <w:rPr>
          <w:rFonts w:ascii="Verdana" w:hAnsi="Verdana"/>
          <w:sz w:val="20"/>
          <w:szCs w:val="20"/>
        </w:rPr>
        <w:t xml:space="preserve"> Americana</w:t>
      </w:r>
      <w:r>
        <w:rPr>
          <w:rFonts w:ascii="Verdana" w:hAnsi="Verdana"/>
          <w:sz w:val="20"/>
          <w:szCs w:val="20"/>
        </w:rPr>
        <w:t>”</w:t>
      </w:r>
      <w:r w:rsidR="00726F1E">
        <w:rPr>
          <w:rFonts w:ascii="Verdana" w:hAnsi="Verdana"/>
          <w:sz w:val="20"/>
          <w:szCs w:val="20"/>
        </w:rPr>
        <w:t xml:space="preserve"> o “la Convención”</w:t>
      </w:r>
      <w:r>
        <w:rPr>
          <w:rFonts w:ascii="Verdana" w:hAnsi="Verdana"/>
          <w:sz w:val="20"/>
          <w:szCs w:val="20"/>
        </w:rPr>
        <w:t>) y el artículo 68 del Reglamento de la Corte (en adelante “el Reglamento”), resuelve la</w:t>
      </w:r>
      <w:r w:rsidR="00EB7379">
        <w:rPr>
          <w:rFonts w:ascii="Verdana" w:hAnsi="Verdana"/>
          <w:sz w:val="20"/>
          <w:szCs w:val="20"/>
        </w:rPr>
        <w:t>s</w:t>
      </w:r>
      <w:r>
        <w:rPr>
          <w:rFonts w:ascii="Verdana" w:hAnsi="Verdana"/>
          <w:sz w:val="20"/>
          <w:szCs w:val="20"/>
        </w:rPr>
        <w:t xml:space="preserve"> solicitud</w:t>
      </w:r>
      <w:r w:rsidR="00EB7379">
        <w:rPr>
          <w:rFonts w:ascii="Verdana" w:hAnsi="Verdana"/>
          <w:sz w:val="20"/>
          <w:szCs w:val="20"/>
        </w:rPr>
        <w:t>es</w:t>
      </w:r>
      <w:r>
        <w:rPr>
          <w:rFonts w:ascii="Verdana" w:hAnsi="Verdana"/>
          <w:sz w:val="20"/>
          <w:szCs w:val="20"/>
        </w:rPr>
        <w:t xml:space="preserve"> de interpretación de la Sentencia de </w:t>
      </w:r>
      <w:r w:rsidR="00726F1E">
        <w:rPr>
          <w:rFonts w:ascii="Verdana" w:hAnsi="Verdana"/>
          <w:sz w:val="20"/>
          <w:szCs w:val="20"/>
        </w:rPr>
        <w:t>F</w:t>
      </w:r>
      <w:r w:rsidR="00EB7379">
        <w:rPr>
          <w:rFonts w:ascii="Verdana" w:hAnsi="Verdana"/>
          <w:sz w:val="20"/>
          <w:szCs w:val="20"/>
        </w:rPr>
        <w:t xml:space="preserve">ondo y </w:t>
      </w:r>
      <w:r w:rsidR="00726F1E">
        <w:rPr>
          <w:rFonts w:ascii="Verdana" w:hAnsi="Verdana"/>
          <w:sz w:val="20"/>
          <w:szCs w:val="20"/>
        </w:rPr>
        <w:t xml:space="preserve">Reparaciones </w:t>
      </w:r>
      <w:r w:rsidR="004A56D9">
        <w:rPr>
          <w:rFonts w:ascii="Verdana" w:hAnsi="Verdana"/>
          <w:sz w:val="20"/>
          <w:szCs w:val="20"/>
        </w:rPr>
        <w:t xml:space="preserve">emitida </w:t>
      </w:r>
      <w:r>
        <w:rPr>
          <w:rFonts w:ascii="Verdana" w:hAnsi="Verdana"/>
          <w:sz w:val="20"/>
          <w:szCs w:val="20"/>
        </w:rPr>
        <w:t xml:space="preserve">por este Tribunal el </w:t>
      </w:r>
      <w:r w:rsidR="00EB7379">
        <w:rPr>
          <w:rFonts w:ascii="Verdana" w:hAnsi="Verdana"/>
          <w:sz w:val="20"/>
          <w:szCs w:val="20"/>
        </w:rPr>
        <w:t>3</w:t>
      </w:r>
      <w:r>
        <w:rPr>
          <w:rFonts w:ascii="Verdana" w:hAnsi="Verdana"/>
          <w:sz w:val="20"/>
          <w:szCs w:val="20"/>
        </w:rPr>
        <w:t xml:space="preserve"> de </w:t>
      </w:r>
      <w:r w:rsidR="00EB7379">
        <w:rPr>
          <w:rFonts w:ascii="Verdana" w:hAnsi="Verdana"/>
          <w:sz w:val="20"/>
          <w:szCs w:val="20"/>
        </w:rPr>
        <w:t>junio</w:t>
      </w:r>
      <w:r>
        <w:rPr>
          <w:rFonts w:ascii="Verdana" w:hAnsi="Verdana"/>
          <w:sz w:val="20"/>
          <w:szCs w:val="20"/>
        </w:rPr>
        <w:t xml:space="preserve"> de </w:t>
      </w:r>
      <w:r w:rsidR="004A56D9">
        <w:rPr>
          <w:rFonts w:ascii="Verdana" w:hAnsi="Verdana"/>
          <w:sz w:val="20"/>
          <w:szCs w:val="20"/>
        </w:rPr>
        <w:t>2020</w:t>
      </w:r>
      <w:r>
        <w:rPr>
          <w:rFonts w:ascii="Verdana" w:hAnsi="Verdana"/>
          <w:sz w:val="20"/>
          <w:szCs w:val="20"/>
        </w:rPr>
        <w:t xml:space="preserve"> en el presente caso (en adelante también “la Sentencia”), interpuesta</w:t>
      </w:r>
      <w:r w:rsidR="00EB7379">
        <w:rPr>
          <w:rFonts w:ascii="Verdana" w:hAnsi="Verdana"/>
          <w:sz w:val="20"/>
          <w:szCs w:val="20"/>
        </w:rPr>
        <w:t>s</w:t>
      </w:r>
      <w:r w:rsidR="00CC22B5">
        <w:rPr>
          <w:rFonts w:ascii="Verdana" w:hAnsi="Verdana"/>
          <w:sz w:val="20"/>
          <w:szCs w:val="20"/>
        </w:rPr>
        <w:t>, respectivamente,</w:t>
      </w:r>
      <w:r w:rsidR="00EB7379">
        <w:rPr>
          <w:rFonts w:ascii="Verdana" w:hAnsi="Verdana"/>
          <w:sz w:val="20"/>
          <w:szCs w:val="20"/>
        </w:rPr>
        <w:t xml:space="preserve"> el 28 de julio de 2020 y el 7 de agosto de 2020, por el representante de las víctimas </w:t>
      </w:r>
      <w:r>
        <w:rPr>
          <w:rFonts w:ascii="Verdana" w:hAnsi="Verdana"/>
          <w:sz w:val="20"/>
          <w:szCs w:val="20"/>
        </w:rPr>
        <w:t>(en adelante “</w:t>
      </w:r>
      <w:r w:rsidR="00EB7379">
        <w:rPr>
          <w:rFonts w:ascii="Verdana" w:hAnsi="Verdana"/>
          <w:sz w:val="20"/>
          <w:szCs w:val="20"/>
        </w:rPr>
        <w:t>el representante de las víctimas</w:t>
      </w:r>
      <w:r>
        <w:rPr>
          <w:rFonts w:ascii="Verdana" w:hAnsi="Verdana"/>
          <w:sz w:val="20"/>
          <w:szCs w:val="20"/>
        </w:rPr>
        <w:t>” o “</w:t>
      </w:r>
      <w:r w:rsidR="00EB7379">
        <w:rPr>
          <w:rFonts w:ascii="Verdana" w:hAnsi="Verdana"/>
          <w:sz w:val="20"/>
          <w:szCs w:val="20"/>
        </w:rPr>
        <w:t>el</w:t>
      </w:r>
      <w:r>
        <w:rPr>
          <w:rFonts w:ascii="Verdana" w:hAnsi="Verdana"/>
          <w:sz w:val="20"/>
          <w:szCs w:val="20"/>
        </w:rPr>
        <w:t xml:space="preserve"> representante”)</w:t>
      </w:r>
      <w:r w:rsidR="00EB7379">
        <w:rPr>
          <w:rFonts w:ascii="Verdana" w:hAnsi="Verdana"/>
          <w:sz w:val="20"/>
          <w:szCs w:val="20"/>
        </w:rPr>
        <w:t xml:space="preserve"> y la República de Nicaragua (en adelante “el Estado” o “Nicaragua”)</w:t>
      </w:r>
      <w:r>
        <w:rPr>
          <w:rFonts w:ascii="Verdana" w:hAnsi="Verdana"/>
          <w:sz w:val="20"/>
          <w:szCs w:val="20"/>
        </w:rPr>
        <w:t xml:space="preserve">. </w:t>
      </w:r>
    </w:p>
    <w:p w14:paraId="0F64C773" w14:textId="132410F3" w:rsidR="00EB5B4E" w:rsidRDefault="00EB5B4E" w:rsidP="00BD5ECF">
      <w:pPr>
        <w:spacing w:after="0" w:line="240" w:lineRule="auto"/>
        <w:jc w:val="both"/>
        <w:rPr>
          <w:rFonts w:ascii="Verdana" w:hAnsi="Verdana"/>
          <w:sz w:val="20"/>
          <w:szCs w:val="20"/>
        </w:rPr>
      </w:pPr>
    </w:p>
    <w:p w14:paraId="5DD1BD4D" w14:textId="77777777" w:rsidR="00BD5ECF" w:rsidRDefault="00BD5ECF" w:rsidP="00CB2E7C">
      <w:pPr>
        <w:spacing w:after="0" w:line="240" w:lineRule="auto"/>
        <w:jc w:val="center"/>
        <w:rPr>
          <w:rFonts w:ascii="Verdana" w:hAnsi="Verdana"/>
          <w:b/>
          <w:sz w:val="20"/>
          <w:szCs w:val="20"/>
        </w:rPr>
      </w:pPr>
      <w:r>
        <w:rPr>
          <w:rFonts w:ascii="Verdana" w:hAnsi="Verdana"/>
          <w:b/>
          <w:sz w:val="20"/>
          <w:szCs w:val="20"/>
        </w:rPr>
        <w:t>I</w:t>
      </w:r>
    </w:p>
    <w:p w14:paraId="52581B0C" w14:textId="77777777" w:rsidR="00BD5ECF" w:rsidRDefault="00BD5ECF" w:rsidP="00CB2E7C">
      <w:pPr>
        <w:spacing w:after="0" w:line="240" w:lineRule="auto"/>
        <w:jc w:val="center"/>
        <w:rPr>
          <w:rFonts w:ascii="Verdana" w:hAnsi="Verdana"/>
          <w:b/>
          <w:sz w:val="20"/>
          <w:szCs w:val="20"/>
        </w:rPr>
      </w:pPr>
      <w:r>
        <w:rPr>
          <w:rFonts w:ascii="Verdana" w:hAnsi="Verdana"/>
          <w:b/>
          <w:sz w:val="20"/>
          <w:szCs w:val="20"/>
        </w:rPr>
        <w:t>SOLICITUD DE INTERPRETACIÓN Y PROCEDIMIENTO ANTE LA CORTE</w:t>
      </w:r>
    </w:p>
    <w:p w14:paraId="191280AA" w14:textId="77777777" w:rsidR="00CB2E7C" w:rsidRDefault="00CB2E7C" w:rsidP="00CB2E7C">
      <w:pPr>
        <w:spacing w:after="0" w:line="240" w:lineRule="auto"/>
        <w:jc w:val="center"/>
        <w:rPr>
          <w:rFonts w:ascii="Verdana" w:hAnsi="Verdana"/>
          <w:b/>
          <w:sz w:val="20"/>
          <w:szCs w:val="20"/>
        </w:rPr>
      </w:pPr>
    </w:p>
    <w:p w14:paraId="75DEC369" w14:textId="77777777" w:rsidR="00BD5ECF" w:rsidRDefault="00CB2E7C" w:rsidP="00CB2E7C">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El </w:t>
      </w:r>
      <w:r w:rsidR="004A56D9">
        <w:rPr>
          <w:rFonts w:ascii="Verdana" w:hAnsi="Verdana"/>
          <w:sz w:val="20"/>
          <w:szCs w:val="20"/>
        </w:rPr>
        <w:t>3</w:t>
      </w:r>
      <w:r>
        <w:rPr>
          <w:rFonts w:ascii="Verdana" w:hAnsi="Verdana"/>
          <w:sz w:val="20"/>
          <w:szCs w:val="20"/>
        </w:rPr>
        <w:t xml:space="preserve"> de </w:t>
      </w:r>
      <w:r w:rsidR="004A56D9">
        <w:rPr>
          <w:rFonts w:ascii="Verdana" w:hAnsi="Verdana"/>
          <w:sz w:val="20"/>
          <w:szCs w:val="20"/>
        </w:rPr>
        <w:t xml:space="preserve">junio </w:t>
      </w:r>
      <w:r>
        <w:rPr>
          <w:rFonts w:ascii="Verdana" w:hAnsi="Verdana"/>
          <w:sz w:val="20"/>
          <w:szCs w:val="20"/>
        </w:rPr>
        <w:t xml:space="preserve">de </w:t>
      </w:r>
      <w:r w:rsidR="004A56D9">
        <w:rPr>
          <w:rFonts w:ascii="Verdana" w:hAnsi="Verdana"/>
          <w:sz w:val="20"/>
          <w:szCs w:val="20"/>
        </w:rPr>
        <w:t>2020</w:t>
      </w:r>
      <w:r>
        <w:rPr>
          <w:rFonts w:ascii="Verdana" w:hAnsi="Verdana"/>
          <w:sz w:val="20"/>
          <w:szCs w:val="20"/>
        </w:rPr>
        <w:t xml:space="preserve"> la Corte Interamericana emitió la Sentencia</w:t>
      </w:r>
      <w:r w:rsidR="00185E1C">
        <w:rPr>
          <w:rFonts w:ascii="Verdana" w:hAnsi="Verdana"/>
          <w:sz w:val="20"/>
          <w:szCs w:val="20"/>
        </w:rPr>
        <w:t xml:space="preserve"> en el presente caso</w:t>
      </w:r>
      <w:r>
        <w:rPr>
          <w:rFonts w:ascii="Verdana" w:hAnsi="Verdana"/>
          <w:sz w:val="20"/>
          <w:szCs w:val="20"/>
        </w:rPr>
        <w:t xml:space="preserve">, la cual fue notificada a las partes y a la Comisión Interamericana de Derechos Humanos (en adelante “la Comisión Interamericana” o “la Comisión”) el </w:t>
      </w:r>
      <w:r w:rsidR="004A56D9">
        <w:rPr>
          <w:rFonts w:ascii="Verdana" w:hAnsi="Verdana"/>
          <w:sz w:val="20"/>
          <w:szCs w:val="20"/>
        </w:rPr>
        <w:t>24</w:t>
      </w:r>
      <w:r>
        <w:rPr>
          <w:rFonts w:ascii="Verdana" w:hAnsi="Verdana"/>
          <w:sz w:val="20"/>
          <w:szCs w:val="20"/>
        </w:rPr>
        <w:t xml:space="preserve"> de </w:t>
      </w:r>
      <w:r w:rsidR="004A56D9">
        <w:rPr>
          <w:rFonts w:ascii="Verdana" w:hAnsi="Verdana"/>
          <w:sz w:val="20"/>
          <w:szCs w:val="20"/>
        </w:rPr>
        <w:t>julio</w:t>
      </w:r>
      <w:r>
        <w:rPr>
          <w:rFonts w:ascii="Verdana" w:hAnsi="Verdana"/>
          <w:sz w:val="20"/>
          <w:szCs w:val="20"/>
        </w:rPr>
        <w:t xml:space="preserve"> del mismo año. </w:t>
      </w:r>
    </w:p>
    <w:p w14:paraId="7DFB822F" w14:textId="77777777" w:rsidR="00CB2E7C" w:rsidRDefault="00CB2E7C" w:rsidP="00CB2E7C">
      <w:pPr>
        <w:pStyle w:val="Prrafodelista"/>
        <w:spacing w:after="0" w:line="240" w:lineRule="auto"/>
        <w:ind w:left="0"/>
        <w:jc w:val="both"/>
        <w:rPr>
          <w:rFonts w:ascii="Verdana" w:hAnsi="Verdana"/>
          <w:sz w:val="20"/>
          <w:szCs w:val="20"/>
        </w:rPr>
      </w:pPr>
    </w:p>
    <w:p w14:paraId="34BE4CC5" w14:textId="7827F215" w:rsidR="00CB2E7C" w:rsidRPr="004C3C96" w:rsidRDefault="00CB2E7C" w:rsidP="00CB2E7C">
      <w:pPr>
        <w:pStyle w:val="Prrafodelista"/>
        <w:numPr>
          <w:ilvl w:val="0"/>
          <w:numId w:val="1"/>
        </w:numPr>
        <w:spacing w:after="0" w:line="240" w:lineRule="auto"/>
        <w:ind w:left="0" w:firstLine="0"/>
        <w:jc w:val="both"/>
        <w:rPr>
          <w:rFonts w:ascii="Verdana" w:hAnsi="Verdana"/>
          <w:sz w:val="20"/>
          <w:szCs w:val="20"/>
        </w:rPr>
      </w:pPr>
      <w:r w:rsidRPr="004C3C96">
        <w:rPr>
          <w:rFonts w:ascii="Verdana" w:hAnsi="Verdana"/>
          <w:sz w:val="20"/>
          <w:szCs w:val="20"/>
        </w:rPr>
        <w:t xml:space="preserve">El </w:t>
      </w:r>
      <w:r w:rsidR="004A56D9" w:rsidRPr="004C3C96">
        <w:rPr>
          <w:rFonts w:ascii="Verdana" w:hAnsi="Verdana"/>
          <w:sz w:val="20"/>
          <w:szCs w:val="20"/>
        </w:rPr>
        <w:t>28 de julio d</w:t>
      </w:r>
      <w:r w:rsidRPr="004C3C96">
        <w:rPr>
          <w:rFonts w:ascii="Verdana" w:hAnsi="Verdana"/>
          <w:sz w:val="20"/>
          <w:szCs w:val="20"/>
        </w:rPr>
        <w:t xml:space="preserve">e </w:t>
      </w:r>
      <w:r w:rsidR="004A56D9" w:rsidRPr="004C3C96">
        <w:rPr>
          <w:rFonts w:ascii="Verdana" w:hAnsi="Verdana"/>
          <w:sz w:val="20"/>
          <w:szCs w:val="20"/>
        </w:rPr>
        <w:t>202</w:t>
      </w:r>
      <w:r w:rsidR="00376909">
        <w:rPr>
          <w:rFonts w:ascii="Verdana" w:hAnsi="Verdana"/>
          <w:sz w:val="20"/>
          <w:szCs w:val="20"/>
        </w:rPr>
        <w:t>0</w:t>
      </w:r>
      <w:r w:rsidR="004A56D9" w:rsidRPr="004C3C96">
        <w:rPr>
          <w:rFonts w:ascii="Verdana" w:hAnsi="Verdana"/>
          <w:sz w:val="20"/>
          <w:szCs w:val="20"/>
        </w:rPr>
        <w:t xml:space="preserve"> el representante</w:t>
      </w:r>
      <w:r w:rsidR="005A46F0">
        <w:rPr>
          <w:rFonts w:ascii="Verdana" w:hAnsi="Verdana"/>
          <w:sz w:val="20"/>
          <w:szCs w:val="20"/>
        </w:rPr>
        <w:t xml:space="preserve"> de la</w:t>
      </w:r>
      <w:r w:rsidR="00D42D9E">
        <w:rPr>
          <w:rFonts w:ascii="Verdana" w:hAnsi="Verdana"/>
          <w:sz w:val="20"/>
          <w:szCs w:val="20"/>
        </w:rPr>
        <w:t>s</w:t>
      </w:r>
      <w:r w:rsidR="005A46F0">
        <w:rPr>
          <w:rFonts w:ascii="Verdana" w:hAnsi="Verdana"/>
          <w:sz w:val="20"/>
          <w:szCs w:val="20"/>
        </w:rPr>
        <w:t xml:space="preserve"> víctima</w:t>
      </w:r>
      <w:r w:rsidR="00D42D9E">
        <w:rPr>
          <w:rFonts w:ascii="Verdana" w:hAnsi="Verdana"/>
          <w:sz w:val="20"/>
          <w:szCs w:val="20"/>
        </w:rPr>
        <w:t>s</w:t>
      </w:r>
      <w:r w:rsidR="004A56D9" w:rsidRPr="004C3C96">
        <w:rPr>
          <w:rFonts w:ascii="Verdana" w:hAnsi="Verdana"/>
          <w:sz w:val="20"/>
          <w:szCs w:val="20"/>
        </w:rPr>
        <w:t xml:space="preserve"> sometió</w:t>
      </w:r>
      <w:r w:rsidRPr="004C3C96">
        <w:rPr>
          <w:rFonts w:ascii="Verdana" w:hAnsi="Verdana"/>
          <w:sz w:val="20"/>
          <w:szCs w:val="20"/>
        </w:rPr>
        <w:t xml:space="preserve"> a la Corte una solicitud</w:t>
      </w:r>
      <w:r w:rsidR="004A56D9" w:rsidRPr="004C3C96">
        <w:rPr>
          <w:rFonts w:ascii="Verdana" w:hAnsi="Verdana"/>
          <w:sz w:val="20"/>
          <w:szCs w:val="20"/>
        </w:rPr>
        <w:t xml:space="preserve"> de interpretación</w:t>
      </w:r>
      <w:r w:rsidRPr="004C3C96">
        <w:rPr>
          <w:rFonts w:ascii="Verdana" w:hAnsi="Verdana"/>
          <w:sz w:val="20"/>
          <w:szCs w:val="20"/>
        </w:rPr>
        <w:t xml:space="preserve"> en relación con dos aspectos de </w:t>
      </w:r>
      <w:r w:rsidR="004C3C96" w:rsidRPr="004C3C96">
        <w:rPr>
          <w:rFonts w:ascii="Verdana" w:hAnsi="Verdana"/>
          <w:sz w:val="20"/>
          <w:szCs w:val="20"/>
        </w:rPr>
        <w:t>las indemnizaciones compensatorias ordenadas en el apartado de reparaciones de la Sentencia, a saber</w:t>
      </w:r>
      <w:r w:rsidRPr="004C3C96">
        <w:rPr>
          <w:rFonts w:ascii="Verdana" w:hAnsi="Verdana"/>
          <w:sz w:val="20"/>
          <w:szCs w:val="20"/>
        </w:rPr>
        <w:t>: (</w:t>
      </w:r>
      <w:r w:rsidR="004C3C96" w:rsidRPr="004C3C96">
        <w:rPr>
          <w:rFonts w:ascii="Verdana" w:hAnsi="Verdana"/>
          <w:sz w:val="20"/>
          <w:szCs w:val="20"/>
        </w:rPr>
        <w:t>i) la indemnización por lucro cesante que correspondería al señor Patricio Fernando Roche Azaña</w:t>
      </w:r>
      <w:r w:rsidRPr="004C3C96">
        <w:rPr>
          <w:rFonts w:ascii="Verdana" w:hAnsi="Verdana"/>
          <w:sz w:val="20"/>
          <w:szCs w:val="20"/>
        </w:rPr>
        <w:t>, y (</w:t>
      </w:r>
      <w:proofErr w:type="spellStart"/>
      <w:r w:rsidR="00CC22B5">
        <w:rPr>
          <w:rFonts w:ascii="Verdana" w:hAnsi="Verdana"/>
          <w:sz w:val="20"/>
          <w:szCs w:val="20"/>
        </w:rPr>
        <w:t>ii</w:t>
      </w:r>
      <w:proofErr w:type="spellEnd"/>
      <w:r w:rsidRPr="004C3C96">
        <w:rPr>
          <w:rFonts w:ascii="Verdana" w:hAnsi="Verdana"/>
          <w:sz w:val="20"/>
          <w:szCs w:val="20"/>
        </w:rPr>
        <w:t xml:space="preserve">) </w:t>
      </w:r>
      <w:r w:rsidR="004C3C96" w:rsidRPr="004C3C96">
        <w:rPr>
          <w:rFonts w:ascii="Verdana" w:hAnsi="Verdana"/>
          <w:sz w:val="20"/>
          <w:szCs w:val="20"/>
        </w:rPr>
        <w:t xml:space="preserve">el </w:t>
      </w:r>
      <w:r w:rsidR="004C3C96">
        <w:rPr>
          <w:rFonts w:ascii="Verdana" w:hAnsi="Verdana"/>
          <w:sz w:val="20"/>
          <w:szCs w:val="20"/>
        </w:rPr>
        <w:t xml:space="preserve">monto </w:t>
      </w:r>
      <w:r w:rsidR="00CC22B5">
        <w:rPr>
          <w:rFonts w:ascii="Verdana" w:hAnsi="Verdana"/>
          <w:sz w:val="20"/>
          <w:szCs w:val="20"/>
        </w:rPr>
        <w:t xml:space="preserve">específico </w:t>
      </w:r>
      <w:r w:rsidR="004C3C96">
        <w:rPr>
          <w:rFonts w:ascii="Verdana" w:hAnsi="Verdana"/>
          <w:sz w:val="20"/>
          <w:szCs w:val="20"/>
        </w:rPr>
        <w:t xml:space="preserve">que </w:t>
      </w:r>
      <w:r w:rsidR="00CC22B5">
        <w:rPr>
          <w:rFonts w:ascii="Verdana" w:hAnsi="Verdana"/>
          <w:sz w:val="20"/>
          <w:szCs w:val="20"/>
        </w:rPr>
        <w:t>debía</w:t>
      </w:r>
      <w:r w:rsidR="004C3C96">
        <w:rPr>
          <w:rFonts w:ascii="Verdana" w:hAnsi="Verdana"/>
          <w:sz w:val="20"/>
          <w:szCs w:val="20"/>
        </w:rPr>
        <w:t xml:space="preserve"> ser entregado a la señora </w:t>
      </w:r>
      <w:r w:rsidR="004C3C96" w:rsidRPr="004C3C96">
        <w:rPr>
          <w:rFonts w:ascii="Verdana" w:hAnsi="Verdana"/>
          <w:sz w:val="20"/>
          <w:szCs w:val="20"/>
        </w:rPr>
        <w:t>María Angelita Azaña Tenesaca</w:t>
      </w:r>
      <w:r w:rsidR="004C3C96">
        <w:rPr>
          <w:rFonts w:ascii="Verdana" w:hAnsi="Verdana"/>
          <w:sz w:val="20"/>
          <w:szCs w:val="20"/>
        </w:rPr>
        <w:t xml:space="preserve"> </w:t>
      </w:r>
      <w:r w:rsidR="00CC22B5">
        <w:rPr>
          <w:rFonts w:ascii="Verdana" w:hAnsi="Verdana"/>
          <w:sz w:val="20"/>
          <w:szCs w:val="20"/>
        </w:rPr>
        <w:t>en concepto de</w:t>
      </w:r>
      <w:r w:rsidR="004C3C96">
        <w:rPr>
          <w:rFonts w:ascii="Verdana" w:hAnsi="Verdana"/>
          <w:sz w:val="20"/>
          <w:szCs w:val="20"/>
        </w:rPr>
        <w:t xml:space="preserve"> lucro </w:t>
      </w:r>
      <w:r w:rsidR="00901CDD">
        <w:rPr>
          <w:rFonts w:ascii="Verdana" w:hAnsi="Verdana"/>
          <w:sz w:val="20"/>
          <w:szCs w:val="20"/>
        </w:rPr>
        <w:t>cesante</w:t>
      </w:r>
      <w:r w:rsidR="00BB324D" w:rsidRPr="004C3C96">
        <w:rPr>
          <w:rFonts w:ascii="Verdana" w:hAnsi="Verdana"/>
          <w:sz w:val="20"/>
          <w:szCs w:val="20"/>
        </w:rPr>
        <w:t xml:space="preserve">. </w:t>
      </w:r>
    </w:p>
    <w:p w14:paraId="0393F99C" w14:textId="77777777" w:rsidR="004A56D9" w:rsidRPr="004A56D9" w:rsidRDefault="004A56D9" w:rsidP="004A56D9">
      <w:pPr>
        <w:pStyle w:val="Prrafodelista"/>
        <w:spacing w:after="0" w:line="240" w:lineRule="auto"/>
        <w:ind w:left="0"/>
        <w:jc w:val="both"/>
        <w:rPr>
          <w:rFonts w:ascii="Verdana" w:hAnsi="Verdana"/>
          <w:sz w:val="20"/>
          <w:szCs w:val="20"/>
          <w:highlight w:val="yellow"/>
        </w:rPr>
      </w:pPr>
    </w:p>
    <w:p w14:paraId="5EDB998E" w14:textId="7EC114CF" w:rsidR="004A56D9" w:rsidRPr="00B4304E" w:rsidRDefault="004A56D9" w:rsidP="006F7956">
      <w:pPr>
        <w:pStyle w:val="Prrafodelista"/>
        <w:numPr>
          <w:ilvl w:val="0"/>
          <w:numId w:val="1"/>
        </w:numPr>
        <w:spacing w:after="0" w:line="240" w:lineRule="auto"/>
        <w:ind w:left="0" w:firstLine="0"/>
        <w:jc w:val="both"/>
        <w:rPr>
          <w:rFonts w:ascii="Verdana" w:hAnsi="Verdana"/>
          <w:sz w:val="20"/>
          <w:szCs w:val="20"/>
        </w:rPr>
      </w:pPr>
      <w:r w:rsidRPr="00B4304E">
        <w:rPr>
          <w:rFonts w:ascii="Verdana" w:hAnsi="Verdana"/>
          <w:sz w:val="20"/>
          <w:szCs w:val="20"/>
        </w:rPr>
        <w:t>Por otro lado, el 7 de agosto de 2020 el Estado sometió a la Corte una solicitud de interpretaci</w:t>
      </w:r>
      <w:r w:rsidR="00901CDD" w:rsidRPr="00B4304E">
        <w:rPr>
          <w:rFonts w:ascii="Verdana" w:hAnsi="Verdana"/>
          <w:sz w:val="20"/>
          <w:szCs w:val="20"/>
        </w:rPr>
        <w:t>ón relacionada con (i) la par</w:t>
      </w:r>
      <w:r w:rsidR="00CC22B5">
        <w:rPr>
          <w:rFonts w:ascii="Verdana" w:hAnsi="Verdana"/>
          <w:sz w:val="20"/>
          <w:szCs w:val="20"/>
        </w:rPr>
        <w:t>ticipación de miembros</w:t>
      </w:r>
      <w:r w:rsidR="00901CDD" w:rsidRPr="00B4304E">
        <w:rPr>
          <w:rFonts w:ascii="Verdana" w:hAnsi="Verdana"/>
          <w:sz w:val="20"/>
          <w:szCs w:val="20"/>
        </w:rPr>
        <w:t xml:space="preserve"> del Ejército de Nicaragua en el operativo policial </w:t>
      </w:r>
      <w:r w:rsidR="00AF3AF1">
        <w:rPr>
          <w:rFonts w:ascii="Verdana" w:hAnsi="Verdana"/>
          <w:sz w:val="20"/>
          <w:szCs w:val="20"/>
        </w:rPr>
        <w:t>al</w:t>
      </w:r>
      <w:r w:rsidR="00CC22B5">
        <w:rPr>
          <w:rFonts w:ascii="Verdana" w:hAnsi="Verdana"/>
          <w:sz w:val="20"/>
          <w:szCs w:val="20"/>
        </w:rPr>
        <w:t xml:space="preserve"> que hace</w:t>
      </w:r>
      <w:r w:rsidR="00475003">
        <w:rPr>
          <w:rFonts w:ascii="Verdana" w:hAnsi="Verdana"/>
          <w:sz w:val="20"/>
          <w:szCs w:val="20"/>
        </w:rPr>
        <w:t>n</w:t>
      </w:r>
      <w:r w:rsidR="00B4304E" w:rsidRPr="00B4304E">
        <w:rPr>
          <w:rFonts w:ascii="Verdana" w:hAnsi="Verdana"/>
          <w:sz w:val="20"/>
          <w:szCs w:val="20"/>
        </w:rPr>
        <w:t xml:space="preserve"> referencia los hechos probados de</w:t>
      </w:r>
      <w:r w:rsidR="00901CDD" w:rsidRPr="00B4304E">
        <w:rPr>
          <w:rFonts w:ascii="Verdana" w:hAnsi="Verdana"/>
          <w:sz w:val="20"/>
          <w:szCs w:val="20"/>
        </w:rPr>
        <w:t xml:space="preserve"> la Sentencia</w:t>
      </w:r>
      <w:r w:rsidR="006F7956">
        <w:rPr>
          <w:rFonts w:ascii="Verdana" w:hAnsi="Verdana"/>
          <w:sz w:val="20"/>
          <w:szCs w:val="20"/>
        </w:rPr>
        <w:t xml:space="preserve"> y (</w:t>
      </w:r>
      <w:proofErr w:type="spellStart"/>
      <w:r w:rsidR="006F7956">
        <w:rPr>
          <w:rFonts w:ascii="Verdana" w:hAnsi="Verdana"/>
          <w:sz w:val="20"/>
          <w:szCs w:val="20"/>
        </w:rPr>
        <w:t>ii</w:t>
      </w:r>
      <w:proofErr w:type="spellEnd"/>
      <w:r w:rsidR="006F7956">
        <w:rPr>
          <w:rFonts w:ascii="Verdana" w:hAnsi="Verdana"/>
          <w:sz w:val="20"/>
          <w:szCs w:val="20"/>
        </w:rPr>
        <w:t>) el sentido y alcance del punto resolutivo octavo de la Sentencia, el cual ordena al Estado crear e implementar “</w:t>
      </w:r>
      <w:r w:rsidR="006F7956" w:rsidRPr="006F7956">
        <w:rPr>
          <w:rFonts w:ascii="Verdana" w:hAnsi="Verdana"/>
          <w:sz w:val="20"/>
          <w:szCs w:val="20"/>
        </w:rPr>
        <w:t>un plan de capacitación dirigido a miembros de la Policía Nacional de Nicaragua y del Ejército de Nicaragua sobre los estándares internacionales en materia de uso de la fuerza, así como respecto a los estándares internacionales de protección de los derechos de las personas en contexto de movilidad</w:t>
      </w:r>
      <w:r w:rsidR="006F7956">
        <w:rPr>
          <w:rFonts w:ascii="Verdana" w:hAnsi="Verdana"/>
          <w:sz w:val="20"/>
          <w:szCs w:val="20"/>
        </w:rPr>
        <w:t>”</w:t>
      </w:r>
      <w:r w:rsidRPr="00B4304E">
        <w:rPr>
          <w:rFonts w:ascii="Verdana" w:hAnsi="Verdana"/>
          <w:sz w:val="20"/>
          <w:szCs w:val="20"/>
        </w:rPr>
        <w:t xml:space="preserve">. </w:t>
      </w:r>
    </w:p>
    <w:p w14:paraId="299ECC28" w14:textId="77777777" w:rsidR="00326C79" w:rsidRDefault="00326C79" w:rsidP="00326C79">
      <w:pPr>
        <w:pStyle w:val="Prrafodelista"/>
        <w:spacing w:after="0" w:line="240" w:lineRule="auto"/>
        <w:ind w:left="0"/>
        <w:jc w:val="both"/>
        <w:rPr>
          <w:rFonts w:ascii="Verdana" w:hAnsi="Verdana"/>
          <w:sz w:val="20"/>
          <w:szCs w:val="20"/>
        </w:rPr>
      </w:pPr>
    </w:p>
    <w:p w14:paraId="4C0ADFC4" w14:textId="327791AB" w:rsidR="00BB324D" w:rsidRDefault="00BB324D" w:rsidP="00BB324D">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El </w:t>
      </w:r>
      <w:r w:rsidR="004A56D9">
        <w:rPr>
          <w:rFonts w:ascii="Verdana" w:hAnsi="Verdana"/>
          <w:sz w:val="20"/>
          <w:szCs w:val="20"/>
        </w:rPr>
        <w:t>26</w:t>
      </w:r>
      <w:r>
        <w:rPr>
          <w:rFonts w:ascii="Verdana" w:hAnsi="Verdana"/>
          <w:sz w:val="20"/>
          <w:szCs w:val="20"/>
        </w:rPr>
        <w:t xml:space="preserve"> de </w:t>
      </w:r>
      <w:r w:rsidR="004A56D9">
        <w:rPr>
          <w:rFonts w:ascii="Verdana" w:hAnsi="Verdana"/>
          <w:sz w:val="20"/>
          <w:szCs w:val="20"/>
        </w:rPr>
        <w:t>agosto</w:t>
      </w:r>
      <w:r>
        <w:rPr>
          <w:rFonts w:ascii="Verdana" w:hAnsi="Verdana"/>
          <w:sz w:val="20"/>
          <w:szCs w:val="20"/>
        </w:rPr>
        <w:t xml:space="preserve"> de </w:t>
      </w:r>
      <w:r w:rsidR="004A56D9">
        <w:rPr>
          <w:rFonts w:ascii="Verdana" w:hAnsi="Verdana"/>
          <w:sz w:val="20"/>
          <w:szCs w:val="20"/>
        </w:rPr>
        <w:t>2020</w:t>
      </w:r>
      <w:r>
        <w:rPr>
          <w:rFonts w:ascii="Verdana" w:hAnsi="Verdana"/>
          <w:sz w:val="20"/>
          <w:szCs w:val="20"/>
        </w:rPr>
        <w:t xml:space="preserve">, siguiendo instrucciones </w:t>
      </w:r>
      <w:r w:rsidR="004A56D9">
        <w:rPr>
          <w:rFonts w:ascii="Verdana" w:hAnsi="Verdana"/>
          <w:sz w:val="20"/>
          <w:szCs w:val="20"/>
        </w:rPr>
        <w:t xml:space="preserve">de la </w:t>
      </w:r>
      <w:proofErr w:type="gramStart"/>
      <w:r w:rsidR="004A56D9">
        <w:rPr>
          <w:rFonts w:ascii="Verdana" w:hAnsi="Verdana"/>
          <w:sz w:val="20"/>
          <w:szCs w:val="20"/>
        </w:rPr>
        <w:t>Presidenta</w:t>
      </w:r>
      <w:proofErr w:type="gramEnd"/>
      <w:r>
        <w:rPr>
          <w:rFonts w:ascii="Verdana" w:hAnsi="Verdana"/>
          <w:sz w:val="20"/>
          <w:szCs w:val="20"/>
        </w:rPr>
        <w:t xml:space="preserve"> de la Corte, la Secretaría del Tribunal transmitió la</w:t>
      </w:r>
      <w:r w:rsidR="004A56D9">
        <w:rPr>
          <w:rFonts w:ascii="Verdana" w:hAnsi="Verdana"/>
          <w:sz w:val="20"/>
          <w:szCs w:val="20"/>
        </w:rPr>
        <w:t>s</w:t>
      </w:r>
      <w:r>
        <w:rPr>
          <w:rFonts w:ascii="Verdana" w:hAnsi="Verdana"/>
          <w:sz w:val="20"/>
          <w:szCs w:val="20"/>
        </w:rPr>
        <w:t xml:space="preserve"> referida</w:t>
      </w:r>
      <w:r w:rsidR="004B5867">
        <w:rPr>
          <w:rFonts w:ascii="Verdana" w:hAnsi="Verdana"/>
          <w:sz w:val="20"/>
          <w:szCs w:val="20"/>
        </w:rPr>
        <w:t>s</w:t>
      </w:r>
      <w:r>
        <w:rPr>
          <w:rFonts w:ascii="Verdana" w:hAnsi="Verdana"/>
          <w:sz w:val="20"/>
          <w:szCs w:val="20"/>
        </w:rPr>
        <w:t xml:space="preserve"> </w:t>
      </w:r>
      <w:r w:rsidR="004A56D9">
        <w:rPr>
          <w:rFonts w:ascii="Verdana" w:hAnsi="Verdana"/>
          <w:sz w:val="20"/>
          <w:szCs w:val="20"/>
        </w:rPr>
        <w:t xml:space="preserve">comunicaciones a las partes </w:t>
      </w:r>
      <w:r>
        <w:rPr>
          <w:rFonts w:ascii="Verdana" w:hAnsi="Verdana"/>
          <w:sz w:val="20"/>
          <w:szCs w:val="20"/>
        </w:rPr>
        <w:t xml:space="preserve">y a la Comisión Interamericana y les otorgó un plazo hasta el </w:t>
      </w:r>
      <w:r w:rsidR="004A56D9">
        <w:rPr>
          <w:rFonts w:ascii="Verdana" w:hAnsi="Verdana"/>
          <w:sz w:val="20"/>
          <w:szCs w:val="20"/>
        </w:rPr>
        <w:t>24</w:t>
      </w:r>
      <w:r>
        <w:rPr>
          <w:rFonts w:ascii="Verdana" w:hAnsi="Verdana"/>
          <w:sz w:val="20"/>
          <w:szCs w:val="20"/>
        </w:rPr>
        <w:t xml:space="preserve"> de </w:t>
      </w:r>
      <w:r w:rsidR="004A56D9">
        <w:rPr>
          <w:rFonts w:ascii="Verdana" w:hAnsi="Verdana"/>
          <w:sz w:val="20"/>
          <w:szCs w:val="20"/>
        </w:rPr>
        <w:t>septiembre</w:t>
      </w:r>
      <w:r>
        <w:rPr>
          <w:rFonts w:ascii="Verdana" w:hAnsi="Verdana"/>
          <w:sz w:val="20"/>
          <w:szCs w:val="20"/>
        </w:rPr>
        <w:t xml:space="preserve"> de </w:t>
      </w:r>
      <w:r w:rsidR="004A56D9">
        <w:rPr>
          <w:rFonts w:ascii="Verdana" w:hAnsi="Verdana"/>
          <w:sz w:val="20"/>
          <w:szCs w:val="20"/>
        </w:rPr>
        <w:t>2020</w:t>
      </w:r>
      <w:r>
        <w:rPr>
          <w:rFonts w:ascii="Verdana" w:hAnsi="Verdana"/>
          <w:sz w:val="20"/>
          <w:szCs w:val="20"/>
        </w:rPr>
        <w:t xml:space="preserve"> para presentar </w:t>
      </w:r>
      <w:r w:rsidR="005A46F0">
        <w:rPr>
          <w:rFonts w:ascii="Verdana" w:hAnsi="Verdana"/>
          <w:sz w:val="20"/>
          <w:szCs w:val="20"/>
        </w:rPr>
        <w:t>sus observaciones escritas</w:t>
      </w:r>
      <w:r>
        <w:rPr>
          <w:rFonts w:ascii="Verdana" w:hAnsi="Verdana"/>
          <w:sz w:val="20"/>
          <w:szCs w:val="20"/>
        </w:rPr>
        <w:t xml:space="preserve">. </w:t>
      </w:r>
    </w:p>
    <w:p w14:paraId="583735BF" w14:textId="77777777" w:rsidR="00BB324D" w:rsidRPr="00BB324D" w:rsidRDefault="00BB324D" w:rsidP="00BB324D">
      <w:pPr>
        <w:pStyle w:val="Prrafodelista"/>
        <w:rPr>
          <w:rFonts w:ascii="Verdana" w:hAnsi="Verdana"/>
          <w:sz w:val="20"/>
          <w:szCs w:val="20"/>
        </w:rPr>
      </w:pPr>
    </w:p>
    <w:p w14:paraId="5915CE88" w14:textId="0511CD2F" w:rsidR="00BB324D" w:rsidRDefault="00BB324D" w:rsidP="00BB324D">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lastRenderedPageBreak/>
        <w:t xml:space="preserve">El </w:t>
      </w:r>
      <w:r w:rsidR="004A56D9">
        <w:rPr>
          <w:rFonts w:ascii="Verdana" w:hAnsi="Verdana"/>
          <w:sz w:val="20"/>
          <w:szCs w:val="20"/>
        </w:rPr>
        <w:t>21</w:t>
      </w:r>
      <w:r>
        <w:rPr>
          <w:rFonts w:ascii="Verdana" w:hAnsi="Verdana"/>
          <w:sz w:val="20"/>
          <w:szCs w:val="20"/>
        </w:rPr>
        <w:t xml:space="preserve"> </w:t>
      </w:r>
      <w:r w:rsidR="00D42D9E">
        <w:rPr>
          <w:rFonts w:ascii="Verdana" w:hAnsi="Verdana"/>
          <w:sz w:val="20"/>
          <w:szCs w:val="20"/>
        </w:rPr>
        <w:t xml:space="preserve">y </w:t>
      </w:r>
      <w:r w:rsidR="002631D9">
        <w:rPr>
          <w:rFonts w:ascii="Verdana" w:hAnsi="Verdana"/>
          <w:sz w:val="20"/>
          <w:szCs w:val="20"/>
        </w:rPr>
        <w:t xml:space="preserve">el </w:t>
      </w:r>
      <w:r w:rsidR="004A56D9">
        <w:rPr>
          <w:rFonts w:ascii="Verdana" w:hAnsi="Verdana"/>
          <w:sz w:val="20"/>
          <w:szCs w:val="20"/>
        </w:rPr>
        <w:t>24</w:t>
      </w:r>
      <w:r w:rsidR="002631D9">
        <w:rPr>
          <w:rFonts w:ascii="Verdana" w:hAnsi="Verdana"/>
          <w:sz w:val="20"/>
          <w:szCs w:val="20"/>
        </w:rPr>
        <w:t xml:space="preserve"> de </w:t>
      </w:r>
      <w:r w:rsidR="004A56D9">
        <w:rPr>
          <w:rFonts w:ascii="Verdana" w:hAnsi="Verdana"/>
          <w:sz w:val="20"/>
          <w:szCs w:val="20"/>
        </w:rPr>
        <w:t>septiembre</w:t>
      </w:r>
      <w:r w:rsidR="002631D9">
        <w:rPr>
          <w:rFonts w:ascii="Verdana" w:hAnsi="Verdana"/>
          <w:sz w:val="20"/>
          <w:szCs w:val="20"/>
        </w:rPr>
        <w:t xml:space="preserve"> </w:t>
      </w:r>
      <w:r>
        <w:rPr>
          <w:rFonts w:ascii="Verdana" w:hAnsi="Verdana"/>
          <w:sz w:val="20"/>
          <w:szCs w:val="20"/>
        </w:rPr>
        <w:t xml:space="preserve">de </w:t>
      </w:r>
      <w:r w:rsidR="004A56D9">
        <w:rPr>
          <w:rFonts w:ascii="Verdana" w:hAnsi="Verdana"/>
          <w:sz w:val="20"/>
          <w:szCs w:val="20"/>
        </w:rPr>
        <w:t>2020</w:t>
      </w:r>
      <w:r>
        <w:rPr>
          <w:rFonts w:ascii="Verdana" w:hAnsi="Verdana"/>
          <w:sz w:val="20"/>
          <w:szCs w:val="20"/>
        </w:rPr>
        <w:t xml:space="preserve"> el Estado y la Comisión Interamericana</w:t>
      </w:r>
      <w:r w:rsidR="002631D9">
        <w:rPr>
          <w:rFonts w:ascii="Verdana" w:hAnsi="Verdana"/>
          <w:sz w:val="20"/>
          <w:szCs w:val="20"/>
        </w:rPr>
        <w:t>, respectivamente,</w:t>
      </w:r>
      <w:r>
        <w:rPr>
          <w:rFonts w:ascii="Verdana" w:hAnsi="Verdana"/>
          <w:sz w:val="20"/>
          <w:szCs w:val="20"/>
        </w:rPr>
        <w:t xml:space="preserve"> presentaron sus</w:t>
      </w:r>
      <w:r w:rsidR="005A46F0">
        <w:rPr>
          <w:rFonts w:ascii="Verdana" w:hAnsi="Verdana"/>
          <w:sz w:val="20"/>
          <w:szCs w:val="20"/>
        </w:rPr>
        <w:t xml:space="preserve"> observaciones escritas respecto de las referidas solicitudes </w:t>
      </w:r>
      <w:r w:rsidR="00F01BD6">
        <w:rPr>
          <w:rFonts w:ascii="Verdana" w:hAnsi="Verdana"/>
          <w:sz w:val="20"/>
          <w:szCs w:val="20"/>
        </w:rPr>
        <w:t>d</w:t>
      </w:r>
      <w:r w:rsidR="005A46F0">
        <w:rPr>
          <w:rFonts w:ascii="Verdana" w:hAnsi="Verdana"/>
          <w:sz w:val="20"/>
          <w:szCs w:val="20"/>
        </w:rPr>
        <w:t>e interpretación</w:t>
      </w:r>
      <w:r w:rsidR="004A56D9">
        <w:rPr>
          <w:rFonts w:ascii="Verdana" w:hAnsi="Verdana"/>
          <w:sz w:val="20"/>
          <w:szCs w:val="20"/>
        </w:rPr>
        <w:t>.</w:t>
      </w:r>
      <w:r w:rsidR="00D42D9E">
        <w:rPr>
          <w:rFonts w:ascii="Verdana" w:hAnsi="Verdana"/>
          <w:sz w:val="20"/>
          <w:szCs w:val="20"/>
        </w:rPr>
        <w:t xml:space="preserve"> El representante</w:t>
      </w:r>
      <w:r w:rsidR="00475003">
        <w:rPr>
          <w:rFonts w:ascii="Verdana" w:hAnsi="Verdana"/>
          <w:sz w:val="20"/>
          <w:szCs w:val="20"/>
        </w:rPr>
        <w:t xml:space="preserve"> de las víctimas</w:t>
      </w:r>
      <w:r w:rsidR="00D42D9E">
        <w:rPr>
          <w:rFonts w:ascii="Verdana" w:hAnsi="Verdana"/>
          <w:sz w:val="20"/>
          <w:szCs w:val="20"/>
        </w:rPr>
        <w:t xml:space="preserve"> no remitió observaciones escritas.</w:t>
      </w:r>
    </w:p>
    <w:p w14:paraId="34A111B2" w14:textId="77777777" w:rsidR="00185E1C" w:rsidRPr="00185E1C" w:rsidRDefault="00185E1C" w:rsidP="00A03487">
      <w:pPr>
        <w:pStyle w:val="Prrafodelista"/>
        <w:spacing w:after="0" w:line="240" w:lineRule="auto"/>
        <w:rPr>
          <w:rFonts w:ascii="Verdana" w:hAnsi="Verdana"/>
          <w:sz w:val="20"/>
          <w:szCs w:val="20"/>
        </w:rPr>
      </w:pPr>
    </w:p>
    <w:p w14:paraId="2230AEC9" w14:textId="77777777" w:rsidR="00185E1C" w:rsidRDefault="00185E1C" w:rsidP="00185E1C">
      <w:pPr>
        <w:spacing w:after="0" w:line="240" w:lineRule="auto"/>
        <w:jc w:val="center"/>
        <w:rPr>
          <w:rFonts w:ascii="Verdana" w:hAnsi="Verdana"/>
          <w:b/>
          <w:sz w:val="20"/>
          <w:szCs w:val="20"/>
        </w:rPr>
      </w:pPr>
      <w:r>
        <w:rPr>
          <w:rFonts w:ascii="Verdana" w:hAnsi="Verdana"/>
          <w:b/>
          <w:sz w:val="20"/>
          <w:szCs w:val="20"/>
        </w:rPr>
        <w:t>II</w:t>
      </w:r>
    </w:p>
    <w:p w14:paraId="40AE15AF" w14:textId="77777777" w:rsidR="00185E1C" w:rsidRPr="00185E1C" w:rsidRDefault="00185E1C" w:rsidP="00185E1C">
      <w:pPr>
        <w:spacing w:after="0" w:line="240" w:lineRule="auto"/>
        <w:jc w:val="center"/>
        <w:rPr>
          <w:rFonts w:ascii="Verdana" w:hAnsi="Verdana"/>
          <w:b/>
          <w:sz w:val="20"/>
          <w:szCs w:val="20"/>
        </w:rPr>
      </w:pPr>
      <w:r>
        <w:rPr>
          <w:rFonts w:ascii="Verdana" w:hAnsi="Verdana"/>
          <w:b/>
          <w:sz w:val="20"/>
          <w:szCs w:val="20"/>
        </w:rPr>
        <w:t>COMPETENCIA</w:t>
      </w:r>
    </w:p>
    <w:p w14:paraId="7182AB0B" w14:textId="77777777" w:rsidR="00BB324D" w:rsidRPr="00BB324D" w:rsidRDefault="00BB324D" w:rsidP="00BB324D">
      <w:pPr>
        <w:pStyle w:val="Prrafodelista"/>
        <w:rPr>
          <w:rFonts w:ascii="Verdana" w:hAnsi="Verdana"/>
          <w:sz w:val="20"/>
          <w:szCs w:val="20"/>
        </w:rPr>
      </w:pPr>
    </w:p>
    <w:p w14:paraId="3CE8C859" w14:textId="77777777" w:rsidR="00BB324D" w:rsidRDefault="00BB324D" w:rsidP="00BB324D">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El artículo 67 de la Convención establece que:</w:t>
      </w:r>
    </w:p>
    <w:p w14:paraId="495AC1D8" w14:textId="77777777" w:rsidR="00BB324D" w:rsidRDefault="00BB324D" w:rsidP="00BB324D">
      <w:pPr>
        <w:pStyle w:val="Prrafodelista"/>
        <w:rPr>
          <w:rFonts w:ascii="Verdana" w:hAnsi="Verdana"/>
          <w:sz w:val="20"/>
          <w:szCs w:val="20"/>
        </w:rPr>
      </w:pPr>
    </w:p>
    <w:p w14:paraId="39CB4832" w14:textId="77777777" w:rsidR="00F42B42" w:rsidRPr="00D42D9E" w:rsidRDefault="00F42B42" w:rsidP="00FC1E51">
      <w:pPr>
        <w:pStyle w:val="Prrafodelista"/>
        <w:spacing w:after="0" w:line="240" w:lineRule="auto"/>
        <w:ind w:right="674"/>
        <w:jc w:val="both"/>
        <w:rPr>
          <w:rFonts w:ascii="Verdana" w:hAnsi="Verdana"/>
          <w:sz w:val="18"/>
          <w:szCs w:val="16"/>
        </w:rPr>
      </w:pPr>
      <w:r w:rsidRPr="00D42D9E">
        <w:rPr>
          <w:rFonts w:ascii="Verdana" w:hAnsi="Verdana"/>
          <w:sz w:val="18"/>
          <w:szCs w:val="16"/>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14:paraId="469D8001" w14:textId="77777777" w:rsidR="00F42B42" w:rsidRPr="00BB324D" w:rsidRDefault="00F42B42" w:rsidP="00BB324D">
      <w:pPr>
        <w:pStyle w:val="Prrafodelista"/>
        <w:rPr>
          <w:rFonts w:ascii="Verdana" w:hAnsi="Verdana"/>
          <w:sz w:val="20"/>
          <w:szCs w:val="20"/>
        </w:rPr>
      </w:pPr>
    </w:p>
    <w:p w14:paraId="2344780A" w14:textId="3B23A5A2" w:rsidR="00BB324D" w:rsidRDefault="00BB324D" w:rsidP="004B5867">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De conformidad con el artículo citado, la Corte es competente para interpretar sus fallos. Para realizar el examen de la solicitud de interpretación y resolver lo que a este respecto corresponda, el Tribunal debe tener, si es posible, la misma composición </w:t>
      </w:r>
      <w:r w:rsidR="00F42B42">
        <w:rPr>
          <w:rFonts w:ascii="Verdana" w:hAnsi="Verdana"/>
          <w:sz w:val="20"/>
          <w:szCs w:val="20"/>
        </w:rPr>
        <w:t xml:space="preserve">que tenía al dictar la Sentencia respectiva, de acuerdo con el artículo 68.3 del Reglamento. </w:t>
      </w:r>
      <w:r w:rsidR="004B5867" w:rsidRPr="004B5867">
        <w:rPr>
          <w:rFonts w:ascii="Verdana" w:hAnsi="Verdana"/>
          <w:sz w:val="20"/>
          <w:szCs w:val="20"/>
        </w:rPr>
        <w:t>En esta ocasión, la Corte está integrada por los mismos Jueces</w:t>
      </w:r>
      <w:r w:rsidR="00CC22B5">
        <w:rPr>
          <w:rFonts w:ascii="Verdana" w:hAnsi="Verdana"/>
          <w:sz w:val="20"/>
          <w:szCs w:val="20"/>
        </w:rPr>
        <w:t xml:space="preserve"> y Jueza</w:t>
      </w:r>
      <w:r w:rsidR="004B5867" w:rsidRPr="004B5867">
        <w:rPr>
          <w:rFonts w:ascii="Verdana" w:hAnsi="Verdana"/>
          <w:sz w:val="20"/>
          <w:szCs w:val="20"/>
        </w:rPr>
        <w:t xml:space="preserve"> que dictaron la Sentencia cuya interpretación ha sido solicitada</w:t>
      </w:r>
      <w:r w:rsidR="006531FA">
        <w:rPr>
          <w:rStyle w:val="Refdenotaalpie"/>
          <w:rFonts w:ascii="Verdana" w:hAnsi="Verdana"/>
          <w:sz w:val="20"/>
          <w:szCs w:val="20"/>
        </w:rPr>
        <w:footnoteReference w:id="1"/>
      </w:r>
      <w:r w:rsidR="00CC22B5">
        <w:rPr>
          <w:rFonts w:ascii="Verdana" w:hAnsi="Verdana"/>
          <w:sz w:val="20"/>
          <w:szCs w:val="20"/>
        </w:rPr>
        <w:t>.</w:t>
      </w:r>
    </w:p>
    <w:p w14:paraId="14BDCAA9" w14:textId="77777777" w:rsidR="00F42B42" w:rsidRPr="00F42B42" w:rsidRDefault="00F42B42" w:rsidP="00A03487">
      <w:pPr>
        <w:pStyle w:val="Prrafodelista"/>
        <w:spacing w:after="0" w:line="240" w:lineRule="auto"/>
        <w:rPr>
          <w:rFonts w:ascii="Verdana" w:hAnsi="Verdana"/>
          <w:sz w:val="20"/>
          <w:szCs w:val="20"/>
        </w:rPr>
      </w:pPr>
    </w:p>
    <w:p w14:paraId="5014839E" w14:textId="77777777" w:rsidR="00F42B42" w:rsidRDefault="00F42B42" w:rsidP="00F42B42">
      <w:pPr>
        <w:spacing w:after="0" w:line="240" w:lineRule="auto"/>
        <w:jc w:val="center"/>
        <w:rPr>
          <w:rFonts w:ascii="Verdana" w:hAnsi="Verdana"/>
          <w:b/>
          <w:sz w:val="20"/>
          <w:szCs w:val="20"/>
        </w:rPr>
      </w:pPr>
      <w:r>
        <w:rPr>
          <w:rFonts w:ascii="Verdana" w:hAnsi="Verdana"/>
          <w:b/>
          <w:sz w:val="20"/>
          <w:szCs w:val="20"/>
        </w:rPr>
        <w:t>III</w:t>
      </w:r>
    </w:p>
    <w:p w14:paraId="3E0A3684" w14:textId="77777777" w:rsidR="00F42B42" w:rsidRDefault="00F42B42" w:rsidP="00F42B42">
      <w:pPr>
        <w:spacing w:after="0" w:line="240" w:lineRule="auto"/>
        <w:jc w:val="center"/>
        <w:rPr>
          <w:rFonts w:ascii="Verdana" w:hAnsi="Verdana"/>
          <w:b/>
          <w:sz w:val="20"/>
          <w:szCs w:val="20"/>
        </w:rPr>
      </w:pPr>
      <w:r>
        <w:rPr>
          <w:rFonts w:ascii="Verdana" w:hAnsi="Verdana"/>
          <w:b/>
          <w:sz w:val="20"/>
          <w:szCs w:val="20"/>
        </w:rPr>
        <w:t>ADMISIBILIDAD</w:t>
      </w:r>
    </w:p>
    <w:p w14:paraId="28DA31EF" w14:textId="77777777" w:rsidR="00F42B42" w:rsidRDefault="00F42B42" w:rsidP="00F42B42">
      <w:pPr>
        <w:spacing w:after="0" w:line="240" w:lineRule="auto"/>
        <w:rPr>
          <w:rFonts w:ascii="Verdana" w:hAnsi="Verdana"/>
          <w:sz w:val="20"/>
          <w:szCs w:val="20"/>
        </w:rPr>
      </w:pPr>
    </w:p>
    <w:p w14:paraId="55BA5858" w14:textId="3E8CA1CA" w:rsidR="005A46F0" w:rsidRDefault="00F42B42" w:rsidP="008002A7">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Corresponde a la Corte verificar si la</w:t>
      </w:r>
      <w:r w:rsidR="00376909">
        <w:rPr>
          <w:rFonts w:ascii="Verdana" w:hAnsi="Verdana"/>
          <w:sz w:val="20"/>
          <w:szCs w:val="20"/>
        </w:rPr>
        <w:t>s</w:t>
      </w:r>
      <w:r>
        <w:rPr>
          <w:rFonts w:ascii="Verdana" w:hAnsi="Verdana"/>
          <w:sz w:val="20"/>
          <w:szCs w:val="20"/>
        </w:rPr>
        <w:t xml:space="preserve"> </w:t>
      </w:r>
      <w:r w:rsidR="00376909">
        <w:rPr>
          <w:rFonts w:ascii="Verdana" w:hAnsi="Verdana"/>
          <w:sz w:val="20"/>
          <w:szCs w:val="20"/>
        </w:rPr>
        <w:t>solicitudes</w:t>
      </w:r>
      <w:r>
        <w:rPr>
          <w:rFonts w:ascii="Verdana" w:hAnsi="Verdana"/>
          <w:sz w:val="20"/>
          <w:szCs w:val="20"/>
        </w:rPr>
        <w:t xml:space="preserve"> presentada</w:t>
      </w:r>
      <w:r w:rsidR="00376909">
        <w:rPr>
          <w:rFonts w:ascii="Verdana" w:hAnsi="Verdana"/>
          <w:sz w:val="20"/>
          <w:szCs w:val="20"/>
        </w:rPr>
        <w:t>s</w:t>
      </w:r>
      <w:r>
        <w:rPr>
          <w:rFonts w:ascii="Verdana" w:hAnsi="Verdana"/>
          <w:sz w:val="20"/>
          <w:szCs w:val="20"/>
        </w:rPr>
        <w:t xml:space="preserve"> por </w:t>
      </w:r>
      <w:r w:rsidR="00376909">
        <w:rPr>
          <w:rFonts w:ascii="Verdana" w:hAnsi="Verdana"/>
          <w:sz w:val="20"/>
          <w:szCs w:val="20"/>
        </w:rPr>
        <w:t>el representante y el Estado</w:t>
      </w:r>
      <w:r>
        <w:rPr>
          <w:rFonts w:ascii="Verdana" w:hAnsi="Verdana"/>
          <w:sz w:val="20"/>
          <w:szCs w:val="20"/>
        </w:rPr>
        <w:t xml:space="preserve"> cumple</w:t>
      </w:r>
      <w:r w:rsidR="00376909">
        <w:rPr>
          <w:rFonts w:ascii="Verdana" w:hAnsi="Verdana"/>
          <w:sz w:val="20"/>
          <w:szCs w:val="20"/>
        </w:rPr>
        <w:t>n</w:t>
      </w:r>
      <w:r>
        <w:rPr>
          <w:rFonts w:ascii="Verdana" w:hAnsi="Verdana"/>
          <w:sz w:val="20"/>
          <w:szCs w:val="20"/>
        </w:rPr>
        <w:t xml:space="preserve"> con los requisitos establecidos en las normas aplicables a una solicitud de interpretación de Sentencia, a saber, </w:t>
      </w:r>
      <w:r w:rsidR="005A46F0" w:rsidRPr="005A46F0">
        <w:rPr>
          <w:rFonts w:ascii="Verdana" w:hAnsi="Verdana"/>
          <w:sz w:val="20"/>
          <w:szCs w:val="20"/>
        </w:rPr>
        <w:t>el artículo 68 del Reglamento. Asimismo, el artículo 31.3 del Reglamento establece que “[c]</w:t>
      </w:r>
      <w:proofErr w:type="spellStart"/>
      <w:r w:rsidR="005A46F0" w:rsidRPr="005A46F0">
        <w:rPr>
          <w:rFonts w:ascii="Verdana" w:hAnsi="Verdana"/>
          <w:sz w:val="20"/>
          <w:szCs w:val="20"/>
        </w:rPr>
        <w:t>ontra</w:t>
      </w:r>
      <w:proofErr w:type="spellEnd"/>
      <w:r w:rsidR="005A46F0" w:rsidRPr="005A46F0">
        <w:rPr>
          <w:rFonts w:ascii="Verdana" w:hAnsi="Verdana"/>
          <w:sz w:val="20"/>
          <w:szCs w:val="20"/>
        </w:rPr>
        <w:t xml:space="preserve"> las sentencias y resoluciones de la Corte no procede ningún medio de impugnación”.</w:t>
      </w:r>
    </w:p>
    <w:p w14:paraId="04C6190F" w14:textId="77777777" w:rsidR="006B478B" w:rsidRDefault="006B478B">
      <w:pPr>
        <w:pStyle w:val="Prrafodelista"/>
        <w:spacing w:after="0" w:line="240" w:lineRule="auto"/>
        <w:ind w:left="0"/>
        <w:jc w:val="both"/>
        <w:rPr>
          <w:rFonts w:ascii="Verdana" w:hAnsi="Verdana"/>
          <w:sz w:val="20"/>
          <w:szCs w:val="20"/>
        </w:rPr>
      </w:pPr>
    </w:p>
    <w:p w14:paraId="3EBC06BA" w14:textId="575567C9" w:rsidR="006B478B" w:rsidRDefault="006B478B" w:rsidP="00F42B42">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La Corte </w:t>
      </w:r>
      <w:r w:rsidR="00185E1C">
        <w:rPr>
          <w:rFonts w:ascii="Verdana" w:hAnsi="Verdana"/>
          <w:sz w:val="20"/>
          <w:szCs w:val="20"/>
        </w:rPr>
        <w:t>advierte</w:t>
      </w:r>
      <w:r>
        <w:rPr>
          <w:rFonts w:ascii="Verdana" w:hAnsi="Verdana"/>
          <w:sz w:val="20"/>
          <w:szCs w:val="20"/>
        </w:rPr>
        <w:t xml:space="preserve"> que </w:t>
      </w:r>
      <w:r w:rsidR="00376909">
        <w:rPr>
          <w:rFonts w:ascii="Verdana" w:hAnsi="Verdana"/>
          <w:sz w:val="20"/>
          <w:szCs w:val="20"/>
        </w:rPr>
        <w:t xml:space="preserve">el representante y el Estado </w:t>
      </w:r>
      <w:r>
        <w:rPr>
          <w:rFonts w:ascii="Verdana" w:hAnsi="Verdana"/>
          <w:sz w:val="20"/>
          <w:szCs w:val="20"/>
        </w:rPr>
        <w:t xml:space="preserve">presentaron su solicitud de interpretación de la Sentencia el </w:t>
      </w:r>
      <w:r w:rsidR="00376909">
        <w:rPr>
          <w:rFonts w:ascii="Verdana" w:hAnsi="Verdana"/>
          <w:sz w:val="20"/>
          <w:szCs w:val="20"/>
        </w:rPr>
        <w:t>28 de julio y 17 de agosto</w:t>
      </w:r>
      <w:r w:rsidR="00DA59AC">
        <w:rPr>
          <w:rFonts w:ascii="Verdana" w:hAnsi="Verdana"/>
          <w:sz w:val="20"/>
          <w:szCs w:val="20"/>
        </w:rPr>
        <w:t xml:space="preserve"> de 2020</w:t>
      </w:r>
      <w:r w:rsidR="00376909">
        <w:rPr>
          <w:rFonts w:ascii="Verdana" w:hAnsi="Verdana"/>
          <w:sz w:val="20"/>
          <w:szCs w:val="20"/>
        </w:rPr>
        <w:t xml:space="preserve">, respectivamente, esto es, </w:t>
      </w:r>
      <w:r>
        <w:rPr>
          <w:rFonts w:ascii="Verdana" w:hAnsi="Verdana"/>
          <w:sz w:val="20"/>
          <w:szCs w:val="20"/>
        </w:rPr>
        <w:t xml:space="preserve">dentro del plazo de noventa días establecido en el artículo 67 de la Convención, ya que la misma fue notificada </w:t>
      </w:r>
      <w:r w:rsidR="00376909">
        <w:rPr>
          <w:rFonts w:ascii="Verdana" w:hAnsi="Verdana"/>
          <w:sz w:val="20"/>
          <w:szCs w:val="20"/>
        </w:rPr>
        <w:t>a las partes y a la Comisión el 24 de julio de 2020</w:t>
      </w:r>
      <w:r>
        <w:rPr>
          <w:rFonts w:ascii="Verdana" w:hAnsi="Verdana"/>
          <w:sz w:val="20"/>
          <w:szCs w:val="20"/>
        </w:rPr>
        <w:t xml:space="preserve">. Por ende, </w:t>
      </w:r>
      <w:r w:rsidR="00376909">
        <w:rPr>
          <w:rFonts w:ascii="Verdana" w:hAnsi="Verdana"/>
          <w:sz w:val="20"/>
          <w:szCs w:val="20"/>
        </w:rPr>
        <w:t>ambas solicitudes</w:t>
      </w:r>
      <w:r>
        <w:rPr>
          <w:rFonts w:ascii="Verdana" w:hAnsi="Verdana"/>
          <w:sz w:val="20"/>
          <w:szCs w:val="20"/>
        </w:rPr>
        <w:t xml:space="preserve"> resulta</w:t>
      </w:r>
      <w:r w:rsidR="00376909">
        <w:rPr>
          <w:rFonts w:ascii="Verdana" w:hAnsi="Verdana"/>
          <w:sz w:val="20"/>
          <w:szCs w:val="20"/>
        </w:rPr>
        <w:t>n</w:t>
      </w:r>
      <w:r>
        <w:rPr>
          <w:rFonts w:ascii="Verdana" w:hAnsi="Verdana"/>
          <w:sz w:val="20"/>
          <w:szCs w:val="20"/>
        </w:rPr>
        <w:t xml:space="preserve"> admisible</w:t>
      </w:r>
      <w:r w:rsidR="00376909">
        <w:rPr>
          <w:rFonts w:ascii="Verdana" w:hAnsi="Verdana"/>
          <w:sz w:val="20"/>
          <w:szCs w:val="20"/>
        </w:rPr>
        <w:t>s</w:t>
      </w:r>
      <w:r>
        <w:rPr>
          <w:rFonts w:ascii="Verdana" w:hAnsi="Verdana"/>
          <w:sz w:val="20"/>
          <w:szCs w:val="20"/>
        </w:rPr>
        <w:t xml:space="preserve"> en lo que se refiere al plazo de su presentación. En cuanto a los demás requisitos, la Corte realizará el análisis respectivo al examinar el contenido de </w:t>
      </w:r>
      <w:r w:rsidR="00376909">
        <w:rPr>
          <w:rFonts w:ascii="Verdana" w:hAnsi="Verdana"/>
          <w:sz w:val="20"/>
          <w:szCs w:val="20"/>
        </w:rPr>
        <w:t>dichas solicitudes</w:t>
      </w:r>
      <w:r>
        <w:rPr>
          <w:rFonts w:ascii="Verdana" w:hAnsi="Verdana"/>
          <w:sz w:val="20"/>
          <w:szCs w:val="20"/>
        </w:rPr>
        <w:t xml:space="preserve"> en el </w:t>
      </w:r>
      <w:r w:rsidR="00185E1C">
        <w:rPr>
          <w:rFonts w:ascii="Verdana" w:hAnsi="Verdana"/>
          <w:sz w:val="20"/>
          <w:szCs w:val="20"/>
        </w:rPr>
        <w:t>siguiente</w:t>
      </w:r>
      <w:r>
        <w:rPr>
          <w:rFonts w:ascii="Verdana" w:hAnsi="Verdana"/>
          <w:sz w:val="20"/>
          <w:szCs w:val="20"/>
        </w:rPr>
        <w:t xml:space="preserve"> capítulo. </w:t>
      </w:r>
    </w:p>
    <w:p w14:paraId="4E5AE2D7" w14:textId="77777777" w:rsidR="00A57ACC" w:rsidRPr="00A57ACC" w:rsidRDefault="00A57ACC" w:rsidP="00A03487">
      <w:pPr>
        <w:pStyle w:val="Prrafodelista"/>
        <w:spacing w:after="0" w:line="240" w:lineRule="auto"/>
        <w:rPr>
          <w:rFonts w:ascii="Verdana" w:hAnsi="Verdana"/>
          <w:sz w:val="20"/>
          <w:szCs w:val="20"/>
        </w:rPr>
      </w:pPr>
    </w:p>
    <w:p w14:paraId="0FBD20B5" w14:textId="77777777" w:rsidR="00A57ACC" w:rsidRDefault="00A57ACC" w:rsidP="00A57ACC">
      <w:pPr>
        <w:spacing w:after="0" w:line="240" w:lineRule="auto"/>
        <w:jc w:val="center"/>
        <w:rPr>
          <w:rFonts w:ascii="Verdana" w:hAnsi="Verdana"/>
          <w:b/>
          <w:sz w:val="20"/>
          <w:szCs w:val="20"/>
        </w:rPr>
      </w:pPr>
      <w:r>
        <w:rPr>
          <w:rFonts w:ascii="Verdana" w:hAnsi="Verdana"/>
          <w:b/>
          <w:sz w:val="20"/>
          <w:szCs w:val="20"/>
        </w:rPr>
        <w:t>IV</w:t>
      </w:r>
    </w:p>
    <w:p w14:paraId="659C87FC" w14:textId="77777777" w:rsidR="00A57ACC" w:rsidRDefault="00A57ACC" w:rsidP="00A57ACC">
      <w:pPr>
        <w:spacing w:after="0" w:line="240" w:lineRule="auto"/>
        <w:jc w:val="center"/>
        <w:rPr>
          <w:rFonts w:ascii="Verdana" w:hAnsi="Verdana"/>
          <w:b/>
          <w:sz w:val="20"/>
          <w:szCs w:val="20"/>
        </w:rPr>
      </w:pPr>
      <w:r>
        <w:rPr>
          <w:rFonts w:ascii="Verdana" w:hAnsi="Verdana"/>
          <w:b/>
          <w:sz w:val="20"/>
          <w:szCs w:val="20"/>
        </w:rPr>
        <w:t>ANÁLISIS DE LA PROCEDENCIA DE LA</w:t>
      </w:r>
      <w:r w:rsidR="00CC22B5">
        <w:rPr>
          <w:rFonts w:ascii="Verdana" w:hAnsi="Verdana"/>
          <w:b/>
          <w:sz w:val="20"/>
          <w:szCs w:val="20"/>
        </w:rPr>
        <w:t>S</w:t>
      </w:r>
      <w:r>
        <w:rPr>
          <w:rFonts w:ascii="Verdana" w:hAnsi="Verdana"/>
          <w:b/>
          <w:sz w:val="20"/>
          <w:szCs w:val="20"/>
        </w:rPr>
        <w:t xml:space="preserve"> SOLICITUD</w:t>
      </w:r>
      <w:r w:rsidR="00CC22B5">
        <w:rPr>
          <w:rFonts w:ascii="Verdana" w:hAnsi="Verdana"/>
          <w:b/>
          <w:sz w:val="20"/>
          <w:szCs w:val="20"/>
        </w:rPr>
        <w:t>ES</w:t>
      </w:r>
      <w:r>
        <w:rPr>
          <w:rFonts w:ascii="Verdana" w:hAnsi="Verdana"/>
          <w:b/>
          <w:sz w:val="20"/>
          <w:szCs w:val="20"/>
        </w:rPr>
        <w:t xml:space="preserve"> DE INTERPRETACIÓN</w:t>
      </w:r>
    </w:p>
    <w:p w14:paraId="4119AC48" w14:textId="77777777" w:rsidR="00A57ACC" w:rsidRDefault="00A57ACC" w:rsidP="00A57ACC">
      <w:pPr>
        <w:spacing w:after="0" w:line="240" w:lineRule="auto"/>
        <w:rPr>
          <w:rFonts w:ascii="Verdana" w:hAnsi="Verdana"/>
          <w:b/>
          <w:sz w:val="20"/>
          <w:szCs w:val="20"/>
        </w:rPr>
      </w:pPr>
    </w:p>
    <w:p w14:paraId="10F328EA" w14:textId="1DBBC1B5" w:rsidR="00A57ACC" w:rsidRDefault="00A57ACC" w:rsidP="001A3EFE">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A continuación, la Corte analizará </w:t>
      </w:r>
      <w:r w:rsidR="001A3EFE" w:rsidRPr="001A3EFE">
        <w:rPr>
          <w:rFonts w:ascii="Verdana" w:hAnsi="Verdana"/>
          <w:sz w:val="20"/>
          <w:szCs w:val="20"/>
        </w:rPr>
        <w:t xml:space="preserve">las solicitudes del representante y del Estado </w:t>
      </w:r>
      <w:r>
        <w:rPr>
          <w:rFonts w:ascii="Verdana" w:hAnsi="Verdana"/>
          <w:sz w:val="20"/>
          <w:szCs w:val="20"/>
        </w:rPr>
        <w:t xml:space="preserve">para determinar si, </w:t>
      </w:r>
      <w:proofErr w:type="gramStart"/>
      <w:r>
        <w:rPr>
          <w:rFonts w:ascii="Verdana" w:hAnsi="Verdana"/>
          <w:sz w:val="20"/>
          <w:szCs w:val="20"/>
        </w:rPr>
        <w:t>de acuerdo a</w:t>
      </w:r>
      <w:proofErr w:type="gramEnd"/>
      <w:r>
        <w:rPr>
          <w:rFonts w:ascii="Verdana" w:hAnsi="Verdana"/>
          <w:sz w:val="20"/>
          <w:szCs w:val="20"/>
        </w:rPr>
        <w:t xml:space="preserve"> la normativa </w:t>
      </w:r>
      <w:r w:rsidR="0016672D">
        <w:rPr>
          <w:rFonts w:ascii="Verdana" w:hAnsi="Verdana"/>
          <w:sz w:val="20"/>
          <w:szCs w:val="20"/>
        </w:rPr>
        <w:t>y</w:t>
      </w:r>
      <w:r>
        <w:rPr>
          <w:rFonts w:ascii="Verdana" w:hAnsi="Verdana"/>
          <w:sz w:val="20"/>
          <w:szCs w:val="20"/>
        </w:rPr>
        <w:t xml:space="preserve"> los </w:t>
      </w:r>
      <w:r w:rsidR="0016672D">
        <w:rPr>
          <w:rFonts w:ascii="Verdana" w:hAnsi="Verdana"/>
          <w:sz w:val="20"/>
          <w:szCs w:val="20"/>
        </w:rPr>
        <w:t>estándares</w:t>
      </w:r>
      <w:r>
        <w:rPr>
          <w:rFonts w:ascii="Verdana" w:hAnsi="Verdana"/>
          <w:sz w:val="20"/>
          <w:szCs w:val="20"/>
        </w:rPr>
        <w:t xml:space="preserve"> desarrollados en su jurisprudencia, procede aclarar el sentido o alcance de algún punto de la Sentencia. </w:t>
      </w:r>
    </w:p>
    <w:p w14:paraId="5B755BEB" w14:textId="77777777" w:rsidR="00A57ACC" w:rsidRDefault="00A57ACC" w:rsidP="00A57ACC">
      <w:pPr>
        <w:pStyle w:val="Prrafodelista"/>
        <w:spacing w:after="0" w:line="240" w:lineRule="auto"/>
        <w:ind w:left="0"/>
        <w:jc w:val="both"/>
        <w:rPr>
          <w:rFonts w:ascii="Verdana" w:hAnsi="Verdana"/>
          <w:sz w:val="20"/>
          <w:szCs w:val="20"/>
        </w:rPr>
      </w:pPr>
    </w:p>
    <w:p w14:paraId="40542814" w14:textId="53472FD0" w:rsidR="00A57ACC" w:rsidRPr="001A3EFE" w:rsidRDefault="005A46F0" w:rsidP="001A3EFE">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L</w:t>
      </w:r>
      <w:r w:rsidR="00A57ACC" w:rsidRPr="001A3EFE">
        <w:rPr>
          <w:rFonts w:ascii="Verdana" w:hAnsi="Verdana"/>
          <w:sz w:val="20"/>
          <w:szCs w:val="20"/>
        </w:rPr>
        <w:t xml:space="preserve">a Corte </w:t>
      </w:r>
      <w:r>
        <w:rPr>
          <w:rFonts w:ascii="Verdana" w:hAnsi="Verdana"/>
          <w:sz w:val="20"/>
          <w:szCs w:val="20"/>
        </w:rPr>
        <w:t xml:space="preserve">ha señalado que </w:t>
      </w:r>
      <w:r w:rsidR="00A57ACC" w:rsidRPr="001A3EFE">
        <w:rPr>
          <w:rFonts w:ascii="Verdana" w:hAnsi="Verdana"/>
          <w:sz w:val="20"/>
          <w:szCs w:val="20"/>
        </w:rPr>
        <w:t>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0016672D">
        <w:rPr>
          <w:rStyle w:val="Refdenotaalpie"/>
          <w:rFonts w:ascii="Verdana" w:hAnsi="Verdana"/>
          <w:sz w:val="20"/>
          <w:szCs w:val="20"/>
        </w:rPr>
        <w:footnoteReference w:id="2"/>
      </w:r>
      <w:r w:rsidR="00A57ACC" w:rsidRPr="001A3EFE">
        <w:rPr>
          <w:rFonts w:ascii="Verdana" w:hAnsi="Verdana"/>
          <w:sz w:val="20"/>
          <w:szCs w:val="20"/>
        </w:rPr>
        <w:t>. Por lo tanto, no se puede solicitar la modificación o anulación de la sentencia respectiva a través de una solicitud de interpretación</w:t>
      </w:r>
      <w:r w:rsidR="00A57ACC" w:rsidRPr="00A57ACC">
        <w:rPr>
          <w:rStyle w:val="Refdenotaalpie"/>
          <w:rFonts w:ascii="Verdana" w:hAnsi="Verdana"/>
          <w:sz w:val="20"/>
          <w:szCs w:val="20"/>
        </w:rPr>
        <w:footnoteReference w:id="3"/>
      </w:r>
      <w:r w:rsidR="00A57ACC" w:rsidRPr="001A3EFE">
        <w:rPr>
          <w:rFonts w:ascii="Verdana" w:hAnsi="Verdana"/>
          <w:sz w:val="20"/>
          <w:szCs w:val="20"/>
        </w:rPr>
        <w:t>.</w:t>
      </w:r>
    </w:p>
    <w:p w14:paraId="77925BB5" w14:textId="77777777" w:rsidR="00EF6514" w:rsidRPr="00EF6514" w:rsidRDefault="00EF6514" w:rsidP="00EF6514">
      <w:pPr>
        <w:pStyle w:val="Prrafodelista"/>
        <w:rPr>
          <w:rFonts w:ascii="Verdana" w:hAnsi="Verdana"/>
          <w:sz w:val="20"/>
          <w:szCs w:val="20"/>
        </w:rPr>
      </w:pPr>
    </w:p>
    <w:p w14:paraId="3FCAF218" w14:textId="77777777" w:rsidR="005A46F0" w:rsidRPr="008002A7" w:rsidRDefault="005A46F0" w:rsidP="008002A7">
      <w:pPr>
        <w:pStyle w:val="Prrafodelista"/>
        <w:numPr>
          <w:ilvl w:val="0"/>
          <w:numId w:val="1"/>
        </w:numPr>
        <w:spacing w:after="0" w:line="240" w:lineRule="auto"/>
        <w:ind w:left="0" w:firstLine="0"/>
        <w:jc w:val="both"/>
        <w:rPr>
          <w:rFonts w:ascii="Verdana" w:eastAsia="Times" w:hAnsi="Verdana"/>
          <w:sz w:val="20"/>
          <w:szCs w:val="20"/>
          <w:lang w:val="es-ES_tradnl"/>
        </w:rPr>
      </w:pPr>
      <w:r w:rsidRPr="008002A7">
        <w:rPr>
          <w:rFonts w:ascii="Verdana" w:hAnsi="Verdana"/>
          <w:sz w:val="20"/>
          <w:szCs w:val="20"/>
        </w:rPr>
        <w:t>Adicionalmente, la Corte ha sostenido la improcedencia de utilizar una solicitud de interpretación para someter consideraciones sobre cuestiones de hecho y de derecho que ya fueron planteadas en su oportunidad procesal y sobre las cuales la Corte ya adoptó una decisión</w:t>
      </w:r>
      <w:r w:rsidRPr="00FD0EB6">
        <w:rPr>
          <w:rStyle w:val="Refdenotaalpie"/>
          <w:rFonts w:ascii="Verdana" w:hAnsi="Verdana"/>
          <w:sz w:val="20"/>
          <w:szCs w:val="20"/>
        </w:rPr>
        <w:footnoteReference w:id="4"/>
      </w:r>
      <w:r w:rsidRPr="008002A7">
        <w:rPr>
          <w:rFonts w:ascii="Verdana" w:hAnsi="Verdana"/>
          <w:sz w:val="20"/>
          <w:szCs w:val="20"/>
        </w:rPr>
        <w:t xml:space="preserve">, </w:t>
      </w:r>
      <w:r w:rsidRPr="008002A7">
        <w:rPr>
          <w:rFonts w:ascii="Verdana" w:hAnsi="Verdana"/>
          <w:sz w:val="20"/>
          <w:szCs w:val="20"/>
        </w:rPr>
        <w:lastRenderedPageBreak/>
        <w:t>así como para pretender que la Corte valore nuevamente cuestiones que ya han sido resueltas en la Sentencia</w:t>
      </w:r>
      <w:r w:rsidRPr="00FD0EB6">
        <w:rPr>
          <w:rStyle w:val="Refdenotaalpie"/>
          <w:rFonts w:ascii="Verdana" w:hAnsi="Verdana"/>
          <w:sz w:val="20"/>
          <w:szCs w:val="20"/>
        </w:rPr>
        <w:footnoteReference w:id="5"/>
      </w:r>
      <w:r w:rsidRPr="008002A7">
        <w:rPr>
          <w:rFonts w:ascii="Verdana" w:hAnsi="Verdana"/>
          <w:sz w:val="20"/>
          <w:szCs w:val="20"/>
        </w:rPr>
        <w:t>. De igual manera, por esta vía tampoco se puede intentar que se amplíe el alcance de una medida de reparación ordenada oportunamente</w:t>
      </w:r>
      <w:r w:rsidRPr="00FD0EB6">
        <w:rPr>
          <w:rStyle w:val="Refdenotaalpie"/>
          <w:rFonts w:ascii="Verdana" w:hAnsi="Verdana"/>
          <w:sz w:val="20"/>
          <w:szCs w:val="20"/>
        </w:rPr>
        <w:footnoteReference w:id="6"/>
      </w:r>
      <w:r w:rsidRPr="008002A7">
        <w:rPr>
          <w:rFonts w:ascii="Verdana" w:hAnsi="Verdana"/>
          <w:sz w:val="20"/>
          <w:szCs w:val="20"/>
        </w:rPr>
        <w:t>.</w:t>
      </w:r>
    </w:p>
    <w:p w14:paraId="67B66A44" w14:textId="0902E5BE" w:rsidR="005A46F0" w:rsidRPr="008002A7" w:rsidRDefault="00236B2C" w:rsidP="00236B2C">
      <w:pPr>
        <w:pStyle w:val="Prrafodelista"/>
        <w:tabs>
          <w:tab w:val="left" w:pos="2175"/>
        </w:tabs>
        <w:spacing w:after="0" w:line="240" w:lineRule="auto"/>
        <w:ind w:left="0"/>
        <w:jc w:val="both"/>
        <w:rPr>
          <w:rFonts w:ascii="Verdana" w:eastAsia="Times" w:hAnsi="Verdana"/>
          <w:sz w:val="20"/>
          <w:szCs w:val="20"/>
          <w:lang w:val="es-ES_tradnl"/>
        </w:rPr>
      </w:pPr>
      <w:r>
        <w:rPr>
          <w:rFonts w:ascii="Verdana" w:eastAsia="Times" w:hAnsi="Verdana"/>
          <w:sz w:val="20"/>
          <w:szCs w:val="20"/>
          <w:lang w:val="es-ES_tradnl"/>
        </w:rPr>
        <w:tab/>
      </w:r>
    </w:p>
    <w:p w14:paraId="20CB72CA" w14:textId="61364D71" w:rsidR="00D42D9E" w:rsidRPr="00D42D9E" w:rsidRDefault="00BC3CC7" w:rsidP="00D42D9E">
      <w:pPr>
        <w:pStyle w:val="Prrafodelista"/>
        <w:numPr>
          <w:ilvl w:val="0"/>
          <w:numId w:val="1"/>
        </w:numPr>
        <w:spacing w:after="0" w:line="240" w:lineRule="auto"/>
        <w:ind w:left="0" w:firstLine="0"/>
        <w:jc w:val="both"/>
        <w:rPr>
          <w:rFonts w:ascii="Verdana" w:hAnsi="Verdana"/>
          <w:b/>
          <w:sz w:val="20"/>
          <w:szCs w:val="20"/>
        </w:rPr>
      </w:pPr>
      <w:r w:rsidRPr="00D42D9E">
        <w:rPr>
          <w:rFonts w:ascii="Verdana" w:eastAsia="Times" w:hAnsi="Verdana"/>
          <w:sz w:val="20"/>
          <w:szCs w:val="20"/>
        </w:rPr>
        <w:t>L</w:t>
      </w:r>
      <w:r w:rsidR="005A46F0" w:rsidRPr="00D42D9E">
        <w:rPr>
          <w:rFonts w:ascii="Verdana" w:eastAsia="Times" w:hAnsi="Verdana"/>
          <w:sz w:val="20"/>
          <w:szCs w:val="20"/>
        </w:rPr>
        <w:t xml:space="preserve">a Corte Interamericana examinará las cuestiones planteadas en el siguiente orden: </w:t>
      </w:r>
      <w:r w:rsidR="00503125" w:rsidRPr="00D42D9E">
        <w:rPr>
          <w:rFonts w:ascii="Verdana" w:eastAsia="Times" w:hAnsi="Verdana"/>
          <w:sz w:val="20"/>
          <w:szCs w:val="20"/>
        </w:rPr>
        <w:t>(i)</w:t>
      </w:r>
      <w:r w:rsidR="00503125" w:rsidRPr="00D42D9E">
        <w:rPr>
          <w:rFonts w:ascii="Verdana" w:hAnsi="Verdana"/>
          <w:sz w:val="20"/>
          <w:szCs w:val="20"/>
        </w:rPr>
        <w:t xml:space="preserve"> </w:t>
      </w:r>
      <w:r w:rsidR="00236B2C" w:rsidRPr="00D42D9E">
        <w:rPr>
          <w:rFonts w:ascii="Verdana" w:hAnsi="Verdana"/>
          <w:sz w:val="20"/>
          <w:szCs w:val="20"/>
        </w:rPr>
        <w:t>la solicitud del representante con respecto al</w:t>
      </w:r>
      <w:r w:rsidR="00503125" w:rsidRPr="00D42D9E">
        <w:rPr>
          <w:rFonts w:ascii="Verdana" w:hAnsi="Verdana"/>
          <w:sz w:val="20"/>
          <w:szCs w:val="20"/>
        </w:rPr>
        <w:t xml:space="preserve"> alcance</w:t>
      </w:r>
      <w:r w:rsidR="00503125" w:rsidRPr="00D42D9E">
        <w:rPr>
          <w:rFonts w:ascii="Verdana" w:eastAsia="Times" w:hAnsi="Verdana"/>
          <w:sz w:val="20"/>
          <w:szCs w:val="20"/>
        </w:rPr>
        <w:t xml:space="preserve"> de la indemnización determinada en la Sentencia por lucro cesante y (</w:t>
      </w:r>
      <w:proofErr w:type="spellStart"/>
      <w:r w:rsidR="00503125" w:rsidRPr="00D42D9E">
        <w:rPr>
          <w:rFonts w:ascii="Verdana" w:eastAsia="Times" w:hAnsi="Verdana"/>
          <w:sz w:val="20"/>
          <w:szCs w:val="20"/>
        </w:rPr>
        <w:t>ii</w:t>
      </w:r>
      <w:proofErr w:type="spellEnd"/>
      <w:r w:rsidR="00503125" w:rsidRPr="00D42D9E">
        <w:rPr>
          <w:rFonts w:ascii="Verdana" w:eastAsia="Times" w:hAnsi="Verdana"/>
          <w:sz w:val="20"/>
          <w:szCs w:val="20"/>
        </w:rPr>
        <w:t xml:space="preserve">) </w:t>
      </w:r>
      <w:r w:rsidR="00236B2C" w:rsidRPr="00D42D9E">
        <w:rPr>
          <w:rFonts w:ascii="Verdana" w:eastAsia="Times" w:hAnsi="Verdana"/>
          <w:sz w:val="20"/>
          <w:szCs w:val="20"/>
        </w:rPr>
        <w:t xml:space="preserve">la solicitud del Estado con respecto a la </w:t>
      </w:r>
      <w:r w:rsidR="00236B2C" w:rsidRPr="00D42D9E">
        <w:rPr>
          <w:rFonts w:ascii="Verdana" w:hAnsi="Verdana"/>
          <w:sz w:val="20"/>
          <w:szCs w:val="20"/>
        </w:rPr>
        <w:t>participación</w:t>
      </w:r>
      <w:r w:rsidR="00236B2C" w:rsidRPr="00D42D9E">
        <w:rPr>
          <w:rFonts w:ascii="Verdana" w:eastAsia="Times" w:hAnsi="Verdana"/>
          <w:sz w:val="20"/>
          <w:szCs w:val="20"/>
        </w:rPr>
        <w:t xml:space="preserve"> de miembros del Ejército en los hechos declarados probados</w:t>
      </w:r>
      <w:r w:rsidR="00BC67C8" w:rsidRPr="00BC67C8">
        <w:rPr>
          <w:rFonts w:ascii="Verdana" w:eastAsia="Times" w:hAnsi="Verdana"/>
          <w:sz w:val="20"/>
          <w:szCs w:val="20"/>
        </w:rPr>
        <w:t xml:space="preserve"> </w:t>
      </w:r>
      <w:r w:rsidR="00BC67C8" w:rsidRPr="00D42D9E">
        <w:rPr>
          <w:rFonts w:ascii="Verdana" w:eastAsia="Times" w:hAnsi="Verdana"/>
          <w:sz w:val="20"/>
          <w:szCs w:val="20"/>
        </w:rPr>
        <w:t>de la Sentencia</w:t>
      </w:r>
      <w:r w:rsidR="00E665F9" w:rsidRPr="00D42D9E">
        <w:rPr>
          <w:rFonts w:ascii="Verdana" w:eastAsia="Times" w:hAnsi="Verdana"/>
          <w:sz w:val="20"/>
          <w:szCs w:val="20"/>
        </w:rPr>
        <w:t>,</w:t>
      </w:r>
      <w:r w:rsidR="00BC67C8">
        <w:rPr>
          <w:rFonts w:ascii="Verdana" w:eastAsia="Times" w:hAnsi="Verdana"/>
          <w:sz w:val="20"/>
          <w:szCs w:val="20"/>
        </w:rPr>
        <w:t xml:space="preserve"> </w:t>
      </w:r>
      <w:r w:rsidR="00AF3AF1" w:rsidRPr="00D42D9E">
        <w:rPr>
          <w:rFonts w:ascii="Verdana" w:eastAsia="Times" w:hAnsi="Verdana"/>
          <w:sz w:val="20"/>
          <w:szCs w:val="20"/>
        </w:rPr>
        <w:t xml:space="preserve">así como </w:t>
      </w:r>
      <w:r w:rsidR="00AF3AF1" w:rsidRPr="00D42D9E">
        <w:rPr>
          <w:rFonts w:ascii="Verdana" w:hAnsi="Verdana"/>
          <w:sz w:val="20"/>
          <w:szCs w:val="20"/>
        </w:rPr>
        <w:t xml:space="preserve">el sentido y alcance del punto resolutivo octavo de </w:t>
      </w:r>
      <w:r w:rsidR="00BC67C8">
        <w:rPr>
          <w:rFonts w:ascii="Verdana" w:hAnsi="Verdana"/>
          <w:sz w:val="20"/>
          <w:szCs w:val="20"/>
        </w:rPr>
        <w:t>dicha</w:t>
      </w:r>
      <w:r w:rsidR="00AF3AF1" w:rsidRPr="00D42D9E">
        <w:rPr>
          <w:rFonts w:ascii="Verdana" w:hAnsi="Verdana"/>
          <w:sz w:val="20"/>
          <w:szCs w:val="20"/>
        </w:rPr>
        <w:t xml:space="preserve"> Sentencia</w:t>
      </w:r>
      <w:r w:rsidR="00236B2C" w:rsidRPr="00D42D9E">
        <w:rPr>
          <w:rFonts w:ascii="Verdana" w:eastAsia="Times" w:hAnsi="Verdana"/>
          <w:sz w:val="20"/>
          <w:szCs w:val="20"/>
        </w:rPr>
        <w:t>.</w:t>
      </w:r>
    </w:p>
    <w:p w14:paraId="3B4C4CC2" w14:textId="77777777" w:rsidR="00D42D9E" w:rsidRPr="00D42D9E" w:rsidRDefault="00D42D9E" w:rsidP="00D42D9E">
      <w:pPr>
        <w:pStyle w:val="Prrafodelista"/>
        <w:spacing w:after="0" w:line="240" w:lineRule="auto"/>
        <w:ind w:left="426"/>
        <w:jc w:val="both"/>
        <w:rPr>
          <w:rFonts w:ascii="Verdana" w:hAnsi="Verdana"/>
          <w:b/>
          <w:sz w:val="20"/>
          <w:szCs w:val="20"/>
        </w:rPr>
      </w:pPr>
    </w:p>
    <w:p w14:paraId="2E771780" w14:textId="4BE214FF" w:rsidR="00A53C30" w:rsidRDefault="00A2244B" w:rsidP="00522A34">
      <w:pPr>
        <w:pStyle w:val="Prrafodelista"/>
        <w:numPr>
          <w:ilvl w:val="0"/>
          <w:numId w:val="2"/>
        </w:numPr>
        <w:spacing w:after="0" w:line="240" w:lineRule="auto"/>
        <w:ind w:left="426"/>
        <w:jc w:val="both"/>
        <w:rPr>
          <w:rFonts w:ascii="Verdana" w:hAnsi="Verdana"/>
          <w:b/>
          <w:sz w:val="20"/>
          <w:szCs w:val="20"/>
        </w:rPr>
      </w:pPr>
      <w:r>
        <w:rPr>
          <w:rFonts w:ascii="Verdana" w:hAnsi="Verdana"/>
          <w:b/>
          <w:sz w:val="20"/>
          <w:szCs w:val="20"/>
        </w:rPr>
        <w:t>Alcance de la i</w:t>
      </w:r>
      <w:r w:rsidR="00B201EF">
        <w:rPr>
          <w:rFonts w:ascii="Verdana" w:hAnsi="Verdana"/>
          <w:b/>
          <w:sz w:val="20"/>
          <w:szCs w:val="20"/>
        </w:rPr>
        <w:t>ndemnización</w:t>
      </w:r>
      <w:r w:rsidR="00503125">
        <w:rPr>
          <w:rFonts w:ascii="Verdana" w:hAnsi="Verdana"/>
          <w:b/>
          <w:sz w:val="20"/>
          <w:szCs w:val="20"/>
        </w:rPr>
        <w:t xml:space="preserve"> determinada en la Sentencia</w:t>
      </w:r>
      <w:r w:rsidR="00B201EF">
        <w:rPr>
          <w:rFonts w:ascii="Verdana" w:hAnsi="Verdana"/>
          <w:b/>
          <w:sz w:val="20"/>
          <w:szCs w:val="20"/>
        </w:rPr>
        <w:t xml:space="preserve"> por lucro cesante</w:t>
      </w:r>
    </w:p>
    <w:p w14:paraId="65623A35" w14:textId="77777777" w:rsidR="001928E4" w:rsidRDefault="001928E4" w:rsidP="001928E4">
      <w:pPr>
        <w:pStyle w:val="Prrafodelista"/>
        <w:spacing w:after="0" w:line="240" w:lineRule="auto"/>
        <w:ind w:left="426"/>
        <w:jc w:val="both"/>
        <w:rPr>
          <w:rFonts w:ascii="Verdana" w:hAnsi="Verdana"/>
          <w:b/>
          <w:sz w:val="20"/>
          <w:szCs w:val="20"/>
        </w:rPr>
      </w:pPr>
    </w:p>
    <w:p w14:paraId="26B686E2" w14:textId="254EE9CA" w:rsidR="001928E4" w:rsidRPr="001928E4" w:rsidRDefault="00060A5C" w:rsidP="001928E4">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En primer lugar, </w:t>
      </w:r>
      <w:r w:rsidR="001928E4">
        <w:rPr>
          <w:rFonts w:ascii="Verdana" w:hAnsi="Verdana"/>
          <w:sz w:val="20"/>
          <w:szCs w:val="20"/>
        </w:rPr>
        <w:t xml:space="preserve">Tribunal abordará la solicitud del representante con respecto al alcance de la indemnización por lucro cesante </w:t>
      </w:r>
      <w:r>
        <w:rPr>
          <w:rFonts w:ascii="Verdana" w:hAnsi="Verdana"/>
          <w:sz w:val="20"/>
          <w:szCs w:val="20"/>
        </w:rPr>
        <w:t>otorgada</w:t>
      </w:r>
      <w:r w:rsidR="001928E4">
        <w:rPr>
          <w:rFonts w:ascii="Verdana" w:hAnsi="Verdana"/>
          <w:sz w:val="20"/>
          <w:szCs w:val="20"/>
        </w:rPr>
        <w:t xml:space="preserve"> a la señora María Angelita Azaña Tenesaca y, a continuación, </w:t>
      </w:r>
      <w:r>
        <w:rPr>
          <w:rFonts w:ascii="Verdana" w:hAnsi="Verdana"/>
          <w:sz w:val="20"/>
          <w:szCs w:val="20"/>
        </w:rPr>
        <w:t xml:space="preserve">la solicitud </w:t>
      </w:r>
      <w:r w:rsidR="00324613">
        <w:rPr>
          <w:rFonts w:ascii="Verdana" w:hAnsi="Verdana"/>
          <w:sz w:val="20"/>
          <w:szCs w:val="20"/>
        </w:rPr>
        <w:t>de aclaración con respecto a</w:t>
      </w:r>
      <w:r>
        <w:rPr>
          <w:rFonts w:ascii="Verdana" w:hAnsi="Verdana"/>
          <w:sz w:val="20"/>
          <w:szCs w:val="20"/>
        </w:rPr>
        <w:t xml:space="preserve"> la indemnización por lucro cesante </w:t>
      </w:r>
      <w:r w:rsidR="00BC67C8">
        <w:rPr>
          <w:rFonts w:ascii="Verdana" w:hAnsi="Verdana"/>
          <w:sz w:val="20"/>
          <w:szCs w:val="20"/>
        </w:rPr>
        <w:t>que le correspondería al</w:t>
      </w:r>
      <w:r>
        <w:rPr>
          <w:rFonts w:ascii="Verdana" w:hAnsi="Verdana"/>
          <w:sz w:val="20"/>
          <w:szCs w:val="20"/>
        </w:rPr>
        <w:t xml:space="preserve"> señor Patricio Fernando Roche Azaña.</w:t>
      </w:r>
      <w:r w:rsidR="00D42D9E">
        <w:rPr>
          <w:rFonts w:ascii="Verdana" w:hAnsi="Verdana"/>
          <w:sz w:val="20"/>
          <w:szCs w:val="20"/>
        </w:rPr>
        <w:t xml:space="preserve"> </w:t>
      </w:r>
    </w:p>
    <w:p w14:paraId="0B7A5E12" w14:textId="1E08430D" w:rsidR="001928E4" w:rsidRDefault="001928E4" w:rsidP="001928E4">
      <w:pPr>
        <w:spacing w:after="0" w:line="240" w:lineRule="auto"/>
        <w:jc w:val="both"/>
        <w:rPr>
          <w:rFonts w:ascii="Verdana" w:hAnsi="Verdana"/>
          <w:b/>
          <w:sz w:val="20"/>
          <w:szCs w:val="20"/>
        </w:rPr>
      </w:pPr>
    </w:p>
    <w:p w14:paraId="46747D45" w14:textId="699D1726" w:rsidR="00E02941" w:rsidRPr="00522A34" w:rsidRDefault="00E02941" w:rsidP="00E02941">
      <w:pPr>
        <w:pStyle w:val="Prrafodelista"/>
        <w:spacing w:after="0" w:line="240" w:lineRule="auto"/>
        <w:ind w:left="708"/>
        <w:jc w:val="both"/>
        <w:rPr>
          <w:rFonts w:ascii="Verdana" w:hAnsi="Verdana"/>
          <w:b/>
          <w:i/>
          <w:sz w:val="20"/>
          <w:szCs w:val="20"/>
        </w:rPr>
      </w:pPr>
      <w:r w:rsidRPr="00522A34">
        <w:rPr>
          <w:rFonts w:ascii="Verdana" w:hAnsi="Verdana"/>
          <w:b/>
          <w:i/>
          <w:sz w:val="20"/>
          <w:szCs w:val="20"/>
        </w:rPr>
        <w:t>A.</w:t>
      </w:r>
      <w:r w:rsidR="00522A34" w:rsidRPr="00522A34">
        <w:rPr>
          <w:rFonts w:ascii="Verdana" w:hAnsi="Verdana"/>
          <w:b/>
          <w:i/>
          <w:sz w:val="20"/>
          <w:szCs w:val="20"/>
        </w:rPr>
        <w:t>1</w:t>
      </w:r>
      <w:r w:rsidRPr="00522A34">
        <w:rPr>
          <w:rFonts w:ascii="Verdana" w:hAnsi="Verdana"/>
          <w:b/>
          <w:i/>
          <w:sz w:val="20"/>
          <w:szCs w:val="20"/>
        </w:rPr>
        <w:t xml:space="preserve">. </w:t>
      </w:r>
      <w:r w:rsidR="000931E7" w:rsidRPr="00522A34">
        <w:rPr>
          <w:rFonts w:ascii="Verdana" w:hAnsi="Verdana"/>
          <w:b/>
          <w:i/>
          <w:sz w:val="20"/>
          <w:szCs w:val="20"/>
        </w:rPr>
        <w:t>Alcance de la indemnización</w:t>
      </w:r>
      <w:r w:rsidRPr="00522A34">
        <w:rPr>
          <w:rFonts w:ascii="Verdana" w:hAnsi="Verdana"/>
          <w:b/>
          <w:i/>
          <w:sz w:val="20"/>
          <w:szCs w:val="20"/>
        </w:rPr>
        <w:t xml:space="preserve"> por lucro cesante </w:t>
      </w:r>
      <w:r w:rsidR="00503125">
        <w:rPr>
          <w:rFonts w:ascii="Verdana" w:hAnsi="Verdana"/>
          <w:b/>
          <w:i/>
          <w:sz w:val="20"/>
          <w:szCs w:val="20"/>
        </w:rPr>
        <w:t>otorgada a</w:t>
      </w:r>
      <w:r w:rsidRPr="00522A34">
        <w:rPr>
          <w:rFonts w:ascii="Verdana" w:hAnsi="Verdana"/>
          <w:b/>
          <w:i/>
          <w:sz w:val="20"/>
          <w:szCs w:val="20"/>
        </w:rPr>
        <w:t xml:space="preserve"> </w:t>
      </w:r>
      <w:r w:rsidR="000931E7" w:rsidRPr="00522A34">
        <w:rPr>
          <w:rFonts w:ascii="Verdana" w:hAnsi="Verdana"/>
          <w:b/>
          <w:i/>
          <w:sz w:val="20"/>
          <w:szCs w:val="20"/>
        </w:rPr>
        <w:t>la señora María Angelita Azaña Tenesaca</w:t>
      </w:r>
    </w:p>
    <w:p w14:paraId="7DF69E79" w14:textId="77777777" w:rsidR="00E02941" w:rsidRDefault="00E02941" w:rsidP="00E02941">
      <w:pPr>
        <w:pStyle w:val="Prrafodelista"/>
        <w:spacing w:after="0" w:line="240" w:lineRule="auto"/>
        <w:ind w:left="708"/>
        <w:jc w:val="both"/>
        <w:rPr>
          <w:rFonts w:ascii="Verdana" w:hAnsi="Verdana"/>
          <w:i/>
          <w:sz w:val="20"/>
          <w:szCs w:val="20"/>
        </w:rPr>
      </w:pPr>
    </w:p>
    <w:p w14:paraId="792A8310" w14:textId="77777777" w:rsidR="00E02941" w:rsidRDefault="00522A34" w:rsidP="00E02941">
      <w:pPr>
        <w:pStyle w:val="Prrafodelista"/>
        <w:spacing w:after="0" w:line="240" w:lineRule="auto"/>
        <w:ind w:left="708"/>
        <w:jc w:val="both"/>
        <w:rPr>
          <w:rFonts w:ascii="Verdana" w:hAnsi="Verdana"/>
          <w:i/>
          <w:sz w:val="20"/>
          <w:szCs w:val="20"/>
        </w:rPr>
      </w:pPr>
      <w:r>
        <w:rPr>
          <w:rFonts w:ascii="Verdana" w:hAnsi="Verdana"/>
          <w:i/>
          <w:sz w:val="20"/>
          <w:szCs w:val="20"/>
        </w:rPr>
        <w:tab/>
        <w:t>A.1</w:t>
      </w:r>
      <w:r w:rsidR="00E02941">
        <w:rPr>
          <w:rFonts w:ascii="Verdana" w:hAnsi="Verdana"/>
          <w:i/>
          <w:sz w:val="20"/>
          <w:szCs w:val="20"/>
        </w:rPr>
        <w:t>.a) Argumentos de las partes y de la Comisión</w:t>
      </w:r>
    </w:p>
    <w:p w14:paraId="6EF2E76F" w14:textId="77777777" w:rsidR="00B56BD8" w:rsidRDefault="00B56BD8" w:rsidP="000F4D31">
      <w:pPr>
        <w:pStyle w:val="Prrafodelista"/>
        <w:spacing w:after="0" w:line="240" w:lineRule="auto"/>
        <w:ind w:left="0"/>
        <w:jc w:val="both"/>
        <w:rPr>
          <w:rFonts w:ascii="Verdana" w:hAnsi="Verdana"/>
          <w:i/>
          <w:sz w:val="20"/>
          <w:szCs w:val="20"/>
        </w:rPr>
      </w:pPr>
    </w:p>
    <w:p w14:paraId="77A57971" w14:textId="35050599" w:rsidR="00901C33" w:rsidRPr="00901C33" w:rsidRDefault="00901C33" w:rsidP="000F4D31">
      <w:pPr>
        <w:pStyle w:val="Prrafodelista"/>
        <w:numPr>
          <w:ilvl w:val="0"/>
          <w:numId w:val="1"/>
        </w:numPr>
        <w:spacing w:after="0" w:line="240" w:lineRule="auto"/>
        <w:ind w:left="0" w:firstLine="0"/>
        <w:jc w:val="both"/>
        <w:rPr>
          <w:rFonts w:ascii="Verdana" w:hAnsi="Verdana"/>
          <w:b/>
          <w:sz w:val="20"/>
          <w:szCs w:val="20"/>
        </w:rPr>
      </w:pPr>
      <w:r>
        <w:rPr>
          <w:rFonts w:ascii="Verdana" w:hAnsi="Verdana"/>
          <w:sz w:val="20"/>
          <w:szCs w:val="20"/>
        </w:rPr>
        <w:t xml:space="preserve">El </w:t>
      </w:r>
      <w:r w:rsidRPr="00E02941">
        <w:rPr>
          <w:rFonts w:ascii="Verdana" w:hAnsi="Verdana"/>
          <w:b/>
          <w:i/>
          <w:sz w:val="20"/>
          <w:szCs w:val="20"/>
        </w:rPr>
        <w:t>representante</w:t>
      </w:r>
      <w:r w:rsidRPr="00185E1C">
        <w:rPr>
          <w:rFonts w:ascii="Verdana" w:hAnsi="Verdana"/>
          <w:i/>
          <w:sz w:val="20"/>
          <w:szCs w:val="20"/>
        </w:rPr>
        <w:t xml:space="preserve"> </w:t>
      </w:r>
      <w:r w:rsidR="000F4D31">
        <w:rPr>
          <w:rFonts w:ascii="Verdana" w:hAnsi="Verdana"/>
          <w:sz w:val="20"/>
          <w:szCs w:val="20"/>
        </w:rPr>
        <w:t xml:space="preserve">hizo referencia al párrafo 129 de la Sentencia, el cual determinó que el lucro cesante ocasionado por la muerte del señor Pedro </w:t>
      </w:r>
      <w:proofErr w:type="spellStart"/>
      <w:r w:rsidR="000F4D31">
        <w:rPr>
          <w:rFonts w:ascii="Verdana" w:hAnsi="Verdana"/>
          <w:sz w:val="20"/>
          <w:szCs w:val="20"/>
        </w:rPr>
        <w:t>Bacilio</w:t>
      </w:r>
      <w:proofErr w:type="spellEnd"/>
      <w:r w:rsidR="000F4D31">
        <w:rPr>
          <w:rFonts w:ascii="Verdana" w:hAnsi="Verdana"/>
          <w:sz w:val="20"/>
          <w:szCs w:val="20"/>
        </w:rPr>
        <w:t xml:space="preserve"> Roche Azaña era de </w:t>
      </w:r>
      <w:r w:rsidR="000F4D31" w:rsidRPr="000F4D31">
        <w:rPr>
          <w:rFonts w:ascii="Verdana" w:hAnsi="Verdana"/>
          <w:sz w:val="20"/>
          <w:szCs w:val="20"/>
        </w:rPr>
        <w:t>USD$50,000</w:t>
      </w:r>
      <w:r w:rsidR="00833FA6">
        <w:rPr>
          <w:rFonts w:ascii="Verdana" w:hAnsi="Verdana"/>
          <w:sz w:val="20"/>
          <w:szCs w:val="20"/>
        </w:rPr>
        <w:t>.00</w:t>
      </w:r>
      <w:r w:rsidR="000F4D31" w:rsidRPr="000F4D31">
        <w:rPr>
          <w:rFonts w:ascii="Verdana" w:hAnsi="Verdana"/>
          <w:sz w:val="20"/>
          <w:szCs w:val="20"/>
        </w:rPr>
        <w:t xml:space="preserve"> (cincuenta mil dólares de</w:t>
      </w:r>
      <w:r w:rsidR="000F4D31">
        <w:rPr>
          <w:rFonts w:ascii="Verdana" w:hAnsi="Verdana"/>
          <w:sz w:val="20"/>
          <w:szCs w:val="20"/>
        </w:rPr>
        <w:t xml:space="preserve"> los Estados Unidos de América), </w:t>
      </w:r>
      <w:r w:rsidR="00B77504">
        <w:rPr>
          <w:rFonts w:ascii="Verdana" w:hAnsi="Verdana"/>
          <w:sz w:val="20"/>
          <w:szCs w:val="20"/>
        </w:rPr>
        <w:t>cantidad que debía</w:t>
      </w:r>
      <w:r w:rsidR="000F4D31">
        <w:rPr>
          <w:rFonts w:ascii="Verdana" w:hAnsi="Verdana"/>
          <w:sz w:val="20"/>
          <w:szCs w:val="20"/>
        </w:rPr>
        <w:t xml:space="preserve"> ser entregad</w:t>
      </w:r>
      <w:r w:rsidR="00B77504">
        <w:rPr>
          <w:rFonts w:ascii="Verdana" w:hAnsi="Verdana"/>
          <w:sz w:val="20"/>
          <w:szCs w:val="20"/>
        </w:rPr>
        <w:t>a</w:t>
      </w:r>
      <w:r w:rsidR="000F4D31">
        <w:rPr>
          <w:rFonts w:ascii="Verdana" w:hAnsi="Verdana"/>
          <w:sz w:val="20"/>
          <w:szCs w:val="20"/>
        </w:rPr>
        <w:t xml:space="preserve"> a </w:t>
      </w:r>
      <w:r w:rsidR="000F4D31" w:rsidRPr="000F4D31">
        <w:rPr>
          <w:rFonts w:ascii="Verdana" w:hAnsi="Verdana"/>
          <w:sz w:val="20"/>
          <w:szCs w:val="20"/>
        </w:rPr>
        <w:t xml:space="preserve">José Fernando Roche </w:t>
      </w:r>
      <w:proofErr w:type="spellStart"/>
      <w:r w:rsidR="000F4D31" w:rsidRPr="000F4D31">
        <w:rPr>
          <w:rFonts w:ascii="Verdana" w:hAnsi="Verdana"/>
          <w:sz w:val="20"/>
          <w:szCs w:val="20"/>
        </w:rPr>
        <w:t>Zhizhingo</w:t>
      </w:r>
      <w:proofErr w:type="spellEnd"/>
      <w:r w:rsidR="000F4D31" w:rsidRPr="000F4D31">
        <w:rPr>
          <w:rFonts w:ascii="Verdana" w:hAnsi="Verdana"/>
          <w:sz w:val="20"/>
          <w:szCs w:val="20"/>
        </w:rPr>
        <w:t xml:space="preserve"> y a María Angelita Azaña Tenesaca</w:t>
      </w:r>
      <w:r w:rsidR="00B77504">
        <w:rPr>
          <w:rFonts w:ascii="Verdana" w:hAnsi="Verdana"/>
          <w:sz w:val="20"/>
          <w:szCs w:val="20"/>
        </w:rPr>
        <w:t xml:space="preserve">. </w:t>
      </w:r>
      <w:r w:rsidR="000F4D31">
        <w:rPr>
          <w:rFonts w:ascii="Verdana" w:hAnsi="Verdana"/>
          <w:sz w:val="20"/>
          <w:szCs w:val="20"/>
        </w:rPr>
        <w:t>Al respecto</w:t>
      </w:r>
      <w:r>
        <w:rPr>
          <w:rFonts w:ascii="Verdana" w:hAnsi="Verdana"/>
          <w:sz w:val="20"/>
          <w:szCs w:val="20"/>
        </w:rPr>
        <w:t xml:space="preserve">, solicitó a la Corte que </w:t>
      </w:r>
      <w:r w:rsidR="000F4D31">
        <w:rPr>
          <w:rFonts w:ascii="Verdana" w:hAnsi="Verdana"/>
          <w:sz w:val="20"/>
          <w:szCs w:val="20"/>
        </w:rPr>
        <w:t>aclarara si la referida cantidad era para cada una de las personas beneficiarias</w:t>
      </w:r>
      <w:r w:rsidR="00CC22B5">
        <w:rPr>
          <w:rFonts w:ascii="Verdana" w:hAnsi="Verdana"/>
          <w:sz w:val="20"/>
          <w:szCs w:val="20"/>
        </w:rPr>
        <w:t>, o, por el contrario, era una suma que debía dividirse entre ambas personas beneficiarias</w:t>
      </w:r>
      <w:r>
        <w:rPr>
          <w:rFonts w:ascii="Verdana" w:hAnsi="Verdana"/>
          <w:sz w:val="20"/>
          <w:szCs w:val="20"/>
        </w:rPr>
        <w:t xml:space="preserve">. </w:t>
      </w:r>
    </w:p>
    <w:p w14:paraId="2230E874" w14:textId="77777777" w:rsidR="00B56BD8" w:rsidRDefault="00B56BD8" w:rsidP="00B56BD8">
      <w:pPr>
        <w:pStyle w:val="Prrafodelista"/>
        <w:spacing w:after="0" w:line="240" w:lineRule="auto"/>
        <w:ind w:left="0"/>
        <w:jc w:val="both"/>
        <w:rPr>
          <w:rFonts w:ascii="Verdana" w:hAnsi="Verdana"/>
          <w:sz w:val="20"/>
          <w:szCs w:val="20"/>
        </w:rPr>
      </w:pPr>
    </w:p>
    <w:p w14:paraId="49525C1E" w14:textId="46CF01FE" w:rsidR="00B56BD8" w:rsidRPr="00185E1C" w:rsidRDefault="00B56BD8" w:rsidP="00B56BD8">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La </w:t>
      </w:r>
      <w:r w:rsidRPr="00E02941">
        <w:rPr>
          <w:rFonts w:ascii="Verdana" w:hAnsi="Verdana"/>
          <w:b/>
          <w:i/>
          <w:sz w:val="20"/>
          <w:szCs w:val="20"/>
        </w:rPr>
        <w:t>Comisión</w:t>
      </w:r>
      <w:r>
        <w:rPr>
          <w:rFonts w:ascii="Verdana" w:hAnsi="Verdana"/>
          <w:sz w:val="20"/>
          <w:szCs w:val="20"/>
        </w:rPr>
        <w:t xml:space="preserve"> consideró que </w:t>
      </w:r>
      <w:r w:rsidR="000F4D31">
        <w:rPr>
          <w:rFonts w:ascii="Verdana" w:hAnsi="Verdana"/>
          <w:sz w:val="20"/>
          <w:szCs w:val="20"/>
        </w:rPr>
        <w:t>el referido párrafo 129 podía “prestarse</w:t>
      </w:r>
      <w:r w:rsidR="00CC22B5">
        <w:rPr>
          <w:rFonts w:ascii="Verdana" w:hAnsi="Verdana"/>
          <w:sz w:val="20"/>
          <w:szCs w:val="20"/>
        </w:rPr>
        <w:t xml:space="preserve"> a diversas interpretaciones” y concluyó,</w:t>
      </w:r>
      <w:r w:rsidR="000F4D31">
        <w:rPr>
          <w:rFonts w:ascii="Verdana" w:hAnsi="Verdana"/>
          <w:sz w:val="20"/>
          <w:szCs w:val="20"/>
        </w:rPr>
        <w:t xml:space="preserve"> por tanto,</w:t>
      </w:r>
      <w:r w:rsidR="00CC22B5">
        <w:rPr>
          <w:rFonts w:ascii="Verdana" w:hAnsi="Verdana"/>
          <w:sz w:val="20"/>
          <w:szCs w:val="20"/>
        </w:rPr>
        <w:t xml:space="preserve"> que</w:t>
      </w:r>
      <w:r w:rsidR="000F4D31">
        <w:rPr>
          <w:rFonts w:ascii="Verdana" w:hAnsi="Verdana"/>
          <w:sz w:val="20"/>
          <w:szCs w:val="20"/>
        </w:rPr>
        <w:t xml:space="preserve"> la solicitud interpuesta por el representante era procedente. </w:t>
      </w:r>
    </w:p>
    <w:p w14:paraId="77A4CAA7" w14:textId="77777777" w:rsidR="00B56BD8" w:rsidRDefault="00B56BD8" w:rsidP="00B56BD8">
      <w:pPr>
        <w:spacing w:after="0" w:line="240" w:lineRule="auto"/>
        <w:jc w:val="both"/>
        <w:rPr>
          <w:rFonts w:ascii="Verdana" w:hAnsi="Verdana"/>
          <w:sz w:val="20"/>
          <w:szCs w:val="20"/>
        </w:rPr>
      </w:pPr>
    </w:p>
    <w:p w14:paraId="07FF6E1E" w14:textId="63AB11C2" w:rsidR="00B56BD8" w:rsidRPr="00063229" w:rsidRDefault="00B56BD8" w:rsidP="00B56BD8">
      <w:pPr>
        <w:pStyle w:val="Prrafodelista"/>
        <w:numPr>
          <w:ilvl w:val="0"/>
          <w:numId w:val="1"/>
        </w:numPr>
        <w:spacing w:after="0" w:line="240" w:lineRule="auto"/>
        <w:ind w:left="0" w:firstLine="0"/>
        <w:jc w:val="both"/>
        <w:rPr>
          <w:rFonts w:ascii="Verdana" w:hAnsi="Verdana"/>
          <w:b/>
          <w:sz w:val="20"/>
          <w:szCs w:val="20"/>
        </w:rPr>
      </w:pPr>
      <w:r w:rsidRPr="00185E1C">
        <w:rPr>
          <w:rFonts w:ascii="Verdana" w:hAnsi="Verdana"/>
          <w:sz w:val="20"/>
          <w:szCs w:val="20"/>
        </w:rPr>
        <w:t xml:space="preserve">El </w:t>
      </w:r>
      <w:r w:rsidRPr="00E02941">
        <w:rPr>
          <w:rFonts w:ascii="Verdana" w:hAnsi="Verdana"/>
          <w:b/>
          <w:sz w:val="20"/>
          <w:szCs w:val="20"/>
        </w:rPr>
        <w:t>Estado</w:t>
      </w:r>
      <w:r>
        <w:rPr>
          <w:rFonts w:ascii="Verdana" w:hAnsi="Verdana"/>
          <w:sz w:val="20"/>
          <w:szCs w:val="20"/>
        </w:rPr>
        <w:t>,</w:t>
      </w:r>
      <w:r w:rsidRPr="00185E1C">
        <w:rPr>
          <w:rFonts w:ascii="Verdana" w:hAnsi="Verdana"/>
          <w:sz w:val="20"/>
          <w:szCs w:val="20"/>
        </w:rPr>
        <w:t xml:space="preserve"> por su parte</w:t>
      </w:r>
      <w:r w:rsidR="00063229">
        <w:rPr>
          <w:rFonts w:ascii="Verdana" w:hAnsi="Verdana"/>
          <w:sz w:val="20"/>
          <w:szCs w:val="20"/>
        </w:rPr>
        <w:t>, observó que la Corte determinó “de manera inteligible” en el mencionado párrafo 129 que la referida suma de dinero ascendía</w:t>
      </w:r>
      <w:r w:rsidR="00E026E0">
        <w:rPr>
          <w:rFonts w:ascii="Verdana" w:hAnsi="Verdana"/>
          <w:sz w:val="20"/>
          <w:szCs w:val="20"/>
        </w:rPr>
        <w:t xml:space="preserve"> a</w:t>
      </w:r>
      <w:r w:rsidR="00063229">
        <w:rPr>
          <w:rFonts w:ascii="Verdana" w:hAnsi="Verdana"/>
          <w:sz w:val="20"/>
          <w:szCs w:val="20"/>
        </w:rPr>
        <w:t xml:space="preserve"> </w:t>
      </w:r>
      <w:r w:rsidR="00063229" w:rsidRPr="000F4D31">
        <w:rPr>
          <w:rFonts w:ascii="Verdana" w:hAnsi="Verdana"/>
          <w:sz w:val="20"/>
          <w:szCs w:val="20"/>
        </w:rPr>
        <w:t>USD$50,000</w:t>
      </w:r>
      <w:r w:rsidR="00E026E0">
        <w:rPr>
          <w:rFonts w:ascii="Verdana" w:hAnsi="Verdana"/>
          <w:sz w:val="20"/>
          <w:szCs w:val="20"/>
        </w:rPr>
        <w:t>.00</w:t>
      </w:r>
      <w:r w:rsidR="00063229" w:rsidRPr="000F4D31">
        <w:rPr>
          <w:rFonts w:ascii="Verdana" w:hAnsi="Verdana"/>
          <w:sz w:val="20"/>
          <w:szCs w:val="20"/>
        </w:rPr>
        <w:t xml:space="preserve"> (cincuenta mil dólares de</w:t>
      </w:r>
      <w:r w:rsidR="00063229">
        <w:rPr>
          <w:rFonts w:ascii="Verdana" w:hAnsi="Verdana"/>
          <w:sz w:val="20"/>
          <w:szCs w:val="20"/>
        </w:rPr>
        <w:t xml:space="preserve"> los Estados Unidos de América), la cual debía ser entregada en su totalidad a la señora María Angelita Azaña Tenesaca, por lo que solicitó que se denegara la solicitud por ser improcedente. </w:t>
      </w:r>
    </w:p>
    <w:p w14:paraId="6D303BB4" w14:textId="77777777" w:rsidR="00B56BD8" w:rsidRDefault="00B56BD8" w:rsidP="00E02941">
      <w:pPr>
        <w:pStyle w:val="Prrafodelista"/>
        <w:spacing w:after="0" w:line="240" w:lineRule="auto"/>
        <w:ind w:left="708"/>
        <w:jc w:val="both"/>
        <w:rPr>
          <w:rFonts w:ascii="Verdana" w:hAnsi="Verdana"/>
          <w:i/>
          <w:sz w:val="20"/>
          <w:szCs w:val="20"/>
        </w:rPr>
      </w:pPr>
    </w:p>
    <w:p w14:paraId="6E6F5B2E" w14:textId="77777777" w:rsidR="00E02941" w:rsidRDefault="00522A34" w:rsidP="00E02941">
      <w:pPr>
        <w:pStyle w:val="Prrafodelista"/>
        <w:spacing w:after="0" w:line="240" w:lineRule="auto"/>
        <w:ind w:left="708"/>
        <w:jc w:val="both"/>
        <w:rPr>
          <w:rFonts w:ascii="Verdana" w:hAnsi="Verdana"/>
          <w:i/>
          <w:sz w:val="20"/>
          <w:szCs w:val="20"/>
        </w:rPr>
      </w:pPr>
      <w:r>
        <w:rPr>
          <w:rFonts w:ascii="Verdana" w:hAnsi="Verdana"/>
          <w:i/>
          <w:sz w:val="20"/>
          <w:szCs w:val="20"/>
        </w:rPr>
        <w:tab/>
        <w:t>A.1</w:t>
      </w:r>
      <w:r w:rsidR="00E02941">
        <w:rPr>
          <w:rFonts w:ascii="Verdana" w:hAnsi="Verdana"/>
          <w:i/>
          <w:sz w:val="20"/>
          <w:szCs w:val="20"/>
        </w:rPr>
        <w:t>.b) Consideraciones de la Corte</w:t>
      </w:r>
    </w:p>
    <w:p w14:paraId="4109D80A" w14:textId="77777777" w:rsidR="00544E1E" w:rsidRPr="00544E1E" w:rsidRDefault="00544E1E" w:rsidP="00544E1E">
      <w:pPr>
        <w:pStyle w:val="Prrafodelista"/>
        <w:rPr>
          <w:rFonts w:ascii="Verdana" w:hAnsi="Verdana"/>
          <w:sz w:val="20"/>
          <w:szCs w:val="20"/>
        </w:rPr>
      </w:pPr>
    </w:p>
    <w:p w14:paraId="072DADA3" w14:textId="3438F5C6" w:rsidR="00544E1E" w:rsidRPr="00AF3AF1" w:rsidRDefault="00AF3AF1" w:rsidP="00BD7276">
      <w:pPr>
        <w:pStyle w:val="Prrafodelista"/>
        <w:numPr>
          <w:ilvl w:val="0"/>
          <w:numId w:val="1"/>
        </w:numPr>
        <w:spacing w:after="0" w:line="240" w:lineRule="auto"/>
        <w:ind w:left="0" w:firstLine="0"/>
        <w:jc w:val="both"/>
        <w:rPr>
          <w:rFonts w:ascii="Verdana" w:hAnsi="Verdana"/>
          <w:sz w:val="20"/>
          <w:szCs w:val="20"/>
        </w:rPr>
      </w:pPr>
      <w:r w:rsidRPr="00AF3AF1">
        <w:rPr>
          <w:rFonts w:ascii="Verdana" w:hAnsi="Verdana"/>
          <w:sz w:val="20"/>
          <w:szCs w:val="20"/>
        </w:rPr>
        <w:t>L</w:t>
      </w:r>
      <w:r w:rsidR="00CC22B5" w:rsidRPr="00AF3AF1">
        <w:rPr>
          <w:rFonts w:ascii="Verdana" w:hAnsi="Verdana"/>
          <w:sz w:val="20"/>
          <w:szCs w:val="20"/>
        </w:rPr>
        <w:t>a Corte considera pertinente aclarar el sentido de la medida de reparación ordenada en el punto resolutivo octavo</w:t>
      </w:r>
      <w:r w:rsidR="00022DDF" w:rsidRPr="00AF3AF1">
        <w:rPr>
          <w:rFonts w:ascii="Verdana" w:hAnsi="Verdana"/>
          <w:sz w:val="20"/>
          <w:szCs w:val="20"/>
        </w:rPr>
        <w:t>,</w:t>
      </w:r>
      <w:r w:rsidR="00CC22B5" w:rsidRPr="00AF3AF1">
        <w:rPr>
          <w:rFonts w:ascii="Verdana" w:hAnsi="Verdana"/>
          <w:sz w:val="20"/>
          <w:szCs w:val="20"/>
        </w:rPr>
        <w:t xml:space="preserve"> en relación con </w:t>
      </w:r>
      <w:r w:rsidRPr="00AF3AF1">
        <w:rPr>
          <w:rFonts w:ascii="Verdana" w:hAnsi="Verdana"/>
          <w:sz w:val="20"/>
          <w:szCs w:val="20"/>
        </w:rPr>
        <w:t>el párrafo 129 de la Sentencia,</w:t>
      </w:r>
      <w:r>
        <w:rPr>
          <w:rFonts w:ascii="Verdana" w:hAnsi="Verdana"/>
          <w:sz w:val="20"/>
          <w:szCs w:val="20"/>
        </w:rPr>
        <w:t xml:space="preserve"> en</w:t>
      </w:r>
      <w:r w:rsidRPr="00AF3AF1">
        <w:rPr>
          <w:rFonts w:ascii="Verdana" w:hAnsi="Verdana"/>
          <w:sz w:val="20"/>
          <w:szCs w:val="20"/>
        </w:rPr>
        <w:t xml:space="preserve"> el cual</w:t>
      </w:r>
      <w:r>
        <w:rPr>
          <w:rFonts w:ascii="Verdana" w:hAnsi="Verdana"/>
          <w:sz w:val="20"/>
          <w:szCs w:val="20"/>
        </w:rPr>
        <w:t xml:space="preserve"> la Corte</w:t>
      </w:r>
      <w:r w:rsidRPr="00AF3AF1">
        <w:rPr>
          <w:rFonts w:ascii="Verdana" w:hAnsi="Verdana"/>
          <w:sz w:val="20"/>
          <w:szCs w:val="20"/>
        </w:rPr>
        <w:t xml:space="preserve"> </w:t>
      </w:r>
      <w:r w:rsidR="00022DDF" w:rsidRPr="00AF3AF1">
        <w:rPr>
          <w:rFonts w:ascii="Verdana" w:hAnsi="Verdana"/>
          <w:sz w:val="20"/>
          <w:szCs w:val="20"/>
        </w:rPr>
        <w:t>determinó lo siguiente</w:t>
      </w:r>
      <w:r w:rsidR="00544E1E" w:rsidRPr="00AF3AF1">
        <w:rPr>
          <w:rFonts w:ascii="Verdana" w:hAnsi="Verdana"/>
          <w:sz w:val="20"/>
          <w:szCs w:val="20"/>
        </w:rPr>
        <w:t>:</w:t>
      </w:r>
    </w:p>
    <w:p w14:paraId="7E6AF1AB" w14:textId="77777777" w:rsidR="00544E1E" w:rsidRDefault="00544E1E" w:rsidP="00544E1E">
      <w:pPr>
        <w:spacing w:after="0" w:line="240" w:lineRule="auto"/>
        <w:ind w:left="708"/>
        <w:jc w:val="both"/>
        <w:rPr>
          <w:rFonts w:ascii="Verdana" w:hAnsi="Verdana"/>
          <w:sz w:val="16"/>
          <w:szCs w:val="20"/>
        </w:rPr>
      </w:pPr>
    </w:p>
    <w:p w14:paraId="67C63ACF" w14:textId="77777777" w:rsidR="00544E1E" w:rsidRPr="00D42D9E" w:rsidRDefault="00B201EF" w:rsidP="00E026E0">
      <w:pPr>
        <w:spacing w:after="0" w:line="240" w:lineRule="auto"/>
        <w:ind w:left="708" w:right="674"/>
        <w:jc w:val="both"/>
        <w:rPr>
          <w:rFonts w:ascii="Verdana" w:hAnsi="Verdana"/>
          <w:sz w:val="18"/>
          <w:szCs w:val="20"/>
        </w:rPr>
      </w:pPr>
      <w:r w:rsidRPr="00D42D9E">
        <w:rPr>
          <w:rFonts w:ascii="Verdana" w:hAnsi="Verdana"/>
          <w:sz w:val="18"/>
          <w:szCs w:val="20"/>
        </w:rPr>
        <w:t xml:space="preserve">129. Con respecto al lucro cesante ocasionado por la muerte de Pedro </w:t>
      </w:r>
      <w:proofErr w:type="spellStart"/>
      <w:r w:rsidRPr="00D42D9E">
        <w:rPr>
          <w:rFonts w:ascii="Verdana" w:hAnsi="Verdana"/>
          <w:sz w:val="18"/>
          <w:szCs w:val="20"/>
        </w:rPr>
        <w:t>Bacilio</w:t>
      </w:r>
      <w:proofErr w:type="spellEnd"/>
      <w:r w:rsidRPr="00D42D9E">
        <w:rPr>
          <w:rFonts w:ascii="Verdana" w:hAnsi="Verdana"/>
          <w:sz w:val="18"/>
          <w:szCs w:val="20"/>
        </w:rPr>
        <w:t xml:space="preserve"> Roche Azaña, el Tribunal estima que el Estado debe entregar, en equidad, la suma total de USD$ 50,000 (cincuenta mil dólares de los Estados Unidos de América) a José Fernando Roche </w:t>
      </w:r>
      <w:proofErr w:type="spellStart"/>
      <w:r w:rsidRPr="00D42D9E">
        <w:rPr>
          <w:rFonts w:ascii="Verdana" w:hAnsi="Verdana"/>
          <w:sz w:val="18"/>
          <w:szCs w:val="20"/>
        </w:rPr>
        <w:t>Zhizhingo</w:t>
      </w:r>
      <w:proofErr w:type="spellEnd"/>
      <w:r w:rsidRPr="00D42D9E">
        <w:rPr>
          <w:rFonts w:ascii="Verdana" w:hAnsi="Verdana"/>
          <w:sz w:val="18"/>
          <w:szCs w:val="20"/>
        </w:rPr>
        <w:t xml:space="preserve"> y a María Angelita Azaña Tenesaca. A la vista de que el señor José Fernando Roche </w:t>
      </w:r>
      <w:proofErr w:type="spellStart"/>
      <w:r w:rsidRPr="00D42D9E">
        <w:rPr>
          <w:rFonts w:ascii="Verdana" w:hAnsi="Verdana"/>
          <w:sz w:val="18"/>
          <w:szCs w:val="20"/>
        </w:rPr>
        <w:t>Zhizhingo</w:t>
      </w:r>
      <w:proofErr w:type="spellEnd"/>
      <w:r w:rsidRPr="00D42D9E">
        <w:rPr>
          <w:rFonts w:ascii="Verdana" w:hAnsi="Verdana"/>
          <w:sz w:val="18"/>
          <w:szCs w:val="20"/>
        </w:rPr>
        <w:t xml:space="preserve"> ya ha fallecido, la cantidad correspondiente deberá ser entregada a la señora María Angelita Azaña Tenesaca</w:t>
      </w:r>
      <w:r w:rsidR="00544E1E" w:rsidRPr="00D42D9E">
        <w:rPr>
          <w:rFonts w:ascii="Verdana" w:hAnsi="Verdana"/>
          <w:sz w:val="18"/>
          <w:szCs w:val="20"/>
        </w:rPr>
        <w:t>.</w:t>
      </w:r>
    </w:p>
    <w:p w14:paraId="3ACB039F" w14:textId="77777777" w:rsidR="00B201EF" w:rsidRDefault="00B201EF" w:rsidP="00544E1E">
      <w:pPr>
        <w:spacing w:after="0" w:line="240" w:lineRule="auto"/>
        <w:ind w:left="708"/>
        <w:jc w:val="both"/>
        <w:rPr>
          <w:rFonts w:ascii="Verdana" w:hAnsi="Verdana"/>
          <w:sz w:val="16"/>
          <w:szCs w:val="20"/>
        </w:rPr>
      </w:pPr>
    </w:p>
    <w:p w14:paraId="1956BE3C" w14:textId="1729CDCD" w:rsidR="000931E7" w:rsidRDefault="006A490F" w:rsidP="00022DDF">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La </w:t>
      </w:r>
      <w:r w:rsidRPr="006A490F">
        <w:rPr>
          <w:rFonts w:ascii="Verdana" w:hAnsi="Verdana"/>
          <w:sz w:val="20"/>
          <w:szCs w:val="20"/>
        </w:rPr>
        <w:t xml:space="preserve">Corte </w:t>
      </w:r>
      <w:r w:rsidR="00D42D9E">
        <w:rPr>
          <w:rFonts w:ascii="Verdana" w:hAnsi="Verdana"/>
          <w:sz w:val="20"/>
          <w:szCs w:val="20"/>
        </w:rPr>
        <w:t>recuerda</w:t>
      </w:r>
      <w:r w:rsidRPr="006A490F">
        <w:rPr>
          <w:rFonts w:ascii="Verdana" w:hAnsi="Verdana"/>
          <w:sz w:val="20"/>
          <w:szCs w:val="20"/>
        </w:rPr>
        <w:t xml:space="preserve"> que es preciso que las partes realicen una lectura integral de la Sentencia y no consideren cada párrafo del fallo como si fuese independiente del resto</w:t>
      </w:r>
      <w:r>
        <w:rPr>
          <w:rStyle w:val="Refdenotaalpie"/>
          <w:rFonts w:ascii="Verdana" w:hAnsi="Verdana"/>
          <w:sz w:val="20"/>
          <w:szCs w:val="20"/>
        </w:rPr>
        <w:footnoteReference w:id="7"/>
      </w:r>
      <w:r w:rsidRPr="006A490F">
        <w:rPr>
          <w:rFonts w:ascii="Verdana" w:hAnsi="Verdana"/>
          <w:sz w:val="20"/>
          <w:szCs w:val="20"/>
        </w:rPr>
        <w:t xml:space="preserve">. En este sentido, de la lectura conjunta de los párrafos </w:t>
      </w:r>
      <w:r w:rsidR="00022DDF">
        <w:rPr>
          <w:rFonts w:ascii="Verdana" w:hAnsi="Verdana"/>
          <w:sz w:val="20"/>
          <w:szCs w:val="20"/>
        </w:rPr>
        <w:t>1</w:t>
      </w:r>
      <w:r w:rsidR="00B71305">
        <w:rPr>
          <w:rFonts w:ascii="Verdana" w:hAnsi="Verdana"/>
          <w:sz w:val="20"/>
          <w:szCs w:val="20"/>
        </w:rPr>
        <w:t xml:space="preserve">28, </w:t>
      </w:r>
      <w:r w:rsidR="00022DDF">
        <w:rPr>
          <w:rFonts w:ascii="Verdana" w:hAnsi="Verdana"/>
          <w:sz w:val="20"/>
          <w:szCs w:val="20"/>
        </w:rPr>
        <w:t>129</w:t>
      </w:r>
      <w:r w:rsidR="00B71305">
        <w:rPr>
          <w:rFonts w:ascii="Verdana" w:hAnsi="Verdana"/>
          <w:sz w:val="20"/>
          <w:szCs w:val="20"/>
        </w:rPr>
        <w:t xml:space="preserve"> y 136</w:t>
      </w:r>
      <w:r w:rsidR="00022DDF">
        <w:rPr>
          <w:rFonts w:ascii="Verdana" w:hAnsi="Verdana"/>
          <w:sz w:val="20"/>
          <w:szCs w:val="20"/>
        </w:rPr>
        <w:t>, se desprende que</w:t>
      </w:r>
      <w:r w:rsidR="00CC22B5">
        <w:rPr>
          <w:rFonts w:ascii="Verdana" w:hAnsi="Verdana"/>
          <w:sz w:val="20"/>
          <w:szCs w:val="20"/>
        </w:rPr>
        <w:t>, a</w:t>
      </w:r>
      <w:r w:rsidR="000931E7">
        <w:rPr>
          <w:rFonts w:ascii="Verdana" w:hAnsi="Verdana"/>
          <w:sz w:val="20"/>
          <w:szCs w:val="20"/>
        </w:rPr>
        <w:t xml:space="preserve"> diferenc</w:t>
      </w:r>
      <w:r w:rsidR="00022DDF">
        <w:rPr>
          <w:rFonts w:ascii="Verdana" w:hAnsi="Verdana"/>
          <w:sz w:val="20"/>
          <w:szCs w:val="20"/>
        </w:rPr>
        <w:t xml:space="preserve">ia de la indemnización indicada </w:t>
      </w:r>
      <w:r w:rsidR="000931E7">
        <w:rPr>
          <w:rFonts w:ascii="Verdana" w:hAnsi="Verdana"/>
          <w:sz w:val="20"/>
          <w:szCs w:val="20"/>
        </w:rPr>
        <w:t xml:space="preserve">en </w:t>
      </w:r>
      <w:r w:rsidR="00B71305">
        <w:rPr>
          <w:rFonts w:ascii="Verdana" w:hAnsi="Verdana"/>
          <w:sz w:val="20"/>
          <w:szCs w:val="20"/>
        </w:rPr>
        <w:t>los</w:t>
      </w:r>
      <w:r w:rsidR="000931E7">
        <w:rPr>
          <w:rFonts w:ascii="Verdana" w:hAnsi="Verdana"/>
          <w:sz w:val="20"/>
          <w:szCs w:val="20"/>
        </w:rPr>
        <w:t xml:space="preserve"> párrafo</w:t>
      </w:r>
      <w:r w:rsidR="00B71305">
        <w:rPr>
          <w:rFonts w:ascii="Verdana" w:hAnsi="Verdana"/>
          <w:sz w:val="20"/>
          <w:szCs w:val="20"/>
        </w:rPr>
        <w:t>s</w:t>
      </w:r>
      <w:r w:rsidR="000931E7">
        <w:rPr>
          <w:rFonts w:ascii="Verdana" w:hAnsi="Verdana"/>
          <w:sz w:val="20"/>
          <w:szCs w:val="20"/>
        </w:rPr>
        <w:t xml:space="preserve"> </w:t>
      </w:r>
      <w:r w:rsidR="00B71305">
        <w:rPr>
          <w:rFonts w:ascii="Verdana" w:hAnsi="Verdana"/>
          <w:sz w:val="20"/>
          <w:szCs w:val="20"/>
        </w:rPr>
        <w:t>128 y 136</w:t>
      </w:r>
      <w:r w:rsidR="00022DDF">
        <w:rPr>
          <w:rFonts w:ascii="Verdana" w:hAnsi="Verdana"/>
          <w:sz w:val="20"/>
          <w:szCs w:val="20"/>
        </w:rPr>
        <w:t>,</w:t>
      </w:r>
      <w:r w:rsidR="000931E7">
        <w:rPr>
          <w:rFonts w:ascii="Verdana" w:hAnsi="Verdana"/>
          <w:sz w:val="20"/>
          <w:szCs w:val="20"/>
        </w:rPr>
        <w:t xml:space="preserve"> donde </w:t>
      </w:r>
      <w:r w:rsidR="00022DDF">
        <w:rPr>
          <w:rFonts w:ascii="Verdana" w:hAnsi="Verdana"/>
          <w:sz w:val="20"/>
          <w:szCs w:val="20"/>
        </w:rPr>
        <w:t xml:space="preserve">el monto por concepto de daño emergente </w:t>
      </w:r>
      <w:r w:rsidR="00B71305">
        <w:rPr>
          <w:rFonts w:ascii="Verdana" w:hAnsi="Verdana"/>
          <w:sz w:val="20"/>
          <w:szCs w:val="20"/>
        </w:rPr>
        <w:t xml:space="preserve">debe ser entregado, </w:t>
      </w:r>
      <w:r w:rsidR="000931E7">
        <w:rPr>
          <w:rFonts w:ascii="Verdana" w:hAnsi="Verdana"/>
          <w:sz w:val="20"/>
          <w:szCs w:val="20"/>
        </w:rPr>
        <w:t>“respectivamente”,</w:t>
      </w:r>
      <w:r w:rsidR="00B71305">
        <w:rPr>
          <w:rFonts w:ascii="Verdana" w:hAnsi="Verdana"/>
          <w:sz w:val="20"/>
          <w:szCs w:val="20"/>
        </w:rPr>
        <w:t xml:space="preserve"> a cada una de las víctimas indicadas, en el párrafo 129 se hace una referencia a una suma “total” que debe ser entregada a dos personas, el señor </w:t>
      </w:r>
      <w:r w:rsidR="00B71305" w:rsidRPr="00022DDF">
        <w:rPr>
          <w:rFonts w:ascii="Verdana" w:hAnsi="Verdana"/>
          <w:sz w:val="20"/>
          <w:szCs w:val="20"/>
        </w:rPr>
        <w:t xml:space="preserve">José Fernando Roche </w:t>
      </w:r>
      <w:proofErr w:type="spellStart"/>
      <w:r w:rsidR="00B71305" w:rsidRPr="00022DDF">
        <w:rPr>
          <w:rFonts w:ascii="Verdana" w:hAnsi="Verdana"/>
          <w:sz w:val="20"/>
          <w:szCs w:val="20"/>
        </w:rPr>
        <w:t>Zhi</w:t>
      </w:r>
      <w:r w:rsidR="00B71305">
        <w:rPr>
          <w:rFonts w:ascii="Verdana" w:hAnsi="Verdana"/>
          <w:sz w:val="20"/>
          <w:szCs w:val="20"/>
        </w:rPr>
        <w:t>zhingo</w:t>
      </w:r>
      <w:proofErr w:type="spellEnd"/>
      <w:r w:rsidR="00B71305">
        <w:rPr>
          <w:rFonts w:ascii="Verdana" w:hAnsi="Verdana"/>
          <w:sz w:val="20"/>
          <w:szCs w:val="20"/>
        </w:rPr>
        <w:t xml:space="preserve"> y a María Angelita Azaña Tenesaca. Dicho párrafo también especifica que, como el señor José Fernando Roche </w:t>
      </w:r>
      <w:proofErr w:type="spellStart"/>
      <w:r w:rsidR="00B71305">
        <w:rPr>
          <w:rFonts w:ascii="Verdana" w:hAnsi="Verdana"/>
          <w:sz w:val="20"/>
          <w:szCs w:val="20"/>
        </w:rPr>
        <w:t>Zhizhingo</w:t>
      </w:r>
      <w:proofErr w:type="spellEnd"/>
      <w:r w:rsidR="00B71305">
        <w:rPr>
          <w:rFonts w:ascii="Verdana" w:hAnsi="Verdana"/>
          <w:sz w:val="20"/>
          <w:szCs w:val="20"/>
        </w:rPr>
        <w:t xml:space="preserve"> ya ha fallecido, la cantidad </w:t>
      </w:r>
      <w:r w:rsidR="00B71305">
        <w:rPr>
          <w:rFonts w:ascii="Verdana" w:hAnsi="Verdana"/>
          <w:sz w:val="20"/>
          <w:szCs w:val="20"/>
        </w:rPr>
        <w:lastRenderedPageBreak/>
        <w:t>que le correspondería a él</w:t>
      </w:r>
      <w:r w:rsidR="008561C7">
        <w:rPr>
          <w:rFonts w:ascii="Verdana" w:hAnsi="Verdana"/>
          <w:sz w:val="20"/>
          <w:szCs w:val="20"/>
        </w:rPr>
        <w:t>,</w:t>
      </w:r>
      <w:r w:rsidR="00B71305">
        <w:rPr>
          <w:rFonts w:ascii="Verdana" w:hAnsi="Verdana"/>
          <w:sz w:val="20"/>
          <w:szCs w:val="20"/>
        </w:rPr>
        <w:t xml:space="preserve"> esto es, la mitad de la cantidad</w:t>
      </w:r>
      <w:r w:rsidR="00AF3AF1">
        <w:rPr>
          <w:rFonts w:ascii="Verdana" w:hAnsi="Verdana"/>
          <w:sz w:val="20"/>
          <w:szCs w:val="20"/>
        </w:rPr>
        <w:t xml:space="preserve"> total</w:t>
      </w:r>
      <w:r w:rsidR="00B71305">
        <w:rPr>
          <w:rFonts w:ascii="Verdana" w:hAnsi="Verdana"/>
          <w:sz w:val="20"/>
          <w:szCs w:val="20"/>
        </w:rPr>
        <w:t xml:space="preserve"> </w:t>
      </w:r>
      <w:proofErr w:type="gramStart"/>
      <w:r w:rsidR="00B71305">
        <w:rPr>
          <w:rFonts w:ascii="Verdana" w:hAnsi="Verdana"/>
          <w:sz w:val="20"/>
          <w:szCs w:val="20"/>
        </w:rPr>
        <w:t>fijada</w:t>
      </w:r>
      <w:r w:rsidR="008561C7">
        <w:rPr>
          <w:rFonts w:ascii="Verdana" w:hAnsi="Verdana"/>
          <w:sz w:val="20"/>
          <w:szCs w:val="20"/>
        </w:rPr>
        <w:t>,</w:t>
      </w:r>
      <w:proofErr w:type="gramEnd"/>
      <w:r w:rsidR="00B71305">
        <w:rPr>
          <w:rFonts w:ascii="Verdana" w:hAnsi="Verdana"/>
          <w:sz w:val="20"/>
          <w:szCs w:val="20"/>
        </w:rPr>
        <w:t xml:space="preserve"> debe ser entregada a la señora María Angelita Azaña Tenesaca. </w:t>
      </w:r>
    </w:p>
    <w:p w14:paraId="2FCCC49C" w14:textId="77777777" w:rsidR="00160B33" w:rsidRDefault="00160B33" w:rsidP="00E02941">
      <w:pPr>
        <w:pStyle w:val="Prrafodelista"/>
        <w:spacing w:after="0" w:line="240" w:lineRule="auto"/>
        <w:ind w:left="0"/>
        <w:jc w:val="both"/>
        <w:rPr>
          <w:rFonts w:ascii="Verdana" w:hAnsi="Verdana"/>
          <w:sz w:val="20"/>
          <w:szCs w:val="20"/>
        </w:rPr>
      </w:pPr>
    </w:p>
    <w:p w14:paraId="5D9F7314" w14:textId="4C7F8A23" w:rsidR="00544E1E" w:rsidRDefault="000931E7" w:rsidP="00160B33">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En consecuencia</w:t>
      </w:r>
      <w:r w:rsidR="00160B33">
        <w:rPr>
          <w:rFonts w:ascii="Verdana" w:hAnsi="Verdana"/>
          <w:sz w:val="20"/>
          <w:szCs w:val="20"/>
        </w:rPr>
        <w:t xml:space="preserve">, </w:t>
      </w:r>
      <w:r>
        <w:rPr>
          <w:rFonts w:ascii="Verdana" w:hAnsi="Verdana"/>
          <w:sz w:val="20"/>
          <w:szCs w:val="20"/>
        </w:rPr>
        <w:t xml:space="preserve">la Corte considera pertinente aclarar que </w:t>
      </w:r>
      <w:r w:rsidR="00160B33">
        <w:rPr>
          <w:rFonts w:ascii="Verdana" w:hAnsi="Verdana"/>
          <w:sz w:val="20"/>
          <w:szCs w:val="20"/>
        </w:rPr>
        <w:t xml:space="preserve">el Estado deberá entregar la totalidad del importe de </w:t>
      </w:r>
      <w:r w:rsidR="00160B33" w:rsidRPr="00160B33">
        <w:rPr>
          <w:rFonts w:ascii="Verdana" w:hAnsi="Verdana"/>
          <w:sz w:val="20"/>
          <w:szCs w:val="20"/>
        </w:rPr>
        <w:t>USD$50,000</w:t>
      </w:r>
      <w:r w:rsidR="008561C7">
        <w:rPr>
          <w:rFonts w:ascii="Verdana" w:hAnsi="Verdana"/>
          <w:sz w:val="20"/>
          <w:szCs w:val="20"/>
        </w:rPr>
        <w:t>.00</w:t>
      </w:r>
      <w:r w:rsidR="00160B33" w:rsidRPr="00160B33">
        <w:rPr>
          <w:rFonts w:ascii="Verdana" w:hAnsi="Verdana"/>
          <w:sz w:val="20"/>
          <w:szCs w:val="20"/>
        </w:rPr>
        <w:t xml:space="preserve"> (cincuenta mil dólares de los Estados Unidos de América)</w:t>
      </w:r>
      <w:r w:rsidR="00160B33">
        <w:rPr>
          <w:rFonts w:ascii="Verdana" w:hAnsi="Verdana"/>
          <w:sz w:val="20"/>
          <w:szCs w:val="20"/>
        </w:rPr>
        <w:t xml:space="preserve"> </w:t>
      </w:r>
      <w:r>
        <w:rPr>
          <w:rFonts w:ascii="Verdana" w:hAnsi="Verdana"/>
          <w:sz w:val="20"/>
          <w:szCs w:val="20"/>
        </w:rPr>
        <w:t xml:space="preserve">establecido en concepto de lucro cesante </w:t>
      </w:r>
      <w:r w:rsidR="00160B33">
        <w:rPr>
          <w:rFonts w:ascii="Verdana" w:hAnsi="Verdana"/>
          <w:sz w:val="20"/>
          <w:szCs w:val="20"/>
        </w:rPr>
        <w:t xml:space="preserve">a la </w:t>
      </w:r>
      <w:r w:rsidR="00160B33" w:rsidRPr="00160B33">
        <w:rPr>
          <w:rFonts w:ascii="Verdana" w:hAnsi="Verdana"/>
          <w:sz w:val="20"/>
          <w:szCs w:val="20"/>
        </w:rPr>
        <w:t>señora María Angelita Azaña Tenesaca</w:t>
      </w:r>
      <w:r w:rsidR="00160B33">
        <w:rPr>
          <w:rFonts w:ascii="Verdana" w:hAnsi="Verdana"/>
          <w:sz w:val="20"/>
          <w:szCs w:val="20"/>
        </w:rPr>
        <w:t>.</w:t>
      </w:r>
    </w:p>
    <w:p w14:paraId="490EC15F" w14:textId="77777777" w:rsidR="00522A34" w:rsidRDefault="00522A34" w:rsidP="00522A34">
      <w:pPr>
        <w:spacing w:after="0" w:line="240" w:lineRule="auto"/>
        <w:jc w:val="both"/>
        <w:rPr>
          <w:rFonts w:ascii="Verdana" w:hAnsi="Verdana"/>
          <w:sz w:val="20"/>
          <w:szCs w:val="20"/>
        </w:rPr>
      </w:pPr>
    </w:p>
    <w:p w14:paraId="561D440F" w14:textId="77777777" w:rsidR="00522A34" w:rsidRPr="00B56BD8" w:rsidRDefault="00522A34" w:rsidP="00522A34">
      <w:pPr>
        <w:pStyle w:val="Prrafodelista"/>
        <w:spacing w:after="0" w:line="240" w:lineRule="auto"/>
        <w:ind w:left="708"/>
        <w:jc w:val="both"/>
        <w:rPr>
          <w:rFonts w:ascii="Verdana" w:hAnsi="Verdana"/>
          <w:b/>
          <w:i/>
          <w:sz w:val="20"/>
          <w:szCs w:val="20"/>
        </w:rPr>
      </w:pPr>
      <w:r w:rsidRPr="00B56BD8">
        <w:rPr>
          <w:rFonts w:ascii="Verdana" w:hAnsi="Verdana"/>
          <w:b/>
          <w:i/>
          <w:sz w:val="20"/>
          <w:szCs w:val="20"/>
        </w:rPr>
        <w:t>A.</w:t>
      </w:r>
      <w:r w:rsidR="003C0A35">
        <w:rPr>
          <w:rFonts w:ascii="Verdana" w:hAnsi="Verdana"/>
          <w:b/>
          <w:i/>
          <w:sz w:val="20"/>
          <w:szCs w:val="20"/>
        </w:rPr>
        <w:t>2</w:t>
      </w:r>
      <w:r w:rsidRPr="00B56BD8">
        <w:rPr>
          <w:rFonts w:ascii="Verdana" w:hAnsi="Verdana"/>
          <w:b/>
          <w:i/>
          <w:sz w:val="20"/>
          <w:szCs w:val="20"/>
        </w:rPr>
        <w:t>. Indemnización por lucro cesante a Patricio Fernando Roche Azaña</w:t>
      </w:r>
    </w:p>
    <w:p w14:paraId="3BC8D887" w14:textId="77777777" w:rsidR="00522A34" w:rsidRDefault="00522A34" w:rsidP="00522A34">
      <w:pPr>
        <w:spacing w:after="0" w:line="240" w:lineRule="auto"/>
        <w:jc w:val="both"/>
        <w:rPr>
          <w:rFonts w:ascii="Verdana" w:hAnsi="Verdana"/>
          <w:sz w:val="20"/>
          <w:szCs w:val="20"/>
        </w:rPr>
      </w:pPr>
    </w:p>
    <w:p w14:paraId="23278E28" w14:textId="77777777" w:rsidR="00522A34" w:rsidRDefault="00522A34" w:rsidP="003C0A35">
      <w:pPr>
        <w:pStyle w:val="Prrafodelista"/>
        <w:spacing w:after="0" w:line="240" w:lineRule="auto"/>
        <w:ind w:left="708" w:firstLine="708"/>
        <w:jc w:val="both"/>
        <w:rPr>
          <w:rFonts w:ascii="Verdana" w:hAnsi="Verdana"/>
          <w:i/>
          <w:sz w:val="20"/>
          <w:szCs w:val="20"/>
        </w:rPr>
      </w:pPr>
      <w:r>
        <w:rPr>
          <w:rFonts w:ascii="Verdana" w:hAnsi="Verdana"/>
          <w:i/>
          <w:sz w:val="20"/>
          <w:szCs w:val="20"/>
        </w:rPr>
        <w:t>A.2.a) Argumentos de las partes y de la Comisión</w:t>
      </w:r>
    </w:p>
    <w:p w14:paraId="3F856993" w14:textId="77777777" w:rsidR="00522A34" w:rsidRPr="00E91352" w:rsidRDefault="00522A34" w:rsidP="00522A34">
      <w:pPr>
        <w:pStyle w:val="Prrafodelista"/>
        <w:spacing w:after="0" w:line="240" w:lineRule="auto"/>
        <w:ind w:left="708"/>
        <w:jc w:val="both"/>
        <w:rPr>
          <w:rFonts w:ascii="Verdana" w:hAnsi="Verdana"/>
          <w:i/>
          <w:sz w:val="20"/>
          <w:szCs w:val="20"/>
        </w:rPr>
      </w:pPr>
    </w:p>
    <w:p w14:paraId="7C300C75" w14:textId="1728AB55" w:rsidR="00522A34" w:rsidRPr="00901C33" w:rsidRDefault="00522A34" w:rsidP="00522A34">
      <w:pPr>
        <w:pStyle w:val="Prrafodelista"/>
        <w:numPr>
          <w:ilvl w:val="0"/>
          <w:numId w:val="1"/>
        </w:numPr>
        <w:spacing w:after="0" w:line="240" w:lineRule="auto"/>
        <w:ind w:left="0" w:firstLine="0"/>
        <w:jc w:val="both"/>
        <w:rPr>
          <w:rFonts w:ascii="Verdana" w:hAnsi="Verdana"/>
          <w:b/>
          <w:sz w:val="20"/>
          <w:szCs w:val="20"/>
        </w:rPr>
      </w:pPr>
      <w:r>
        <w:rPr>
          <w:rFonts w:ascii="Verdana" w:hAnsi="Verdana"/>
          <w:sz w:val="20"/>
          <w:szCs w:val="20"/>
        </w:rPr>
        <w:t xml:space="preserve">El </w:t>
      </w:r>
      <w:r w:rsidRPr="00E02941">
        <w:rPr>
          <w:rFonts w:ascii="Verdana" w:hAnsi="Verdana"/>
          <w:b/>
          <w:i/>
          <w:sz w:val="20"/>
          <w:szCs w:val="20"/>
        </w:rPr>
        <w:t>representante</w:t>
      </w:r>
      <w:r w:rsidRPr="00185E1C">
        <w:rPr>
          <w:rFonts w:ascii="Verdana" w:hAnsi="Verdana"/>
          <w:i/>
          <w:sz w:val="20"/>
          <w:szCs w:val="20"/>
        </w:rPr>
        <w:t xml:space="preserve"> </w:t>
      </w:r>
      <w:r>
        <w:rPr>
          <w:rFonts w:ascii="Verdana" w:hAnsi="Verdana"/>
          <w:sz w:val="20"/>
          <w:szCs w:val="20"/>
        </w:rPr>
        <w:t xml:space="preserve">advirtió que la Sentencia recaída en el presente caso no se pronunció específicamente sobre la indemnización por lucro cesante que debía ser otorgada al señor Patricio Fernando Roche Azaña. En este sentido, solicitó a la Corte que aclarara si el señor Roche Azaña tiene derecho o no a dicha indemnización, en cuyo caso la Corte debería determinar el importe correspondiente. </w:t>
      </w:r>
    </w:p>
    <w:p w14:paraId="5A5ADF76" w14:textId="77777777" w:rsidR="00522A34" w:rsidRDefault="00522A34" w:rsidP="00522A34">
      <w:pPr>
        <w:pStyle w:val="Prrafodelista"/>
        <w:spacing w:after="0" w:line="240" w:lineRule="auto"/>
        <w:ind w:left="0"/>
        <w:jc w:val="both"/>
        <w:rPr>
          <w:rFonts w:ascii="Verdana" w:hAnsi="Verdana"/>
          <w:sz w:val="20"/>
          <w:szCs w:val="20"/>
        </w:rPr>
      </w:pPr>
    </w:p>
    <w:p w14:paraId="6B3B8E8D" w14:textId="009EBBEA" w:rsidR="00522A34" w:rsidRPr="00185E1C" w:rsidRDefault="00522A34" w:rsidP="00522A34">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La </w:t>
      </w:r>
      <w:r w:rsidRPr="00E02941">
        <w:rPr>
          <w:rFonts w:ascii="Verdana" w:hAnsi="Verdana"/>
          <w:b/>
          <w:i/>
          <w:sz w:val="20"/>
          <w:szCs w:val="20"/>
        </w:rPr>
        <w:t>Comisión</w:t>
      </w:r>
      <w:r>
        <w:rPr>
          <w:rFonts w:ascii="Verdana" w:hAnsi="Verdana"/>
          <w:sz w:val="20"/>
          <w:szCs w:val="20"/>
        </w:rPr>
        <w:t xml:space="preserve"> consideró que la Corte debía determinar si en el lucro cesante ordenado en la Sentencia “se encuentra contemplado en relación con las afectaciones sufridas por el señor Patricio Fernando Roche Azaña”. </w:t>
      </w:r>
    </w:p>
    <w:p w14:paraId="66D8AB82" w14:textId="77777777" w:rsidR="00522A34" w:rsidRDefault="00522A34" w:rsidP="00522A34">
      <w:pPr>
        <w:spacing w:after="0" w:line="240" w:lineRule="auto"/>
        <w:jc w:val="both"/>
        <w:rPr>
          <w:rFonts w:ascii="Verdana" w:hAnsi="Verdana"/>
          <w:sz w:val="20"/>
          <w:szCs w:val="20"/>
        </w:rPr>
      </w:pPr>
    </w:p>
    <w:p w14:paraId="213896D6" w14:textId="136A5DE3" w:rsidR="00522A34" w:rsidRPr="00063229" w:rsidRDefault="00522A34" w:rsidP="00522A34">
      <w:pPr>
        <w:pStyle w:val="Prrafodelista"/>
        <w:numPr>
          <w:ilvl w:val="0"/>
          <w:numId w:val="1"/>
        </w:numPr>
        <w:spacing w:after="0" w:line="240" w:lineRule="auto"/>
        <w:ind w:left="0" w:firstLine="0"/>
        <w:jc w:val="both"/>
        <w:rPr>
          <w:rFonts w:ascii="Verdana" w:hAnsi="Verdana"/>
          <w:b/>
          <w:sz w:val="20"/>
          <w:szCs w:val="20"/>
        </w:rPr>
      </w:pPr>
      <w:r w:rsidRPr="00185E1C">
        <w:rPr>
          <w:rFonts w:ascii="Verdana" w:hAnsi="Verdana"/>
          <w:sz w:val="20"/>
          <w:szCs w:val="20"/>
        </w:rPr>
        <w:t xml:space="preserve">El </w:t>
      </w:r>
      <w:r w:rsidRPr="00E02941">
        <w:rPr>
          <w:rFonts w:ascii="Verdana" w:hAnsi="Verdana"/>
          <w:b/>
          <w:sz w:val="20"/>
          <w:szCs w:val="20"/>
        </w:rPr>
        <w:t>Estado</w:t>
      </w:r>
      <w:r>
        <w:rPr>
          <w:rFonts w:ascii="Verdana" w:hAnsi="Verdana"/>
          <w:sz w:val="20"/>
          <w:szCs w:val="20"/>
        </w:rPr>
        <w:t>,</w:t>
      </w:r>
      <w:r w:rsidRPr="00185E1C">
        <w:rPr>
          <w:rFonts w:ascii="Verdana" w:hAnsi="Verdana"/>
          <w:sz w:val="20"/>
          <w:szCs w:val="20"/>
        </w:rPr>
        <w:t xml:space="preserve"> por su parte</w:t>
      </w:r>
      <w:r>
        <w:rPr>
          <w:rFonts w:ascii="Verdana" w:hAnsi="Verdana"/>
          <w:sz w:val="20"/>
          <w:szCs w:val="20"/>
        </w:rPr>
        <w:t xml:space="preserve">, se opuso a la solicitud realizada por el representante, toda vez que lo que el representante pretendía era “reabrir un debate sobradamente discutido y considerado por este Tribunal” acerca de la indemnización por lucro cesante establecida por la Corte. </w:t>
      </w:r>
    </w:p>
    <w:p w14:paraId="12FF45D8" w14:textId="77777777" w:rsidR="00522A34" w:rsidRPr="002033CA" w:rsidRDefault="00522A34" w:rsidP="00522A34">
      <w:pPr>
        <w:pStyle w:val="Prrafodelista"/>
        <w:spacing w:after="0" w:line="240" w:lineRule="auto"/>
        <w:ind w:left="0"/>
        <w:jc w:val="both"/>
        <w:rPr>
          <w:rFonts w:ascii="Verdana" w:hAnsi="Verdana"/>
          <w:sz w:val="20"/>
          <w:szCs w:val="20"/>
        </w:rPr>
      </w:pPr>
    </w:p>
    <w:p w14:paraId="6627287D" w14:textId="77777777" w:rsidR="00522A34" w:rsidRDefault="00522A34" w:rsidP="00522A34">
      <w:pPr>
        <w:pStyle w:val="Prrafodelista"/>
        <w:spacing w:after="0" w:line="240" w:lineRule="auto"/>
        <w:ind w:left="708"/>
        <w:jc w:val="both"/>
        <w:rPr>
          <w:rFonts w:ascii="Verdana" w:hAnsi="Verdana"/>
          <w:i/>
          <w:sz w:val="20"/>
          <w:szCs w:val="20"/>
        </w:rPr>
      </w:pPr>
      <w:r>
        <w:rPr>
          <w:rFonts w:ascii="Verdana" w:hAnsi="Verdana"/>
          <w:i/>
          <w:sz w:val="20"/>
          <w:szCs w:val="20"/>
        </w:rPr>
        <w:tab/>
        <w:t>A.2.b) Consideraciones de la Corte</w:t>
      </w:r>
    </w:p>
    <w:p w14:paraId="07492605" w14:textId="77777777" w:rsidR="00522A34" w:rsidRDefault="00522A34" w:rsidP="00522A34">
      <w:pPr>
        <w:pStyle w:val="Prrafodelista"/>
        <w:spacing w:after="0" w:line="240" w:lineRule="auto"/>
        <w:ind w:left="708"/>
        <w:jc w:val="both"/>
        <w:rPr>
          <w:rFonts w:ascii="Verdana" w:hAnsi="Verdana"/>
          <w:i/>
          <w:sz w:val="20"/>
          <w:szCs w:val="20"/>
        </w:rPr>
      </w:pPr>
    </w:p>
    <w:p w14:paraId="1C4442CB" w14:textId="005D45D5" w:rsidR="00522A34" w:rsidRPr="006A490F" w:rsidRDefault="00522A34" w:rsidP="00522A34">
      <w:pPr>
        <w:pStyle w:val="Prrafodelista"/>
        <w:numPr>
          <w:ilvl w:val="0"/>
          <w:numId w:val="1"/>
        </w:numPr>
        <w:spacing w:after="0" w:line="240" w:lineRule="auto"/>
        <w:ind w:left="0" w:firstLine="0"/>
        <w:jc w:val="both"/>
        <w:rPr>
          <w:rFonts w:ascii="Verdana" w:hAnsi="Verdana"/>
          <w:i/>
          <w:sz w:val="20"/>
          <w:szCs w:val="20"/>
        </w:rPr>
      </w:pPr>
      <w:r>
        <w:rPr>
          <w:rFonts w:ascii="Verdana" w:hAnsi="Verdana"/>
          <w:sz w:val="20"/>
          <w:szCs w:val="20"/>
        </w:rPr>
        <w:t xml:space="preserve">La Corte observa que los párrafos 128 y 129 de la Sentencia disponen con claridad las sumas que deberá abonar el Estado a las víctimas por concepto de daño material. Por un lado, el Tribunal ordenó, en equidad, el pago de </w:t>
      </w:r>
      <w:r w:rsidRPr="00E717CE">
        <w:rPr>
          <w:rFonts w:ascii="Verdana" w:hAnsi="Verdana"/>
          <w:sz w:val="20"/>
          <w:szCs w:val="20"/>
        </w:rPr>
        <w:t>USD$5,000</w:t>
      </w:r>
      <w:r w:rsidR="00305CEA">
        <w:rPr>
          <w:rFonts w:ascii="Verdana" w:hAnsi="Verdana"/>
          <w:sz w:val="20"/>
          <w:szCs w:val="20"/>
        </w:rPr>
        <w:t>.00</w:t>
      </w:r>
      <w:r w:rsidRPr="00E717CE">
        <w:rPr>
          <w:rFonts w:ascii="Verdana" w:hAnsi="Verdana"/>
          <w:sz w:val="20"/>
          <w:szCs w:val="20"/>
        </w:rPr>
        <w:t xml:space="preserve"> (cinco mil dólares de los Estados Unidos de América)</w:t>
      </w:r>
      <w:r>
        <w:rPr>
          <w:rFonts w:ascii="Verdana" w:hAnsi="Verdana"/>
          <w:sz w:val="20"/>
          <w:szCs w:val="20"/>
        </w:rPr>
        <w:t xml:space="preserve"> al señor Patricio Fernando Roche Azaña, a su padre José Fernando Roche </w:t>
      </w:r>
      <w:proofErr w:type="spellStart"/>
      <w:r>
        <w:rPr>
          <w:rFonts w:ascii="Verdana" w:hAnsi="Verdana"/>
          <w:sz w:val="20"/>
          <w:szCs w:val="20"/>
        </w:rPr>
        <w:t>Zhizhingo</w:t>
      </w:r>
      <w:proofErr w:type="spellEnd"/>
      <w:r>
        <w:rPr>
          <w:rFonts w:ascii="Verdana" w:hAnsi="Verdana"/>
          <w:sz w:val="20"/>
          <w:szCs w:val="20"/>
        </w:rPr>
        <w:t xml:space="preserve"> y a su madre María Angelita Azaña Tenesaca, en concepto de daño emergente</w:t>
      </w:r>
      <w:r>
        <w:rPr>
          <w:rStyle w:val="Refdenotaalpie"/>
          <w:rFonts w:ascii="Verdana" w:hAnsi="Verdana"/>
          <w:sz w:val="20"/>
          <w:szCs w:val="20"/>
        </w:rPr>
        <w:footnoteReference w:id="8"/>
      </w:r>
      <w:r>
        <w:rPr>
          <w:rFonts w:ascii="Verdana" w:hAnsi="Verdana"/>
          <w:sz w:val="20"/>
          <w:szCs w:val="20"/>
        </w:rPr>
        <w:t xml:space="preserve">. Por otro lado, el Tribunal ordenó, también en equidad, el pago de </w:t>
      </w:r>
      <w:r w:rsidRPr="00E717CE">
        <w:rPr>
          <w:rFonts w:ascii="Verdana" w:hAnsi="Verdana"/>
          <w:sz w:val="20"/>
          <w:szCs w:val="20"/>
        </w:rPr>
        <w:t>USD$50,000</w:t>
      </w:r>
      <w:r w:rsidR="00305CEA">
        <w:rPr>
          <w:rFonts w:ascii="Verdana" w:hAnsi="Verdana"/>
          <w:sz w:val="20"/>
          <w:szCs w:val="20"/>
        </w:rPr>
        <w:t>.00</w:t>
      </w:r>
      <w:r w:rsidRPr="00E717CE">
        <w:rPr>
          <w:rFonts w:ascii="Verdana" w:hAnsi="Verdana"/>
          <w:sz w:val="20"/>
          <w:szCs w:val="20"/>
        </w:rPr>
        <w:t xml:space="preserve"> (cincuenta mil dólares de los Estados Unidos de América)</w:t>
      </w:r>
      <w:r>
        <w:rPr>
          <w:rFonts w:ascii="Verdana" w:hAnsi="Verdana"/>
          <w:sz w:val="20"/>
          <w:szCs w:val="20"/>
        </w:rPr>
        <w:t xml:space="preserve"> a los padres de los hermanos Roche Azaña en concepto de lucro cesante</w:t>
      </w:r>
      <w:r>
        <w:rPr>
          <w:rStyle w:val="Refdenotaalpie"/>
          <w:rFonts w:ascii="Verdana" w:hAnsi="Verdana"/>
          <w:sz w:val="20"/>
          <w:szCs w:val="20"/>
        </w:rPr>
        <w:footnoteReference w:id="9"/>
      </w:r>
      <w:r>
        <w:rPr>
          <w:rFonts w:ascii="Verdana" w:hAnsi="Verdana"/>
          <w:sz w:val="20"/>
          <w:szCs w:val="20"/>
        </w:rPr>
        <w:t xml:space="preserve">. La Sentencia indica expresamente que dicho monto debe ser entregado por “la muerte de Pedro </w:t>
      </w:r>
      <w:proofErr w:type="spellStart"/>
      <w:r>
        <w:rPr>
          <w:rFonts w:ascii="Verdana" w:hAnsi="Verdana"/>
          <w:sz w:val="20"/>
          <w:szCs w:val="20"/>
        </w:rPr>
        <w:t>Bacilio</w:t>
      </w:r>
      <w:proofErr w:type="spellEnd"/>
      <w:r>
        <w:rPr>
          <w:rFonts w:ascii="Verdana" w:hAnsi="Verdana"/>
          <w:sz w:val="20"/>
          <w:szCs w:val="20"/>
        </w:rPr>
        <w:t xml:space="preserve"> Roche Azaña” y no hace ninguna referencia a ningún otro monto adicional que deba ser entregado a otra víctima por el mismo u otro concepto.</w:t>
      </w:r>
      <w:r w:rsidR="00D42D9E">
        <w:rPr>
          <w:rFonts w:ascii="Verdana" w:hAnsi="Verdana"/>
          <w:sz w:val="20"/>
          <w:szCs w:val="20"/>
        </w:rPr>
        <w:t xml:space="preserve"> </w:t>
      </w:r>
    </w:p>
    <w:p w14:paraId="01C32956" w14:textId="77777777" w:rsidR="00522A34" w:rsidRPr="006A490F" w:rsidRDefault="00522A34" w:rsidP="00522A34">
      <w:pPr>
        <w:pStyle w:val="Prrafodelista"/>
        <w:spacing w:after="0" w:line="240" w:lineRule="auto"/>
        <w:ind w:left="0"/>
        <w:jc w:val="both"/>
        <w:rPr>
          <w:rFonts w:ascii="Verdana" w:hAnsi="Verdana"/>
          <w:i/>
          <w:sz w:val="20"/>
          <w:szCs w:val="20"/>
        </w:rPr>
      </w:pPr>
    </w:p>
    <w:p w14:paraId="37157593" w14:textId="076E2BF7" w:rsidR="00522A34" w:rsidRDefault="00522A34" w:rsidP="00522A34">
      <w:pPr>
        <w:pStyle w:val="Prrafodelista"/>
        <w:numPr>
          <w:ilvl w:val="0"/>
          <w:numId w:val="1"/>
        </w:numPr>
        <w:spacing w:after="0" w:line="240" w:lineRule="auto"/>
        <w:ind w:left="0" w:firstLine="0"/>
        <w:jc w:val="both"/>
        <w:rPr>
          <w:rFonts w:ascii="Verdana" w:hAnsi="Verdana"/>
          <w:i/>
          <w:sz w:val="20"/>
          <w:szCs w:val="20"/>
        </w:rPr>
      </w:pPr>
      <w:r>
        <w:rPr>
          <w:rFonts w:ascii="Verdana" w:hAnsi="Verdana"/>
          <w:sz w:val="20"/>
          <w:szCs w:val="20"/>
        </w:rPr>
        <w:t>A la vista de lo anterior, l</w:t>
      </w:r>
      <w:r w:rsidRPr="006A490F">
        <w:rPr>
          <w:rFonts w:ascii="Verdana" w:hAnsi="Verdana"/>
          <w:sz w:val="20"/>
          <w:szCs w:val="20"/>
        </w:rPr>
        <w:t xml:space="preserve">a Corte estima que la consulta realizada por </w:t>
      </w:r>
      <w:r>
        <w:rPr>
          <w:rFonts w:ascii="Verdana" w:hAnsi="Verdana"/>
          <w:sz w:val="20"/>
          <w:szCs w:val="20"/>
        </w:rPr>
        <w:t>el representante</w:t>
      </w:r>
      <w:r w:rsidRPr="006A490F">
        <w:rPr>
          <w:rFonts w:ascii="Verdana" w:hAnsi="Verdana"/>
          <w:sz w:val="20"/>
          <w:szCs w:val="20"/>
        </w:rPr>
        <w:t xml:space="preserve"> no corresponde a los supuestos de interpretación establecidos en el artículo 67 de la Convención, ya que no versa sobre el sentido o alcance del fallo, sino </w:t>
      </w:r>
      <w:r>
        <w:rPr>
          <w:rFonts w:ascii="Verdana" w:hAnsi="Verdana"/>
          <w:sz w:val="20"/>
          <w:szCs w:val="20"/>
        </w:rPr>
        <w:t>que refleja la voluntad del representante de que se ordene una cuantía adicional en concepto de lucro cesante para otra de las víctimas del presente caso, el señor Patricio Fernando Roche Azaña, cuestión que el Tribunal ya evaluó y consideró en la Sentencia, concluyendo</w:t>
      </w:r>
      <w:r w:rsidR="00AF3AF1">
        <w:rPr>
          <w:rFonts w:ascii="Verdana" w:hAnsi="Verdana"/>
          <w:sz w:val="20"/>
          <w:szCs w:val="20"/>
        </w:rPr>
        <w:t xml:space="preserve"> que únicamente correspondía una indemnización por lucro cesante por la muerte del señor Pedro </w:t>
      </w:r>
      <w:proofErr w:type="spellStart"/>
      <w:r w:rsidR="00AF3AF1">
        <w:rPr>
          <w:rFonts w:ascii="Verdana" w:hAnsi="Verdana"/>
          <w:sz w:val="20"/>
          <w:szCs w:val="20"/>
        </w:rPr>
        <w:t>Bacilio</w:t>
      </w:r>
      <w:proofErr w:type="spellEnd"/>
      <w:r w:rsidR="00AF3AF1">
        <w:rPr>
          <w:rFonts w:ascii="Verdana" w:hAnsi="Verdana"/>
          <w:sz w:val="20"/>
          <w:szCs w:val="20"/>
        </w:rPr>
        <w:t xml:space="preserve"> Roche Azaña</w:t>
      </w:r>
      <w:r w:rsidR="00AF3AF1">
        <w:rPr>
          <w:rStyle w:val="Refdenotaalpie"/>
          <w:rFonts w:ascii="Verdana" w:hAnsi="Verdana"/>
          <w:sz w:val="20"/>
          <w:szCs w:val="20"/>
        </w:rPr>
        <w:footnoteReference w:id="10"/>
      </w:r>
      <w:r>
        <w:rPr>
          <w:rFonts w:ascii="Verdana" w:hAnsi="Verdana"/>
          <w:sz w:val="20"/>
          <w:szCs w:val="20"/>
        </w:rPr>
        <w:t xml:space="preserve">. </w:t>
      </w:r>
      <w:r w:rsidRPr="006A490F">
        <w:rPr>
          <w:rFonts w:ascii="Verdana" w:hAnsi="Verdana"/>
          <w:sz w:val="20"/>
          <w:szCs w:val="20"/>
        </w:rPr>
        <w:t>El Tribunal recuerda</w:t>
      </w:r>
      <w:r>
        <w:rPr>
          <w:rFonts w:ascii="Verdana" w:hAnsi="Verdana"/>
          <w:sz w:val="20"/>
          <w:szCs w:val="20"/>
        </w:rPr>
        <w:t xml:space="preserve">, además, que la solicitud de interpretación de Sentencia </w:t>
      </w:r>
      <w:r w:rsidRPr="006A490F">
        <w:rPr>
          <w:rFonts w:ascii="Verdana" w:hAnsi="Verdana"/>
          <w:sz w:val="20"/>
          <w:szCs w:val="20"/>
        </w:rPr>
        <w:t>no puede tener como objetivo ampliar el alcance de una reparación ordenada oportunamente</w:t>
      </w:r>
      <w:r>
        <w:rPr>
          <w:rStyle w:val="Refdenotaalpie"/>
          <w:rFonts w:ascii="Verdana" w:hAnsi="Verdana"/>
          <w:sz w:val="20"/>
          <w:szCs w:val="20"/>
        </w:rPr>
        <w:footnoteReference w:id="11"/>
      </w:r>
      <w:r w:rsidRPr="006A490F">
        <w:rPr>
          <w:rFonts w:ascii="Verdana" w:hAnsi="Verdana"/>
          <w:sz w:val="20"/>
          <w:szCs w:val="20"/>
        </w:rPr>
        <w:t>.</w:t>
      </w:r>
      <w:r>
        <w:rPr>
          <w:rFonts w:ascii="Verdana" w:hAnsi="Verdana"/>
          <w:i/>
          <w:sz w:val="20"/>
          <w:szCs w:val="20"/>
        </w:rPr>
        <w:t xml:space="preserve"> </w:t>
      </w:r>
    </w:p>
    <w:p w14:paraId="4D4C5E1F" w14:textId="77777777" w:rsidR="00522A34" w:rsidRDefault="00522A34" w:rsidP="00522A34">
      <w:pPr>
        <w:pStyle w:val="Prrafodelista"/>
        <w:spacing w:after="0" w:line="240" w:lineRule="auto"/>
        <w:ind w:left="0"/>
        <w:jc w:val="both"/>
        <w:rPr>
          <w:rFonts w:ascii="Verdana" w:hAnsi="Verdana"/>
          <w:i/>
          <w:sz w:val="20"/>
          <w:szCs w:val="20"/>
        </w:rPr>
      </w:pPr>
    </w:p>
    <w:p w14:paraId="05C3B451" w14:textId="6FBF27A8" w:rsidR="00522A34" w:rsidRPr="006B1039" w:rsidRDefault="00522A34" w:rsidP="00522A34">
      <w:pPr>
        <w:pStyle w:val="Prrafodelista"/>
        <w:numPr>
          <w:ilvl w:val="0"/>
          <w:numId w:val="1"/>
        </w:numPr>
        <w:spacing w:after="0" w:line="240" w:lineRule="auto"/>
        <w:ind w:left="0" w:firstLine="0"/>
        <w:jc w:val="both"/>
        <w:rPr>
          <w:rFonts w:ascii="Verdana" w:hAnsi="Verdana"/>
          <w:i/>
          <w:sz w:val="20"/>
          <w:szCs w:val="20"/>
        </w:rPr>
      </w:pPr>
      <w:r w:rsidRPr="006B1039">
        <w:rPr>
          <w:rFonts w:ascii="Verdana" w:hAnsi="Verdana"/>
          <w:sz w:val="20"/>
          <w:szCs w:val="20"/>
        </w:rPr>
        <w:t xml:space="preserve">En consecuencia, </w:t>
      </w:r>
      <w:r>
        <w:rPr>
          <w:rFonts w:ascii="Verdana" w:hAnsi="Verdana"/>
          <w:sz w:val="20"/>
          <w:szCs w:val="20"/>
        </w:rPr>
        <w:t xml:space="preserve">la Corte considera que la indemnización ordenada por el Tribunal en concepto de lucro cesante es suficientemente clara y precisa y que la solicitud de interpretación del representante es incompatible con el objetivo de </w:t>
      </w:r>
      <w:proofErr w:type="gramStart"/>
      <w:r>
        <w:rPr>
          <w:rFonts w:ascii="Verdana" w:hAnsi="Verdana"/>
          <w:sz w:val="20"/>
          <w:szCs w:val="20"/>
        </w:rPr>
        <w:t>la misma</w:t>
      </w:r>
      <w:proofErr w:type="gramEnd"/>
      <w:r w:rsidR="00110F66">
        <w:rPr>
          <w:rFonts w:ascii="Verdana" w:hAnsi="Verdana"/>
          <w:sz w:val="20"/>
          <w:szCs w:val="20"/>
        </w:rPr>
        <w:t>,</w:t>
      </w:r>
      <w:r>
        <w:rPr>
          <w:rFonts w:ascii="Verdana" w:hAnsi="Verdana"/>
          <w:sz w:val="20"/>
          <w:szCs w:val="20"/>
        </w:rPr>
        <w:t xml:space="preserve"> por cuanto lo que se pretende es una ampliación de </w:t>
      </w:r>
      <w:r w:rsidR="00110F66">
        <w:rPr>
          <w:rFonts w:ascii="Verdana" w:hAnsi="Verdana"/>
          <w:sz w:val="20"/>
          <w:szCs w:val="20"/>
        </w:rPr>
        <w:t>ésta</w:t>
      </w:r>
      <w:r w:rsidR="00B22E3D">
        <w:rPr>
          <w:rFonts w:ascii="Verdana" w:hAnsi="Verdana"/>
          <w:sz w:val="20"/>
          <w:szCs w:val="20"/>
        </w:rPr>
        <w:t>.</w:t>
      </w:r>
      <w:r w:rsidRPr="004D6574">
        <w:t xml:space="preserve"> </w:t>
      </w:r>
      <w:proofErr w:type="gramStart"/>
      <w:r w:rsidRPr="004D6574">
        <w:rPr>
          <w:rFonts w:ascii="Verdana" w:hAnsi="Verdana"/>
          <w:sz w:val="20"/>
          <w:szCs w:val="20"/>
        </w:rPr>
        <w:t>En razón de</w:t>
      </w:r>
      <w:proofErr w:type="gramEnd"/>
      <w:r w:rsidRPr="004D6574">
        <w:rPr>
          <w:rFonts w:ascii="Verdana" w:hAnsi="Verdana"/>
          <w:sz w:val="20"/>
          <w:szCs w:val="20"/>
        </w:rPr>
        <w:t xml:space="preserve"> lo anterior, este Tribunal </w:t>
      </w:r>
      <w:r w:rsidR="00110F66">
        <w:rPr>
          <w:rFonts w:ascii="Verdana" w:hAnsi="Verdana"/>
          <w:sz w:val="20"/>
          <w:szCs w:val="20"/>
        </w:rPr>
        <w:t>concluye</w:t>
      </w:r>
      <w:r w:rsidRPr="004D6574">
        <w:rPr>
          <w:rFonts w:ascii="Verdana" w:hAnsi="Verdana"/>
          <w:sz w:val="20"/>
          <w:szCs w:val="20"/>
        </w:rPr>
        <w:t xml:space="preserve"> que la solicitud </w:t>
      </w:r>
      <w:r>
        <w:rPr>
          <w:rFonts w:ascii="Verdana" w:hAnsi="Verdana"/>
          <w:sz w:val="20"/>
          <w:szCs w:val="20"/>
        </w:rPr>
        <w:t xml:space="preserve">del representante es improcedente en </w:t>
      </w:r>
      <w:r w:rsidRPr="006B1039">
        <w:rPr>
          <w:rFonts w:ascii="Verdana" w:hAnsi="Verdana"/>
          <w:sz w:val="20"/>
          <w:szCs w:val="20"/>
        </w:rPr>
        <w:t>este extremo.</w:t>
      </w:r>
    </w:p>
    <w:p w14:paraId="3FE92DDD" w14:textId="77777777" w:rsidR="00A53C30" w:rsidRPr="00A53C30" w:rsidRDefault="00A53C30" w:rsidP="00A53C30">
      <w:pPr>
        <w:spacing w:after="0" w:line="240" w:lineRule="auto"/>
        <w:jc w:val="both"/>
        <w:rPr>
          <w:rFonts w:ascii="Verdana" w:hAnsi="Verdana"/>
          <w:b/>
          <w:sz w:val="20"/>
          <w:szCs w:val="20"/>
        </w:rPr>
      </w:pPr>
    </w:p>
    <w:p w14:paraId="6F915817" w14:textId="77777777" w:rsidR="00A53C30" w:rsidRDefault="00A2244B" w:rsidP="00522A34">
      <w:pPr>
        <w:pStyle w:val="Prrafodelista"/>
        <w:numPr>
          <w:ilvl w:val="0"/>
          <w:numId w:val="2"/>
        </w:numPr>
        <w:spacing w:after="0" w:line="240" w:lineRule="auto"/>
        <w:ind w:left="426"/>
        <w:jc w:val="both"/>
        <w:rPr>
          <w:rFonts w:ascii="Verdana" w:hAnsi="Verdana"/>
          <w:b/>
          <w:sz w:val="20"/>
          <w:szCs w:val="20"/>
        </w:rPr>
      </w:pPr>
      <w:r>
        <w:rPr>
          <w:rFonts w:ascii="Verdana" w:hAnsi="Verdana"/>
          <w:b/>
          <w:sz w:val="20"/>
          <w:szCs w:val="20"/>
        </w:rPr>
        <w:t xml:space="preserve">Participación de miembros del Ejército en los hechos declarados probados en la Sentencia </w:t>
      </w:r>
    </w:p>
    <w:p w14:paraId="35ED5E45" w14:textId="77777777" w:rsidR="00A9174A" w:rsidRDefault="00A9174A" w:rsidP="00A9174A">
      <w:pPr>
        <w:spacing w:after="0" w:line="240" w:lineRule="auto"/>
        <w:jc w:val="both"/>
        <w:rPr>
          <w:rFonts w:ascii="Verdana" w:hAnsi="Verdana"/>
          <w:sz w:val="20"/>
          <w:szCs w:val="20"/>
        </w:rPr>
      </w:pPr>
    </w:p>
    <w:p w14:paraId="6E4656E7" w14:textId="77777777" w:rsidR="00A9174A" w:rsidRDefault="00A9174A" w:rsidP="00A9174A">
      <w:pPr>
        <w:spacing w:after="0" w:line="240" w:lineRule="auto"/>
        <w:ind w:firstLine="708"/>
        <w:jc w:val="both"/>
        <w:rPr>
          <w:rFonts w:ascii="Verdana" w:hAnsi="Verdana"/>
          <w:i/>
          <w:sz w:val="20"/>
          <w:szCs w:val="20"/>
        </w:rPr>
      </w:pPr>
      <w:r>
        <w:rPr>
          <w:rFonts w:ascii="Verdana" w:hAnsi="Verdana"/>
          <w:i/>
          <w:sz w:val="20"/>
          <w:szCs w:val="20"/>
        </w:rPr>
        <w:t xml:space="preserve">B.1. </w:t>
      </w:r>
      <w:r w:rsidR="00A2244B">
        <w:rPr>
          <w:rFonts w:ascii="Verdana" w:hAnsi="Verdana"/>
          <w:i/>
          <w:sz w:val="20"/>
          <w:szCs w:val="20"/>
        </w:rPr>
        <w:t>Argumentos de las partes y de la Comisión</w:t>
      </w:r>
      <w:r>
        <w:rPr>
          <w:rFonts w:ascii="Verdana" w:hAnsi="Verdana"/>
          <w:i/>
          <w:sz w:val="20"/>
          <w:szCs w:val="20"/>
        </w:rPr>
        <w:t xml:space="preserve"> </w:t>
      </w:r>
    </w:p>
    <w:p w14:paraId="1B80D3F5" w14:textId="77777777" w:rsidR="002033CA" w:rsidRDefault="002033CA" w:rsidP="00A9174A">
      <w:pPr>
        <w:spacing w:after="0" w:line="240" w:lineRule="auto"/>
        <w:ind w:firstLine="708"/>
        <w:jc w:val="both"/>
        <w:rPr>
          <w:rFonts w:ascii="Verdana" w:hAnsi="Verdana"/>
          <w:i/>
          <w:sz w:val="20"/>
          <w:szCs w:val="20"/>
        </w:rPr>
      </w:pPr>
    </w:p>
    <w:p w14:paraId="3850112E" w14:textId="68FC9391" w:rsidR="00170E42" w:rsidRDefault="00B56BD8" w:rsidP="00170E42">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El </w:t>
      </w:r>
      <w:r w:rsidRPr="00D42D9E">
        <w:rPr>
          <w:rFonts w:ascii="Verdana" w:hAnsi="Verdana"/>
          <w:b/>
          <w:i/>
          <w:sz w:val="20"/>
          <w:szCs w:val="20"/>
        </w:rPr>
        <w:t>Estado</w:t>
      </w:r>
      <w:r w:rsidRPr="00E02941">
        <w:rPr>
          <w:rFonts w:ascii="Verdana" w:hAnsi="Verdana"/>
          <w:b/>
          <w:i/>
          <w:sz w:val="20"/>
          <w:szCs w:val="20"/>
        </w:rPr>
        <w:t xml:space="preserve"> </w:t>
      </w:r>
      <w:r w:rsidR="00DB6BFC" w:rsidRPr="00DB6BFC">
        <w:rPr>
          <w:rFonts w:ascii="Verdana" w:hAnsi="Verdana"/>
          <w:sz w:val="20"/>
          <w:szCs w:val="20"/>
        </w:rPr>
        <w:t>solicitó</w:t>
      </w:r>
      <w:r w:rsidR="00DB6BFC">
        <w:rPr>
          <w:rFonts w:ascii="Verdana" w:hAnsi="Verdana"/>
          <w:b/>
          <w:i/>
          <w:sz w:val="20"/>
          <w:szCs w:val="20"/>
        </w:rPr>
        <w:t xml:space="preserve"> </w:t>
      </w:r>
      <w:r w:rsidR="00DB6BFC">
        <w:rPr>
          <w:rFonts w:ascii="Verdana" w:hAnsi="Verdana"/>
          <w:sz w:val="20"/>
          <w:szCs w:val="20"/>
        </w:rPr>
        <w:t xml:space="preserve">que la Corte delimitara el sentido y alcance de lo determinado por el Tribunal en los párrafos 51, 57 y 65 de la Sentencia, así como en el punto resolutivo octavo de la misma. En particular, el Estado alegó que la Corte dio por probada la participación de personal militar </w:t>
      </w:r>
      <w:r w:rsidR="00FE70DC">
        <w:rPr>
          <w:rFonts w:ascii="Verdana" w:hAnsi="Verdana"/>
          <w:sz w:val="20"/>
          <w:szCs w:val="20"/>
        </w:rPr>
        <w:t xml:space="preserve">en servicio activo del Ejército de Nicaragua </w:t>
      </w:r>
      <w:r w:rsidR="00DB6BFC">
        <w:rPr>
          <w:rFonts w:ascii="Verdana" w:hAnsi="Verdana"/>
          <w:sz w:val="20"/>
          <w:szCs w:val="20"/>
        </w:rPr>
        <w:t xml:space="preserve">en los hechos que tuvieron como resultado la muerte del señor Pedro </w:t>
      </w:r>
      <w:proofErr w:type="spellStart"/>
      <w:r w:rsidR="00DB6BFC">
        <w:rPr>
          <w:rFonts w:ascii="Verdana" w:hAnsi="Verdana"/>
          <w:sz w:val="20"/>
          <w:szCs w:val="20"/>
        </w:rPr>
        <w:t>Bacilio</w:t>
      </w:r>
      <w:proofErr w:type="spellEnd"/>
      <w:r w:rsidR="00DB6BFC">
        <w:rPr>
          <w:rFonts w:ascii="Verdana" w:hAnsi="Verdana"/>
          <w:sz w:val="20"/>
          <w:szCs w:val="20"/>
        </w:rPr>
        <w:t xml:space="preserve"> Roche Azaña y las heridas causadas a su hermano </w:t>
      </w:r>
      <w:r w:rsidR="00FE70DC">
        <w:rPr>
          <w:rFonts w:ascii="Verdana" w:hAnsi="Verdana"/>
          <w:sz w:val="20"/>
          <w:szCs w:val="20"/>
        </w:rPr>
        <w:t>Patricio</w:t>
      </w:r>
      <w:r w:rsidR="00DB6BFC">
        <w:rPr>
          <w:rFonts w:ascii="Verdana" w:hAnsi="Verdana"/>
          <w:sz w:val="20"/>
          <w:szCs w:val="20"/>
        </w:rPr>
        <w:t xml:space="preserve"> </w:t>
      </w:r>
      <w:r w:rsidR="00DB6BFC">
        <w:rPr>
          <w:rFonts w:ascii="Verdana" w:hAnsi="Verdana"/>
          <w:sz w:val="20"/>
          <w:szCs w:val="20"/>
        </w:rPr>
        <w:lastRenderedPageBreak/>
        <w:t>Fernando</w:t>
      </w:r>
      <w:r w:rsidR="00FE70DC">
        <w:rPr>
          <w:rFonts w:ascii="Verdana" w:hAnsi="Verdana"/>
          <w:sz w:val="20"/>
          <w:szCs w:val="20"/>
        </w:rPr>
        <w:t>. Según el Estado, ni la Comisión ni el representante alegaron que en el operativo establecido intervinieran militares en servicio activo del Ejército</w:t>
      </w:r>
      <w:r w:rsidR="004A2146">
        <w:rPr>
          <w:rFonts w:ascii="Verdana" w:hAnsi="Verdana"/>
          <w:sz w:val="20"/>
          <w:szCs w:val="20"/>
        </w:rPr>
        <w:t>.</w:t>
      </w:r>
      <w:r w:rsidR="00FE70DC">
        <w:rPr>
          <w:rFonts w:ascii="Verdana" w:hAnsi="Verdana"/>
          <w:sz w:val="20"/>
          <w:szCs w:val="20"/>
        </w:rPr>
        <w:t xml:space="preserve"> Añadió que la Convención no faculta a la Corte a </w:t>
      </w:r>
      <w:r w:rsidR="00FE70DC" w:rsidRPr="008002A7">
        <w:rPr>
          <w:rFonts w:ascii="Verdana" w:hAnsi="Verdana"/>
          <w:sz w:val="20"/>
          <w:szCs w:val="20"/>
        </w:rPr>
        <w:t>“</w:t>
      </w:r>
      <w:r w:rsidR="008002A7" w:rsidRPr="008002A7">
        <w:rPr>
          <w:rFonts w:ascii="Verdana" w:hAnsi="Verdana"/>
          <w:sz w:val="20"/>
          <w:szCs w:val="20"/>
        </w:rPr>
        <w:t>variar</w:t>
      </w:r>
      <w:r w:rsidR="008002A7">
        <w:rPr>
          <w:rFonts w:ascii="Verdana" w:hAnsi="Verdana"/>
          <w:sz w:val="20"/>
          <w:szCs w:val="20"/>
        </w:rPr>
        <w:t xml:space="preserve"> </w:t>
      </w:r>
      <w:r w:rsidR="00FE70DC">
        <w:rPr>
          <w:rFonts w:ascii="Verdana" w:hAnsi="Verdana"/>
          <w:sz w:val="20"/>
          <w:szCs w:val="20"/>
        </w:rPr>
        <w:t>la base fáctica en los términos que fueron demandados por la [Comisión] y el representante de la[s] víctima[s]</w:t>
      </w:r>
      <w:r w:rsidR="00CC22B5">
        <w:rPr>
          <w:rFonts w:ascii="Verdana" w:hAnsi="Verdana"/>
          <w:sz w:val="20"/>
          <w:szCs w:val="20"/>
        </w:rPr>
        <w:t>”</w:t>
      </w:r>
      <w:r w:rsidR="00FE70DC">
        <w:rPr>
          <w:rFonts w:ascii="Verdana" w:hAnsi="Verdana"/>
          <w:sz w:val="20"/>
          <w:szCs w:val="20"/>
        </w:rPr>
        <w:t xml:space="preserve">. </w:t>
      </w:r>
      <w:r w:rsidR="00FE70DC" w:rsidRPr="00FE70DC">
        <w:rPr>
          <w:rFonts w:ascii="Verdana" w:hAnsi="Verdana"/>
          <w:sz w:val="20"/>
          <w:szCs w:val="20"/>
        </w:rPr>
        <w:t>El Estado arguyó</w:t>
      </w:r>
      <w:r w:rsidR="00FE70DC">
        <w:rPr>
          <w:rFonts w:ascii="Verdana" w:hAnsi="Verdana"/>
          <w:b/>
          <w:sz w:val="20"/>
          <w:szCs w:val="20"/>
        </w:rPr>
        <w:t xml:space="preserve"> </w:t>
      </w:r>
      <w:r w:rsidR="00FE70DC">
        <w:rPr>
          <w:rFonts w:ascii="Verdana" w:hAnsi="Verdana"/>
          <w:sz w:val="20"/>
          <w:szCs w:val="20"/>
        </w:rPr>
        <w:t xml:space="preserve">que, </w:t>
      </w:r>
      <w:proofErr w:type="gramStart"/>
      <w:r w:rsidR="00FE70DC">
        <w:rPr>
          <w:rFonts w:ascii="Verdana" w:hAnsi="Verdana"/>
          <w:sz w:val="20"/>
          <w:szCs w:val="20"/>
        </w:rPr>
        <w:t>de acuerdo a</w:t>
      </w:r>
      <w:proofErr w:type="gramEnd"/>
      <w:r w:rsidR="00FE70DC">
        <w:rPr>
          <w:rFonts w:ascii="Verdana" w:hAnsi="Verdana"/>
          <w:sz w:val="20"/>
          <w:szCs w:val="20"/>
        </w:rPr>
        <w:t xml:space="preserve"> la “idiosincrasia lingüística nicaragüense y a [su] historia”, la expresión “militar” que figuraba en </w:t>
      </w:r>
      <w:r w:rsidR="00170E42">
        <w:rPr>
          <w:rFonts w:ascii="Verdana" w:hAnsi="Verdana"/>
          <w:sz w:val="20"/>
          <w:szCs w:val="20"/>
        </w:rPr>
        <w:t>el expediente obrante ante la Corte y, en particular, en la</w:t>
      </w:r>
      <w:r w:rsidR="00713644">
        <w:rPr>
          <w:rFonts w:ascii="Verdana" w:hAnsi="Verdana"/>
          <w:sz w:val="20"/>
          <w:szCs w:val="20"/>
        </w:rPr>
        <w:t xml:space="preserve"> denuncia de 18 de abril de 1996</w:t>
      </w:r>
      <w:r w:rsidR="00713644">
        <w:rPr>
          <w:rStyle w:val="Refdenotaalpie"/>
          <w:rFonts w:ascii="Verdana" w:hAnsi="Verdana"/>
          <w:sz w:val="20"/>
          <w:szCs w:val="20"/>
        </w:rPr>
        <w:footnoteReference w:id="12"/>
      </w:r>
      <w:r w:rsidR="00713644">
        <w:rPr>
          <w:rFonts w:ascii="Verdana" w:hAnsi="Verdana"/>
          <w:sz w:val="20"/>
          <w:szCs w:val="20"/>
        </w:rPr>
        <w:t xml:space="preserve"> y el </w:t>
      </w:r>
      <w:r w:rsidR="00FE70DC" w:rsidRPr="00FE70DC">
        <w:rPr>
          <w:rFonts w:ascii="Verdana" w:hAnsi="Verdana"/>
          <w:sz w:val="20"/>
          <w:szCs w:val="20"/>
        </w:rPr>
        <w:t>Auto de segura y formal prisión</w:t>
      </w:r>
      <w:r w:rsidR="00FE70DC">
        <w:rPr>
          <w:rFonts w:ascii="Verdana" w:hAnsi="Verdana"/>
          <w:sz w:val="20"/>
          <w:szCs w:val="20"/>
        </w:rPr>
        <w:t xml:space="preserve"> de 6 de mayo de 1996</w:t>
      </w:r>
      <w:r w:rsidR="00FE70DC">
        <w:rPr>
          <w:rStyle w:val="Refdenotaalpie"/>
          <w:rFonts w:ascii="Verdana" w:hAnsi="Verdana"/>
          <w:sz w:val="20"/>
          <w:szCs w:val="20"/>
        </w:rPr>
        <w:footnoteReference w:id="13"/>
      </w:r>
      <w:r w:rsidR="00170E42">
        <w:rPr>
          <w:rFonts w:ascii="Verdana" w:hAnsi="Verdana"/>
          <w:sz w:val="20"/>
          <w:szCs w:val="20"/>
        </w:rPr>
        <w:t xml:space="preserve"> hace ilusión, indistintamente, a miembros de la Policía Nacional o del Ejército de Nicaragua. Añadió que el hecho de que en los referidos documentos se hicieran referencia al vocablo “militar” se debió a un “</w:t>
      </w:r>
      <w:r w:rsidR="00170E42" w:rsidRPr="00170E42">
        <w:rPr>
          <w:rFonts w:ascii="Verdana" w:hAnsi="Verdana"/>
          <w:i/>
          <w:sz w:val="20"/>
          <w:szCs w:val="20"/>
        </w:rPr>
        <w:t>lapsus linguae</w:t>
      </w:r>
      <w:r w:rsidR="00170E42">
        <w:rPr>
          <w:rFonts w:ascii="Verdana" w:hAnsi="Verdana"/>
          <w:sz w:val="20"/>
          <w:szCs w:val="20"/>
        </w:rPr>
        <w:t>”, ya que en el contexto de los hechos declarado probados en la p</w:t>
      </w:r>
      <w:r w:rsidR="00CC22B5">
        <w:rPr>
          <w:rFonts w:ascii="Verdana" w:hAnsi="Verdana"/>
          <w:sz w:val="20"/>
          <w:szCs w:val="20"/>
        </w:rPr>
        <w:t xml:space="preserve">resente Sentencia </w:t>
      </w:r>
      <w:r w:rsidR="00170E42">
        <w:rPr>
          <w:rFonts w:ascii="Verdana" w:hAnsi="Verdana"/>
          <w:sz w:val="20"/>
          <w:szCs w:val="20"/>
        </w:rPr>
        <w:t>se “infiere” que la expresión “militar” fue empleada “para hacer alusión a los miembros de la Policía Nacional que intervinieron en el operativo policial”.</w:t>
      </w:r>
      <w:r w:rsidR="00D42D9E">
        <w:rPr>
          <w:rFonts w:ascii="Verdana" w:hAnsi="Verdana"/>
          <w:sz w:val="20"/>
          <w:szCs w:val="20"/>
        </w:rPr>
        <w:t xml:space="preserve"> </w:t>
      </w:r>
    </w:p>
    <w:p w14:paraId="72AFEDDF" w14:textId="77777777" w:rsidR="00170E42" w:rsidRDefault="00170E42" w:rsidP="00170E42">
      <w:pPr>
        <w:pStyle w:val="Prrafodelista"/>
        <w:spacing w:after="0" w:line="240" w:lineRule="auto"/>
        <w:ind w:left="0"/>
        <w:jc w:val="both"/>
        <w:rPr>
          <w:rFonts w:ascii="Verdana" w:hAnsi="Verdana"/>
          <w:sz w:val="20"/>
          <w:szCs w:val="20"/>
        </w:rPr>
      </w:pPr>
    </w:p>
    <w:p w14:paraId="62456DE2" w14:textId="7C014CFB" w:rsidR="00170E42" w:rsidRPr="00170E42" w:rsidRDefault="00170E42" w:rsidP="00170E42">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A la vista de lo anterior, el Estado solicitó a la Corte que se precisara el sentido y alcance de lo dispuesto en el punto resolutivo octavo y los párrafos 51, 57 y 65 de la Sentencia, con el objetivo de esclarecer “el señalamiento infundado” sobre la participación de miembros del Ejército en el operativo que dio como resultado la muerte y lesiones causadas a las víctimas de este caso.</w:t>
      </w:r>
      <w:r w:rsidR="00DC6C13">
        <w:rPr>
          <w:rFonts w:ascii="Verdana" w:hAnsi="Verdana"/>
          <w:sz w:val="20"/>
          <w:szCs w:val="20"/>
        </w:rPr>
        <w:t xml:space="preserve"> </w:t>
      </w:r>
      <w:r w:rsidR="00714A27">
        <w:rPr>
          <w:rFonts w:ascii="Verdana" w:hAnsi="Verdana"/>
          <w:sz w:val="20"/>
          <w:szCs w:val="20"/>
        </w:rPr>
        <w:t>Adicionalmente</w:t>
      </w:r>
      <w:r w:rsidR="00A95CF0" w:rsidRPr="00A95CF0">
        <w:rPr>
          <w:rFonts w:ascii="Verdana" w:hAnsi="Verdana"/>
          <w:sz w:val="20"/>
          <w:szCs w:val="20"/>
        </w:rPr>
        <w:t xml:space="preserve">, en el petitorio de su solicitud de interpretación, </w:t>
      </w:r>
      <w:r w:rsidR="00714A27">
        <w:rPr>
          <w:rFonts w:ascii="Verdana" w:hAnsi="Verdana"/>
          <w:sz w:val="20"/>
          <w:szCs w:val="20"/>
        </w:rPr>
        <w:t xml:space="preserve">el Estado </w:t>
      </w:r>
      <w:r w:rsidR="00A95CF0" w:rsidRPr="00A95CF0">
        <w:rPr>
          <w:rFonts w:ascii="Verdana" w:hAnsi="Verdana"/>
          <w:sz w:val="20"/>
          <w:szCs w:val="20"/>
        </w:rPr>
        <w:t>solicitó que el Tribunal suprimiera la mención de militares activos del Ejército de Nicaragua en los párrafos 51, 57 y 65 de la Sentencia, así como en el punto resolutivo octavo.</w:t>
      </w:r>
      <w:r w:rsidR="00A95CF0">
        <w:rPr>
          <w:rFonts w:ascii="Verdana" w:hAnsi="Verdana"/>
          <w:b/>
          <w:sz w:val="20"/>
          <w:szCs w:val="20"/>
        </w:rPr>
        <w:t xml:space="preserve"> </w:t>
      </w:r>
    </w:p>
    <w:p w14:paraId="1C956A45" w14:textId="77777777" w:rsidR="00B56BD8" w:rsidRDefault="00B56BD8" w:rsidP="00B56BD8">
      <w:pPr>
        <w:pStyle w:val="Prrafodelista"/>
        <w:spacing w:after="0" w:line="240" w:lineRule="auto"/>
        <w:ind w:left="0"/>
        <w:jc w:val="both"/>
        <w:rPr>
          <w:rFonts w:ascii="Verdana" w:hAnsi="Verdana"/>
          <w:sz w:val="20"/>
          <w:szCs w:val="20"/>
        </w:rPr>
      </w:pPr>
    </w:p>
    <w:p w14:paraId="2B1A9383" w14:textId="7E10210A" w:rsidR="00B56BD8" w:rsidRPr="00185E1C" w:rsidRDefault="00B56BD8" w:rsidP="00B56BD8">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La </w:t>
      </w:r>
      <w:r w:rsidRPr="00E02941">
        <w:rPr>
          <w:rFonts w:ascii="Verdana" w:hAnsi="Verdana"/>
          <w:b/>
          <w:i/>
          <w:sz w:val="20"/>
          <w:szCs w:val="20"/>
        </w:rPr>
        <w:t>Comisión</w:t>
      </w:r>
      <w:r>
        <w:rPr>
          <w:rFonts w:ascii="Verdana" w:hAnsi="Verdana"/>
          <w:sz w:val="20"/>
          <w:szCs w:val="20"/>
        </w:rPr>
        <w:t xml:space="preserve"> consideró que </w:t>
      </w:r>
      <w:r w:rsidR="000F4D31">
        <w:rPr>
          <w:rFonts w:ascii="Verdana" w:hAnsi="Verdana"/>
          <w:sz w:val="20"/>
          <w:szCs w:val="20"/>
        </w:rPr>
        <w:t xml:space="preserve">en el presente caso la Corte determinó, con base en la prueba obrante en el expediente, que al menos un militar participó en los hechos que dieron lugar a la muerte del señor Pedro </w:t>
      </w:r>
      <w:proofErr w:type="spellStart"/>
      <w:r w:rsidR="000F4D31">
        <w:rPr>
          <w:rFonts w:ascii="Verdana" w:hAnsi="Verdana"/>
          <w:sz w:val="20"/>
          <w:szCs w:val="20"/>
        </w:rPr>
        <w:t>Bacilio</w:t>
      </w:r>
      <w:proofErr w:type="spellEnd"/>
      <w:r w:rsidR="000F4D31">
        <w:rPr>
          <w:rFonts w:ascii="Verdana" w:hAnsi="Verdana"/>
          <w:sz w:val="20"/>
          <w:szCs w:val="20"/>
        </w:rPr>
        <w:t xml:space="preserve"> Roche Azaña y a las heridas causadas a su hermano Patricio Fernando, así como a </w:t>
      </w:r>
      <w:r w:rsidR="009079D8">
        <w:rPr>
          <w:rFonts w:ascii="Verdana" w:hAnsi="Verdana"/>
          <w:sz w:val="20"/>
          <w:szCs w:val="20"/>
        </w:rPr>
        <w:t>cinco</w:t>
      </w:r>
      <w:r w:rsidR="000F4D31">
        <w:rPr>
          <w:rFonts w:ascii="Verdana" w:hAnsi="Verdana"/>
          <w:sz w:val="20"/>
          <w:szCs w:val="20"/>
        </w:rPr>
        <w:t xml:space="preserve"> personas más. </w:t>
      </w:r>
      <w:r w:rsidR="00D42D9E">
        <w:rPr>
          <w:rFonts w:ascii="Verdana" w:hAnsi="Verdana"/>
          <w:sz w:val="20"/>
          <w:szCs w:val="20"/>
        </w:rPr>
        <w:t>Asimismo,</w:t>
      </w:r>
      <w:r w:rsidR="000F4D31">
        <w:rPr>
          <w:rFonts w:ascii="Verdana" w:hAnsi="Verdana"/>
          <w:sz w:val="20"/>
          <w:szCs w:val="20"/>
        </w:rPr>
        <w:t xml:space="preserve"> recordó lo señalado por la Corte respecto a que “una solicitud de interpretación de sentencia no puede utilizarse como medio de impugnación de la decisión cuya interpretación se requiere”. A la vista de lo anterior, la Comisión consideró que la solicitud presentada por el Estado </w:t>
      </w:r>
      <w:r w:rsidR="00783ECF">
        <w:rPr>
          <w:rFonts w:ascii="Verdana" w:hAnsi="Verdana"/>
          <w:sz w:val="20"/>
          <w:szCs w:val="20"/>
        </w:rPr>
        <w:t>excede</w:t>
      </w:r>
      <w:r w:rsidR="000F4D31">
        <w:rPr>
          <w:rFonts w:ascii="Verdana" w:hAnsi="Verdana"/>
          <w:sz w:val="20"/>
          <w:szCs w:val="20"/>
        </w:rPr>
        <w:t xml:space="preserve"> el objeto de la facultad interpretativa de la Corte y, por tanto, la misma resultaba improcedente.</w:t>
      </w:r>
      <w:r w:rsidR="00D42D9E">
        <w:rPr>
          <w:rFonts w:ascii="Verdana" w:hAnsi="Verdana"/>
          <w:sz w:val="20"/>
          <w:szCs w:val="20"/>
        </w:rPr>
        <w:t xml:space="preserve"> </w:t>
      </w:r>
    </w:p>
    <w:p w14:paraId="3599D624" w14:textId="77777777" w:rsidR="00B56BD8" w:rsidRDefault="00C92D55" w:rsidP="00C92D55">
      <w:pPr>
        <w:tabs>
          <w:tab w:val="left" w:pos="1323"/>
        </w:tabs>
        <w:spacing w:after="0" w:line="240" w:lineRule="auto"/>
        <w:jc w:val="both"/>
        <w:rPr>
          <w:rFonts w:ascii="Verdana" w:hAnsi="Verdana"/>
          <w:sz w:val="20"/>
          <w:szCs w:val="20"/>
        </w:rPr>
      </w:pPr>
      <w:r>
        <w:rPr>
          <w:rFonts w:ascii="Verdana" w:hAnsi="Verdana"/>
          <w:sz w:val="20"/>
          <w:szCs w:val="20"/>
        </w:rPr>
        <w:tab/>
      </w:r>
    </w:p>
    <w:p w14:paraId="69B8FCD7" w14:textId="77777777" w:rsidR="00A2244B" w:rsidRDefault="00A2244B" w:rsidP="00A2244B">
      <w:pPr>
        <w:spacing w:after="0" w:line="240" w:lineRule="auto"/>
        <w:ind w:firstLine="708"/>
        <w:jc w:val="both"/>
        <w:rPr>
          <w:rFonts w:ascii="Verdana" w:hAnsi="Verdana"/>
          <w:i/>
          <w:sz w:val="20"/>
          <w:szCs w:val="20"/>
        </w:rPr>
      </w:pPr>
      <w:r>
        <w:rPr>
          <w:rFonts w:ascii="Verdana" w:hAnsi="Verdana"/>
          <w:i/>
          <w:sz w:val="20"/>
          <w:szCs w:val="20"/>
        </w:rPr>
        <w:t xml:space="preserve">B.2. Consideraciones de la Corte </w:t>
      </w:r>
    </w:p>
    <w:p w14:paraId="78C8B52B" w14:textId="77777777" w:rsidR="008A2975" w:rsidRPr="008A2975" w:rsidRDefault="008A2975" w:rsidP="008A2975">
      <w:pPr>
        <w:pStyle w:val="Prrafodelista"/>
        <w:rPr>
          <w:rFonts w:ascii="Verdana" w:hAnsi="Verdana"/>
          <w:sz w:val="20"/>
          <w:szCs w:val="20"/>
        </w:rPr>
      </w:pPr>
    </w:p>
    <w:p w14:paraId="46DB367F" w14:textId="46DCB892" w:rsidR="00710618" w:rsidRDefault="00710618" w:rsidP="00BE4C99">
      <w:pPr>
        <w:pStyle w:val="Prrafodelista"/>
        <w:numPr>
          <w:ilvl w:val="0"/>
          <w:numId w:val="1"/>
        </w:numPr>
        <w:spacing w:after="0" w:line="240" w:lineRule="auto"/>
        <w:ind w:left="0" w:firstLine="0"/>
        <w:jc w:val="both"/>
        <w:rPr>
          <w:rFonts w:ascii="Verdana" w:hAnsi="Verdana"/>
          <w:sz w:val="20"/>
          <w:szCs w:val="20"/>
        </w:rPr>
      </w:pPr>
      <w:r>
        <w:rPr>
          <w:rFonts w:ascii="Verdana" w:hAnsi="Verdana"/>
          <w:sz w:val="20"/>
          <w:szCs w:val="20"/>
        </w:rPr>
        <w:t>La Corte estima que la consulta realizada por el Estado no corresponde a los supuestos de interpretación establecidos en el artículo 67 de</w:t>
      </w:r>
      <w:r w:rsidR="00783ECF">
        <w:rPr>
          <w:rFonts w:ascii="Verdana" w:hAnsi="Verdana"/>
          <w:sz w:val="20"/>
          <w:szCs w:val="20"/>
        </w:rPr>
        <w:t xml:space="preserve"> la Convención, ya que no versa</w:t>
      </w:r>
      <w:r>
        <w:rPr>
          <w:rFonts w:ascii="Verdana" w:hAnsi="Verdana"/>
          <w:sz w:val="20"/>
          <w:szCs w:val="20"/>
        </w:rPr>
        <w:t xml:space="preserve"> sobre el sentido o alcance del fallo, sino sobre </w:t>
      </w:r>
      <w:r w:rsidR="00010071">
        <w:rPr>
          <w:rFonts w:ascii="Verdana" w:hAnsi="Verdana"/>
          <w:sz w:val="20"/>
          <w:szCs w:val="20"/>
        </w:rPr>
        <w:t xml:space="preserve">un nuevo análisis de la prueba con base </w:t>
      </w:r>
      <w:r w:rsidR="004165B9" w:rsidRPr="00D42D9E">
        <w:rPr>
          <w:rFonts w:ascii="Verdana" w:hAnsi="Verdana"/>
          <w:sz w:val="20"/>
          <w:szCs w:val="20"/>
        </w:rPr>
        <w:t>en</w:t>
      </w:r>
      <w:r w:rsidR="00010071">
        <w:rPr>
          <w:rFonts w:ascii="Verdana" w:hAnsi="Verdana"/>
          <w:sz w:val="20"/>
          <w:szCs w:val="20"/>
        </w:rPr>
        <w:t xml:space="preserve"> nuevos alegatos esgrimidos por el Estado en este trámite procesal</w:t>
      </w:r>
      <w:r>
        <w:rPr>
          <w:rFonts w:ascii="Verdana" w:hAnsi="Verdana"/>
          <w:sz w:val="20"/>
          <w:szCs w:val="20"/>
        </w:rPr>
        <w:t xml:space="preserve">. </w:t>
      </w:r>
      <w:r w:rsidR="00110F66">
        <w:rPr>
          <w:rFonts w:ascii="Verdana" w:hAnsi="Verdana"/>
          <w:sz w:val="20"/>
          <w:szCs w:val="20"/>
        </w:rPr>
        <w:t>En efecto,</w:t>
      </w:r>
      <w:r w:rsidR="00145B65">
        <w:rPr>
          <w:rFonts w:ascii="Verdana" w:hAnsi="Verdana"/>
          <w:sz w:val="20"/>
          <w:szCs w:val="20"/>
        </w:rPr>
        <w:t xml:space="preserve"> el Tribunal determinó en</w:t>
      </w:r>
      <w:r w:rsidR="00110F66">
        <w:rPr>
          <w:rFonts w:ascii="Verdana" w:hAnsi="Verdana"/>
          <w:sz w:val="20"/>
          <w:szCs w:val="20"/>
        </w:rPr>
        <w:t xml:space="preserve"> los párrafos 31, 51, 57 y 65 de la Sentencia </w:t>
      </w:r>
      <w:r w:rsidR="00145B65">
        <w:rPr>
          <w:rFonts w:ascii="Verdana" w:hAnsi="Verdana"/>
          <w:sz w:val="20"/>
          <w:szCs w:val="20"/>
        </w:rPr>
        <w:t>que</w:t>
      </w:r>
      <w:r w:rsidR="00F96DF4">
        <w:rPr>
          <w:rFonts w:ascii="Verdana" w:hAnsi="Verdana"/>
          <w:sz w:val="20"/>
          <w:szCs w:val="20"/>
        </w:rPr>
        <w:t>,</w:t>
      </w:r>
      <w:r w:rsidR="00110F66">
        <w:rPr>
          <w:rFonts w:ascii="Verdana" w:hAnsi="Verdana"/>
          <w:sz w:val="20"/>
          <w:szCs w:val="20"/>
        </w:rPr>
        <w:t xml:space="preserve"> al menos</w:t>
      </w:r>
      <w:r w:rsidR="00831CAC">
        <w:rPr>
          <w:rFonts w:ascii="Verdana" w:hAnsi="Verdana"/>
          <w:sz w:val="20"/>
          <w:szCs w:val="20"/>
        </w:rPr>
        <w:t>,</w:t>
      </w:r>
      <w:r w:rsidR="00110F66">
        <w:rPr>
          <w:rFonts w:ascii="Verdana" w:hAnsi="Verdana"/>
          <w:sz w:val="20"/>
          <w:szCs w:val="20"/>
        </w:rPr>
        <w:t xml:space="preserve"> un militar</w:t>
      </w:r>
      <w:r w:rsidR="00145B65">
        <w:rPr>
          <w:rFonts w:ascii="Verdana" w:hAnsi="Verdana"/>
          <w:sz w:val="20"/>
          <w:szCs w:val="20"/>
        </w:rPr>
        <w:t xml:space="preserve"> participó en los hechos que dieron como resultado la muerte del señor Pedro </w:t>
      </w:r>
      <w:proofErr w:type="spellStart"/>
      <w:r w:rsidR="00145B65">
        <w:rPr>
          <w:rFonts w:ascii="Verdana" w:hAnsi="Verdana"/>
          <w:sz w:val="20"/>
          <w:szCs w:val="20"/>
        </w:rPr>
        <w:t>Bacilio</w:t>
      </w:r>
      <w:proofErr w:type="spellEnd"/>
      <w:r w:rsidR="00145B65">
        <w:rPr>
          <w:rFonts w:ascii="Verdana" w:hAnsi="Verdana"/>
          <w:sz w:val="20"/>
          <w:szCs w:val="20"/>
        </w:rPr>
        <w:t xml:space="preserve"> Roche Azaña y las lesiones causadas a su hermano Patricio Fernando. Lo anterior </w:t>
      </w:r>
      <w:r w:rsidR="00110F66">
        <w:rPr>
          <w:rFonts w:ascii="Verdana" w:hAnsi="Verdana"/>
          <w:sz w:val="20"/>
          <w:szCs w:val="20"/>
        </w:rPr>
        <w:t xml:space="preserve">es </w:t>
      </w:r>
      <w:r w:rsidR="00145B65">
        <w:rPr>
          <w:rFonts w:ascii="Verdana" w:hAnsi="Verdana"/>
          <w:sz w:val="20"/>
          <w:szCs w:val="20"/>
        </w:rPr>
        <w:t xml:space="preserve">el </w:t>
      </w:r>
      <w:r w:rsidR="00110F66">
        <w:rPr>
          <w:rFonts w:ascii="Verdana" w:hAnsi="Verdana"/>
          <w:sz w:val="20"/>
          <w:szCs w:val="20"/>
        </w:rPr>
        <w:t xml:space="preserve">resultado de la valoración de la prueba </w:t>
      </w:r>
      <w:r w:rsidR="00145B65">
        <w:rPr>
          <w:rFonts w:ascii="Verdana" w:hAnsi="Verdana"/>
          <w:sz w:val="20"/>
          <w:szCs w:val="20"/>
        </w:rPr>
        <w:t>realizada por el Tribunal sobre</w:t>
      </w:r>
      <w:r w:rsidR="00110F66">
        <w:rPr>
          <w:rFonts w:ascii="Verdana" w:hAnsi="Verdana"/>
          <w:sz w:val="20"/>
          <w:szCs w:val="20"/>
        </w:rPr>
        <w:t xml:space="preserve"> el acervo probatorio</w:t>
      </w:r>
      <w:r w:rsidR="00145B65">
        <w:rPr>
          <w:rFonts w:ascii="Verdana" w:hAnsi="Verdana"/>
          <w:sz w:val="20"/>
          <w:szCs w:val="20"/>
        </w:rPr>
        <w:t xml:space="preserve"> que obra en el presente caso </w:t>
      </w:r>
      <w:r w:rsidR="00BE4C99">
        <w:rPr>
          <w:rFonts w:ascii="Verdana" w:hAnsi="Verdana"/>
          <w:sz w:val="20"/>
          <w:szCs w:val="20"/>
        </w:rPr>
        <w:t xml:space="preserve">y, en particular, </w:t>
      </w:r>
      <w:r w:rsidR="00145B65">
        <w:rPr>
          <w:rFonts w:ascii="Verdana" w:hAnsi="Verdana"/>
          <w:sz w:val="20"/>
          <w:szCs w:val="20"/>
        </w:rPr>
        <w:t>sobre el</w:t>
      </w:r>
      <w:r w:rsidR="00BE4C99">
        <w:rPr>
          <w:rFonts w:ascii="Verdana" w:hAnsi="Verdana"/>
          <w:sz w:val="20"/>
          <w:szCs w:val="20"/>
        </w:rPr>
        <w:t xml:space="preserve"> </w:t>
      </w:r>
      <w:r w:rsidR="00BE4C99" w:rsidRPr="00BE4C99">
        <w:rPr>
          <w:rFonts w:ascii="Verdana" w:hAnsi="Verdana"/>
          <w:sz w:val="20"/>
          <w:szCs w:val="20"/>
        </w:rPr>
        <w:t>Auto de segura y formal prisión, dictado por el Juzgado Primero de Distrito del Crimen, de 6 de mayo de 1996</w:t>
      </w:r>
      <w:r w:rsidR="00BE4C99">
        <w:rPr>
          <w:rFonts w:ascii="Verdana" w:hAnsi="Verdana"/>
          <w:sz w:val="20"/>
          <w:szCs w:val="20"/>
        </w:rPr>
        <w:t>,</w:t>
      </w:r>
      <w:r w:rsidR="00145B65">
        <w:rPr>
          <w:rFonts w:ascii="Verdana" w:hAnsi="Verdana"/>
          <w:sz w:val="20"/>
          <w:szCs w:val="20"/>
        </w:rPr>
        <w:t xml:space="preserve"> así como</w:t>
      </w:r>
      <w:r w:rsidR="00BE4C99">
        <w:rPr>
          <w:rFonts w:ascii="Verdana" w:hAnsi="Verdana"/>
          <w:sz w:val="20"/>
          <w:szCs w:val="20"/>
        </w:rPr>
        <w:t xml:space="preserve"> las actas de declaración realizadas ante la Policía Nacional</w:t>
      </w:r>
      <w:r w:rsidR="00145B65">
        <w:rPr>
          <w:rFonts w:ascii="Verdana" w:hAnsi="Verdana"/>
          <w:sz w:val="20"/>
          <w:szCs w:val="20"/>
        </w:rPr>
        <w:t xml:space="preserve">, documentos </w:t>
      </w:r>
      <w:r w:rsidR="00E771D4" w:rsidRPr="00D42D9E">
        <w:rPr>
          <w:rFonts w:ascii="Verdana" w:hAnsi="Verdana"/>
          <w:sz w:val="20"/>
          <w:szCs w:val="20"/>
        </w:rPr>
        <w:t>en</w:t>
      </w:r>
      <w:r w:rsidR="00E771D4">
        <w:rPr>
          <w:rFonts w:ascii="Verdana" w:hAnsi="Verdana"/>
          <w:sz w:val="20"/>
          <w:szCs w:val="20"/>
        </w:rPr>
        <w:t xml:space="preserve"> </w:t>
      </w:r>
      <w:r w:rsidR="00145B65">
        <w:rPr>
          <w:rFonts w:ascii="Verdana" w:hAnsi="Verdana"/>
          <w:sz w:val="20"/>
          <w:szCs w:val="20"/>
        </w:rPr>
        <w:t xml:space="preserve">los cuales </w:t>
      </w:r>
      <w:r w:rsidR="00E771D4" w:rsidRPr="00D42D9E">
        <w:rPr>
          <w:rFonts w:ascii="Verdana" w:hAnsi="Verdana"/>
          <w:sz w:val="20"/>
          <w:szCs w:val="20"/>
        </w:rPr>
        <w:t>se</w:t>
      </w:r>
      <w:r w:rsidR="00E771D4">
        <w:rPr>
          <w:rFonts w:ascii="Verdana" w:hAnsi="Verdana"/>
          <w:sz w:val="20"/>
          <w:szCs w:val="20"/>
        </w:rPr>
        <w:t xml:space="preserve"> </w:t>
      </w:r>
      <w:r w:rsidR="00145B65">
        <w:rPr>
          <w:rFonts w:ascii="Verdana" w:hAnsi="Verdana"/>
          <w:sz w:val="20"/>
          <w:szCs w:val="20"/>
        </w:rPr>
        <w:t>hace una referencia expresa al vocablo “militar”</w:t>
      </w:r>
      <w:r w:rsidR="00BE4C99">
        <w:rPr>
          <w:rFonts w:ascii="Verdana" w:hAnsi="Verdana"/>
          <w:sz w:val="20"/>
          <w:szCs w:val="20"/>
        </w:rPr>
        <w:t>.</w:t>
      </w:r>
    </w:p>
    <w:p w14:paraId="62C673FC" w14:textId="77777777" w:rsidR="00710618" w:rsidRDefault="00710618" w:rsidP="00710618">
      <w:pPr>
        <w:pStyle w:val="Prrafodelista"/>
        <w:spacing w:after="0" w:line="240" w:lineRule="auto"/>
        <w:ind w:left="0"/>
        <w:jc w:val="both"/>
        <w:rPr>
          <w:rFonts w:ascii="Verdana" w:hAnsi="Verdana"/>
          <w:sz w:val="20"/>
          <w:szCs w:val="20"/>
        </w:rPr>
      </w:pPr>
    </w:p>
    <w:p w14:paraId="725C802E" w14:textId="15637F81" w:rsidR="00A2244B" w:rsidRDefault="00A2244B" w:rsidP="00A2244B">
      <w:pPr>
        <w:pStyle w:val="Prrafodelista"/>
        <w:numPr>
          <w:ilvl w:val="0"/>
          <w:numId w:val="1"/>
        </w:numPr>
        <w:spacing w:after="0" w:line="240" w:lineRule="auto"/>
        <w:ind w:left="0" w:firstLine="0"/>
        <w:jc w:val="both"/>
        <w:rPr>
          <w:rFonts w:ascii="Verdana" w:hAnsi="Verdana"/>
          <w:sz w:val="20"/>
          <w:szCs w:val="20"/>
        </w:rPr>
      </w:pPr>
      <w:r w:rsidRPr="00D86C19">
        <w:rPr>
          <w:rFonts w:ascii="Verdana" w:hAnsi="Verdana"/>
          <w:sz w:val="20"/>
          <w:szCs w:val="20"/>
        </w:rPr>
        <w:t xml:space="preserve">Este Tribunal </w:t>
      </w:r>
      <w:r>
        <w:rPr>
          <w:rFonts w:ascii="Verdana" w:hAnsi="Verdana"/>
          <w:sz w:val="20"/>
          <w:szCs w:val="20"/>
        </w:rPr>
        <w:t>recuerda</w:t>
      </w:r>
      <w:r w:rsidRPr="00D86C19">
        <w:rPr>
          <w:rFonts w:ascii="Verdana" w:hAnsi="Verdana"/>
          <w:sz w:val="20"/>
          <w:szCs w:val="20"/>
        </w:rPr>
        <w:t xml:space="preserve"> la improcedencia de utilizar una solicitud de interpretación para someter cuestiones sobre las cuales ya adoptó una decisión</w:t>
      </w:r>
      <w:r w:rsidRPr="00D86C19">
        <w:rPr>
          <w:rStyle w:val="Refdenotaalpie"/>
          <w:rFonts w:ascii="Verdana" w:hAnsi="Verdana"/>
          <w:sz w:val="20"/>
          <w:szCs w:val="20"/>
        </w:rPr>
        <w:footnoteReference w:id="14"/>
      </w:r>
      <w:r>
        <w:rPr>
          <w:rFonts w:ascii="Verdana" w:hAnsi="Verdana"/>
          <w:sz w:val="20"/>
          <w:szCs w:val="20"/>
        </w:rPr>
        <w:t>, así como que ésta no puede</w:t>
      </w:r>
      <w:r w:rsidRPr="00D86C19">
        <w:rPr>
          <w:rFonts w:ascii="Verdana" w:hAnsi="Verdana"/>
          <w:sz w:val="20"/>
          <w:szCs w:val="20"/>
        </w:rPr>
        <w:t xml:space="preserve"> utilizarse como medio de impugnación de </w:t>
      </w:r>
      <w:proofErr w:type="gramStart"/>
      <w:r w:rsidRPr="00D86C19">
        <w:rPr>
          <w:rFonts w:ascii="Verdana" w:hAnsi="Verdana"/>
          <w:sz w:val="20"/>
          <w:szCs w:val="20"/>
        </w:rPr>
        <w:t>la misma</w:t>
      </w:r>
      <w:proofErr w:type="gramEnd"/>
      <w:r w:rsidRPr="00D86C19">
        <w:rPr>
          <w:rStyle w:val="Refdenotaalpie"/>
          <w:rFonts w:ascii="Verdana" w:hAnsi="Verdana"/>
          <w:sz w:val="20"/>
          <w:szCs w:val="20"/>
        </w:rPr>
        <w:footnoteReference w:id="15"/>
      </w:r>
      <w:r w:rsidRPr="00D86C19">
        <w:rPr>
          <w:rFonts w:ascii="Verdana" w:hAnsi="Verdana"/>
          <w:sz w:val="20"/>
          <w:szCs w:val="20"/>
        </w:rPr>
        <w:t xml:space="preserve">. En este sentido, la Corte advierte que, bajo la apariencia de una solicitud de interpretación, la posición </w:t>
      </w:r>
      <w:r>
        <w:rPr>
          <w:rFonts w:ascii="Verdana" w:hAnsi="Verdana"/>
          <w:sz w:val="20"/>
          <w:szCs w:val="20"/>
        </w:rPr>
        <w:t>del Estado</w:t>
      </w:r>
      <w:r w:rsidRPr="00D86C19">
        <w:rPr>
          <w:rFonts w:ascii="Verdana" w:hAnsi="Verdana"/>
          <w:sz w:val="20"/>
          <w:szCs w:val="20"/>
        </w:rPr>
        <w:t xml:space="preserve"> evidencia una d</w:t>
      </w:r>
      <w:r w:rsidR="00F96DF4">
        <w:rPr>
          <w:rFonts w:ascii="Verdana" w:hAnsi="Verdana"/>
          <w:sz w:val="20"/>
          <w:szCs w:val="20"/>
        </w:rPr>
        <w:t>iscrepancia con lo considerado,</w:t>
      </w:r>
      <w:r w:rsidRPr="00D86C19">
        <w:rPr>
          <w:rFonts w:ascii="Verdana" w:hAnsi="Verdana"/>
          <w:sz w:val="20"/>
          <w:szCs w:val="20"/>
        </w:rPr>
        <w:t xml:space="preserve"> resuelto </w:t>
      </w:r>
      <w:r w:rsidR="00F96DF4">
        <w:rPr>
          <w:rFonts w:ascii="Verdana" w:hAnsi="Verdana"/>
          <w:sz w:val="20"/>
          <w:szCs w:val="20"/>
        </w:rPr>
        <w:t xml:space="preserve">y ordenado </w:t>
      </w:r>
      <w:r w:rsidRPr="00D86C19">
        <w:rPr>
          <w:rFonts w:ascii="Verdana" w:hAnsi="Verdana"/>
          <w:sz w:val="20"/>
          <w:szCs w:val="20"/>
        </w:rPr>
        <w:t xml:space="preserve">por la Corte, por cuanto </w:t>
      </w:r>
      <w:r>
        <w:rPr>
          <w:rFonts w:ascii="Verdana" w:hAnsi="Verdana"/>
          <w:sz w:val="20"/>
          <w:szCs w:val="20"/>
        </w:rPr>
        <w:t>lo que se pretende es una modificación de los hechos probados en la Sentencia, así como de la me</w:t>
      </w:r>
      <w:r w:rsidRPr="00D86C19">
        <w:rPr>
          <w:rFonts w:ascii="Verdana" w:hAnsi="Verdana"/>
          <w:sz w:val="20"/>
          <w:szCs w:val="20"/>
        </w:rPr>
        <w:t xml:space="preserve">dida ordenada </w:t>
      </w:r>
      <w:r w:rsidR="00714A27">
        <w:rPr>
          <w:rFonts w:ascii="Verdana" w:hAnsi="Verdana"/>
          <w:sz w:val="20"/>
          <w:szCs w:val="20"/>
        </w:rPr>
        <w:t>en el punto resolutivo octavo, cuestiones que exceden el ámbito del artículo 67 de</w:t>
      </w:r>
      <w:r w:rsidR="00820851">
        <w:rPr>
          <w:rFonts w:ascii="Verdana" w:hAnsi="Verdana"/>
          <w:sz w:val="20"/>
          <w:szCs w:val="20"/>
        </w:rPr>
        <w:t xml:space="preserve"> </w:t>
      </w:r>
      <w:r w:rsidR="00714A27">
        <w:rPr>
          <w:rFonts w:ascii="Verdana" w:hAnsi="Verdana"/>
          <w:sz w:val="20"/>
          <w:szCs w:val="20"/>
        </w:rPr>
        <w:t>l</w:t>
      </w:r>
      <w:r w:rsidR="00820851">
        <w:rPr>
          <w:rFonts w:ascii="Verdana" w:hAnsi="Verdana"/>
          <w:sz w:val="20"/>
          <w:szCs w:val="20"/>
        </w:rPr>
        <w:t>a</w:t>
      </w:r>
      <w:r w:rsidR="00714A27">
        <w:rPr>
          <w:rFonts w:ascii="Verdana" w:hAnsi="Verdana"/>
          <w:sz w:val="20"/>
          <w:szCs w:val="20"/>
        </w:rPr>
        <w:t xml:space="preserve"> Conven</w:t>
      </w:r>
      <w:r w:rsidR="00820851">
        <w:rPr>
          <w:rFonts w:ascii="Verdana" w:hAnsi="Verdana"/>
          <w:sz w:val="20"/>
          <w:szCs w:val="20"/>
        </w:rPr>
        <w:t>c</w:t>
      </w:r>
      <w:r w:rsidR="00714A27">
        <w:rPr>
          <w:rFonts w:ascii="Verdana" w:hAnsi="Verdana"/>
          <w:sz w:val="20"/>
          <w:szCs w:val="20"/>
        </w:rPr>
        <w:t>i</w:t>
      </w:r>
      <w:r w:rsidR="00820851">
        <w:rPr>
          <w:rFonts w:ascii="Verdana" w:hAnsi="Verdana"/>
          <w:sz w:val="20"/>
          <w:szCs w:val="20"/>
        </w:rPr>
        <w:t>ón</w:t>
      </w:r>
      <w:r w:rsidR="00714A27">
        <w:rPr>
          <w:rFonts w:ascii="Verdana" w:hAnsi="Verdana"/>
          <w:sz w:val="20"/>
          <w:szCs w:val="20"/>
        </w:rPr>
        <w:t>.</w:t>
      </w:r>
    </w:p>
    <w:p w14:paraId="61AE6BA8" w14:textId="77777777" w:rsidR="00A2244B" w:rsidRPr="00D86C19" w:rsidRDefault="00A2244B" w:rsidP="00A2244B">
      <w:pPr>
        <w:pStyle w:val="Prrafodelista"/>
        <w:spacing w:after="0" w:line="240" w:lineRule="auto"/>
        <w:ind w:left="0"/>
        <w:jc w:val="both"/>
        <w:rPr>
          <w:rFonts w:ascii="Verdana" w:hAnsi="Verdana"/>
          <w:sz w:val="20"/>
          <w:szCs w:val="20"/>
        </w:rPr>
      </w:pPr>
    </w:p>
    <w:p w14:paraId="7B64EB1D" w14:textId="536C2D8E" w:rsidR="005E758C" w:rsidRPr="00D42D9E" w:rsidRDefault="00A2244B" w:rsidP="00A2244B">
      <w:pPr>
        <w:pStyle w:val="Prrafodelista"/>
        <w:numPr>
          <w:ilvl w:val="0"/>
          <w:numId w:val="1"/>
        </w:numPr>
        <w:spacing w:after="0" w:line="240" w:lineRule="auto"/>
        <w:ind w:left="0" w:firstLine="0"/>
        <w:jc w:val="both"/>
        <w:rPr>
          <w:rFonts w:ascii="Verdana" w:hAnsi="Verdana"/>
          <w:b/>
          <w:sz w:val="20"/>
          <w:szCs w:val="20"/>
        </w:rPr>
      </w:pPr>
      <w:proofErr w:type="gramStart"/>
      <w:r w:rsidRPr="00A2244B">
        <w:rPr>
          <w:rFonts w:ascii="Verdana" w:hAnsi="Verdana"/>
          <w:sz w:val="20"/>
          <w:szCs w:val="20"/>
        </w:rPr>
        <w:t>En razón de</w:t>
      </w:r>
      <w:proofErr w:type="gramEnd"/>
      <w:r w:rsidRPr="00A2244B">
        <w:rPr>
          <w:rFonts w:ascii="Verdana" w:hAnsi="Verdana"/>
          <w:sz w:val="20"/>
          <w:szCs w:val="20"/>
        </w:rPr>
        <w:t xml:space="preserve"> lo anterior, este Tribunal considera que la solicitud </w:t>
      </w:r>
      <w:r>
        <w:rPr>
          <w:rFonts w:ascii="Verdana" w:hAnsi="Verdana"/>
          <w:sz w:val="20"/>
          <w:szCs w:val="20"/>
        </w:rPr>
        <w:t>del Estado</w:t>
      </w:r>
      <w:r w:rsidRPr="00A2244B">
        <w:rPr>
          <w:rFonts w:ascii="Verdana" w:hAnsi="Verdana"/>
          <w:sz w:val="20"/>
          <w:szCs w:val="20"/>
        </w:rPr>
        <w:t xml:space="preserve"> es improcedente.</w:t>
      </w:r>
    </w:p>
    <w:p w14:paraId="197A6E8B" w14:textId="77777777" w:rsidR="004165B9" w:rsidRPr="00D42D9E" w:rsidRDefault="004165B9" w:rsidP="00D42D9E">
      <w:pPr>
        <w:pStyle w:val="Prrafodelista"/>
        <w:rPr>
          <w:rFonts w:ascii="Verdana" w:hAnsi="Verdana"/>
          <w:b/>
          <w:sz w:val="20"/>
          <w:szCs w:val="20"/>
        </w:rPr>
      </w:pPr>
    </w:p>
    <w:p w14:paraId="781C8C41" w14:textId="77777777" w:rsidR="004165B9" w:rsidRPr="00A2244B" w:rsidRDefault="004165B9" w:rsidP="00D42D9E">
      <w:pPr>
        <w:pStyle w:val="Prrafodelista"/>
        <w:spacing w:after="0" w:line="240" w:lineRule="auto"/>
        <w:ind w:left="0"/>
        <w:jc w:val="both"/>
        <w:rPr>
          <w:rFonts w:ascii="Verdana" w:hAnsi="Verdana"/>
          <w:b/>
          <w:sz w:val="20"/>
          <w:szCs w:val="20"/>
        </w:rPr>
      </w:pPr>
    </w:p>
    <w:p w14:paraId="699CA4A1" w14:textId="77777777" w:rsidR="00A03487" w:rsidRDefault="00A03487" w:rsidP="00A03487">
      <w:pPr>
        <w:spacing w:after="0" w:line="240" w:lineRule="auto"/>
        <w:jc w:val="center"/>
        <w:rPr>
          <w:rFonts w:ascii="Verdana" w:hAnsi="Verdana"/>
          <w:b/>
          <w:sz w:val="20"/>
          <w:szCs w:val="20"/>
        </w:rPr>
      </w:pPr>
      <w:r>
        <w:rPr>
          <w:rFonts w:ascii="Verdana" w:hAnsi="Verdana"/>
          <w:b/>
          <w:sz w:val="20"/>
          <w:szCs w:val="20"/>
        </w:rPr>
        <w:t>V</w:t>
      </w:r>
    </w:p>
    <w:p w14:paraId="3964A050" w14:textId="77777777" w:rsidR="00A03487" w:rsidRDefault="00A03487" w:rsidP="00A03487">
      <w:pPr>
        <w:spacing w:after="0" w:line="240" w:lineRule="auto"/>
        <w:jc w:val="center"/>
        <w:rPr>
          <w:rFonts w:ascii="Verdana" w:hAnsi="Verdana"/>
          <w:b/>
          <w:sz w:val="20"/>
          <w:szCs w:val="20"/>
        </w:rPr>
      </w:pPr>
      <w:r>
        <w:rPr>
          <w:rFonts w:ascii="Verdana" w:hAnsi="Verdana"/>
          <w:b/>
          <w:sz w:val="20"/>
          <w:szCs w:val="20"/>
        </w:rPr>
        <w:t>PUNTOS RESOLUTIVOS</w:t>
      </w:r>
    </w:p>
    <w:p w14:paraId="6466DF26" w14:textId="77777777" w:rsidR="00A03487" w:rsidRDefault="00A03487" w:rsidP="00A03487">
      <w:pPr>
        <w:spacing w:after="0" w:line="240" w:lineRule="auto"/>
        <w:rPr>
          <w:rFonts w:ascii="Verdana" w:hAnsi="Verdana"/>
          <w:sz w:val="20"/>
          <w:szCs w:val="20"/>
        </w:rPr>
      </w:pPr>
    </w:p>
    <w:p w14:paraId="598B9696" w14:textId="77777777" w:rsidR="00A03487" w:rsidRPr="00896292" w:rsidRDefault="00A03487" w:rsidP="00896292">
      <w:pPr>
        <w:pStyle w:val="Prrafodelista"/>
        <w:numPr>
          <w:ilvl w:val="0"/>
          <w:numId w:val="1"/>
        </w:numPr>
        <w:spacing w:after="0" w:line="240" w:lineRule="auto"/>
        <w:ind w:hanging="720"/>
        <w:rPr>
          <w:rFonts w:ascii="Verdana" w:hAnsi="Verdana"/>
          <w:sz w:val="20"/>
          <w:szCs w:val="20"/>
        </w:rPr>
      </w:pPr>
      <w:r w:rsidRPr="00896292">
        <w:rPr>
          <w:rFonts w:ascii="Verdana" w:hAnsi="Verdana"/>
          <w:sz w:val="20"/>
          <w:szCs w:val="20"/>
        </w:rPr>
        <w:t>Por tanto,</w:t>
      </w:r>
    </w:p>
    <w:p w14:paraId="5B1CD3E7" w14:textId="77777777" w:rsidR="00A03487" w:rsidRDefault="00A03487" w:rsidP="00A03487">
      <w:pPr>
        <w:spacing w:after="0" w:line="240" w:lineRule="auto"/>
        <w:rPr>
          <w:rFonts w:ascii="Verdana" w:hAnsi="Verdana"/>
          <w:sz w:val="20"/>
          <w:szCs w:val="20"/>
        </w:rPr>
      </w:pPr>
    </w:p>
    <w:p w14:paraId="7BFA35D5" w14:textId="77777777" w:rsidR="00A03487" w:rsidRDefault="00A03487" w:rsidP="00A03487">
      <w:pPr>
        <w:spacing w:after="0" w:line="240" w:lineRule="auto"/>
        <w:rPr>
          <w:rFonts w:ascii="Verdana" w:hAnsi="Verdana"/>
          <w:b/>
          <w:sz w:val="20"/>
          <w:szCs w:val="20"/>
        </w:rPr>
      </w:pPr>
      <w:r>
        <w:rPr>
          <w:rFonts w:ascii="Verdana" w:hAnsi="Verdana"/>
          <w:b/>
          <w:sz w:val="20"/>
          <w:szCs w:val="20"/>
        </w:rPr>
        <w:t xml:space="preserve">LA CORTE, </w:t>
      </w:r>
    </w:p>
    <w:p w14:paraId="48F02251" w14:textId="77777777" w:rsidR="00A03487" w:rsidRDefault="00A03487" w:rsidP="00A03487">
      <w:pPr>
        <w:spacing w:after="0" w:line="240" w:lineRule="auto"/>
        <w:rPr>
          <w:rFonts w:ascii="Verdana" w:hAnsi="Verdana"/>
          <w:b/>
          <w:sz w:val="20"/>
          <w:szCs w:val="20"/>
        </w:rPr>
      </w:pPr>
    </w:p>
    <w:p w14:paraId="3F6153AB" w14:textId="77777777" w:rsidR="00A03487" w:rsidRDefault="00A03487" w:rsidP="00A03487">
      <w:pPr>
        <w:spacing w:after="0" w:line="240" w:lineRule="auto"/>
        <w:rPr>
          <w:rFonts w:ascii="Verdana" w:hAnsi="Verdana"/>
          <w:sz w:val="20"/>
          <w:szCs w:val="20"/>
        </w:rPr>
      </w:pPr>
      <w:r>
        <w:rPr>
          <w:rFonts w:ascii="Verdana" w:hAnsi="Verdana"/>
          <w:sz w:val="20"/>
          <w:szCs w:val="20"/>
        </w:rPr>
        <w:t>de conformidad con el artículo 67 de la Convención Americana sobre Derechos Humanos y los artículos 31.3 y 68 del Reglamento,</w:t>
      </w:r>
    </w:p>
    <w:p w14:paraId="13D3A396" w14:textId="77777777" w:rsidR="00A03487" w:rsidRDefault="00A03487" w:rsidP="00A03487">
      <w:pPr>
        <w:spacing w:after="0" w:line="240" w:lineRule="auto"/>
        <w:rPr>
          <w:rFonts w:ascii="Verdana" w:hAnsi="Verdana"/>
          <w:sz w:val="20"/>
          <w:szCs w:val="20"/>
        </w:rPr>
      </w:pPr>
    </w:p>
    <w:p w14:paraId="39376A83" w14:textId="77777777" w:rsidR="00A03487" w:rsidRDefault="00A03487" w:rsidP="00A03487">
      <w:pPr>
        <w:spacing w:after="0" w:line="240" w:lineRule="auto"/>
        <w:rPr>
          <w:rFonts w:ascii="Verdana" w:hAnsi="Verdana"/>
          <w:b/>
          <w:sz w:val="20"/>
          <w:szCs w:val="20"/>
        </w:rPr>
      </w:pPr>
      <w:r>
        <w:rPr>
          <w:rFonts w:ascii="Verdana" w:hAnsi="Verdana"/>
          <w:b/>
          <w:sz w:val="20"/>
          <w:szCs w:val="20"/>
        </w:rPr>
        <w:t>DECIDE:</w:t>
      </w:r>
    </w:p>
    <w:p w14:paraId="1DFE0633" w14:textId="77777777" w:rsidR="00A03487" w:rsidRDefault="00A03487" w:rsidP="00A03487">
      <w:pPr>
        <w:spacing w:after="0" w:line="240" w:lineRule="auto"/>
        <w:rPr>
          <w:rFonts w:ascii="Verdana" w:hAnsi="Verdana"/>
          <w:b/>
          <w:sz w:val="20"/>
          <w:szCs w:val="20"/>
        </w:rPr>
      </w:pPr>
    </w:p>
    <w:p w14:paraId="35408781" w14:textId="5AEE4F39" w:rsidR="00A03487" w:rsidRDefault="00A03487" w:rsidP="00A03487">
      <w:pPr>
        <w:spacing w:after="0" w:line="240" w:lineRule="auto"/>
        <w:rPr>
          <w:rFonts w:ascii="Verdana" w:hAnsi="Verdana"/>
          <w:sz w:val="20"/>
          <w:szCs w:val="20"/>
        </w:rPr>
      </w:pPr>
      <w:r>
        <w:rPr>
          <w:rFonts w:ascii="Verdana" w:hAnsi="Verdana"/>
          <w:sz w:val="20"/>
          <w:szCs w:val="20"/>
        </w:rPr>
        <w:t xml:space="preserve">Por </w:t>
      </w:r>
      <w:r w:rsidR="00E771D4" w:rsidRPr="00D42D9E">
        <w:rPr>
          <w:rFonts w:ascii="Verdana" w:hAnsi="Verdana"/>
          <w:sz w:val="20"/>
          <w:szCs w:val="20"/>
        </w:rPr>
        <w:t>unanimidad</w:t>
      </w:r>
      <w:r>
        <w:rPr>
          <w:rFonts w:ascii="Verdana" w:hAnsi="Verdana"/>
          <w:sz w:val="20"/>
          <w:szCs w:val="20"/>
        </w:rPr>
        <w:t>,</w:t>
      </w:r>
    </w:p>
    <w:p w14:paraId="079B2374" w14:textId="77777777" w:rsidR="00A03487" w:rsidRDefault="00A03487" w:rsidP="00A03487">
      <w:pPr>
        <w:spacing w:after="0" w:line="240" w:lineRule="auto"/>
        <w:rPr>
          <w:rFonts w:ascii="Verdana" w:hAnsi="Verdana"/>
          <w:sz w:val="20"/>
          <w:szCs w:val="20"/>
        </w:rPr>
      </w:pPr>
    </w:p>
    <w:p w14:paraId="09E9E5AE" w14:textId="65EEBEDD" w:rsidR="00710618" w:rsidRPr="00B22E3D" w:rsidRDefault="00A03487" w:rsidP="002775A3">
      <w:pPr>
        <w:pStyle w:val="Prrafodelista"/>
        <w:numPr>
          <w:ilvl w:val="0"/>
          <w:numId w:val="3"/>
        </w:numPr>
        <w:spacing w:after="0" w:line="240" w:lineRule="auto"/>
        <w:ind w:left="708" w:hanging="708"/>
        <w:jc w:val="both"/>
        <w:rPr>
          <w:rFonts w:ascii="Verdana" w:hAnsi="Verdana"/>
          <w:sz w:val="20"/>
          <w:szCs w:val="20"/>
        </w:rPr>
      </w:pPr>
      <w:r>
        <w:rPr>
          <w:rFonts w:ascii="Verdana" w:hAnsi="Verdana"/>
          <w:sz w:val="20"/>
          <w:szCs w:val="20"/>
        </w:rPr>
        <w:t>Declarar admisible</w:t>
      </w:r>
      <w:r w:rsidR="00710618">
        <w:rPr>
          <w:rFonts w:ascii="Verdana" w:hAnsi="Verdana"/>
          <w:sz w:val="20"/>
          <w:szCs w:val="20"/>
        </w:rPr>
        <w:t>s</w:t>
      </w:r>
      <w:r>
        <w:rPr>
          <w:rFonts w:ascii="Verdana" w:hAnsi="Verdana"/>
          <w:sz w:val="20"/>
          <w:szCs w:val="20"/>
        </w:rPr>
        <w:t xml:space="preserve"> la</w:t>
      </w:r>
      <w:r w:rsidR="00710618">
        <w:rPr>
          <w:rFonts w:ascii="Verdana" w:hAnsi="Verdana"/>
          <w:sz w:val="20"/>
          <w:szCs w:val="20"/>
        </w:rPr>
        <w:t>s</w:t>
      </w:r>
      <w:r>
        <w:rPr>
          <w:rFonts w:ascii="Verdana" w:hAnsi="Verdana"/>
          <w:sz w:val="20"/>
          <w:szCs w:val="20"/>
        </w:rPr>
        <w:t xml:space="preserve"> solicitud</w:t>
      </w:r>
      <w:r w:rsidR="00710618">
        <w:rPr>
          <w:rFonts w:ascii="Verdana" w:hAnsi="Verdana"/>
          <w:sz w:val="20"/>
          <w:szCs w:val="20"/>
        </w:rPr>
        <w:t>es</w:t>
      </w:r>
      <w:r>
        <w:rPr>
          <w:rFonts w:ascii="Verdana" w:hAnsi="Verdana"/>
          <w:sz w:val="20"/>
          <w:szCs w:val="20"/>
        </w:rPr>
        <w:t xml:space="preserve"> de interpretación de la Sentencia de </w:t>
      </w:r>
      <w:r w:rsidR="004165B9">
        <w:rPr>
          <w:rFonts w:ascii="Verdana" w:hAnsi="Verdana"/>
          <w:sz w:val="20"/>
          <w:szCs w:val="20"/>
        </w:rPr>
        <w:t>F</w:t>
      </w:r>
      <w:r>
        <w:rPr>
          <w:rFonts w:ascii="Verdana" w:hAnsi="Verdana"/>
          <w:sz w:val="20"/>
          <w:szCs w:val="20"/>
        </w:rPr>
        <w:t>ondo</w:t>
      </w:r>
      <w:r w:rsidR="00710618">
        <w:rPr>
          <w:rFonts w:ascii="Verdana" w:hAnsi="Verdana"/>
          <w:sz w:val="20"/>
          <w:szCs w:val="20"/>
        </w:rPr>
        <w:t xml:space="preserve"> y </w:t>
      </w:r>
      <w:r w:rsidR="004165B9">
        <w:rPr>
          <w:rFonts w:ascii="Verdana" w:hAnsi="Verdana"/>
          <w:sz w:val="20"/>
          <w:szCs w:val="20"/>
        </w:rPr>
        <w:t>R</w:t>
      </w:r>
      <w:r w:rsidR="00710618">
        <w:rPr>
          <w:rFonts w:ascii="Verdana" w:hAnsi="Verdana"/>
          <w:sz w:val="20"/>
          <w:szCs w:val="20"/>
        </w:rPr>
        <w:t xml:space="preserve">eparaciones, </w:t>
      </w:r>
      <w:r>
        <w:rPr>
          <w:rFonts w:ascii="Verdana" w:hAnsi="Verdana"/>
          <w:sz w:val="20"/>
          <w:szCs w:val="20"/>
        </w:rPr>
        <w:t xml:space="preserve">emitida en el caso </w:t>
      </w:r>
      <w:r w:rsidR="00710618">
        <w:rPr>
          <w:rFonts w:ascii="Verdana" w:hAnsi="Verdana"/>
          <w:i/>
          <w:sz w:val="20"/>
          <w:szCs w:val="20"/>
        </w:rPr>
        <w:t>Roche Azaña y otros Vs. Nicaragua</w:t>
      </w:r>
      <w:r>
        <w:rPr>
          <w:rFonts w:ascii="Verdana" w:hAnsi="Verdana"/>
          <w:i/>
          <w:sz w:val="20"/>
          <w:szCs w:val="20"/>
        </w:rPr>
        <w:t xml:space="preserve">, </w:t>
      </w:r>
      <w:r w:rsidR="00710618">
        <w:rPr>
          <w:rFonts w:ascii="Verdana" w:hAnsi="Verdana"/>
          <w:sz w:val="20"/>
          <w:szCs w:val="20"/>
        </w:rPr>
        <w:t>presentadas por el representante</w:t>
      </w:r>
      <w:r w:rsidR="004165B9">
        <w:rPr>
          <w:rFonts w:ascii="Verdana" w:hAnsi="Verdana"/>
          <w:sz w:val="20"/>
          <w:szCs w:val="20"/>
        </w:rPr>
        <w:t xml:space="preserve"> </w:t>
      </w:r>
      <w:r w:rsidR="004165B9" w:rsidRPr="00D42D9E">
        <w:rPr>
          <w:rFonts w:ascii="Verdana" w:hAnsi="Verdana"/>
          <w:sz w:val="20"/>
          <w:szCs w:val="20"/>
        </w:rPr>
        <w:t>de las víctimas</w:t>
      </w:r>
      <w:r w:rsidR="00710618">
        <w:rPr>
          <w:rFonts w:ascii="Verdana" w:hAnsi="Verdana"/>
          <w:sz w:val="20"/>
          <w:szCs w:val="20"/>
        </w:rPr>
        <w:t xml:space="preserve"> y el Estado</w:t>
      </w:r>
      <w:r w:rsidR="00B22E3D">
        <w:rPr>
          <w:rFonts w:ascii="Verdana" w:hAnsi="Verdana"/>
          <w:sz w:val="20"/>
          <w:szCs w:val="20"/>
        </w:rPr>
        <w:t xml:space="preserve"> </w:t>
      </w:r>
      <w:r w:rsidR="00B22E3D" w:rsidRPr="00B22E3D">
        <w:rPr>
          <w:rFonts w:ascii="Verdana" w:hAnsi="Verdana"/>
          <w:sz w:val="20"/>
          <w:szCs w:val="20"/>
        </w:rPr>
        <w:t xml:space="preserve">en </w:t>
      </w:r>
      <w:r w:rsidR="00B22E3D">
        <w:rPr>
          <w:rFonts w:ascii="Verdana" w:hAnsi="Verdana"/>
          <w:sz w:val="20"/>
          <w:szCs w:val="20"/>
        </w:rPr>
        <w:t>los términos del párrafo 9</w:t>
      </w:r>
      <w:r w:rsidR="00B22E3D" w:rsidRPr="00B22E3D">
        <w:rPr>
          <w:rFonts w:ascii="Verdana" w:hAnsi="Verdana"/>
          <w:sz w:val="20"/>
          <w:szCs w:val="20"/>
        </w:rPr>
        <w:t xml:space="preserve"> de la presente Sentencia</w:t>
      </w:r>
      <w:r w:rsidR="003314C4">
        <w:rPr>
          <w:rFonts w:ascii="Verdana" w:hAnsi="Verdana"/>
          <w:sz w:val="20"/>
          <w:szCs w:val="20"/>
        </w:rPr>
        <w:t xml:space="preserve"> de Interpretación</w:t>
      </w:r>
      <w:r w:rsidR="00B22E3D" w:rsidRPr="00B22E3D">
        <w:rPr>
          <w:rFonts w:ascii="Verdana" w:hAnsi="Verdana"/>
          <w:sz w:val="20"/>
          <w:szCs w:val="20"/>
        </w:rPr>
        <w:t>.</w:t>
      </w:r>
    </w:p>
    <w:p w14:paraId="6D1CEFE4" w14:textId="77777777" w:rsidR="00B22E3D" w:rsidRDefault="00B22E3D" w:rsidP="00710618">
      <w:pPr>
        <w:pStyle w:val="Prrafodelista"/>
        <w:spacing w:after="0" w:line="240" w:lineRule="auto"/>
        <w:ind w:left="0"/>
        <w:jc w:val="both"/>
        <w:rPr>
          <w:rFonts w:ascii="Verdana" w:hAnsi="Verdana"/>
          <w:sz w:val="20"/>
          <w:szCs w:val="20"/>
        </w:rPr>
      </w:pPr>
    </w:p>
    <w:p w14:paraId="0A2BFA10" w14:textId="5EDA0EEB" w:rsidR="00522A34" w:rsidRDefault="00522A34" w:rsidP="00522A34">
      <w:pPr>
        <w:pStyle w:val="Prrafodelista"/>
        <w:numPr>
          <w:ilvl w:val="0"/>
          <w:numId w:val="3"/>
        </w:numPr>
        <w:spacing w:after="0" w:line="240" w:lineRule="auto"/>
        <w:ind w:left="0" w:firstLine="0"/>
        <w:jc w:val="both"/>
        <w:rPr>
          <w:rFonts w:ascii="Verdana" w:hAnsi="Verdana"/>
          <w:sz w:val="20"/>
          <w:szCs w:val="20"/>
        </w:rPr>
      </w:pPr>
      <w:r>
        <w:rPr>
          <w:rFonts w:ascii="Verdana" w:hAnsi="Verdana"/>
          <w:sz w:val="20"/>
          <w:szCs w:val="20"/>
        </w:rPr>
        <w:t xml:space="preserve">Aclarar por medio de interpretación la Sentencia de </w:t>
      </w:r>
      <w:r w:rsidR="004165B9">
        <w:rPr>
          <w:rFonts w:ascii="Verdana" w:hAnsi="Verdana"/>
          <w:sz w:val="20"/>
          <w:szCs w:val="20"/>
        </w:rPr>
        <w:t>F</w:t>
      </w:r>
      <w:r>
        <w:rPr>
          <w:rFonts w:ascii="Verdana" w:hAnsi="Verdana"/>
          <w:sz w:val="20"/>
          <w:szCs w:val="20"/>
        </w:rPr>
        <w:t xml:space="preserve">ondo y </w:t>
      </w:r>
      <w:r w:rsidR="004165B9">
        <w:rPr>
          <w:rFonts w:ascii="Verdana" w:hAnsi="Verdana"/>
          <w:sz w:val="20"/>
          <w:szCs w:val="20"/>
        </w:rPr>
        <w:t>R</w:t>
      </w:r>
      <w:r>
        <w:rPr>
          <w:rFonts w:ascii="Verdana" w:hAnsi="Verdana"/>
          <w:sz w:val="20"/>
          <w:szCs w:val="20"/>
        </w:rPr>
        <w:t xml:space="preserve">eparaciones, emitida en el caso </w:t>
      </w:r>
      <w:r>
        <w:rPr>
          <w:rFonts w:ascii="Verdana" w:hAnsi="Verdana"/>
          <w:i/>
          <w:sz w:val="20"/>
          <w:szCs w:val="20"/>
        </w:rPr>
        <w:t>Roche Azaña y otros Vs. Nicaragua</w:t>
      </w:r>
      <w:r>
        <w:rPr>
          <w:rFonts w:ascii="Verdana" w:hAnsi="Verdana"/>
          <w:sz w:val="20"/>
          <w:szCs w:val="20"/>
        </w:rPr>
        <w:t>, en los términos de</w:t>
      </w:r>
      <w:r w:rsidR="00B22E3D">
        <w:rPr>
          <w:rFonts w:ascii="Verdana" w:hAnsi="Verdana"/>
          <w:sz w:val="20"/>
          <w:szCs w:val="20"/>
        </w:rPr>
        <w:t xml:space="preserve"> </w:t>
      </w:r>
      <w:r>
        <w:rPr>
          <w:rFonts w:ascii="Verdana" w:hAnsi="Verdana"/>
          <w:sz w:val="20"/>
          <w:szCs w:val="20"/>
        </w:rPr>
        <w:t>l</w:t>
      </w:r>
      <w:r w:rsidR="00B22E3D">
        <w:rPr>
          <w:rFonts w:ascii="Verdana" w:hAnsi="Verdana"/>
          <w:sz w:val="20"/>
          <w:szCs w:val="20"/>
        </w:rPr>
        <w:t>os</w:t>
      </w:r>
      <w:r>
        <w:rPr>
          <w:rFonts w:ascii="Verdana" w:hAnsi="Verdana"/>
          <w:sz w:val="20"/>
          <w:szCs w:val="20"/>
        </w:rPr>
        <w:t xml:space="preserve"> párrafo</w:t>
      </w:r>
      <w:r w:rsidR="00B22E3D">
        <w:rPr>
          <w:rFonts w:ascii="Verdana" w:hAnsi="Verdana"/>
          <w:sz w:val="20"/>
          <w:szCs w:val="20"/>
        </w:rPr>
        <w:t>s</w:t>
      </w:r>
      <w:r>
        <w:rPr>
          <w:rFonts w:ascii="Verdana" w:hAnsi="Verdana"/>
          <w:sz w:val="20"/>
          <w:szCs w:val="20"/>
        </w:rPr>
        <w:t xml:space="preserve"> </w:t>
      </w:r>
      <w:r w:rsidR="00DD6E9C">
        <w:rPr>
          <w:rFonts w:ascii="Verdana" w:hAnsi="Verdana"/>
          <w:sz w:val="20"/>
          <w:szCs w:val="20"/>
        </w:rPr>
        <w:t>19</w:t>
      </w:r>
      <w:r>
        <w:rPr>
          <w:rFonts w:ascii="Verdana" w:hAnsi="Verdana"/>
          <w:sz w:val="20"/>
          <w:szCs w:val="20"/>
        </w:rPr>
        <w:t xml:space="preserve"> y </w:t>
      </w:r>
      <w:r w:rsidR="00DD6E9C">
        <w:rPr>
          <w:rFonts w:ascii="Verdana" w:hAnsi="Verdana"/>
          <w:sz w:val="20"/>
          <w:szCs w:val="20"/>
        </w:rPr>
        <w:t>20</w:t>
      </w:r>
      <w:r w:rsidR="003314C4">
        <w:rPr>
          <w:rFonts w:ascii="Verdana" w:hAnsi="Verdana"/>
          <w:sz w:val="20"/>
          <w:szCs w:val="20"/>
        </w:rPr>
        <w:t xml:space="preserve"> de la presente Sentencia de Interpretación</w:t>
      </w:r>
      <w:r w:rsidR="00DD6E9C">
        <w:rPr>
          <w:rFonts w:ascii="Verdana" w:hAnsi="Verdana"/>
          <w:sz w:val="20"/>
          <w:szCs w:val="20"/>
        </w:rPr>
        <w:t>.</w:t>
      </w:r>
      <w:r>
        <w:rPr>
          <w:rFonts w:ascii="Verdana" w:hAnsi="Verdana"/>
          <w:sz w:val="20"/>
          <w:szCs w:val="20"/>
        </w:rPr>
        <w:t xml:space="preserve"> </w:t>
      </w:r>
    </w:p>
    <w:p w14:paraId="5424F195" w14:textId="77777777" w:rsidR="00522A34" w:rsidRDefault="00522A34" w:rsidP="00522A34">
      <w:pPr>
        <w:pStyle w:val="Prrafodelista"/>
        <w:spacing w:after="0" w:line="240" w:lineRule="auto"/>
        <w:ind w:left="0"/>
        <w:jc w:val="both"/>
        <w:rPr>
          <w:rFonts w:ascii="Verdana" w:hAnsi="Verdana"/>
          <w:sz w:val="20"/>
          <w:szCs w:val="20"/>
        </w:rPr>
      </w:pPr>
    </w:p>
    <w:p w14:paraId="2854BCB1" w14:textId="08621459" w:rsidR="00522A34" w:rsidRDefault="00522A34" w:rsidP="00522A34">
      <w:pPr>
        <w:pStyle w:val="Prrafodelista"/>
        <w:numPr>
          <w:ilvl w:val="0"/>
          <w:numId w:val="3"/>
        </w:numPr>
        <w:spacing w:after="0" w:line="240" w:lineRule="auto"/>
        <w:ind w:left="0" w:firstLine="0"/>
        <w:jc w:val="both"/>
        <w:rPr>
          <w:rFonts w:ascii="Verdana" w:hAnsi="Verdana"/>
          <w:sz w:val="20"/>
          <w:szCs w:val="20"/>
        </w:rPr>
      </w:pPr>
      <w:r>
        <w:rPr>
          <w:rFonts w:ascii="Verdana" w:hAnsi="Verdana"/>
          <w:sz w:val="20"/>
          <w:szCs w:val="20"/>
        </w:rPr>
        <w:t xml:space="preserve">Desestimar por improcedente la solicitud de interpretación de la Sentencia de </w:t>
      </w:r>
      <w:r w:rsidR="004165B9">
        <w:rPr>
          <w:rFonts w:ascii="Verdana" w:hAnsi="Verdana"/>
          <w:sz w:val="20"/>
          <w:szCs w:val="20"/>
        </w:rPr>
        <w:t>F</w:t>
      </w:r>
      <w:r>
        <w:rPr>
          <w:rFonts w:ascii="Verdana" w:hAnsi="Verdana"/>
          <w:sz w:val="20"/>
          <w:szCs w:val="20"/>
        </w:rPr>
        <w:t xml:space="preserve">ondo y </w:t>
      </w:r>
      <w:r w:rsidR="004165B9">
        <w:rPr>
          <w:rFonts w:ascii="Verdana" w:hAnsi="Verdana"/>
          <w:sz w:val="20"/>
          <w:szCs w:val="20"/>
        </w:rPr>
        <w:t>R</w:t>
      </w:r>
      <w:r>
        <w:rPr>
          <w:rFonts w:ascii="Verdana" w:hAnsi="Verdana"/>
          <w:sz w:val="20"/>
          <w:szCs w:val="20"/>
        </w:rPr>
        <w:t xml:space="preserve">eparaciones emitida en el caso </w:t>
      </w:r>
      <w:r>
        <w:rPr>
          <w:rFonts w:ascii="Verdana" w:hAnsi="Verdana"/>
          <w:i/>
          <w:sz w:val="20"/>
          <w:szCs w:val="20"/>
        </w:rPr>
        <w:t>Roche Azaña y otros Vs. Nicaragua</w:t>
      </w:r>
      <w:r>
        <w:rPr>
          <w:rFonts w:ascii="Verdana" w:hAnsi="Verdana"/>
          <w:sz w:val="20"/>
          <w:szCs w:val="20"/>
        </w:rPr>
        <w:t xml:space="preserve">, presentada por el representante de las víctimas, en los términos de los párrafos </w:t>
      </w:r>
      <w:r w:rsidR="00DD6E9C">
        <w:rPr>
          <w:rFonts w:ascii="Verdana" w:hAnsi="Verdana"/>
          <w:sz w:val="20"/>
          <w:szCs w:val="20"/>
        </w:rPr>
        <w:t>24</w:t>
      </w:r>
      <w:r>
        <w:rPr>
          <w:rFonts w:ascii="Verdana" w:hAnsi="Verdana"/>
          <w:sz w:val="20"/>
          <w:szCs w:val="20"/>
        </w:rPr>
        <w:t xml:space="preserve"> a </w:t>
      </w:r>
      <w:r w:rsidR="00DD6E9C">
        <w:rPr>
          <w:rFonts w:ascii="Verdana" w:hAnsi="Verdana"/>
          <w:sz w:val="20"/>
          <w:szCs w:val="20"/>
        </w:rPr>
        <w:t>26</w:t>
      </w:r>
      <w:r w:rsidR="003314C4">
        <w:rPr>
          <w:rFonts w:ascii="Verdana" w:hAnsi="Verdana"/>
          <w:sz w:val="20"/>
          <w:szCs w:val="20"/>
        </w:rPr>
        <w:t xml:space="preserve"> de la presente Sentencia de Interpretación</w:t>
      </w:r>
      <w:r w:rsidR="00DD6E9C">
        <w:rPr>
          <w:rFonts w:ascii="Verdana" w:hAnsi="Verdana"/>
          <w:sz w:val="20"/>
          <w:szCs w:val="20"/>
        </w:rPr>
        <w:t>.</w:t>
      </w:r>
      <w:r>
        <w:rPr>
          <w:rFonts w:ascii="Verdana" w:hAnsi="Verdana"/>
          <w:sz w:val="20"/>
          <w:szCs w:val="20"/>
        </w:rPr>
        <w:t xml:space="preserve"> </w:t>
      </w:r>
    </w:p>
    <w:p w14:paraId="55D7AACA" w14:textId="77777777" w:rsidR="00522A34" w:rsidRDefault="00522A34" w:rsidP="00522A34">
      <w:pPr>
        <w:pStyle w:val="Prrafodelista"/>
        <w:spacing w:after="0" w:line="240" w:lineRule="auto"/>
        <w:ind w:left="0"/>
        <w:jc w:val="both"/>
        <w:rPr>
          <w:rFonts w:ascii="Verdana" w:hAnsi="Verdana"/>
          <w:sz w:val="20"/>
          <w:szCs w:val="20"/>
        </w:rPr>
      </w:pPr>
    </w:p>
    <w:p w14:paraId="4DBFF514" w14:textId="3D5D719C" w:rsidR="00710618" w:rsidRDefault="00710618" w:rsidP="00710618">
      <w:pPr>
        <w:pStyle w:val="Prrafodelista"/>
        <w:numPr>
          <w:ilvl w:val="0"/>
          <w:numId w:val="3"/>
        </w:numPr>
        <w:spacing w:after="0" w:line="240" w:lineRule="auto"/>
        <w:ind w:left="0" w:firstLine="0"/>
        <w:jc w:val="both"/>
        <w:rPr>
          <w:rFonts w:ascii="Verdana" w:hAnsi="Verdana"/>
          <w:sz w:val="20"/>
          <w:szCs w:val="20"/>
        </w:rPr>
      </w:pPr>
      <w:r w:rsidRPr="00710618">
        <w:rPr>
          <w:rFonts w:ascii="Verdana" w:hAnsi="Verdana"/>
          <w:sz w:val="20"/>
          <w:szCs w:val="20"/>
        </w:rPr>
        <w:t>Desestimar por improcedente la solicitud de interpret</w:t>
      </w:r>
      <w:r>
        <w:rPr>
          <w:rFonts w:ascii="Verdana" w:hAnsi="Verdana"/>
          <w:sz w:val="20"/>
          <w:szCs w:val="20"/>
        </w:rPr>
        <w:t xml:space="preserve">ación de la Sentencia de </w:t>
      </w:r>
      <w:r w:rsidR="004165B9">
        <w:rPr>
          <w:rFonts w:ascii="Verdana" w:hAnsi="Verdana"/>
          <w:sz w:val="20"/>
          <w:szCs w:val="20"/>
        </w:rPr>
        <w:t>F</w:t>
      </w:r>
      <w:r>
        <w:rPr>
          <w:rFonts w:ascii="Verdana" w:hAnsi="Verdana"/>
          <w:sz w:val="20"/>
          <w:szCs w:val="20"/>
        </w:rPr>
        <w:t xml:space="preserve">ondo y </w:t>
      </w:r>
      <w:r w:rsidR="004165B9">
        <w:rPr>
          <w:rFonts w:ascii="Verdana" w:hAnsi="Verdana"/>
          <w:sz w:val="20"/>
          <w:szCs w:val="20"/>
        </w:rPr>
        <w:t>R</w:t>
      </w:r>
      <w:r w:rsidRPr="00710618">
        <w:rPr>
          <w:rFonts w:ascii="Verdana" w:hAnsi="Verdana"/>
          <w:sz w:val="20"/>
          <w:szCs w:val="20"/>
        </w:rPr>
        <w:t xml:space="preserve">eparaciones emitida en el caso </w:t>
      </w:r>
      <w:r>
        <w:rPr>
          <w:rFonts w:ascii="Verdana" w:hAnsi="Verdana"/>
          <w:i/>
          <w:sz w:val="20"/>
          <w:szCs w:val="20"/>
        </w:rPr>
        <w:t>Roche Azaña y otros Vs. Nicaragua</w:t>
      </w:r>
      <w:r w:rsidRPr="00710618">
        <w:rPr>
          <w:rFonts w:ascii="Verdana" w:hAnsi="Verdana"/>
          <w:sz w:val="20"/>
          <w:szCs w:val="20"/>
        </w:rPr>
        <w:t xml:space="preserve">, presentada por el Estado, en los términos de los párrafos </w:t>
      </w:r>
      <w:r w:rsidR="00DD6E9C">
        <w:rPr>
          <w:rFonts w:ascii="Verdana" w:hAnsi="Verdana"/>
          <w:sz w:val="20"/>
          <w:szCs w:val="20"/>
        </w:rPr>
        <w:t>30</w:t>
      </w:r>
      <w:r w:rsidRPr="00710618">
        <w:rPr>
          <w:rFonts w:ascii="Verdana" w:hAnsi="Verdana"/>
          <w:sz w:val="20"/>
          <w:szCs w:val="20"/>
        </w:rPr>
        <w:t xml:space="preserve"> a </w:t>
      </w:r>
      <w:r w:rsidR="00DD6E9C">
        <w:rPr>
          <w:rFonts w:ascii="Verdana" w:hAnsi="Verdana"/>
          <w:sz w:val="20"/>
          <w:szCs w:val="20"/>
        </w:rPr>
        <w:t>32</w:t>
      </w:r>
      <w:r w:rsidRPr="00710618">
        <w:rPr>
          <w:rFonts w:ascii="Verdana" w:hAnsi="Verdana"/>
          <w:sz w:val="20"/>
          <w:szCs w:val="20"/>
        </w:rPr>
        <w:t xml:space="preserve"> de la presente Sentencia</w:t>
      </w:r>
      <w:r w:rsidR="003314C4">
        <w:rPr>
          <w:rFonts w:ascii="Verdana" w:hAnsi="Verdana"/>
          <w:sz w:val="20"/>
          <w:szCs w:val="20"/>
        </w:rPr>
        <w:t xml:space="preserve"> de Interpretación</w:t>
      </w:r>
      <w:r w:rsidRPr="00710618">
        <w:rPr>
          <w:rFonts w:ascii="Verdana" w:hAnsi="Verdana"/>
          <w:sz w:val="20"/>
          <w:szCs w:val="20"/>
        </w:rPr>
        <w:t>.</w:t>
      </w:r>
    </w:p>
    <w:p w14:paraId="5829D71B" w14:textId="77777777" w:rsidR="00D86C19" w:rsidRDefault="00D86C19" w:rsidP="00D86C19">
      <w:pPr>
        <w:pStyle w:val="Prrafodelista"/>
        <w:spacing w:after="0" w:line="240" w:lineRule="auto"/>
        <w:ind w:left="0"/>
        <w:jc w:val="both"/>
        <w:rPr>
          <w:rFonts w:ascii="Verdana" w:hAnsi="Verdana"/>
          <w:sz w:val="20"/>
          <w:szCs w:val="20"/>
        </w:rPr>
      </w:pPr>
    </w:p>
    <w:p w14:paraId="582E14A7" w14:textId="44DC41D1" w:rsidR="008976FB" w:rsidRDefault="008976FB" w:rsidP="00A03487">
      <w:pPr>
        <w:pStyle w:val="Prrafodelista"/>
        <w:numPr>
          <w:ilvl w:val="0"/>
          <w:numId w:val="3"/>
        </w:numPr>
        <w:spacing w:after="0" w:line="240" w:lineRule="auto"/>
        <w:ind w:left="0" w:firstLine="0"/>
        <w:jc w:val="both"/>
        <w:rPr>
          <w:rFonts w:ascii="Verdana" w:hAnsi="Verdana"/>
          <w:sz w:val="20"/>
          <w:szCs w:val="20"/>
        </w:rPr>
      </w:pPr>
      <w:r>
        <w:rPr>
          <w:rFonts w:ascii="Verdana" w:hAnsi="Verdana"/>
          <w:sz w:val="20"/>
          <w:szCs w:val="20"/>
        </w:rPr>
        <w:t xml:space="preserve">Disponer que la Secretaría de la Corte notifique la presente Sentencia de </w:t>
      </w:r>
      <w:r w:rsidR="004165B9">
        <w:rPr>
          <w:rFonts w:ascii="Verdana" w:hAnsi="Verdana"/>
          <w:sz w:val="20"/>
          <w:szCs w:val="20"/>
        </w:rPr>
        <w:t>I</w:t>
      </w:r>
      <w:r>
        <w:rPr>
          <w:rFonts w:ascii="Verdana" w:hAnsi="Verdana"/>
          <w:sz w:val="20"/>
          <w:szCs w:val="20"/>
        </w:rPr>
        <w:t xml:space="preserve">nterpretación a la República </w:t>
      </w:r>
      <w:r w:rsidR="00710618">
        <w:rPr>
          <w:rFonts w:ascii="Verdana" w:hAnsi="Verdana"/>
          <w:sz w:val="20"/>
          <w:szCs w:val="20"/>
        </w:rPr>
        <w:t>de Nicaragua</w:t>
      </w:r>
      <w:r>
        <w:rPr>
          <w:rFonts w:ascii="Verdana" w:hAnsi="Verdana"/>
          <w:sz w:val="20"/>
          <w:szCs w:val="20"/>
        </w:rPr>
        <w:t>, a</w:t>
      </w:r>
      <w:r w:rsidR="00710618">
        <w:rPr>
          <w:rFonts w:ascii="Verdana" w:hAnsi="Verdana"/>
          <w:sz w:val="20"/>
          <w:szCs w:val="20"/>
        </w:rPr>
        <w:t>l representante</w:t>
      </w:r>
      <w:r>
        <w:rPr>
          <w:rFonts w:ascii="Verdana" w:hAnsi="Verdana"/>
          <w:sz w:val="20"/>
          <w:szCs w:val="20"/>
        </w:rPr>
        <w:t xml:space="preserve"> de las víctimas y a la Comisión Interamericana de Derechos Humanos.</w:t>
      </w:r>
    </w:p>
    <w:p w14:paraId="7ADB2F71" w14:textId="77777777" w:rsidR="00326C79" w:rsidRPr="00326C79" w:rsidRDefault="00326C79" w:rsidP="00326C79">
      <w:pPr>
        <w:pStyle w:val="Prrafodelista"/>
        <w:rPr>
          <w:rFonts w:ascii="Verdana" w:hAnsi="Verdana"/>
          <w:sz w:val="20"/>
          <w:szCs w:val="20"/>
        </w:rPr>
      </w:pPr>
    </w:p>
    <w:p w14:paraId="3B569710" w14:textId="4303DC33" w:rsidR="00827418" w:rsidRDefault="00827418" w:rsidP="00827418">
      <w:pPr>
        <w:jc w:val="both"/>
        <w:rPr>
          <w:rFonts w:ascii="Verdana" w:hAnsi="Verdana"/>
          <w:sz w:val="20"/>
        </w:rPr>
      </w:pPr>
      <w:r>
        <w:rPr>
          <w:rFonts w:ascii="Verdana" w:hAnsi="Verdana"/>
          <w:sz w:val="20"/>
        </w:rPr>
        <w:t xml:space="preserve">Corte IDH. Caso </w:t>
      </w:r>
      <w:r>
        <w:rPr>
          <w:rFonts w:ascii="Verdana" w:hAnsi="Verdana"/>
          <w:i/>
          <w:sz w:val="20"/>
        </w:rPr>
        <w:t>Roche Azaña y otros Vs. Nicaragua.</w:t>
      </w:r>
      <w:r>
        <w:rPr>
          <w:rFonts w:ascii="Verdana" w:hAnsi="Verdana"/>
          <w:sz w:val="20"/>
        </w:rPr>
        <w:t xml:space="preserve"> Interpretación de Sentencia sobre Fondo y </w:t>
      </w:r>
      <w:r w:rsidRPr="00827418">
        <w:rPr>
          <w:rFonts w:ascii="Verdana" w:hAnsi="Verdana"/>
          <w:sz w:val="20"/>
        </w:rPr>
        <w:t xml:space="preserve">Reparaciones. Sentencia de 18 de noviembre de 2020. </w:t>
      </w:r>
      <w:r w:rsidRPr="00827418">
        <w:rPr>
          <w:rFonts w:ascii="Verdana" w:hAnsi="Verdana"/>
          <w:iCs/>
          <w:sz w:val="20"/>
        </w:rPr>
        <w:t>Sentencia</w:t>
      </w:r>
      <w:r>
        <w:rPr>
          <w:rFonts w:ascii="Verdana" w:hAnsi="Verdana"/>
          <w:iCs/>
          <w:sz w:val="20"/>
        </w:rPr>
        <w:t xml:space="preserve"> adoptada en San José de Costa Rica por medio de sesión virtual.</w:t>
      </w:r>
    </w:p>
    <w:p w14:paraId="66879186" w14:textId="77777777" w:rsidR="00827418" w:rsidRPr="00CD72B7" w:rsidRDefault="00827418" w:rsidP="00827418">
      <w:pPr>
        <w:jc w:val="center"/>
        <w:rPr>
          <w:rFonts w:ascii="Verdana" w:hAnsi="Verdana"/>
          <w:sz w:val="20"/>
        </w:rPr>
      </w:pPr>
      <w:r w:rsidRPr="00CD72B7">
        <w:rPr>
          <w:rFonts w:ascii="Verdana" w:hAnsi="Verdana"/>
          <w:sz w:val="20"/>
        </w:rPr>
        <w:t>Elizabeth Odio Benito</w:t>
      </w:r>
    </w:p>
    <w:p w14:paraId="79E6C22E" w14:textId="77777777" w:rsidR="00827418" w:rsidRDefault="00827418" w:rsidP="00827418">
      <w:pPr>
        <w:jc w:val="center"/>
        <w:rPr>
          <w:rFonts w:ascii="Verdana" w:hAnsi="Verdana"/>
          <w:sz w:val="20"/>
        </w:rPr>
      </w:pPr>
      <w:r>
        <w:rPr>
          <w:rFonts w:ascii="Verdana" w:hAnsi="Verdana"/>
          <w:sz w:val="20"/>
        </w:rPr>
        <w:t>Presidenta</w:t>
      </w:r>
    </w:p>
    <w:p w14:paraId="5CE5268A" w14:textId="77777777" w:rsidR="00827418" w:rsidRDefault="00827418" w:rsidP="00827418">
      <w:pPr>
        <w:jc w:val="center"/>
        <w:rPr>
          <w:rFonts w:ascii="Verdana" w:hAnsi="Verdana"/>
          <w:sz w:val="20"/>
        </w:rPr>
      </w:pPr>
    </w:p>
    <w:p w14:paraId="5E047657" w14:textId="215F2765" w:rsidR="00827418" w:rsidRDefault="00827418" w:rsidP="00827418">
      <w:pPr>
        <w:rPr>
          <w:rFonts w:ascii="Verdana" w:hAnsi="Verdana"/>
          <w:sz w:val="20"/>
        </w:rPr>
      </w:pPr>
      <w:r>
        <w:rPr>
          <w:rFonts w:ascii="Verdana" w:hAnsi="Verdana"/>
          <w:sz w:val="20"/>
        </w:rPr>
        <w:t>L. Patricio Pazmiño Freire</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Eduardo Vio Grossi</w:t>
      </w:r>
      <w:r w:rsidRPr="00AB3782">
        <w:rPr>
          <w:rFonts w:ascii="Verdana" w:hAnsi="Verdana"/>
          <w:sz w:val="20"/>
        </w:rPr>
        <w:t xml:space="preserve"> </w:t>
      </w:r>
    </w:p>
    <w:p w14:paraId="484425D7" w14:textId="77777777" w:rsidR="00827418" w:rsidRDefault="00827418" w:rsidP="00827418">
      <w:pPr>
        <w:rPr>
          <w:rFonts w:ascii="Verdana" w:hAnsi="Verdana"/>
          <w:sz w:val="20"/>
        </w:rPr>
      </w:pPr>
    </w:p>
    <w:p w14:paraId="796C8231" w14:textId="77777777" w:rsidR="00827418" w:rsidRDefault="00827418" w:rsidP="00827418">
      <w:pPr>
        <w:rPr>
          <w:rFonts w:ascii="Verdana" w:hAnsi="Verdana"/>
          <w:sz w:val="20"/>
        </w:rPr>
      </w:pPr>
      <w:r>
        <w:rPr>
          <w:rFonts w:ascii="Verdana" w:hAnsi="Verdana"/>
          <w:sz w:val="20"/>
        </w:rPr>
        <w:t>Humberto Antonio</w:t>
      </w:r>
      <w:r w:rsidRPr="00CD72B7">
        <w:rPr>
          <w:rFonts w:ascii="Verdana" w:hAnsi="Verdana"/>
          <w:sz w:val="20"/>
        </w:rPr>
        <w:t xml:space="preserve"> Sierra Porto</w:t>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Eduardo Ferrer Mac-</w:t>
      </w:r>
      <w:proofErr w:type="spellStart"/>
      <w:r>
        <w:rPr>
          <w:rFonts w:ascii="Verdana" w:hAnsi="Verdana"/>
          <w:sz w:val="20"/>
        </w:rPr>
        <w:t>Gregor</w:t>
      </w:r>
      <w:proofErr w:type="spellEnd"/>
      <w:r>
        <w:rPr>
          <w:rFonts w:ascii="Verdana" w:hAnsi="Verdana"/>
          <w:sz w:val="20"/>
        </w:rPr>
        <w:t xml:space="preserve"> </w:t>
      </w:r>
      <w:proofErr w:type="spellStart"/>
      <w:r>
        <w:rPr>
          <w:rFonts w:ascii="Verdana" w:hAnsi="Verdana"/>
          <w:sz w:val="20"/>
        </w:rPr>
        <w:t>Poisot</w:t>
      </w:r>
      <w:proofErr w:type="spellEnd"/>
      <w:r>
        <w:rPr>
          <w:rFonts w:ascii="Verdana" w:hAnsi="Verdana"/>
          <w:sz w:val="20"/>
        </w:rPr>
        <w:t xml:space="preserve"> </w:t>
      </w:r>
    </w:p>
    <w:p w14:paraId="18A2D807" w14:textId="24EA23F9" w:rsidR="00827418" w:rsidRPr="00356934" w:rsidRDefault="00827418" w:rsidP="00827418">
      <w:pPr>
        <w:rPr>
          <w:rFonts w:ascii="Verdana" w:hAnsi="Verdana"/>
          <w:sz w:val="20"/>
        </w:rPr>
      </w:pPr>
    </w:p>
    <w:p w14:paraId="3A4654A4" w14:textId="77777777" w:rsidR="00827418" w:rsidRDefault="00827418" w:rsidP="00827418">
      <w:pPr>
        <w:rPr>
          <w:rFonts w:ascii="Verdana" w:hAnsi="Verdana"/>
          <w:sz w:val="20"/>
        </w:rPr>
      </w:pPr>
      <w:r>
        <w:rPr>
          <w:rFonts w:ascii="Verdana" w:hAnsi="Verdana"/>
          <w:sz w:val="20"/>
        </w:rPr>
        <w:t>Eugenio Raúl Zaffaroni</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Ricardo C. Pérez Manrique</w:t>
      </w:r>
    </w:p>
    <w:p w14:paraId="427F53E5" w14:textId="77777777" w:rsidR="00827418" w:rsidRDefault="00827418" w:rsidP="00827418">
      <w:pPr>
        <w:tabs>
          <w:tab w:val="left" w:pos="8460"/>
          <w:tab w:val="left" w:pos="8640"/>
        </w:tabs>
        <w:jc w:val="both"/>
        <w:rPr>
          <w:rFonts w:ascii="Verdana" w:hAnsi="Verdana"/>
          <w:sz w:val="20"/>
        </w:rPr>
      </w:pPr>
    </w:p>
    <w:p w14:paraId="29C24BBD" w14:textId="77777777" w:rsidR="00827418" w:rsidRPr="00274D2F" w:rsidRDefault="00827418" w:rsidP="00827418">
      <w:pPr>
        <w:tabs>
          <w:tab w:val="left" w:pos="8460"/>
          <w:tab w:val="left" w:pos="8640"/>
        </w:tabs>
        <w:jc w:val="center"/>
        <w:rPr>
          <w:rFonts w:ascii="Verdana" w:hAnsi="Verdana"/>
          <w:sz w:val="20"/>
        </w:rPr>
      </w:pPr>
    </w:p>
    <w:p w14:paraId="1DE05972" w14:textId="77777777" w:rsidR="00827418" w:rsidRDefault="00827418" w:rsidP="00827418">
      <w:pPr>
        <w:tabs>
          <w:tab w:val="left" w:pos="8460"/>
          <w:tab w:val="left" w:pos="8640"/>
        </w:tabs>
        <w:jc w:val="center"/>
        <w:rPr>
          <w:rFonts w:ascii="Verdana" w:hAnsi="Verdana"/>
          <w:sz w:val="20"/>
        </w:rPr>
      </w:pPr>
      <w:r>
        <w:rPr>
          <w:rFonts w:ascii="Verdana" w:hAnsi="Verdana"/>
          <w:sz w:val="20"/>
        </w:rPr>
        <w:t>Pablo Saavedra Alessandri</w:t>
      </w:r>
    </w:p>
    <w:p w14:paraId="42D41E57" w14:textId="4572CCB1" w:rsidR="00827418" w:rsidRDefault="00827418" w:rsidP="00827418">
      <w:pPr>
        <w:tabs>
          <w:tab w:val="left" w:pos="8460"/>
          <w:tab w:val="left" w:pos="8640"/>
        </w:tabs>
        <w:jc w:val="center"/>
        <w:rPr>
          <w:rFonts w:ascii="Verdana" w:hAnsi="Verdana"/>
          <w:sz w:val="20"/>
        </w:rPr>
      </w:pPr>
      <w:r>
        <w:rPr>
          <w:rFonts w:ascii="Verdana" w:hAnsi="Verdana"/>
          <w:sz w:val="20"/>
        </w:rPr>
        <w:t>Secretario</w:t>
      </w:r>
    </w:p>
    <w:p w14:paraId="3DCC7E0E" w14:textId="7F6481E6" w:rsidR="00827418" w:rsidRDefault="00827418" w:rsidP="00827418">
      <w:pPr>
        <w:tabs>
          <w:tab w:val="left" w:pos="8460"/>
          <w:tab w:val="left" w:pos="8640"/>
        </w:tabs>
        <w:jc w:val="both"/>
        <w:rPr>
          <w:rFonts w:ascii="Verdana" w:hAnsi="Verdana"/>
          <w:sz w:val="20"/>
        </w:rPr>
      </w:pPr>
      <w:r>
        <w:rPr>
          <w:rFonts w:ascii="Verdana" w:hAnsi="Verdana"/>
          <w:sz w:val="20"/>
        </w:rPr>
        <w:t>Comuníquese y ejecútese,</w:t>
      </w:r>
    </w:p>
    <w:p w14:paraId="24C3B471" w14:textId="77777777" w:rsidR="00827418" w:rsidRPr="00CD72B7" w:rsidRDefault="00827418" w:rsidP="00827418">
      <w:pPr>
        <w:jc w:val="right"/>
        <w:rPr>
          <w:rFonts w:ascii="Verdana" w:hAnsi="Verdana"/>
          <w:sz w:val="20"/>
        </w:rPr>
      </w:pPr>
      <w:r w:rsidRPr="00CD72B7">
        <w:rPr>
          <w:rFonts w:ascii="Verdana" w:hAnsi="Verdana"/>
          <w:sz w:val="20"/>
        </w:rPr>
        <w:t>Elizabeth Odio Benito</w:t>
      </w:r>
    </w:p>
    <w:p w14:paraId="02EE0AA7" w14:textId="77777777" w:rsidR="00827418" w:rsidRDefault="00827418" w:rsidP="00827418">
      <w:pPr>
        <w:ind w:right="519"/>
        <w:jc w:val="right"/>
        <w:rPr>
          <w:rFonts w:ascii="Verdana" w:hAnsi="Verdana"/>
          <w:sz w:val="20"/>
        </w:rPr>
      </w:pPr>
      <w:r>
        <w:rPr>
          <w:rFonts w:ascii="Verdana" w:hAnsi="Verdana"/>
          <w:sz w:val="20"/>
        </w:rPr>
        <w:t>Presidenta</w:t>
      </w:r>
    </w:p>
    <w:p w14:paraId="44972663" w14:textId="77777777" w:rsidR="00827418" w:rsidRDefault="00827418" w:rsidP="00827418">
      <w:pPr>
        <w:tabs>
          <w:tab w:val="left" w:pos="8460"/>
          <w:tab w:val="left" w:pos="8640"/>
        </w:tabs>
        <w:jc w:val="both"/>
        <w:rPr>
          <w:rFonts w:ascii="Verdana" w:hAnsi="Verdana"/>
          <w:sz w:val="20"/>
        </w:rPr>
      </w:pPr>
      <w:r>
        <w:rPr>
          <w:rFonts w:ascii="Verdana" w:hAnsi="Verdana"/>
          <w:sz w:val="20"/>
        </w:rPr>
        <w:t>Pablo Saavedra Alessandri</w:t>
      </w:r>
    </w:p>
    <w:p w14:paraId="7A708D31" w14:textId="0DD08DE8" w:rsidR="006F7956" w:rsidRPr="00A03487" w:rsidRDefault="00827418" w:rsidP="00827418">
      <w:pPr>
        <w:ind w:firstLine="720"/>
        <w:jc w:val="both"/>
        <w:rPr>
          <w:rFonts w:ascii="Verdana" w:hAnsi="Verdana"/>
          <w:sz w:val="20"/>
          <w:szCs w:val="20"/>
        </w:rPr>
      </w:pPr>
      <w:r>
        <w:rPr>
          <w:rFonts w:ascii="Verdana" w:hAnsi="Verdana"/>
          <w:sz w:val="20"/>
        </w:rPr>
        <w:t xml:space="preserve">  Secretario</w:t>
      </w:r>
    </w:p>
    <w:sectPr w:rsidR="006F7956" w:rsidRPr="00A03487" w:rsidSect="00827418">
      <w:footerReference w:type="default" r:id="rId8"/>
      <w:pgSz w:w="12240" w:h="20160" w:code="5"/>
      <w:pgMar w:top="1440" w:right="1247" w:bottom="144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547DC" w14:textId="77777777" w:rsidR="003500B6" w:rsidRDefault="003500B6" w:rsidP="00A57ACC">
      <w:pPr>
        <w:spacing w:after="0" w:line="240" w:lineRule="auto"/>
      </w:pPr>
      <w:r>
        <w:separator/>
      </w:r>
    </w:p>
  </w:endnote>
  <w:endnote w:type="continuationSeparator" w:id="0">
    <w:p w14:paraId="474DA0FE" w14:textId="77777777" w:rsidR="003500B6" w:rsidRDefault="003500B6" w:rsidP="00A57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5481121"/>
      <w:docPartObj>
        <w:docPartGallery w:val="Page Numbers (Bottom of Page)"/>
        <w:docPartUnique/>
      </w:docPartObj>
    </w:sdtPr>
    <w:sdtEndPr>
      <w:rPr>
        <w:noProof/>
      </w:rPr>
    </w:sdtEndPr>
    <w:sdtContent>
      <w:p w14:paraId="5870C9CE" w14:textId="222131E5" w:rsidR="00FE70DC" w:rsidRDefault="00FE70DC">
        <w:pPr>
          <w:pStyle w:val="Piedepgina"/>
          <w:jc w:val="center"/>
        </w:pPr>
        <w:r w:rsidRPr="00151723">
          <w:rPr>
            <w:rFonts w:ascii="Verdana" w:hAnsi="Verdana"/>
            <w:sz w:val="20"/>
            <w:szCs w:val="20"/>
          </w:rPr>
          <w:fldChar w:fldCharType="begin"/>
        </w:r>
        <w:r w:rsidRPr="00151723">
          <w:rPr>
            <w:rFonts w:ascii="Verdana" w:hAnsi="Verdana"/>
            <w:sz w:val="20"/>
            <w:szCs w:val="20"/>
          </w:rPr>
          <w:instrText xml:space="preserve"> PAGE   \* MERGEFORMAT </w:instrText>
        </w:r>
        <w:r w:rsidRPr="00151723">
          <w:rPr>
            <w:rFonts w:ascii="Verdana" w:hAnsi="Verdana"/>
            <w:sz w:val="20"/>
            <w:szCs w:val="20"/>
          </w:rPr>
          <w:fldChar w:fldCharType="separate"/>
        </w:r>
        <w:r w:rsidR="001A547D">
          <w:rPr>
            <w:rFonts w:ascii="Verdana" w:hAnsi="Verdana"/>
            <w:noProof/>
            <w:sz w:val="20"/>
            <w:szCs w:val="20"/>
          </w:rPr>
          <w:t>1</w:t>
        </w:r>
        <w:r w:rsidRPr="00151723">
          <w:rPr>
            <w:rFonts w:ascii="Verdana" w:hAnsi="Verdana"/>
            <w:noProof/>
            <w:sz w:val="20"/>
            <w:szCs w:val="20"/>
          </w:rPr>
          <w:fldChar w:fldCharType="end"/>
        </w:r>
      </w:p>
    </w:sdtContent>
  </w:sdt>
  <w:p w14:paraId="79FADBA5" w14:textId="77777777" w:rsidR="00FE70DC" w:rsidRDefault="00FE70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A54E0" w14:textId="77777777" w:rsidR="003500B6" w:rsidRDefault="003500B6" w:rsidP="00A57ACC">
      <w:pPr>
        <w:spacing w:after="0" w:line="240" w:lineRule="auto"/>
      </w:pPr>
      <w:r>
        <w:separator/>
      </w:r>
    </w:p>
  </w:footnote>
  <w:footnote w:type="continuationSeparator" w:id="0">
    <w:p w14:paraId="24B7E3A4" w14:textId="77777777" w:rsidR="003500B6" w:rsidRDefault="003500B6" w:rsidP="00A57ACC">
      <w:pPr>
        <w:spacing w:after="0" w:line="240" w:lineRule="auto"/>
      </w:pPr>
      <w:r>
        <w:continuationSeparator/>
      </w:r>
    </w:p>
  </w:footnote>
  <w:footnote w:id="1">
    <w:p w14:paraId="619613B7" w14:textId="2B46754C" w:rsidR="006531FA" w:rsidRPr="00BC67C8" w:rsidRDefault="006531FA" w:rsidP="006531FA">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Debido a las circunstancias excepcionales ocasionadas por la pandemia COVID-19, esta Sentencia fue deliberada y aprobada durante el 138 Período Ordinario de Sesiones, el cual se llevó a cabo de forma no presencial utilizando medios tecnológicos, de conformidad con lo establecido en el Reglamento de la Corte.  </w:t>
      </w:r>
    </w:p>
  </w:footnote>
  <w:footnote w:id="2">
    <w:p w14:paraId="351C28D4" w14:textId="7B10759A" w:rsidR="00FE70DC" w:rsidRPr="00BC67C8" w:rsidRDefault="00FE70DC" w:rsidP="004165B9">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r w:rsidRPr="00BC67C8">
        <w:rPr>
          <w:rFonts w:ascii="Verdana" w:hAnsi="Verdana"/>
          <w:i/>
          <w:sz w:val="16"/>
          <w:szCs w:val="16"/>
        </w:rPr>
        <w:t>Cfr. Caso Loayza Tamayo Vs. Perú. Interpretación de la Sentencia de Fondo.</w:t>
      </w:r>
      <w:r w:rsidRPr="00BC67C8">
        <w:rPr>
          <w:rFonts w:ascii="Verdana" w:hAnsi="Verdana"/>
          <w:sz w:val="16"/>
          <w:szCs w:val="16"/>
        </w:rPr>
        <w:t xml:space="preserve"> Resolución de la Corte Interamericana de Derechos Humanos de 8 de marzo de 1998. Serie C No. 47, párr. 16, y </w:t>
      </w:r>
      <w:r w:rsidR="009A3DD1" w:rsidRPr="00BC67C8">
        <w:rPr>
          <w:rFonts w:ascii="Verdana" w:hAnsi="Verdana" w:cs="Arial"/>
          <w:i/>
          <w:sz w:val="16"/>
          <w:szCs w:val="16"/>
          <w:shd w:val="clear" w:color="auto" w:fill="FFFFFF"/>
        </w:rPr>
        <w:t>Caso Asociación Nacional de Cesantes y Jubilados de la Superintendencia Nacional de Administración Tributaria (ANCEJUB-SUNAT) Vs. Perú. Interpretación de la Sentencia de Excepciones Preliminares, Fondo, Reparaciones y Costas.</w:t>
      </w:r>
      <w:r w:rsidR="009A3DD1" w:rsidRPr="00BC67C8">
        <w:rPr>
          <w:rFonts w:ascii="Verdana" w:hAnsi="Verdana" w:cs="Arial"/>
          <w:sz w:val="16"/>
          <w:szCs w:val="16"/>
          <w:shd w:val="clear" w:color="auto" w:fill="FFFFFF"/>
        </w:rPr>
        <w:t xml:space="preserve"> Sentencia de 8 de octubre de 2020. Serie C No. 413</w:t>
      </w:r>
      <w:r w:rsidRPr="00BC67C8">
        <w:rPr>
          <w:rFonts w:ascii="Verdana" w:hAnsi="Verdana"/>
          <w:sz w:val="16"/>
          <w:szCs w:val="16"/>
        </w:rPr>
        <w:t>, párr. 1</w:t>
      </w:r>
      <w:r w:rsidR="009A3DD1" w:rsidRPr="00BC67C8">
        <w:rPr>
          <w:rFonts w:ascii="Verdana" w:hAnsi="Verdana"/>
          <w:sz w:val="16"/>
          <w:szCs w:val="16"/>
        </w:rPr>
        <w:t>0</w:t>
      </w:r>
      <w:r w:rsidRPr="00BC67C8">
        <w:rPr>
          <w:rFonts w:ascii="Verdana" w:hAnsi="Verdana"/>
          <w:sz w:val="16"/>
          <w:szCs w:val="16"/>
        </w:rPr>
        <w:t>.</w:t>
      </w:r>
    </w:p>
  </w:footnote>
  <w:footnote w:id="3">
    <w:p w14:paraId="14571B78" w14:textId="6DF1E1BC" w:rsidR="00FE70DC" w:rsidRPr="00BC67C8" w:rsidRDefault="00FE70DC" w:rsidP="004165B9">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r w:rsidRPr="00BC67C8">
        <w:rPr>
          <w:rFonts w:ascii="Verdana" w:hAnsi="Verdana"/>
          <w:i/>
          <w:sz w:val="16"/>
          <w:szCs w:val="16"/>
        </w:rPr>
        <w:t>Cfr. Caso Loayza Tamayo Vs. Perú. Interpretación de la Sentencia de Fondo, supra</w:t>
      </w:r>
      <w:r w:rsidRPr="00BC67C8">
        <w:rPr>
          <w:rFonts w:ascii="Verdana" w:hAnsi="Verdana"/>
          <w:sz w:val="16"/>
          <w:szCs w:val="16"/>
        </w:rPr>
        <w:t xml:space="preserve"> nota 1</w:t>
      </w:r>
      <w:r w:rsidRPr="00BC67C8">
        <w:rPr>
          <w:rFonts w:ascii="Verdana" w:hAnsi="Verdana"/>
          <w:i/>
          <w:sz w:val="16"/>
          <w:szCs w:val="16"/>
        </w:rPr>
        <w:t>,</w:t>
      </w:r>
      <w:r w:rsidRPr="00BC67C8">
        <w:rPr>
          <w:rFonts w:ascii="Verdana" w:hAnsi="Verdana"/>
          <w:sz w:val="16"/>
          <w:szCs w:val="16"/>
        </w:rPr>
        <w:t xml:space="preserve"> párr. 16, y </w:t>
      </w:r>
      <w:r w:rsidR="009A3DD1" w:rsidRPr="00BC67C8">
        <w:rPr>
          <w:rFonts w:ascii="Verdana" w:hAnsi="Verdana" w:cs="Arial"/>
          <w:i/>
          <w:sz w:val="16"/>
          <w:szCs w:val="16"/>
          <w:shd w:val="clear" w:color="auto" w:fill="FFFFFF"/>
        </w:rPr>
        <w:t>Caso Asociación Nacional de Cesantes y Jubilados de la Superintendencia Nacional de Administración Tributaria (ANCEJUB-SUNAT) Vs. Perú. Interpretación de la Sentencia de Excepciones Preliminares, Fondo, Reparaciones y Costas</w:t>
      </w:r>
      <w:r w:rsidRPr="00BC67C8">
        <w:rPr>
          <w:rFonts w:ascii="Verdana" w:hAnsi="Verdana"/>
          <w:sz w:val="16"/>
          <w:szCs w:val="16"/>
        </w:rPr>
        <w:t xml:space="preserve">, </w:t>
      </w:r>
      <w:proofErr w:type="gramStart"/>
      <w:r w:rsidRPr="00BC67C8">
        <w:rPr>
          <w:rFonts w:ascii="Verdana" w:hAnsi="Verdana"/>
          <w:i/>
          <w:sz w:val="16"/>
          <w:szCs w:val="16"/>
        </w:rPr>
        <w:t xml:space="preserve">supra </w:t>
      </w:r>
      <w:r w:rsidRPr="00BC67C8">
        <w:rPr>
          <w:rFonts w:ascii="Verdana" w:hAnsi="Verdana"/>
          <w:sz w:val="16"/>
          <w:szCs w:val="16"/>
        </w:rPr>
        <w:t>,</w:t>
      </w:r>
      <w:proofErr w:type="gramEnd"/>
      <w:r w:rsidRPr="00BC67C8">
        <w:rPr>
          <w:rFonts w:ascii="Verdana" w:hAnsi="Verdana"/>
          <w:sz w:val="16"/>
          <w:szCs w:val="16"/>
        </w:rPr>
        <w:t xml:space="preserve"> párr. 1</w:t>
      </w:r>
      <w:r w:rsidR="009A3DD1" w:rsidRPr="00BC67C8">
        <w:rPr>
          <w:rFonts w:ascii="Verdana" w:hAnsi="Verdana"/>
          <w:sz w:val="16"/>
          <w:szCs w:val="16"/>
        </w:rPr>
        <w:t>0</w:t>
      </w:r>
      <w:r w:rsidRPr="00BC67C8">
        <w:rPr>
          <w:rFonts w:ascii="Verdana" w:hAnsi="Verdana"/>
          <w:sz w:val="16"/>
          <w:szCs w:val="16"/>
        </w:rPr>
        <w:t>.</w:t>
      </w:r>
    </w:p>
  </w:footnote>
  <w:footnote w:id="4">
    <w:p w14:paraId="2D80245A" w14:textId="736DE0F4" w:rsidR="005A46F0" w:rsidRPr="00BC67C8" w:rsidRDefault="005A46F0" w:rsidP="00D42D9E">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r w:rsidRPr="00BC67C8">
        <w:rPr>
          <w:rFonts w:ascii="Verdana" w:hAnsi="Verdana"/>
          <w:i/>
          <w:sz w:val="16"/>
          <w:szCs w:val="16"/>
        </w:rPr>
        <w:t>Cfr. Caso Loayza Tamayo Vs. Perú. Interpretación de la Sentencia de Reparaciones y Costas</w:t>
      </w:r>
      <w:r w:rsidRPr="00BC67C8">
        <w:rPr>
          <w:rFonts w:ascii="Verdana" w:hAnsi="Verdana"/>
          <w:sz w:val="16"/>
          <w:szCs w:val="16"/>
        </w:rPr>
        <w:t>,</w:t>
      </w:r>
      <w:r w:rsidRPr="00BC67C8">
        <w:rPr>
          <w:rFonts w:ascii="Verdana" w:hAnsi="Verdana"/>
          <w:sz w:val="16"/>
          <w:szCs w:val="16"/>
          <w:lang w:val="es-ES"/>
        </w:rPr>
        <w:t xml:space="preserve"> </w:t>
      </w:r>
      <w:r w:rsidRPr="00BC67C8">
        <w:rPr>
          <w:rFonts w:ascii="Verdana" w:hAnsi="Verdana"/>
          <w:i/>
          <w:sz w:val="16"/>
          <w:szCs w:val="16"/>
          <w:lang w:val="es-ES"/>
        </w:rPr>
        <w:t>supra</w:t>
      </w:r>
      <w:r w:rsidRPr="00BC67C8">
        <w:rPr>
          <w:rFonts w:ascii="Verdana" w:hAnsi="Verdana"/>
          <w:sz w:val="16"/>
          <w:szCs w:val="16"/>
          <w:lang w:val="es-ES"/>
        </w:rPr>
        <w:t>,</w:t>
      </w:r>
      <w:r w:rsidRPr="00BC67C8">
        <w:rPr>
          <w:rFonts w:ascii="Verdana" w:hAnsi="Verdana"/>
          <w:sz w:val="16"/>
          <w:szCs w:val="16"/>
        </w:rPr>
        <w:t xml:space="preserve"> párr. 15, </w:t>
      </w:r>
      <w:r w:rsidRPr="00BC67C8">
        <w:rPr>
          <w:rFonts w:ascii="Verdana" w:hAnsi="Verdana"/>
          <w:sz w:val="16"/>
          <w:szCs w:val="16"/>
          <w:lang w:val="es-CO"/>
        </w:rPr>
        <w:t>y</w:t>
      </w:r>
      <w:r w:rsidRPr="00BC67C8">
        <w:rPr>
          <w:rFonts w:ascii="Verdana" w:hAnsi="Verdana"/>
          <w:i/>
          <w:sz w:val="16"/>
          <w:szCs w:val="16"/>
          <w:lang w:val="es-CO"/>
        </w:rPr>
        <w:t xml:space="preserve"> </w:t>
      </w:r>
      <w:r w:rsidR="009A3DD1" w:rsidRPr="00BC67C8">
        <w:rPr>
          <w:rFonts w:ascii="Verdana" w:hAnsi="Verdana" w:cs="Arial"/>
          <w:i/>
          <w:sz w:val="16"/>
          <w:szCs w:val="16"/>
          <w:shd w:val="clear" w:color="auto" w:fill="FFFFFF"/>
        </w:rPr>
        <w:t>Caso Asociación Nacional de Cesantes y Jubilados de la Superintendencia Nacional de Administración Tributaria (ANCEJUB-SUNAT) Vs. Perú. Interpretación de la Sentencia de Excepciones Preliminares, Fondo, Reparaciones y Costas</w:t>
      </w:r>
      <w:r w:rsidRPr="00BC67C8">
        <w:rPr>
          <w:rFonts w:ascii="Verdana" w:hAnsi="Verdana" w:cs="Arial"/>
          <w:i/>
          <w:sz w:val="16"/>
          <w:szCs w:val="16"/>
          <w:shd w:val="clear" w:color="auto" w:fill="FFFFFF"/>
          <w:lang w:val="es-ES_tradnl"/>
        </w:rPr>
        <w:t>, supra</w:t>
      </w:r>
      <w:r w:rsidRPr="00BC67C8">
        <w:rPr>
          <w:rFonts w:ascii="Verdana" w:hAnsi="Verdana" w:cs="Arial"/>
          <w:sz w:val="16"/>
          <w:szCs w:val="16"/>
          <w:shd w:val="clear" w:color="auto" w:fill="FFFFFF"/>
        </w:rPr>
        <w:t>, párr. 11.</w:t>
      </w:r>
    </w:p>
  </w:footnote>
  <w:footnote w:id="5">
    <w:p w14:paraId="27FF51BC" w14:textId="37AC1AC9" w:rsidR="005A46F0" w:rsidRPr="00BC67C8" w:rsidRDefault="005A46F0" w:rsidP="00D42D9E">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r w:rsidRPr="00BC67C8">
        <w:rPr>
          <w:rFonts w:ascii="Verdana" w:hAnsi="Verdana"/>
          <w:i/>
          <w:sz w:val="16"/>
          <w:szCs w:val="16"/>
        </w:rPr>
        <w:t xml:space="preserve">Cfr. Caso Salvador Chiriboga Vs. Ecuador. Interpretación de la Sentencia de Reparaciones y Costas. </w:t>
      </w:r>
      <w:r w:rsidRPr="00BC67C8">
        <w:rPr>
          <w:rFonts w:ascii="Verdana" w:hAnsi="Verdana"/>
          <w:sz w:val="16"/>
          <w:szCs w:val="16"/>
        </w:rPr>
        <w:t xml:space="preserve">Sentencia de 29 de agosto de 2011. Serie C No. 230, párr. 30, </w:t>
      </w:r>
      <w:r w:rsidRPr="00BC67C8">
        <w:rPr>
          <w:rFonts w:ascii="Verdana" w:hAnsi="Verdana"/>
          <w:sz w:val="16"/>
          <w:szCs w:val="16"/>
          <w:lang w:val="es-CO"/>
        </w:rPr>
        <w:t>y</w:t>
      </w:r>
      <w:r w:rsidR="00E665F9" w:rsidRPr="00BC67C8">
        <w:rPr>
          <w:rFonts w:ascii="Verdana" w:hAnsi="Verdana" w:cs="Arial"/>
          <w:i/>
          <w:sz w:val="16"/>
          <w:szCs w:val="16"/>
          <w:shd w:val="clear" w:color="auto" w:fill="FFFFFF"/>
        </w:rPr>
        <w:t>Caso Asociación Nacional de Cesantes y Jubilados de la Superintendencia Nacional de Administración Tributaria (ANCEJUB-SUNAT) Vs. Perú. Interpretación de la Sentencia de Excepciones Preliminares, Fondo, Reparaciones y Costas</w:t>
      </w:r>
      <w:r w:rsidRPr="00BC67C8">
        <w:rPr>
          <w:rFonts w:ascii="Verdana" w:hAnsi="Verdana" w:cs="Arial"/>
          <w:i/>
          <w:sz w:val="16"/>
          <w:szCs w:val="16"/>
          <w:shd w:val="clear" w:color="auto" w:fill="FFFFFF"/>
          <w:lang w:val="es-ES_tradnl"/>
        </w:rPr>
        <w:t>, supra</w:t>
      </w:r>
      <w:r w:rsidRPr="00BC67C8">
        <w:rPr>
          <w:rFonts w:ascii="Verdana" w:hAnsi="Verdana" w:cs="Arial"/>
          <w:sz w:val="16"/>
          <w:szCs w:val="16"/>
          <w:shd w:val="clear" w:color="auto" w:fill="FFFFFF"/>
        </w:rPr>
        <w:t>, párr. 11.</w:t>
      </w:r>
    </w:p>
  </w:footnote>
  <w:footnote w:id="6">
    <w:p w14:paraId="08EF6640" w14:textId="608C5DBF" w:rsidR="005A46F0" w:rsidRPr="00BC67C8" w:rsidRDefault="005A46F0" w:rsidP="00D42D9E">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r w:rsidRPr="00BC67C8">
        <w:rPr>
          <w:rFonts w:ascii="Verdana" w:hAnsi="Verdana"/>
          <w:i/>
          <w:sz w:val="16"/>
          <w:szCs w:val="16"/>
        </w:rPr>
        <w:t>Cfr. Caso Escher y otros Vs. Brasil. Interpretación de la Sentencia de Excepciones Preliminares, Fondo, Reparaciones y Costas</w:t>
      </w:r>
      <w:r w:rsidRPr="00BC67C8">
        <w:rPr>
          <w:rFonts w:ascii="Verdana" w:hAnsi="Verdana"/>
          <w:sz w:val="16"/>
          <w:szCs w:val="16"/>
        </w:rPr>
        <w:t>. Sentencia de 20 de noviembre de 2009. Serie C No. 208, párr. 11,</w:t>
      </w:r>
      <w:r w:rsidRPr="00BC67C8">
        <w:rPr>
          <w:rFonts w:ascii="Verdana" w:hAnsi="Verdana"/>
          <w:i/>
          <w:sz w:val="16"/>
          <w:szCs w:val="16"/>
        </w:rPr>
        <w:t xml:space="preserve"> </w:t>
      </w:r>
      <w:r w:rsidRPr="00BC67C8">
        <w:rPr>
          <w:rFonts w:ascii="Verdana" w:hAnsi="Verdana"/>
          <w:sz w:val="16"/>
          <w:szCs w:val="16"/>
          <w:lang w:val="es-ES_tradnl"/>
        </w:rPr>
        <w:t xml:space="preserve">y </w:t>
      </w:r>
      <w:r w:rsidR="00E665F9" w:rsidRPr="00BC67C8">
        <w:rPr>
          <w:rFonts w:ascii="Verdana" w:hAnsi="Verdana" w:cs="Arial"/>
          <w:i/>
          <w:sz w:val="16"/>
          <w:szCs w:val="16"/>
          <w:shd w:val="clear" w:color="auto" w:fill="FFFFFF"/>
        </w:rPr>
        <w:t>Caso Asociación Nacional de Cesantes y Jubilados de la Superintendencia Nacional de Administración Tributaria (ANCEJUB-SUNAT) Vs. Perú. Interpretación de la Sentencia de Excepciones Preliminares, Fondo, Reparaciones y Costas</w:t>
      </w:r>
      <w:r w:rsidRPr="00BC67C8">
        <w:rPr>
          <w:rFonts w:ascii="Verdana" w:hAnsi="Verdana" w:cs="Arial"/>
          <w:i/>
          <w:sz w:val="16"/>
          <w:szCs w:val="16"/>
          <w:shd w:val="clear" w:color="auto" w:fill="FFFFFF"/>
          <w:lang w:val="es-ES"/>
        </w:rPr>
        <w:t xml:space="preserve">, </w:t>
      </w:r>
      <w:r w:rsidRPr="00BC67C8">
        <w:rPr>
          <w:rFonts w:ascii="Verdana" w:hAnsi="Verdana"/>
          <w:i/>
          <w:sz w:val="16"/>
          <w:szCs w:val="16"/>
          <w:lang w:val="es-ES_tradnl"/>
        </w:rPr>
        <w:t>supra</w:t>
      </w:r>
      <w:r w:rsidRPr="00BC67C8">
        <w:rPr>
          <w:rFonts w:ascii="Verdana" w:hAnsi="Verdana" w:cs="Arial"/>
          <w:sz w:val="16"/>
          <w:szCs w:val="16"/>
          <w:shd w:val="clear" w:color="auto" w:fill="FFFFFF"/>
        </w:rPr>
        <w:t>, párr. 11.</w:t>
      </w:r>
    </w:p>
  </w:footnote>
  <w:footnote w:id="7">
    <w:p w14:paraId="63326DA1" w14:textId="226A85A7" w:rsidR="006A490F" w:rsidRPr="00BC67C8" w:rsidRDefault="006A490F" w:rsidP="006531FA">
      <w:pPr>
        <w:pStyle w:val="Textonotapie"/>
        <w:ind w:firstLine="1"/>
        <w:jc w:val="both"/>
        <w:rPr>
          <w:rFonts w:ascii="Verdana" w:hAnsi="Verdana" w:cs="Times New Roman"/>
          <w:sz w:val="16"/>
          <w:szCs w:val="16"/>
        </w:rPr>
      </w:pPr>
      <w:r w:rsidRPr="00BC67C8">
        <w:rPr>
          <w:rStyle w:val="Refdenotaalpie"/>
          <w:rFonts w:ascii="Verdana" w:hAnsi="Verdana" w:cs="Times New Roman"/>
          <w:sz w:val="16"/>
          <w:szCs w:val="16"/>
        </w:rPr>
        <w:footnoteRef/>
      </w:r>
      <w:r w:rsidRPr="00BC67C8">
        <w:rPr>
          <w:rFonts w:ascii="Verdana" w:hAnsi="Verdana" w:cs="Times New Roman"/>
          <w:sz w:val="16"/>
          <w:szCs w:val="16"/>
        </w:rPr>
        <w:t xml:space="preserve"> </w:t>
      </w:r>
      <w:r w:rsidRPr="00BC67C8">
        <w:rPr>
          <w:rFonts w:ascii="Verdana" w:hAnsi="Verdana" w:cs="Times New Roman"/>
          <w:sz w:val="16"/>
          <w:szCs w:val="16"/>
        </w:rPr>
        <w:tab/>
      </w:r>
      <w:r w:rsidRPr="00BC67C8">
        <w:rPr>
          <w:rFonts w:ascii="Verdana" w:hAnsi="Verdana" w:cs="Times New Roman"/>
          <w:i/>
          <w:sz w:val="16"/>
          <w:szCs w:val="16"/>
        </w:rPr>
        <w:t>Cfr. Caso Pollo Rivera y otros Vs. Perú. Solicitud de Interpretación de la Sentencia de Fondo, Reparaciones y Costas</w:t>
      </w:r>
      <w:r w:rsidRPr="00BC67C8">
        <w:rPr>
          <w:rFonts w:ascii="Verdana" w:hAnsi="Verdana" w:cs="Times New Roman"/>
          <w:sz w:val="16"/>
          <w:szCs w:val="16"/>
        </w:rPr>
        <w:t xml:space="preserve">. Sentencia de 25 de mayo de 2017. Serie C No. 335, párr. 26, y </w:t>
      </w:r>
      <w:r w:rsidR="003D4C09" w:rsidRPr="00BC67C8">
        <w:rPr>
          <w:rFonts w:ascii="Verdana" w:hAnsi="Verdana" w:cs="Arial"/>
          <w:i/>
          <w:sz w:val="16"/>
          <w:szCs w:val="16"/>
          <w:shd w:val="clear" w:color="auto" w:fill="FFFFFF"/>
        </w:rPr>
        <w:t>Caso Alvarado Espinoza y otros Vs. México. Interpretación de la Sentencia de Fondo, Reparaciones y Costas</w:t>
      </w:r>
      <w:r w:rsidR="003D4C09" w:rsidRPr="00BC67C8">
        <w:rPr>
          <w:rFonts w:ascii="Verdana" w:hAnsi="Verdana" w:cs="Arial"/>
          <w:sz w:val="16"/>
          <w:szCs w:val="16"/>
          <w:shd w:val="clear" w:color="auto" w:fill="FFFFFF"/>
        </w:rPr>
        <w:t>. Sentencia de 30 de agosto de 2019. Serie C No. 381,</w:t>
      </w:r>
      <w:r w:rsidR="00B832AB">
        <w:rPr>
          <w:rFonts w:ascii="Verdana" w:hAnsi="Verdana" w:cs="Arial"/>
          <w:sz w:val="16"/>
          <w:szCs w:val="16"/>
          <w:shd w:val="clear" w:color="auto" w:fill="FFFFFF"/>
        </w:rPr>
        <w:t xml:space="preserve"> </w:t>
      </w:r>
      <w:r w:rsidRPr="00BC67C8">
        <w:rPr>
          <w:rFonts w:ascii="Verdana" w:hAnsi="Verdana" w:cs="Times New Roman"/>
          <w:sz w:val="16"/>
          <w:szCs w:val="16"/>
        </w:rPr>
        <w:t>párr. 18.</w:t>
      </w:r>
    </w:p>
  </w:footnote>
  <w:footnote w:id="8">
    <w:p w14:paraId="20A4A52A" w14:textId="77777777" w:rsidR="00522A34" w:rsidRPr="00BC67C8" w:rsidRDefault="00522A34" w:rsidP="006531FA">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t>Párrafo 128 de la Sentencia.</w:t>
      </w:r>
    </w:p>
  </w:footnote>
  <w:footnote w:id="9">
    <w:p w14:paraId="6760F068" w14:textId="77777777" w:rsidR="00522A34" w:rsidRPr="00BC67C8" w:rsidRDefault="00522A34" w:rsidP="006531FA">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t>Párrafo 129 de la Sentencia.</w:t>
      </w:r>
    </w:p>
  </w:footnote>
  <w:footnote w:id="10">
    <w:p w14:paraId="289962DF" w14:textId="4AA38AC2" w:rsidR="00AF3AF1" w:rsidRPr="00BC67C8" w:rsidRDefault="00AF3AF1">
      <w:pPr>
        <w:pStyle w:val="Textonotapie"/>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proofErr w:type="spellStart"/>
      <w:r w:rsidRPr="00BC67C8">
        <w:rPr>
          <w:rFonts w:ascii="Verdana" w:hAnsi="Verdana"/>
          <w:i/>
          <w:sz w:val="16"/>
          <w:szCs w:val="16"/>
        </w:rPr>
        <w:t>Idem</w:t>
      </w:r>
      <w:proofErr w:type="spellEnd"/>
      <w:r w:rsidRPr="00BC67C8">
        <w:rPr>
          <w:rFonts w:ascii="Verdana" w:hAnsi="Verdana"/>
          <w:sz w:val="16"/>
          <w:szCs w:val="16"/>
        </w:rPr>
        <w:t>.</w:t>
      </w:r>
    </w:p>
  </w:footnote>
  <w:footnote w:id="11">
    <w:p w14:paraId="0CF3AFCF" w14:textId="4FBF4697" w:rsidR="00522A34" w:rsidRPr="00BC67C8" w:rsidRDefault="00522A34" w:rsidP="006531FA">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r w:rsidRPr="00BC67C8">
        <w:rPr>
          <w:rFonts w:ascii="Verdana" w:hAnsi="Verdana"/>
          <w:i/>
          <w:sz w:val="16"/>
          <w:szCs w:val="16"/>
        </w:rPr>
        <w:t>Cfr. Caso Escher y otros Vs. Brasil. Interpretación de la Sentencia de Excepciones Preliminares, Fondo, Reparaciones y Costas.</w:t>
      </w:r>
      <w:r w:rsidRPr="00BC67C8">
        <w:rPr>
          <w:rFonts w:ascii="Verdana" w:hAnsi="Verdana"/>
          <w:sz w:val="16"/>
          <w:szCs w:val="16"/>
        </w:rPr>
        <w:t xml:space="preserve"> Sentencia de 20 de noviembre de 2009. Serie C No. 208, párr. 11, y </w:t>
      </w:r>
      <w:r w:rsidR="00831CAC" w:rsidRPr="00BC67C8">
        <w:rPr>
          <w:rFonts w:ascii="Verdana" w:hAnsi="Verdana" w:cs="Arial"/>
          <w:i/>
          <w:sz w:val="16"/>
          <w:szCs w:val="16"/>
          <w:shd w:val="clear" w:color="auto" w:fill="FFFFFF"/>
        </w:rPr>
        <w:t>Caso Alvarado Espinoza y otros Vs. México. Interpretación de la Sentencia de Fondo, Reparaciones y Costas</w:t>
      </w:r>
      <w:r w:rsidRPr="00BC67C8">
        <w:rPr>
          <w:rFonts w:ascii="Verdana" w:hAnsi="Verdana"/>
          <w:sz w:val="16"/>
          <w:szCs w:val="16"/>
        </w:rPr>
        <w:t xml:space="preserve">, </w:t>
      </w:r>
      <w:r w:rsidRPr="00BC67C8">
        <w:rPr>
          <w:rFonts w:ascii="Verdana" w:hAnsi="Verdana"/>
          <w:i/>
          <w:sz w:val="16"/>
          <w:szCs w:val="16"/>
        </w:rPr>
        <w:t>supra</w:t>
      </w:r>
      <w:r w:rsidRPr="00BC67C8">
        <w:rPr>
          <w:rFonts w:ascii="Verdana" w:hAnsi="Verdana"/>
          <w:sz w:val="16"/>
          <w:szCs w:val="16"/>
        </w:rPr>
        <w:t xml:space="preserve">, párr. </w:t>
      </w:r>
      <w:r w:rsidR="00831CAC" w:rsidRPr="00BC67C8">
        <w:rPr>
          <w:rFonts w:ascii="Verdana" w:hAnsi="Verdana"/>
          <w:sz w:val="16"/>
          <w:szCs w:val="16"/>
        </w:rPr>
        <w:t>25</w:t>
      </w:r>
      <w:r w:rsidRPr="00BC67C8">
        <w:rPr>
          <w:rFonts w:ascii="Verdana" w:hAnsi="Verdana"/>
          <w:sz w:val="16"/>
          <w:szCs w:val="16"/>
        </w:rPr>
        <w:t>.</w:t>
      </w:r>
    </w:p>
  </w:footnote>
  <w:footnote w:id="12">
    <w:p w14:paraId="7BAC4C7F" w14:textId="5CFD17A5" w:rsidR="00713644" w:rsidRPr="00BC67C8" w:rsidRDefault="00713644" w:rsidP="006531FA">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r w:rsidRPr="00BC67C8">
        <w:rPr>
          <w:rFonts w:ascii="Verdana" w:hAnsi="Verdana"/>
          <w:i/>
          <w:sz w:val="16"/>
          <w:szCs w:val="16"/>
        </w:rPr>
        <w:t>Cfr</w:t>
      </w:r>
      <w:r w:rsidRPr="00BC67C8">
        <w:rPr>
          <w:rFonts w:ascii="Verdana" w:hAnsi="Verdana"/>
          <w:sz w:val="16"/>
          <w:szCs w:val="16"/>
        </w:rPr>
        <w:t>. Denuncia interpuesta por J.S.O.N., de 18 de abril de 1996 (expediente de prueba, folio</w:t>
      </w:r>
      <w:r w:rsidR="00D95718" w:rsidRPr="00BC67C8">
        <w:rPr>
          <w:rFonts w:ascii="Verdana" w:hAnsi="Verdana"/>
          <w:sz w:val="16"/>
          <w:szCs w:val="16"/>
        </w:rPr>
        <w:t xml:space="preserve">s </w:t>
      </w:r>
      <w:r w:rsidRPr="00BC67C8">
        <w:rPr>
          <w:rFonts w:ascii="Verdana" w:hAnsi="Verdana"/>
          <w:sz w:val="16"/>
          <w:szCs w:val="16"/>
        </w:rPr>
        <w:t>836</w:t>
      </w:r>
      <w:r w:rsidR="00D95718" w:rsidRPr="00BC67C8">
        <w:rPr>
          <w:rFonts w:ascii="Verdana" w:hAnsi="Verdana"/>
          <w:sz w:val="16"/>
          <w:szCs w:val="16"/>
        </w:rPr>
        <w:t xml:space="preserve"> y s</w:t>
      </w:r>
      <w:r w:rsidR="00573331">
        <w:rPr>
          <w:rFonts w:ascii="Verdana" w:hAnsi="Verdana"/>
          <w:sz w:val="16"/>
          <w:szCs w:val="16"/>
        </w:rPr>
        <w:t>ig</w:t>
      </w:r>
      <w:r w:rsidR="00D95718" w:rsidRPr="00BC67C8">
        <w:rPr>
          <w:rFonts w:ascii="Verdana" w:hAnsi="Verdana"/>
          <w:sz w:val="16"/>
          <w:szCs w:val="16"/>
        </w:rPr>
        <w:t>s</w:t>
      </w:r>
      <w:r w:rsidR="00F25A26">
        <w:rPr>
          <w:rFonts w:ascii="Verdana" w:hAnsi="Verdana"/>
          <w:sz w:val="16"/>
          <w:szCs w:val="16"/>
        </w:rPr>
        <w:t>.</w:t>
      </w:r>
      <w:r w:rsidRPr="00BC67C8">
        <w:rPr>
          <w:rFonts w:ascii="Verdana" w:hAnsi="Verdana"/>
          <w:sz w:val="16"/>
          <w:szCs w:val="16"/>
        </w:rPr>
        <w:t>).</w:t>
      </w:r>
    </w:p>
  </w:footnote>
  <w:footnote w:id="13">
    <w:p w14:paraId="1BFF9C19" w14:textId="44510372" w:rsidR="00FE70DC" w:rsidRPr="00BC67C8" w:rsidRDefault="00FE70DC" w:rsidP="006531FA">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00713644" w:rsidRPr="00BC67C8">
        <w:rPr>
          <w:rFonts w:ascii="Verdana" w:hAnsi="Verdana"/>
          <w:sz w:val="16"/>
          <w:szCs w:val="16"/>
        </w:rPr>
        <w:tab/>
      </w:r>
      <w:r w:rsidR="00713644" w:rsidRPr="00BC67C8">
        <w:rPr>
          <w:rFonts w:ascii="Verdana" w:hAnsi="Verdana"/>
          <w:i/>
          <w:sz w:val="16"/>
          <w:szCs w:val="16"/>
        </w:rPr>
        <w:t>Cfr</w:t>
      </w:r>
      <w:r w:rsidR="00713644" w:rsidRPr="00BC67C8">
        <w:rPr>
          <w:rFonts w:ascii="Verdana" w:hAnsi="Verdana"/>
          <w:sz w:val="16"/>
          <w:szCs w:val="16"/>
        </w:rPr>
        <w:t xml:space="preserve">. </w:t>
      </w:r>
      <w:r w:rsidRPr="00BC67C8">
        <w:rPr>
          <w:rFonts w:ascii="Verdana" w:hAnsi="Verdana"/>
          <w:sz w:val="16"/>
          <w:szCs w:val="16"/>
        </w:rPr>
        <w:t>Auto de segura y formal prisión, dictado por el Juzgado Primero de Distrito del Crimen, de 6 de mayo de 1996 (expediente de prueba, folios 32</w:t>
      </w:r>
      <w:r w:rsidR="00713644" w:rsidRPr="00BC67C8">
        <w:rPr>
          <w:rFonts w:ascii="Verdana" w:hAnsi="Verdana"/>
          <w:sz w:val="16"/>
          <w:szCs w:val="16"/>
        </w:rPr>
        <w:t>79</w:t>
      </w:r>
      <w:r w:rsidRPr="00BC67C8">
        <w:rPr>
          <w:rFonts w:ascii="Verdana" w:hAnsi="Verdana"/>
          <w:sz w:val="16"/>
          <w:szCs w:val="16"/>
        </w:rPr>
        <w:t xml:space="preserve"> y s</w:t>
      </w:r>
      <w:r w:rsidR="00F25A26">
        <w:rPr>
          <w:rFonts w:ascii="Verdana" w:hAnsi="Verdana"/>
          <w:sz w:val="16"/>
          <w:szCs w:val="16"/>
        </w:rPr>
        <w:t>ig</w:t>
      </w:r>
      <w:r w:rsidRPr="00BC67C8">
        <w:rPr>
          <w:rFonts w:ascii="Verdana" w:hAnsi="Verdana"/>
          <w:sz w:val="16"/>
          <w:szCs w:val="16"/>
        </w:rPr>
        <w:t>s</w:t>
      </w:r>
      <w:r w:rsidR="00F25A26">
        <w:rPr>
          <w:rFonts w:ascii="Verdana" w:hAnsi="Verdana"/>
          <w:sz w:val="16"/>
          <w:szCs w:val="16"/>
        </w:rPr>
        <w:t>.</w:t>
      </w:r>
      <w:r w:rsidRPr="00BC67C8">
        <w:rPr>
          <w:rFonts w:ascii="Verdana" w:hAnsi="Verdana"/>
          <w:sz w:val="16"/>
          <w:szCs w:val="16"/>
        </w:rPr>
        <w:t>).</w:t>
      </w:r>
    </w:p>
  </w:footnote>
  <w:footnote w:id="14">
    <w:p w14:paraId="38143D94" w14:textId="2547BB06" w:rsidR="00FE70DC" w:rsidRPr="00BC67C8" w:rsidRDefault="00FE70DC" w:rsidP="006531FA">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r w:rsidRPr="00BC67C8">
        <w:rPr>
          <w:rFonts w:ascii="Verdana" w:hAnsi="Verdana"/>
          <w:i/>
          <w:sz w:val="16"/>
          <w:szCs w:val="16"/>
        </w:rPr>
        <w:t xml:space="preserve">Cfr. Caso Loayza Tamayo Vs. Perú. Interpretación de la Sentencia de Reparaciones y Costas, supra </w:t>
      </w:r>
      <w:r w:rsidRPr="00BC67C8">
        <w:rPr>
          <w:rFonts w:ascii="Verdana" w:hAnsi="Verdana"/>
          <w:sz w:val="16"/>
          <w:szCs w:val="16"/>
        </w:rPr>
        <w:t xml:space="preserve">nota 3, párr. 15, y </w:t>
      </w:r>
      <w:r w:rsidR="00E771D4" w:rsidRPr="00BC67C8">
        <w:rPr>
          <w:rFonts w:ascii="Verdana" w:hAnsi="Verdana" w:cs="Arial"/>
          <w:i/>
          <w:sz w:val="16"/>
          <w:szCs w:val="16"/>
          <w:shd w:val="clear" w:color="auto" w:fill="FFFFFF"/>
        </w:rPr>
        <w:t>Caso Asociación Nacional de Cesantes y Jubilados de la Superintendencia Nacional de Administración Tributaria (ANCEJUB-SUNAT) Vs. Perú. Interpretación de la Sentencia de Excepciones Preliminares, Fondo, Reparaciones y Costas</w:t>
      </w:r>
      <w:r w:rsidRPr="00BC67C8">
        <w:rPr>
          <w:rFonts w:ascii="Verdana" w:hAnsi="Verdana"/>
          <w:sz w:val="16"/>
          <w:szCs w:val="16"/>
        </w:rPr>
        <w:t xml:space="preserve">, </w:t>
      </w:r>
      <w:r w:rsidRPr="00BC67C8">
        <w:rPr>
          <w:rFonts w:ascii="Verdana" w:hAnsi="Verdana"/>
          <w:i/>
          <w:sz w:val="16"/>
          <w:szCs w:val="16"/>
        </w:rPr>
        <w:t>supra</w:t>
      </w:r>
      <w:r w:rsidRPr="00BC67C8">
        <w:rPr>
          <w:rFonts w:ascii="Verdana" w:hAnsi="Verdana"/>
          <w:sz w:val="16"/>
          <w:szCs w:val="16"/>
        </w:rPr>
        <w:t xml:space="preserve">, párr. </w:t>
      </w:r>
      <w:r w:rsidR="00E771D4" w:rsidRPr="00BC67C8">
        <w:rPr>
          <w:rFonts w:ascii="Verdana" w:hAnsi="Verdana"/>
          <w:sz w:val="16"/>
          <w:szCs w:val="16"/>
        </w:rPr>
        <w:t>11</w:t>
      </w:r>
      <w:r w:rsidRPr="00BC67C8">
        <w:rPr>
          <w:rFonts w:ascii="Verdana" w:hAnsi="Verdana"/>
          <w:sz w:val="16"/>
          <w:szCs w:val="16"/>
        </w:rPr>
        <w:t xml:space="preserve">. </w:t>
      </w:r>
    </w:p>
  </w:footnote>
  <w:footnote w:id="15">
    <w:p w14:paraId="7B8B3014" w14:textId="1187544E" w:rsidR="00FE70DC" w:rsidRPr="00BC67C8" w:rsidRDefault="00FE70DC" w:rsidP="006531FA">
      <w:pPr>
        <w:pStyle w:val="Textonotapie"/>
        <w:jc w:val="both"/>
        <w:rPr>
          <w:rFonts w:ascii="Verdana" w:hAnsi="Verdana"/>
          <w:sz w:val="16"/>
          <w:szCs w:val="16"/>
        </w:rPr>
      </w:pPr>
      <w:r w:rsidRPr="00BC67C8">
        <w:rPr>
          <w:rStyle w:val="Refdenotaalpie"/>
          <w:rFonts w:ascii="Verdana" w:hAnsi="Verdana"/>
          <w:sz w:val="16"/>
          <w:szCs w:val="16"/>
        </w:rPr>
        <w:footnoteRef/>
      </w:r>
      <w:r w:rsidRPr="00BC67C8">
        <w:rPr>
          <w:rFonts w:ascii="Verdana" w:hAnsi="Verdana"/>
          <w:sz w:val="16"/>
          <w:szCs w:val="16"/>
        </w:rPr>
        <w:t xml:space="preserve"> </w:t>
      </w:r>
      <w:r w:rsidRPr="00BC67C8">
        <w:rPr>
          <w:rFonts w:ascii="Verdana" w:hAnsi="Verdana"/>
          <w:sz w:val="16"/>
          <w:szCs w:val="16"/>
        </w:rPr>
        <w:tab/>
      </w:r>
      <w:r w:rsidRPr="00BC67C8">
        <w:rPr>
          <w:rFonts w:ascii="Verdana" w:hAnsi="Verdana"/>
          <w:i/>
          <w:sz w:val="16"/>
          <w:szCs w:val="16"/>
        </w:rPr>
        <w:t xml:space="preserve">Cfr. Caso Loayza Tamayo Vs. Perú, Interpretación de la Sentencia de Reparaciones y Costas, supra </w:t>
      </w:r>
      <w:r w:rsidRPr="00BC67C8">
        <w:rPr>
          <w:rFonts w:ascii="Verdana" w:hAnsi="Verdana"/>
          <w:sz w:val="16"/>
          <w:szCs w:val="16"/>
        </w:rPr>
        <w:t>nota 3</w:t>
      </w:r>
      <w:r w:rsidRPr="00BC67C8">
        <w:rPr>
          <w:rFonts w:ascii="Verdana" w:hAnsi="Verdana"/>
          <w:i/>
          <w:sz w:val="16"/>
          <w:szCs w:val="16"/>
        </w:rPr>
        <w:t>,</w:t>
      </w:r>
      <w:r w:rsidRPr="00BC67C8">
        <w:rPr>
          <w:rFonts w:ascii="Verdana" w:hAnsi="Verdana"/>
          <w:sz w:val="16"/>
          <w:szCs w:val="16"/>
        </w:rPr>
        <w:t xml:space="preserve"> párr. 16, y </w:t>
      </w:r>
      <w:r w:rsidR="00E771D4" w:rsidRPr="00BC67C8">
        <w:rPr>
          <w:rFonts w:ascii="Verdana" w:hAnsi="Verdana" w:cs="Arial"/>
          <w:i/>
          <w:sz w:val="16"/>
          <w:szCs w:val="16"/>
          <w:shd w:val="clear" w:color="auto" w:fill="FFFFFF"/>
        </w:rPr>
        <w:t>Caso Asociación Nacional de Cesantes y Jubilados de la Superintendencia Nacional de Administración Tributaria (ANCEJUB-SUNAT) Vs. Perú. Interpretación de la Sentencia de Excepciones Preliminares, Fondo, Reparaciones y Costas</w:t>
      </w:r>
      <w:r w:rsidRPr="00BC67C8">
        <w:rPr>
          <w:rFonts w:ascii="Verdana" w:hAnsi="Verdana"/>
          <w:sz w:val="16"/>
          <w:szCs w:val="16"/>
        </w:rPr>
        <w:t xml:space="preserve">, </w:t>
      </w:r>
      <w:r w:rsidRPr="00BC67C8">
        <w:rPr>
          <w:rFonts w:ascii="Verdana" w:hAnsi="Verdana"/>
          <w:i/>
          <w:sz w:val="16"/>
          <w:szCs w:val="16"/>
        </w:rPr>
        <w:t>supra</w:t>
      </w:r>
      <w:r w:rsidRPr="00BC67C8">
        <w:rPr>
          <w:rFonts w:ascii="Verdana" w:hAnsi="Verdana"/>
          <w:sz w:val="16"/>
          <w:szCs w:val="16"/>
        </w:rPr>
        <w:t xml:space="preserve">, párr. </w:t>
      </w:r>
      <w:r w:rsidR="00E771D4" w:rsidRPr="00BC67C8">
        <w:rPr>
          <w:rFonts w:ascii="Verdana" w:hAnsi="Verdana"/>
          <w:sz w:val="16"/>
          <w:szCs w:val="16"/>
        </w:rPr>
        <w:t>10</w:t>
      </w:r>
      <w:r w:rsidRPr="00BC67C8">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6E3D3A"/>
    <w:multiLevelType w:val="hybridMultilevel"/>
    <w:tmpl w:val="7C400068"/>
    <w:lvl w:ilvl="0" w:tplc="EFD08706">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 w15:restartNumberingAfterBreak="0">
    <w:nsid w:val="4CBF02C5"/>
    <w:multiLevelType w:val="hybridMultilevel"/>
    <w:tmpl w:val="20D8799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6AC42F37"/>
    <w:multiLevelType w:val="hybridMultilevel"/>
    <w:tmpl w:val="A5A06084"/>
    <w:lvl w:ilvl="0" w:tplc="2328138C">
      <w:start w:val="1"/>
      <w:numFmt w:val="decimal"/>
      <w:lvlText w:val="%1."/>
      <w:lvlJc w:val="left"/>
      <w:pPr>
        <w:ind w:left="720" w:hanging="360"/>
      </w:pPr>
      <w:rPr>
        <w:rFonts w:hint="default"/>
        <w:b w:val="0"/>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7CE64D32"/>
    <w:multiLevelType w:val="hybridMultilevel"/>
    <w:tmpl w:val="F94C7190"/>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AF5"/>
    <w:rsid w:val="00010071"/>
    <w:rsid w:val="00022DDF"/>
    <w:rsid w:val="00060A5C"/>
    <w:rsid w:val="00062D7D"/>
    <w:rsid w:val="00063229"/>
    <w:rsid w:val="00087B2C"/>
    <w:rsid w:val="000931E7"/>
    <w:rsid w:val="00095380"/>
    <w:rsid w:val="000A3CBA"/>
    <w:rsid w:val="000A3FAC"/>
    <w:rsid w:val="000F4D31"/>
    <w:rsid w:val="00110F66"/>
    <w:rsid w:val="0011170C"/>
    <w:rsid w:val="00133EE6"/>
    <w:rsid w:val="00145B65"/>
    <w:rsid w:val="00151723"/>
    <w:rsid w:val="00160B33"/>
    <w:rsid w:val="0016672D"/>
    <w:rsid w:val="00170E42"/>
    <w:rsid w:val="00180C1E"/>
    <w:rsid w:val="00185E1C"/>
    <w:rsid w:val="001928E4"/>
    <w:rsid w:val="001A23E4"/>
    <w:rsid w:val="001A3EFE"/>
    <w:rsid w:val="001A4938"/>
    <w:rsid w:val="001A547D"/>
    <w:rsid w:val="001D6B1C"/>
    <w:rsid w:val="002033CA"/>
    <w:rsid w:val="00226204"/>
    <w:rsid w:val="00236B2C"/>
    <w:rsid w:val="002471A6"/>
    <w:rsid w:val="00261D91"/>
    <w:rsid w:val="002631D9"/>
    <w:rsid w:val="002656AA"/>
    <w:rsid w:val="00265EB7"/>
    <w:rsid w:val="00271CA8"/>
    <w:rsid w:val="0027489A"/>
    <w:rsid w:val="002775A3"/>
    <w:rsid w:val="0029222A"/>
    <w:rsid w:val="002A7B26"/>
    <w:rsid w:val="002C083D"/>
    <w:rsid w:val="002C624F"/>
    <w:rsid w:val="002D32C9"/>
    <w:rsid w:val="002E5E50"/>
    <w:rsid w:val="00305CEA"/>
    <w:rsid w:val="003170D7"/>
    <w:rsid w:val="00324613"/>
    <w:rsid w:val="00325614"/>
    <w:rsid w:val="00326C79"/>
    <w:rsid w:val="003314C4"/>
    <w:rsid w:val="00334AED"/>
    <w:rsid w:val="003402F5"/>
    <w:rsid w:val="00341E9C"/>
    <w:rsid w:val="003500B6"/>
    <w:rsid w:val="0035795D"/>
    <w:rsid w:val="00375475"/>
    <w:rsid w:val="00376909"/>
    <w:rsid w:val="003C0A35"/>
    <w:rsid w:val="003C1385"/>
    <w:rsid w:val="003D4C09"/>
    <w:rsid w:val="003E11EF"/>
    <w:rsid w:val="00410F7A"/>
    <w:rsid w:val="004165B9"/>
    <w:rsid w:val="00427A9E"/>
    <w:rsid w:val="00433694"/>
    <w:rsid w:val="0046227F"/>
    <w:rsid w:val="00475003"/>
    <w:rsid w:val="00475ABD"/>
    <w:rsid w:val="004A2146"/>
    <w:rsid w:val="004A56D9"/>
    <w:rsid w:val="004B5867"/>
    <w:rsid w:val="004C3C96"/>
    <w:rsid w:val="004D6574"/>
    <w:rsid w:val="004F1B86"/>
    <w:rsid w:val="00503125"/>
    <w:rsid w:val="00522A34"/>
    <w:rsid w:val="005444BA"/>
    <w:rsid w:val="00544E1E"/>
    <w:rsid w:val="00557AAD"/>
    <w:rsid w:val="00573331"/>
    <w:rsid w:val="005825FE"/>
    <w:rsid w:val="005A0A84"/>
    <w:rsid w:val="005A26AE"/>
    <w:rsid w:val="005A46F0"/>
    <w:rsid w:val="005E758C"/>
    <w:rsid w:val="0060124A"/>
    <w:rsid w:val="00631872"/>
    <w:rsid w:val="0064124E"/>
    <w:rsid w:val="006522B5"/>
    <w:rsid w:val="006531FA"/>
    <w:rsid w:val="00653764"/>
    <w:rsid w:val="006A490F"/>
    <w:rsid w:val="006B1039"/>
    <w:rsid w:val="006B478B"/>
    <w:rsid w:val="006E0069"/>
    <w:rsid w:val="006F14CA"/>
    <w:rsid w:val="006F7956"/>
    <w:rsid w:val="00710618"/>
    <w:rsid w:val="00713644"/>
    <w:rsid w:val="00714A27"/>
    <w:rsid w:val="00721E17"/>
    <w:rsid w:val="00722496"/>
    <w:rsid w:val="00726F1E"/>
    <w:rsid w:val="00755EFA"/>
    <w:rsid w:val="00783ECF"/>
    <w:rsid w:val="008002A7"/>
    <w:rsid w:val="008156F6"/>
    <w:rsid w:val="00820851"/>
    <w:rsid w:val="00827418"/>
    <w:rsid w:val="00831CAC"/>
    <w:rsid w:val="00833FA6"/>
    <w:rsid w:val="00852976"/>
    <w:rsid w:val="008561C7"/>
    <w:rsid w:val="008870C5"/>
    <w:rsid w:val="008943BD"/>
    <w:rsid w:val="00896292"/>
    <w:rsid w:val="008976FB"/>
    <w:rsid w:val="008A2975"/>
    <w:rsid w:val="008B7F2D"/>
    <w:rsid w:val="008C46FA"/>
    <w:rsid w:val="008D7E03"/>
    <w:rsid w:val="008E4728"/>
    <w:rsid w:val="00901C33"/>
    <w:rsid w:val="00901CDD"/>
    <w:rsid w:val="009066EE"/>
    <w:rsid w:val="009079D8"/>
    <w:rsid w:val="00920089"/>
    <w:rsid w:val="009261B6"/>
    <w:rsid w:val="0097477B"/>
    <w:rsid w:val="0097779B"/>
    <w:rsid w:val="009777C8"/>
    <w:rsid w:val="009A3DD1"/>
    <w:rsid w:val="009D0958"/>
    <w:rsid w:val="009D2EFC"/>
    <w:rsid w:val="00A03487"/>
    <w:rsid w:val="00A2244B"/>
    <w:rsid w:val="00A23800"/>
    <w:rsid w:val="00A53C30"/>
    <w:rsid w:val="00A57ACC"/>
    <w:rsid w:val="00A9174A"/>
    <w:rsid w:val="00A95CF0"/>
    <w:rsid w:val="00A96F1F"/>
    <w:rsid w:val="00AA3653"/>
    <w:rsid w:val="00AA67ED"/>
    <w:rsid w:val="00AF3AF1"/>
    <w:rsid w:val="00B0312F"/>
    <w:rsid w:val="00B07CBE"/>
    <w:rsid w:val="00B13EFE"/>
    <w:rsid w:val="00B201EF"/>
    <w:rsid w:val="00B22E3D"/>
    <w:rsid w:val="00B34A1F"/>
    <w:rsid w:val="00B4079D"/>
    <w:rsid w:val="00B4304E"/>
    <w:rsid w:val="00B56BD8"/>
    <w:rsid w:val="00B57557"/>
    <w:rsid w:val="00B71305"/>
    <w:rsid w:val="00B77504"/>
    <w:rsid w:val="00B832AB"/>
    <w:rsid w:val="00B952BD"/>
    <w:rsid w:val="00BA4750"/>
    <w:rsid w:val="00BB2E11"/>
    <w:rsid w:val="00BB324D"/>
    <w:rsid w:val="00BB5B05"/>
    <w:rsid w:val="00BC3CC7"/>
    <w:rsid w:val="00BC67C8"/>
    <w:rsid w:val="00BD5ECF"/>
    <w:rsid w:val="00BD7276"/>
    <w:rsid w:val="00BE4C99"/>
    <w:rsid w:val="00BF1009"/>
    <w:rsid w:val="00C46276"/>
    <w:rsid w:val="00C66FA1"/>
    <w:rsid w:val="00C92789"/>
    <w:rsid w:val="00C92D55"/>
    <w:rsid w:val="00CB2E7C"/>
    <w:rsid w:val="00CB6EA3"/>
    <w:rsid w:val="00CC22B5"/>
    <w:rsid w:val="00CD3AFD"/>
    <w:rsid w:val="00D40D81"/>
    <w:rsid w:val="00D42D9E"/>
    <w:rsid w:val="00D86C19"/>
    <w:rsid w:val="00D91AF5"/>
    <w:rsid w:val="00D95718"/>
    <w:rsid w:val="00D9704A"/>
    <w:rsid w:val="00DA59AC"/>
    <w:rsid w:val="00DB3CF0"/>
    <w:rsid w:val="00DB501C"/>
    <w:rsid w:val="00DB6BFC"/>
    <w:rsid w:val="00DC6C13"/>
    <w:rsid w:val="00DD6E9C"/>
    <w:rsid w:val="00DE2817"/>
    <w:rsid w:val="00E026E0"/>
    <w:rsid w:val="00E02941"/>
    <w:rsid w:val="00E27624"/>
    <w:rsid w:val="00E537C8"/>
    <w:rsid w:val="00E665F9"/>
    <w:rsid w:val="00E717CE"/>
    <w:rsid w:val="00E771D4"/>
    <w:rsid w:val="00E91352"/>
    <w:rsid w:val="00E935A2"/>
    <w:rsid w:val="00EA3055"/>
    <w:rsid w:val="00EA35A6"/>
    <w:rsid w:val="00EB5B4E"/>
    <w:rsid w:val="00EB7379"/>
    <w:rsid w:val="00EC7CC4"/>
    <w:rsid w:val="00EF6514"/>
    <w:rsid w:val="00F01BD6"/>
    <w:rsid w:val="00F10865"/>
    <w:rsid w:val="00F2129C"/>
    <w:rsid w:val="00F25A26"/>
    <w:rsid w:val="00F42B42"/>
    <w:rsid w:val="00F80AA4"/>
    <w:rsid w:val="00F964CF"/>
    <w:rsid w:val="00F96DF4"/>
    <w:rsid w:val="00FB66CD"/>
    <w:rsid w:val="00FC1E51"/>
    <w:rsid w:val="00FD541B"/>
    <w:rsid w:val="00FE113B"/>
    <w:rsid w:val="00FE1DB5"/>
    <w:rsid w:val="00FE70DC"/>
    <w:rsid w:val="00FE7DB1"/>
    <w:rsid w:val="00FF5E4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4627"/>
  <w15:docId w15:val="{B12B63F9-A749-442D-BD2F-07C31829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2E7C"/>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w:basedOn w:val="Normal"/>
    <w:link w:val="TextonotapieCar"/>
    <w:unhideWhenUsed/>
    <w:qFormat/>
    <w:rsid w:val="00A57ACC"/>
    <w:pPr>
      <w:spacing w:after="0" w:line="240" w:lineRule="auto"/>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ﬂnotentext Car1,Ca Car"/>
    <w:basedOn w:val="Fuentedeprrafopredeter"/>
    <w:link w:val="Textonotapie"/>
    <w:rsid w:val="00A57ACC"/>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A57ACC"/>
    <w:rPr>
      <w:vertAlign w:val="superscript"/>
    </w:rPr>
  </w:style>
  <w:style w:type="character" w:styleId="Nmerodelnea">
    <w:name w:val="line number"/>
    <w:basedOn w:val="Fuentedeprrafopredeter"/>
    <w:uiPriority w:val="99"/>
    <w:semiHidden/>
    <w:unhideWhenUsed/>
    <w:rsid w:val="00FE1DB5"/>
  </w:style>
  <w:style w:type="paragraph" w:styleId="Encabezado">
    <w:name w:val="header"/>
    <w:basedOn w:val="Normal"/>
    <w:link w:val="EncabezadoCar"/>
    <w:uiPriority w:val="99"/>
    <w:unhideWhenUsed/>
    <w:rsid w:val="00FE1DB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E1DB5"/>
  </w:style>
  <w:style w:type="paragraph" w:styleId="Piedepgina">
    <w:name w:val="footer"/>
    <w:basedOn w:val="Normal"/>
    <w:link w:val="PiedepginaCar"/>
    <w:uiPriority w:val="99"/>
    <w:unhideWhenUsed/>
    <w:rsid w:val="00FE1DB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E1DB5"/>
  </w:style>
  <w:style w:type="paragraph" w:styleId="Textodeglobo">
    <w:name w:val="Balloon Text"/>
    <w:basedOn w:val="Normal"/>
    <w:link w:val="TextodegloboCar"/>
    <w:uiPriority w:val="99"/>
    <w:semiHidden/>
    <w:unhideWhenUsed/>
    <w:rsid w:val="00CB6E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6EA3"/>
    <w:rPr>
      <w:rFonts w:ascii="Tahoma" w:hAnsi="Tahoma" w:cs="Tahoma"/>
      <w:sz w:val="16"/>
      <w:szCs w:val="16"/>
    </w:rPr>
  </w:style>
  <w:style w:type="character" w:styleId="Refdecomentario">
    <w:name w:val="annotation reference"/>
    <w:basedOn w:val="Fuentedeprrafopredeter"/>
    <w:uiPriority w:val="99"/>
    <w:semiHidden/>
    <w:unhideWhenUsed/>
    <w:rsid w:val="005A46F0"/>
    <w:rPr>
      <w:sz w:val="16"/>
      <w:szCs w:val="16"/>
    </w:rPr>
  </w:style>
  <w:style w:type="paragraph" w:styleId="Textocomentario">
    <w:name w:val="annotation text"/>
    <w:basedOn w:val="Normal"/>
    <w:link w:val="TextocomentarioCar"/>
    <w:uiPriority w:val="99"/>
    <w:semiHidden/>
    <w:unhideWhenUsed/>
    <w:rsid w:val="005A46F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46F0"/>
    <w:rPr>
      <w:sz w:val="20"/>
      <w:szCs w:val="20"/>
    </w:rPr>
  </w:style>
  <w:style w:type="paragraph" w:styleId="Asuntodelcomentario">
    <w:name w:val="annotation subject"/>
    <w:basedOn w:val="Textocomentario"/>
    <w:next w:val="Textocomentario"/>
    <w:link w:val="AsuntodelcomentarioCar"/>
    <w:uiPriority w:val="99"/>
    <w:semiHidden/>
    <w:unhideWhenUsed/>
    <w:rsid w:val="005A46F0"/>
    <w:rPr>
      <w:b/>
      <w:bCs/>
    </w:rPr>
  </w:style>
  <w:style w:type="character" w:customStyle="1" w:styleId="AsuntodelcomentarioCar">
    <w:name w:val="Asunto del comentario Car"/>
    <w:basedOn w:val="TextocomentarioCar"/>
    <w:link w:val="Asuntodelcomentario"/>
    <w:uiPriority w:val="99"/>
    <w:semiHidden/>
    <w:rsid w:val="005A46F0"/>
    <w:rPr>
      <w:b/>
      <w:bCs/>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qFormat/>
    <w:rsid w:val="005A46F0"/>
    <w:rPr>
      <w:rFonts w:ascii="Calibri" w:eastAsia="Calibri" w:hAnsi="Calibri" w:cs="Times New Roman"/>
      <w:sz w:val="20"/>
      <w:szCs w:val="20"/>
      <w:lang w:val="x-none" w:eastAsia="x-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A46F0"/>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DE700-5E21-4E51-9378-9FA4582F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3191</Words>
  <Characters>17555</Characters>
  <Application>Microsoft Office Word</Application>
  <DocSecurity>0</DocSecurity>
  <Lines>146</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2020-12-21T16:55:00Z</dcterms:created>
  <dcterms:modified xsi:type="dcterms:W3CDTF">2020-12-21T16:55:00Z</dcterms:modified>
</cp:coreProperties>
</file>