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5FCF78" w14:textId="77777777" w:rsidR="00E22526" w:rsidRPr="00576D03" w:rsidRDefault="00E22526" w:rsidP="00544D8C">
      <w:pPr>
        <w:tabs>
          <w:tab w:val="left" w:pos="810"/>
        </w:tabs>
        <w:suppressAutoHyphens/>
        <w:spacing w:after="0" w:line="240" w:lineRule="auto"/>
        <w:jc w:val="right"/>
        <w:rPr>
          <w:rFonts w:ascii="Cambria" w:hAnsi="Cambria" w:cs="Arial"/>
          <w:lang w:val="es-PE"/>
        </w:rPr>
      </w:pPr>
    </w:p>
    <w:p w14:paraId="24A6D123" w14:textId="77777777" w:rsidR="00544D8C" w:rsidRPr="00576D03" w:rsidRDefault="00AD22E6" w:rsidP="00544D8C">
      <w:pPr>
        <w:tabs>
          <w:tab w:val="left" w:pos="810"/>
        </w:tabs>
        <w:suppressAutoHyphens/>
        <w:spacing w:after="0" w:line="240" w:lineRule="auto"/>
        <w:jc w:val="right"/>
        <w:rPr>
          <w:rFonts w:ascii="Cambria" w:hAnsi="Cambria" w:cs="Arial"/>
          <w:b/>
          <w:lang w:val="es-PE"/>
        </w:rPr>
      </w:pPr>
      <w:r>
        <w:rPr>
          <w:rFonts w:ascii="Cambria" w:hAnsi="Cambria" w:cs="Arial"/>
          <w:lang w:val="es-PE"/>
        </w:rPr>
        <w:t>29</w:t>
      </w:r>
      <w:r w:rsidR="00544D8C" w:rsidRPr="00576D03">
        <w:rPr>
          <w:rFonts w:ascii="Cambria" w:hAnsi="Cambria" w:cs="Arial"/>
          <w:lang w:val="es-PE"/>
        </w:rPr>
        <w:t xml:space="preserve"> de </w:t>
      </w:r>
      <w:r>
        <w:rPr>
          <w:rFonts w:ascii="Cambria" w:hAnsi="Cambria" w:cs="Arial"/>
          <w:lang w:val="es-PE"/>
        </w:rPr>
        <w:t>jun</w:t>
      </w:r>
      <w:r w:rsidR="004877BE">
        <w:rPr>
          <w:rFonts w:ascii="Cambria" w:hAnsi="Cambria" w:cs="Arial"/>
          <w:lang w:val="es-PE"/>
        </w:rPr>
        <w:t>io de 2018</w:t>
      </w:r>
    </w:p>
    <w:p w14:paraId="2EB1FB71" w14:textId="77777777" w:rsidR="00544D8C" w:rsidRPr="00576D03" w:rsidRDefault="00544D8C" w:rsidP="00544D8C">
      <w:pPr>
        <w:widowControl w:val="0"/>
        <w:tabs>
          <w:tab w:val="left" w:pos="720"/>
        </w:tabs>
        <w:autoSpaceDE w:val="0"/>
        <w:autoSpaceDN w:val="0"/>
        <w:adjustRightInd w:val="0"/>
        <w:spacing w:after="0" w:line="240" w:lineRule="auto"/>
        <w:jc w:val="both"/>
        <w:rPr>
          <w:rFonts w:ascii="Cambria" w:hAnsi="Cambria" w:cs="Arial"/>
          <w:b/>
          <w:lang w:val="es-PE"/>
        </w:rPr>
      </w:pPr>
      <w:r w:rsidRPr="00576D03">
        <w:rPr>
          <w:rFonts w:ascii="Cambria" w:hAnsi="Cambria" w:cs="Arial"/>
          <w:b/>
          <w:lang w:val="es-PE"/>
        </w:rPr>
        <w:t>REF.:</w:t>
      </w:r>
      <w:bookmarkStart w:id="0" w:name="Peticion_n"/>
      <w:bookmarkEnd w:id="0"/>
      <w:r w:rsidRPr="00576D03">
        <w:rPr>
          <w:rFonts w:ascii="Cambria" w:hAnsi="Cambria" w:cs="Arial"/>
          <w:b/>
          <w:lang w:val="es-PE"/>
        </w:rPr>
        <w:tab/>
        <w:t xml:space="preserve">Caso Nº </w:t>
      </w:r>
      <w:r w:rsidRPr="00576D03">
        <w:rPr>
          <w:rFonts w:ascii="Cambria" w:hAnsi="Cambria"/>
          <w:b/>
          <w:lang w:val="es-PE"/>
        </w:rPr>
        <w:t>1</w:t>
      </w:r>
      <w:r w:rsidR="004877BE">
        <w:rPr>
          <w:rFonts w:ascii="Cambria" w:hAnsi="Cambria"/>
          <w:b/>
          <w:lang w:val="es-PE"/>
        </w:rPr>
        <w:t>1</w:t>
      </w:r>
      <w:r w:rsidRPr="00576D03">
        <w:rPr>
          <w:rFonts w:ascii="Cambria" w:hAnsi="Cambria"/>
          <w:b/>
          <w:lang w:val="es-PE"/>
        </w:rPr>
        <w:t>.</w:t>
      </w:r>
      <w:r w:rsidR="004877BE">
        <w:rPr>
          <w:rFonts w:ascii="Cambria" w:hAnsi="Cambria"/>
          <w:b/>
          <w:lang w:val="es-PE"/>
        </w:rPr>
        <w:t>227</w:t>
      </w:r>
    </w:p>
    <w:p w14:paraId="7D07DBB7" w14:textId="77777777" w:rsidR="00544D8C" w:rsidRPr="00AD22E6" w:rsidRDefault="004877BE" w:rsidP="00AD22E6">
      <w:pPr>
        <w:widowControl w:val="0"/>
        <w:tabs>
          <w:tab w:val="left" w:pos="810"/>
        </w:tabs>
        <w:autoSpaceDE w:val="0"/>
        <w:autoSpaceDN w:val="0"/>
        <w:adjustRightInd w:val="0"/>
        <w:spacing w:after="0" w:line="240" w:lineRule="auto"/>
        <w:ind w:firstLine="720"/>
        <w:jc w:val="both"/>
        <w:rPr>
          <w:rFonts w:ascii="Cambria" w:hAnsi="Cambria"/>
          <w:b/>
          <w:lang w:val="es-ES"/>
        </w:rPr>
      </w:pPr>
      <w:r>
        <w:rPr>
          <w:rFonts w:ascii="Cambria" w:hAnsi="Cambria"/>
          <w:b/>
          <w:lang w:val="es-ES"/>
        </w:rPr>
        <w:t>Integrantes y Militante</w:t>
      </w:r>
      <w:r w:rsidR="00AD22E6">
        <w:rPr>
          <w:rFonts w:ascii="Cambria" w:hAnsi="Cambria"/>
          <w:b/>
          <w:lang w:val="es-ES"/>
        </w:rPr>
        <w:t xml:space="preserve">s de </w:t>
      </w:r>
      <w:r>
        <w:rPr>
          <w:rFonts w:ascii="Cambria" w:hAnsi="Cambria"/>
          <w:b/>
          <w:lang w:val="es-ES"/>
        </w:rPr>
        <w:t>la Unión Patriótica</w:t>
      </w:r>
    </w:p>
    <w:p w14:paraId="3184E821" w14:textId="77777777" w:rsidR="00544D8C" w:rsidRPr="00576D03" w:rsidRDefault="004877BE" w:rsidP="00544D8C">
      <w:pPr>
        <w:tabs>
          <w:tab w:val="left" w:pos="720"/>
          <w:tab w:val="left" w:pos="810"/>
          <w:tab w:val="center" w:pos="6480"/>
        </w:tabs>
        <w:spacing w:after="0" w:line="240" w:lineRule="auto"/>
        <w:ind w:left="720"/>
        <w:jc w:val="both"/>
        <w:rPr>
          <w:rFonts w:ascii="Cambria" w:hAnsi="Cambria" w:cs="Arial"/>
          <w:b/>
          <w:lang w:val="es-ES_tradnl"/>
        </w:rPr>
      </w:pPr>
      <w:r>
        <w:rPr>
          <w:rFonts w:ascii="Cambria" w:hAnsi="Cambria" w:cs="Arial"/>
          <w:b/>
          <w:lang w:val="es-CR"/>
        </w:rPr>
        <w:t>Colombia</w:t>
      </w:r>
    </w:p>
    <w:p w14:paraId="52C9FC26" w14:textId="77777777" w:rsidR="00544D8C" w:rsidRPr="00576D03" w:rsidRDefault="00544D8C" w:rsidP="00544D8C">
      <w:pPr>
        <w:tabs>
          <w:tab w:val="left" w:pos="720"/>
          <w:tab w:val="left" w:pos="810"/>
          <w:tab w:val="center" w:pos="6480"/>
        </w:tabs>
        <w:spacing w:after="0" w:line="240" w:lineRule="auto"/>
        <w:jc w:val="both"/>
        <w:rPr>
          <w:rFonts w:ascii="Cambria" w:hAnsi="Cambria" w:cs="Arial"/>
          <w:lang w:val="es-PE"/>
        </w:rPr>
      </w:pPr>
    </w:p>
    <w:p w14:paraId="29DB268E" w14:textId="77777777" w:rsidR="00544D8C" w:rsidRPr="00576D03" w:rsidRDefault="00544D8C" w:rsidP="00544D8C">
      <w:pPr>
        <w:tabs>
          <w:tab w:val="left" w:pos="720"/>
          <w:tab w:val="left" w:pos="810"/>
          <w:tab w:val="center" w:pos="6480"/>
        </w:tabs>
        <w:spacing w:after="0" w:line="240" w:lineRule="auto"/>
        <w:jc w:val="both"/>
        <w:rPr>
          <w:rFonts w:ascii="Cambria" w:hAnsi="Cambria" w:cs="Arial"/>
          <w:lang w:val="es-PE"/>
        </w:rPr>
      </w:pPr>
      <w:r w:rsidRPr="00576D03">
        <w:rPr>
          <w:rFonts w:ascii="Cambria" w:hAnsi="Cambria" w:cs="Arial"/>
          <w:lang w:val="es-PE"/>
        </w:rPr>
        <w:t>Señor Secretario:</w:t>
      </w:r>
    </w:p>
    <w:p w14:paraId="5762ECE0" w14:textId="77777777" w:rsidR="00544D8C" w:rsidRPr="00576D03" w:rsidRDefault="00544D8C" w:rsidP="00544D8C">
      <w:pPr>
        <w:widowControl w:val="0"/>
        <w:tabs>
          <w:tab w:val="left" w:pos="810"/>
        </w:tabs>
        <w:autoSpaceDE w:val="0"/>
        <w:autoSpaceDN w:val="0"/>
        <w:adjustRightInd w:val="0"/>
        <w:spacing w:after="0" w:line="240" w:lineRule="auto"/>
        <w:jc w:val="both"/>
        <w:rPr>
          <w:rFonts w:ascii="Cambria" w:hAnsi="Cambria"/>
          <w:lang w:val="es-CO"/>
        </w:rPr>
      </w:pPr>
    </w:p>
    <w:p w14:paraId="09263EAC" w14:textId="77777777" w:rsidR="001D08D1" w:rsidRDefault="008A5756" w:rsidP="008A5756">
      <w:pPr>
        <w:tabs>
          <w:tab w:val="left" w:pos="360"/>
          <w:tab w:val="left" w:pos="2880"/>
        </w:tabs>
        <w:spacing w:after="0" w:line="240" w:lineRule="auto"/>
        <w:jc w:val="both"/>
        <w:rPr>
          <w:rFonts w:ascii="Cambria" w:hAnsi="Cambria"/>
          <w:lang w:val="es-VE"/>
        </w:rPr>
      </w:pPr>
      <w:r w:rsidRPr="00576D03">
        <w:rPr>
          <w:rFonts w:ascii="Cambria" w:hAnsi="Cambria"/>
          <w:lang w:val="es-CO"/>
        </w:rPr>
        <w:tab/>
      </w:r>
      <w:r w:rsidR="00544D8C" w:rsidRPr="00576D03">
        <w:rPr>
          <w:rFonts w:ascii="Cambria" w:hAnsi="Cambria"/>
          <w:lang w:val="es-CO"/>
        </w:rPr>
        <w:t>Tengo el agrado de dirigirme a usted, en nombre de la Comisión Interamericana de Derechos Humanos, con el objeto</w:t>
      </w:r>
      <w:r w:rsidR="00544D8C" w:rsidRPr="00576D03">
        <w:rPr>
          <w:rFonts w:ascii="Cambria" w:hAnsi="Cambria" w:cs="Arial"/>
          <w:lang w:val="es-CO"/>
        </w:rPr>
        <w:t xml:space="preserve"> de presentar ante la Honorable Corte Interamericana de Derechos Humanos, el Caso Nº </w:t>
      </w:r>
      <w:r w:rsidR="004877BE">
        <w:rPr>
          <w:rFonts w:ascii="Cambria" w:hAnsi="Cambria" w:cs="Arial"/>
          <w:lang w:val="es-CO"/>
        </w:rPr>
        <w:t>11.227</w:t>
      </w:r>
      <w:r w:rsidR="00544D8C" w:rsidRPr="00576D03">
        <w:rPr>
          <w:rFonts w:ascii="Cambria" w:hAnsi="Cambria" w:cs="Arial"/>
          <w:lang w:val="es-CO"/>
        </w:rPr>
        <w:t xml:space="preserve"> – </w:t>
      </w:r>
      <w:r w:rsidR="004877BE">
        <w:rPr>
          <w:rFonts w:ascii="Cambria" w:hAnsi="Cambria" w:cs="Arial"/>
          <w:lang w:val="es-CO"/>
        </w:rPr>
        <w:t>Integrantes y Militantes de la Unión Patriótica</w:t>
      </w:r>
      <w:r w:rsidR="00544D8C" w:rsidRPr="00576D03">
        <w:rPr>
          <w:rFonts w:ascii="Cambria" w:hAnsi="Cambria" w:cs="Arial"/>
          <w:lang w:val="es-CO"/>
        </w:rPr>
        <w:t xml:space="preserve"> respecto de la República de </w:t>
      </w:r>
      <w:r w:rsidR="004877BE">
        <w:rPr>
          <w:rFonts w:ascii="Cambria" w:hAnsi="Cambria" w:cs="Arial"/>
          <w:lang w:val="es-CO"/>
        </w:rPr>
        <w:t>Colombia</w:t>
      </w:r>
      <w:r w:rsidR="00544D8C" w:rsidRPr="00576D03">
        <w:rPr>
          <w:rFonts w:ascii="Cambria" w:hAnsi="Cambria" w:cs="Arial"/>
          <w:lang w:val="es-CO"/>
        </w:rPr>
        <w:t xml:space="preserve"> (en adelante “el Estado”, “el Estado </w:t>
      </w:r>
      <w:r w:rsidR="004877BE">
        <w:rPr>
          <w:rFonts w:ascii="Cambria" w:hAnsi="Cambria" w:cs="Arial"/>
          <w:lang w:val="es-CO"/>
        </w:rPr>
        <w:t>colombiano</w:t>
      </w:r>
      <w:r w:rsidR="00544D8C" w:rsidRPr="00576D03">
        <w:rPr>
          <w:rFonts w:ascii="Cambria" w:hAnsi="Cambria" w:cs="Arial"/>
          <w:lang w:val="es-CO"/>
        </w:rPr>
        <w:t>” o “</w:t>
      </w:r>
      <w:r w:rsidR="004877BE">
        <w:rPr>
          <w:rFonts w:ascii="Cambria" w:hAnsi="Cambria" w:cs="Arial"/>
          <w:lang w:val="es-CO"/>
        </w:rPr>
        <w:t>Colombia</w:t>
      </w:r>
      <w:r w:rsidR="00544D8C" w:rsidRPr="00576D03">
        <w:rPr>
          <w:rFonts w:ascii="Cambria" w:hAnsi="Cambria" w:cs="Arial"/>
          <w:lang w:val="es-CO"/>
        </w:rPr>
        <w:t xml:space="preserve">”), relacionado con </w:t>
      </w:r>
      <w:r w:rsidRPr="00576D03">
        <w:rPr>
          <w:rFonts w:ascii="Cambria" w:hAnsi="Cambria"/>
          <w:lang w:val="es-VE"/>
        </w:rPr>
        <w:t>la</w:t>
      </w:r>
      <w:r w:rsidR="00072B8F">
        <w:rPr>
          <w:rFonts w:ascii="Cambria" w:hAnsi="Cambria"/>
          <w:lang w:val="es-VE"/>
        </w:rPr>
        <w:t xml:space="preserve">s sucesivas y graves violaciones </w:t>
      </w:r>
      <w:r w:rsidR="00AD22E6">
        <w:rPr>
          <w:rFonts w:ascii="Cambria" w:hAnsi="Cambria"/>
          <w:lang w:val="es-VE"/>
        </w:rPr>
        <w:t xml:space="preserve">de derechos humanos </w:t>
      </w:r>
      <w:r w:rsidR="00072B8F">
        <w:rPr>
          <w:rFonts w:ascii="Cambria" w:hAnsi="Cambria"/>
          <w:lang w:val="es-VE"/>
        </w:rPr>
        <w:t>cometidas en perjuicio de más de 6</w:t>
      </w:r>
      <w:r w:rsidR="005F4628">
        <w:rPr>
          <w:rFonts w:ascii="Cambria" w:hAnsi="Cambria"/>
          <w:lang w:val="es-VE"/>
        </w:rPr>
        <w:t>,</w:t>
      </w:r>
      <w:r w:rsidR="00072B8F">
        <w:rPr>
          <w:rFonts w:ascii="Cambria" w:hAnsi="Cambria"/>
          <w:lang w:val="es-VE"/>
        </w:rPr>
        <w:t>000 vícti</w:t>
      </w:r>
      <w:r w:rsidR="00C16363">
        <w:rPr>
          <w:rFonts w:ascii="Cambria" w:hAnsi="Cambria"/>
          <w:lang w:val="es-VE"/>
        </w:rPr>
        <w:t>mas integrantes y militantes del partido político Unión Patriótica en Colombia a partir de 198</w:t>
      </w:r>
      <w:r w:rsidR="00A84A50">
        <w:rPr>
          <w:rFonts w:ascii="Cambria" w:hAnsi="Cambria"/>
          <w:lang w:val="es-VE"/>
        </w:rPr>
        <w:t>4</w:t>
      </w:r>
      <w:r w:rsidR="00C16363">
        <w:rPr>
          <w:rFonts w:ascii="Cambria" w:hAnsi="Cambria"/>
          <w:lang w:val="es-VE"/>
        </w:rPr>
        <w:t xml:space="preserve"> y por más de 20 años. </w:t>
      </w:r>
      <w:r w:rsidR="00AD22E6">
        <w:rPr>
          <w:rFonts w:ascii="Cambria" w:hAnsi="Cambria"/>
          <w:lang w:val="es-VE"/>
        </w:rPr>
        <w:t xml:space="preserve">La Comisión calificó estos hechos como un exterminio y estableció que los mismos alcanzaron una gravedad y magnitud inusitados. </w:t>
      </w:r>
    </w:p>
    <w:p w14:paraId="1B3EF22D" w14:textId="77777777" w:rsidR="001D08D1" w:rsidRDefault="001D08D1" w:rsidP="008A5756">
      <w:pPr>
        <w:tabs>
          <w:tab w:val="left" w:pos="360"/>
          <w:tab w:val="left" w:pos="2880"/>
        </w:tabs>
        <w:spacing w:after="0" w:line="240" w:lineRule="auto"/>
        <w:jc w:val="both"/>
        <w:rPr>
          <w:rFonts w:ascii="Cambria" w:hAnsi="Cambria"/>
          <w:lang w:val="es-VE"/>
        </w:rPr>
      </w:pPr>
    </w:p>
    <w:p w14:paraId="58DD69D5" w14:textId="77777777" w:rsidR="00072B8F" w:rsidRDefault="001D08D1" w:rsidP="008A5756">
      <w:pPr>
        <w:tabs>
          <w:tab w:val="left" w:pos="360"/>
          <w:tab w:val="left" w:pos="2880"/>
        </w:tabs>
        <w:spacing w:after="0" w:line="240" w:lineRule="auto"/>
        <w:jc w:val="both"/>
        <w:rPr>
          <w:rFonts w:ascii="Cambria" w:hAnsi="Cambria"/>
          <w:lang w:val="es-VE"/>
        </w:rPr>
      </w:pPr>
      <w:r>
        <w:rPr>
          <w:rFonts w:ascii="Cambria" w:hAnsi="Cambria"/>
          <w:lang w:val="es-VE"/>
        </w:rPr>
        <w:tab/>
      </w:r>
      <w:r w:rsidR="00C16363">
        <w:rPr>
          <w:rFonts w:ascii="Cambria" w:hAnsi="Cambria"/>
          <w:lang w:val="es-VE"/>
        </w:rPr>
        <w:t xml:space="preserve">La Comisión determinó que el Estado incurrió en responsabilidad internacional </w:t>
      </w:r>
      <w:r w:rsidR="00AD22E6">
        <w:rPr>
          <w:rFonts w:ascii="Cambria" w:hAnsi="Cambria"/>
          <w:lang w:val="es-VE"/>
        </w:rPr>
        <w:t xml:space="preserve">por incumplimiento </w:t>
      </w:r>
      <w:r w:rsidR="00C16363">
        <w:rPr>
          <w:rFonts w:ascii="Cambria" w:hAnsi="Cambria"/>
          <w:lang w:val="es-VE"/>
        </w:rPr>
        <w:t>tanto</w:t>
      </w:r>
      <w:r w:rsidR="00AD22E6">
        <w:rPr>
          <w:rFonts w:ascii="Cambria" w:hAnsi="Cambria"/>
          <w:lang w:val="es-VE"/>
        </w:rPr>
        <w:t xml:space="preserve"> de sus deberes de </w:t>
      </w:r>
      <w:r w:rsidR="00C16363">
        <w:rPr>
          <w:rFonts w:ascii="Cambria" w:hAnsi="Cambria"/>
          <w:lang w:val="es-VE"/>
        </w:rPr>
        <w:t>respeto como de garantía, por las privaciones del derecho a la vi</w:t>
      </w:r>
      <w:r w:rsidR="009B4D33">
        <w:rPr>
          <w:rFonts w:ascii="Cambria" w:hAnsi="Cambria"/>
          <w:lang w:val="es-VE"/>
        </w:rPr>
        <w:t xml:space="preserve">da, </w:t>
      </w:r>
      <w:r w:rsidR="00C16363">
        <w:rPr>
          <w:rFonts w:ascii="Cambria" w:hAnsi="Cambria"/>
          <w:lang w:val="es-VE"/>
        </w:rPr>
        <w:t>desapariciones forzadas, amenazas, hostigamientos, desplazamientos forzados y tentativas de homicidio de las cuales fueron objeto las víctimas del presente caso, en las</w:t>
      </w:r>
      <w:r w:rsidR="00AD22E6">
        <w:rPr>
          <w:rFonts w:ascii="Cambria" w:hAnsi="Cambria"/>
          <w:lang w:val="es-VE"/>
        </w:rPr>
        <w:t xml:space="preserve"> </w:t>
      </w:r>
      <w:r w:rsidR="005F4628">
        <w:rPr>
          <w:rFonts w:ascii="Cambria" w:hAnsi="Cambria"/>
          <w:lang w:val="es-VE"/>
        </w:rPr>
        <w:t>que</w:t>
      </w:r>
      <w:r w:rsidR="00C16363">
        <w:rPr>
          <w:rFonts w:ascii="Cambria" w:hAnsi="Cambria"/>
          <w:lang w:val="es-VE"/>
        </w:rPr>
        <w:t xml:space="preserve"> intervinieron tanto agentes estatales como</w:t>
      </w:r>
      <w:r w:rsidR="00AD22E6">
        <w:rPr>
          <w:rFonts w:ascii="Cambria" w:hAnsi="Cambria"/>
          <w:lang w:val="es-VE"/>
        </w:rPr>
        <w:t xml:space="preserve"> actores</w:t>
      </w:r>
      <w:r w:rsidR="00C16363">
        <w:rPr>
          <w:rFonts w:ascii="Cambria" w:hAnsi="Cambria"/>
          <w:lang w:val="es-VE"/>
        </w:rPr>
        <w:t xml:space="preserve"> no estatales con </w:t>
      </w:r>
      <w:r w:rsidR="00AD22E6">
        <w:rPr>
          <w:rFonts w:ascii="Cambria" w:hAnsi="Cambria"/>
          <w:lang w:val="es-VE"/>
        </w:rPr>
        <w:t>la</w:t>
      </w:r>
      <w:r w:rsidR="00C16363">
        <w:rPr>
          <w:rFonts w:ascii="Cambria" w:hAnsi="Cambria"/>
          <w:lang w:val="es-VE"/>
        </w:rPr>
        <w:t xml:space="preserve"> tolerancia y aquiescencia</w:t>
      </w:r>
      <w:r w:rsidR="00AD22E6">
        <w:rPr>
          <w:rFonts w:ascii="Cambria" w:hAnsi="Cambria"/>
          <w:lang w:val="es-VE"/>
        </w:rPr>
        <w:t xml:space="preserve"> de aquellos</w:t>
      </w:r>
      <w:r w:rsidR="00C16363">
        <w:rPr>
          <w:rFonts w:ascii="Cambria" w:hAnsi="Cambria"/>
          <w:lang w:val="es-VE"/>
        </w:rPr>
        <w:t xml:space="preserve">. </w:t>
      </w:r>
      <w:r>
        <w:rPr>
          <w:rFonts w:ascii="Cambria" w:hAnsi="Cambria"/>
          <w:lang w:val="es-VE"/>
        </w:rPr>
        <w:t>El Estado reconoció su responsabilidad internacional</w:t>
      </w:r>
      <w:r w:rsidR="0015074E">
        <w:rPr>
          <w:rFonts w:ascii="Cambria" w:hAnsi="Cambria"/>
          <w:lang w:val="es-VE"/>
        </w:rPr>
        <w:t xml:space="preserve"> únicamente</w:t>
      </w:r>
      <w:r>
        <w:rPr>
          <w:rFonts w:ascii="Cambria" w:hAnsi="Cambria"/>
          <w:lang w:val="es-VE"/>
        </w:rPr>
        <w:t xml:space="preserve"> por el incumplimiento del deber de garantía, en su componente de protección, por no haber prevenido los asesinatos y demás actos de violencia en contra de los miembros de la Unión Patriótica, pese a la evidencia </w:t>
      </w:r>
      <w:r w:rsidR="00AD22E6">
        <w:rPr>
          <w:rFonts w:ascii="Cambria" w:hAnsi="Cambria"/>
          <w:lang w:val="es-VE"/>
        </w:rPr>
        <w:t xml:space="preserve">de </w:t>
      </w:r>
      <w:r>
        <w:rPr>
          <w:rFonts w:ascii="Cambria" w:hAnsi="Cambria"/>
          <w:lang w:val="es-VE"/>
        </w:rPr>
        <w:t xml:space="preserve">que la persecución en su contra estaba en marcha.  </w:t>
      </w:r>
    </w:p>
    <w:p w14:paraId="41320724" w14:textId="77777777" w:rsidR="00C16363" w:rsidRDefault="00C16363" w:rsidP="008A5756">
      <w:pPr>
        <w:tabs>
          <w:tab w:val="left" w:pos="360"/>
          <w:tab w:val="left" w:pos="2880"/>
        </w:tabs>
        <w:spacing w:after="0" w:line="240" w:lineRule="auto"/>
        <w:jc w:val="both"/>
        <w:rPr>
          <w:rFonts w:ascii="Cambria" w:hAnsi="Cambria"/>
          <w:lang w:val="es-VE"/>
        </w:rPr>
      </w:pPr>
    </w:p>
    <w:p w14:paraId="3748C619" w14:textId="77777777" w:rsidR="00C16363" w:rsidRDefault="00C16363" w:rsidP="00C16363">
      <w:pPr>
        <w:tabs>
          <w:tab w:val="left" w:pos="360"/>
          <w:tab w:val="left" w:pos="2880"/>
        </w:tabs>
        <w:spacing w:after="0" w:line="240" w:lineRule="auto"/>
        <w:jc w:val="both"/>
        <w:rPr>
          <w:rFonts w:ascii="Cambria" w:hAnsi="Cambria"/>
          <w:lang w:val="es-VE"/>
        </w:rPr>
      </w:pPr>
      <w:r>
        <w:rPr>
          <w:rFonts w:ascii="Cambria" w:hAnsi="Cambria"/>
          <w:lang w:val="es-VE"/>
        </w:rPr>
        <w:tab/>
      </w:r>
      <w:r w:rsidR="001D08D1">
        <w:rPr>
          <w:rFonts w:ascii="Cambria" w:hAnsi="Cambria"/>
          <w:lang w:val="es-VE"/>
        </w:rPr>
        <w:t>Asimismo, l</w:t>
      </w:r>
      <w:r>
        <w:rPr>
          <w:rFonts w:ascii="Cambria" w:hAnsi="Cambria"/>
          <w:lang w:val="es-VE"/>
        </w:rPr>
        <w:t xml:space="preserve">a CIDH determinó </w:t>
      </w:r>
      <w:r w:rsidRPr="00C16363">
        <w:rPr>
          <w:rFonts w:ascii="Cambria" w:hAnsi="Cambria"/>
          <w:lang w:val="es-VE"/>
        </w:rPr>
        <w:t xml:space="preserve">que el Estado violó los derechos a la libertad personal, a las garantías judiciales, a la honra y dignidad y a la protección judicial, por la criminalización infundada y torturas contra integrantes y simpatizantes de la Unión Patriótica en </w:t>
      </w:r>
      <w:r w:rsidR="009B4D33">
        <w:rPr>
          <w:rFonts w:ascii="Cambria" w:hAnsi="Cambria"/>
          <w:lang w:val="es-VE"/>
        </w:rPr>
        <w:t xml:space="preserve">el caso denominado “La Chinita” </w:t>
      </w:r>
      <w:r w:rsidRPr="00C16363">
        <w:rPr>
          <w:rFonts w:ascii="Cambria" w:hAnsi="Cambria"/>
          <w:lang w:val="es-VE"/>
        </w:rPr>
        <w:t>así como en otros casos. Por otra parte, la Comisión concluyó que el Estado violó los derechos políticos, la libertad de pensamiento y de expresión, libertad de asociación y el principio de igualdad y no discriminación, en virtud de que el móvil de las graves violaciones de derechos humanos</w:t>
      </w:r>
      <w:r w:rsidR="00E5197B">
        <w:rPr>
          <w:rFonts w:ascii="Cambria" w:hAnsi="Cambria"/>
          <w:lang w:val="es-VE"/>
        </w:rPr>
        <w:t>, del exterminio y de la</w:t>
      </w:r>
      <w:r w:rsidRPr="00C16363">
        <w:rPr>
          <w:rFonts w:ascii="Cambria" w:hAnsi="Cambria"/>
          <w:lang w:val="es-VE"/>
        </w:rPr>
        <w:t xml:space="preserve"> persecución </w:t>
      </w:r>
      <w:r w:rsidR="00E5197B">
        <w:rPr>
          <w:rFonts w:ascii="Cambria" w:hAnsi="Cambria"/>
          <w:lang w:val="es-VE"/>
        </w:rPr>
        <w:t xml:space="preserve">sostenida </w:t>
      </w:r>
      <w:r w:rsidRPr="00C16363">
        <w:rPr>
          <w:rFonts w:ascii="Cambria" w:hAnsi="Cambria"/>
          <w:lang w:val="es-VE"/>
        </w:rPr>
        <w:t xml:space="preserve">en contra de las víctimas fue su pertenencia a un partido político y la expresión de </w:t>
      </w:r>
      <w:r w:rsidR="00E5197B">
        <w:rPr>
          <w:rFonts w:ascii="Cambria" w:hAnsi="Cambria"/>
          <w:lang w:val="es-VE"/>
        </w:rPr>
        <w:t xml:space="preserve">sus </w:t>
      </w:r>
      <w:r w:rsidRPr="00C16363">
        <w:rPr>
          <w:rFonts w:ascii="Cambria" w:hAnsi="Cambria"/>
          <w:lang w:val="es-VE"/>
        </w:rPr>
        <w:t xml:space="preserve">ideas </w:t>
      </w:r>
      <w:r w:rsidR="00E5197B">
        <w:rPr>
          <w:rFonts w:ascii="Cambria" w:hAnsi="Cambria"/>
          <w:lang w:val="es-VE"/>
        </w:rPr>
        <w:t xml:space="preserve">a través del mismo. </w:t>
      </w:r>
    </w:p>
    <w:p w14:paraId="7DE474A3" w14:textId="77777777" w:rsidR="00C16363" w:rsidRDefault="00C16363" w:rsidP="00C16363">
      <w:pPr>
        <w:tabs>
          <w:tab w:val="left" w:pos="360"/>
          <w:tab w:val="left" w:pos="2880"/>
        </w:tabs>
        <w:spacing w:after="0" w:line="240" w:lineRule="auto"/>
        <w:jc w:val="both"/>
        <w:rPr>
          <w:rFonts w:ascii="Cambria" w:hAnsi="Cambria"/>
          <w:lang w:val="es-VE"/>
        </w:rPr>
      </w:pPr>
    </w:p>
    <w:p w14:paraId="405B7CF6" w14:textId="77777777" w:rsidR="0015074E" w:rsidRDefault="00C16363" w:rsidP="00C16363">
      <w:pPr>
        <w:tabs>
          <w:tab w:val="left" w:pos="360"/>
          <w:tab w:val="left" w:pos="2880"/>
        </w:tabs>
        <w:spacing w:after="0" w:line="240" w:lineRule="auto"/>
        <w:jc w:val="both"/>
        <w:rPr>
          <w:rFonts w:ascii="Cambria" w:hAnsi="Cambria"/>
          <w:lang w:val="es-VE"/>
        </w:rPr>
      </w:pPr>
      <w:r>
        <w:rPr>
          <w:rFonts w:ascii="Cambria" w:hAnsi="Cambria"/>
          <w:lang w:val="es-VE"/>
        </w:rPr>
        <w:tab/>
      </w:r>
    </w:p>
    <w:p w14:paraId="10D5CB01" w14:textId="77777777" w:rsidR="0015074E" w:rsidRDefault="0015074E" w:rsidP="00C16363">
      <w:pPr>
        <w:tabs>
          <w:tab w:val="left" w:pos="360"/>
          <w:tab w:val="left" w:pos="2880"/>
        </w:tabs>
        <w:spacing w:after="0" w:line="240" w:lineRule="auto"/>
        <w:jc w:val="both"/>
        <w:rPr>
          <w:rFonts w:ascii="Cambria" w:hAnsi="Cambria"/>
          <w:lang w:val="es-VE"/>
        </w:rPr>
      </w:pPr>
    </w:p>
    <w:p w14:paraId="74D98C79" w14:textId="77777777" w:rsidR="0015074E" w:rsidRPr="00576D03" w:rsidRDefault="0015074E" w:rsidP="0015074E">
      <w:pPr>
        <w:widowControl w:val="0"/>
        <w:tabs>
          <w:tab w:val="left" w:pos="810"/>
        </w:tabs>
        <w:autoSpaceDE w:val="0"/>
        <w:autoSpaceDN w:val="0"/>
        <w:adjustRightInd w:val="0"/>
        <w:spacing w:after="0" w:line="240" w:lineRule="auto"/>
        <w:jc w:val="both"/>
        <w:rPr>
          <w:rFonts w:ascii="Cambria" w:hAnsi="Cambria" w:cs="Arial"/>
          <w:snapToGrid w:val="0"/>
          <w:lang w:val="es-CO"/>
        </w:rPr>
      </w:pPr>
      <w:r w:rsidRPr="00576D03">
        <w:rPr>
          <w:rFonts w:ascii="Cambria" w:hAnsi="Cambria" w:cs="Arial"/>
          <w:snapToGrid w:val="0"/>
          <w:lang w:val="es-ES_tradnl"/>
        </w:rPr>
        <w:t>Señor</w:t>
      </w:r>
    </w:p>
    <w:p w14:paraId="58EEF71D" w14:textId="77777777" w:rsidR="0015074E" w:rsidRPr="00576D03" w:rsidRDefault="0015074E" w:rsidP="0015074E">
      <w:pPr>
        <w:widowControl w:val="0"/>
        <w:tabs>
          <w:tab w:val="left" w:pos="810"/>
        </w:tabs>
        <w:autoSpaceDE w:val="0"/>
        <w:autoSpaceDN w:val="0"/>
        <w:adjustRightInd w:val="0"/>
        <w:spacing w:after="0" w:line="240" w:lineRule="auto"/>
        <w:jc w:val="both"/>
        <w:rPr>
          <w:rFonts w:ascii="Cambria" w:hAnsi="Cambria" w:cs="Arial"/>
          <w:snapToGrid w:val="0"/>
          <w:lang w:val="es-CO"/>
        </w:rPr>
      </w:pPr>
      <w:r w:rsidRPr="00576D03">
        <w:rPr>
          <w:rFonts w:ascii="Cambria" w:hAnsi="Cambria" w:cs="Arial"/>
          <w:snapToGrid w:val="0"/>
          <w:lang w:val="es-CO"/>
        </w:rPr>
        <w:t xml:space="preserve">Pablo </w:t>
      </w:r>
      <w:r w:rsidRPr="00576D03">
        <w:rPr>
          <w:rFonts w:ascii="Cambria" w:hAnsi="Cambria"/>
          <w:lang w:val="es-ES"/>
        </w:rPr>
        <w:t>Saavedra</w:t>
      </w:r>
      <w:r w:rsidRPr="00576D03">
        <w:rPr>
          <w:rFonts w:ascii="Cambria" w:hAnsi="Cambria" w:cs="Arial"/>
          <w:snapToGrid w:val="0"/>
          <w:lang w:val="es-CO"/>
        </w:rPr>
        <w:t xml:space="preserve"> Alessandri, Secretario</w:t>
      </w:r>
    </w:p>
    <w:p w14:paraId="628B08CC" w14:textId="77777777" w:rsidR="0015074E" w:rsidRPr="00576D03" w:rsidRDefault="0015074E" w:rsidP="0015074E">
      <w:pPr>
        <w:widowControl w:val="0"/>
        <w:tabs>
          <w:tab w:val="left" w:pos="810"/>
        </w:tabs>
        <w:autoSpaceDE w:val="0"/>
        <w:autoSpaceDN w:val="0"/>
        <w:adjustRightInd w:val="0"/>
        <w:spacing w:after="0" w:line="240" w:lineRule="auto"/>
        <w:jc w:val="both"/>
        <w:rPr>
          <w:rFonts w:ascii="Cambria" w:hAnsi="Cambria" w:cs="Arial"/>
          <w:snapToGrid w:val="0"/>
          <w:lang w:val="es-ES_tradnl"/>
        </w:rPr>
      </w:pPr>
      <w:r w:rsidRPr="00576D03">
        <w:rPr>
          <w:rFonts w:ascii="Cambria" w:hAnsi="Cambria" w:cs="Arial"/>
          <w:snapToGrid w:val="0"/>
          <w:lang w:val="es-ES_tradnl"/>
        </w:rPr>
        <w:t>Corte Interamericana de Derechos Humanos</w:t>
      </w:r>
    </w:p>
    <w:p w14:paraId="0ADD5E38" w14:textId="77777777" w:rsidR="0015074E" w:rsidRPr="00576D03" w:rsidRDefault="0015074E" w:rsidP="0015074E">
      <w:pPr>
        <w:widowControl w:val="0"/>
        <w:tabs>
          <w:tab w:val="left" w:pos="810"/>
        </w:tabs>
        <w:autoSpaceDE w:val="0"/>
        <w:autoSpaceDN w:val="0"/>
        <w:adjustRightInd w:val="0"/>
        <w:spacing w:after="0" w:line="240" w:lineRule="auto"/>
        <w:jc w:val="both"/>
        <w:rPr>
          <w:rFonts w:ascii="Cambria" w:hAnsi="Cambria" w:cs="Arial"/>
          <w:snapToGrid w:val="0"/>
          <w:lang w:val="es-ES_tradnl"/>
        </w:rPr>
      </w:pPr>
      <w:r w:rsidRPr="00576D03">
        <w:rPr>
          <w:rFonts w:ascii="Cambria" w:hAnsi="Cambria" w:cs="Arial"/>
          <w:snapToGrid w:val="0"/>
          <w:lang w:val="es-ES_tradnl"/>
        </w:rPr>
        <w:t>Apartado 6906-1000,</w:t>
      </w:r>
    </w:p>
    <w:p w14:paraId="6974313B" w14:textId="77777777" w:rsidR="0015074E" w:rsidRPr="00576D03" w:rsidRDefault="0015074E" w:rsidP="0015074E">
      <w:pPr>
        <w:widowControl w:val="0"/>
        <w:tabs>
          <w:tab w:val="left" w:pos="810"/>
        </w:tabs>
        <w:autoSpaceDE w:val="0"/>
        <w:autoSpaceDN w:val="0"/>
        <w:adjustRightInd w:val="0"/>
        <w:spacing w:after="0" w:line="240" w:lineRule="auto"/>
        <w:jc w:val="both"/>
        <w:rPr>
          <w:rFonts w:ascii="Cambria" w:hAnsi="Cambria" w:cs="Arial"/>
          <w:snapToGrid w:val="0"/>
          <w:lang w:val="es-ES_tradnl"/>
        </w:rPr>
      </w:pPr>
      <w:r w:rsidRPr="00576D03">
        <w:rPr>
          <w:rFonts w:ascii="Cambria" w:hAnsi="Cambria" w:cs="Arial"/>
          <w:snapToGrid w:val="0"/>
          <w:lang w:val="es-ES_tradnl"/>
        </w:rPr>
        <w:t>San José, Costa Rica</w:t>
      </w:r>
      <w:r>
        <w:rPr>
          <w:rFonts w:ascii="Cambria" w:hAnsi="Cambria" w:cs="Arial"/>
          <w:snapToGrid w:val="0"/>
          <w:lang w:val="es-ES_tradnl"/>
        </w:rPr>
        <w:t>.</w:t>
      </w:r>
    </w:p>
    <w:p w14:paraId="299188B0" w14:textId="77777777" w:rsidR="0015074E" w:rsidRDefault="0015074E" w:rsidP="00C16363">
      <w:pPr>
        <w:tabs>
          <w:tab w:val="left" w:pos="360"/>
          <w:tab w:val="left" w:pos="2880"/>
        </w:tabs>
        <w:spacing w:after="0" w:line="240" w:lineRule="auto"/>
        <w:jc w:val="both"/>
        <w:rPr>
          <w:rFonts w:ascii="Cambria" w:hAnsi="Cambria"/>
          <w:lang w:val="es-VE"/>
        </w:rPr>
      </w:pPr>
    </w:p>
    <w:p w14:paraId="4F35A320" w14:textId="77777777" w:rsidR="0015074E" w:rsidRDefault="0015074E" w:rsidP="00C16363">
      <w:pPr>
        <w:tabs>
          <w:tab w:val="left" w:pos="360"/>
          <w:tab w:val="left" w:pos="2880"/>
        </w:tabs>
        <w:spacing w:after="0" w:line="240" w:lineRule="auto"/>
        <w:jc w:val="both"/>
        <w:rPr>
          <w:rFonts w:ascii="Cambria" w:hAnsi="Cambria"/>
          <w:lang w:val="es-VE"/>
        </w:rPr>
      </w:pPr>
    </w:p>
    <w:p w14:paraId="57BFDEA3" w14:textId="77777777" w:rsidR="0015074E" w:rsidRDefault="0015074E" w:rsidP="00C16363">
      <w:pPr>
        <w:tabs>
          <w:tab w:val="left" w:pos="360"/>
          <w:tab w:val="left" w:pos="2880"/>
        </w:tabs>
        <w:spacing w:after="0" w:line="240" w:lineRule="auto"/>
        <w:jc w:val="both"/>
        <w:rPr>
          <w:rFonts w:ascii="Cambria" w:hAnsi="Cambria"/>
          <w:lang w:val="es-VE"/>
        </w:rPr>
      </w:pPr>
    </w:p>
    <w:p w14:paraId="76CCEF26" w14:textId="77777777" w:rsidR="0015074E" w:rsidRDefault="0015074E" w:rsidP="00C16363">
      <w:pPr>
        <w:tabs>
          <w:tab w:val="left" w:pos="360"/>
          <w:tab w:val="left" w:pos="2880"/>
        </w:tabs>
        <w:spacing w:after="0" w:line="240" w:lineRule="auto"/>
        <w:jc w:val="both"/>
        <w:rPr>
          <w:rFonts w:ascii="Cambria" w:hAnsi="Cambria"/>
          <w:lang w:val="es-VE"/>
        </w:rPr>
      </w:pPr>
    </w:p>
    <w:p w14:paraId="2EFF8023" w14:textId="77777777" w:rsidR="00072B8F" w:rsidRPr="002A5E33" w:rsidRDefault="0015074E" w:rsidP="008A5756">
      <w:pPr>
        <w:tabs>
          <w:tab w:val="left" w:pos="360"/>
          <w:tab w:val="left" w:pos="2880"/>
        </w:tabs>
        <w:spacing w:after="0" w:line="240" w:lineRule="auto"/>
        <w:jc w:val="both"/>
        <w:rPr>
          <w:rFonts w:ascii="Cambria" w:hAnsi="Cambria"/>
          <w:lang w:val="es-VE"/>
        </w:rPr>
      </w:pPr>
      <w:r>
        <w:rPr>
          <w:rFonts w:ascii="Cambria" w:hAnsi="Cambria"/>
          <w:lang w:val="es-VE"/>
        </w:rPr>
        <w:lastRenderedPageBreak/>
        <w:tab/>
      </w:r>
      <w:r w:rsidR="00C16363" w:rsidRPr="00C16363">
        <w:rPr>
          <w:rFonts w:ascii="Cambria" w:hAnsi="Cambria"/>
          <w:lang w:val="es-VE"/>
        </w:rPr>
        <w:t>También, la CIDH estimó que el Estado violó el derecho a la honra y dignidad de los integrantes y militantes de la Unión Patriótica, en virtud de que fueron estigmatizados tanto por agentes estatales como</w:t>
      </w:r>
      <w:r w:rsidR="00E5197B">
        <w:rPr>
          <w:rFonts w:ascii="Cambria" w:hAnsi="Cambria"/>
          <w:lang w:val="es-VE"/>
        </w:rPr>
        <w:t xml:space="preserve"> por actores</w:t>
      </w:r>
      <w:r w:rsidR="00C16363" w:rsidRPr="00C16363">
        <w:rPr>
          <w:rFonts w:ascii="Cambria" w:hAnsi="Cambria"/>
          <w:lang w:val="es-VE"/>
        </w:rPr>
        <w:t xml:space="preserve"> no estatales</w:t>
      </w:r>
      <w:r w:rsidR="00E5197B">
        <w:rPr>
          <w:rFonts w:ascii="Cambria" w:hAnsi="Cambria"/>
          <w:lang w:val="es-VE"/>
        </w:rPr>
        <w:t xml:space="preserve">; incluyendo calificativos como </w:t>
      </w:r>
      <w:r w:rsidR="00C16363" w:rsidRPr="00C16363">
        <w:rPr>
          <w:rFonts w:ascii="Cambria" w:hAnsi="Cambria"/>
          <w:lang w:val="es-VE"/>
        </w:rPr>
        <w:t xml:space="preserve">terroristas, o brazo político de las FARC, estigmatización que tuvo un efecto en la </w:t>
      </w:r>
      <w:r w:rsidR="00E5197B">
        <w:rPr>
          <w:rFonts w:ascii="Cambria" w:hAnsi="Cambria"/>
          <w:lang w:val="es-VE"/>
        </w:rPr>
        <w:t xml:space="preserve">grave </w:t>
      </w:r>
      <w:r w:rsidR="00C16363" w:rsidRPr="00C16363">
        <w:rPr>
          <w:rFonts w:ascii="Cambria" w:hAnsi="Cambria"/>
          <w:lang w:val="es-VE"/>
        </w:rPr>
        <w:t xml:space="preserve">violencia desatada en su contra. Además, la Comisión determinó que el Estado violó el derecho a las garantías judiciales, protección judicial, y el deber de investigar </w:t>
      </w:r>
      <w:r w:rsidR="00E5197B">
        <w:rPr>
          <w:rFonts w:ascii="Cambria" w:hAnsi="Cambria"/>
          <w:lang w:val="es-VE"/>
        </w:rPr>
        <w:t xml:space="preserve">las graves </w:t>
      </w:r>
      <w:r w:rsidR="00C16363" w:rsidRPr="00C16363">
        <w:rPr>
          <w:rFonts w:ascii="Cambria" w:hAnsi="Cambria"/>
          <w:lang w:val="es-VE"/>
        </w:rPr>
        <w:t xml:space="preserve">violaciones </w:t>
      </w:r>
      <w:r w:rsidR="00E5197B">
        <w:rPr>
          <w:rFonts w:ascii="Cambria" w:hAnsi="Cambria"/>
          <w:lang w:val="es-VE"/>
        </w:rPr>
        <w:t>de</w:t>
      </w:r>
      <w:r w:rsidR="00C16363" w:rsidRPr="00C16363">
        <w:rPr>
          <w:rFonts w:ascii="Cambria" w:hAnsi="Cambria"/>
          <w:lang w:val="es-VE"/>
        </w:rPr>
        <w:t xml:space="preserve"> derechos humanos </w:t>
      </w:r>
      <w:r w:rsidR="00E5197B">
        <w:rPr>
          <w:rFonts w:ascii="Cambria" w:hAnsi="Cambria"/>
          <w:lang w:val="es-VE"/>
        </w:rPr>
        <w:t>ocurrida</w:t>
      </w:r>
      <w:r w:rsidR="00A84A50">
        <w:rPr>
          <w:rFonts w:ascii="Cambria" w:hAnsi="Cambria"/>
          <w:lang w:val="es-VE"/>
        </w:rPr>
        <w:t>s</w:t>
      </w:r>
      <w:r w:rsidR="00E5197B">
        <w:rPr>
          <w:rFonts w:ascii="Cambria" w:hAnsi="Cambria"/>
          <w:lang w:val="es-VE"/>
        </w:rPr>
        <w:t xml:space="preserve">, </w:t>
      </w:r>
      <w:r w:rsidR="00C16363" w:rsidRPr="00C16363">
        <w:rPr>
          <w:rFonts w:ascii="Cambria" w:hAnsi="Cambria"/>
          <w:lang w:val="es-VE"/>
        </w:rPr>
        <w:t>en virtud de que</w:t>
      </w:r>
      <w:r w:rsidR="00E5197B">
        <w:rPr>
          <w:rFonts w:ascii="Cambria" w:hAnsi="Cambria"/>
          <w:lang w:val="es-VE"/>
        </w:rPr>
        <w:t>, evaluadas en su conjunto,</w:t>
      </w:r>
      <w:r w:rsidR="00C16363" w:rsidRPr="00C16363">
        <w:rPr>
          <w:rFonts w:ascii="Cambria" w:hAnsi="Cambria"/>
          <w:lang w:val="es-VE"/>
        </w:rPr>
        <w:t xml:space="preserve"> las investigaciones adelantadas por el Estado respecto de los hechos del presente caso han sido incipientes e insuficientes</w:t>
      </w:r>
      <w:r w:rsidR="00E5197B">
        <w:rPr>
          <w:rFonts w:ascii="Cambria" w:hAnsi="Cambria"/>
          <w:lang w:val="es-VE"/>
        </w:rPr>
        <w:t>, y no han logrado proveer</w:t>
      </w:r>
      <w:r w:rsidR="005F4628">
        <w:rPr>
          <w:rFonts w:ascii="Cambria" w:hAnsi="Cambria"/>
          <w:lang w:val="es-VE"/>
        </w:rPr>
        <w:t>,</w:t>
      </w:r>
      <w:r w:rsidR="00E5197B">
        <w:rPr>
          <w:rFonts w:ascii="Cambria" w:hAnsi="Cambria"/>
          <w:lang w:val="es-VE"/>
        </w:rPr>
        <w:t xml:space="preserve"> ni a las víctimas sobrevivientes, ni a los familiares de las víctimas fallecidas, ni a la sociedad colombiana en su conjunto, de un verd</w:t>
      </w:r>
      <w:r w:rsidR="00BE432C">
        <w:rPr>
          <w:rFonts w:ascii="Cambria" w:hAnsi="Cambria"/>
          <w:lang w:val="es-VE"/>
        </w:rPr>
        <w:t>adero esclarecimiento sobre las responsabilidades del exterminio contra los integrantes y militantes de la Unión Patriótica.</w:t>
      </w:r>
      <w:r w:rsidR="00C16363" w:rsidRPr="00C16363">
        <w:rPr>
          <w:rFonts w:ascii="Cambria" w:hAnsi="Cambria"/>
          <w:lang w:val="es-VE"/>
        </w:rPr>
        <w:t xml:space="preserve"> Finalmente, la C</w:t>
      </w:r>
      <w:r w:rsidR="005F4628">
        <w:rPr>
          <w:rFonts w:ascii="Cambria" w:hAnsi="Cambria"/>
          <w:lang w:val="es-VE"/>
        </w:rPr>
        <w:t>omisión</w:t>
      </w:r>
      <w:r w:rsidR="00C16363" w:rsidRPr="00C16363">
        <w:rPr>
          <w:rFonts w:ascii="Cambria" w:hAnsi="Cambria"/>
          <w:lang w:val="es-VE"/>
        </w:rPr>
        <w:t xml:space="preserve"> concluyó que el Estado violó el derecho a la integridad de los familiares de las víctimas </w:t>
      </w:r>
      <w:r w:rsidR="0094420D">
        <w:rPr>
          <w:rFonts w:ascii="Cambria" w:hAnsi="Cambria"/>
          <w:lang w:val="es-VE"/>
        </w:rPr>
        <w:t>d</w:t>
      </w:r>
      <w:r w:rsidR="00C16363" w:rsidRPr="00C16363">
        <w:rPr>
          <w:rFonts w:ascii="Cambria" w:hAnsi="Cambria"/>
          <w:lang w:val="es-VE"/>
        </w:rPr>
        <w:t xml:space="preserve">el presente caso, tomando en cuenta la magnitud y gravedad de las violaciones y el impacto que tuvo en estos. </w:t>
      </w:r>
    </w:p>
    <w:p w14:paraId="1AE397F5" w14:textId="77777777" w:rsidR="00544D8C" w:rsidRPr="00576D03" w:rsidRDefault="00544D8C" w:rsidP="00544D8C">
      <w:pPr>
        <w:widowControl w:val="0"/>
        <w:tabs>
          <w:tab w:val="left" w:pos="810"/>
          <w:tab w:val="left" w:pos="4230"/>
        </w:tabs>
        <w:autoSpaceDE w:val="0"/>
        <w:autoSpaceDN w:val="0"/>
        <w:adjustRightInd w:val="0"/>
        <w:spacing w:after="0" w:line="240" w:lineRule="auto"/>
        <w:ind w:firstLine="720"/>
        <w:jc w:val="both"/>
        <w:rPr>
          <w:rFonts w:ascii="Cambria" w:hAnsi="Cambria"/>
          <w:lang w:val="es-ES"/>
        </w:rPr>
      </w:pPr>
    </w:p>
    <w:p w14:paraId="2849524B" w14:textId="77777777" w:rsidR="004A6ED6" w:rsidRPr="005662B8" w:rsidRDefault="00544D8C" w:rsidP="005662B8">
      <w:pPr>
        <w:pStyle w:val="NormalWeb"/>
        <w:spacing w:before="0" w:beforeAutospacing="0" w:after="0" w:afterAutospacing="0"/>
        <w:ind w:firstLine="720"/>
        <w:jc w:val="both"/>
        <w:rPr>
          <w:rFonts w:ascii="Cambria" w:hAnsi="Cambria"/>
          <w:sz w:val="22"/>
          <w:szCs w:val="22"/>
          <w:lang w:val="es-CO"/>
        </w:rPr>
      </w:pPr>
      <w:r w:rsidRPr="005D6F0D">
        <w:rPr>
          <w:rFonts w:ascii="Cambria" w:hAnsi="Cambria"/>
          <w:sz w:val="22"/>
          <w:szCs w:val="22"/>
          <w:lang w:val="es-PE"/>
        </w:rPr>
        <w:t xml:space="preserve">El </w:t>
      </w:r>
      <w:r w:rsidR="00072B8F" w:rsidRPr="005D6F0D">
        <w:rPr>
          <w:rFonts w:ascii="Cambria" w:hAnsi="Cambria"/>
          <w:sz w:val="22"/>
          <w:szCs w:val="22"/>
          <w:lang w:val="es-PE"/>
        </w:rPr>
        <w:t>Estado colombiano</w:t>
      </w:r>
      <w:r w:rsidRPr="005D6F0D">
        <w:rPr>
          <w:rFonts w:ascii="Cambria" w:hAnsi="Cambria"/>
          <w:sz w:val="22"/>
          <w:szCs w:val="22"/>
          <w:lang w:val="es-PE"/>
        </w:rPr>
        <w:t xml:space="preserve"> ratificó la Convención Americana sobre Derechos Humanos</w:t>
      </w:r>
      <w:r w:rsidR="00963B86">
        <w:rPr>
          <w:rFonts w:ascii="Cambria" w:hAnsi="Cambria"/>
          <w:sz w:val="22"/>
          <w:szCs w:val="22"/>
          <w:lang w:val="es-PE"/>
        </w:rPr>
        <w:t xml:space="preserve"> el 28</w:t>
      </w:r>
      <w:r w:rsidR="00072B8F" w:rsidRPr="005D6F0D">
        <w:rPr>
          <w:rFonts w:ascii="Cambria" w:hAnsi="Cambria"/>
          <w:sz w:val="22"/>
          <w:szCs w:val="22"/>
          <w:lang w:val="es-PE"/>
        </w:rPr>
        <w:t xml:space="preserve"> de </w:t>
      </w:r>
      <w:r w:rsidR="00963B86">
        <w:rPr>
          <w:rFonts w:ascii="Cambria" w:hAnsi="Cambria"/>
          <w:sz w:val="22"/>
          <w:szCs w:val="22"/>
          <w:lang w:val="es-PE"/>
        </w:rPr>
        <w:t>mayo</w:t>
      </w:r>
      <w:r w:rsidR="00072B8F" w:rsidRPr="005D6F0D">
        <w:rPr>
          <w:rFonts w:ascii="Cambria" w:hAnsi="Cambria"/>
          <w:sz w:val="22"/>
          <w:szCs w:val="22"/>
          <w:lang w:val="es-PE"/>
        </w:rPr>
        <w:t xml:space="preserve"> de 1973</w:t>
      </w:r>
      <w:r w:rsidR="005662B8">
        <w:rPr>
          <w:rFonts w:ascii="Cambria" w:hAnsi="Cambria"/>
          <w:sz w:val="22"/>
          <w:szCs w:val="22"/>
          <w:lang w:val="es-PE"/>
        </w:rPr>
        <w:t xml:space="preserve"> y depositó dicho instrumento el 31 de julio de 1973. Además, aceptó la competencia contenciosa de </w:t>
      </w:r>
      <w:r w:rsidR="00072B8F" w:rsidRPr="005D6F0D">
        <w:rPr>
          <w:rFonts w:ascii="Cambria" w:hAnsi="Cambria"/>
          <w:sz w:val="22"/>
          <w:szCs w:val="22"/>
          <w:lang w:val="es-PE"/>
        </w:rPr>
        <w:t>la Corte Interamericana el 21</w:t>
      </w:r>
      <w:r w:rsidRPr="005D6F0D">
        <w:rPr>
          <w:rFonts w:ascii="Cambria" w:hAnsi="Cambria"/>
          <w:sz w:val="22"/>
          <w:szCs w:val="22"/>
          <w:lang w:val="es-PE"/>
        </w:rPr>
        <w:t xml:space="preserve"> de </w:t>
      </w:r>
      <w:r w:rsidR="00072B8F" w:rsidRPr="005D6F0D">
        <w:rPr>
          <w:rFonts w:ascii="Cambria" w:hAnsi="Cambria"/>
          <w:sz w:val="22"/>
          <w:szCs w:val="22"/>
          <w:lang w:val="es-PE"/>
        </w:rPr>
        <w:t>junio de 1985</w:t>
      </w:r>
      <w:r w:rsidR="003C1539" w:rsidRPr="005D6F0D">
        <w:rPr>
          <w:rFonts w:ascii="Cambria" w:hAnsi="Cambria"/>
          <w:sz w:val="22"/>
          <w:szCs w:val="22"/>
          <w:lang w:val="es-PE"/>
        </w:rPr>
        <w:t xml:space="preserve">. </w:t>
      </w:r>
      <w:r w:rsidR="004A6ED6" w:rsidRPr="005D6F0D">
        <w:rPr>
          <w:rFonts w:ascii="Cambria" w:hAnsi="Cambria"/>
          <w:sz w:val="22"/>
          <w:szCs w:val="22"/>
          <w:lang w:val="es-CO"/>
        </w:rPr>
        <w:t xml:space="preserve">Asimismo, ratificó la Convención Interamericana para </w:t>
      </w:r>
      <w:r w:rsidR="00CF5038" w:rsidRPr="005D6F0D">
        <w:rPr>
          <w:rFonts w:ascii="Cambria" w:hAnsi="Cambria"/>
          <w:sz w:val="22"/>
          <w:szCs w:val="22"/>
          <w:lang w:val="es-CO"/>
        </w:rPr>
        <w:t>Prevenir y Sancionar la Tortura</w:t>
      </w:r>
      <w:r w:rsidR="004A6ED6" w:rsidRPr="005D6F0D">
        <w:rPr>
          <w:rFonts w:ascii="Cambria" w:hAnsi="Cambria"/>
          <w:sz w:val="22"/>
          <w:szCs w:val="22"/>
          <w:lang w:val="es-CO"/>
        </w:rPr>
        <w:t xml:space="preserve"> el 2 de</w:t>
      </w:r>
      <w:r w:rsidR="00C204B4" w:rsidRPr="005D6F0D">
        <w:rPr>
          <w:rFonts w:ascii="Cambria" w:hAnsi="Cambria"/>
          <w:sz w:val="22"/>
          <w:szCs w:val="22"/>
          <w:lang w:val="es-CO"/>
        </w:rPr>
        <w:t xml:space="preserve"> diciembre de 1998</w:t>
      </w:r>
      <w:r w:rsidR="005662B8">
        <w:rPr>
          <w:rFonts w:ascii="Cambria" w:hAnsi="Cambria"/>
          <w:sz w:val="22"/>
          <w:szCs w:val="22"/>
          <w:lang w:val="es-CO"/>
        </w:rPr>
        <w:t xml:space="preserve"> y depositó dicho instrumento, el 19 de enero de 1999. Finalmente, </w:t>
      </w:r>
      <w:r w:rsidR="004A6ED6" w:rsidRPr="005D6F0D">
        <w:rPr>
          <w:rFonts w:ascii="Cambria" w:hAnsi="Cambria"/>
          <w:sz w:val="22"/>
          <w:szCs w:val="22"/>
          <w:lang w:val="es-CO"/>
        </w:rPr>
        <w:t>ratificó la Convenci</w:t>
      </w:r>
      <w:r w:rsidR="00FC6CA1" w:rsidRPr="005D6F0D">
        <w:rPr>
          <w:rFonts w:ascii="Cambria" w:hAnsi="Cambria"/>
          <w:sz w:val="22"/>
          <w:szCs w:val="22"/>
          <w:lang w:val="es-CO"/>
        </w:rPr>
        <w:t xml:space="preserve">ón Interamericana sobre </w:t>
      </w:r>
      <w:r w:rsidR="004A6ED6" w:rsidRPr="005D6F0D">
        <w:rPr>
          <w:rFonts w:ascii="Cambria" w:hAnsi="Cambria"/>
          <w:sz w:val="22"/>
          <w:szCs w:val="22"/>
          <w:lang w:val="es-CO"/>
        </w:rPr>
        <w:t>De</w:t>
      </w:r>
      <w:r w:rsidR="00C204B4" w:rsidRPr="005D6F0D">
        <w:rPr>
          <w:rFonts w:ascii="Cambria" w:hAnsi="Cambria"/>
          <w:sz w:val="22"/>
          <w:szCs w:val="22"/>
          <w:lang w:val="es-CO"/>
        </w:rPr>
        <w:t xml:space="preserve">saparición Forzada de Personas el </w:t>
      </w:r>
      <w:r w:rsidR="00963B86">
        <w:rPr>
          <w:rFonts w:ascii="Cambria" w:hAnsi="Cambria"/>
          <w:sz w:val="22"/>
          <w:szCs w:val="22"/>
          <w:lang w:val="es-CO"/>
        </w:rPr>
        <w:t>1</w:t>
      </w:r>
      <w:r w:rsidR="005662B8">
        <w:rPr>
          <w:rFonts w:ascii="Cambria" w:hAnsi="Cambria"/>
          <w:sz w:val="22"/>
          <w:szCs w:val="22"/>
          <w:lang w:val="es-CO"/>
        </w:rPr>
        <w:t xml:space="preserve"> de abril de 2005 y depositó dicho instrumento el 12 de abril de 2005.</w:t>
      </w:r>
    </w:p>
    <w:p w14:paraId="1FE6DB3E" w14:textId="77777777" w:rsidR="004A6ED6" w:rsidRPr="00963B86" w:rsidRDefault="004A6ED6" w:rsidP="0015074E">
      <w:pPr>
        <w:tabs>
          <w:tab w:val="left" w:pos="810"/>
        </w:tabs>
        <w:spacing w:after="0" w:line="240" w:lineRule="auto"/>
        <w:jc w:val="both"/>
        <w:rPr>
          <w:rFonts w:ascii="Cambria" w:hAnsi="Cambria"/>
          <w:lang w:val="es-PE"/>
        </w:rPr>
      </w:pPr>
    </w:p>
    <w:p w14:paraId="7675A4C0" w14:textId="77777777" w:rsidR="005D6F0D" w:rsidRDefault="000B61EC" w:rsidP="0015074E">
      <w:pPr>
        <w:tabs>
          <w:tab w:val="left" w:pos="810"/>
        </w:tabs>
        <w:spacing w:after="0" w:line="240" w:lineRule="auto"/>
        <w:jc w:val="both"/>
        <w:rPr>
          <w:rFonts w:ascii="Cambria" w:hAnsi="Cambria"/>
          <w:lang w:val="es-CO"/>
        </w:rPr>
      </w:pPr>
      <w:r w:rsidRPr="005D6F0D">
        <w:rPr>
          <w:rFonts w:ascii="Cambria" w:hAnsi="Cambria"/>
          <w:lang w:val="es-CO"/>
        </w:rPr>
        <w:tab/>
      </w:r>
      <w:r w:rsidR="001F16E5" w:rsidRPr="005D6F0D">
        <w:rPr>
          <w:rFonts w:ascii="Cambria" w:hAnsi="Cambria"/>
          <w:lang w:val="es-CO"/>
        </w:rPr>
        <w:t xml:space="preserve">La </w:t>
      </w:r>
      <w:r w:rsidR="00234BB5" w:rsidRPr="005D6F0D">
        <w:rPr>
          <w:rFonts w:ascii="Cambria" w:hAnsi="Cambria"/>
          <w:lang w:val="es-CO"/>
        </w:rPr>
        <w:t>Comisión t</w:t>
      </w:r>
      <w:r w:rsidR="0054217D" w:rsidRPr="005D6F0D">
        <w:rPr>
          <w:rFonts w:ascii="Cambria" w:hAnsi="Cambria"/>
          <w:lang w:val="es-CO"/>
        </w:rPr>
        <w:t xml:space="preserve">oma nota que ciertas violaciones </w:t>
      </w:r>
      <w:r w:rsidR="009A343E" w:rsidRPr="005D6F0D">
        <w:rPr>
          <w:rFonts w:ascii="Cambria" w:hAnsi="Cambria"/>
          <w:lang w:val="es-CO"/>
        </w:rPr>
        <w:t xml:space="preserve">del presente </w:t>
      </w:r>
      <w:r w:rsidR="0054217D" w:rsidRPr="005D6F0D">
        <w:rPr>
          <w:rFonts w:ascii="Cambria" w:hAnsi="Cambria"/>
          <w:lang w:val="es-CO"/>
        </w:rPr>
        <w:t>caso,</w:t>
      </w:r>
      <w:r w:rsidR="00234BB5" w:rsidRPr="005D6F0D">
        <w:rPr>
          <w:rFonts w:ascii="Cambria" w:hAnsi="Cambria"/>
          <w:lang w:val="es-CO"/>
        </w:rPr>
        <w:t xml:space="preserve"> como desapariciones forzadas, desplazamientos, ejecuciones, tentativas de homicidio y amenazas, ocurrieron en 1984, antes de que Colombia aceptara la c</w:t>
      </w:r>
      <w:r w:rsidR="00735C65" w:rsidRPr="005D6F0D">
        <w:rPr>
          <w:rFonts w:ascii="Cambria" w:hAnsi="Cambria"/>
          <w:lang w:val="es-CO"/>
        </w:rPr>
        <w:t>ompetencia contenc</w:t>
      </w:r>
      <w:r w:rsidR="00C30741" w:rsidRPr="005D6F0D">
        <w:rPr>
          <w:rFonts w:ascii="Cambria" w:hAnsi="Cambria"/>
          <w:lang w:val="es-CO"/>
        </w:rPr>
        <w:t>iosa de la Corte Interamericana, o antes de que cobrara vigencia para el Estado la Convención Interamericana para Prevenir y Sancionar la Tortura en 1998.</w:t>
      </w:r>
    </w:p>
    <w:p w14:paraId="1A3E41AE" w14:textId="77777777" w:rsidR="005D6F0D" w:rsidRDefault="005D6F0D" w:rsidP="0015074E">
      <w:pPr>
        <w:tabs>
          <w:tab w:val="left" w:pos="810"/>
        </w:tabs>
        <w:spacing w:after="0" w:line="240" w:lineRule="auto"/>
        <w:jc w:val="both"/>
        <w:rPr>
          <w:rFonts w:ascii="Cambria" w:hAnsi="Cambria"/>
          <w:lang w:val="es-CO"/>
        </w:rPr>
      </w:pPr>
    </w:p>
    <w:p w14:paraId="616A614A" w14:textId="77777777" w:rsidR="004E7B4A" w:rsidRPr="005D6F0D" w:rsidRDefault="005D6F0D" w:rsidP="0015074E">
      <w:pPr>
        <w:tabs>
          <w:tab w:val="left" w:pos="810"/>
        </w:tabs>
        <w:spacing w:after="0" w:line="240" w:lineRule="auto"/>
        <w:jc w:val="both"/>
        <w:rPr>
          <w:rFonts w:ascii="Cambria" w:hAnsi="Cambria"/>
          <w:lang w:val="es-CO"/>
        </w:rPr>
      </w:pPr>
      <w:r>
        <w:rPr>
          <w:rFonts w:ascii="Cambria" w:hAnsi="Cambria"/>
          <w:lang w:val="es-CO"/>
        </w:rPr>
        <w:tab/>
      </w:r>
      <w:r w:rsidR="00735C65" w:rsidRPr="00B70EB8">
        <w:rPr>
          <w:rFonts w:ascii="Cambria" w:hAnsi="Cambria"/>
          <w:lang w:val="es-CO"/>
        </w:rPr>
        <w:t xml:space="preserve">Con respecto a las desapariciones forzadas, la Comisión recuerda que dichas violaciones tienen carácter </w:t>
      </w:r>
      <w:r w:rsidR="00A70376" w:rsidRPr="00B70EB8">
        <w:rPr>
          <w:rFonts w:ascii="Cambria" w:hAnsi="Cambria"/>
          <w:lang w:val="es-CO"/>
        </w:rPr>
        <w:t>permanente o continuado hasta tanto no se conozca el paradero de la persona desaparecida</w:t>
      </w:r>
      <w:r w:rsidR="005F4628">
        <w:rPr>
          <w:rFonts w:ascii="Cambria" w:hAnsi="Cambria"/>
          <w:lang w:val="es-CO"/>
        </w:rPr>
        <w:t>,</w:t>
      </w:r>
      <w:r w:rsidR="00A70376" w:rsidRPr="00B70EB8">
        <w:rPr>
          <w:rFonts w:ascii="Cambria" w:hAnsi="Cambria"/>
          <w:lang w:val="es-CO"/>
        </w:rPr>
        <w:t xml:space="preserve"> </w:t>
      </w:r>
      <w:r w:rsidR="00DC10EA" w:rsidRPr="00B70EB8">
        <w:rPr>
          <w:rFonts w:ascii="Cambria" w:hAnsi="Cambria"/>
          <w:lang w:val="es-CO"/>
        </w:rPr>
        <w:t>o se hallen sus restos de modo que se determine con certeza su identid</w:t>
      </w:r>
      <w:r w:rsidR="00E4308F" w:rsidRPr="00B70EB8">
        <w:rPr>
          <w:rFonts w:ascii="Cambria" w:hAnsi="Cambria"/>
          <w:lang w:val="es-CO"/>
        </w:rPr>
        <w:t xml:space="preserve">ad, situación que ocurre en el presente caso, </w:t>
      </w:r>
      <w:r w:rsidR="00A70376" w:rsidRPr="00B70EB8">
        <w:rPr>
          <w:rFonts w:ascii="Cambria" w:hAnsi="Cambria"/>
          <w:lang w:val="es-CO"/>
        </w:rPr>
        <w:t xml:space="preserve">por lo que la Corte Interamericana tiene competencia para pronunciarse respecto de la totalidad de los hechos </w:t>
      </w:r>
      <w:r w:rsidR="00C30741" w:rsidRPr="00B70EB8">
        <w:rPr>
          <w:rFonts w:ascii="Cambria" w:hAnsi="Cambria"/>
          <w:lang w:val="es-CO"/>
        </w:rPr>
        <w:t>de desapariciones forzadas</w:t>
      </w:r>
      <w:r w:rsidR="005F4628">
        <w:rPr>
          <w:rFonts w:ascii="Cambria" w:hAnsi="Cambria"/>
          <w:lang w:val="es-CO"/>
        </w:rPr>
        <w:t>,</w:t>
      </w:r>
      <w:r w:rsidR="00C30741" w:rsidRPr="00B70EB8">
        <w:rPr>
          <w:rFonts w:ascii="Cambria" w:hAnsi="Cambria"/>
          <w:lang w:val="es-CO"/>
        </w:rPr>
        <w:t xml:space="preserve"> independientemente que su inicio de ejecución sea anterior a la fecha</w:t>
      </w:r>
      <w:r w:rsidR="00140D16">
        <w:rPr>
          <w:rFonts w:ascii="Cambria" w:hAnsi="Cambria"/>
          <w:lang w:val="es-CO"/>
        </w:rPr>
        <w:t xml:space="preserve"> de</w:t>
      </w:r>
      <w:r w:rsidR="00C30741" w:rsidRPr="00B70EB8">
        <w:rPr>
          <w:rFonts w:ascii="Cambria" w:hAnsi="Cambria"/>
          <w:lang w:val="es-CO"/>
        </w:rPr>
        <w:t xml:space="preserve"> ratificación de la competencia contenciosa de la Corte o la entrada en vigor de la Convención Interamericana sobre Desaparición Forzada. </w:t>
      </w:r>
      <w:r w:rsidR="00A70376" w:rsidRPr="00B70EB8">
        <w:rPr>
          <w:rFonts w:ascii="Cambria" w:hAnsi="Cambria"/>
          <w:lang w:val="es-CO"/>
        </w:rPr>
        <w:t xml:space="preserve"> </w:t>
      </w:r>
      <w:r w:rsidR="00E4308F" w:rsidRPr="00B70EB8">
        <w:rPr>
          <w:rFonts w:ascii="Cambria" w:hAnsi="Cambria"/>
          <w:lang w:val="es-CO"/>
        </w:rPr>
        <w:t>En cuanto</w:t>
      </w:r>
      <w:r w:rsidR="00610F8F" w:rsidRPr="00B70EB8">
        <w:rPr>
          <w:rFonts w:ascii="Cambria" w:hAnsi="Cambria"/>
          <w:lang w:val="es-CO"/>
        </w:rPr>
        <w:t xml:space="preserve"> a las demás </w:t>
      </w:r>
      <w:r w:rsidR="00A40C7D" w:rsidRPr="00B70EB8">
        <w:rPr>
          <w:rFonts w:ascii="Cambria" w:hAnsi="Cambria"/>
          <w:lang w:val="es-CO"/>
        </w:rPr>
        <w:t>viol</w:t>
      </w:r>
      <w:r w:rsidR="00C30741" w:rsidRPr="00B70EB8">
        <w:rPr>
          <w:rFonts w:ascii="Cambria" w:hAnsi="Cambria"/>
          <w:lang w:val="es-CO"/>
        </w:rPr>
        <w:t>aciones indicadas, la Corte IDH tiene competencia para analizar l</w:t>
      </w:r>
      <w:r w:rsidR="005245F7" w:rsidRPr="00B70EB8">
        <w:rPr>
          <w:rFonts w:ascii="Cambria" w:hAnsi="Cambria"/>
          <w:lang w:val="es-CO"/>
        </w:rPr>
        <w:t>as acciones u omisiones del Estado en cuanto al cumplimiento de su deber de investigar que hayan ocurrido</w:t>
      </w:r>
      <w:r w:rsidR="00C30741" w:rsidRPr="00B70EB8">
        <w:rPr>
          <w:rFonts w:ascii="Cambria" w:hAnsi="Cambria"/>
          <w:lang w:val="es-CO"/>
        </w:rPr>
        <w:t xml:space="preserve"> bajo la com</w:t>
      </w:r>
      <w:r w:rsidRPr="00B70EB8">
        <w:rPr>
          <w:rFonts w:ascii="Cambria" w:hAnsi="Cambria"/>
          <w:lang w:val="es-CO"/>
        </w:rPr>
        <w:t>petencia temporal del tribunal. E</w:t>
      </w:r>
      <w:r w:rsidR="00E4308F" w:rsidRPr="00B70EB8">
        <w:rPr>
          <w:rFonts w:ascii="Cambria" w:hAnsi="Cambria"/>
          <w:lang w:val="es-CO"/>
        </w:rPr>
        <w:t>llo no obsta a que</w:t>
      </w:r>
      <w:r w:rsidR="005245F7" w:rsidRPr="00B70EB8">
        <w:rPr>
          <w:rFonts w:ascii="Cambria" w:hAnsi="Cambria"/>
          <w:lang w:val="es-CO"/>
        </w:rPr>
        <w:t xml:space="preserve"> la Corte pueda analizar las acciones y omisiones en materia de investigación y justicia como posible violación de los derechos sustantivos por incumplimiento del componente de investigar del deber de garantía. </w:t>
      </w:r>
      <w:r w:rsidR="003D766E" w:rsidRPr="00B70EB8">
        <w:rPr>
          <w:rFonts w:ascii="Cambria" w:hAnsi="Cambria"/>
          <w:lang w:val="es-CO"/>
        </w:rPr>
        <w:t xml:space="preserve">La </w:t>
      </w:r>
      <w:r w:rsidR="004C021D" w:rsidRPr="00B70EB8">
        <w:rPr>
          <w:rFonts w:ascii="Cambria" w:hAnsi="Cambria"/>
          <w:lang w:val="es-CO"/>
        </w:rPr>
        <w:t>Comisión</w:t>
      </w:r>
      <w:r w:rsidR="003D766E" w:rsidRPr="00B70EB8">
        <w:rPr>
          <w:rFonts w:ascii="Cambria" w:hAnsi="Cambria"/>
          <w:lang w:val="es-CO"/>
        </w:rPr>
        <w:t xml:space="preserve"> también destaca </w:t>
      </w:r>
      <w:r w:rsidR="004C021D" w:rsidRPr="00B70EB8">
        <w:rPr>
          <w:rFonts w:ascii="Cambria" w:hAnsi="Cambria"/>
          <w:lang w:val="es-CO"/>
        </w:rPr>
        <w:t>que</w:t>
      </w:r>
      <w:r w:rsidR="004E7B4A" w:rsidRPr="00B70EB8">
        <w:rPr>
          <w:rFonts w:ascii="Cambria" w:hAnsi="Cambria"/>
          <w:lang w:val="es-CO"/>
        </w:rPr>
        <w:t xml:space="preserve"> en el informe de fondo declaró violaciones a</w:t>
      </w:r>
      <w:r w:rsidR="003D766E" w:rsidRPr="00B70EB8">
        <w:rPr>
          <w:rFonts w:ascii="Cambria" w:hAnsi="Cambria"/>
          <w:lang w:val="es-CO"/>
        </w:rPr>
        <w:t>l derecho a la honra y dignidad,</w:t>
      </w:r>
      <w:r w:rsidR="004E7B4A" w:rsidRPr="00B70EB8">
        <w:rPr>
          <w:rFonts w:ascii="Cambria" w:hAnsi="Cambria"/>
          <w:lang w:val="es-CO"/>
        </w:rPr>
        <w:t xml:space="preserve"> </w:t>
      </w:r>
      <w:r w:rsidR="003D766E" w:rsidRPr="00B70EB8">
        <w:rPr>
          <w:rFonts w:ascii="Cambria" w:hAnsi="Cambria"/>
          <w:lang w:val="es-CO"/>
        </w:rPr>
        <w:t xml:space="preserve">a </w:t>
      </w:r>
      <w:r w:rsidR="004E7B4A" w:rsidRPr="00B70EB8">
        <w:rPr>
          <w:rFonts w:ascii="Cambria" w:hAnsi="Cambria"/>
          <w:lang w:val="es-CO"/>
        </w:rPr>
        <w:t>los derechos políticos, integridad personal, libertad de pensamiento y expresión</w:t>
      </w:r>
      <w:r w:rsidR="003D766E" w:rsidRPr="00B70EB8">
        <w:rPr>
          <w:rFonts w:ascii="Cambria" w:hAnsi="Cambria"/>
          <w:lang w:val="es-CO"/>
        </w:rPr>
        <w:t>, libertad de asociación y derecho a la</w:t>
      </w:r>
      <w:r w:rsidR="004E7B4A" w:rsidRPr="00B70EB8">
        <w:rPr>
          <w:rFonts w:ascii="Cambria" w:hAnsi="Cambria"/>
          <w:lang w:val="es-CO"/>
        </w:rPr>
        <w:t xml:space="preserve"> igualdad y no discriminación, las cuales se perpetraron respecto de la totalidad de las victimas del caso</w:t>
      </w:r>
      <w:r w:rsidR="001B7E2D">
        <w:rPr>
          <w:rFonts w:ascii="Cambria" w:hAnsi="Cambria"/>
          <w:lang w:val="es-CO"/>
        </w:rPr>
        <w:t>,</w:t>
      </w:r>
      <w:r w:rsidR="004E7B4A" w:rsidRPr="00B70EB8">
        <w:rPr>
          <w:rFonts w:ascii="Cambria" w:hAnsi="Cambria"/>
          <w:lang w:val="es-CO"/>
        </w:rPr>
        <w:t xml:space="preserve"> por lo que la Honorable Corte también tendría competencia respecto de dichas violaciones.</w:t>
      </w:r>
      <w:r w:rsidR="004E7B4A" w:rsidRPr="005D6F0D">
        <w:rPr>
          <w:rFonts w:ascii="Cambria" w:hAnsi="Cambria"/>
          <w:lang w:val="es-CO"/>
        </w:rPr>
        <w:t xml:space="preserve">  </w:t>
      </w:r>
    </w:p>
    <w:p w14:paraId="49232CBF" w14:textId="77777777" w:rsidR="004E7B4A" w:rsidRPr="005D6F0D" w:rsidRDefault="004E7B4A" w:rsidP="0015074E">
      <w:pPr>
        <w:tabs>
          <w:tab w:val="left" w:pos="810"/>
        </w:tabs>
        <w:spacing w:after="0" w:line="240" w:lineRule="auto"/>
        <w:jc w:val="both"/>
        <w:rPr>
          <w:rFonts w:ascii="Cambria" w:hAnsi="Cambria"/>
          <w:lang w:val="es-CO"/>
        </w:rPr>
      </w:pPr>
    </w:p>
    <w:p w14:paraId="6578858F" w14:textId="77777777" w:rsidR="000B61EC" w:rsidRPr="005D6F0D" w:rsidRDefault="004E7B4A" w:rsidP="0015074E">
      <w:pPr>
        <w:tabs>
          <w:tab w:val="left" w:pos="810"/>
        </w:tabs>
        <w:spacing w:after="0" w:line="240" w:lineRule="auto"/>
        <w:jc w:val="both"/>
        <w:rPr>
          <w:rFonts w:ascii="Cambria" w:hAnsi="Cambria"/>
          <w:lang w:val="es-CO"/>
        </w:rPr>
      </w:pPr>
      <w:r w:rsidRPr="005D6F0D">
        <w:rPr>
          <w:rFonts w:ascii="Cambria" w:hAnsi="Cambria"/>
          <w:lang w:val="es-CO"/>
        </w:rPr>
        <w:tab/>
      </w:r>
      <w:r w:rsidR="004C021D" w:rsidRPr="005D6F0D">
        <w:rPr>
          <w:rFonts w:ascii="Cambria" w:hAnsi="Cambria"/>
          <w:lang w:val="es-CO"/>
        </w:rPr>
        <w:t>Todo l</w:t>
      </w:r>
      <w:r w:rsidR="00234BB5" w:rsidRPr="005D6F0D">
        <w:rPr>
          <w:rFonts w:ascii="Cambria" w:hAnsi="Cambria"/>
          <w:lang w:val="es-CO"/>
        </w:rPr>
        <w:t xml:space="preserve">o anterior, sin perjuicio de que el Estado de Colombia acepte la competencia de la Corte para conocer la totalidad del presente caso, de conformidad con lo estipulado en el artículo 62.2 de la Convención Americana. </w:t>
      </w:r>
    </w:p>
    <w:p w14:paraId="5BA8A78C" w14:textId="77777777" w:rsidR="00523FC4" w:rsidRPr="00576D03" w:rsidRDefault="00234BB5" w:rsidP="0015074E">
      <w:pPr>
        <w:tabs>
          <w:tab w:val="left" w:pos="810"/>
        </w:tabs>
        <w:spacing w:after="0" w:line="240" w:lineRule="auto"/>
        <w:jc w:val="both"/>
        <w:rPr>
          <w:rFonts w:ascii="Cambria" w:hAnsi="Cambria"/>
          <w:lang w:val="es-CO"/>
        </w:rPr>
      </w:pPr>
      <w:r>
        <w:rPr>
          <w:rFonts w:ascii="Cambria" w:hAnsi="Cambria"/>
          <w:lang w:val="es-CO"/>
        </w:rPr>
        <w:t xml:space="preserve"> </w:t>
      </w:r>
    </w:p>
    <w:p w14:paraId="70309593" w14:textId="77777777" w:rsidR="00544D8C" w:rsidRPr="00576D03" w:rsidRDefault="00544D8C" w:rsidP="00544D8C">
      <w:pPr>
        <w:tabs>
          <w:tab w:val="left" w:pos="810"/>
        </w:tabs>
        <w:spacing w:after="0" w:line="240" w:lineRule="auto"/>
        <w:ind w:firstLine="720"/>
        <w:jc w:val="both"/>
        <w:rPr>
          <w:rFonts w:ascii="Cambria" w:hAnsi="Cambria" w:cs="Arial"/>
          <w:lang w:val="es-CO"/>
        </w:rPr>
      </w:pPr>
      <w:r w:rsidRPr="00576D03">
        <w:rPr>
          <w:rFonts w:ascii="Cambria" w:hAnsi="Cambria"/>
          <w:lang w:val="es-CO"/>
        </w:rPr>
        <w:lastRenderedPageBreak/>
        <w:t>La Comisión ha designado al Comisionado Francisco Eguiguren y al Secretario Ejecutivo Paulo Abr</w:t>
      </w:r>
      <w:r w:rsidRPr="00576D03">
        <w:rPr>
          <w:rFonts w:ascii="Cambria" w:hAnsi="Cambria"/>
          <w:lang w:val="es-PE"/>
        </w:rPr>
        <w:t xml:space="preserve">ão, </w:t>
      </w:r>
      <w:r w:rsidR="009E05CB">
        <w:rPr>
          <w:rFonts w:ascii="Cambria" w:hAnsi="Cambria"/>
          <w:lang w:val="es-CO"/>
        </w:rPr>
        <w:t xml:space="preserve">como sus Delegados. </w:t>
      </w:r>
      <w:r w:rsidRPr="00576D03">
        <w:rPr>
          <w:rFonts w:ascii="Cambria" w:hAnsi="Cambria"/>
          <w:lang w:val="es-CO"/>
        </w:rPr>
        <w:t xml:space="preserve">Asimismo, Silvia Serrano Guzmán y </w:t>
      </w:r>
      <w:r w:rsidR="00E22526" w:rsidRPr="00576D03">
        <w:rPr>
          <w:rFonts w:ascii="Cambria" w:hAnsi="Cambria"/>
          <w:lang w:val="es-CO"/>
        </w:rPr>
        <w:t>Christian González</w:t>
      </w:r>
      <w:r w:rsidR="0016076A" w:rsidRPr="00576D03">
        <w:rPr>
          <w:rFonts w:ascii="Cambria" w:hAnsi="Cambria"/>
          <w:lang w:val="es-CO"/>
        </w:rPr>
        <w:t xml:space="preserve"> Chacón</w:t>
      </w:r>
      <w:r w:rsidRPr="00576D03">
        <w:rPr>
          <w:rFonts w:ascii="Cambria" w:hAnsi="Cambria"/>
          <w:lang w:val="es-CO"/>
        </w:rPr>
        <w:t xml:space="preserve">, </w:t>
      </w:r>
      <w:r w:rsidRPr="00576D03">
        <w:rPr>
          <w:rFonts w:ascii="Cambria" w:hAnsi="Cambria"/>
          <w:lang w:val="es-ES"/>
        </w:rPr>
        <w:t xml:space="preserve">abogada y abogado de la Secretaría Ejecutiva, </w:t>
      </w:r>
      <w:r w:rsidRPr="00576D03">
        <w:rPr>
          <w:rFonts w:ascii="Cambria" w:hAnsi="Cambria"/>
          <w:lang w:val="es-CO"/>
        </w:rPr>
        <w:t xml:space="preserve">actuarán como </w:t>
      </w:r>
      <w:r w:rsidR="005F4628">
        <w:rPr>
          <w:rFonts w:ascii="Cambria" w:hAnsi="Cambria"/>
          <w:lang w:val="es-CO"/>
        </w:rPr>
        <w:t>A</w:t>
      </w:r>
      <w:r w:rsidR="004C021D">
        <w:rPr>
          <w:rFonts w:ascii="Cambria" w:hAnsi="Cambria"/>
          <w:lang w:val="es-CO"/>
        </w:rPr>
        <w:t>sesor</w:t>
      </w:r>
      <w:r w:rsidR="005F4628">
        <w:rPr>
          <w:rFonts w:ascii="Cambria" w:hAnsi="Cambria"/>
          <w:lang w:val="es-CO"/>
        </w:rPr>
        <w:t>a y A</w:t>
      </w:r>
      <w:r w:rsidR="004C021D">
        <w:rPr>
          <w:rFonts w:ascii="Cambria" w:hAnsi="Cambria"/>
          <w:lang w:val="es-CO"/>
        </w:rPr>
        <w:t>sesor</w:t>
      </w:r>
      <w:r w:rsidR="005F4628">
        <w:rPr>
          <w:rFonts w:ascii="Cambria" w:hAnsi="Cambria"/>
          <w:lang w:val="es-CO"/>
        </w:rPr>
        <w:t xml:space="preserve"> L</w:t>
      </w:r>
      <w:r w:rsidR="00DE32B2">
        <w:rPr>
          <w:rFonts w:ascii="Cambria" w:hAnsi="Cambria"/>
          <w:lang w:val="es-CO"/>
        </w:rPr>
        <w:t xml:space="preserve">egales. </w:t>
      </w:r>
    </w:p>
    <w:p w14:paraId="12E721F0" w14:textId="77777777" w:rsidR="00544D8C" w:rsidRPr="00E44607" w:rsidRDefault="00544D8C" w:rsidP="00544D8C">
      <w:pPr>
        <w:widowControl w:val="0"/>
        <w:tabs>
          <w:tab w:val="left" w:pos="810"/>
        </w:tabs>
        <w:autoSpaceDE w:val="0"/>
        <w:autoSpaceDN w:val="0"/>
        <w:adjustRightInd w:val="0"/>
        <w:spacing w:after="0" w:line="240" w:lineRule="auto"/>
        <w:jc w:val="both"/>
        <w:rPr>
          <w:rFonts w:ascii="Cambria" w:hAnsi="Cambria" w:cs="Arial"/>
          <w:lang w:val="es-CO"/>
        </w:rPr>
      </w:pPr>
    </w:p>
    <w:p w14:paraId="480DBFA4" w14:textId="77777777" w:rsidR="00544D8C" w:rsidRPr="00576D03" w:rsidRDefault="00544D8C" w:rsidP="00544D8C">
      <w:pPr>
        <w:tabs>
          <w:tab w:val="left" w:pos="810"/>
        </w:tabs>
        <w:spacing w:after="0" w:line="240" w:lineRule="auto"/>
        <w:ind w:firstLine="720"/>
        <w:jc w:val="both"/>
        <w:rPr>
          <w:rFonts w:ascii="Cambria" w:hAnsi="Cambria"/>
          <w:lang w:val="es-AR"/>
        </w:rPr>
      </w:pPr>
      <w:r w:rsidRPr="00576D03">
        <w:rPr>
          <w:rFonts w:ascii="Cambria" w:hAnsi="Cambria" w:cs="Arial"/>
          <w:lang w:val="es-CO"/>
        </w:rPr>
        <w:t xml:space="preserve">De conformidad con el artículo 35 del Reglamento de la Corte Interamericana, la Comisión adjunta </w:t>
      </w:r>
      <w:r w:rsidRPr="00576D03">
        <w:rPr>
          <w:rFonts w:ascii="Cambria" w:hAnsi="Cambria"/>
          <w:lang w:val="es-CO"/>
        </w:rPr>
        <w:t xml:space="preserve">copia del Informe de Fondo Nº </w:t>
      </w:r>
      <w:r w:rsidR="00E44607">
        <w:rPr>
          <w:rFonts w:ascii="Cambria" w:hAnsi="Cambria"/>
          <w:lang w:val="es-CO"/>
        </w:rPr>
        <w:t>170</w:t>
      </w:r>
      <w:r w:rsidRPr="00576D03">
        <w:rPr>
          <w:rFonts w:ascii="Cambria" w:hAnsi="Cambria"/>
          <w:lang w:val="es-CO"/>
        </w:rPr>
        <w:t xml:space="preserve">/17 elaborado en observancia del artículo 50 de la Convención, así como copia de la totalidad del expediente ante la Comisión Interamericana (Apéndice I) y los anexos utilizados en la elaboración del Informe Nº </w:t>
      </w:r>
      <w:r w:rsidR="00E44607">
        <w:rPr>
          <w:rFonts w:ascii="Cambria" w:hAnsi="Cambria"/>
          <w:lang w:val="es-CO"/>
        </w:rPr>
        <w:t>170</w:t>
      </w:r>
      <w:r w:rsidRPr="00576D03">
        <w:rPr>
          <w:rFonts w:ascii="Cambria" w:hAnsi="Cambria"/>
          <w:lang w:val="es-CO"/>
        </w:rPr>
        <w:t xml:space="preserve">/17 (Anexos). </w:t>
      </w:r>
    </w:p>
    <w:p w14:paraId="527DCD0B" w14:textId="77777777" w:rsidR="00544D8C" w:rsidRPr="00576D03" w:rsidRDefault="00544D8C" w:rsidP="00544D8C">
      <w:pPr>
        <w:widowControl w:val="0"/>
        <w:tabs>
          <w:tab w:val="left" w:pos="810"/>
        </w:tabs>
        <w:autoSpaceDE w:val="0"/>
        <w:autoSpaceDN w:val="0"/>
        <w:adjustRightInd w:val="0"/>
        <w:spacing w:after="0" w:line="240" w:lineRule="auto"/>
        <w:jc w:val="both"/>
        <w:rPr>
          <w:rFonts w:ascii="Cambria" w:hAnsi="Cambria" w:cs="Arial"/>
          <w:lang w:val="es-ES"/>
        </w:rPr>
      </w:pPr>
    </w:p>
    <w:p w14:paraId="3F30105D" w14:textId="77777777" w:rsidR="005A1EE6" w:rsidRDefault="00544D8C" w:rsidP="00544D8C">
      <w:pPr>
        <w:tabs>
          <w:tab w:val="left" w:pos="810"/>
        </w:tabs>
        <w:spacing w:after="0" w:line="240" w:lineRule="auto"/>
        <w:jc w:val="both"/>
        <w:rPr>
          <w:rFonts w:ascii="Cambria" w:hAnsi="Cambria"/>
          <w:lang w:val="es-AR"/>
        </w:rPr>
      </w:pPr>
      <w:r w:rsidRPr="00576D03">
        <w:rPr>
          <w:rFonts w:ascii="Cambria" w:hAnsi="Cambria"/>
          <w:lang w:val="es-CO"/>
        </w:rPr>
        <w:tab/>
        <w:t xml:space="preserve">Dicho informe de fondo </w:t>
      </w:r>
      <w:r w:rsidRPr="00576D03">
        <w:rPr>
          <w:rFonts w:ascii="Cambria" w:hAnsi="Cambria"/>
          <w:lang w:val="es-AR"/>
        </w:rPr>
        <w:t>fue notificado al E</w:t>
      </w:r>
      <w:r w:rsidR="005A1EE6">
        <w:rPr>
          <w:rFonts w:ascii="Cambria" w:hAnsi="Cambria"/>
          <w:lang w:val="es-AR"/>
        </w:rPr>
        <w:t>stado el 8</w:t>
      </w:r>
      <w:r w:rsidRPr="00576D03">
        <w:rPr>
          <w:rFonts w:ascii="Cambria" w:hAnsi="Cambria"/>
          <w:lang w:val="es-AR"/>
        </w:rPr>
        <w:t xml:space="preserve"> de </w:t>
      </w:r>
      <w:r w:rsidR="005A1EE6">
        <w:rPr>
          <w:rFonts w:ascii="Cambria" w:hAnsi="Cambria"/>
          <w:lang w:val="es-AR"/>
        </w:rPr>
        <w:t>mayo</w:t>
      </w:r>
      <w:r w:rsidR="00C82B8A" w:rsidRPr="00576D03">
        <w:rPr>
          <w:rFonts w:ascii="Cambria" w:hAnsi="Cambria"/>
          <w:lang w:val="es-AR"/>
        </w:rPr>
        <w:t xml:space="preserve"> </w:t>
      </w:r>
      <w:r w:rsidR="005A1EE6">
        <w:rPr>
          <w:rFonts w:ascii="Cambria" w:hAnsi="Cambria"/>
          <w:lang w:val="es-AR"/>
        </w:rPr>
        <w:t>de 2018</w:t>
      </w:r>
      <w:r w:rsidRPr="00576D03">
        <w:rPr>
          <w:rFonts w:ascii="Cambria" w:hAnsi="Cambria"/>
          <w:lang w:val="es-AR"/>
        </w:rPr>
        <w:t>, otorgándole dos meses para informar sobre el cumpli</w:t>
      </w:r>
      <w:r w:rsidR="005A1EE6">
        <w:rPr>
          <w:rFonts w:ascii="Cambria" w:hAnsi="Cambria"/>
          <w:lang w:val="es-AR"/>
        </w:rPr>
        <w:t xml:space="preserve">miento de las recomendaciones. </w:t>
      </w:r>
      <w:r w:rsidR="0085340A">
        <w:rPr>
          <w:rFonts w:ascii="Cambria" w:hAnsi="Cambria"/>
          <w:lang w:val="es-AR"/>
        </w:rPr>
        <w:t xml:space="preserve">El 15 de mayo de 2018 el Estado presentó su respuesta. </w:t>
      </w:r>
      <w:r w:rsidR="005A1EE6">
        <w:rPr>
          <w:rFonts w:ascii="Cambria" w:hAnsi="Cambria"/>
          <w:lang w:val="es-AR"/>
        </w:rPr>
        <w:t>El Estado indicó</w:t>
      </w:r>
      <w:r w:rsidR="0085340A">
        <w:rPr>
          <w:rFonts w:ascii="Cambria" w:hAnsi="Cambria"/>
          <w:lang w:val="es-AR"/>
        </w:rPr>
        <w:t xml:space="preserve"> </w:t>
      </w:r>
      <w:r w:rsidR="005A1EE6">
        <w:rPr>
          <w:rFonts w:ascii="Cambria" w:hAnsi="Cambria"/>
          <w:lang w:val="es-AR"/>
        </w:rPr>
        <w:t xml:space="preserve">que </w:t>
      </w:r>
      <w:r w:rsidR="0043508B">
        <w:rPr>
          <w:rFonts w:ascii="Cambria" w:hAnsi="Cambria"/>
          <w:lang w:val="es-AR"/>
        </w:rPr>
        <w:t xml:space="preserve">la CIDH no reconoció </w:t>
      </w:r>
      <w:r w:rsidR="00DE4A90">
        <w:rPr>
          <w:rFonts w:ascii="Cambria" w:hAnsi="Cambria"/>
          <w:lang w:val="es-AR"/>
        </w:rPr>
        <w:t>los</w:t>
      </w:r>
      <w:r w:rsidR="0043508B">
        <w:rPr>
          <w:rFonts w:ascii="Cambria" w:hAnsi="Cambria"/>
          <w:lang w:val="es-AR"/>
        </w:rPr>
        <w:t xml:space="preserve"> esfuerzos que ha adelan</w:t>
      </w:r>
      <w:r w:rsidR="00DE4A90">
        <w:rPr>
          <w:rFonts w:ascii="Cambria" w:hAnsi="Cambria"/>
          <w:lang w:val="es-AR"/>
        </w:rPr>
        <w:t>tado en materia de reparaciones</w:t>
      </w:r>
      <w:r w:rsidR="0043508B">
        <w:rPr>
          <w:rFonts w:ascii="Cambria" w:hAnsi="Cambria"/>
          <w:lang w:val="es-AR"/>
        </w:rPr>
        <w:t xml:space="preserve"> y la relevancia de </w:t>
      </w:r>
      <w:r w:rsidR="00DE4A90">
        <w:rPr>
          <w:rFonts w:ascii="Cambria" w:hAnsi="Cambria"/>
          <w:lang w:val="es-AR"/>
        </w:rPr>
        <w:t>sus</w:t>
      </w:r>
      <w:r w:rsidR="0043508B">
        <w:rPr>
          <w:rFonts w:ascii="Cambria" w:hAnsi="Cambria"/>
          <w:lang w:val="es-AR"/>
        </w:rPr>
        <w:t xml:space="preserve"> mecanismos internos de justicia transicional</w:t>
      </w:r>
      <w:r w:rsidR="0085340A">
        <w:rPr>
          <w:rFonts w:ascii="Cambria" w:hAnsi="Cambria"/>
          <w:lang w:val="es-AR"/>
        </w:rPr>
        <w:t>,</w:t>
      </w:r>
      <w:r w:rsidR="0043508B">
        <w:rPr>
          <w:rFonts w:ascii="Cambria" w:hAnsi="Cambria"/>
          <w:lang w:val="es-AR"/>
        </w:rPr>
        <w:t xml:space="preserve"> </w:t>
      </w:r>
      <w:r w:rsidR="00DE4A90">
        <w:rPr>
          <w:rFonts w:ascii="Cambria" w:hAnsi="Cambria"/>
          <w:lang w:val="es-AR"/>
        </w:rPr>
        <w:t>y expresó</w:t>
      </w:r>
      <w:r w:rsidR="0043508B">
        <w:rPr>
          <w:rFonts w:ascii="Cambria" w:hAnsi="Cambria"/>
          <w:lang w:val="es-AR"/>
        </w:rPr>
        <w:t xml:space="preserve"> </w:t>
      </w:r>
      <w:r w:rsidR="00DE4A90">
        <w:rPr>
          <w:rFonts w:ascii="Cambria" w:hAnsi="Cambria"/>
          <w:lang w:val="es-AR"/>
        </w:rPr>
        <w:t xml:space="preserve">su </w:t>
      </w:r>
      <w:r w:rsidR="0043508B">
        <w:rPr>
          <w:rFonts w:ascii="Cambria" w:hAnsi="Cambria"/>
          <w:lang w:val="es-AR"/>
        </w:rPr>
        <w:t xml:space="preserve">oposición a brindar reparación a las víctimas en los términos dispuestos </w:t>
      </w:r>
      <w:r w:rsidR="00924A5F">
        <w:rPr>
          <w:rFonts w:ascii="Cambria" w:hAnsi="Cambria"/>
          <w:lang w:val="es-AR"/>
        </w:rPr>
        <w:t xml:space="preserve">las recomendaciones del Informe </w:t>
      </w:r>
      <w:r w:rsidR="00924A5F" w:rsidRPr="00576D03">
        <w:rPr>
          <w:rFonts w:ascii="Cambria" w:hAnsi="Cambria"/>
          <w:lang w:val="es-CO"/>
        </w:rPr>
        <w:t xml:space="preserve">Nº </w:t>
      </w:r>
      <w:r w:rsidR="00924A5F">
        <w:rPr>
          <w:rFonts w:ascii="Cambria" w:hAnsi="Cambria"/>
          <w:lang w:val="es-CO"/>
        </w:rPr>
        <w:t>170</w:t>
      </w:r>
      <w:r w:rsidR="00924A5F" w:rsidRPr="00576D03">
        <w:rPr>
          <w:rFonts w:ascii="Cambria" w:hAnsi="Cambria"/>
          <w:lang w:val="es-CO"/>
        </w:rPr>
        <w:t>/17</w:t>
      </w:r>
      <w:r w:rsidR="0043508B">
        <w:rPr>
          <w:rFonts w:ascii="Cambria" w:hAnsi="Cambria"/>
          <w:lang w:val="es-AR"/>
        </w:rPr>
        <w:t xml:space="preserve">. </w:t>
      </w:r>
      <w:r w:rsidR="00D8079C">
        <w:rPr>
          <w:rFonts w:ascii="Cambria" w:hAnsi="Cambria"/>
          <w:lang w:val="es-AR"/>
        </w:rPr>
        <w:t xml:space="preserve">Asimismo, informó de su decisión de someter el caso a la Corte Interamericana. </w:t>
      </w:r>
    </w:p>
    <w:p w14:paraId="31F092CF" w14:textId="77777777" w:rsidR="00544D8C" w:rsidRPr="00576D03" w:rsidRDefault="00544D8C" w:rsidP="00E75C3E">
      <w:pPr>
        <w:tabs>
          <w:tab w:val="left" w:pos="810"/>
        </w:tabs>
        <w:spacing w:after="0" w:line="240" w:lineRule="auto"/>
        <w:jc w:val="both"/>
        <w:rPr>
          <w:rFonts w:ascii="Cambria" w:hAnsi="Cambria"/>
          <w:lang w:val="es-AR"/>
        </w:rPr>
      </w:pPr>
    </w:p>
    <w:p w14:paraId="753CCC90" w14:textId="77777777" w:rsidR="00544D8C" w:rsidRPr="00576D03" w:rsidRDefault="00544D8C" w:rsidP="00544D8C">
      <w:pPr>
        <w:tabs>
          <w:tab w:val="left" w:pos="810"/>
        </w:tabs>
        <w:spacing w:after="0" w:line="240" w:lineRule="auto"/>
        <w:ind w:firstLine="720"/>
        <w:jc w:val="both"/>
        <w:rPr>
          <w:rFonts w:ascii="Cambria" w:hAnsi="Cambria"/>
          <w:lang w:val="es-AR"/>
        </w:rPr>
      </w:pPr>
      <w:r w:rsidRPr="00576D03">
        <w:rPr>
          <w:rFonts w:ascii="Cambria" w:hAnsi="Cambria"/>
          <w:lang w:val="es-AR"/>
        </w:rPr>
        <w:t>En virtud de lo anterior, l</w:t>
      </w:r>
      <w:r w:rsidRPr="00576D03">
        <w:rPr>
          <w:rFonts w:ascii="Cambria" w:hAnsi="Cambria"/>
          <w:lang w:val="es-CO"/>
        </w:rPr>
        <w:t>a Comisión Interamericana decidió</w:t>
      </w:r>
      <w:r w:rsidR="00924A5F">
        <w:rPr>
          <w:rFonts w:ascii="Cambria" w:hAnsi="Cambria"/>
          <w:lang w:val="es-CO"/>
        </w:rPr>
        <w:t>, por su parte,</w:t>
      </w:r>
      <w:r w:rsidRPr="00576D03">
        <w:rPr>
          <w:rFonts w:ascii="Cambria" w:hAnsi="Cambria"/>
          <w:lang w:val="es-CO"/>
        </w:rPr>
        <w:t xml:space="preserve"> someter a la jurisdicción de la Corte Interamericana los hechos y violaciones de derechos humanos descritos en el Informe de Fondo Nº </w:t>
      </w:r>
      <w:r w:rsidR="00C82B8A" w:rsidRPr="00576D03">
        <w:rPr>
          <w:rFonts w:ascii="Cambria" w:hAnsi="Cambria"/>
          <w:lang w:val="es-CO"/>
        </w:rPr>
        <w:t>72</w:t>
      </w:r>
      <w:r w:rsidRPr="00576D03">
        <w:rPr>
          <w:rFonts w:ascii="Cambria" w:hAnsi="Cambria"/>
          <w:lang w:val="es-CO"/>
        </w:rPr>
        <w:t xml:space="preserve">/17, ante la necesidad de obtención de justicia </w:t>
      </w:r>
      <w:r w:rsidR="00924A5F">
        <w:rPr>
          <w:rFonts w:ascii="Cambria" w:hAnsi="Cambria"/>
          <w:lang w:val="es-CO"/>
        </w:rPr>
        <w:t xml:space="preserve">y reparación </w:t>
      </w:r>
      <w:r w:rsidRPr="00576D03">
        <w:rPr>
          <w:rFonts w:ascii="Cambria" w:hAnsi="Cambria"/>
          <w:lang w:val="es-CO"/>
        </w:rPr>
        <w:t>para la</w:t>
      </w:r>
      <w:r w:rsidR="00924A5F">
        <w:rPr>
          <w:rFonts w:ascii="Cambria" w:hAnsi="Cambria"/>
          <w:lang w:val="es-CO"/>
        </w:rPr>
        <w:t>s</w:t>
      </w:r>
      <w:r w:rsidRPr="00576D03">
        <w:rPr>
          <w:rFonts w:ascii="Cambria" w:hAnsi="Cambria"/>
          <w:lang w:val="es-CO"/>
        </w:rPr>
        <w:t xml:space="preserve"> víctima</w:t>
      </w:r>
      <w:r w:rsidR="00924A5F">
        <w:rPr>
          <w:rFonts w:ascii="Cambria" w:hAnsi="Cambria"/>
          <w:lang w:val="es-CO"/>
        </w:rPr>
        <w:t>s</w:t>
      </w:r>
      <w:r w:rsidRPr="00576D03">
        <w:rPr>
          <w:rFonts w:ascii="Cambria" w:hAnsi="Cambria"/>
          <w:lang w:val="es-CO"/>
        </w:rPr>
        <w:t xml:space="preserve"> en el caso particular.</w:t>
      </w:r>
    </w:p>
    <w:p w14:paraId="3880A773" w14:textId="77777777" w:rsidR="0015074E" w:rsidRPr="00576D03" w:rsidRDefault="0015074E" w:rsidP="00544D8C">
      <w:pPr>
        <w:tabs>
          <w:tab w:val="left" w:pos="0"/>
          <w:tab w:val="left" w:pos="810"/>
        </w:tabs>
        <w:spacing w:after="0" w:line="240" w:lineRule="auto"/>
        <w:jc w:val="both"/>
        <w:rPr>
          <w:rFonts w:ascii="Cambria" w:hAnsi="Cambria"/>
          <w:lang w:val="es-CO"/>
        </w:rPr>
      </w:pPr>
    </w:p>
    <w:p w14:paraId="3AA4B96D" w14:textId="77777777" w:rsidR="00936615" w:rsidRDefault="00544D8C" w:rsidP="00296CB6">
      <w:pPr>
        <w:tabs>
          <w:tab w:val="left" w:pos="810"/>
        </w:tabs>
        <w:spacing w:after="0" w:line="240" w:lineRule="auto"/>
        <w:ind w:firstLine="720"/>
        <w:jc w:val="both"/>
        <w:rPr>
          <w:rFonts w:ascii="Cambria" w:hAnsi="Cambria"/>
          <w:lang w:val="es-CO"/>
        </w:rPr>
      </w:pPr>
      <w:r w:rsidRPr="00576D03">
        <w:rPr>
          <w:rFonts w:ascii="Cambria" w:hAnsi="Cambria"/>
          <w:lang w:val="es-CO"/>
        </w:rPr>
        <w:t>En ese sentido, la Comisión solicita a la Corte que concluya y declare que el</w:t>
      </w:r>
      <w:r w:rsidRPr="00296CB6">
        <w:rPr>
          <w:rFonts w:ascii="Cambria" w:hAnsi="Cambria"/>
          <w:lang w:val="es-CO"/>
        </w:rPr>
        <w:t xml:space="preserve"> Estado de </w:t>
      </w:r>
      <w:r w:rsidR="004F349F" w:rsidRPr="00296CB6">
        <w:rPr>
          <w:rFonts w:ascii="Cambria" w:hAnsi="Cambria"/>
          <w:lang w:val="es-CO"/>
        </w:rPr>
        <w:t>Colombia</w:t>
      </w:r>
      <w:r w:rsidRPr="00296CB6">
        <w:rPr>
          <w:rFonts w:ascii="Cambria" w:hAnsi="Cambria"/>
          <w:lang w:val="es-CO"/>
        </w:rPr>
        <w:t xml:space="preserve"> es responsable por la violación </w:t>
      </w:r>
      <w:r w:rsidR="004F349F" w:rsidRPr="00296CB6">
        <w:rPr>
          <w:rFonts w:ascii="Cambria" w:hAnsi="Cambria"/>
          <w:lang w:val="es-CO"/>
        </w:rPr>
        <w:t>de los derechos al reconocimiento de la personalidad jurídica, a la vida, a la integridad personal, a la libertad personal, a las garantías judiciales, a la honra y la dignidad, a la libertad de expresión, a la libertad de asociación, a la protección especial de la niñez, a la libertad de circulación y residencia, a los derechos políticos, a la igualdad y no discriminación, a las garantías judiciales y a la protección judicial, establecidos en los artículos 3, 4, 5, 7, 8, 11, 13, 16, 19, 22, 23, 24 y 25 de la Convención Americana, en relación con las obligaciones establecidas en los artículos 1.1 del mismo instrumento; por la violación de los artículos 1, 6 y 8 de la C</w:t>
      </w:r>
      <w:r w:rsidR="00296CB6">
        <w:rPr>
          <w:rFonts w:ascii="Cambria" w:hAnsi="Cambria"/>
          <w:lang w:val="es-CO"/>
        </w:rPr>
        <w:t>onvención Interamericana para Prevenir y Sancionar la Tortura</w:t>
      </w:r>
      <w:r w:rsidR="004F349F" w:rsidRPr="00296CB6">
        <w:rPr>
          <w:rFonts w:ascii="Cambria" w:hAnsi="Cambria"/>
          <w:lang w:val="es-CO"/>
        </w:rPr>
        <w:t>; y por la violación de los artículos I a) y b) de la C</w:t>
      </w:r>
      <w:r w:rsidR="00296CB6">
        <w:rPr>
          <w:rFonts w:ascii="Cambria" w:hAnsi="Cambria"/>
          <w:lang w:val="es-CO"/>
        </w:rPr>
        <w:t>onvención Interamericana sobre Desaparición Forzada de Personas</w:t>
      </w:r>
      <w:r w:rsidR="00936615">
        <w:rPr>
          <w:rFonts w:ascii="Cambria" w:hAnsi="Cambria"/>
          <w:lang w:val="es-CO"/>
        </w:rPr>
        <w:t xml:space="preserve"> en perjuicio de las personas pertenecientes y militantes de la Unión Patriótica, en los términos indicados en el Informe de Fondo y en los listados de víctimas anexos. </w:t>
      </w:r>
    </w:p>
    <w:p w14:paraId="5C6A4B7C" w14:textId="77777777" w:rsidR="00544D8C" w:rsidRPr="00576D03" w:rsidRDefault="00544D8C" w:rsidP="00544D8C">
      <w:pPr>
        <w:tabs>
          <w:tab w:val="left" w:pos="810"/>
        </w:tabs>
        <w:spacing w:after="0" w:line="240" w:lineRule="auto"/>
        <w:jc w:val="both"/>
        <w:rPr>
          <w:rFonts w:ascii="Cambria" w:hAnsi="Cambria"/>
          <w:lang w:val="es-CO"/>
        </w:rPr>
      </w:pPr>
    </w:p>
    <w:p w14:paraId="74DEB96C" w14:textId="77777777" w:rsidR="00544D8C" w:rsidRPr="00576D03" w:rsidRDefault="00544D8C" w:rsidP="00544D8C">
      <w:pPr>
        <w:tabs>
          <w:tab w:val="left" w:pos="810"/>
        </w:tabs>
        <w:autoSpaceDE w:val="0"/>
        <w:autoSpaceDN w:val="0"/>
        <w:adjustRightInd w:val="0"/>
        <w:spacing w:after="0" w:line="240" w:lineRule="auto"/>
        <w:ind w:firstLine="720"/>
        <w:jc w:val="both"/>
        <w:rPr>
          <w:rFonts w:ascii="Cambria" w:hAnsi="Cambria"/>
          <w:lang w:val="es-CO"/>
        </w:rPr>
      </w:pPr>
      <w:r w:rsidRPr="00576D03">
        <w:rPr>
          <w:rFonts w:ascii="Cambria" w:hAnsi="Cambria"/>
          <w:lang w:val="es-CO"/>
        </w:rPr>
        <w:t>La Comisión solicita a la Corte Interamericana que establezca las siguientes medidas de reparación:</w:t>
      </w:r>
    </w:p>
    <w:p w14:paraId="1F7C5B39" w14:textId="77777777" w:rsidR="00BF7AF4" w:rsidRDefault="00BF7AF4" w:rsidP="00BF7AF4">
      <w:pPr>
        <w:tabs>
          <w:tab w:val="left" w:pos="-720"/>
        </w:tabs>
        <w:spacing w:after="0" w:line="240" w:lineRule="auto"/>
        <w:jc w:val="both"/>
        <w:rPr>
          <w:rFonts w:ascii="Cambria" w:hAnsi="Cambria"/>
          <w:lang w:val="es-CO"/>
        </w:rPr>
      </w:pPr>
    </w:p>
    <w:p w14:paraId="00C45E45" w14:textId="77777777" w:rsidR="00BF7AF4" w:rsidRPr="004559DD" w:rsidRDefault="00BF7AF4" w:rsidP="00BF7AF4">
      <w:pPr>
        <w:pStyle w:val="Listavistosa-nfasis1"/>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ahoma"/>
          <w:sz w:val="22"/>
          <w:szCs w:val="22"/>
          <w:bdr w:val="none" w:sz="0" w:space="0" w:color="auto"/>
          <w:lang w:val="es-ES"/>
        </w:rPr>
      </w:pPr>
      <w:r w:rsidRPr="004559DD">
        <w:rPr>
          <w:rFonts w:eastAsia="Times New Roman" w:cs="Tahoma"/>
          <w:sz w:val="22"/>
          <w:szCs w:val="22"/>
          <w:bdr w:val="none" w:sz="0" w:space="0" w:color="auto"/>
          <w:lang w:val="es-ES"/>
        </w:rPr>
        <w:t>Indemnizar adecuadamente a las víctimas y/o sus familiares, por las violaciones de derechos humanos declaradas en el informe de fondo</w:t>
      </w:r>
      <w:r w:rsidR="00732C7D" w:rsidRPr="004559DD">
        <w:rPr>
          <w:rFonts w:eastAsia="Times New Roman" w:cs="Tahoma"/>
          <w:sz w:val="22"/>
          <w:szCs w:val="22"/>
          <w:bdr w:val="none" w:sz="0" w:space="0" w:color="auto"/>
          <w:lang w:val="es-ES"/>
        </w:rPr>
        <w:t xml:space="preserve"> del presente caso</w:t>
      </w:r>
      <w:r w:rsidRPr="004559DD">
        <w:rPr>
          <w:rFonts w:eastAsia="Times New Roman" w:cs="Tahoma"/>
          <w:sz w:val="22"/>
          <w:szCs w:val="22"/>
          <w:bdr w:val="none" w:sz="0" w:space="0" w:color="auto"/>
          <w:lang w:val="es-ES"/>
        </w:rPr>
        <w:t>. Específicamente:</w:t>
      </w:r>
    </w:p>
    <w:p w14:paraId="08613843" w14:textId="77777777" w:rsidR="00BF7AF4" w:rsidRPr="004559DD" w:rsidRDefault="00BF7AF4" w:rsidP="00BF7AF4">
      <w:pPr>
        <w:pStyle w:val="Listavistosa-nfasis1"/>
        <w:pBdr>
          <w:top w:val="none" w:sz="0" w:space="0" w:color="auto"/>
          <w:left w:val="none" w:sz="0" w:space="0" w:color="auto"/>
          <w:bottom w:val="none" w:sz="0" w:space="0" w:color="auto"/>
          <w:right w:val="none" w:sz="0" w:space="0" w:color="auto"/>
          <w:between w:val="none" w:sz="0" w:space="0" w:color="auto"/>
          <w:bar w:val="none" w:sz="0" w:color="auto"/>
        </w:pBdr>
        <w:ind w:left="1425"/>
        <w:jc w:val="both"/>
        <w:rPr>
          <w:rFonts w:eastAsia="Times New Roman" w:cs="Tahoma"/>
          <w:sz w:val="22"/>
          <w:szCs w:val="22"/>
          <w:bdr w:val="none" w:sz="0" w:space="0" w:color="auto"/>
          <w:lang w:val="es-ES"/>
        </w:rPr>
      </w:pPr>
    </w:p>
    <w:p w14:paraId="14B828DA" w14:textId="77777777" w:rsidR="00BF7AF4" w:rsidRPr="004559DD" w:rsidRDefault="00BF7AF4" w:rsidP="00BF7AF4">
      <w:pPr>
        <w:pStyle w:val="Listavistosa-nfasis1"/>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ahoma"/>
          <w:sz w:val="22"/>
          <w:szCs w:val="22"/>
          <w:bdr w:val="none" w:sz="0" w:space="0" w:color="auto"/>
          <w:lang w:val="es-ES"/>
        </w:rPr>
      </w:pPr>
      <w:r w:rsidRPr="004559DD">
        <w:rPr>
          <w:rFonts w:eastAsia="Times New Roman" w:cs="Tahoma"/>
          <w:sz w:val="22"/>
          <w:szCs w:val="22"/>
          <w:bdr w:val="none" w:sz="0" w:space="0" w:color="auto"/>
          <w:lang w:val="es-ES"/>
        </w:rPr>
        <w:t xml:space="preserve">Indemnización adecuada a los familiares de las víctimas asesinadas, tanto por el daño material como por el daño inmaterial. Para los familiares que hubiesen fallecido, estas indemnizaciones deberán ser otorgadas en favor de sus derechohabientes.  </w:t>
      </w:r>
    </w:p>
    <w:p w14:paraId="7803EF3F" w14:textId="77777777" w:rsidR="00BF7AF4" w:rsidRPr="004559DD" w:rsidRDefault="00BF7AF4" w:rsidP="00BF7AF4">
      <w:pPr>
        <w:pStyle w:val="Listavistosa-nfasis1"/>
        <w:pBdr>
          <w:top w:val="none" w:sz="0" w:space="0" w:color="auto"/>
          <w:left w:val="none" w:sz="0" w:space="0" w:color="auto"/>
          <w:bottom w:val="none" w:sz="0" w:space="0" w:color="auto"/>
          <w:right w:val="none" w:sz="0" w:space="0" w:color="auto"/>
          <w:between w:val="none" w:sz="0" w:space="0" w:color="auto"/>
          <w:bar w:val="none" w:sz="0" w:color="auto"/>
        </w:pBdr>
        <w:ind w:left="1776"/>
        <w:jc w:val="both"/>
        <w:rPr>
          <w:rFonts w:eastAsia="Times New Roman" w:cs="Tahoma"/>
          <w:sz w:val="22"/>
          <w:szCs w:val="22"/>
          <w:bdr w:val="none" w:sz="0" w:space="0" w:color="auto"/>
          <w:lang w:val="es-ES"/>
        </w:rPr>
      </w:pPr>
    </w:p>
    <w:p w14:paraId="49FE4759" w14:textId="77777777" w:rsidR="00BF7AF4" w:rsidRPr="004559DD" w:rsidRDefault="00BF7AF4" w:rsidP="00BF7AF4">
      <w:pPr>
        <w:pStyle w:val="Listavistosa-nfasis1"/>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ahoma"/>
          <w:sz w:val="22"/>
          <w:szCs w:val="22"/>
          <w:bdr w:val="none" w:sz="0" w:space="0" w:color="auto"/>
          <w:lang w:val="es-ES"/>
        </w:rPr>
      </w:pPr>
      <w:r w:rsidRPr="004559DD">
        <w:rPr>
          <w:rFonts w:eastAsia="Times New Roman" w:cs="Tahoma"/>
          <w:sz w:val="22"/>
          <w:szCs w:val="22"/>
          <w:bdr w:val="none" w:sz="0" w:space="0" w:color="auto"/>
          <w:lang w:val="es-ES"/>
        </w:rPr>
        <w:t xml:space="preserve">Indemnización adecuada a los familiares de las víctimas desaparecidas, tanto por el daño material como por el daño inmaterial. Para los familiares que hubiesen </w:t>
      </w:r>
      <w:r w:rsidRPr="004559DD">
        <w:rPr>
          <w:rFonts w:eastAsia="Times New Roman" w:cs="Tahoma"/>
          <w:sz w:val="22"/>
          <w:szCs w:val="22"/>
          <w:bdr w:val="none" w:sz="0" w:space="0" w:color="auto"/>
          <w:lang w:val="es-ES"/>
        </w:rPr>
        <w:lastRenderedPageBreak/>
        <w:t xml:space="preserve">fallecido, estas indemnizaciones deberán ser otorgadas en favor de sus derechohabientes. </w:t>
      </w:r>
    </w:p>
    <w:p w14:paraId="3B040284" w14:textId="77777777" w:rsidR="00BF7AF4" w:rsidRPr="004559DD" w:rsidRDefault="00BF7AF4" w:rsidP="00BF7AF4">
      <w:pPr>
        <w:pStyle w:val="Listavistosa-nfasis1"/>
        <w:rPr>
          <w:rFonts w:eastAsia="Times New Roman" w:cs="Tahoma"/>
          <w:sz w:val="22"/>
          <w:szCs w:val="22"/>
          <w:bdr w:val="none" w:sz="0" w:space="0" w:color="auto"/>
          <w:lang w:val="es-ES"/>
        </w:rPr>
      </w:pPr>
    </w:p>
    <w:p w14:paraId="23E14BFC" w14:textId="77777777" w:rsidR="00BF7AF4" w:rsidRPr="004559DD" w:rsidRDefault="00BF7AF4" w:rsidP="00BF7AF4">
      <w:pPr>
        <w:pStyle w:val="Listavistosa-nfasis1"/>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ahoma"/>
          <w:sz w:val="22"/>
          <w:szCs w:val="22"/>
          <w:bdr w:val="none" w:sz="0" w:space="0" w:color="auto"/>
          <w:lang w:val="es-ES"/>
        </w:rPr>
      </w:pPr>
      <w:r w:rsidRPr="004559DD">
        <w:rPr>
          <w:rFonts w:eastAsia="Times New Roman" w:cs="Tahoma"/>
          <w:sz w:val="22"/>
          <w:szCs w:val="22"/>
          <w:bdr w:val="none" w:sz="0" w:space="0" w:color="auto"/>
          <w:lang w:val="es-ES"/>
        </w:rPr>
        <w:t xml:space="preserve">Indemnización adecuada a las víctimas desplazadas internamente y exiliadas, tanto por el daño material como por el daño inmaterial. De ser pertinente, el Estado deberá asegurar las condiciones para que las víctimas que deseen regresar a los lugares de los cuales fueron desplazadas o exiliadas, puedan hacerlo de manera segura. </w:t>
      </w:r>
    </w:p>
    <w:p w14:paraId="152CC7B5" w14:textId="77777777" w:rsidR="00BF7AF4" w:rsidRPr="004559DD" w:rsidRDefault="00BF7AF4" w:rsidP="00BF7AF4">
      <w:pPr>
        <w:pStyle w:val="Listavistosa-nfasis1"/>
        <w:rPr>
          <w:rFonts w:eastAsia="Times New Roman" w:cs="Tahoma"/>
          <w:sz w:val="22"/>
          <w:szCs w:val="22"/>
          <w:bdr w:val="none" w:sz="0" w:space="0" w:color="auto"/>
          <w:lang w:val="es-ES"/>
        </w:rPr>
      </w:pPr>
    </w:p>
    <w:p w14:paraId="71F63754" w14:textId="77777777" w:rsidR="00BF7AF4" w:rsidRPr="004559DD" w:rsidRDefault="00BF7AF4" w:rsidP="00BF7AF4">
      <w:pPr>
        <w:pStyle w:val="Listavistosa-nfasis1"/>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ahoma"/>
          <w:sz w:val="22"/>
          <w:szCs w:val="22"/>
          <w:bdr w:val="none" w:sz="0" w:space="0" w:color="auto"/>
          <w:lang w:val="es-ES"/>
        </w:rPr>
      </w:pPr>
      <w:r w:rsidRPr="004559DD">
        <w:rPr>
          <w:rFonts w:eastAsia="Times New Roman" w:cs="Tahoma"/>
          <w:sz w:val="22"/>
          <w:szCs w:val="22"/>
          <w:bdr w:val="none" w:sz="0" w:space="0" w:color="auto"/>
          <w:lang w:val="es-ES"/>
        </w:rPr>
        <w:t xml:space="preserve">Indemnización adecuada a las víctimas criminalizadas de manera infundada, tanto por el daño material como por el daño inmaterial. </w:t>
      </w:r>
    </w:p>
    <w:p w14:paraId="0DB583C9" w14:textId="77777777" w:rsidR="00BF7AF4" w:rsidRPr="004559DD" w:rsidRDefault="00BF7AF4" w:rsidP="00BF7AF4">
      <w:pPr>
        <w:pStyle w:val="Listavistosa-nfasis1"/>
        <w:rPr>
          <w:rFonts w:eastAsia="Times New Roman" w:cs="Tahoma"/>
          <w:sz w:val="22"/>
          <w:szCs w:val="22"/>
          <w:bdr w:val="none" w:sz="0" w:space="0" w:color="auto"/>
          <w:lang w:val="es-ES"/>
        </w:rPr>
      </w:pPr>
    </w:p>
    <w:p w14:paraId="078D69A6" w14:textId="77777777" w:rsidR="00BF7AF4" w:rsidRPr="004559DD" w:rsidRDefault="00BF7AF4" w:rsidP="00BF7AF4">
      <w:pPr>
        <w:pStyle w:val="Listavistosa-nfasis1"/>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ahoma"/>
          <w:sz w:val="22"/>
          <w:szCs w:val="22"/>
          <w:bdr w:val="none" w:sz="0" w:space="0" w:color="auto"/>
          <w:lang w:val="es-ES"/>
        </w:rPr>
      </w:pPr>
      <w:r w:rsidRPr="004559DD">
        <w:rPr>
          <w:rFonts w:eastAsia="Times New Roman" w:cs="Tahoma"/>
          <w:sz w:val="22"/>
          <w:szCs w:val="22"/>
          <w:bdr w:val="none" w:sz="0" w:space="0" w:color="auto"/>
          <w:lang w:val="es-ES"/>
        </w:rPr>
        <w:t xml:space="preserve">Indemnización adecuada a las víctimas de amenazas contra su vida e integridad personal, incluyendo las víctimas sobrevivientes de tentativas de homicidio. </w:t>
      </w:r>
    </w:p>
    <w:p w14:paraId="571ABE8C" w14:textId="77777777" w:rsidR="00BF7AF4" w:rsidRPr="004559DD" w:rsidRDefault="00BF7AF4" w:rsidP="00BF7AF4">
      <w:pPr>
        <w:pStyle w:val="Listavistosa-nfasis1"/>
        <w:rPr>
          <w:rFonts w:eastAsia="Times New Roman" w:cs="Tahoma"/>
          <w:sz w:val="22"/>
          <w:szCs w:val="22"/>
          <w:bdr w:val="none" w:sz="0" w:space="0" w:color="auto"/>
          <w:lang w:val="es-ES"/>
        </w:rPr>
      </w:pPr>
    </w:p>
    <w:p w14:paraId="380CF85F" w14:textId="77777777" w:rsidR="00BF7AF4" w:rsidRPr="004559DD" w:rsidRDefault="00BF7AF4" w:rsidP="00BF7AF4">
      <w:pPr>
        <w:pStyle w:val="Listavistosa-nfasis1"/>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ahoma"/>
          <w:sz w:val="22"/>
          <w:szCs w:val="22"/>
          <w:bdr w:val="none" w:sz="0" w:space="0" w:color="auto"/>
          <w:lang w:val="es-ES"/>
        </w:rPr>
      </w:pPr>
      <w:r w:rsidRPr="004559DD">
        <w:rPr>
          <w:rFonts w:eastAsia="Times New Roman" w:cs="Tahoma"/>
          <w:sz w:val="22"/>
          <w:szCs w:val="22"/>
          <w:bdr w:val="none" w:sz="0" w:space="0" w:color="auto"/>
          <w:lang w:val="es-ES"/>
        </w:rPr>
        <w:t xml:space="preserve">En el caso de las personas y/o núcleos familiares que fueron víctima de varias de las violaciones de derechos humanos de los numerales anteriores, la indemnización adecuada deberá tomar en cuenta esa circunstancia. Asimismo, la totalidad de las indemnizaciones deberán considerar las violaciones derivadas de la denegación de justicia constatada en el informe de fondo.  </w:t>
      </w:r>
    </w:p>
    <w:p w14:paraId="64A1237C" w14:textId="77777777" w:rsidR="00BF7AF4" w:rsidRPr="004559DD" w:rsidRDefault="00BF7AF4" w:rsidP="00BF7AF4">
      <w:pPr>
        <w:pStyle w:val="Listavistosa-nfasis1"/>
        <w:rPr>
          <w:rFonts w:eastAsia="Times New Roman" w:cs="Tahoma"/>
          <w:sz w:val="22"/>
          <w:szCs w:val="22"/>
          <w:bdr w:val="none" w:sz="0" w:space="0" w:color="auto"/>
          <w:lang w:val="es-ES"/>
        </w:rPr>
      </w:pPr>
    </w:p>
    <w:p w14:paraId="14DB371F" w14:textId="77777777" w:rsidR="00BF7AF4" w:rsidRPr="004559DD" w:rsidRDefault="00BF7AF4" w:rsidP="00BF7AF4">
      <w:pPr>
        <w:pStyle w:val="Listavistosa-nfasis1"/>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ahoma"/>
          <w:color w:val="auto"/>
          <w:sz w:val="22"/>
          <w:szCs w:val="22"/>
          <w:bdr w:val="none" w:sz="0" w:space="0" w:color="auto"/>
          <w:lang w:val="es-ES"/>
        </w:rPr>
      </w:pPr>
      <w:r w:rsidRPr="004559DD">
        <w:rPr>
          <w:rFonts w:eastAsia="Times New Roman" w:cs="Tahoma"/>
          <w:sz w:val="22"/>
          <w:szCs w:val="22"/>
          <w:bdr w:val="none" w:sz="0" w:space="0" w:color="auto"/>
          <w:lang w:val="es-ES"/>
        </w:rPr>
        <w:t>Investigar</w:t>
      </w:r>
      <w:r w:rsidRPr="004559DD">
        <w:rPr>
          <w:sz w:val="22"/>
          <w:szCs w:val="22"/>
          <w:lang w:val="es-ES"/>
        </w:rPr>
        <w:t xml:space="preserve"> el destino o paradero de las víctimas desaparecidas y, de ser el caso, adoptar las medidas necesarias para identificar y entregar a sus familiares l</w:t>
      </w:r>
      <w:r w:rsidRPr="004559DD">
        <w:rPr>
          <w:color w:val="auto"/>
          <w:sz w:val="22"/>
          <w:szCs w:val="22"/>
          <w:lang w:val="es-ES"/>
        </w:rPr>
        <w:t>os restos mortales.</w:t>
      </w:r>
    </w:p>
    <w:p w14:paraId="38DE6964" w14:textId="77777777" w:rsidR="00BF7AF4" w:rsidRPr="004559DD" w:rsidRDefault="00BF7AF4" w:rsidP="00BF7AF4">
      <w:pPr>
        <w:pStyle w:val="Listavistosa-nfasis1"/>
        <w:pBdr>
          <w:top w:val="none" w:sz="0" w:space="0" w:color="auto"/>
          <w:left w:val="none" w:sz="0" w:space="0" w:color="auto"/>
          <w:bottom w:val="none" w:sz="0" w:space="0" w:color="auto"/>
          <w:right w:val="none" w:sz="0" w:space="0" w:color="auto"/>
          <w:between w:val="none" w:sz="0" w:space="0" w:color="auto"/>
          <w:bar w:val="none" w:sz="0" w:color="auto"/>
        </w:pBdr>
        <w:ind w:left="1425"/>
        <w:jc w:val="both"/>
        <w:rPr>
          <w:rFonts w:eastAsia="Times New Roman" w:cs="Tahoma"/>
          <w:color w:val="auto"/>
          <w:sz w:val="22"/>
          <w:szCs w:val="22"/>
          <w:bdr w:val="none" w:sz="0" w:space="0" w:color="auto"/>
          <w:lang w:val="es-ES"/>
        </w:rPr>
      </w:pPr>
    </w:p>
    <w:p w14:paraId="477E05F5" w14:textId="77777777" w:rsidR="00BF7AF4" w:rsidRPr="004559DD" w:rsidRDefault="00BF7AF4" w:rsidP="00BF7AF4">
      <w:pPr>
        <w:pStyle w:val="Listavistosa-nfasis1"/>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olor w:val="auto"/>
          <w:sz w:val="22"/>
          <w:szCs w:val="22"/>
          <w:bdr w:val="none" w:sz="0" w:space="0" w:color="auto"/>
          <w:lang w:val="es-ES"/>
        </w:rPr>
      </w:pPr>
      <w:r w:rsidRPr="004559DD">
        <w:rPr>
          <w:rFonts w:eastAsia="Times New Roman" w:cs="Tahoma"/>
          <w:color w:val="auto"/>
          <w:sz w:val="22"/>
          <w:szCs w:val="22"/>
          <w:bdr w:val="none" w:sz="0" w:space="0" w:color="auto"/>
          <w:lang w:val="es-AR"/>
        </w:rPr>
        <w:t>Iniciar, continuar o reabrir las investigaciones penales y disciplinarias correspondientes por la totalidad de las violaciones de derechos humanos declaradas en el informe de fondo</w:t>
      </w:r>
      <w:r w:rsidR="00732C7D" w:rsidRPr="004559DD">
        <w:rPr>
          <w:rFonts w:eastAsia="Times New Roman" w:cs="Tahoma"/>
          <w:color w:val="auto"/>
          <w:sz w:val="22"/>
          <w:szCs w:val="22"/>
          <w:bdr w:val="none" w:sz="0" w:space="0" w:color="auto"/>
          <w:lang w:val="es-AR"/>
        </w:rPr>
        <w:t xml:space="preserve"> del presente caso</w:t>
      </w:r>
      <w:r w:rsidRPr="004559DD">
        <w:rPr>
          <w:rFonts w:eastAsia="Times New Roman" w:cs="Tahoma"/>
          <w:color w:val="auto"/>
          <w:sz w:val="22"/>
          <w:szCs w:val="22"/>
          <w:bdr w:val="none" w:sz="0" w:space="0" w:color="auto"/>
          <w:lang w:val="es-AR"/>
        </w:rPr>
        <w:t>. Estas investigaciones deberán efectuarse de manera diligente, efectiva y dentro de un plazo razonable con el objeto de esclarecer los hechos en forma completa, identificar todas las posibles responsabilidades e imponer las sanciones que correspondan de manera proporcional a su gravedad. Estas investigaciones deberán satisfacer los estándares descritos en el informe de fondo en materia de debida diligencia. En especial, además de las responsabilidades penales de los distintos actores estatales y no estatales involucrados, el Estado deberá asegurarse de que los mecanismos internos de investigación contribuyan a una esclarecimiento completo del exterminio de la Unión Patriótica.</w:t>
      </w:r>
    </w:p>
    <w:p w14:paraId="48B75FAB" w14:textId="77777777" w:rsidR="00BF7AF4" w:rsidRPr="004559DD" w:rsidRDefault="00BF7AF4" w:rsidP="00BF7AF4">
      <w:pPr>
        <w:pStyle w:val="Listavistosa-nfasis1"/>
        <w:rPr>
          <w:rFonts w:eastAsia="Times New Roman"/>
          <w:color w:val="auto"/>
          <w:sz w:val="22"/>
          <w:szCs w:val="22"/>
          <w:bdr w:val="none" w:sz="0" w:space="0" w:color="auto"/>
          <w:lang w:val="es-ES"/>
        </w:rPr>
      </w:pPr>
    </w:p>
    <w:p w14:paraId="3DDE10E4" w14:textId="77777777" w:rsidR="00BF7AF4" w:rsidRPr="004559DD" w:rsidRDefault="00BF7AF4" w:rsidP="00BF7AF4">
      <w:pPr>
        <w:pStyle w:val="Listavistosa-nfasis1"/>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olor w:val="auto"/>
          <w:sz w:val="22"/>
          <w:szCs w:val="22"/>
          <w:bdr w:val="none" w:sz="0" w:space="0" w:color="auto"/>
          <w:lang w:val="es-ES"/>
        </w:rPr>
      </w:pPr>
      <w:r w:rsidRPr="004559DD">
        <w:rPr>
          <w:rFonts w:eastAsia="Times New Roman"/>
          <w:color w:val="auto"/>
          <w:sz w:val="22"/>
          <w:szCs w:val="22"/>
          <w:bdr w:val="none" w:sz="0" w:space="0" w:color="auto"/>
          <w:lang w:val="es-ES"/>
        </w:rPr>
        <w:t>Implementar medidas de satisfacción tanto individuales como colectivas, las cuales deberán ser diseñadas con la participación y aprobación de las víctimas del presente caso. Dentro de estas medidas de satisfacción, el Estado colombiano deberá realizar un acto público de reconocimiento de responsabilidad internacional en los términos declarados en el informe</w:t>
      </w:r>
      <w:r w:rsidR="00732C7D" w:rsidRPr="004559DD">
        <w:rPr>
          <w:rFonts w:eastAsia="Times New Roman"/>
          <w:color w:val="auto"/>
          <w:sz w:val="22"/>
          <w:szCs w:val="22"/>
          <w:bdr w:val="none" w:sz="0" w:space="0" w:color="auto"/>
          <w:lang w:val="es-ES"/>
        </w:rPr>
        <w:t xml:space="preserve"> de fondo</w:t>
      </w:r>
      <w:r w:rsidRPr="004559DD">
        <w:rPr>
          <w:rFonts w:eastAsia="Times New Roman"/>
          <w:color w:val="auto"/>
          <w:sz w:val="22"/>
          <w:szCs w:val="22"/>
          <w:bdr w:val="none" w:sz="0" w:space="0" w:color="auto"/>
          <w:lang w:val="es-ES"/>
        </w:rPr>
        <w:t>. Esto implica que el contenido de dicho reconocimiento que deberá estar acompañado de un acto de disculpas públicas, deberá incluir la responsabilidad estatal tanto directa como indirecta por incumplimiento de su deber de respeto y de garantía. Con base en lo anterior, esta medida de satisfacción e</w:t>
      </w:r>
      <w:r w:rsidR="00732C7D" w:rsidRPr="004559DD">
        <w:rPr>
          <w:rFonts w:eastAsia="Times New Roman"/>
          <w:color w:val="auto"/>
          <w:sz w:val="22"/>
          <w:szCs w:val="22"/>
          <w:bdr w:val="none" w:sz="0" w:space="0" w:color="auto"/>
          <w:lang w:val="es-ES"/>
        </w:rPr>
        <w:t xml:space="preserve">s independiente y adicional al </w:t>
      </w:r>
      <w:r w:rsidRPr="004559DD">
        <w:rPr>
          <w:rFonts w:eastAsia="Times New Roman"/>
          <w:color w:val="auto"/>
          <w:sz w:val="22"/>
          <w:szCs w:val="22"/>
          <w:bdr w:val="none" w:sz="0" w:space="0" w:color="auto"/>
          <w:lang w:val="es-ES"/>
        </w:rPr>
        <w:t>acto efectuad</w:t>
      </w:r>
      <w:r w:rsidR="00732C7D" w:rsidRPr="004559DD">
        <w:rPr>
          <w:rFonts w:eastAsia="Times New Roman"/>
          <w:color w:val="auto"/>
          <w:sz w:val="22"/>
          <w:szCs w:val="22"/>
          <w:bdr w:val="none" w:sz="0" w:space="0" w:color="auto"/>
          <w:lang w:val="es-ES"/>
        </w:rPr>
        <w:t xml:space="preserve">o el 15 de septiembre de 2016. </w:t>
      </w:r>
      <w:r w:rsidRPr="004559DD">
        <w:rPr>
          <w:rFonts w:eastAsia="Times New Roman"/>
          <w:color w:val="auto"/>
          <w:sz w:val="22"/>
          <w:szCs w:val="22"/>
          <w:bdr w:val="none" w:sz="0" w:space="0" w:color="auto"/>
          <w:lang w:val="es-ES"/>
        </w:rPr>
        <w:t xml:space="preserve">Además, las medidas de satisfacción individual y colectivas deberán incluir las medidas que las víctimas y sus familiares consideren adecuadas </w:t>
      </w:r>
      <w:r w:rsidRPr="004559DD">
        <w:rPr>
          <w:rFonts w:eastAsia="Times New Roman"/>
          <w:color w:val="auto"/>
          <w:sz w:val="22"/>
          <w:szCs w:val="22"/>
          <w:bdr w:val="none" w:sz="0" w:space="0" w:color="auto"/>
          <w:lang w:val="es-ES"/>
        </w:rPr>
        <w:lastRenderedPageBreak/>
        <w:t xml:space="preserve">para la reivindicación de la memoria histórica y la reparación de la estigmatización a la que han </w:t>
      </w:r>
      <w:r w:rsidR="00C66601">
        <w:rPr>
          <w:rFonts w:eastAsia="Times New Roman"/>
          <w:color w:val="auto"/>
          <w:sz w:val="22"/>
          <w:szCs w:val="22"/>
          <w:bdr w:val="none" w:sz="0" w:space="0" w:color="auto"/>
          <w:lang w:val="es-ES"/>
        </w:rPr>
        <w:t>sido</w:t>
      </w:r>
      <w:r w:rsidRPr="004559DD">
        <w:rPr>
          <w:rFonts w:eastAsia="Times New Roman"/>
          <w:color w:val="auto"/>
          <w:sz w:val="22"/>
          <w:szCs w:val="22"/>
          <w:bdr w:val="none" w:sz="0" w:space="0" w:color="auto"/>
          <w:lang w:val="es-ES"/>
        </w:rPr>
        <w:t xml:space="preserve"> sometidas.</w:t>
      </w:r>
    </w:p>
    <w:p w14:paraId="0B3AD8A4" w14:textId="77777777" w:rsidR="00BF7AF4" w:rsidRPr="004559DD" w:rsidRDefault="00BF7AF4" w:rsidP="00BF7AF4">
      <w:pPr>
        <w:pStyle w:val="Listavistosa-nfasis1"/>
        <w:rPr>
          <w:rFonts w:eastAsia="Times New Roman"/>
          <w:color w:val="auto"/>
          <w:sz w:val="22"/>
          <w:szCs w:val="22"/>
          <w:bdr w:val="none" w:sz="0" w:space="0" w:color="auto"/>
          <w:lang w:val="es-ES"/>
        </w:rPr>
      </w:pPr>
    </w:p>
    <w:p w14:paraId="6B95CEF0" w14:textId="77777777" w:rsidR="00BF7AF4" w:rsidRPr="004559DD" w:rsidRDefault="00BF7AF4" w:rsidP="00BF7AF4">
      <w:pPr>
        <w:pStyle w:val="Listavistosa-nfasis1"/>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olor w:val="auto"/>
          <w:sz w:val="22"/>
          <w:szCs w:val="22"/>
          <w:bdr w:val="none" w:sz="0" w:space="0" w:color="auto"/>
          <w:lang w:val="es-ES"/>
        </w:rPr>
      </w:pPr>
      <w:r w:rsidRPr="004559DD">
        <w:rPr>
          <w:rFonts w:eastAsia="Times New Roman" w:cs="Tahoma"/>
          <w:sz w:val="22"/>
          <w:szCs w:val="22"/>
          <w:bdr w:val="none" w:sz="0" w:space="0" w:color="auto"/>
          <w:lang w:val="es-ES"/>
        </w:rPr>
        <w:t xml:space="preserve">Disponer las medidas de atención en salud física y mental necesarias para la rehabilitación de las víctimas que así lo soliciten y, en todo caso, de manera concertada con ellas. </w:t>
      </w:r>
    </w:p>
    <w:p w14:paraId="6D30B257" w14:textId="77777777" w:rsidR="00BF7AF4" w:rsidRPr="004559DD" w:rsidRDefault="00BF7AF4" w:rsidP="00BF7AF4">
      <w:pPr>
        <w:pStyle w:val="Listavistosa-nfasis1"/>
        <w:rPr>
          <w:rFonts w:eastAsia="Times New Roman" w:cs="Tahoma"/>
          <w:sz w:val="22"/>
          <w:szCs w:val="22"/>
          <w:bdr w:val="none" w:sz="0" w:space="0" w:color="auto"/>
          <w:lang w:val="es-US"/>
        </w:rPr>
      </w:pPr>
    </w:p>
    <w:p w14:paraId="003695D7" w14:textId="77777777" w:rsidR="00BF7AF4" w:rsidRPr="004559DD" w:rsidRDefault="00BF7AF4" w:rsidP="00BF7AF4">
      <w:pPr>
        <w:pStyle w:val="Listavistosa-nfasis1"/>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2"/>
          <w:szCs w:val="22"/>
          <w:bdr w:val="none" w:sz="0" w:space="0" w:color="auto"/>
          <w:lang w:val="es-ES"/>
        </w:rPr>
      </w:pPr>
      <w:r w:rsidRPr="004559DD">
        <w:rPr>
          <w:rFonts w:eastAsia="Times New Roman" w:cs="Tahoma"/>
          <w:sz w:val="22"/>
          <w:szCs w:val="22"/>
          <w:bdr w:val="none" w:sz="0" w:space="0" w:color="auto"/>
          <w:lang w:val="es-US"/>
        </w:rPr>
        <w:t xml:space="preserve">Implementar mecanismos de no repetición que incluyan: </w:t>
      </w:r>
    </w:p>
    <w:p w14:paraId="491F11AD" w14:textId="77777777" w:rsidR="00BF7AF4" w:rsidRPr="004559DD" w:rsidRDefault="00BF7AF4" w:rsidP="00BF7AF4">
      <w:pPr>
        <w:pStyle w:val="Listavistosa-nfasis1"/>
        <w:rPr>
          <w:rFonts w:eastAsia="Times New Roman"/>
          <w:sz w:val="22"/>
          <w:szCs w:val="22"/>
          <w:bdr w:val="none" w:sz="0" w:space="0" w:color="auto"/>
          <w:lang w:val="es-ES"/>
        </w:rPr>
      </w:pPr>
    </w:p>
    <w:p w14:paraId="47F5F902" w14:textId="77777777" w:rsidR="00BF7AF4" w:rsidRPr="004559DD" w:rsidRDefault="00BF7AF4" w:rsidP="00BF7AF4">
      <w:pPr>
        <w:pStyle w:val="Listavistosa-nfasis1"/>
        <w:ind w:left="1425"/>
        <w:jc w:val="both"/>
        <w:rPr>
          <w:color w:val="auto"/>
          <w:sz w:val="22"/>
          <w:szCs w:val="22"/>
          <w:bdr w:val="none" w:sz="0" w:space="0" w:color="auto" w:frame="1"/>
          <w:lang w:val="es-US"/>
        </w:rPr>
      </w:pPr>
      <w:r w:rsidRPr="004559DD">
        <w:rPr>
          <w:color w:val="auto"/>
          <w:sz w:val="22"/>
          <w:szCs w:val="22"/>
          <w:bdr w:val="none" w:sz="0" w:space="0" w:color="auto" w:frame="1"/>
          <w:lang w:val="es-US"/>
        </w:rPr>
        <w:t xml:space="preserve">En relación con la protección a integrantes y militantes de la UP, </w:t>
      </w:r>
      <w:r w:rsidRPr="004559DD">
        <w:rPr>
          <w:rFonts w:eastAsia="Times New Roman"/>
          <w:sz w:val="22"/>
          <w:szCs w:val="22"/>
          <w:bdr w:val="none" w:sz="0" w:space="0" w:color="auto"/>
          <w:lang w:val="es-ES"/>
        </w:rPr>
        <w:t xml:space="preserve">adecuar y fortalecer los mecanismos de protección en favor de ellos para asegurar que los mismos estén en posibilidad de responder debidamente a los factores de riesgo presentes o sobrevinientes que pueden enfrentar en el contexto actual del país como consecuencia de la pertenencia o vínculo con dicho grupo particular. </w:t>
      </w:r>
      <w:r w:rsidRPr="004559DD">
        <w:rPr>
          <w:color w:val="auto"/>
          <w:sz w:val="22"/>
          <w:szCs w:val="22"/>
          <w:bdr w:val="none" w:sz="0" w:space="0" w:color="auto" w:frame="1"/>
          <w:lang w:val="es-US"/>
        </w:rPr>
        <w:t>Para ello, la Comisión considera importante que la adopción de medidas cuente con la participación de miembros de la UP.</w:t>
      </w:r>
    </w:p>
    <w:p w14:paraId="425E9DD0" w14:textId="77777777" w:rsidR="00BF7AF4" w:rsidRPr="004559DD" w:rsidRDefault="00BF7AF4" w:rsidP="00BF7AF4">
      <w:pPr>
        <w:pStyle w:val="Listavistosa-nfasis1"/>
        <w:ind w:left="1425"/>
        <w:jc w:val="both"/>
        <w:rPr>
          <w:color w:val="auto"/>
          <w:sz w:val="22"/>
          <w:szCs w:val="22"/>
          <w:bdr w:val="none" w:sz="0" w:space="0" w:color="auto" w:frame="1"/>
          <w:lang w:val="es-US"/>
        </w:rPr>
      </w:pPr>
    </w:p>
    <w:p w14:paraId="42D91778" w14:textId="77777777" w:rsidR="00BF7AF4" w:rsidRPr="004559DD" w:rsidRDefault="00BF7AF4" w:rsidP="00BF7AF4">
      <w:pPr>
        <w:pStyle w:val="Listavistosa-nfasis1"/>
        <w:ind w:left="1425"/>
        <w:jc w:val="both"/>
        <w:rPr>
          <w:color w:val="auto"/>
          <w:sz w:val="22"/>
          <w:szCs w:val="22"/>
          <w:bdr w:val="none" w:sz="0" w:space="0" w:color="auto" w:frame="1"/>
          <w:lang w:val="es-US"/>
        </w:rPr>
      </w:pPr>
      <w:r w:rsidRPr="004559DD">
        <w:rPr>
          <w:color w:val="auto"/>
          <w:sz w:val="22"/>
          <w:szCs w:val="22"/>
          <w:bdr w:val="none" w:sz="0" w:space="0" w:color="auto" w:frame="1"/>
          <w:lang w:val="es-US"/>
        </w:rPr>
        <w:t>Sobre la personería jurídica de la Unión Patriótica, la Comisión insta al Estado para que en las eventuales decisiones que deba tomar en un futuro tomen en cuenta la magnitud de las violaciones a derechos humanos que se constataron en el informe</w:t>
      </w:r>
      <w:r w:rsidR="00732C7D" w:rsidRPr="004559DD">
        <w:rPr>
          <w:color w:val="auto"/>
          <w:sz w:val="22"/>
          <w:szCs w:val="22"/>
          <w:bdr w:val="none" w:sz="0" w:space="0" w:color="auto" w:frame="1"/>
          <w:lang w:val="es-US"/>
        </w:rPr>
        <w:t xml:space="preserve"> de fondo</w:t>
      </w:r>
      <w:r w:rsidRPr="004559DD">
        <w:rPr>
          <w:color w:val="auto"/>
          <w:sz w:val="22"/>
          <w:szCs w:val="22"/>
          <w:bdr w:val="none" w:sz="0" w:space="0" w:color="auto" w:frame="1"/>
          <w:lang w:val="es-US"/>
        </w:rPr>
        <w:t xml:space="preserve"> contra el partido político y sus efectos duraderos. </w:t>
      </w:r>
    </w:p>
    <w:p w14:paraId="1D662772" w14:textId="77777777" w:rsidR="00BF7AF4" w:rsidRPr="004559DD" w:rsidRDefault="00BF7AF4" w:rsidP="00BF7AF4">
      <w:pPr>
        <w:pStyle w:val="Listavistosa-nfasis1"/>
        <w:ind w:left="1425"/>
        <w:jc w:val="both"/>
        <w:rPr>
          <w:color w:val="auto"/>
          <w:sz w:val="22"/>
          <w:szCs w:val="22"/>
          <w:bdr w:val="none" w:sz="0" w:space="0" w:color="auto" w:frame="1"/>
          <w:lang w:val="es-US"/>
        </w:rPr>
      </w:pPr>
    </w:p>
    <w:p w14:paraId="7303F383" w14:textId="77777777" w:rsidR="00BF7AF4" w:rsidRPr="004559DD" w:rsidRDefault="00BF7AF4" w:rsidP="00BF7AF4">
      <w:pPr>
        <w:pStyle w:val="Listavistosa-nfasis1"/>
        <w:ind w:left="1425"/>
        <w:jc w:val="both"/>
        <w:rPr>
          <w:color w:val="auto"/>
          <w:sz w:val="22"/>
          <w:szCs w:val="22"/>
          <w:bdr w:val="none" w:sz="0" w:space="0" w:color="auto" w:frame="1"/>
          <w:lang w:val="es-US"/>
        </w:rPr>
      </w:pPr>
      <w:r w:rsidRPr="004559DD">
        <w:rPr>
          <w:color w:val="auto"/>
          <w:sz w:val="22"/>
          <w:szCs w:val="22"/>
          <w:bdr w:val="none" w:sz="0" w:space="0" w:color="auto" w:frame="1"/>
          <w:lang w:val="es-US"/>
        </w:rPr>
        <w:t xml:space="preserve">En atención al contexto actual de implementación del acuerdo de paz en Colombia, la Comisión estima que el Estado debe disponer mecanismos idóneos para asegurar que no se vuelvan a  repetir las graves violaciones a derechos humanos contra personas o grupos políticos que desean participar en la vida política. Sin perjuicio de los instrumentos de justicia transicional aplicables en cada caso, el Estado debe tomar medidas para que tales personas puedan incorporarse a la actividad política con plenas garantías para ejercer dicha actividad sin discursos estigmatizantes de agentes estatales, además, debe disponer mecanismos para asegurar la protección de su vida,  integridad y demás derechos para que la participación en política no se convierta nuevamente en una amenaza para los mismos.  </w:t>
      </w:r>
    </w:p>
    <w:p w14:paraId="79A1E425" w14:textId="77777777" w:rsidR="00BF7AF4" w:rsidRPr="004559DD" w:rsidRDefault="00BF7AF4" w:rsidP="00BF7AF4">
      <w:pPr>
        <w:pStyle w:val="Listavistosa-nfasis1"/>
        <w:ind w:left="1425"/>
        <w:jc w:val="both"/>
        <w:rPr>
          <w:color w:val="auto"/>
          <w:sz w:val="22"/>
          <w:szCs w:val="22"/>
          <w:bdr w:val="none" w:sz="0" w:space="0" w:color="auto" w:frame="1"/>
          <w:lang w:val="es-US"/>
        </w:rPr>
      </w:pPr>
    </w:p>
    <w:p w14:paraId="52BA4D83" w14:textId="77777777" w:rsidR="00BF7AF4" w:rsidRPr="004559DD" w:rsidRDefault="00BF7AF4" w:rsidP="00BF7AF4">
      <w:pPr>
        <w:pStyle w:val="Listavistosa-nfasis1"/>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2"/>
          <w:szCs w:val="22"/>
          <w:lang w:val="es-ES"/>
        </w:rPr>
      </w:pPr>
      <w:r w:rsidRPr="004559DD">
        <w:rPr>
          <w:rFonts w:eastAsia="Times New Roman"/>
          <w:sz w:val="22"/>
          <w:szCs w:val="22"/>
          <w:lang w:val="es-ES"/>
        </w:rPr>
        <w:t xml:space="preserve">Crear, en concertación con las víctimas y sus representantes, un mecanismo de identificación de los familiares de </w:t>
      </w:r>
      <w:r w:rsidRPr="004559DD">
        <w:rPr>
          <w:rFonts w:eastAsia="Times New Roman" w:cs="Tahoma"/>
          <w:sz w:val="22"/>
          <w:szCs w:val="22"/>
          <w:bdr w:val="none" w:sz="0" w:space="0" w:color="auto"/>
          <w:lang w:val="es-US"/>
        </w:rPr>
        <w:t>las</w:t>
      </w:r>
      <w:r w:rsidRPr="004559DD">
        <w:rPr>
          <w:rFonts w:eastAsia="Times New Roman"/>
          <w:sz w:val="22"/>
          <w:szCs w:val="22"/>
          <w:lang w:val="es-ES"/>
        </w:rPr>
        <w:t xml:space="preserve"> víctimas ejecutadas y desaparecidas, cuyos grupos familiares no se encuentran referidos en los Listados de Víctimas respecto de tales violaciones del informe de fondo. Este mecanismo no pretende ampliar el</w:t>
      </w:r>
      <w:r w:rsidR="00C66601">
        <w:rPr>
          <w:rFonts w:eastAsia="Times New Roman"/>
          <w:sz w:val="22"/>
          <w:szCs w:val="22"/>
          <w:lang w:val="es-ES"/>
        </w:rPr>
        <w:t xml:space="preserve"> universo de víctimas del caso, s</w:t>
      </w:r>
      <w:r w:rsidRPr="004559DD">
        <w:rPr>
          <w:rFonts w:eastAsia="Times New Roman"/>
          <w:sz w:val="22"/>
          <w:szCs w:val="22"/>
          <w:lang w:val="es-ES"/>
        </w:rPr>
        <w:t xml:space="preserve">u finalidad se limita a completar los listados de familiares de las personas ya declaradas como víctimas de violaciones de derechos humanos en el informe de fondo, específicamente las víctimas de ejecución y de desaparición. Las personas que, conforme a este mecanismo, sean incluidas en los listados de familiares de dichos grupos de víctimas, deberán ser beneficiarias de las reparaciones dispuestas en el informe de fondo. </w:t>
      </w:r>
    </w:p>
    <w:p w14:paraId="503C6DFC" w14:textId="77777777" w:rsidR="00BF7AF4" w:rsidRPr="004559DD" w:rsidRDefault="00BF7AF4" w:rsidP="00BF7AF4">
      <w:pPr>
        <w:pStyle w:val="Default"/>
        <w:jc w:val="both"/>
        <w:rPr>
          <w:rFonts w:ascii="Cambria" w:hAnsi="Cambria"/>
          <w:sz w:val="22"/>
          <w:szCs w:val="22"/>
          <w:lang w:val="es-ES"/>
        </w:rPr>
      </w:pPr>
    </w:p>
    <w:p w14:paraId="39543CC1" w14:textId="77777777" w:rsidR="00BF7AF4" w:rsidRPr="004559DD" w:rsidRDefault="00BF7AF4" w:rsidP="00BF7AF4">
      <w:pPr>
        <w:pStyle w:val="Listavistosa-nfasis1"/>
        <w:pBdr>
          <w:top w:val="none" w:sz="0" w:space="0" w:color="auto"/>
          <w:left w:val="none" w:sz="0" w:space="0" w:color="auto"/>
          <w:bottom w:val="none" w:sz="0" w:space="0" w:color="auto"/>
          <w:right w:val="none" w:sz="0" w:space="0" w:color="auto"/>
          <w:between w:val="none" w:sz="0" w:space="0" w:color="auto"/>
          <w:bar w:val="none" w:sz="0" w:color="auto"/>
        </w:pBdr>
        <w:ind w:left="1425"/>
        <w:jc w:val="both"/>
        <w:rPr>
          <w:rFonts w:eastAsia="Times New Roman"/>
          <w:sz w:val="22"/>
          <w:szCs w:val="22"/>
          <w:lang w:val="es-ES"/>
        </w:rPr>
      </w:pPr>
      <w:r w:rsidRPr="004559DD">
        <w:rPr>
          <w:rFonts w:eastAsia="Times New Roman"/>
          <w:sz w:val="22"/>
          <w:szCs w:val="22"/>
          <w:lang w:val="es-ES"/>
        </w:rPr>
        <w:t>Por otra parte, tanto la C</w:t>
      </w:r>
      <w:r w:rsidR="001659B2">
        <w:rPr>
          <w:rFonts w:eastAsia="Times New Roman"/>
          <w:sz w:val="22"/>
          <w:szCs w:val="22"/>
          <w:lang w:val="es-ES"/>
        </w:rPr>
        <w:t>IDH</w:t>
      </w:r>
      <w:r w:rsidRPr="004559DD">
        <w:rPr>
          <w:rFonts w:eastAsia="Times New Roman"/>
          <w:sz w:val="22"/>
          <w:szCs w:val="22"/>
          <w:lang w:val="es-ES"/>
        </w:rPr>
        <w:t xml:space="preserve"> como la Corte Interamericana se han visto enfrentadas al conocimiento y decisión de casos de violaciones masivas en perjuicio de una cantidad muy significativa de víctimas. En sus informes y sentencias respectivamente, ambos órganos del sistema interamericano han dejado establecido que en este tipo de casos existe una dificultad inherente a la naturaleza y dimensión </w:t>
      </w:r>
      <w:r w:rsidRPr="004559DD">
        <w:rPr>
          <w:rFonts w:eastAsia="Times New Roman"/>
          <w:sz w:val="22"/>
          <w:szCs w:val="22"/>
          <w:lang w:val="es-ES"/>
        </w:rPr>
        <w:lastRenderedPageBreak/>
        <w:t>de los mismos, en cuanto a la construcción de un listado definitivo de víctimas</w:t>
      </w:r>
      <w:r w:rsidRPr="004559DD">
        <w:rPr>
          <w:rStyle w:val="Refdenotaalpie"/>
          <w:rFonts w:ascii="Cambria" w:eastAsia="Times New Roman" w:hAnsi="Cambria"/>
          <w:szCs w:val="22"/>
          <w:lang w:val="es-ES"/>
        </w:rPr>
        <w:footnoteReference w:id="1"/>
      </w:r>
      <w:r w:rsidRPr="004559DD">
        <w:rPr>
          <w:rFonts w:eastAsia="Times New Roman"/>
          <w:sz w:val="22"/>
          <w:szCs w:val="22"/>
          <w:lang w:val="es-ES"/>
        </w:rPr>
        <w:t xml:space="preserve">. Esta dificultad se agrava cuando, como ocurre en el presente caso, el Estado concernido ha fallado en su obligación primaria de esclarecimiento de las violaciones de derechos humanos ocurridas bajo su jurisdicción. </w:t>
      </w:r>
    </w:p>
    <w:p w14:paraId="6FAB9AA4" w14:textId="77777777" w:rsidR="00BF7AF4" w:rsidRPr="004559DD" w:rsidRDefault="00BF7AF4" w:rsidP="00BF7AF4">
      <w:pPr>
        <w:pStyle w:val="Default"/>
        <w:jc w:val="both"/>
        <w:rPr>
          <w:rFonts w:ascii="Cambria" w:hAnsi="Cambria"/>
          <w:sz w:val="22"/>
          <w:szCs w:val="22"/>
          <w:lang w:val="es-ES"/>
        </w:rPr>
      </w:pPr>
    </w:p>
    <w:p w14:paraId="25588050" w14:textId="77777777" w:rsidR="00BF7AF4" w:rsidRPr="004559DD" w:rsidRDefault="00BF7AF4" w:rsidP="00AA4A5C">
      <w:pPr>
        <w:pStyle w:val="Default"/>
        <w:ind w:left="1425" w:firstLine="15"/>
        <w:jc w:val="both"/>
        <w:rPr>
          <w:rFonts w:ascii="Cambria" w:hAnsi="Cambria"/>
          <w:sz w:val="22"/>
          <w:szCs w:val="22"/>
          <w:lang w:val="es-ES"/>
        </w:rPr>
      </w:pPr>
      <w:r w:rsidRPr="004559DD">
        <w:rPr>
          <w:rFonts w:ascii="Cambria" w:hAnsi="Cambria"/>
          <w:sz w:val="22"/>
          <w:szCs w:val="22"/>
          <w:lang w:val="es-ES"/>
        </w:rPr>
        <w:t xml:space="preserve">Atendiendo a esta situación, el mecanismo que se cree a partir de la presente </w:t>
      </w:r>
      <w:r w:rsidR="00924A5F">
        <w:rPr>
          <w:rFonts w:ascii="Cambria" w:hAnsi="Cambria"/>
          <w:sz w:val="22"/>
          <w:szCs w:val="22"/>
          <w:lang w:val="es-ES"/>
        </w:rPr>
        <w:t xml:space="preserve">solicitud de reparación, </w:t>
      </w:r>
      <w:r w:rsidRPr="004559DD">
        <w:rPr>
          <w:rFonts w:ascii="Cambria" w:hAnsi="Cambria"/>
          <w:sz w:val="22"/>
          <w:szCs w:val="22"/>
          <w:lang w:val="es-ES"/>
        </w:rPr>
        <w:t xml:space="preserve">podrá ser utilizado para resolver posibles discrepancias en los Listados de Víctimas anexos al </w:t>
      </w:r>
      <w:r w:rsidR="00C43232">
        <w:rPr>
          <w:rFonts w:ascii="Cambria" w:hAnsi="Cambria"/>
          <w:sz w:val="22"/>
          <w:szCs w:val="22"/>
          <w:lang w:val="es-ES"/>
        </w:rPr>
        <w:t>Informe de F</w:t>
      </w:r>
      <w:r w:rsidRPr="004559DD">
        <w:rPr>
          <w:rFonts w:ascii="Cambria" w:hAnsi="Cambria"/>
          <w:sz w:val="22"/>
          <w:szCs w:val="22"/>
          <w:lang w:val="es-ES"/>
        </w:rPr>
        <w:t xml:space="preserve">ondo, así como situaciones en las cuales surja información objetiva y fundamentada que pudiera poner en duda la existencia de una persona o su vínculo con la Unión Patriótica. </w:t>
      </w:r>
    </w:p>
    <w:p w14:paraId="4F3F44EB" w14:textId="77777777" w:rsidR="007F05F1" w:rsidRDefault="007F05F1" w:rsidP="00AB21D9">
      <w:pPr>
        <w:tabs>
          <w:tab w:val="left" w:pos="-720"/>
        </w:tabs>
        <w:spacing w:after="0" w:line="240" w:lineRule="auto"/>
        <w:jc w:val="both"/>
        <w:rPr>
          <w:rFonts w:ascii="Cambria" w:hAnsi="Cambria" w:cs="Arial"/>
          <w:color w:val="000000"/>
          <w:lang w:val="es-CO"/>
        </w:rPr>
      </w:pPr>
    </w:p>
    <w:p w14:paraId="4943CCA1" w14:textId="77777777" w:rsidR="00900F37" w:rsidRDefault="007F05F1" w:rsidP="00E20D23">
      <w:pPr>
        <w:tabs>
          <w:tab w:val="left" w:pos="-720"/>
        </w:tabs>
        <w:spacing w:after="0" w:line="240" w:lineRule="auto"/>
        <w:jc w:val="both"/>
        <w:rPr>
          <w:rFonts w:ascii="Cambria" w:hAnsi="Cambria"/>
          <w:lang w:val="es-CO"/>
        </w:rPr>
      </w:pPr>
      <w:r>
        <w:rPr>
          <w:rFonts w:ascii="Cambria" w:hAnsi="Cambria" w:cs="Arial"/>
          <w:color w:val="000000"/>
          <w:lang w:val="es-CO"/>
        </w:rPr>
        <w:tab/>
      </w:r>
      <w:r w:rsidRPr="00E20D23">
        <w:rPr>
          <w:rFonts w:ascii="Cambria" w:hAnsi="Cambria" w:cs="Arial"/>
          <w:color w:val="000000"/>
          <w:lang w:val="es-CO"/>
        </w:rPr>
        <w:t xml:space="preserve">La Comisión destaca </w:t>
      </w:r>
      <w:r w:rsidRPr="00E20D23">
        <w:rPr>
          <w:rFonts w:ascii="Cambria" w:hAnsi="Cambria" w:cs="Arial"/>
          <w:color w:val="000000"/>
          <w:lang w:val="es-CL"/>
        </w:rPr>
        <w:t xml:space="preserve">que el presente caso involucra cuestiones de orden público interamericano.  En primer lugar, </w:t>
      </w:r>
      <w:r w:rsidR="00E20D23" w:rsidRPr="00E20D23">
        <w:rPr>
          <w:rFonts w:ascii="Cambria" w:hAnsi="Cambria" w:cs="Arial"/>
          <w:color w:val="000000"/>
          <w:lang w:val="es-CL"/>
        </w:rPr>
        <w:t>el caso se relaciona</w:t>
      </w:r>
      <w:r w:rsidR="00C870DE">
        <w:rPr>
          <w:rFonts w:ascii="Cambria" w:hAnsi="Cambria" w:cs="Arial"/>
          <w:color w:val="000000"/>
          <w:lang w:val="es-CL"/>
        </w:rPr>
        <w:t xml:space="preserve"> </w:t>
      </w:r>
      <w:r w:rsidR="00C870DE" w:rsidRPr="00E20D23">
        <w:rPr>
          <w:rFonts w:ascii="Cambria" w:hAnsi="Cambria" w:cs="Arial"/>
          <w:color w:val="000000"/>
          <w:lang w:val="es-CL"/>
        </w:rPr>
        <w:t>principalmente</w:t>
      </w:r>
      <w:r w:rsidR="00E20D23" w:rsidRPr="00E20D23">
        <w:rPr>
          <w:rFonts w:ascii="Cambria" w:hAnsi="Cambria" w:cs="Arial"/>
          <w:color w:val="000000"/>
          <w:lang w:val="es-CL"/>
        </w:rPr>
        <w:t xml:space="preserve"> </w:t>
      </w:r>
      <w:r w:rsidR="00E20D23" w:rsidRPr="00E20D23">
        <w:rPr>
          <w:rFonts w:ascii="Cambria" w:hAnsi="Cambria"/>
          <w:lang w:val="es-CO"/>
        </w:rPr>
        <w:t>con</w:t>
      </w:r>
      <w:r w:rsidR="00C870DE">
        <w:rPr>
          <w:rFonts w:ascii="Cambria" w:hAnsi="Cambria"/>
          <w:lang w:val="es-CO"/>
        </w:rPr>
        <w:t xml:space="preserve"> un exterminio compuesto de múltiples y sucesivas</w:t>
      </w:r>
      <w:r w:rsidR="00E20D23" w:rsidRPr="00E20D23">
        <w:rPr>
          <w:rFonts w:ascii="Cambria" w:hAnsi="Cambria"/>
          <w:lang w:val="es-CO"/>
        </w:rPr>
        <w:t xml:space="preserve"> violaciones al derecho a la vida</w:t>
      </w:r>
      <w:r w:rsidR="00C870DE">
        <w:rPr>
          <w:rFonts w:ascii="Cambria" w:hAnsi="Cambria"/>
          <w:lang w:val="es-CO"/>
        </w:rPr>
        <w:t xml:space="preserve">, </w:t>
      </w:r>
      <w:r w:rsidR="00E20D23" w:rsidRPr="00E20D23">
        <w:rPr>
          <w:rFonts w:ascii="Cambria" w:hAnsi="Cambria"/>
          <w:lang w:val="es-CO"/>
        </w:rPr>
        <w:t>desapariciones forzadas</w:t>
      </w:r>
      <w:r w:rsidR="00C870DE">
        <w:rPr>
          <w:rFonts w:ascii="Cambria" w:hAnsi="Cambria"/>
          <w:lang w:val="es-CO"/>
        </w:rPr>
        <w:t xml:space="preserve"> y desplazamientos</w:t>
      </w:r>
      <w:r w:rsidR="00E20D23" w:rsidRPr="00E20D23">
        <w:rPr>
          <w:rFonts w:ascii="Cambria" w:hAnsi="Cambria"/>
          <w:lang w:val="es-CO"/>
        </w:rPr>
        <w:t xml:space="preserve"> de particular gravedad y magnitud, y tiene un carácter emblemático en</w:t>
      </w:r>
      <w:r w:rsidR="00C870DE">
        <w:rPr>
          <w:rFonts w:ascii="Cambria" w:hAnsi="Cambria"/>
          <w:lang w:val="es-CO"/>
        </w:rPr>
        <w:t xml:space="preserve"> Colombia</w:t>
      </w:r>
      <w:r w:rsidR="00A84A50">
        <w:rPr>
          <w:rFonts w:ascii="Cambria" w:hAnsi="Cambria"/>
          <w:lang w:val="es-CO"/>
        </w:rPr>
        <w:t>,</w:t>
      </w:r>
      <w:r w:rsidR="00E20D23" w:rsidRPr="00E20D23">
        <w:rPr>
          <w:rFonts w:ascii="Cambria" w:hAnsi="Cambria"/>
          <w:lang w:val="es-CO"/>
        </w:rPr>
        <w:t xml:space="preserve"> cuestiones que hacen parte del orden público interamericano</w:t>
      </w:r>
      <w:r w:rsidR="00C870DE">
        <w:rPr>
          <w:rFonts w:ascii="Cambria" w:hAnsi="Cambria"/>
          <w:lang w:val="es-CO"/>
        </w:rPr>
        <w:t xml:space="preserve">, por su relevancia </w:t>
      </w:r>
      <w:r w:rsidR="00A84A50">
        <w:rPr>
          <w:rFonts w:ascii="Cambria" w:hAnsi="Cambria"/>
          <w:lang w:val="es-CO"/>
        </w:rPr>
        <w:t>contextual y en materia</w:t>
      </w:r>
      <w:r w:rsidR="00900F37">
        <w:rPr>
          <w:rFonts w:ascii="Cambria" w:hAnsi="Cambria"/>
          <w:lang w:val="es-CO"/>
        </w:rPr>
        <w:t xml:space="preserve"> de verdad y memoria histórica. </w:t>
      </w:r>
      <w:r w:rsidR="00E20D23" w:rsidRPr="00E20D23">
        <w:rPr>
          <w:rFonts w:ascii="Cambria" w:hAnsi="Cambria"/>
          <w:lang w:val="es-CO"/>
        </w:rPr>
        <w:t>En segundo lugar,</w:t>
      </w:r>
      <w:r w:rsidR="00900F37">
        <w:rPr>
          <w:rFonts w:ascii="Cambria" w:hAnsi="Cambria"/>
          <w:lang w:val="es-CO"/>
        </w:rPr>
        <w:t xml:space="preserve"> y relacionado con lo anterior, el presente caso plantea en términos de atribución de responsabilidad al Estado, la manera como confluyen el incumplimiento del deber de respeto con el de garantía, en supuestos d</w:t>
      </w:r>
      <w:r w:rsidR="00A84A50">
        <w:rPr>
          <w:rFonts w:ascii="Cambria" w:hAnsi="Cambria"/>
          <w:lang w:val="es-CO"/>
        </w:rPr>
        <w:t>e actuació</w:t>
      </w:r>
      <w:r w:rsidR="00900F37">
        <w:rPr>
          <w:rFonts w:ascii="Cambria" w:hAnsi="Cambria"/>
          <w:lang w:val="es-CO"/>
        </w:rPr>
        <w:t>n directa, aquiescencia, tolerancia, colaboración y también un incumpli</w:t>
      </w:r>
      <w:r w:rsidR="00A84A50">
        <w:rPr>
          <w:rFonts w:ascii="Cambria" w:hAnsi="Cambria"/>
          <w:lang w:val="es-CO"/>
        </w:rPr>
        <w:t>mi</w:t>
      </w:r>
      <w:r w:rsidR="00900F37">
        <w:rPr>
          <w:rFonts w:ascii="Cambria" w:hAnsi="Cambria"/>
          <w:lang w:val="es-CO"/>
        </w:rPr>
        <w:t xml:space="preserve">ento </w:t>
      </w:r>
      <w:r w:rsidR="00A84A50">
        <w:rPr>
          <w:rFonts w:ascii="Cambria" w:hAnsi="Cambria"/>
          <w:lang w:val="es-CO"/>
        </w:rPr>
        <w:t xml:space="preserve">flagrante y sostenido del deber </w:t>
      </w:r>
      <w:r w:rsidR="00900F37">
        <w:rPr>
          <w:rFonts w:ascii="Cambria" w:hAnsi="Cambria"/>
          <w:lang w:val="es-CO"/>
        </w:rPr>
        <w:t>de prevención. En tercer lugar, el caso presenta cuestiones fundamentales sobre el alcance y contenido del deber de investigar y sancionar cuando se trata de hechos concatenados que deben ser abordados mediante estrategias y líneas de investigación que respondan a contextos particulares y a patrones de actuación criminal por parte de múltiples actores tanto estatales como no estatales.</w:t>
      </w:r>
    </w:p>
    <w:p w14:paraId="490E0D7C" w14:textId="77777777" w:rsidR="00900F37" w:rsidRDefault="00900F37" w:rsidP="00E20D23">
      <w:pPr>
        <w:tabs>
          <w:tab w:val="left" w:pos="-720"/>
        </w:tabs>
        <w:spacing w:after="0" w:line="240" w:lineRule="auto"/>
        <w:jc w:val="both"/>
        <w:rPr>
          <w:rFonts w:ascii="Cambria" w:hAnsi="Cambria"/>
          <w:lang w:val="es-CO"/>
        </w:rPr>
      </w:pPr>
    </w:p>
    <w:p w14:paraId="3B283573" w14:textId="77777777" w:rsidR="00C8792D" w:rsidRDefault="00900F37" w:rsidP="00E20D23">
      <w:pPr>
        <w:tabs>
          <w:tab w:val="left" w:pos="-720"/>
        </w:tabs>
        <w:spacing w:after="0" w:line="240" w:lineRule="auto"/>
        <w:jc w:val="both"/>
        <w:rPr>
          <w:rFonts w:ascii="Cambria" w:hAnsi="Cambria"/>
          <w:lang w:val="es-CO"/>
        </w:rPr>
      </w:pPr>
      <w:r>
        <w:rPr>
          <w:rFonts w:ascii="Cambria" w:hAnsi="Cambria"/>
          <w:lang w:val="es-CO"/>
        </w:rPr>
        <w:tab/>
        <w:t>En cuarto lugar, e</w:t>
      </w:r>
      <w:r w:rsidR="00E20D23" w:rsidRPr="00E20D23">
        <w:rPr>
          <w:rFonts w:ascii="Cambria" w:hAnsi="Cambria"/>
          <w:lang w:val="es-CO"/>
        </w:rPr>
        <w:t>l presente caso permitirá a la Corte Interamericana consolidar su jurisprudencia respecto de las garantías necesarias para el ejercicio de los derechos políticos, así como salvaguardas para evitar que la expresión de opiniones políticas genere la comisión de graves violaciones de derechos humanos por parte de agentes estatales y no estatales, y el</w:t>
      </w:r>
      <w:r>
        <w:rPr>
          <w:rFonts w:ascii="Cambria" w:hAnsi="Cambria"/>
          <w:lang w:val="es-CO"/>
        </w:rPr>
        <w:t xml:space="preserve"> papel </w:t>
      </w:r>
      <w:r w:rsidR="00E20D23" w:rsidRPr="00E20D23">
        <w:rPr>
          <w:rFonts w:ascii="Cambria" w:hAnsi="Cambria"/>
          <w:lang w:val="es-CO"/>
        </w:rPr>
        <w:t xml:space="preserve">que una investigación diligente de los hechos tiene para evitar la repetición y el cese de los mismos. </w:t>
      </w:r>
      <w:r>
        <w:rPr>
          <w:rFonts w:ascii="Cambria" w:hAnsi="Cambria"/>
          <w:lang w:val="es-CO"/>
        </w:rPr>
        <w:t xml:space="preserve">En quinto lugar, </w:t>
      </w:r>
      <w:r w:rsidR="00E20D23" w:rsidRPr="00E20D23">
        <w:rPr>
          <w:rFonts w:ascii="Cambria" w:hAnsi="Cambria"/>
          <w:lang w:val="es-CO"/>
        </w:rPr>
        <w:t>el caso plantea</w:t>
      </w:r>
      <w:r>
        <w:rPr>
          <w:rFonts w:ascii="Cambria" w:hAnsi="Cambria"/>
          <w:lang w:val="es-CO"/>
        </w:rPr>
        <w:t xml:space="preserve"> por primera vez la cuestión de la desviación de poder mediante el </w:t>
      </w:r>
      <w:r w:rsidR="00E20D23" w:rsidRPr="00E20D23">
        <w:rPr>
          <w:rFonts w:ascii="Cambria" w:hAnsi="Cambria"/>
          <w:lang w:val="es-CO"/>
        </w:rPr>
        <w:t>uso arbitrario del derecho penal para estigmatizar y criminalizar dicho ejercicio y expresión políticos</w:t>
      </w:r>
      <w:r w:rsidR="00E20D23">
        <w:rPr>
          <w:rFonts w:ascii="Cambria" w:hAnsi="Cambria"/>
          <w:lang w:val="es-CO"/>
        </w:rPr>
        <w:t>.</w:t>
      </w:r>
      <w:r>
        <w:rPr>
          <w:rFonts w:ascii="Cambria" w:hAnsi="Cambria"/>
          <w:lang w:val="es-CO"/>
        </w:rPr>
        <w:t xml:space="preserve"> </w:t>
      </w:r>
    </w:p>
    <w:p w14:paraId="109749BB" w14:textId="77777777" w:rsidR="00C8792D" w:rsidRDefault="00C8792D" w:rsidP="00E20D23">
      <w:pPr>
        <w:tabs>
          <w:tab w:val="left" w:pos="-720"/>
        </w:tabs>
        <w:spacing w:after="0" w:line="240" w:lineRule="auto"/>
        <w:jc w:val="both"/>
        <w:rPr>
          <w:rFonts w:ascii="Cambria" w:hAnsi="Cambria"/>
          <w:lang w:val="es-CO"/>
        </w:rPr>
      </w:pPr>
    </w:p>
    <w:p w14:paraId="16F45351" w14:textId="77777777" w:rsidR="00E20D23" w:rsidRPr="00E20D23" w:rsidRDefault="00C8792D" w:rsidP="00E20D23">
      <w:pPr>
        <w:tabs>
          <w:tab w:val="left" w:pos="-720"/>
        </w:tabs>
        <w:spacing w:after="0" w:line="240" w:lineRule="auto"/>
        <w:jc w:val="both"/>
        <w:rPr>
          <w:rFonts w:ascii="Cambria" w:hAnsi="Cambria"/>
          <w:lang w:val="es-CO"/>
        </w:rPr>
      </w:pPr>
      <w:r>
        <w:rPr>
          <w:rFonts w:ascii="Cambria" w:hAnsi="Cambria"/>
          <w:lang w:val="es-CO"/>
        </w:rPr>
        <w:tab/>
      </w:r>
      <w:r w:rsidR="00900F37">
        <w:rPr>
          <w:rFonts w:ascii="Cambria" w:hAnsi="Cambria"/>
          <w:lang w:val="es-CO"/>
        </w:rPr>
        <w:t>Finalmente, el caso plantea la necesidad de que</w:t>
      </w:r>
      <w:r>
        <w:rPr>
          <w:rFonts w:ascii="Cambria" w:hAnsi="Cambria"/>
          <w:lang w:val="es-CO"/>
        </w:rPr>
        <w:t xml:space="preserve"> se aborden los </w:t>
      </w:r>
      <w:r w:rsidR="00900F37">
        <w:rPr>
          <w:rFonts w:ascii="Cambria" w:hAnsi="Cambria"/>
          <w:lang w:val="es-CO"/>
        </w:rPr>
        <w:t>debate</w:t>
      </w:r>
      <w:r>
        <w:rPr>
          <w:rFonts w:ascii="Cambria" w:hAnsi="Cambria"/>
          <w:lang w:val="es-CO"/>
        </w:rPr>
        <w:t>s planteados por el Estado</w:t>
      </w:r>
      <w:r w:rsidR="00900F37">
        <w:rPr>
          <w:rFonts w:ascii="Cambria" w:hAnsi="Cambria"/>
          <w:lang w:val="es-CO"/>
        </w:rPr>
        <w:t xml:space="preserve"> sobre </w:t>
      </w:r>
      <w:r>
        <w:rPr>
          <w:rFonts w:ascii="Cambria" w:hAnsi="Cambria"/>
          <w:lang w:val="es-CO"/>
        </w:rPr>
        <w:t>las reparaciones aplicables, en la medida en que la propuesta estatal de limitar las reparaciones a aquellas de carácter colectivo, podría desnaturalizar el contenido mismo de la noción de reparación integral, con todos sus componentes tanto individuales como colectivos en un</w:t>
      </w:r>
      <w:r w:rsidR="00DE32B2">
        <w:rPr>
          <w:rFonts w:ascii="Cambria" w:hAnsi="Cambria"/>
          <w:lang w:val="es-CO"/>
        </w:rPr>
        <w:t xml:space="preserve"> </w:t>
      </w:r>
      <w:r>
        <w:rPr>
          <w:rFonts w:ascii="Cambria" w:hAnsi="Cambria"/>
          <w:lang w:val="es-CO"/>
        </w:rPr>
        <w:t xml:space="preserve">caso como el presente, noción de cuyo desarrollo la Honorable Corte ha sido pionera, incluyendo casos de violaciones masivas con centenares de víctimas en contextos de conflictos armados. </w:t>
      </w:r>
    </w:p>
    <w:p w14:paraId="362D0FBC" w14:textId="77777777" w:rsidR="00AB21D9" w:rsidRPr="00576D03" w:rsidRDefault="00AB21D9" w:rsidP="00862A37">
      <w:pPr>
        <w:tabs>
          <w:tab w:val="left" w:pos="-720"/>
        </w:tabs>
        <w:spacing w:after="0" w:line="240" w:lineRule="auto"/>
        <w:jc w:val="both"/>
        <w:rPr>
          <w:rFonts w:ascii="Cambria" w:hAnsi="Cambria" w:cs="Arial"/>
          <w:color w:val="000000"/>
          <w:lang w:val="es-CL"/>
        </w:rPr>
      </w:pPr>
    </w:p>
    <w:p w14:paraId="79C179CF" w14:textId="77777777" w:rsidR="00544D8C" w:rsidRPr="00576D03" w:rsidRDefault="00AB21D9" w:rsidP="00AB21D9">
      <w:pPr>
        <w:tabs>
          <w:tab w:val="left" w:pos="-720"/>
        </w:tabs>
        <w:spacing w:after="0" w:line="240" w:lineRule="auto"/>
        <w:jc w:val="both"/>
        <w:rPr>
          <w:rFonts w:ascii="Cambria" w:hAnsi="Cambria" w:cs="Arial"/>
          <w:lang w:val="es-CL"/>
        </w:rPr>
      </w:pPr>
      <w:r w:rsidRPr="00576D03">
        <w:rPr>
          <w:rFonts w:ascii="Cambria" w:hAnsi="Cambria" w:cs="Arial"/>
          <w:color w:val="000000"/>
          <w:lang w:val="es-CL"/>
        </w:rPr>
        <w:tab/>
      </w:r>
      <w:r w:rsidR="00544D8C" w:rsidRPr="00576D03">
        <w:rPr>
          <w:rFonts w:ascii="Cambria" w:hAnsi="Cambria" w:cs="Arial"/>
          <w:lang w:val="es-CL"/>
        </w:rPr>
        <w:t>En virtud de que estas cuestiones afectan de manera relevante el orden público interamericano, de conformidad con el artículo 35.1 f) del Reglamento de la Corte Interamericana, la Comisión se permite ofrecer la</w:t>
      </w:r>
      <w:r w:rsidR="0015074E">
        <w:rPr>
          <w:rFonts w:ascii="Cambria" w:hAnsi="Cambria" w:cs="Arial"/>
          <w:lang w:val="es-CL"/>
        </w:rPr>
        <w:t>s</w:t>
      </w:r>
      <w:r w:rsidR="00544D8C" w:rsidRPr="00576D03">
        <w:rPr>
          <w:rFonts w:ascii="Cambria" w:hAnsi="Cambria" w:cs="Arial"/>
          <w:lang w:val="es-CL"/>
        </w:rPr>
        <w:t xml:space="preserve"> siguiente</w:t>
      </w:r>
      <w:r w:rsidR="0015074E">
        <w:rPr>
          <w:rFonts w:ascii="Cambria" w:hAnsi="Cambria" w:cs="Arial"/>
          <w:lang w:val="es-CL"/>
        </w:rPr>
        <w:t>s declaraciones</w:t>
      </w:r>
      <w:r w:rsidR="00544D8C" w:rsidRPr="00576D03">
        <w:rPr>
          <w:rFonts w:ascii="Cambria" w:hAnsi="Cambria" w:cs="Arial"/>
          <w:lang w:val="es-CL"/>
        </w:rPr>
        <w:t xml:space="preserve"> pericial</w:t>
      </w:r>
      <w:r w:rsidR="0015074E">
        <w:rPr>
          <w:rFonts w:ascii="Cambria" w:hAnsi="Cambria" w:cs="Arial"/>
          <w:lang w:val="es-CL"/>
        </w:rPr>
        <w:t>es</w:t>
      </w:r>
      <w:r w:rsidR="00544D8C" w:rsidRPr="00576D03">
        <w:rPr>
          <w:rFonts w:ascii="Cambria" w:hAnsi="Cambria" w:cs="Arial"/>
          <w:lang w:val="es-CL"/>
        </w:rPr>
        <w:t>:</w:t>
      </w:r>
    </w:p>
    <w:p w14:paraId="0E6AE43A" w14:textId="77777777" w:rsidR="00F817C9" w:rsidRDefault="00F817C9" w:rsidP="0015074E">
      <w:pPr>
        <w:tabs>
          <w:tab w:val="left" w:pos="0"/>
          <w:tab w:val="left" w:pos="810"/>
        </w:tabs>
        <w:spacing w:after="0" w:line="240" w:lineRule="auto"/>
        <w:jc w:val="both"/>
        <w:rPr>
          <w:rFonts w:ascii="Cambria" w:hAnsi="Cambria" w:cs="Courier New"/>
          <w:lang w:val="es-ES_tradnl"/>
        </w:rPr>
      </w:pPr>
    </w:p>
    <w:p w14:paraId="35C23972" w14:textId="77777777" w:rsidR="00C8792D" w:rsidRDefault="00425C54" w:rsidP="00C8792D">
      <w:pPr>
        <w:tabs>
          <w:tab w:val="left" w:pos="0"/>
          <w:tab w:val="left" w:pos="810"/>
        </w:tabs>
        <w:spacing w:after="0" w:line="240" w:lineRule="auto"/>
        <w:ind w:firstLine="720"/>
        <w:jc w:val="both"/>
        <w:rPr>
          <w:rFonts w:ascii="Cambria" w:hAnsi="Cambria" w:cs="Courier New"/>
          <w:lang w:val="es-ES_tradnl"/>
        </w:rPr>
      </w:pPr>
      <w:r w:rsidRPr="00576D03">
        <w:rPr>
          <w:rFonts w:ascii="Cambria" w:hAnsi="Cambria" w:cs="Courier New"/>
          <w:b/>
          <w:lang w:val="es-ES_tradnl"/>
        </w:rPr>
        <w:t>Perito/a cuyo nombre será informado a la brevedad</w:t>
      </w:r>
      <w:r>
        <w:rPr>
          <w:rFonts w:ascii="Cambria" w:hAnsi="Cambria" w:cs="Courier New"/>
          <w:b/>
          <w:lang w:val="es-ES_tradnl"/>
        </w:rPr>
        <w:t xml:space="preserve">, </w:t>
      </w:r>
      <w:r w:rsidRPr="00036874">
        <w:rPr>
          <w:rFonts w:ascii="Cambria" w:hAnsi="Cambria" w:cs="Courier New"/>
          <w:lang w:val="es-ES_tradnl"/>
        </w:rPr>
        <w:t xml:space="preserve">quien </w:t>
      </w:r>
      <w:r>
        <w:rPr>
          <w:rFonts w:ascii="Cambria" w:hAnsi="Cambria" w:cs="Courier New"/>
          <w:lang w:val="es-ES_tradnl"/>
        </w:rPr>
        <w:t xml:space="preserve">se referirá al contexto de violencia política en Colombia, </w:t>
      </w:r>
      <w:r w:rsidR="00C8792D">
        <w:rPr>
          <w:rFonts w:ascii="Cambria" w:hAnsi="Cambria" w:cs="Courier New"/>
          <w:lang w:val="es-ES_tradnl"/>
        </w:rPr>
        <w:t xml:space="preserve">con especial énfasis en la Unión Patriótica, </w:t>
      </w:r>
      <w:r>
        <w:rPr>
          <w:rFonts w:ascii="Cambria" w:hAnsi="Cambria" w:cs="Courier New"/>
          <w:lang w:val="es-ES_tradnl"/>
        </w:rPr>
        <w:t xml:space="preserve">especialmente en la etapa a que se refieren los hechos del presente caso. El peritaje se referirá a las violaciones de derechos </w:t>
      </w:r>
      <w:r>
        <w:rPr>
          <w:rFonts w:ascii="Cambria" w:hAnsi="Cambria" w:cs="Courier New"/>
          <w:lang w:val="es-ES_tradnl"/>
        </w:rPr>
        <w:lastRenderedPageBreak/>
        <w:t>humanos ocurridas durante dicha etapa, perpetradores, principales v</w:t>
      </w:r>
      <w:r w:rsidR="0015074E">
        <w:rPr>
          <w:rFonts w:ascii="Cambria" w:hAnsi="Cambria" w:cs="Courier New"/>
          <w:lang w:val="es-ES_tradnl"/>
        </w:rPr>
        <w:t xml:space="preserve">íctimas, y el rol y responsabilidad </w:t>
      </w:r>
      <w:r>
        <w:rPr>
          <w:rFonts w:ascii="Cambria" w:hAnsi="Cambria" w:cs="Courier New"/>
          <w:lang w:val="es-ES_tradnl"/>
        </w:rPr>
        <w:t>del Estado en la comisión de dicha violencia.</w:t>
      </w:r>
      <w:r w:rsidR="0015074E">
        <w:rPr>
          <w:rFonts w:ascii="Cambria" w:hAnsi="Cambria" w:cs="Courier New"/>
          <w:lang w:val="es-ES_tradnl"/>
        </w:rPr>
        <w:t xml:space="preserve"> El</w:t>
      </w:r>
      <w:r w:rsidR="00C8792D">
        <w:rPr>
          <w:rFonts w:ascii="Cambria" w:hAnsi="Cambria" w:cs="Courier New"/>
          <w:lang w:val="es-ES_tradnl"/>
        </w:rPr>
        <w:t>/la</w:t>
      </w:r>
      <w:r w:rsidR="0015074E">
        <w:rPr>
          <w:rFonts w:ascii="Cambria" w:hAnsi="Cambria" w:cs="Courier New"/>
          <w:lang w:val="es-ES_tradnl"/>
        </w:rPr>
        <w:t xml:space="preserve"> perito</w:t>
      </w:r>
      <w:r w:rsidR="00C8792D">
        <w:rPr>
          <w:rFonts w:ascii="Cambria" w:hAnsi="Cambria" w:cs="Courier New"/>
          <w:lang w:val="es-ES_tradnl"/>
        </w:rPr>
        <w:t>/a</w:t>
      </w:r>
      <w:r w:rsidR="0015074E">
        <w:rPr>
          <w:rFonts w:ascii="Cambria" w:hAnsi="Cambria" w:cs="Courier New"/>
          <w:lang w:val="es-ES_tradnl"/>
        </w:rPr>
        <w:t xml:space="preserve"> podrá referirse a los hechos del caso</w:t>
      </w:r>
      <w:r w:rsidR="00C8792D">
        <w:rPr>
          <w:rFonts w:ascii="Cambria" w:hAnsi="Cambria" w:cs="Courier New"/>
          <w:lang w:val="es-ES_tradnl"/>
        </w:rPr>
        <w:t xml:space="preserve"> y podrá referirse al alcance de la responsabilidad internacional del Estado en el mismo, a la luz de las determinaciones de su peritaje.</w:t>
      </w:r>
    </w:p>
    <w:p w14:paraId="7722A2FA" w14:textId="77777777" w:rsidR="006D7B53" w:rsidRDefault="006D7B53" w:rsidP="0015074E">
      <w:pPr>
        <w:tabs>
          <w:tab w:val="left" w:pos="0"/>
          <w:tab w:val="left" w:pos="810"/>
        </w:tabs>
        <w:spacing w:after="0" w:line="240" w:lineRule="auto"/>
        <w:jc w:val="both"/>
        <w:rPr>
          <w:rFonts w:ascii="Cambria" w:hAnsi="Cambria" w:cs="Courier New"/>
          <w:lang w:val="es-ES_tradnl"/>
        </w:rPr>
      </w:pPr>
    </w:p>
    <w:p w14:paraId="06D3457D" w14:textId="77777777" w:rsidR="00C8792D" w:rsidRDefault="00970809" w:rsidP="00D62A05">
      <w:pPr>
        <w:tabs>
          <w:tab w:val="left" w:pos="0"/>
          <w:tab w:val="left" w:pos="810"/>
        </w:tabs>
        <w:spacing w:after="0" w:line="240" w:lineRule="auto"/>
        <w:ind w:firstLine="720"/>
        <w:jc w:val="both"/>
        <w:rPr>
          <w:rFonts w:ascii="Cambria" w:hAnsi="Cambria" w:cs="Courier New"/>
          <w:lang w:val="es-ES_tradnl"/>
        </w:rPr>
      </w:pPr>
      <w:r>
        <w:rPr>
          <w:rFonts w:ascii="Cambria" w:hAnsi="Cambria" w:cs="Courier New"/>
          <w:b/>
          <w:lang w:val="es-ES_tradnl"/>
        </w:rPr>
        <w:t>P</w:t>
      </w:r>
      <w:r w:rsidRPr="00576D03">
        <w:rPr>
          <w:rFonts w:ascii="Cambria" w:hAnsi="Cambria" w:cs="Courier New"/>
          <w:b/>
          <w:lang w:val="es-ES_tradnl"/>
        </w:rPr>
        <w:t>erito/a cuyo nombre será informado a la brevedad</w:t>
      </w:r>
      <w:r>
        <w:rPr>
          <w:rFonts w:ascii="Cambria" w:hAnsi="Cambria" w:cs="Courier New"/>
          <w:b/>
          <w:lang w:val="es-ES_tradnl"/>
        </w:rPr>
        <w:t xml:space="preserve">, </w:t>
      </w:r>
      <w:r w:rsidRPr="00BF646E">
        <w:rPr>
          <w:rFonts w:ascii="Cambria" w:hAnsi="Cambria" w:cs="Courier New"/>
          <w:lang w:val="es-ES_tradnl"/>
        </w:rPr>
        <w:t>quien declarará</w:t>
      </w:r>
      <w:r>
        <w:rPr>
          <w:rFonts w:ascii="Cambria" w:hAnsi="Cambria" w:cs="Courier New"/>
          <w:b/>
          <w:lang w:val="es-ES_tradnl"/>
        </w:rPr>
        <w:t xml:space="preserve"> </w:t>
      </w:r>
      <w:r w:rsidRPr="00036874">
        <w:rPr>
          <w:rFonts w:ascii="Cambria" w:hAnsi="Cambria" w:cs="Courier New"/>
          <w:lang w:val="es-ES_tradnl"/>
        </w:rPr>
        <w:t xml:space="preserve">sobre el uso </w:t>
      </w:r>
      <w:r w:rsidR="00C8792D">
        <w:rPr>
          <w:rFonts w:ascii="Cambria" w:hAnsi="Cambria" w:cs="Courier New"/>
          <w:lang w:val="es-ES_tradnl"/>
        </w:rPr>
        <w:t xml:space="preserve">arbitrario </w:t>
      </w:r>
      <w:r w:rsidRPr="00036874">
        <w:rPr>
          <w:rFonts w:ascii="Cambria" w:hAnsi="Cambria" w:cs="Courier New"/>
          <w:lang w:val="es-ES_tradnl"/>
        </w:rPr>
        <w:t xml:space="preserve">del derecho penal para </w:t>
      </w:r>
      <w:r w:rsidR="00C8792D">
        <w:rPr>
          <w:rFonts w:ascii="Cambria" w:hAnsi="Cambria" w:cs="Courier New"/>
          <w:lang w:val="es-ES_tradnl"/>
        </w:rPr>
        <w:t xml:space="preserve">como represalia para </w:t>
      </w:r>
      <w:r w:rsidRPr="00036874">
        <w:rPr>
          <w:rFonts w:ascii="Cambria" w:hAnsi="Cambria" w:cs="Courier New"/>
          <w:lang w:val="es-ES_tradnl"/>
        </w:rPr>
        <w:t xml:space="preserve">criminalizar el ejercicio </w:t>
      </w:r>
      <w:r w:rsidR="00C8792D">
        <w:rPr>
          <w:rFonts w:ascii="Cambria" w:hAnsi="Cambria" w:cs="Courier New"/>
          <w:lang w:val="es-ES_tradnl"/>
        </w:rPr>
        <w:t xml:space="preserve">de ciertos derechos, incluyendo derechos políticos. El/la perito/a caracterizará estos supuestos bajo la Convención Americana sobre Derechos Humanos y se referirá a los elementos que deben tomarse en cuenta para establecer si en un caso específico existió un uso arbitrario del derecho penal. </w:t>
      </w:r>
      <w:r w:rsidR="00D62A05">
        <w:rPr>
          <w:rFonts w:ascii="Cambria" w:hAnsi="Cambria" w:cs="Courier New"/>
          <w:lang w:val="es-ES_tradnl"/>
        </w:rPr>
        <w:t>El</w:t>
      </w:r>
      <w:r w:rsidR="00002113">
        <w:rPr>
          <w:rFonts w:ascii="Cambria" w:hAnsi="Cambria" w:cs="Courier New"/>
          <w:lang w:val="es-ES_tradnl"/>
        </w:rPr>
        <w:t>/la</w:t>
      </w:r>
      <w:r w:rsidR="00D62A05">
        <w:rPr>
          <w:rFonts w:ascii="Cambria" w:hAnsi="Cambria" w:cs="Courier New"/>
          <w:lang w:val="es-ES_tradnl"/>
        </w:rPr>
        <w:t xml:space="preserve"> perito/a podrá referirse a los hechos del caso.</w:t>
      </w:r>
    </w:p>
    <w:p w14:paraId="721D78D7" w14:textId="77777777" w:rsidR="00C8792D" w:rsidRDefault="00C8792D" w:rsidP="00D62A05">
      <w:pPr>
        <w:tabs>
          <w:tab w:val="left" w:pos="0"/>
          <w:tab w:val="left" w:pos="810"/>
        </w:tabs>
        <w:spacing w:after="0" w:line="240" w:lineRule="auto"/>
        <w:ind w:firstLine="720"/>
        <w:jc w:val="both"/>
        <w:rPr>
          <w:rFonts w:ascii="Cambria" w:hAnsi="Cambria" w:cs="Courier New"/>
          <w:lang w:val="es-ES_tradnl"/>
        </w:rPr>
      </w:pPr>
    </w:p>
    <w:p w14:paraId="6FB1C54A" w14:textId="77777777" w:rsidR="00C8792D" w:rsidRDefault="00C8792D" w:rsidP="00D62A05">
      <w:pPr>
        <w:tabs>
          <w:tab w:val="left" w:pos="0"/>
          <w:tab w:val="left" w:pos="810"/>
        </w:tabs>
        <w:spacing w:after="0" w:line="240" w:lineRule="auto"/>
        <w:ind w:firstLine="720"/>
        <w:jc w:val="both"/>
        <w:rPr>
          <w:rFonts w:ascii="Cambria" w:hAnsi="Cambria" w:cs="Courier New"/>
          <w:lang w:val="es-ES_tradnl"/>
        </w:rPr>
      </w:pPr>
      <w:r>
        <w:rPr>
          <w:rFonts w:ascii="Cambria" w:hAnsi="Cambria" w:cs="Courier New"/>
          <w:b/>
          <w:lang w:val="es-ES_tradnl"/>
        </w:rPr>
        <w:t>P</w:t>
      </w:r>
      <w:r w:rsidRPr="00576D03">
        <w:rPr>
          <w:rFonts w:ascii="Cambria" w:hAnsi="Cambria" w:cs="Courier New"/>
          <w:b/>
          <w:lang w:val="es-ES_tradnl"/>
        </w:rPr>
        <w:t>erito/a cuyo nombre será informado a la brevedad</w:t>
      </w:r>
      <w:r>
        <w:rPr>
          <w:rFonts w:ascii="Cambria" w:hAnsi="Cambria" w:cs="Courier New"/>
          <w:b/>
          <w:lang w:val="es-ES_tradnl"/>
        </w:rPr>
        <w:t xml:space="preserve">, </w:t>
      </w:r>
      <w:r w:rsidRPr="00BF646E">
        <w:rPr>
          <w:rFonts w:ascii="Cambria" w:hAnsi="Cambria" w:cs="Courier New"/>
          <w:lang w:val="es-ES_tradnl"/>
        </w:rPr>
        <w:t>quien declarará</w:t>
      </w:r>
      <w:r>
        <w:rPr>
          <w:rFonts w:ascii="Cambria" w:hAnsi="Cambria" w:cs="Courier New"/>
          <w:lang w:val="es-ES_tradnl"/>
        </w:rPr>
        <w:t xml:space="preserve"> </w:t>
      </w:r>
      <w:r w:rsidR="00DE32B2">
        <w:rPr>
          <w:rFonts w:ascii="Cambria" w:hAnsi="Cambria" w:cs="Courier New"/>
          <w:lang w:val="es-ES_tradnl"/>
        </w:rPr>
        <w:t xml:space="preserve">sobre </w:t>
      </w:r>
      <w:r>
        <w:rPr>
          <w:rFonts w:ascii="Cambria" w:hAnsi="Cambria" w:cs="Courier New"/>
          <w:lang w:val="es-ES_tradnl"/>
        </w:rPr>
        <w:t xml:space="preserve">la noción de reparación integral y sus diferentes componentes en casos de graves violaciones de derechos humanos como las ocurridas en el presente caso. </w:t>
      </w:r>
      <w:r w:rsidR="00656D81">
        <w:rPr>
          <w:rFonts w:ascii="Cambria" w:hAnsi="Cambria" w:cs="Courier New"/>
          <w:lang w:val="es-ES_tradnl"/>
        </w:rPr>
        <w:t xml:space="preserve">El/la perito/a se referirá a </w:t>
      </w:r>
      <w:r w:rsidR="00002113">
        <w:rPr>
          <w:rFonts w:ascii="Cambria" w:hAnsi="Cambria" w:cs="Courier New"/>
          <w:lang w:val="es-ES_tradnl"/>
        </w:rPr>
        <w:t>la manera en que los Estados están obligados a disponer medidas que satisfagan dicho estándar, aún en casos de violaciones masivas y en</w:t>
      </w:r>
      <w:r w:rsidR="00656D81">
        <w:rPr>
          <w:rFonts w:ascii="Cambria" w:hAnsi="Cambria" w:cs="Courier New"/>
          <w:lang w:val="es-ES_tradnl"/>
        </w:rPr>
        <w:t xml:space="preserve"> contextos de justicia transicional</w:t>
      </w:r>
      <w:r w:rsidR="00002113">
        <w:rPr>
          <w:rFonts w:ascii="Cambria" w:hAnsi="Cambria" w:cs="Courier New"/>
          <w:lang w:val="es-ES_tradnl"/>
        </w:rPr>
        <w:t>. El/la perito/a podrá referirse a los hechos del caso.</w:t>
      </w:r>
    </w:p>
    <w:p w14:paraId="11EAAB63" w14:textId="77777777" w:rsidR="002A5E33" w:rsidRDefault="00D62A05" w:rsidP="00002113">
      <w:pPr>
        <w:tabs>
          <w:tab w:val="left" w:pos="0"/>
          <w:tab w:val="left" w:pos="810"/>
        </w:tabs>
        <w:spacing w:after="0" w:line="240" w:lineRule="auto"/>
        <w:ind w:firstLine="720"/>
        <w:jc w:val="both"/>
        <w:rPr>
          <w:rFonts w:ascii="Cambria" w:hAnsi="Cambria"/>
          <w:lang w:val="es-ES_tradnl"/>
        </w:rPr>
      </w:pPr>
      <w:r>
        <w:rPr>
          <w:rFonts w:ascii="Cambria" w:hAnsi="Cambria" w:cs="Courier New"/>
          <w:lang w:val="es-ES_tradnl"/>
        </w:rPr>
        <w:t xml:space="preserve"> </w:t>
      </w:r>
    </w:p>
    <w:p w14:paraId="72BDA00C" w14:textId="77777777" w:rsidR="00E3537B" w:rsidRDefault="002F7E0A" w:rsidP="00544D8C">
      <w:pPr>
        <w:tabs>
          <w:tab w:val="left" w:pos="0"/>
          <w:tab w:val="left" w:pos="810"/>
        </w:tabs>
        <w:spacing w:after="0" w:line="240" w:lineRule="auto"/>
        <w:ind w:firstLine="720"/>
        <w:jc w:val="both"/>
        <w:rPr>
          <w:rFonts w:ascii="Cambria" w:hAnsi="Cambria"/>
          <w:lang w:val="es-ES_tradnl"/>
        </w:rPr>
      </w:pPr>
      <w:r w:rsidRPr="00576D03">
        <w:rPr>
          <w:rFonts w:ascii="Cambria" w:hAnsi="Cambria"/>
          <w:lang w:val="es-AR"/>
        </w:rPr>
        <w:t xml:space="preserve">El CV </w:t>
      </w:r>
      <w:r>
        <w:rPr>
          <w:rFonts w:ascii="Cambria" w:hAnsi="Cambria"/>
          <w:lang w:val="es-AR"/>
        </w:rPr>
        <w:t>de los peritos ofrecidos</w:t>
      </w:r>
      <w:r w:rsidRPr="00576D03">
        <w:rPr>
          <w:rFonts w:ascii="Cambria" w:hAnsi="Cambria"/>
          <w:lang w:val="es-AR"/>
        </w:rPr>
        <w:t xml:space="preserve"> </w:t>
      </w:r>
      <w:r w:rsidRPr="00576D03">
        <w:rPr>
          <w:rFonts w:ascii="Cambria" w:hAnsi="Cambria"/>
          <w:lang w:val="es-CO"/>
        </w:rPr>
        <w:t xml:space="preserve">será incluido en los anexos al Informe de Fondo Nº </w:t>
      </w:r>
      <w:r>
        <w:rPr>
          <w:rFonts w:ascii="Cambria" w:hAnsi="Cambria"/>
          <w:lang w:val="es-CO"/>
        </w:rPr>
        <w:t>170</w:t>
      </w:r>
      <w:r w:rsidRPr="00576D03">
        <w:rPr>
          <w:rFonts w:ascii="Cambria" w:hAnsi="Cambria"/>
          <w:lang w:val="es-CO"/>
        </w:rPr>
        <w:t>/17</w:t>
      </w:r>
      <w:r w:rsidR="009C686B">
        <w:rPr>
          <w:rFonts w:ascii="Cambria" w:hAnsi="Cambria"/>
          <w:lang w:val="es-CO"/>
        </w:rPr>
        <w:t>.</w:t>
      </w:r>
    </w:p>
    <w:p w14:paraId="6FB1D734" w14:textId="77777777" w:rsidR="00E3537B" w:rsidRDefault="00E3537B" w:rsidP="00544D8C">
      <w:pPr>
        <w:tabs>
          <w:tab w:val="left" w:pos="0"/>
          <w:tab w:val="left" w:pos="810"/>
        </w:tabs>
        <w:spacing w:after="0" w:line="240" w:lineRule="auto"/>
        <w:ind w:firstLine="720"/>
        <w:jc w:val="both"/>
        <w:rPr>
          <w:rFonts w:ascii="Cambria" w:hAnsi="Cambria"/>
          <w:lang w:val="es-ES_tradnl"/>
        </w:rPr>
      </w:pPr>
    </w:p>
    <w:p w14:paraId="1499E6FF" w14:textId="77777777" w:rsidR="00544D8C" w:rsidRPr="00576D03" w:rsidRDefault="00544D8C" w:rsidP="00544D8C">
      <w:pPr>
        <w:tabs>
          <w:tab w:val="left" w:pos="0"/>
          <w:tab w:val="left" w:pos="810"/>
        </w:tabs>
        <w:spacing w:after="0" w:line="240" w:lineRule="auto"/>
        <w:ind w:firstLine="720"/>
        <w:jc w:val="both"/>
        <w:rPr>
          <w:rFonts w:ascii="Cambria" w:hAnsi="Cambria"/>
          <w:lang w:val="es-CO"/>
        </w:rPr>
      </w:pPr>
      <w:r w:rsidRPr="00576D03">
        <w:rPr>
          <w:rFonts w:ascii="Cambria" w:hAnsi="Cambria"/>
          <w:lang w:val="es-ES_tradnl"/>
        </w:rPr>
        <w:t xml:space="preserve">La Comisión pone en conocimiento de la Corte la siguiente información sobre quienes actuaron como peticionarios a lo largo del trámite del caso: </w:t>
      </w:r>
    </w:p>
    <w:p w14:paraId="6F3F76E9" w14:textId="77777777" w:rsidR="008051A7" w:rsidRDefault="008051A7" w:rsidP="00544D8C">
      <w:pPr>
        <w:spacing w:after="0" w:line="240" w:lineRule="auto"/>
        <w:jc w:val="center"/>
        <w:rPr>
          <w:rFonts w:ascii="Cambria" w:hAnsi="Cambria"/>
          <w:bCs/>
          <w:iCs/>
          <w:lang w:val="es-ES"/>
        </w:rPr>
      </w:pPr>
    </w:p>
    <w:p w14:paraId="70C1C446" w14:textId="77777777" w:rsidR="00562671" w:rsidRDefault="00562671" w:rsidP="00562671">
      <w:pPr>
        <w:spacing w:after="0" w:line="240" w:lineRule="auto"/>
        <w:jc w:val="center"/>
        <w:rPr>
          <w:rFonts w:ascii="Cambria" w:hAnsi="Cambria"/>
          <w:bCs/>
          <w:iCs/>
          <w:lang w:val="es-ES"/>
        </w:rPr>
      </w:pPr>
      <w:r>
        <w:rPr>
          <w:rFonts w:ascii="Cambria" w:hAnsi="Cambria"/>
          <w:bCs/>
          <w:iCs/>
          <w:lang w:val="es-ES"/>
        </w:rPr>
        <w:t>Reiniciar</w:t>
      </w:r>
    </w:p>
    <w:p w14:paraId="5493A68B" w14:textId="77777777" w:rsidR="00562671" w:rsidRPr="00772BF6" w:rsidRDefault="00772BF6" w:rsidP="00562671">
      <w:pPr>
        <w:spacing w:after="0" w:line="240" w:lineRule="auto"/>
        <w:jc w:val="center"/>
        <w:rPr>
          <w:rFonts w:ascii="Cambria" w:hAnsi="Cambria"/>
          <w:bCs/>
          <w:iCs/>
          <w:highlight w:val="black"/>
          <w:lang w:val="es-ES"/>
        </w:rPr>
      </w:pPr>
      <w:r w:rsidRPr="00772BF6">
        <w:rPr>
          <w:rFonts w:ascii="Cambria" w:hAnsi="Cambria"/>
          <w:bCs/>
          <w:iCs/>
          <w:highlight w:val="black"/>
          <w:lang w:val="es-ES"/>
        </w:rPr>
        <w:t>xxxxxxxxxxxxxxxxxxxxx</w:t>
      </w:r>
    </w:p>
    <w:p w14:paraId="3F68F8BD" w14:textId="77777777" w:rsidR="002E4B50" w:rsidRDefault="00772BF6" w:rsidP="00562671">
      <w:pPr>
        <w:spacing w:after="0" w:line="240" w:lineRule="auto"/>
        <w:jc w:val="center"/>
        <w:rPr>
          <w:rFonts w:ascii="Cambria" w:hAnsi="Cambria"/>
          <w:bCs/>
          <w:iCs/>
          <w:lang w:val="es-ES"/>
        </w:rPr>
      </w:pPr>
      <w:r w:rsidRPr="00772BF6">
        <w:rPr>
          <w:rFonts w:ascii="Cambria" w:hAnsi="Cambria"/>
          <w:bCs/>
          <w:iCs/>
          <w:highlight w:val="black"/>
          <w:lang w:val="es-ES"/>
        </w:rPr>
        <w:t>xxxxxxxxxxxxxxxxxxxxxxxx</w:t>
      </w:r>
    </w:p>
    <w:p w14:paraId="391B471F" w14:textId="77777777" w:rsidR="00562671" w:rsidRDefault="00562671" w:rsidP="00562671">
      <w:pPr>
        <w:spacing w:after="0" w:line="240" w:lineRule="auto"/>
        <w:jc w:val="center"/>
        <w:rPr>
          <w:rFonts w:ascii="Cambria" w:hAnsi="Cambria"/>
          <w:bCs/>
          <w:iCs/>
          <w:lang w:val="es-ES"/>
        </w:rPr>
      </w:pPr>
    </w:p>
    <w:p w14:paraId="66844FA5" w14:textId="77777777" w:rsidR="002E4B50" w:rsidRDefault="00A4324F" w:rsidP="002E4B50">
      <w:pPr>
        <w:spacing w:after="0" w:line="240" w:lineRule="auto"/>
        <w:jc w:val="center"/>
        <w:rPr>
          <w:rFonts w:ascii="Cambria" w:hAnsi="Cambria"/>
          <w:bCs/>
          <w:iCs/>
          <w:lang w:val="es-ES"/>
        </w:rPr>
      </w:pPr>
      <w:r>
        <w:rPr>
          <w:rFonts w:ascii="Cambria" w:hAnsi="Cambria"/>
          <w:bCs/>
          <w:iCs/>
          <w:lang w:val="es-ES"/>
        </w:rPr>
        <w:t>Derechos con D</w:t>
      </w:r>
      <w:r w:rsidR="002E4B50">
        <w:rPr>
          <w:rFonts w:ascii="Cambria" w:hAnsi="Cambria"/>
          <w:bCs/>
          <w:iCs/>
          <w:lang w:val="es-ES"/>
        </w:rPr>
        <w:t>ignidad</w:t>
      </w:r>
    </w:p>
    <w:p w14:paraId="7CF04F8B" w14:textId="77777777" w:rsidR="002E4B50" w:rsidRPr="00772BF6" w:rsidRDefault="00772BF6" w:rsidP="002E4B50">
      <w:pPr>
        <w:spacing w:after="0" w:line="240" w:lineRule="auto"/>
        <w:jc w:val="center"/>
        <w:rPr>
          <w:rFonts w:ascii="Cambria" w:hAnsi="Cambria"/>
          <w:bCs/>
          <w:iCs/>
          <w:lang w:val="pt-BR"/>
        </w:rPr>
      </w:pPr>
      <w:r w:rsidRPr="00772BF6">
        <w:rPr>
          <w:rFonts w:ascii="Cambria" w:hAnsi="Cambria"/>
          <w:bCs/>
          <w:iCs/>
          <w:highlight w:val="black"/>
          <w:lang w:val="pt-BR"/>
        </w:rPr>
        <w:t>xxxxxxxxxxxxxxxxxxxxxxxxxx</w:t>
      </w:r>
    </w:p>
    <w:p w14:paraId="2A288933" w14:textId="77777777" w:rsidR="002E4B50" w:rsidRPr="00772BF6" w:rsidRDefault="002E4B50" w:rsidP="00562671">
      <w:pPr>
        <w:spacing w:after="0" w:line="240" w:lineRule="auto"/>
        <w:rPr>
          <w:rFonts w:ascii="Cambria" w:hAnsi="Cambria"/>
          <w:bCs/>
          <w:iCs/>
          <w:lang w:val="pt-BR"/>
        </w:rPr>
      </w:pPr>
    </w:p>
    <w:p w14:paraId="70242D2F" w14:textId="77777777" w:rsidR="002E4B50" w:rsidRPr="00B502E8" w:rsidRDefault="003A443E" w:rsidP="002E4B50">
      <w:pPr>
        <w:spacing w:after="0" w:line="240" w:lineRule="auto"/>
        <w:jc w:val="center"/>
        <w:rPr>
          <w:rFonts w:ascii="Cambria" w:hAnsi="Cambria"/>
          <w:bCs/>
          <w:iCs/>
          <w:lang w:val="pt-BR"/>
        </w:rPr>
      </w:pPr>
      <w:r w:rsidRPr="00B502E8">
        <w:rPr>
          <w:rFonts w:ascii="Cambria" w:hAnsi="Cambria"/>
          <w:bCs/>
          <w:iCs/>
          <w:lang w:val="pt-BR"/>
        </w:rPr>
        <w:t>Representantes de Miguel Ángel Díaz</w:t>
      </w:r>
    </w:p>
    <w:p w14:paraId="36E6651A" w14:textId="77777777" w:rsidR="002E4B50" w:rsidRPr="00772BF6" w:rsidRDefault="00772BF6" w:rsidP="002E4B50">
      <w:pPr>
        <w:spacing w:after="0" w:line="240" w:lineRule="auto"/>
        <w:jc w:val="center"/>
        <w:rPr>
          <w:rFonts w:ascii="Cambria" w:hAnsi="Cambria"/>
          <w:bCs/>
          <w:iCs/>
          <w:highlight w:val="black"/>
          <w:lang w:val="pt-BR"/>
        </w:rPr>
      </w:pPr>
      <w:r w:rsidRPr="00772BF6">
        <w:rPr>
          <w:rFonts w:ascii="Cambria" w:hAnsi="Cambria"/>
          <w:bCs/>
          <w:iCs/>
          <w:highlight w:val="black"/>
          <w:lang w:val="pt-BR"/>
        </w:rPr>
        <w:t>xxxxxxxxxxxxxxxxxxxx</w:t>
      </w:r>
    </w:p>
    <w:p w14:paraId="3FC16831" w14:textId="77777777" w:rsidR="002E4B50" w:rsidRPr="004C021D" w:rsidRDefault="00772BF6" w:rsidP="002E4B50">
      <w:pPr>
        <w:spacing w:after="0" w:line="240" w:lineRule="auto"/>
        <w:jc w:val="center"/>
        <w:rPr>
          <w:rFonts w:ascii="Cambria" w:hAnsi="Cambria"/>
          <w:bCs/>
          <w:iCs/>
          <w:lang w:val="pt-BR"/>
        </w:rPr>
      </w:pPr>
      <w:r w:rsidRPr="00772BF6">
        <w:rPr>
          <w:rFonts w:ascii="Cambria" w:hAnsi="Cambria"/>
          <w:bCs/>
          <w:iCs/>
          <w:highlight w:val="black"/>
          <w:lang w:val="pt-BR"/>
        </w:rPr>
        <w:t>xxxxxxxxxxxxxxxxxxxxxxxxxxxx</w:t>
      </w:r>
    </w:p>
    <w:p w14:paraId="79C70028" w14:textId="77777777" w:rsidR="002E4B50" w:rsidRPr="004C021D" w:rsidRDefault="002E4B50" w:rsidP="002E4B50">
      <w:pPr>
        <w:spacing w:after="0" w:line="240" w:lineRule="auto"/>
        <w:jc w:val="center"/>
        <w:rPr>
          <w:rFonts w:ascii="Cambria" w:hAnsi="Cambria"/>
          <w:bCs/>
          <w:iCs/>
          <w:lang w:val="pt-BR"/>
        </w:rPr>
      </w:pPr>
    </w:p>
    <w:p w14:paraId="625DEEFF" w14:textId="77777777" w:rsidR="00A4324F" w:rsidRPr="00772BF6" w:rsidRDefault="00A4324F" w:rsidP="00A4324F">
      <w:pPr>
        <w:spacing w:after="0" w:line="240" w:lineRule="auto"/>
        <w:jc w:val="center"/>
        <w:rPr>
          <w:rFonts w:ascii="Cambria" w:hAnsi="Cambria"/>
          <w:bCs/>
          <w:iCs/>
          <w:lang w:val="pt-BR"/>
        </w:rPr>
      </w:pPr>
      <w:r w:rsidRPr="00772BF6">
        <w:rPr>
          <w:rFonts w:ascii="Cambria" w:hAnsi="Cambria"/>
          <w:bCs/>
          <w:iCs/>
          <w:lang w:val="pt-BR"/>
        </w:rPr>
        <w:t>Álvaro Enrique Gómez Guevara</w:t>
      </w:r>
    </w:p>
    <w:p w14:paraId="48A69F34" w14:textId="77777777" w:rsidR="00A4324F" w:rsidRPr="00772BF6" w:rsidRDefault="00772BF6" w:rsidP="00A4324F">
      <w:pPr>
        <w:spacing w:after="0" w:line="240" w:lineRule="auto"/>
        <w:jc w:val="center"/>
        <w:rPr>
          <w:rFonts w:ascii="Cambria" w:hAnsi="Cambria"/>
          <w:bCs/>
          <w:iCs/>
          <w:lang w:val="pt-BR"/>
        </w:rPr>
      </w:pPr>
      <w:r w:rsidRPr="00772BF6">
        <w:rPr>
          <w:rFonts w:ascii="Cambria" w:hAnsi="Cambria"/>
          <w:bCs/>
          <w:iCs/>
          <w:highlight w:val="black"/>
          <w:lang w:val="pt-BR"/>
        </w:rPr>
        <w:t>xxxxxxxxxxxxxxxxxxxxxxxxxxxxxxxx</w:t>
      </w:r>
    </w:p>
    <w:p w14:paraId="3B365D51" w14:textId="77777777" w:rsidR="002E4B50" w:rsidRPr="004C021D" w:rsidRDefault="002E4B50" w:rsidP="002E4B50">
      <w:pPr>
        <w:spacing w:after="0" w:line="240" w:lineRule="auto"/>
        <w:jc w:val="center"/>
        <w:rPr>
          <w:rFonts w:ascii="Cambria" w:hAnsi="Cambria"/>
          <w:bCs/>
          <w:iCs/>
          <w:lang w:val="pt-BR"/>
        </w:rPr>
      </w:pPr>
    </w:p>
    <w:p w14:paraId="2FA6B495" w14:textId="77777777" w:rsidR="002E4B50" w:rsidRPr="004C021D" w:rsidRDefault="002E4B50" w:rsidP="00544D8C">
      <w:pPr>
        <w:spacing w:after="0" w:line="240" w:lineRule="auto"/>
        <w:jc w:val="center"/>
        <w:rPr>
          <w:rFonts w:ascii="Cambria" w:hAnsi="Cambria"/>
          <w:bCs/>
          <w:iCs/>
          <w:lang w:val="pt-BR"/>
        </w:rPr>
      </w:pPr>
    </w:p>
    <w:p w14:paraId="296A8EE6" w14:textId="77777777" w:rsidR="00544D8C" w:rsidRPr="00576D03" w:rsidRDefault="00544D8C" w:rsidP="00544D8C">
      <w:pPr>
        <w:tabs>
          <w:tab w:val="left" w:pos="0"/>
          <w:tab w:val="left" w:pos="810"/>
        </w:tabs>
        <w:spacing w:after="0" w:line="240" w:lineRule="auto"/>
        <w:ind w:firstLine="720"/>
        <w:jc w:val="both"/>
        <w:rPr>
          <w:rFonts w:ascii="Cambria" w:hAnsi="Cambria" w:cs="Arial"/>
          <w:lang w:val="es-CO"/>
        </w:rPr>
      </w:pPr>
      <w:r w:rsidRPr="00576D03">
        <w:rPr>
          <w:rFonts w:ascii="Cambria" w:hAnsi="Cambria" w:cs="Arial"/>
          <w:lang w:val="es-CO"/>
        </w:rPr>
        <w:t>Aprovecho la oportunidad para saludar a usted muy atentamente,</w:t>
      </w:r>
    </w:p>
    <w:p w14:paraId="77F8CE11" w14:textId="77777777" w:rsidR="00544D8C" w:rsidRPr="00576D03" w:rsidRDefault="00544D8C" w:rsidP="00544D8C">
      <w:pPr>
        <w:tabs>
          <w:tab w:val="left" w:pos="810"/>
        </w:tabs>
        <w:suppressAutoHyphens/>
        <w:spacing w:after="0" w:line="240" w:lineRule="auto"/>
        <w:rPr>
          <w:rFonts w:ascii="Cambria" w:hAnsi="Cambria" w:cs="Arial"/>
          <w:snapToGrid w:val="0"/>
          <w:lang w:val="es-CO"/>
        </w:rPr>
      </w:pPr>
    </w:p>
    <w:p w14:paraId="1F064B14" w14:textId="77777777" w:rsidR="00544D8C" w:rsidRPr="00576D03" w:rsidRDefault="00544D8C" w:rsidP="00544D8C">
      <w:pPr>
        <w:tabs>
          <w:tab w:val="left" w:pos="810"/>
        </w:tabs>
        <w:suppressAutoHyphens/>
        <w:spacing w:after="0" w:line="240" w:lineRule="auto"/>
        <w:rPr>
          <w:rFonts w:ascii="Cambria" w:hAnsi="Cambria" w:cs="Arial"/>
          <w:snapToGrid w:val="0"/>
          <w:lang w:val="es-CO"/>
        </w:rPr>
      </w:pPr>
    </w:p>
    <w:p w14:paraId="4F7AFD21" w14:textId="77777777" w:rsidR="00544D8C" w:rsidRPr="00576D03" w:rsidRDefault="00544D8C" w:rsidP="00544D8C">
      <w:pPr>
        <w:tabs>
          <w:tab w:val="left" w:pos="810"/>
        </w:tabs>
        <w:suppressAutoHyphens/>
        <w:spacing w:after="0" w:line="240" w:lineRule="auto"/>
        <w:rPr>
          <w:rFonts w:ascii="Cambria" w:hAnsi="Cambria" w:cs="Arial"/>
          <w:snapToGrid w:val="0"/>
          <w:lang w:val="es-CO"/>
        </w:rPr>
      </w:pPr>
    </w:p>
    <w:p w14:paraId="3C4DC40A" w14:textId="77777777" w:rsidR="00544D8C" w:rsidRPr="00576D03" w:rsidRDefault="00544D8C" w:rsidP="00544D8C">
      <w:pPr>
        <w:tabs>
          <w:tab w:val="left" w:pos="810"/>
        </w:tabs>
        <w:suppressAutoHyphens/>
        <w:spacing w:after="0" w:line="240" w:lineRule="auto"/>
        <w:rPr>
          <w:rFonts w:ascii="Cambria" w:hAnsi="Cambria" w:cs="Arial"/>
          <w:snapToGrid w:val="0"/>
          <w:lang w:val="es-CO"/>
        </w:rPr>
      </w:pPr>
    </w:p>
    <w:p w14:paraId="0E668070" w14:textId="77777777" w:rsidR="00544D8C" w:rsidRPr="00576D03" w:rsidRDefault="00544D8C" w:rsidP="00544D8C">
      <w:pPr>
        <w:tabs>
          <w:tab w:val="left" w:pos="810"/>
        </w:tabs>
        <w:suppressAutoHyphens/>
        <w:spacing w:after="0" w:line="240" w:lineRule="auto"/>
        <w:rPr>
          <w:rFonts w:ascii="Cambria" w:hAnsi="Cambria" w:cs="Arial"/>
          <w:snapToGrid w:val="0"/>
          <w:lang w:val="es-CO"/>
        </w:rPr>
      </w:pPr>
    </w:p>
    <w:p w14:paraId="0D5A0323" w14:textId="77777777" w:rsidR="00544D8C" w:rsidRPr="003A443E" w:rsidRDefault="00544D8C" w:rsidP="00544D8C">
      <w:pPr>
        <w:tabs>
          <w:tab w:val="left" w:pos="810"/>
        </w:tabs>
        <w:suppressAutoHyphens/>
        <w:spacing w:after="0" w:line="240" w:lineRule="auto"/>
        <w:ind w:left="3600" w:firstLine="720"/>
        <w:rPr>
          <w:rFonts w:ascii="Cambria" w:hAnsi="Cambria" w:cs="Arial"/>
          <w:i/>
          <w:snapToGrid w:val="0"/>
          <w:color w:val="808080"/>
          <w:lang w:val="pt-BR"/>
        </w:rPr>
      </w:pPr>
      <w:r w:rsidRPr="00576D03">
        <w:rPr>
          <w:rFonts w:ascii="Cambria" w:hAnsi="Cambria" w:cs="Arial"/>
          <w:snapToGrid w:val="0"/>
          <w:lang w:val="es-CO"/>
        </w:rPr>
        <w:tab/>
      </w:r>
      <w:r w:rsidR="00462343" w:rsidRPr="00B502E8">
        <w:rPr>
          <w:rFonts w:ascii="Cambria" w:hAnsi="Cambria" w:cs="Arial"/>
          <w:snapToGrid w:val="0"/>
          <w:lang w:val="es-VE"/>
        </w:rPr>
        <w:t xml:space="preserve">       </w:t>
      </w:r>
      <w:r w:rsidR="00C2274A" w:rsidRPr="00B502E8">
        <w:rPr>
          <w:rFonts w:ascii="Cambria" w:hAnsi="Cambria" w:cs="Arial"/>
          <w:snapToGrid w:val="0"/>
          <w:lang w:val="es-VE"/>
        </w:rPr>
        <w:t xml:space="preserve"> </w:t>
      </w:r>
      <w:r w:rsidR="003A443E" w:rsidRPr="00B502E8">
        <w:rPr>
          <w:rFonts w:ascii="Cambria" w:hAnsi="Cambria" w:cs="Arial"/>
          <w:snapToGrid w:val="0"/>
          <w:lang w:val="es-VE"/>
        </w:rPr>
        <w:t xml:space="preserve"> </w:t>
      </w:r>
      <w:r w:rsidR="003A443E" w:rsidRPr="003A443E">
        <w:rPr>
          <w:rFonts w:ascii="Cambria" w:hAnsi="Cambria" w:cs="Arial"/>
          <w:snapToGrid w:val="0"/>
          <w:lang w:val="pt-BR"/>
        </w:rPr>
        <w:t xml:space="preserve">Paulo </w:t>
      </w:r>
      <w:r w:rsidR="00C2274A" w:rsidRPr="003A443E">
        <w:rPr>
          <w:rFonts w:ascii="Cambria" w:hAnsi="Cambria" w:cs="Arial"/>
          <w:snapToGrid w:val="0"/>
          <w:lang w:val="pt-BR"/>
        </w:rPr>
        <w:t xml:space="preserve"> </w:t>
      </w:r>
      <w:r w:rsidR="003A443E" w:rsidRPr="003A443E">
        <w:rPr>
          <w:rFonts w:ascii="Cambria" w:hAnsi="Cambria" w:cs="Arial"/>
          <w:snapToGrid w:val="0"/>
          <w:lang w:val="pt-BR"/>
        </w:rPr>
        <w:t>Abrão</w:t>
      </w:r>
      <w:r w:rsidR="003A443E" w:rsidRPr="003A443E">
        <w:rPr>
          <w:b/>
          <w:bCs/>
          <w:color w:val="333333"/>
          <w:lang w:val="pt-BR"/>
        </w:rPr>
        <w:t> </w:t>
      </w:r>
    </w:p>
    <w:p w14:paraId="5136FCE7" w14:textId="77777777" w:rsidR="00544D8C" w:rsidRPr="003A443E" w:rsidRDefault="00DC797F" w:rsidP="00544D8C">
      <w:pPr>
        <w:tabs>
          <w:tab w:val="left" w:pos="810"/>
        </w:tabs>
        <w:suppressAutoHyphens/>
        <w:spacing w:after="0" w:line="240" w:lineRule="auto"/>
        <w:rPr>
          <w:rFonts w:ascii="Cambria" w:hAnsi="Cambria"/>
          <w:lang w:val="pt-BR"/>
        </w:rPr>
      </w:pPr>
      <w:r>
        <w:rPr>
          <w:rFonts w:ascii="Cambria" w:hAnsi="Cambria" w:cs="Arial"/>
          <w:snapToGrid w:val="0"/>
          <w:lang w:val="pt-BR"/>
        </w:rPr>
        <w:t xml:space="preserve"> </w:t>
      </w:r>
      <w:r>
        <w:rPr>
          <w:rFonts w:ascii="Cambria" w:hAnsi="Cambria" w:cs="Arial"/>
          <w:snapToGrid w:val="0"/>
          <w:lang w:val="pt-BR"/>
        </w:rPr>
        <w:tab/>
      </w:r>
      <w:r>
        <w:rPr>
          <w:rFonts w:ascii="Cambria" w:hAnsi="Cambria" w:cs="Arial"/>
          <w:snapToGrid w:val="0"/>
          <w:lang w:val="pt-BR"/>
        </w:rPr>
        <w:tab/>
      </w:r>
      <w:r w:rsidR="00544D8C" w:rsidRPr="003A443E">
        <w:rPr>
          <w:rFonts w:ascii="Cambria" w:hAnsi="Cambria" w:cs="Arial"/>
          <w:snapToGrid w:val="0"/>
          <w:lang w:val="pt-BR"/>
        </w:rPr>
        <w:tab/>
      </w:r>
      <w:r w:rsidR="00544D8C" w:rsidRPr="003A443E">
        <w:rPr>
          <w:rFonts w:ascii="Cambria" w:hAnsi="Cambria" w:cs="Arial"/>
          <w:snapToGrid w:val="0"/>
          <w:lang w:val="pt-BR"/>
        </w:rPr>
        <w:tab/>
      </w:r>
      <w:r w:rsidR="00544D8C" w:rsidRPr="003A443E">
        <w:rPr>
          <w:rFonts w:ascii="Cambria" w:hAnsi="Cambria" w:cs="Arial"/>
          <w:snapToGrid w:val="0"/>
          <w:lang w:val="pt-BR"/>
        </w:rPr>
        <w:tab/>
        <w:t xml:space="preserve">        </w:t>
      </w:r>
      <w:r w:rsidR="00544D8C" w:rsidRPr="003A443E">
        <w:rPr>
          <w:rFonts w:ascii="Cambria" w:hAnsi="Cambria" w:cs="Arial"/>
          <w:snapToGrid w:val="0"/>
          <w:lang w:val="pt-BR"/>
        </w:rPr>
        <w:tab/>
        <w:t xml:space="preserve">      </w:t>
      </w:r>
      <w:r w:rsidR="009E7908" w:rsidRPr="003A443E">
        <w:rPr>
          <w:rFonts w:ascii="Cambria" w:hAnsi="Cambria" w:cs="Arial"/>
          <w:snapToGrid w:val="0"/>
          <w:lang w:val="pt-BR"/>
        </w:rPr>
        <w:t xml:space="preserve">           Secretaria Ejecutivo </w:t>
      </w:r>
    </w:p>
    <w:p w14:paraId="459103AF" w14:textId="77777777" w:rsidR="00544D8C" w:rsidRPr="003A443E" w:rsidRDefault="00544D8C" w:rsidP="00544D8C">
      <w:pPr>
        <w:tabs>
          <w:tab w:val="left" w:pos="810"/>
        </w:tabs>
        <w:suppressAutoHyphens/>
        <w:spacing w:after="0" w:line="240" w:lineRule="auto"/>
        <w:jc w:val="both"/>
        <w:rPr>
          <w:rFonts w:ascii="Cambria" w:hAnsi="Cambria"/>
          <w:lang w:val="pt-BR"/>
        </w:rPr>
      </w:pPr>
    </w:p>
    <w:p w14:paraId="67471B47" w14:textId="77777777" w:rsidR="00575D2C" w:rsidRPr="003A443E" w:rsidRDefault="00575D2C">
      <w:pPr>
        <w:rPr>
          <w:rFonts w:ascii="Cambria" w:hAnsi="Cambria"/>
          <w:lang w:val="pt-BR"/>
        </w:rPr>
      </w:pPr>
    </w:p>
    <w:sectPr w:rsidR="00575D2C" w:rsidRPr="003A443E" w:rsidSect="00576D03">
      <w:headerReference w:type="default" r:id="rId8"/>
      <w:footerReference w:type="default" r:id="rId9"/>
      <w:headerReference w:type="first" r:id="rId10"/>
      <w:footerReference w:type="first" r:id="rId11"/>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C52F5F" w14:textId="77777777" w:rsidR="004516EA" w:rsidRDefault="004516EA">
      <w:pPr>
        <w:spacing w:after="0" w:line="240" w:lineRule="auto"/>
      </w:pPr>
      <w:r>
        <w:separator/>
      </w:r>
    </w:p>
  </w:endnote>
  <w:endnote w:type="continuationSeparator" w:id="0">
    <w:p w14:paraId="2ECB7298" w14:textId="77777777" w:rsidR="004516EA" w:rsidRDefault="00451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04C0D" w14:textId="77777777" w:rsidR="00576D03" w:rsidRPr="00A72869" w:rsidRDefault="00576D03">
    <w:pPr>
      <w:pStyle w:val="Piedepgina"/>
      <w:jc w:val="center"/>
      <w:rPr>
        <w:color w:val="7F7F7F"/>
        <w:sz w:val="16"/>
      </w:rPr>
    </w:pPr>
    <w:r w:rsidRPr="00A72869">
      <w:rPr>
        <w:color w:val="7F7F7F"/>
        <w:sz w:val="16"/>
      </w:rPr>
      <w:fldChar w:fldCharType="begin"/>
    </w:r>
    <w:r w:rsidRPr="00A72869">
      <w:rPr>
        <w:color w:val="7F7F7F"/>
        <w:sz w:val="16"/>
      </w:rPr>
      <w:instrText xml:space="preserve"> PAGE   \* MERGEFORMAT </w:instrText>
    </w:r>
    <w:r w:rsidRPr="00A72869">
      <w:rPr>
        <w:color w:val="7F7F7F"/>
        <w:sz w:val="16"/>
      </w:rPr>
      <w:fldChar w:fldCharType="separate"/>
    </w:r>
    <w:r w:rsidR="00772BF6">
      <w:rPr>
        <w:noProof/>
        <w:color w:val="7F7F7F"/>
        <w:sz w:val="16"/>
      </w:rPr>
      <w:t>7</w:t>
    </w:r>
    <w:r w:rsidRPr="00A72869">
      <w:rPr>
        <w:noProof/>
        <w:color w:val="7F7F7F"/>
        <w:sz w:val="16"/>
      </w:rPr>
      <w:fldChar w:fldCharType="end"/>
    </w:r>
  </w:p>
  <w:p w14:paraId="701255E7" w14:textId="77777777" w:rsidR="00576D03" w:rsidRDefault="00576D0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D62F37" w14:textId="77777777" w:rsidR="00576D03" w:rsidRDefault="00576D03" w:rsidP="00576D03">
    <w:pPr>
      <w:pStyle w:val="Piedepgina"/>
      <w:spacing w:line="360" w:lineRule="auto"/>
    </w:pPr>
    <w:r>
      <w:pict w14:anchorId="4F3F9F22">
        <v:rect id="_x0000_i1026" style="width:0;height:1.5pt" o:hralign="center" o:hrstd="t" o:hr="t" fillcolor="#a0a0a0" stroked="f"/>
      </w:pict>
    </w:r>
  </w:p>
  <w:p w14:paraId="57DE4245" w14:textId="66761360" w:rsidR="00576D03" w:rsidRDefault="00036236" w:rsidP="00576D03">
    <w:pPr>
      <w:pStyle w:val="Piedepgina"/>
      <w:jc w:val="center"/>
    </w:pPr>
    <w:r w:rsidRPr="005247DB">
      <w:rPr>
        <w:noProof/>
      </w:rPr>
      <w:drawing>
        <wp:inline distT="0" distB="0" distL="0" distR="0" wp14:anchorId="677326B4" wp14:editId="37E850F2">
          <wp:extent cx="5114925" cy="314325"/>
          <wp:effectExtent l="0" t="0" r="0" b="0"/>
          <wp:docPr id="7" name="Picture 1" descr="C:\Users\mfontana\Documents\Eva Fontana\GRAFICA CIDH\cartas\logos\foote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fontana\Documents\Eva Fontana\GRAFICA CIDH\cartas\logos\foote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4925" cy="3143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329C3F" w14:textId="77777777" w:rsidR="004516EA" w:rsidRDefault="004516EA">
      <w:pPr>
        <w:spacing w:after="0" w:line="240" w:lineRule="auto"/>
      </w:pPr>
      <w:r>
        <w:separator/>
      </w:r>
    </w:p>
  </w:footnote>
  <w:footnote w:type="continuationSeparator" w:id="0">
    <w:p w14:paraId="480BD963" w14:textId="77777777" w:rsidR="004516EA" w:rsidRDefault="004516EA">
      <w:pPr>
        <w:spacing w:after="0" w:line="240" w:lineRule="auto"/>
      </w:pPr>
      <w:r>
        <w:continuationSeparator/>
      </w:r>
    </w:p>
  </w:footnote>
  <w:footnote w:id="1">
    <w:p w14:paraId="56C8C719" w14:textId="77777777" w:rsidR="00BF7AF4" w:rsidRPr="00BF7AF4" w:rsidRDefault="00BF7AF4" w:rsidP="00BF7AF4">
      <w:pPr>
        <w:pStyle w:val="Textonotapie"/>
        <w:spacing w:after="120"/>
        <w:ind w:firstLine="720"/>
        <w:jc w:val="both"/>
        <w:rPr>
          <w:rFonts w:ascii="Cambria" w:hAnsi="Cambria"/>
          <w:sz w:val="16"/>
          <w:szCs w:val="16"/>
          <w:lang w:val="es-ES"/>
        </w:rPr>
      </w:pPr>
      <w:r w:rsidRPr="00BF7AF4">
        <w:rPr>
          <w:rStyle w:val="Refdenotaalpie"/>
          <w:rFonts w:ascii="Cambria" w:hAnsi="Cambria"/>
          <w:sz w:val="16"/>
          <w:szCs w:val="16"/>
        </w:rPr>
        <w:footnoteRef/>
      </w:r>
      <w:r w:rsidRPr="00BF7AF4">
        <w:rPr>
          <w:rFonts w:ascii="Cambria" w:hAnsi="Cambria"/>
          <w:sz w:val="16"/>
          <w:szCs w:val="16"/>
          <w:lang w:val="es-CO"/>
        </w:rPr>
        <w:t xml:space="preserve"> </w:t>
      </w:r>
      <w:r w:rsidRPr="00BF7AF4">
        <w:rPr>
          <w:rFonts w:ascii="Cambria" w:hAnsi="Cambria"/>
          <w:sz w:val="16"/>
          <w:szCs w:val="16"/>
          <w:lang w:val="es-ES"/>
        </w:rPr>
        <w:t xml:space="preserve">Ver, por ejemplo los casos de las Masacres de Rio Negro (Guatemala); y Masacres de El Mozote y lugares aledaños (El Salvador).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B16224" w14:textId="101B5E1A" w:rsidR="00576D03" w:rsidRPr="0058688A" w:rsidRDefault="00036236" w:rsidP="00576D03">
    <w:pPr>
      <w:pStyle w:val="Encabezado"/>
      <w:jc w:val="center"/>
      <w:rPr>
        <w:lang w:val="es-ES_tradnl"/>
      </w:rPr>
    </w:pPr>
    <w:r w:rsidRPr="005247DB">
      <w:rPr>
        <w:noProof/>
      </w:rPr>
      <w:drawing>
        <wp:inline distT="0" distB="0" distL="0" distR="0" wp14:anchorId="0152FAFB" wp14:editId="6DBD3EB3">
          <wp:extent cx="2286000" cy="123825"/>
          <wp:effectExtent l="0" t="0" r="0" b="0"/>
          <wp:docPr id="6" name="Picture 4" descr="cidh-p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h-peq"/>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123825"/>
                  </a:xfrm>
                  <a:prstGeom prst="rect">
                    <a:avLst/>
                  </a:prstGeom>
                  <a:noFill/>
                  <a:ln>
                    <a:noFill/>
                  </a:ln>
                </pic:spPr>
              </pic:pic>
            </a:graphicData>
          </a:graphic>
        </wp:inline>
      </w:drawing>
    </w:r>
  </w:p>
  <w:p w14:paraId="290EE6DB" w14:textId="77777777" w:rsidR="00576D03" w:rsidRDefault="00576D03">
    <w:pPr>
      <w:pStyle w:val="Encabezado"/>
    </w:pPr>
    <w:r>
      <w:pict w14:anchorId="4A5C312B">
        <v:rect id="_x0000_i1027"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6DF73C" w14:textId="4B87DFD6" w:rsidR="00576D03" w:rsidRDefault="00036236" w:rsidP="00576D03">
    <w:pPr>
      <w:pStyle w:val="Encabezado"/>
    </w:pPr>
    <w:r w:rsidRPr="005247DB">
      <w:rPr>
        <w:noProof/>
      </w:rPr>
      <w:drawing>
        <wp:inline distT="0" distB="0" distL="0" distR="0" wp14:anchorId="41E003E4" wp14:editId="53CF1C92">
          <wp:extent cx="2352675" cy="457200"/>
          <wp:effectExtent l="0" t="0" r="0" b="0"/>
          <wp:docPr id="4" name="Picture 3" descr="C:\Users\mfontana\Documents\Eva Fontana\GRAFICA CIDH\cartas\logos\cid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fontana\Documents\Eva Fontana\GRAFICA CIDH\cartas\logos\cidh-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457200"/>
                  </a:xfrm>
                  <a:prstGeom prst="rect">
                    <a:avLst/>
                  </a:prstGeom>
                  <a:noFill/>
                  <a:ln>
                    <a:noFill/>
                  </a:ln>
                </pic:spPr>
              </pic:pic>
            </a:graphicData>
          </a:graphic>
        </wp:inline>
      </w:drawing>
    </w:r>
    <w:r w:rsidR="00576D03">
      <w:tab/>
    </w:r>
    <w:r w:rsidR="00576D03">
      <w:tab/>
    </w:r>
    <w:r w:rsidRPr="005247DB">
      <w:rPr>
        <w:noProof/>
      </w:rPr>
      <w:drawing>
        <wp:inline distT="0" distB="0" distL="0" distR="0" wp14:anchorId="4A022602" wp14:editId="66B02E60">
          <wp:extent cx="1647825" cy="476250"/>
          <wp:effectExtent l="0" t="0" r="0" b="0"/>
          <wp:docPr id="5" name="Picture 2" descr="C:\Users\mfontana\Documents\Eva Fontana\GRAFICA CIDH\cartas\logos\oea-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fontana\Documents\Eva Fontana\GRAFICA CIDH\cartas\logos\oea-e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7825" cy="476250"/>
                  </a:xfrm>
                  <a:prstGeom prst="rect">
                    <a:avLst/>
                  </a:prstGeom>
                  <a:noFill/>
                  <a:ln>
                    <a:noFill/>
                  </a:ln>
                </pic:spPr>
              </pic:pic>
            </a:graphicData>
          </a:graphic>
        </wp:inline>
      </w:drawing>
    </w:r>
  </w:p>
  <w:p w14:paraId="21B2A3CC" w14:textId="77777777" w:rsidR="00576D03" w:rsidRDefault="00576D03" w:rsidP="00576D03">
    <w:pPr>
      <w:pStyle w:val="Encabezado"/>
    </w:pPr>
  </w:p>
  <w:p w14:paraId="5D428B45" w14:textId="77777777" w:rsidR="00576D03" w:rsidRDefault="00576D03" w:rsidP="00576D03">
    <w:pPr>
      <w:pStyle w:val="Encabezado"/>
    </w:pPr>
    <w:r>
      <w:pict w14:anchorId="4DD714A3">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F63620B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6023686"/>
    <w:multiLevelType w:val="hybridMultilevel"/>
    <w:tmpl w:val="F86E1812"/>
    <w:lvl w:ilvl="0" w:tplc="91D2B51C">
      <w:start w:val="1"/>
      <w:numFmt w:val="decimal"/>
      <w:lvlText w:val="%1."/>
      <w:lvlJc w:val="left"/>
      <w:pPr>
        <w:tabs>
          <w:tab w:val="num" w:pos="990"/>
        </w:tabs>
        <w:ind w:left="990" w:hanging="360"/>
      </w:pPr>
      <w:rPr>
        <w:rFonts w:ascii="Cambria" w:hAnsi="Cambria" w:hint="default"/>
        <w:b w:val="0"/>
        <w:sz w:val="20"/>
        <w:szCs w:val="20"/>
        <w:lang w:val="es-CO"/>
      </w:rPr>
    </w:lvl>
    <w:lvl w:ilvl="1" w:tplc="D92C12E8">
      <w:start w:val="59"/>
      <w:numFmt w:val="decimal"/>
      <w:lvlText w:val="%2."/>
      <w:lvlJc w:val="left"/>
      <w:pPr>
        <w:tabs>
          <w:tab w:val="num" w:pos="2580"/>
        </w:tabs>
        <w:ind w:left="2580" w:hanging="1500"/>
      </w:pPr>
      <w:rPr>
        <w:rFonts w:hint="default"/>
      </w:rPr>
    </w:lvl>
    <w:lvl w:ilvl="2" w:tplc="99CCD1F2">
      <w:start w:val="3"/>
      <w:numFmt w:val="upperLetter"/>
      <w:lvlText w:val="%3."/>
      <w:lvlJc w:val="left"/>
      <w:pPr>
        <w:tabs>
          <w:tab w:val="num" w:pos="2340"/>
        </w:tabs>
        <w:ind w:left="2340" w:hanging="360"/>
      </w:pPr>
      <w:rPr>
        <w:rFonts w:hint="default"/>
      </w:rPr>
    </w:lvl>
    <w:lvl w:ilvl="3" w:tplc="0409000F">
      <w:start w:val="1"/>
      <w:numFmt w:val="lowerLetter"/>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4570ECC"/>
    <w:multiLevelType w:val="hybridMultilevel"/>
    <w:tmpl w:val="EEC6EB42"/>
    <w:lvl w:ilvl="0" w:tplc="4C023D8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A681F10"/>
    <w:multiLevelType w:val="multilevel"/>
    <w:tmpl w:val="3D22AA9C"/>
    <w:lvl w:ilvl="0">
      <w:start w:val="1"/>
      <w:numFmt w:val="decimal"/>
      <w:lvlText w:val="%1."/>
      <w:lvlJc w:val="left"/>
      <w:pPr>
        <w:ind w:left="1425" w:hanging="705"/>
      </w:pPr>
      <w:rPr>
        <w:rFonts w:hint="default"/>
        <w:sz w:val="20"/>
        <w:szCs w:val="20"/>
      </w:rPr>
    </w:lvl>
    <w:lvl w:ilvl="1">
      <w:start w:val="1"/>
      <w:numFmt w:val="decimal"/>
      <w:isLgl/>
      <w:lvlText w:val="%1.%2"/>
      <w:lvlJc w:val="left"/>
      <w:pPr>
        <w:ind w:left="1776" w:hanging="360"/>
      </w:pPr>
      <w:rPr>
        <w:rFonts w:hint="default"/>
      </w:rPr>
    </w:lvl>
    <w:lvl w:ilvl="2">
      <w:start w:val="1"/>
      <w:numFmt w:val="decimal"/>
      <w:isLgl/>
      <w:lvlText w:val="%1.%2.%3"/>
      <w:lvlJc w:val="left"/>
      <w:pPr>
        <w:ind w:left="2832" w:hanging="720"/>
      </w:pPr>
      <w:rPr>
        <w:rFonts w:hint="default"/>
      </w:rPr>
    </w:lvl>
    <w:lvl w:ilvl="3">
      <w:start w:val="1"/>
      <w:numFmt w:val="decimal"/>
      <w:isLgl/>
      <w:lvlText w:val="%1.%2.%3.%4"/>
      <w:lvlJc w:val="left"/>
      <w:pPr>
        <w:ind w:left="3528" w:hanging="720"/>
      </w:pPr>
      <w:rPr>
        <w:rFonts w:hint="default"/>
      </w:rPr>
    </w:lvl>
    <w:lvl w:ilvl="4">
      <w:start w:val="1"/>
      <w:numFmt w:val="decimal"/>
      <w:isLgl/>
      <w:lvlText w:val="%1.%2.%3.%4.%5"/>
      <w:lvlJc w:val="left"/>
      <w:pPr>
        <w:ind w:left="4224" w:hanging="720"/>
      </w:pPr>
      <w:rPr>
        <w:rFonts w:hint="default"/>
      </w:rPr>
    </w:lvl>
    <w:lvl w:ilvl="5">
      <w:start w:val="1"/>
      <w:numFmt w:val="decimal"/>
      <w:isLgl/>
      <w:lvlText w:val="%1.%2.%3.%4.%5.%6"/>
      <w:lvlJc w:val="left"/>
      <w:pPr>
        <w:ind w:left="5280" w:hanging="1080"/>
      </w:pPr>
      <w:rPr>
        <w:rFonts w:hint="default"/>
      </w:rPr>
    </w:lvl>
    <w:lvl w:ilvl="6">
      <w:start w:val="1"/>
      <w:numFmt w:val="decimal"/>
      <w:isLgl/>
      <w:lvlText w:val="%1.%2.%3.%4.%5.%6.%7"/>
      <w:lvlJc w:val="left"/>
      <w:pPr>
        <w:ind w:left="5976" w:hanging="1080"/>
      </w:pPr>
      <w:rPr>
        <w:rFonts w:hint="default"/>
      </w:rPr>
    </w:lvl>
    <w:lvl w:ilvl="7">
      <w:start w:val="1"/>
      <w:numFmt w:val="decimal"/>
      <w:isLgl/>
      <w:lvlText w:val="%1.%2.%3.%4.%5.%6.%7.%8"/>
      <w:lvlJc w:val="left"/>
      <w:pPr>
        <w:ind w:left="7032" w:hanging="1440"/>
      </w:pPr>
      <w:rPr>
        <w:rFonts w:hint="default"/>
      </w:rPr>
    </w:lvl>
    <w:lvl w:ilvl="8">
      <w:start w:val="1"/>
      <w:numFmt w:val="decimal"/>
      <w:isLgl/>
      <w:lvlText w:val="%1.%2.%3.%4.%5.%6.%7.%8.%9"/>
      <w:lvlJc w:val="left"/>
      <w:pPr>
        <w:ind w:left="7728" w:hanging="1440"/>
      </w:pPr>
      <w:rPr>
        <w:rFonts w:hint="default"/>
      </w:rPr>
    </w:lvl>
  </w:abstractNum>
  <w:abstractNum w:abstractNumId="4" w15:restartNumberingAfterBreak="0">
    <w:nsid w:val="5D7D4B9D"/>
    <w:multiLevelType w:val="hybridMultilevel"/>
    <w:tmpl w:val="72FA7D3C"/>
    <w:lvl w:ilvl="0" w:tplc="0B5AC478">
      <w:start w:val="1"/>
      <w:numFmt w:val="decimal"/>
      <w:lvlText w:val="%1."/>
      <w:lvlJc w:val="left"/>
      <w:pPr>
        <w:ind w:left="8280" w:hanging="360"/>
      </w:pPr>
      <w:rPr>
        <w:rFonts w:ascii="Cambria" w:hAnsi="Cambria" w:hint="default"/>
        <w:b w:val="0"/>
        <w:i w:val="0"/>
        <w:color w:val="auto"/>
        <w:sz w:val="20"/>
        <w:szCs w:val="20"/>
        <w:lang w:val="es-E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D8C"/>
    <w:rsid w:val="00002113"/>
    <w:rsid w:val="0001415F"/>
    <w:rsid w:val="000309CF"/>
    <w:rsid w:val="00036236"/>
    <w:rsid w:val="00036874"/>
    <w:rsid w:val="000639FC"/>
    <w:rsid w:val="00072B8F"/>
    <w:rsid w:val="00075A5F"/>
    <w:rsid w:val="00077893"/>
    <w:rsid w:val="00077CF9"/>
    <w:rsid w:val="000A1B7B"/>
    <w:rsid w:val="000B61EC"/>
    <w:rsid w:val="000F1B5F"/>
    <w:rsid w:val="00133EA3"/>
    <w:rsid w:val="00140D16"/>
    <w:rsid w:val="0015074E"/>
    <w:rsid w:val="0016076A"/>
    <w:rsid w:val="001659B2"/>
    <w:rsid w:val="001957AE"/>
    <w:rsid w:val="001B7E2D"/>
    <w:rsid w:val="001D08D1"/>
    <w:rsid w:val="001E0A35"/>
    <w:rsid w:val="001F16E5"/>
    <w:rsid w:val="002027C5"/>
    <w:rsid w:val="00234BB5"/>
    <w:rsid w:val="00251FB7"/>
    <w:rsid w:val="0026383D"/>
    <w:rsid w:val="00296CB6"/>
    <w:rsid w:val="002A5E33"/>
    <w:rsid w:val="002D348E"/>
    <w:rsid w:val="002E0B34"/>
    <w:rsid w:val="002E4B50"/>
    <w:rsid w:val="002F7E0A"/>
    <w:rsid w:val="003124F6"/>
    <w:rsid w:val="00321925"/>
    <w:rsid w:val="003A443E"/>
    <w:rsid w:val="003C1539"/>
    <w:rsid w:val="003C2E6F"/>
    <w:rsid w:val="003D2068"/>
    <w:rsid w:val="003D766E"/>
    <w:rsid w:val="0041300D"/>
    <w:rsid w:val="00425C54"/>
    <w:rsid w:val="0043508B"/>
    <w:rsid w:val="004516EA"/>
    <w:rsid w:val="004559DD"/>
    <w:rsid w:val="00462343"/>
    <w:rsid w:val="004877BE"/>
    <w:rsid w:val="004A6ED6"/>
    <w:rsid w:val="004C021D"/>
    <w:rsid w:val="004E7B4A"/>
    <w:rsid w:val="004F349F"/>
    <w:rsid w:val="00523FC4"/>
    <w:rsid w:val="005245F7"/>
    <w:rsid w:val="00534BBA"/>
    <w:rsid w:val="00540ED1"/>
    <w:rsid w:val="0054217D"/>
    <w:rsid w:val="00544D8C"/>
    <w:rsid w:val="00562671"/>
    <w:rsid w:val="005662B8"/>
    <w:rsid w:val="00575D2C"/>
    <w:rsid w:val="00576D03"/>
    <w:rsid w:val="005A1EE6"/>
    <w:rsid w:val="005A4F0E"/>
    <w:rsid w:val="005D6F0D"/>
    <w:rsid w:val="005F4628"/>
    <w:rsid w:val="00610F8F"/>
    <w:rsid w:val="00636A39"/>
    <w:rsid w:val="00656D81"/>
    <w:rsid w:val="006B0D1F"/>
    <w:rsid w:val="006C22EA"/>
    <w:rsid w:val="006D7B53"/>
    <w:rsid w:val="00703E1C"/>
    <w:rsid w:val="00732C7D"/>
    <w:rsid w:val="00735C65"/>
    <w:rsid w:val="00737F95"/>
    <w:rsid w:val="00772BF6"/>
    <w:rsid w:val="007F05F1"/>
    <w:rsid w:val="007F4D4E"/>
    <w:rsid w:val="008051A7"/>
    <w:rsid w:val="00827C8E"/>
    <w:rsid w:val="00836D05"/>
    <w:rsid w:val="0085340A"/>
    <w:rsid w:val="008625D8"/>
    <w:rsid w:val="00862A37"/>
    <w:rsid w:val="008A5756"/>
    <w:rsid w:val="008C1224"/>
    <w:rsid w:val="008D761B"/>
    <w:rsid w:val="00900F37"/>
    <w:rsid w:val="00924A5F"/>
    <w:rsid w:val="00936615"/>
    <w:rsid w:val="0094420D"/>
    <w:rsid w:val="00963B86"/>
    <w:rsid w:val="00970809"/>
    <w:rsid w:val="00974E2D"/>
    <w:rsid w:val="009822D8"/>
    <w:rsid w:val="00986863"/>
    <w:rsid w:val="009A343E"/>
    <w:rsid w:val="009B4D33"/>
    <w:rsid w:val="009C686B"/>
    <w:rsid w:val="009E05CB"/>
    <w:rsid w:val="009E7908"/>
    <w:rsid w:val="00A24273"/>
    <w:rsid w:val="00A35F8E"/>
    <w:rsid w:val="00A40C7D"/>
    <w:rsid w:val="00A42501"/>
    <w:rsid w:val="00A4324F"/>
    <w:rsid w:val="00A70376"/>
    <w:rsid w:val="00A705DD"/>
    <w:rsid w:val="00A84A50"/>
    <w:rsid w:val="00AA4A5C"/>
    <w:rsid w:val="00AB21D9"/>
    <w:rsid w:val="00AD22E6"/>
    <w:rsid w:val="00B1434A"/>
    <w:rsid w:val="00B26214"/>
    <w:rsid w:val="00B328E2"/>
    <w:rsid w:val="00B502E8"/>
    <w:rsid w:val="00B70EB8"/>
    <w:rsid w:val="00B9609F"/>
    <w:rsid w:val="00BC385C"/>
    <w:rsid w:val="00BE432C"/>
    <w:rsid w:val="00BF646E"/>
    <w:rsid w:val="00BF7AF4"/>
    <w:rsid w:val="00C16363"/>
    <w:rsid w:val="00C204B4"/>
    <w:rsid w:val="00C2274A"/>
    <w:rsid w:val="00C30741"/>
    <w:rsid w:val="00C32A96"/>
    <w:rsid w:val="00C43232"/>
    <w:rsid w:val="00C4606E"/>
    <w:rsid w:val="00C568D6"/>
    <w:rsid w:val="00C66601"/>
    <w:rsid w:val="00C70077"/>
    <w:rsid w:val="00C82B8A"/>
    <w:rsid w:val="00C870DE"/>
    <w:rsid w:val="00C8792D"/>
    <w:rsid w:val="00CD6313"/>
    <w:rsid w:val="00CE3DAF"/>
    <w:rsid w:val="00CF5038"/>
    <w:rsid w:val="00D35B5E"/>
    <w:rsid w:val="00D458D1"/>
    <w:rsid w:val="00D62A05"/>
    <w:rsid w:val="00D700C4"/>
    <w:rsid w:val="00D7609E"/>
    <w:rsid w:val="00D8013D"/>
    <w:rsid w:val="00D8079C"/>
    <w:rsid w:val="00DA232F"/>
    <w:rsid w:val="00DC10EA"/>
    <w:rsid w:val="00DC797F"/>
    <w:rsid w:val="00DE32B2"/>
    <w:rsid w:val="00DE4A90"/>
    <w:rsid w:val="00DF35EA"/>
    <w:rsid w:val="00E20D23"/>
    <w:rsid w:val="00E22526"/>
    <w:rsid w:val="00E3537B"/>
    <w:rsid w:val="00E4308F"/>
    <w:rsid w:val="00E44607"/>
    <w:rsid w:val="00E5197B"/>
    <w:rsid w:val="00E52276"/>
    <w:rsid w:val="00E65D91"/>
    <w:rsid w:val="00E75C3E"/>
    <w:rsid w:val="00E84E70"/>
    <w:rsid w:val="00E96E6C"/>
    <w:rsid w:val="00ED37E4"/>
    <w:rsid w:val="00ED79A9"/>
    <w:rsid w:val="00F30E97"/>
    <w:rsid w:val="00F817C9"/>
    <w:rsid w:val="00FC6CA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8EE06"/>
  <w15:chartTrackingRefBased/>
  <w15:docId w15:val="{9475B05C-2666-419B-895D-28C65B3CB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paragraph" w:styleId="Ttulo2">
    <w:name w:val="heading 2"/>
    <w:basedOn w:val="Normal"/>
    <w:next w:val="Normal"/>
    <w:link w:val="Ttulo2Car"/>
    <w:uiPriority w:val="9"/>
    <w:qFormat/>
    <w:rsid w:val="002E4B50"/>
    <w:pPr>
      <w:keepNext/>
      <w:spacing w:before="240" w:after="60"/>
      <w:outlineLvl w:val="1"/>
    </w:pPr>
    <w:rPr>
      <w:rFonts w:ascii="Cambria" w:eastAsia="Times New Roman" w:hAnsi="Cambria"/>
      <w:b/>
      <w:bCs/>
      <w:i/>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544D8C"/>
    <w:pPr>
      <w:tabs>
        <w:tab w:val="center" w:pos="4680"/>
        <w:tab w:val="right" w:pos="9360"/>
      </w:tabs>
      <w:spacing w:after="0" w:line="240" w:lineRule="auto"/>
    </w:pPr>
    <w:rPr>
      <w:rFonts w:eastAsia="MS Mincho"/>
    </w:rPr>
  </w:style>
  <w:style w:type="character" w:customStyle="1" w:styleId="EncabezadoCar">
    <w:name w:val="Encabezado Car"/>
    <w:link w:val="Encabezado"/>
    <w:rsid w:val="00544D8C"/>
    <w:rPr>
      <w:rFonts w:eastAsia="MS Mincho"/>
      <w:sz w:val="22"/>
      <w:szCs w:val="22"/>
    </w:rPr>
  </w:style>
  <w:style w:type="paragraph" w:styleId="Piedepgina">
    <w:name w:val="footer"/>
    <w:basedOn w:val="Normal"/>
    <w:link w:val="PiedepginaCar"/>
    <w:unhideWhenUsed/>
    <w:rsid w:val="00544D8C"/>
    <w:pPr>
      <w:tabs>
        <w:tab w:val="center" w:pos="4680"/>
        <w:tab w:val="right" w:pos="9360"/>
      </w:tabs>
      <w:spacing w:after="0" w:line="240" w:lineRule="auto"/>
    </w:pPr>
    <w:rPr>
      <w:rFonts w:eastAsia="MS Mincho"/>
    </w:rPr>
  </w:style>
  <w:style w:type="character" w:customStyle="1" w:styleId="PiedepginaCar">
    <w:name w:val="Pie de página Car"/>
    <w:link w:val="Piedepgina"/>
    <w:rsid w:val="00544D8C"/>
    <w:rPr>
      <w:rFonts w:eastAsia="MS Mincho"/>
      <w:sz w:val="22"/>
      <w:szCs w:val="22"/>
    </w:rPr>
  </w:style>
  <w:style w:type="paragraph" w:styleId="NormalWeb">
    <w:name w:val="Normal (Web)"/>
    <w:basedOn w:val="Normal"/>
    <w:uiPriority w:val="99"/>
    <w:unhideWhenUsed/>
    <w:rsid w:val="00544D8C"/>
    <w:pPr>
      <w:spacing w:before="100" w:beforeAutospacing="1" w:after="100" w:afterAutospacing="1" w:line="240" w:lineRule="auto"/>
    </w:pPr>
    <w:rPr>
      <w:rFonts w:ascii="Times New Roman" w:hAnsi="Times New Roman"/>
      <w:sz w:val="24"/>
      <w:szCs w:val="24"/>
    </w:rPr>
  </w:style>
  <w:style w:type="character" w:styleId="Hipervnculo">
    <w:name w:val="Hyperlink"/>
    <w:uiPriority w:val="99"/>
    <w:unhideWhenUsed/>
    <w:rsid w:val="00544D8C"/>
    <w:rPr>
      <w:color w:val="0563C1"/>
      <w:u w:val="single"/>
    </w:rPr>
  </w:style>
  <w:style w:type="paragraph" w:styleId="Sangra3detindependiente">
    <w:name w:val="Body Text Indent 3"/>
    <w:basedOn w:val="Normal"/>
    <w:link w:val="Sangra3detindependienteCar"/>
    <w:uiPriority w:val="99"/>
    <w:semiHidden/>
    <w:unhideWhenUsed/>
    <w:rsid w:val="00862A37"/>
    <w:pPr>
      <w:spacing w:after="120" w:line="240" w:lineRule="auto"/>
      <w:ind w:left="360"/>
    </w:pPr>
    <w:rPr>
      <w:rFonts w:ascii="Times New Roman" w:eastAsia="MS Mincho" w:hAnsi="Times New Roman"/>
      <w:sz w:val="16"/>
      <w:szCs w:val="16"/>
    </w:rPr>
  </w:style>
  <w:style w:type="character" w:customStyle="1" w:styleId="Sangra3detindependienteCar">
    <w:name w:val="Sangría 3 de t. independiente Car"/>
    <w:link w:val="Sangra3detindependiente"/>
    <w:uiPriority w:val="99"/>
    <w:semiHidden/>
    <w:rsid w:val="00862A37"/>
    <w:rPr>
      <w:rFonts w:ascii="Times New Roman" w:eastAsia="MS Mincho" w:hAnsi="Times New Roman"/>
      <w:sz w:val="16"/>
      <w:szCs w:val="16"/>
    </w:rPr>
  </w:style>
  <w:style w:type="paragraph" w:styleId="Listavistosa-nfasis1">
    <w:name w:val="Colorful List Accent 1"/>
    <w:aliases w:val="Párrafo de lista1,List Paragraph1,List Paragraph11,List Paragraph2,Lista vistosa - Énfasis 11"/>
    <w:link w:val="Listavistosa-nfasis1Car"/>
    <w:qFormat/>
    <w:rsid w:val="004F349F"/>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character" w:customStyle="1" w:styleId="Listavistosa-nfasis1Car">
    <w:name w:val="Lista vistosa - Énfasis 1 Car"/>
    <w:aliases w:val="Párrafo de lista1 Car,List Paragraph1 Car,List Paragraph11 Car,List Paragraph2 Car,Lista vistosa - Énfasis 11 Car"/>
    <w:link w:val="Listavistosa-nfasis1"/>
    <w:locked/>
    <w:rsid w:val="004F349F"/>
    <w:rPr>
      <w:rFonts w:ascii="Cambria" w:eastAsia="Cambria" w:hAnsi="Cambria" w:cs="Cambria"/>
      <w:color w:val="000000"/>
      <w:sz w:val="24"/>
      <w:szCs w:val="24"/>
      <w:u w:color="000000"/>
      <w:bdr w:val="nil"/>
      <w:lang w:eastAsia="es-ES"/>
    </w:rPr>
  </w:style>
  <w:style w:type="paragraph" w:styleId="Textonotapie">
    <w:name w:val="footnote text"/>
    <w:aliases w:val="Footnote Text Char Char Char Char Char,Footnote Text Char Char Char Char,FA Fu,Footnote reference,Footnote Text Char Char Char,FA Fußnotentext,FA Fuﬂnotentext,Texto nota pie Car,Footnote Text Cha,Footnote Text Char Char,footnote text,Ca,f"/>
    <w:link w:val="TextonotapieCar1"/>
    <w:uiPriority w:val="99"/>
    <w:qFormat/>
    <w:rsid w:val="00BF7AF4"/>
    <w:pPr>
      <w:pBdr>
        <w:top w:val="nil"/>
        <w:left w:val="nil"/>
        <w:bottom w:val="nil"/>
        <w:right w:val="nil"/>
        <w:between w:val="nil"/>
        <w:bar w:val="nil"/>
      </w:pBdr>
    </w:pPr>
    <w:rPr>
      <w:rFonts w:cs="Calibri"/>
      <w:color w:val="000000"/>
      <w:u w:color="000000"/>
      <w:bdr w:val="nil"/>
      <w:lang w:val="en-US" w:eastAsia="es-ES"/>
    </w:rPr>
  </w:style>
  <w:style w:type="character" w:customStyle="1" w:styleId="TextonotapieCar1">
    <w:name w:val="Texto nota pie Car1"/>
    <w:aliases w:val="Footnote Text Char Char Char Char Char Car,Footnote Text Char Char Char Char Car,FA Fu Car,Footnote reference Car,Footnote Text Char Char Char Car,FA Fußnotentext Car,FA Fuﬂnotentext Car,Texto nota pie Car Car,Footnote Text Cha Car"/>
    <w:link w:val="Textonotapie"/>
    <w:uiPriority w:val="99"/>
    <w:qFormat/>
    <w:rsid w:val="00BF7AF4"/>
    <w:rPr>
      <w:rFonts w:cs="Calibri"/>
      <w:color w:val="000000"/>
      <w:u w:color="000000"/>
      <w:bdr w:val="nil"/>
      <w:lang w:eastAsia="es-ES"/>
    </w:rPr>
  </w:style>
  <w:style w:type="character" w:styleId="Refdenotaalpie">
    <w:name w:val="footnote reference"/>
    <w:aliases w:val="Footnotes refss,Texto de nota al pie,Appel note de bas de page,Footnote number,referencia nota al pie,BVI fnr,f,Ref. de nota al pie.,Footnote symbol,Footnote,4_G,16 Point,Superscript 6 Point,Texto nota al pie,Ref. de nota al pi,Ref,R"/>
    <w:link w:val="BVIfnrCar1CarCarCarCar"/>
    <w:uiPriority w:val="99"/>
    <w:qFormat/>
    <w:rsid w:val="00BF7AF4"/>
    <w:rPr>
      <w:rFonts w:ascii="Verdana" w:hAnsi="Verdana"/>
      <w:sz w:val="22"/>
      <w:vertAlign w:val="superscript"/>
    </w:rPr>
  </w:style>
  <w:style w:type="paragraph" w:customStyle="1" w:styleId="Default">
    <w:name w:val="Default"/>
    <w:link w:val="DefaultChar"/>
    <w:rsid w:val="00BF7AF4"/>
    <w:pPr>
      <w:autoSpaceDE w:val="0"/>
      <w:autoSpaceDN w:val="0"/>
      <w:adjustRightInd w:val="0"/>
    </w:pPr>
    <w:rPr>
      <w:rFonts w:ascii="Times New Roman" w:eastAsia="Times New Roman" w:hAnsi="Times New Roman"/>
      <w:color w:val="000000"/>
      <w:sz w:val="24"/>
      <w:szCs w:val="24"/>
      <w:lang w:val="en-US" w:eastAsia="en-US"/>
    </w:rPr>
  </w:style>
  <w:style w:type="character" w:customStyle="1" w:styleId="DefaultChar">
    <w:name w:val="Default Char"/>
    <w:link w:val="Default"/>
    <w:rsid w:val="00BF7AF4"/>
    <w:rPr>
      <w:rFonts w:ascii="Times New Roman" w:eastAsia="Times New Roman" w:hAnsi="Times New Roman"/>
      <w:color w:val="000000"/>
      <w:sz w:val="24"/>
      <w:szCs w:val="24"/>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link w:val="Refdenotaalpie"/>
    <w:uiPriority w:val="99"/>
    <w:rsid w:val="00BF7AF4"/>
    <w:pPr>
      <w:spacing w:before="200" w:after="160" w:line="240" w:lineRule="exact"/>
    </w:pPr>
    <w:rPr>
      <w:rFonts w:ascii="Verdana" w:hAnsi="Verdana"/>
      <w:szCs w:val="20"/>
      <w:vertAlign w:val="superscript"/>
    </w:rPr>
  </w:style>
  <w:style w:type="character" w:customStyle="1" w:styleId="Ttulo2Car">
    <w:name w:val="Título 2 Car"/>
    <w:link w:val="Ttulo2"/>
    <w:uiPriority w:val="9"/>
    <w:rsid w:val="002E4B50"/>
    <w:rPr>
      <w:rFonts w:ascii="Cambria" w:eastAsia="Times New Roman" w:hAnsi="Cambria" w:cs="Times New Roman"/>
      <w:b/>
      <w:bCs/>
      <w:i/>
      <w:iCs/>
      <w:sz w:val="28"/>
      <w:szCs w:val="28"/>
    </w:rPr>
  </w:style>
  <w:style w:type="character" w:styleId="Refdecomentario">
    <w:name w:val="annotation reference"/>
    <w:uiPriority w:val="99"/>
    <w:semiHidden/>
    <w:unhideWhenUsed/>
    <w:rsid w:val="00AD22E6"/>
    <w:rPr>
      <w:sz w:val="18"/>
      <w:szCs w:val="18"/>
    </w:rPr>
  </w:style>
  <w:style w:type="paragraph" w:styleId="Textocomentario">
    <w:name w:val="annotation text"/>
    <w:basedOn w:val="Normal"/>
    <w:link w:val="TextocomentarioCar"/>
    <w:uiPriority w:val="99"/>
    <w:semiHidden/>
    <w:unhideWhenUsed/>
    <w:rsid w:val="00AD22E6"/>
    <w:rPr>
      <w:sz w:val="24"/>
      <w:szCs w:val="24"/>
    </w:rPr>
  </w:style>
  <w:style w:type="character" w:customStyle="1" w:styleId="TextocomentarioCar">
    <w:name w:val="Texto comentario Car"/>
    <w:link w:val="Textocomentario"/>
    <w:uiPriority w:val="99"/>
    <w:semiHidden/>
    <w:rsid w:val="00AD22E6"/>
    <w:rPr>
      <w:sz w:val="24"/>
      <w:szCs w:val="24"/>
    </w:rPr>
  </w:style>
  <w:style w:type="paragraph" w:styleId="Asuntodelcomentario">
    <w:name w:val="annotation subject"/>
    <w:basedOn w:val="Textocomentario"/>
    <w:next w:val="Textocomentario"/>
    <w:link w:val="AsuntodelcomentarioCar"/>
    <w:uiPriority w:val="99"/>
    <w:semiHidden/>
    <w:unhideWhenUsed/>
    <w:rsid w:val="00AD22E6"/>
    <w:rPr>
      <w:b/>
      <w:bCs/>
      <w:sz w:val="20"/>
      <w:szCs w:val="20"/>
    </w:rPr>
  </w:style>
  <w:style w:type="character" w:customStyle="1" w:styleId="AsuntodelcomentarioCar">
    <w:name w:val="Asunto del comentario Car"/>
    <w:link w:val="Asuntodelcomentario"/>
    <w:uiPriority w:val="99"/>
    <w:semiHidden/>
    <w:rsid w:val="00AD22E6"/>
    <w:rPr>
      <w:b/>
      <w:bCs/>
      <w:sz w:val="24"/>
      <w:szCs w:val="24"/>
    </w:rPr>
  </w:style>
  <w:style w:type="paragraph" w:styleId="Textodeglobo">
    <w:name w:val="Balloon Text"/>
    <w:basedOn w:val="Normal"/>
    <w:link w:val="TextodegloboCar"/>
    <w:uiPriority w:val="99"/>
    <w:semiHidden/>
    <w:unhideWhenUsed/>
    <w:rsid w:val="00AD22E6"/>
    <w:pPr>
      <w:spacing w:after="0" w:line="240" w:lineRule="auto"/>
    </w:pPr>
    <w:rPr>
      <w:rFonts w:ascii="Times New Roman" w:hAnsi="Times New Roman"/>
      <w:sz w:val="18"/>
      <w:szCs w:val="18"/>
    </w:rPr>
  </w:style>
  <w:style w:type="character" w:customStyle="1" w:styleId="TextodegloboCar">
    <w:name w:val="Texto de globo Car"/>
    <w:link w:val="Textodeglobo"/>
    <w:uiPriority w:val="99"/>
    <w:semiHidden/>
    <w:rsid w:val="00AD22E6"/>
    <w:rPr>
      <w:rFonts w:ascii="Times New Roman" w:hAnsi="Times New Roman"/>
      <w:sz w:val="18"/>
      <w:szCs w:val="18"/>
    </w:rPr>
  </w:style>
  <w:style w:type="character" w:styleId="Hipervnculovisitado">
    <w:name w:val="FollowedHyperlink"/>
    <w:uiPriority w:val="99"/>
    <w:semiHidden/>
    <w:unhideWhenUsed/>
    <w:rsid w:val="00002113"/>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0DA37D-99FD-422F-92B6-2D8A3CFC7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3351</Words>
  <Characters>18434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%username%</dc:creator>
  <cp:keywords/>
  <cp:lastModifiedBy>Liliana Tojo</cp:lastModifiedBy>
  <cp:revision>2</cp:revision>
  <cp:lastPrinted>2018-06-28T18:00:00Z</cp:lastPrinted>
  <dcterms:created xsi:type="dcterms:W3CDTF">2020-12-30T20:02:00Z</dcterms:created>
  <dcterms:modified xsi:type="dcterms:W3CDTF">2020-12-30T20:02:00Z</dcterms:modified>
</cp:coreProperties>
</file>