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D96D09" w14:textId="77777777" w:rsidR="003626D4" w:rsidRPr="00C353E5" w:rsidRDefault="003626D4" w:rsidP="00A229DF">
      <w:pPr>
        <w:tabs>
          <w:tab w:val="left" w:pos="567"/>
        </w:tabs>
        <w:spacing w:after="0" w:line="240" w:lineRule="auto"/>
        <w:jc w:val="center"/>
        <w:rPr>
          <w:rFonts w:ascii="Verdana" w:hAnsi="Verdana"/>
          <w:b/>
          <w:sz w:val="20"/>
          <w:szCs w:val="20"/>
        </w:rPr>
      </w:pPr>
      <w:r w:rsidRPr="00C353E5">
        <w:rPr>
          <w:rFonts w:ascii="Verdana" w:hAnsi="Verdana"/>
          <w:b/>
          <w:sz w:val="20"/>
          <w:szCs w:val="20"/>
        </w:rPr>
        <w:t>RESOLUCIÓN DE</w:t>
      </w:r>
      <w:r w:rsidR="00161169" w:rsidRPr="00C353E5">
        <w:rPr>
          <w:rFonts w:ascii="Verdana" w:hAnsi="Verdana"/>
          <w:b/>
          <w:sz w:val="20"/>
          <w:szCs w:val="20"/>
        </w:rPr>
        <w:t xml:space="preserve"> </w:t>
      </w:r>
      <w:r w:rsidRPr="00C353E5">
        <w:rPr>
          <w:rFonts w:ascii="Verdana" w:hAnsi="Verdana"/>
          <w:b/>
          <w:sz w:val="20"/>
          <w:szCs w:val="20"/>
        </w:rPr>
        <w:t>L</w:t>
      </w:r>
      <w:r w:rsidR="00161169" w:rsidRPr="00C353E5">
        <w:rPr>
          <w:rFonts w:ascii="Verdana" w:hAnsi="Verdana"/>
          <w:b/>
          <w:sz w:val="20"/>
          <w:szCs w:val="20"/>
        </w:rPr>
        <w:t>A</w:t>
      </w:r>
      <w:r w:rsidRPr="00C353E5">
        <w:rPr>
          <w:rFonts w:ascii="Verdana" w:hAnsi="Verdana"/>
          <w:b/>
          <w:sz w:val="20"/>
          <w:szCs w:val="20"/>
        </w:rPr>
        <w:t xml:space="preserve"> PRESIDENT</w:t>
      </w:r>
      <w:r w:rsidR="00161169" w:rsidRPr="00C353E5">
        <w:rPr>
          <w:rFonts w:ascii="Verdana" w:hAnsi="Verdana"/>
          <w:b/>
          <w:sz w:val="20"/>
          <w:szCs w:val="20"/>
        </w:rPr>
        <w:t>A</w:t>
      </w:r>
      <w:r w:rsidRPr="00C353E5">
        <w:rPr>
          <w:rFonts w:ascii="Verdana" w:hAnsi="Verdana"/>
          <w:b/>
          <w:sz w:val="20"/>
          <w:szCs w:val="20"/>
        </w:rPr>
        <w:t xml:space="preserve"> DE LA</w:t>
      </w:r>
    </w:p>
    <w:p w14:paraId="7F38A6DE" w14:textId="77777777" w:rsidR="003626D4" w:rsidRPr="00C353E5" w:rsidRDefault="003626D4" w:rsidP="00A229DF">
      <w:pPr>
        <w:tabs>
          <w:tab w:val="left" w:pos="567"/>
        </w:tabs>
        <w:spacing w:after="0" w:line="240" w:lineRule="auto"/>
        <w:jc w:val="center"/>
        <w:rPr>
          <w:rFonts w:ascii="Verdana" w:hAnsi="Verdana"/>
          <w:b/>
          <w:sz w:val="20"/>
          <w:szCs w:val="20"/>
        </w:rPr>
      </w:pPr>
      <w:r w:rsidRPr="00C353E5">
        <w:rPr>
          <w:rFonts w:ascii="Verdana" w:hAnsi="Verdana"/>
          <w:b/>
          <w:sz w:val="20"/>
          <w:szCs w:val="20"/>
        </w:rPr>
        <w:t>CORTE INTERAMERICANA DE DERECHOS HUMANOS</w:t>
      </w:r>
    </w:p>
    <w:p w14:paraId="3B66801F" w14:textId="77777777" w:rsidR="003626D4" w:rsidRPr="00C353E5" w:rsidRDefault="003626D4" w:rsidP="00A229DF">
      <w:pPr>
        <w:tabs>
          <w:tab w:val="left" w:pos="567"/>
        </w:tabs>
        <w:spacing w:after="0" w:line="240" w:lineRule="auto"/>
        <w:rPr>
          <w:rFonts w:ascii="Verdana" w:hAnsi="Verdana"/>
          <w:b/>
          <w:sz w:val="20"/>
          <w:szCs w:val="20"/>
        </w:rPr>
      </w:pPr>
    </w:p>
    <w:p w14:paraId="664DE746" w14:textId="77777777" w:rsidR="003626D4" w:rsidRPr="00C353E5" w:rsidRDefault="003626D4" w:rsidP="00A229DF">
      <w:pPr>
        <w:tabs>
          <w:tab w:val="left" w:pos="567"/>
        </w:tabs>
        <w:spacing w:after="0" w:line="240" w:lineRule="auto"/>
        <w:jc w:val="center"/>
        <w:rPr>
          <w:rFonts w:ascii="Verdana" w:hAnsi="Verdana"/>
          <w:b/>
          <w:sz w:val="20"/>
          <w:szCs w:val="20"/>
        </w:rPr>
      </w:pPr>
      <w:r w:rsidRPr="00C353E5">
        <w:rPr>
          <w:rFonts w:ascii="Verdana" w:hAnsi="Verdana"/>
          <w:b/>
          <w:sz w:val="20"/>
          <w:szCs w:val="20"/>
        </w:rPr>
        <w:t xml:space="preserve">DE </w:t>
      </w:r>
      <w:r w:rsidR="000C584E">
        <w:rPr>
          <w:rFonts w:ascii="Verdana" w:hAnsi="Verdana"/>
          <w:b/>
          <w:sz w:val="20"/>
          <w:szCs w:val="20"/>
        </w:rPr>
        <w:t>1</w:t>
      </w:r>
      <w:r w:rsidRPr="00C353E5">
        <w:rPr>
          <w:rFonts w:ascii="Verdana" w:hAnsi="Verdana"/>
          <w:b/>
          <w:sz w:val="20"/>
          <w:szCs w:val="20"/>
        </w:rPr>
        <w:t xml:space="preserve"> DE </w:t>
      </w:r>
      <w:r w:rsidR="000C584E">
        <w:rPr>
          <w:rFonts w:ascii="Verdana" w:hAnsi="Verdana"/>
          <w:b/>
          <w:sz w:val="20"/>
          <w:szCs w:val="20"/>
        </w:rPr>
        <w:t>FEBRERO</w:t>
      </w:r>
      <w:r w:rsidRPr="00C353E5">
        <w:rPr>
          <w:rFonts w:ascii="Verdana" w:hAnsi="Verdana"/>
          <w:b/>
          <w:sz w:val="20"/>
          <w:szCs w:val="20"/>
        </w:rPr>
        <w:t xml:space="preserve"> DE 20</w:t>
      </w:r>
      <w:r w:rsidR="005C5201" w:rsidRPr="00C353E5">
        <w:rPr>
          <w:rFonts w:ascii="Verdana" w:hAnsi="Verdana"/>
          <w:b/>
          <w:sz w:val="20"/>
          <w:szCs w:val="20"/>
        </w:rPr>
        <w:t>21</w:t>
      </w:r>
    </w:p>
    <w:p w14:paraId="55AE433E" w14:textId="77777777" w:rsidR="003626D4" w:rsidRPr="00C353E5" w:rsidRDefault="003626D4" w:rsidP="00A229DF">
      <w:pPr>
        <w:tabs>
          <w:tab w:val="left" w:pos="567"/>
        </w:tabs>
        <w:spacing w:after="0" w:line="240" w:lineRule="auto"/>
        <w:jc w:val="center"/>
        <w:rPr>
          <w:rFonts w:ascii="Verdana" w:hAnsi="Verdana"/>
          <w:b/>
          <w:sz w:val="20"/>
          <w:szCs w:val="20"/>
        </w:rPr>
      </w:pPr>
    </w:p>
    <w:p w14:paraId="1956810F" w14:textId="77777777" w:rsidR="00981084" w:rsidRPr="00C353E5" w:rsidRDefault="00981084" w:rsidP="00A229DF">
      <w:pPr>
        <w:tabs>
          <w:tab w:val="left" w:pos="567"/>
        </w:tabs>
        <w:spacing w:after="0" w:line="240" w:lineRule="auto"/>
        <w:jc w:val="center"/>
        <w:rPr>
          <w:rFonts w:ascii="Verdana" w:hAnsi="Verdana"/>
          <w:b/>
          <w:sz w:val="20"/>
          <w:szCs w:val="20"/>
        </w:rPr>
      </w:pPr>
    </w:p>
    <w:p w14:paraId="26A1E6A1" w14:textId="77777777" w:rsidR="003626D4" w:rsidRPr="00C353E5" w:rsidRDefault="003626D4" w:rsidP="00A229DF">
      <w:pPr>
        <w:tabs>
          <w:tab w:val="left" w:pos="567"/>
        </w:tabs>
        <w:spacing w:after="0" w:line="240" w:lineRule="auto"/>
        <w:jc w:val="center"/>
        <w:rPr>
          <w:rFonts w:ascii="Verdana" w:hAnsi="Verdana"/>
          <w:b/>
          <w:sz w:val="20"/>
          <w:szCs w:val="20"/>
        </w:rPr>
      </w:pPr>
      <w:r w:rsidRPr="00C353E5">
        <w:rPr>
          <w:rFonts w:ascii="Verdana" w:hAnsi="Verdana"/>
          <w:b/>
          <w:sz w:val="20"/>
          <w:szCs w:val="20"/>
        </w:rPr>
        <w:t xml:space="preserve">CASO </w:t>
      </w:r>
      <w:r w:rsidR="008F4ABD" w:rsidRPr="00C353E5">
        <w:rPr>
          <w:rFonts w:ascii="Verdana" w:hAnsi="Verdana"/>
          <w:b/>
          <w:sz w:val="20"/>
          <w:szCs w:val="20"/>
        </w:rPr>
        <w:t xml:space="preserve">MOYA SOLÍS </w:t>
      </w:r>
      <w:r w:rsidRPr="00C353E5">
        <w:rPr>
          <w:rFonts w:ascii="Verdana" w:hAnsi="Verdana"/>
          <w:b/>
          <w:sz w:val="20"/>
          <w:szCs w:val="20"/>
        </w:rPr>
        <w:t>VS. PERÚ</w:t>
      </w:r>
    </w:p>
    <w:p w14:paraId="2C198196" w14:textId="77777777" w:rsidR="003626D4" w:rsidRDefault="003626D4" w:rsidP="00A229DF">
      <w:pPr>
        <w:tabs>
          <w:tab w:val="left" w:pos="567"/>
        </w:tabs>
        <w:spacing w:after="0" w:line="240" w:lineRule="auto"/>
        <w:jc w:val="both"/>
        <w:rPr>
          <w:rFonts w:ascii="Verdana" w:hAnsi="Verdana"/>
          <w:b/>
          <w:color w:val="000000" w:themeColor="text1"/>
          <w:sz w:val="20"/>
          <w:szCs w:val="20"/>
        </w:rPr>
      </w:pPr>
    </w:p>
    <w:p w14:paraId="698D1BD3" w14:textId="77777777" w:rsidR="00981084" w:rsidRPr="00C353E5" w:rsidRDefault="00981084" w:rsidP="00A229DF">
      <w:pPr>
        <w:tabs>
          <w:tab w:val="left" w:pos="567"/>
        </w:tabs>
        <w:spacing w:after="0" w:line="240" w:lineRule="auto"/>
        <w:jc w:val="both"/>
        <w:rPr>
          <w:rFonts w:ascii="Verdana" w:hAnsi="Verdana"/>
          <w:b/>
          <w:color w:val="000000" w:themeColor="text1"/>
          <w:sz w:val="20"/>
          <w:szCs w:val="20"/>
        </w:rPr>
      </w:pPr>
    </w:p>
    <w:p w14:paraId="657160AA" w14:textId="77777777" w:rsidR="003626D4" w:rsidRPr="00C353E5" w:rsidRDefault="003626D4" w:rsidP="00A229DF">
      <w:pPr>
        <w:tabs>
          <w:tab w:val="left" w:pos="567"/>
        </w:tabs>
        <w:spacing w:after="0" w:line="240" w:lineRule="auto"/>
        <w:jc w:val="both"/>
        <w:rPr>
          <w:rFonts w:ascii="Verdana" w:hAnsi="Verdana"/>
          <w:b/>
          <w:color w:val="000000" w:themeColor="text1"/>
          <w:sz w:val="20"/>
          <w:szCs w:val="20"/>
        </w:rPr>
      </w:pPr>
      <w:r w:rsidRPr="00C353E5">
        <w:rPr>
          <w:rFonts w:ascii="Verdana" w:hAnsi="Verdana"/>
          <w:b/>
          <w:color w:val="000000" w:themeColor="text1"/>
          <w:sz w:val="20"/>
          <w:szCs w:val="20"/>
        </w:rPr>
        <w:t>VISTO:</w:t>
      </w:r>
    </w:p>
    <w:p w14:paraId="499652FE" w14:textId="77777777" w:rsidR="003626D4" w:rsidRPr="00C353E5" w:rsidRDefault="003626D4" w:rsidP="00A229DF">
      <w:pPr>
        <w:tabs>
          <w:tab w:val="left" w:pos="567"/>
        </w:tabs>
        <w:spacing w:after="0" w:line="240" w:lineRule="auto"/>
        <w:jc w:val="both"/>
        <w:rPr>
          <w:rFonts w:ascii="Verdana" w:hAnsi="Verdana"/>
          <w:b/>
          <w:color w:val="000000" w:themeColor="text1"/>
          <w:sz w:val="20"/>
          <w:szCs w:val="20"/>
        </w:rPr>
      </w:pPr>
    </w:p>
    <w:p w14:paraId="26FAB011" w14:textId="77777777" w:rsidR="003626D4" w:rsidRPr="00C353E5" w:rsidRDefault="003626D4" w:rsidP="00A229DF">
      <w:pPr>
        <w:widowControl w:val="0"/>
        <w:numPr>
          <w:ilvl w:val="0"/>
          <w:numId w:val="9"/>
        </w:numPr>
        <w:tabs>
          <w:tab w:val="left" w:pos="567"/>
        </w:tabs>
        <w:autoSpaceDE w:val="0"/>
        <w:autoSpaceDN w:val="0"/>
        <w:adjustRightInd w:val="0"/>
        <w:spacing w:after="0" w:line="240" w:lineRule="auto"/>
        <w:ind w:left="0" w:right="22" w:firstLine="0"/>
        <w:jc w:val="both"/>
        <w:rPr>
          <w:rFonts w:ascii="Verdana" w:eastAsia="Calibri" w:hAnsi="Verdana" w:cs="Times"/>
          <w:color w:val="000000" w:themeColor="text1"/>
          <w:sz w:val="20"/>
          <w:szCs w:val="20"/>
          <w:lang w:eastAsia="es-ES"/>
        </w:rPr>
      </w:pPr>
      <w:r w:rsidRPr="00C353E5">
        <w:rPr>
          <w:rFonts w:ascii="Verdana" w:hAnsi="Verdana"/>
          <w:color w:val="000000" w:themeColor="text1"/>
          <w:sz w:val="20"/>
          <w:szCs w:val="20"/>
        </w:rPr>
        <w:t xml:space="preserve">El escrito de sometimiento del caso y el Informe de Fondo </w:t>
      </w:r>
      <w:r w:rsidR="005C5201" w:rsidRPr="00C353E5">
        <w:rPr>
          <w:rFonts w:ascii="Verdana" w:hAnsi="Verdana"/>
          <w:color w:val="000000" w:themeColor="text1"/>
          <w:sz w:val="20"/>
          <w:szCs w:val="20"/>
        </w:rPr>
        <w:t>63</w:t>
      </w:r>
      <w:r w:rsidR="00AB160B" w:rsidRPr="00C353E5">
        <w:rPr>
          <w:rFonts w:ascii="Verdana" w:hAnsi="Verdana"/>
          <w:color w:val="000000" w:themeColor="text1"/>
          <w:sz w:val="20"/>
          <w:szCs w:val="20"/>
        </w:rPr>
        <w:t>/1</w:t>
      </w:r>
      <w:r w:rsidR="005C5201" w:rsidRPr="00C353E5">
        <w:rPr>
          <w:rFonts w:ascii="Verdana" w:hAnsi="Verdana"/>
          <w:color w:val="000000" w:themeColor="text1"/>
          <w:sz w:val="20"/>
          <w:szCs w:val="20"/>
        </w:rPr>
        <w:t>9</w:t>
      </w:r>
      <w:r w:rsidR="00AB160B" w:rsidRPr="00C353E5">
        <w:rPr>
          <w:rFonts w:ascii="Verdana" w:hAnsi="Verdana"/>
          <w:color w:val="000000" w:themeColor="text1"/>
          <w:sz w:val="20"/>
          <w:szCs w:val="20"/>
        </w:rPr>
        <w:t xml:space="preserve"> </w:t>
      </w:r>
      <w:r w:rsidRPr="00C353E5">
        <w:rPr>
          <w:rFonts w:ascii="Verdana" w:hAnsi="Verdana"/>
          <w:color w:val="000000" w:themeColor="text1"/>
          <w:sz w:val="20"/>
          <w:szCs w:val="20"/>
        </w:rPr>
        <w:t xml:space="preserve">de la Comisión Interamericana de Derechos Humanos (en adelante “la Comisión Interamericana” o “la Comisión”); el escrito de solicitudes, argumentos y pruebas (en adelante el “escrito de solicitudes y argumentos”) </w:t>
      </w:r>
      <w:r w:rsidR="00161169" w:rsidRPr="00C353E5">
        <w:rPr>
          <w:rFonts w:ascii="Verdana" w:hAnsi="Verdana"/>
          <w:color w:val="000000" w:themeColor="text1"/>
          <w:sz w:val="20"/>
          <w:szCs w:val="20"/>
        </w:rPr>
        <w:t>presentado por la presunta víctima</w:t>
      </w:r>
      <w:r w:rsidR="00161169" w:rsidRPr="00C353E5">
        <w:rPr>
          <w:rStyle w:val="None"/>
          <w:rFonts w:ascii="Verdana" w:hAnsi="Verdana"/>
          <w:sz w:val="20"/>
          <w:szCs w:val="20"/>
          <w:vertAlign w:val="superscript"/>
        </w:rPr>
        <w:footnoteReference w:id="1"/>
      </w:r>
      <w:r w:rsidRPr="00C353E5">
        <w:rPr>
          <w:rFonts w:ascii="Verdana" w:hAnsi="Verdana"/>
          <w:color w:val="000000" w:themeColor="text1"/>
          <w:sz w:val="20"/>
          <w:szCs w:val="20"/>
        </w:rPr>
        <w:t xml:space="preserve">; el escrito de </w:t>
      </w:r>
      <w:r w:rsidR="005C5201" w:rsidRPr="00C353E5">
        <w:rPr>
          <w:rFonts w:ascii="Verdana" w:hAnsi="Verdana"/>
          <w:color w:val="000000" w:themeColor="text1"/>
          <w:sz w:val="20"/>
          <w:szCs w:val="20"/>
        </w:rPr>
        <w:t>excepciones</w:t>
      </w:r>
      <w:r w:rsidRPr="00C353E5">
        <w:rPr>
          <w:rFonts w:ascii="Verdana" w:hAnsi="Verdana"/>
          <w:color w:val="000000" w:themeColor="text1"/>
          <w:sz w:val="20"/>
          <w:szCs w:val="20"/>
        </w:rPr>
        <w:t xml:space="preserve"> preliminar</w:t>
      </w:r>
      <w:r w:rsidR="005C5201" w:rsidRPr="00C353E5">
        <w:rPr>
          <w:rFonts w:ascii="Verdana" w:hAnsi="Verdana"/>
          <w:color w:val="000000" w:themeColor="text1"/>
          <w:sz w:val="20"/>
          <w:szCs w:val="20"/>
        </w:rPr>
        <w:t>es</w:t>
      </w:r>
      <w:r w:rsidRPr="00C353E5">
        <w:rPr>
          <w:rFonts w:ascii="Verdana" w:hAnsi="Verdana"/>
          <w:color w:val="000000" w:themeColor="text1"/>
          <w:sz w:val="20"/>
          <w:szCs w:val="20"/>
        </w:rPr>
        <w:t xml:space="preserve"> y contestación al sometimiento del caso y </w:t>
      </w:r>
      <w:r w:rsidR="009B7E07" w:rsidRPr="00C353E5">
        <w:rPr>
          <w:rFonts w:ascii="Verdana" w:hAnsi="Verdana"/>
          <w:color w:val="000000" w:themeColor="text1"/>
          <w:sz w:val="20"/>
          <w:szCs w:val="20"/>
        </w:rPr>
        <w:t xml:space="preserve">de observaciones al </w:t>
      </w:r>
      <w:r w:rsidRPr="00C353E5">
        <w:rPr>
          <w:rFonts w:ascii="Verdana" w:hAnsi="Verdana"/>
          <w:color w:val="000000" w:themeColor="text1"/>
          <w:sz w:val="20"/>
          <w:szCs w:val="20"/>
        </w:rPr>
        <w:t xml:space="preserve">escrito de solicitudes y argumentos (en adelante “escrito de contestación”) de la República del Perú (en </w:t>
      </w:r>
      <w:r w:rsidR="001C190C" w:rsidRPr="00C353E5">
        <w:rPr>
          <w:rFonts w:ascii="Verdana" w:hAnsi="Verdana"/>
          <w:color w:val="000000" w:themeColor="text1"/>
          <w:sz w:val="20"/>
          <w:szCs w:val="20"/>
        </w:rPr>
        <w:t>adelante “Perú” o “el Estado”)</w:t>
      </w:r>
      <w:r w:rsidR="00AB160B" w:rsidRPr="00C353E5">
        <w:rPr>
          <w:rFonts w:ascii="Verdana" w:hAnsi="Verdana"/>
          <w:color w:val="000000" w:themeColor="text1"/>
          <w:sz w:val="20"/>
          <w:szCs w:val="20"/>
        </w:rPr>
        <w:t>, y la documentación anexa a dichos escritos</w:t>
      </w:r>
      <w:r w:rsidR="008B63F8">
        <w:rPr>
          <w:rFonts w:ascii="Verdana" w:hAnsi="Verdana"/>
          <w:color w:val="000000" w:themeColor="text1"/>
          <w:sz w:val="20"/>
          <w:szCs w:val="20"/>
        </w:rPr>
        <w:t>;</w:t>
      </w:r>
      <w:r w:rsidR="004E2A06" w:rsidRPr="00C353E5">
        <w:rPr>
          <w:rFonts w:ascii="Verdana" w:hAnsi="Verdana"/>
          <w:color w:val="000000" w:themeColor="text1"/>
          <w:sz w:val="20"/>
          <w:szCs w:val="20"/>
        </w:rPr>
        <w:t xml:space="preserve"> así como los escritos de observaciones a </w:t>
      </w:r>
      <w:r w:rsidR="001B7853">
        <w:rPr>
          <w:rFonts w:ascii="Verdana" w:hAnsi="Verdana"/>
          <w:color w:val="000000" w:themeColor="text1"/>
          <w:sz w:val="20"/>
          <w:szCs w:val="20"/>
        </w:rPr>
        <w:t>las</w:t>
      </w:r>
      <w:r w:rsidR="004E2A06" w:rsidRPr="00C353E5">
        <w:rPr>
          <w:rFonts w:ascii="Verdana" w:hAnsi="Verdana"/>
          <w:color w:val="000000" w:themeColor="text1"/>
          <w:sz w:val="20"/>
          <w:szCs w:val="20"/>
        </w:rPr>
        <w:t xml:space="preserve"> excepciones preliminares formuladas por el Estado, presentados por la Comisión</w:t>
      </w:r>
      <w:r w:rsidR="008B63F8">
        <w:rPr>
          <w:rFonts w:ascii="Verdana" w:hAnsi="Verdana"/>
          <w:color w:val="000000" w:themeColor="text1"/>
          <w:sz w:val="20"/>
          <w:szCs w:val="20"/>
        </w:rPr>
        <w:t xml:space="preserve"> y la presunta víctima</w:t>
      </w:r>
      <w:r w:rsidR="004E2A06" w:rsidRPr="00C353E5">
        <w:rPr>
          <w:rFonts w:ascii="Verdana" w:hAnsi="Verdana"/>
          <w:color w:val="000000" w:themeColor="text1"/>
          <w:sz w:val="20"/>
          <w:szCs w:val="20"/>
        </w:rPr>
        <w:t>.</w:t>
      </w:r>
      <w:r w:rsidR="008B63F8">
        <w:rPr>
          <w:rFonts w:ascii="Verdana" w:hAnsi="Verdana"/>
          <w:color w:val="000000" w:themeColor="text1"/>
          <w:sz w:val="20"/>
          <w:szCs w:val="20"/>
        </w:rPr>
        <w:t xml:space="preserve"> </w:t>
      </w:r>
    </w:p>
    <w:p w14:paraId="7A415530" w14:textId="77777777" w:rsidR="00633293" w:rsidRPr="00C353E5" w:rsidRDefault="00633293" w:rsidP="00A229DF">
      <w:pPr>
        <w:pStyle w:val="Sinespaciado"/>
        <w:rPr>
          <w:rFonts w:ascii="Verdana" w:hAnsi="Verdana"/>
          <w:sz w:val="20"/>
          <w:szCs w:val="20"/>
        </w:rPr>
      </w:pPr>
    </w:p>
    <w:p w14:paraId="376E0A8C" w14:textId="77777777" w:rsidR="00E07AAB" w:rsidRPr="00C353E5" w:rsidRDefault="00A32AA9" w:rsidP="00A229DF">
      <w:pPr>
        <w:widowControl w:val="0"/>
        <w:numPr>
          <w:ilvl w:val="0"/>
          <w:numId w:val="9"/>
        </w:numPr>
        <w:tabs>
          <w:tab w:val="left" w:pos="567"/>
        </w:tabs>
        <w:autoSpaceDE w:val="0"/>
        <w:autoSpaceDN w:val="0"/>
        <w:adjustRightInd w:val="0"/>
        <w:spacing w:after="0" w:line="240" w:lineRule="auto"/>
        <w:ind w:left="0" w:right="22" w:firstLine="0"/>
        <w:jc w:val="both"/>
        <w:rPr>
          <w:rFonts w:ascii="Verdana" w:eastAsia="Calibri" w:hAnsi="Verdana" w:cs="Times"/>
          <w:color w:val="000000" w:themeColor="text1"/>
          <w:sz w:val="20"/>
          <w:szCs w:val="20"/>
          <w:lang w:eastAsia="es-ES"/>
        </w:rPr>
      </w:pPr>
      <w:r>
        <w:rPr>
          <w:rFonts w:ascii="Verdana" w:hAnsi="Verdana"/>
          <w:sz w:val="20"/>
          <w:szCs w:val="20"/>
        </w:rPr>
        <w:t xml:space="preserve">Los escritos remitidos por </w:t>
      </w:r>
      <w:r w:rsidR="004E2A06" w:rsidRPr="00C353E5">
        <w:rPr>
          <w:rFonts w:ascii="Verdana" w:hAnsi="Verdana"/>
          <w:sz w:val="20"/>
          <w:szCs w:val="20"/>
        </w:rPr>
        <w:t>el Estado</w:t>
      </w:r>
      <w:r>
        <w:rPr>
          <w:rFonts w:ascii="Verdana" w:hAnsi="Verdana"/>
          <w:sz w:val="20"/>
          <w:szCs w:val="20"/>
        </w:rPr>
        <w:t xml:space="preserve"> y la Comisión Interamericana el 5 y el 9 de noviembre de 2020, respectivamente, </w:t>
      </w:r>
      <w:r w:rsidR="004E2A06" w:rsidRPr="00C353E5">
        <w:rPr>
          <w:rFonts w:ascii="Verdana" w:hAnsi="Verdana"/>
          <w:sz w:val="20"/>
          <w:szCs w:val="20"/>
        </w:rPr>
        <w:t xml:space="preserve">mediante </w:t>
      </w:r>
      <w:r>
        <w:rPr>
          <w:rFonts w:ascii="Verdana" w:hAnsi="Verdana"/>
          <w:sz w:val="20"/>
          <w:szCs w:val="20"/>
        </w:rPr>
        <w:t>los</w:t>
      </w:r>
      <w:r w:rsidR="00633293" w:rsidRPr="00C353E5">
        <w:rPr>
          <w:rFonts w:ascii="Verdana" w:hAnsi="Verdana"/>
          <w:sz w:val="20"/>
          <w:szCs w:val="20"/>
        </w:rPr>
        <w:t xml:space="preserve"> cual</w:t>
      </w:r>
      <w:r>
        <w:rPr>
          <w:rFonts w:ascii="Verdana" w:hAnsi="Verdana"/>
          <w:sz w:val="20"/>
          <w:szCs w:val="20"/>
        </w:rPr>
        <w:t>es</w:t>
      </w:r>
      <w:r w:rsidR="00633293" w:rsidRPr="00C353E5">
        <w:rPr>
          <w:rFonts w:ascii="Verdana" w:hAnsi="Verdana"/>
          <w:sz w:val="20"/>
          <w:szCs w:val="20"/>
        </w:rPr>
        <w:t xml:space="preserve"> </w:t>
      </w:r>
      <w:r w:rsidR="00115C56" w:rsidRPr="00C353E5">
        <w:rPr>
          <w:rFonts w:ascii="Verdana" w:hAnsi="Verdana"/>
          <w:sz w:val="20"/>
          <w:szCs w:val="20"/>
        </w:rPr>
        <w:t>present</w:t>
      </w:r>
      <w:r>
        <w:rPr>
          <w:rFonts w:ascii="Verdana" w:hAnsi="Verdana"/>
          <w:sz w:val="20"/>
          <w:szCs w:val="20"/>
        </w:rPr>
        <w:t>aron</w:t>
      </w:r>
      <w:r w:rsidR="00115C56" w:rsidRPr="00C353E5">
        <w:rPr>
          <w:rFonts w:ascii="Verdana" w:hAnsi="Verdana"/>
          <w:sz w:val="20"/>
          <w:szCs w:val="20"/>
        </w:rPr>
        <w:t xml:space="preserve"> </w:t>
      </w:r>
      <w:r w:rsidR="00AB160B" w:rsidRPr="00C353E5">
        <w:rPr>
          <w:rFonts w:ascii="Verdana" w:hAnsi="Verdana"/>
          <w:sz w:val="20"/>
          <w:szCs w:val="20"/>
        </w:rPr>
        <w:t>su</w:t>
      </w:r>
      <w:r>
        <w:rPr>
          <w:rFonts w:ascii="Verdana" w:hAnsi="Verdana"/>
          <w:sz w:val="20"/>
          <w:szCs w:val="20"/>
        </w:rPr>
        <w:t>s</w:t>
      </w:r>
      <w:r w:rsidR="00AB160B" w:rsidRPr="00C353E5">
        <w:rPr>
          <w:rFonts w:ascii="Verdana" w:hAnsi="Verdana"/>
          <w:sz w:val="20"/>
          <w:szCs w:val="20"/>
        </w:rPr>
        <w:t xml:space="preserve"> lista</w:t>
      </w:r>
      <w:r>
        <w:rPr>
          <w:rFonts w:ascii="Verdana" w:hAnsi="Verdana"/>
          <w:sz w:val="20"/>
          <w:szCs w:val="20"/>
        </w:rPr>
        <w:t>s</w:t>
      </w:r>
      <w:r w:rsidR="00AB160B" w:rsidRPr="00C353E5">
        <w:rPr>
          <w:rFonts w:ascii="Verdana" w:hAnsi="Verdana"/>
          <w:sz w:val="20"/>
          <w:szCs w:val="20"/>
        </w:rPr>
        <w:t xml:space="preserve"> definitiva</w:t>
      </w:r>
      <w:r>
        <w:rPr>
          <w:rFonts w:ascii="Verdana" w:hAnsi="Verdana"/>
          <w:sz w:val="20"/>
          <w:szCs w:val="20"/>
        </w:rPr>
        <w:t>s</w:t>
      </w:r>
      <w:r w:rsidR="00AB160B" w:rsidRPr="00C353E5">
        <w:rPr>
          <w:rFonts w:ascii="Verdana" w:hAnsi="Verdana"/>
          <w:sz w:val="20"/>
          <w:szCs w:val="20"/>
        </w:rPr>
        <w:t xml:space="preserve"> de declarante</w:t>
      </w:r>
      <w:r w:rsidR="00207C55" w:rsidRPr="00C353E5">
        <w:rPr>
          <w:rFonts w:ascii="Verdana" w:hAnsi="Verdana"/>
          <w:sz w:val="20"/>
          <w:szCs w:val="20"/>
        </w:rPr>
        <w:t>s</w:t>
      </w:r>
      <w:r w:rsidR="00AB160B" w:rsidRPr="00C353E5">
        <w:rPr>
          <w:rFonts w:ascii="Verdana" w:hAnsi="Verdana"/>
          <w:sz w:val="20"/>
          <w:szCs w:val="20"/>
        </w:rPr>
        <w:t xml:space="preserve">. </w:t>
      </w:r>
    </w:p>
    <w:p w14:paraId="13977D4C" w14:textId="77777777" w:rsidR="00E07AAB" w:rsidRPr="00C353E5" w:rsidRDefault="00E07AAB" w:rsidP="00A229DF">
      <w:pPr>
        <w:pStyle w:val="Sinespaciado"/>
        <w:rPr>
          <w:rFonts w:ascii="Verdana" w:hAnsi="Verdana"/>
          <w:sz w:val="20"/>
          <w:szCs w:val="20"/>
        </w:rPr>
      </w:pPr>
    </w:p>
    <w:p w14:paraId="35AE7752" w14:textId="77777777" w:rsidR="00E07AAB" w:rsidRPr="00C353E5" w:rsidRDefault="00AB160B" w:rsidP="00A229DF">
      <w:pPr>
        <w:widowControl w:val="0"/>
        <w:numPr>
          <w:ilvl w:val="0"/>
          <w:numId w:val="9"/>
        </w:numPr>
        <w:tabs>
          <w:tab w:val="left" w:pos="567"/>
        </w:tabs>
        <w:autoSpaceDE w:val="0"/>
        <w:autoSpaceDN w:val="0"/>
        <w:adjustRightInd w:val="0"/>
        <w:spacing w:after="0" w:line="240" w:lineRule="auto"/>
        <w:ind w:left="0" w:right="22" w:firstLine="0"/>
        <w:jc w:val="both"/>
        <w:rPr>
          <w:rFonts w:ascii="Verdana" w:eastAsia="Calibri" w:hAnsi="Verdana" w:cs="Times"/>
          <w:color w:val="000000" w:themeColor="text1"/>
          <w:sz w:val="20"/>
          <w:szCs w:val="20"/>
          <w:lang w:eastAsia="es-ES"/>
        </w:rPr>
      </w:pPr>
      <w:r w:rsidRPr="00C353E5">
        <w:rPr>
          <w:rFonts w:ascii="Verdana" w:hAnsi="Verdana"/>
          <w:sz w:val="20"/>
          <w:szCs w:val="20"/>
        </w:rPr>
        <w:t>El escrito de</w:t>
      </w:r>
      <w:r w:rsidR="00A32AA9">
        <w:rPr>
          <w:rFonts w:ascii="Verdana" w:hAnsi="Verdana"/>
          <w:sz w:val="20"/>
          <w:szCs w:val="20"/>
        </w:rPr>
        <w:t xml:space="preserve"> 19 de noviembre de 2020, mediante el cual la Comisión Interamericana manifestó no tener observaciones a la lista de declarantes propuesta por el Estado. Y el escrito de</w:t>
      </w:r>
      <w:r w:rsidRPr="00C353E5">
        <w:rPr>
          <w:rFonts w:ascii="Verdana" w:hAnsi="Verdana"/>
          <w:sz w:val="20"/>
          <w:szCs w:val="20"/>
        </w:rPr>
        <w:t xml:space="preserve"> </w:t>
      </w:r>
      <w:r w:rsidR="004E2A06" w:rsidRPr="00C353E5">
        <w:rPr>
          <w:rFonts w:ascii="Verdana" w:hAnsi="Verdana"/>
          <w:sz w:val="20"/>
          <w:szCs w:val="20"/>
        </w:rPr>
        <w:t>23</w:t>
      </w:r>
      <w:r w:rsidRPr="00C353E5">
        <w:rPr>
          <w:rFonts w:ascii="Verdana" w:hAnsi="Verdana"/>
          <w:sz w:val="20"/>
          <w:szCs w:val="20"/>
        </w:rPr>
        <w:t xml:space="preserve"> de</w:t>
      </w:r>
      <w:r w:rsidR="004E2A06" w:rsidRPr="00C353E5">
        <w:rPr>
          <w:rFonts w:ascii="Verdana" w:hAnsi="Verdana"/>
          <w:sz w:val="20"/>
          <w:szCs w:val="20"/>
        </w:rPr>
        <w:t xml:space="preserve"> noviembre</w:t>
      </w:r>
      <w:r w:rsidRPr="00C353E5">
        <w:rPr>
          <w:rFonts w:ascii="Verdana" w:hAnsi="Verdana"/>
          <w:sz w:val="20"/>
          <w:szCs w:val="20"/>
        </w:rPr>
        <w:t xml:space="preserve"> de 2020, </w:t>
      </w:r>
      <w:r w:rsidR="00B55C52" w:rsidRPr="00C353E5">
        <w:rPr>
          <w:rFonts w:ascii="Verdana" w:hAnsi="Verdana"/>
          <w:sz w:val="20"/>
          <w:szCs w:val="20"/>
        </w:rPr>
        <w:t>mediante el cual el Estado present</w:t>
      </w:r>
      <w:r w:rsidR="00703BB2" w:rsidRPr="00C353E5">
        <w:rPr>
          <w:rFonts w:ascii="Verdana" w:hAnsi="Verdana"/>
          <w:sz w:val="20"/>
          <w:szCs w:val="20"/>
        </w:rPr>
        <w:t>ó</w:t>
      </w:r>
      <w:r w:rsidR="00B55C52" w:rsidRPr="00C353E5">
        <w:rPr>
          <w:rFonts w:ascii="Verdana" w:hAnsi="Verdana"/>
          <w:sz w:val="20"/>
          <w:szCs w:val="20"/>
        </w:rPr>
        <w:t xml:space="preserve"> sus observaciones a la</w:t>
      </w:r>
      <w:r w:rsidR="004E2A06" w:rsidRPr="00C353E5">
        <w:rPr>
          <w:rFonts w:ascii="Verdana" w:hAnsi="Verdana"/>
          <w:sz w:val="20"/>
          <w:szCs w:val="20"/>
        </w:rPr>
        <w:t xml:space="preserve"> </w:t>
      </w:r>
      <w:r w:rsidR="00AC1876" w:rsidRPr="00C353E5">
        <w:rPr>
          <w:rFonts w:ascii="Verdana" w:hAnsi="Verdana"/>
          <w:sz w:val="20"/>
          <w:szCs w:val="20"/>
        </w:rPr>
        <w:t>lista definitiva</w:t>
      </w:r>
      <w:r w:rsidR="00B55C52" w:rsidRPr="00C353E5">
        <w:rPr>
          <w:rFonts w:ascii="Verdana" w:hAnsi="Verdana"/>
          <w:sz w:val="20"/>
          <w:szCs w:val="20"/>
        </w:rPr>
        <w:t xml:space="preserve"> de declarantes propuestos por la Comisión</w:t>
      </w:r>
      <w:r w:rsidR="004E2A06" w:rsidRPr="00C353E5">
        <w:rPr>
          <w:rFonts w:ascii="Verdana" w:hAnsi="Verdana"/>
          <w:sz w:val="20"/>
          <w:szCs w:val="20"/>
        </w:rPr>
        <w:t>.</w:t>
      </w:r>
      <w:r w:rsidR="005C3570">
        <w:rPr>
          <w:rFonts w:ascii="Verdana" w:hAnsi="Verdana"/>
          <w:sz w:val="20"/>
          <w:szCs w:val="20"/>
        </w:rPr>
        <w:t xml:space="preserve"> La </w:t>
      </w:r>
      <w:r w:rsidR="008B63F8">
        <w:rPr>
          <w:rFonts w:ascii="Verdana" w:hAnsi="Verdana"/>
          <w:sz w:val="20"/>
          <w:szCs w:val="20"/>
        </w:rPr>
        <w:t>presunta víctima no presentó escrito de observaciones a las listas definitivas de declarantes de la Comisión y el Estado.</w:t>
      </w:r>
      <w:r w:rsidR="005C3570">
        <w:rPr>
          <w:rFonts w:ascii="Verdana" w:hAnsi="Verdana"/>
          <w:sz w:val="20"/>
          <w:szCs w:val="20"/>
        </w:rPr>
        <w:t xml:space="preserve"> </w:t>
      </w:r>
    </w:p>
    <w:p w14:paraId="01244CCD" w14:textId="77777777" w:rsidR="003626D4" w:rsidRPr="00C353E5" w:rsidRDefault="003626D4" w:rsidP="00A229DF">
      <w:pPr>
        <w:widowControl w:val="0"/>
        <w:tabs>
          <w:tab w:val="left" w:pos="567"/>
        </w:tabs>
        <w:autoSpaceDE w:val="0"/>
        <w:autoSpaceDN w:val="0"/>
        <w:adjustRightInd w:val="0"/>
        <w:spacing w:after="0" w:line="240" w:lineRule="auto"/>
        <w:ind w:right="22"/>
        <w:jc w:val="both"/>
        <w:rPr>
          <w:rFonts w:ascii="Verdana" w:eastAsia="Calibri" w:hAnsi="Verdana" w:cs="Times"/>
          <w:color w:val="000000" w:themeColor="text1"/>
          <w:sz w:val="20"/>
          <w:szCs w:val="20"/>
          <w:lang w:eastAsia="es-ES"/>
        </w:rPr>
      </w:pPr>
    </w:p>
    <w:p w14:paraId="68A2F6F0" w14:textId="77777777" w:rsidR="003626D4" w:rsidRPr="00C353E5" w:rsidRDefault="003626D4" w:rsidP="00A229DF">
      <w:pPr>
        <w:pStyle w:val="Prrafodelista"/>
        <w:tabs>
          <w:tab w:val="left" w:pos="567"/>
        </w:tabs>
        <w:spacing w:line="240" w:lineRule="auto"/>
        <w:ind w:left="0"/>
        <w:rPr>
          <w:b/>
          <w:color w:val="000000" w:themeColor="text1"/>
          <w:sz w:val="20"/>
          <w:szCs w:val="20"/>
        </w:rPr>
      </w:pPr>
      <w:r w:rsidRPr="00C353E5">
        <w:rPr>
          <w:b/>
          <w:color w:val="000000" w:themeColor="text1"/>
          <w:sz w:val="20"/>
          <w:szCs w:val="20"/>
        </w:rPr>
        <w:t xml:space="preserve">CONSIDERANDO QUE: </w:t>
      </w:r>
    </w:p>
    <w:p w14:paraId="4EE8444F" w14:textId="77777777" w:rsidR="003626D4" w:rsidRPr="00C353E5" w:rsidRDefault="003626D4" w:rsidP="00A229DF">
      <w:pPr>
        <w:pStyle w:val="Prrafodelista"/>
        <w:tabs>
          <w:tab w:val="left" w:pos="567"/>
        </w:tabs>
        <w:spacing w:line="240" w:lineRule="auto"/>
        <w:ind w:left="0"/>
        <w:rPr>
          <w:color w:val="000000" w:themeColor="text1"/>
          <w:sz w:val="20"/>
          <w:szCs w:val="20"/>
        </w:rPr>
      </w:pPr>
    </w:p>
    <w:p w14:paraId="3F9157F3" w14:textId="77777777" w:rsidR="003626D4" w:rsidRPr="00C353E5" w:rsidRDefault="003626D4" w:rsidP="00A229DF">
      <w:pPr>
        <w:pStyle w:val="Sinespaciado"/>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ind w:left="0" w:firstLine="0"/>
        <w:contextualSpacing/>
        <w:jc w:val="both"/>
        <w:rPr>
          <w:rFonts w:ascii="Verdana" w:hAnsi="Verdana"/>
          <w:color w:val="000000" w:themeColor="text1"/>
          <w:sz w:val="20"/>
          <w:szCs w:val="20"/>
        </w:rPr>
      </w:pPr>
      <w:r w:rsidRPr="00C353E5">
        <w:rPr>
          <w:rFonts w:ascii="Verdana" w:hAnsi="Verdana"/>
          <w:color w:val="000000" w:themeColor="text1"/>
          <w:sz w:val="20"/>
          <w:szCs w:val="20"/>
        </w:rPr>
        <w:t>El ofrecimiento y la admisión de la prueba, así como la citación de declarantes se encuentran regulados en los artículos 35.1.f, 40.2.c, 41.1.c, 46, 47, 48, 50, 52.3, 57 y 58 del Reglamento de la Corte Interamericana de Derechos Humanos (en adelante “la Corte Interamericana”, “la Corte” o “el Tribunal”).</w:t>
      </w:r>
    </w:p>
    <w:p w14:paraId="45E7E988" w14:textId="77777777" w:rsidR="00635E09" w:rsidRPr="00C353E5" w:rsidRDefault="00635E09" w:rsidP="00A229DF">
      <w:pPr>
        <w:pStyle w:val="Sinespaciado"/>
        <w:rPr>
          <w:rFonts w:ascii="Verdana" w:hAnsi="Verdana"/>
          <w:color w:val="000000" w:themeColor="text1"/>
          <w:sz w:val="20"/>
          <w:szCs w:val="20"/>
        </w:rPr>
      </w:pPr>
    </w:p>
    <w:p w14:paraId="6CF6E197" w14:textId="77777777" w:rsidR="00756812" w:rsidRPr="00C353E5" w:rsidRDefault="003626D4" w:rsidP="00A229DF">
      <w:pPr>
        <w:pStyle w:val="Sinespaciado"/>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ind w:left="0" w:firstLine="0"/>
        <w:contextualSpacing/>
        <w:jc w:val="both"/>
        <w:rPr>
          <w:rFonts w:ascii="Verdana" w:hAnsi="Verdana"/>
          <w:color w:val="000000" w:themeColor="text1"/>
          <w:sz w:val="20"/>
          <w:szCs w:val="20"/>
        </w:rPr>
      </w:pPr>
      <w:bookmarkStart w:id="0" w:name="_Ref518915260"/>
      <w:r w:rsidRPr="00C353E5">
        <w:rPr>
          <w:rFonts w:ascii="Verdana" w:hAnsi="Verdana"/>
          <w:color w:val="000000" w:themeColor="text1"/>
          <w:sz w:val="20"/>
          <w:szCs w:val="20"/>
        </w:rPr>
        <w:t>La Comisión ofreció un</w:t>
      </w:r>
      <w:r w:rsidR="00FD49DF" w:rsidRPr="00C353E5">
        <w:rPr>
          <w:rFonts w:ascii="Verdana" w:hAnsi="Verdana"/>
          <w:color w:val="000000" w:themeColor="text1"/>
          <w:sz w:val="20"/>
          <w:szCs w:val="20"/>
        </w:rPr>
        <w:t xml:space="preserve"> dictamen</w:t>
      </w:r>
      <w:r w:rsidRPr="00C353E5">
        <w:rPr>
          <w:rFonts w:ascii="Verdana" w:hAnsi="Verdana"/>
          <w:color w:val="000000" w:themeColor="text1"/>
          <w:sz w:val="20"/>
          <w:szCs w:val="20"/>
        </w:rPr>
        <w:t xml:space="preserve"> pericial</w:t>
      </w:r>
      <w:r w:rsidR="00657441">
        <w:rPr>
          <w:rFonts w:ascii="Verdana" w:hAnsi="Verdana"/>
          <w:color w:val="000000" w:themeColor="text1"/>
          <w:sz w:val="20"/>
          <w:szCs w:val="20"/>
        </w:rPr>
        <w:t>, l</w:t>
      </w:r>
      <w:r w:rsidR="008C57D8" w:rsidRPr="00C353E5">
        <w:rPr>
          <w:rFonts w:ascii="Verdana" w:hAnsi="Verdana"/>
          <w:color w:val="000000" w:themeColor="text1"/>
          <w:sz w:val="20"/>
          <w:szCs w:val="20"/>
        </w:rPr>
        <w:t>a presunta víctima</w:t>
      </w:r>
      <w:r w:rsidR="00E07AAB" w:rsidRPr="00C353E5">
        <w:rPr>
          <w:rFonts w:ascii="Verdana" w:hAnsi="Verdana"/>
          <w:color w:val="000000" w:themeColor="text1"/>
          <w:sz w:val="20"/>
          <w:szCs w:val="20"/>
        </w:rPr>
        <w:t xml:space="preserve"> </w:t>
      </w:r>
      <w:r w:rsidR="00657441">
        <w:rPr>
          <w:rFonts w:ascii="Verdana" w:hAnsi="Verdana"/>
          <w:color w:val="000000" w:themeColor="text1"/>
          <w:sz w:val="20"/>
          <w:szCs w:val="20"/>
        </w:rPr>
        <w:t>no ofreció ninguna declaración y</w:t>
      </w:r>
      <w:r w:rsidR="00AF373D" w:rsidRPr="00C353E5">
        <w:rPr>
          <w:rFonts w:ascii="Verdana" w:hAnsi="Verdana"/>
          <w:color w:val="000000" w:themeColor="text1"/>
          <w:sz w:val="20"/>
          <w:szCs w:val="20"/>
        </w:rPr>
        <w:t xml:space="preserve"> </w:t>
      </w:r>
      <w:r w:rsidR="00657441">
        <w:rPr>
          <w:rFonts w:ascii="Verdana" w:hAnsi="Verdana"/>
          <w:color w:val="000000" w:themeColor="text1"/>
          <w:sz w:val="20"/>
          <w:szCs w:val="20"/>
        </w:rPr>
        <w:t>e</w:t>
      </w:r>
      <w:r w:rsidRPr="00C353E5">
        <w:rPr>
          <w:rFonts w:ascii="Verdana" w:hAnsi="Verdana"/>
          <w:color w:val="000000" w:themeColor="text1"/>
          <w:sz w:val="20"/>
          <w:szCs w:val="20"/>
        </w:rPr>
        <w:t>l Estado ofreció</w:t>
      </w:r>
      <w:r w:rsidR="00AC1876" w:rsidRPr="00C353E5">
        <w:rPr>
          <w:rFonts w:ascii="Verdana" w:hAnsi="Verdana"/>
          <w:color w:val="000000" w:themeColor="text1"/>
          <w:sz w:val="20"/>
          <w:szCs w:val="20"/>
        </w:rPr>
        <w:t xml:space="preserve"> una declaración testimonial</w:t>
      </w:r>
      <w:r w:rsidR="00B87FB3" w:rsidRPr="00C353E5">
        <w:rPr>
          <w:rFonts w:ascii="Verdana" w:hAnsi="Verdana"/>
          <w:color w:val="000000" w:themeColor="text1"/>
          <w:sz w:val="20"/>
          <w:szCs w:val="20"/>
        </w:rPr>
        <w:t xml:space="preserve"> y un</w:t>
      </w:r>
      <w:r w:rsidR="00FD49DF" w:rsidRPr="00C353E5">
        <w:rPr>
          <w:rFonts w:ascii="Verdana" w:hAnsi="Verdana"/>
          <w:color w:val="000000" w:themeColor="text1"/>
          <w:sz w:val="20"/>
          <w:szCs w:val="20"/>
        </w:rPr>
        <w:t xml:space="preserve"> dictamen</w:t>
      </w:r>
      <w:r w:rsidRPr="00C353E5">
        <w:rPr>
          <w:rFonts w:ascii="Verdana" w:hAnsi="Verdana"/>
          <w:color w:val="000000" w:themeColor="text1"/>
          <w:sz w:val="20"/>
          <w:szCs w:val="20"/>
        </w:rPr>
        <w:t xml:space="preserve"> pericial.</w:t>
      </w:r>
      <w:bookmarkEnd w:id="0"/>
      <w:r w:rsidRPr="00C353E5">
        <w:rPr>
          <w:rFonts w:ascii="Verdana" w:hAnsi="Verdana"/>
          <w:color w:val="000000" w:themeColor="text1"/>
          <w:sz w:val="20"/>
          <w:szCs w:val="20"/>
        </w:rPr>
        <w:t xml:space="preserve"> </w:t>
      </w:r>
    </w:p>
    <w:p w14:paraId="5639603B" w14:textId="77777777" w:rsidR="00756812" w:rsidRDefault="00756812" w:rsidP="00A229DF">
      <w:pPr>
        <w:pStyle w:val="Prrafodelista"/>
        <w:spacing w:line="240" w:lineRule="auto"/>
        <w:rPr>
          <w:sz w:val="20"/>
          <w:szCs w:val="20"/>
        </w:rPr>
      </w:pPr>
    </w:p>
    <w:p w14:paraId="722D935E" w14:textId="77777777" w:rsidR="00981084" w:rsidRDefault="00981084" w:rsidP="00A229DF">
      <w:pPr>
        <w:pStyle w:val="Prrafodelista"/>
        <w:spacing w:line="240" w:lineRule="auto"/>
        <w:rPr>
          <w:sz w:val="20"/>
          <w:szCs w:val="20"/>
        </w:rPr>
      </w:pPr>
    </w:p>
    <w:p w14:paraId="597B787B" w14:textId="77777777" w:rsidR="00981084" w:rsidRDefault="00981084" w:rsidP="00A229DF">
      <w:pPr>
        <w:pStyle w:val="Prrafodelista"/>
        <w:spacing w:line="240" w:lineRule="auto"/>
        <w:rPr>
          <w:sz w:val="20"/>
          <w:szCs w:val="20"/>
        </w:rPr>
      </w:pPr>
    </w:p>
    <w:p w14:paraId="70C9DFEC" w14:textId="77777777" w:rsidR="00981084" w:rsidRDefault="00981084" w:rsidP="00A229DF">
      <w:pPr>
        <w:pStyle w:val="Prrafodelista"/>
        <w:spacing w:line="240" w:lineRule="auto"/>
        <w:rPr>
          <w:sz w:val="20"/>
          <w:szCs w:val="20"/>
        </w:rPr>
      </w:pPr>
    </w:p>
    <w:p w14:paraId="0BA04764" w14:textId="77777777" w:rsidR="00981084" w:rsidRDefault="00981084" w:rsidP="00A229DF">
      <w:pPr>
        <w:pStyle w:val="Prrafodelista"/>
        <w:spacing w:line="240" w:lineRule="auto"/>
        <w:rPr>
          <w:sz w:val="20"/>
          <w:szCs w:val="20"/>
        </w:rPr>
      </w:pPr>
    </w:p>
    <w:p w14:paraId="1EDF751D" w14:textId="77777777" w:rsidR="00981084" w:rsidRDefault="00981084" w:rsidP="00A229DF">
      <w:pPr>
        <w:pStyle w:val="Prrafodelista"/>
        <w:spacing w:line="240" w:lineRule="auto"/>
        <w:rPr>
          <w:sz w:val="20"/>
          <w:szCs w:val="20"/>
        </w:rPr>
      </w:pPr>
    </w:p>
    <w:p w14:paraId="7D9C8C55" w14:textId="77777777" w:rsidR="00981084" w:rsidRDefault="00981084" w:rsidP="00A229DF">
      <w:pPr>
        <w:pStyle w:val="Prrafodelista"/>
        <w:spacing w:line="240" w:lineRule="auto"/>
        <w:rPr>
          <w:sz w:val="20"/>
          <w:szCs w:val="20"/>
        </w:rPr>
      </w:pPr>
    </w:p>
    <w:p w14:paraId="79C09EEC" w14:textId="77777777" w:rsidR="00981084" w:rsidRDefault="00981084" w:rsidP="00A229DF">
      <w:pPr>
        <w:pStyle w:val="Prrafodelista"/>
        <w:spacing w:line="240" w:lineRule="auto"/>
        <w:rPr>
          <w:sz w:val="20"/>
          <w:szCs w:val="20"/>
        </w:rPr>
      </w:pPr>
    </w:p>
    <w:p w14:paraId="6D9DC249" w14:textId="77777777" w:rsidR="00981084" w:rsidRPr="00C353E5" w:rsidRDefault="00981084" w:rsidP="00A229DF">
      <w:pPr>
        <w:pStyle w:val="Prrafodelista"/>
        <w:spacing w:line="240" w:lineRule="auto"/>
        <w:rPr>
          <w:sz w:val="20"/>
          <w:szCs w:val="20"/>
        </w:rPr>
      </w:pPr>
    </w:p>
    <w:p w14:paraId="583362C7" w14:textId="77777777" w:rsidR="00E07AAB" w:rsidRPr="00657441" w:rsidRDefault="00B256B1" w:rsidP="003B42D3">
      <w:pPr>
        <w:pStyle w:val="PrrafodeSentencia"/>
        <w:spacing w:line="240" w:lineRule="auto"/>
        <w:rPr>
          <w:color w:val="000000" w:themeColor="text1"/>
        </w:rPr>
      </w:pPr>
      <w:r w:rsidRPr="00917986">
        <w:t xml:space="preserve">La Comisión, en la oportunidad </w:t>
      </w:r>
      <w:r w:rsidR="00756812" w:rsidRPr="00917986">
        <w:t>para</w:t>
      </w:r>
      <w:r w:rsidRPr="00917986">
        <w:t xml:space="preserve"> presentar observaciones a las listas definitivas de declarantes, con fundamento en los artículos 50.5 y 52.3 del Reglamento, </w:t>
      </w:r>
      <w:r w:rsidR="00AC1876" w:rsidRPr="00917986">
        <w:t>indicó no tener observaciones que formular</w:t>
      </w:r>
      <w:r w:rsidR="00657441">
        <w:t xml:space="preserve"> a los declarantes propuestos por el Estado</w:t>
      </w:r>
      <w:r w:rsidR="00AC1876" w:rsidRPr="00917986">
        <w:t>.</w:t>
      </w:r>
      <w:r w:rsidRPr="00917986">
        <w:t xml:space="preserve"> </w:t>
      </w:r>
      <w:r w:rsidR="00AC1876" w:rsidRPr="00917986">
        <w:rPr>
          <w:color w:val="000000" w:themeColor="text1"/>
        </w:rPr>
        <w:t>La presunta víctima</w:t>
      </w:r>
      <w:r w:rsidR="00C10387" w:rsidRPr="00917986">
        <w:rPr>
          <w:color w:val="000000" w:themeColor="text1"/>
        </w:rPr>
        <w:t>,</w:t>
      </w:r>
      <w:r w:rsidR="00AC1876" w:rsidRPr="00917986">
        <w:t xml:space="preserve"> </w:t>
      </w:r>
      <w:r w:rsidR="00C10387" w:rsidRPr="00917986">
        <w:t xml:space="preserve">dentro del plazo establecido para </w:t>
      </w:r>
      <w:r w:rsidR="00917986">
        <w:t xml:space="preserve">presentar observaciones escritas a las excepciones preliminares </w:t>
      </w:r>
      <w:r w:rsidR="00657441">
        <w:t>d</w:t>
      </w:r>
      <w:r w:rsidR="00917986">
        <w:t xml:space="preserve">el Estado y para remitir su lista definitiva de declarantes, presentó objeciones a los declarantes propuestos por el Estado. Luego, en la oportunidad prevista para </w:t>
      </w:r>
      <w:r w:rsidR="00C10387" w:rsidRPr="00C353E5">
        <w:t xml:space="preserve">tales efectos, </w:t>
      </w:r>
      <w:r w:rsidR="00B50165" w:rsidRPr="00C353E5">
        <w:t>n</w:t>
      </w:r>
      <w:r w:rsidR="00207C55" w:rsidRPr="00C353E5">
        <w:t>o presentó observaciones</w:t>
      </w:r>
      <w:r w:rsidR="00AC1876" w:rsidRPr="00C353E5">
        <w:t>.</w:t>
      </w:r>
      <w:r w:rsidRPr="00C353E5">
        <w:t xml:space="preserve"> Por su parte, el Estado </w:t>
      </w:r>
      <w:r w:rsidR="00917986">
        <w:t>planteó</w:t>
      </w:r>
      <w:r w:rsidRPr="00C353E5">
        <w:t xml:space="preserve"> una serie de observaciones respecto del per</w:t>
      </w:r>
      <w:r w:rsidR="00AC1876" w:rsidRPr="00C353E5">
        <w:t>itaje ofrecido por la Comisión</w:t>
      </w:r>
      <w:r w:rsidRPr="00C353E5">
        <w:t>.</w:t>
      </w:r>
    </w:p>
    <w:p w14:paraId="46615AAA" w14:textId="77777777" w:rsidR="00657441" w:rsidRDefault="00657441" w:rsidP="008B63F8">
      <w:pPr>
        <w:pStyle w:val="Sinespaciado"/>
      </w:pPr>
    </w:p>
    <w:p w14:paraId="1FDFF497" w14:textId="77777777" w:rsidR="00657441" w:rsidRPr="00917986" w:rsidRDefault="00657441" w:rsidP="003B42D3">
      <w:pPr>
        <w:pStyle w:val="PrrafodeSentencia"/>
        <w:spacing w:line="240" w:lineRule="auto"/>
        <w:rPr>
          <w:color w:val="000000" w:themeColor="text1"/>
        </w:rPr>
      </w:pPr>
      <w:r>
        <w:t>La Presidenta considera conveniente recabar las declaraciones ofrecidas por las partes que no han sido objetadas</w:t>
      </w:r>
      <w:r w:rsidR="008B63F8">
        <w:t xml:space="preserve">, para </w:t>
      </w:r>
      <w:r>
        <w:t>que el Tribunal aprecie su valor en la debida oportunidad procesal, dentro del contexto del acervo probatorio existente y según las reglas de la sana crítica. Por consiguiente, la Presidenta admite el peritaje de la señora Tania Zuñiga Fernández</w:t>
      </w:r>
      <w:r w:rsidR="008B63F8">
        <w:t>, propuesto</w:t>
      </w:r>
      <w:r w:rsidR="00FA7DC9">
        <w:t xml:space="preserve"> por el Estado,</w:t>
      </w:r>
      <w:r>
        <w:t xml:space="preserve"> según el objeto y modalidad </w:t>
      </w:r>
      <w:r w:rsidR="0096176F">
        <w:t>que se determinan</w:t>
      </w:r>
      <w:r>
        <w:t xml:space="preserve"> en la parte resolutiva (</w:t>
      </w:r>
      <w:r w:rsidRPr="00657441">
        <w:rPr>
          <w:i/>
        </w:rPr>
        <w:t>infra</w:t>
      </w:r>
      <w:r>
        <w:t xml:space="preserve"> punto resolutivo 1).</w:t>
      </w:r>
    </w:p>
    <w:p w14:paraId="6DB70D9C" w14:textId="77777777" w:rsidR="00BF22BA" w:rsidRPr="00C353E5" w:rsidRDefault="00BF22BA" w:rsidP="00A229DF">
      <w:pPr>
        <w:pStyle w:val="PrrafodeSentencia"/>
        <w:numPr>
          <w:ilvl w:val="0"/>
          <w:numId w:val="0"/>
        </w:numPr>
        <w:spacing w:line="240" w:lineRule="auto"/>
      </w:pPr>
    </w:p>
    <w:p w14:paraId="229201D3" w14:textId="77777777" w:rsidR="003626D4" w:rsidRPr="00C353E5" w:rsidRDefault="003626D4" w:rsidP="00A229DF">
      <w:pPr>
        <w:pStyle w:val="PrrafodeSentencia"/>
        <w:spacing w:line="240" w:lineRule="auto"/>
        <w:rPr>
          <w:bCs/>
          <w:color w:val="FF0000"/>
        </w:rPr>
      </w:pPr>
      <w:r w:rsidRPr="00C353E5">
        <w:t xml:space="preserve">A continuación, </w:t>
      </w:r>
      <w:r w:rsidR="008B5580" w:rsidRPr="00C353E5">
        <w:t>la</w:t>
      </w:r>
      <w:r w:rsidRPr="00C353E5">
        <w:t xml:space="preserve"> President</w:t>
      </w:r>
      <w:r w:rsidR="008B5580" w:rsidRPr="00C353E5">
        <w:t>a</w:t>
      </w:r>
      <w:r w:rsidRPr="00C353E5">
        <w:t xml:space="preserve"> analizará en forma particular: a) la necesidad de convocar a </w:t>
      </w:r>
      <w:r w:rsidR="00756812" w:rsidRPr="00C353E5">
        <w:t xml:space="preserve">una </w:t>
      </w:r>
      <w:r w:rsidRPr="00C353E5">
        <w:t>audienc</w:t>
      </w:r>
      <w:r w:rsidRPr="00917986">
        <w:t>ia pública en el presente caso</w:t>
      </w:r>
      <w:r w:rsidR="008C57D8" w:rsidRPr="00917986">
        <w:t>; b</w:t>
      </w:r>
      <w:r w:rsidR="00930FA2" w:rsidRPr="00917986">
        <w:t>)</w:t>
      </w:r>
      <w:r w:rsidR="00FB4CDB" w:rsidRPr="00917986">
        <w:t xml:space="preserve"> la admisibilidad del peritaje ofrecido por la Comisión</w:t>
      </w:r>
      <w:r w:rsidR="00AC1876" w:rsidRPr="00917986">
        <w:t>, y</w:t>
      </w:r>
      <w:r w:rsidR="00FB4CDB" w:rsidRPr="00917986">
        <w:t xml:space="preserve"> c)</w:t>
      </w:r>
      <w:r w:rsidRPr="00917986">
        <w:t xml:space="preserve"> </w:t>
      </w:r>
      <w:r w:rsidRPr="00917986">
        <w:rPr>
          <w:bCs/>
        </w:rPr>
        <w:t xml:space="preserve">la admisibilidad de </w:t>
      </w:r>
      <w:r w:rsidR="00917986" w:rsidRPr="00917986">
        <w:rPr>
          <w:bCs/>
        </w:rPr>
        <w:t>la declaración testimonial ofrecida</w:t>
      </w:r>
      <w:r w:rsidRPr="00917986">
        <w:rPr>
          <w:bCs/>
        </w:rPr>
        <w:t xml:space="preserve"> por </w:t>
      </w:r>
      <w:r w:rsidR="008B5580" w:rsidRPr="00917986">
        <w:rPr>
          <w:bCs/>
        </w:rPr>
        <w:t>el Estado</w:t>
      </w:r>
      <w:r w:rsidRPr="00917986">
        <w:t>.</w:t>
      </w:r>
    </w:p>
    <w:p w14:paraId="565CC1B6" w14:textId="77777777" w:rsidR="003626D4" w:rsidRPr="00C353E5" w:rsidRDefault="003626D4" w:rsidP="00A229DF">
      <w:pPr>
        <w:pStyle w:val="Sinespaciado"/>
        <w:rPr>
          <w:rFonts w:ascii="Verdana" w:hAnsi="Verdana"/>
          <w:b/>
          <w:bCs/>
          <w:i/>
          <w:iCs/>
          <w:sz w:val="20"/>
          <w:szCs w:val="20"/>
        </w:rPr>
      </w:pPr>
    </w:p>
    <w:p w14:paraId="3F803696" w14:textId="77777777" w:rsidR="003626D4" w:rsidRPr="00C353E5" w:rsidRDefault="00261BE3" w:rsidP="00A229DF">
      <w:pPr>
        <w:pStyle w:val="Ttulo1"/>
      </w:pPr>
      <w:r w:rsidRPr="00C353E5">
        <w:t xml:space="preserve">Necesidad de </w:t>
      </w:r>
      <w:r w:rsidR="002B08B7">
        <w:t xml:space="preserve">convocar </w:t>
      </w:r>
      <w:r w:rsidRPr="00C353E5">
        <w:t>a</w:t>
      </w:r>
      <w:r w:rsidR="003626D4" w:rsidRPr="00C353E5">
        <w:t xml:space="preserve"> </w:t>
      </w:r>
      <w:r w:rsidR="00756812" w:rsidRPr="00C353E5">
        <w:t xml:space="preserve">una </w:t>
      </w:r>
      <w:r w:rsidR="003626D4" w:rsidRPr="00C353E5">
        <w:t xml:space="preserve">audiencia pública en el presente caso </w:t>
      </w:r>
    </w:p>
    <w:p w14:paraId="34BAFFAB" w14:textId="77777777" w:rsidR="00BF220F" w:rsidRPr="00C353E5" w:rsidRDefault="00761214" w:rsidP="00A229DF">
      <w:pPr>
        <w:pStyle w:val="Sinespaciado"/>
        <w:pBdr>
          <w:top w:val="none" w:sz="0" w:space="0" w:color="auto"/>
          <w:left w:val="none" w:sz="0" w:space="0" w:color="auto"/>
          <w:bottom w:val="none" w:sz="0" w:space="0" w:color="auto"/>
          <w:right w:val="none" w:sz="0" w:space="0" w:color="auto"/>
          <w:between w:val="none" w:sz="0" w:space="0" w:color="auto"/>
          <w:bar w:val="none" w:sz="0" w:color="auto"/>
        </w:pBdr>
        <w:tabs>
          <w:tab w:val="left" w:pos="567"/>
        </w:tabs>
        <w:contextualSpacing/>
        <w:jc w:val="both"/>
        <w:rPr>
          <w:rFonts w:ascii="Verdana" w:hAnsi="Verdana"/>
          <w:color w:val="00B050"/>
          <w:sz w:val="20"/>
          <w:szCs w:val="20"/>
        </w:rPr>
      </w:pPr>
      <w:r w:rsidRPr="00C353E5">
        <w:rPr>
          <w:rFonts w:ascii="Verdana" w:hAnsi="Verdana"/>
          <w:color w:val="00B050"/>
          <w:sz w:val="20"/>
          <w:szCs w:val="20"/>
        </w:rPr>
        <w:t xml:space="preserve">   </w:t>
      </w:r>
    </w:p>
    <w:p w14:paraId="04EF2189" w14:textId="77777777" w:rsidR="00D939EA" w:rsidRPr="00C353E5" w:rsidRDefault="00AA63A1" w:rsidP="00A229DF">
      <w:pPr>
        <w:pStyle w:val="PrrafodeSentencia"/>
        <w:spacing w:line="240" w:lineRule="auto"/>
        <w:rPr>
          <w:color w:val="00B050"/>
        </w:rPr>
      </w:pPr>
      <w:r w:rsidRPr="00C353E5">
        <w:t>La Presidenta</w:t>
      </w:r>
      <w:r w:rsidR="003626D4" w:rsidRPr="00C353E5">
        <w:t xml:space="preserve"> recuerda que el artículo 15 del Reglamento del Tribunal señala que “la Corte celebrará audiencias cuando lo estime pertinente”. </w:t>
      </w:r>
      <w:r w:rsidR="00003D96" w:rsidRPr="00C353E5">
        <w:t>En ese sentido</w:t>
      </w:r>
      <w:r w:rsidR="003626D4" w:rsidRPr="00C353E5">
        <w:t>, los artículos 45 y 50.1 del Reglamento facultan a la Corte o</w:t>
      </w:r>
      <w:r w:rsidR="00990CBE" w:rsidRPr="00C353E5">
        <w:t xml:space="preserve"> a</w:t>
      </w:r>
      <w:r w:rsidR="003626D4" w:rsidRPr="00C353E5">
        <w:t xml:space="preserve"> su Presidencia a convocar a audiencias cuando lo </w:t>
      </w:r>
      <w:r w:rsidR="008B63F8">
        <w:t>consideren</w:t>
      </w:r>
      <w:r w:rsidR="003626D4" w:rsidRPr="00C353E5">
        <w:t xml:space="preserve"> necesario. Lo anterior expresa una facultad de la Cort</w:t>
      </w:r>
      <w:r w:rsidR="00BF220F" w:rsidRPr="00C353E5">
        <w:t>e o su Presidenta</w:t>
      </w:r>
      <w:r w:rsidR="003626D4" w:rsidRPr="00C353E5">
        <w:t>, que ejercerán motivadamente y de manera consecuente con las características del caso, los requerimientos procesales que deriven de ellas y la debida preservación de los derechos de las partes</w:t>
      </w:r>
      <w:r w:rsidR="003626D4" w:rsidRPr="00C353E5">
        <w:rPr>
          <w:rStyle w:val="Refdenotaalpie"/>
          <w:rFonts w:eastAsia="Times New Roman" w:cs="Arial"/>
          <w:sz w:val="20"/>
          <w:lang w:eastAsia="es-CR"/>
        </w:rPr>
        <w:footnoteReference w:id="2"/>
      </w:r>
      <w:r w:rsidR="003626D4" w:rsidRPr="00C353E5">
        <w:rPr>
          <w:rFonts w:eastAsia="Times New Roman" w:cs="Arial"/>
          <w:lang w:eastAsia="es-CR"/>
        </w:rPr>
        <w:t xml:space="preserve">. </w:t>
      </w:r>
    </w:p>
    <w:p w14:paraId="64E63326" w14:textId="77777777" w:rsidR="002E0878" w:rsidRPr="00C353E5" w:rsidRDefault="002E0878" w:rsidP="00A229DF">
      <w:pPr>
        <w:pStyle w:val="Sinespaciado"/>
        <w:rPr>
          <w:rFonts w:ascii="Verdana" w:hAnsi="Verdana"/>
          <w:sz w:val="20"/>
          <w:szCs w:val="20"/>
        </w:rPr>
      </w:pPr>
    </w:p>
    <w:p w14:paraId="6E45235A" w14:textId="77777777" w:rsidR="002E0878" w:rsidRPr="00C353E5" w:rsidRDefault="002E0878" w:rsidP="00A229DF">
      <w:pPr>
        <w:pStyle w:val="PrrafodeSentencia"/>
        <w:spacing w:line="240" w:lineRule="auto"/>
      </w:pPr>
      <w:r w:rsidRPr="00C353E5">
        <w:t>A partir del estudio del Informe de Fondo, el escrito de solicitudes y argumentos, la contestación del Estado y los demás documentos aportados al trámite</w:t>
      </w:r>
      <w:r w:rsidR="00BF22BA" w:rsidRPr="00C353E5">
        <w:t xml:space="preserve"> de este asunto, la Presidenta advierte que</w:t>
      </w:r>
      <w:r w:rsidR="00C10387" w:rsidRPr="00C353E5">
        <w:t>,</w:t>
      </w:r>
      <w:r w:rsidRPr="00C353E5">
        <w:t xml:space="preserve"> </w:t>
      </w:r>
      <w:r w:rsidRPr="00C353E5">
        <w:rPr>
          <w:i/>
        </w:rPr>
        <w:t>prima facie</w:t>
      </w:r>
      <w:r w:rsidR="00BF22BA" w:rsidRPr="00C353E5">
        <w:rPr>
          <w:i/>
        </w:rPr>
        <w:t>,</w:t>
      </w:r>
      <w:r w:rsidR="00BF22BA" w:rsidRPr="00C353E5">
        <w:t xml:space="preserve"> y</w:t>
      </w:r>
      <w:r w:rsidRPr="00C353E5">
        <w:t xml:space="preserve"> sin perjuicio de las determinaciones que oportunamente </w:t>
      </w:r>
      <w:r w:rsidR="00BF22BA" w:rsidRPr="00C353E5">
        <w:t>haga</w:t>
      </w:r>
      <w:r w:rsidRPr="00C353E5">
        <w:t xml:space="preserve"> la Corte, la controversia </w:t>
      </w:r>
      <w:r w:rsidR="00BF22BA" w:rsidRPr="00C353E5">
        <w:t>de este caso es de índole jurídica</w:t>
      </w:r>
      <w:r w:rsidRPr="00C353E5">
        <w:t>.</w:t>
      </w:r>
      <w:r w:rsidR="00C10387" w:rsidRPr="00C353E5">
        <w:t xml:space="preserve"> Asimismo, la Presidenta observa que las declaraciones ofrecidas pueden ser evacuadas de forma escrita por medio de declaraciones juradas ante fedatario público (affidávit).</w:t>
      </w:r>
    </w:p>
    <w:p w14:paraId="6D6A18C5" w14:textId="77777777" w:rsidR="00D939EA" w:rsidRPr="00C353E5" w:rsidRDefault="00D939EA" w:rsidP="00A229DF">
      <w:pPr>
        <w:pStyle w:val="Sinespaciado"/>
        <w:rPr>
          <w:rFonts w:ascii="Verdana" w:hAnsi="Verdana"/>
          <w:sz w:val="20"/>
          <w:szCs w:val="20"/>
        </w:rPr>
      </w:pPr>
    </w:p>
    <w:p w14:paraId="1A453F1F" w14:textId="77777777" w:rsidR="002E0878" w:rsidRPr="00C353E5" w:rsidRDefault="00C10387" w:rsidP="00A229DF">
      <w:pPr>
        <w:pStyle w:val="PrrafodeSentencia"/>
        <w:spacing w:line="240" w:lineRule="auto"/>
      </w:pPr>
      <w:r w:rsidRPr="00C353E5">
        <w:rPr>
          <w:lang w:eastAsia="es-CR"/>
        </w:rPr>
        <w:t>Por otra parte</w:t>
      </w:r>
      <w:r w:rsidR="00CB73E4" w:rsidRPr="00C353E5">
        <w:rPr>
          <w:lang w:eastAsia="es-CR"/>
        </w:rPr>
        <w:t xml:space="preserve">, </w:t>
      </w:r>
      <w:r w:rsidR="00207C55" w:rsidRPr="00C353E5">
        <w:rPr>
          <w:lang w:eastAsia="es-CR"/>
        </w:rPr>
        <w:t xml:space="preserve">la Presidencia </w:t>
      </w:r>
      <w:r w:rsidR="00CB73E4" w:rsidRPr="00C353E5">
        <w:rPr>
          <w:lang w:eastAsia="es-CR"/>
        </w:rPr>
        <w:t>advierte que</w:t>
      </w:r>
      <w:r w:rsidR="003626D4" w:rsidRPr="00C353E5">
        <w:rPr>
          <w:lang w:eastAsia="es-CR"/>
        </w:rPr>
        <w:t xml:space="preserve"> </w:t>
      </w:r>
      <w:r w:rsidR="00AA63A1" w:rsidRPr="00C353E5">
        <w:rPr>
          <w:lang w:eastAsia="es-CR"/>
        </w:rPr>
        <w:t xml:space="preserve">la situación excepcional </w:t>
      </w:r>
      <w:r w:rsidRPr="00C353E5">
        <w:rPr>
          <w:lang w:eastAsia="es-CR"/>
        </w:rPr>
        <w:t xml:space="preserve">a causa de la </w:t>
      </w:r>
      <w:r w:rsidR="00AA63A1" w:rsidRPr="00C353E5">
        <w:t xml:space="preserve">pandemia </w:t>
      </w:r>
      <w:r w:rsidRPr="00C353E5">
        <w:t>por la propagación del</w:t>
      </w:r>
      <w:r w:rsidR="00AA63A1" w:rsidRPr="00C353E5">
        <w:t xml:space="preserve"> COVID-19</w:t>
      </w:r>
      <w:r w:rsidR="00990CBE" w:rsidRPr="00C353E5">
        <w:t>,</w:t>
      </w:r>
      <w:r w:rsidR="00AA63A1" w:rsidRPr="00C353E5">
        <w:t xml:space="preserve"> impone a la Corte </w:t>
      </w:r>
      <w:r w:rsidR="00990CBE" w:rsidRPr="00C353E5">
        <w:t>deberes especiales</w:t>
      </w:r>
      <w:r w:rsidR="00AA63A1" w:rsidRPr="00C353E5">
        <w:t xml:space="preserve"> en relación con los derechos de las partes en los procesos adelantados ante este Tribunal</w:t>
      </w:r>
      <w:r w:rsidR="003F0AAD" w:rsidRPr="00C353E5">
        <w:t xml:space="preserve">. </w:t>
      </w:r>
      <w:r w:rsidRPr="00C353E5">
        <w:t>L</w:t>
      </w:r>
      <w:r w:rsidR="003F0AAD" w:rsidRPr="00C353E5">
        <w:t>os efectos de la pandemia, que</w:t>
      </w:r>
      <w:r w:rsidR="00E93B49" w:rsidRPr="00C353E5">
        <w:t xml:space="preserve"> son de público conocimiento y persisten en la actualidad, </w:t>
      </w:r>
      <w:r w:rsidR="002E0878" w:rsidRPr="00C353E5">
        <w:t>implica</w:t>
      </w:r>
      <w:r w:rsidR="003F0AAD" w:rsidRPr="00C353E5">
        <w:t>n</w:t>
      </w:r>
      <w:r w:rsidR="00E93B49" w:rsidRPr="00C353E5">
        <w:t xml:space="preserve"> obstáculos notorios para llevar a cabo una audiencia pública</w:t>
      </w:r>
      <w:r w:rsidR="00DB4E3A" w:rsidRPr="00C353E5">
        <w:t xml:space="preserve"> de forma presencial</w:t>
      </w:r>
      <w:r w:rsidR="00FB1852" w:rsidRPr="00C353E5">
        <w:t>. R</w:t>
      </w:r>
      <w:r w:rsidR="00E93B49" w:rsidRPr="00C353E5">
        <w:t xml:space="preserve">esulta incierto el momento en que dichos obstáculos, que constituyen razones de fuerza mayor, puedan ser </w:t>
      </w:r>
      <w:r w:rsidR="003F0AAD" w:rsidRPr="00C353E5">
        <w:t>superados</w:t>
      </w:r>
      <w:r w:rsidR="00E93B49" w:rsidRPr="00C353E5">
        <w:rPr>
          <w:rStyle w:val="Refdenotaalpie"/>
          <w:sz w:val="20"/>
        </w:rPr>
        <w:footnoteReference w:id="3"/>
      </w:r>
      <w:r w:rsidR="00E93B49" w:rsidRPr="00C353E5">
        <w:t xml:space="preserve">. </w:t>
      </w:r>
    </w:p>
    <w:p w14:paraId="6D933DFC" w14:textId="77777777" w:rsidR="00AA63A1" w:rsidRPr="00C353E5" w:rsidRDefault="00AA63A1" w:rsidP="00A229DF">
      <w:pPr>
        <w:pStyle w:val="Prrafodelista"/>
        <w:spacing w:line="240" w:lineRule="auto"/>
        <w:rPr>
          <w:rFonts w:eastAsia="Times New Roman" w:cs="Arial"/>
          <w:sz w:val="20"/>
          <w:szCs w:val="20"/>
        </w:rPr>
      </w:pPr>
    </w:p>
    <w:p w14:paraId="44BDCF74" w14:textId="77777777" w:rsidR="003626D4" w:rsidRPr="00C353E5" w:rsidRDefault="003626D4" w:rsidP="00A229DF">
      <w:pPr>
        <w:pStyle w:val="PrrafodeSentencia"/>
        <w:spacing w:line="240" w:lineRule="auto"/>
      </w:pPr>
      <w:r w:rsidRPr="00C353E5">
        <w:rPr>
          <w:rFonts w:eastAsia="Times New Roman" w:cs="Arial"/>
          <w:lang w:eastAsia="es-CR"/>
        </w:rPr>
        <w:lastRenderedPageBreak/>
        <w:t xml:space="preserve">En virtud de lo anterior, </w:t>
      </w:r>
      <w:r w:rsidR="00BF220F" w:rsidRPr="00C353E5">
        <w:rPr>
          <w:rFonts w:eastAsia="Times New Roman" w:cs="Arial"/>
          <w:lang w:eastAsia="es-CR"/>
        </w:rPr>
        <w:t>la</w:t>
      </w:r>
      <w:r w:rsidRPr="00C353E5">
        <w:rPr>
          <w:rFonts w:eastAsia="Times New Roman" w:cs="Arial"/>
          <w:lang w:eastAsia="es-CR"/>
        </w:rPr>
        <w:t xml:space="preserve"> President</w:t>
      </w:r>
      <w:r w:rsidR="00BF220F" w:rsidRPr="00C353E5">
        <w:rPr>
          <w:rFonts w:eastAsia="Times New Roman" w:cs="Arial"/>
          <w:lang w:eastAsia="es-CR"/>
        </w:rPr>
        <w:t>a</w:t>
      </w:r>
      <w:r w:rsidRPr="00C353E5">
        <w:rPr>
          <w:rFonts w:eastAsia="Times New Roman" w:cs="Arial"/>
          <w:lang w:eastAsia="es-CR"/>
        </w:rPr>
        <w:t xml:space="preserve">, en consulta con el </w:t>
      </w:r>
      <w:r w:rsidR="00BD3578" w:rsidRPr="00C353E5">
        <w:rPr>
          <w:rFonts w:eastAsia="Times New Roman" w:cs="Arial"/>
          <w:lang w:eastAsia="es-CR"/>
        </w:rPr>
        <w:t>P</w:t>
      </w:r>
      <w:r w:rsidRPr="00C353E5">
        <w:rPr>
          <w:rFonts w:eastAsia="Times New Roman" w:cs="Arial"/>
          <w:lang w:eastAsia="es-CR"/>
        </w:rPr>
        <w:t xml:space="preserve">leno de la Corte, </w:t>
      </w:r>
      <w:r w:rsidRPr="00C353E5">
        <w:t>ha decidido que no es necesario convocar a una audiencia pública en este caso</w:t>
      </w:r>
      <w:r w:rsidR="00E93B49" w:rsidRPr="00C353E5">
        <w:t xml:space="preserve"> por razones de economía procesal</w:t>
      </w:r>
      <w:r w:rsidR="001E1BBD" w:rsidRPr="00C353E5">
        <w:t>, atendiendo a las particularidades del caso</w:t>
      </w:r>
      <w:r w:rsidR="00F953CE" w:rsidRPr="00C353E5">
        <w:t xml:space="preserve"> y </w:t>
      </w:r>
      <w:r w:rsidR="00756812" w:rsidRPr="00C353E5">
        <w:t>para un</w:t>
      </w:r>
      <w:r w:rsidR="00F953CE" w:rsidRPr="00C353E5">
        <w:t xml:space="preserve"> mejor avance del </w:t>
      </w:r>
      <w:r w:rsidR="001E1BBD" w:rsidRPr="00C353E5">
        <w:t>proces</w:t>
      </w:r>
      <w:r w:rsidR="00F953CE" w:rsidRPr="00C353E5">
        <w:t>o</w:t>
      </w:r>
      <w:r w:rsidR="00261BE3" w:rsidRPr="00C353E5">
        <w:t>.</w:t>
      </w:r>
      <w:r w:rsidRPr="00C353E5">
        <w:t xml:space="preserve"> </w:t>
      </w:r>
      <w:r w:rsidR="00756812" w:rsidRPr="00C353E5">
        <w:t xml:space="preserve">Por ello, se tomarán las determinaciones pertinentes en el apartado resolutivo. </w:t>
      </w:r>
    </w:p>
    <w:p w14:paraId="40CC65FD" w14:textId="77777777" w:rsidR="003626D4" w:rsidRPr="00C353E5" w:rsidRDefault="003626D4" w:rsidP="00A229DF">
      <w:pPr>
        <w:pStyle w:val="Sinespaciado"/>
        <w:rPr>
          <w:rFonts w:ascii="Verdana" w:hAnsi="Verdana" w:cs="Arial"/>
          <w:sz w:val="20"/>
          <w:szCs w:val="20"/>
        </w:rPr>
      </w:pPr>
    </w:p>
    <w:p w14:paraId="7C71745F" w14:textId="77777777" w:rsidR="00E93B49" w:rsidRPr="00C353E5" w:rsidRDefault="00E93B49" w:rsidP="00A229DF">
      <w:pPr>
        <w:pStyle w:val="Ttulo1"/>
      </w:pPr>
      <w:r w:rsidRPr="00C353E5">
        <w:t xml:space="preserve">Admisibilidad del peritaje ofrecido por la Comisión </w:t>
      </w:r>
    </w:p>
    <w:p w14:paraId="278A5C12" w14:textId="77777777" w:rsidR="00E93B49" w:rsidRPr="00C353E5" w:rsidRDefault="00E93B49" w:rsidP="00A229DF">
      <w:pPr>
        <w:pStyle w:val="Prrafodelista"/>
        <w:tabs>
          <w:tab w:val="left" w:pos="567"/>
        </w:tabs>
        <w:spacing w:line="240" w:lineRule="auto"/>
        <w:rPr>
          <w:b/>
          <w:bCs/>
          <w:i/>
          <w:iCs/>
          <w:sz w:val="20"/>
          <w:szCs w:val="20"/>
        </w:rPr>
      </w:pPr>
    </w:p>
    <w:p w14:paraId="01FAE640" w14:textId="77777777" w:rsidR="00DD0C3B" w:rsidRPr="00C353E5" w:rsidRDefault="00E93B49" w:rsidP="00A229DF">
      <w:pPr>
        <w:pStyle w:val="PrrafodeSentencia"/>
        <w:spacing w:line="240" w:lineRule="auto"/>
        <w:rPr>
          <w:rFonts w:cs="Arial"/>
          <w:color w:val="303030"/>
        </w:rPr>
      </w:pPr>
      <w:r w:rsidRPr="00C353E5">
        <w:t xml:space="preserve">La </w:t>
      </w:r>
      <w:r w:rsidRPr="00C353E5">
        <w:rPr>
          <w:b/>
          <w:i/>
        </w:rPr>
        <w:t>Comisión</w:t>
      </w:r>
      <w:r w:rsidRPr="00C353E5">
        <w:t xml:space="preserve"> </w:t>
      </w:r>
      <w:r w:rsidR="00DD0C3B" w:rsidRPr="00C353E5">
        <w:t xml:space="preserve">propuso al señor </w:t>
      </w:r>
      <w:r w:rsidR="00DD0C3B" w:rsidRPr="00C353E5">
        <w:rPr>
          <w:bCs/>
        </w:rPr>
        <w:t xml:space="preserve">Hernán Víctor </w:t>
      </w:r>
      <w:proofErr w:type="spellStart"/>
      <w:r w:rsidR="00DD0C3B" w:rsidRPr="00C353E5">
        <w:rPr>
          <w:bCs/>
        </w:rPr>
        <w:t>Gullco</w:t>
      </w:r>
      <w:proofErr w:type="spellEnd"/>
      <w:r w:rsidR="00DD0C3B" w:rsidRPr="00C353E5">
        <w:rPr>
          <w:bCs/>
        </w:rPr>
        <w:t>, para que rinda peritaje sobre “las garantías de debido proceso y principio de legalidad aplicables en los procesos de ratificación de funcionarios públicos, como mecanismos de rendición de cuentas y las salvaguardas para que dichos procesos sean compatibles con la Convención Americana y logren cumplir con la finalidad de garantizar la idoneidad de las y los funcionarios públicos”. Señaló</w:t>
      </w:r>
      <w:r w:rsidR="000037DD">
        <w:rPr>
          <w:bCs/>
        </w:rPr>
        <w:t>,</w:t>
      </w:r>
      <w:r w:rsidR="00DD0C3B" w:rsidRPr="00C353E5">
        <w:rPr>
          <w:bCs/>
        </w:rPr>
        <w:t xml:space="preserve"> además</w:t>
      </w:r>
      <w:r w:rsidR="000037DD">
        <w:rPr>
          <w:bCs/>
        </w:rPr>
        <w:t>,</w:t>
      </w:r>
      <w:r w:rsidR="00DD0C3B" w:rsidRPr="00C353E5">
        <w:rPr>
          <w:bCs/>
        </w:rPr>
        <w:t xml:space="preserve"> que el peritaje se refiere a cuestiones de orden público interamericano, pues permitiría la Corte desarrollar y consolidar su jurisprudencia sobre debido proceso y principio de legalidad en relación con los procesos de ratificación de operadores judiciales.</w:t>
      </w:r>
    </w:p>
    <w:p w14:paraId="115FD236" w14:textId="77777777" w:rsidR="00B55C52" w:rsidRPr="00C353E5" w:rsidRDefault="00B55C52" w:rsidP="00A229DF">
      <w:pPr>
        <w:pStyle w:val="Sinespaciado"/>
        <w:rPr>
          <w:rFonts w:ascii="Verdana" w:hAnsi="Verdana"/>
          <w:sz w:val="20"/>
          <w:szCs w:val="20"/>
        </w:rPr>
      </w:pPr>
    </w:p>
    <w:p w14:paraId="2410147F" w14:textId="77777777" w:rsidR="00DD0C3B" w:rsidRPr="00C353E5" w:rsidRDefault="00B55C52" w:rsidP="00A229DF">
      <w:pPr>
        <w:pStyle w:val="Sinespaciado"/>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ind w:left="0" w:firstLine="0"/>
        <w:contextualSpacing/>
        <w:jc w:val="both"/>
        <w:rPr>
          <w:rFonts w:ascii="Verdana" w:hAnsi="Verdana"/>
          <w:sz w:val="20"/>
          <w:szCs w:val="20"/>
        </w:rPr>
      </w:pPr>
      <w:r w:rsidRPr="00C353E5">
        <w:rPr>
          <w:rFonts w:ascii="Verdana" w:hAnsi="Verdana"/>
          <w:sz w:val="20"/>
          <w:szCs w:val="20"/>
        </w:rPr>
        <w:t>E</w:t>
      </w:r>
      <w:r w:rsidR="00E93B49" w:rsidRPr="00C353E5">
        <w:rPr>
          <w:rFonts w:ascii="Verdana" w:hAnsi="Verdana"/>
          <w:sz w:val="20"/>
          <w:szCs w:val="20"/>
        </w:rPr>
        <w:t xml:space="preserve">l </w:t>
      </w:r>
      <w:r w:rsidR="00E93B49" w:rsidRPr="00C353E5">
        <w:rPr>
          <w:rFonts w:ascii="Verdana" w:hAnsi="Verdana"/>
          <w:b/>
          <w:i/>
          <w:sz w:val="20"/>
          <w:szCs w:val="20"/>
        </w:rPr>
        <w:t>Estado</w:t>
      </w:r>
      <w:r w:rsidR="00E93B49" w:rsidRPr="00C353E5">
        <w:rPr>
          <w:rFonts w:ascii="Verdana" w:hAnsi="Verdana"/>
          <w:sz w:val="20"/>
          <w:szCs w:val="20"/>
        </w:rPr>
        <w:t xml:space="preserve"> </w:t>
      </w:r>
      <w:r w:rsidR="00DD0C3B" w:rsidRPr="00C353E5">
        <w:rPr>
          <w:rFonts w:ascii="Verdana" w:hAnsi="Verdana"/>
          <w:sz w:val="20"/>
          <w:szCs w:val="20"/>
        </w:rPr>
        <w:t>presentó una serie de observaciones sobre</w:t>
      </w:r>
      <w:r w:rsidRPr="00C353E5">
        <w:rPr>
          <w:rFonts w:ascii="Verdana" w:hAnsi="Verdana"/>
          <w:sz w:val="20"/>
          <w:szCs w:val="20"/>
        </w:rPr>
        <w:t xml:space="preserve"> el peritaje propuesto por la Comisión</w:t>
      </w:r>
      <w:r w:rsidR="001B32E7" w:rsidRPr="00C353E5">
        <w:rPr>
          <w:rFonts w:ascii="Verdana" w:hAnsi="Verdana"/>
          <w:sz w:val="20"/>
          <w:szCs w:val="20"/>
        </w:rPr>
        <w:t xml:space="preserve">. </w:t>
      </w:r>
      <w:r w:rsidR="00DD0C3B" w:rsidRPr="00C353E5">
        <w:rPr>
          <w:rFonts w:ascii="Verdana" w:hAnsi="Verdana"/>
          <w:sz w:val="20"/>
          <w:szCs w:val="20"/>
        </w:rPr>
        <w:t>Las primeras,</w:t>
      </w:r>
      <w:r w:rsidR="001B32E7" w:rsidRPr="00C353E5">
        <w:rPr>
          <w:rFonts w:ascii="Verdana" w:hAnsi="Verdana"/>
          <w:sz w:val="20"/>
          <w:szCs w:val="20"/>
        </w:rPr>
        <w:t xml:space="preserve"> </w:t>
      </w:r>
      <w:r w:rsidR="003F0AAD" w:rsidRPr="00C353E5">
        <w:rPr>
          <w:rFonts w:ascii="Verdana" w:hAnsi="Verdana"/>
          <w:sz w:val="20"/>
          <w:szCs w:val="20"/>
        </w:rPr>
        <w:t xml:space="preserve">sobre </w:t>
      </w:r>
      <w:r w:rsidR="00EA23FE">
        <w:rPr>
          <w:rFonts w:ascii="Verdana" w:hAnsi="Verdana"/>
          <w:sz w:val="20"/>
          <w:szCs w:val="20"/>
        </w:rPr>
        <w:t xml:space="preserve">la afectación </w:t>
      </w:r>
      <w:r w:rsidR="001B32E7" w:rsidRPr="00C353E5">
        <w:rPr>
          <w:rFonts w:ascii="Verdana" w:hAnsi="Verdana"/>
          <w:sz w:val="20"/>
          <w:szCs w:val="20"/>
        </w:rPr>
        <w:t>de</w:t>
      </w:r>
      <w:r w:rsidR="00EA23FE">
        <w:rPr>
          <w:rFonts w:ascii="Verdana" w:hAnsi="Verdana"/>
          <w:sz w:val="20"/>
          <w:szCs w:val="20"/>
        </w:rPr>
        <w:t>l</w:t>
      </w:r>
      <w:r w:rsidR="001B32E7" w:rsidRPr="00C353E5">
        <w:rPr>
          <w:rFonts w:ascii="Verdana" w:hAnsi="Verdana"/>
          <w:sz w:val="20"/>
          <w:szCs w:val="20"/>
        </w:rPr>
        <w:t xml:space="preserve"> orden público interamericano</w:t>
      </w:r>
      <w:r w:rsidR="005B2F44" w:rsidRPr="00C353E5">
        <w:rPr>
          <w:rFonts w:ascii="Verdana" w:hAnsi="Verdana"/>
          <w:sz w:val="20"/>
          <w:szCs w:val="20"/>
        </w:rPr>
        <w:t xml:space="preserve"> y el objeto de peritaje</w:t>
      </w:r>
      <w:r w:rsidR="007A3644" w:rsidRPr="00C353E5">
        <w:rPr>
          <w:rFonts w:ascii="Verdana" w:hAnsi="Verdana"/>
          <w:sz w:val="20"/>
          <w:szCs w:val="20"/>
        </w:rPr>
        <w:t>,</w:t>
      </w:r>
      <w:r w:rsidR="001B32E7" w:rsidRPr="00C353E5">
        <w:rPr>
          <w:rFonts w:ascii="Verdana" w:hAnsi="Verdana"/>
          <w:sz w:val="20"/>
          <w:szCs w:val="20"/>
        </w:rPr>
        <w:t xml:space="preserve"> y </w:t>
      </w:r>
      <w:r w:rsidR="00DD0C3B" w:rsidRPr="00C353E5">
        <w:rPr>
          <w:rFonts w:ascii="Verdana" w:hAnsi="Verdana"/>
          <w:sz w:val="20"/>
          <w:szCs w:val="20"/>
        </w:rPr>
        <w:t>las segundas</w:t>
      </w:r>
      <w:r w:rsidR="001B32E7" w:rsidRPr="00C353E5">
        <w:rPr>
          <w:rFonts w:ascii="Verdana" w:hAnsi="Verdana"/>
          <w:sz w:val="20"/>
          <w:szCs w:val="20"/>
        </w:rPr>
        <w:t xml:space="preserve">, </w:t>
      </w:r>
      <w:r w:rsidR="007A3644" w:rsidRPr="00C353E5">
        <w:rPr>
          <w:rFonts w:ascii="Verdana" w:hAnsi="Verdana"/>
          <w:sz w:val="20"/>
          <w:szCs w:val="20"/>
        </w:rPr>
        <w:t>sobre</w:t>
      </w:r>
      <w:r w:rsidR="001B32E7" w:rsidRPr="00C353E5">
        <w:rPr>
          <w:rFonts w:ascii="Verdana" w:hAnsi="Verdana"/>
          <w:sz w:val="20"/>
          <w:szCs w:val="20"/>
        </w:rPr>
        <w:t xml:space="preserve"> </w:t>
      </w:r>
      <w:r w:rsidR="005B2F44" w:rsidRPr="00C353E5">
        <w:rPr>
          <w:rFonts w:ascii="Verdana" w:hAnsi="Verdana"/>
          <w:sz w:val="20"/>
          <w:szCs w:val="20"/>
        </w:rPr>
        <w:t>la experiencia del perito</w:t>
      </w:r>
      <w:r w:rsidR="001B32E7" w:rsidRPr="00C353E5">
        <w:rPr>
          <w:rFonts w:ascii="Verdana" w:hAnsi="Verdana"/>
          <w:sz w:val="20"/>
          <w:szCs w:val="20"/>
        </w:rPr>
        <w:t xml:space="preserve">. </w:t>
      </w:r>
    </w:p>
    <w:p w14:paraId="17EF236E" w14:textId="77777777" w:rsidR="00DD0C3B" w:rsidRPr="00C353E5" w:rsidRDefault="00DD0C3B" w:rsidP="00A229DF">
      <w:pPr>
        <w:pStyle w:val="Prrafodelista"/>
        <w:spacing w:line="240" w:lineRule="auto"/>
        <w:rPr>
          <w:sz w:val="20"/>
          <w:szCs w:val="20"/>
        </w:rPr>
      </w:pPr>
    </w:p>
    <w:p w14:paraId="4C2EFDE4" w14:textId="77777777" w:rsidR="00B55C52" w:rsidRPr="00C353E5" w:rsidRDefault="001B32E7" w:rsidP="00A229DF">
      <w:pPr>
        <w:pStyle w:val="Sinespaciado"/>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ind w:left="0" w:firstLine="0"/>
        <w:contextualSpacing/>
        <w:jc w:val="both"/>
        <w:rPr>
          <w:rFonts w:ascii="Verdana" w:hAnsi="Verdana"/>
          <w:sz w:val="20"/>
          <w:szCs w:val="20"/>
        </w:rPr>
      </w:pPr>
      <w:r w:rsidRPr="00C353E5">
        <w:rPr>
          <w:rFonts w:ascii="Verdana" w:hAnsi="Verdana"/>
          <w:sz w:val="20"/>
          <w:szCs w:val="20"/>
        </w:rPr>
        <w:t xml:space="preserve">En relación con </w:t>
      </w:r>
      <w:r w:rsidR="00DD0C3B" w:rsidRPr="00C353E5">
        <w:rPr>
          <w:rFonts w:ascii="Verdana" w:hAnsi="Verdana"/>
          <w:sz w:val="20"/>
          <w:szCs w:val="20"/>
        </w:rPr>
        <w:t>el primer grupo de observaciones,</w:t>
      </w:r>
      <w:r w:rsidRPr="00C353E5">
        <w:rPr>
          <w:rFonts w:ascii="Verdana" w:hAnsi="Verdana"/>
          <w:sz w:val="20"/>
          <w:szCs w:val="20"/>
        </w:rPr>
        <w:t xml:space="preserve"> el Estado señaló que </w:t>
      </w:r>
      <w:r w:rsidR="00B55C52" w:rsidRPr="00C353E5">
        <w:rPr>
          <w:rFonts w:ascii="Verdana" w:hAnsi="Verdana"/>
          <w:sz w:val="20"/>
          <w:szCs w:val="20"/>
        </w:rPr>
        <w:t>la posibilidad de que la Comisión ofrezca como prueba a determinados peritos y qu</w:t>
      </w:r>
      <w:r w:rsidR="008B63F8">
        <w:rPr>
          <w:rFonts w:ascii="Verdana" w:hAnsi="Verdana"/>
          <w:sz w:val="20"/>
          <w:szCs w:val="20"/>
        </w:rPr>
        <w:t>e la Corte acepte tal propuesta</w:t>
      </w:r>
      <w:r w:rsidR="00B55C52" w:rsidRPr="00C353E5">
        <w:rPr>
          <w:rFonts w:ascii="Verdana" w:hAnsi="Verdana"/>
          <w:sz w:val="20"/>
          <w:szCs w:val="20"/>
        </w:rPr>
        <w:t xml:space="preserve"> es de carácter excepcional</w:t>
      </w:r>
      <w:r w:rsidRPr="00C353E5">
        <w:rPr>
          <w:rFonts w:ascii="Verdana" w:hAnsi="Verdana"/>
          <w:sz w:val="20"/>
          <w:szCs w:val="20"/>
        </w:rPr>
        <w:t xml:space="preserve">. En esa medida, </w:t>
      </w:r>
      <w:r w:rsidR="00B55C52" w:rsidRPr="00C353E5">
        <w:rPr>
          <w:rFonts w:ascii="Verdana" w:hAnsi="Verdana"/>
          <w:sz w:val="20"/>
          <w:szCs w:val="20"/>
        </w:rPr>
        <w:t xml:space="preserve">debe </w:t>
      </w:r>
      <w:r w:rsidRPr="00C353E5">
        <w:rPr>
          <w:rFonts w:ascii="Verdana" w:hAnsi="Verdana"/>
          <w:sz w:val="20"/>
          <w:szCs w:val="20"/>
        </w:rPr>
        <w:t>v</w:t>
      </w:r>
      <w:r w:rsidR="00B55C52" w:rsidRPr="00C353E5">
        <w:rPr>
          <w:rFonts w:ascii="Verdana" w:hAnsi="Verdana"/>
          <w:sz w:val="20"/>
          <w:szCs w:val="20"/>
        </w:rPr>
        <w:t>erificarse una afectación relevante del orden p</w:t>
      </w:r>
      <w:r w:rsidRPr="00C353E5">
        <w:rPr>
          <w:rFonts w:ascii="Verdana" w:hAnsi="Verdana"/>
          <w:sz w:val="20"/>
          <w:szCs w:val="20"/>
        </w:rPr>
        <w:t xml:space="preserve">úblico interamericano </w:t>
      </w:r>
      <w:r w:rsidR="00DD0C3B" w:rsidRPr="00C353E5">
        <w:rPr>
          <w:rFonts w:ascii="Verdana" w:hAnsi="Verdana"/>
          <w:sz w:val="20"/>
          <w:szCs w:val="20"/>
        </w:rPr>
        <w:t>que trascienda</w:t>
      </w:r>
      <w:r w:rsidR="00B55C52" w:rsidRPr="00C353E5">
        <w:rPr>
          <w:rFonts w:ascii="Verdana" w:hAnsi="Verdana"/>
          <w:sz w:val="20"/>
          <w:szCs w:val="20"/>
        </w:rPr>
        <w:t xml:space="preserve"> los intereses de las partes en litigio y los hechos específicos del caso concreto. </w:t>
      </w:r>
      <w:r w:rsidRPr="00C353E5">
        <w:rPr>
          <w:rFonts w:ascii="Verdana" w:hAnsi="Verdana"/>
          <w:sz w:val="20"/>
          <w:szCs w:val="20"/>
        </w:rPr>
        <w:t>Sin embargo, a</w:t>
      </w:r>
      <w:r w:rsidR="00B55C52" w:rsidRPr="00C353E5">
        <w:rPr>
          <w:rFonts w:ascii="Verdana" w:hAnsi="Verdana"/>
          <w:sz w:val="20"/>
          <w:szCs w:val="20"/>
        </w:rPr>
        <w:t xml:space="preserve"> juicio del Estado, la Comisión no </w:t>
      </w:r>
      <w:r w:rsidRPr="00C353E5">
        <w:rPr>
          <w:rFonts w:ascii="Verdana" w:hAnsi="Verdana"/>
          <w:sz w:val="20"/>
          <w:szCs w:val="20"/>
        </w:rPr>
        <w:t>cumplió</w:t>
      </w:r>
      <w:r w:rsidR="00B55C52" w:rsidRPr="00C353E5">
        <w:rPr>
          <w:rFonts w:ascii="Verdana" w:hAnsi="Verdana"/>
          <w:sz w:val="20"/>
          <w:szCs w:val="20"/>
        </w:rPr>
        <w:t xml:space="preserve"> con el deber de indicar </w:t>
      </w:r>
      <w:r w:rsidRPr="00C353E5">
        <w:rPr>
          <w:rFonts w:ascii="Verdana" w:hAnsi="Verdana"/>
          <w:sz w:val="20"/>
          <w:szCs w:val="20"/>
        </w:rPr>
        <w:t>de</w:t>
      </w:r>
      <w:r w:rsidR="00B55C52" w:rsidRPr="00C353E5">
        <w:rPr>
          <w:rFonts w:ascii="Verdana" w:hAnsi="Verdana"/>
          <w:sz w:val="20"/>
          <w:szCs w:val="20"/>
        </w:rPr>
        <w:t xml:space="preserve"> qu</w:t>
      </w:r>
      <w:r w:rsidRPr="00C353E5">
        <w:rPr>
          <w:rFonts w:ascii="Verdana" w:hAnsi="Verdana"/>
          <w:sz w:val="20"/>
          <w:szCs w:val="20"/>
        </w:rPr>
        <w:t>é</w:t>
      </w:r>
      <w:r w:rsidR="00B55C52" w:rsidRPr="00C353E5">
        <w:rPr>
          <w:rFonts w:ascii="Verdana" w:hAnsi="Verdana"/>
          <w:sz w:val="20"/>
          <w:szCs w:val="20"/>
        </w:rPr>
        <w:t xml:space="preserve"> modo se afecta de manera rele</w:t>
      </w:r>
      <w:r w:rsidRPr="00C353E5">
        <w:rPr>
          <w:rFonts w:ascii="Verdana" w:hAnsi="Verdana"/>
          <w:sz w:val="20"/>
          <w:szCs w:val="20"/>
        </w:rPr>
        <w:t>v</w:t>
      </w:r>
      <w:r w:rsidR="00B55C52" w:rsidRPr="00C353E5">
        <w:rPr>
          <w:rFonts w:ascii="Verdana" w:hAnsi="Verdana"/>
          <w:sz w:val="20"/>
          <w:szCs w:val="20"/>
        </w:rPr>
        <w:t xml:space="preserve">ante el orden </w:t>
      </w:r>
      <w:r w:rsidRPr="00C353E5">
        <w:rPr>
          <w:rFonts w:ascii="Verdana" w:hAnsi="Verdana"/>
          <w:sz w:val="20"/>
          <w:szCs w:val="20"/>
        </w:rPr>
        <w:t>público</w:t>
      </w:r>
      <w:r w:rsidR="00B55C52" w:rsidRPr="00C353E5">
        <w:rPr>
          <w:rFonts w:ascii="Verdana" w:hAnsi="Verdana"/>
          <w:sz w:val="20"/>
          <w:szCs w:val="20"/>
        </w:rPr>
        <w:t xml:space="preserve"> interamericano, ni en qué forma </w:t>
      </w:r>
      <w:r w:rsidR="007A3644" w:rsidRPr="00C353E5">
        <w:rPr>
          <w:rFonts w:ascii="Verdana" w:hAnsi="Verdana"/>
          <w:sz w:val="20"/>
          <w:szCs w:val="20"/>
        </w:rPr>
        <w:t xml:space="preserve">el objeto del peritaje </w:t>
      </w:r>
      <w:r w:rsidR="00B55C52" w:rsidRPr="00C353E5">
        <w:rPr>
          <w:rFonts w:ascii="Verdana" w:hAnsi="Verdana"/>
          <w:sz w:val="20"/>
          <w:szCs w:val="20"/>
        </w:rPr>
        <w:t xml:space="preserve">trasciende los </w:t>
      </w:r>
      <w:r w:rsidRPr="00C353E5">
        <w:rPr>
          <w:rFonts w:ascii="Verdana" w:hAnsi="Verdana"/>
          <w:sz w:val="20"/>
          <w:szCs w:val="20"/>
        </w:rPr>
        <w:t>intereses</w:t>
      </w:r>
      <w:r w:rsidR="00B55C52" w:rsidRPr="00C353E5">
        <w:rPr>
          <w:rFonts w:ascii="Verdana" w:hAnsi="Verdana"/>
          <w:sz w:val="20"/>
          <w:szCs w:val="20"/>
        </w:rPr>
        <w:t xml:space="preserve"> de las partes en litigio y los hechos del caso. En </w:t>
      </w:r>
      <w:r w:rsidRPr="00C353E5">
        <w:rPr>
          <w:rFonts w:ascii="Verdana" w:hAnsi="Verdana"/>
          <w:sz w:val="20"/>
          <w:szCs w:val="20"/>
        </w:rPr>
        <w:t>consecuencia</w:t>
      </w:r>
      <w:r w:rsidR="00B55C52" w:rsidRPr="00C353E5">
        <w:rPr>
          <w:rFonts w:ascii="Verdana" w:hAnsi="Verdana"/>
          <w:sz w:val="20"/>
          <w:szCs w:val="20"/>
        </w:rPr>
        <w:t xml:space="preserve">, </w:t>
      </w:r>
      <w:r w:rsidRPr="00C353E5">
        <w:rPr>
          <w:rFonts w:ascii="Verdana" w:hAnsi="Verdana"/>
          <w:sz w:val="20"/>
          <w:szCs w:val="20"/>
        </w:rPr>
        <w:t>sostuvo</w:t>
      </w:r>
      <w:r w:rsidR="00F76BF8" w:rsidRPr="00C353E5">
        <w:rPr>
          <w:rFonts w:ascii="Verdana" w:hAnsi="Verdana"/>
          <w:sz w:val="20"/>
          <w:szCs w:val="20"/>
        </w:rPr>
        <w:t xml:space="preserve"> que</w:t>
      </w:r>
      <w:r w:rsidR="00B55C52" w:rsidRPr="00C353E5">
        <w:rPr>
          <w:rFonts w:ascii="Verdana" w:hAnsi="Verdana"/>
          <w:sz w:val="20"/>
          <w:szCs w:val="20"/>
        </w:rPr>
        <w:t xml:space="preserve"> la prueba ofrecida por la Comisión </w:t>
      </w:r>
      <w:r w:rsidRPr="00C353E5">
        <w:rPr>
          <w:rFonts w:ascii="Verdana" w:hAnsi="Verdana"/>
          <w:sz w:val="20"/>
          <w:szCs w:val="20"/>
        </w:rPr>
        <w:t>debe ser rechazada</w:t>
      </w:r>
      <w:r w:rsidR="00B55C52" w:rsidRPr="00C353E5">
        <w:rPr>
          <w:rFonts w:ascii="Verdana" w:hAnsi="Verdana"/>
          <w:sz w:val="20"/>
          <w:szCs w:val="20"/>
        </w:rPr>
        <w:t xml:space="preserve">.  </w:t>
      </w:r>
    </w:p>
    <w:p w14:paraId="41CEDFE1" w14:textId="77777777" w:rsidR="00B55C52" w:rsidRPr="00C353E5" w:rsidRDefault="00B55C52" w:rsidP="00A229DF">
      <w:pPr>
        <w:pStyle w:val="Sinespaciado"/>
        <w:pBdr>
          <w:top w:val="none" w:sz="0" w:space="0" w:color="auto"/>
          <w:left w:val="none" w:sz="0" w:space="0" w:color="auto"/>
          <w:bottom w:val="none" w:sz="0" w:space="0" w:color="auto"/>
          <w:right w:val="none" w:sz="0" w:space="0" w:color="auto"/>
          <w:between w:val="none" w:sz="0" w:space="0" w:color="auto"/>
          <w:bar w:val="none" w:sz="0" w:color="auto"/>
        </w:pBdr>
        <w:tabs>
          <w:tab w:val="left" w:pos="567"/>
        </w:tabs>
        <w:contextualSpacing/>
        <w:jc w:val="both"/>
        <w:rPr>
          <w:rFonts w:ascii="Verdana" w:hAnsi="Verdana"/>
          <w:sz w:val="20"/>
          <w:szCs w:val="20"/>
        </w:rPr>
      </w:pPr>
    </w:p>
    <w:p w14:paraId="386FA297" w14:textId="77777777" w:rsidR="00E93B49" w:rsidRPr="00C353E5" w:rsidRDefault="003F0AAD" w:rsidP="00A229DF">
      <w:pPr>
        <w:pStyle w:val="PrrafodeSentencia"/>
        <w:spacing w:line="240" w:lineRule="auto"/>
      </w:pPr>
      <w:r w:rsidRPr="00C353E5">
        <w:t>E</w:t>
      </w:r>
      <w:r w:rsidR="001B32E7" w:rsidRPr="00C353E5">
        <w:t xml:space="preserve">n relación con </w:t>
      </w:r>
      <w:r w:rsidR="005B2F44" w:rsidRPr="00C353E5">
        <w:t>la experiencia del perito</w:t>
      </w:r>
      <w:r w:rsidR="001B32E7" w:rsidRPr="00C353E5">
        <w:t>, el Estado destacó que, de acuerdo con la</w:t>
      </w:r>
      <w:r w:rsidR="005B2F44" w:rsidRPr="00C353E5">
        <w:t xml:space="preserve"> hoja de vida aportada por la</w:t>
      </w:r>
      <w:r w:rsidR="001B32E7" w:rsidRPr="00C353E5">
        <w:t xml:space="preserve"> Comisión, “</w:t>
      </w:r>
      <w:r w:rsidR="005B2F44" w:rsidRPr="00C353E5">
        <w:t xml:space="preserve">cuenta con estudios en derecho, experiencia laboral en derecho penal y </w:t>
      </w:r>
      <w:r w:rsidR="00DD0C3B" w:rsidRPr="00C353E5">
        <w:t>[..]</w:t>
      </w:r>
      <w:r w:rsidR="005B2F44" w:rsidRPr="00C353E5">
        <w:t xml:space="preserve"> participó en </w:t>
      </w:r>
      <w:r w:rsidR="005338D0" w:rsidRPr="00C353E5">
        <w:t>ponencias relacionadas […]</w:t>
      </w:r>
      <w:r w:rsidR="005B2F44" w:rsidRPr="00C353E5">
        <w:t xml:space="preserve"> con temas afines a derecho penal y libertad </w:t>
      </w:r>
      <w:r w:rsidR="005338D0" w:rsidRPr="00C353E5">
        <w:t>de expresión</w:t>
      </w:r>
      <w:r w:rsidR="001B32E7" w:rsidRPr="00C353E5">
        <w:t xml:space="preserve">”. </w:t>
      </w:r>
      <w:r w:rsidR="008B63F8">
        <w:t>Además,</w:t>
      </w:r>
      <w:r w:rsidR="005338D0" w:rsidRPr="00C353E5">
        <w:t xml:space="preserve"> </w:t>
      </w:r>
      <w:r w:rsidR="008B63F8">
        <w:t>encontró</w:t>
      </w:r>
      <w:r w:rsidR="005338D0" w:rsidRPr="00C353E5">
        <w:t xml:space="preserve"> que </w:t>
      </w:r>
      <w:r w:rsidR="0012665B">
        <w:t xml:space="preserve">el perito propuesto </w:t>
      </w:r>
      <w:r w:rsidR="005338D0" w:rsidRPr="00C353E5">
        <w:t>“no contaría con mayor experiencia en derecho administrativo, ni estudios de especialización y/o publicación alguna que se vinculen con el proceso de ratificación de funcionarios públicos, tema que deberá abordar segú</w:t>
      </w:r>
      <w:r w:rsidR="007347DC">
        <w:t>n el objeto de su declaración”</w:t>
      </w:r>
      <w:r w:rsidR="005338D0" w:rsidRPr="00C353E5">
        <w:t>.</w:t>
      </w:r>
      <w:r w:rsidR="001B32E7" w:rsidRPr="00C353E5">
        <w:t xml:space="preserve"> </w:t>
      </w:r>
      <w:r w:rsidR="00C77327" w:rsidRPr="00C353E5">
        <w:t>En consecuencia, solicitó que</w:t>
      </w:r>
      <w:r w:rsidR="005338D0" w:rsidRPr="00C353E5">
        <w:t xml:space="preserve"> se </w:t>
      </w:r>
      <w:r w:rsidR="00320FA3" w:rsidRPr="00C353E5">
        <w:t>inadmita</w:t>
      </w:r>
      <w:r w:rsidR="005338D0" w:rsidRPr="00C353E5">
        <w:t xml:space="preserve"> el peritaje debido a que “el perito no cuenta con la capacidad académica, sustentada en conocimientos técnicos y especializados, ni con la experiencia específica que le permitan emitir una opinión con relación a los aspectos específicos que conforman el objeto concreto de su declaración pericia</w:t>
      </w:r>
      <w:r w:rsidR="00320FA3" w:rsidRPr="00C353E5">
        <w:t>l</w:t>
      </w:r>
      <w:r w:rsidR="007347DC">
        <w:t>”</w:t>
      </w:r>
      <w:r w:rsidR="00C77327" w:rsidRPr="00C353E5">
        <w:t xml:space="preserve">. </w:t>
      </w:r>
      <w:r w:rsidR="00E93B49" w:rsidRPr="00C353E5">
        <w:t xml:space="preserve"> </w:t>
      </w:r>
    </w:p>
    <w:p w14:paraId="2DBD4B41" w14:textId="77777777" w:rsidR="00E93B49" w:rsidRPr="00C353E5" w:rsidRDefault="00E93B49" w:rsidP="00A229DF">
      <w:pPr>
        <w:pStyle w:val="Sinespaciado"/>
        <w:rPr>
          <w:rFonts w:ascii="Verdana" w:hAnsi="Verdana" w:cs="Arial"/>
          <w:sz w:val="20"/>
          <w:szCs w:val="20"/>
        </w:rPr>
      </w:pPr>
    </w:p>
    <w:p w14:paraId="51FCD2A1" w14:textId="77777777" w:rsidR="00266FC1" w:rsidRDefault="001B32E7" w:rsidP="00A229DF">
      <w:pPr>
        <w:pStyle w:val="PrrafodeSentencia"/>
        <w:spacing w:line="240" w:lineRule="auto"/>
      </w:pPr>
      <w:r w:rsidRPr="00222735">
        <w:t>La Presidenta</w:t>
      </w:r>
      <w:r w:rsidR="00E93B49" w:rsidRPr="00222735">
        <w:t xml:space="preserve"> recuerda que el ofrecimiento de declaraciones peri</w:t>
      </w:r>
      <w:r w:rsidR="003F0AAD" w:rsidRPr="00222735">
        <w:t>ciales por parte de la Comisión</w:t>
      </w:r>
      <w:r w:rsidR="00E93B49" w:rsidRPr="00222735">
        <w:t xml:space="preserve"> se fundamenta en el artículo 35.1.f del Reglamento, que supedita el eventual ofrecimiento de peritos a que se afecte de manera relevante el orden público interamericano de los derechos humanos, lo cual corresponde</w:t>
      </w:r>
      <w:r w:rsidR="00974A41" w:rsidRPr="00222735">
        <w:t xml:space="preserve"> sustentar a la Comisión. En es</w:t>
      </w:r>
      <w:r w:rsidR="00E93B49" w:rsidRPr="00222735">
        <w:t>e sentido, esta Presidencia considera que, contrario a lo alegado por el Estado, el objeto del peritaje ofrecido por la Comisión sí trasciende el interés de las partes en litigio y el objeto específico de este caso</w:t>
      </w:r>
      <w:r w:rsidR="00FB7BD4" w:rsidRPr="00222735">
        <w:t xml:space="preserve">, en la medida en que se refiere </w:t>
      </w:r>
      <w:r w:rsidR="001B1AD6" w:rsidRPr="00222735">
        <w:t xml:space="preserve">a </w:t>
      </w:r>
      <w:r w:rsidR="00FB7BD4" w:rsidRPr="00222735">
        <w:rPr>
          <w:rFonts w:cs="Calibri"/>
        </w:rPr>
        <w:t xml:space="preserve">las </w:t>
      </w:r>
      <w:r w:rsidR="005338D0" w:rsidRPr="00222735">
        <w:rPr>
          <w:rFonts w:cs="Calibri"/>
        </w:rPr>
        <w:t xml:space="preserve">garantías de debido proceso y el principio de legalidad aplicables </w:t>
      </w:r>
      <w:r w:rsidR="008B63F8">
        <w:rPr>
          <w:rFonts w:cs="Calibri"/>
        </w:rPr>
        <w:t>a</w:t>
      </w:r>
      <w:r w:rsidR="005338D0" w:rsidRPr="00222735">
        <w:rPr>
          <w:rFonts w:cs="Calibri"/>
        </w:rPr>
        <w:t xml:space="preserve"> los procesos de ratificación de funcionarios públicos, </w:t>
      </w:r>
      <w:r w:rsidR="0012665B" w:rsidRPr="00222735">
        <w:rPr>
          <w:rFonts w:cs="Calibri"/>
        </w:rPr>
        <w:t>para que estos</w:t>
      </w:r>
      <w:r w:rsidR="005338D0" w:rsidRPr="00222735">
        <w:rPr>
          <w:rFonts w:cs="Calibri"/>
        </w:rPr>
        <w:t xml:space="preserve"> sean compatibles con la Convención Americana. </w:t>
      </w:r>
      <w:r w:rsidR="00E93B49" w:rsidRPr="00222735">
        <w:t xml:space="preserve">Por tanto, </w:t>
      </w:r>
      <w:r w:rsidR="006E1B1D" w:rsidRPr="00222735">
        <w:t>la</w:t>
      </w:r>
      <w:r w:rsidR="00E93B49" w:rsidRPr="00222735">
        <w:t xml:space="preserve"> President</w:t>
      </w:r>
      <w:r w:rsidR="006E1B1D" w:rsidRPr="00222735">
        <w:t>a</w:t>
      </w:r>
      <w:r w:rsidR="00E93B49" w:rsidRPr="00222735">
        <w:t xml:space="preserve"> considera que el peritaje propuesto por la Comisión resulta relevante para el orden público interamericano.</w:t>
      </w:r>
    </w:p>
    <w:p w14:paraId="6B295868" w14:textId="77777777" w:rsidR="00266FC1" w:rsidRDefault="00266FC1" w:rsidP="00AE7609">
      <w:pPr>
        <w:pStyle w:val="Sinespaciado"/>
      </w:pPr>
    </w:p>
    <w:p w14:paraId="2C317988" w14:textId="77777777" w:rsidR="0012665B" w:rsidRPr="00222735" w:rsidRDefault="00E93B49" w:rsidP="00A229DF">
      <w:pPr>
        <w:pStyle w:val="PrrafodeSentencia"/>
        <w:spacing w:line="240" w:lineRule="auto"/>
        <w:rPr>
          <w:rStyle w:val="Refdecomentario"/>
          <w:sz w:val="20"/>
          <w:szCs w:val="20"/>
        </w:rPr>
      </w:pPr>
      <w:r w:rsidRPr="00222735">
        <w:rPr>
          <w:rFonts w:cs="Arial"/>
        </w:rPr>
        <w:lastRenderedPageBreak/>
        <w:t xml:space="preserve"> </w:t>
      </w:r>
      <w:r w:rsidR="0012665B" w:rsidRPr="00222735">
        <w:rPr>
          <w:rFonts w:cs="Arial"/>
        </w:rPr>
        <w:t>Por otra parte, la Corte encuentra que el perito propuesto por la Comisión Interamericana es un abogado experto en derecho penal, constitucional y comparado, con más de 35 años de experiencia</w:t>
      </w:r>
      <w:r w:rsidR="00222735" w:rsidRPr="00222735">
        <w:rPr>
          <w:rFonts w:cs="Arial"/>
        </w:rPr>
        <w:t xml:space="preserve"> como funcionario público, litigante, académico y consultor. Además, el objeto del peritaje ofrecido por la Comisión, trasciende el ámbito del derecho administrativo, por lo que, la declaración pericial del señor </w:t>
      </w:r>
      <w:proofErr w:type="spellStart"/>
      <w:r w:rsidR="00222735" w:rsidRPr="00222735">
        <w:rPr>
          <w:rFonts w:cs="Arial"/>
        </w:rPr>
        <w:t>Gullco</w:t>
      </w:r>
      <w:proofErr w:type="spellEnd"/>
      <w:r w:rsidR="00222735" w:rsidRPr="00222735">
        <w:rPr>
          <w:rFonts w:cs="Arial"/>
        </w:rPr>
        <w:t xml:space="preserve">, a juicio de esta Presidencia, resulta adecuada para informar a la Corte sobre asuntos en litigio que se relacionan con su especial saber y experiencia.   </w:t>
      </w:r>
    </w:p>
    <w:p w14:paraId="011011AE" w14:textId="77777777" w:rsidR="0012665B" w:rsidRDefault="0012665B" w:rsidP="00222735">
      <w:pPr>
        <w:pStyle w:val="Sinespaciado"/>
      </w:pPr>
    </w:p>
    <w:p w14:paraId="6082E752" w14:textId="77777777" w:rsidR="00E93B49" w:rsidRPr="007347DC" w:rsidRDefault="005338D0" w:rsidP="00A229DF">
      <w:pPr>
        <w:pStyle w:val="PrrafodeSentencia"/>
        <w:spacing w:line="240" w:lineRule="auto"/>
      </w:pPr>
      <w:r w:rsidRPr="00C353E5">
        <w:t>E</w:t>
      </w:r>
      <w:r w:rsidR="00D76986" w:rsidRPr="00C353E5">
        <w:t>n consecuencia</w:t>
      </w:r>
      <w:r w:rsidR="00E93B49" w:rsidRPr="00C353E5">
        <w:t xml:space="preserve">, </w:t>
      </w:r>
      <w:r w:rsidR="00FB7BD4" w:rsidRPr="00C353E5">
        <w:t>la</w:t>
      </w:r>
      <w:r w:rsidR="00E93B49" w:rsidRPr="00C353E5">
        <w:t xml:space="preserve"> President</w:t>
      </w:r>
      <w:r w:rsidR="00FB7BD4" w:rsidRPr="00C353E5">
        <w:t>a</w:t>
      </w:r>
      <w:r w:rsidR="00E93B49" w:rsidRPr="00C353E5">
        <w:t xml:space="preserve"> </w:t>
      </w:r>
      <w:r w:rsidR="00E93B49" w:rsidRPr="007347DC">
        <w:t xml:space="preserve">estima pertinente admitir el dictamen pericial ofrecido por </w:t>
      </w:r>
      <w:r w:rsidR="00FA54F3" w:rsidRPr="007347DC">
        <w:t>la Comisión</w:t>
      </w:r>
      <w:r w:rsidR="00E93B49" w:rsidRPr="007347DC">
        <w:t xml:space="preserve"> según el objeto y modalidad determinados en la parte resolutiva</w:t>
      </w:r>
      <w:r w:rsidR="00BF1F69" w:rsidRPr="007347DC">
        <w:t xml:space="preserve"> (</w:t>
      </w:r>
      <w:r w:rsidR="00BF1F69" w:rsidRPr="007347DC">
        <w:rPr>
          <w:i/>
        </w:rPr>
        <w:t>infra</w:t>
      </w:r>
      <w:r w:rsidR="00BD5C87" w:rsidRPr="007347DC">
        <w:t xml:space="preserve"> punto resolutivo 1</w:t>
      </w:r>
      <w:r w:rsidR="00BF1F69" w:rsidRPr="007347DC">
        <w:t>).</w:t>
      </w:r>
    </w:p>
    <w:p w14:paraId="18F12DF4" w14:textId="77777777" w:rsidR="003D5DFA" w:rsidRPr="007347DC" w:rsidRDefault="003D5DFA" w:rsidP="00A229DF">
      <w:pPr>
        <w:pStyle w:val="Sinespaciado"/>
        <w:rPr>
          <w:rFonts w:ascii="Verdana" w:hAnsi="Verdana"/>
          <w:sz w:val="20"/>
          <w:szCs w:val="20"/>
        </w:rPr>
      </w:pPr>
    </w:p>
    <w:p w14:paraId="777C9D90" w14:textId="77777777" w:rsidR="00696D4B" w:rsidRPr="007347DC" w:rsidRDefault="003D5DFA" w:rsidP="00A229DF">
      <w:pPr>
        <w:pStyle w:val="Ttulo1"/>
      </w:pPr>
      <w:r w:rsidRPr="007347DC">
        <w:t>Admisibilidad de la</w:t>
      </w:r>
      <w:r w:rsidR="0050550D" w:rsidRPr="007347DC">
        <w:t xml:space="preserve"> </w:t>
      </w:r>
      <w:r w:rsidR="00696D4B" w:rsidRPr="007347DC">
        <w:t>declaraci</w:t>
      </w:r>
      <w:r w:rsidR="00AE7609" w:rsidRPr="007347DC">
        <w:t>ón</w:t>
      </w:r>
      <w:r w:rsidRPr="007347DC">
        <w:t xml:space="preserve"> </w:t>
      </w:r>
      <w:r w:rsidR="00FB4CDB" w:rsidRPr="007347DC">
        <w:t>testimonial</w:t>
      </w:r>
      <w:r w:rsidR="00696D4B" w:rsidRPr="007347DC">
        <w:t xml:space="preserve"> </w:t>
      </w:r>
      <w:r w:rsidR="00D76986" w:rsidRPr="007347DC">
        <w:t>ofrecida</w:t>
      </w:r>
      <w:r w:rsidR="00696D4B" w:rsidRPr="007347DC">
        <w:t xml:space="preserve"> por el Estado</w:t>
      </w:r>
    </w:p>
    <w:p w14:paraId="02B598CC" w14:textId="77777777" w:rsidR="00696D4B" w:rsidRPr="007347DC" w:rsidRDefault="00696D4B" w:rsidP="00A229DF">
      <w:pPr>
        <w:pStyle w:val="Sinespaciado"/>
        <w:rPr>
          <w:rFonts w:ascii="Verdana" w:hAnsi="Verdana"/>
          <w:sz w:val="20"/>
          <w:szCs w:val="20"/>
        </w:rPr>
      </w:pPr>
    </w:p>
    <w:p w14:paraId="0BB38AC7" w14:textId="77777777" w:rsidR="001B7853" w:rsidRPr="007347DC" w:rsidRDefault="000941C3" w:rsidP="00A91813">
      <w:pPr>
        <w:pStyle w:val="PrrafodeSentencia"/>
        <w:spacing w:line="240" w:lineRule="auto"/>
        <w:rPr>
          <w:rStyle w:val="None"/>
        </w:rPr>
      </w:pPr>
      <w:r w:rsidRPr="007347DC">
        <w:t xml:space="preserve">El </w:t>
      </w:r>
      <w:r w:rsidRPr="007347DC">
        <w:rPr>
          <w:b/>
          <w:i/>
        </w:rPr>
        <w:t>Estado</w:t>
      </w:r>
      <w:r w:rsidR="003D5DFA" w:rsidRPr="007347DC">
        <w:rPr>
          <w:rStyle w:val="None"/>
        </w:rPr>
        <w:t xml:space="preserve"> ofreció la</w:t>
      </w:r>
      <w:r w:rsidR="00627C34" w:rsidRPr="007347DC">
        <w:rPr>
          <w:rStyle w:val="None"/>
        </w:rPr>
        <w:t xml:space="preserve"> de</w:t>
      </w:r>
      <w:r w:rsidR="00D76986" w:rsidRPr="007347DC">
        <w:rPr>
          <w:rStyle w:val="None"/>
        </w:rPr>
        <w:t>claraci</w:t>
      </w:r>
      <w:r w:rsidR="003D5DFA" w:rsidRPr="007347DC">
        <w:rPr>
          <w:rStyle w:val="None"/>
        </w:rPr>
        <w:t>ón</w:t>
      </w:r>
      <w:r w:rsidR="00D76986" w:rsidRPr="007347DC">
        <w:rPr>
          <w:rStyle w:val="None"/>
        </w:rPr>
        <w:t xml:space="preserve"> testimonial</w:t>
      </w:r>
      <w:r w:rsidR="003D5DFA" w:rsidRPr="007347DC">
        <w:rPr>
          <w:rStyle w:val="None"/>
        </w:rPr>
        <w:t xml:space="preserve"> de</w:t>
      </w:r>
      <w:r w:rsidR="00D76986" w:rsidRPr="007347DC">
        <w:rPr>
          <w:rStyle w:val="None"/>
        </w:rPr>
        <w:t xml:space="preserve">l </w:t>
      </w:r>
      <w:r w:rsidR="003D5DFA" w:rsidRPr="007347DC">
        <w:rPr>
          <w:rStyle w:val="None"/>
        </w:rPr>
        <w:t>señor</w:t>
      </w:r>
      <w:r w:rsidR="00627C34" w:rsidRPr="007347DC">
        <w:rPr>
          <w:rStyle w:val="None"/>
        </w:rPr>
        <w:t xml:space="preserve"> </w:t>
      </w:r>
      <w:r w:rsidR="003D5DFA" w:rsidRPr="007347DC">
        <w:t>Jaime Gómez Valverde</w:t>
      </w:r>
      <w:r w:rsidR="00EC1845" w:rsidRPr="007347DC">
        <w:rPr>
          <w:rStyle w:val="Refdenotaalpie"/>
          <w:sz w:val="20"/>
        </w:rPr>
        <w:footnoteReference w:id="4"/>
      </w:r>
      <w:r w:rsidR="00B50165" w:rsidRPr="007347DC">
        <w:rPr>
          <w:rStyle w:val="None"/>
        </w:rPr>
        <w:t>.</w:t>
      </w:r>
      <w:r w:rsidR="001B7853" w:rsidRPr="007347DC">
        <w:rPr>
          <w:rStyle w:val="None"/>
        </w:rPr>
        <w:t xml:space="preserve"> </w:t>
      </w:r>
    </w:p>
    <w:p w14:paraId="01DF9E69" w14:textId="77777777" w:rsidR="001B7853" w:rsidRPr="007347DC" w:rsidRDefault="001B7853" w:rsidP="001B7853">
      <w:pPr>
        <w:pStyle w:val="PrrafodeSentencia"/>
        <w:numPr>
          <w:ilvl w:val="0"/>
          <w:numId w:val="0"/>
        </w:numPr>
        <w:spacing w:line="240" w:lineRule="auto"/>
        <w:rPr>
          <w:rStyle w:val="None"/>
        </w:rPr>
      </w:pPr>
    </w:p>
    <w:p w14:paraId="7ACCC965" w14:textId="77777777" w:rsidR="001B7853" w:rsidRDefault="00B50165" w:rsidP="00A91813">
      <w:pPr>
        <w:pStyle w:val="PrrafodeSentencia"/>
        <w:spacing w:line="240" w:lineRule="auto"/>
      </w:pPr>
      <w:r w:rsidRPr="007347DC">
        <w:rPr>
          <w:color w:val="000000" w:themeColor="text1"/>
        </w:rPr>
        <w:t xml:space="preserve">La </w:t>
      </w:r>
      <w:r w:rsidRPr="007347DC">
        <w:rPr>
          <w:b/>
          <w:i/>
          <w:color w:val="000000" w:themeColor="text1"/>
        </w:rPr>
        <w:t>presunta víctima</w:t>
      </w:r>
      <w:r w:rsidRPr="007347DC">
        <w:t xml:space="preserve"> no presentó observaciones </w:t>
      </w:r>
      <w:r w:rsidR="0096176F" w:rsidRPr="007347DC">
        <w:t xml:space="preserve">a los declarantes propuestos por el Estado </w:t>
      </w:r>
      <w:r w:rsidRPr="007347DC">
        <w:t xml:space="preserve">dentro del plazo </w:t>
      </w:r>
      <w:r w:rsidR="00222735" w:rsidRPr="007347DC">
        <w:t>establecido para tales efectos</w:t>
      </w:r>
      <w:r w:rsidR="007625E8" w:rsidRPr="007347DC">
        <w:t xml:space="preserve"> (</w:t>
      </w:r>
      <w:r w:rsidR="007625E8" w:rsidRPr="007347DC">
        <w:rPr>
          <w:i/>
        </w:rPr>
        <w:t xml:space="preserve">supra </w:t>
      </w:r>
      <w:r w:rsidR="007625E8" w:rsidRPr="007347DC">
        <w:t>Considerando 3)</w:t>
      </w:r>
      <w:r w:rsidR="00222735" w:rsidRPr="007347DC">
        <w:t>. Sin embargo, en una oportunidad procesal anterior</w:t>
      </w:r>
      <w:r w:rsidR="000037DD" w:rsidRPr="007347DC">
        <w:t xml:space="preserve"> </w:t>
      </w:r>
      <w:r w:rsidR="004827EF" w:rsidRPr="007347DC">
        <w:t xml:space="preserve">objetó la declaración testimonial. Argumentó que </w:t>
      </w:r>
      <w:r w:rsidR="0096176F" w:rsidRPr="007347DC">
        <w:t>el señor Gómez Valverde no habí</w:t>
      </w:r>
      <w:r w:rsidR="004827EF" w:rsidRPr="007347DC">
        <w:t>a estado presente ni tenido participación alguna</w:t>
      </w:r>
      <w:r w:rsidR="004827EF">
        <w:t xml:space="preserve"> en los hechos del </w:t>
      </w:r>
      <w:r w:rsidR="00776603">
        <w:t>caso, razón por la cual no podí</w:t>
      </w:r>
      <w:r w:rsidR="004827EF">
        <w:t xml:space="preserve">a presentar un testimonio sobre lo ocurrido. </w:t>
      </w:r>
    </w:p>
    <w:p w14:paraId="1D571F89" w14:textId="77777777" w:rsidR="001B7853" w:rsidRDefault="001B7853" w:rsidP="001B7853">
      <w:pPr>
        <w:pStyle w:val="Sinespaciado"/>
      </w:pPr>
    </w:p>
    <w:p w14:paraId="32618763" w14:textId="77777777" w:rsidR="008E016C" w:rsidRPr="007347DC" w:rsidRDefault="00B50165" w:rsidP="00A91813">
      <w:pPr>
        <w:pStyle w:val="PrrafodeSentencia"/>
        <w:spacing w:line="240" w:lineRule="auto"/>
      </w:pPr>
      <w:r w:rsidRPr="00C353E5">
        <w:t xml:space="preserve">La </w:t>
      </w:r>
      <w:r w:rsidRPr="001B7853">
        <w:rPr>
          <w:b/>
          <w:i/>
        </w:rPr>
        <w:t xml:space="preserve">Comisión </w:t>
      </w:r>
      <w:r w:rsidRPr="00C353E5">
        <w:t>indicó no tener observaciones</w:t>
      </w:r>
      <w:r w:rsidR="004827EF">
        <w:t xml:space="preserve"> sobre las declaraciones propuestas por el </w:t>
      </w:r>
      <w:r w:rsidR="004827EF" w:rsidRPr="007347DC">
        <w:t>Estado</w:t>
      </w:r>
      <w:r w:rsidRPr="007347DC">
        <w:t xml:space="preserve">. </w:t>
      </w:r>
    </w:p>
    <w:p w14:paraId="6293B8C7" w14:textId="77777777" w:rsidR="00330D13" w:rsidRPr="007347DC" w:rsidRDefault="00330D13" w:rsidP="00B23931">
      <w:pPr>
        <w:pStyle w:val="Sinespaciado"/>
      </w:pPr>
    </w:p>
    <w:p w14:paraId="5824A600" w14:textId="77777777" w:rsidR="0096176F" w:rsidRPr="007347DC" w:rsidRDefault="007625E8" w:rsidP="00A72FD4">
      <w:pPr>
        <w:pStyle w:val="PrrafodeSentencia"/>
        <w:spacing w:line="240" w:lineRule="auto"/>
      </w:pPr>
      <w:r w:rsidRPr="007347DC">
        <w:t>Sobre las observaciones presentadas por la presunta víctima, las cuales el Estado tuvo la oportunidad de conocer</w:t>
      </w:r>
      <w:r w:rsidR="00FD1EC4" w:rsidRPr="007347DC">
        <w:t>, esta Presidencia encuentra que, en efecto, los testigos solamente pueden referirse a hechos o situaciones que les consten</w:t>
      </w:r>
      <w:r w:rsidR="00250957" w:rsidRPr="007347DC">
        <w:rPr>
          <w:rStyle w:val="Refdenotaalpie"/>
        </w:rPr>
        <w:footnoteReference w:id="5"/>
      </w:r>
      <w:r w:rsidR="00FD1EC4" w:rsidRPr="007347DC">
        <w:t xml:space="preserve">. Sin embargo, según el objeto de la declaración solicitada por el Estado, no </w:t>
      </w:r>
      <w:r w:rsidR="001B7853" w:rsidRPr="007347DC">
        <w:t>es</w:t>
      </w:r>
      <w:r w:rsidR="00FD1EC4" w:rsidRPr="007347DC">
        <w:t xml:space="preserve"> necesario que el señor Gómez Valverde hubiera estado presente al momento de los hechos para que pueda rendir una declaración sobre </w:t>
      </w:r>
      <w:r w:rsidR="00E16BB8" w:rsidRPr="007347DC">
        <w:t xml:space="preserve">(i) </w:t>
      </w:r>
      <w:r w:rsidR="00B50165" w:rsidRPr="007347DC">
        <w:t xml:space="preserve">las </w:t>
      </w:r>
      <w:r w:rsidR="00FD1EC4" w:rsidRPr="007347DC">
        <w:t>particularidades</w:t>
      </w:r>
      <w:r w:rsidR="00B50165" w:rsidRPr="007347DC">
        <w:t xml:space="preserve"> del proceso de</w:t>
      </w:r>
      <w:r w:rsidR="00B50165" w:rsidRPr="00C353E5">
        <w:t xml:space="preserve"> </w:t>
      </w:r>
      <w:r w:rsidR="008E016C">
        <w:t xml:space="preserve">ratificación de </w:t>
      </w:r>
      <w:r w:rsidR="00B50165" w:rsidRPr="00C353E5">
        <w:t xml:space="preserve">secretarios judiciales </w:t>
      </w:r>
      <w:r w:rsidR="0096176F">
        <w:t>a</w:t>
      </w:r>
      <w:r w:rsidR="00B50165" w:rsidRPr="00C353E5">
        <w:t>l momento de los hechos</w:t>
      </w:r>
      <w:r w:rsidR="00E16BB8">
        <w:t>;</w:t>
      </w:r>
      <w:r w:rsidR="008E016C">
        <w:t xml:space="preserve"> </w:t>
      </w:r>
      <w:r w:rsidR="00E16BB8">
        <w:t>(ii)</w:t>
      </w:r>
      <w:r w:rsidR="008E016C">
        <w:t xml:space="preserve"> sus diferencias </w:t>
      </w:r>
      <w:r w:rsidR="00BD5C87" w:rsidRPr="00C353E5">
        <w:t xml:space="preserve">con el proceso de </w:t>
      </w:r>
      <w:r w:rsidR="00E16BB8">
        <w:t xml:space="preserve">disciplinario; y (iii) el marco normativo actual. </w:t>
      </w:r>
      <w:r w:rsidR="007D767A">
        <w:t>En ese sentido, que</w:t>
      </w:r>
      <w:r w:rsidR="00FA54F3">
        <w:t xml:space="preserve"> los testigos solamente pueda</w:t>
      </w:r>
      <w:r w:rsidR="0080726D">
        <w:t>n referirse a hechos</w:t>
      </w:r>
      <w:r w:rsidR="00B22CCB">
        <w:t xml:space="preserve"> o situaciones</w:t>
      </w:r>
      <w:r w:rsidR="0080726D">
        <w:t xml:space="preserve"> que les consten</w:t>
      </w:r>
      <w:r w:rsidR="00B22CCB">
        <w:t>, no implica necesariamente que deb</w:t>
      </w:r>
      <w:r w:rsidR="00FA54F3">
        <w:t>a</w:t>
      </w:r>
      <w:r w:rsidR="00B22CCB">
        <w:t xml:space="preserve">n haber participado </w:t>
      </w:r>
      <w:r w:rsidR="001B7853">
        <w:t>de</w:t>
      </w:r>
      <w:r w:rsidR="00B22CCB">
        <w:t xml:space="preserve"> los hechos del caso</w:t>
      </w:r>
      <w:r w:rsidR="007D767A">
        <w:t xml:space="preserve">, sino que les </w:t>
      </w:r>
      <w:r w:rsidR="007D767A" w:rsidRPr="007347DC">
        <w:t>debe constar aquello sobre lo que van a declarar</w:t>
      </w:r>
      <w:r w:rsidR="00B22CCB" w:rsidRPr="007347DC">
        <w:t xml:space="preserve">. </w:t>
      </w:r>
      <w:r w:rsidR="0080726D" w:rsidRPr="007347DC">
        <w:t xml:space="preserve">Conforme a lo anterior, </w:t>
      </w:r>
      <w:r w:rsidR="00FA54F3" w:rsidRPr="007347DC">
        <w:t xml:space="preserve">esta Presidencia desestima las objeciones de la </w:t>
      </w:r>
      <w:r w:rsidRPr="007347DC">
        <w:t>presunta víctima</w:t>
      </w:r>
      <w:r w:rsidR="00FA54F3" w:rsidRPr="007347DC">
        <w:t xml:space="preserve"> y procederá a admitir</w:t>
      </w:r>
      <w:r w:rsidR="0080726D" w:rsidRPr="007347DC">
        <w:t xml:space="preserve"> el testimonio del señor Gómez Valverde</w:t>
      </w:r>
      <w:r w:rsidR="00FD1EC4" w:rsidRPr="007347DC">
        <w:t xml:space="preserve"> según el objeto y modalidad determinados en la parte resolutiva (</w:t>
      </w:r>
      <w:r w:rsidR="00FD1EC4" w:rsidRPr="007347DC">
        <w:rPr>
          <w:i/>
        </w:rPr>
        <w:t>infra</w:t>
      </w:r>
      <w:r w:rsidR="00FD1EC4" w:rsidRPr="007347DC">
        <w:t xml:space="preserve"> punto resolutivo 1).</w:t>
      </w:r>
    </w:p>
    <w:p w14:paraId="11012392" w14:textId="77777777" w:rsidR="003626D4" w:rsidRPr="00C353E5" w:rsidRDefault="003626D4" w:rsidP="00A229DF">
      <w:pPr>
        <w:widowControl w:val="0"/>
        <w:tabs>
          <w:tab w:val="left" w:pos="0"/>
          <w:tab w:val="left" w:pos="567"/>
        </w:tabs>
        <w:autoSpaceDE w:val="0"/>
        <w:autoSpaceDN w:val="0"/>
        <w:adjustRightInd w:val="0"/>
        <w:spacing w:after="0" w:line="240" w:lineRule="auto"/>
        <w:ind w:right="22"/>
        <w:jc w:val="both"/>
        <w:rPr>
          <w:rFonts w:ascii="Verdana" w:hAnsi="Verdana"/>
          <w:bCs/>
          <w:iCs/>
          <w:sz w:val="20"/>
          <w:szCs w:val="20"/>
        </w:rPr>
      </w:pPr>
    </w:p>
    <w:p w14:paraId="73BE5C25" w14:textId="77777777" w:rsidR="003626D4" w:rsidRPr="00C353E5" w:rsidRDefault="003626D4" w:rsidP="00A229DF">
      <w:pPr>
        <w:tabs>
          <w:tab w:val="left" w:pos="567"/>
        </w:tabs>
        <w:spacing w:after="0" w:line="240" w:lineRule="auto"/>
        <w:jc w:val="both"/>
        <w:rPr>
          <w:rFonts w:ascii="Verdana" w:eastAsia="Calibri" w:hAnsi="Verdana" w:cs="Verdana"/>
          <w:b/>
          <w:bCs/>
          <w:sz w:val="20"/>
          <w:szCs w:val="20"/>
        </w:rPr>
      </w:pPr>
      <w:r w:rsidRPr="00C353E5">
        <w:rPr>
          <w:rFonts w:ascii="Verdana" w:eastAsia="Calibri" w:hAnsi="Verdana" w:cs="Verdana"/>
          <w:b/>
          <w:bCs/>
          <w:sz w:val="20"/>
          <w:szCs w:val="20"/>
        </w:rPr>
        <w:t>POR TANTO:</w:t>
      </w:r>
    </w:p>
    <w:p w14:paraId="68E1FBEA" w14:textId="77777777" w:rsidR="003626D4" w:rsidRPr="00C353E5" w:rsidRDefault="003626D4" w:rsidP="00A229DF">
      <w:pPr>
        <w:tabs>
          <w:tab w:val="left" w:pos="567"/>
        </w:tabs>
        <w:spacing w:after="0" w:line="240" w:lineRule="auto"/>
        <w:jc w:val="both"/>
        <w:rPr>
          <w:rFonts w:ascii="Verdana" w:eastAsia="Calibri" w:hAnsi="Verdana" w:cs="Verdana"/>
          <w:b/>
          <w:bCs/>
          <w:sz w:val="20"/>
          <w:szCs w:val="20"/>
        </w:rPr>
      </w:pPr>
    </w:p>
    <w:p w14:paraId="408A1F3E" w14:textId="77777777" w:rsidR="003626D4" w:rsidRPr="00C353E5" w:rsidRDefault="003626D4" w:rsidP="00A229DF">
      <w:pPr>
        <w:tabs>
          <w:tab w:val="left" w:pos="567"/>
        </w:tabs>
        <w:spacing w:after="0" w:line="240" w:lineRule="auto"/>
        <w:jc w:val="both"/>
        <w:rPr>
          <w:rFonts w:ascii="Verdana" w:eastAsia="Calibri" w:hAnsi="Verdana" w:cs="Verdana"/>
          <w:b/>
          <w:bCs/>
          <w:sz w:val="20"/>
          <w:szCs w:val="20"/>
        </w:rPr>
      </w:pPr>
      <w:r w:rsidRPr="00C353E5">
        <w:rPr>
          <w:rFonts w:ascii="Verdana" w:eastAsia="Calibri" w:hAnsi="Verdana" w:cs="Verdana"/>
          <w:b/>
          <w:bCs/>
          <w:sz w:val="20"/>
          <w:szCs w:val="20"/>
        </w:rPr>
        <w:t>L</w:t>
      </w:r>
      <w:r w:rsidR="00974E23" w:rsidRPr="00C353E5">
        <w:rPr>
          <w:rFonts w:ascii="Verdana" w:eastAsia="Calibri" w:hAnsi="Verdana" w:cs="Verdana"/>
          <w:b/>
          <w:bCs/>
          <w:sz w:val="20"/>
          <w:szCs w:val="20"/>
        </w:rPr>
        <w:t>A</w:t>
      </w:r>
      <w:r w:rsidRPr="00C353E5">
        <w:rPr>
          <w:rFonts w:ascii="Verdana" w:eastAsia="Calibri" w:hAnsi="Verdana" w:cs="Verdana"/>
          <w:b/>
          <w:bCs/>
          <w:sz w:val="20"/>
          <w:szCs w:val="20"/>
        </w:rPr>
        <w:t xml:space="preserve"> PRESIDENT</w:t>
      </w:r>
      <w:r w:rsidR="00974E23" w:rsidRPr="00C353E5">
        <w:rPr>
          <w:rFonts w:ascii="Verdana" w:eastAsia="Calibri" w:hAnsi="Verdana" w:cs="Verdana"/>
          <w:b/>
          <w:bCs/>
          <w:sz w:val="20"/>
          <w:szCs w:val="20"/>
        </w:rPr>
        <w:t>A</w:t>
      </w:r>
      <w:r w:rsidRPr="00C353E5">
        <w:rPr>
          <w:rFonts w:ascii="Verdana" w:eastAsia="Calibri" w:hAnsi="Verdana" w:cs="Verdana"/>
          <w:b/>
          <w:bCs/>
          <w:sz w:val="20"/>
          <w:szCs w:val="20"/>
        </w:rPr>
        <w:t xml:space="preserve"> DE LA CORTE INTERAMERICANA DE DERECHOS HUMANOS, </w:t>
      </w:r>
    </w:p>
    <w:p w14:paraId="0DDD6232" w14:textId="77777777" w:rsidR="003626D4" w:rsidRPr="00C353E5" w:rsidRDefault="003626D4" w:rsidP="00A229DF">
      <w:pPr>
        <w:tabs>
          <w:tab w:val="left" w:pos="567"/>
        </w:tabs>
        <w:spacing w:after="0" w:line="240" w:lineRule="auto"/>
        <w:jc w:val="both"/>
        <w:rPr>
          <w:rFonts w:ascii="Verdana" w:eastAsia="Calibri" w:hAnsi="Verdana" w:cs="Verdana"/>
          <w:b/>
          <w:bCs/>
          <w:sz w:val="20"/>
          <w:szCs w:val="20"/>
        </w:rPr>
      </w:pPr>
    </w:p>
    <w:p w14:paraId="010CD562" w14:textId="77777777" w:rsidR="003626D4" w:rsidRPr="00C353E5" w:rsidRDefault="003626D4" w:rsidP="00A229DF">
      <w:pPr>
        <w:tabs>
          <w:tab w:val="left" w:pos="567"/>
        </w:tabs>
        <w:spacing w:after="0" w:line="240" w:lineRule="auto"/>
        <w:jc w:val="both"/>
        <w:rPr>
          <w:rFonts w:ascii="Verdana" w:eastAsia="Calibri" w:hAnsi="Verdana" w:cs="Verdana"/>
          <w:sz w:val="20"/>
          <w:szCs w:val="20"/>
        </w:rPr>
      </w:pPr>
      <w:r w:rsidRPr="00C353E5">
        <w:rPr>
          <w:rFonts w:ascii="Verdana" w:eastAsia="Calibri" w:hAnsi="Verdana" w:cs="Verdana"/>
          <w:sz w:val="20"/>
          <w:szCs w:val="20"/>
        </w:rPr>
        <w:t xml:space="preserve">de conformidad con </w:t>
      </w:r>
      <w:r w:rsidR="00E6633A" w:rsidRPr="00C353E5">
        <w:rPr>
          <w:rFonts w:ascii="Verdana" w:eastAsia="Calibri" w:hAnsi="Verdana" w:cs="Verdana"/>
          <w:sz w:val="20"/>
          <w:szCs w:val="20"/>
        </w:rPr>
        <w:t>los</w:t>
      </w:r>
      <w:r w:rsidR="00783C4F" w:rsidRPr="00C353E5">
        <w:rPr>
          <w:rFonts w:ascii="Verdana" w:eastAsia="Calibri" w:hAnsi="Verdana" w:cs="Verdana"/>
          <w:sz w:val="20"/>
          <w:szCs w:val="20"/>
        </w:rPr>
        <w:t xml:space="preserve"> artículo</w:t>
      </w:r>
      <w:r w:rsidR="00E6633A" w:rsidRPr="00C353E5">
        <w:rPr>
          <w:rFonts w:ascii="Verdana" w:eastAsia="Calibri" w:hAnsi="Verdana" w:cs="Verdana"/>
          <w:sz w:val="20"/>
          <w:szCs w:val="20"/>
        </w:rPr>
        <w:t>s</w:t>
      </w:r>
      <w:r w:rsidR="00A76374" w:rsidRPr="00C353E5">
        <w:rPr>
          <w:rFonts w:ascii="Verdana" w:eastAsia="Calibri" w:hAnsi="Verdana" w:cs="Verdana"/>
          <w:sz w:val="20"/>
          <w:szCs w:val="20"/>
        </w:rPr>
        <w:t xml:space="preserve"> </w:t>
      </w:r>
      <w:r w:rsidRPr="00C353E5">
        <w:rPr>
          <w:rFonts w:ascii="Verdana" w:eastAsia="Calibri" w:hAnsi="Verdana" w:cs="Verdana"/>
          <w:sz w:val="20"/>
          <w:szCs w:val="20"/>
        </w:rPr>
        <w:t>25.2 del Estatuto de la Corte y con los artículos 4, 15.1, 26.1, 31.2, 35.1</w:t>
      </w:r>
      <w:r w:rsidR="000941C3" w:rsidRPr="00C353E5">
        <w:rPr>
          <w:rFonts w:ascii="Verdana" w:eastAsia="Calibri" w:hAnsi="Verdana" w:cs="Verdana"/>
          <w:sz w:val="20"/>
          <w:szCs w:val="20"/>
        </w:rPr>
        <w:t>, 40.2, 41.1</w:t>
      </w:r>
      <w:r w:rsidRPr="00C353E5">
        <w:rPr>
          <w:rFonts w:ascii="Verdana" w:eastAsia="Calibri" w:hAnsi="Verdana" w:cs="Verdana"/>
          <w:sz w:val="20"/>
          <w:szCs w:val="20"/>
        </w:rPr>
        <w:t>, 45</w:t>
      </w:r>
      <w:r w:rsidR="00790637" w:rsidRPr="00C353E5">
        <w:rPr>
          <w:rFonts w:ascii="Verdana" w:eastAsia="Calibri" w:hAnsi="Verdana" w:cs="Verdana"/>
          <w:sz w:val="20"/>
          <w:szCs w:val="20"/>
        </w:rPr>
        <w:t xml:space="preserve"> a</w:t>
      </w:r>
      <w:r w:rsidRPr="00C353E5">
        <w:rPr>
          <w:rFonts w:ascii="Verdana" w:eastAsia="Calibri" w:hAnsi="Verdana" w:cs="Verdana"/>
          <w:sz w:val="20"/>
          <w:szCs w:val="20"/>
        </w:rPr>
        <w:t xml:space="preserve"> </w:t>
      </w:r>
      <w:r w:rsidR="00BF040A" w:rsidRPr="00C353E5">
        <w:rPr>
          <w:rFonts w:ascii="Verdana" w:eastAsia="Calibri" w:hAnsi="Verdana" w:cs="Verdana"/>
          <w:sz w:val="20"/>
          <w:szCs w:val="20"/>
        </w:rPr>
        <w:t>48</w:t>
      </w:r>
      <w:r w:rsidRPr="00C353E5">
        <w:rPr>
          <w:rFonts w:ascii="Verdana" w:eastAsia="Calibri" w:hAnsi="Verdana" w:cs="Verdana"/>
          <w:sz w:val="20"/>
          <w:szCs w:val="20"/>
        </w:rPr>
        <w:t>, 50</w:t>
      </w:r>
      <w:r w:rsidR="00790637" w:rsidRPr="00C353E5">
        <w:rPr>
          <w:rFonts w:ascii="Verdana" w:eastAsia="Calibri" w:hAnsi="Verdana" w:cs="Verdana"/>
          <w:sz w:val="20"/>
          <w:szCs w:val="20"/>
        </w:rPr>
        <w:t xml:space="preserve"> a</w:t>
      </w:r>
      <w:r w:rsidRPr="00C353E5">
        <w:rPr>
          <w:rFonts w:ascii="Verdana" w:eastAsia="Calibri" w:hAnsi="Verdana" w:cs="Verdana"/>
          <w:sz w:val="20"/>
          <w:szCs w:val="20"/>
        </w:rPr>
        <w:t xml:space="preserve"> 56</w:t>
      </w:r>
      <w:r w:rsidR="000941C3" w:rsidRPr="00C353E5">
        <w:rPr>
          <w:rFonts w:ascii="Verdana" w:eastAsia="Calibri" w:hAnsi="Verdana" w:cs="Verdana"/>
          <w:sz w:val="20"/>
          <w:szCs w:val="20"/>
        </w:rPr>
        <w:t xml:space="preserve">, 58 </w:t>
      </w:r>
      <w:r w:rsidRPr="00C353E5">
        <w:rPr>
          <w:rFonts w:ascii="Verdana" w:eastAsia="Calibri" w:hAnsi="Verdana" w:cs="Verdana"/>
          <w:sz w:val="20"/>
          <w:szCs w:val="20"/>
        </w:rPr>
        <w:t xml:space="preserve">y 60 del Reglamento, </w:t>
      </w:r>
    </w:p>
    <w:p w14:paraId="6462D370" w14:textId="77777777" w:rsidR="003626D4" w:rsidRPr="00C353E5" w:rsidRDefault="003626D4" w:rsidP="00A229DF">
      <w:pPr>
        <w:tabs>
          <w:tab w:val="left" w:pos="567"/>
        </w:tabs>
        <w:spacing w:after="0" w:line="240" w:lineRule="auto"/>
        <w:jc w:val="both"/>
        <w:rPr>
          <w:rFonts w:ascii="Verdana" w:eastAsia="Calibri" w:hAnsi="Verdana" w:cs="Verdana"/>
          <w:sz w:val="20"/>
          <w:szCs w:val="20"/>
        </w:rPr>
      </w:pPr>
    </w:p>
    <w:p w14:paraId="3E564A6D" w14:textId="77777777" w:rsidR="003626D4" w:rsidRPr="00C353E5" w:rsidRDefault="003626D4" w:rsidP="00A229DF">
      <w:pPr>
        <w:tabs>
          <w:tab w:val="left" w:pos="567"/>
        </w:tabs>
        <w:spacing w:after="0" w:line="240" w:lineRule="auto"/>
        <w:jc w:val="both"/>
        <w:rPr>
          <w:rFonts w:ascii="Verdana" w:eastAsia="Calibri" w:hAnsi="Verdana" w:cs="Verdana"/>
          <w:b/>
          <w:bCs/>
          <w:sz w:val="20"/>
          <w:szCs w:val="20"/>
        </w:rPr>
      </w:pPr>
      <w:r w:rsidRPr="00C353E5">
        <w:rPr>
          <w:rFonts w:ascii="Verdana" w:eastAsia="Calibri" w:hAnsi="Verdana" w:cs="Verdana"/>
          <w:b/>
          <w:bCs/>
          <w:sz w:val="20"/>
          <w:szCs w:val="20"/>
        </w:rPr>
        <w:t>RESUELVE:</w:t>
      </w:r>
    </w:p>
    <w:p w14:paraId="0F721BA1" w14:textId="77777777" w:rsidR="00A314C8" w:rsidRPr="00C353E5" w:rsidRDefault="00A314C8" w:rsidP="00A229DF">
      <w:pPr>
        <w:pStyle w:val="PrrafodeSentencia"/>
        <w:numPr>
          <w:ilvl w:val="0"/>
          <w:numId w:val="0"/>
        </w:numPr>
        <w:tabs>
          <w:tab w:val="clear" w:pos="567"/>
          <w:tab w:val="left" w:pos="284"/>
        </w:tabs>
        <w:spacing w:line="240" w:lineRule="auto"/>
      </w:pPr>
      <w:bookmarkStart w:id="1" w:name="_Ref519530172"/>
      <w:bookmarkStart w:id="2" w:name="_Ref445286350"/>
    </w:p>
    <w:p w14:paraId="279AB5C6" w14:textId="77777777" w:rsidR="00627C34" w:rsidRPr="00C353E5" w:rsidRDefault="003219F3" w:rsidP="00A229DF">
      <w:pPr>
        <w:pStyle w:val="PrrafodeSentencia"/>
        <w:numPr>
          <w:ilvl w:val="0"/>
          <w:numId w:val="26"/>
        </w:numPr>
        <w:tabs>
          <w:tab w:val="clear" w:pos="567"/>
          <w:tab w:val="left" w:pos="284"/>
        </w:tabs>
        <w:spacing w:line="240" w:lineRule="auto"/>
        <w:ind w:left="0" w:firstLine="0"/>
      </w:pPr>
      <w:r w:rsidRPr="00C353E5">
        <w:t>Requerir, por las razones expuestas en la presente Resolución, de conformidad con el principio de economía procesal y la facultad que le otorga el artículo 50.1 del Reglamento de la Corte, que las siguientes personas presenten su declaración y peritajes ante fedatario público (affidávit):</w:t>
      </w:r>
    </w:p>
    <w:bookmarkEnd w:id="1"/>
    <w:p w14:paraId="753C2EF0" w14:textId="77777777" w:rsidR="003626D4" w:rsidRPr="00C353E5" w:rsidRDefault="003626D4" w:rsidP="00A229DF">
      <w:pPr>
        <w:pStyle w:val="Sinespaciado"/>
        <w:rPr>
          <w:rFonts w:ascii="Verdana" w:hAnsi="Verdana"/>
          <w:sz w:val="20"/>
          <w:szCs w:val="20"/>
        </w:rPr>
      </w:pPr>
    </w:p>
    <w:p w14:paraId="20E1AE5E" w14:textId="77777777" w:rsidR="003626D4" w:rsidRPr="00C353E5" w:rsidRDefault="00ED21AC" w:rsidP="00A229DF">
      <w:pPr>
        <w:pStyle w:val="Prrafodelista"/>
        <w:widowControl/>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line="240" w:lineRule="auto"/>
        <w:contextualSpacing/>
        <w:rPr>
          <w:b/>
          <w:bCs/>
          <w:i/>
          <w:iCs/>
          <w:sz w:val="20"/>
          <w:szCs w:val="20"/>
        </w:rPr>
      </w:pPr>
      <w:r w:rsidRPr="00C353E5">
        <w:rPr>
          <w:b/>
          <w:bCs/>
          <w:i/>
          <w:iCs/>
          <w:sz w:val="20"/>
          <w:szCs w:val="20"/>
        </w:rPr>
        <w:t>Declaración</w:t>
      </w:r>
      <w:r w:rsidR="00595E48" w:rsidRPr="00C353E5">
        <w:rPr>
          <w:b/>
          <w:bCs/>
          <w:i/>
          <w:iCs/>
          <w:sz w:val="20"/>
          <w:szCs w:val="20"/>
        </w:rPr>
        <w:t xml:space="preserve"> testimonial </w:t>
      </w:r>
      <w:r w:rsidR="00974E23" w:rsidRPr="00C353E5">
        <w:rPr>
          <w:b/>
          <w:bCs/>
          <w:i/>
          <w:iCs/>
          <w:sz w:val="20"/>
          <w:szCs w:val="20"/>
        </w:rPr>
        <w:t>(</w:t>
      </w:r>
      <w:r w:rsidR="00595E48" w:rsidRPr="00C353E5">
        <w:rPr>
          <w:b/>
          <w:bCs/>
          <w:i/>
          <w:iCs/>
          <w:sz w:val="20"/>
          <w:szCs w:val="20"/>
        </w:rPr>
        <w:t>propuesta</w:t>
      </w:r>
      <w:r w:rsidR="003626D4" w:rsidRPr="00C353E5">
        <w:rPr>
          <w:b/>
          <w:bCs/>
          <w:i/>
          <w:iCs/>
          <w:sz w:val="20"/>
          <w:szCs w:val="20"/>
        </w:rPr>
        <w:t xml:space="preserve"> por </w:t>
      </w:r>
      <w:r w:rsidR="00974E23" w:rsidRPr="00C353E5">
        <w:rPr>
          <w:b/>
          <w:bCs/>
          <w:i/>
          <w:iCs/>
          <w:sz w:val="20"/>
          <w:szCs w:val="20"/>
        </w:rPr>
        <w:t>e</w:t>
      </w:r>
      <w:r w:rsidR="00627C34" w:rsidRPr="00C353E5">
        <w:rPr>
          <w:b/>
          <w:bCs/>
          <w:i/>
          <w:iCs/>
          <w:sz w:val="20"/>
          <w:szCs w:val="20"/>
        </w:rPr>
        <w:t>l Estado</w:t>
      </w:r>
      <w:r w:rsidR="00974E23" w:rsidRPr="00C353E5">
        <w:rPr>
          <w:b/>
          <w:bCs/>
          <w:i/>
          <w:iCs/>
          <w:sz w:val="20"/>
          <w:szCs w:val="20"/>
        </w:rPr>
        <w:t>)</w:t>
      </w:r>
    </w:p>
    <w:p w14:paraId="0CEB0552" w14:textId="77777777" w:rsidR="003626D4" w:rsidRPr="00C353E5" w:rsidRDefault="003626D4" w:rsidP="00A229DF">
      <w:pPr>
        <w:pStyle w:val="Prrafodelista"/>
        <w:tabs>
          <w:tab w:val="left" w:pos="567"/>
        </w:tabs>
        <w:spacing w:line="240" w:lineRule="auto"/>
        <w:rPr>
          <w:bCs/>
          <w:i/>
          <w:iCs/>
          <w:sz w:val="20"/>
          <w:szCs w:val="20"/>
        </w:rPr>
      </w:pPr>
    </w:p>
    <w:p w14:paraId="2F37E4F8" w14:textId="77777777" w:rsidR="003219F3" w:rsidRPr="007D767A" w:rsidRDefault="004F250C" w:rsidP="00A229DF">
      <w:pPr>
        <w:pStyle w:val="Prrafodelista"/>
        <w:widowControl/>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1134"/>
        <w:contextualSpacing/>
        <w:rPr>
          <w:sz w:val="20"/>
          <w:szCs w:val="20"/>
        </w:rPr>
      </w:pPr>
      <w:r w:rsidRPr="00FD1EC4">
        <w:rPr>
          <w:bCs/>
          <w:i/>
          <w:sz w:val="20"/>
          <w:szCs w:val="20"/>
          <w:lang w:val="es-CR"/>
        </w:rPr>
        <w:t>JAIME GÓMEZ VALVERDE</w:t>
      </w:r>
      <w:r w:rsidR="00627C34" w:rsidRPr="00FD1EC4">
        <w:rPr>
          <w:sz w:val="20"/>
          <w:szCs w:val="20"/>
        </w:rPr>
        <w:t xml:space="preserve">, </w:t>
      </w:r>
      <w:r w:rsidRPr="00FD1EC4">
        <w:rPr>
          <w:sz w:val="20"/>
          <w:szCs w:val="20"/>
          <w:lang w:val="es-CR"/>
        </w:rPr>
        <w:t xml:space="preserve">quien declarará sobre </w:t>
      </w:r>
      <w:r w:rsidR="00FD1EC4" w:rsidRPr="00FD1EC4">
        <w:rPr>
          <w:sz w:val="20"/>
          <w:szCs w:val="20"/>
          <w:lang w:val="es-CR"/>
        </w:rPr>
        <w:t xml:space="preserve">(i) las particularidades del proceso de ratificación de secretarios judiciales en la época de los hechos; (ii) sus diferencias con el proceso disciplinario realizado a secretarios judiciales en la época de los hechos, (ii) </w:t>
      </w:r>
      <w:r w:rsidRPr="00FD1EC4">
        <w:rPr>
          <w:sz w:val="20"/>
          <w:szCs w:val="20"/>
          <w:lang w:val="es-CR"/>
        </w:rPr>
        <w:t xml:space="preserve">el marco normativo vigente </w:t>
      </w:r>
      <w:r w:rsidR="0080726D" w:rsidRPr="00FD1EC4">
        <w:rPr>
          <w:sz w:val="20"/>
          <w:szCs w:val="20"/>
          <w:lang w:val="es-CR"/>
        </w:rPr>
        <w:t xml:space="preserve">en relación con los procesos de </w:t>
      </w:r>
      <w:r w:rsidRPr="00FD1EC4">
        <w:rPr>
          <w:sz w:val="20"/>
          <w:szCs w:val="20"/>
          <w:lang w:val="es-CR"/>
        </w:rPr>
        <w:t>evaluación y disciplinarios</w:t>
      </w:r>
      <w:r w:rsidR="0080726D" w:rsidRPr="00FD1EC4">
        <w:rPr>
          <w:sz w:val="20"/>
          <w:szCs w:val="20"/>
          <w:lang w:val="es-CR"/>
        </w:rPr>
        <w:t xml:space="preserve"> aplicables a secretarios judiciales</w:t>
      </w:r>
      <w:r w:rsidRPr="00FD1EC4">
        <w:rPr>
          <w:sz w:val="20"/>
          <w:szCs w:val="20"/>
          <w:lang w:val="es-CR"/>
        </w:rPr>
        <w:t xml:space="preserve">. </w:t>
      </w:r>
      <w:r w:rsidRPr="007D767A">
        <w:rPr>
          <w:sz w:val="20"/>
          <w:szCs w:val="20"/>
          <w:lang w:val="es-CR"/>
        </w:rPr>
        <w:t xml:space="preserve">La </w:t>
      </w:r>
      <w:r w:rsidR="00ED21AC" w:rsidRPr="007D767A">
        <w:rPr>
          <w:sz w:val="20"/>
          <w:szCs w:val="20"/>
          <w:lang w:val="es-CR"/>
        </w:rPr>
        <w:t>declaración podrá referirse a</w:t>
      </w:r>
      <w:r w:rsidRPr="007D767A">
        <w:rPr>
          <w:sz w:val="20"/>
          <w:szCs w:val="20"/>
          <w:lang w:val="es-CR"/>
        </w:rPr>
        <w:t xml:space="preserve"> los hechos del presente caso</w:t>
      </w:r>
      <w:r w:rsidR="00627C34" w:rsidRPr="007D767A">
        <w:rPr>
          <w:sz w:val="20"/>
          <w:szCs w:val="20"/>
        </w:rPr>
        <w:t>.</w:t>
      </w:r>
      <w:r w:rsidR="00E6633A" w:rsidRPr="007D767A">
        <w:rPr>
          <w:sz w:val="20"/>
          <w:szCs w:val="20"/>
        </w:rPr>
        <w:t xml:space="preserve"> </w:t>
      </w:r>
    </w:p>
    <w:p w14:paraId="0E57D131" w14:textId="77777777" w:rsidR="00A41FBE" w:rsidRPr="00C353E5" w:rsidRDefault="00A41FBE" w:rsidP="00A229DF">
      <w:pPr>
        <w:pStyle w:val="Prrafodelista"/>
        <w:widowControl/>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1134"/>
        <w:contextualSpacing/>
        <w:rPr>
          <w:sz w:val="20"/>
          <w:szCs w:val="20"/>
        </w:rPr>
      </w:pPr>
    </w:p>
    <w:p w14:paraId="5A010922" w14:textId="77777777" w:rsidR="003626D4" w:rsidRPr="0080726D" w:rsidRDefault="003626D4" w:rsidP="00A229DF">
      <w:pPr>
        <w:pStyle w:val="Prrafodelista"/>
        <w:widowControl/>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line="240" w:lineRule="auto"/>
        <w:contextualSpacing/>
        <w:rPr>
          <w:b/>
          <w:bCs/>
          <w:i/>
          <w:iCs/>
          <w:sz w:val="20"/>
          <w:szCs w:val="20"/>
        </w:rPr>
      </w:pPr>
      <w:r w:rsidRPr="0080726D">
        <w:rPr>
          <w:b/>
          <w:bCs/>
          <w:i/>
          <w:iCs/>
          <w:sz w:val="20"/>
          <w:szCs w:val="20"/>
        </w:rPr>
        <w:t xml:space="preserve">Peritos </w:t>
      </w:r>
    </w:p>
    <w:p w14:paraId="74C8505D" w14:textId="77777777" w:rsidR="003626D4" w:rsidRPr="00C353E5" w:rsidRDefault="003626D4" w:rsidP="00A229DF">
      <w:pPr>
        <w:tabs>
          <w:tab w:val="left" w:pos="567"/>
        </w:tabs>
        <w:spacing w:after="0" w:line="240" w:lineRule="auto"/>
        <w:jc w:val="both"/>
        <w:rPr>
          <w:rFonts w:ascii="Verdana" w:hAnsi="Verdana"/>
          <w:b/>
          <w:bCs/>
          <w:i/>
          <w:iCs/>
          <w:sz w:val="20"/>
          <w:szCs w:val="20"/>
        </w:rPr>
      </w:pPr>
    </w:p>
    <w:bookmarkEnd w:id="2"/>
    <w:p w14:paraId="43BFF905" w14:textId="77777777" w:rsidR="003626D4" w:rsidRPr="00C353E5" w:rsidRDefault="003626D4" w:rsidP="00A229DF">
      <w:pPr>
        <w:pStyle w:val="Sinespaciado"/>
        <w:ind w:left="720"/>
        <w:rPr>
          <w:rFonts w:ascii="Verdana" w:eastAsia="Calibri" w:hAnsi="Verdana" w:cs="Calibri"/>
          <w:i/>
          <w:sz w:val="20"/>
          <w:szCs w:val="20"/>
          <w:lang w:val="es-MX"/>
        </w:rPr>
      </w:pPr>
      <w:r w:rsidRPr="00C353E5">
        <w:rPr>
          <w:rFonts w:ascii="Verdana" w:eastAsia="Calibri" w:hAnsi="Verdana" w:cs="Calibri"/>
          <w:i/>
          <w:sz w:val="20"/>
          <w:szCs w:val="20"/>
          <w:lang w:val="es-MX"/>
        </w:rPr>
        <w:t>Propuest</w:t>
      </w:r>
      <w:r w:rsidR="00ED21AC" w:rsidRPr="00C353E5">
        <w:rPr>
          <w:rFonts w:ascii="Verdana" w:eastAsia="Calibri" w:hAnsi="Verdana" w:cs="Calibri"/>
          <w:i/>
          <w:sz w:val="20"/>
          <w:szCs w:val="20"/>
          <w:lang w:val="es-MX"/>
        </w:rPr>
        <w:t>o</w:t>
      </w:r>
      <w:r w:rsidRPr="00C353E5">
        <w:rPr>
          <w:rFonts w:ascii="Verdana" w:eastAsia="Calibri" w:hAnsi="Verdana" w:cs="Calibri"/>
          <w:i/>
          <w:sz w:val="20"/>
          <w:szCs w:val="20"/>
          <w:lang w:val="es-MX"/>
        </w:rPr>
        <w:t xml:space="preserve"> por la Comisión</w:t>
      </w:r>
    </w:p>
    <w:p w14:paraId="36C10AC3" w14:textId="77777777" w:rsidR="003626D4" w:rsidRPr="00C353E5" w:rsidRDefault="003626D4" w:rsidP="00A229DF">
      <w:pPr>
        <w:pStyle w:val="Sinespaciado"/>
        <w:ind w:left="720"/>
        <w:rPr>
          <w:rFonts w:ascii="Verdana" w:eastAsia="Calibri" w:hAnsi="Verdana" w:cs="Calibri"/>
          <w:i/>
          <w:sz w:val="20"/>
          <w:szCs w:val="20"/>
          <w:lang w:val="es-MX"/>
        </w:rPr>
      </w:pPr>
    </w:p>
    <w:p w14:paraId="26C69B6E" w14:textId="77777777" w:rsidR="00A41FBE" w:rsidRPr="00C353E5" w:rsidRDefault="004F250C" w:rsidP="00A229DF">
      <w:pPr>
        <w:pStyle w:val="Prrafodelista"/>
        <w:numPr>
          <w:ilvl w:val="0"/>
          <w:numId w:val="28"/>
        </w:numPr>
        <w:spacing w:line="240" w:lineRule="auto"/>
        <w:ind w:left="1134"/>
        <w:rPr>
          <w:rFonts w:cs="Times New Roman"/>
          <w:sz w:val="20"/>
          <w:szCs w:val="20"/>
        </w:rPr>
      </w:pPr>
      <w:r w:rsidRPr="00C353E5">
        <w:rPr>
          <w:rFonts w:cs="Times New Roman"/>
          <w:bCs/>
          <w:i/>
          <w:sz w:val="20"/>
          <w:szCs w:val="20"/>
          <w:lang w:val="es-CR"/>
        </w:rPr>
        <w:t>HERNÁN VÍCTOR GULLCO</w:t>
      </w:r>
      <w:r w:rsidRPr="00C353E5">
        <w:rPr>
          <w:rFonts w:cs="Times New Roman"/>
          <w:sz w:val="20"/>
          <w:szCs w:val="20"/>
          <w:lang w:val="es-CR"/>
        </w:rPr>
        <w:t xml:space="preserve">, quien declarará sobre </w:t>
      </w:r>
      <w:r w:rsidR="0080726D">
        <w:rPr>
          <w:rFonts w:cs="Times New Roman"/>
          <w:sz w:val="20"/>
          <w:szCs w:val="20"/>
          <w:lang w:val="es-CR"/>
        </w:rPr>
        <w:t xml:space="preserve">(i) </w:t>
      </w:r>
      <w:r w:rsidRPr="00C353E5">
        <w:rPr>
          <w:rFonts w:cs="Times New Roman"/>
          <w:sz w:val="20"/>
          <w:szCs w:val="20"/>
          <w:lang w:val="es-CR"/>
        </w:rPr>
        <w:t>las garantías de debido proceso y principio de legalidad aplicables en los procesos de ratifi</w:t>
      </w:r>
      <w:r w:rsidR="0080726D">
        <w:rPr>
          <w:rFonts w:cs="Times New Roman"/>
          <w:sz w:val="20"/>
          <w:szCs w:val="20"/>
          <w:lang w:val="es-CR"/>
        </w:rPr>
        <w:t>cación de funcionarios públicos, como mecanismo</w:t>
      </w:r>
      <w:r w:rsidRPr="00C353E5">
        <w:rPr>
          <w:rFonts w:cs="Times New Roman"/>
          <w:sz w:val="20"/>
          <w:szCs w:val="20"/>
          <w:lang w:val="es-CR"/>
        </w:rPr>
        <w:t xml:space="preserve"> de rendición de cuentas</w:t>
      </w:r>
      <w:r w:rsidR="0080726D">
        <w:rPr>
          <w:rFonts w:cs="Times New Roman"/>
          <w:sz w:val="20"/>
          <w:szCs w:val="20"/>
          <w:lang w:val="es-CR"/>
        </w:rPr>
        <w:t>;</w:t>
      </w:r>
      <w:r w:rsidRPr="00C353E5">
        <w:rPr>
          <w:rFonts w:cs="Times New Roman"/>
          <w:sz w:val="20"/>
          <w:szCs w:val="20"/>
          <w:lang w:val="es-CR"/>
        </w:rPr>
        <w:t xml:space="preserve"> y </w:t>
      </w:r>
      <w:r w:rsidR="0080726D">
        <w:rPr>
          <w:rFonts w:cs="Times New Roman"/>
          <w:sz w:val="20"/>
          <w:szCs w:val="20"/>
          <w:lang w:val="es-CR"/>
        </w:rPr>
        <w:t xml:space="preserve">(ii) </w:t>
      </w:r>
      <w:r w:rsidRPr="00C353E5">
        <w:rPr>
          <w:rFonts w:cs="Times New Roman"/>
          <w:sz w:val="20"/>
          <w:szCs w:val="20"/>
          <w:lang w:val="es-CR"/>
        </w:rPr>
        <w:t xml:space="preserve">las </w:t>
      </w:r>
      <w:r w:rsidR="0080726D">
        <w:rPr>
          <w:rFonts w:cs="Times New Roman"/>
          <w:sz w:val="20"/>
          <w:szCs w:val="20"/>
          <w:lang w:val="es-CR"/>
        </w:rPr>
        <w:t>condiciones que deben reunir</w:t>
      </w:r>
      <w:r w:rsidRPr="00C353E5">
        <w:rPr>
          <w:rFonts w:cs="Times New Roman"/>
          <w:sz w:val="20"/>
          <w:szCs w:val="20"/>
          <w:lang w:val="es-CR"/>
        </w:rPr>
        <w:t xml:space="preserve"> dichos procesos </w:t>
      </w:r>
      <w:r w:rsidR="0080726D">
        <w:rPr>
          <w:rFonts w:cs="Times New Roman"/>
          <w:sz w:val="20"/>
          <w:szCs w:val="20"/>
          <w:lang w:val="es-CR"/>
        </w:rPr>
        <w:t>para ser</w:t>
      </w:r>
      <w:r w:rsidRPr="00C353E5">
        <w:rPr>
          <w:rFonts w:cs="Times New Roman"/>
          <w:sz w:val="20"/>
          <w:szCs w:val="20"/>
          <w:lang w:val="es-CR"/>
        </w:rPr>
        <w:t xml:space="preserve"> compatibles con la Convención Americana y garantizar la idoneidad de las y los funcionarios públicos.</w:t>
      </w:r>
    </w:p>
    <w:p w14:paraId="2C459478" w14:textId="77777777" w:rsidR="00635E09" w:rsidRPr="00C353E5" w:rsidRDefault="00635E09" w:rsidP="00A229DF">
      <w:pPr>
        <w:pStyle w:val="Prrafodelista"/>
        <w:spacing w:line="240" w:lineRule="auto"/>
        <w:ind w:left="1276"/>
        <w:rPr>
          <w:rFonts w:cs="Times New Roman"/>
          <w:sz w:val="20"/>
          <w:szCs w:val="20"/>
        </w:rPr>
      </w:pPr>
    </w:p>
    <w:p w14:paraId="045D7A57" w14:textId="77777777" w:rsidR="00A41FBE" w:rsidRPr="00C353E5" w:rsidRDefault="00A41FBE" w:rsidP="00A229DF">
      <w:pPr>
        <w:pStyle w:val="Sinespaciado"/>
        <w:ind w:left="720"/>
        <w:rPr>
          <w:rFonts w:ascii="Verdana" w:eastAsia="Calibri" w:hAnsi="Verdana" w:cs="Calibri"/>
          <w:i/>
          <w:sz w:val="20"/>
          <w:szCs w:val="20"/>
          <w:lang w:val="es-MX"/>
        </w:rPr>
      </w:pPr>
      <w:r w:rsidRPr="00C353E5">
        <w:rPr>
          <w:rFonts w:ascii="Verdana" w:eastAsia="Calibri" w:hAnsi="Verdana" w:cs="Calibri"/>
          <w:i/>
          <w:sz w:val="20"/>
          <w:szCs w:val="20"/>
          <w:lang w:val="es-MX"/>
        </w:rPr>
        <w:t>Propuesto por el Estado</w:t>
      </w:r>
    </w:p>
    <w:p w14:paraId="112B1EAB" w14:textId="77777777" w:rsidR="00A41FBE" w:rsidRPr="00C353E5" w:rsidRDefault="00A41FBE" w:rsidP="00A229DF">
      <w:pPr>
        <w:pStyle w:val="Prrafodelista"/>
        <w:spacing w:line="240" w:lineRule="auto"/>
        <w:ind w:left="1276"/>
        <w:rPr>
          <w:rFonts w:cs="Times New Roman"/>
          <w:sz w:val="20"/>
          <w:szCs w:val="20"/>
        </w:rPr>
      </w:pPr>
    </w:p>
    <w:p w14:paraId="3E444F67" w14:textId="77777777" w:rsidR="003626D4" w:rsidRPr="00C353E5" w:rsidRDefault="004F250C" w:rsidP="00A229DF">
      <w:pPr>
        <w:pStyle w:val="Prrafodelista"/>
        <w:numPr>
          <w:ilvl w:val="0"/>
          <w:numId w:val="28"/>
        </w:numPr>
        <w:spacing w:line="240" w:lineRule="auto"/>
        <w:ind w:left="1134"/>
        <w:rPr>
          <w:rFonts w:cs="Times New Roman"/>
          <w:sz w:val="20"/>
          <w:szCs w:val="20"/>
        </w:rPr>
      </w:pPr>
      <w:r w:rsidRPr="00C353E5">
        <w:rPr>
          <w:bCs/>
          <w:i/>
          <w:sz w:val="20"/>
          <w:szCs w:val="20"/>
          <w:lang w:val="es-CR"/>
        </w:rPr>
        <w:t>TANIA ZÚÑIGA FERNÁNDEZ</w:t>
      </w:r>
      <w:r w:rsidR="0080726D">
        <w:rPr>
          <w:sz w:val="20"/>
          <w:szCs w:val="20"/>
          <w:lang w:val="es-CR"/>
        </w:rPr>
        <w:t>, quien declarará sobre (i) l</w:t>
      </w:r>
      <w:r w:rsidRPr="00C353E5">
        <w:rPr>
          <w:sz w:val="20"/>
          <w:szCs w:val="20"/>
          <w:lang w:val="es-CR"/>
        </w:rPr>
        <w:t xml:space="preserve">a naturaleza y características de los procesos de </w:t>
      </w:r>
      <w:r w:rsidRPr="0080726D">
        <w:rPr>
          <w:sz w:val="20"/>
          <w:szCs w:val="20"/>
          <w:lang w:val="es-CR"/>
        </w:rPr>
        <w:t>evaluación</w:t>
      </w:r>
      <w:r w:rsidRPr="00C353E5">
        <w:rPr>
          <w:sz w:val="20"/>
          <w:szCs w:val="20"/>
          <w:lang w:val="es-CR"/>
        </w:rPr>
        <w:t xml:space="preserve"> de funcionarios y servidores</w:t>
      </w:r>
      <w:r w:rsidR="0080726D">
        <w:rPr>
          <w:sz w:val="20"/>
          <w:szCs w:val="20"/>
          <w:lang w:val="es-CR"/>
        </w:rPr>
        <w:t xml:space="preserve"> públicos,</w:t>
      </w:r>
      <w:r w:rsidRPr="00C353E5">
        <w:rPr>
          <w:sz w:val="20"/>
          <w:szCs w:val="20"/>
          <w:lang w:val="es-CR"/>
        </w:rPr>
        <w:t xml:space="preserve"> </w:t>
      </w:r>
      <w:r w:rsidR="0080726D">
        <w:rPr>
          <w:sz w:val="20"/>
          <w:szCs w:val="20"/>
          <w:lang w:val="es-CR"/>
        </w:rPr>
        <w:t xml:space="preserve">en particular, </w:t>
      </w:r>
      <w:r w:rsidRPr="00C353E5">
        <w:rPr>
          <w:sz w:val="20"/>
          <w:szCs w:val="20"/>
          <w:lang w:val="es-CR"/>
        </w:rPr>
        <w:t>secretarios judiciales</w:t>
      </w:r>
      <w:r w:rsidR="0080726D">
        <w:rPr>
          <w:sz w:val="20"/>
          <w:szCs w:val="20"/>
          <w:lang w:val="es-CR"/>
        </w:rPr>
        <w:t>,</w:t>
      </w:r>
      <w:r w:rsidRPr="00C353E5">
        <w:rPr>
          <w:sz w:val="20"/>
          <w:szCs w:val="20"/>
          <w:lang w:val="es-CR"/>
        </w:rPr>
        <w:t xml:space="preserve"> v</w:t>
      </w:r>
      <w:r w:rsidR="0080726D">
        <w:rPr>
          <w:sz w:val="20"/>
          <w:szCs w:val="20"/>
          <w:lang w:val="es-CR"/>
        </w:rPr>
        <w:t>igente a la fecha de los hechos;</w:t>
      </w:r>
      <w:r w:rsidRPr="00C353E5">
        <w:rPr>
          <w:sz w:val="20"/>
          <w:szCs w:val="20"/>
          <w:lang w:val="es-CR"/>
        </w:rPr>
        <w:t xml:space="preserve"> </w:t>
      </w:r>
      <w:r w:rsidR="0080726D">
        <w:rPr>
          <w:sz w:val="20"/>
          <w:szCs w:val="20"/>
          <w:lang w:val="es-CR"/>
        </w:rPr>
        <w:t>(ii) l</w:t>
      </w:r>
      <w:r w:rsidRPr="00C353E5">
        <w:rPr>
          <w:sz w:val="20"/>
          <w:szCs w:val="20"/>
          <w:lang w:val="es-CR"/>
        </w:rPr>
        <w:t xml:space="preserve">a naturaleza y características de los procesos disciplinarios contra funcionarios y servidores </w:t>
      </w:r>
      <w:r w:rsidR="0080726D">
        <w:rPr>
          <w:sz w:val="20"/>
          <w:szCs w:val="20"/>
          <w:lang w:val="es-CR"/>
        </w:rPr>
        <w:t>públicos, vigente a la fecha de los hechos;</w:t>
      </w:r>
      <w:r w:rsidRPr="00C353E5">
        <w:rPr>
          <w:sz w:val="20"/>
          <w:szCs w:val="20"/>
          <w:lang w:val="es-CR"/>
        </w:rPr>
        <w:t xml:space="preserve"> </w:t>
      </w:r>
      <w:r w:rsidR="009F305C">
        <w:rPr>
          <w:sz w:val="20"/>
          <w:szCs w:val="20"/>
          <w:lang w:val="es-CR"/>
        </w:rPr>
        <w:t>(iii</w:t>
      </w:r>
      <w:r w:rsidRPr="00C353E5">
        <w:rPr>
          <w:sz w:val="20"/>
          <w:szCs w:val="20"/>
          <w:lang w:val="es-CR"/>
        </w:rPr>
        <w:t xml:space="preserve">) las </w:t>
      </w:r>
      <w:r w:rsidR="00B42008">
        <w:rPr>
          <w:sz w:val="20"/>
          <w:szCs w:val="20"/>
          <w:lang w:val="es-CR"/>
        </w:rPr>
        <w:t>diferencias</w:t>
      </w:r>
      <w:r w:rsidRPr="00C353E5">
        <w:rPr>
          <w:sz w:val="20"/>
          <w:szCs w:val="20"/>
          <w:lang w:val="es-CR"/>
        </w:rPr>
        <w:t xml:space="preserve"> entre los procesos de evaluación y disciplinarios aplicados a funcionarios y servidores</w:t>
      </w:r>
      <w:r w:rsidR="00B42008">
        <w:rPr>
          <w:sz w:val="20"/>
          <w:szCs w:val="20"/>
          <w:lang w:val="es-CR"/>
        </w:rPr>
        <w:t xml:space="preserve"> públicos</w:t>
      </w:r>
      <w:r w:rsidRPr="00C353E5">
        <w:rPr>
          <w:sz w:val="20"/>
          <w:szCs w:val="20"/>
          <w:lang w:val="es-CR"/>
        </w:rPr>
        <w:t xml:space="preserve">, con especial énfasis en servidores jurisdiccionales. A fin de ejemplificar mejor su declaración, la </w:t>
      </w:r>
      <w:r w:rsidR="00ED21AC" w:rsidRPr="00C353E5">
        <w:rPr>
          <w:sz w:val="20"/>
          <w:szCs w:val="20"/>
          <w:lang w:val="es-CR"/>
        </w:rPr>
        <w:t>declaración</w:t>
      </w:r>
      <w:r w:rsidRPr="00C353E5">
        <w:rPr>
          <w:sz w:val="20"/>
          <w:szCs w:val="20"/>
          <w:lang w:val="es-CR"/>
        </w:rPr>
        <w:t xml:space="preserve"> podrá referirse a los hechos del caso.</w:t>
      </w:r>
    </w:p>
    <w:p w14:paraId="5DA6EE9E" w14:textId="77777777" w:rsidR="00A41FBE" w:rsidRPr="00C353E5" w:rsidRDefault="00A41FBE" w:rsidP="00A229DF">
      <w:pPr>
        <w:pStyle w:val="Prrafodelista"/>
        <w:spacing w:line="240" w:lineRule="auto"/>
        <w:ind w:left="1276"/>
        <w:rPr>
          <w:rFonts w:cs="Times New Roman"/>
          <w:sz w:val="20"/>
          <w:szCs w:val="20"/>
        </w:rPr>
      </w:pPr>
    </w:p>
    <w:p w14:paraId="681D192F" w14:textId="77777777" w:rsidR="00BF1F69" w:rsidRPr="007347DC" w:rsidRDefault="00ED21AC" w:rsidP="00A229DF">
      <w:pPr>
        <w:pStyle w:val="PrrafodeSentencia"/>
        <w:numPr>
          <w:ilvl w:val="0"/>
          <w:numId w:val="26"/>
        </w:numPr>
        <w:spacing w:line="240" w:lineRule="auto"/>
        <w:ind w:left="0" w:firstLine="0"/>
        <w:rPr>
          <w:bCs/>
          <w:iCs/>
        </w:rPr>
      </w:pPr>
      <w:r w:rsidRPr="00C353E5">
        <w:t xml:space="preserve">Requerir a </w:t>
      </w:r>
      <w:r w:rsidRPr="007347DC">
        <w:t>la Comisión y</w:t>
      </w:r>
      <w:r w:rsidR="000B22EA" w:rsidRPr="007347DC">
        <w:t xml:space="preserve"> al Estado </w:t>
      </w:r>
      <w:r w:rsidRPr="007347DC">
        <w:t>para</w:t>
      </w:r>
      <w:r w:rsidR="000B22EA" w:rsidRPr="007347DC">
        <w:t xml:space="preserve"> que notifiquen la presente Resolución a los </w:t>
      </w:r>
      <w:r w:rsidR="0073699A" w:rsidRPr="007347DC">
        <w:t xml:space="preserve">declarantes </w:t>
      </w:r>
      <w:r w:rsidR="000B22EA" w:rsidRPr="007347DC">
        <w:t xml:space="preserve">propuestos </w:t>
      </w:r>
      <w:r w:rsidR="0073699A" w:rsidRPr="007347DC">
        <w:t xml:space="preserve">por </w:t>
      </w:r>
      <w:r w:rsidR="000B22EA" w:rsidRPr="007347DC">
        <w:t xml:space="preserve">ellos, de conformidad con lo dispuesto en los artículos 50.2 y 50.4 del Reglamento. </w:t>
      </w:r>
    </w:p>
    <w:p w14:paraId="3F5C0E98" w14:textId="77777777" w:rsidR="00BF1F69" w:rsidRPr="007347DC" w:rsidRDefault="00BF1F69" w:rsidP="00A229DF">
      <w:pPr>
        <w:pStyle w:val="PrrafodeSentencia"/>
        <w:numPr>
          <w:ilvl w:val="0"/>
          <w:numId w:val="0"/>
        </w:numPr>
        <w:spacing w:line="240" w:lineRule="auto"/>
        <w:rPr>
          <w:bCs/>
          <w:iCs/>
        </w:rPr>
      </w:pPr>
    </w:p>
    <w:p w14:paraId="49A8B3FC" w14:textId="77777777" w:rsidR="00BF1F69" w:rsidRPr="007347DC" w:rsidRDefault="000B22EA" w:rsidP="00A229DF">
      <w:pPr>
        <w:pStyle w:val="PrrafodeSentencia"/>
        <w:numPr>
          <w:ilvl w:val="0"/>
          <w:numId w:val="26"/>
        </w:numPr>
        <w:spacing w:line="240" w:lineRule="auto"/>
        <w:ind w:left="0" w:firstLine="0"/>
        <w:rPr>
          <w:bCs/>
          <w:iCs/>
        </w:rPr>
      </w:pPr>
      <w:r w:rsidRPr="007347DC">
        <w:t>Requerir a</w:t>
      </w:r>
      <w:r w:rsidR="00ED21AC" w:rsidRPr="007347DC">
        <w:t xml:space="preserve"> la presunta víctima y a</w:t>
      </w:r>
      <w:r w:rsidRPr="007347DC">
        <w:t xml:space="preserve">l Estado </w:t>
      </w:r>
      <w:r w:rsidR="00ED21AC" w:rsidRPr="007347DC">
        <w:t xml:space="preserve">para </w:t>
      </w:r>
      <w:r w:rsidRPr="007347DC">
        <w:t>que</w:t>
      </w:r>
      <w:r w:rsidR="00ED21AC" w:rsidRPr="007347DC">
        <w:t>,</w:t>
      </w:r>
      <w:r w:rsidRPr="007347DC">
        <w:t xml:space="preserve"> </w:t>
      </w:r>
      <w:r w:rsidR="00ED21AC" w:rsidRPr="007347DC">
        <w:t>de considerarlo pertinente, remitan</w:t>
      </w:r>
      <w:r w:rsidRPr="007347DC">
        <w:t xml:space="preserve"> en los términos d</w:t>
      </w:r>
      <w:r w:rsidR="00ED21AC" w:rsidRPr="007347DC">
        <w:t xml:space="preserve">el artículo 50.5 del Reglamento, </w:t>
      </w:r>
      <w:r w:rsidRPr="007347DC">
        <w:t xml:space="preserve">en el plazo improrrogable que vence el </w:t>
      </w:r>
      <w:r w:rsidR="006E4C5C" w:rsidRPr="007347DC">
        <w:t>1</w:t>
      </w:r>
      <w:r w:rsidR="006B3F7C">
        <w:t>5</w:t>
      </w:r>
      <w:r w:rsidRPr="007347DC">
        <w:t xml:space="preserve"> de </w:t>
      </w:r>
      <w:r w:rsidR="00ED21AC" w:rsidRPr="007347DC">
        <w:t>febrero</w:t>
      </w:r>
      <w:r w:rsidRPr="007347DC">
        <w:t xml:space="preserve"> de 202</w:t>
      </w:r>
      <w:r w:rsidR="00BD5C87" w:rsidRPr="007347DC">
        <w:t>1</w:t>
      </w:r>
      <w:r w:rsidRPr="007347DC">
        <w:t xml:space="preserve">, las preguntas que estimen pertinente formular, a través de la Corte Interamericana, a los declarantes indicados </w:t>
      </w:r>
      <w:r w:rsidR="00BF1F69" w:rsidRPr="007347DC">
        <w:t xml:space="preserve">en el punto resolutivo </w:t>
      </w:r>
      <w:r w:rsidR="00BD5C87" w:rsidRPr="007347DC">
        <w:t>1</w:t>
      </w:r>
      <w:r w:rsidRPr="007347DC">
        <w:t xml:space="preserve">. </w:t>
      </w:r>
    </w:p>
    <w:p w14:paraId="680DB16C" w14:textId="77777777" w:rsidR="00BF1F69" w:rsidRPr="00C353E5" w:rsidRDefault="00BF1F69" w:rsidP="00A229DF">
      <w:pPr>
        <w:pStyle w:val="Prrafodelista"/>
        <w:spacing w:line="240" w:lineRule="auto"/>
        <w:rPr>
          <w:sz w:val="20"/>
          <w:szCs w:val="20"/>
        </w:rPr>
      </w:pPr>
    </w:p>
    <w:p w14:paraId="705C6522" w14:textId="77777777" w:rsidR="00BF1F69" w:rsidRPr="007347DC" w:rsidRDefault="000B22EA" w:rsidP="00A229DF">
      <w:pPr>
        <w:pStyle w:val="PrrafodeSentencia"/>
        <w:numPr>
          <w:ilvl w:val="0"/>
          <w:numId w:val="26"/>
        </w:numPr>
        <w:spacing w:line="240" w:lineRule="auto"/>
        <w:ind w:left="0" w:firstLine="0"/>
        <w:rPr>
          <w:bCs/>
          <w:iCs/>
        </w:rPr>
      </w:pPr>
      <w:r w:rsidRPr="007347DC">
        <w:t>Requerir a la</w:t>
      </w:r>
      <w:r w:rsidR="0073699A" w:rsidRPr="007347DC">
        <w:t xml:space="preserve"> Comisión</w:t>
      </w:r>
      <w:r w:rsidRPr="007347DC">
        <w:t xml:space="preserve"> y al Estado que coordinen y realicen las diligencias necesarias para que, una vez recibidas las preguntas, si las hubiere, los declarantes indicados </w:t>
      </w:r>
      <w:r w:rsidR="00BF1F69" w:rsidRPr="007347DC">
        <w:t xml:space="preserve">en el punto resolutivo </w:t>
      </w:r>
      <w:r w:rsidR="00BD5C87" w:rsidRPr="007347DC">
        <w:t>1</w:t>
      </w:r>
      <w:r w:rsidRPr="007347DC">
        <w:t xml:space="preserve">, incluyan las respuestas en sus respectivas declaraciones, rendidas ante fedatario público, salvo que esta Presidencia disponga lo contrario, cuando la Secretaría las </w:t>
      </w:r>
      <w:r w:rsidRPr="007347DC">
        <w:lastRenderedPageBreak/>
        <w:t xml:space="preserve">transmita. Las declaraciones requeridas deberán ser presentadas al Tribunal a más tardar el </w:t>
      </w:r>
      <w:r w:rsidR="006B3F7C">
        <w:t>1 de marzo</w:t>
      </w:r>
      <w:r w:rsidR="00BD5C87" w:rsidRPr="007347DC">
        <w:t xml:space="preserve"> de 2021</w:t>
      </w:r>
      <w:r w:rsidRPr="007347DC">
        <w:t xml:space="preserve">. </w:t>
      </w:r>
    </w:p>
    <w:p w14:paraId="23A0AE95" w14:textId="77777777" w:rsidR="005056E5" w:rsidRPr="00C353E5" w:rsidRDefault="005056E5" w:rsidP="00A229DF">
      <w:pPr>
        <w:pStyle w:val="PrrafodeSentencia"/>
        <w:numPr>
          <w:ilvl w:val="0"/>
          <w:numId w:val="0"/>
        </w:numPr>
        <w:spacing w:line="240" w:lineRule="auto"/>
        <w:rPr>
          <w:bCs/>
          <w:iCs/>
        </w:rPr>
      </w:pPr>
    </w:p>
    <w:p w14:paraId="66564CE3" w14:textId="77777777" w:rsidR="00BF1F69" w:rsidRPr="00C353E5" w:rsidRDefault="000B22EA" w:rsidP="00A229DF">
      <w:pPr>
        <w:pStyle w:val="PrrafodeSentencia"/>
        <w:numPr>
          <w:ilvl w:val="0"/>
          <w:numId w:val="26"/>
        </w:numPr>
        <w:spacing w:line="240" w:lineRule="auto"/>
        <w:ind w:left="0" w:firstLine="0"/>
        <w:rPr>
          <w:bCs/>
          <w:iCs/>
        </w:rPr>
      </w:pPr>
      <w:r w:rsidRPr="00C353E5">
        <w:t>Disponer, conforme al artículo 50.6 del Reglamento, que, una vez recibidas las</w:t>
      </w:r>
      <w:r w:rsidR="008516F6" w:rsidRPr="00C353E5">
        <w:t xml:space="preserve"> declaraciones, la Secretaría la</w:t>
      </w:r>
      <w:r w:rsidRPr="00C353E5">
        <w:t>s transmita al Estado, a l</w:t>
      </w:r>
      <w:r w:rsidR="00BD5C87" w:rsidRPr="00C353E5">
        <w:t>a presunta víctima</w:t>
      </w:r>
      <w:r w:rsidRPr="00C353E5">
        <w:t xml:space="preserve"> y a la Comisión para que, si lo estiman necesario y en lo que les corresponda, presenten sus observaciones a más tardar con sus alegatos u observaciones finales escritas, respectivamente. </w:t>
      </w:r>
    </w:p>
    <w:p w14:paraId="17D09A9A" w14:textId="77777777" w:rsidR="00BF1F69" w:rsidRPr="00C353E5" w:rsidRDefault="00BF1F69" w:rsidP="00A229DF">
      <w:pPr>
        <w:pStyle w:val="Prrafodelista"/>
        <w:spacing w:line="240" w:lineRule="auto"/>
        <w:rPr>
          <w:sz w:val="20"/>
          <w:szCs w:val="20"/>
        </w:rPr>
      </w:pPr>
    </w:p>
    <w:p w14:paraId="38C7BC45" w14:textId="77777777" w:rsidR="0011754C" w:rsidRPr="00C353E5" w:rsidRDefault="000B22EA" w:rsidP="00A229DF">
      <w:pPr>
        <w:pStyle w:val="PrrafodeSentencia"/>
        <w:numPr>
          <w:ilvl w:val="0"/>
          <w:numId w:val="26"/>
        </w:numPr>
        <w:spacing w:line="240" w:lineRule="auto"/>
        <w:ind w:left="0" w:firstLine="0"/>
        <w:rPr>
          <w:bCs/>
          <w:iCs/>
        </w:rPr>
      </w:pPr>
      <w:r w:rsidRPr="00C353E5">
        <w:t>Requerir a la</w:t>
      </w:r>
      <w:r w:rsidR="0073699A" w:rsidRPr="00C353E5">
        <w:t xml:space="preserve"> Comisión</w:t>
      </w:r>
      <w:r w:rsidRPr="00C353E5">
        <w:t xml:space="preserve"> y al Estado que informen a las personas requeridas por la Corte para declarar que, según lo dispuesto en el artículo 54 del Reglamento, el Tribunal pondrá́ en conocimiento del Estado el caso en que la persona requerida rehusare deponer sin motivo legítimo, para los fines previstos en la legislación nacional correspondiente. </w:t>
      </w:r>
    </w:p>
    <w:p w14:paraId="618E70FD" w14:textId="77777777" w:rsidR="00BD5C87" w:rsidRPr="00C353E5" w:rsidRDefault="00BD5C87" w:rsidP="00A229DF">
      <w:pPr>
        <w:pStyle w:val="PrrafodeSentencia"/>
        <w:numPr>
          <w:ilvl w:val="0"/>
          <w:numId w:val="0"/>
        </w:numPr>
        <w:spacing w:line="240" w:lineRule="auto"/>
        <w:rPr>
          <w:bCs/>
          <w:iCs/>
        </w:rPr>
      </w:pPr>
    </w:p>
    <w:p w14:paraId="30919684" w14:textId="77777777" w:rsidR="00BF1F69" w:rsidRPr="007347DC" w:rsidRDefault="000B22EA" w:rsidP="00A229DF">
      <w:pPr>
        <w:pStyle w:val="PrrafodeSentencia"/>
        <w:numPr>
          <w:ilvl w:val="0"/>
          <w:numId w:val="26"/>
        </w:numPr>
        <w:tabs>
          <w:tab w:val="clear" w:pos="567"/>
          <w:tab w:val="left" w:pos="142"/>
        </w:tabs>
        <w:spacing w:line="240" w:lineRule="auto"/>
        <w:ind w:left="0" w:firstLine="0"/>
      </w:pPr>
      <w:r w:rsidRPr="00C353E5">
        <w:t>Informar a la</w:t>
      </w:r>
      <w:r w:rsidR="00BD5C87" w:rsidRPr="00C353E5">
        <w:t xml:space="preserve"> presunta víctima</w:t>
      </w:r>
      <w:r w:rsidRPr="00C353E5">
        <w:t>, al Estado y a la Comisión Interamericana que, en los términos del artículo 56 del Reglamento,</w:t>
      </w:r>
      <w:r w:rsidR="00692226" w:rsidRPr="00C353E5">
        <w:t xml:space="preserve"> cuentan con un plazo de un mes,</w:t>
      </w:r>
      <w:r w:rsidR="004E66E6" w:rsidRPr="00C353E5">
        <w:rPr>
          <w:bCs/>
          <w:iCs/>
        </w:rPr>
        <w:t xml:space="preserve"> </w:t>
      </w:r>
      <w:r w:rsidR="004E66E6" w:rsidRPr="00C353E5">
        <w:t xml:space="preserve">contado a partir del día en que, de </w:t>
      </w:r>
      <w:r w:rsidR="004E66E6" w:rsidRPr="007347DC">
        <w:t xml:space="preserve">conformidad con lo establecido en el punto resolutivo </w:t>
      </w:r>
      <w:r w:rsidR="004F250C" w:rsidRPr="007347DC">
        <w:t>5</w:t>
      </w:r>
      <w:r w:rsidR="004E66E6" w:rsidRPr="007347DC">
        <w:t xml:space="preserve">, reciban las declaraciones señaladas en el </w:t>
      </w:r>
      <w:r w:rsidR="00E45892" w:rsidRPr="007347DC">
        <w:t>p</w:t>
      </w:r>
      <w:r w:rsidR="004E66E6" w:rsidRPr="007347DC">
        <w:t xml:space="preserve">unto </w:t>
      </w:r>
      <w:r w:rsidR="00E45892" w:rsidRPr="007347DC">
        <w:t>r</w:t>
      </w:r>
      <w:r w:rsidR="00BD5C87" w:rsidRPr="007347DC">
        <w:t>esolutivo 1</w:t>
      </w:r>
      <w:r w:rsidR="004E66E6" w:rsidRPr="007347DC">
        <w:t>, para presentar sus alegatos finales escritos y observaciones finales escritas, respectivamente, en relación con la</w:t>
      </w:r>
      <w:r w:rsidR="00250957" w:rsidRPr="007347DC">
        <w:t>s</w:t>
      </w:r>
      <w:r w:rsidR="004E66E6" w:rsidRPr="007347DC">
        <w:t xml:space="preserve"> excepci</w:t>
      </w:r>
      <w:r w:rsidR="00250957" w:rsidRPr="007347DC">
        <w:t>ones</w:t>
      </w:r>
      <w:r w:rsidR="004E66E6" w:rsidRPr="007347DC">
        <w:t xml:space="preserve"> preliminar</w:t>
      </w:r>
      <w:r w:rsidR="00250957" w:rsidRPr="007347DC">
        <w:t>es</w:t>
      </w:r>
      <w:r w:rsidR="004E66E6" w:rsidRPr="007347DC">
        <w:t xml:space="preserve"> y eventuales fondo, reparaciones y costas en el presente caso. Este plazo es improrrogable</w:t>
      </w:r>
      <w:r w:rsidRPr="007347DC">
        <w:t xml:space="preserve">. </w:t>
      </w:r>
    </w:p>
    <w:p w14:paraId="5C48226A" w14:textId="77777777" w:rsidR="00BD5C87" w:rsidRPr="00C353E5" w:rsidRDefault="00BD5C87" w:rsidP="00A229DF">
      <w:pPr>
        <w:pStyle w:val="PrrafodeSentencia"/>
        <w:numPr>
          <w:ilvl w:val="0"/>
          <w:numId w:val="0"/>
        </w:numPr>
        <w:tabs>
          <w:tab w:val="clear" w:pos="567"/>
          <w:tab w:val="left" w:pos="142"/>
        </w:tabs>
        <w:spacing w:line="240" w:lineRule="auto"/>
      </w:pPr>
    </w:p>
    <w:p w14:paraId="565D1BE4" w14:textId="77777777" w:rsidR="00635E09" w:rsidRPr="00FD1EC4" w:rsidRDefault="000B22EA" w:rsidP="00691A38">
      <w:pPr>
        <w:pStyle w:val="PrrafodeSentencia"/>
        <w:numPr>
          <w:ilvl w:val="0"/>
          <w:numId w:val="26"/>
        </w:numPr>
        <w:spacing w:line="240" w:lineRule="auto"/>
        <w:ind w:left="0" w:firstLine="0"/>
        <w:rPr>
          <w:rFonts w:eastAsia="Verdana" w:cs="Verdana"/>
          <w:color w:val="000000"/>
          <w:u w:color="000000"/>
          <w:lang w:val="es-ES_tradnl" w:eastAsia="es-CR"/>
        </w:rPr>
      </w:pPr>
      <w:r w:rsidRPr="00C353E5">
        <w:t xml:space="preserve">Disponer que la Secretaría de la Corte Interamericana notifique la presente Resolución a la Comisión Interamericana de Derechos Humanos, a </w:t>
      </w:r>
      <w:r w:rsidR="00250957">
        <w:t>la</w:t>
      </w:r>
      <w:r w:rsidRPr="00C353E5">
        <w:t xml:space="preserve"> presunta víctima y al Estado peruano. </w:t>
      </w:r>
    </w:p>
    <w:p w14:paraId="4D03DC6F" w14:textId="77777777" w:rsidR="00635E09" w:rsidRPr="00C353E5" w:rsidRDefault="00635E09" w:rsidP="00A229DF">
      <w:pPr>
        <w:pStyle w:val="Prrafodelista"/>
        <w:spacing w:line="240" w:lineRule="auto"/>
        <w:rPr>
          <w:sz w:val="20"/>
          <w:szCs w:val="20"/>
        </w:rPr>
      </w:pPr>
    </w:p>
    <w:p w14:paraId="282C69AA" w14:textId="77777777" w:rsidR="003626D4" w:rsidRPr="00C353E5" w:rsidRDefault="000B22EA" w:rsidP="00A229DF">
      <w:pPr>
        <w:pStyle w:val="PrrafodeSentencia"/>
        <w:numPr>
          <w:ilvl w:val="0"/>
          <w:numId w:val="0"/>
        </w:numPr>
        <w:spacing w:line="240" w:lineRule="auto"/>
        <w:rPr>
          <w:bCs/>
          <w:iCs/>
        </w:rPr>
      </w:pPr>
      <w:r w:rsidRPr="00C353E5">
        <w:t xml:space="preserve">Corte IDH. Caso </w:t>
      </w:r>
      <w:r w:rsidR="004F250C" w:rsidRPr="000C584E">
        <w:t>Moya Solís</w:t>
      </w:r>
      <w:r w:rsidRPr="000C584E">
        <w:t xml:space="preserve"> Vs. Perú. Resolución de la Presidenta de la Corte Interamericana de Derechos Humanos de </w:t>
      </w:r>
      <w:r w:rsidR="000C584E" w:rsidRPr="000C584E">
        <w:t>1</w:t>
      </w:r>
      <w:r w:rsidR="002F0282" w:rsidRPr="000C584E">
        <w:t xml:space="preserve"> </w:t>
      </w:r>
      <w:r w:rsidRPr="000C584E">
        <w:t xml:space="preserve">de </w:t>
      </w:r>
      <w:r w:rsidR="000C584E" w:rsidRPr="000C584E">
        <w:t>febrero</w:t>
      </w:r>
      <w:r w:rsidR="002F0282" w:rsidRPr="000C584E">
        <w:t xml:space="preserve"> </w:t>
      </w:r>
      <w:r w:rsidR="004F250C" w:rsidRPr="000C584E">
        <w:t>de 2021</w:t>
      </w:r>
      <w:r w:rsidRPr="000C584E">
        <w:t>.</w:t>
      </w:r>
    </w:p>
    <w:p w14:paraId="4ADE6258" w14:textId="77777777" w:rsidR="003626D4" w:rsidRPr="00C353E5" w:rsidRDefault="003626D4" w:rsidP="00A229DF">
      <w:pPr>
        <w:tabs>
          <w:tab w:val="left" w:pos="567"/>
        </w:tabs>
        <w:spacing w:after="0" w:line="240" w:lineRule="auto"/>
        <w:jc w:val="both"/>
        <w:rPr>
          <w:rFonts w:ascii="Verdana" w:hAnsi="Verdana"/>
          <w:sz w:val="20"/>
          <w:szCs w:val="20"/>
        </w:rPr>
      </w:pPr>
    </w:p>
    <w:p w14:paraId="506F9DAA" w14:textId="77777777" w:rsidR="00981084" w:rsidRDefault="00981084" w:rsidP="00A229DF">
      <w:pPr>
        <w:tabs>
          <w:tab w:val="left" w:pos="567"/>
        </w:tabs>
        <w:spacing w:after="0" w:line="240" w:lineRule="auto"/>
        <w:jc w:val="both"/>
        <w:rPr>
          <w:rFonts w:ascii="Verdana" w:hAnsi="Verdana"/>
          <w:sz w:val="20"/>
          <w:szCs w:val="20"/>
        </w:rPr>
      </w:pPr>
    </w:p>
    <w:p w14:paraId="65005879" w14:textId="77777777" w:rsidR="00981084" w:rsidRPr="00C353E5" w:rsidRDefault="00981084" w:rsidP="00A229DF">
      <w:pPr>
        <w:tabs>
          <w:tab w:val="left" w:pos="567"/>
        </w:tabs>
        <w:spacing w:after="0" w:line="240" w:lineRule="auto"/>
        <w:jc w:val="both"/>
        <w:rPr>
          <w:rFonts w:ascii="Verdana" w:hAnsi="Verdana"/>
          <w:sz w:val="20"/>
          <w:szCs w:val="20"/>
        </w:rPr>
      </w:pPr>
    </w:p>
    <w:p w14:paraId="594F125E" w14:textId="77777777" w:rsidR="003626D4" w:rsidRPr="00C353E5" w:rsidRDefault="003626D4" w:rsidP="00A229DF">
      <w:pPr>
        <w:tabs>
          <w:tab w:val="left" w:pos="567"/>
        </w:tabs>
        <w:spacing w:after="0" w:line="240" w:lineRule="auto"/>
        <w:jc w:val="both"/>
        <w:rPr>
          <w:rFonts w:ascii="Verdana" w:hAnsi="Verdana"/>
          <w:sz w:val="20"/>
          <w:szCs w:val="20"/>
        </w:rPr>
      </w:pPr>
    </w:p>
    <w:p w14:paraId="49807604" w14:textId="77777777" w:rsidR="000B22EA" w:rsidRPr="00C353E5" w:rsidRDefault="000B22EA" w:rsidP="00A229DF">
      <w:pPr>
        <w:tabs>
          <w:tab w:val="left" w:pos="567"/>
        </w:tabs>
        <w:spacing w:after="0" w:line="240" w:lineRule="auto"/>
        <w:ind w:left="4253"/>
        <w:jc w:val="right"/>
        <w:rPr>
          <w:rFonts w:ascii="Verdana" w:hAnsi="Verdana"/>
          <w:sz w:val="20"/>
          <w:szCs w:val="20"/>
        </w:rPr>
      </w:pPr>
      <w:r w:rsidRPr="00C353E5">
        <w:rPr>
          <w:rFonts w:ascii="Verdana" w:hAnsi="Verdana"/>
          <w:sz w:val="20"/>
          <w:szCs w:val="20"/>
        </w:rPr>
        <w:t xml:space="preserve">Elizabeth Odio Benito </w:t>
      </w:r>
    </w:p>
    <w:p w14:paraId="603C576F" w14:textId="77777777" w:rsidR="003626D4" w:rsidRPr="00C353E5" w:rsidRDefault="00635E09" w:rsidP="00A229DF">
      <w:pPr>
        <w:tabs>
          <w:tab w:val="left" w:pos="567"/>
        </w:tabs>
        <w:spacing w:after="0" w:line="240" w:lineRule="auto"/>
        <w:ind w:left="4253"/>
        <w:jc w:val="center"/>
        <w:rPr>
          <w:rFonts w:ascii="Verdana" w:eastAsia="Calibri" w:hAnsi="Verdana" w:cs="Calibri"/>
          <w:sz w:val="20"/>
          <w:szCs w:val="20"/>
          <w:lang w:val="pt-BR"/>
        </w:rPr>
      </w:pPr>
      <w:r w:rsidRPr="00C353E5">
        <w:rPr>
          <w:rFonts w:ascii="Verdana" w:hAnsi="Verdana"/>
          <w:sz w:val="20"/>
          <w:szCs w:val="20"/>
        </w:rPr>
        <w:tab/>
      </w:r>
      <w:r w:rsidRPr="00C353E5">
        <w:rPr>
          <w:rFonts w:ascii="Verdana" w:hAnsi="Verdana"/>
          <w:sz w:val="20"/>
          <w:szCs w:val="20"/>
        </w:rPr>
        <w:tab/>
      </w:r>
      <w:r w:rsidRPr="00C353E5">
        <w:rPr>
          <w:rFonts w:ascii="Verdana" w:hAnsi="Verdana"/>
          <w:sz w:val="20"/>
          <w:szCs w:val="20"/>
        </w:rPr>
        <w:tab/>
      </w:r>
      <w:r w:rsidRPr="00C353E5">
        <w:rPr>
          <w:rFonts w:ascii="Verdana" w:hAnsi="Verdana"/>
          <w:sz w:val="20"/>
          <w:szCs w:val="20"/>
        </w:rPr>
        <w:tab/>
      </w:r>
      <w:r w:rsidR="000B22EA" w:rsidRPr="00C353E5">
        <w:rPr>
          <w:rFonts w:ascii="Verdana" w:hAnsi="Verdana"/>
          <w:sz w:val="20"/>
          <w:szCs w:val="20"/>
        </w:rPr>
        <w:t>Presidenta</w:t>
      </w:r>
    </w:p>
    <w:p w14:paraId="05F33151" w14:textId="77777777" w:rsidR="00635E09" w:rsidRPr="00C353E5" w:rsidRDefault="00635E09" w:rsidP="00A229DF">
      <w:pPr>
        <w:tabs>
          <w:tab w:val="left" w:pos="567"/>
          <w:tab w:val="left" w:pos="2835"/>
        </w:tabs>
        <w:spacing w:after="0" w:line="240" w:lineRule="auto"/>
        <w:ind w:right="6003"/>
        <w:jc w:val="both"/>
        <w:rPr>
          <w:rFonts w:ascii="Verdana" w:eastAsia="Calibri" w:hAnsi="Verdana" w:cs="Calibri"/>
          <w:sz w:val="20"/>
          <w:szCs w:val="20"/>
          <w:lang w:val="pt-BR"/>
        </w:rPr>
      </w:pPr>
    </w:p>
    <w:p w14:paraId="5DB7AACB" w14:textId="77777777" w:rsidR="00635E09" w:rsidRPr="00C353E5" w:rsidRDefault="00635E09" w:rsidP="00A229DF">
      <w:pPr>
        <w:tabs>
          <w:tab w:val="left" w:pos="567"/>
          <w:tab w:val="left" w:pos="2835"/>
        </w:tabs>
        <w:spacing w:after="0" w:line="240" w:lineRule="auto"/>
        <w:ind w:right="6003"/>
        <w:jc w:val="both"/>
        <w:rPr>
          <w:rFonts w:ascii="Verdana" w:eastAsia="Calibri" w:hAnsi="Verdana" w:cs="Calibri"/>
          <w:sz w:val="20"/>
          <w:szCs w:val="20"/>
          <w:lang w:val="pt-BR"/>
        </w:rPr>
      </w:pPr>
    </w:p>
    <w:p w14:paraId="6A201AB1" w14:textId="77777777" w:rsidR="003626D4" w:rsidRPr="00C353E5" w:rsidRDefault="003626D4" w:rsidP="00A229DF">
      <w:pPr>
        <w:tabs>
          <w:tab w:val="left" w:pos="567"/>
          <w:tab w:val="left" w:pos="2835"/>
        </w:tabs>
        <w:spacing w:after="0" w:line="240" w:lineRule="auto"/>
        <w:ind w:right="6003"/>
        <w:jc w:val="center"/>
        <w:rPr>
          <w:rFonts w:ascii="Verdana" w:eastAsia="Calibri" w:hAnsi="Verdana" w:cs="Calibri"/>
          <w:sz w:val="20"/>
          <w:szCs w:val="20"/>
          <w:lang w:val="pt-BR"/>
        </w:rPr>
      </w:pPr>
      <w:r w:rsidRPr="00C353E5">
        <w:rPr>
          <w:rFonts w:ascii="Verdana" w:eastAsia="Calibri" w:hAnsi="Verdana" w:cs="Calibri"/>
          <w:sz w:val="20"/>
          <w:szCs w:val="20"/>
          <w:lang w:val="pt-BR"/>
        </w:rPr>
        <w:t xml:space="preserve">Pablo Saavedra </w:t>
      </w:r>
      <w:proofErr w:type="spellStart"/>
      <w:r w:rsidRPr="00C353E5">
        <w:rPr>
          <w:rFonts w:ascii="Verdana" w:eastAsia="Calibri" w:hAnsi="Verdana" w:cs="Calibri"/>
          <w:sz w:val="20"/>
          <w:szCs w:val="20"/>
          <w:lang w:val="pt-BR"/>
        </w:rPr>
        <w:t>Alessandri</w:t>
      </w:r>
      <w:proofErr w:type="spellEnd"/>
    </w:p>
    <w:p w14:paraId="6CACD62F" w14:textId="77777777" w:rsidR="003626D4" w:rsidRPr="00C353E5" w:rsidRDefault="003626D4" w:rsidP="00A229DF">
      <w:pPr>
        <w:tabs>
          <w:tab w:val="left" w:pos="567"/>
          <w:tab w:val="left" w:pos="2835"/>
        </w:tabs>
        <w:spacing w:after="0" w:line="240" w:lineRule="auto"/>
        <w:ind w:right="6003"/>
        <w:jc w:val="center"/>
        <w:rPr>
          <w:rFonts w:ascii="Verdana" w:eastAsia="Calibri" w:hAnsi="Verdana" w:cs="Calibri"/>
          <w:sz w:val="20"/>
          <w:szCs w:val="20"/>
          <w:lang w:val="es-ES"/>
        </w:rPr>
      </w:pPr>
      <w:r w:rsidRPr="00C353E5">
        <w:rPr>
          <w:rFonts w:ascii="Verdana" w:eastAsia="Calibri" w:hAnsi="Verdana" w:cs="Calibri"/>
          <w:sz w:val="20"/>
          <w:szCs w:val="20"/>
          <w:lang w:val="es-ES"/>
        </w:rPr>
        <w:t>Secretario</w:t>
      </w:r>
    </w:p>
    <w:p w14:paraId="3DA1B9C4" w14:textId="77777777" w:rsidR="003626D4" w:rsidRPr="00C353E5" w:rsidRDefault="003626D4" w:rsidP="00A229DF">
      <w:pPr>
        <w:tabs>
          <w:tab w:val="left" w:pos="567"/>
        </w:tabs>
        <w:spacing w:after="0" w:line="240" w:lineRule="auto"/>
        <w:jc w:val="both"/>
        <w:rPr>
          <w:rFonts w:ascii="Verdana" w:eastAsia="Calibri" w:hAnsi="Verdana" w:cs="Calibri"/>
          <w:sz w:val="20"/>
          <w:szCs w:val="20"/>
          <w:lang w:val="es-MX"/>
        </w:rPr>
      </w:pPr>
    </w:p>
    <w:p w14:paraId="0060753D" w14:textId="77777777" w:rsidR="003626D4" w:rsidRPr="00C353E5" w:rsidRDefault="003626D4" w:rsidP="00A229DF">
      <w:pPr>
        <w:tabs>
          <w:tab w:val="left" w:pos="567"/>
        </w:tabs>
        <w:spacing w:after="0" w:line="240" w:lineRule="auto"/>
        <w:jc w:val="both"/>
        <w:rPr>
          <w:rFonts w:ascii="Verdana" w:eastAsia="Calibri" w:hAnsi="Verdana" w:cs="Calibri"/>
          <w:sz w:val="20"/>
          <w:szCs w:val="20"/>
          <w:lang w:val="es-MX"/>
        </w:rPr>
      </w:pPr>
    </w:p>
    <w:p w14:paraId="0F7E6142" w14:textId="77777777" w:rsidR="003626D4" w:rsidRPr="00C353E5" w:rsidRDefault="003626D4" w:rsidP="00A229DF">
      <w:pPr>
        <w:tabs>
          <w:tab w:val="left" w:pos="567"/>
        </w:tabs>
        <w:spacing w:after="0" w:line="240" w:lineRule="auto"/>
        <w:jc w:val="both"/>
        <w:rPr>
          <w:rFonts w:ascii="Verdana" w:eastAsia="Calibri" w:hAnsi="Verdana" w:cs="Calibri"/>
          <w:sz w:val="20"/>
          <w:szCs w:val="20"/>
          <w:lang w:val="es-MX"/>
        </w:rPr>
      </w:pPr>
      <w:r w:rsidRPr="00C353E5">
        <w:rPr>
          <w:rFonts w:ascii="Verdana" w:eastAsia="Calibri" w:hAnsi="Verdana" w:cs="Calibri"/>
          <w:sz w:val="20"/>
          <w:szCs w:val="20"/>
          <w:lang w:val="es-MX"/>
        </w:rPr>
        <w:t>Comuníquese y ejecútese,</w:t>
      </w:r>
      <w:r w:rsidRPr="00C353E5">
        <w:rPr>
          <w:rFonts w:ascii="Verdana" w:eastAsia="Calibri" w:hAnsi="Verdana" w:cs="Calibri"/>
          <w:noProof/>
          <w:sz w:val="20"/>
          <w:szCs w:val="20"/>
          <w:lang w:val="es-MX" w:eastAsia="es-CR"/>
        </w:rPr>
        <w:t xml:space="preserve"> </w:t>
      </w:r>
    </w:p>
    <w:p w14:paraId="7E65C803" w14:textId="77777777" w:rsidR="003626D4" w:rsidRPr="00C353E5" w:rsidRDefault="003626D4" w:rsidP="00A229DF">
      <w:pPr>
        <w:tabs>
          <w:tab w:val="left" w:pos="567"/>
        </w:tabs>
        <w:spacing w:after="0" w:line="240" w:lineRule="auto"/>
        <w:jc w:val="both"/>
        <w:rPr>
          <w:rFonts w:ascii="Verdana" w:eastAsia="Calibri" w:hAnsi="Verdana" w:cs="Calibri"/>
          <w:sz w:val="20"/>
          <w:szCs w:val="20"/>
          <w:lang w:val="es-MX"/>
        </w:rPr>
      </w:pPr>
    </w:p>
    <w:p w14:paraId="21B71BA6" w14:textId="77777777" w:rsidR="00635E09" w:rsidRPr="00C353E5" w:rsidRDefault="00635E09" w:rsidP="00A229DF">
      <w:pPr>
        <w:tabs>
          <w:tab w:val="left" w:pos="567"/>
        </w:tabs>
        <w:spacing w:after="0" w:line="240" w:lineRule="auto"/>
        <w:jc w:val="both"/>
        <w:rPr>
          <w:rFonts w:ascii="Verdana" w:eastAsia="Calibri" w:hAnsi="Verdana" w:cs="Calibri"/>
          <w:sz w:val="20"/>
          <w:szCs w:val="20"/>
          <w:lang w:val="es-MX"/>
        </w:rPr>
      </w:pPr>
    </w:p>
    <w:p w14:paraId="08AC8567" w14:textId="77777777" w:rsidR="00635E09" w:rsidRPr="00C353E5" w:rsidRDefault="00635E09" w:rsidP="00A229DF">
      <w:pPr>
        <w:tabs>
          <w:tab w:val="left" w:pos="567"/>
        </w:tabs>
        <w:spacing w:after="0" w:line="240" w:lineRule="auto"/>
        <w:jc w:val="both"/>
        <w:rPr>
          <w:rFonts w:ascii="Verdana" w:eastAsia="Calibri" w:hAnsi="Verdana" w:cs="Calibri"/>
          <w:sz w:val="20"/>
          <w:szCs w:val="20"/>
          <w:lang w:val="es-MX"/>
        </w:rPr>
      </w:pPr>
    </w:p>
    <w:p w14:paraId="5D866894" w14:textId="77777777" w:rsidR="000B22EA" w:rsidRPr="00C353E5" w:rsidRDefault="000B22EA" w:rsidP="00A229DF">
      <w:pPr>
        <w:tabs>
          <w:tab w:val="left" w:pos="567"/>
        </w:tabs>
        <w:spacing w:after="0" w:line="240" w:lineRule="auto"/>
        <w:ind w:left="4253"/>
        <w:jc w:val="right"/>
        <w:rPr>
          <w:rFonts w:ascii="Verdana" w:hAnsi="Verdana"/>
          <w:sz w:val="20"/>
          <w:szCs w:val="20"/>
        </w:rPr>
      </w:pPr>
      <w:r w:rsidRPr="00C353E5">
        <w:rPr>
          <w:rFonts w:ascii="Verdana" w:hAnsi="Verdana"/>
          <w:sz w:val="20"/>
          <w:szCs w:val="20"/>
        </w:rPr>
        <w:t xml:space="preserve">Elizabeth Odio Benito </w:t>
      </w:r>
    </w:p>
    <w:p w14:paraId="0866DD65" w14:textId="77777777" w:rsidR="003626D4" w:rsidRPr="00C353E5" w:rsidRDefault="00635E09" w:rsidP="00A229DF">
      <w:pPr>
        <w:tabs>
          <w:tab w:val="left" w:pos="567"/>
        </w:tabs>
        <w:spacing w:after="0" w:line="240" w:lineRule="auto"/>
        <w:ind w:left="4253"/>
        <w:jc w:val="center"/>
        <w:rPr>
          <w:rFonts w:ascii="Verdana" w:eastAsia="Calibri" w:hAnsi="Verdana" w:cs="Calibri"/>
          <w:sz w:val="20"/>
          <w:szCs w:val="20"/>
          <w:lang w:val="pt-BR"/>
        </w:rPr>
      </w:pPr>
      <w:r w:rsidRPr="00C353E5">
        <w:rPr>
          <w:rFonts w:ascii="Verdana" w:hAnsi="Verdana"/>
          <w:sz w:val="20"/>
          <w:szCs w:val="20"/>
        </w:rPr>
        <w:tab/>
      </w:r>
      <w:r w:rsidRPr="00C353E5">
        <w:rPr>
          <w:rFonts w:ascii="Verdana" w:hAnsi="Verdana"/>
          <w:sz w:val="20"/>
          <w:szCs w:val="20"/>
        </w:rPr>
        <w:tab/>
      </w:r>
      <w:r w:rsidRPr="00C353E5">
        <w:rPr>
          <w:rFonts w:ascii="Verdana" w:hAnsi="Verdana"/>
          <w:sz w:val="20"/>
          <w:szCs w:val="20"/>
        </w:rPr>
        <w:tab/>
      </w:r>
      <w:r w:rsidRPr="00C353E5">
        <w:rPr>
          <w:rFonts w:ascii="Verdana" w:hAnsi="Verdana"/>
          <w:sz w:val="20"/>
          <w:szCs w:val="20"/>
        </w:rPr>
        <w:tab/>
      </w:r>
      <w:r w:rsidR="000B22EA" w:rsidRPr="00C353E5">
        <w:rPr>
          <w:rFonts w:ascii="Verdana" w:hAnsi="Verdana"/>
          <w:sz w:val="20"/>
          <w:szCs w:val="20"/>
        </w:rPr>
        <w:t>Presidenta</w:t>
      </w:r>
    </w:p>
    <w:p w14:paraId="6D48272F" w14:textId="77777777" w:rsidR="003626D4" w:rsidRPr="00C353E5" w:rsidRDefault="003626D4" w:rsidP="00A229DF">
      <w:pPr>
        <w:tabs>
          <w:tab w:val="left" w:pos="567"/>
        </w:tabs>
        <w:spacing w:after="0" w:line="240" w:lineRule="auto"/>
        <w:jc w:val="both"/>
        <w:rPr>
          <w:rFonts w:ascii="Verdana" w:eastAsia="Calibri" w:hAnsi="Verdana" w:cs="Calibri"/>
          <w:sz w:val="20"/>
          <w:szCs w:val="20"/>
          <w:lang w:val="es-MX"/>
        </w:rPr>
      </w:pPr>
    </w:p>
    <w:p w14:paraId="04141876" w14:textId="77777777" w:rsidR="003626D4" w:rsidRPr="00C353E5" w:rsidRDefault="003626D4" w:rsidP="00A229DF">
      <w:pPr>
        <w:tabs>
          <w:tab w:val="left" w:pos="567"/>
        </w:tabs>
        <w:spacing w:after="0" w:line="240" w:lineRule="auto"/>
        <w:jc w:val="both"/>
        <w:rPr>
          <w:rFonts w:ascii="Verdana" w:eastAsia="Calibri" w:hAnsi="Verdana" w:cs="Calibri"/>
          <w:sz w:val="20"/>
          <w:szCs w:val="20"/>
          <w:lang w:val="es-MX"/>
        </w:rPr>
      </w:pPr>
    </w:p>
    <w:p w14:paraId="11FB0704" w14:textId="77777777" w:rsidR="003626D4" w:rsidRPr="00C353E5" w:rsidRDefault="003626D4" w:rsidP="00A229DF">
      <w:pPr>
        <w:tabs>
          <w:tab w:val="left" w:pos="567"/>
        </w:tabs>
        <w:spacing w:after="0" w:line="240" w:lineRule="auto"/>
        <w:jc w:val="both"/>
        <w:rPr>
          <w:rFonts w:ascii="Verdana" w:eastAsia="Calibri" w:hAnsi="Verdana" w:cs="Calibri"/>
          <w:sz w:val="20"/>
          <w:szCs w:val="20"/>
          <w:lang w:val="es-MX"/>
        </w:rPr>
      </w:pPr>
    </w:p>
    <w:p w14:paraId="6648D501" w14:textId="77777777" w:rsidR="003626D4" w:rsidRPr="00C353E5" w:rsidRDefault="003626D4" w:rsidP="00A229DF">
      <w:pPr>
        <w:tabs>
          <w:tab w:val="left" w:pos="567"/>
        </w:tabs>
        <w:spacing w:after="0" w:line="240" w:lineRule="auto"/>
        <w:ind w:right="6003"/>
        <w:jc w:val="center"/>
        <w:rPr>
          <w:rFonts w:ascii="Verdana" w:eastAsia="Calibri" w:hAnsi="Verdana" w:cs="Calibri"/>
          <w:sz w:val="20"/>
          <w:szCs w:val="20"/>
          <w:lang w:val="es-MX"/>
        </w:rPr>
      </w:pPr>
      <w:r w:rsidRPr="00C353E5">
        <w:rPr>
          <w:rFonts w:ascii="Verdana" w:eastAsia="Calibri" w:hAnsi="Verdana" w:cs="Calibri"/>
          <w:sz w:val="20"/>
          <w:szCs w:val="20"/>
          <w:lang w:val="es-MX"/>
        </w:rPr>
        <w:t>Pablo Saavedra Alessandri</w:t>
      </w:r>
    </w:p>
    <w:p w14:paraId="13207C2E" w14:textId="77777777" w:rsidR="00627C34" w:rsidRPr="00C353E5" w:rsidRDefault="003626D4" w:rsidP="00A229DF">
      <w:pPr>
        <w:tabs>
          <w:tab w:val="left" w:pos="567"/>
        </w:tabs>
        <w:spacing w:after="0" w:line="240" w:lineRule="auto"/>
        <w:ind w:right="6003"/>
        <w:jc w:val="center"/>
        <w:rPr>
          <w:rFonts w:ascii="Verdana" w:hAnsi="Verdana"/>
          <w:sz w:val="20"/>
          <w:szCs w:val="20"/>
        </w:rPr>
      </w:pPr>
      <w:r w:rsidRPr="00C353E5">
        <w:rPr>
          <w:rFonts w:ascii="Verdana" w:eastAsia="Calibri" w:hAnsi="Verdana" w:cs="Calibri"/>
          <w:sz w:val="20"/>
          <w:szCs w:val="20"/>
          <w:lang w:val="es-MX"/>
        </w:rPr>
        <w:t>Secretario</w:t>
      </w:r>
    </w:p>
    <w:sectPr w:rsidR="00627C34" w:rsidRPr="00C353E5" w:rsidSect="00627C34">
      <w:headerReference w:type="even" r:id="rId7"/>
      <w:headerReference w:type="default" r:id="rId8"/>
      <w:pgSz w:w="12240" w:h="15840"/>
      <w:pgMar w:top="1440" w:right="1474" w:bottom="1440" w:left="147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1785F8" w14:textId="77777777" w:rsidR="00CB1CEF" w:rsidRDefault="00CB1CEF" w:rsidP="003626D4">
      <w:pPr>
        <w:spacing w:after="0" w:line="240" w:lineRule="auto"/>
      </w:pPr>
      <w:r>
        <w:separator/>
      </w:r>
    </w:p>
  </w:endnote>
  <w:endnote w:type="continuationSeparator" w:id="0">
    <w:p w14:paraId="0838C428" w14:textId="77777777" w:rsidR="00CB1CEF" w:rsidRDefault="00CB1CEF" w:rsidP="003626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0AEEE5" w14:textId="77777777" w:rsidR="00CB1CEF" w:rsidRDefault="00CB1CEF" w:rsidP="003626D4">
      <w:pPr>
        <w:spacing w:after="0" w:line="240" w:lineRule="auto"/>
      </w:pPr>
      <w:r>
        <w:separator/>
      </w:r>
    </w:p>
  </w:footnote>
  <w:footnote w:type="continuationSeparator" w:id="0">
    <w:p w14:paraId="0E7EFCDF" w14:textId="77777777" w:rsidR="00CB1CEF" w:rsidRDefault="00CB1CEF" w:rsidP="003626D4">
      <w:pPr>
        <w:spacing w:after="0" w:line="240" w:lineRule="auto"/>
      </w:pPr>
      <w:r>
        <w:continuationSeparator/>
      </w:r>
    </w:p>
  </w:footnote>
  <w:footnote w:id="1">
    <w:p w14:paraId="79E18050" w14:textId="77777777" w:rsidR="00900F1F" w:rsidRPr="006503CF" w:rsidRDefault="00900F1F" w:rsidP="00250957">
      <w:pPr>
        <w:pStyle w:val="Textonotapie"/>
        <w:snapToGrid w:val="0"/>
        <w:spacing w:before="120" w:after="80"/>
        <w:rPr>
          <w:color w:val="auto"/>
          <w:lang w:val="es-ES"/>
        </w:rPr>
      </w:pPr>
      <w:r w:rsidRPr="006503CF">
        <w:rPr>
          <w:rStyle w:val="None"/>
          <w:iCs/>
          <w:color w:val="auto"/>
          <w:vertAlign w:val="superscript"/>
          <w:lang w:val="es-ES"/>
        </w:rPr>
        <w:footnoteRef/>
      </w:r>
      <w:r w:rsidR="005C5201">
        <w:rPr>
          <w:color w:val="auto"/>
          <w:lang w:val="es-ES"/>
        </w:rPr>
        <w:t xml:space="preserve"> </w:t>
      </w:r>
      <w:r w:rsidR="005C5201">
        <w:rPr>
          <w:color w:val="auto"/>
          <w:lang w:val="es-ES"/>
        </w:rPr>
        <w:tab/>
        <w:t>Durante el trámite</w:t>
      </w:r>
      <w:r w:rsidRPr="006503CF">
        <w:rPr>
          <w:color w:val="auto"/>
          <w:lang w:val="es-ES"/>
        </w:rPr>
        <w:t xml:space="preserve"> de este caso ante la Corte Interamericana</w:t>
      </w:r>
      <w:r w:rsidR="009747C6" w:rsidRPr="006503CF">
        <w:rPr>
          <w:color w:val="auto"/>
          <w:lang w:val="es-ES"/>
        </w:rPr>
        <w:t>,</w:t>
      </w:r>
      <w:r w:rsidR="005C5201">
        <w:rPr>
          <w:color w:val="auto"/>
          <w:lang w:val="es-ES"/>
        </w:rPr>
        <w:t xml:space="preserve"> </w:t>
      </w:r>
      <w:r w:rsidRPr="006503CF">
        <w:rPr>
          <w:color w:val="auto"/>
          <w:lang w:val="es-ES"/>
        </w:rPr>
        <w:t>l</w:t>
      </w:r>
      <w:r w:rsidR="005C5201">
        <w:rPr>
          <w:color w:val="auto"/>
          <w:lang w:val="es-ES"/>
        </w:rPr>
        <w:t>a</w:t>
      </w:r>
      <w:r w:rsidRPr="006503CF">
        <w:rPr>
          <w:color w:val="auto"/>
          <w:lang w:val="es-ES"/>
        </w:rPr>
        <w:t xml:space="preserve"> señor</w:t>
      </w:r>
      <w:r w:rsidR="005C5201">
        <w:rPr>
          <w:color w:val="auto"/>
          <w:lang w:val="es-ES"/>
        </w:rPr>
        <w:t>a</w:t>
      </w:r>
      <w:r w:rsidRPr="006503CF">
        <w:rPr>
          <w:color w:val="auto"/>
          <w:lang w:val="es-ES"/>
        </w:rPr>
        <w:t xml:space="preserve"> </w:t>
      </w:r>
      <w:r w:rsidR="005C5201">
        <w:rPr>
          <w:color w:val="auto"/>
          <w:lang w:val="es-ES"/>
        </w:rPr>
        <w:t xml:space="preserve">Moya Solís </w:t>
      </w:r>
      <w:r w:rsidR="004E2A06">
        <w:rPr>
          <w:color w:val="auto"/>
          <w:lang w:val="es-ES"/>
        </w:rPr>
        <w:t>se represent</w:t>
      </w:r>
      <w:r w:rsidR="008B63F8">
        <w:rPr>
          <w:color w:val="auto"/>
          <w:lang w:val="es-ES"/>
        </w:rPr>
        <w:t>a</w:t>
      </w:r>
      <w:r w:rsidR="004E2A06">
        <w:rPr>
          <w:color w:val="auto"/>
          <w:lang w:val="es-ES"/>
        </w:rPr>
        <w:t xml:space="preserve"> a sí misma</w:t>
      </w:r>
      <w:r w:rsidRPr="006503CF">
        <w:rPr>
          <w:color w:val="auto"/>
          <w:lang w:val="es-ES"/>
        </w:rPr>
        <w:t xml:space="preserve">. </w:t>
      </w:r>
    </w:p>
  </w:footnote>
  <w:footnote w:id="2">
    <w:p w14:paraId="5B046A28" w14:textId="77777777" w:rsidR="00900F1F" w:rsidRPr="006503CF" w:rsidRDefault="00900F1F" w:rsidP="00250957">
      <w:pPr>
        <w:pStyle w:val="Textonotapie"/>
        <w:tabs>
          <w:tab w:val="left" w:pos="284"/>
          <w:tab w:val="left" w:pos="426"/>
        </w:tabs>
        <w:spacing w:before="120" w:after="80"/>
      </w:pPr>
      <w:r w:rsidRPr="006503CF">
        <w:rPr>
          <w:rStyle w:val="Refdenotaalpie"/>
        </w:rPr>
        <w:footnoteRef/>
      </w:r>
      <w:r w:rsidRPr="006503CF">
        <w:rPr>
          <w:i/>
        </w:rPr>
        <w:t xml:space="preserve"> </w:t>
      </w:r>
      <w:r w:rsidRPr="006503CF">
        <w:rPr>
          <w:i/>
        </w:rPr>
        <w:tab/>
      </w:r>
      <w:r w:rsidRPr="006503CF">
        <w:rPr>
          <w:i/>
        </w:rPr>
        <w:tab/>
      </w:r>
      <w:r w:rsidRPr="006503CF">
        <w:rPr>
          <w:i/>
        </w:rPr>
        <w:tab/>
        <w:t>Cfr.</w:t>
      </w:r>
      <w:r w:rsidRPr="006503CF">
        <w:rPr>
          <w:b/>
        </w:rPr>
        <w:t xml:space="preserve"> </w:t>
      </w:r>
      <w:r w:rsidRPr="006503CF">
        <w:rPr>
          <w:rStyle w:val="Textoennegrita"/>
          <w:b w:val="0"/>
          <w:i/>
          <w:shd w:val="clear" w:color="auto" w:fill="FFFFFF"/>
        </w:rPr>
        <w:t xml:space="preserve">Caso </w:t>
      </w:r>
      <w:proofErr w:type="spellStart"/>
      <w:r w:rsidRPr="006503CF">
        <w:rPr>
          <w:rStyle w:val="Textoennegrita"/>
          <w:b w:val="0"/>
          <w:i/>
          <w:shd w:val="clear" w:color="auto" w:fill="FFFFFF"/>
        </w:rPr>
        <w:t>Goiburú</w:t>
      </w:r>
      <w:proofErr w:type="spellEnd"/>
      <w:r w:rsidRPr="006503CF">
        <w:rPr>
          <w:rStyle w:val="Textoennegrita"/>
          <w:b w:val="0"/>
          <w:i/>
          <w:shd w:val="clear" w:color="auto" w:fill="FFFFFF"/>
        </w:rPr>
        <w:t xml:space="preserve"> y otros Vs. Paraguay.</w:t>
      </w:r>
      <w:r w:rsidRPr="006503CF">
        <w:rPr>
          <w:rStyle w:val="Textoennegrita"/>
          <w:b w:val="0"/>
          <w:shd w:val="clear" w:color="auto" w:fill="FFFFFF"/>
        </w:rPr>
        <w:t xml:space="preserve"> Resolución del Presidente de la Corte Interamericana de </w:t>
      </w:r>
      <w:r w:rsidRPr="00C10387">
        <w:rPr>
          <w:rStyle w:val="Textoennegrita"/>
          <w:b w:val="0"/>
          <w:shd w:val="clear" w:color="auto" w:fill="FFFFFF"/>
        </w:rPr>
        <w:t xml:space="preserve">Derechos Humanos de 5 de mayo de 2006, Considerando 11, y </w:t>
      </w:r>
      <w:r w:rsidR="00C10387" w:rsidRPr="00C10387">
        <w:rPr>
          <w:rStyle w:val="Textoennegrita"/>
          <w:b w:val="0"/>
          <w:i/>
          <w:shd w:val="clear" w:color="auto" w:fill="FFFFFF"/>
        </w:rPr>
        <w:t xml:space="preserve">Caso Villarroel Merino y otros Vs. Ecuador. </w:t>
      </w:r>
      <w:r w:rsidR="00C10387" w:rsidRPr="00C10387">
        <w:rPr>
          <w:rStyle w:val="Textoennegrita"/>
          <w:b w:val="0"/>
          <w:shd w:val="clear" w:color="auto" w:fill="FFFFFF"/>
        </w:rPr>
        <w:t>Resolución de la Presidenta de la Corte Interamericana de Derechos Humanos de 8 de diciembre de 2020</w:t>
      </w:r>
      <w:r w:rsidRPr="00C10387">
        <w:rPr>
          <w:rStyle w:val="Textoennegrita"/>
          <w:b w:val="0"/>
          <w:shd w:val="clear" w:color="auto" w:fill="FFFFFF"/>
        </w:rPr>
        <w:t xml:space="preserve">, Considerando </w:t>
      </w:r>
      <w:r w:rsidR="00C10387" w:rsidRPr="00C10387">
        <w:rPr>
          <w:rStyle w:val="Textoennegrita"/>
          <w:b w:val="0"/>
          <w:shd w:val="clear" w:color="auto" w:fill="FFFFFF"/>
        </w:rPr>
        <w:t>5</w:t>
      </w:r>
      <w:r w:rsidRPr="00C10387">
        <w:rPr>
          <w:rStyle w:val="Textoennegrita"/>
          <w:b w:val="0"/>
          <w:shd w:val="clear" w:color="auto" w:fill="FFFFFF"/>
        </w:rPr>
        <w:t>.</w:t>
      </w:r>
    </w:p>
  </w:footnote>
  <w:footnote w:id="3">
    <w:p w14:paraId="53696C5A" w14:textId="77777777" w:rsidR="00900F1F" w:rsidRPr="006503CF" w:rsidRDefault="00900F1F" w:rsidP="00250957">
      <w:pPr>
        <w:pStyle w:val="Textonotapie"/>
        <w:tabs>
          <w:tab w:val="left" w:pos="284"/>
          <w:tab w:val="left" w:pos="426"/>
        </w:tabs>
        <w:spacing w:before="120" w:after="80"/>
      </w:pPr>
      <w:r w:rsidRPr="006503CF">
        <w:rPr>
          <w:rStyle w:val="Refdenotaalpie"/>
        </w:rPr>
        <w:footnoteRef/>
      </w:r>
      <w:r w:rsidRPr="006503CF">
        <w:t xml:space="preserve"> </w:t>
      </w:r>
      <w:r w:rsidR="0011754C" w:rsidRPr="006503CF">
        <w:tab/>
      </w:r>
      <w:r w:rsidRPr="006503CF">
        <w:rPr>
          <w:i/>
        </w:rPr>
        <w:t xml:space="preserve">Cfr. </w:t>
      </w:r>
      <w:r w:rsidRPr="006A2894">
        <w:rPr>
          <w:i/>
        </w:rPr>
        <w:t>Caso M</w:t>
      </w:r>
      <w:r w:rsidRPr="00C10387">
        <w:rPr>
          <w:i/>
        </w:rPr>
        <w:t xml:space="preserve">ota </w:t>
      </w:r>
      <w:proofErr w:type="spellStart"/>
      <w:r w:rsidRPr="00C10387">
        <w:rPr>
          <w:i/>
        </w:rPr>
        <w:t>Abarullo</w:t>
      </w:r>
      <w:proofErr w:type="spellEnd"/>
      <w:r w:rsidRPr="00C10387">
        <w:rPr>
          <w:i/>
        </w:rPr>
        <w:t xml:space="preserve"> y otros Vs. Venezuela</w:t>
      </w:r>
      <w:r w:rsidRPr="00C10387">
        <w:t>, Resolución de la Presidenta de la Corte Interamericana de Derechos Humanos de 6 d</w:t>
      </w:r>
      <w:r w:rsidR="000B2DBD" w:rsidRPr="00C10387">
        <w:t>e marzo de 2020, Considerando 7,</w:t>
      </w:r>
      <w:r w:rsidR="000B2DBD" w:rsidRPr="00C10387">
        <w:rPr>
          <w:rStyle w:val="Textoennegrita"/>
          <w:b w:val="0"/>
          <w:shd w:val="clear" w:color="auto" w:fill="FFFFFF"/>
        </w:rPr>
        <w:t xml:space="preserve"> y </w:t>
      </w:r>
      <w:r w:rsidR="00C10387" w:rsidRPr="00C10387">
        <w:rPr>
          <w:rStyle w:val="Textoennegrita"/>
          <w:b w:val="0"/>
          <w:i/>
          <w:shd w:val="clear" w:color="auto" w:fill="FFFFFF"/>
        </w:rPr>
        <w:t>Caso Villarroel Merino y otros Vs. Ecuador</w:t>
      </w:r>
      <w:r w:rsidR="006A2894" w:rsidRPr="00C10387">
        <w:rPr>
          <w:rStyle w:val="Textoennegrita"/>
          <w:b w:val="0"/>
          <w:i/>
          <w:shd w:val="clear" w:color="auto" w:fill="FFFFFF"/>
        </w:rPr>
        <w:t>, supra</w:t>
      </w:r>
      <w:r w:rsidR="000B2DBD" w:rsidRPr="00C10387">
        <w:rPr>
          <w:rStyle w:val="Textoennegrita"/>
          <w:b w:val="0"/>
          <w:shd w:val="clear" w:color="auto" w:fill="FFFFFF"/>
        </w:rPr>
        <w:t xml:space="preserve">, Considerando </w:t>
      </w:r>
      <w:r w:rsidR="00C10387" w:rsidRPr="00C10387">
        <w:rPr>
          <w:rStyle w:val="Textoennegrita"/>
          <w:b w:val="0"/>
          <w:shd w:val="clear" w:color="auto" w:fill="FFFFFF"/>
        </w:rPr>
        <w:t>7</w:t>
      </w:r>
      <w:r w:rsidR="000B2DBD" w:rsidRPr="00C10387">
        <w:rPr>
          <w:rStyle w:val="Textoennegrita"/>
          <w:b w:val="0"/>
          <w:shd w:val="clear" w:color="auto" w:fill="FFFFFF"/>
        </w:rPr>
        <w:t>.</w:t>
      </w:r>
    </w:p>
  </w:footnote>
  <w:footnote w:id="4">
    <w:p w14:paraId="0E6EA126" w14:textId="77777777" w:rsidR="00900F1F" w:rsidRPr="006503CF" w:rsidRDefault="00900F1F" w:rsidP="00250957">
      <w:pPr>
        <w:pStyle w:val="Textonotapie"/>
        <w:spacing w:before="120" w:after="80"/>
      </w:pPr>
      <w:r w:rsidRPr="006503CF">
        <w:rPr>
          <w:rStyle w:val="Refdenotaalpie"/>
        </w:rPr>
        <w:footnoteRef/>
      </w:r>
      <w:r w:rsidRPr="006503CF">
        <w:t xml:space="preserve"> </w:t>
      </w:r>
      <w:r w:rsidRPr="006503CF">
        <w:tab/>
        <w:t>El Estado señaló que</w:t>
      </w:r>
      <w:r w:rsidR="00ED21AC">
        <w:t xml:space="preserve"> el señor Gómez Valverde rendirá</w:t>
      </w:r>
      <w:r w:rsidRPr="006503CF">
        <w:t xml:space="preserve"> declaración sobre </w:t>
      </w:r>
      <w:r w:rsidR="00B50165">
        <w:t>“</w:t>
      </w:r>
      <w:r w:rsidR="00B50165" w:rsidRPr="00B50165">
        <w:rPr>
          <w:lang w:val="es-CR"/>
        </w:rPr>
        <w:t>a) las particularidades</w:t>
      </w:r>
      <w:r w:rsidR="00B50165">
        <w:rPr>
          <w:lang w:val="es-CR"/>
        </w:rPr>
        <w:t xml:space="preserve"> </w:t>
      </w:r>
      <w:r w:rsidR="00B50165" w:rsidRPr="00B50165">
        <w:rPr>
          <w:lang w:val="es-CR"/>
        </w:rPr>
        <w:t>y configuración del proceso de ratificación de secretarios judiciales en la época de</w:t>
      </w:r>
      <w:r w:rsidR="00B50165">
        <w:rPr>
          <w:lang w:val="es-CR"/>
        </w:rPr>
        <w:t xml:space="preserve"> </w:t>
      </w:r>
      <w:r w:rsidR="00B50165" w:rsidRPr="00B50165">
        <w:rPr>
          <w:lang w:val="es-CR"/>
        </w:rPr>
        <w:t>los hechos, b) sus diferencias con el proceso disciplinario realizado a secretarios</w:t>
      </w:r>
      <w:r w:rsidR="00B50165">
        <w:rPr>
          <w:lang w:val="es-CR"/>
        </w:rPr>
        <w:t xml:space="preserve"> </w:t>
      </w:r>
      <w:r w:rsidR="00B50165" w:rsidRPr="00B50165">
        <w:rPr>
          <w:lang w:val="es-CR"/>
        </w:rPr>
        <w:t xml:space="preserve">judiciales en la época de los hechos, </w:t>
      </w:r>
      <w:r w:rsidR="00ED21AC">
        <w:rPr>
          <w:lang w:val="es-CR"/>
        </w:rPr>
        <w:t xml:space="preserve">[y] </w:t>
      </w:r>
      <w:r w:rsidR="00B50165" w:rsidRPr="00B50165">
        <w:rPr>
          <w:lang w:val="es-CR"/>
        </w:rPr>
        <w:t>c) el marco normativo actual vigente aplicable</w:t>
      </w:r>
      <w:r w:rsidR="00B50165">
        <w:rPr>
          <w:lang w:val="es-CR"/>
        </w:rPr>
        <w:t xml:space="preserve"> </w:t>
      </w:r>
      <w:r w:rsidR="00B50165" w:rsidRPr="00B50165">
        <w:rPr>
          <w:lang w:val="es-CR"/>
        </w:rPr>
        <w:t>a secretarios judiciales en cuanto a procesos de evaluación y disciplinarios. La</w:t>
      </w:r>
      <w:r w:rsidR="00B50165">
        <w:rPr>
          <w:lang w:val="es-CR"/>
        </w:rPr>
        <w:t xml:space="preserve"> </w:t>
      </w:r>
      <w:r w:rsidR="00B50165" w:rsidRPr="00B50165">
        <w:rPr>
          <w:lang w:val="es-CR"/>
        </w:rPr>
        <w:t>testimonial aborda</w:t>
      </w:r>
      <w:r w:rsidR="00ED21AC">
        <w:rPr>
          <w:lang w:val="es-CR"/>
        </w:rPr>
        <w:t>rá los hechos del presente caso</w:t>
      </w:r>
      <w:r w:rsidR="00B50165">
        <w:t>”</w:t>
      </w:r>
      <w:r w:rsidRPr="006503CF">
        <w:t>.</w:t>
      </w:r>
    </w:p>
  </w:footnote>
  <w:footnote w:id="5">
    <w:p w14:paraId="4528EA39" w14:textId="77777777" w:rsidR="00250957" w:rsidRPr="00250957" w:rsidRDefault="00250957" w:rsidP="00250957">
      <w:pPr>
        <w:pStyle w:val="Textonotapie"/>
        <w:spacing w:before="120"/>
        <w:rPr>
          <w:lang w:val="es-CR"/>
        </w:rPr>
      </w:pPr>
      <w:r>
        <w:rPr>
          <w:rStyle w:val="Refdenotaalpie"/>
        </w:rPr>
        <w:footnoteRef/>
      </w:r>
      <w:r>
        <w:t xml:space="preserve"> </w:t>
      </w:r>
      <w:r>
        <w:rPr>
          <w:lang w:val="es-CR"/>
        </w:rPr>
        <w:tab/>
      </w:r>
      <w:r w:rsidRPr="00250957">
        <w:rPr>
          <w:i/>
          <w:lang w:val="es-CR"/>
        </w:rPr>
        <w:t>Cfr.</w:t>
      </w:r>
      <w:r>
        <w:rPr>
          <w:lang w:val="es-CR"/>
        </w:rPr>
        <w:t xml:space="preserve"> </w:t>
      </w:r>
      <w:r w:rsidRPr="00250957">
        <w:rPr>
          <w:i/>
          <w:lang w:val="es-CR"/>
        </w:rPr>
        <w:t>Caso Garzón Guzmán Vs. Ecuador. Convocatoria a audiencia.</w:t>
      </w:r>
      <w:r w:rsidRPr="00250957">
        <w:rPr>
          <w:lang w:val="es-CR"/>
        </w:rPr>
        <w:t xml:space="preserve"> Resolución de la Presidenta de la Corte Interamericana de Derechos Hum</w:t>
      </w:r>
      <w:r>
        <w:rPr>
          <w:lang w:val="es-CR"/>
        </w:rPr>
        <w:t xml:space="preserve">anos de 24 de noviembre de 2020, párr. 19.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3EA01B" w14:textId="77777777" w:rsidR="00900F1F" w:rsidRDefault="00900F1F" w:rsidP="00627C34">
    <w:pPr>
      <w:pStyle w:val="Encabezado"/>
      <w:framePr w:wrap="none"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7790FF93" w14:textId="77777777" w:rsidR="00900F1F" w:rsidRDefault="00900F1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700924" w14:textId="77777777" w:rsidR="00900F1F" w:rsidRPr="000113CA" w:rsidRDefault="00900F1F" w:rsidP="00627C34">
    <w:pPr>
      <w:pStyle w:val="Encabezado"/>
      <w:framePr w:wrap="none" w:vAnchor="text" w:hAnchor="margin" w:xAlign="center" w:y="1"/>
      <w:jc w:val="center"/>
      <w:rPr>
        <w:rStyle w:val="Nmerodepgina"/>
        <w:rFonts w:ascii="Verdana" w:hAnsi="Verdana"/>
        <w:sz w:val="20"/>
        <w:szCs w:val="20"/>
      </w:rPr>
    </w:pPr>
    <w:r w:rsidRPr="000113CA">
      <w:rPr>
        <w:rStyle w:val="Nmerodepgina"/>
        <w:rFonts w:ascii="Verdana" w:hAnsi="Verdana"/>
        <w:sz w:val="20"/>
        <w:szCs w:val="20"/>
      </w:rPr>
      <w:t xml:space="preserve">- </w:t>
    </w:r>
    <w:r w:rsidRPr="000113CA">
      <w:rPr>
        <w:rStyle w:val="Nmerodepgina"/>
        <w:rFonts w:ascii="Verdana" w:hAnsi="Verdana"/>
        <w:sz w:val="20"/>
        <w:szCs w:val="20"/>
      </w:rPr>
      <w:fldChar w:fldCharType="begin"/>
    </w:r>
    <w:r w:rsidRPr="000113CA">
      <w:rPr>
        <w:rStyle w:val="Nmerodepgina"/>
        <w:rFonts w:ascii="Verdana" w:hAnsi="Verdana"/>
        <w:sz w:val="20"/>
        <w:szCs w:val="20"/>
      </w:rPr>
      <w:instrText xml:space="preserve">PAGE  </w:instrText>
    </w:r>
    <w:r w:rsidRPr="000113CA">
      <w:rPr>
        <w:rStyle w:val="Nmerodepgina"/>
        <w:rFonts w:ascii="Verdana" w:hAnsi="Verdana"/>
        <w:sz w:val="20"/>
        <w:szCs w:val="20"/>
      </w:rPr>
      <w:fldChar w:fldCharType="separate"/>
    </w:r>
    <w:r w:rsidR="00630E54">
      <w:rPr>
        <w:rStyle w:val="Nmerodepgina"/>
        <w:rFonts w:ascii="Verdana" w:hAnsi="Verdana"/>
        <w:noProof/>
        <w:sz w:val="20"/>
        <w:szCs w:val="20"/>
      </w:rPr>
      <w:t>5</w:t>
    </w:r>
    <w:r w:rsidRPr="000113CA">
      <w:rPr>
        <w:rStyle w:val="Nmerodepgina"/>
        <w:rFonts w:ascii="Verdana" w:hAnsi="Verdana"/>
        <w:sz w:val="20"/>
        <w:szCs w:val="20"/>
      </w:rPr>
      <w:fldChar w:fldCharType="end"/>
    </w:r>
    <w:r w:rsidRPr="000113CA">
      <w:rPr>
        <w:rStyle w:val="Nmerodepgina"/>
        <w:rFonts w:ascii="Verdana" w:hAnsi="Verdana"/>
        <w:sz w:val="20"/>
        <w:szCs w:val="20"/>
      </w:rPr>
      <w:t xml:space="preserve"> -</w:t>
    </w:r>
  </w:p>
  <w:p w14:paraId="5D1B874A" w14:textId="77777777" w:rsidR="00900F1F" w:rsidRDefault="00900F1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502519"/>
    <w:multiLevelType w:val="hybridMultilevel"/>
    <w:tmpl w:val="6EE48EDE"/>
    <w:lvl w:ilvl="0" w:tplc="140A0019">
      <w:start w:val="1"/>
      <w:numFmt w:val="lowerLetter"/>
      <w:lvlText w:val="%1."/>
      <w:lvlJc w:val="left"/>
      <w:pPr>
        <w:ind w:left="1854" w:hanging="360"/>
      </w:pPr>
    </w:lvl>
    <w:lvl w:ilvl="1" w:tplc="140A0019">
      <w:start w:val="1"/>
      <w:numFmt w:val="lowerLetter"/>
      <w:lvlText w:val="%2."/>
      <w:lvlJc w:val="left"/>
      <w:pPr>
        <w:ind w:left="2574" w:hanging="360"/>
      </w:pPr>
    </w:lvl>
    <w:lvl w:ilvl="2" w:tplc="140A001B" w:tentative="1">
      <w:start w:val="1"/>
      <w:numFmt w:val="lowerRoman"/>
      <w:lvlText w:val="%3."/>
      <w:lvlJc w:val="right"/>
      <w:pPr>
        <w:ind w:left="3294" w:hanging="180"/>
      </w:pPr>
    </w:lvl>
    <w:lvl w:ilvl="3" w:tplc="140A000F" w:tentative="1">
      <w:start w:val="1"/>
      <w:numFmt w:val="decimal"/>
      <w:lvlText w:val="%4."/>
      <w:lvlJc w:val="left"/>
      <w:pPr>
        <w:ind w:left="4014" w:hanging="360"/>
      </w:pPr>
    </w:lvl>
    <w:lvl w:ilvl="4" w:tplc="140A0019" w:tentative="1">
      <w:start w:val="1"/>
      <w:numFmt w:val="lowerLetter"/>
      <w:lvlText w:val="%5."/>
      <w:lvlJc w:val="left"/>
      <w:pPr>
        <w:ind w:left="4734" w:hanging="360"/>
      </w:pPr>
    </w:lvl>
    <w:lvl w:ilvl="5" w:tplc="140A001B" w:tentative="1">
      <w:start w:val="1"/>
      <w:numFmt w:val="lowerRoman"/>
      <w:lvlText w:val="%6."/>
      <w:lvlJc w:val="right"/>
      <w:pPr>
        <w:ind w:left="5454" w:hanging="180"/>
      </w:pPr>
    </w:lvl>
    <w:lvl w:ilvl="6" w:tplc="140A000F" w:tentative="1">
      <w:start w:val="1"/>
      <w:numFmt w:val="decimal"/>
      <w:lvlText w:val="%7."/>
      <w:lvlJc w:val="left"/>
      <w:pPr>
        <w:ind w:left="6174" w:hanging="360"/>
      </w:pPr>
    </w:lvl>
    <w:lvl w:ilvl="7" w:tplc="140A0019" w:tentative="1">
      <w:start w:val="1"/>
      <w:numFmt w:val="lowerLetter"/>
      <w:lvlText w:val="%8."/>
      <w:lvlJc w:val="left"/>
      <w:pPr>
        <w:ind w:left="6894" w:hanging="360"/>
      </w:pPr>
    </w:lvl>
    <w:lvl w:ilvl="8" w:tplc="140A001B" w:tentative="1">
      <w:start w:val="1"/>
      <w:numFmt w:val="lowerRoman"/>
      <w:lvlText w:val="%9."/>
      <w:lvlJc w:val="right"/>
      <w:pPr>
        <w:ind w:left="7614" w:hanging="180"/>
      </w:pPr>
    </w:lvl>
  </w:abstractNum>
  <w:abstractNum w:abstractNumId="1" w15:restartNumberingAfterBreak="0">
    <w:nsid w:val="09C6125D"/>
    <w:multiLevelType w:val="hybridMultilevel"/>
    <w:tmpl w:val="77FC9A46"/>
    <w:styleLink w:val="ImportedStyle2"/>
    <w:lvl w:ilvl="0" w:tplc="0B2839BE">
      <w:start w:val="1"/>
      <w:numFmt w:val="decimal"/>
      <w:lvlText w:val="%1."/>
      <w:lvlJc w:val="left"/>
      <w:pPr>
        <w:ind w:left="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A596D45E">
      <w:start w:val="1"/>
      <w:numFmt w:val="lowerLetter"/>
      <w:lvlText w:val="%2."/>
      <w:lvlJc w:val="left"/>
      <w:pPr>
        <w:ind w:left="3740" w:hanging="374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AEAC921C">
      <w:start w:val="1"/>
      <w:numFmt w:val="lowerRoman"/>
      <w:lvlText w:val="%3."/>
      <w:lvlJc w:val="left"/>
      <w:pPr>
        <w:ind w:left="2967" w:hanging="29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A8B4A266">
      <w:start w:val="1"/>
      <w:numFmt w:val="decimal"/>
      <w:lvlText w:val="%4."/>
      <w:lvlJc w:val="left"/>
      <w:pPr>
        <w:ind w:left="2300" w:hanging="230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D1DEAB10">
      <w:start w:val="1"/>
      <w:numFmt w:val="lowerLetter"/>
      <w:lvlText w:val="%5."/>
      <w:lvlJc w:val="left"/>
      <w:pPr>
        <w:ind w:left="1580" w:hanging="158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FDA65A62">
      <w:start w:val="1"/>
      <w:numFmt w:val="lowerRoman"/>
      <w:lvlText w:val="%6."/>
      <w:lvlJc w:val="left"/>
      <w:pPr>
        <w:ind w:left="807" w:hanging="80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E396A948">
      <w:start w:val="1"/>
      <w:numFmt w:val="decimal"/>
      <w:suff w:val="nothing"/>
      <w:lvlText w:val="%7."/>
      <w:lvlJc w:val="left"/>
      <w:pPr>
        <w:ind w:left="127" w:hanging="12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E03869B0">
      <w:start w:val="1"/>
      <w:numFmt w:val="lowerLetter"/>
      <w:suff w:val="nothing"/>
      <w:lvlText w:val="%8."/>
      <w:lvlJc w:val="left"/>
      <w:pPr>
        <w:ind w:left="567" w:hanging="178"/>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EE70F234">
      <w:start w:val="1"/>
      <w:numFmt w:val="lowerRoman"/>
      <w:lvlText w:val="%9."/>
      <w:lvlJc w:val="left"/>
      <w:pPr>
        <w:ind w:left="1402" w:hanging="24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2" w15:restartNumberingAfterBreak="0">
    <w:nsid w:val="128B00B8"/>
    <w:multiLevelType w:val="hybridMultilevel"/>
    <w:tmpl w:val="6E866836"/>
    <w:lvl w:ilvl="0" w:tplc="A4EA39EC">
      <w:start w:val="1"/>
      <w:numFmt w:val="decimal"/>
      <w:lvlText w:val="%1."/>
      <w:lvlJc w:val="left"/>
      <w:pPr>
        <w:tabs>
          <w:tab w:val="num" w:pos="1070"/>
        </w:tabs>
        <w:ind w:left="1070" w:hanging="360"/>
      </w:pPr>
      <w:rPr>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9D94F9D"/>
    <w:multiLevelType w:val="multilevel"/>
    <w:tmpl w:val="49CC685E"/>
    <w:name w:val="16 adelante"/>
    <w:lvl w:ilvl="0">
      <w:start w:val="16"/>
      <w:numFmt w:val="decimal"/>
      <w:lvlText w:val="%1. "/>
      <w:lvlJc w:val="left"/>
      <w:pPr>
        <w:ind w:left="360" w:hanging="360"/>
      </w:pPr>
      <w:rPr>
        <w:rFonts w:ascii="Verdana" w:hAnsi="Verdana" w:hint="default"/>
        <w:b w:val="0"/>
        <w:color w:val="auto"/>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i w:val="0"/>
        <w:sz w:val="20"/>
        <w:szCs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A9F0A54"/>
    <w:multiLevelType w:val="hybridMultilevel"/>
    <w:tmpl w:val="20A4ACD0"/>
    <w:lvl w:ilvl="0" w:tplc="64E40548">
      <w:start w:val="1"/>
      <w:numFmt w:val="upperLetter"/>
      <w:pStyle w:val="Ttulo1"/>
      <w:lvlText w:val="%1."/>
      <w:lvlJc w:val="left"/>
      <w:pPr>
        <w:ind w:left="644"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373835"/>
    <w:multiLevelType w:val="hybridMultilevel"/>
    <w:tmpl w:val="F6907E56"/>
    <w:lvl w:ilvl="0" w:tplc="140A0019">
      <w:start w:val="1"/>
      <w:numFmt w:val="lowerLetter"/>
      <w:lvlText w:val="%1."/>
      <w:lvlJc w:val="left"/>
      <w:pPr>
        <w:ind w:left="1004" w:hanging="360"/>
      </w:pPr>
      <w:rPr>
        <w:rFonts w:hint="default"/>
      </w:rPr>
    </w:lvl>
    <w:lvl w:ilvl="1" w:tplc="140A0003" w:tentative="1">
      <w:start w:val="1"/>
      <w:numFmt w:val="bullet"/>
      <w:lvlText w:val="o"/>
      <w:lvlJc w:val="left"/>
      <w:pPr>
        <w:ind w:left="1724" w:hanging="360"/>
      </w:pPr>
      <w:rPr>
        <w:rFonts w:ascii="Courier New" w:hAnsi="Courier New" w:cs="Courier New" w:hint="default"/>
      </w:rPr>
    </w:lvl>
    <w:lvl w:ilvl="2" w:tplc="140A0005" w:tentative="1">
      <w:start w:val="1"/>
      <w:numFmt w:val="bullet"/>
      <w:lvlText w:val=""/>
      <w:lvlJc w:val="left"/>
      <w:pPr>
        <w:ind w:left="2444" w:hanging="360"/>
      </w:pPr>
      <w:rPr>
        <w:rFonts w:ascii="Wingdings" w:hAnsi="Wingdings" w:hint="default"/>
      </w:rPr>
    </w:lvl>
    <w:lvl w:ilvl="3" w:tplc="140A0001" w:tentative="1">
      <w:start w:val="1"/>
      <w:numFmt w:val="bullet"/>
      <w:lvlText w:val=""/>
      <w:lvlJc w:val="left"/>
      <w:pPr>
        <w:ind w:left="3164" w:hanging="360"/>
      </w:pPr>
      <w:rPr>
        <w:rFonts w:ascii="Symbol" w:hAnsi="Symbol" w:hint="default"/>
      </w:rPr>
    </w:lvl>
    <w:lvl w:ilvl="4" w:tplc="140A0003" w:tentative="1">
      <w:start w:val="1"/>
      <w:numFmt w:val="bullet"/>
      <w:lvlText w:val="o"/>
      <w:lvlJc w:val="left"/>
      <w:pPr>
        <w:ind w:left="3884" w:hanging="360"/>
      </w:pPr>
      <w:rPr>
        <w:rFonts w:ascii="Courier New" w:hAnsi="Courier New" w:cs="Courier New" w:hint="default"/>
      </w:rPr>
    </w:lvl>
    <w:lvl w:ilvl="5" w:tplc="140A0005" w:tentative="1">
      <w:start w:val="1"/>
      <w:numFmt w:val="bullet"/>
      <w:lvlText w:val=""/>
      <w:lvlJc w:val="left"/>
      <w:pPr>
        <w:ind w:left="4604" w:hanging="360"/>
      </w:pPr>
      <w:rPr>
        <w:rFonts w:ascii="Wingdings" w:hAnsi="Wingdings" w:hint="default"/>
      </w:rPr>
    </w:lvl>
    <w:lvl w:ilvl="6" w:tplc="140A0001" w:tentative="1">
      <w:start w:val="1"/>
      <w:numFmt w:val="bullet"/>
      <w:lvlText w:val=""/>
      <w:lvlJc w:val="left"/>
      <w:pPr>
        <w:ind w:left="5324" w:hanging="360"/>
      </w:pPr>
      <w:rPr>
        <w:rFonts w:ascii="Symbol" w:hAnsi="Symbol" w:hint="default"/>
      </w:rPr>
    </w:lvl>
    <w:lvl w:ilvl="7" w:tplc="140A0003" w:tentative="1">
      <w:start w:val="1"/>
      <w:numFmt w:val="bullet"/>
      <w:lvlText w:val="o"/>
      <w:lvlJc w:val="left"/>
      <w:pPr>
        <w:ind w:left="6044" w:hanging="360"/>
      </w:pPr>
      <w:rPr>
        <w:rFonts w:ascii="Courier New" w:hAnsi="Courier New" w:cs="Courier New" w:hint="default"/>
      </w:rPr>
    </w:lvl>
    <w:lvl w:ilvl="8" w:tplc="140A0005" w:tentative="1">
      <w:start w:val="1"/>
      <w:numFmt w:val="bullet"/>
      <w:lvlText w:val=""/>
      <w:lvlJc w:val="left"/>
      <w:pPr>
        <w:ind w:left="6764" w:hanging="360"/>
      </w:pPr>
      <w:rPr>
        <w:rFonts w:ascii="Wingdings" w:hAnsi="Wingdings" w:hint="default"/>
      </w:rPr>
    </w:lvl>
  </w:abstractNum>
  <w:abstractNum w:abstractNumId="6" w15:restartNumberingAfterBreak="0">
    <w:nsid w:val="3A38404A"/>
    <w:multiLevelType w:val="hybridMultilevel"/>
    <w:tmpl w:val="484625C4"/>
    <w:lvl w:ilvl="0" w:tplc="43D0D0D0">
      <w:start w:val="1"/>
      <w:numFmt w:val="decimal"/>
      <w:lvlText w:val="%1."/>
      <w:lvlJc w:val="left"/>
      <w:pPr>
        <w:tabs>
          <w:tab w:val="num" w:pos="720"/>
        </w:tabs>
      </w:pPr>
      <w:rPr>
        <w:rFonts w:ascii="Verdana" w:hAnsi="Verdana" w:cs="Times New Roman" w:hint="default"/>
        <w:b w:val="0"/>
        <w:i w:val="0"/>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7" w15:restartNumberingAfterBreak="0">
    <w:nsid w:val="3A3C545B"/>
    <w:multiLevelType w:val="hybridMultilevel"/>
    <w:tmpl w:val="BAB2EE70"/>
    <w:styleLink w:val="ImportedStyle13"/>
    <w:lvl w:ilvl="0" w:tplc="D57A388A">
      <w:start w:val="1"/>
      <w:numFmt w:val="upperLetter"/>
      <w:lvlText w:val="%1."/>
      <w:lvlJc w:val="left"/>
      <w:pPr>
        <w:ind w:left="72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1" w:tplc="978C62A8">
      <w:start w:val="1"/>
      <w:numFmt w:val="lowerLetter"/>
      <w:lvlText w:val="%2."/>
      <w:lvlJc w:val="left"/>
      <w:pPr>
        <w:ind w:left="144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2" w:tplc="3EACAA5C">
      <w:start w:val="1"/>
      <w:numFmt w:val="lowerRoman"/>
      <w:lvlText w:val="%3."/>
      <w:lvlJc w:val="left"/>
      <w:pPr>
        <w:ind w:left="2160" w:hanging="322"/>
      </w:pPr>
      <w:rPr>
        <w:rFonts w:hAnsi="Arial Unicode MS"/>
        <w:b/>
        <w:bCs/>
        <w:i/>
        <w:iCs/>
        <w:caps w:val="0"/>
        <w:smallCaps w:val="0"/>
        <w:strike w:val="0"/>
        <w:dstrike w:val="0"/>
        <w:outline w:val="0"/>
        <w:emboss w:val="0"/>
        <w:imprint w:val="0"/>
        <w:spacing w:val="0"/>
        <w:w w:val="100"/>
        <w:kern w:val="0"/>
        <w:position w:val="0"/>
        <w:highlight w:val="none"/>
        <w:vertAlign w:val="baseline"/>
      </w:rPr>
    </w:lvl>
    <w:lvl w:ilvl="3" w:tplc="F8A0D4B2">
      <w:start w:val="1"/>
      <w:numFmt w:val="decimal"/>
      <w:lvlText w:val="%4."/>
      <w:lvlJc w:val="left"/>
      <w:pPr>
        <w:ind w:left="288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4" w:tplc="3DAE999A">
      <w:start w:val="1"/>
      <w:numFmt w:val="lowerLetter"/>
      <w:lvlText w:val="%5."/>
      <w:lvlJc w:val="left"/>
      <w:pPr>
        <w:ind w:left="360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5" w:tplc="1AF800F2">
      <w:start w:val="1"/>
      <w:numFmt w:val="lowerRoman"/>
      <w:lvlText w:val="%6."/>
      <w:lvlJc w:val="left"/>
      <w:pPr>
        <w:ind w:left="4320" w:hanging="322"/>
      </w:pPr>
      <w:rPr>
        <w:rFonts w:hAnsi="Arial Unicode MS"/>
        <w:b/>
        <w:bCs/>
        <w:i/>
        <w:iCs/>
        <w:caps w:val="0"/>
        <w:smallCaps w:val="0"/>
        <w:strike w:val="0"/>
        <w:dstrike w:val="0"/>
        <w:outline w:val="0"/>
        <w:emboss w:val="0"/>
        <w:imprint w:val="0"/>
        <w:spacing w:val="0"/>
        <w:w w:val="100"/>
        <w:kern w:val="0"/>
        <w:position w:val="0"/>
        <w:highlight w:val="none"/>
        <w:vertAlign w:val="baseline"/>
      </w:rPr>
    </w:lvl>
    <w:lvl w:ilvl="6" w:tplc="ADF4FCD4">
      <w:start w:val="1"/>
      <w:numFmt w:val="decimal"/>
      <w:lvlText w:val="%7."/>
      <w:lvlJc w:val="left"/>
      <w:pPr>
        <w:ind w:left="504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7" w:tplc="EED4BB2C">
      <w:start w:val="1"/>
      <w:numFmt w:val="lowerLetter"/>
      <w:lvlText w:val="%8."/>
      <w:lvlJc w:val="left"/>
      <w:pPr>
        <w:ind w:left="576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8" w:tplc="1BC252F0">
      <w:start w:val="1"/>
      <w:numFmt w:val="lowerRoman"/>
      <w:lvlText w:val="%9."/>
      <w:lvlJc w:val="left"/>
      <w:pPr>
        <w:ind w:left="6480" w:hanging="322"/>
      </w:pPr>
      <w:rPr>
        <w:rFonts w:hAnsi="Arial Unicode MS"/>
        <w:b/>
        <w:bCs/>
        <w:i/>
        <w:iC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44B478B3"/>
    <w:multiLevelType w:val="hybridMultilevel"/>
    <w:tmpl w:val="FEF6C5A6"/>
    <w:lvl w:ilvl="0" w:tplc="F5B82966">
      <w:start w:val="1"/>
      <w:numFmt w:val="lowerLetter"/>
      <w:lvlText w:val="%1."/>
      <w:lvlJc w:val="left"/>
      <w:pPr>
        <w:ind w:left="720" w:hanging="360"/>
      </w:pPr>
      <w:rPr>
        <w:rFonts w:ascii="Verdana" w:hAnsi="Verdana"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487743BB"/>
    <w:multiLevelType w:val="hybridMultilevel"/>
    <w:tmpl w:val="36C23104"/>
    <w:lvl w:ilvl="0" w:tplc="11368F12">
      <w:numFmt w:val="bullet"/>
      <w:lvlText w:val="-"/>
      <w:lvlJc w:val="left"/>
      <w:pPr>
        <w:ind w:left="720" w:hanging="360"/>
      </w:pPr>
      <w:rPr>
        <w:rFonts w:ascii="Arial" w:eastAsiaTheme="minorHAnsi" w:hAnsi="Arial" w:cs="Arial" w:hint="default"/>
        <w:color w:val="1D1D1D"/>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49C558AC"/>
    <w:multiLevelType w:val="hybridMultilevel"/>
    <w:tmpl w:val="6E866836"/>
    <w:lvl w:ilvl="0" w:tplc="A4EA39EC">
      <w:start w:val="1"/>
      <w:numFmt w:val="decimal"/>
      <w:lvlText w:val="%1."/>
      <w:lvlJc w:val="left"/>
      <w:pPr>
        <w:tabs>
          <w:tab w:val="num" w:pos="1070"/>
        </w:tabs>
        <w:ind w:left="1070" w:hanging="360"/>
      </w:pPr>
      <w:rPr>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4B5366BF"/>
    <w:multiLevelType w:val="hybridMultilevel"/>
    <w:tmpl w:val="CE24E2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29349D"/>
    <w:multiLevelType w:val="hybridMultilevel"/>
    <w:tmpl w:val="80A825CA"/>
    <w:lvl w:ilvl="0" w:tplc="0BB478CA">
      <w:start w:val="1"/>
      <w:numFmt w:val="upp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5DDB6DC6"/>
    <w:multiLevelType w:val="hybridMultilevel"/>
    <w:tmpl w:val="27006E2A"/>
    <w:lvl w:ilvl="0" w:tplc="B5A4FBA4">
      <w:start w:val="1"/>
      <w:numFmt w:val="decimal"/>
      <w:pStyle w:val="PrrafodeSentencia"/>
      <w:lvlText w:val="%1."/>
      <w:lvlJc w:val="left"/>
      <w:pPr>
        <w:ind w:left="360" w:hanging="360"/>
      </w:pPr>
      <w:rPr>
        <w:rFonts w:ascii="Verdana" w:hAnsi="Verdana" w:hint="default"/>
        <w:b w:val="0"/>
        <w:i w:val="0"/>
        <w:color w:val="auto"/>
        <w:sz w:val="20"/>
        <w:szCs w:val="20"/>
        <w:lang w:val="es-CR"/>
      </w:rPr>
    </w:lvl>
    <w:lvl w:ilvl="1" w:tplc="04090019">
      <w:start w:val="1"/>
      <w:numFmt w:val="lowerLetter"/>
      <w:lvlText w:val="%2."/>
      <w:lvlJc w:val="left"/>
      <w:pPr>
        <w:ind w:left="450" w:hanging="360"/>
      </w:pPr>
    </w:lvl>
    <w:lvl w:ilvl="2" w:tplc="0409001B">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14" w15:restartNumberingAfterBreak="0">
    <w:nsid w:val="62C97D24"/>
    <w:multiLevelType w:val="hybridMultilevel"/>
    <w:tmpl w:val="4824EB02"/>
    <w:lvl w:ilvl="0" w:tplc="03A054C8">
      <w:start w:val="1"/>
      <w:numFmt w:val="decimal"/>
      <w:lvlText w:val="%1."/>
      <w:lvlJc w:val="left"/>
      <w:pPr>
        <w:ind w:left="1430" w:hanging="720"/>
      </w:pPr>
      <w:rPr>
        <w:b w:val="0"/>
        <w:i w:val="0"/>
      </w:rPr>
    </w:lvl>
    <w:lvl w:ilvl="1" w:tplc="B08C5A98">
      <w:start w:val="1"/>
      <w:numFmt w:val="lowerRoman"/>
      <w:lvlText w:val="%2."/>
      <w:lvlJc w:val="left"/>
      <w:pPr>
        <w:ind w:left="1800" w:hanging="720"/>
      </w:pPr>
    </w:lvl>
    <w:lvl w:ilvl="2" w:tplc="0409001B">
      <w:start w:val="1"/>
      <w:numFmt w:val="decimal"/>
      <w:lvlText w:val="%3."/>
      <w:lvlJc w:val="left"/>
      <w:pPr>
        <w:tabs>
          <w:tab w:val="num" w:pos="1070"/>
        </w:tabs>
        <w:ind w:left="1070" w:hanging="360"/>
      </w:pPr>
    </w:lvl>
    <w:lvl w:ilvl="3" w:tplc="A4EA39EC">
      <w:start w:val="1"/>
      <w:numFmt w:val="decimal"/>
      <w:lvlText w:val="%4."/>
      <w:lvlJc w:val="left"/>
      <w:pPr>
        <w:tabs>
          <w:tab w:val="num" w:pos="1070"/>
        </w:tabs>
        <w:ind w:left="1070" w:hanging="360"/>
      </w:pPr>
      <w:rPr>
        <w:i w:val="0"/>
      </w:rPr>
    </w:lvl>
    <w:lvl w:ilvl="4" w:tplc="04090019">
      <w:start w:val="1"/>
      <w:numFmt w:val="decimal"/>
      <w:lvlText w:val="%5."/>
      <w:lvlJc w:val="left"/>
      <w:pPr>
        <w:tabs>
          <w:tab w:val="num" w:pos="1070"/>
        </w:tabs>
        <w:ind w:left="1070" w:hanging="360"/>
      </w:pPr>
    </w:lvl>
    <w:lvl w:ilvl="5" w:tplc="7428B1DC">
      <w:start w:val="1"/>
      <w:numFmt w:val="decimal"/>
      <w:lvlText w:val="%6."/>
      <w:lvlJc w:val="left"/>
      <w:pPr>
        <w:tabs>
          <w:tab w:val="num" w:pos="1070"/>
        </w:tabs>
        <w:ind w:left="1070" w:hanging="360"/>
      </w:pPr>
      <w:rPr>
        <w:i w:val="0"/>
      </w:r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646C4C89"/>
    <w:multiLevelType w:val="hybridMultilevel"/>
    <w:tmpl w:val="67466E4C"/>
    <w:lvl w:ilvl="0" w:tplc="140A0019">
      <w:start w:val="1"/>
      <w:numFmt w:val="lowerLetter"/>
      <w:lvlText w:val="%1."/>
      <w:lvlJc w:val="left"/>
      <w:pPr>
        <w:ind w:left="1080" w:hanging="360"/>
      </w:pPr>
    </w:lvl>
    <w:lvl w:ilvl="1" w:tplc="140A0019">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6" w15:restartNumberingAfterBreak="0">
    <w:nsid w:val="65A00458"/>
    <w:multiLevelType w:val="hybridMultilevel"/>
    <w:tmpl w:val="EA5A4036"/>
    <w:lvl w:ilvl="0" w:tplc="140A0019">
      <w:start w:val="1"/>
      <w:numFmt w:val="lowerLetter"/>
      <w:lvlText w:val="%1."/>
      <w:lvlJc w:val="left"/>
      <w:pPr>
        <w:ind w:left="1004" w:hanging="360"/>
      </w:pPr>
      <w:rPr>
        <w:rFonts w:hint="default"/>
      </w:rPr>
    </w:lvl>
    <w:lvl w:ilvl="1" w:tplc="140A0003" w:tentative="1">
      <w:start w:val="1"/>
      <w:numFmt w:val="bullet"/>
      <w:lvlText w:val="o"/>
      <w:lvlJc w:val="left"/>
      <w:pPr>
        <w:ind w:left="1724" w:hanging="360"/>
      </w:pPr>
      <w:rPr>
        <w:rFonts w:ascii="Courier New" w:hAnsi="Courier New" w:cs="Courier New" w:hint="default"/>
      </w:rPr>
    </w:lvl>
    <w:lvl w:ilvl="2" w:tplc="140A0005" w:tentative="1">
      <w:start w:val="1"/>
      <w:numFmt w:val="bullet"/>
      <w:lvlText w:val=""/>
      <w:lvlJc w:val="left"/>
      <w:pPr>
        <w:ind w:left="2444" w:hanging="360"/>
      </w:pPr>
      <w:rPr>
        <w:rFonts w:ascii="Wingdings" w:hAnsi="Wingdings" w:hint="default"/>
      </w:rPr>
    </w:lvl>
    <w:lvl w:ilvl="3" w:tplc="140A0001" w:tentative="1">
      <w:start w:val="1"/>
      <w:numFmt w:val="bullet"/>
      <w:lvlText w:val=""/>
      <w:lvlJc w:val="left"/>
      <w:pPr>
        <w:ind w:left="3164" w:hanging="360"/>
      </w:pPr>
      <w:rPr>
        <w:rFonts w:ascii="Symbol" w:hAnsi="Symbol" w:hint="default"/>
      </w:rPr>
    </w:lvl>
    <w:lvl w:ilvl="4" w:tplc="140A0003" w:tentative="1">
      <w:start w:val="1"/>
      <w:numFmt w:val="bullet"/>
      <w:lvlText w:val="o"/>
      <w:lvlJc w:val="left"/>
      <w:pPr>
        <w:ind w:left="3884" w:hanging="360"/>
      </w:pPr>
      <w:rPr>
        <w:rFonts w:ascii="Courier New" w:hAnsi="Courier New" w:cs="Courier New" w:hint="default"/>
      </w:rPr>
    </w:lvl>
    <w:lvl w:ilvl="5" w:tplc="140A0005" w:tentative="1">
      <w:start w:val="1"/>
      <w:numFmt w:val="bullet"/>
      <w:lvlText w:val=""/>
      <w:lvlJc w:val="left"/>
      <w:pPr>
        <w:ind w:left="4604" w:hanging="360"/>
      </w:pPr>
      <w:rPr>
        <w:rFonts w:ascii="Wingdings" w:hAnsi="Wingdings" w:hint="default"/>
      </w:rPr>
    </w:lvl>
    <w:lvl w:ilvl="6" w:tplc="140A0001" w:tentative="1">
      <w:start w:val="1"/>
      <w:numFmt w:val="bullet"/>
      <w:lvlText w:val=""/>
      <w:lvlJc w:val="left"/>
      <w:pPr>
        <w:ind w:left="5324" w:hanging="360"/>
      </w:pPr>
      <w:rPr>
        <w:rFonts w:ascii="Symbol" w:hAnsi="Symbol" w:hint="default"/>
      </w:rPr>
    </w:lvl>
    <w:lvl w:ilvl="7" w:tplc="140A0003" w:tentative="1">
      <w:start w:val="1"/>
      <w:numFmt w:val="bullet"/>
      <w:lvlText w:val="o"/>
      <w:lvlJc w:val="left"/>
      <w:pPr>
        <w:ind w:left="6044" w:hanging="360"/>
      </w:pPr>
      <w:rPr>
        <w:rFonts w:ascii="Courier New" w:hAnsi="Courier New" w:cs="Courier New" w:hint="default"/>
      </w:rPr>
    </w:lvl>
    <w:lvl w:ilvl="8" w:tplc="140A0005" w:tentative="1">
      <w:start w:val="1"/>
      <w:numFmt w:val="bullet"/>
      <w:lvlText w:val=""/>
      <w:lvlJc w:val="left"/>
      <w:pPr>
        <w:ind w:left="6764" w:hanging="360"/>
      </w:pPr>
      <w:rPr>
        <w:rFonts w:ascii="Wingdings" w:hAnsi="Wingdings" w:hint="default"/>
      </w:rPr>
    </w:lvl>
  </w:abstractNum>
  <w:abstractNum w:abstractNumId="17" w15:restartNumberingAfterBreak="0">
    <w:nsid w:val="68FD7D50"/>
    <w:multiLevelType w:val="multilevel"/>
    <w:tmpl w:val="B5D420C0"/>
    <w:lvl w:ilvl="0">
      <w:start w:val="1"/>
      <w:numFmt w:val="decimal"/>
      <w:lvlText w:val="%1."/>
      <w:lvlJc w:val="left"/>
      <w:pPr>
        <w:ind w:left="5078" w:hanging="825"/>
      </w:pPr>
      <w:rPr>
        <w:b w:val="0"/>
        <w:i w:val="0"/>
        <w:color w:val="000000"/>
        <w:sz w:val="20"/>
        <w:szCs w:val="20"/>
      </w:rPr>
    </w:lvl>
    <w:lvl w:ilvl="1">
      <w:start w:val="1"/>
      <w:numFmt w:val="lowerLetter"/>
      <w:pStyle w:val="Ttulo4"/>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9774853"/>
    <w:multiLevelType w:val="hybridMultilevel"/>
    <w:tmpl w:val="B20E5CE2"/>
    <w:lvl w:ilvl="0" w:tplc="E06C1D42">
      <w:start w:val="2"/>
      <w:numFmt w:val="decimal"/>
      <w:lvlText w:val="%1."/>
      <w:lvlJc w:val="left"/>
      <w:pPr>
        <w:ind w:left="360" w:hanging="360"/>
      </w:pPr>
      <w:rPr>
        <w:rFonts w:eastAsiaTheme="minorHAnsi" w:cs="Times New Roman" w:hint="default"/>
        <w:i w:val="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9" w15:restartNumberingAfterBreak="0">
    <w:nsid w:val="6DF93995"/>
    <w:multiLevelType w:val="hybridMultilevel"/>
    <w:tmpl w:val="6EE48EDE"/>
    <w:lvl w:ilvl="0" w:tplc="140A0019">
      <w:start w:val="1"/>
      <w:numFmt w:val="lowerLetter"/>
      <w:lvlText w:val="%1."/>
      <w:lvlJc w:val="left"/>
      <w:pPr>
        <w:ind w:left="1854" w:hanging="360"/>
      </w:pPr>
    </w:lvl>
    <w:lvl w:ilvl="1" w:tplc="140A0019">
      <w:start w:val="1"/>
      <w:numFmt w:val="lowerLetter"/>
      <w:lvlText w:val="%2."/>
      <w:lvlJc w:val="left"/>
      <w:pPr>
        <w:ind w:left="2574" w:hanging="360"/>
      </w:pPr>
    </w:lvl>
    <w:lvl w:ilvl="2" w:tplc="140A001B" w:tentative="1">
      <w:start w:val="1"/>
      <w:numFmt w:val="lowerRoman"/>
      <w:lvlText w:val="%3."/>
      <w:lvlJc w:val="right"/>
      <w:pPr>
        <w:ind w:left="3294" w:hanging="180"/>
      </w:pPr>
    </w:lvl>
    <w:lvl w:ilvl="3" w:tplc="140A000F" w:tentative="1">
      <w:start w:val="1"/>
      <w:numFmt w:val="decimal"/>
      <w:lvlText w:val="%4."/>
      <w:lvlJc w:val="left"/>
      <w:pPr>
        <w:ind w:left="4014" w:hanging="360"/>
      </w:pPr>
    </w:lvl>
    <w:lvl w:ilvl="4" w:tplc="140A0019" w:tentative="1">
      <w:start w:val="1"/>
      <w:numFmt w:val="lowerLetter"/>
      <w:lvlText w:val="%5."/>
      <w:lvlJc w:val="left"/>
      <w:pPr>
        <w:ind w:left="4734" w:hanging="360"/>
      </w:pPr>
    </w:lvl>
    <w:lvl w:ilvl="5" w:tplc="140A001B" w:tentative="1">
      <w:start w:val="1"/>
      <w:numFmt w:val="lowerRoman"/>
      <w:lvlText w:val="%6."/>
      <w:lvlJc w:val="right"/>
      <w:pPr>
        <w:ind w:left="5454" w:hanging="180"/>
      </w:pPr>
    </w:lvl>
    <w:lvl w:ilvl="6" w:tplc="140A000F" w:tentative="1">
      <w:start w:val="1"/>
      <w:numFmt w:val="decimal"/>
      <w:lvlText w:val="%7."/>
      <w:lvlJc w:val="left"/>
      <w:pPr>
        <w:ind w:left="6174" w:hanging="360"/>
      </w:pPr>
    </w:lvl>
    <w:lvl w:ilvl="7" w:tplc="140A0019" w:tentative="1">
      <w:start w:val="1"/>
      <w:numFmt w:val="lowerLetter"/>
      <w:lvlText w:val="%8."/>
      <w:lvlJc w:val="left"/>
      <w:pPr>
        <w:ind w:left="6894" w:hanging="360"/>
      </w:pPr>
    </w:lvl>
    <w:lvl w:ilvl="8" w:tplc="140A001B" w:tentative="1">
      <w:start w:val="1"/>
      <w:numFmt w:val="lowerRoman"/>
      <w:lvlText w:val="%9."/>
      <w:lvlJc w:val="right"/>
      <w:pPr>
        <w:ind w:left="7614" w:hanging="180"/>
      </w:pPr>
    </w:lvl>
  </w:abstractNum>
  <w:abstractNum w:abstractNumId="20" w15:restartNumberingAfterBreak="0">
    <w:nsid w:val="6E37050B"/>
    <w:multiLevelType w:val="hybridMultilevel"/>
    <w:tmpl w:val="5696294E"/>
    <w:lvl w:ilvl="0" w:tplc="7228DB50">
      <w:start w:val="2"/>
      <w:numFmt w:val="bullet"/>
      <w:lvlText w:val="-"/>
      <w:lvlJc w:val="left"/>
      <w:pPr>
        <w:ind w:left="1004" w:hanging="360"/>
      </w:pPr>
      <w:rPr>
        <w:rFonts w:ascii="Garamond" w:eastAsia="Times" w:hAnsi="Garamond" w:cs="Times New Roman" w:hint="default"/>
      </w:rPr>
    </w:lvl>
    <w:lvl w:ilvl="1" w:tplc="140A0003" w:tentative="1">
      <w:start w:val="1"/>
      <w:numFmt w:val="bullet"/>
      <w:lvlText w:val="o"/>
      <w:lvlJc w:val="left"/>
      <w:pPr>
        <w:ind w:left="1724" w:hanging="360"/>
      </w:pPr>
      <w:rPr>
        <w:rFonts w:ascii="Courier New" w:hAnsi="Courier New" w:cs="Courier New" w:hint="default"/>
      </w:rPr>
    </w:lvl>
    <w:lvl w:ilvl="2" w:tplc="140A0005" w:tentative="1">
      <w:start w:val="1"/>
      <w:numFmt w:val="bullet"/>
      <w:lvlText w:val=""/>
      <w:lvlJc w:val="left"/>
      <w:pPr>
        <w:ind w:left="2444" w:hanging="360"/>
      </w:pPr>
      <w:rPr>
        <w:rFonts w:ascii="Wingdings" w:hAnsi="Wingdings" w:hint="default"/>
      </w:rPr>
    </w:lvl>
    <w:lvl w:ilvl="3" w:tplc="140A0001" w:tentative="1">
      <w:start w:val="1"/>
      <w:numFmt w:val="bullet"/>
      <w:lvlText w:val=""/>
      <w:lvlJc w:val="left"/>
      <w:pPr>
        <w:ind w:left="3164" w:hanging="360"/>
      </w:pPr>
      <w:rPr>
        <w:rFonts w:ascii="Symbol" w:hAnsi="Symbol" w:hint="default"/>
      </w:rPr>
    </w:lvl>
    <w:lvl w:ilvl="4" w:tplc="140A0003" w:tentative="1">
      <w:start w:val="1"/>
      <w:numFmt w:val="bullet"/>
      <w:lvlText w:val="o"/>
      <w:lvlJc w:val="left"/>
      <w:pPr>
        <w:ind w:left="3884" w:hanging="360"/>
      </w:pPr>
      <w:rPr>
        <w:rFonts w:ascii="Courier New" w:hAnsi="Courier New" w:cs="Courier New" w:hint="default"/>
      </w:rPr>
    </w:lvl>
    <w:lvl w:ilvl="5" w:tplc="140A0005" w:tentative="1">
      <w:start w:val="1"/>
      <w:numFmt w:val="bullet"/>
      <w:lvlText w:val=""/>
      <w:lvlJc w:val="left"/>
      <w:pPr>
        <w:ind w:left="4604" w:hanging="360"/>
      </w:pPr>
      <w:rPr>
        <w:rFonts w:ascii="Wingdings" w:hAnsi="Wingdings" w:hint="default"/>
      </w:rPr>
    </w:lvl>
    <w:lvl w:ilvl="6" w:tplc="140A0001" w:tentative="1">
      <w:start w:val="1"/>
      <w:numFmt w:val="bullet"/>
      <w:lvlText w:val=""/>
      <w:lvlJc w:val="left"/>
      <w:pPr>
        <w:ind w:left="5324" w:hanging="360"/>
      </w:pPr>
      <w:rPr>
        <w:rFonts w:ascii="Symbol" w:hAnsi="Symbol" w:hint="default"/>
      </w:rPr>
    </w:lvl>
    <w:lvl w:ilvl="7" w:tplc="140A0003" w:tentative="1">
      <w:start w:val="1"/>
      <w:numFmt w:val="bullet"/>
      <w:lvlText w:val="o"/>
      <w:lvlJc w:val="left"/>
      <w:pPr>
        <w:ind w:left="6044" w:hanging="360"/>
      </w:pPr>
      <w:rPr>
        <w:rFonts w:ascii="Courier New" w:hAnsi="Courier New" w:cs="Courier New" w:hint="default"/>
      </w:rPr>
    </w:lvl>
    <w:lvl w:ilvl="8" w:tplc="140A0005" w:tentative="1">
      <w:start w:val="1"/>
      <w:numFmt w:val="bullet"/>
      <w:lvlText w:val=""/>
      <w:lvlJc w:val="left"/>
      <w:pPr>
        <w:ind w:left="6764" w:hanging="360"/>
      </w:pPr>
      <w:rPr>
        <w:rFonts w:ascii="Wingdings" w:hAnsi="Wingdings" w:hint="default"/>
      </w:rPr>
    </w:lvl>
  </w:abstractNum>
  <w:abstractNum w:abstractNumId="21" w15:restartNumberingAfterBreak="0">
    <w:nsid w:val="75FB7C72"/>
    <w:multiLevelType w:val="hybridMultilevel"/>
    <w:tmpl w:val="3DB8292C"/>
    <w:lvl w:ilvl="0" w:tplc="B5D893AC">
      <w:start w:val="1"/>
      <w:numFmt w:val="upperLetter"/>
      <w:lvlText w:val="%1."/>
      <w:lvlJc w:val="left"/>
      <w:pPr>
        <w:ind w:left="450" w:hanging="360"/>
      </w:pPr>
      <w:rPr>
        <w:rFonts w:ascii="Verdana" w:hAnsi="Verdana" w:hint="default"/>
        <w:b/>
        <w:sz w:val="20"/>
        <w:szCs w:val="20"/>
      </w:rPr>
    </w:lvl>
    <w:lvl w:ilvl="1" w:tplc="323EEAAC">
      <w:start w:val="1"/>
      <w:numFmt w:val="lowerLetter"/>
      <w:lvlText w:val="%2."/>
      <w:lvlJc w:val="left"/>
      <w:pPr>
        <w:ind w:left="1440" w:hanging="360"/>
      </w:pPr>
    </w:lvl>
    <w:lvl w:ilvl="2" w:tplc="B96C1A40"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
  </w:num>
  <w:num w:numId="2">
    <w:abstractNumId w:val="7"/>
  </w:num>
  <w:num w:numId="3">
    <w:abstractNumId w:val="17"/>
  </w:num>
  <w:num w:numId="4">
    <w:abstractNumId w:val="12"/>
  </w:num>
  <w:num w:numId="5">
    <w:abstractNumId w:val="17"/>
  </w:num>
  <w:num w:numId="6">
    <w:abstractNumId w:val="1"/>
  </w:num>
  <w:num w:numId="7">
    <w:abstractNumId w:val="7"/>
  </w:num>
  <w:num w:numId="8">
    <w:abstractNumId w:val="17"/>
  </w:num>
  <w:num w:numId="9">
    <w:abstractNumId w:val="14"/>
  </w:num>
  <w:num w:numId="10">
    <w:abstractNumId w:val="13"/>
  </w:num>
  <w:num w:numId="11">
    <w:abstractNumId w:val="6"/>
  </w:num>
  <w:num w:numId="12">
    <w:abstractNumId w:val="11"/>
  </w:num>
  <w:num w:numId="13">
    <w:abstractNumId w:val="4"/>
  </w:num>
  <w:num w:numId="14">
    <w:abstractNumId w:val="18"/>
  </w:num>
  <w:num w:numId="15">
    <w:abstractNumId w:val="2"/>
  </w:num>
  <w:num w:numId="16">
    <w:abstractNumId w:val="10"/>
  </w:num>
  <w:num w:numId="17">
    <w:abstractNumId w:val="20"/>
  </w:num>
  <w:num w:numId="18">
    <w:abstractNumId w:val="19"/>
  </w:num>
  <w:num w:numId="19">
    <w:abstractNumId w:val="16"/>
  </w:num>
  <w:num w:numId="20">
    <w:abstractNumId w:val="5"/>
  </w:num>
  <w:num w:numId="21">
    <w:abstractNumId w:val="13"/>
    <w:lvlOverride w:ilvl="0">
      <w:startOverride w:val="1"/>
    </w:lvlOverride>
  </w:num>
  <w:num w:numId="22">
    <w:abstractNumId w:val="9"/>
  </w:num>
  <w:num w:numId="23">
    <w:abstractNumId w:val="8"/>
  </w:num>
  <w:num w:numId="24">
    <w:abstractNumId w:val="21"/>
  </w:num>
  <w:num w:numId="25">
    <w:abstractNumId w:val="3"/>
  </w:num>
  <w:num w:numId="26">
    <w:abstractNumId w:val="13"/>
    <w:lvlOverride w:ilvl="0">
      <w:startOverride w:val="1"/>
    </w:lvlOverride>
  </w:num>
  <w:num w:numId="27">
    <w:abstractNumId w:val="15"/>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s-CR" w:vendorID="64" w:dllVersion="6" w:nlCheck="1" w:checkStyle="0"/>
  <w:activeWritingStyle w:appName="MSWord" w:lang="es-ES_tradnl" w:vendorID="64" w:dllVersion="6" w:nlCheck="1" w:checkStyle="0"/>
  <w:activeWritingStyle w:appName="MSWord" w:lang="es-MX" w:vendorID="64" w:dllVersion="6" w:nlCheck="1" w:checkStyle="0"/>
  <w:activeWritingStyle w:appName="MSWord" w:lang="pt-BR" w:vendorID="64" w:dllVersion="6" w:nlCheck="1" w:checkStyle="0"/>
  <w:activeWritingStyle w:appName="MSWord" w:lang="es-ES" w:vendorID="64" w:dllVersion="6" w:nlCheck="1" w:checkStyle="0"/>
  <w:activeWritingStyle w:appName="MSWord" w:lang="es-ES_tradnl" w:vendorID="64" w:dllVersion="4096" w:nlCheck="1" w:checkStyle="0"/>
  <w:activeWritingStyle w:appName="MSWord" w:lang="pt-BR" w:vendorID="64" w:dllVersion="4096" w:nlCheck="1" w:checkStyle="0"/>
  <w:activeWritingStyle w:appName="MSWord" w:lang="es-ES"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6D4"/>
    <w:rsid w:val="000037DD"/>
    <w:rsid w:val="00003D96"/>
    <w:rsid w:val="00020AA9"/>
    <w:rsid w:val="0003023B"/>
    <w:rsid w:val="00031037"/>
    <w:rsid w:val="000315F6"/>
    <w:rsid w:val="00061DDC"/>
    <w:rsid w:val="0006688F"/>
    <w:rsid w:val="00073B8E"/>
    <w:rsid w:val="00086100"/>
    <w:rsid w:val="000941C3"/>
    <w:rsid w:val="000B1223"/>
    <w:rsid w:val="000B22EA"/>
    <w:rsid w:val="000B2DB9"/>
    <w:rsid w:val="000B2DBD"/>
    <w:rsid w:val="000C1C92"/>
    <w:rsid w:val="000C50C7"/>
    <w:rsid w:val="000C584E"/>
    <w:rsid w:val="000E06B2"/>
    <w:rsid w:val="000E3F58"/>
    <w:rsid w:val="000E7AF0"/>
    <w:rsid w:val="0010033A"/>
    <w:rsid w:val="00103484"/>
    <w:rsid w:val="00107E03"/>
    <w:rsid w:val="00112478"/>
    <w:rsid w:val="0011593A"/>
    <w:rsid w:val="00115C56"/>
    <w:rsid w:val="0011754C"/>
    <w:rsid w:val="0012665B"/>
    <w:rsid w:val="00132BD7"/>
    <w:rsid w:val="00160003"/>
    <w:rsid w:val="00161169"/>
    <w:rsid w:val="001757EB"/>
    <w:rsid w:val="00183EE8"/>
    <w:rsid w:val="00190205"/>
    <w:rsid w:val="001955EA"/>
    <w:rsid w:val="0019798B"/>
    <w:rsid w:val="001A60C8"/>
    <w:rsid w:val="001B1AD6"/>
    <w:rsid w:val="001B32E7"/>
    <w:rsid w:val="001B7853"/>
    <w:rsid w:val="001C190C"/>
    <w:rsid w:val="001C309F"/>
    <w:rsid w:val="001E1BBD"/>
    <w:rsid w:val="001E377F"/>
    <w:rsid w:val="001E5CD5"/>
    <w:rsid w:val="001F273F"/>
    <w:rsid w:val="001F7536"/>
    <w:rsid w:val="0020705A"/>
    <w:rsid w:val="00207C55"/>
    <w:rsid w:val="00222735"/>
    <w:rsid w:val="00232D0D"/>
    <w:rsid w:val="00233F2B"/>
    <w:rsid w:val="00250957"/>
    <w:rsid w:val="00261BE3"/>
    <w:rsid w:val="00266FC1"/>
    <w:rsid w:val="00283083"/>
    <w:rsid w:val="002A0EEF"/>
    <w:rsid w:val="002B08B7"/>
    <w:rsid w:val="002B1E1D"/>
    <w:rsid w:val="002B283A"/>
    <w:rsid w:val="002B6492"/>
    <w:rsid w:val="002D26DC"/>
    <w:rsid w:val="002D68C7"/>
    <w:rsid w:val="002E0878"/>
    <w:rsid w:val="002E2206"/>
    <w:rsid w:val="002F0282"/>
    <w:rsid w:val="002F218C"/>
    <w:rsid w:val="002F5D0D"/>
    <w:rsid w:val="00300994"/>
    <w:rsid w:val="00302CD2"/>
    <w:rsid w:val="003146C9"/>
    <w:rsid w:val="00316A1A"/>
    <w:rsid w:val="00320FA3"/>
    <w:rsid w:val="00321802"/>
    <w:rsid w:val="003219F3"/>
    <w:rsid w:val="00322BE2"/>
    <w:rsid w:val="00330D13"/>
    <w:rsid w:val="003626D4"/>
    <w:rsid w:val="00376AC3"/>
    <w:rsid w:val="003811B4"/>
    <w:rsid w:val="00381F23"/>
    <w:rsid w:val="003858CA"/>
    <w:rsid w:val="003C2C7C"/>
    <w:rsid w:val="003D384A"/>
    <w:rsid w:val="003D5DFA"/>
    <w:rsid w:val="003E04EE"/>
    <w:rsid w:val="003E2CCD"/>
    <w:rsid w:val="003F0AAD"/>
    <w:rsid w:val="003F4ACC"/>
    <w:rsid w:val="003F6788"/>
    <w:rsid w:val="004004AC"/>
    <w:rsid w:val="004025AA"/>
    <w:rsid w:val="00404020"/>
    <w:rsid w:val="004131AD"/>
    <w:rsid w:val="004155C9"/>
    <w:rsid w:val="0042549F"/>
    <w:rsid w:val="00444308"/>
    <w:rsid w:val="00450BD1"/>
    <w:rsid w:val="00452845"/>
    <w:rsid w:val="004608A2"/>
    <w:rsid w:val="0046142A"/>
    <w:rsid w:val="004713E0"/>
    <w:rsid w:val="0047405E"/>
    <w:rsid w:val="00480C1A"/>
    <w:rsid w:val="004827EF"/>
    <w:rsid w:val="004B0BB6"/>
    <w:rsid w:val="004B663D"/>
    <w:rsid w:val="004B7C79"/>
    <w:rsid w:val="004D1665"/>
    <w:rsid w:val="004E2A06"/>
    <w:rsid w:val="004E66E6"/>
    <w:rsid w:val="004F20A2"/>
    <w:rsid w:val="004F250C"/>
    <w:rsid w:val="005028B9"/>
    <w:rsid w:val="0050550D"/>
    <w:rsid w:val="005056E5"/>
    <w:rsid w:val="00506B81"/>
    <w:rsid w:val="00506C05"/>
    <w:rsid w:val="00522CA6"/>
    <w:rsid w:val="005338D0"/>
    <w:rsid w:val="005374FF"/>
    <w:rsid w:val="00537795"/>
    <w:rsid w:val="005656B3"/>
    <w:rsid w:val="0057555F"/>
    <w:rsid w:val="00595E48"/>
    <w:rsid w:val="005A6F5F"/>
    <w:rsid w:val="005A77A5"/>
    <w:rsid w:val="005B2F44"/>
    <w:rsid w:val="005B5A23"/>
    <w:rsid w:val="005C3570"/>
    <w:rsid w:val="005C3C87"/>
    <w:rsid w:val="005C5201"/>
    <w:rsid w:val="005C5711"/>
    <w:rsid w:val="005C6629"/>
    <w:rsid w:val="005E1764"/>
    <w:rsid w:val="0060347E"/>
    <w:rsid w:val="0061346F"/>
    <w:rsid w:val="00614ABB"/>
    <w:rsid w:val="006248DE"/>
    <w:rsid w:val="00627C34"/>
    <w:rsid w:val="00630E54"/>
    <w:rsid w:val="006330E1"/>
    <w:rsid w:val="00633293"/>
    <w:rsid w:val="00635E09"/>
    <w:rsid w:val="0064383F"/>
    <w:rsid w:val="006443AF"/>
    <w:rsid w:val="006503CF"/>
    <w:rsid w:val="00657441"/>
    <w:rsid w:val="00676831"/>
    <w:rsid w:val="00692226"/>
    <w:rsid w:val="00694136"/>
    <w:rsid w:val="00696D4B"/>
    <w:rsid w:val="006A2894"/>
    <w:rsid w:val="006A2D5B"/>
    <w:rsid w:val="006A6118"/>
    <w:rsid w:val="006A72BE"/>
    <w:rsid w:val="006B0226"/>
    <w:rsid w:val="006B3F7C"/>
    <w:rsid w:val="006B4ABA"/>
    <w:rsid w:val="006C68F6"/>
    <w:rsid w:val="006C6AD1"/>
    <w:rsid w:val="006E1B1D"/>
    <w:rsid w:val="006E2938"/>
    <w:rsid w:val="006E4C5C"/>
    <w:rsid w:val="006F6FDB"/>
    <w:rsid w:val="007023D1"/>
    <w:rsid w:val="00703BB2"/>
    <w:rsid w:val="007130B1"/>
    <w:rsid w:val="00715298"/>
    <w:rsid w:val="00724082"/>
    <w:rsid w:val="007347DC"/>
    <w:rsid w:val="0073699A"/>
    <w:rsid w:val="00742F0D"/>
    <w:rsid w:val="00747A09"/>
    <w:rsid w:val="00756812"/>
    <w:rsid w:val="00761214"/>
    <w:rsid w:val="007625E8"/>
    <w:rsid w:val="00765CCF"/>
    <w:rsid w:val="00776603"/>
    <w:rsid w:val="007820DE"/>
    <w:rsid w:val="00782D01"/>
    <w:rsid w:val="00783C4F"/>
    <w:rsid w:val="00790637"/>
    <w:rsid w:val="00792B44"/>
    <w:rsid w:val="00794DA3"/>
    <w:rsid w:val="007977C5"/>
    <w:rsid w:val="007A3644"/>
    <w:rsid w:val="007D767A"/>
    <w:rsid w:val="007E0A23"/>
    <w:rsid w:val="0080726D"/>
    <w:rsid w:val="0081030D"/>
    <w:rsid w:val="00826BDC"/>
    <w:rsid w:val="00832307"/>
    <w:rsid w:val="00832A7A"/>
    <w:rsid w:val="008516F6"/>
    <w:rsid w:val="00855B05"/>
    <w:rsid w:val="00864A2C"/>
    <w:rsid w:val="008671B5"/>
    <w:rsid w:val="00877F38"/>
    <w:rsid w:val="00891EAD"/>
    <w:rsid w:val="008A1072"/>
    <w:rsid w:val="008B5580"/>
    <w:rsid w:val="008B63F8"/>
    <w:rsid w:val="008C57D8"/>
    <w:rsid w:val="008C68D3"/>
    <w:rsid w:val="008D4E4A"/>
    <w:rsid w:val="008D69D8"/>
    <w:rsid w:val="008E016C"/>
    <w:rsid w:val="008F2BE1"/>
    <w:rsid w:val="008F4ABD"/>
    <w:rsid w:val="00900F1F"/>
    <w:rsid w:val="00910B9C"/>
    <w:rsid w:val="00913752"/>
    <w:rsid w:val="009161B8"/>
    <w:rsid w:val="00917986"/>
    <w:rsid w:val="00930FA2"/>
    <w:rsid w:val="009336E2"/>
    <w:rsid w:val="00951013"/>
    <w:rsid w:val="00955158"/>
    <w:rsid w:val="0096176F"/>
    <w:rsid w:val="0096763E"/>
    <w:rsid w:val="009747C6"/>
    <w:rsid w:val="00974A41"/>
    <w:rsid w:val="00974E23"/>
    <w:rsid w:val="00981084"/>
    <w:rsid w:val="00990CBE"/>
    <w:rsid w:val="00991017"/>
    <w:rsid w:val="009B206C"/>
    <w:rsid w:val="009B3380"/>
    <w:rsid w:val="009B4C4D"/>
    <w:rsid w:val="009B5C3D"/>
    <w:rsid w:val="009B7E07"/>
    <w:rsid w:val="009C4B54"/>
    <w:rsid w:val="009D6DE0"/>
    <w:rsid w:val="009E6435"/>
    <w:rsid w:val="009F305C"/>
    <w:rsid w:val="009F4557"/>
    <w:rsid w:val="00A20369"/>
    <w:rsid w:val="00A22187"/>
    <w:rsid w:val="00A229DF"/>
    <w:rsid w:val="00A314C8"/>
    <w:rsid w:val="00A32AA9"/>
    <w:rsid w:val="00A352B1"/>
    <w:rsid w:val="00A36530"/>
    <w:rsid w:val="00A41FBE"/>
    <w:rsid w:val="00A4462C"/>
    <w:rsid w:val="00A67A45"/>
    <w:rsid w:val="00A71F5F"/>
    <w:rsid w:val="00A76374"/>
    <w:rsid w:val="00A82BA1"/>
    <w:rsid w:val="00A840FB"/>
    <w:rsid w:val="00AA63A1"/>
    <w:rsid w:val="00AB160B"/>
    <w:rsid w:val="00AB5098"/>
    <w:rsid w:val="00AC0635"/>
    <w:rsid w:val="00AC1876"/>
    <w:rsid w:val="00AC4D20"/>
    <w:rsid w:val="00AD2A35"/>
    <w:rsid w:val="00AD7FC8"/>
    <w:rsid w:val="00AE7609"/>
    <w:rsid w:val="00AF373D"/>
    <w:rsid w:val="00B01518"/>
    <w:rsid w:val="00B2087F"/>
    <w:rsid w:val="00B22CCB"/>
    <w:rsid w:val="00B23931"/>
    <w:rsid w:val="00B256B1"/>
    <w:rsid w:val="00B42008"/>
    <w:rsid w:val="00B4569E"/>
    <w:rsid w:val="00B50165"/>
    <w:rsid w:val="00B55C52"/>
    <w:rsid w:val="00B5773F"/>
    <w:rsid w:val="00B611B3"/>
    <w:rsid w:val="00B6721A"/>
    <w:rsid w:val="00B839EA"/>
    <w:rsid w:val="00B87FB3"/>
    <w:rsid w:val="00BA280A"/>
    <w:rsid w:val="00BB6A01"/>
    <w:rsid w:val="00BC746C"/>
    <w:rsid w:val="00BC7928"/>
    <w:rsid w:val="00BD00F5"/>
    <w:rsid w:val="00BD101A"/>
    <w:rsid w:val="00BD15DF"/>
    <w:rsid w:val="00BD1925"/>
    <w:rsid w:val="00BD3578"/>
    <w:rsid w:val="00BD5C87"/>
    <w:rsid w:val="00BE46A8"/>
    <w:rsid w:val="00BF040A"/>
    <w:rsid w:val="00BF1F69"/>
    <w:rsid w:val="00BF220F"/>
    <w:rsid w:val="00BF228D"/>
    <w:rsid w:val="00BF22BA"/>
    <w:rsid w:val="00BF782D"/>
    <w:rsid w:val="00C10387"/>
    <w:rsid w:val="00C13B57"/>
    <w:rsid w:val="00C16CD4"/>
    <w:rsid w:val="00C245AF"/>
    <w:rsid w:val="00C353E5"/>
    <w:rsid w:val="00C36196"/>
    <w:rsid w:val="00C40A30"/>
    <w:rsid w:val="00C625AA"/>
    <w:rsid w:val="00C66406"/>
    <w:rsid w:val="00C77327"/>
    <w:rsid w:val="00C77F1A"/>
    <w:rsid w:val="00C84E52"/>
    <w:rsid w:val="00C85417"/>
    <w:rsid w:val="00C9565D"/>
    <w:rsid w:val="00CB1CEF"/>
    <w:rsid w:val="00CB2EE9"/>
    <w:rsid w:val="00CB73E4"/>
    <w:rsid w:val="00CC012D"/>
    <w:rsid w:val="00CF27AE"/>
    <w:rsid w:val="00CF3E61"/>
    <w:rsid w:val="00CF4F7B"/>
    <w:rsid w:val="00D1499A"/>
    <w:rsid w:val="00D227B7"/>
    <w:rsid w:val="00D416D0"/>
    <w:rsid w:val="00D56547"/>
    <w:rsid w:val="00D573E1"/>
    <w:rsid w:val="00D65169"/>
    <w:rsid w:val="00D7221C"/>
    <w:rsid w:val="00D76986"/>
    <w:rsid w:val="00D911FB"/>
    <w:rsid w:val="00D939EA"/>
    <w:rsid w:val="00DA1D60"/>
    <w:rsid w:val="00DA29D8"/>
    <w:rsid w:val="00DB2F46"/>
    <w:rsid w:val="00DB4E3A"/>
    <w:rsid w:val="00DB6037"/>
    <w:rsid w:val="00DC19B3"/>
    <w:rsid w:val="00DC23DF"/>
    <w:rsid w:val="00DD0C3B"/>
    <w:rsid w:val="00DD236B"/>
    <w:rsid w:val="00DD48DF"/>
    <w:rsid w:val="00DD68FB"/>
    <w:rsid w:val="00DE369C"/>
    <w:rsid w:val="00DF02EE"/>
    <w:rsid w:val="00E07AAB"/>
    <w:rsid w:val="00E16337"/>
    <w:rsid w:val="00E16BB8"/>
    <w:rsid w:val="00E275D0"/>
    <w:rsid w:val="00E41AA5"/>
    <w:rsid w:val="00E447D3"/>
    <w:rsid w:val="00E45892"/>
    <w:rsid w:val="00E45A4C"/>
    <w:rsid w:val="00E64ED2"/>
    <w:rsid w:val="00E65EBE"/>
    <w:rsid w:val="00E6633A"/>
    <w:rsid w:val="00E70BE2"/>
    <w:rsid w:val="00E73649"/>
    <w:rsid w:val="00E77DC6"/>
    <w:rsid w:val="00E93B49"/>
    <w:rsid w:val="00EA23FE"/>
    <w:rsid w:val="00EA3A24"/>
    <w:rsid w:val="00EB78E2"/>
    <w:rsid w:val="00EC1845"/>
    <w:rsid w:val="00ED21AC"/>
    <w:rsid w:val="00ED795B"/>
    <w:rsid w:val="00EE3398"/>
    <w:rsid w:val="00F018D2"/>
    <w:rsid w:val="00F218AB"/>
    <w:rsid w:val="00F27E10"/>
    <w:rsid w:val="00F31D76"/>
    <w:rsid w:val="00F4245F"/>
    <w:rsid w:val="00F448E5"/>
    <w:rsid w:val="00F44DCA"/>
    <w:rsid w:val="00F460E3"/>
    <w:rsid w:val="00F559C2"/>
    <w:rsid w:val="00F75821"/>
    <w:rsid w:val="00F76BF8"/>
    <w:rsid w:val="00F854A8"/>
    <w:rsid w:val="00F953CE"/>
    <w:rsid w:val="00FA0C48"/>
    <w:rsid w:val="00FA0D57"/>
    <w:rsid w:val="00FA185B"/>
    <w:rsid w:val="00FA54F3"/>
    <w:rsid w:val="00FA7DC9"/>
    <w:rsid w:val="00FB1852"/>
    <w:rsid w:val="00FB4CDB"/>
    <w:rsid w:val="00FB7BD4"/>
    <w:rsid w:val="00FC0156"/>
    <w:rsid w:val="00FC656A"/>
    <w:rsid w:val="00FC7AC5"/>
    <w:rsid w:val="00FD1EC4"/>
    <w:rsid w:val="00FD49D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31C7F"/>
  <w15:chartTrackingRefBased/>
  <w15:docId w15:val="{77EB11E8-4AB7-49DD-8732-94B3E7F71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6D4"/>
    <w:pPr>
      <w:spacing w:after="200" w:line="276" w:lineRule="auto"/>
    </w:pPr>
  </w:style>
  <w:style w:type="paragraph" w:styleId="Ttulo1">
    <w:name w:val="heading 1"/>
    <w:basedOn w:val="Prrafodelista"/>
    <w:next w:val="Normal"/>
    <w:link w:val="Ttulo1Car"/>
    <w:uiPriority w:val="9"/>
    <w:qFormat/>
    <w:rsid w:val="00261BE3"/>
    <w:pPr>
      <w:widowControl/>
      <w:numPr>
        <w:numId w:val="1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contextualSpacing/>
      <w:outlineLvl w:val="0"/>
    </w:pPr>
    <w:rPr>
      <w:rFonts w:eastAsiaTheme="minorHAnsi" w:cs="Arial"/>
      <w:b/>
      <w:iCs/>
      <w:color w:val="auto"/>
      <w:sz w:val="20"/>
      <w:szCs w:val="20"/>
      <w:bdr w:val="none" w:sz="0" w:space="0" w:color="auto"/>
      <w:lang w:val="es-CR" w:eastAsia="en-US"/>
    </w:rPr>
  </w:style>
  <w:style w:type="paragraph" w:styleId="Ttulo2">
    <w:name w:val="heading 2"/>
    <w:basedOn w:val="Normal"/>
    <w:next w:val="BodyA"/>
    <w:link w:val="Ttulo2Car"/>
    <w:uiPriority w:val="9"/>
    <w:qFormat/>
    <w:rsid w:val="00261BE3"/>
    <w:pPr>
      <w:widowControl w:val="0"/>
      <w:tabs>
        <w:tab w:val="left" w:pos="567"/>
      </w:tabs>
      <w:adjustRightInd w:val="0"/>
      <w:spacing w:after="0"/>
      <w:jc w:val="both"/>
      <w:textAlignment w:val="baseline"/>
      <w:outlineLvl w:val="1"/>
    </w:pPr>
    <w:rPr>
      <w:rFonts w:ascii="Verdana" w:eastAsia="Times New Roman" w:hAnsi="Verdana" w:cs="Times New Roman"/>
      <w:b/>
      <w:i/>
      <w:color w:val="000000" w:themeColor="text1"/>
      <w:sz w:val="20"/>
      <w:szCs w:val="20"/>
      <w:lang w:eastAsia="es-CR"/>
    </w:rPr>
  </w:style>
  <w:style w:type="paragraph" w:styleId="Ttulo3">
    <w:name w:val="heading 3"/>
    <w:basedOn w:val="Normal"/>
    <w:next w:val="Normal"/>
    <w:link w:val="Ttulo3Car"/>
    <w:uiPriority w:val="9"/>
    <w:unhideWhenUsed/>
    <w:qFormat/>
    <w:rsid w:val="00D911FB"/>
    <w:pPr>
      <w:ind w:left="360"/>
      <w:outlineLvl w:val="2"/>
    </w:pPr>
    <w:rPr>
      <w:rFonts w:ascii="Verdana" w:hAnsi="Verdana" w:cs="Times New Roman"/>
      <w:b/>
      <w:i/>
      <w:sz w:val="20"/>
    </w:rPr>
  </w:style>
  <w:style w:type="paragraph" w:styleId="Ttulo4">
    <w:name w:val="heading 4"/>
    <w:basedOn w:val="Prrafodelista"/>
    <w:next w:val="BodyA"/>
    <w:link w:val="Ttulo4Car"/>
    <w:qFormat/>
    <w:rsid w:val="00D911FB"/>
    <w:pPr>
      <w:numPr>
        <w:ilvl w:val="1"/>
        <w:numId w:val="8"/>
      </w:numPr>
      <w:spacing w:line="276" w:lineRule="auto"/>
      <w:outlineLvl w:val="3"/>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rsid w:val="00D911FB"/>
    <w:pPr>
      <w:pBdr>
        <w:top w:val="nil"/>
        <w:left w:val="nil"/>
        <w:bottom w:val="nil"/>
        <w:right w:val="nil"/>
        <w:between w:val="nil"/>
        <w:bar w:val="nil"/>
      </w:pBdr>
      <w:spacing w:after="0" w:line="240" w:lineRule="auto"/>
    </w:pPr>
    <w:rPr>
      <w:rFonts w:ascii="Times New Roman" w:hAnsi="Times New Roman" w:cs="Times New Roman"/>
      <w:sz w:val="20"/>
      <w:szCs w:val="20"/>
      <w:bdr w:val="nil"/>
      <w:lang w:eastAsia="es-CR"/>
    </w:rPr>
    <w:tblPr>
      <w:tblInd w:w="0" w:type="dxa"/>
      <w:tblCellMar>
        <w:top w:w="0" w:type="dxa"/>
        <w:left w:w="0" w:type="dxa"/>
        <w:bottom w:w="0" w:type="dxa"/>
        <w:right w:w="0" w:type="dxa"/>
      </w:tblCellMar>
    </w:tblPr>
  </w:style>
  <w:style w:type="paragraph" w:customStyle="1" w:styleId="BodyA">
    <w:name w:val="Body A"/>
    <w:rsid w:val="00D911FB"/>
    <w:pPr>
      <w:widowControl w:val="0"/>
      <w:pBdr>
        <w:top w:val="nil"/>
        <w:left w:val="nil"/>
        <w:bottom w:val="nil"/>
        <w:right w:val="nil"/>
        <w:between w:val="nil"/>
        <w:bar w:val="nil"/>
      </w:pBdr>
      <w:spacing w:after="0" w:line="360" w:lineRule="atLeast"/>
      <w:jc w:val="both"/>
    </w:pPr>
    <w:rPr>
      <w:rFonts w:ascii="Verdana" w:hAnsi="Verdana" w:cs="Arial Unicode MS"/>
      <w:color w:val="000000"/>
      <w:sz w:val="24"/>
      <w:szCs w:val="24"/>
      <w:u w:color="000000"/>
      <w:bdr w:val="nil"/>
      <w:lang w:val="pt-PT" w:eastAsia="es-CR"/>
      <w14:textOutline w14:w="12700" w14:cap="flat" w14:cmpd="sng" w14:algn="ctr">
        <w14:noFill/>
        <w14:prstDash w14:val="solid"/>
        <w14:miter w14:lim="400000"/>
      </w14:textOutline>
    </w:rPr>
  </w:style>
  <w:style w:type="character" w:customStyle="1" w:styleId="None">
    <w:name w:val="None"/>
    <w:rsid w:val="00D911FB"/>
  </w:style>
  <w:style w:type="character" w:customStyle="1" w:styleId="Hyperlink2">
    <w:name w:val="Hyperlink.2"/>
    <w:basedOn w:val="None"/>
    <w:rsid w:val="00D911FB"/>
    <w:rPr>
      <w:rFonts w:ascii="Verdana" w:eastAsia="Verdana" w:hAnsi="Verdana" w:cs="Verdana"/>
      <w:b/>
      <w:bCs/>
      <w:outline w:val="0"/>
      <w:color w:val="000000"/>
      <w:sz w:val="20"/>
      <w:szCs w:val="20"/>
      <w:u w:color="000000"/>
      <w:lang w:val="es-ES_tradnl"/>
    </w:rPr>
  </w:style>
  <w:style w:type="numbering" w:customStyle="1" w:styleId="ImportedStyle2">
    <w:name w:val="Imported Style 2"/>
    <w:rsid w:val="00D911FB"/>
    <w:pPr>
      <w:numPr>
        <w:numId w:val="1"/>
      </w:numPr>
    </w:pPr>
  </w:style>
  <w:style w:type="numbering" w:customStyle="1" w:styleId="ImportedStyle13">
    <w:name w:val="Imported Style 13"/>
    <w:rsid w:val="00D911FB"/>
    <w:pPr>
      <w:numPr>
        <w:numId w:val="2"/>
      </w:numPr>
    </w:pPr>
  </w:style>
  <w:style w:type="paragraph" w:customStyle="1" w:styleId="PrrafodeSentencia">
    <w:name w:val="*. Párrafo de Sentencia"/>
    <w:basedOn w:val="Sinespaciado"/>
    <w:link w:val="PrrafodeSentenciaChar"/>
    <w:qFormat/>
    <w:rsid w:val="00ED795B"/>
    <w:pPr>
      <w:numPr>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line="276" w:lineRule="auto"/>
      <w:ind w:left="0" w:firstLine="0"/>
      <w:contextualSpacing/>
      <w:jc w:val="both"/>
    </w:pPr>
    <w:rPr>
      <w:rFonts w:ascii="Verdana" w:hAnsi="Verdana"/>
      <w:sz w:val="20"/>
      <w:szCs w:val="20"/>
    </w:rPr>
  </w:style>
  <w:style w:type="character" w:customStyle="1" w:styleId="PrrafodeSentenciaChar">
    <w:name w:val="*. Párrafo de Sentencia Char"/>
    <w:link w:val="PrrafodeSentencia"/>
    <w:locked/>
    <w:rsid w:val="00ED795B"/>
    <w:rPr>
      <w:rFonts w:ascii="Verdana" w:hAnsi="Verdana" w:cs="Times New Roman"/>
      <w:sz w:val="20"/>
      <w:szCs w:val="20"/>
      <w:bdr w:val="nil"/>
    </w:rPr>
  </w:style>
  <w:style w:type="character" w:customStyle="1" w:styleId="FootnoteTextChar1">
    <w:name w:val="Footnote Text Char1"/>
    <w:aliases w:val="2. Footnote Text Char1,Footnote Tesina Char1,FA Fu Char2,Footnote Text Char Char Char Char Char Char2,Footnote Text Char Char Char Char Char3,Footnote reference Char2,Footnote Text Char Char Char Char3,Footnote Text Cha Char2,C Char1"/>
    <w:basedOn w:val="Fuentedeprrafopredeter"/>
    <w:qFormat/>
    <w:locked/>
    <w:rsid w:val="00D911FB"/>
    <w:rPr>
      <w:rFonts w:ascii="Verdana" w:eastAsia="Batang" w:hAnsi="Verdana" w:cs="Times"/>
      <w:noProof/>
      <w:sz w:val="16"/>
      <w:szCs w:val="20"/>
      <w:lang w:val="es-ES_tradnl"/>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D911FB"/>
    <w:pPr>
      <w:jc w:val="both"/>
    </w:pPr>
    <w:rPr>
      <w:sz w:val="16"/>
      <w:vertAlign w:val="superscript"/>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unhideWhenUsed/>
    <w:qFormat/>
    <w:rsid w:val="00D911FB"/>
    <w:rPr>
      <w:sz w:val="16"/>
      <w:vertAlign w:val="superscript"/>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uiPriority w:val="99"/>
    <w:qFormat/>
    <w:rsid w:val="00D911FB"/>
    <w:pPr>
      <w:spacing w:after="160" w:line="240" w:lineRule="exact"/>
    </w:pPr>
    <w:rPr>
      <w:vertAlign w:val="superscript"/>
      <w:lang w:val="en-US"/>
    </w:rPr>
  </w:style>
  <w:style w:type="character" w:customStyle="1" w:styleId="Ttulo2Car">
    <w:name w:val="Título 2 Car"/>
    <w:basedOn w:val="Fuentedeprrafopredeter"/>
    <w:link w:val="Ttulo2"/>
    <w:uiPriority w:val="9"/>
    <w:rsid w:val="00261BE3"/>
    <w:rPr>
      <w:rFonts w:ascii="Verdana" w:eastAsia="Times New Roman" w:hAnsi="Verdana" w:cs="Times New Roman"/>
      <w:b/>
      <w:i/>
      <w:color w:val="000000" w:themeColor="text1"/>
      <w:sz w:val="20"/>
      <w:szCs w:val="20"/>
      <w:lang w:eastAsia="es-CR"/>
    </w:rPr>
  </w:style>
  <w:style w:type="character" w:customStyle="1" w:styleId="Ttulo3Car">
    <w:name w:val="Título 3 Car"/>
    <w:basedOn w:val="Fuentedeprrafopredeter"/>
    <w:link w:val="Ttulo3"/>
    <w:uiPriority w:val="9"/>
    <w:rsid w:val="00D911FB"/>
    <w:rPr>
      <w:rFonts w:ascii="Verdana" w:eastAsia="Arial Unicode MS" w:hAnsi="Verdana" w:cs="Times New Roman"/>
      <w:b/>
      <w:i/>
      <w:sz w:val="20"/>
      <w:szCs w:val="24"/>
      <w:bdr w:val="nil"/>
      <w:lang w:val="es-ES"/>
    </w:rPr>
  </w:style>
  <w:style w:type="character" w:customStyle="1" w:styleId="Ttulo4Car">
    <w:name w:val="Título 4 Car"/>
    <w:basedOn w:val="Fuentedeprrafopredeter"/>
    <w:link w:val="Ttulo4"/>
    <w:rsid w:val="00D911FB"/>
    <w:rPr>
      <w:rFonts w:ascii="Verdana" w:eastAsia="Verdana" w:hAnsi="Verdana" w:cs="Verdana"/>
      <w:b/>
      <w:bCs/>
      <w:color w:val="000000"/>
      <w:sz w:val="20"/>
      <w:szCs w:val="20"/>
      <w:u w:color="000000"/>
      <w:bdr w:val="nil"/>
      <w:lang w:val="es-ES_tradnl" w:eastAsia="es-CR"/>
    </w:rPr>
  </w:style>
  <w:style w:type="paragraph" w:styleId="Prrafodelista">
    <w:name w:val="List Paragraph"/>
    <w:aliases w:val="Footnote,List Paragraph2,List Paragraph1,Lista vistosa - Énfasis 11,Colorful List - Accent 11,Párrafo de lista1,Subtle Emphasis1,Footnote1"/>
    <w:link w:val="PrrafodelistaCar"/>
    <w:uiPriority w:val="34"/>
    <w:qFormat/>
    <w:rsid w:val="00D911FB"/>
    <w:pPr>
      <w:widowControl w:val="0"/>
      <w:pBdr>
        <w:top w:val="nil"/>
        <w:left w:val="nil"/>
        <w:bottom w:val="nil"/>
        <w:right w:val="nil"/>
        <w:between w:val="nil"/>
        <w:bar w:val="nil"/>
      </w:pBdr>
      <w:spacing w:after="0" w:line="360" w:lineRule="atLeast"/>
      <w:ind w:left="708"/>
      <w:jc w:val="both"/>
    </w:pPr>
    <w:rPr>
      <w:rFonts w:ascii="Verdana" w:eastAsia="Verdana" w:hAnsi="Verdana" w:cs="Verdana"/>
      <w:color w:val="000000"/>
      <w:sz w:val="24"/>
      <w:szCs w:val="24"/>
      <w:u w:color="000000"/>
      <w:bdr w:val="nil"/>
      <w:lang w:val="es-ES_tradnl" w:eastAsia="es-CR"/>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Ca,FA Fu?notentext,C,ft"/>
    <w:link w:val="TextonotapieCar"/>
    <w:uiPriority w:val="99"/>
    <w:qFormat/>
    <w:rsid w:val="00D911FB"/>
    <w:pPr>
      <w:widowControl w:val="0"/>
      <w:pBdr>
        <w:top w:val="nil"/>
        <w:left w:val="nil"/>
        <w:bottom w:val="nil"/>
        <w:right w:val="nil"/>
        <w:between w:val="nil"/>
        <w:bar w:val="nil"/>
      </w:pBdr>
      <w:spacing w:after="0" w:line="240" w:lineRule="auto"/>
      <w:jc w:val="both"/>
    </w:pPr>
    <w:rPr>
      <w:rFonts w:ascii="Verdana" w:eastAsia="Verdana" w:hAnsi="Verdana" w:cs="Verdana"/>
      <w:color w:val="000000"/>
      <w:sz w:val="16"/>
      <w:szCs w:val="20"/>
      <w:u w:color="000000"/>
      <w:bdr w:val="nil"/>
      <w:lang w:val="es-ES_tradnl" w:eastAsia="es-CR"/>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 Car,Ca Car"/>
    <w:basedOn w:val="Fuentedeprrafopredeter"/>
    <w:link w:val="Textonotapie"/>
    <w:uiPriority w:val="99"/>
    <w:qFormat/>
    <w:rsid w:val="00D911FB"/>
    <w:rPr>
      <w:rFonts w:ascii="Verdana" w:eastAsia="Verdana" w:hAnsi="Verdana" w:cs="Verdana"/>
      <w:color w:val="000000"/>
      <w:sz w:val="16"/>
      <w:szCs w:val="20"/>
      <w:u w:color="000000"/>
      <w:bdr w:val="nil"/>
      <w:lang w:val="es-ES_tradnl" w:eastAsia="es-CR"/>
    </w:rPr>
  </w:style>
  <w:style w:type="paragraph" w:styleId="Textocomentario">
    <w:name w:val="annotation text"/>
    <w:basedOn w:val="Normal"/>
    <w:link w:val="TextocomentarioCar"/>
    <w:uiPriority w:val="99"/>
    <w:unhideWhenUsed/>
    <w:rsid w:val="00D911FB"/>
    <w:rPr>
      <w:rFonts w:cs="Times New Roman"/>
      <w:sz w:val="20"/>
      <w:szCs w:val="20"/>
    </w:rPr>
  </w:style>
  <w:style w:type="character" w:customStyle="1" w:styleId="TextocomentarioCar">
    <w:name w:val="Texto comentario Car"/>
    <w:basedOn w:val="Fuentedeprrafopredeter"/>
    <w:link w:val="Textocomentario"/>
    <w:uiPriority w:val="99"/>
    <w:rsid w:val="00D911FB"/>
    <w:rPr>
      <w:rFonts w:ascii="Times New Roman" w:eastAsia="Arial Unicode MS" w:hAnsi="Times New Roman" w:cs="Times New Roman"/>
      <w:sz w:val="20"/>
      <w:szCs w:val="20"/>
      <w:bdr w:val="nil"/>
      <w:lang w:val="es-ES"/>
    </w:rPr>
  </w:style>
  <w:style w:type="character" w:styleId="Refdecomentario">
    <w:name w:val="annotation reference"/>
    <w:basedOn w:val="Fuentedeprrafopredeter"/>
    <w:uiPriority w:val="99"/>
    <w:semiHidden/>
    <w:unhideWhenUsed/>
    <w:rsid w:val="00D911FB"/>
    <w:rPr>
      <w:sz w:val="16"/>
      <w:szCs w:val="16"/>
    </w:rPr>
  </w:style>
  <w:style w:type="character" w:styleId="Textoennegrita">
    <w:name w:val="Strong"/>
    <w:uiPriority w:val="22"/>
    <w:qFormat/>
    <w:rsid w:val="00D911FB"/>
    <w:rPr>
      <w:b/>
      <w:bCs/>
    </w:rPr>
  </w:style>
  <w:style w:type="paragraph" w:styleId="Asuntodelcomentario">
    <w:name w:val="annotation subject"/>
    <w:basedOn w:val="Textocomentario"/>
    <w:next w:val="Textocomentario"/>
    <w:link w:val="AsuntodelcomentarioCar"/>
    <w:uiPriority w:val="99"/>
    <w:semiHidden/>
    <w:unhideWhenUsed/>
    <w:rsid w:val="00D911FB"/>
    <w:rPr>
      <w:b/>
      <w:bCs/>
    </w:rPr>
  </w:style>
  <w:style w:type="character" w:customStyle="1" w:styleId="AsuntodelcomentarioCar">
    <w:name w:val="Asunto del comentario Car"/>
    <w:basedOn w:val="TextocomentarioCar"/>
    <w:link w:val="Asuntodelcomentario"/>
    <w:uiPriority w:val="99"/>
    <w:semiHidden/>
    <w:rsid w:val="00D911FB"/>
    <w:rPr>
      <w:rFonts w:ascii="Times New Roman" w:eastAsia="Arial Unicode MS" w:hAnsi="Times New Roman" w:cs="Times New Roman"/>
      <w:b/>
      <w:bCs/>
      <w:sz w:val="20"/>
      <w:szCs w:val="20"/>
      <w:bdr w:val="nil"/>
      <w:lang w:val="es-ES"/>
    </w:rPr>
  </w:style>
  <w:style w:type="paragraph" w:styleId="Textodeglobo">
    <w:name w:val="Balloon Text"/>
    <w:basedOn w:val="Normal"/>
    <w:link w:val="TextodegloboCar"/>
    <w:uiPriority w:val="99"/>
    <w:semiHidden/>
    <w:unhideWhenUsed/>
    <w:rsid w:val="00D911FB"/>
    <w:rPr>
      <w:rFonts w:cs="Times New Roman"/>
      <w:sz w:val="18"/>
      <w:szCs w:val="18"/>
    </w:rPr>
  </w:style>
  <w:style w:type="character" w:customStyle="1" w:styleId="TextodegloboCar">
    <w:name w:val="Texto de globo Car"/>
    <w:basedOn w:val="Fuentedeprrafopredeter"/>
    <w:link w:val="Textodeglobo"/>
    <w:uiPriority w:val="99"/>
    <w:semiHidden/>
    <w:rsid w:val="00D911FB"/>
    <w:rPr>
      <w:rFonts w:ascii="Times New Roman" w:eastAsia="Arial Unicode MS" w:hAnsi="Times New Roman" w:cs="Times New Roman"/>
      <w:sz w:val="18"/>
      <w:szCs w:val="18"/>
      <w:bdr w:val="nil"/>
      <w:lang w:val="es-ES"/>
    </w:rPr>
  </w:style>
  <w:style w:type="table" w:styleId="Tablaconcuadrcula">
    <w:name w:val="Table Grid"/>
    <w:basedOn w:val="Tablanormal"/>
    <w:uiPriority w:val="39"/>
    <w:rsid w:val="00D911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D911FB"/>
    <w:pPr>
      <w:pBdr>
        <w:top w:val="nil"/>
        <w:left w:val="nil"/>
        <w:bottom w:val="nil"/>
        <w:right w:val="nil"/>
        <w:between w:val="nil"/>
        <w:bar w:val="nil"/>
      </w:pBdr>
      <w:spacing w:after="0" w:line="240" w:lineRule="auto"/>
    </w:pPr>
    <w:rPr>
      <w:rFonts w:ascii="Times New Roman" w:hAnsi="Times New Roman" w:cs="Times New Roman"/>
      <w:sz w:val="24"/>
      <w:szCs w:val="24"/>
      <w:bdr w:val="nil"/>
    </w:rPr>
  </w:style>
  <w:style w:type="character" w:customStyle="1" w:styleId="Ttulo1Car">
    <w:name w:val="Título 1 Car"/>
    <w:basedOn w:val="Fuentedeprrafopredeter"/>
    <w:link w:val="Ttulo1"/>
    <w:uiPriority w:val="9"/>
    <w:rsid w:val="00261BE3"/>
    <w:rPr>
      <w:rFonts w:ascii="Verdana" w:hAnsi="Verdana" w:cs="Arial"/>
      <w:b/>
      <w:iCs/>
      <w:sz w:val="20"/>
      <w:szCs w:val="20"/>
      <w:u w:color="000000"/>
    </w:rPr>
  </w:style>
  <w:style w:type="paragraph" w:styleId="Encabezado">
    <w:name w:val="header"/>
    <w:basedOn w:val="Normal"/>
    <w:link w:val="EncabezadoCar"/>
    <w:uiPriority w:val="99"/>
    <w:unhideWhenUsed/>
    <w:rsid w:val="003626D4"/>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626D4"/>
  </w:style>
  <w:style w:type="character" w:styleId="Nmerodepgina">
    <w:name w:val="page number"/>
    <w:basedOn w:val="Fuentedeprrafopredeter"/>
    <w:uiPriority w:val="99"/>
    <w:semiHidden/>
    <w:unhideWhenUsed/>
    <w:rsid w:val="003626D4"/>
  </w:style>
  <w:style w:type="character" w:customStyle="1" w:styleId="PrrafodelistaCar">
    <w:name w:val="Párrafo de lista Car"/>
    <w:aliases w:val="Footnote Car,List Paragraph2 Car,List Paragraph1 Car,Lista vistosa - Énfasis 11 Car,Colorful List - Accent 11 Car,Párrafo de lista1 Car,Subtle Emphasis1 Car,Footnote1 Car"/>
    <w:link w:val="Prrafodelista"/>
    <w:uiPriority w:val="34"/>
    <w:locked/>
    <w:rsid w:val="003626D4"/>
    <w:rPr>
      <w:rFonts w:ascii="Verdana" w:eastAsia="Verdana" w:hAnsi="Verdana" w:cs="Verdana"/>
      <w:color w:val="000000"/>
      <w:sz w:val="24"/>
      <w:szCs w:val="24"/>
      <w:u w:color="000000"/>
      <w:bdr w:val="nil"/>
      <w:lang w:val="es-ES_tradnl" w:eastAsia="es-CR"/>
    </w:rPr>
  </w:style>
  <w:style w:type="character" w:styleId="Hipervnculo">
    <w:name w:val="Hyperlink"/>
    <w:basedOn w:val="Fuentedeprrafopredeter"/>
    <w:uiPriority w:val="99"/>
    <w:unhideWhenUsed/>
    <w:rsid w:val="00DB2F46"/>
    <w:rPr>
      <w:color w:val="0000FF"/>
      <w:u w:val="single"/>
    </w:rPr>
  </w:style>
  <w:style w:type="character" w:styleId="Hipervnculovisitado">
    <w:name w:val="FollowedHyperlink"/>
    <w:basedOn w:val="Fuentedeprrafopredeter"/>
    <w:uiPriority w:val="99"/>
    <w:semiHidden/>
    <w:unhideWhenUsed/>
    <w:rsid w:val="00DB2F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2550</Words>
  <Characters>14027</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dcterms:created xsi:type="dcterms:W3CDTF">2021-02-25T13:44:00Z</dcterms:created>
  <dcterms:modified xsi:type="dcterms:W3CDTF">2021-02-25T13:44:00Z</dcterms:modified>
</cp:coreProperties>
</file>