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8327E" w14:textId="77777777" w:rsidR="000B604C" w:rsidRPr="005F6EA9" w:rsidRDefault="000B604C" w:rsidP="00CA3C7A">
      <w:pPr>
        <w:pStyle w:val="Textoindependiente"/>
        <w:spacing w:before="120" w:after="120"/>
      </w:pPr>
    </w:p>
    <w:p w14:paraId="00E5E671" w14:textId="77777777" w:rsidR="000B604C" w:rsidRPr="005F6EA9" w:rsidRDefault="00BB636F" w:rsidP="00CA3C7A">
      <w:pPr>
        <w:pStyle w:val="Ttulo1"/>
        <w:spacing w:before="120" w:after="120"/>
        <w:ind w:left="376" w:right="100"/>
        <w:rPr>
          <w:lang w:val="es-CR"/>
        </w:rPr>
      </w:pPr>
      <w:bookmarkStart w:id="0" w:name="integrantesmilitantesunionpatriotica_09_"/>
      <w:bookmarkEnd w:id="0"/>
      <w:r w:rsidRPr="005F6EA9">
        <w:rPr>
          <w:lang w:val="es-CR"/>
        </w:rPr>
        <w:t>RESOLUCIÓN DE LA</w:t>
      </w:r>
    </w:p>
    <w:p w14:paraId="0EC6284A" w14:textId="29D04DFD" w:rsidR="000B604C" w:rsidRPr="005F6EA9" w:rsidRDefault="00BB636F" w:rsidP="00CA3C7A">
      <w:pPr>
        <w:spacing w:before="120" w:after="120"/>
        <w:ind w:left="376" w:right="98"/>
        <w:jc w:val="center"/>
        <w:rPr>
          <w:b/>
          <w:sz w:val="20"/>
          <w:szCs w:val="20"/>
          <w:lang w:val="es-CR"/>
        </w:rPr>
      </w:pPr>
      <w:r w:rsidRPr="005F6EA9">
        <w:rPr>
          <w:b/>
          <w:sz w:val="20"/>
          <w:szCs w:val="20"/>
          <w:lang w:val="es-CR"/>
        </w:rPr>
        <w:t>CORTE INTERAMERICANA DE DERECHOS HUMANOS</w:t>
      </w:r>
      <w:r w:rsidR="00CA3C7A" w:rsidRPr="005F6EA9">
        <w:rPr>
          <w:rStyle w:val="Refdenotaalpie"/>
          <w:sz w:val="20"/>
          <w:szCs w:val="20"/>
        </w:rPr>
        <w:footnoteReference w:id="1"/>
      </w:r>
    </w:p>
    <w:p w14:paraId="63044AF1" w14:textId="77777777" w:rsidR="000B604C" w:rsidRPr="005F6EA9" w:rsidRDefault="000B604C" w:rsidP="00CA3C7A">
      <w:pPr>
        <w:pStyle w:val="Textoindependiente"/>
        <w:spacing w:before="120" w:after="120"/>
        <w:rPr>
          <w:b/>
          <w:lang w:val="es-CR"/>
        </w:rPr>
      </w:pPr>
    </w:p>
    <w:p w14:paraId="36BBDD66" w14:textId="06A5308E" w:rsidR="000B604C" w:rsidRPr="005F6EA9" w:rsidRDefault="00BB636F" w:rsidP="00CA3C7A">
      <w:pPr>
        <w:spacing w:before="120" w:after="120"/>
        <w:ind w:left="376" w:right="99"/>
        <w:jc w:val="center"/>
        <w:rPr>
          <w:b/>
          <w:sz w:val="20"/>
          <w:szCs w:val="20"/>
          <w:lang w:val="es-CR"/>
        </w:rPr>
      </w:pPr>
      <w:r w:rsidRPr="005F6EA9">
        <w:rPr>
          <w:b/>
          <w:sz w:val="20"/>
          <w:szCs w:val="20"/>
          <w:lang w:val="es-CR"/>
        </w:rPr>
        <w:t xml:space="preserve">DE </w:t>
      </w:r>
      <w:r w:rsidR="00645F25">
        <w:rPr>
          <w:b/>
          <w:sz w:val="20"/>
          <w:szCs w:val="20"/>
          <w:lang w:val="es-CR"/>
        </w:rPr>
        <w:t>26</w:t>
      </w:r>
      <w:r w:rsidR="0096476F">
        <w:rPr>
          <w:b/>
          <w:sz w:val="20"/>
          <w:szCs w:val="20"/>
          <w:lang w:val="es-CR"/>
        </w:rPr>
        <w:t xml:space="preserve"> </w:t>
      </w:r>
      <w:r w:rsidRPr="005F6EA9">
        <w:rPr>
          <w:b/>
          <w:sz w:val="20"/>
          <w:szCs w:val="20"/>
          <w:lang w:val="es-CR"/>
        </w:rPr>
        <w:t xml:space="preserve">DE </w:t>
      </w:r>
      <w:r w:rsidR="00A11090" w:rsidRPr="005F6EA9">
        <w:rPr>
          <w:b/>
          <w:sz w:val="20"/>
          <w:szCs w:val="20"/>
          <w:lang w:val="es-CR"/>
        </w:rPr>
        <w:t>MARZO</w:t>
      </w:r>
      <w:r w:rsidRPr="005F6EA9">
        <w:rPr>
          <w:b/>
          <w:sz w:val="20"/>
          <w:szCs w:val="20"/>
          <w:lang w:val="es-CR"/>
        </w:rPr>
        <w:t xml:space="preserve"> DE 2021</w:t>
      </w:r>
    </w:p>
    <w:p w14:paraId="60296C1E" w14:textId="77777777" w:rsidR="000B604C" w:rsidRPr="005F6EA9" w:rsidRDefault="000B604C" w:rsidP="00CA3C7A">
      <w:pPr>
        <w:pStyle w:val="Textoindependiente"/>
        <w:spacing w:before="120" w:after="120"/>
        <w:rPr>
          <w:b/>
          <w:lang w:val="es-CR"/>
        </w:rPr>
      </w:pPr>
    </w:p>
    <w:p w14:paraId="3025A17A" w14:textId="0F821DA9" w:rsidR="000B604C" w:rsidRPr="005F6EA9" w:rsidRDefault="00BB636F" w:rsidP="00CA3C7A">
      <w:pPr>
        <w:pStyle w:val="Ttulo1"/>
        <w:spacing w:before="240" w:after="240"/>
        <w:ind w:left="397"/>
        <w:rPr>
          <w:b w:val="0"/>
          <w:lang w:val="es-CR"/>
        </w:rPr>
      </w:pPr>
      <w:r w:rsidRPr="005F6EA9">
        <w:rPr>
          <w:lang w:val="es-CR"/>
        </w:rPr>
        <w:t xml:space="preserve">CASO </w:t>
      </w:r>
      <w:r w:rsidR="00A11090" w:rsidRPr="00744765">
        <w:rPr>
          <w:lang w:val="es-CR"/>
        </w:rPr>
        <w:t xml:space="preserve">FAMILIARES DE DIGNA OCHOA Y PLÁCIDO </w:t>
      </w:r>
      <w:r w:rsidR="00A11090" w:rsidRPr="00645F25">
        <w:rPr>
          <w:i/>
          <w:lang w:val="es-CR"/>
        </w:rPr>
        <w:t>VS</w:t>
      </w:r>
      <w:r w:rsidR="00A11090" w:rsidRPr="00744765">
        <w:rPr>
          <w:lang w:val="es-CR"/>
        </w:rPr>
        <w:t xml:space="preserve">. </w:t>
      </w:r>
      <w:r w:rsidR="00A11090" w:rsidRPr="00A76508">
        <w:rPr>
          <w:lang w:val="es-AR"/>
        </w:rPr>
        <w:t>MÉXICO</w:t>
      </w:r>
      <w:r w:rsidR="00CA3C7A" w:rsidRPr="005F6EA9">
        <w:rPr>
          <w:rStyle w:val="Refdenotaalpie"/>
        </w:rPr>
        <w:footnoteReference w:id="2"/>
      </w:r>
    </w:p>
    <w:p w14:paraId="46EB2FAE" w14:textId="77777777" w:rsidR="000B604C" w:rsidRPr="005F6EA9" w:rsidRDefault="00BB636F" w:rsidP="00CA3C7A">
      <w:pPr>
        <w:pStyle w:val="Ttulo1"/>
        <w:spacing w:before="360" w:after="360"/>
        <w:ind w:left="0"/>
        <w:jc w:val="left"/>
        <w:rPr>
          <w:b w:val="0"/>
          <w:lang w:val="es-CR"/>
        </w:rPr>
      </w:pPr>
      <w:r w:rsidRPr="005F6EA9">
        <w:t>VISTO</w:t>
      </w:r>
      <w:r w:rsidRPr="005F6EA9">
        <w:rPr>
          <w:lang w:val="es-CR"/>
        </w:rPr>
        <w:t>:</w:t>
      </w:r>
    </w:p>
    <w:p w14:paraId="22C9CCBB" w14:textId="0A280619" w:rsidR="000B604C" w:rsidRPr="005F6EA9" w:rsidRDefault="004B4533" w:rsidP="00CA3C7A">
      <w:pPr>
        <w:pStyle w:val="Prrafodelista"/>
        <w:numPr>
          <w:ilvl w:val="0"/>
          <w:numId w:val="3"/>
        </w:numPr>
        <w:spacing w:before="120" w:after="120"/>
        <w:ind w:left="0" w:right="139" w:firstLine="0"/>
        <w:rPr>
          <w:sz w:val="20"/>
          <w:szCs w:val="20"/>
          <w:lang w:val="es-CR"/>
        </w:rPr>
      </w:pPr>
      <w:r w:rsidRPr="005F6EA9">
        <w:rPr>
          <w:sz w:val="20"/>
          <w:szCs w:val="20"/>
          <w:lang w:val="es-CR"/>
        </w:rPr>
        <w:t>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representantes de las presuntas víctimas (en</w:t>
      </w:r>
      <w:r w:rsidR="00744765">
        <w:rPr>
          <w:sz w:val="20"/>
          <w:szCs w:val="20"/>
          <w:lang w:val="es-CR"/>
        </w:rPr>
        <w:t xml:space="preserve"> adelante “los representantes”), y</w:t>
      </w:r>
      <w:r w:rsidRPr="005F6EA9">
        <w:rPr>
          <w:sz w:val="20"/>
          <w:szCs w:val="20"/>
          <w:lang w:val="es-CR"/>
        </w:rPr>
        <w:t xml:space="preserve"> el escrito de excepciones preliminares y de contestación al sometimiento del caso y al escrito de solicitudes y argumentos (en adelante “escrito de Contestación”) de los Estados Unidos Mexicanos (en adelante “México” o “el Estado”).</w:t>
      </w:r>
    </w:p>
    <w:p w14:paraId="0650B8F7" w14:textId="5D115481" w:rsidR="000B604C" w:rsidRPr="005F6EA9" w:rsidRDefault="00BB636F" w:rsidP="00CA3C7A">
      <w:pPr>
        <w:pStyle w:val="Prrafodelista"/>
        <w:numPr>
          <w:ilvl w:val="0"/>
          <w:numId w:val="3"/>
        </w:numPr>
        <w:spacing w:before="120" w:after="120"/>
        <w:ind w:left="0" w:right="139" w:firstLine="0"/>
        <w:rPr>
          <w:sz w:val="20"/>
          <w:szCs w:val="20"/>
          <w:lang w:val="es-CR"/>
        </w:rPr>
      </w:pPr>
      <w:r w:rsidRPr="005F6EA9">
        <w:rPr>
          <w:sz w:val="20"/>
          <w:szCs w:val="20"/>
          <w:lang w:val="es-CR"/>
        </w:rPr>
        <w:t xml:space="preserve">La Resolución de la Presidenta de la Corte Interamericana de Derechos Humanos </w:t>
      </w:r>
      <w:r w:rsidR="00A5607E">
        <w:rPr>
          <w:sz w:val="20"/>
          <w:szCs w:val="20"/>
          <w:lang w:val="es-CR"/>
        </w:rPr>
        <w:t xml:space="preserve">(en adelante, “Corte Interamericana”, “Corte” o “Tribunal”) </w:t>
      </w:r>
      <w:r w:rsidRPr="005F6EA9">
        <w:rPr>
          <w:sz w:val="20"/>
          <w:szCs w:val="20"/>
          <w:lang w:val="es-CR"/>
        </w:rPr>
        <w:t xml:space="preserve">de </w:t>
      </w:r>
      <w:r w:rsidR="00EF093A" w:rsidRPr="005F6EA9">
        <w:rPr>
          <w:sz w:val="20"/>
          <w:szCs w:val="20"/>
          <w:lang w:val="es-CR"/>
        </w:rPr>
        <w:t>3</w:t>
      </w:r>
      <w:r w:rsidRPr="005F6EA9">
        <w:rPr>
          <w:sz w:val="20"/>
          <w:szCs w:val="20"/>
          <w:lang w:val="es-CR"/>
        </w:rPr>
        <w:t xml:space="preserve"> de</w:t>
      </w:r>
      <w:r w:rsidRPr="005F6EA9">
        <w:rPr>
          <w:spacing w:val="-9"/>
          <w:sz w:val="20"/>
          <w:szCs w:val="20"/>
          <w:lang w:val="es-CR"/>
        </w:rPr>
        <w:t xml:space="preserve"> </w:t>
      </w:r>
      <w:r w:rsidR="00EF093A" w:rsidRPr="005F6EA9">
        <w:rPr>
          <w:sz w:val="20"/>
          <w:szCs w:val="20"/>
          <w:lang w:val="es-CR"/>
        </w:rPr>
        <w:t>marzo</w:t>
      </w:r>
      <w:r w:rsidRPr="005F6EA9">
        <w:rPr>
          <w:spacing w:val="-8"/>
          <w:sz w:val="20"/>
          <w:szCs w:val="20"/>
          <w:lang w:val="es-CR"/>
        </w:rPr>
        <w:t xml:space="preserve"> </w:t>
      </w:r>
      <w:r w:rsidRPr="005F6EA9">
        <w:rPr>
          <w:sz w:val="20"/>
          <w:szCs w:val="20"/>
          <w:lang w:val="es-CR"/>
        </w:rPr>
        <w:t>de</w:t>
      </w:r>
      <w:r w:rsidRPr="005F6EA9">
        <w:rPr>
          <w:spacing w:val="-8"/>
          <w:sz w:val="20"/>
          <w:szCs w:val="20"/>
          <w:lang w:val="es-CR"/>
        </w:rPr>
        <w:t xml:space="preserve"> </w:t>
      </w:r>
      <w:r w:rsidR="00EF093A" w:rsidRPr="005F6EA9">
        <w:rPr>
          <w:sz w:val="20"/>
          <w:szCs w:val="20"/>
          <w:lang w:val="es-CR"/>
        </w:rPr>
        <w:t>2021</w:t>
      </w:r>
      <w:r w:rsidRPr="005F6EA9">
        <w:rPr>
          <w:spacing w:val="-5"/>
          <w:sz w:val="20"/>
          <w:szCs w:val="20"/>
          <w:lang w:val="es-CR"/>
        </w:rPr>
        <w:t xml:space="preserve"> </w:t>
      </w:r>
      <w:r w:rsidRPr="005F6EA9">
        <w:rPr>
          <w:sz w:val="20"/>
          <w:szCs w:val="20"/>
          <w:lang w:val="es-CR"/>
        </w:rPr>
        <w:t>por</w:t>
      </w:r>
      <w:r w:rsidRPr="005F6EA9">
        <w:rPr>
          <w:spacing w:val="-6"/>
          <w:sz w:val="20"/>
          <w:szCs w:val="20"/>
          <w:lang w:val="es-CR"/>
        </w:rPr>
        <w:t xml:space="preserve"> </w:t>
      </w:r>
      <w:r w:rsidRPr="005F6EA9">
        <w:rPr>
          <w:sz w:val="20"/>
          <w:szCs w:val="20"/>
          <w:lang w:val="es-CR"/>
        </w:rPr>
        <w:t>medio</w:t>
      </w:r>
      <w:r w:rsidRPr="005F6EA9">
        <w:rPr>
          <w:spacing w:val="-8"/>
          <w:sz w:val="20"/>
          <w:szCs w:val="20"/>
          <w:lang w:val="es-CR"/>
        </w:rPr>
        <w:t xml:space="preserve"> </w:t>
      </w:r>
      <w:r w:rsidRPr="005F6EA9">
        <w:rPr>
          <w:sz w:val="20"/>
          <w:szCs w:val="20"/>
          <w:lang w:val="es-CR"/>
        </w:rPr>
        <w:t>de</w:t>
      </w:r>
      <w:r w:rsidRPr="005F6EA9">
        <w:rPr>
          <w:spacing w:val="-9"/>
          <w:sz w:val="20"/>
          <w:szCs w:val="20"/>
          <w:lang w:val="es-CR"/>
        </w:rPr>
        <w:t xml:space="preserve"> </w:t>
      </w:r>
      <w:r w:rsidRPr="005F6EA9">
        <w:rPr>
          <w:sz w:val="20"/>
          <w:szCs w:val="20"/>
          <w:lang w:val="es-CR"/>
        </w:rPr>
        <w:t>la</w:t>
      </w:r>
      <w:r w:rsidRPr="005F6EA9">
        <w:rPr>
          <w:spacing w:val="-4"/>
          <w:sz w:val="20"/>
          <w:szCs w:val="20"/>
          <w:lang w:val="es-CR"/>
        </w:rPr>
        <w:t xml:space="preserve"> </w:t>
      </w:r>
      <w:r w:rsidRPr="005F6EA9">
        <w:rPr>
          <w:sz w:val="20"/>
          <w:szCs w:val="20"/>
          <w:lang w:val="es-CR"/>
        </w:rPr>
        <w:t>cual</w:t>
      </w:r>
      <w:r w:rsidR="00EF093A" w:rsidRPr="005F6EA9">
        <w:rPr>
          <w:sz w:val="20"/>
          <w:szCs w:val="20"/>
          <w:lang w:val="es-CR"/>
        </w:rPr>
        <w:t>, entre otros,</w:t>
      </w:r>
      <w:r w:rsidR="00F9568F" w:rsidRPr="005F6EA9">
        <w:rPr>
          <w:sz w:val="20"/>
          <w:szCs w:val="20"/>
          <w:lang w:val="es-CR"/>
        </w:rPr>
        <w:t xml:space="preserve"> se acordó c</w:t>
      </w:r>
      <w:r w:rsidR="00EF093A" w:rsidRPr="005F6EA9">
        <w:rPr>
          <w:sz w:val="20"/>
          <w:szCs w:val="20"/>
          <w:lang w:val="es-CR"/>
        </w:rPr>
        <w:t xml:space="preserve">onvocar al Estado, a los representantes y a la Comisión Interamericana de Derechos Humanos a una audiencia pública sobre las excepciones preliminares y eventuales fondo, reparaciones y costas que se celebrará de manera virtual durante el 141 Período Ordinario de Sesiones, los días 26 y 27 de abril de 2021, a partir de las 08:00 horas de Costa Rica, para recibir sus alegatos y observaciones finales orales, así como las declaraciones de </w:t>
      </w:r>
      <w:r w:rsidR="00CD4559" w:rsidRPr="005F6EA9">
        <w:rPr>
          <w:sz w:val="20"/>
          <w:szCs w:val="20"/>
          <w:lang w:val="es-CR"/>
        </w:rPr>
        <w:t>una presunta víctima propuesta por los representantes</w:t>
      </w:r>
      <w:r w:rsidR="00CD4559" w:rsidRPr="005F6EA9">
        <w:rPr>
          <w:rStyle w:val="Refdenotaalpie"/>
          <w:sz w:val="20"/>
          <w:szCs w:val="20"/>
          <w:lang w:val="es-CR"/>
        </w:rPr>
        <w:footnoteReference w:id="3"/>
      </w:r>
      <w:r w:rsidR="00CD4559" w:rsidRPr="005F6EA9">
        <w:rPr>
          <w:sz w:val="20"/>
          <w:szCs w:val="20"/>
          <w:lang w:val="es-CR"/>
        </w:rPr>
        <w:t>, un testigo propuesto por el Estado</w:t>
      </w:r>
      <w:r w:rsidR="00CD4559" w:rsidRPr="005F6EA9">
        <w:rPr>
          <w:rStyle w:val="Refdenotaalpie"/>
          <w:sz w:val="20"/>
          <w:szCs w:val="20"/>
          <w:lang w:val="es-CR"/>
        </w:rPr>
        <w:footnoteReference w:id="4"/>
      </w:r>
      <w:r w:rsidR="00CD4559" w:rsidRPr="005F6EA9">
        <w:rPr>
          <w:sz w:val="20"/>
          <w:szCs w:val="20"/>
          <w:lang w:val="es-CR"/>
        </w:rPr>
        <w:t xml:space="preserve"> y dos peritas propuestas por los representantes</w:t>
      </w:r>
      <w:r w:rsidR="00CD4559" w:rsidRPr="005F6EA9">
        <w:rPr>
          <w:rStyle w:val="Refdenotaalpie"/>
          <w:sz w:val="20"/>
          <w:szCs w:val="20"/>
          <w:lang w:val="es-CR"/>
        </w:rPr>
        <w:footnoteReference w:id="5"/>
      </w:r>
      <w:r w:rsidR="00CD4559" w:rsidRPr="005F6EA9">
        <w:rPr>
          <w:sz w:val="20"/>
          <w:szCs w:val="20"/>
          <w:lang w:val="es-CR"/>
        </w:rPr>
        <w:t>.</w:t>
      </w:r>
    </w:p>
    <w:p w14:paraId="319260EB" w14:textId="2FFFC0CD" w:rsidR="000B604C" w:rsidRPr="00C07169" w:rsidRDefault="00BB636F" w:rsidP="00C07169">
      <w:pPr>
        <w:pStyle w:val="Prrafodelista"/>
        <w:numPr>
          <w:ilvl w:val="0"/>
          <w:numId w:val="3"/>
        </w:numPr>
        <w:spacing w:before="120" w:after="120"/>
        <w:ind w:left="0" w:right="139" w:firstLine="0"/>
        <w:rPr>
          <w:rFonts w:ascii="Calibri" w:eastAsiaTheme="minorHAnsi" w:hAnsi="Calibri" w:cs="Calibri"/>
          <w:color w:val="1F497D"/>
          <w:lang w:val="es-CR"/>
        </w:rPr>
      </w:pPr>
      <w:r w:rsidRPr="005F6EA9">
        <w:rPr>
          <w:sz w:val="20"/>
          <w:szCs w:val="20"/>
          <w:lang w:val="es-CR"/>
        </w:rPr>
        <w:t xml:space="preserve">El escrito de </w:t>
      </w:r>
      <w:r w:rsidR="00F9568F" w:rsidRPr="005F6EA9">
        <w:rPr>
          <w:sz w:val="20"/>
          <w:szCs w:val="20"/>
          <w:lang w:val="es-CR"/>
        </w:rPr>
        <w:t xml:space="preserve">9 de marzo </w:t>
      </w:r>
      <w:r w:rsidRPr="005F6EA9">
        <w:rPr>
          <w:sz w:val="20"/>
          <w:szCs w:val="20"/>
          <w:lang w:val="es-CR"/>
        </w:rPr>
        <w:t xml:space="preserve">de 2021 por medio del cual el Estado </w:t>
      </w:r>
      <w:r w:rsidR="00FC62D9" w:rsidRPr="005F6EA9">
        <w:rPr>
          <w:sz w:val="20"/>
          <w:szCs w:val="20"/>
          <w:lang w:val="es-CR"/>
        </w:rPr>
        <w:t>solicitó, de conformidad con lo estipulado en el artículo 31.2 del Reglamento de la Corte</w:t>
      </w:r>
      <w:r w:rsidR="00744765">
        <w:rPr>
          <w:rStyle w:val="Refdenotaalpie"/>
          <w:sz w:val="20"/>
          <w:szCs w:val="20"/>
          <w:lang w:val="es-CR"/>
        </w:rPr>
        <w:footnoteReference w:id="6"/>
      </w:r>
      <w:r w:rsidR="00FC62D9" w:rsidRPr="005F6EA9">
        <w:rPr>
          <w:sz w:val="20"/>
          <w:szCs w:val="20"/>
          <w:lang w:val="es-CR"/>
        </w:rPr>
        <w:t xml:space="preserve">, la </w:t>
      </w:r>
      <w:r w:rsidR="00267C77">
        <w:rPr>
          <w:sz w:val="20"/>
          <w:szCs w:val="20"/>
          <w:lang w:val="es-CR"/>
        </w:rPr>
        <w:t>“</w:t>
      </w:r>
      <w:r w:rsidR="00FC62D9" w:rsidRPr="005F6EA9">
        <w:rPr>
          <w:sz w:val="20"/>
          <w:szCs w:val="20"/>
          <w:lang w:val="es-CR"/>
        </w:rPr>
        <w:t>reconsideración</w:t>
      </w:r>
      <w:r w:rsidR="00267C77">
        <w:rPr>
          <w:sz w:val="20"/>
          <w:szCs w:val="20"/>
          <w:lang w:val="es-CR"/>
        </w:rPr>
        <w:t>”</w:t>
      </w:r>
      <w:r w:rsidR="00FC62D9" w:rsidRPr="005F6EA9">
        <w:rPr>
          <w:sz w:val="20"/>
          <w:szCs w:val="20"/>
          <w:lang w:val="es-CR"/>
        </w:rPr>
        <w:t xml:space="preserve"> de la citada Resolución de 3 de marzo de 2021</w:t>
      </w:r>
      <w:r w:rsidR="00C07169">
        <w:rPr>
          <w:sz w:val="20"/>
          <w:szCs w:val="20"/>
          <w:lang w:val="es-CR"/>
        </w:rPr>
        <w:t xml:space="preserve"> y, en particular, que fueran admitidos el peritaje conjunto de </w:t>
      </w:r>
      <w:proofErr w:type="spellStart"/>
      <w:r w:rsidR="00C07169" w:rsidRPr="00C07169">
        <w:rPr>
          <w:sz w:val="20"/>
          <w:szCs w:val="20"/>
          <w:lang w:val="es-CR"/>
        </w:rPr>
        <w:t>de</w:t>
      </w:r>
      <w:proofErr w:type="spellEnd"/>
      <w:r w:rsidR="00C07169" w:rsidRPr="00C07169">
        <w:rPr>
          <w:sz w:val="20"/>
          <w:szCs w:val="20"/>
          <w:lang w:val="es-CR"/>
        </w:rPr>
        <w:t xml:space="preserve"> los señores Alejandro Sánchez González, Erika Bardales Lazando y Francisco Javier </w:t>
      </w:r>
      <w:proofErr w:type="spellStart"/>
      <w:r w:rsidR="00C07169" w:rsidRPr="00C07169">
        <w:rPr>
          <w:sz w:val="20"/>
          <w:szCs w:val="20"/>
          <w:lang w:val="es-CR"/>
        </w:rPr>
        <w:t>Dondé</w:t>
      </w:r>
      <w:proofErr w:type="spellEnd"/>
      <w:r w:rsidR="00C07169" w:rsidRPr="00C07169">
        <w:rPr>
          <w:sz w:val="20"/>
          <w:szCs w:val="20"/>
          <w:lang w:val="es-CR"/>
        </w:rPr>
        <w:t xml:space="preserve"> Matute, </w:t>
      </w:r>
      <w:r w:rsidR="00C07169">
        <w:rPr>
          <w:sz w:val="20"/>
          <w:szCs w:val="20"/>
          <w:lang w:val="es-CR"/>
        </w:rPr>
        <w:t>así como el peritaje de Diana Paola Granados Madrigal.</w:t>
      </w:r>
    </w:p>
    <w:p w14:paraId="49613E06" w14:textId="3A54DAE4" w:rsidR="000B604C" w:rsidRPr="005F6EA9" w:rsidRDefault="00BB636F" w:rsidP="00CA3C7A">
      <w:pPr>
        <w:pStyle w:val="Prrafodelista"/>
        <w:numPr>
          <w:ilvl w:val="0"/>
          <w:numId w:val="3"/>
        </w:numPr>
        <w:spacing w:before="120" w:after="120"/>
        <w:ind w:left="0" w:right="139" w:firstLine="0"/>
        <w:rPr>
          <w:sz w:val="20"/>
          <w:szCs w:val="20"/>
          <w:lang w:val="es-CR"/>
        </w:rPr>
      </w:pPr>
      <w:r w:rsidRPr="005F6EA9">
        <w:rPr>
          <w:sz w:val="20"/>
          <w:szCs w:val="20"/>
          <w:lang w:val="es-CR"/>
        </w:rPr>
        <w:t xml:space="preserve">La nota de Secretaría de </w:t>
      </w:r>
      <w:r w:rsidR="00FC62D9" w:rsidRPr="005F6EA9">
        <w:rPr>
          <w:sz w:val="20"/>
          <w:szCs w:val="20"/>
          <w:lang w:val="es-CR"/>
        </w:rPr>
        <w:t>11</w:t>
      </w:r>
      <w:r w:rsidRPr="005F6EA9">
        <w:rPr>
          <w:sz w:val="20"/>
          <w:szCs w:val="20"/>
          <w:lang w:val="es-CR"/>
        </w:rPr>
        <w:t xml:space="preserve"> de </w:t>
      </w:r>
      <w:r w:rsidR="00FC62D9" w:rsidRPr="005F6EA9">
        <w:rPr>
          <w:sz w:val="20"/>
          <w:szCs w:val="20"/>
          <w:lang w:val="es-CR"/>
        </w:rPr>
        <w:t>marzo de 2021 por medio de la cual se dio traslado a los representantes y</w:t>
      </w:r>
      <w:r w:rsidR="00267C77">
        <w:rPr>
          <w:sz w:val="20"/>
          <w:szCs w:val="20"/>
          <w:lang w:val="es-CR"/>
        </w:rPr>
        <w:t xml:space="preserve"> a</w:t>
      </w:r>
      <w:r w:rsidR="00FC62D9" w:rsidRPr="005F6EA9">
        <w:rPr>
          <w:sz w:val="20"/>
          <w:szCs w:val="20"/>
          <w:lang w:val="es-CR"/>
        </w:rPr>
        <w:t xml:space="preserve"> la Comisión de la solicitud de </w:t>
      </w:r>
      <w:r w:rsidR="00267C77">
        <w:rPr>
          <w:sz w:val="20"/>
          <w:szCs w:val="20"/>
          <w:lang w:val="es-CR"/>
        </w:rPr>
        <w:t>“</w:t>
      </w:r>
      <w:r w:rsidR="00FC62D9" w:rsidRPr="005F6EA9">
        <w:rPr>
          <w:sz w:val="20"/>
          <w:szCs w:val="20"/>
          <w:lang w:val="es-CR"/>
        </w:rPr>
        <w:t>reconsideración</w:t>
      </w:r>
      <w:r w:rsidR="00267C77">
        <w:rPr>
          <w:sz w:val="20"/>
          <w:szCs w:val="20"/>
          <w:lang w:val="es-CR"/>
        </w:rPr>
        <w:t xml:space="preserve">” presentada por el Estado, otorgándoseles </w:t>
      </w:r>
      <w:r w:rsidR="00FC62D9" w:rsidRPr="005F6EA9">
        <w:rPr>
          <w:sz w:val="20"/>
          <w:szCs w:val="20"/>
          <w:lang w:val="es-CR"/>
        </w:rPr>
        <w:t>plazo hasta el 12 de marzo para que remitieran las observaciones que estimaran pertinentes.</w:t>
      </w:r>
    </w:p>
    <w:p w14:paraId="23DCDD4B" w14:textId="62703526" w:rsidR="000B604C" w:rsidRPr="005F6EA9" w:rsidRDefault="00FC62D9" w:rsidP="00CA3C7A">
      <w:pPr>
        <w:pStyle w:val="Prrafodelista"/>
        <w:numPr>
          <w:ilvl w:val="0"/>
          <w:numId w:val="3"/>
        </w:numPr>
        <w:spacing w:before="120" w:after="120"/>
        <w:ind w:left="0" w:right="139" w:firstLine="0"/>
        <w:rPr>
          <w:sz w:val="20"/>
          <w:szCs w:val="20"/>
          <w:lang w:val="es-CR"/>
        </w:rPr>
      </w:pPr>
      <w:r w:rsidRPr="005F6EA9">
        <w:rPr>
          <w:sz w:val="20"/>
          <w:szCs w:val="20"/>
          <w:lang w:val="es-CR"/>
        </w:rPr>
        <w:t>Las comunicaciones de 12 de marzo de 2021 mediante las cuales los representantes y la Comisión presentaron sus respectivas observaciones</w:t>
      </w:r>
      <w:r w:rsidR="00267C77">
        <w:rPr>
          <w:sz w:val="20"/>
          <w:szCs w:val="20"/>
          <w:lang w:val="es-CR"/>
        </w:rPr>
        <w:t>.</w:t>
      </w:r>
    </w:p>
    <w:p w14:paraId="1BFBD526" w14:textId="211D327A" w:rsidR="00CA3C7A" w:rsidRPr="005F6EA9" w:rsidRDefault="00BB636F" w:rsidP="00CA3C7A">
      <w:pPr>
        <w:pStyle w:val="Ttulo1"/>
        <w:spacing w:before="360" w:after="360"/>
        <w:ind w:left="0"/>
        <w:jc w:val="left"/>
      </w:pPr>
      <w:r w:rsidRPr="005F6EA9">
        <w:lastRenderedPageBreak/>
        <w:t>CONSIDERANDO QUE:</w:t>
      </w:r>
    </w:p>
    <w:p w14:paraId="04D6930E" w14:textId="11146B8F" w:rsidR="006D6E26" w:rsidRPr="006D6E26" w:rsidRDefault="00BB636F" w:rsidP="00E137BF">
      <w:pPr>
        <w:pStyle w:val="Prrafodelista"/>
        <w:numPr>
          <w:ilvl w:val="0"/>
          <w:numId w:val="9"/>
        </w:numPr>
        <w:spacing w:before="120" w:after="120"/>
        <w:ind w:left="0" w:right="139" w:firstLine="0"/>
        <w:rPr>
          <w:sz w:val="20"/>
          <w:szCs w:val="20"/>
          <w:lang w:val="es-CR"/>
        </w:rPr>
      </w:pPr>
      <w:r w:rsidRPr="006D6E26">
        <w:rPr>
          <w:sz w:val="20"/>
          <w:szCs w:val="20"/>
          <w:lang w:val="es-CR"/>
        </w:rPr>
        <w:t>Las decisiones de la Presidenta que no sean de mero trámite son recurribles ante la Corte</w:t>
      </w:r>
      <w:r w:rsidRPr="006D6E26">
        <w:rPr>
          <w:spacing w:val="-17"/>
          <w:sz w:val="20"/>
          <w:szCs w:val="20"/>
          <w:lang w:val="es-CR"/>
        </w:rPr>
        <w:t xml:space="preserve"> </w:t>
      </w:r>
      <w:r w:rsidRPr="006D6E26">
        <w:rPr>
          <w:sz w:val="20"/>
          <w:szCs w:val="20"/>
          <w:lang w:val="es-CR"/>
        </w:rPr>
        <w:t>Interamericana</w:t>
      </w:r>
      <w:r w:rsidRPr="006D6E26">
        <w:rPr>
          <w:spacing w:val="-15"/>
          <w:sz w:val="20"/>
          <w:szCs w:val="20"/>
          <w:lang w:val="es-CR"/>
        </w:rPr>
        <w:t xml:space="preserve"> </w:t>
      </w:r>
      <w:r w:rsidRPr="006D6E26">
        <w:rPr>
          <w:sz w:val="20"/>
          <w:szCs w:val="20"/>
          <w:lang w:val="es-CR"/>
        </w:rPr>
        <w:t>de</w:t>
      </w:r>
      <w:r w:rsidRPr="006D6E26">
        <w:rPr>
          <w:spacing w:val="-15"/>
          <w:sz w:val="20"/>
          <w:szCs w:val="20"/>
          <w:lang w:val="es-CR"/>
        </w:rPr>
        <w:t xml:space="preserve"> </w:t>
      </w:r>
      <w:r w:rsidRPr="006D6E26">
        <w:rPr>
          <w:sz w:val="20"/>
          <w:szCs w:val="20"/>
          <w:lang w:val="es-CR"/>
        </w:rPr>
        <w:t>Derechos</w:t>
      </w:r>
      <w:r w:rsidRPr="006D6E26">
        <w:rPr>
          <w:spacing w:val="-13"/>
          <w:sz w:val="20"/>
          <w:szCs w:val="20"/>
          <w:lang w:val="es-CR"/>
        </w:rPr>
        <w:t xml:space="preserve"> </w:t>
      </w:r>
      <w:r w:rsidRPr="006D6E26">
        <w:rPr>
          <w:sz w:val="20"/>
          <w:szCs w:val="20"/>
          <w:lang w:val="es-CR"/>
        </w:rPr>
        <w:t>Humanos,</w:t>
      </w:r>
      <w:r w:rsidRPr="006D6E26">
        <w:rPr>
          <w:spacing w:val="-14"/>
          <w:sz w:val="20"/>
          <w:szCs w:val="20"/>
          <w:lang w:val="es-CR"/>
        </w:rPr>
        <w:t xml:space="preserve"> </w:t>
      </w:r>
      <w:r w:rsidRPr="006D6E26">
        <w:rPr>
          <w:sz w:val="20"/>
          <w:szCs w:val="20"/>
          <w:lang w:val="es-CR"/>
        </w:rPr>
        <w:t>en</w:t>
      </w:r>
      <w:r w:rsidRPr="006D6E26">
        <w:rPr>
          <w:spacing w:val="-12"/>
          <w:sz w:val="20"/>
          <w:szCs w:val="20"/>
          <w:lang w:val="es-CR"/>
        </w:rPr>
        <w:t xml:space="preserve"> </w:t>
      </w:r>
      <w:r w:rsidRPr="006D6E26">
        <w:rPr>
          <w:sz w:val="20"/>
          <w:szCs w:val="20"/>
          <w:lang w:val="es-CR"/>
        </w:rPr>
        <w:t>los</w:t>
      </w:r>
      <w:r w:rsidRPr="006D6E26">
        <w:rPr>
          <w:spacing w:val="-17"/>
          <w:sz w:val="20"/>
          <w:szCs w:val="20"/>
          <w:lang w:val="es-CR"/>
        </w:rPr>
        <w:t xml:space="preserve"> </w:t>
      </w:r>
      <w:r w:rsidRPr="006D6E26">
        <w:rPr>
          <w:sz w:val="20"/>
          <w:szCs w:val="20"/>
          <w:lang w:val="es-CR"/>
        </w:rPr>
        <w:t>términos</w:t>
      </w:r>
      <w:r w:rsidRPr="006D6E26">
        <w:rPr>
          <w:spacing w:val="-16"/>
          <w:sz w:val="20"/>
          <w:szCs w:val="20"/>
          <w:lang w:val="es-CR"/>
        </w:rPr>
        <w:t xml:space="preserve"> </w:t>
      </w:r>
      <w:r w:rsidRPr="006D6E26">
        <w:rPr>
          <w:sz w:val="20"/>
          <w:szCs w:val="20"/>
          <w:lang w:val="es-CR"/>
        </w:rPr>
        <w:t>del</w:t>
      </w:r>
      <w:r w:rsidRPr="006D6E26">
        <w:rPr>
          <w:spacing w:val="-15"/>
          <w:sz w:val="20"/>
          <w:szCs w:val="20"/>
          <w:lang w:val="es-CR"/>
        </w:rPr>
        <w:t xml:space="preserve"> </w:t>
      </w:r>
      <w:r w:rsidRPr="006D6E26">
        <w:rPr>
          <w:sz w:val="20"/>
          <w:szCs w:val="20"/>
          <w:lang w:val="es-CR"/>
        </w:rPr>
        <w:t>artículo</w:t>
      </w:r>
      <w:r w:rsidRPr="006D6E26">
        <w:rPr>
          <w:spacing w:val="-15"/>
          <w:sz w:val="20"/>
          <w:szCs w:val="20"/>
          <w:lang w:val="es-CR"/>
        </w:rPr>
        <w:t xml:space="preserve"> </w:t>
      </w:r>
      <w:r w:rsidRPr="006D6E26">
        <w:rPr>
          <w:sz w:val="20"/>
          <w:szCs w:val="20"/>
          <w:lang w:val="es-CR"/>
        </w:rPr>
        <w:t>31.2</w:t>
      </w:r>
      <w:r w:rsidRPr="006D6E26">
        <w:rPr>
          <w:spacing w:val="-15"/>
          <w:sz w:val="20"/>
          <w:szCs w:val="20"/>
          <w:lang w:val="es-CR"/>
        </w:rPr>
        <w:t xml:space="preserve"> </w:t>
      </w:r>
      <w:r w:rsidRPr="006D6E26">
        <w:rPr>
          <w:sz w:val="20"/>
          <w:szCs w:val="20"/>
          <w:lang w:val="es-CR"/>
        </w:rPr>
        <w:t>del</w:t>
      </w:r>
      <w:r w:rsidRPr="006D6E26">
        <w:rPr>
          <w:spacing w:val="-16"/>
          <w:sz w:val="20"/>
          <w:szCs w:val="20"/>
          <w:lang w:val="es-CR"/>
        </w:rPr>
        <w:t xml:space="preserve"> </w:t>
      </w:r>
      <w:r w:rsidRPr="006D6E26">
        <w:rPr>
          <w:sz w:val="20"/>
          <w:szCs w:val="20"/>
          <w:lang w:val="es-CR"/>
        </w:rPr>
        <w:t>Reglamento de este Tribunal (en adelante “el</w:t>
      </w:r>
      <w:r w:rsidRPr="006D6E26">
        <w:rPr>
          <w:spacing w:val="-6"/>
          <w:sz w:val="20"/>
          <w:szCs w:val="20"/>
          <w:lang w:val="es-CR"/>
        </w:rPr>
        <w:t xml:space="preserve"> </w:t>
      </w:r>
      <w:r w:rsidR="00CA3C7A" w:rsidRPr="006D6E26">
        <w:rPr>
          <w:sz w:val="20"/>
          <w:szCs w:val="20"/>
          <w:lang w:val="es-CR"/>
        </w:rPr>
        <w:t>Reglamento”)</w:t>
      </w:r>
      <w:bookmarkStart w:id="1" w:name="_bookmark0"/>
      <w:bookmarkEnd w:id="1"/>
      <w:r w:rsidR="00CA3C7A" w:rsidRPr="006D6E26">
        <w:rPr>
          <w:sz w:val="20"/>
          <w:szCs w:val="20"/>
          <w:lang w:val="es-CR"/>
        </w:rPr>
        <w:t>.</w:t>
      </w:r>
      <w:r w:rsidR="006D6E26">
        <w:rPr>
          <w:sz w:val="20"/>
          <w:szCs w:val="20"/>
          <w:lang w:val="es-CR"/>
        </w:rPr>
        <w:t xml:space="preserve"> E</w:t>
      </w:r>
      <w:r w:rsidRPr="006D6E26">
        <w:rPr>
          <w:sz w:val="20"/>
          <w:szCs w:val="20"/>
          <w:lang w:val="es-CR"/>
        </w:rPr>
        <w:t>l ofrecimiento y la admisión de la prueba, así como la citación de presuntas víctimas, testigos</w:t>
      </w:r>
      <w:r w:rsidRPr="006D6E26">
        <w:rPr>
          <w:spacing w:val="-10"/>
          <w:sz w:val="20"/>
          <w:szCs w:val="20"/>
          <w:lang w:val="es-CR"/>
        </w:rPr>
        <w:t xml:space="preserve"> </w:t>
      </w:r>
      <w:r w:rsidRPr="006D6E26">
        <w:rPr>
          <w:sz w:val="20"/>
          <w:szCs w:val="20"/>
          <w:lang w:val="es-CR"/>
        </w:rPr>
        <w:t>y</w:t>
      </w:r>
      <w:r w:rsidRPr="006D6E26">
        <w:rPr>
          <w:spacing w:val="-8"/>
          <w:sz w:val="20"/>
          <w:szCs w:val="20"/>
          <w:lang w:val="es-CR"/>
        </w:rPr>
        <w:t xml:space="preserve"> </w:t>
      </w:r>
      <w:r w:rsidRPr="006D6E26">
        <w:rPr>
          <w:sz w:val="20"/>
          <w:szCs w:val="20"/>
          <w:lang w:val="es-CR"/>
        </w:rPr>
        <w:t>peritos</w:t>
      </w:r>
      <w:r w:rsidRPr="006D6E26">
        <w:rPr>
          <w:spacing w:val="-9"/>
          <w:sz w:val="20"/>
          <w:szCs w:val="20"/>
          <w:lang w:val="es-CR"/>
        </w:rPr>
        <w:t xml:space="preserve"> </w:t>
      </w:r>
      <w:r w:rsidRPr="006D6E26">
        <w:rPr>
          <w:sz w:val="20"/>
          <w:szCs w:val="20"/>
          <w:lang w:val="es-CR"/>
        </w:rPr>
        <w:t>se</w:t>
      </w:r>
      <w:r w:rsidRPr="006D6E26">
        <w:rPr>
          <w:spacing w:val="-10"/>
          <w:sz w:val="20"/>
          <w:szCs w:val="20"/>
          <w:lang w:val="es-CR"/>
        </w:rPr>
        <w:t xml:space="preserve"> </w:t>
      </w:r>
      <w:r w:rsidRPr="006D6E26">
        <w:rPr>
          <w:sz w:val="20"/>
          <w:szCs w:val="20"/>
          <w:lang w:val="es-CR"/>
        </w:rPr>
        <w:t>encuentran</w:t>
      </w:r>
      <w:r w:rsidRPr="006D6E26">
        <w:rPr>
          <w:spacing w:val="-7"/>
          <w:sz w:val="20"/>
          <w:szCs w:val="20"/>
          <w:lang w:val="es-CR"/>
        </w:rPr>
        <w:t xml:space="preserve"> </w:t>
      </w:r>
      <w:r w:rsidRPr="006D6E26">
        <w:rPr>
          <w:sz w:val="20"/>
          <w:szCs w:val="20"/>
          <w:lang w:val="es-CR"/>
        </w:rPr>
        <w:t>regulados</w:t>
      </w:r>
      <w:r w:rsidRPr="006D6E26">
        <w:rPr>
          <w:spacing w:val="-7"/>
          <w:sz w:val="20"/>
          <w:szCs w:val="20"/>
          <w:lang w:val="es-CR"/>
        </w:rPr>
        <w:t xml:space="preserve"> </w:t>
      </w:r>
      <w:r w:rsidRPr="006D6E26">
        <w:rPr>
          <w:sz w:val="20"/>
          <w:szCs w:val="20"/>
          <w:lang w:val="es-CR"/>
        </w:rPr>
        <w:t>en</w:t>
      </w:r>
      <w:r w:rsidRPr="006D6E26">
        <w:rPr>
          <w:spacing w:val="-7"/>
          <w:sz w:val="20"/>
          <w:szCs w:val="20"/>
          <w:lang w:val="es-CR"/>
        </w:rPr>
        <w:t xml:space="preserve"> </w:t>
      </w:r>
      <w:r w:rsidRPr="006D6E26">
        <w:rPr>
          <w:sz w:val="20"/>
          <w:szCs w:val="20"/>
          <w:lang w:val="es-CR"/>
        </w:rPr>
        <w:t>los</w:t>
      </w:r>
      <w:r w:rsidRPr="006D6E26">
        <w:rPr>
          <w:spacing w:val="-9"/>
          <w:sz w:val="20"/>
          <w:szCs w:val="20"/>
          <w:lang w:val="es-CR"/>
        </w:rPr>
        <w:t xml:space="preserve"> </w:t>
      </w:r>
      <w:r w:rsidRPr="006D6E26">
        <w:rPr>
          <w:sz w:val="20"/>
          <w:szCs w:val="20"/>
          <w:lang w:val="es-CR"/>
        </w:rPr>
        <w:t>artículos</w:t>
      </w:r>
      <w:r w:rsidRPr="006D6E26">
        <w:rPr>
          <w:spacing w:val="-9"/>
          <w:sz w:val="20"/>
          <w:szCs w:val="20"/>
          <w:lang w:val="es-CR"/>
        </w:rPr>
        <w:t xml:space="preserve"> </w:t>
      </w:r>
      <w:r w:rsidRPr="006D6E26">
        <w:rPr>
          <w:sz w:val="20"/>
          <w:szCs w:val="20"/>
          <w:lang w:val="es-CR"/>
        </w:rPr>
        <w:t>35.1.f,</w:t>
      </w:r>
      <w:r w:rsidRPr="006D6E26">
        <w:rPr>
          <w:spacing w:val="-9"/>
          <w:sz w:val="20"/>
          <w:szCs w:val="20"/>
          <w:lang w:val="es-CR"/>
        </w:rPr>
        <w:t xml:space="preserve"> </w:t>
      </w:r>
      <w:r w:rsidRPr="006D6E26">
        <w:rPr>
          <w:sz w:val="20"/>
          <w:szCs w:val="20"/>
          <w:lang w:val="es-CR"/>
        </w:rPr>
        <w:t>40.2.c,</w:t>
      </w:r>
      <w:r w:rsidRPr="006D6E26">
        <w:rPr>
          <w:spacing w:val="-8"/>
          <w:sz w:val="20"/>
          <w:szCs w:val="20"/>
          <w:lang w:val="es-CR"/>
        </w:rPr>
        <w:t xml:space="preserve"> </w:t>
      </w:r>
      <w:r w:rsidRPr="006D6E26">
        <w:rPr>
          <w:sz w:val="20"/>
          <w:szCs w:val="20"/>
          <w:lang w:val="es-CR"/>
        </w:rPr>
        <w:t>41.1.c,</w:t>
      </w:r>
      <w:r w:rsidRPr="006D6E26">
        <w:rPr>
          <w:spacing w:val="-8"/>
          <w:sz w:val="20"/>
          <w:szCs w:val="20"/>
          <w:lang w:val="es-CR"/>
        </w:rPr>
        <w:t xml:space="preserve"> </w:t>
      </w:r>
      <w:r w:rsidRPr="006D6E26">
        <w:rPr>
          <w:sz w:val="20"/>
          <w:szCs w:val="20"/>
          <w:lang w:val="es-CR"/>
        </w:rPr>
        <w:t>46,</w:t>
      </w:r>
      <w:r w:rsidRPr="006D6E26">
        <w:rPr>
          <w:spacing w:val="-9"/>
          <w:sz w:val="20"/>
          <w:szCs w:val="20"/>
          <w:lang w:val="es-CR"/>
        </w:rPr>
        <w:t xml:space="preserve"> </w:t>
      </w:r>
      <w:r w:rsidRPr="006D6E26">
        <w:rPr>
          <w:sz w:val="20"/>
          <w:szCs w:val="20"/>
          <w:lang w:val="es-CR"/>
        </w:rPr>
        <w:t>47</w:t>
      </w:r>
      <w:r w:rsidRPr="006D6E26">
        <w:rPr>
          <w:spacing w:val="-7"/>
          <w:sz w:val="20"/>
          <w:szCs w:val="20"/>
          <w:lang w:val="es-CR"/>
        </w:rPr>
        <w:t xml:space="preserve"> </w:t>
      </w:r>
      <w:r w:rsidRPr="006D6E26">
        <w:rPr>
          <w:sz w:val="20"/>
          <w:szCs w:val="20"/>
          <w:lang w:val="es-CR"/>
        </w:rPr>
        <w:t>a</w:t>
      </w:r>
      <w:r w:rsidRPr="006D6E26">
        <w:rPr>
          <w:spacing w:val="-9"/>
          <w:sz w:val="20"/>
          <w:szCs w:val="20"/>
          <w:lang w:val="es-CR"/>
        </w:rPr>
        <w:t xml:space="preserve"> </w:t>
      </w:r>
      <w:r w:rsidRPr="006D6E26">
        <w:rPr>
          <w:sz w:val="20"/>
          <w:szCs w:val="20"/>
          <w:lang w:val="es-CR"/>
        </w:rPr>
        <w:t>50, 52.3, 57 y 58 del Reglamento de la Corte</w:t>
      </w:r>
      <w:r w:rsidRPr="006D6E26">
        <w:rPr>
          <w:spacing w:val="-14"/>
          <w:sz w:val="20"/>
          <w:szCs w:val="20"/>
          <w:lang w:val="es-CR"/>
        </w:rPr>
        <w:t xml:space="preserve"> </w:t>
      </w:r>
      <w:r w:rsidRPr="006D6E26">
        <w:rPr>
          <w:sz w:val="20"/>
          <w:szCs w:val="20"/>
          <w:lang w:val="es-CR"/>
        </w:rPr>
        <w:t>Interamericana.</w:t>
      </w:r>
      <w:r w:rsidR="00910B79" w:rsidRPr="006D6E26">
        <w:rPr>
          <w:sz w:val="20"/>
          <w:szCs w:val="20"/>
          <w:lang w:val="es-CR"/>
        </w:rPr>
        <w:t xml:space="preserve"> </w:t>
      </w:r>
    </w:p>
    <w:p w14:paraId="34D9B72C" w14:textId="2B7BFEF7" w:rsidR="00246902" w:rsidRPr="005F6EA9" w:rsidRDefault="00910B79" w:rsidP="006D6E26">
      <w:pPr>
        <w:pStyle w:val="Prrafodelista"/>
        <w:numPr>
          <w:ilvl w:val="0"/>
          <w:numId w:val="9"/>
        </w:numPr>
        <w:spacing w:before="120" w:after="120"/>
        <w:ind w:left="0" w:right="139" w:firstLine="0"/>
        <w:rPr>
          <w:sz w:val="20"/>
          <w:szCs w:val="20"/>
          <w:lang w:val="es-CR"/>
        </w:rPr>
      </w:pPr>
      <w:r>
        <w:rPr>
          <w:sz w:val="20"/>
          <w:szCs w:val="20"/>
          <w:lang w:val="es-CR"/>
        </w:rPr>
        <w:t xml:space="preserve">A </w:t>
      </w:r>
      <w:r w:rsidR="00333533">
        <w:rPr>
          <w:sz w:val="20"/>
          <w:szCs w:val="20"/>
          <w:lang w:val="es-CR"/>
        </w:rPr>
        <w:t>continuación,</w:t>
      </w:r>
      <w:r>
        <w:rPr>
          <w:sz w:val="20"/>
          <w:szCs w:val="20"/>
          <w:lang w:val="es-CR"/>
        </w:rPr>
        <w:t xml:space="preserve"> el Tribunal procederá a </w:t>
      </w:r>
      <w:r w:rsidR="006D6E26">
        <w:rPr>
          <w:sz w:val="20"/>
          <w:szCs w:val="20"/>
          <w:lang w:val="es-CR"/>
        </w:rPr>
        <w:t xml:space="preserve">(i) </w:t>
      </w:r>
      <w:r>
        <w:rPr>
          <w:sz w:val="20"/>
          <w:szCs w:val="20"/>
          <w:lang w:val="es-CR"/>
        </w:rPr>
        <w:t xml:space="preserve">recapitular las razones </w:t>
      </w:r>
      <w:r w:rsidR="006D6E26">
        <w:rPr>
          <w:sz w:val="20"/>
          <w:szCs w:val="20"/>
          <w:lang w:val="es-CR"/>
        </w:rPr>
        <w:t xml:space="preserve">esgrimidas en la Resolución de Presidenta de 3 de marzo de 2021 en virtud de la cual se declaraba, entre otros, la </w:t>
      </w:r>
      <w:r>
        <w:rPr>
          <w:sz w:val="20"/>
          <w:szCs w:val="20"/>
          <w:lang w:val="es-CR"/>
        </w:rPr>
        <w:t xml:space="preserve">inadmisión de ciertos peritajes propuestos por el Estado, </w:t>
      </w:r>
      <w:r w:rsidR="006D6E26">
        <w:rPr>
          <w:sz w:val="20"/>
          <w:szCs w:val="20"/>
          <w:lang w:val="es-CR"/>
        </w:rPr>
        <w:t xml:space="preserve">(ii) </w:t>
      </w:r>
      <w:r>
        <w:rPr>
          <w:sz w:val="20"/>
          <w:szCs w:val="20"/>
          <w:lang w:val="es-CR"/>
        </w:rPr>
        <w:t xml:space="preserve">recogerá posteriormente los alegatos presentados por el Estado, los representantes y la Comisión, para posteriormente </w:t>
      </w:r>
      <w:r w:rsidR="006D6E26">
        <w:rPr>
          <w:sz w:val="20"/>
          <w:szCs w:val="20"/>
          <w:lang w:val="es-CR"/>
        </w:rPr>
        <w:t xml:space="preserve">(iii) </w:t>
      </w:r>
      <w:r>
        <w:rPr>
          <w:sz w:val="20"/>
          <w:szCs w:val="20"/>
          <w:lang w:val="es-CR"/>
        </w:rPr>
        <w:t>resolver sobre las cuestiones planteadas.</w:t>
      </w:r>
    </w:p>
    <w:p w14:paraId="087D94CD" w14:textId="3734F4B5" w:rsidR="003B4CB7" w:rsidRPr="005F6EA9" w:rsidRDefault="003B4CB7" w:rsidP="006D6E26">
      <w:pPr>
        <w:pStyle w:val="Prrafodelista"/>
        <w:numPr>
          <w:ilvl w:val="0"/>
          <w:numId w:val="9"/>
        </w:numPr>
        <w:spacing w:before="120" w:after="120"/>
        <w:ind w:left="0" w:right="139" w:firstLine="0"/>
        <w:rPr>
          <w:sz w:val="20"/>
          <w:szCs w:val="20"/>
          <w:lang w:val="es-CR"/>
        </w:rPr>
      </w:pPr>
      <w:r w:rsidRPr="005F6EA9">
        <w:rPr>
          <w:sz w:val="20"/>
          <w:szCs w:val="20"/>
          <w:lang w:val="es-CR"/>
        </w:rPr>
        <w:t xml:space="preserve">En virtud de la Resolución de la Presidenta de 3 de Marzo de 2021 se acordó inadmitir el peritaje conjunto de los señores Alejandro Sánchez González, Erika Bardales Lazando y Francisco Javier </w:t>
      </w:r>
      <w:proofErr w:type="spellStart"/>
      <w:r w:rsidRPr="005F6EA9">
        <w:rPr>
          <w:sz w:val="20"/>
          <w:szCs w:val="20"/>
          <w:lang w:val="es-CR"/>
        </w:rPr>
        <w:t>Dondé</w:t>
      </w:r>
      <w:proofErr w:type="spellEnd"/>
      <w:r w:rsidRPr="005F6EA9">
        <w:rPr>
          <w:sz w:val="20"/>
          <w:szCs w:val="20"/>
          <w:lang w:val="es-CR"/>
        </w:rPr>
        <w:t xml:space="preserve"> Matute, </w:t>
      </w:r>
      <w:r w:rsidR="006D6E26">
        <w:rPr>
          <w:sz w:val="20"/>
          <w:szCs w:val="20"/>
          <w:lang w:val="es-CR"/>
        </w:rPr>
        <w:t xml:space="preserve">propuesto por el Estado, </w:t>
      </w:r>
      <w:r w:rsidR="00D82EF7" w:rsidRPr="005F6EA9">
        <w:rPr>
          <w:sz w:val="20"/>
          <w:szCs w:val="20"/>
          <w:lang w:val="es-CR"/>
        </w:rPr>
        <w:t>toda vez que</w:t>
      </w:r>
      <w:r w:rsidRPr="005F6EA9">
        <w:rPr>
          <w:sz w:val="20"/>
          <w:szCs w:val="20"/>
          <w:lang w:val="es-CR"/>
        </w:rPr>
        <w:t xml:space="preserve"> </w:t>
      </w:r>
      <w:r w:rsidR="006D6E26">
        <w:rPr>
          <w:sz w:val="20"/>
          <w:szCs w:val="20"/>
          <w:lang w:val="es-CR"/>
        </w:rPr>
        <w:t xml:space="preserve">este </w:t>
      </w:r>
      <w:r w:rsidRPr="005F6EA9">
        <w:rPr>
          <w:sz w:val="20"/>
          <w:szCs w:val="20"/>
          <w:lang w:val="es-CR"/>
        </w:rPr>
        <w:t>no identificó en el momento procesal oportuno a las personas que rendirían dicho peritaje, sino que dicha identificación se produjo mediante su escrito de listas definitivas</w:t>
      </w:r>
      <w:r w:rsidR="00D82EF7" w:rsidRPr="005F6EA9">
        <w:rPr>
          <w:sz w:val="20"/>
          <w:szCs w:val="20"/>
          <w:lang w:val="es-CR"/>
        </w:rPr>
        <w:t xml:space="preserve"> y, por tanto, se realizó de manera extemporánea</w:t>
      </w:r>
      <w:r w:rsidRPr="005F6EA9">
        <w:rPr>
          <w:rStyle w:val="Refdenotaalpie"/>
          <w:sz w:val="20"/>
          <w:szCs w:val="20"/>
          <w:lang w:val="es-CR"/>
        </w:rPr>
        <w:footnoteReference w:id="7"/>
      </w:r>
      <w:r w:rsidRPr="005F6EA9">
        <w:rPr>
          <w:sz w:val="20"/>
          <w:szCs w:val="20"/>
          <w:lang w:val="es-CR"/>
        </w:rPr>
        <w:t>.</w:t>
      </w:r>
      <w:r w:rsidR="00910B79">
        <w:rPr>
          <w:sz w:val="20"/>
          <w:szCs w:val="20"/>
          <w:lang w:val="es-CR"/>
        </w:rPr>
        <w:t xml:space="preserve"> Asimismo, </w:t>
      </w:r>
      <w:r w:rsidR="00910B79" w:rsidRPr="005F6EA9">
        <w:rPr>
          <w:sz w:val="20"/>
          <w:szCs w:val="20"/>
          <w:lang w:val="es-CR"/>
        </w:rPr>
        <w:t>se acordó inadmitir la adición de la perita Diana Paola Granados Madrigal al peritaje de Carolina Espinosa Luna, por cuanto dicha perita fue añadida junto con el escrito de listas definitivas presentado por el Estado</w:t>
      </w:r>
      <w:r w:rsidR="006D6E26">
        <w:rPr>
          <w:sz w:val="20"/>
          <w:szCs w:val="20"/>
          <w:lang w:val="es-CR"/>
        </w:rPr>
        <w:t xml:space="preserve"> y, por ende, también resultaba extemporáne</w:t>
      </w:r>
      <w:r w:rsidR="000B5E2E">
        <w:rPr>
          <w:sz w:val="20"/>
          <w:szCs w:val="20"/>
          <w:lang w:val="es-CR"/>
        </w:rPr>
        <w:t>a</w:t>
      </w:r>
      <w:r w:rsidR="006D6E26">
        <w:rPr>
          <w:sz w:val="20"/>
          <w:szCs w:val="20"/>
          <w:lang w:val="es-CR"/>
        </w:rPr>
        <w:t>.</w:t>
      </w:r>
    </w:p>
    <w:p w14:paraId="09C33A4F" w14:textId="253D2D0D" w:rsidR="00246902" w:rsidRPr="005F6EA9" w:rsidRDefault="00246902" w:rsidP="006D6E26">
      <w:pPr>
        <w:pStyle w:val="Prrafodelista"/>
        <w:numPr>
          <w:ilvl w:val="0"/>
          <w:numId w:val="9"/>
        </w:numPr>
        <w:spacing w:before="120" w:after="120"/>
        <w:ind w:left="0" w:right="139" w:firstLine="0"/>
        <w:rPr>
          <w:sz w:val="20"/>
          <w:szCs w:val="20"/>
          <w:lang w:val="es-CR"/>
        </w:rPr>
      </w:pPr>
      <w:r w:rsidRPr="005F6EA9">
        <w:rPr>
          <w:sz w:val="20"/>
          <w:szCs w:val="20"/>
          <w:lang w:val="es-CR"/>
        </w:rPr>
        <w:t xml:space="preserve">El </w:t>
      </w:r>
      <w:r w:rsidRPr="005F6EA9">
        <w:rPr>
          <w:b/>
          <w:i/>
          <w:sz w:val="20"/>
          <w:szCs w:val="20"/>
          <w:lang w:val="es-CR"/>
        </w:rPr>
        <w:t>Estado</w:t>
      </w:r>
      <w:r w:rsidRPr="005F6EA9">
        <w:rPr>
          <w:sz w:val="20"/>
          <w:szCs w:val="20"/>
          <w:lang w:val="es-CR"/>
        </w:rPr>
        <w:t xml:space="preserve"> se opuso a la inadmisión </w:t>
      </w:r>
      <w:r w:rsidR="00D82EF7" w:rsidRPr="005F6EA9">
        <w:rPr>
          <w:sz w:val="20"/>
          <w:szCs w:val="20"/>
          <w:lang w:val="es-CR"/>
        </w:rPr>
        <w:t xml:space="preserve">de </w:t>
      </w:r>
      <w:r w:rsidR="00910B79">
        <w:rPr>
          <w:sz w:val="20"/>
          <w:szCs w:val="20"/>
          <w:lang w:val="es-CR"/>
        </w:rPr>
        <w:t>dichos peritajes</w:t>
      </w:r>
      <w:r w:rsidR="006D6E26">
        <w:rPr>
          <w:sz w:val="20"/>
          <w:szCs w:val="20"/>
          <w:lang w:val="es-CR"/>
        </w:rPr>
        <w:t xml:space="preserve"> acordada en la citada Resolución</w:t>
      </w:r>
      <w:r w:rsidR="00D82EF7" w:rsidRPr="005F6EA9">
        <w:rPr>
          <w:sz w:val="20"/>
          <w:szCs w:val="20"/>
          <w:lang w:val="es-CR"/>
        </w:rPr>
        <w:t xml:space="preserve">. </w:t>
      </w:r>
      <w:r w:rsidR="00910B79">
        <w:rPr>
          <w:sz w:val="20"/>
          <w:szCs w:val="20"/>
          <w:lang w:val="es-CR"/>
        </w:rPr>
        <w:t xml:space="preserve">Por un lado, </w:t>
      </w:r>
      <w:r w:rsidR="00214D87">
        <w:rPr>
          <w:sz w:val="20"/>
          <w:szCs w:val="20"/>
          <w:lang w:val="es-CR"/>
        </w:rPr>
        <w:t xml:space="preserve">en relación a la modificación de la redacción del objeto del peritaje en “materia de derecho penal mexicano” </w:t>
      </w:r>
      <w:r w:rsidR="00F927C0">
        <w:rPr>
          <w:sz w:val="20"/>
          <w:szCs w:val="20"/>
          <w:lang w:val="es-CR"/>
        </w:rPr>
        <w:t xml:space="preserve">a realizar por </w:t>
      </w:r>
      <w:r w:rsidR="00F927C0" w:rsidRPr="005F6EA9">
        <w:rPr>
          <w:sz w:val="20"/>
          <w:szCs w:val="20"/>
          <w:lang w:val="es-CR"/>
        </w:rPr>
        <w:t xml:space="preserve">Alejandro Sánchez González, Erika Bardales Lazando y Francisco Javier </w:t>
      </w:r>
      <w:proofErr w:type="spellStart"/>
      <w:r w:rsidR="00F927C0" w:rsidRPr="005F6EA9">
        <w:rPr>
          <w:sz w:val="20"/>
          <w:szCs w:val="20"/>
          <w:lang w:val="es-CR"/>
        </w:rPr>
        <w:t>Dondé</w:t>
      </w:r>
      <w:proofErr w:type="spellEnd"/>
      <w:r w:rsidR="00F927C0" w:rsidRPr="005F6EA9">
        <w:rPr>
          <w:sz w:val="20"/>
          <w:szCs w:val="20"/>
          <w:lang w:val="es-CR"/>
        </w:rPr>
        <w:t xml:space="preserve"> Matute</w:t>
      </w:r>
      <w:r w:rsidR="00F927C0">
        <w:rPr>
          <w:sz w:val="20"/>
          <w:szCs w:val="20"/>
          <w:lang w:val="es-CR"/>
        </w:rPr>
        <w:t xml:space="preserve">, </w:t>
      </w:r>
      <w:r w:rsidR="00910B79">
        <w:rPr>
          <w:sz w:val="20"/>
          <w:szCs w:val="20"/>
          <w:lang w:val="es-CR"/>
        </w:rPr>
        <w:t>a</w:t>
      </w:r>
      <w:r w:rsidR="00D82EF7" w:rsidRPr="005F6EA9">
        <w:rPr>
          <w:sz w:val="20"/>
          <w:szCs w:val="20"/>
          <w:lang w:val="es-CR"/>
        </w:rPr>
        <w:t xml:space="preserve">legó que </w:t>
      </w:r>
      <w:r w:rsidRPr="005F6EA9">
        <w:rPr>
          <w:sz w:val="20"/>
          <w:szCs w:val="20"/>
          <w:lang w:val="es-CR"/>
        </w:rPr>
        <w:t xml:space="preserve">en las listas definitivas se limitó </w:t>
      </w:r>
      <w:r w:rsidR="006D6E26">
        <w:rPr>
          <w:sz w:val="20"/>
          <w:szCs w:val="20"/>
          <w:lang w:val="es-CR"/>
        </w:rPr>
        <w:t xml:space="preserve">únicamente </w:t>
      </w:r>
      <w:r w:rsidRPr="005F6EA9">
        <w:rPr>
          <w:sz w:val="20"/>
          <w:szCs w:val="20"/>
          <w:lang w:val="es-CR"/>
        </w:rPr>
        <w:t xml:space="preserve">a ratificar </w:t>
      </w:r>
      <w:r w:rsidR="00214D87">
        <w:rPr>
          <w:sz w:val="20"/>
          <w:szCs w:val="20"/>
          <w:lang w:val="es-CR"/>
        </w:rPr>
        <w:t xml:space="preserve">dicho peritaje, propuesto en la Contestación, </w:t>
      </w:r>
      <w:r w:rsidRPr="005F6EA9">
        <w:rPr>
          <w:sz w:val="20"/>
          <w:szCs w:val="20"/>
          <w:lang w:val="es-CR"/>
        </w:rPr>
        <w:t xml:space="preserve">“confirmó los nombres de las personas a cargo del mismo y expuso la modalidad en la que debería ser desahogado”. Añadió que el cambio realizado entre el escrito de Contestación y el escrito de listas definitivas no modificó el objeto del peritaje “de manera sustancial”. </w:t>
      </w:r>
      <w:r w:rsidR="006D6E26">
        <w:rPr>
          <w:sz w:val="20"/>
          <w:szCs w:val="20"/>
          <w:lang w:val="es-CR"/>
        </w:rPr>
        <w:t>No</w:t>
      </w:r>
      <w:r w:rsidRPr="005F6EA9">
        <w:rPr>
          <w:sz w:val="20"/>
          <w:szCs w:val="20"/>
          <w:lang w:val="es-CR"/>
        </w:rPr>
        <w:t xml:space="preserve"> </w:t>
      </w:r>
      <w:proofErr w:type="gramStart"/>
      <w:r w:rsidRPr="005F6EA9">
        <w:rPr>
          <w:sz w:val="20"/>
          <w:szCs w:val="20"/>
          <w:lang w:val="es-CR"/>
        </w:rPr>
        <w:t>obstante</w:t>
      </w:r>
      <w:proofErr w:type="gramEnd"/>
      <w:r w:rsidRPr="005F6EA9">
        <w:rPr>
          <w:sz w:val="20"/>
          <w:szCs w:val="20"/>
          <w:lang w:val="es-CR"/>
        </w:rPr>
        <w:t xml:space="preserve"> lo anterior, </w:t>
      </w:r>
      <w:r w:rsidR="006D6E26">
        <w:rPr>
          <w:sz w:val="20"/>
          <w:szCs w:val="20"/>
          <w:lang w:val="es-CR"/>
        </w:rPr>
        <w:t xml:space="preserve">precisó que </w:t>
      </w:r>
      <w:r w:rsidRPr="005F6EA9">
        <w:rPr>
          <w:sz w:val="20"/>
          <w:szCs w:val="20"/>
          <w:lang w:val="es-CR"/>
        </w:rPr>
        <w:t xml:space="preserve">“no tendría inconveniente” en apegarse al objeto indicado inicialmente en su escrito de Contestación. </w:t>
      </w:r>
      <w:r w:rsidR="00D82EF7" w:rsidRPr="005F6EA9">
        <w:rPr>
          <w:sz w:val="20"/>
          <w:szCs w:val="20"/>
          <w:lang w:val="es-CR"/>
        </w:rPr>
        <w:t xml:space="preserve">Con respecto a la afirmación </w:t>
      </w:r>
      <w:r w:rsidR="006D6E26">
        <w:rPr>
          <w:sz w:val="20"/>
          <w:szCs w:val="20"/>
          <w:lang w:val="es-CR"/>
        </w:rPr>
        <w:t xml:space="preserve">contenida en la Resolución recurrida </w:t>
      </w:r>
      <w:r w:rsidR="00D82EF7" w:rsidRPr="005F6EA9">
        <w:rPr>
          <w:sz w:val="20"/>
          <w:szCs w:val="20"/>
          <w:lang w:val="es-CR"/>
        </w:rPr>
        <w:t xml:space="preserve">de que </w:t>
      </w:r>
      <w:r w:rsidR="00910B79">
        <w:rPr>
          <w:sz w:val="20"/>
          <w:szCs w:val="20"/>
          <w:lang w:val="es-CR"/>
        </w:rPr>
        <w:t>los referidos peritajes fueron presentados</w:t>
      </w:r>
      <w:r w:rsidR="00D82EF7" w:rsidRPr="005F6EA9">
        <w:rPr>
          <w:sz w:val="20"/>
          <w:szCs w:val="20"/>
          <w:lang w:val="es-CR"/>
        </w:rPr>
        <w:t xml:space="preserve"> de manera extemporánea, </w:t>
      </w:r>
      <w:r w:rsidR="00214D87">
        <w:rPr>
          <w:sz w:val="20"/>
          <w:szCs w:val="20"/>
          <w:lang w:val="es-CR"/>
        </w:rPr>
        <w:t>especificó</w:t>
      </w:r>
      <w:r w:rsidR="00D82EF7" w:rsidRPr="005F6EA9">
        <w:rPr>
          <w:sz w:val="20"/>
          <w:szCs w:val="20"/>
          <w:lang w:val="es-CR"/>
        </w:rPr>
        <w:t xml:space="preserve"> que “</w:t>
      </w:r>
      <w:r w:rsidR="00D82EF7" w:rsidRPr="005F6EA9">
        <w:rPr>
          <w:rFonts w:eastAsiaTheme="minorHAnsi" w:cs="Times New Roman"/>
          <w:sz w:val="20"/>
          <w:szCs w:val="20"/>
          <w:lang w:val="es-CR"/>
        </w:rPr>
        <w:t xml:space="preserve">tanto el Estado </w:t>
      </w:r>
      <w:r w:rsidR="00D82EF7" w:rsidRPr="005F6EA9">
        <w:rPr>
          <w:sz w:val="20"/>
          <w:szCs w:val="20"/>
          <w:lang w:val="es-CR"/>
        </w:rPr>
        <w:t xml:space="preserve">como la Comisión y la Representación de las presuntas víctimas </w:t>
      </w:r>
      <w:proofErr w:type="spellStart"/>
      <w:r w:rsidR="00D82EF7" w:rsidRPr="005F6EA9">
        <w:rPr>
          <w:sz w:val="20"/>
          <w:szCs w:val="20"/>
          <w:lang w:val="es-CR"/>
        </w:rPr>
        <w:t>tuvi</w:t>
      </w:r>
      <w:proofErr w:type="spellEnd"/>
      <w:r w:rsidR="00214D87">
        <w:rPr>
          <w:sz w:val="20"/>
          <w:szCs w:val="20"/>
          <w:lang w:val="es-CR"/>
        </w:rPr>
        <w:t>[</w:t>
      </w:r>
      <w:proofErr w:type="spellStart"/>
      <w:r w:rsidR="00214D87">
        <w:rPr>
          <w:sz w:val="20"/>
          <w:szCs w:val="20"/>
          <w:lang w:val="es-CR"/>
        </w:rPr>
        <w:t>eron</w:t>
      </w:r>
      <w:proofErr w:type="spellEnd"/>
      <w:r w:rsidR="00214D87">
        <w:rPr>
          <w:sz w:val="20"/>
          <w:szCs w:val="20"/>
          <w:lang w:val="es-CR"/>
        </w:rPr>
        <w:t>]</w:t>
      </w:r>
      <w:r w:rsidR="00D82EF7" w:rsidRPr="005F6EA9">
        <w:rPr>
          <w:sz w:val="20"/>
          <w:szCs w:val="20"/>
          <w:lang w:val="es-CR"/>
        </w:rPr>
        <w:t xml:space="preserve"> conocimiento de la identidad de los peritos y de los testigos en el mismo momento procesal, al ser transmitidas las listas definitivas de ambas partes con las respectivas hojas de vida”.</w:t>
      </w:r>
      <w:r w:rsidR="00FF5DE8" w:rsidRPr="005F6EA9">
        <w:rPr>
          <w:sz w:val="20"/>
          <w:szCs w:val="20"/>
          <w:lang w:val="es-CR"/>
        </w:rPr>
        <w:t xml:space="preserve"> </w:t>
      </w:r>
      <w:r w:rsidR="00214D87">
        <w:rPr>
          <w:sz w:val="20"/>
          <w:szCs w:val="20"/>
          <w:lang w:val="es-CR"/>
        </w:rPr>
        <w:t>Indicó que la</w:t>
      </w:r>
      <w:r w:rsidR="00FF5DE8" w:rsidRPr="005F6EA9">
        <w:rPr>
          <w:sz w:val="20"/>
          <w:szCs w:val="20"/>
          <w:lang w:val="es-CR"/>
        </w:rPr>
        <w:t xml:space="preserve"> “intención del Estado de realizar dicha prueba fue manifestada en su escrito de contestación al ESAP, y la individualización de los expertos declarantes se llevó a cabo en forma oportuna”</w:t>
      </w:r>
      <w:r w:rsidR="00214D87">
        <w:rPr>
          <w:sz w:val="20"/>
          <w:szCs w:val="20"/>
          <w:lang w:val="es-CR"/>
        </w:rPr>
        <w:t>, esto es, al momento de presentar las listas definitivas</w:t>
      </w:r>
      <w:r w:rsidR="00FF5DE8" w:rsidRPr="005F6EA9">
        <w:rPr>
          <w:sz w:val="20"/>
          <w:szCs w:val="20"/>
          <w:lang w:val="es-CR"/>
        </w:rPr>
        <w:t>.</w:t>
      </w:r>
    </w:p>
    <w:p w14:paraId="05226F53" w14:textId="525DF48F" w:rsidR="00FF5DE8" w:rsidRPr="00910B79" w:rsidRDefault="00FF5DE8" w:rsidP="006D6E26">
      <w:pPr>
        <w:pStyle w:val="Prrafodelista"/>
        <w:numPr>
          <w:ilvl w:val="0"/>
          <w:numId w:val="9"/>
        </w:numPr>
        <w:spacing w:before="120" w:after="120"/>
        <w:ind w:left="0" w:right="139" w:firstLine="0"/>
        <w:rPr>
          <w:sz w:val="20"/>
          <w:szCs w:val="20"/>
          <w:lang w:val="es-CR"/>
        </w:rPr>
      </w:pPr>
      <w:r w:rsidRPr="005F6EA9">
        <w:rPr>
          <w:sz w:val="20"/>
          <w:szCs w:val="20"/>
          <w:lang w:val="es-CR"/>
        </w:rPr>
        <w:t xml:space="preserve">Los </w:t>
      </w:r>
      <w:r w:rsidRPr="005F6EA9">
        <w:rPr>
          <w:b/>
          <w:i/>
          <w:sz w:val="20"/>
          <w:szCs w:val="20"/>
          <w:lang w:val="es-CR"/>
        </w:rPr>
        <w:t>representantes</w:t>
      </w:r>
      <w:r w:rsidRPr="005F6EA9">
        <w:rPr>
          <w:sz w:val="20"/>
          <w:szCs w:val="20"/>
          <w:lang w:val="es-CR"/>
        </w:rPr>
        <w:t xml:space="preserve"> indicaron que </w:t>
      </w:r>
      <w:r w:rsidR="000C1EFC" w:rsidRPr="005F6EA9">
        <w:rPr>
          <w:sz w:val="20"/>
          <w:szCs w:val="20"/>
          <w:lang w:val="es-CR"/>
        </w:rPr>
        <w:t xml:space="preserve">lo expuesto por el Estado “únicamente confirma el incumplimiento de los requisitos reglamentarios” para que </w:t>
      </w:r>
      <w:r w:rsidR="00214D87">
        <w:rPr>
          <w:sz w:val="20"/>
          <w:szCs w:val="20"/>
          <w:lang w:val="es-CR"/>
        </w:rPr>
        <w:t>los peritajes fueran</w:t>
      </w:r>
      <w:r w:rsidR="000C1EFC" w:rsidRPr="005F6EA9">
        <w:rPr>
          <w:sz w:val="20"/>
          <w:szCs w:val="20"/>
          <w:lang w:val="es-CR"/>
        </w:rPr>
        <w:t xml:space="preserve"> declarado</w:t>
      </w:r>
      <w:r w:rsidR="000B5E2E">
        <w:rPr>
          <w:sz w:val="20"/>
          <w:szCs w:val="20"/>
          <w:lang w:val="es-CR"/>
        </w:rPr>
        <w:t>s</w:t>
      </w:r>
      <w:r w:rsidR="000C1EFC" w:rsidRPr="005F6EA9">
        <w:rPr>
          <w:sz w:val="20"/>
          <w:szCs w:val="20"/>
          <w:lang w:val="es-CR"/>
        </w:rPr>
        <w:t xml:space="preserve"> admisible</w:t>
      </w:r>
      <w:r w:rsidR="00214D87">
        <w:rPr>
          <w:sz w:val="20"/>
          <w:szCs w:val="20"/>
          <w:lang w:val="es-CR"/>
        </w:rPr>
        <w:t>s</w:t>
      </w:r>
      <w:r w:rsidR="000C1EFC" w:rsidRPr="005F6EA9">
        <w:rPr>
          <w:sz w:val="20"/>
          <w:szCs w:val="20"/>
          <w:lang w:val="es-CR"/>
        </w:rPr>
        <w:t>, por cuanto el Estado no cumplió con lo estipulado en el artículo 41</w:t>
      </w:r>
      <w:r w:rsidR="00214D87">
        <w:rPr>
          <w:sz w:val="20"/>
          <w:szCs w:val="20"/>
          <w:lang w:val="es-CR"/>
        </w:rPr>
        <w:t xml:space="preserve">.1.c del Reglamento de la Corte. Precisaron que, de conformidad con el citado artículo, </w:t>
      </w:r>
      <w:r w:rsidR="000C1EFC" w:rsidRPr="005F6EA9">
        <w:rPr>
          <w:sz w:val="20"/>
          <w:szCs w:val="20"/>
          <w:lang w:val="es-CR"/>
        </w:rPr>
        <w:t xml:space="preserve">el momento procesal oportuno para identificar y remitir la hoja de vida de los peritos </w:t>
      </w:r>
      <w:r w:rsidR="00214D87">
        <w:rPr>
          <w:sz w:val="20"/>
          <w:szCs w:val="20"/>
          <w:lang w:val="es-CR"/>
        </w:rPr>
        <w:t>era</w:t>
      </w:r>
      <w:r w:rsidR="000C1EFC" w:rsidRPr="005F6EA9">
        <w:rPr>
          <w:sz w:val="20"/>
          <w:szCs w:val="20"/>
          <w:lang w:val="es-CR"/>
        </w:rPr>
        <w:t xml:space="preserve"> al momento de presentar su escrito de Contestación. Indicaron que ha sido criterio constante de la Corte que la falta de identificación de los declarantes en el momento procesal oportuno </w:t>
      </w:r>
      <w:r w:rsidR="000C1EFC" w:rsidRPr="005F6EA9">
        <w:rPr>
          <w:rFonts w:eastAsiaTheme="minorHAnsi" w:cs="Arial"/>
          <w:sz w:val="20"/>
          <w:szCs w:val="20"/>
          <w:lang w:val="es-CR"/>
        </w:rPr>
        <w:t>conlleva un incumplimiento a los requisitos reglamentarios de tiempo y forma previstos en el Reglamento y</w:t>
      </w:r>
      <w:r w:rsidR="00214D87">
        <w:rPr>
          <w:rFonts w:eastAsiaTheme="minorHAnsi" w:cs="Arial"/>
          <w:sz w:val="20"/>
          <w:szCs w:val="20"/>
          <w:lang w:val="es-CR"/>
        </w:rPr>
        <w:t>,</w:t>
      </w:r>
      <w:r w:rsidR="000C1EFC" w:rsidRPr="005F6EA9">
        <w:rPr>
          <w:rFonts w:eastAsiaTheme="minorHAnsi" w:cs="Arial"/>
          <w:sz w:val="20"/>
          <w:szCs w:val="20"/>
          <w:lang w:val="es-CR"/>
        </w:rPr>
        <w:t xml:space="preserve"> por lo tanto</w:t>
      </w:r>
      <w:r w:rsidR="00214D87">
        <w:rPr>
          <w:rFonts w:eastAsiaTheme="minorHAnsi" w:cs="Arial"/>
          <w:sz w:val="20"/>
          <w:szCs w:val="20"/>
          <w:lang w:val="es-CR"/>
        </w:rPr>
        <w:t>,</w:t>
      </w:r>
      <w:r w:rsidR="000C1EFC" w:rsidRPr="005F6EA9">
        <w:rPr>
          <w:rFonts w:eastAsiaTheme="minorHAnsi" w:cs="Arial"/>
          <w:sz w:val="20"/>
          <w:szCs w:val="20"/>
          <w:lang w:val="es-CR"/>
        </w:rPr>
        <w:t xml:space="preserve"> resultan inadmisibles. Añadieron además que, contrario a lo indicado por el Estado, las partes “no </w:t>
      </w:r>
      <w:proofErr w:type="spellStart"/>
      <w:r w:rsidR="000C1EFC" w:rsidRPr="005F6EA9">
        <w:rPr>
          <w:rFonts w:eastAsiaTheme="minorHAnsi" w:cs="Arial"/>
          <w:sz w:val="20"/>
          <w:szCs w:val="20"/>
          <w:lang w:val="es-CR"/>
        </w:rPr>
        <w:t>tuv</w:t>
      </w:r>
      <w:proofErr w:type="spellEnd"/>
      <w:r w:rsidR="000C1EFC" w:rsidRPr="005F6EA9">
        <w:rPr>
          <w:rFonts w:eastAsiaTheme="minorHAnsi" w:cs="Arial"/>
          <w:sz w:val="20"/>
          <w:szCs w:val="20"/>
          <w:lang w:val="es-CR"/>
        </w:rPr>
        <w:t>[</w:t>
      </w:r>
      <w:proofErr w:type="spellStart"/>
      <w:r w:rsidR="000C1EFC" w:rsidRPr="005F6EA9">
        <w:rPr>
          <w:rFonts w:eastAsiaTheme="minorHAnsi" w:cs="Arial"/>
          <w:sz w:val="20"/>
          <w:szCs w:val="20"/>
          <w:lang w:val="es-CR"/>
        </w:rPr>
        <w:t>ieron</w:t>
      </w:r>
      <w:proofErr w:type="spellEnd"/>
      <w:r w:rsidR="000C1EFC" w:rsidRPr="005F6EA9">
        <w:rPr>
          <w:rFonts w:eastAsiaTheme="minorHAnsi" w:cs="Arial"/>
          <w:sz w:val="20"/>
          <w:szCs w:val="20"/>
          <w:lang w:val="es-CR"/>
        </w:rPr>
        <w:t xml:space="preserve">] conocimiento del ofrecimiento y la identidad de los peritos propuestos en el mismo momento procesal, toda vez que el Estado tuvo conocimiento de la identidad de </w:t>
      </w:r>
      <w:r w:rsidR="000C1EFC" w:rsidRPr="005F6EA9">
        <w:rPr>
          <w:sz w:val="20"/>
          <w:szCs w:val="20"/>
          <w:lang w:val="es-CR"/>
        </w:rPr>
        <w:t>los</w:t>
      </w:r>
      <w:r w:rsidR="000C1EFC" w:rsidRPr="005F6EA9">
        <w:rPr>
          <w:rFonts w:eastAsiaTheme="minorHAnsi" w:cs="Arial"/>
          <w:sz w:val="20"/>
          <w:szCs w:val="20"/>
          <w:lang w:val="es-CR"/>
        </w:rPr>
        <w:t xml:space="preserve"> declarantes ofrecidos por estos al momento en el que el Tribunal le dio traslado del escrito de solicitudes, argumentos y pruebas, mientas que los representantes solo </w:t>
      </w:r>
      <w:proofErr w:type="spellStart"/>
      <w:r w:rsidR="000C1EFC" w:rsidRPr="005F6EA9">
        <w:rPr>
          <w:rFonts w:eastAsiaTheme="minorHAnsi" w:cs="Arial"/>
          <w:sz w:val="20"/>
          <w:szCs w:val="20"/>
          <w:lang w:val="es-CR"/>
        </w:rPr>
        <w:t>tuvi</w:t>
      </w:r>
      <w:proofErr w:type="spellEnd"/>
      <w:r w:rsidR="000C1EFC" w:rsidRPr="005F6EA9">
        <w:rPr>
          <w:rFonts w:eastAsiaTheme="minorHAnsi" w:cs="Arial"/>
          <w:sz w:val="20"/>
          <w:szCs w:val="20"/>
          <w:lang w:val="es-CR"/>
        </w:rPr>
        <w:t>[</w:t>
      </w:r>
      <w:proofErr w:type="spellStart"/>
      <w:r w:rsidR="000C1EFC" w:rsidRPr="005F6EA9">
        <w:rPr>
          <w:rFonts w:eastAsiaTheme="minorHAnsi" w:cs="Arial"/>
          <w:sz w:val="20"/>
          <w:szCs w:val="20"/>
          <w:lang w:val="es-CR"/>
        </w:rPr>
        <w:t>eron</w:t>
      </w:r>
      <w:proofErr w:type="spellEnd"/>
      <w:r w:rsidR="000C1EFC" w:rsidRPr="005F6EA9">
        <w:rPr>
          <w:rFonts w:eastAsiaTheme="minorHAnsi" w:cs="Arial"/>
          <w:sz w:val="20"/>
          <w:szCs w:val="20"/>
          <w:lang w:val="es-CR"/>
        </w:rPr>
        <w:t>] conocimiento de la propuesta, identidad y hojas de vida de los peritos ofrecidos por el Estado, al momento en que nos fue trasladada su lista definitiva de declarantes, es decir, el 22 de octubre de 2020</w:t>
      </w:r>
      <w:r w:rsidR="005F6EA9" w:rsidRPr="005F6EA9">
        <w:rPr>
          <w:rFonts w:eastAsiaTheme="minorHAnsi" w:cs="Arial"/>
          <w:sz w:val="20"/>
          <w:szCs w:val="20"/>
          <w:lang w:val="es-CR"/>
        </w:rPr>
        <w:t xml:space="preserve">”. </w:t>
      </w:r>
      <w:r w:rsidR="005F6EA9" w:rsidRPr="005F6EA9">
        <w:rPr>
          <w:sz w:val="20"/>
          <w:szCs w:val="20"/>
          <w:lang w:val="es-CR"/>
        </w:rPr>
        <w:t>A la vista de lo anterior, los representantes concluyeron que</w:t>
      </w:r>
      <w:r w:rsidR="005F6EA9" w:rsidRPr="005F6EA9">
        <w:rPr>
          <w:rFonts w:eastAsiaTheme="minorHAnsi" w:cs="Arial"/>
          <w:sz w:val="20"/>
          <w:szCs w:val="20"/>
          <w:lang w:val="es-CR"/>
        </w:rPr>
        <w:t xml:space="preserve"> la decisión de no admitir tales peritajes </w:t>
      </w:r>
      <w:r w:rsidR="005F6EA9" w:rsidRPr="005F6EA9">
        <w:rPr>
          <w:rFonts w:eastAsiaTheme="minorHAnsi" w:cs="Arial"/>
          <w:sz w:val="20"/>
          <w:szCs w:val="20"/>
          <w:lang w:val="es-CR"/>
        </w:rPr>
        <w:lastRenderedPageBreak/>
        <w:t>“resulta</w:t>
      </w:r>
      <w:r w:rsidR="00214D87">
        <w:rPr>
          <w:rFonts w:eastAsiaTheme="minorHAnsi" w:cs="Arial"/>
          <w:sz w:val="20"/>
          <w:szCs w:val="20"/>
          <w:lang w:val="es-CR"/>
        </w:rPr>
        <w:t>[</w:t>
      </w:r>
      <w:proofErr w:type="spellStart"/>
      <w:r w:rsidR="00214D87">
        <w:rPr>
          <w:rFonts w:eastAsiaTheme="minorHAnsi" w:cs="Arial"/>
          <w:sz w:val="20"/>
          <w:szCs w:val="20"/>
          <w:lang w:val="es-CR"/>
        </w:rPr>
        <w:t>ba</w:t>
      </w:r>
      <w:proofErr w:type="spellEnd"/>
      <w:r w:rsidR="00214D87">
        <w:rPr>
          <w:rFonts w:eastAsiaTheme="minorHAnsi" w:cs="Arial"/>
          <w:sz w:val="20"/>
          <w:szCs w:val="20"/>
          <w:lang w:val="es-CR"/>
        </w:rPr>
        <w:t>]</w:t>
      </w:r>
      <w:r w:rsidR="005F6EA9" w:rsidRPr="005F6EA9">
        <w:rPr>
          <w:rFonts w:eastAsiaTheme="minorHAnsi" w:cs="Arial"/>
          <w:sz w:val="20"/>
          <w:szCs w:val="20"/>
          <w:lang w:val="es-CR"/>
        </w:rPr>
        <w:t xml:space="preserve"> indispensable para preservar un adecuado equilibrio procesal”.</w:t>
      </w:r>
    </w:p>
    <w:p w14:paraId="423D117C" w14:textId="07FE876B" w:rsidR="00910B79" w:rsidRPr="00333533" w:rsidRDefault="00910B79" w:rsidP="006D6E26">
      <w:pPr>
        <w:pStyle w:val="Prrafodelista"/>
        <w:numPr>
          <w:ilvl w:val="0"/>
          <w:numId w:val="9"/>
        </w:numPr>
        <w:spacing w:before="120" w:after="120"/>
        <w:ind w:left="0" w:right="139" w:firstLine="0"/>
        <w:rPr>
          <w:rFonts w:eastAsiaTheme="minorHAnsi" w:cs="Cambria"/>
          <w:sz w:val="20"/>
          <w:szCs w:val="20"/>
          <w:lang w:val="es-CR"/>
        </w:rPr>
      </w:pPr>
      <w:r w:rsidRPr="00333533">
        <w:rPr>
          <w:rFonts w:eastAsiaTheme="minorHAnsi" w:cs="Arial"/>
          <w:sz w:val="20"/>
          <w:szCs w:val="20"/>
          <w:lang w:val="es-CR"/>
        </w:rPr>
        <w:t xml:space="preserve">La </w:t>
      </w:r>
      <w:r w:rsidRPr="00333533">
        <w:rPr>
          <w:rFonts w:eastAsiaTheme="minorHAnsi" w:cs="Arial"/>
          <w:b/>
          <w:i/>
          <w:sz w:val="20"/>
          <w:szCs w:val="20"/>
          <w:lang w:val="es-CR"/>
        </w:rPr>
        <w:t>Comisión</w:t>
      </w:r>
      <w:r w:rsidRPr="00333533">
        <w:rPr>
          <w:rFonts w:eastAsiaTheme="minorHAnsi" w:cs="Arial"/>
          <w:sz w:val="20"/>
          <w:szCs w:val="20"/>
          <w:lang w:val="es-CR"/>
        </w:rPr>
        <w:t xml:space="preserve">, por su parte, manifestó </w:t>
      </w:r>
      <w:r w:rsidRPr="00333533">
        <w:rPr>
          <w:rFonts w:eastAsiaTheme="minorHAnsi" w:cs="Cambria"/>
          <w:sz w:val="20"/>
          <w:szCs w:val="20"/>
          <w:lang w:val="es-CR"/>
        </w:rPr>
        <w:t xml:space="preserve">que, tal y como así lo indicó la Presidenta de la Corte, </w:t>
      </w:r>
      <w:r w:rsidR="00214D87">
        <w:rPr>
          <w:rFonts w:eastAsiaTheme="minorHAnsi" w:cs="Cambria"/>
          <w:sz w:val="20"/>
          <w:szCs w:val="20"/>
          <w:lang w:val="es-CR"/>
        </w:rPr>
        <w:t xml:space="preserve">el Estado no identificó ni adjuntó la respectiva hoja de vida </w:t>
      </w:r>
      <w:r w:rsidRPr="00333533">
        <w:rPr>
          <w:rFonts w:eastAsiaTheme="minorHAnsi" w:cs="Cambria"/>
          <w:sz w:val="20"/>
          <w:szCs w:val="20"/>
          <w:lang w:val="es-CR"/>
        </w:rPr>
        <w:t xml:space="preserve">de los referidos declarantes propuestos por el Estado en el momento procesal oportuno conforme lo establece el artículo 41.1.c del Reglamento, esto es, junto con el escrito de </w:t>
      </w:r>
      <w:r w:rsidR="00214D87">
        <w:rPr>
          <w:rFonts w:eastAsiaTheme="minorHAnsi" w:cs="Cambria"/>
          <w:sz w:val="20"/>
          <w:szCs w:val="20"/>
          <w:lang w:val="es-CR"/>
        </w:rPr>
        <w:t>C</w:t>
      </w:r>
      <w:r w:rsidRPr="00333533">
        <w:rPr>
          <w:rFonts w:eastAsiaTheme="minorHAnsi" w:cs="Cambria"/>
          <w:sz w:val="20"/>
          <w:szCs w:val="20"/>
          <w:lang w:val="es-CR"/>
        </w:rPr>
        <w:t xml:space="preserve">ontestación. En consecuencia, concluyó que no observaba razones por las cuales apartarse de lo indicado por la Presidenta </w:t>
      </w:r>
      <w:r w:rsidR="00415EF2" w:rsidRPr="00333533">
        <w:rPr>
          <w:rFonts w:eastAsiaTheme="minorHAnsi" w:cs="Cambria"/>
          <w:sz w:val="20"/>
          <w:szCs w:val="20"/>
          <w:lang w:val="es-CR"/>
        </w:rPr>
        <w:t xml:space="preserve">de la Corte. </w:t>
      </w:r>
      <w:r w:rsidR="00333533" w:rsidRPr="00333533">
        <w:rPr>
          <w:rFonts w:eastAsiaTheme="minorHAnsi" w:cs="Cambria"/>
          <w:sz w:val="20"/>
          <w:szCs w:val="20"/>
          <w:lang w:val="es-CR"/>
        </w:rPr>
        <w:t xml:space="preserve">La Comisión </w:t>
      </w:r>
      <w:r w:rsidR="00333533">
        <w:rPr>
          <w:rFonts w:eastAsiaTheme="minorHAnsi" w:cs="Cambria"/>
          <w:sz w:val="20"/>
          <w:szCs w:val="20"/>
          <w:lang w:val="es-CR"/>
        </w:rPr>
        <w:t xml:space="preserve">destacó </w:t>
      </w:r>
      <w:r w:rsidR="007B1489">
        <w:rPr>
          <w:rFonts w:eastAsiaTheme="minorHAnsi" w:cs="Cambria"/>
          <w:sz w:val="20"/>
          <w:szCs w:val="20"/>
          <w:lang w:val="es-CR"/>
        </w:rPr>
        <w:t>por último</w:t>
      </w:r>
      <w:r w:rsidR="00333533">
        <w:rPr>
          <w:rFonts w:eastAsiaTheme="minorHAnsi" w:cs="Cambria"/>
          <w:sz w:val="20"/>
          <w:szCs w:val="20"/>
          <w:lang w:val="es-CR"/>
        </w:rPr>
        <w:t xml:space="preserve"> que “</w:t>
      </w:r>
      <w:r w:rsidR="00333533" w:rsidRPr="00333533">
        <w:rPr>
          <w:rFonts w:eastAsiaTheme="minorHAnsi" w:cs="Cambria"/>
          <w:sz w:val="20"/>
          <w:szCs w:val="20"/>
          <w:lang w:val="es-CR"/>
        </w:rPr>
        <w:t>el apego a tales oportunidades procesales es relevante para la seguridad e igualdad de las partes en el proceso</w:t>
      </w:r>
      <w:r w:rsidR="00333533">
        <w:rPr>
          <w:rFonts w:eastAsiaTheme="minorHAnsi" w:cs="Cambria"/>
          <w:sz w:val="20"/>
          <w:szCs w:val="20"/>
          <w:lang w:val="es-CR"/>
        </w:rPr>
        <w:t>”</w:t>
      </w:r>
      <w:r w:rsidR="00333533" w:rsidRPr="00333533">
        <w:rPr>
          <w:rFonts w:eastAsiaTheme="minorHAnsi" w:cs="Cambria"/>
          <w:sz w:val="20"/>
          <w:szCs w:val="20"/>
          <w:lang w:val="es-CR"/>
        </w:rPr>
        <w:t>.</w:t>
      </w:r>
    </w:p>
    <w:p w14:paraId="796E8971" w14:textId="0E96626F" w:rsidR="0096476F" w:rsidRDefault="003B4CB7" w:rsidP="006D6E26">
      <w:pPr>
        <w:pStyle w:val="Prrafodelista"/>
        <w:numPr>
          <w:ilvl w:val="0"/>
          <w:numId w:val="9"/>
        </w:numPr>
        <w:spacing w:before="120" w:after="120"/>
        <w:ind w:left="0" w:right="139" w:firstLine="0"/>
        <w:rPr>
          <w:sz w:val="20"/>
          <w:szCs w:val="20"/>
          <w:lang w:val="es-CR"/>
        </w:rPr>
      </w:pPr>
      <w:r w:rsidRPr="00910B79">
        <w:rPr>
          <w:sz w:val="20"/>
          <w:szCs w:val="20"/>
          <w:lang w:val="es-CR"/>
        </w:rPr>
        <w:t xml:space="preserve">El </w:t>
      </w:r>
      <w:r w:rsidRPr="00910B79">
        <w:rPr>
          <w:b/>
          <w:i/>
          <w:sz w:val="20"/>
          <w:szCs w:val="20"/>
          <w:lang w:val="es-CR"/>
        </w:rPr>
        <w:t>Tribunal</w:t>
      </w:r>
      <w:r w:rsidRPr="00910B79">
        <w:rPr>
          <w:sz w:val="20"/>
          <w:szCs w:val="20"/>
          <w:lang w:val="es-CR"/>
        </w:rPr>
        <w:t>, advierte que, tal y como se indicó en la Resolución de la Presidenta de 3 de marzo de 2021,</w:t>
      </w:r>
      <w:r w:rsidR="00910B79" w:rsidRPr="00910B79">
        <w:rPr>
          <w:sz w:val="20"/>
          <w:szCs w:val="20"/>
          <w:lang w:val="es-CR"/>
        </w:rPr>
        <w:t xml:space="preserve"> el peritaje </w:t>
      </w:r>
      <w:r w:rsidR="00F927C0">
        <w:rPr>
          <w:sz w:val="20"/>
          <w:szCs w:val="20"/>
          <w:lang w:val="es-CR"/>
        </w:rPr>
        <w:t xml:space="preserve">conjunto </w:t>
      </w:r>
      <w:r w:rsidR="00910B79" w:rsidRPr="00910B79">
        <w:rPr>
          <w:sz w:val="20"/>
          <w:szCs w:val="20"/>
          <w:lang w:val="es-CR"/>
        </w:rPr>
        <w:t xml:space="preserve">de los señores Alejandro Sánchez González, Erika Bardales Lazando y Francisco Javier </w:t>
      </w:r>
      <w:proofErr w:type="spellStart"/>
      <w:r w:rsidR="00910B79" w:rsidRPr="00910B79">
        <w:rPr>
          <w:sz w:val="20"/>
          <w:szCs w:val="20"/>
          <w:lang w:val="es-CR"/>
        </w:rPr>
        <w:t>Dondé</w:t>
      </w:r>
      <w:proofErr w:type="spellEnd"/>
      <w:r w:rsidR="00910B79" w:rsidRPr="00910B79">
        <w:rPr>
          <w:sz w:val="20"/>
          <w:szCs w:val="20"/>
          <w:lang w:val="es-CR"/>
        </w:rPr>
        <w:t xml:space="preserve"> Matute, así como la adición de la perita Diana Paola Granados Madrigal al peritaje de Carolina Espinosa Luna </w:t>
      </w:r>
      <w:r w:rsidRPr="00910B79">
        <w:rPr>
          <w:sz w:val="20"/>
          <w:szCs w:val="20"/>
          <w:lang w:val="es-CR"/>
        </w:rPr>
        <w:t xml:space="preserve">no </w:t>
      </w:r>
      <w:r w:rsidR="00910B79" w:rsidRPr="00910B79">
        <w:rPr>
          <w:sz w:val="20"/>
          <w:szCs w:val="20"/>
          <w:lang w:val="es-CR"/>
        </w:rPr>
        <w:t>fueron ofrecidos</w:t>
      </w:r>
      <w:r w:rsidRPr="00910B79">
        <w:rPr>
          <w:sz w:val="20"/>
          <w:szCs w:val="20"/>
          <w:lang w:val="es-CR"/>
        </w:rPr>
        <w:t xml:space="preserve"> en el momento procesal oportuno como así lo estipula el artículo 41.1.c del Reglamento</w:t>
      </w:r>
      <w:r w:rsidR="00861AF9">
        <w:rPr>
          <w:rStyle w:val="Refdenotaalpie"/>
          <w:sz w:val="20"/>
          <w:szCs w:val="20"/>
          <w:lang w:val="es-CR"/>
        </w:rPr>
        <w:footnoteReference w:id="8"/>
      </w:r>
      <w:r w:rsidRPr="00910B79">
        <w:rPr>
          <w:sz w:val="20"/>
          <w:szCs w:val="20"/>
          <w:lang w:val="es-CR"/>
        </w:rPr>
        <w:t>, es</w:t>
      </w:r>
      <w:r w:rsidR="00F927C0">
        <w:rPr>
          <w:sz w:val="20"/>
          <w:szCs w:val="20"/>
          <w:lang w:val="es-CR"/>
        </w:rPr>
        <w:t>to es, junto con el escrito de C</w:t>
      </w:r>
      <w:r w:rsidRPr="00910B79">
        <w:rPr>
          <w:sz w:val="20"/>
          <w:szCs w:val="20"/>
          <w:lang w:val="es-CR"/>
        </w:rPr>
        <w:t xml:space="preserve">ontestación, puesto que ni las personas declarantes fueron </w:t>
      </w:r>
      <w:r w:rsidR="00F927C0">
        <w:rPr>
          <w:sz w:val="20"/>
          <w:szCs w:val="20"/>
          <w:lang w:val="es-CR"/>
        </w:rPr>
        <w:t>debidamente identificada</w:t>
      </w:r>
      <w:r w:rsidRPr="00910B79">
        <w:rPr>
          <w:sz w:val="20"/>
          <w:szCs w:val="20"/>
          <w:lang w:val="es-CR"/>
        </w:rPr>
        <w:t>s</w:t>
      </w:r>
      <w:r w:rsidR="00F927C0">
        <w:rPr>
          <w:sz w:val="20"/>
          <w:szCs w:val="20"/>
          <w:lang w:val="es-CR"/>
        </w:rPr>
        <w:t xml:space="preserve"> ni, mucho menos, fue adjuntada </w:t>
      </w:r>
      <w:r w:rsidR="00861AF9">
        <w:rPr>
          <w:sz w:val="20"/>
          <w:szCs w:val="20"/>
          <w:lang w:val="es-CR"/>
        </w:rPr>
        <w:t>la</w:t>
      </w:r>
      <w:r w:rsidR="00F927C0">
        <w:rPr>
          <w:sz w:val="20"/>
          <w:szCs w:val="20"/>
          <w:lang w:val="es-CR"/>
        </w:rPr>
        <w:t xml:space="preserve"> hoja de vida respectiva</w:t>
      </w:r>
      <w:r w:rsidRPr="00910B79">
        <w:rPr>
          <w:sz w:val="20"/>
          <w:szCs w:val="20"/>
          <w:lang w:val="es-CR"/>
        </w:rPr>
        <w:t xml:space="preserve">. </w:t>
      </w:r>
    </w:p>
    <w:p w14:paraId="796D6BF9" w14:textId="7FA903C1" w:rsidR="005F6EA9" w:rsidRPr="00910B79" w:rsidRDefault="00D82EF7" w:rsidP="006D6E26">
      <w:pPr>
        <w:pStyle w:val="Prrafodelista"/>
        <w:numPr>
          <w:ilvl w:val="0"/>
          <w:numId w:val="9"/>
        </w:numPr>
        <w:spacing w:before="120" w:after="120"/>
        <w:ind w:left="0" w:right="139" w:firstLine="0"/>
        <w:rPr>
          <w:sz w:val="20"/>
          <w:szCs w:val="20"/>
          <w:lang w:val="es-CR"/>
        </w:rPr>
      </w:pPr>
      <w:r w:rsidRPr="00910B79">
        <w:rPr>
          <w:sz w:val="20"/>
          <w:szCs w:val="20"/>
          <w:lang w:val="es-CR"/>
        </w:rPr>
        <w:t>La Corte observa</w:t>
      </w:r>
      <w:r w:rsidR="00F8399B">
        <w:rPr>
          <w:sz w:val="20"/>
          <w:szCs w:val="20"/>
          <w:lang w:val="es-CR"/>
        </w:rPr>
        <w:t>,</w:t>
      </w:r>
      <w:r w:rsidRPr="00910B79">
        <w:rPr>
          <w:sz w:val="20"/>
          <w:szCs w:val="20"/>
          <w:lang w:val="es-CR"/>
        </w:rPr>
        <w:t xml:space="preserve"> además</w:t>
      </w:r>
      <w:r w:rsidR="00F8399B">
        <w:rPr>
          <w:sz w:val="20"/>
          <w:szCs w:val="20"/>
          <w:lang w:val="es-CR"/>
        </w:rPr>
        <w:t>,</w:t>
      </w:r>
      <w:r w:rsidRPr="00910B79">
        <w:rPr>
          <w:sz w:val="20"/>
          <w:szCs w:val="20"/>
          <w:lang w:val="es-CR"/>
        </w:rPr>
        <w:t xml:space="preserve"> que no </w:t>
      </w:r>
      <w:r w:rsidR="00FF5DE8" w:rsidRPr="00910B79">
        <w:rPr>
          <w:sz w:val="20"/>
          <w:szCs w:val="20"/>
          <w:lang w:val="es-CR"/>
        </w:rPr>
        <w:t>le asiste razón al Estado al afirmar que</w:t>
      </w:r>
      <w:r w:rsidRPr="00910B79">
        <w:rPr>
          <w:sz w:val="20"/>
          <w:szCs w:val="20"/>
          <w:lang w:val="es-CR"/>
        </w:rPr>
        <w:t xml:space="preserve"> tanto </w:t>
      </w:r>
      <w:r w:rsidR="00F927C0">
        <w:rPr>
          <w:sz w:val="20"/>
          <w:szCs w:val="20"/>
          <w:lang w:val="es-CR"/>
        </w:rPr>
        <w:t>los representantes</w:t>
      </w:r>
      <w:r w:rsidRPr="00910B79">
        <w:rPr>
          <w:sz w:val="20"/>
          <w:szCs w:val="20"/>
          <w:lang w:val="es-CR"/>
        </w:rPr>
        <w:t xml:space="preserve"> como la Comisión tuvieron </w:t>
      </w:r>
      <w:r w:rsidR="00FF5DE8" w:rsidRPr="00910B79">
        <w:rPr>
          <w:sz w:val="20"/>
          <w:szCs w:val="20"/>
          <w:lang w:val="es-CR"/>
        </w:rPr>
        <w:t>conocimiento</w:t>
      </w:r>
      <w:r w:rsidRPr="00910B79">
        <w:rPr>
          <w:sz w:val="20"/>
          <w:szCs w:val="20"/>
          <w:lang w:val="es-CR"/>
        </w:rPr>
        <w:t xml:space="preserve"> de la identidad </w:t>
      </w:r>
      <w:r w:rsidR="00FF5DE8" w:rsidRPr="00910B79">
        <w:rPr>
          <w:sz w:val="20"/>
          <w:szCs w:val="20"/>
          <w:lang w:val="es-CR"/>
        </w:rPr>
        <w:t xml:space="preserve">y </w:t>
      </w:r>
      <w:r w:rsidR="00F8399B" w:rsidRPr="00F8399B">
        <w:rPr>
          <w:sz w:val="20"/>
          <w:szCs w:val="20"/>
          <w:lang w:val="es-CR"/>
        </w:rPr>
        <w:t>la hoja de vida</w:t>
      </w:r>
      <w:r w:rsidR="00FF5DE8" w:rsidRPr="00910B79">
        <w:rPr>
          <w:sz w:val="20"/>
          <w:szCs w:val="20"/>
          <w:lang w:val="es-CR"/>
        </w:rPr>
        <w:t xml:space="preserve"> </w:t>
      </w:r>
      <w:r w:rsidRPr="00910B79">
        <w:rPr>
          <w:sz w:val="20"/>
          <w:szCs w:val="20"/>
          <w:lang w:val="es-CR"/>
        </w:rPr>
        <w:t>de todos los declarantes</w:t>
      </w:r>
      <w:r w:rsidR="00F927C0">
        <w:rPr>
          <w:sz w:val="20"/>
          <w:szCs w:val="20"/>
          <w:lang w:val="es-CR"/>
        </w:rPr>
        <w:t xml:space="preserve"> en “el mismo momento procesal”</w:t>
      </w:r>
      <w:r w:rsidRPr="00910B79">
        <w:rPr>
          <w:sz w:val="20"/>
          <w:szCs w:val="20"/>
          <w:lang w:val="es-CR"/>
        </w:rPr>
        <w:t xml:space="preserve"> al ser transmitidas las listas definitivas, toda vez que esa información </w:t>
      </w:r>
      <w:r w:rsidR="000C1EFC" w:rsidRPr="00910B79">
        <w:rPr>
          <w:sz w:val="20"/>
          <w:szCs w:val="20"/>
          <w:lang w:val="es-CR"/>
        </w:rPr>
        <w:t>fue</w:t>
      </w:r>
      <w:r w:rsidRPr="00910B79">
        <w:rPr>
          <w:sz w:val="20"/>
          <w:szCs w:val="20"/>
          <w:lang w:val="es-CR"/>
        </w:rPr>
        <w:t xml:space="preserve"> puesta en conocimiento </w:t>
      </w:r>
      <w:r w:rsidR="00F927C0">
        <w:rPr>
          <w:sz w:val="20"/>
          <w:szCs w:val="20"/>
          <w:lang w:val="es-CR"/>
        </w:rPr>
        <w:t>del Estado con anterioridad,</w:t>
      </w:r>
      <w:r w:rsidRPr="00910B79">
        <w:rPr>
          <w:sz w:val="20"/>
          <w:szCs w:val="20"/>
          <w:lang w:val="es-CR"/>
        </w:rPr>
        <w:t xml:space="preserve"> </w:t>
      </w:r>
      <w:r w:rsidR="005E0E89">
        <w:rPr>
          <w:sz w:val="20"/>
          <w:szCs w:val="20"/>
          <w:lang w:val="es-CR"/>
        </w:rPr>
        <w:t xml:space="preserve">esto es, </w:t>
      </w:r>
      <w:r w:rsidRPr="00910B79">
        <w:rPr>
          <w:sz w:val="20"/>
          <w:szCs w:val="20"/>
          <w:lang w:val="es-CR"/>
        </w:rPr>
        <w:t xml:space="preserve">al momento de </w:t>
      </w:r>
      <w:r w:rsidR="00F927C0">
        <w:rPr>
          <w:sz w:val="20"/>
          <w:szCs w:val="20"/>
          <w:lang w:val="es-CR"/>
        </w:rPr>
        <w:t>ser notificado de</w:t>
      </w:r>
      <w:r w:rsidRPr="00910B79">
        <w:rPr>
          <w:sz w:val="20"/>
          <w:szCs w:val="20"/>
          <w:lang w:val="es-CR"/>
        </w:rPr>
        <w:t xml:space="preserve"> los escritos principales</w:t>
      </w:r>
      <w:r w:rsidR="00F927C0">
        <w:rPr>
          <w:sz w:val="20"/>
          <w:szCs w:val="20"/>
          <w:lang w:val="es-CR"/>
        </w:rPr>
        <w:t xml:space="preserve"> de la Comisión y de los representantes</w:t>
      </w:r>
      <w:r w:rsidR="000C1EFC" w:rsidRPr="00910B79">
        <w:rPr>
          <w:sz w:val="20"/>
          <w:szCs w:val="20"/>
          <w:lang w:val="es-CR"/>
        </w:rPr>
        <w:t xml:space="preserve">. Así, el Estado tuvo conocimiento del ofrecimiento e identificación del peritaje ofrecido por la Comisión el </w:t>
      </w:r>
      <w:r w:rsidR="00333533">
        <w:rPr>
          <w:sz w:val="20"/>
          <w:szCs w:val="20"/>
          <w:lang w:val="es-CR"/>
        </w:rPr>
        <w:t>22 de noviembre de 2019</w:t>
      </w:r>
      <w:r w:rsidR="00F927C0">
        <w:rPr>
          <w:rStyle w:val="Refdenotaalpie"/>
          <w:sz w:val="20"/>
          <w:szCs w:val="20"/>
          <w:lang w:val="es-CR"/>
        </w:rPr>
        <w:footnoteReference w:id="9"/>
      </w:r>
      <w:r w:rsidR="000C1EFC" w:rsidRPr="00910B79">
        <w:rPr>
          <w:sz w:val="20"/>
          <w:szCs w:val="20"/>
          <w:lang w:val="es-CR"/>
        </w:rPr>
        <w:t xml:space="preserve">, día que le fue trasladado el Informe de Fondo </w:t>
      </w:r>
      <w:r w:rsidR="00333533">
        <w:rPr>
          <w:sz w:val="20"/>
          <w:szCs w:val="20"/>
          <w:lang w:val="es-CR"/>
        </w:rPr>
        <w:t>No. 61/19</w:t>
      </w:r>
      <w:r w:rsidR="000C1EFC" w:rsidRPr="00910B79">
        <w:rPr>
          <w:sz w:val="20"/>
          <w:szCs w:val="20"/>
          <w:lang w:val="es-CR"/>
        </w:rPr>
        <w:t>, relativo al presente caso</w:t>
      </w:r>
      <w:r w:rsidR="00F927C0">
        <w:rPr>
          <w:sz w:val="20"/>
          <w:szCs w:val="20"/>
          <w:lang w:val="es-CR"/>
        </w:rPr>
        <w:t>, junto con sus anexos, los cuales incluyeron la correspondiente hoja de vida de la perita propuesta</w:t>
      </w:r>
      <w:r w:rsidR="000C1EFC" w:rsidRPr="00910B79">
        <w:rPr>
          <w:sz w:val="20"/>
          <w:szCs w:val="20"/>
          <w:lang w:val="es-CR"/>
        </w:rPr>
        <w:t xml:space="preserve">. Asimismo, el Estado tuvo conocimiento del </w:t>
      </w:r>
      <w:r w:rsidR="005F6EA9" w:rsidRPr="00910B79">
        <w:rPr>
          <w:sz w:val="20"/>
          <w:szCs w:val="20"/>
          <w:lang w:val="es-CR"/>
        </w:rPr>
        <w:t xml:space="preserve">ofrecimiento e identificación de los declarantes propuestos por los representantes el </w:t>
      </w:r>
      <w:r w:rsidR="00333533">
        <w:rPr>
          <w:sz w:val="20"/>
          <w:szCs w:val="20"/>
          <w:lang w:val="es-CR"/>
        </w:rPr>
        <w:t>4 de marzo de 2020</w:t>
      </w:r>
      <w:r w:rsidR="00F927C0">
        <w:rPr>
          <w:rStyle w:val="Refdenotaalpie"/>
          <w:sz w:val="20"/>
          <w:szCs w:val="20"/>
          <w:lang w:val="es-CR"/>
        </w:rPr>
        <w:footnoteReference w:id="10"/>
      </w:r>
      <w:r w:rsidR="005F6EA9" w:rsidRPr="00910B79">
        <w:rPr>
          <w:sz w:val="20"/>
          <w:szCs w:val="20"/>
          <w:lang w:val="es-CR"/>
        </w:rPr>
        <w:t>, día en el que le fue trasladado el escrito de solicitud, argumentos y pruebas</w:t>
      </w:r>
      <w:r w:rsidR="00F927C0">
        <w:rPr>
          <w:sz w:val="20"/>
          <w:szCs w:val="20"/>
          <w:lang w:val="es-CR"/>
        </w:rPr>
        <w:t xml:space="preserve"> y sus anexos, los cuales incluyeron las correspondientes hojas de vida de los peritos propuestos</w:t>
      </w:r>
      <w:r w:rsidR="005F6EA9" w:rsidRPr="00910B79">
        <w:rPr>
          <w:sz w:val="20"/>
          <w:szCs w:val="20"/>
          <w:lang w:val="es-CR"/>
        </w:rPr>
        <w:t xml:space="preserve">. Por el contrario, tanto a la Comisión como a los representantes fueron informados de la identificación y </w:t>
      </w:r>
      <w:r w:rsidR="00F927C0">
        <w:rPr>
          <w:sz w:val="20"/>
          <w:szCs w:val="20"/>
          <w:lang w:val="es-CR"/>
        </w:rPr>
        <w:t>hoja de vida</w:t>
      </w:r>
      <w:r w:rsidR="005F6EA9" w:rsidRPr="00910B79">
        <w:rPr>
          <w:sz w:val="20"/>
          <w:szCs w:val="20"/>
          <w:lang w:val="es-CR"/>
        </w:rPr>
        <w:t xml:space="preserve"> de los declarantes propuestos por el Estado al momento en el que se les dio traslado del escrito de listas definitivas presen</w:t>
      </w:r>
      <w:r w:rsidR="00333533">
        <w:rPr>
          <w:sz w:val="20"/>
          <w:szCs w:val="20"/>
          <w:lang w:val="es-CR"/>
        </w:rPr>
        <w:t>tado por el Estado, a saber, el</w:t>
      </w:r>
      <w:r w:rsidR="00F927C0">
        <w:rPr>
          <w:sz w:val="20"/>
          <w:szCs w:val="20"/>
          <w:lang w:val="es-CR"/>
        </w:rPr>
        <w:t xml:space="preserve"> 22 de octubre de 2020</w:t>
      </w:r>
      <w:r w:rsidR="00F927C0">
        <w:rPr>
          <w:rStyle w:val="Refdenotaalpie"/>
          <w:sz w:val="20"/>
          <w:szCs w:val="20"/>
          <w:lang w:val="es-CR"/>
        </w:rPr>
        <w:footnoteReference w:id="11"/>
      </w:r>
      <w:r w:rsidR="005F6EA9" w:rsidRPr="00910B79">
        <w:rPr>
          <w:sz w:val="20"/>
          <w:szCs w:val="20"/>
          <w:lang w:val="es-CR"/>
        </w:rPr>
        <w:t>, cuando tanto la Comisión como los representantes deberían haber tenido dicha información al momento en el que se les dio traslado del escrito de Contestación</w:t>
      </w:r>
      <w:r w:rsidR="00060C50">
        <w:rPr>
          <w:sz w:val="20"/>
          <w:szCs w:val="20"/>
          <w:lang w:val="es-CR"/>
        </w:rPr>
        <w:t xml:space="preserve"> y sus anexos</w:t>
      </w:r>
      <w:r w:rsidR="005F6EA9" w:rsidRPr="00910B79">
        <w:rPr>
          <w:sz w:val="20"/>
          <w:szCs w:val="20"/>
          <w:lang w:val="es-CR"/>
        </w:rPr>
        <w:t xml:space="preserve">, esto es, el </w:t>
      </w:r>
      <w:r w:rsidR="00333533">
        <w:rPr>
          <w:sz w:val="20"/>
          <w:szCs w:val="20"/>
          <w:lang w:val="es-CR"/>
        </w:rPr>
        <w:t>18 de septiembre de 2020</w:t>
      </w:r>
      <w:r w:rsidR="00333533">
        <w:rPr>
          <w:rStyle w:val="Refdenotaalpie"/>
          <w:sz w:val="20"/>
          <w:szCs w:val="20"/>
          <w:lang w:val="es-CR"/>
        </w:rPr>
        <w:footnoteReference w:id="12"/>
      </w:r>
      <w:r w:rsidR="005F6EA9" w:rsidRPr="00910B79">
        <w:rPr>
          <w:sz w:val="20"/>
          <w:szCs w:val="20"/>
          <w:lang w:val="es-CR"/>
        </w:rPr>
        <w:t xml:space="preserve">.  </w:t>
      </w:r>
      <w:r w:rsidR="00CC57E5">
        <w:rPr>
          <w:sz w:val="20"/>
          <w:szCs w:val="20"/>
          <w:lang w:val="es-CR"/>
        </w:rPr>
        <w:t xml:space="preserve">Por último, y toda vez que se ha </w:t>
      </w:r>
      <w:r w:rsidR="005E0E89">
        <w:rPr>
          <w:sz w:val="20"/>
          <w:szCs w:val="20"/>
          <w:lang w:val="es-CR"/>
        </w:rPr>
        <w:t>confirmado</w:t>
      </w:r>
      <w:r w:rsidR="00CC57E5">
        <w:rPr>
          <w:sz w:val="20"/>
          <w:szCs w:val="20"/>
          <w:lang w:val="es-CR"/>
        </w:rPr>
        <w:t xml:space="preserve"> la inadmisibilidad del peritaje conjunto </w:t>
      </w:r>
      <w:r w:rsidR="00CC57E5" w:rsidRPr="00910B79">
        <w:rPr>
          <w:sz w:val="20"/>
          <w:szCs w:val="20"/>
          <w:lang w:val="es-CR"/>
        </w:rPr>
        <w:t xml:space="preserve">de los señores Alejandro Sánchez González, Erika Bardales Lazando y Francisco Javier </w:t>
      </w:r>
      <w:proofErr w:type="spellStart"/>
      <w:r w:rsidR="00CC57E5" w:rsidRPr="00910B79">
        <w:rPr>
          <w:sz w:val="20"/>
          <w:szCs w:val="20"/>
          <w:lang w:val="es-CR"/>
        </w:rPr>
        <w:t>Dondé</w:t>
      </w:r>
      <w:proofErr w:type="spellEnd"/>
      <w:r w:rsidR="00CC57E5" w:rsidRPr="00910B79">
        <w:rPr>
          <w:sz w:val="20"/>
          <w:szCs w:val="20"/>
          <w:lang w:val="es-CR"/>
        </w:rPr>
        <w:t xml:space="preserve"> Matute</w:t>
      </w:r>
      <w:r w:rsidR="00CC57E5">
        <w:rPr>
          <w:sz w:val="20"/>
          <w:szCs w:val="20"/>
          <w:lang w:val="es-CR"/>
        </w:rPr>
        <w:t xml:space="preserve"> por su carácter extemporáneo, el Tribunal no considera necesario pronunciarse sobre la segunda razón de inadmisibilidad del mismo, a saber, la modificación de su objeto.</w:t>
      </w:r>
    </w:p>
    <w:p w14:paraId="5C1C82AA" w14:textId="35773E7C" w:rsidR="000B604C" w:rsidRPr="005F6EA9" w:rsidRDefault="00D82EF7" w:rsidP="006D6E26">
      <w:pPr>
        <w:pStyle w:val="Prrafodelista"/>
        <w:numPr>
          <w:ilvl w:val="0"/>
          <w:numId w:val="9"/>
        </w:numPr>
        <w:spacing w:before="120" w:after="120"/>
        <w:ind w:left="0" w:right="139" w:firstLine="0"/>
        <w:rPr>
          <w:sz w:val="20"/>
          <w:szCs w:val="20"/>
          <w:lang w:val="es-CR"/>
        </w:rPr>
      </w:pPr>
      <w:r w:rsidRPr="005F6EA9">
        <w:rPr>
          <w:sz w:val="20"/>
          <w:szCs w:val="20"/>
          <w:lang w:val="es-CR"/>
        </w:rPr>
        <w:t xml:space="preserve">A la </w:t>
      </w:r>
      <w:r w:rsidR="00910B79">
        <w:rPr>
          <w:sz w:val="20"/>
          <w:szCs w:val="20"/>
          <w:lang w:val="es-CR"/>
        </w:rPr>
        <w:t>vista de todo lo anteriormente expuesto</w:t>
      </w:r>
      <w:r w:rsidRPr="005F6EA9">
        <w:rPr>
          <w:sz w:val="20"/>
          <w:szCs w:val="20"/>
          <w:lang w:val="es-CR"/>
        </w:rPr>
        <w:t xml:space="preserve">, </w:t>
      </w:r>
      <w:r w:rsidR="00BB636F" w:rsidRPr="005F6EA9">
        <w:rPr>
          <w:sz w:val="20"/>
          <w:szCs w:val="20"/>
          <w:lang w:val="es-CR"/>
        </w:rPr>
        <w:t>esta</w:t>
      </w:r>
      <w:r w:rsidR="00BB636F" w:rsidRPr="005F6EA9">
        <w:rPr>
          <w:spacing w:val="-15"/>
          <w:sz w:val="20"/>
          <w:szCs w:val="20"/>
          <w:lang w:val="es-CR"/>
        </w:rPr>
        <w:t xml:space="preserve"> </w:t>
      </w:r>
      <w:r w:rsidR="00BB636F" w:rsidRPr="005F6EA9">
        <w:rPr>
          <w:sz w:val="20"/>
          <w:szCs w:val="20"/>
          <w:lang w:val="es-CR"/>
        </w:rPr>
        <w:t>Corte</w:t>
      </w:r>
      <w:r w:rsidR="00BB636F" w:rsidRPr="005F6EA9">
        <w:rPr>
          <w:spacing w:val="-16"/>
          <w:sz w:val="20"/>
          <w:szCs w:val="20"/>
          <w:lang w:val="es-CR"/>
        </w:rPr>
        <w:t xml:space="preserve"> </w:t>
      </w:r>
      <w:r w:rsidRPr="005F6EA9">
        <w:rPr>
          <w:sz w:val="20"/>
          <w:szCs w:val="20"/>
          <w:lang w:val="es-CR"/>
        </w:rPr>
        <w:t>concluye</w:t>
      </w:r>
      <w:r w:rsidR="00BB636F" w:rsidRPr="005F6EA9">
        <w:rPr>
          <w:spacing w:val="-15"/>
          <w:sz w:val="20"/>
          <w:szCs w:val="20"/>
          <w:lang w:val="es-CR"/>
        </w:rPr>
        <w:t xml:space="preserve"> </w:t>
      </w:r>
      <w:r w:rsidR="00BB636F" w:rsidRPr="005F6EA9">
        <w:rPr>
          <w:sz w:val="20"/>
          <w:szCs w:val="20"/>
          <w:lang w:val="es-CR"/>
        </w:rPr>
        <w:t>que</w:t>
      </w:r>
      <w:r w:rsidR="00BB636F" w:rsidRPr="005F6EA9">
        <w:rPr>
          <w:spacing w:val="-16"/>
          <w:sz w:val="20"/>
          <w:szCs w:val="20"/>
          <w:lang w:val="es-CR"/>
        </w:rPr>
        <w:t xml:space="preserve"> </w:t>
      </w:r>
      <w:r w:rsidR="00CA3C7A" w:rsidRPr="005F6EA9">
        <w:rPr>
          <w:sz w:val="20"/>
          <w:szCs w:val="20"/>
          <w:lang w:val="es-CR"/>
        </w:rPr>
        <w:t xml:space="preserve">la solicitud de </w:t>
      </w:r>
      <w:r w:rsidR="00CC57E5">
        <w:rPr>
          <w:sz w:val="20"/>
          <w:szCs w:val="20"/>
          <w:lang w:val="es-CR"/>
        </w:rPr>
        <w:t>“</w:t>
      </w:r>
      <w:r w:rsidR="00CA3C7A" w:rsidRPr="005F6EA9">
        <w:rPr>
          <w:sz w:val="20"/>
          <w:szCs w:val="20"/>
          <w:lang w:val="es-CR"/>
        </w:rPr>
        <w:t>reconsideración</w:t>
      </w:r>
      <w:r w:rsidR="00CC57E5">
        <w:rPr>
          <w:sz w:val="20"/>
          <w:szCs w:val="20"/>
          <w:lang w:val="es-CR"/>
        </w:rPr>
        <w:t>”</w:t>
      </w:r>
      <w:r w:rsidR="00CA3C7A" w:rsidRPr="005F6EA9">
        <w:rPr>
          <w:sz w:val="20"/>
          <w:szCs w:val="20"/>
          <w:lang w:val="es-CR"/>
        </w:rPr>
        <w:t xml:space="preserve"> </w:t>
      </w:r>
      <w:r w:rsidRPr="005F6EA9">
        <w:rPr>
          <w:sz w:val="20"/>
          <w:szCs w:val="20"/>
          <w:lang w:val="es-CR"/>
        </w:rPr>
        <w:t>realizada por el</w:t>
      </w:r>
      <w:r w:rsidR="00CA3C7A" w:rsidRPr="005F6EA9">
        <w:rPr>
          <w:sz w:val="20"/>
          <w:szCs w:val="20"/>
          <w:lang w:val="es-CR"/>
        </w:rPr>
        <w:t xml:space="preserve"> Estado</w:t>
      </w:r>
      <w:r w:rsidR="00CC57E5">
        <w:rPr>
          <w:sz w:val="20"/>
          <w:szCs w:val="20"/>
          <w:lang w:val="es-CR"/>
        </w:rPr>
        <w:t xml:space="preserve"> al amparo del artículo 31.2 del Reglamento </w:t>
      </w:r>
      <w:r w:rsidR="00CA3C7A" w:rsidRPr="005F6EA9">
        <w:rPr>
          <w:sz w:val="20"/>
          <w:szCs w:val="20"/>
          <w:lang w:val="es-CR"/>
        </w:rPr>
        <w:t xml:space="preserve">debe ser </w:t>
      </w:r>
      <w:r w:rsidR="00CA3C7A" w:rsidRPr="005F6EA9">
        <w:rPr>
          <w:sz w:val="20"/>
          <w:szCs w:val="20"/>
          <w:lang w:val="es-CR"/>
        </w:rPr>
        <w:lastRenderedPageBreak/>
        <w:t>desestimada.</w:t>
      </w:r>
    </w:p>
    <w:p w14:paraId="4CCD99E2" w14:textId="77777777" w:rsidR="000B604C" w:rsidRPr="005F6EA9" w:rsidRDefault="000B604C" w:rsidP="00CA3C7A">
      <w:pPr>
        <w:pStyle w:val="Textoindependiente"/>
        <w:spacing w:before="120" w:after="120"/>
        <w:rPr>
          <w:lang w:val="es-CR"/>
        </w:rPr>
      </w:pPr>
    </w:p>
    <w:p w14:paraId="0695630C" w14:textId="77777777" w:rsidR="000B604C" w:rsidRPr="005F6EA9" w:rsidRDefault="00BB636F" w:rsidP="00CA3C7A">
      <w:pPr>
        <w:pStyle w:val="Ttulo1"/>
        <w:spacing w:before="120" w:after="120"/>
        <w:ind w:left="0"/>
        <w:jc w:val="left"/>
        <w:rPr>
          <w:lang w:val="es-CR"/>
        </w:rPr>
      </w:pPr>
      <w:r w:rsidRPr="005F6EA9">
        <w:rPr>
          <w:lang w:val="es-CR"/>
        </w:rPr>
        <w:t>POR TANTO:</w:t>
      </w:r>
    </w:p>
    <w:p w14:paraId="2C058513" w14:textId="77777777" w:rsidR="000B604C" w:rsidRPr="005F6EA9" w:rsidRDefault="000B604C" w:rsidP="00CA3C7A">
      <w:pPr>
        <w:pStyle w:val="Textoindependiente"/>
        <w:spacing w:before="120" w:after="120"/>
        <w:rPr>
          <w:b/>
          <w:lang w:val="es-CR"/>
        </w:rPr>
      </w:pPr>
    </w:p>
    <w:p w14:paraId="6ACEE8D7" w14:textId="77777777" w:rsidR="000B604C" w:rsidRPr="005F6EA9" w:rsidRDefault="00BB636F" w:rsidP="00CA3C7A">
      <w:pPr>
        <w:spacing w:before="120" w:after="120"/>
        <w:rPr>
          <w:b/>
          <w:sz w:val="20"/>
          <w:szCs w:val="20"/>
          <w:lang w:val="es-CR"/>
        </w:rPr>
      </w:pPr>
      <w:r w:rsidRPr="005F6EA9">
        <w:rPr>
          <w:b/>
          <w:sz w:val="20"/>
          <w:szCs w:val="20"/>
          <w:lang w:val="es-CR"/>
        </w:rPr>
        <w:t>LA CORTE INTERAMERICANA DE DERECHOS HUMANOS,</w:t>
      </w:r>
    </w:p>
    <w:p w14:paraId="1EC77020" w14:textId="77777777" w:rsidR="000B604C" w:rsidRPr="005F6EA9" w:rsidRDefault="000B604C" w:rsidP="00CA3C7A">
      <w:pPr>
        <w:pStyle w:val="Textoindependiente"/>
        <w:spacing w:before="120" w:after="120"/>
        <w:rPr>
          <w:b/>
          <w:lang w:val="es-CR"/>
        </w:rPr>
      </w:pPr>
    </w:p>
    <w:p w14:paraId="64254461" w14:textId="77777777" w:rsidR="000B604C" w:rsidRPr="005F6EA9" w:rsidRDefault="00BB636F" w:rsidP="00CA3C7A">
      <w:pPr>
        <w:pStyle w:val="Textoindependiente"/>
        <w:spacing w:before="120" w:after="120"/>
        <w:rPr>
          <w:lang w:val="es-CR"/>
        </w:rPr>
      </w:pPr>
      <w:r w:rsidRPr="005F6EA9">
        <w:rPr>
          <w:lang w:val="es-CR"/>
        </w:rPr>
        <w:t>de conformidad con el artículo 25.2 del Estatuto de la Corte y con los artículos 31.2, 48.1.f y 58 del Reglamento,</w:t>
      </w:r>
    </w:p>
    <w:p w14:paraId="04BD2564" w14:textId="77777777" w:rsidR="000B604C" w:rsidRPr="005F6EA9" w:rsidRDefault="000B604C" w:rsidP="00CA3C7A">
      <w:pPr>
        <w:pStyle w:val="Textoindependiente"/>
        <w:spacing w:before="120" w:after="120"/>
        <w:rPr>
          <w:lang w:val="es-CR"/>
        </w:rPr>
      </w:pPr>
    </w:p>
    <w:p w14:paraId="6750333C" w14:textId="77777777" w:rsidR="000B604C" w:rsidRPr="005F6EA9" w:rsidRDefault="00BB636F" w:rsidP="00CA3C7A">
      <w:pPr>
        <w:pStyle w:val="Ttulo1"/>
        <w:spacing w:before="120" w:after="120"/>
        <w:ind w:left="0"/>
        <w:jc w:val="left"/>
        <w:rPr>
          <w:lang w:val="es-CR"/>
        </w:rPr>
      </w:pPr>
      <w:r w:rsidRPr="005F6EA9">
        <w:rPr>
          <w:lang w:val="es-CR"/>
        </w:rPr>
        <w:t>RESUELVE:</w:t>
      </w:r>
    </w:p>
    <w:p w14:paraId="135225B9" w14:textId="3FB112A6" w:rsidR="000B604C" w:rsidRPr="005F6EA9" w:rsidRDefault="00BB636F" w:rsidP="00CA3C7A">
      <w:pPr>
        <w:pStyle w:val="Textoindependiente"/>
        <w:spacing w:before="120" w:after="120"/>
        <w:rPr>
          <w:lang w:val="es-CR"/>
        </w:rPr>
      </w:pPr>
      <w:r w:rsidRPr="005F6EA9">
        <w:rPr>
          <w:lang w:val="es-CR"/>
        </w:rPr>
        <w:t xml:space="preserve">Por </w:t>
      </w:r>
      <w:r w:rsidR="00645F25">
        <w:rPr>
          <w:lang w:val="es-CR"/>
        </w:rPr>
        <w:t>unanimidad,</w:t>
      </w:r>
    </w:p>
    <w:p w14:paraId="6540EDA6" w14:textId="716A6BE6" w:rsidR="000B604C" w:rsidRPr="005F6EA9" w:rsidRDefault="00BB636F" w:rsidP="000161E3">
      <w:pPr>
        <w:pStyle w:val="Prrafodelista"/>
        <w:numPr>
          <w:ilvl w:val="0"/>
          <w:numId w:val="10"/>
        </w:numPr>
        <w:spacing w:before="240" w:after="240"/>
        <w:ind w:left="0" w:right="142" w:firstLine="0"/>
        <w:rPr>
          <w:sz w:val="20"/>
          <w:szCs w:val="20"/>
          <w:lang w:val="es-CR"/>
        </w:rPr>
      </w:pPr>
      <w:r w:rsidRPr="005F6EA9">
        <w:rPr>
          <w:sz w:val="20"/>
          <w:szCs w:val="20"/>
          <w:lang w:val="es-CR"/>
        </w:rPr>
        <w:t xml:space="preserve">Confirmar la </w:t>
      </w:r>
      <w:r w:rsidR="00D82EF7" w:rsidRPr="005F6EA9">
        <w:rPr>
          <w:sz w:val="20"/>
          <w:szCs w:val="20"/>
          <w:lang w:val="es-CR"/>
        </w:rPr>
        <w:t xml:space="preserve">Resolución </w:t>
      </w:r>
      <w:r w:rsidRPr="005F6EA9">
        <w:rPr>
          <w:sz w:val="20"/>
          <w:szCs w:val="20"/>
          <w:lang w:val="es-CR"/>
        </w:rPr>
        <w:t xml:space="preserve">adoptada por la Presidenta de la Corte Interamericana de Derechos Humanos el </w:t>
      </w:r>
      <w:r w:rsidR="00D82EF7" w:rsidRPr="005F6EA9">
        <w:rPr>
          <w:sz w:val="20"/>
          <w:szCs w:val="20"/>
          <w:lang w:val="es-CR"/>
        </w:rPr>
        <w:t>3</w:t>
      </w:r>
      <w:r w:rsidRPr="005F6EA9">
        <w:rPr>
          <w:sz w:val="20"/>
          <w:szCs w:val="20"/>
          <w:lang w:val="es-CR"/>
        </w:rPr>
        <w:t xml:space="preserve"> de </w:t>
      </w:r>
      <w:r w:rsidR="00D82EF7" w:rsidRPr="005F6EA9">
        <w:rPr>
          <w:sz w:val="20"/>
          <w:szCs w:val="20"/>
          <w:lang w:val="es-CR"/>
        </w:rPr>
        <w:t>marzo</w:t>
      </w:r>
      <w:r w:rsidRPr="005F6EA9">
        <w:rPr>
          <w:sz w:val="20"/>
          <w:szCs w:val="20"/>
          <w:lang w:val="es-CR"/>
        </w:rPr>
        <w:t xml:space="preserve"> de 2021 y, por ende, declarar improcedente </w:t>
      </w:r>
      <w:r w:rsidR="00CA3C7A" w:rsidRPr="005F6EA9">
        <w:rPr>
          <w:sz w:val="20"/>
          <w:szCs w:val="20"/>
          <w:lang w:val="es-CR"/>
        </w:rPr>
        <w:t>la sol</w:t>
      </w:r>
      <w:r w:rsidR="00D82EF7" w:rsidRPr="005F6EA9">
        <w:rPr>
          <w:sz w:val="20"/>
          <w:szCs w:val="20"/>
          <w:lang w:val="es-CR"/>
        </w:rPr>
        <w:t>i</w:t>
      </w:r>
      <w:r w:rsidR="00CA3C7A" w:rsidRPr="005F6EA9">
        <w:rPr>
          <w:sz w:val="20"/>
          <w:szCs w:val="20"/>
          <w:lang w:val="es-CR"/>
        </w:rPr>
        <w:t>citud de reconsideraci</w:t>
      </w:r>
      <w:r w:rsidR="00D82EF7" w:rsidRPr="005F6EA9">
        <w:rPr>
          <w:sz w:val="20"/>
          <w:szCs w:val="20"/>
          <w:lang w:val="es-CR"/>
        </w:rPr>
        <w:t>ón interpuesta por el Es</w:t>
      </w:r>
      <w:r w:rsidR="00CA3C7A" w:rsidRPr="005F6EA9">
        <w:rPr>
          <w:sz w:val="20"/>
          <w:szCs w:val="20"/>
          <w:lang w:val="es-CR"/>
        </w:rPr>
        <w:t>tado</w:t>
      </w:r>
      <w:r w:rsidRPr="005F6EA9">
        <w:rPr>
          <w:sz w:val="20"/>
          <w:szCs w:val="20"/>
          <w:lang w:val="es-CR"/>
        </w:rPr>
        <w:t>.</w:t>
      </w:r>
    </w:p>
    <w:p w14:paraId="5644425C" w14:textId="65499DD1" w:rsidR="000B604C" w:rsidRPr="005F6EA9" w:rsidRDefault="00BB636F" w:rsidP="000161E3">
      <w:pPr>
        <w:pStyle w:val="Prrafodelista"/>
        <w:numPr>
          <w:ilvl w:val="0"/>
          <w:numId w:val="10"/>
        </w:numPr>
        <w:spacing w:before="240" w:after="240"/>
        <w:ind w:left="0" w:right="142" w:firstLine="0"/>
        <w:rPr>
          <w:sz w:val="20"/>
          <w:szCs w:val="20"/>
          <w:lang w:val="es-CR"/>
        </w:rPr>
      </w:pPr>
      <w:r w:rsidRPr="005F6EA9">
        <w:rPr>
          <w:sz w:val="20"/>
          <w:szCs w:val="20"/>
          <w:lang w:val="es-CR"/>
        </w:rPr>
        <w:t xml:space="preserve">Disponer que la Secretaría de las Corte Interamericana de Derechos Humanos notifique la Presente Resolución a la Comisión Interamericana de Derechos Humanos, a </w:t>
      </w:r>
      <w:r w:rsidR="00CA3C7A" w:rsidRPr="005F6EA9">
        <w:rPr>
          <w:sz w:val="20"/>
          <w:szCs w:val="20"/>
          <w:lang w:val="es-CR"/>
        </w:rPr>
        <w:t xml:space="preserve">los </w:t>
      </w:r>
      <w:r w:rsidR="00D82EF7" w:rsidRPr="005F6EA9">
        <w:rPr>
          <w:sz w:val="20"/>
          <w:szCs w:val="20"/>
          <w:lang w:val="es-CR"/>
        </w:rPr>
        <w:t>representantes</w:t>
      </w:r>
      <w:r w:rsidRPr="005F6EA9">
        <w:rPr>
          <w:sz w:val="20"/>
          <w:szCs w:val="20"/>
          <w:lang w:val="es-CR"/>
        </w:rPr>
        <w:t xml:space="preserve"> y al Estado.</w:t>
      </w:r>
    </w:p>
    <w:p w14:paraId="0F16CCCA" w14:textId="77777777" w:rsidR="00CA3C7A" w:rsidRPr="005F6EA9" w:rsidRDefault="00CA3C7A" w:rsidP="00CA3C7A">
      <w:pPr>
        <w:pStyle w:val="Prrafodelista"/>
        <w:tabs>
          <w:tab w:val="left" w:pos="965"/>
        </w:tabs>
        <w:spacing w:before="120" w:after="120"/>
        <w:ind w:left="0" w:right="113"/>
        <w:rPr>
          <w:sz w:val="20"/>
          <w:szCs w:val="20"/>
          <w:lang w:val="es-CR"/>
        </w:rPr>
      </w:pPr>
    </w:p>
    <w:p w14:paraId="19C23760" w14:textId="035D74FA" w:rsidR="000B604C" w:rsidRPr="005F6EA9" w:rsidRDefault="00BB636F" w:rsidP="00CA3C7A">
      <w:pPr>
        <w:spacing w:before="120" w:after="120"/>
        <w:ind w:right="117"/>
        <w:jc w:val="both"/>
        <w:rPr>
          <w:sz w:val="20"/>
          <w:szCs w:val="20"/>
          <w:lang w:val="es-CR"/>
        </w:rPr>
      </w:pPr>
      <w:bookmarkStart w:id="2" w:name="Corte_IDH._Caso_Integrantes_y_Militantes"/>
      <w:bookmarkEnd w:id="2"/>
      <w:r w:rsidRPr="005F6EA9">
        <w:rPr>
          <w:sz w:val="20"/>
          <w:szCs w:val="20"/>
          <w:lang w:val="es-CR"/>
        </w:rPr>
        <w:t>C</w:t>
      </w:r>
      <w:r w:rsidRPr="005F6EA9">
        <w:rPr>
          <w:sz w:val="20"/>
          <w:szCs w:val="20"/>
          <w:lang w:val="es-CR"/>
        </w:rPr>
        <w:lastRenderedPageBreak/>
        <w:t>orte</w:t>
      </w:r>
      <w:r w:rsidRPr="005F6EA9">
        <w:rPr>
          <w:spacing w:val="-9"/>
          <w:sz w:val="20"/>
          <w:szCs w:val="20"/>
          <w:lang w:val="es-CR"/>
        </w:rPr>
        <w:t xml:space="preserve"> </w:t>
      </w:r>
      <w:r w:rsidRPr="005F6EA9">
        <w:rPr>
          <w:sz w:val="20"/>
          <w:szCs w:val="20"/>
          <w:lang w:val="es-CR"/>
        </w:rPr>
        <w:t>IDH.</w:t>
      </w:r>
      <w:r w:rsidRPr="005F6EA9">
        <w:rPr>
          <w:spacing w:val="-8"/>
          <w:sz w:val="20"/>
          <w:szCs w:val="20"/>
          <w:lang w:val="es-CR"/>
        </w:rPr>
        <w:t xml:space="preserve"> </w:t>
      </w:r>
      <w:r w:rsidRPr="005F6EA9">
        <w:rPr>
          <w:i/>
          <w:sz w:val="20"/>
          <w:szCs w:val="20"/>
          <w:lang w:val="es-CR"/>
        </w:rPr>
        <w:t>Caso</w:t>
      </w:r>
      <w:r w:rsidRPr="005F6EA9">
        <w:rPr>
          <w:i/>
          <w:spacing w:val="-6"/>
          <w:sz w:val="20"/>
          <w:szCs w:val="20"/>
          <w:lang w:val="es-CR"/>
        </w:rPr>
        <w:t xml:space="preserve"> </w:t>
      </w:r>
      <w:r w:rsidR="00CA3C7A" w:rsidRPr="005F6EA9">
        <w:rPr>
          <w:i/>
          <w:sz w:val="20"/>
          <w:szCs w:val="20"/>
          <w:lang w:val="es-CR"/>
        </w:rPr>
        <w:t>Familiares de Digna Ochoa y Plácido</w:t>
      </w:r>
      <w:r w:rsidRPr="005F6EA9">
        <w:rPr>
          <w:i/>
          <w:spacing w:val="-8"/>
          <w:sz w:val="20"/>
          <w:szCs w:val="20"/>
          <w:lang w:val="es-CR"/>
        </w:rPr>
        <w:t xml:space="preserve"> </w:t>
      </w:r>
      <w:r w:rsidRPr="005F6EA9">
        <w:rPr>
          <w:i/>
          <w:sz w:val="20"/>
          <w:szCs w:val="20"/>
          <w:lang w:val="es-CR"/>
        </w:rPr>
        <w:t>Vs.</w:t>
      </w:r>
      <w:r w:rsidRPr="005F6EA9">
        <w:rPr>
          <w:i/>
          <w:spacing w:val="-5"/>
          <w:sz w:val="20"/>
          <w:szCs w:val="20"/>
          <w:lang w:val="es-CR"/>
        </w:rPr>
        <w:t xml:space="preserve"> </w:t>
      </w:r>
      <w:r w:rsidR="00CA3C7A" w:rsidRPr="005F6EA9">
        <w:rPr>
          <w:i/>
          <w:sz w:val="20"/>
          <w:szCs w:val="20"/>
          <w:lang w:val="es-CR"/>
        </w:rPr>
        <w:t>México</w:t>
      </w:r>
      <w:r w:rsidRPr="005F6EA9">
        <w:rPr>
          <w:i/>
          <w:sz w:val="20"/>
          <w:szCs w:val="20"/>
          <w:lang w:val="es-CR"/>
        </w:rPr>
        <w:t>.</w:t>
      </w:r>
      <w:r w:rsidRPr="005F6EA9">
        <w:rPr>
          <w:i/>
          <w:spacing w:val="-8"/>
          <w:sz w:val="20"/>
          <w:szCs w:val="20"/>
          <w:lang w:val="es-CR"/>
        </w:rPr>
        <w:t xml:space="preserve"> </w:t>
      </w:r>
      <w:r w:rsidRPr="005F6EA9">
        <w:rPr>
          <w:sz w:val="20"/>
          <w:szCs w:val="20"/>
          <w:lang w:val="es-CR"/>
        </w:rPr>
        <w:t>Resolución</w:t>
      </w:r>
      <w:r w:rsidRPr="005F6EA9">
        <w:rPr>
          <w:spacing w:val="-6"/>
          <w:sz w:val="20"/>
          <w:szCs w:val="20"/>
          <w:lang w:val="es-CR"/>
        </w:rPr>
        <w:t xml:space="preserve"> </w:t>
      </w:r>
      <w:r w:rsidRPr="005F6EA9">
        <w:rPr>
          <w:sz w:val="20"/>
          <w:szCs w:val="20"/>
          <w:lang w:val="es-CR"/>
        </w:rPr>
        <w:t>de</w:t>
      </w:r>
      <w:r w:rsidRPr="005F6EA9">
        <w:rPr>
          <w:spacing w:val="-9"/>
          <w:sz w:val="20"/>
          <w:szCs w:val="20"/>
          <w:lang w:val="es-CR"/>
        </w:rPr>
        <w:t xml:space="preserve"> </w:t>
      </w:r>
      <w:r w:rsidRPr="005F6EA9">
        <w:rPr>
          <w:sz w:val="20"/>
          <w:szCs w:val="20"/>
          <w:lang w:val="es-CR"/>
        </w:rPr>
        <w:t xml:space="preserve">la Corte Interamericana de Derechos Humanos de </w:t>
      </w:r>
      <w:r w:rsidR="00645F25">
        <w:rPr>
          <w:sz w:val="20"/>
          <w:szCs w:val="20"/>
          <w:lang w:val="es-CR"/>
        </w:rPr>
        <w:t>26</w:t>
      </w:r>
      <w:r w:rsidRPr="005F6EA9">
        <w:rPr>
          <w:sz w:val="20"/>
          <w:szCs w:val="20"/>
          <w:lang w:val="es-CR"/>
        </w:rPr>
        <w:t xml:space="preserve"> de </w:t>
      </w:r>
      <w:r w:rsidR="00CA3C7A" w:rsidRPr="005F6EA9">
        <w:rPr>
          <w:sz w:val="20"/>
          <w:szCs w:val="20"/>
          <w:lang w:val="es-CR"/>
        </w:rPr>
        <w:t>marzo</w:t>
      </w:r>
      <w:r w:rsidRPr="005F6EA9">
        <w:rPr>
          <w:sz w:val="20"/>
          <w:szCs w:val="20"/>
          <w:lang w:val="es-CR"/>
        </w:rPr>
        <w:t xml:space="preserve"> de 2021. Resolución adoptada en San José, Costa Rica por medio de sesión</w:t>
      </w:r>
      <w:r w:rsidRPr="005F6EA9">
        <w:rPr>
          <w:spacing w:val="-7"/>
          <w:sz w:val="20"/>
          <w:szCs w:val="20"/>
          <w:lang w:val="es-CR"/>
        </w:rPr>
        <w:t xml:space="preserve"> </w:t>
      </w:r>
      <w:r w:rsidRPr="005F6EA9">
        <w:rPr>
          <w:sz w:val="20"/>
          <w:szCs w:val="20"/>
          <w:lang w:val="es-CR"/>
        </w:rPr>
        <w:t>virtual.</w:t>
      </w:r>
    </w:p>
    <w:p w14:paraId="7BAB3EB4" w14:textId="77777777" w:rsidR="000B604C" w:rsidRPr="005F6EA9" w:rsidRDefault="000B604C" w:rsidP="00CA3C7A">
      <w:pPr>
        <w:pStyle w:val="Textoindependiente"/>
        <w:spacing w:before="120" w:after="120"/>
        <w:rPr>
          <w:lang w:val="es-CR"/>
        </w:rPr>
      </w:pPr>
    </w:p>
    <w:p w14:paraId="73918A88" w14:textId="77777777" w:rsidR="000B604C" w:rsidRPr="00A76508" w:rsidRDefault="00BB636F" w:rsidP="00CA3C7A">
      <w:pPr>
        <w:pStyle w:val="Textoindependiente"/>
        <w:spacing w:before="120" w:after="120"/>
        <w:ind w:left="3768" w:right="3491"/>
        <w:jc w:val="center"/>
        <w:rPr>
          <w:lang w:val="pt-BR"/>
        </w:rPr>
      </w:pPr>
      <w:r w:rsidRPr="00A76508">
        <w:rPr>
          <w:lang w:val="pt-BR"/>
        </w:rPr>
        <w:t xml:space="preserve">Elizabeth </w:t>
      </w:r>
      <w:proofErr w:type="spellStart"/>
      <w:r w:rsidRPr="00A76508">
        <w:rPr>
          <w:lang w:val="pt-BR"/>
        </w:rPr>
        <w:t>Odio</w:t>
      </w:r>
      <w:proofErr w:type="spellEnd"/>
      <w:r w:rsidRPr="00A76508">
        <w:rPr>
          <w:lang w:val="pt-BR"/>
        </w:rPr>
        <w:t xml:space="preserve"> Benito Presidenta</w:t>
      </w:r>
    </w:p>
    <w:p w14:paraId="3CC12FC2" w14:textId="77777777" w:rsidR="000B604C" w:rsidRPr="00A76508" w:rsidRDefault="000B604C" w:rsidP="00CA3C7A">
      <w:pPr>
        <w:pStyle w:val="Textoindependiente"/>
        <w:spacing w:before="120" w:after="120"/>
        <w:rPr>
          <w:lang w:val="pt-BR"/>
        </w:rPr>
      </w:pPr>
    </w:p>
    <w:p w14:paraId="5A5204A2" w14:textId="77777777" w:rsidR="000B604C" w:rsidRPr="00A76508" w:rsidRDefault="00BB636F" w:rsidP="00CA3C7A">
      <w:pPr>
        <w:pStyle w:val="Textoindependiente"/>
        <w:tabs>
          <w:tab w:val="left" w:pos="7436"/>
        </w:tabs>
        <w:spacing w:before="120" w:after="120"/>
        <w:ind w:left="398"/>
        <w:rPr>
          <w:lang w:val="pt-BR"/>
        </w:rPr>
      </w:pPr>
      <w:r w:rsidRPr="00A76508">
        <w:rPr>
          <w:lang w:val="pt-BR"/>
        </w:rPr>
        <w:t xml:space="preserve">L. </w:t>
      </w:r>
      <w:proofErr w:type="spellStart"/>
      <w:r w:rsidRPr="00A76508">
        <w:rPr>
          <w:lang w:val="pt-BR"/>
        </w:rPr>
        <w:t>Patricio</w:t>
      </w:r>
      <w:proofErr w:type="spellEnd"/>
      <w:r w:rsidRPr="00A76508">
        <w:rPr>
          <w:spacing w:val="-6"/>
          <w:lang w:val="pt-BR"/>
        </w:rPr>
        <w:t xml:space="preserve"> </w:t>
      </w:r>
      <w:proofErr w:type="spellStart"/>
      <w:r w:rsidRPr="00A76508">
        <w:rPr>
          <w:lang w:val="pt-BR"/>
        </w:rPr>
        <w:t>Pazmiño</w:t>
      </w:r>
      <w:proofErr w:type="spellEnd"/>
      <w:r w:rsidRPr="00A76508">
        <w:rPr>
          <w:spacing w:val="-3"/>
          <w:lang w:val="pt-BR"/>
        </w:rPr>
        <w:t xml:space="preserve"> </w:t>
      </w:r>
      <w:r w:rsidRPr="00A76508">
        <w:rPr>
          <w:lang w:val="pt-BR"/>
        </w:rPr>
        <w:t>Freire</w:t>
      </w:r>
      <w:r w:rsidRPr="00A76508">
        <w:rPr>
          <w:lang w:val="pt-BR"/>
        </w:rPr>
        <w:tab/>
        <w:t xml:space="preserve">Eduardo </w:t>
      </w:r>
      <w:proofErr w:type="spellStart"/>
      <w:r w:rsidRPr="00A76508">
        <w:rPr>
          <w:lang w:val="pt-BR"/>
        </w:rPr>
        <w:t>Vio</w:t>
      </w:r>
      <w:proofErr w:type="spellEnd"/>
      <w:r w:rsidRPr="00A76508">
        <w:rPr>
          <w:spacing w:val="-2"/>
          <w:lang w:val="pt-BR"/>
        </w:rPr>
        <w:t xml:space="preserve"> </w:t>
      </w:r>
      <w:r w:rsidRPr="00A76508">
        <w:rPr>
          <w:lang w:val="pt-BR"/>
        </w:rPr>
        <w:t>Grossi</w:t>
      </w:r>
    </w:p>
    <w:p w14:paraId="5C3B1219" w14:textId="77777777" w:rsidR="000B604C" w:rsidRPr="00A76508" w:rsidRDefault="000B604C" w:rsidP="00CA3C7A">
      <w:pPr>
        <w:pStyle w:val="Textoindependiente"/>
        <w:spacing w:before="120" w:after="120"/>
        <w:rPr>
          <w:lang w:val="pt-BR"/>
        </w:rPr>
      </w:pPr>
    </w:p>
    <w:p w14:paraId="61323D38" w14:textId="278CC10A" w:rsidR="000B604C" w:rsidRPr="00A76508" w:rsidRDefault="00246902" w:rsidP="00CA3C7A">
      <w:pPr>
        <w:pStyle w:val="Textoindependiente"/>
        <w:tabs>
          <w:tab w:val="left" w:pos="6877"/>
        </w:tabs>
        <w:spacing w:before="120" w:after="120"/>
        <w:ind w:left="397"/>
        <w:jc w:val="both"/>
        <w:rPr>
          <w:lang w:val="pt-BR"/>
        </w:rPr>
      </w:pPr>
      <w:r w:rsidRPr="00A76508">
        <w:rPr>
          <w:lang w:val="pt-BR"/>
        </w:rPr>
        <w:t xml:space="preserve">Humberto A. </w:t>
      </w:r>
      <w:proofErr w:type="spellStart"/>
      <w:r w:rsidRPr="00A76508">
        <w:rPr>
          <w:lang w:val="pt-BR"/>
        </w:rPr>
        <w:t>Sierra</w:t>
      </w:r>
      <w:proofErr w:type="spellEnd"/>
      <w:r w:rsidRPr="00A76508">
        <w:rPr>
          <w:lang w:val="pt-BR"/>
        </w:rPr>
        <w:t xml:space="preserve"> Porto</w:t>
      </w:r>
      <w:r w:rsidR="00BB636F" w:rsidRPr="00A76508">
        <w:rPr>
          <w:lang w:val="pt-BR"/>
        </w:rPr>
        <w:tab/>
        <w:t xml:space="preserve">Eugenio </w:t>
      </w:r>
      <w:proofErr w:type="spellStart"/>
      <w:r w:rsidR="00BB636F" w:rsidRPr="00A76508">
        <w:rPr>
          <w:lang w:val="pt-BR"/>
        </w:rPr>
        <w:t>Raúl</w:t>
      </w:r>
      <w:proofErr w:type="spellEnd"/>
      <w:r w:rsidR="00BB636F" w:rsidRPr="00A76508">
        <w:rPr>
          <w:spacing w:val="-4"/>
          <w:lang w:val="pt-BR"/>
        </w:rPr>
        <w:t xml:space="preserve"> </w:t>
      </w:r>
      <w:proofErr w:type="spellStart"/>
      <w:r w:rsidR="00BB636F" w:rsidRPr="00A76508">
        <w:rPr>
          <w:lang w:val="pt-BR"/>
        </w:rPr>
        <w:t>Zaffaroni</w:t>
      </w:r>
      <w:proofErr w:type="spellEnd"/>
    </w:p>
    <w:p w14:paraId="30570FE3" w14:textId="77777777" w:rsidR="000B604C" w:rsidRPr="00A76508" w:rsidRDefault="000B604C" w:rsidP="00CA3C7A">
      <w:pPr>
        <w:pStyle w:val="Textoindependiente"/>
        <w:spacing w:before="120" w:after="120"/>
        <w:rPr>
          <w:lang w:val="pt-BR"/>
        </w:rPr>
      </w:pPr>
    </w:p>
    <w:p w14:paraId="170955A7" w14:textId="77777777" w:rsidR="000B604C" w:rsidRPr="00A76508" w:rsidRDefault="00BB636F" w:rsidP="00CA3C7A">
      <w:pPr>
        <w:pStyle w:val="Textoindependiente"/>
        <w:spacing w:before="120" w:after="120"/>
        <w:ind w:left="3996"/>
        <w:rPr>
          <w:lang w:val="pt-BR"/>
        </w:rPr>
      </w:pPr>
      <w:r w:rsidRPr="00A76508">
        <w:rPr>
          <w:lang w:val="pt-BR"/>
        </w:rPr>
        <w:t xml:space="preserve">Ricardo C. Pérez </w:t>
      </w:r>
      <w:proofErr w:type="spellStart"/>
      <w:r w:rsidRPr="00A76508">
        <w:rPr>
          <w:lang w:val="pt-BR"/>
        </w:rPr>
        <w:t>Manrique</w:t>
      </w:r>
      <w:proofErr w:type="spellEnd"/>
    </w:p>
    <w:p w14:paraId="7851F6C5" w14:textId="77777777" w:rsidR="000B604C" w:rsidRPr="00A76508" w:rsidRDefault="000B604C" w:rsidP="00CA3C7A">
      <w:pPr>
        <w:pStyle w:val="Textoindependiente"/>
        <w:spacing w:before="120" w:after="120"/>
        <w:rPr>
          <w:lang w:val="pt-BR"/>
        </w:rPr>
      </w:pPr>
    </w:p>
    <w:p w14:paraId="7B74EDE1" w14:textId="77777777" w:rsidR="000B604C" w:rsidRPr="00A76508" w:rsidRDefault="000B604C" w:rsidP="00CA3C7A">
      <w:pPr>
        <w:pStyle w:val="Textoindependiente"/>
        <w:spacing w:before="120" w:after="120"/>
        <w:rPr>
          <w:lang w:val="pt-BR"/>
        </w:rPr>
      </w:pPr>
    </w:p>
    <w:p w14:paraId="4FD6DCEE" w14:textId="77777777" w:rsidR="000B604C" w:rsidRPr="00A76508" w:rsidRDefault="00BB636F" w:rsidP="00CA3C7A">
      <w:pPr>
        <w:pStyle w:val="Textoindependiente"/>
        <w:spacing w:before="120" w:after="120"/>
        <w:ind w:left="3768" w:right="3492"/>
        <w:jc w:val="center"/>
        <w:rPr>
          <w:lang w:val="pt-BR"/>
        </w:rPr>
      </w:pPr>
      <w:r w:rsidRPr="00A76508">
        <w:rPr>
          <w:lang w:val="pt-BR"/>
        </w:rPr>
        <w:t>Pablo Saavedra Alessandri Secretario</w:t>
      </w:r>
    </w:p>
    <w:p w14:paraId="393722A4" w14:textId="77777777" w:rsidR="000B604C" w:rsidRPr="00A76508" w:rsidRDefault="000B604C" w:rsidP="00CA3C7A">
      <w:pPr>
        <w:pStyle w:val="Textoindependiente"/>
        <w:spacing w:before="120" w:after="120"/>
        <w:rPr>
          <w:lang w:val="pt-BR"/>
        </w:rPr>
      </w:pPr>
    </w:p>
    <w:p w14:paraId="1338D133" w14:textId="77777777" w:rsidR="000B604C" w:rsidRPr="00A76508" w:rsidRDefault="00BB636F" w:rsidP="00CA3C7A">
      <w:pPr>
        <w:pStyle w:val="Textoindependiente"/>
        <w:spacing w:before="120" w:after="120"/>
        <w:ind w:left="396"/>
        <w:jc w:val="both"/>
        <w:rPr>
          <w:lang w:val="pt-BR"/>
        </w:rPr>
      </w:pPr>
      <w:proofErr w:type="spellStart"/>
      <w:r w:rsidRPr="00A76508">
        <w:rPr>
          <w:lang w:val="pt-BR"/>
        </w:rPr>
        <w:t>Comuníquese</w:t>
      </w:r>
      <w:proofErr w:type="spellEnd"/>
      <w:r w:rsidRPr="00A76508">
        <w:rPr>
          <w:lang w:val="pt-BR"/>
        </w:rPr>
        <w:t xml:space="preserve"> y </w:t>
      </w:r>
      <w:proofErr w:type="spellStart"/>
      <w:r w:rsidRPr="00A76508">
        <w:rPr>
          <w:lang w:val="pt-BR"/>
        </w:rPr>
        <w:t>ejecútese</w:t>
      </w:r>
      <w:proofErr w:type="spellEnd"/>
      <w:r w:rsidRPr="00A76508">
        <w:rPr>
          <w:lang w:val="pt-BR"/>
        </w:rPr>
        <w:t>,</w:t>
      </w:r>
    </w:p>
    <w:p w14:paraId="2A896635" w14:textId="77777777" w:rsidR="000B604C" w:rsidRPr="00A76508" w:rsidRDefault="00BB636F" w:rsidP="00CA3C7A">
      <w:pPr>
        <w:pStyle w:val="Textoindependiente"/>
        <w:spacing w:before="120" w:after="120"/>
        <w:ind w:left="7404" w:right="898" w:hanging="550"/>
        <w:rPr>
          <w:lang w:val="pt-BR"/>
        </w:rPr>
      </w:pPr>
      <w:r w:rsidRPr="00A76508">
        <w:rPr>
          <w:lang w:val="pt-BR"/>
        </w:rPr>
        <w:t xml:space="preserve">Elizabeth </w:t>
      </w:r>
      <w:proofErr w:type="spellStart"/>
      <w:r w:rsidRPr="00A76508">
        <w:rPr>
          <w:lang w:val="pt-BR"/>
        </w:rPr>
        <w:t>Odio</w:t>
      </w:r>
      <w:proofErr w:type="spellEnd"/>
      <w:r w:rsidRPr="00A76508">
        <w:rPr>
          <w:lang w:val="pt-BR"/>
        </w:rPr>
        <w:t xml:space="preserve"> Benito Presidenta</w:t>
      </w:r>
    </w:p>
    <w:p w14:paraId="34AF8031" w14:textId="17C7C3B6" w:rsidR="000B604C" w:rsidRPr="005F6EA9" w:rsidRDefault="00BB636F" w:rsidP="00333533">
      <w:pPr>
        <w:pStyle w:val="Textoindependiente"/>
        <w:spacing w:before="120" w:after="120"/>
        <w:ind w:left="1116" w:right="6846" w:hanging="720"/>
      </w:pPr>
      <w:r w:rsidRPr="005F6EA9">
        <w:rPr>
          <w:lang w:val="es-CR"/>
        </w:rPr>
        <w:t>Pablo Saavedra Alessandri Secretario</w:t>
      </w:r>
      <w:bookmarkStart w:id="3" w:name="integrantesmilitantesunionpatriotica_vpa"/>
      <w:bookmarkEnd w:id="3"/>
    </w:p>
    <w:sectPr w:rsidR="000B604C" w:rsidRPr="005F6EA9">
      <w:headerReference w:type="default" r:id="rId8"/>
      <w:pgSz w:w="12240" w:h="15840"/>
      <w:pgMar w:top="1340" w:right="130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B1930" w14:textId="77777777" w:rsidR="00B95384" w:rsidRDefault="00B95384">
      <w:r>
        <w:separator/>
      </w:r>
    </w:p>
  </w:endnote>
  <w:endnote w:type="continuationSeparator" w:id="0">
    <w:p w14:paraId="0AEE2F55" w14:textId="77777777" w:rsidR="00B95384" w:rsidRDefault="00B9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B2BB" w14:textId="77777777" w:rsidR="00B95384" w:rsidRDefault="00B95384">
      <w:r>
        <w:separator/>
      </w:r>
    </w:p>
  </w:footnote>
  <w:footnote w:type="continuationSeparator" w:id="0">
    <w:p w14:paraId="23FB191B" w14:textId="77777777" w:rsidR="00B95384" w:rsidRDefault="00B95384">
      <w:r>
        <w:continuationSeparator/>
      </w:r>
    </w:p>
  </w:footnote>
  <w:footnote w:id="1">
    <w:p w14:paraId="374CB1CF" w14:textId="6F0EF815" w:rsidR="00CA3C7A" w:rsidRPr="00861AF9" w:rsidRDefault="00CA3C7A" w:rsidP="00861AF9">
      <w:pPr>
        <w:pStyle w:val="Textonotapie"/>
        <w:spacing w:before="60" w:after="60"/>
        <w:jc w:val="both"/>
        <w:rPr>
          <w:sz w:val="16"/>
          <w:szCs w:val="16"/>
          <w:lang w:val="es-CR"/>
        </w:rPr>
      </w:pPr>
      <w:r w:rsidRPr="00861AF9">
        <w:rPr>
          <w:rStyle w:val="Refdenotaalpie"/>
          <w:sz w:val="16"/>
          <w:szCs w:val="16"/>
        </w:rPr>
        <w:footnoteRef/>
      </w:r>
      <w:r w:rsidRPr="00861AF9">
        <w:rPr>
          <w:sz w:val="16"/>
          <w:szCs w:val="16"/>
          <w:lang w:val="es-CR"/>
        </w:rPr>
        <w:t xml:space="preserve"> </w:t>
      </w:r>
      <w:r w:rsidRPr="00861AF9">
        <w:rPr>
          <w:sz w:val="16"/>
          <w:szCs w:val="16"/>
          <w:lang w:val="es-CR"/>
        </w:rPr>
        <w:tab/>
        <w:t>Resolución aprobada durante el 140 Período Ordinario de Sesiones, llevado a cabo de forma no presencial utilizando medios tecnológicos de conformidad con lo establecido en el Reglamento de la Corte.</w:t>
      </w:r>
    </w:p>
  </w:footnote>
  <w:footnote w:id="2">
    <w:p w14:paraId="0DB8A5E7" w14:textId="77E381DD" w:rsidR="00CA3C7A" w:rsidRPr="00861AF9" w:rsidRDefault="00CA3C7A" w:rsidP="00861AF9">
      <w:pPr>
        <w:pStyle w:val="Textonotapie"/>
        <w:spacing w:before="60" w:after="60"/>
        <w:jc w:val="both"/>
        <w:rPr>
          <w:sz w:val="16"/>
          <w:szCs w:val="16"/>
          <w:lang w:val="es-CR"/>
        </w:rPr>
      </w:pPr>
      <w:r w:rsidRPr="00861AF9">
        <w:rPr>
          <w:rStyle w:val="Refdenotaalpie"/>
          <w:sz w:val="16"/>
          <w:szCs w:val="16"/>
        </w:rPr>
        <w:footnoteRef/>
      </w:r>
      <w:r w:rsidRPr="00861AF9">
        <w:rPr>
          <w:sz w:val="16"/>
          <w:szCs w:val="16"/>
          <w:lang w:val="es-CR"/>
        </w:rPr>
        <w:t xml:space="preserve"> </w:t>
      </w:r>
      <w:r w:rsidRPr="00861AF9">
        <w:rPr>
          <w:sz w:val="16"/>
          <w:szCs w:val="16"/>
          <w:lang w:val="es-CR"/>
        </w:rPr>
        <w:tab/>
        <w:t>El Juez Eduardo Ferrer Mac-Gregor Poisot, de nacionalidad</w:t>
      </w:r>
      <w:r w:rsidRPr="00861AF9">
        <w:rPr>
          <w:spacing w:val="-10"/>
          <w:sz w:val="16"/>
          <w:szCs w:val="16"/>
          <w:lang w:val="es-CR"/>
        </w:rPr>
        <w:t xml:space="preserve"> </w:t>
      </w:r>
      <w:r w:rsidRPr="00861AF9">
        <w:rPr>
          <w:sz w:val="16"/>
          <w:szCs w:val="16"/>
          <w:lang w:val="es-CR"/>
        </w:rPr>
        <w:t>mexicana,</w:t>
      </w:r>
      <w:r w:rsidRPr="00861AF9">
        <w:rPr>
          <w:spacing w:val="-9"/>
          <w:sz w:val="16"/>
          <w:szCs w:val="16"/>
          <w:lang w:val="es-CR"/>
        </w:rPr>
        <w:t xml:space="preserve"> </w:t>
      </w:r>
      <w:r w:rsidRPr="00861AF9">
        <w:rPr>
          <w:sz w:val="16"/>
          <w:szCs w:val="16"/>
          <w:lang w:val="es-CR"/>
        </w:rPr>
        <w:t>no</w:t>
      </w:r>
      <w:r w:rsidRPr="00861AF9">
        <w:rPr>
          <w:spacing w:val="-9"/>
          <w:sz w:val="16"/>
          <w:szCs w:val="16"/>
          <w:lang w:val="es-CR"/>
        </w:rPr>
        <w:t xml:space="preserve"> </w:t>
      </w:r>
      <w:r w:rsidRPr="00861AF9">
        <w:rPr>
          <w:sz w:val="16"/>
          <w:szCs w:val="16"/>
          <w:lang w:val="es-CR"/>
        </w:rPr>
        <w:t>participó</w:t>
      </w:r>
      <w:r w:rsidRPr="00861AF9">
        <w:rPr>
          <w:spacing w:val="-10"/>
          <w:sz w:val="16"/>
          <w:szCs w:val="16"/>
          <w:lang w:val="es-CR"/>
        </w:rPr>
        <w:t xml:space="preserve"> </w:t>
      </w:r>
      <w:r w:rsidRPr="00861AF9">
        <w:rPr>
          <w:sz w:val="16"/>
          <w:szCs w:val="16"/>
          <w:lang w:val="es-CR"/>
        </w:rPr>
        <w:t>en</w:t>
      </w:r>
      <w:r w:rsidRPr="00861AF9">
        <w:rPr>
          <w:spacing w:val="-12"/>
          <w:sz w:val="16"/>
          <w:szCs w:val="16"/>
          <w:lang w:val="es-CR"/>
        </w:rPr>
        <w:t xml:space="preserve"> </w:t>
      </w:r>
      <w:r w:rsidRPr="00861AF9">
        <w:rPr>
          <w:sz w:val="16"/>
          <w:szCs w:val="16"/>
          <w:lang w:val="es-CR"/>
        </w:rPr>
        <w:t>la</w:t>
      </w:r>
      <w:r w:rsidRPr="00861AF9">
        <w:rPr>
          <w:spacing w:val="-10"/>
          <w:sz w:val="16"/>
          <w:szCs w:val="16"/>
          <w:lang w:val="es-CR"/>
        </w:rPr>
        <w:t xml:space="preserve"> </w:t>
      </w:r>
      <w:r w:rsidRPr="00861AF9">
        <w:rPr>
          <w:sz w:val="16"/>
          <w:szCs w:val="16"/>
          <w:lang w:val="es-CR"/>
        </w:rPr>
        <w:t>discusión</w:t>
      </w:r>
      <w:r w:rsidRPr="00861AF9">
        <w:rPr>
          <w:spacing w:val="-12"/>
          <w:sz w:val="16"/>
          <w:szCs w:val="16"/>
          <w:lang w:val="es-CR"/>
        </w:rPr>
        <w:t xml:space="preserve"> </w:t>
      </w:r>
      <w:r w:rsidRPr="00861AF9">
        <w:rPr>
          <w:sz w:val="16"/>
          <w:szCs w:val="16"/>
          <w:lang w:val="es-CR"/>
        </w:rPr>
        <w:t>de</w:t>
      </w:r>
      <w:r w:rsidRPr="00861AF9">
        <w:rPr>
          <w:spacing w:val="-10"/>
          <w:sz w:val="16"/>
          <w:szCs w:val="16"/>
          <w:lang w:val="es-CR"/>
        </w:rPr>
        <w:t xml:space="preserve"> </w:t>
      </w:r>
      <w:r w:rsidRPr="00861AF9">
        <w:rPr>
          <w:sz w:val="16"/>
          <w:szCs w:val="16"/>
          <w:lang w:val="es-CR"/>
        </w:rPr>
        <w:t>la</w:t>
      </w:r>
      <w:r w:rsidRPr="00861AF9">
        <w:rPr>
          <w:spacing w:val="-14"/>
          <w:sz w:val="16"/>
          <w:szCs w:val="16"/>
          <w:lang w:val="es-CR"/>
        </w:rPr>
        <w:t xml:space="preserve"> </w:t>
      </w:r>
      <w:r w:rsidRPr="00861AF9">
        <w:rPr>
          <w:sz w:val="16"/>
          <w:szCs w:val="16"/>
          <w:lang w:val="es-CR"/>
        </w:rPr>
        <w:t>presente</w:t>
      </w:r>
      <w:r w:rsidRPr="00861AF9">
        <w:rPr>
          <w:spacing w:val="-12"/>
          <w:sz w:val="16"/>
          <w:szCs w:val="16"/>
          <w:lang w:val="es-CR"/>
        </w:rPr>
        <w:t xml:space="preserve"> </w:t>
      </w:r>
      <w:r w:rsidRPr="00861AF9">
        <w:rPr>
          <w:sz w:val="16"/>
          <w:szCs w:val="16"/>
          <w:lang w:val="es-CR"/>
        </w:rPr>
        <w:t>Resolución,</w:t>
      </w:r>
      <w:r w:rsidRPr="00861AF9">
        <w:rPr>
          <w:spacing w:val="-12"/>
          <w:sz w:val="16"/>
          <w:szCs w:val="16"/>
          <w:lang w:val="es-CR"/>
        </w:rPr>
        <w:t xml:space="preserve"> </w:t>
      </w:r>
      <w:r w:rsidRPr="00861AF9">
        <w:rPr>
          <w:sz w:val="16"/>
          <w:szCs w:val="16"/>
          <w:lang w:val="es-CR"/>
        </w:rPr>
        <w:t>de</w:t>
      </w:r>
      <w:r w:rsidRPr="00861AF9">
        <w:rPr>
          <w:spacing w:val="-12"/>
          <w:sz w:val="16"/>
          <w:szCs w:val="16"/>
          <w:lang w:val="es-CR"/>
        </w:rPr>
        <w:t xml:space="preserve"> </w:t>
      </w:r>
      <w:r w:rsidRPr="00861AF9">
        <w:rPr>
          <w:sz w:val="16"/>
          <w:szCs w:val="16"/>
          <w:lang w:val="es-CR"/>
        </w:rPr>
        <w:t>conformidad</w:t>
      </w:r>
      <w:r w:rsidRPr="00861AF9">
        <w:rPr>
          <w:spacing w:val="-10"/>
          <w:sz w:val="16"/>
          <w:szCs w:val="16"/>
          <w:lang w:val="es-CR"/>
        </w:rPr>
        <w:t xml:space="preserve"> </w:t>
      </w:r>
      <w:r w:rsidRPr="00861AF9">
        <w:rPr>
          <w:sz w:val="16"/>
          <w:szCs w:val="16"/>
          <w:lang w:val="es-CR"/>
        </w:rPr>
        <w:t>con</w:t>
      </w:r>
      <w:r w:rsidRPr="00861AF9">
        <w:rPr>
          <w:spacing w:val="-9"/>
          <w:sz w:val="16"/>
          <w:szCs w:val="16"/>
          <w:lang w:val="es-CR"/>
        </w:rPr>
        <w:t xml:space="preserve"> </w:t>
      </w:r>
      <w:r w:rsidRPr="00861AF9">
        <w:rPr>
          <w:sz w:val="16"/>
          <w:szCs w:val="16"/>
          <w:lang w:val="es-CR"/>
        </w:rPr>
        <w:t>los</w:t>
      </w:r>
      <w:r w:rsidRPr="00861AF9">
        <w:rPr>
          <w:spacing w:val="-10"/>
          <w:sz w:val="16"/>
          <w:szCs w:val="16"/>
          <w:lang w:val="es-CR"/>
        </w:rPr>
        <w:t xml:space="preserve"> </w:t>
      </w:r>
      <w:r w:rsidRPr="00861AF9">
        <w:rPr>
          <w:sz w:val="16"/>
          <w:szCs w:val="16"/>
          <w:lang w:val="es-CR"/>
        </w:rPr>
        <w:t>artículos</w:t>
      </w:r>
      <w:r w:rsidRPr="00861AF9">
        <w:rPr>
          <w:spacing w:val="-13"/>
          <w:sz w:val="16"/>
          <w:szCs w:val="16"/>
          <w:lang w:val="es-CR"/>
        </w:rPr>
        <w:t xml:space="preserve"> </w:t>
      </w:r>
      <w:r w:rsidRPr="00861AF9">
        <w:rPr>
          <w:sz w:val="16"/>
          <w:szCs w:val="16"/>
          <w:lang w:val="es-CR"/>
        </w:rPr>
        <w:t>19.2 del Estatuto y 19 del Reglamento de la</w:t>
      </w:r>
      <w:r w:rsidRPr="00861AF9">
        <w:rPr>
          <w:spacing w:val="-9"/>
          <w:sz w:val="16"/>
          <w:szCs w:val="16"/>
          <w:lang w:val="es-CR"/>
        </w:rPr>
        <w:t xml:space="preserve"> </w:t>
      </w:r>
      <w:r w:rsidRPr="00861AF9">
        <w:rPr>
          <w:sz w:val="16"/>
          <w:szCs w:val="16"/>
          <w:lang w:val="es-CR"/>
        </w:rPr>
        <w:t>Corte.</w:t>
      </w:r>
    </w:p>
  </w:footnote>
  <w:footnote w:id="3">
    <w:p w14:paraId="7BF0B4DF" w14:textId="5E4DDBB2" w:rsidR="00CD4559" w:rsidRPr="00861AF9" w:rsidRDefault="00CD4559"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sz w:val="16"/>
          <w:szCs w:val="16"/>
          <w:lang w:val="es-ES"/>
        </w:rPr>
        <w:t>El señor Jesús Ochoa y Plácido.</w:t>
      </w:r>
    </w:p>
  </w:footnote>
  <w:footnote w:id="4">
    <w:p w14:paraId="22C8B786" w14:textId="6BF2332C" w:rsidR="00CD4559" w:rsidRPr="00861AF9" w:rsidRDefault="00CD4559"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sz w:val="16"/>
          <w:szCs w:val="16"/>
          <w:lang w:val="es-ES"/>
        </w:rPr>
        <w:t>El señor José Antonio Pérez Bravo.</w:t>
      </w:r>
    </w:p>
  </w:footnote>
  <w:footnote w:id="5">
    <w:p w14:paraId="0DD0DAB1" w14:textId="45A21452" w:rsidR="00CD4559" w:rsidRPr="00861AF9" w:rsidRDefault="00CD4559"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sz w:val="16"/>
          <w:szCs w:val="16"/>
          <w:lang w:val="es-ES"/>
        </w:rPr>
        <w:t>Las señoras Erika Guevara Rosas y Ángela María Buitrago Ruiz.</w:t>
      </w:r>
    </w:p>
  </w:footnote>
  <w:footnote w:id="6">
    <w:p w14:paraId="58A1A083" w14:textId="292F70DE" w:rsidR="00744765" w:rsidRPr="00861AF9" w:rsidRDefault="00744765" w:rsidP="00861AF9">
      <w:pPr>
        <w:pStyle w:val="Textonotapie"/>
        <w:spacing w:before="60" w:after="60"/>
        <w:jc w:val="both"/>
        <w:rPr>
          <w:sz w:val="16"/>
          <w:szCs w:val="16"/>
          <w:lang w:val="es-CR"/>
        </w:rPr>
      </w:pPr>
      <w:r w:rsidRPr="00861AF9">
        <w:rPr>
          <w:rStyle w:val="Refdenotaalpie"/>
          <w:sz w:val="16"/>
          <w:szCs w:val="16"/>
        </w:rPr>
        <w:footnoteRef/>
      </w:r>
      <w:r w:rsidRPr="00861AF9">
        <w:rPr>
          <w:sz w:val="16"/>
          <w:szCs w:val="16"/>
          <w:lang w:val="es-CR"/>
        </w:rPr>
        <w:t xml:space="preserve"> </w:t>
      </w:r>
      <w:r w:rsidRPr="00861AF9">
        <w:rPr>
          <w:sz w:val="16"/>
          <w:szCs w:val="16"/>
          <w:lang w:val="es-CR"/>
        </w:rPr>
        <w:tab/>
        <w:t>Dicho artículo estipula lo siguiente: “[l]as demás resoluciones serán dictadas por la Corte, si estuviere reunida; si no lo estuviere, por la Presidencia, salvo disposición en contrario. Toda decisión de la Presidencia, que no sea de mero trámite, es recurrible ante la Corte”.</w:t>
      </w:r>
    </w:p>
  </w:footnote>
  <w:footnote w:id="7">
    <w:p w14:paraId="22956819" w14:textId="40F66553" w:rsidR="003B4CB7" w:rsidRPr="00861AF9" w:rsidRDefault="003B4CB7"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i/>
          <w:sz w:val="16"/>
          <w:szCs w:val="16"/>
          <w:lang w:val="es-ES"/>
        </w:rPr>
        <w:t xml:space="preserve">Cfr. Caso Familiares de Digna Ochoa y Plácido Vs. México. </w:t>
      </w:r>
      <w:r w:rsidRPr="00861AF9">
        <w:rPr>
          <w:sz w:val="16"/>
          <w:szCs w:val="16"/>
          <w:lang w:val="es-ES"/>
        </w:rPr>
        <w:t>Convocatoria a audiencia. Resolución de la Presidenta de la Corte Interamericana de Derechos Humanos de 3 de marzo de 2021, Considerando 31.</w:t>
      </w:r>
    </w:p>
  </w:footnote>
  <w:footnote w:id="8">
    <w:p w14:paraId="462158F6" w14:textId="55398E65" w:rsidR="00861AF9" w:rsidRPr="00861AF9" w:rsidRDefault="00861AF9" w:rsidP="00861AF9">
      <w:pPr>
        <w:pStyle w:val="Textonotapie"/>
        <w:spacing w:before="60" w:after="60"/>
        <w:jc w:val="both"/>
        <w:rPr>
          <w:sz w:val="16"/>
          <w:szCs w:val="16"/>
          <w:lang w:val="es-CR"/>
        </w:rPr>
      </w:pPr>
      <w:r w:rsidRPr="00861AF9">
        <w:rPr>
          <w:rStyle w:val="Refdenotaalpie"/>
          <w:sz w:val="16"/>
          <w:szCs w:val="16"/>
        </w:rPr>
        <w:footnoteRef/>
      </w:r>
      <w:r w:rsidRPr="00861AF9">
        <w:rPr>
          <w:sz w:val="16"/>
          <w:szCs w:val="16"/>
          <w:lang w:val="es-CR"/>
        </w:rPr>
        <w:t xml:space="preserve"> </w:t>
      </w:r>
      <w:r w:rsidRPr="00861AF9">
        <w:rPr>
          <w:sz w:val="16"/>
          <w:szCs w:val="16"/>
          <w:lang w:val="es-CR"/>
        </w:rPr>
        <w:tab/>
        <w:t>Dicho artículo estipula lo siguiente: “1. El demandado expondrá por escrito su posición sobre el caso sometido a la Corte y, cuando corresponda, al escrito de solicitudes, argumentos y pruebas, dentro del plazo improrrogable de dos meses contado a partir de la recepción de este último escrito y sus anexos, sin perjuicio del plazo que pueda establecer la Presidencia en la hipótesis señalada en el artículo 25.2 de este Reglamento. En la contestación el Estado indicará:</w:t>
      </w:r>
    </w:p>
    <w:p w14:paraId="35D2DAA4" w14:textId="7F957D55" w:rsidR="00861AF9" w:rsidRPr="00861AF9" w:rsidRDefault="00861AF9" w:rsidP="00861AF9">
      <w:pPr>
        <w:pStyle w:val="Textonotapie"/>
        <w:spacing w:before="60" w:after="60"/>
        <w:jc w:val="both"/>
        <w:rPr>
          <w:sz w:val="16"/>
          <w:szCs w:val="16"/>
          <w:lang w:val="es-CR"/>
        </w:rPr>
      </w:pPr>
      <w:r w:rsidRPr="00861AF9">
        <w:rPr>
          <w:sz w:val="16"/>
          <w:szCs w:val="16"/>
          <w:lang w:val="es-CR"/>
        </w:rPr>
        <w:t>[…]</w:t>
      </w:r>
    </w:p>
    <w:p w14:paraId="414C373A" w14:textId="72B22163" w:rsidR="00861AF9" w:rsidRPr="00861AF9" w:rsidRDefault="00861AF9" w:rsidP="00861AF9">
      <w:pPr>
        <w:pStyle w:val="Textonotapie"/>
        <w:spacing w:before="60" w:after="60"/>
        <w:jc w:val="both"/>
        <w:rPr>
          <w:sz w:val="16"/>
          <w:szCs w:val="16"/>
          <w:lang w:val="es-CR"/>
        </w:rPr>
      </w:pPr>
      <w:r w:rsidRPr="00861AF9">
        <w:rPr>
          <w:sz w:val="16"/>
          <w:szCs w:val="16"/>
          <w:lang w:val="es-CR"/>
        </w:rPr>
        <w:t>c. la propuesta e identificación de los declarantes y el objeto de su declaración. En el caso de los peritos, deberán además remitir su hoja de vida y sus datos de contacto; […]</w:t>
      </w:r>
      <w:r>
        <w:rPr>
          <w:sz w:val="16"/>
          <w:szCs w:val="16"/>
          <w:lang w:val="es-CR"/>
        </w:rPr>
        <w:t>”.</w:t>
      </w:r>
    </w:p>
  </w:footnote>
  <w:footnote w:id="9">
    <w:p w14:paraId="525B89D0" w14:textId="77777777" w:rsidR="00F927C0" w:rsidRPr="00861AF9" w:rsidRDefault="00F927C0"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i/>
          <w:sz w:val="16"/>
          <w:szCs w:val="16"/>
          <w:lang w:val="es-ES"/>
        </w:rPr>
        <w:t>Cfr</w:t>
      </w:r>
      <w:r w:rsidRPr="00861AF9">
        <w:rPr>
          <w:sz w:val="16"/>
          <w:szCs w:val="16"/>
          <w:lang w:val="es-ES"/>
        </w:rPr>
        <w:t xml:space="preserve">. Nota de Secretaría CDH-28-2019/002, de 22 de noviembre de 2019, mediante la cual se da traslado al Estado del Informe de Fondo </w:t>
      </w:r>
      <w:r w:rsidRPr="00861AF9">
        <w:rPr>
          <w:sz w:val="16"/>
          <w:szCs w:val="16"/>
          <w:lang w:val="es-CR"/>
        </w:rPr>
        <w:t>No. 61/19</w:t>
      </w:r>
      <w:r w:rsidRPr="00861AF9">
        <w:rPr>
          <w:sz w:val="16"/>
          <w:szCs w:val="16"/>
          <w:lang w:val="es-ES"/>
        </w:rPr>
        <w:t xml:space="preserve"> y se adjunta, entre otros, “c) comunicación de la CIDH de 23 de octubre de 2019, recibida vía correo electrónico, correspondiente al envío de la hoja de vida de Luz Adriana Camargo Garzón, perita propuesto en el caso”.</w:t>
      </w:r>
    </w:p>
  </w:footnote>
  <w:footnote w:id="10">
    <w:p w14:paraId="0786948A" w14:textId="77777777" w:rsidR="00F927C0" w:rsidRPr="00861AF9" w:rsidRDefault="00F927C0"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i/>
          <w:sz w:val="16"/>
          <w:szCs w:val="16"/>
          <w:lang w:val="es-ES"/>
        </w:rPr>
        <w:t>Cfr</w:t>
      </w:r>
      <w:r w:rsidRPr="00861AF9">
        <w:rPr>
          <w:sz w:val="16"/>
          <w:szCs w:val="16"/>
          <w:lang w:val="es-ES"/>
        </w:rPr>
        <w:t>. Nota de Secretaría CDH-28-2019/010, de 4 de marzo de 2020, mediante la cual se da traslado al Estado del escrito de solicitudes, argumentos y pruebas presentado por los representantes, en el cual se indican los nombres de todos los declarantes propuestos y se adjuntan, como anexo 8, las hojas de vida de las y los peritos propuestos.</w:t>
      </w:r>
    </w:p>
  </w:footnote>
  <w:footnote w:id="11">
    <w:p w14:paraId="3BF18416" w14:textId="501FC3B8" w:rsidR="00F927C0" w:rsidRPr="00861AF9" w:rsidRDefault="00F927C0" w:rsidP="00861AF9">
      <w:pPr>
        <w:pStyle w:val="Textonotapie"/>
        <w:spacing w:before="60" w:after="60"/>
        <w:jc w:val="both"/>
        <w:rPr>
          <w:sz w:val="16"/>
          <w:szCs w:val="16"/>
          <w:lang w:val="es-CR"/>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i/>
          <w:sz w:val="16"/>
          <w:szCs w:val="16"/>
          <w:lang w:val="es-ES"/>
        </w:rPr>
        <w:t>Cfr</w:t>
      </w:r>
      <w:r w:rsidRPr="00861AF9">
        <w:rPr>
          <w:sz w:val="16"/>
          <w:szCs w:val="16"/>
          <w:lang w:val="es-ES"/>
        </w:rPr>
        <w:t>. Notas de Secretaría CDH-28-2019/022 y CDH-28-2019/023, de 22 de octubre de 2020, mediante las cuales se da traslado a los representantes y la Comisión del escrito de listas definitivas, junto con las hojas de vida de cada uno de los peritos y peritas ofrecidos.</w:t>
      </w:r>
    </w:p>
  </w:footnote>
  <w:footnote w:id="12">
    <w:p w14:paraId="4A192FF5" w14:textId="1B659A12" w:rsidR="00333533" w:rsidRPr="00861AF9" w:rsidRDefault="00333533" w:rsidP="00861AF9">
      <w:pPr>
        <w:pStyle w:val="Textonotapie"/>
        <w:spacing w:before="60" w:after="60"/>
        <w:jc w:val="both"/>
        <w:rPr>
          <w:sz w:val="16"/>
          <w:szCs w:val="16"/>
          <w:lang w:val="es-ES"/>
        </w:rPr>
      </w:pPr>
      <w:r w:rsidRPr="00861AF9">
        <w:rPr>
          <w:rStyle w:val="Refdenotaalpie"/>
          <w:sz w:val="16"/>
          <w:szCs w:val="16"/>
        </w:rPr>
        <w:footnoteRef/>
      </w:r>
      <w:r w:rsidRPr="00861AF9">
        <w:rPr>
          <w:sz w:val="16"/>
          <w:szCs w:val="16"/>
          <w:lang w:val="es-CR"/>
        </w:rPr>
        <w:t xml:space="preserve"> </w:t>
      </w:r>
      <w:r w:rsidRPr="00861AF9">
        <w:rPr>
          <w:sz w:val="16"/>
          <w:szCs w:val="16"/>
          <w:lang w:val="es-CR"/>
        </w:rPr>
        <w:tab/>
      </w:r>
      <w:r w:rsidRPr="00861AF9">
        <w:rPr>
          <w:i/>
          <w:sz w:val="16"/>
          <w:szCs w:val="16"/>
          <w:lang w:val="es-ES"/>
        </w:rPr>
        <w:t>Cfr</w:t>
      </w:r>
      <w:r w:rsidRPr="00861AF9">
        <w:rPr>
          <w:sz w:val="16"/>
          <w:szCs w:val="16"/>
          <w:lang w:val="es-ES"/>
        </w:rPr>
        <w:t>. Notas de Secretaría CDH-28-2019/019 y CDH-28-2019/020, de 4 de marzo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DC8F" w14:textId="77777777" w:rsidR="000B604C" w:rsidRDefault="000B604C">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7B4D"/>
    <w:multiLevelType w:val="hybridMultilevel"/>
    <w:tmpl w:val="724686AE"/>
    <w:lvl w:ilvl="0" w:tplc="23BE8810">
      <w:start w:val="1"/>
      <w:numFmt w:val="decimal"/>
      <w:lvlText w:val="%1."/>
      <w:lvlJc w:val="left"/>
      <w:pPr>
        <w:ind w:left="398" w:hanging="567"/>
      </w:pPr>
      <w:rPr>
        <w:rFonts w:ascii="Verdana" w:eastAsia="Verdana" w:hAnsi="Verdana" w:cs="Verdana" w:hint="default"/>
        <w:w w:val="99"/>
        <w:sz w:val="20"/>
        <w:szCs w:val="20"/>
      </w:rPr>
    </w:lvl>
    <w:lvl w:ilvl="1" w:tplc="3C9C7EAE">
      <w:numFmt w:val="bullet"/>
      <w:lvlText w:val="•"/>
      <w:lvlJc w:val="left"/>
      <w:pPr>
        <w:ind w:left="1352" w:hanging="567"/>
      </w:pPr>
      <w:rPr>
        <w:rFonts w:hint="default"/>
      </w:rPr>
    </w:lvl>
    <w:lvl w:ilvl="2" w:tplc="4D9CB2C4">
      <w:numFmt w:val="bullet"/>
      <w:lvlText w:val="•"/>
      <w:lvlJc w:val="left"/>
      <w:pPr>
        <w:ind w:left="2304" w:hanging="567"/>
      </w:pPr>
      <w:rPr>
        <w:rFonts w:hint="default"/>
      </w:rPr>
    </w:lvl>
    <w:lvl w:ilvl="3" w:tplc="8196BE98">
      <w:numFmt w:val="bullet"/>
      <w:lvlText w:val="•"/>
      <w:lvlJc w:val="left"/>
      <w:pPr>
        <w:ind w:left="3256" w:hanging="567"/>
      </w:pPr>
      <w:rPr>
        <w:rFonts w:hint="default"/>
      </w:rPr>
    </w:lvl>
    <w:lvl w:ilvl="4" w:tplc="533444A0">
      <w:numFmt w:val="bullet"/>
      <w:lvlText w:val="•"/>
      <w:lvlJc w:val="left"/>
      <w:pPr>
        <w:ind w:left="4208" w:hanging="567"/>
      </w:pPr>
      <w:rPr>
        <w:rFonts w:hint="default"/>
      </w:rPr>
    </w:lvl>
    <w:lvl w:ilvl="5" w:tplc="FA9822B2">
      <w:numFmt w:val="bullet"/>
      <w:lvlText w:val="•"/>
      <w:lvlJc w:val="left"/>
      <w:pPr>
        <w:ind w:left="5160" w:hanging="567"/>
      </w:pPr>
      <w:rPr>
        <w:rFonts w:hint="default"/>
      </w:rPr>
    </w:lvl>
    <w:lvl w:ilvl="6" w:tplc="69D81B8A">
      <w:numFmt w:val="bullet"/>
      <w:lvlText w:val="•"/>
      <w:lvlJc w:val="left"/>
      <w:pPr>
        <w:ind w:left="6112" w:hanging="567"/>
      </w:pPr>
      <w:rPr>
        <w:rFonts w:hint="default"/>
      </w:rPr>
    </w:lvl>
    <w:lvl w:ilvl="7" w:tplc="D324B83A">
      <w:numFmt w:val="bullet"/>
      <w:lvlText w:val="•"/>
      <w:lvlJc w:val="left"/>
      <w:pPr>
        <w:ind w:left="7064" w:hanging="567"/>
      </w:pPr>
      <w:rPr>
        <w:rFonts w:hint="default"/>
      </w:rPr>
    </w:lvl>
    <w:lvl w:ilvl="8" w:tplc="F81E601A">
      <w:numFmt w:val="bullet"/>
      <w:lvlText w:val="•"/>
      <w:lvlJc w:val="left"/>
      <w:pPr>
        <w:ind w:left="8016" w:hanging="567"/>
      </w:pPr>
      <w:rPr>
        <w:rFonts w:hint="default"/>
      </w:rPr>
    </w:lvl>
  </w:abstractNum>
  <w:abstractNum w:abstractNumId="1" w15:restartNumberingAfterBreak="0">
    <w:nsid w:val="116E61FB"/>
    <w:multiLevelType w:val="hybridMultilevel"/>
    <w:tmpl w:val="26A00B8A"/>
    <w:lvl w:ilvl="0" w:tplc="0B783944">
      <w:start w:val="1"/>
      <w:numFmt w:val="decimal"/>
      <w:lvlText w:val="%1."/>
      <w:lvlJc w:val="left"/>
      <w:pPr>
        <w:ind w:left="398" w:hanging="567"/>
      </w:pPr>
      <w:rPr>
        <w:rFonts w:ascii="Verdana" w:eastAsia="Verdana" w:hAnsi="Verdana" w:cs="Verdana" w:hint="default"/>
        <w:w w:val="99"/>
        <w:sz w:val="20"/>
        <w:szCs w:val="20"/>
      </w:rPr>
    </w:lvl>
    <w:lvl w:ilvl="1" w:tplc="4F226484">
      <w:numFmt w:val="bullet"/>
      <w:lvlText w:val="•"/>
      <w:lvlJc w:val="left"/>
      <w:pPr>
        <w:ind w:left="1352" w:hanging="567"/>
      </w:pPr>
      <w:rPr>
        <w:rFonts w:hint="default"/>
      </w:rPr>
    </w:lvl>
    <w:lvl w:ilvl="2" w:tplc="761EED98">
      <w:numFmt w:val="bullet"/>
      <w:lvlText w:val="•"/>
      <w:lvlJc w:val="left"/>
      <w:pPr>
        <w:ind w:left="2304" w:hanging="567"/>
      </w:pPr>
      <w:rPr>
        <w:rFonts w:hint="default"/>
      </w:rPr>
    </w:lvl>
    <w:lvl w:ilvl="3" w:tplc="6374DAE0">
      <w:numFmt w:val="bullet"/>
      <w:lvlText w:val="•"/>
      <w:lvlJc w:val="left"/>
      <w:pPr>
        <w:ind w:left="3256" w:hanging="567"/>
      </w:pPr>
      <w:rPr>
        <w:rFonts w:hint="default"/>
      </w:rPr>
    </w:lvl>
    <w:lvl w:ilvl="4" w:tplc="6F34A8AC">
      <w:numFmt w:val="bullet"/>
      <w:lvlText w:val="•"/>
      <w:lvlJc w:val="left"/>
      <w:pPr>
        <w:ind w:left="4208" w:hanging="567"/>
      </w:pPr>
      <w:rPr>
        <w:rFonts w:hint="default"/>
      </w:rPr>
    </w:lvl>
    <w:lvl w:ilvl="5" w:tplc="42BA6806">
      <w:numFmt w:val="bullet"/>
      <w:lvlText w:val="•"/>
      <w:lvlJc w:val="left"/>
      <w:pPr>
        <w:ind w:left="5160" w:hanging="567"/>
      </w:pPr>
      <w:rPr>
        <w:rFonts w:hint="default"/>
      </w:rPr>
    </w:lvl>
    <w:lvl w:ilvl="6" w:tplc="18B8C626">
      <w:numFmt w:val="bullet"/>
      <w:lvlText w:val="•"/>
      <w:lvlJc w:val="left"/>
      <w:pPr>
        <w:ind w:left="6112" w:hanging="567"/>
      </w:pPr>
      <w:rPr>
        <w:rFonts w:hint="default"/>
      </w:rPr>
    </w:lvl>
    <w:lvl w:ilvl="7" w:tplc="4CDAA910">
      <w:numFmt w:val="bullet"/>
      <w:lvlText w:val="•"/>
      <w:lvlJc w:val="left"/>
      <w:pPr>
        <w:ind w:left="7064" w:hanging="567"/>
      </w:pPr>
      <w:rPr>
        <w:rFonts w:hint="default"/>
      </w:rPr>
    </w:lvl>
    <w:lvl w:ilvl="8" w:tplc="72083628">
      <w:numFmt w:val="bullet"/>
      <w:lvlText w:val="•"/>
      <w:lvlJc w:val="left"/>
      <w:pPr>
        <w:ind w:left="8016" w:hanging="567"/>
      </w:pPr>
      <w:rPr>
        <w:rFonts w:hint="default"/>
      </w:rPr>
    </w:lvl>
  </w:abstractNum>
  <w:abstractNum w:abstractNumId="2"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32807E0"/>
    <w:multiLevelType w:val="hybridMultilevel"/>
    <w:tmpl w:val="724686AE"/>
    <w:lvl w:ilvl="0" w:tplc="23BE8810">
      <w:start w:val="1"/>
      <w:numFmt w:val="decimal"/>
      <w:lvlText w:val="%1."/>
      <w:lvlJc w:val="left"/>
      <w:pPr>
        <w:ind w:left="398" w:hanging="567"/>
      </w:pPr>
      <w:rPr>
        <w:rFonts w:ascii="Verdana" w:eastAsia="Verdana" w:hAnsi="Verdana" w:cs="Verdana" w:hint="default"/>
        <w:w w:val="99"/>
        <w:sz w:val="20"/>
        <w:szCs w:val="20"/>
      </w:rPr>
    </w:lvl>
    <w:lvl w:ilvl="1" w:tplc="3C9C7EAE">
      <w:numFmt w:val="bullet"/>
      <w:lvlText w:val="•"/>
      <w:lvlJc w:val="left"/>
      <w:pPr>
        <w:ind w:left="1352" w:hanging="567"/>
      </w:pPr>
      <w:rPr>
        <w:rFonts w:hint="default"/>
      </w:rPr>
    </w:lvl>
    <w:lvl w:ilvl="2" w:tplc="4D9CB2C4">
      <w:numFmt w:val="bullet"/>
      <w:lvlText w:val="•"/>
      <w:lvlJc w:val="left"/>
      <w:pPr>
        <w:ind w:left="2304" w:hanging="567"/>
      </w:pPr>
      <w:rPr>
        <w:rFonts w:hint="default"/>
      </w:rPr>
    </w:lvl>
    <w:lvl w:ilvl="3" w:tplc="8196BE98">
      <w:numFmt w:val="bullet"/>
      <w:lvlText w:val="•"/>
      <w:lvlJc w:val="left"/>
      <w:pPr>
        <w:ind w:left="3256" w:hanging="567"/>
      </w:pPr>
      <w:rPr>
        <w:rFonts w:hint="default"/>
      </w:rPr>
    </w:lvl>
    <w:lvl w:ilvl="4" w:tplc="533444A0">
      <w:numFmt w:val="bullet"/>
      <w:lvlText w:val="•"/>
      <w:lvlJc w:val="left"/>
      <w:pPr>
        <w:ind w:left="4208" w:hanging="567"/>
      </w:pPr>
      <w:rPr>
        <w:rFonts w:hint="default"/>
      </w:rPr>
    </w:lvl>
    <w:lvl w:ilvl="5" w:tplc="FA9822B2">
      <w:numFmt w:val="bullet"/>
      <w:lvlText w:val="•"/>
      <w:lvlJc w:val="left"/>
      <w:pPr>
        <w:ind w:left="5160" w:hanging="567"/>
      </w:pPr>
      <w:rPr>
        <w:rFonts w:hint="default"/>
      </w:rPr>
    </w:lvl>
    <w:lvl w:ilvl="6" w:tplc="69D81B8A">
      <w:numFmt w:val="bullet"/>
      <w:lvlText w:val="•"/>
      <w:lvlJc w:val="left"/>
      <w:pPr>
        <w:ind w:left="6112" w:hanging="567"/>
      </w:pPr>
      <w:rPr>
        <w:rFonts w:hint="default"/>
      </w:rPr>
    </w:lvl>
    <w:lvl w:ilvl="7" w:tplc="D324B83A">
      <w:numFmt w:val="bullet"/>
      <w:lvlText w:val="•"/>
      <w:lvlJc w:val="left"/>
      <w:pPr>
        <w:ind w:left="7064" w:hanging="567"/>
      </w:pPr>
      <w:rPr>
        <w:rFonts w:hint="default"/>
      </w:rPr>
    </w:lvl>
    <w:lvl w:ilvl="8" w:tplc="F81E601A">
      <w:numFmt w:val="bullet"/>
      <w:lvlText w:val="•"/>
      <w:lvlJc w:val="left"/>
      <w:pPr>
        <w:ind w:left="8016" w:hanging="567"/>
      </w:pPr>
      <w:rPr>
        <w:rFonts w:hint="default"/>
      </w:rPr>
    </w:lvl>
  </w:abstractNum>
  <w:abstractNum w:abstractNumId="4" w15:restartNumberingAfterBreak="0">
    <w:nsid w:val="4CF76BB1"/>
    <w:multiLevelType w:val="hybridMultilevel"/>
    <w:tmpl w:val="42D66F14"/>
    <w:lvl w:ilvl="0" w:tplc="E810362C">
      <w:start w:val="1"/>
      <w:numFmt w:val="decimal"/>
      <w:lvlText w:val="%1."/>
      <w:lvlJc w:val="left"/>
      <w:pPr>
        <w:ind w:left="-529" w:hanging="567"/>
      </w:pPr>
      <w:rPr>
        <w:rFonts w:ascii="Verdana" w:eastAsia="Verdana" w:hAnsi="Verdana" w:cs="Verdana" w:hint="default"/>
        <w:color w:val="auto"/>
        <w:w w:val="99"/>
        <w:sz w:val="20"/>
        <w:szCs w:val="20"/>
      </w:rPr>
    </w:lvl>
    <w:lvl w:ilvl="1" w:tplc="3C9C7EAE">
      <w:numFmt w:val="bullet"/>
      <w:lvlText w:val="•"/>
      <w:lvlJc w:val="left"/>
      <w:pPr>
        <w:ind w:left="425" w:hanging="567"/>
      </w:pPr>
      <w:rPr>
        <w:rFonts w:hint="default"/>
      </w:rPr>
    </w:lvl>
    <w:lvl w:ilvl="2" w:tplc="4D9CB2C4">
      <w:numFmt w:val="bullet"/>
      <w:lvlText w:val="•"/>
      <w:lvlJc w:val="left"/>
      <w:pPr>
        <w:ind w:left="1377" w:hanging="567"/>
      </w:pPr>
      <w:rPr>
        <w:rFonts w:hint="default"/>
      </w:rPr>
    </w:lvl>
    <w:lvl w:ilvl="3" w:tplc="8196BE98">
      <w:numFmt w:val="bullet"/>
      <w:lvlText w:val="•"/>
      <w:lvlJc w:val="left"/>
      <w:pPr>
        <w:ind w:left="2329" w:hanging="567"/>
      </w:pPr>
      <w:rPr>
        <w:rFonts w:hint="default"/>
      </w:rPr>
    </w:lvl>
    <w:lvl w:ilvl="4" w:tplc="533444A0">
      <w:numFmt w:val="bullet"/>
      <w:lvlText w:val="•"/>
      <w:lvlJc w:val="left"/>
      <w:pPr>
        <w:ind w:left="3281" w:hanging="567"/>
      </w:pPr>
      <w:rPr>
        <w:rFonts w:hint="default"/>
      </w:rPr>
    </w:lvl>
    <w:lvl w:ilvl="5" w:tplc="FA9822B2">
      <w:numFmt w:val="bullet"/>
      <w:lvlText w:val="•"/>
      <w:lvlJc w:val="left"/>
      <w:pPr>
        <w:ind w:left="4233" w:hanging="567"/>
      </w:pPr>
      <w:rPr>
        <w:rFonts w:hint="default"/>
      </w:rPr>
    </w:lvl>
    <w:lvl w:ilvl="6" w:tplc="69D81B8A">
      <w:numFmt w:val="bullet"/>
      <w:lvlText w:val="•"/>
      <w:lvlJc w:val="left"/>
      <w:pPr>
        <w:ind w:left="5185" w:hanging="567"/>
      </w:pPr>
      <w:rPr>
        <w:rFonts w:hint="default"/>
      </w:rPr>
    </w:lvl>
    <w:lvl w:ilvl="7" w:tplc="D324B83A">
      <w:numFmt w:val="bullet"/>
      <w:lvlText w:val="•"/>
      <w:lvlJc w:val="left"/>
      <w:pPr>
        <w:ind w:left="6137" w:hanging="567"/>
      </w:pPr>
      <w:rPr>
        <w:rFonts w:hint="default"/>
      </w:rPr>
    </w:lvl>
    <w:lvl w:ilvl="8" w:tplc="F81E601A">
      <w:numFmt w:val="bullet"/>
      <w:lvlText w:val="•"/>
      <w:lvlJc w:val="left"/>
      <w:pPr>
        <w:ind w:left="7089" w:hanging="567"/>
      </w:pPr>
      <w:rPr>
        <w:rFonts w:hint="default"/>
      </w:rPr>
    </w:lvl>
  </w:abstractNum>
  <w:abstractNum w:abstractNumId="5" w15:restartNumberingAfterBreak="0">
    <w:nsid w:val="5457476C"/>
    <w:multiLevelType w:val="hybridMultilevel"/>
    <w:tmpl w:val="724686AE"/>
    <w:lvl w:ilvl="0" w:tplc="23BE8810">
      <w:start w:val="1"/>
      <w:numFmt w:val="decimal"/>
      <w:lvlText w:val="%1."/>
      <w:lvlJc w:val="left"/>
      <w:pPr>
        <w:ind w:left="-529" w:hanging="567"/>
      </w:pPr>
      <w:rPr>
        <w:rFonts w:ascii="Verdana" w:eastAsia="Verdana" w:hAnsi="Verdana" w:cs="Verdana" w:hint="default"/>
        <w:w w:val="99"/>
        <w:sz w:val="20"/>
        <w:szCs w:val="20"/>
      </w:rPr>
    </w:lvl>
    <w:lvl w:ilvl="1" w:tplc="3C9C7EAE">
      <w:numFmt w:val="bullet"/>
      <w:lvlText w:val="•"/>
      <w:lvlJc w:val="left"/>
      <w:pPr>
        <w:ind w:left="425" w:hanging="567"/>
      </w:pPr>
      <w:rPr>
        <w:rFonts w:hint="default"/>
      </w:rPr>
    </w:lvl>
    <w:lvl w:ilvl="2" w:tplc="4D9CB2C4">
      <w:numFmt w:val="bullet"/>
      <w:lvlText w:val="•"/>
      <w:lvlJc w:val="left"/>
      <w:pPr>
        <w:ind w:left="1377" w:hanging="567"/>
      </w:pPr>
      <w:rPr>
        <w:rFonts w:hint="default"/>
      </w:rPr>
    </w:lvl>
    <w:lvl w:ilvl="3" w:tplc="8196BE98">
      <w:numFmt w:val="bullet"/>
      <w:lvlText w:val="•"/>
      <w:lvlJc w:val="left"/>
      <w:pPr>
        <w:ind w:left="2329" w:hanging="567"/>
      </w:pPr>
      <w:rPr>
        <w:rFonts w:hint="default"/>
      </w:rPr>
    </w:lvl>
    <w:lvl w:ilvl="4" w:tplc="533444A0">
      <w:numFmt w:val="bullet"/>
      <w:lvlText w:val="•"/>
      <w:lvlJc w:val="left"/>
      <w:pPr>
        <w:ind w:left="3281" w:hanging="567"/>
      </w:pPr>
      <w:rPr>
        <w:rFonts w:hint="default"/>
      </w:rPr>
    </w:lvl>
    <w:lvl w:ilvl="5" w:tplc="FA9822B2">
      <w:numFmt w:val="bullet"/>
      <w:lvlText w:val="•"/>
      <w:lvlJc w:val="left"/>
      <w:pPr>
        <w:ind w:left="4233" w:hanging="567"/>
      </w:pPr>
      <w:rPr>
        <w:rFonts w:hint="default"/>
      </w:rPr>
    </w:lvl>
    <w:lvl w:ilvl="6" w:tplc="69D81B8A">
      <w:numFmt w:val="bullet"/>
      <w:lvlText w:val="•"/>
      <w:lvlJc w:val="left"/>
      <w:pPr>
        <w:ind w:left="5185" w:hanging="567"/>
      </w:pPr>
      <w:rPr>
        <w:rFonts w:hint="default"/>
      </w:rPr>
    </w:lvl>
    <w:lvl w:ilvl="7" w:tplc="D324B83A">
      <w:numFmt w:val="bullet"/>
      <w:lvlText w:val="•"/>
      <w:lvlJc w:val="left"/>
      <w:pPr>
        <w:ind w:left="6137" w:hanging="567"/>
      </w:pPr>
      <w:rPr>
        <w:rFonts w:hint="default"/>
      </w:rPr>
    </w:lvl>
    <w:lvl w:ilvl="8" w:tplc="F81E601A">
      <w:numFmt w:val="bullet"/>
      <w:lvlText w:val="•"/>
      <w:lvlJc w:val="left"/>
      <w:pPr>
        <w:ind w:left="7089" w:hanging="567"/>
      </w:pPr>
      <w:rPr>
        <w:rFonts w:hint="default"/>
      </w:rPr>
    </w:lvl>
  </w:abstractNum>
  <w:abstractNum w:abstractNumId="6"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7" w15:restartNumberingAfterBreak="0">
    <w:nsid w:val="62C1639C"/>
    <w:multiLevelType w:val="hybridMultilevel"/>
    <w:tmpl w:val="DAC68856"/>
    <w:lvl w:ilvl="0" w:tplc="B2FE583E">
      <w:start w:val="1"/>
      <w:numFmt w:val="decimal"/>
      <w:lvlText w:val="%1."/>
      <w:lvlJc w:val="left"/>
      <w:pPr>
        <w:ind w:left="-529" w:hanging="567"/>
      </w:pPr>
      <w:rPr>
        <w:rFonts w:ascii="Verdana" w:eastAsia="Verdana" w:hAnsi="Verdana" w:cs="Verdana" w:hint="default"/>
        <w:w w:val="99"/>
        <w:sz w:val="20"/>
        <w:szCs w:val="20"/>
      </w:rPr>
    </w:lvl>
    <w:lvl w:ilvl="1" w:tplc="3C9C7EAE">
      <w:numFmt w:val="bullet"/>
      <w:lvlText w:val="•"/>
      <w:lvlJc w:val="left"/>
      <w:pPr>
        <w:ind w:left="425" w:hanging="567"/>
      </w:pPr>
      <w:rPr>
        <w:rFonts w:hint="default"/>
      </w:rPr>
    </w:lvl>
    <w:lvl w:ilvl="2" w:tplc="4D9CB2C4">
      <w:numFmt w:val="bullet"/>
      <w:lvlText w:val="•"/>
      <w:lvlJc w:val="left"/>
      <w:pPr>
        <w:ind w:left="1377" w:hanging="567"/>
      </w:pPr>
      <w:rPr>
        <w:rFonts w:hint="default"/>
      </w:rPr>
    </w:lvl>
    <w:lvl w:ilvl="3" w:tplc="8196BE98">
      <w:numFmt w:val="bullet"/>
      <w:lvlText w:val="•"/>
      <w:lvlJc w:val="left"/>
      <w:pPr>
        <w:ind w:left="2329" w:hanging="567"/>
      </w:pPr>
      <w:rPr>
        <w:rFonts w:hint="default"/>
      </w:rPr>
    </w:lvl>
    <w:lvl w:ilvl="4" w:tplc="533444A0">
      <w:numFmt w:val="bullet"/>
      <w:lvlText w:val="•"/>
      <w:lvlJc w:val="left"/>
      <w:pPr>
        <w:ind w:left="3281" w:hanging="567"/>
      </w:pPr>
      <w:rPr>
        <w:rFonts w:hint="default"/>
      </w:rPr>
    </w:lvl>
    <w:lvl w:ilvl="5" w:tplc="FA9822B2">
      <w:numFmt w:val="bullet"/>
      <w:lvlText w:val="•"/>
      <w:lvlJc w:val="left"/>
      <w:pPr>
        <w:ind w:left="4233" w:hanging="567"/>
      </w:pPr>
      <w:rPr>
        <w:rFonts w:hint="default"/>
      </w:rPr>
    </w:lvl>
    <w:lvl w:ilvl="6" w:tplc="69D81B8A">
      <w:numFmt w:val="bullet"/>
      <w:lvlText w:val="•"/>
      <w:lvlJc w:val="left"/>
      <w:pPr>
        <w:ind w:left="5185" w:hanging="567"/>
      </w:pPr>
      <w:rPr>
        <w:rFonts w:hint="default"/>
      </w:rPr>
    </w:lvl>
    <w:lvl w:ilvl="7" w:tplc="D324B83A">
      <w:numFmt w:val="bullet"/>
      <w:lvlText w:val="•"/>
      <w:lvlJc w:val="left"/>
      <w:pPr>
        <w:ind w:left="6137" w:hanging="567"/>
      </w:pPr>
      <w:rPr>
        <w:rFonts w:hint="default"/>
      </w:rPr>
    </w:lvl>
    <w:lvl w:ilvl="8" w:tplc="F81E601A">
      <w:numFmt w:val="bullet"/>
      <w:lvlText w:val="•"/>
      <w:lvlJc w:val="left"/>
      <w:pPr>
        <w:ind w:left="7089" w:hanging="567"/>
      </w:pPr>
      <w:rPr>
        <w:rFonts w:hint="default"/>
      </w:rPr>
    </w:lvl>
  </w:abstractNum>
  <w:abstractNum w:abstractNumId="8" w15:restartNumberingAfterBreak="0">
    <w:nsid w:val="68861FF4"/>
    <w:multiLevelType w:val="hybridMultilevel"/>
    <w:tmpl w:val="20246466"/>
    <w:lvl w:ilvl="0" w:tplc="140A0017">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9" w15:restartNumberingAfterBreak="0">
    <w:nsid w:val="7F3A1644"/>
    <w:multiLevelType w:val="hybridMultilevel"/>
    <w:tmpl w:val="AFCE1D1E"/>
    <w:lvl w:ilvl="0" w:tplc="7188FACC">
      <w:start w:val="1"/>
      <w:numFmt w:val="decimal"/>
      <w:lvlText w:val="%1."/>
      <w:lvlJc w:val="left"/>
      <w:pPr>
        <w:ind w:left="398" w:hanging="567"/>
      </w:pPr>
      <w:rPr>
        <w:rFonts w:ascii="Verdana" w:eastAsia="Verdana" w:hAnsi="Verdana" w:cs="Verdana" w:hint="default"/>
        <w:w w:val="99"/>
        <w:sz w:val="20"/>
        <w:szCs w:val="20"/>
      </w:rPr>
    </w:lvl>
    <w:lvl w:ilvl="1" w:tplc="E76CE0C2">
      <w:numFmt w:val="bullet"/>
      <w:lvlText w:val="•"/>
      <w:lvlJc w:val="left"/>
      <w:pPr>
        <w:ind w:left="1352" w:hanging="567"/>
      </w:pPr>
      <w:rPr>
        <w:rFonts w:hint="default"/>
      </w:rPr>
    </w:lvl>
    <w:lvl w:ilvl="2" w:tplc="FD287A8A">
      <w:numFmt w:val="bullet"/>
      <w:lvlText w:val="•"/>
      <w:lvlJc w:val="left"/>
      <w:pPr>
        <w:ind w:left="2304" w:hanging="567"/>
      </w:pPr>
      <w:rPr>
        <w:rFonts w:hint="default"/>
      </w:rPr>
    </w:lvl>
    <w:lvl w:ilvl="3" w:tplc="67EEA84C">
      <w:numFmt w:val="bullet"/>
      <w:lvlText w:val="•"/>
      <w:lvlJc w:val="left"/>
      <w:pPr>
        <w:ind w:left="3256" w:hanging="567"/>
      </w:pPr>
      <w:rPr>
        <w:rFonts w:hint="default"/>
      </w:rPr>
    </w:lvl>
    <w:lvl w:ilvl="4" w:tplc="FF562166">
      <w:numFmt w:val="bullet"/>
      <w:lvlText w:val="•"/>
      <w:lvlJc w:val="left"/>
      <w:pPr>
        <w:ind w:left="4208" w:hanging="567"/>
      </w:pPr>
      <w:rPr>
        <w:rFonts w:hint="default"/>
      </w:rPr>
    </w:lvl>
    <w:lvl w:ilvl="5" w:tplc="A36857BA">
      <w:numFmt w:val="bullet"/>
      <w:lvlText w:val="•"/>
      <w:lvlJc w:val="left"/>
      <w:pPr>
        <w:ind w:left="5160" w:hanging="567"/>
      </w:pPr>
      <w:rPr>
        <w:rFonts w:hint="default"/>
      </w:rPr>
    </w:lvl>
    <w:lvl w:ilvl="6" w:tplc="14B00E1C">
      <w:numFmt w:val="bullet"/>
      <w:lvlText w:val="•"/>
      <w:lvlJc w:val="left"/>
      <w:pPr>
        <w:ind w:left="6112" w:hanging="567"/>
      </w:pPr>
      <w:rPr>
        <w:rFonts w:hint="default"/>
      </w:rPr>
    </w:lvl>
    <w:lvl w:ilvl="7" w:tplc="CAF002B4">
      <w:numFmt w:val="bullet"/>
      <w:lvlText w:val="•"/>
      <w:lvlJc w:val="left"/>
      <w:pPr>
        <w:ind w:left="7064" w:hanging="567"/>
      </w:pPr>
      <w:rPr>
        <w:rFonts w:hint="default"/>
      </w:rPr>
    </w:lvl>
    <w:lvl w:ilvl="8" w:tplc="0264F02E">
      <w:numFmt w:val="bullet"/>
      <w:lvlText w:val="•"/>
      <w:lvlJc w:val="left"/>
      <w:pPr>
        <w:ind w:left="8016" w:hanging="567"/>
      </w:pPr>
      <w:rPr>
        <w:rFonts w:hint="default"/>
      </w:rPr>
    </w:lvl>
  </w:abstractNum>
  <w:num w:numId="1">
    <w:abstractNumId w:val="1"/>
  </w:num>
  <w:num w:numId="2">
    <w:abstractNumId w:val="9"/>
  </w:num>
  <w:num w:numId="3">
    <w:abstractNumId w:val="4"/>
  </w:num>
  <w:num w:numId="4">
    <w:abstractNumId w:val="0"/>
  </w:num>
  <w:num w:numId="5">
    <w:abstractNumId w:val="2"/>
  </w:num>
  <w:num w:numId="6">
    <w:abstractNumId w:val="8"/>
  </w:num>
  <w:num w:numId="7">
    <w:abstractNumId w:val="6"/>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es-CR" w:vendorID="64" w:dllVersion="4096" w:nlCheck="1" w:checkStyle="0"/>
  <w:activeWritingStyle w:appName="MSWord" w:lang="es-CR" w:vendorID="64" w:dllVersion="0" w:nlCheck="1" w:checkStyle="0"/>
  <w:activeWritingStyle w:appName="MSWord" w:lang="pt-BR"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4C"/>
    <w:rsid w:val="000161E3"/>
    <w:rsid w:val="00060C50"/>
    <w:rsid w:val="000B5E2E"/>
    <w:rsid w:val="000B604C"/>
    <w:rsid w:val="000C1EFC"/>
    <w:rsid w:val="001353BC"/>
    <w:rsid w:val="00214D87"/>
    <w:rsid w:val="00246902"/>
    <w:rsid w:val="00267C77"/>
    <w:rsid w:val="00333533"/>
    <w:rsid w:val="003663CA"/>
    <w:rsid w:val="003B4CB7"/>
    <w:rsid w:val="003E37E2"/>
    <w:rsid w:val="00415EF2"/>
    <w:rsid w:val="00451DE4"/>
    <w:rsid w:val="004B4533"/>
    <w:rsid w:val="00544F14"/>
    <w:rsid w:val="005E0E89"/>
    <w:rsid w:val="005F6EA9"/>
    <w:rsid w:val="00615363"/>
    <w:rsid w:val="00645F25"/>
    <w:rsid w:val="006D6E26"/>
    <w:rsid w:val="00744765"/>
    <w:rsid w:val="007B1489"/>
    <w:rsid w:val="008017DB"/>
    <w:rsid w:val="00861AF9"/>
    <w:rsid w:val="00864E70"/>
    <w:rsid w:val="00876638"/>
    <w:rsid w:val="008D5018"/>
    <w:rsid w:val="00910B79"/>
    <w:rsid w:val="0096476F"/>
    <w:rsid w:val="0097607B"/>
    <w:rsid w:val="00976F50"/>
    <w:rsid w:val="00A10958"/>
    <w:rsid w:val="00A11090"/>
    <w:rsid w:val="00A5607E"/>
    <w:rsid w:val="00A76508"/>
    <w:rsid w:val="00B95384"/>
    <w:rsid w:val="00BB636F"/>
    <w:rsid w:val="00C07169"/>
    <w:rsid w:val="00C15989"/>
    <w:rsid w:val="00C87DDE"/>
    <w:rsid w:val="00CA3C7A"/>
    <w:rsid w:val="00CC57E5"/>
    <w:rsid w:val="00CD4559"/>
    <w:rsid w:val="00D82EF7"/>
    <w:rsid w:val="00DF07B3"/>
    <w:rsid w:val="00E51824"/>
    <w:rsid w:val="00EE57A2"/>
    <w:rsid w:val="00EF093A"/>
    <w:rsid w:val="00F8399B"/>
    <w:rsid w:val="00F927C0"/>
    <w:rsid w:val="00F9568F"/>
    <w:rsid w:val="00FC62D9"/>
    <w:rsid w:val="00FF5D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10EE"/>
  <w15:docId w15:val="{C3BC17A2-E7CD-4527-B584-3089022C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uiPriority w:val="9"/>
    <w:qFormat/>
    <w:pPr>
      <w:ind w:left="398"/>
      <w:jc w:val="center"/>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aliases w:val="Footnote,List Paragraph2,Lista vistosa - Énfasis 11,List Paragraph1,Colorful List - Accent 11,Párrafo de lista1"/>
    <w:basedOn w:val="Normal"/>
    <w:link w:val="PrrafodelistaCar"/>
    <w:uiPriority w:val="34"/>
    <w:qFormat/>
    <w:pPr>
      <w:ind w:left="398" w:right="136"/>
      <w:jc w:val="both"/>
    </w:pPr>
  </w:style>
  <w:style w:type="paragraph" w:customStyle="1" w:styleId="TableParagraph">
    <w:name w:val="Table Paragraph"/>
    <w:basedOn w:val="Normal"/>
    <w:uiPriority w:val="1"/>
    <w:qFormat/>
  </w:style>
  <w:style w:type="paragraph" w:styleId="Textonotapie">
    <w:name w:val="footnote text"/>
    <w:basedOn w:val="Normal"/>
    <w:link w:val="TextonotapieCar"/>
    <w:uiPriority w:val="99"/>
    <w:semiHidden/>
    <w:unhideWhenUsed/>
    <w:rsid w:val="00CD4559"/>
    <w:rPr>
      <w:sz w:val="20"/>
      <w:szCs w:val="20"/>
    </w:rPr>
  </w:style>
  <w:style w:type="character" w:customStyle="1" w:styleId="TextonotapieCar">
    <w:name w:val="Texto nota pie Car"/>
    <w:basedOn w:val="Fuentedeprrafopredeter"/>
    <w:link w:val="Textonotapie"/>
    <w:uiPriority w:val="99"/>
    <w:semiHidden/>
    <w:rsid w:val="00CD4559"/>
    <w:rPr>
      <w:rFonts w:ascii="Verdana" w:eastAsia="Verdana" w:hAnsi="Verdana" w:cs="Verdana"/>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CD4559"/>
    <w:rPr>
      <w:vertAlign w:val="superscript"/>
    </w:rPr>
  </w:style>
  <w:style w:type="character" w:customStyle="1" w:styleId="PrrafodelistaCar">
    <w:name w:val="Párrafo de lista Car"/>
    <w:aliases w:val="Footnote Car,List Paragraph2 Car,Lista vistosa - Énfasis 11 Car,List Paragraph1 Car,Colorful List - Accent 11 Car,Párrafo de lista1 Car"/>
    <w:link w:val="Prrafodelista"/>
    <w:uiPriority w:val="34"/>
    <w:locked/>
    <w:rsid w:val="00CA3C7A"/>
    <w:rPr>
      <w:rFonts w:ascii="Verdana" w:eastAsia="Verdana" w:hAnsi="Verdana" w:cs="Verdana"/>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B4CB7"/>
    <w:pPr>
      <w:widowControl/>
      <w:autoSpaceDE/>
      <w:autoSpaceDN/>
      <w:jc w:val="both"/>
    </w:pPr>
    <w:rPr>
      <w:rFonts w:asciiTheme="minorHAnsi" w:eastAsiaTheme="minorHAnsi" w:hAnsiTheme="minorHAnsi" w:cstheme="minorBidi"/>
      <w:vertAlign w:val="superscript"/>
    </w:rPr>
  </w:style>
  <w:style w:type="paragraph" w:styleId="Sinespaciado">
    <w:name w:val="No Spacing"/>
    <w:basedOn w:val="Prrafodelista"/>
    <w:uiPriority w:val="1"/>
    <w:qFormat/>
    <w:rsid w:val="00D82EF7"/>
    <w:pPr>
      <w:numPr>
        <w:numId w:val="7"/>
      </w:numPr>
      <w:tabs>
        <w:tab w:val="left" w:pos="0"/>
        <w:tab w:val="left" w:pos="567"/>
      </w:tabs>
      <w:adjustRightInd w:val="0"/>
      <w:ind w:right="22"/>
      <w:contextualSpacing/>
    </w:pPr>
    <w:rPr>
      <w:rFonts w:eastAsiaTheme="minorHAnsi" w:cstheme="minorBidi"/>
      <w:bCs/>
      <w:iCs/>
      <w:sz w:val="20"/>
      <w:szCs w:val="20"/>
      <w:lang w:val="es-CR"/>
    </w:rPr>
  </w:style>
  <w:style w:type="paragraph" w:styleId="Encabezado">
    <w:name w:val="header"/>
    <w:basedOn w:val="Normal"/>
    <w:link w:val="EncabezadoCar"/>
    <w:uiPriority w:val="99"/>
    <w:unhideWhenUsed/>
    <w:rsid w:val="00A5607E"/>
    <w:pPr>
      <w:tabs>
        <w:tab w:val="center" w:pos="4419"/>
        <w:tab w:val="right" w:pos="8838"/>
      </w:tabs>
    </w:pPr>
  </w:style>
  <w:style w:type="character" w:customStyle="1" w:styleId="EncabezadoCar">
    <w:name w:val="Encabezado Car"/>
    <w:basedOn w:val="Fuentedeprrafopredeter"/>
    <w:link w:val="Encabezado"/>
    <w:uiPriority w:val="99"/>
    <w:rsid w:val="00A5607E"/>
    <w:rPr>
      <w:rFonts w:ascii="Verdana" w:eastAsia="Verdana" w:hAnsi="Verdana" w:cs="Verdana"/>
    </w:rPr>
  </w:style>
  <w:style w:type="paragraph" w:styleId="Piedepgina">
    <w:name w:val="footer"/>
    <w:basedOn w:val="Normal"/>
    <w:link w:val="PiedepginaCar"/>
    <w:uiPriority w:val="99"/>
    <w:unhideWhenUsed/>
    <w:rsid w:val="00A5607E"/>
    <w:pPr>
      <w:tabs>
        <w:tab w:val="center" w:pos="4419"/>
        <w:tab w:val="right" w:pos="8838"/>
      </w:tabs>
    </w:pPr>
  </w:style>
  <w:style w:type="character" w:customStyle="1" w:styleId="PiedepginaCar">
    <w:name w:val="Pie de página Car"/>
    <w:basedOn w:val="Fuentedeprrafopredeter"/>
    <w:link w:val="Piedepgina"/>
    <w:uiPriority w:val="99"/>
    <w:rsid w:val="00A5607E"/>
    <w:rPr>
      <w:rFonts w:ascii="Verdana" w:eastAsia="Verdana" w:hAnsi="Verdana" w:cs="Verdana"/>
    </w:rPr>
  </w:style>
  <w:style w:type="character" w:styleId="Refdecomentario">
    <w:name w:val="annotation reference"/>
    <w:basedOn w:val="Fuentedeprrafopredeter"/>
    <w:uiPriority w:val="99"/>
    <w:semiHidden/>
    <w:unhideWhenUsed/>
    <w:rsid w:val="000B5E2E"/>
    <w:rPr>
      <w:sz w:val="16"/>
      <w:szCs w:val="16"/>
    </w:rPr>
  </w:style>
  <w:style w:type="paragraph" w:styleId="Textocomentario">
    <w:name w:val="annotation text"/>
    <w:basedOn w:val="Normal"/>
    <w:link w:val="TextocomentarioCar"/>
    <w:uiPriority w:val="99"/>
    <w:semiHidden/>
    <w:unhideWhenUsed/>
    <w:rsid w:val="000B5E2E"/>
    <w:rPr>
      <w:sz w:val="20"/>
      <w:szCs w:val="20"/>
    </w:rPr>
  </w:style>
  <w:style w:type="character" w:customStyle="1" w:styleId="TextocomentarioCar">
    <w:name w:val="Texto comentario Car"/>
    <w:basedOn w:val="Fuentedeprrafopredeter"/>
    <w:link w:val="Textocomentario"/>
    <w:uiPriority w:val="99"/>
    <w:semiHidden/>
    <w:rsid w:val="000B5E2E"/>
    <w:rPr>
      <w:rFonts w:ascii="Verdana" w:eastAsia="Verdana" w:hAnsi="Verdana" w:cs="Verdana"/>
      <w:sz w:val="20"/>
      <w:szCs w:val="20"/>
    </w:rPr>
  </w:style>
  <w:style w:type="paragraph" w:styleId="Asuntodelcomentario">
    <w:name w:val="annotation subject"/>
    <w:basedOn w:val="Textocomentario"/>
    <w:next w:val="Textocomentario"/>
    <w:link w:val="AsuntodelcomentarioCar"/>
    <w:uiPriority w:val="99"/>
    <w:semiHidden/>
    <w:unhideWhenUsed/>
    <w:rsid w:val="000B5E2E"/>
    <w:rPr>
      <w:b/>
      <w:bCs/>
    </w:rPr>
  </w:style>
  <w:style w:type="character" w:customStyle="1" w:styleId="AsuntodelcomentarioCar">
    <w:name w:val="Asunto del comentario Car"/>
    <w:basedOn w:val="TextocomentarioCar"/>
    <w:link w:val="Asuntodelcomentario"/>
    <w:uiPriority w:val="99"/>
    <w:semiHidden/>
    <w:rsid w:val="000B5E2E"/>
    <w:rPr>
      <w:rFonts w:ascii="Verdana" w:eastAsia="Verdana" w:hAnsi="Verdana" w:cs="Verdana"/>
      <w:b/>
      <w:bCs/>
      <w:sz w:val="20"/>
      <w:szCs w:val="20"/>
    </w:rPr>
  </w:style>
  <w:style w:type="paragraph" w:styleId="Textodeglobo">
    <w:name w:val="Balloon Text"/>
    <w:basedOn w:val="Normal"/>
    <w:link w:val="TextodegloboCar"/>
    <w:uiPriority w:val="99"/>
    <w:semiHidden/>
    <w:unhideWhenUsed/>
    <w:rsid w:val="000B5E2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5E2E"/>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25229">
      <w:bodyDiv w:val="1"/>
      <w:marLeft w:val="0"/>
      <w:marRight w:val="0"/>
      <w:marTop w:val="0"/>
      <w:marBottom w:val="0"/>
      <w:divBdr>
        <w:top w:val="none" w:sz="0" w:space="0" w:color="auto"/>
        <w:left w:val="none" w:sz="0" w:space="0" w:color="auto"/>
        <w:bottom w:val="none" w:sz="0" w:space="0" w:color="auto"/>
        <w:right w:val="none" w:sz="0" w:space="0" w:color="auto"/>
      </w:divBdr>
    </w:div>
    <w:div w:id="646011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F1478-71E2-406C-B20F-720D82DD4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1792</Words>
  <Characters>9856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2021-04-16T20:12:00Z</dcterms:created>
  <dcterms:modified xsi:type="dcterms:W3CDTF">2021-04-16T20:12:00Z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Acrobat PDFMaker 19 for Word</vt:lpwstr>
  </property>
  <property fmtid="{D5CDD505-2E9C-101B-9397-08002B2CF9AE}" pid="4" name="LastSaved">
    <vt:filetime>2021-02-09T00:00:00Z</vt:filetime>
  </property>
</Properties>
</file>