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D7D028F" w14:textId="0D000780" w:rsidR="00553094" w:rsidRDefault="00553094" w:rsidP="00E97AA8">
      <w:pPr>
        <w:rPr>
          <w:rFonts w:ascii="Verdana" w:hAnsi="Verdana"/>
          <w:sz w:val="20"/>
          <w:szCs w:val="20"/>
          <w:lang w:val="es-ES_tradnl"/>
        </w:rPr>
      </w:pPr>
    </w:p>
    <w:p w14:paraId="74500F6F" w14:textId="77777777" w:rsidR="009F6A20" w:rsidRDefault="009F6A20" w:rsidP="00E97AA8">
      <w:pPr>
        <w:rPr>
          <w:rFonts w:ascii="Verdana" w:hAnsi="Verdana"/>
          <w:sz w:val="20"/>
          <w:szCs w:val="20"/>
          <w:lang w:val="es-ES_tradnl"/>
        </w:rPr>
      </w:pPr>
    </w:p>
    <w:p w14:paraId="3E6CFAC7" w14:textId="77777777" w:rsidR="009F6A20" w:rsidRDefault="009F6A20" w:rsidP="00E97AA8">
      <w:pPr>
        <w:rPr>
          <w:rFonts w:ascii="Verdana" w:hAnsi="Verdana"/>
          <w:sz w:val="20"/>
          <w:szCs w:val="20"/>
          <w:lang w:val="es-ES_tradnl"/>
        </w:rPr>
      </w:pPr>
    </w:p>
    <w:p w14:paraId="75DD7C08" w14:textId="77777777" w:rsidR="009F6A20" w:rsidRDefault="009F6A20" w:rsidP="00E97AA8">
      <w:pPr>
        <w:rPr>
          <w:rFonts w:ascii="Verdana" w:hAnsi="Verdana"/>
          <w:sz w:val="20"/>
          <w:szCs w:val="20"/>
          <w:lang w:val="es-ES_tradnl"/>
        </w:rPr>
      </w:pPr>
    </w:p>
    <w:p w14:paraId="4CEC33A5" w14:textId="77777777" w:rsidR="009F6A20" w:rsidRDefault="009F6A20" w:rsidP="00E97AA8">
      <w:pPr>
        <w:rPr>
          <w:rFonts w:ascii="Verdana" w:hAnsi="Verdana"/>
          <w:sz w:val="20"/>
          <w:szCs w:val="20"/>
          <w:lang w:val="es-ES_tradnl"/>
        </w:rPr>
      </w:pPr>
    </w:p>
    <w:p w14:paraId="1C861AC8" w14:textId="77777777" w:rsidR="009F6A20" w:rsidRDefault="009F6A20" w:rsidP="00E97AA8">
      <w:pPr>
        <w:rPr>
          <w:rFonts w:ascii="Verdana" w:hAnsi="Verdana"/>
          <w:sz w:val="20"/>
          <w:szCs w:val="20"/>
          <w:lang w:val="es-ES_tradnl"/>
        </w:rPr>
      </w:pPr>
    </w:p>
    <w:p w14:paraId="5FBE3C54" w14:textId="77777777" w:rsidR="009F6A20" w:rsidRDefault="009F6A20" w:rsidP="00E97AA8">
      <w:pPr>
        <w:rPr>
          <w:rFonts w:ascii="Verdana" w:hAnsi="Verdana"/>
          <w:sz w:val="20"/>
          <w:szCs w:val="20"/>
          <w:lang w:val="es-ES_tradnl"/>
        </w:rPr>
      </w:pPr>
    </w:p>
    <w:p w14:paraId="201D3BE8" w14:textId="77777777" w:rsidR="009F6A20" w:rsidRPr="003E0F12" w:rsidRDefault="009F6A20" w:rsidP="00E97AA8">
      <w:pPr>
        <w:rPr>
          <w:rFonts w:ascii="Verdana" w:hAnsi="Verdana"/>
          <w:sz w:val="20"/>
          <w:szCs w:val="20"/>
          <w:lang w:val="es-ES_tradnl"/>
        </w:rPr>
      </w:pPr>
    </w:p>
    <w:p w14:paraId="2FD7FF04" w14:textId="7114A531" w:rsidR="007E7781" w:rsidRPr="003E0F12" w:rsidRDefault="00016191" w:rsidP="00C41CF4">
      <w:pPr>
        <w:jc w:val="center"/>
        <w:rPr>
          <w:rFonts w:ascii="Verdana" w:hAnsi="Verdana"/>
          <w:b/>
          <w:sz w:val="20"/>
          <w:szCs w:val="20"/>
          <w:lang w:val="es-ES_tradnl"/>
        </w:rPr>
      </w:pPr>
      <w:r w:rsidRPr="003E0F12">
        <w:rPr>
          <w:rFonts w:ascii="Verdana" w:hAnsi="Verdana"/>
          <w:b/>
          <w:sz w:val="20"/>
          <w:szCs w:val="20"/>
          <w:lang w:val="es-ES_tradnl"/>
        </w:rPr>
        <w:t xml:space="preserve">RESOLUCIÓN </w:t>
      </w:r>
      <w:r w:rsidR="00FF6AD7" w:rsidRPr="003E0F12">
        <w:rPr>
          <w:rFonts w:ascii="Verdana" w:hAnsi="Verdana"/>
          <w:b/>
          <w:sz w:val="20"/>
          <w:szCs w:val="20"/>
          <w:lang w:val="es-ES_tradnl"/>
        </w:rPr>
        <w:t>DE</w:t>
      </w:r>
      <w:r w:rsidR="00106103" w:rsidRPr="003E0F12">
        <w:rPr>
          <w:rFonts w:ascii="Verdana" w:hAnsi="Verdana"/>
          <w:b/>
          <w:sz w:val="20"/>
          <w:szCs w:val="20"/>
          <w:lang w:val="es-ES_tradnl"/>
        </w:rPr>
        <w:t xml:space="preserve"> </w:t>
      </w:r>
      <w:r w:rsidRPr="003E0F12">
        <w:rPr>
          <w:rFonts w:ascii="Verdana" w:hAnsi="Verdana"/>
          <w:b/>
          <w:sz w:val="20"/>
          <w:szCs w:val="20"/>
          <w:lang w:val="es-ES_tradnl"/>
        </w:rPr>
        <w:t>LA</w:t>
      </w:r>
    </w:p>
    <w:p w14:paraId="0C5F18D8" w14:textId="101EBF11" w:rsidR="00FF6AD7" w:rsidRPr="003E0F12" w:rsidRDefault="00016191" w:rsidP="00C41CF4">
      <w:pPr>
        <w:jc w:val="center"/>
        <w:rPr>
          <w:rFonts w:ascii="Verdana" w:hAnsi="Verdana"/>
          <w:b/>
          <w:sz w:val="20"/>
          <w:szCs w:val="20"/>
          <w:lang w:val="es-ES_tradnl"/>
        </w:rPr>
      </w:pPr>
      <w:r w:rsidRPr="003E0F12">
        <w:rPr>
          <w:rFonts w:ascii="Verdana" w:hAnsi="Verdana"/>
          <w:b/>
          <w:sz w:val="20"/>
          <w:szCs w:val="20"/>
          <w:lang w:val="es-ES_tradnl"/>
        </w:rPr>
        <w:t>CORTE INTERAMERICANA DE DERECHOS HUMANOS</w:t>
      </w:r>
      <w:r w:rsidR="000D5F10" w:rsidRPr="00541B0C">
        <w:rPr>
          <w:rStyle w:val="Refdenotaalpie"/>
          <w:rFonts w:ascii="Verdana" w:hAnsi="Verdana"/>
          <w:b/>
          <w:sz w:val="20"/>
          <w:szCs w:val="20"/>
          <w:lang w:val="es-ES_tradnl"/>
        </w:rPr>
        <w:footnoteReference w:customMarkFollows="1" w:id="1"/>
        <w:sym w:font="Symbol" w:char="F02A"/>
      </w:r>
    </w:p>
    <w:p w14:paraId="653C319A" w14:textId="77777777" w:rsidR="00DF5305" w:rsidRPr="003E0F12" w:rsidRDefault="00DF5305" w:rsidP="00C41CF4">
      <w:pPr>
        <w:jc w:val="center"/>
        <w:rPr>
          <w:rFonts w:ascii="Verdana" w:hAnsi="Verdana"/>
          <w:b/>
          <w:sz w:val="20"/>
          <w:szCs w:val="20"/>
          <w:lang w:val="es-ES_tradnl"/>
        </w:rPr>
      </w:pPr>
    </w:p>
    <w:p w14:paraId="1E1F28CE" w14:textId="2D1FD100" w:rsidR="00DF5305" w:rsidRPr="003E0F12" w:rsidRDefault="00016191" w:rsidP="00FF7896">
      <w:pPr>
        <w:jc w:val="center"/>
        <w:rPr>
          <w:rFonts w:ascii="Verdana" w:hAnsi="Verdana"/>
          <w:b/>
          <w:sz w:val="20"/>
          <w:szCs w:val="20"/>
          <w:lang w:val="es-ES_tradnl"/>
        </w:rPr>
      </w:pPr>
      <w:r w:rsidRPr="003E0F12">
        <w:rPr>
          <w:rFonts w:ascii="Verdana" w:hAnsi="Verdana"/>
          <w:b/>
          <w:sz w:val="20"/>
          <w:szCs w:val="20"/>
          <w:lang w:val="es-ES_tradnl"/>
        </w:rPr>
        <w:t>DE</w:t>
      </w:r>
      <w:r w:rsidR="00093B23" w:rsidRPr="003E0F12">
        <w:rPr>
          <w:rFonts w:ascii="Verdana" w:hAnsi="Verdana"/>
          <w:b/>
          <w:sz w:val="20"/>
          <w:szCs w:val="20"/>
          <w:lang w:val="es-ES_tradnl"/>
        </w:rPr>
        <w:t xml:space="preserve"> </w:t>
      </w:r>
      <w:r w:rsidR="00AD0AFD">
        <w:rPr>
          <w:rFonts w:ascii="Verdana" w:hAnsi="Verdana"/>
          <w:b/>
          <w:sz w:val="20"/>
          <w:szCs w:val="20"/>
          <w:lang w:val="es-ES_tradnl"/>
        </w:rPr>
        <w:t>26</w:t>
      </w:r>
      <w:r w:rsidR="00AD0AFD" w:rsidRPr="003E0F12">
        <w:rPr>
          <w:rFonts w:ascii="Verdana" w:hAnsi="Verdana"/>
          <w:b/>
          <w:sz w:val="20"/>
          <w:szCs w:val="20"/>
          <w:lang w:val="es-ES_tradnl"/>
        </w:rPr>
        <w:t xml:space="preserve"> </w:t>
      </w:r>
      <w:r w:rsidR="00FF7896" w:rsidRPr="003E0F12">
        <w:rPr>
          <w:rFonts w:ascii="Verdana" w:hAnsi="Verdana"/>
          <w:b/>
          <w:sz w:val="20"/>
          <w:szCs w:val="20"/>
          <w:lang w:val="es-ES_tradnl"/>
        </w:rPr>
        <w:t xml:space="preserve">DE </w:t>
      </w:r>
      <w:r w:rsidR="00BF346E" w:rsidRPr="003E0F12">
        <w:rPr>
          <w:rFonts w:ascii="Verdana" w:hAnsi="Verdana"/>
          <w:b/>
          <w:sz w:val="20"/>
          <w:szCs w:val="20"/>
          <w:lang w:val="es-ES_tradnl"/>
        </w:rPr>
        <w:t xml:space="preserve">MARZO </w:t>
      </w:r>
      <w:r w:rsidR="00106103" w:rsidRPr="003E0F12">
        <w:rPr>
          <w:rFonts w:ascii="Verdana" w:hAnsi="Verdana"/>
          <w:b/>
          <w:sz w:val="20"/>
          <w:szCs w:val="20"/>
          <w:lang w:val="es-ES_tradnl"/>
        </w:rPr>
        <w:t xml:space="preserve">DE </w:t>
      </w:r>
      <w:r w:rsidR="00CC4B93" w:rsidRPr="003E0F12">
        <w:rPr>
          <w:rFonts w:ascii="Verdana" w:hAnsi="Verdana"/>
          <w:b/>
          <w:sz w:val="20"/>
          <w:szCs w:val="20"/>
          <w:lang w:val="es-ES_tradnl"/>
        </w:rPr>
        <w:t>2021</w:t>
      </w:r>
    </w:p>
    <w:p w14:paraId="3871CDDC" w14:textId="77777777" w:rsidR="0016379E" w:rsidRPr="003E0F12" w:rsidRDefault="0016379E" w:rsidP="00C41CF4">
      <w:pPr>
        <w:jc w:val="center"/>
        <w:rPr>
          <w:rFonts w:ascii="Verdana" w:hAnsi="Verdana"/>
          <w:b/>
          <w:sz w:val="20"/>
          <w:szCs w:val="20"/>
          <w:lang w:val="es-ES_tradnl"/>
        </w:rPr>
      </w:pPr>
    </w:p>
    <w:p w14:paraId="541CAB36" w14:textId="4422D47B" w:rsidR="006709EC" w:rsidRPr="003E0F12" w:rsidRDefault="00895A6A" w:rsidP="00C41CF4">
      <w:pPr>
        <w:jc w:val="center"/>
        <w:rPr>
          <w:rFonts w:ascii="Verdana" w:hAnsi="Verdana"/>
          <w:b/>
          <w:caps/>
          <w:sz w:val="20"/>
          <w:szCs w:val="20"/>
          <w:lang w:val="es-ES_tradnl"/>
        </w:rPr>
      </w:pPr>
      <w:r w:rsidRPr="003E0F12">
        <w:rPr>
          <w:rFonts w:ascii="Verdana" w:hAnsi="Verdana"/>
          <w:b/>
          <w:caps/>
          <w:sz w:val="20"/>
          <w:szCs w:val="20"/>
          <w:lang w:val="es-ES_tradnl"/>
        </w:rPr>
        <w:t xml:space="preserve">Caso </w:t>
      </w:r>
      <w:r w:rsidR="003C753B" w:rsidRPr="003E0F12">
        <w:rPr>
          <w:rFonts w:ascii="Verdana" w:hAnsi="Verdana"/>
          <w:b/>
          <w:caps/>
          <w:sz w:val="20"/>
          <w:szCs w:val="20"/>
          <w:lang w:val="es-ES_tradnl"/>
        </w:rPr>
        <w:t>PAVEZ PAVEZ</w:t>
      </w:r>
      <w:r w:rsidRPr="003E0F12">
        <w:rPr>
          <w:rFonts w:ascii="Verdana" w:hAnsi="Verdana"/>
          <w:b/>
          <w:caps/>
          <w:sz w:val="20"/>
          <w:szCs w:val="20"/>
          <w:lang w:val="es-ES_tradnl"/>
        </w:rPr>
        <w:t xml:space="preserve"> Vs. </w:t>
      </w:r>
      <w:r w:rsidR="003C753B" w:rsidRPr="003E0F12">
        <w:rPr>
          <w:rFonts w:ascii="Verdana" w:hAnsi="Verdana"/>
          <w:b/>
          <w:caps/>
          <w:sz w:val="20"/>
          <w:szCs w:val="20"/>
          <w:lang w:val="es-ES_tradnl"/>
        </w:rPr>
        <w:t>CHILE</w:t>
      </w:r>
    </w:p>
    <w:p w14:paraId="7DFE88D4" w14:textId="7A7F17C5" w:rsidR="002C0961" w:rsidRPr="003E0F12" w:rsidRDefault="002C0961" w:rsidP="00C41CF4">
      <w:pPr>
        <w:jc w:val="center"/>
        <w:rPr>
          <w:rFonts w:ascii="Verdana" w:hAnsi="Verdana"/>
          <w:b/>
          <w:caps/>
          <w:sz w:val="20"/>
          <w:szCs w:val="20"/>
          <w:lang w:val="es-ES_tradnl"/>
        </w:rPr>
      </w:pPr>
    </w:p>
    <w:p w14:paraId="3A0BF325" w14:textId="368FA3A3" w:rsidR="008A6894" w:rsidRPr="003E0F12" w:rsidRDefault="008A6894" w:rsidP="00C41CF4">
      <w:pPr>
        <w:jc w:val="center"/>
        <w:rPr>
          <w:rFonts w:ascii="Verdana" w:hAnsi="Verdana"/>
          <w:b/>
          <w:sz w:val="20"/>
          <w:szCs w:val="20"/>
          <w:lang w:val="es-ES_tradnl"/>
        </w:rPr>
      </w:pPr>
    </w:p>
    <w:p w14:paraId="317E7E9B" w14:textId="77777777" w:rsidR="00016191" w:rsidRPr="003E0F12" w:rsidRDefault="00016191" w:rsidP="00E97AA8">
      <w:pPr>
        <w:rPr>
          <w:rFonts w:ascii="Verdana" w:hAnsi="Verdana"/>
          <w:b/>
          <w:sz w:val="20"/>
          <w:szCs w:val="20"/>
          <w:lang w:val="es-ES_tradnl"/>
        </w:rPr>
      </w:pPr>
      <w:r w:rsidRPr="003E0F12">
        <w:rPr>
          <w:rFonts w:ascii="Verdana" w:hAnsi="Verdana"/>
          <w:b/>
          <w:sz w:val="20"/>
          <w:szCs w:val="20"/>
          <w:lang w:val="es-ES_tradnl"/>
        </w:rPr>
        <w:t>VISTO:</w:t>
      </w:r>
    </w:p>
    <w:p w14:paraId="70F282D6" w14:textId="77777777" w:rsidR="00BF78B5" w:rsidRPr="003E0F12" w:rsidRDefault="00BF78B5" w:rsidP="00E97AA8">
      <w:pPr>
        <w:rPr>
          <w:rFonts w:ascii="Verdana" w:hAnsi="Verdana"/>
          <w:sz w:val="20"/>
          <w:szCs w:val="20"/>
          <w:lang w:val="es-ES_tradnl"/>
        </w:rPr>
      </w:pPr>
    </w:p>
    <w:p w14:paraId="00E8AC79" w14:textId="70EBC150" w:rsidR="006C2730" w:rsidRPr="003E0F12" w:rsidRDefault="00016191" w:rsidP="00BF73D3">
      <w:pPr>
        <w:pStyle w:val="Sinespaciado"/>
        <w:spacing w:before="120" w:after="120"/>
        <w:ind w:left="0" w:right="23" w:firstLine="0"/>
        <w:contextualSpacing w:val="0"/>
        <w:rPr>
          <w:rFonts w:ascii="Verdana" w:hAnsi="Verdana"/>
          <w:sz w:val="20"/>
          <w:szCs w:val="20"/>
          <w:lang w:val="es-ES_tradnl" w:eastAsia="es-ES"/>
        </w:rPr>
      </w:pPr>
      <w:r w:rsidRPr="003E0F12">
        <w:rPr>
          <w:rFonts w:ascii="Verdana" w:hAnsi="Verdana"/>
          <w:sz w:val="20"/>
          <w:szCs w:val="20"/>
          <w:lang w:val="es-ES_tradnl"/>
        </w:rPr>
        <w:t>El escrito de sometimiento del caso y el Informe de Fondo de la Comisión Interamericana de Derechos Humanos (en adelante “la Comisión Interamericana” o “la Comisión”)</w:t>
      </w:r>
      <w:r w:rsidR="00BF73D3" w:rsidRPr="003E0F12">
        <w:rPr>
          <w:rFonts w:ascii="Verdana" w:hAnsi="Verdana"/>
          <w:sz w:val="20"/>
          <w:szCs w:val="20"/>
          <w:lang w:val="es-ES_tradnl"/>
        </w:rPr>
        <w:t>, y</w:t>
      </w:r>
      <w:r w:rsidRPr="003E0F12">
        <w:rPr>
          <w:rFonts w:ascii="Verdana" w:hAnsi="Verdana"/>
          <w:sz w:val="20"/>
          <w:szCs w:val="20"/>
          <w:lang w:val="es-ES_tradnl"/>
        </w:rPr>
        <w:t xml:space="preserve"> el escrito de solicitudes, argumentos y pruebas</w:t>
      </w:r>
      <w:r w:rsidR="00844163" w:rsidRPr="003E0F12">
        <w:rPr>
          <w:rFonts w:ascii="Verdana" w:hAnsi="Verdana"/>
          <w:sz w:val="20"/>
          <w:szCs w:val="20"/>
          <w:lang w:val="es-ES_tradnl"/>
        </w:rPr>
        <w:t xml:space="preserve"> </w:t>
      </w:r>
      <w:r w:rsidRPr="003E0F12">
        <w:rPr>
          <w:rFonts w:ascii="Verdana" w:hAnsi="Verdana"/>
          <w:sz w:val="20"/>
          <w:szCs w:val="20"/>
          <w:lang w:val="es-ES_tradnl"/>
        </w:rPr>
        <w:t xml:space="preserve">(en adelante el “escrito de solicitudes y argumentos”) </w:t>
      </w:r>
      <w:r w:rsidR="00093B23" w:rsidRPr="003E0F12">
        <w:rPr>
          <w:rFonts w:ascii="Verdana" w:hAnsi="Verdana"/>
          <w:sz w:val="20"/>
          <w:szCs w:val="20"/>
          <w:lang w:val="es-ES_tradnl"/>
        </w:rPr>
        <w:t>de</w:t>
      </w:r>
      <w:r w:rsidR="00106103" w:rsidRPr="003E0F12">
        <w:rPr>
          <w:rFonts w:ascii="Verdana" w:hAnsi="Verdana"/>
          <w:sz w:val="20"/>
          <w:szCs w:val="20"/>
          <w:lang w:val="es-ES_tradnl"/>
        </w:rPr>
        <w:t xml:space="preserve"> </w:t>
      </w:r>
      <w:r w:rsidR="00EB4920" w:rsidRPr="003E0F12">
        <w:rPr>
          <w:rFonts w:ascii="Verdana" w:hAnsi="Verdana"/>
          <w:sz w:val="20"/>
          <w:szCs w:val="20"/>
          <w:lang w:val="es-ES_tradnl"/>
        </w:rPr>
        <w:t>l</w:t>
      </w:r>
      <w:r w:rsidR="00F64A68" w:rsidRPr="003E0F12">
        <w:rPr>
          <w:rFonts w:ascii="Verdana" w:hAnsi="Verdana"/>
          <w:sz w:val="20"/>
          <w:szCs w:val="20"/>
          <w:lang w:val="es-ES_tradnl"/>
        </w:rPr>
        <w:t>o</w:t>
      </w:r>
      <w:r w:rsidR="00EB4920" w:rsidRPr="003E0F12">
        <w:rPr>
          <w:rFonts w:ascii="Verdana" w:hAnsi="Verdana"/>
          <w:sz w:val="20"/>
          <w:szCs w:val="20"/>
          <w:lang w:val="es-ES_tradnl"/>
        </w:rPr>
        <w:t xml:space="preserve">s representantes </w:t>
      </w:r>
      <w:r w:rsidR="00482C53" w:rsidRPr="003E0F12">
        <w:rPr>
          <w:rFonts w:ascii="Verdana" w:hAnsi="Verdana"/>
          <w:sz w:val="20"/>
          <w:szCs w:val="20"/>
          <w:lang w:val="es-ES_tradnl"/>
        </w:rPr>
        <w:t>de la</w:t>
      </w:r>
      <w:r w:rsidR="004E76A1" w:rsidRPr="003E0F12">
        <w:rPr>
          <w:rFonts w:ascii="Verdana" w:hAnsi="Verdana"/>
          <w:sz w:val="20"/>
          <w:szCs w:val="20"/>
          <w:lang w:val="es-ES_tradnl"/>
        </w:rPr>
        <w:t xml:space="preserve"> presunta</w:t>
      </w:r>
      <w:r w:rsidR="00482C53" w:rsidRPr="003E0F12">
        <w:rPr>
          <w:rFonts w:ascii="Verdana" w:hAnsi="Verdana"/>
          <w:sz w:val="20"/>
          <w:szCs w:val="20"/>
          <w:lang w:val="es-ES_tradnl"/>
        </w:rPr>
        <w:t xml:space="preserve"> víctima</w:t>
      </w:r>
      <w:r w:rsidRPr="003E0F12">
        <w:rPr>
          <w:rFonts w:ascii="Verdana" w:hAnsi="Verdana"/>
          <w:sz w:val="20"/>
          <w:szCs w:val="20"/>
          <w:lang w:val="es-ES_tradnl"/>
        </w:rPr>
        <w:t xml:space="preserve"> (en adelante “</w:t>
      </w:r>
      <w:r w:rsidR="007A5EE8" w:rsidRPr="003E0F12">
        <w:rPr>
          <w:rFonts w:ascii="Verdana" w:hAnsi="Verdana"/>
          <w:sz w:val="20"/>
          <w:szCs w:val="20"/>
          <w:lang w:val="es-ES_tradnl"/>
        </w:rPr>
        <w:t>l</w:t>
      </w:r>
      <w:r w:rsidR="00F64A68" w:rsidRPr="003E0F12">
        <w:rPr>
          <w:rFonts w:ascii="Verdana" w:hAnsi="Verdana"/>
          <w:sz w:val="20"/>
          <w:szCs w:val="20"/>
          <w:lang w:val="es-ES_tradnl"/>
        </w:rPr>
        <w:t>o</w:t>
      </w:r>
      <w:r w:rsidR="007A5EE8" w:rsidRPr="003E0F12">
        <w:rPr>
          <w:rFonts w:ascii="Verdana" w:hAnsi="Verdana"/>
          <w:sz w:val="20"/>
          <w:szCs w:val="20"/>
          <w:lang w:val="es-ES_tradnl"/>
        </w:rPr>
        <w:t>s representantes</w:t>
      </w:r>
      <w:r w:rsidR="00895A6A" w:rsidRPr="003E0F12">
        <w:rPr>
          <w:rFonts w:ascii="Verdana" w:hAnsi="Verdana"/>
          <w:sz w:val="20"/>
          <w:szCs w:val="20"/>
          <w:lang w:val="es-ES_tradnl"/>
        </w:rPr>
        <w:t>”)</w:t>
      </w:r>
      <w:r w:rsidR="009C6F4F" w:rsidRPr="003E0F12">
        <w:rPr>
          <w:rFonts w:ascii="Verdana" w:hAnsi="Verdana"/>
          <w:sz w:val="20"/>
          <w:szCs w:val="20"/>
          <w:lang w:val="es-ES_tradnl"/>
        </w:rPr>
        <w:t xml:space="preserve">. </w:t>
      </w:r>
    </w:p>
    <w:p w14:paraId="339C7DEE" w14:textId="1F640D14" w:rsidR="009C6F4F" w:rsidRPr="00525A57" w:rsidRDefault="009C6F4F" w:rsidP="00BF73D3">
      <w:pPr>
        <w:pStyle w:val="Sinespaciado"/>
        <w:spacing w:before="120" w:after="120"/>
        <w:ind w:left="0" w:right="23" w:firstLine="0"/>
        <w:contextualSpacing w:val="0"/>
        <w:rPr>
          <w:rFonts w:ascii="Verdana" w:hAnsi="Verdana"/>
          <w:sz w:val="20"/>
          <w:szCs w:val="20"/>
          <w:lang w:val="es-ES_tradnl" w:eastAsia="es-ES"/>
        </w:rPr>
      </w:pPr>
      <w:r w:rsidRPr="00525A57">
        <w:rPr>
          <w:rFonts w:ascii="Verdana" w:hAnsi="Verdana"/>
          <w:sz w:val="20"/>
          <w:szCs w:val="20"/>
          <w:lang w:val="es-ES_tradnl" w:eastAsia="es-ES"/>
        </w:rPr>
        <w:t>La</w:t>
      </w:r>
      <w:r w:rsidR="00BF73D3" w:rsidRPr="00525A57">
        <w:rPr>
          <w:rFonts w:ascii="Verdana" w:hAnsi="Verdana"/>
          <w:sz w:val="20"/>
          <w:szCs w:val="20"/>
          <w:lang w:val="es-ES_tradnl" w:eastAsia="es-ES"/>
        </w:rPr>
        <w:t>s</w:t>
      </w:r>
      <w:r w:rsidRPr="00525A57">
        <w:rPr>
          <w:rFonts w:ascii="Verdana" w:hAnsi="Verdana"/>
          <w:sz w:val="20"/>
          <w:szCs w:val="20"/>
          <w:lang w:val="es-ES_tradnl" w:eastAsia="es-ES"/>
        </w:rPr>
        <w:t xml:space="preserve"> nota</w:t>
      </w:r>
      <w:r w:rsidR="00D21B21" w:rsidRPr="00525A57">
        <w:rPr>
          <w:rFonts w:ascii="Verdana" w:hAnsi="Verdana"/>
          <w:sz w:val="20"/>
          <w:szCs w:val="20"/>
          <w:lang w:val="es-ES_tradnl" w:eastAsia="es-ES"/>
        </w:rPr>
        <w:t>s</w:t>
      </w:r>
      <w:r w:rsidRPr="00525A57">
        <w:rPr>
          <w:rFonts w:ascii="Verdana" w:hAnsi="Verdana"/>
          <w:sz w:val="20"/>
          <w:szCs w:val="20"/>
          <w:lang w:val="es-ES_tradnl" w:eastAsia="es-ES"/>
        </w:rPr>
        <w:t xml:space="preserve"> de Secretaría de 24</w:t>
      </w:r>
      <w:r w:rsidR="00BF73D3" w:rsidRPr="00525A57">
        <w:rPr>
          <w:rFonts w:ascii="Verdana" w:hAnsi="Verdana"/>
          <w:sz w:val="20"/>
          <w:szCs w:val="20"/>
          <w:lang w:val="es-ES_tradnl" w:eastAsia="es-ES"/>
        </w:rPr>
        <w:t xml:space="preserve"> y 31</w:t>
      </w:r>
      <w:r w:rsidRPr="00525A57">
        <w:rPr>
          <w:rFonts w:ascii="Verdana" w:hAnsi="Verdana"/>
          <w:sz w:val="20"/>
          <w:szCs w:val="20"/>
          <w:lang w:val="es-ES_tradnl" w:eastAsia="es-ES"/>
        </w:rPr>
        <w:t xml:space="preserve"> de julio</w:t>
      </w:r>
      <w:r w:rsidR="00857F71" w:rsidRPr="00525A57">
        <w:rPr>
          <w:rFonts w:ascii="Verdana" w:hAnsi="Verdana"/>
          <w:sz w:val="20"/>
          <w:szCs w:val="20"/>
          <w:lang w:val="es-ES_tradnl" w:eastAsia="es-ES"/>
        </w:rPr>
        <w:t xml:space="preserve"> de 2020</w:t>
      </w:r>
      <w:r w:rsidR="00BF73D3" w:rsidRPr="00525A57">
        <w:rPr>
          <w:rFonts w:ascii="Verdana" w:hAnsi="Verdana"/>
          <w:sz w:val="20"/>
          <w:szCs w:val="20"/>
          <w:lang w:val="es-ES_tradnl" w:eastAsia="es-ES"/>
        </w:rPr>
        <w:t>, 1 de septiembre</w:t>
      </w:r>
      <w:r w:rsidRPr="00525A57">
        <w:rPr>
          <w:rFonts w:ascii="Verdana" w:hAnsi="Verdana"/>
          <w:sz w:val="20"/>
          <w:szCs w:val="20"/>
          <w:lang w:val="es-ES_tradnl" w:eastAsia="es-ES"/>
        </w:rPr>
        <w:t xml:space="preserve"> de 2020, siguiendo instrucciones de la </w:t>
      </w:r>
      <w:r w:rsidRPr="00525A57">
        <w:rPr>
          <w:rFonts w:ascii="Verdana" w:hAnsi="Verdana"/>
          <w:sz w:val="20"/>
          <w:szCs w:val="20"/>
          <w:lang w:val="es-ES_tradnl"/>
        </w:rPr>
        <w:t>Presidencia</w:t>
      </w:r>
      <w:r w:rsidR="00857F71" w:rsidRPr="00525A57">
        <w:rPr>
          <w:rFonts w:ascii="Verdana" w:hAnsi="Verdana"/>
          <w:sz w:val="20"/>
          <w:szCs w:val="20"/>
          <w:lang w:val="es-ES_tradnl"/>
        </w:rPr>
        <w:t xml:space="preserve"> de la Corte Interamericana de Derechos Humanos</w:t>
      </w:r>
      <w:r w:rsidR="001C3A7B" w:rsidRPr="00525A57">
        <w:rPr>
          <w:rFonts w:ascii="Verdana" w:hAnsi="Verdana"/>
          <w:sz w:val="20"/>
          <w:szCs w:val="20"/>
          <w:lang w:val="es-ES_tradnl"/>
        </w:rPr>
        <w:t xml:space="preserve"> </w:t>
      </w:r>
      <w:r w:rsidR="001C3A7B" w:rsidRPr="00525A57">
        <w:rPr>
          <w:rFonts w:ascii="Verdana" w:hAnsi="Verdana"/>
          <w:sz w:val="20"/>
          <w:szCs w:val="20"/>
        </w:rPr>
        <w:t>(en adelante, “Corte Interamericana”, “Corte” o “Tribunal”)</w:t>
      </w:r>
      <w:r w:rsidRPr="00525A57">
        <w:rPr>
          <w:rFonts w:ascii="Verdana" w:hAnsi="Verdana"/>
          <w:sz w:val="20"/>
          <w:szCs w:val="20"/>
          <w:lang w:val="es-ES_tradnl" w:eastAsia="es-ES"/>
        </w:rPr>
        <w:t xml:space="preserve">, </w:t>
      </w:r>
      <w:r w:rsidR="00BF73D3" w:rsidRPr="00525A57">
        <w:rPr>
          <w:rFonts w:ascii="Verdana" w:hAnsi="Verdana"/>
          <w:sz w:val="20"/>
          <w:szCs w:val="20"/>
          <w:lang w:val="es-ES_tradnl" w:eastAsia="es-ES"/>
        </w:rPr>
        <w:t xml:space="preserve">y de 15 de octubre y 26 de noviembre de 2020 siguiendo </w:t>
      </w:r>
      <w:r w:rsidR="00BF73D3" w:rsidRPr="00525A57">
        <w:rPr>
          <w:rFonts w:ascii="Verdana" w:hAnsi="Verdana"/>
          <w:sz w:val="20"/>
          <w:szCs w:val="20"/>
          <w:lang w:val="es-ES_tradnl"/>
        </w:rPr>
        <w:t>instrucciones</w:t>
      </w:r>
      <w:r w:rsidR="00BF73D3" w:rsidRPr="00525A57">
        <w:rPr>
          <w:rFonts w:ascii="Verdana" w:hAnsi="Verdana"/>
          <w:sz w:val="20"/>
          <w:szCs w:val="20"/>
          <w:lang w:val="es-ES_tradnl" w:eastAsia="es-ES"/>
        </w:rPr>
        <w:t xml:space="preserve"> del </w:t>
      </w:r>
      <w:r w:rsidR="00857F71" w:rsidRPr="00525A57">
        <w:rPr>
          <w:rFonts w:ascii="Verdana" w:hAnsi="Verdana"/>
          <w:sz w:val="20"/>
          <w:szCs w:val="20"/>
          <w:lang w:val="es-ES_tradnl" w:eastAsia="es-ES"/>
        </w:rPr>
        <w:t>P</w:t>
      </w:r>
      <w:r w:rsidR="00BF73D3" w:rsidRPr="00525A57">
        <w:rPr>
          <w:rFonts w:ascii="Verdana" w:hAnsi="Verdana"/>
          <w:sz w:val="20"/>
          <w:szCs w:val="20"/>
          <w:lang w:val="es-ES_tradnl" w:eastAsia="es-ES"/>
        </w:rPr>
        <w:t xml:space="preserve">leno de la Corte, mediante las cuales </w:t>
      </w:r>
      <w:r w:rsidR="005C438B">
        <w:rPr>
          <w:rFonts w:ascii="Verdana" w:hAnsi="Verdana"/>
          <w:sz w:val="20"/>
          <w:szCs w:val="20"/>
          <w:lang w:val="es-ES_tradnl" w:eastAsia="es-ES"/>
        </w:rPr>
        <w:t xml:space="preserve">se comunicó que </w:t>
      </w:r>
      <w:r w:rsidRPr="00525A57">
        <w:rPr>
          <w:rFonts w:ascii="Verdana" w:hAnsi="Verdana"/>
          <w:sz w:val="20"/>
          <w:szCs w:val="20"/>
          <w:lang w:val="es-ES_tradnl" w:eastAsia="es-ES"/>
        </w:rPr>
        <w:t xml:space="preserve">el </w:t>
      </w:r>
      <w:r w:rsidR="00525A57" w:rsidRPr="00525A57">
        <w:rPr>
          <w:rFonts w:ascii="Verdana" w:hAnsi="Verdana"/>
          <w:sz w:val="20"/>
          <w:szCs w:val="20"/>
          <w:lang w:val="es-ES_tradnl" w:eastAsia="es-ES"/>
        </w:rPr>
        <w:t>escrito de contestación al sometimiento del caso y al escrito de solicitudes y argumentos (en adelante “contestación” o “escrito de contestación”)</w:t>
      </w:r>
      <w:r w:rsidRPr="00525A57">
        <w:rPr>
          <w:rFonts w:ascii="Verdana" w:hAnsi="Verdana"/>
          <w:sz w:val="20"/>
          <w:szCs w:val="20"/>
          <w:lang w:val="es-ES_tradnl" w:eastAsia="es-ES"/>
        </w:rPr>
        <w:t xml:space="preserve"> del Estado </w:t>
      </w:r>
      <w:r w:rsidR="005C438B">
        <w:rPr>
          <w:rFonts w:ascii="Verdana" w:hAnsi="Verdana"/>
          <w:sz w:val="20"/>
          <w:szCs w:val="20"/>
          <w:lang w:val="es-ES_tradnl" w:eastAsia="es-ES"/>
        </w:rPr>
        <w:t>era</w:t>
      </w:r>
      <w:r w:rsidR="005C438B" w:rsidRPr="00525A57">
        <w:rPr>
          <w:rFonts w:ascii="Verdana" w:hAnsi="Verdana"/>
          <w:sz w:val="20"/>
          <w:szCs w:val="20"/>
          <w:lang w:val="es-ES_tradnl" w:eastAsia="es-ES"/>
        </w:rPr>
        <w:t xml:space="preserve"> extemporáneo </w:t>
      </w:r>
      <w:r w:rsidRPr="00525A57">
        <w:rPr>
          <w:rFonts w:ascii="Verdana" w:hAnsi="Verdana"/>
          <w:sz w:val="20"/>
          <w:szCs w:val="20"/>
          <w:lang w:val="es-ES_tradnl" w:eastAsia="es-ES"/>
        </w:rPr>
        <w:t xml:space="preserve">y </w:t>
      </w:r>
      <w:r w:rsidRPr="00525A57">
        <w:rPr>
          <w:rFonts w:ascii="Verdana" w:hAnsi="Verdana"/>
          <w:sz w:val="20"/>
          <w:szCs w:val="20"/>
          <w:lang w:val="es-ES_tradnl"/>
        </w:rPr>
        <w:t>se</w:t>
      </w:r>
      <w:r w:rsidRPr="00525A57">
        <w:rPr>
          <w:rFonts w:ascii="Verdana" w:hAnsi="Verdana"/>
          <w:sz w:val="20"/>
          <w:szCs w:val="20"/>
          <w:lang w:val="es-ES_tradnl" w:eastAsia="es-ES"/>
        </w:rPr>
        <w:t xml:space="preserve"> informó que no sería tomado en cuenta por el Tribunal ni </w:t>
      </w:r>
      <w:r w:rsidR="00D21B21" w:rsidRPr="00525A57">
        <w:rPr>
          <w:rFonts w:ascii="Verdana" w:hAnsi="Verdana"/>
          <w:sz w:val="20"/>
          <w:szCs w:val="20"/>
          <w:lang w:val="es-ES_tradnl" w:eastAsia="es-ES"/>
        </w:rPr>
        <w:t>transmitido</w:t>
      </w:r>
      <w:r w:rsidRPr="00525A57">
        <w:rPr>
          <w:rFonts w:ascii="Verdana" w:hAnsi="Verdana"/>
          <w:sz w:val="20"/>
          <w:szCs w:val="20"/>
          <w:lang w:val="es-ES_tradnl" w:eastAsia="es-ES"/>
        </w:rPr>
        <w:t xml:space="preserve"> a </w:t>
      </w:r>
      <w:r w:rsidR="00E87629" w:rsidRPr="00525A57">
        <w:rPr>
          <w:rFonts w:ascii="Verdana" w:hAnsi="Verdana"/>
          <w:sz w:val="20"/>
          <w:szCs w:val="20"/>
          <w:lang w:val="es-ES_tradnl" w:eastAsia="es-ES"/>
        </w:rPr>
        <w:t>los</w:t>
      </w:r>
      <w:r w:rsidRPr="00525A57">
        <w:rPr>
          <w:rFonts w:ascii="Verdana" w:hAnsi="Verdana"/>
          <w:sz w:val="20"/>
          <w:szCs w:val="20"/>
          <w:lang w:val="es-ES_tradnl" w:eastAsia="es-ES"/>
        </w:rPr>
        <w:t xml:space="preserve"> represent</w:t>
      </w:r>
      <w:r w:rsidR="00E87629" w:rsidRPr="00525A57">
        <w:rPr>
          <w:rFonts w:ascii="Verdana" w:hAnsi="Verdana"/>
          <w:sz w:val="20"/>
          <w:szCs w:val="20"/>
          <w:lang w:val="es-ES_tradnl" w:eastAsia="es-ES"/>
        </w:rPr>
        <w:t>antes</w:t>
      </w:r>
      <w:r w:rsidRPr="00525A57">
        <w:rPr>
          <w:rFonts w:ascii="Verdana" w:hAnsi="Verdana"/>
          <w:sz w:val="20"/>
          <w:szCs w:val="20"/>
          <w:lang w:val="es-ES_tradnl" w:eastAsia="es-ES"/>
        </w:rPr>
        <w:t xml:space="preserve"> y la Comisión Interamericana. </w:t>
      </w:r>
    </w:p>
    <w:p w14:paraId="07D371FD" w14:textId="241689B4" w:rsidR="002A56A4" w:rsidRPr="003E0F12" w:rsidRDefault="00107313" w:rsidP="002A56A4">
      <w:pPr>
        <w:pStyle w:val="Sinespaciado"/>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El escrito d</w:t>
      </w:r>
      <w:r w:rsidR="00FF0397" w:rsidRPr="003E0F12">
        <w:rPr>
          <w:rFonts w:ascii="Verdana" w:hAnsi="Verdana"/>
          <w:sz w:val="20"/>
          <w:szCs w:val="20"/>
          <w:lang w:val="es-ES_tradnl"/>
        </w:rPr>
        <w:t>el Estado</w:t>
      </w:r>
      <w:r>
        <w:rPr>
          <w:rFonts w:ascii="Verdana" w:hAnsi="Verdana"/>
          <w:sz w:val="20"/>
          <w:szCs w:val="20"/>
          <w:lang w:val="es-ES_tradnl"/>
        </w:rPr>
        <w:t xml:space="preserve"> de </w:t>
      </w:r>
      <w:r w:rsidR="000D72D8">
        <w:rPr>
          <w:rFonts w:ascii="Verdana" w:hAnsi="Verdana"/>
          <w:sz w:val="20"/>
          <w:szCs w:val="20"/>
          <w:lang w:val="es-ES_tradnl"/>
        </w:rPr>
        <w:t>2 de diciembre de 2020</w:t>
      </w:r>
      <w:r>
        <w:rPr>
          <w:rFonts w:ascii="Verdana" w:hAnsi="Verdana"/>
          <w:sz w:val="20"/>
          <w:szCs w:val="20"/>
          <w:lang w:val="es-ES_tradnl"/>
        </w:rPr>
        <w:t xml:space="preserve">, mediante el cual remitió una propuesta de lista de </w:t>
      </w:r>
      <w:r w:rsidRPr="003E0F12">
        <w:rPr>
          <w:rFonts w:ascii="Verdana" w:hAnsi="Verdana"/>
          <w:sz w:val="20"/>
          <w:szCs w:val="20"/>
          <w:lang w:val="es-ES_tradnl"/>
        </w:rPr>
        <w:t xml:space="preserve">declarantes </w:t>
      </w:r>
      <w:r w:rsidR="00FF0397" w:rsidRPr="003E0F12">
        <w:rPr>
          <w:rFonts w:ascii="Verdana" w:hAnsi="Verdana"/>
          <w:sz w:val="20"/>
          <w:szCs w:val="20"/>
          <w:lang w:val="es-ES_tradnl"/>
        </w:rPr>
        <w:t>para que la Corte considere convocar de oficio,</w:t>
      </w:r>
      <w:r w:rsidR="00895A6A" w:rsidRPr="003E0F12">
        <w:rPr>
          <w:rFonts w:ascii="Verdana" w:hAnsi="Verdana"/>
          <w:sz w:val="20"/>
          <w:szCs w:val="20"/>
          <w:lang w:val="es-ES_tradnl"/>
        </w:rPr>
        <w:t xml:space="preserve"> </w:t>
      </w:r>
      <w:r w:rsidR="001F0CAB" w:rsidRPr="003E0F12">
        <w:rPr>
          <w:rFonts w:ascii="Verdana" w:hAnsi="Verdana"/>
          <w:sz w:val="20"/>
          <w:szCs w:val="20"/>
          <w:lang w:val="es-ES_tradnl"/>
        </w:rPr>
        <w:t>así como</w:t>
      </w:r>
      <w:r w:rsidR="005F40E2" w:rsidRPr="003E0F12">
        <w:rPr>
          <w:rFonts w:ascii="Verdana" w:hAnsi="Verdana"/>
          <w:b/>
          <w:sz w:val="20"/>
          <w:szCs w:val="20"/>
          <w:lang w:val="es-ES_tradnl"/>
        </w:rPr>
        <w:t xml:space="preserve"> </w:t>
      </w:r>
      <w:r w:rsidR="00FA3A59" w:rsidRPr="003E0F12">
        <w:rPr>
          <w:rFonts w:ascii="Verdana" w:hAnsi="Verdana"/>
          <w:sz w:val="20"/>
          <w:szCs w:val="20"/>
          <w:lang w:val="es-ES_tradnl"/>
        </w:rPr>
        <w:t xml:space="preserve">las correspondientes observaciones a </w:t>
      </w:r>
      <w:r w:rsidR="000D72D8">
        <w:rPr>
          <w:rFonts w:ascii="Verdana" w:hAnsi="Verdana"/>
          <w:sz w:val="20"/>
          <w:szCs w:val="20"/>
          <w:lang w:val="es-ES_tradnl"/>
        </w:rPr>
        <w:t>dicho escrito</w:t>
      </w:r>
      <w:r w:rsidR="000D72D8" w:rsidRPr="003E0F12">
        <w:rPr>
          <w:rFonts w:ascii="Verdana" w:hAnsi="Verdana"/>
          <w:sz w:val="20"/>
          <w:szCs w:val="20"/>
          <w:lang w:val="es-ES_tradnl"/>
        </w:rPr>
        <w:t xml:space="preserve"> </w:t>
      </w:r>
      <w:r w:rsidR="00FA3A59" w:rsidRPr="003E0F12">
        <w:rPr>
          <w:rFonts w:ascii="Verdana" w:hAnsi="Verdana"/>
          <w:sz w:val="20"/>
          <w:szCs w:val="20"/>
          <w:lang w:val="es-ES_tradnl"/>
        </w:rPr>
        <w:t xml:space="preserve">presentadas por </w:t>
      </w:r>
      <w:r>
        <w:rPr>
          <w:rFonts w:ascii="Verdana" w:hAnsi="Verdana"/>
          <w:sz w:val="20"/>
          <w:szCs w:val="20"/>
          <w:lang w:val="es-ES_tradnl"/>
        </w:rPr>
        <w:t>los representantes</w:t>
      </w:r>
      <w:r w:rsidR="00241F49" w:rsidRPr="003E0F12">
        <w:rPr>
          <w:rFonts w:ascii="Verdana" w:hAnsi="Verdana"/>
          <w:sz w:val="20"/>
          <w:szCs w:val="20"/>
          <w:lang w:val="es-ES_tradnl"/>
        </w:rPr>
        <w:t xml:space="preserve"> y la Comisión</w:t>
      </w:r>
      <w:r w:rsidR="00FF0397" w:rsidRPr="003E0F12">
        <w:rPr>
          <w:rFonts w:ascii="Verdana" w:hAnsi="Verdana"/>
          <w:sz w:val="20"/>
          <w:szCs w:val="20"/>
          <w:lang w:val="es-ES_tradnl"/>
        </w:rPr>
        <w:t>.</w:t>
      </w:r>
    </w:p>
    <w:p w14:paraId="580B71D4" w14:textId="0FAD9456" w:rsidR="003C4FA0" w:rsidRPr="003E0F12" w:rsidRDefault="003C4FA0" w:rsidP="002A56A4">
      <w:pPr>
        <w:pStyle w:val="Sinespaciado"/>
        <w:spacing w:before="120" w:after="120"/>
        <w:ind w:left="0" w:right="23" w:firstLine="0"/>
        <w:contextualSpacing w:val="0"/>
        <w:rPr>
          <w:rFonts w:ascii="Verdana" w:hAnsi="Verdana"/>
          <w:sz w:val="20"/>
          <w:szCs w:val="20"/>
          <w:lang w:val="es-ES_tradnl"/>
        </w:rPr>
      </w:pPr>
      <w:r w:rsidRPr="003E0F12">
        <w:rPr>
          <w:rFonts w:ascii="Verdana" w:hAnsi="Verdana"/>
          <w:sz w:val="20"/>
          <w:szCs w:val="20"/>
          <w:lang w:val="es-ES_tradnl"/>
        </w:rPr>
        <w:t xml:space="preserve">La Resolución de </w:t>
      </w:r>
      <w:r w:rsidR="001C3A7B">
        <w:rPr>
          <w:rFonts w:ascii="Verdana" w:hAnsi="Verdana"/>
          <w:sz w:val="20"/>
          <w:szCs w:val="20"/>
          <w:lang w:val="es-ES_tradnl"/>
        </w:rPr>
        <w:t xml:space="preserve">la </w:t>
      </w:r>
      <w:r w:rsidRPr="003E0F12">
        <w:rPr>
          <w:rFonts w:ascii="Verdana" w:hAnsi="Verdana"/>
          <w:sz w:val="20"/>
          <w:szCs w:val="20"/>
          <w:lang w:val="es-ES_tradnl"/>
        </w:rPr>
        <w:t>Presiden</w:t>
      </w:r>
      <w:r w:rsidR="001C3A7B">
        <w:rPr>
          <w:rFonts w:ascii="Verdana" w:hAnsi="Verdana"/>
          <w:sz w:val="20"/>
          <w:szCs w:val="20"/>
          <w:lang w:val="es-ES_tradnl"/>
        </w:rPr>
        <w:t>ta</w:t>
      </w:r>
      <w:r w:rsidRPr="003E0F12">
        <w:rPr>
          <w:rFonts w:ascii="Verdana" w:hAnsi="Verdana"/>
          <w:sz w:val="20"/>
          <w:szCs w:val="20"/>
          <w:lang w:val="es-ES_tradnl"/>
        </w:rPr>
        <w:t xml:space="preserve"> </w:t>
      </w:r>
      <w:r w:rsidR="001C3A7B">
        <w:rPr>
          <w:rFonts w:ascii="Verdana" w:hAnsi="Verdana"/>
          <w:sz w:val="20"/>
          <w:szCs w:val="20"/>
          <w:lang w:val="es-ES_tradnl"/>
        </w:rPr>
        <w:t xml:space="preserve">de la Corte </w:t>
      </w:r>
      <w:r w:rsidRPr="003E0F12">
        <w:rPr>
          <w:rFonts w:ascii="Verdana" w:hAnsi="Verdana"/>
          <w:sz w:val="20"/>
          <w:szCs w:val="20"/>
          <w:lang w:val="es-ES_tradnl"/>
        </w:rPr>
        <w:t>de 3 de marzo de 2021</w:t>
      </w:r>
      <w:r w:rsidR="001C3A7B">
        <w:rPr>
          <w:rFonts w:ascii="Verdana" w:hAnsi="Verdana"/>
          <w:sz w:val="20"/>
          <w:szCs w:val="20"/>
          <w:lang w:val="es-ES_tradnl"/>
        </w:rPr>
        <w:t xml:space="preserve"> por medio de la cual, </w:t>
      </w:r>
      <w:r w:rsidR="001C3A7B" w:rsidRPr="001C3A7B">
        <w:rPr>
          <w:rFonts w:ascii="Verdana" w:hAnsi="Verdana"/>
          <w:sz w:val="20"/>
          <w:szCs w:val="20"/>
        </w:rPr>
        <w:t>entre otros, se acordó convocar al Estado, a los representantes y a la Comisión Interamericana de Derechos Humanos a una audiencia pública</w:t>
      </w:r>
      <w:r w:rsidR="001C3A7B">
        <w:rPr>
          <w:rFonts w:ascii="Verdana" w:hAnsi="Verdana"/>
          <w:sz w:val="20"/>
          <w:szCs w:val="20"/>
        </w:rPr>
        <w:t xml:space="preserve"> en el presente caso</w:t>
      </w:r>
      <w:r w:rsidR="00107313">
        <w:rPr>
          <w:rFonts w:ascii="Verdana" w:hAnsi="Verdana"/>
          <w:sz w:val="20"/>
          <w:szCs w:val="20"/>
        </w:rPr>
        <w:t xml:space="preserve"> y se ordenó la recepción de determinadas declaraciones</w:t>
      </w:r>
      <w:r w:rsidRPr="003E0F12">
        <w:rPr>
          <w:rFonts w:ascii="Verdana" w:hAnsi="Verdana"/>
          <w:sz w:val="20"/>
          <w:szCs w:val="20"/>
          <w:lang w:val="es-ES_tradnl"/>
        </w:rPr>
        <w:t>.</w:t>
      </w:r>
    </w:p>
    <w:p w14:paraId="1C72933C" w14:textId="519F576F" w:rsidR="003C4FA0" w:rsidRPr="008E0443" w:rsidRDefault="003C4FA0" w:rsidP="002A56A4">
      <w:pPr>
        <w:pStyle w:val="Sinespaciado"/>
        <w:spacing w:before="120" w:after="120"/>
        <w:ind w:left="0" w:right="23" w:firstLine="0"/>
        <w:contextualSpacing w:val="0"/>
        <w:rPr>
          <w:rFonts w:ascii="Verdana" w:hAnsi="Verdana"/>
          <w:sz w:val="20"/>
          <w:szCs w:val="20"/>
          <w:lang w:val="es-ES_tradnl"/>
        </w:rPr>
      </w:pPr>
      <w:r w:rsidRPr="008E0443">
        <w:rPr>
          <w:rFonts w:ascii="Verdana" w:hAnsi="Verdana"/>
          <w:sz w:val="20"/>
          <w:szCs w:val="20"/>
          <w:lang w:val="es-ES_tradnl"/>
        </w:rPr>
        <w:t>El escrito de 18 de marzo de 2021</w:t>
      </w:r>
      <w:r w:rsidR="00857F71">
        <w:rPr>
          <w:rFonts w:ascii="Verdana" w:hAnsi="Verdana"/>
          <w:sz w:val="20"/>
          <w:szCs w:val="20"/>
          <w:lang w:val="es-ES_tradnl"/>
        </w:rPr>
        <w:t>,</w:t>
      </w:r>
      <w:r w:rsidRPr="008E0443">
        <w:rPr>
          <w:rFonts w:ascii="Verdana" w:hAnsi="Verdana"/>
          <w:sz w:val="20"/>
          <w:szCs w:val="20"/>
          <w:lang w:val="es-ES_tradnl"/>
        </w:rPr>
        <w:t xml:space="preserve"> mediante el cual el Estado de Chile</w:t>
      </w:r>
      <w:r w:rsidR="001C3A7B">
        <w:rPr>
          <w:rFonts w:ascii="Verdana" w:hAnsi="Verdana"/>
          <w:sz w:val="20"/>
          <w:szCs w:val="20"/>
          <w:lang w:val="es-ES_tradnl"/>
        </w:rPr>
        <w:t xml:space="preserve">, </w:t>
      </w:r>
      <w:r w:rsidR="001C3A7B" w:rsidRPr="008E0443">
        <w:rPr>
          <w:rFonts w:ascii="Verdana" w:hAnsi="Verdana"/>
          <w:sz w:val="20"/>
          <w:szCs w:val="20"/>
          <w:lang w:val="es-ES_tradnl"/>
        </w:rPr>
        <w:t>de conformidad con el artículo 31.2 del Reglamento,</w:t>
      </w:r>
      <w:r w:rsidR="001C3A7B">
        <w:rPr>
          <w:rFonts w:ascii="Verdana" w:hAnsi="Verdana"/>
          <w:sz w:val="20"/>
          <w:szCs w:val="20"/>
          <w:lang w:val="es-ES_tradnl"/>
        </w:rPr>
        <w:t xml:space="preserve"> </w:t>
      </w:r>
      <w:r w:rsidR="00DC48B4" w:rsidRPr="008E0443">
        <w:rPr>
          <w:rFonts w:ascii="Verdana" w:hAnsi="Verdana"/>
          <w:sz w:val="20"/>
          <w:szCs w:val="20"/>
          <w:lang w:val="es-ES_tradnl"/>
        </w:rPr>
        <w:t>presentó un recurso de apelación contra la Resolución de Presidencia de 3 de marzo de 2021</w:t>
      </w:r>
      <w:r w:rsidR="006E749B">
        <w:rPr>
          <w:rFonts w:ascii="Verdana" w:hAnsi="Verdana"/>
          <w:sz w:val="20"/>
          <w:szCs w:val="20"/>
          <w:lang w:val="es-ES_tradnl"/>
        </w:rPr>
        <w:t>,</w:t>
      </w:r>
      <w:r w:rsidR="001C3A7B">
        <w:rPr>
          <w:rFonts w:ascii="Verdana" w:hAnsi="Verdana"/>
          <w:sz w:val="20"/>
          <w:szCs w:val="20"/>
          <w:lang w:val="es-ES_tradnl"/>
        </w:rPr>
        <w:t xml:space="preserve"> </w:t>
      </w:r>
      <w:r w:rsidRPr="008E0443">
        <w:rPr>
          <w:rFonts w:ascii="Verdana" w:hAnsi="Verdana"/>
          <w:sz w:val="20"/>
          <w:szCs w:val="20"/>
          <w:lang w:val="es-ES_tradnl"/>
        </w:rPr>
        <w:t>solicitó que se admita el escrito de contestación que fue declarado extemporáneo (</w:t>
      </w:r>
      <w:r w:rsidRPr="008E0443">
        <w:rPr>
          <w:rFonts w:ascii="Verdana" w:hAnsi="Verdana"/>
          <w:i/>
          <w:iCs w:val="0"/>
          <w:sz w:val="20"/>
          <w:szCs w:val="20"/>
          <w:lang w:val="es-ES_tradnl"/>
        </w:rPr>
        <w:t>supra</w:t>
      </w:r>
      <w:r w:rsidRPr="008E0443">
        <w:rPr>
          <w:rFonts w:ascii="Verdana" w:hAnsi="Verdana"/>
          <w:sz w:val="20"/>
          <w:szCs w:val="20"/>
          <w:lang w:val="es-ES_tradnl"/>
        </w:rPr>
        <w:t xml:space="preserve"> Visto 2), y </w:t>
      </w:r>
      <w:r w:rsidR="00B3566E" w:rsidRPr="008E0443">
        <w:rPr>
          <w:rFonts w:ascii="Verdana" w:hAnsi="Verdana"/>
          <w:sz w:val="20"/>
          <w:szCs w:val="20"/>
          <w:lang w:val="es-ES_tradnl"/>
        </w:rPr>
        <w:t xml:space="preserve">que </w:t>
      </w:r>
      <w:r w:rsidRPr="008E0443">
        <w:rPr>
          <w:rFonts w:ascii="Verdana" w:hAnsi="Verdana"/>
          <w:sz w:val="20"/>
          <w:szCs w:val="20"/>
          <w:lang w:val="es-ES_tradnl"/>
        </w:rPr>
        <w:t xml:space="preserve">subsidiariamente </w:t>
      </w:r>
      <w:r w:rsidR="001C3A7B">
        <w:rPr>
          <w:rFonts w:ascii="Verdana" w:hAnsi="Verdana"/>
          <w:sz w:val="20"/>
          <w:szCs w:val="20"/>
          <w:lang w:val="es-ES_tradnl"/>
        </w:rPr>
        <w:t xml:space="preserve">se </w:t>
      </w:r>
      <w:r w:rsidRPr="008E0443">
        <w:rPr>
          <w:rFonts w:ascii="Verdana" w:hAnsi="Verdana"/>
          <w:sz w:val="20"/>
          <w:szCs w:val="20"/>
          <w:lang w:val="es-ES_tradnl"/>
        </w:rPr>
        <w:t>convoque</w:t>
      </w:r>
      <w:r w:rsidR="00525A57">
        <w:rPr>
          <w:rFonts w:ascii="Verdana" w:hAnsi="Verdana"/>
          <w:sz w:val="20"/>
          <w:szCs w:val="20"/>
          <w:lang w:val="es-ES_tradnl"/>
        </w:rPr>
        <w:t xml:space="preserve"> </w:t>
      </w:r>
      <w:r w:rsidRPr="008E0443">
        <w:rPr>
          <w:rFonts w:ascii="Verdana" w:hAnsi="Verdana"/>
          <w:sz w:val="20"/>
          <w:szCs w:val="20"/>
          <w:lang w:val="es-ES_tradnl"/>
        </w:rPr>
        <w:t>a Paolo Carozza a rendir declaración pericial en el presente caso.</w:t>
      </w:r>
    </w:p>
    <w:p w14:paraId="3ACF6B32" w14:textId="77777777" w:rsidR="006B5876" w:rsidRPr="003E0F12" w:rsidRDefault="006B5876" w:rsidP="00BF73D3">
      <w:pPr>
        <w:pStyle w:val="Prrafodelista"/>
        <w:spacing w:before="240" w:after="240"/>
        <w:ind w:left="0"/>
        <w:contextualSpacing w:val="0"/>
        <w:rPr>
          <w:rFonts w:ascii="Verdana" w:hAnsi="Verdana"/>
          <w:b/>
          <w:sz w:val="20"/>
          <w:szCs w:val="20"/>
          <w:lang w:val="es-ES_tradnl"/>
        </w:rPr>
      </w:pPr>
      <w:r w:rsidRPr="003E0F12">
        <w:rPr>
          <w:rFonts w:ascii="Verdana" w:hAnsi="Verdana"/>
          <w:b/>
          <w:sz w:val="20"/>
          <w:szCs w:val="20"/>
          <w:lang w:val="es-ES_tradnl"/>
        </w:rPr>
        <w:lastRenderedPageBreak/>
        <w:t xml:space="preserve">CONSIDERANDO QUE: </w:t>
      </w:r>
    </w:p>
    <w:p w14:paraId="51325798" w14:textId="77777777" w:rsidR="007E4BF1" w:rsidRDefault="00B3566E"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8E0443">
        <w:rPr>
          <w:rFonts w:ascii="Verdana" w:hAnsi="Verdana"/>
          <w:sz w:val="20"/>
          <w:szCs w:val="20"/>
          <w:lang w:val="es-ES_tradnl"/>
        </w:rPr>
        <w:t xml:space="preserve">Las decisiones de la Presidenta, que no sean de mero trámite, son recurribles ante la Corte Interamericana de Derechos Humanos, en </w:t>
      </w:r>
      <w:r w:rsidRPr="00B3566E">
        <w:rPr>
          <w:rFonts w:ascii="Verdana" w:hAnsi="Verdana"/>
          <w:sz w:val="20"/>
          <w:szCs w:val="20"/>
          <w:lang w:val="es-ES_tradnl"/>
        </w:rPr>
        <w:t>los términos del artículo 31.2 del Reglamento de este Tribunal (en adelante “el Reglamento”).</w:t>
      </w:r>
      <w:r w:rsidR="007E4BF1">
        <w:rPr>
          <w:rFonts w:ascii="Verdana" w:hAnsi="Verdana"/>
          <w:sz w:val="20"/>
          <w:szCs w:val="20"/>
          <w:lang w:val="es-ES_tradnl"/>
        </w:rPr>
        <w:t xml:space="preserve"> </w:t>
      </w:r>
    </w:p>
    <w:p w14:paraId="2BC7EFF9" w14:textId="688E8651" w:rsidR="00A5374B" w:rsidRDefault="007E4BF1"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En este caso</w:t>
      </w:r>
      <w:r w:rsidR="00857F71">
        <w:rPr>
          <w:rFonts w:ascii="Verdana" w:hAnsi="Verdana"/>
          <w:sz w:val="20"/>
          <w:szCs w:val="20"/>
          <w:lang w:val="es-ES_tradnl"/>
        </w:rPr>
        <w:t>,</w:t>
      </w:r>
      <w:r>
        <w:rPr>
          <w:rFonts w:ascii="Verdana" w:hAnsi="Verdana"/>
          <w:sz w:val="20"/>
          <w:szCs w:val="20"/>
          <w:lang w:val="es-ES_tradnl"/>
        </w:rPr>
        <w:t xml:space="preserve"> el Estado present</w:t>
      </w:r>
      <w:r w:rsidR="00857F71">
        <w:rPr>
          <w:rFonts w:ascii="Verdana" w:hAnsi="Verdana"/>
          <w:sz w:val="20"/>
          <w:szCs w:val="20"/>
          <w:lang w:val="es-ES_tradnl"/>
        </w:rPr>
        <w:t>ó</w:t>
      </w:r>
      <w:r>
        <w:rPr>
          <w:rFonts w:ascii="Verdana" w:hAnsi="Verdana"/>
          <w:sz w:val="20"/>
          <w:szCs w:val="20"/>
          <w:lang w:val="es-ES_tradnl"/>
        </w:rPr>
        <w:t xml:space="preserve"> </w:t>
      </w:r>
      <w:r w:rsidR="00A5374B">
        <w:rPr>
          <w:rFonts w:ascii="Verdana" w:hAnsi="Verdana"/>
          <w:sz w:val="20"/>
          <w:szCs w:val="20"/>
          <w:lang w:val="es-ES_tradnl"/>
        </w:rPr>
        <w:t>un recurso de apelación contra</w:t>
      </w:r>
      <w:r>
        <w:rPr>
          <w:rFonts w:ascii="Verdana" w:hAnsi="Verdana"/>
          <w:sz w:val="20"/>
          <w:szCs w:val="20"/>
          <w:lang w:val="es-ES_tradnl"/>
        </w:rPr>
        <w:t xml:space="preserve"> </w:t>
      </w:r>
      <w:r w:rsidR="00A5374B">
        <w:rPr>
          <w:rFonts w:ascii="Verdana" w:hAnsi="Verdana"/>
          <w:sz w:val="20"/>
          <w:szCs w:val="20"/>
          <w:lang w:val="es-ES_tradnl"/>
        </w:rPr>
        <w:t>la</w:t>
      </w:r>
      <w:r>
        <w:rPr>
          <w:rFonts w:ascii="Verdana" w:hAnsi="Verdana"/>
          <w:sz w:val="20"/>
          <w:szCs w:val="20"/>
          <w:lang w:val="es-ES_tradnl"/>
        </w:rPr>
        <w:t xml:space="preserve"> </w:t>
      </w:r>
      <w:r w:rsidR="00525A57">
        <w:rPr>
          <w:rFonts w:ascii="Verdana" w:hAnsi="Verdana"/>
          <w:sz w:val="20"/>
          <w:szCs w:val="20"/>
          <w:lang w:val="es-ES_tradnl"/>
        </w:rPr>
        <w:t>R</w:t>
      </w:r>
      <w:r>
        <w:rPr>
          <w:rFonts w:ascii="Verdana" w:hAnsi="Verdana"/>
          <w:sz w:val="20"/>
          <w:szCs w:val="20"/>
          <w:lang w:val="es-ES_tradnl"/>
        </w:rPr>
        <w:t xml:space="preserve">esolución </w:t>
      </w:r>
      <w:r w:rsidR="00A5374B">
        <w:rPr>
          <w:rFonts w:ascii="Verdana" w:hAnsi="Verdana"/>
          <w:sz w:val="20"/>
          <w:szCs w:val="20"/>
          <w:lang w:val="es-ES_tradnl"/>
        </w:rPr>
        <w:t xml:space="preserve">de </w:t>
      </w:r>
      <w:r w:rsidR="001C3A7B">
        <w:rPr>
          <w:rFonts w:ascii="Verdana" w:hAnsi="Verdana"/>
          <w:sz w:val="20"/>
          <w:szCs w:val="20"/>
          <w:lang w:val="es-ES_tradnl"/>
        </w:rPr>
        <w:t>c</w:t>
      </w:r>
      <w:r w:rsidR="00A5374B">
        <w:rPr>
          <w:rFonts w:ascii="Verdana" w:hAnsi="Verdana"/>
          <w:sz w:val="20"/>
          <w:szCs w:val="20"/>
          <w:lang w:val="es-ES_tradnl"/>
        </w:rPr>
        <w:t xml:space="preserve">onvocatoria </w:t>
      </w:r>
      <w:r w:rsidR="001C3A7B">
        <w:rPr>
          <w:rFonts w:ascii="Verdana" w:hAnsi="Verdana"/>
          <w:sz w:val="20"/>
          <w:szCs w:val="20"/>
          <w:lang w:val="es-ES_tradnl"/>
        </w:rPr>
        <w:t xml:space="preserve">a audiencia pública </w:t>
      </w:r>
      <w:r w:rsidR="00A5374B">
        <w:rPr>
          <w:rFonts w:ascii="Verdana" w:hAnsi="Verdana"/>
          <w:sz w:val="20"/>
          <w:szCs w:val="20"/>
          <w:lang w:val="es-ES_tradnl"/>
        </w:rPr>
        <w:t xml:space="preserve">de la Presidencia de </w:t>
      </w:r>
      <w:r w:rsidR="00525A57">
        <w:rPr>
          <w:rFonts w:ascii="Verdana" w:hAnsi="Verdana"/>
          <w:sz w:val="20"/>
          <w:szCs w:val="20"/>
          <w:lang w:val="es-ES_tradnl"/>
        </w:rPr>
        <w:t xml:space="preserve">la Corte de </w:t>
      </w:r>
      <w:r w:rsidR="00A5374B">
        <w:rPr>
          <w:rFonts w:ascii="Verdana" w:hAnsi="Verdana"/>
          <w:sz w:val="20"/>
          <w:szCs w:val="20"/>
          <w:lang w:val="es-ES_tradnl"/>
        </w:rPr>
        <w:t>3 de marzo de 2021</w:t>
      </w:r>
      <w:r w:rsidR="00857F71">
        <w:rPr>
          <w:rFonts w:ascii="Verdana" w:hAnsi="Verdana"/>
          <w:sz w:val="20"/>
          <w:szCs w:val="20"/>
          <w:lang w:val="es-ES_tradnl"/>
        </w:rPr>
        <w:t>, así como</w:t>
      </w:r>
      <w:r w:rsidR="00A5374B">
        <w:rPr>
          <w:rFonts w:ascii="Verdana" w:hAnsi="Verdana"/>
          <w:sz w:val="20"/>
          <w:szCs w:val="20"/>
          <w:lang w:val="es-ES_tradnl"/>
        </w:rPr>
        <w:t xml:space="preserve"> contra </w:t>
      </w:r>
      <w:r w:rsidR="00857F71">
        <w:rPr>
          <w:rFonts w:ascii="Verdana" w:hAnsi="Verdana"/>
          <w:sz w:val="20"/>
          <w:szCs w:val="20"/>
          <w:lang w:val="es-ES_tradnl"/>
        </w:rPr>
        <w:t>la decisi</w:t>
      </w:r>
      <w:r w:rsidR="000A2857">
        <w:rPr>
          <w:rFonts w:ascii="Verdana" w:hAnsi="Verdana"/>
          <w:sz w:val="20"/>
          <w:szCs w:val="20"/>
          <w:lang w:val="es-ES_tradnl"/>
        </w:rPr>
        <w:t>ó</w:t>
      </w:r>
      <w:r w:rsidR="00857F71">
        <w:rPr>
          <w:rFonts w:ascii="Verdana" w:hAnsi="Verdana"/>
          <w:sz w:val="20"/>
          <w:szCs w:val="20"/>
          <w:lang w:val="es-ES_tradnl"/>
        </w:rPr>
        <w:t>n adoptada tanto por la Presidenta como por el</w:t>
      </w:r>
      <w:r w:rsidR="00A5374B">
        <w:rPr>
          <w:rFonts w:ascii="Verdana" w:hAnsi="Verdana"/>
          <w:sz w:val="20"/>
          <w:szCs w:val="20"/>
          <w:lang w:val="es-ES_tradnl"/>
        </w:rPr>
        <w:t xml:space="preserve"> </w:t>
      </w:r>
      <w:r w:rsidR="00857F71">
        <w:rPr>
          <w:rFonts w:ascii="Verdana" w:hAnsi="Verdana"/>
          <w:sz w:val="20"/>
          <w:szCs w:val="20"/>
          <w:lang w:val="es-ES_tradnl"/>
        </w:rPr>
        <w:t>P</w:t>
      </w:r>
      <w:r w:rsidR="00A5374B">
        <w:rPr>
          <w:rFonts w:ascii="Verdana" w:hAnsi="Verdana"/>
          <w:sz w:val="20"/>
          <w:szCs w:val="20"/>
          <w:lang w:val="es-ES_tradnl"/>
        </w:rPr>
        <w:t>leno del Tribunal</w:t>
      </w:r>
      <w:r w:rsidR="00525A57">
        <w:rPr>
          <w:rFonts w:ascii="Verdana" w:hAnsi="Verdana"/>
          <w:sz w:val="20"/>
          <w:szCs w:val="20"/>
          <w:lang w:val="es-ES_tradnl"/>
        </w:rPr>
        <w:t xml:space="preserve"> </w:t>
      </w:r>
      <w:r w:rsidR="00525A57" w:rsidRPr="008E0443">
        <w:rPr>
          <w:rFonts w:ascii="Verdana" w:hAnsi="Verdana"/>
          <w:sz w:val="20"/>
          <w:szCs w:val="20"/>
          <w:lang w:val="es-ES_tradnl"/>
        </w:rPr>
        <w:t>(</w:t>
      </w:r>
      <w:r w:rsidR="00525A57" w:rsidRPr="008E0443">
        <w:rPr>
          <w:rFonts w:ascii="Verdana" w:hAnsi="Verdana"/>
          <w:i/>
          <w:iCs w:val="0"/>
          <w:sz w:val="20"/>
          <w:szCs w:val="20"/>
          <w:lang w:val="es-ES_tradnl"/>
        </w:rPr>
        <w:t>supra</w:t>
      </w:r>
      <w:r w:rsidR="00525A57" w:rsidRPr="008E0443">
        <w:rPr>
          <w:rFonts w:ascii="Verdana" w:hAnsi="Verdana"/>
          <w:sz w:val="20"/>
          <w:szCs w:val="20"/>
          <w:lang w:val="es-ES_tradnl"/>
        </w:rPr>
        <w:t xml:space="preserve"> Visto </w:t>
      </w:r>
      <w:r w:rsidR="00525A57">
        <w:rPr>
          <w:rFonts w:ascii="Verdana" w:hAnsi="Verdana"/>
          <w:sz w:val="20"/>
          <w:szCs w:val="20"/>
          <w:lang w:val="es-ES_tradnl"/>
        </w:rPr>
        <w:t>5</w:t>
      </w:r>
      <w:r w:rsidR="00525A57" w:rsidRPr="008E0443">
        <w:rPr>
          <w:rFonts w:ascii="Verdana" w:hAnsi="Verdana"/>
          <w:sz w:val="20"/>
          <w:szCs w:val="20"/>
          <w:lang w:val="es-ES_tradnl"/>
        </w:rPr>
        <w:t>)</w:t>
      </w:r>
      <w:r w:rsidR="00857F71">
        <w:rPr>
          <w:rFonts w:ascii="Verdana" w:hAnsi="Verdana"/>
          <w:sz w:val="20"/>
          <w:szCs w:val="20"/>
          <w:lang w:val="es-ES_tradnl"/>
        </w:rPr>
        <w:t>,</w:t>
      </w:r>
      <w:r w:rsidR="00A5374B">
        <w:rPr>
          <w:rFonts w:ascii="Verdana" w:hAnsi="Verdana"/>
          <w:sz w:val="20"/>
          <w:szCs w:val="20"/>
          <w:lang w:val="es-ES_tradnl"/>
        </w:rPr>
        <w:t xml:space="preserve"> </w:t>
      </w:r>
      <w:r w:rsidR="00A5374B" w:rsidRPr="003E0F12">
        <w:rPr>
          <w:rFonts w:ascii="Verdana" w:hAnsi="Verdana"/>
          <w:sz w:val="20"/>
          <w:szCs w:val="20"/>
          <w:lang w:val="es-ES_tradnl" w:eastAsia="es-ES"/>
        </w:rPr>
        <w:t>mediante la cual fue declarado extemporáneo</w:t>
      </w:r>
      <w:r w:rsidR="00A5374B">
        <w:rPr>
          <w:rFonts w:ascii="Verdana" w:hAnsi="Verdana"/>
          <w:sz w:val="20"/>
          <w:szCs w:val="20"/>
          <w:lang w:val="es-ES_tradnl" w:eastAsia="es-ES"/>
        </w:rPr>
        <w:t xml:space="preserve"> y</w:t>
      </w:r>
      <w:r w:rsidR="00857F71">
        <w:rPr>
          <w:rFonts w:ascii="Verdana" w:hAnsi="Verdana"/>
          <w:sz w:val="20"/>
          <w:szCs w:val="20"/>
          <w:lang w:val="es-ES_tradnl" w:eastAsia="es-ES"/>
        </w:rPr>
        <w:t>,</w:t>
      </w:r>
      <w:r w:rsidR="00A5374B">
        <w:rPr>
          <w:rFonts w:ascii="Verdana" w:hAnsi="Verdana"/>
          <w:sz w:val="20"/>
          <w:szCs w:val="20"/>
          <w:lang w:val="es-ES_tradnl" w:eastAsia="es-ES"/>
        </w:rPr>
        <w:t xml:space="preserve"> por lo tanto</w:t>
      </w:r>
      <w:r w:rsidR="00857F71">
        <w:rPr>
          <w:rFonts w:ascii="Verdana" w:hAnsi="Verdana"/>
          <w:sz w:val="20"/>
          <w:szCs w:val="20"/>
          <w:lang w:val="es-ES_tradnl" w:eastAsia="es-ES"/>
        </w:rPr>
        <w:t>,</w:t>
      </w:r>
      <w:r w:rsidR="00A5374B">
        <w:rPr>
          <w:rFonts w:ascii="Verdana" w:hAnsi="Verdana"/>
          <w:sz w:val="20"/>
          <w:szCs w:val="20"/>
          <w:lang w:val="es-ES_tradnl" w:eastAsia="es-ES"/>
        </w:rPr>
        <w:t xml:space="preserve"> inadmisible</w:t>
      </w:r>
      <w:r w:rsidR="00A5374B" w:rsidRPr="003E0F12">
        <w:rPr>
          <w:rFonts w:ascii="Verdana" w:hAnsi="Verdana"/>
          <w:sz w:val="20"/>
          <w:szCs w:val="20"/>
          <w:lang w:val="es-ES_tradnl" w:eastAsia="es-ES"/>
        </w:rPr>
        <w:t xml:space="preserve"> el escrito de contestación del Estado </w:t>
      </w:r>
      <w:r w:rsidR="00A5374B">
        <w:rPr>
          <w:rFonts w:ascii="Verdana" w:hAnsi="Verdana"/>
          <w:sz w:val="20"/>
          <w:szCs w:val="20"/>
          <w:lang w:val="es-ES_tradnl"/>
        </w:rPr>
        <w:t>(</w:t>
      </w:r>
      <w:r w:rsidR="00A5374B" w:rsidRPr="004E2353">
        <w:rPr>
          <w:rFonts w:ascii="Verdana" w:hAnsi="Verdana"/>
          <w:i/>
          <w:sz w:val="20"/>
          <w:szCs w:val="20"/>
          <w:lang w:val="es-ES_tradnl"/>
        </w:rPr>
        <w:t>supra</w:t>
      </w:r>
      <w:r w:rsidR="00A5374B">
        <w:rPr>
          <w:rFonts w:ascii="Verdana" w:hAnsi="Verdana"/>
          <w:sz w:val="20"/>
          <w:szCs w:val="20"/>
          <w:lang w:val="es-ES_tradnl"/>
        </w:rPr>
        <w:t xml:space="preserve"> Visto 2).</w:t>
      </w:r>
    </w:p>
    <w:p w14:paraId="0D23F600" w14:textId="64B7A941" w:rsidR="003C4FA0" w:rsidRPr="003E0F12" w:rsidRDefault="003C4FA0"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3E0F12">
        <w:rPr>
          <w:rFonts w:ascii="Verdana" w:hAnsi="Verdana"/>
          <w:sz w:val="20"/>
          <w:szCs w:val="20"/>
          <w:lang w:val="es-ES_tradnl"/>
        </w:rPr>
        <w:t xml:space="preserve">Tomando en cuenta los alegatos presentados por el Estado, </w:t>
      </w:r>
      <w:r w:rsidR="00E161FD">
        <w:rPr>
          <w:rFonts w:ascii="Verdana" w:hAnsi="Verdana"/>
          <w:sz w:val="20"/>
          <w:szCs w:val="20"/>
          <w:lang w:val="es-ES_tradnl"/>
        </w:rPr>
        <w:t>l</w:t>
      </w:r>
      <w:r w:rsidRPr="003E0F12">
        <w:rPr>
          <w:rFonts w:ascii="Verdana" w:hAnsi="Verdana"/>
          <w:sz w:val="20"/>
          <w:szCs w:val="20"/>
          <w:lang w:val="es-ES_tradnl"/>
        </w:rPr>
        <w:t xml:space="preserve">a </w:t>
      </w:r>
      <w:r w:rsidR="00E161FD">
        <w:rPr>
          <w:rFonts w:ascii="Verdana" w:hAnsi="Verdana"/>
          <w:sz w:val="20"/>
          <w:szCs w:val="20"/>
          <w:lang w:val="es-ES_tradnl"/>
        </w:rPr>
        <w:t xml:space="preserve">Corte </w:t>
      </w:r>
      <w:r w:rsidRPr="003E0F12">
        <w:rPr>
          <w:rFonts w:ascii="Verdana" w:hAnsi="Verdana"/>
          <w:sz w:val="20"/>
          <w:szCs w:val="20"/>
          <w:lang w:val="es-ES_tradnl"/>
        </w:rPr>
        <w:t>procederá a examinar en forma particular: a) la</w:t>
      </w:r>
      <w:r w:rsidR="000A2857">
        <w:rPr>
          <w:rFonts w:ascii="Verdana" w:hAnsi="Verdana"/>
          <w:sz w:val="20"/>
          <w:szCs w:val="20"/>
          <w:lang w:val="es-ES_tradnl"/>
        </w:rPr>
        <w:t xml:space="preserve"> solicitud de</w:t>
      </w:r>
      <w:r w:rsidRPr="003E0F12">
        <w:rPr>
          <w:rFonts w:ascii="Verdana" w:hAnsi="Verdana"/>
          <w:sz w:val="20"/>
          <w:szCs w:val="20"/>
          <w:lang w:val="es-ES_tradnl"/>
        </w:rPr>
        <w:t xml:space="preserve"> admisibilidad del </w:t>
      </w:r>
      <w:r w:rsidR="00161C37" w:rsidRPr="003E0F12">
        <w:rPr>
          <w:rFonts w:ascii="Verdana" w:hAnsi="Verdana"/>
          <w:sz w:val="20"/>
          <w:szCs w:val="20"/>
          <w:lang w:val="es-ES_tradnl"/>
        </w:rPr>
        <w:t>e</w:t>
      </w:r>
      <w:r w:rsidRPr="003E0F12">
        <w:rPr>
          <w:rFonts w:ascii="Verdana" w:hAnsi="Verdana"/>
          <w:sz w:val="20"/>
          <w:szCs w:val="20"/>
          <w:lang w:val="es-ES_tradnl"/>
        </w:rPr>
        <w:t xml:space="preserve">scrito de </w:t>
      </w:r>
      <w:r w:rsidR="00161C37" w:rsidRPr="003E0F12">
        <w:rPr>
          <w:rFonts w:ascii="Verdana" w:hAnsi="Verdana"/>
          <w:sz w:val="20"/>
          <w:szCs w:val="20"/>
          <w:lang w:val="es-ES_tradnl"/>
        </w:rPr>
        <w:t>c</w:t>
      </w:r>
      <w:r w:rsidRPr="003E0F12">
        <w:rPr>
          <w:rFonts w:ascii="Verdana" w:hAnsi="Verdana"/>
          <w:sz w:val="20"/>
          <w:szCs w:val="20"/>
          <w:lang w:val="es-ES_tradnl"/>
        </w:rPr>
        <w:t>ontestación</w:t>
      </w:r>
      <w:r w:rsidR="00161C37" w:rsidRPr="003E0F12">
        <w:rPr>
          <w:rFonts w:ascii="Verdana" w:hAnsi="Verdana"/>
          <w:sz w:val="20"/>
          <w:szCs w:val="20"/>
          <w:lang w:val="es-ES_tradnl"/>
        </w:rPr>
        <w:t xml:space="preserve"> del Estado</w:t>
      </w:r>
      <w:r w:rsidR="004F3B42">
        <w:rPr>
          <w:rFonts w:ascii="Verdana" w:hAnsi="Verdana"/>
          <w:sz w:val="20"/>
          <w:szCs w:val="20"/>
          <w:lang w:val="es-ES_tradnl"/>
        </w:rPr>
        <w:t>;</w:t>
      </w:r>
      <w:r w:rsidR="004F3B42" w:rsidRPr="003E0F12">
        <w:rPr>
          <w:rFonts w:ascii="Verdana" w:hAnsi="Verdana"/>
          <w:sz w:val="20"/>
          <w:szCs w:val="20"/>
          <w:lang w:val="es-ES_tradnl"/>
        </w:rPr>
        <w:t xml:space="preserve"> </w:t>
      </w:r>
      <w:r w:rsidR="00161C37" w:rsidRPr="003E0F12">
        <w:rPr>
          <w:rFonts w:ascii="Verdana" w:hAnsi="Verdana"/>
          <w:sz w:val="20"/>
          <w:szCs w:val="20"/>
          <w:lang w:val="es-ES_tradnl"/>
        </w:rPr>
        <w:t>b</w:t>
      </w:r>
      <w:r w:rsidRPr="003E0F12">
        <w:rPr>
          <w:rFonts w:ascii="Verdana" w:hAnsi="Verdana"/>
          <w:sz w:val="20"/>
          <w:szCs w:val="20"/>
          <w:lang w:val="es-ES_tradnl"/>
        </w:rPr>
        <w:t xml:space="preserve">) </w:t>
      </w:r>
      <w:r w:rsidR="00161C37" w:rsidRPr="003E0F12">
        <w:rPr>
          <w:rFonts w:ascii="Verdana" w:hAnsi="Verdana"/>
          <w:sz w:val="20"/>
          <w:szCs w:val="20"/>
          <w:lang w:val="es-ES_tradnl"/>
        </w:rPr>
        <w:t xml:space="preserve">la solicitud del Estado relacionada con la declaración </w:t>
      </w:r>
      <w:r w:rsidR="000A2857">
        <w:rPr>
          <w:rFonts w:ascii="Verdana" w:hAnsi="Verdana"/>
          <w:sz w:val="20"/>
          <w:szCs w:val="20"/>
          <w:lang w:val="es-ES_tradnl"/>
        </w:rPr>
        <w:t xml:space="preserve">pericial </w:t>
      </w:r>
      <w:r w:rsidR="00161C37" w:rsidRPr="003E0F12">
        <w:rPr>
          <w:rFonts w:ascii="Verdana" w:hAnsi="Verdana"/>
          <w:sz w:val="20"/>
          <w:szCs w:val="20"/>
          <w:lang w:val="es-ES_tradnl"/>
        </w:rPr>
        <w:t>de Paolo Carozza</w:t>
      </w:r>
      <w:r w:rsidR="004F3B42">
        <w:rPr>
          <w:rFonts w:ascii="Verdana" w:hAnsi="Verdana"/>
          <w:sz w:val="20"/>
          <w:szCs w:val="20"/>
          <w:lang w:val="es-ES_tradnl"/>
        </w:rPr>
        <w:t>,</w:t>
      </w:r>
      <w:r w:rsidR="00F61EB9">
        <w:rPr>
          <w:rFonts w:ascii="Verdana" w:hAnsi="Verdana"/>
          <w:sz w:val="20"/>
          <w:szCs w:val="20"/>
          <w:lang w:val="es-ES_tradnl"/>
        </w:rPr>
        <w:t xml:space="preserve"> y c) </w:t>
      </w:r>
      <w:r w:rsidR="004F3B42">
        <w:rPr>
          <w:rFonts w:ascii="Verdana" w:hAnsi="Verdana"/>
          <w:sz w:val="20"/>
          <w:szCs w:val="20"/>
          <w:lang w:val="es-ES_tradnl"/>
        </w:rPr>
        <w:t xml:space="preserve">la </w:t>
      </w:r>
      <w:r w:rsidR="000A2857">
        <w:rPr>
          <w:rFonts w:ascii="Verdana" w:hAnsi="Verdana"/>
          <w:sz w:val="20"/>
          <w:szCs w:val="20"/>
          <w:lang w:val="es-ES_tradnl"/>
        </w:rPr>
        <w:t>s</w:t>
      </w:r>
      <w:r w:rsidR="004F3B42" w:rsidRPr="004E2353">
        <w:rPr>
          <w:rFonts w:ascii="Verdana" w:hAnsi="Verdana"/>
          <w:sz w:val="20"/>
          <w:szCs w:val="20"/>
          <w:lang w:val="es-ES_tradnl"/>
        </w:rPr>
        <w:t xml:space="preserve">olicitud de la Comisión de interrogar al </w:t>
      </w:r>
      <w:r w:rsidR="000A2857">
        <w:rPr>
          <w:rFonts w:ascii="Verdana" w:hAnsi="Verdana"/>
          <w:sz w:val="20"/>
          <w:szCs w:val="20"/>
          <w:lang w:val="es-ES_tradnl"/>
        </w:rPr>
        <w:t xml:space="preserve">referido </w:t>
      </w:r>
      <w:r w:rsidR="004F3B42" w:rsidRPr="004E2353">
        <w:rPr>
          <w:rFonts w:ascii="Verdana" w:hAnsi="Verdana"/>
          <w:sz w:val="20"/>
          <w:szCs w:val="20"/>
          <w:lang w:val="es-ES_tradnl"/>
        </w:rPr>
        <w:t>perito</w:t>
      </w:r>
      <w:r w:rsidRPr="004E2353">
        <w:rPr>
          <w:rFonts w:ascii="Verdana" w:hAnsi="Verdana"/>
          <w:sz w:val="20"/>
          <w:szCs w:val="20"/>
          <w:lang w:val="es-ES_tradnl"/>
        </w:rPr>
        <w:t>.</w:t>
      </w:r>
      <w:r w:rsidRPr="003E0F12">
        <w:rPr>
          <w:rFonts w:ascii="Verdana" w:eastAsia="Calibri" w:hAnsi="Verdana" w:cs="Verdana"/>
          <w:sz w:val="20"/>
          <w:szCs w:val="20"/>
          <w:lang w:val="es-ES_tradnl"/>
        </w:rPr>
        <w:t xml:space="preserve"> </w:t>
      </w:r>
    </w:p>
    <w:p w14:paraId="75D19E92" w14:textId="6C8ED037" w:rsidR="003C4FA0" w:rsidRPr="003E0F12" w:rsidRDefault="00161C37" w:rsidP="00932D0A">
      <w:pPr>
        <w:pStyle w:val="Sinespaciado"/>
        <w:numPr>
          <w:ilvl w:val="0"/>
          <w:numId w:val="4"/>
        </w:numPr>
        <w:spacing w:before="240" w:after="240"/>
        <w:ind w:left="714" w:right="23" w:hanging="357"/>
        <w:contextualSpacing w:val="0"/>
        <w:rPr>
          <w:rFonts w:ascii="Verdana" w:hAnsi="Verdana"/>
          <w:b/>
          <w:bCs w:val="0"/>
          <w:i/>
          <w:iCs w:val="0"/>
          <w:sz w:val="20"/>
          <w:szCs w:val="20"/>
          <w:lang w:val="es-ES_tradnl"/>
        </w:rPr>
      </w:pPr>
      <w:r w:rsidRPr="003E0F12">
        <w:rPr>
          <w:rFonts w:ascii="Verdana" w:hAnsi="Verdana"/>
          <w:b/>
          <w:bCs w:val="0"/>
          <w:i/>
          <w:iCs w:val="0"/>
          <w:sz w:val="20"/>
          <w:szCs w:val="20"/>
          <w:lang w:val="es-ES_tradnl"/>
        </w:rPr>
        <w:t xml:space="preserve">Sobre la </w:t>
      </w:r>
      <w:r w:rsidR="000A2857">
        <w:rPr>
          <w:rFonts w:ascii="Verdana" w:hAnsi="Verdana"/>
          <w:b/>
          <w:bCs w:val="0"/>
          <w:i/>
          <w:iCs w:val="0"/>
          <w:sz w:val="20"/>
          <w:szCs w:val="20"/>
          <w:lang w:val="es-ES_tradnl"/>
        </w:rPr>
        <w:t xml:space="preserve">solicitud de </w:t>
      </w:r>
      <w:r w:rsidRPr="003E0F12">
        <w:rPr>
          <w:rFonts w:ascii="Verdana" w:hAnsi="Verdana"/>
          <w:b/>
          <w:bCs w:val="0"/>
          <w:i/>
          <w:iCs w:val="0"/>
          <w:sz w:val="20"/>
          <w:szCs w:val="20"/>
          <w:lang w:val="es-ES_tradnl"/>
        </w:rPr>
        <w:t>admisibilidad del escrito de contestación del Estado</w:t>
      </w:r>
    </w:p>
    <w:p w14:paraId="634AB44F" w14:textId="2718B280" w:rsidR="00CD6C9A" w:rsidRPr="006635A8" w:rsidRDefault="00161C37" w:rsidP="00387DC5">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6635A8">
        <w:rPr>
          <w:rFonts w:ascii="Verdana" w:hAnsi="Verdana"/>
          <w:sz w:val="20"/>
          <w:szCs w:val="20"/>
          <w:lang w:val="es-ES_tradnl"/>
        </w:rPr>
        <w:t xml:space="preserve">En relación con </w:t>
      </w:r>
      <w:r w:rsidR="000C66F1" w:rsidRPr="006635A8">
        <w:rPr>
          <w:rFonts w:ascii="Verdana" w:hAnsi="Verdana"/>
          <w:sz w:val="20"/>
          <w:szCs w:val="20"/>
          <w:lang w:val="es-ES_tradnl"/>
        </w:rPr>
        <w:t xml:space="preserve">este punto, el Estado </w:t>
      </w:r>
      <w:r w:rsidR="000E301B" w:rsidRPr="006635A8">
        <w:rPr>
          <w:rFonts w:ascii="Verdana" w:hAnsi="Verdana"/>
          <w:sz w:val="20"/>
          <w:szCs w:val="20"/>
          <w:lang w:val="es-ES_tradnl"/>
        </w:rPr>
        <w:t>solicitó</w:t>
      </w:r>
      <w:r w:rsidR="000C66F1" w:rsidRPr="006635A8">
        <w:rPr>
          <w:rFonts w:ascii="Verdana" w:hAnsi="Verdana"/>
          <w:sz w:val="20"/>
          <w:szCs w:val="20"/>
          <w:lang w:val="es-ES_tradnl"/>
        </w:rPr>
        <w:t xml:space="preserve"> que</w:t>
      </w:r>
      <w:r w:rsidR="00291A86" w:rsidRPr="006635A8">
        <w:rPr>
          <w:rFonts w:ascii="Verdana" w:hAnsi="Verdana"/>
          <w:sz w:val="20"/>
          <w:szCs w:val="20"/>
          <w:lang w:val="es-ES_tradnl"/>
        </w:rPr>
        <w:t xml:space="preserve"> la Corte declare admisible el escrito de contestación y</w:t>
      </w:r>
      <w:r w:rsidR="0036667E" w:rsidRPr="006635A8">
        <w:rPr>
          <w:rFonts w:ascii="Verdana" w:hAnsi="Verdana"/>
          <w:sz w:val="20"/>
          <w:szCs w:val="20"/>
          <w:lang w:val="es-ES_tradnl"/>
        </w:rPr>
        <w:t>,</w:t>
      </w:r>
      <w:r w:rsidR="00291A86" w:rsidRPr="006635A8">
        <w:rPr>
          <w:rFonts w:ascii="Verdana" w:hAnsi="Verdana"/>
          <w:sz w:val="20"/>
          <w:szCs w:val="20"/>
          <w:lang w:val="es-ES_tradnl"/>
        </w:rPr>
        <w:t xml:space="preserve"> por lo tanto</w:t>
      </w:r>
      <w:r w:rsidR="0036667E" w:rsidRPr="006635A8">
        <w:rPr>
          <w:rFonts w:ascii="Verdana" w:hAnsi="Verdana"/>
          <w:sz w:val="20"/>
          <w:szCs w:val="20"/>
          <w:lang w:val="es-ES_tradnl"/>
        </w:rPr>
        <w:t>,</w:t>
      </w:r>
      <w:r w:rsidR="00291A86" w:rsidRPr="006635A8">
        <w:rPr>
          <w:rFonts w:ascii="Verdana" w:hAnsi="Verdana"/>
          <w:sz w:val="20"/>
          <w:szCs w:val="20"/>
          <w:lang w:val="es-ES_tradnl"/>
        </w:rPr>
        <w:t xml:space="preserve"> </w:t>
      </w:r>
      <w:r w:rsidR="00387DC5">
        <w:rPr>
          <w:rFonts w:ascii="Verdana" w:hAnsi="Verdana"/>
          <w:sz w:val="20"/>
          <w:szCs w:val="20"/>
          <w:lang w:val="es-ES_tradnl"/>
        </w:rPr>
        <w:t>se estudien las excepciones preliminares y</w:t>
      </w:r>
      <w:r w:rsidR="00291A86" w:rsidRPr="006635A8">
        <w:rPr>
          <w:rFonts w:ascii="Verdana" w:hAnsi="Verdana"/>
          <w:sz w:val="20"/>
          <w:szCs w:val="20"/>
          <w:lang w:val="es-ES_tradnl"/>
        </w:rPr>
        <w:t xml:space="preserve"> </w:t>
      </w:r>
      <w:r w:rsidR="00387DC5">
        <w:rPr>
          <w:rFonts w:ascii="Verdana" w:hAnsi="Verdana"/>
          <w:sz w:val="20"/>
          <w:szCs w:val="20"/>
          <w:lang w:val="es-ES_tradnl"/>
        </w:rPr>
        <w:t xml:space="preserve">se </w:t>
      </w:r>
      <w:r w:rsidR="00291A86" w:rsidRPr="006635A8">
        <w:rPr>
          <w:rFonts w:ascii="Verdana" w:hAnsi="Verdana"/>
          <w:sz w:val="20"/>
          <w:szCs w:val="20"/>
          <w:lang w:val="es-ES_tradnl"/>
        </w:rPr>
        <w:t>valore la prueba ofrecida en ese escrito.</w:t>
      </w:r>
      <w:r w:rsidR="000E301B" w:rsidRPr="006635A8">
        <w:rPr>
          <w:rFonts w:ascii="Verdana" w:hAnsi="Verdana"/>
          <w:sz w:val="20"/>
          <w:szCs w:val="20"/>
          <w:lang w:val="es-ES_tradnl"/>
        </w:rPr>
        <w:t xml:space="preserve"> </w:t>
      </w:r>
      <w:r w:rsidR="004A2004" w:rsidRPr="006635A8">
        <w:rPr>
          <w:rFonts w:ascii="Verdana" w:hAnsi="Verdana"/>
          <w:sz w:val="20"/>
          <w:szCs w:val="20"/>
          <w:lang w:val="es-ES_tradnl"/>
        </w:rPr>
        <w:t>A</w:t>
      </w:r>
      <w:r w:rsidR="000E301B" w:rsidRPr="006635A8">
        <w:rPr>
          <w:rFonts w:ascii="Verdana" w:hAnsi="Verdana"/>
          <w:sz w:val="20"/>
          <w:szCs w:val="20"/>
          <w:lang w:val="es-ES_tradnl"/>
        </w:rPr>
        <w:t xml:space="preserve">legó </w:t>
      </w:r>
      <w:r w:rsidR="004A2004" w:rsidRPr="006635A8">
        <w:rPr>
          <w:rFonts w:ascii="Verdana" w:hAnsi="Verdana"/>
          <w:sz w:val="20"/>
          <w:szCs w:val="20"/>
          <w:lang w:val="es-ES_tradnl"/>
        </w:rPr>
        <w:t>q</w:t>
      </w:r>
      <w:r w:rsidR="00974B50" w:rsidRPr="006635A8">
        <w:rPr>
          <w:rFonts w:ascii="Verdana" w:hAnsi="Verdana"/>
          <w:sz w:val="20"/>
          <w:szCs w:val="20"/>
          <w:lang w:val="es-ES_tradnl"/>
        </w:rPr>
        <w:t>ue</w:t>
      </w:r>
      <w:r w:rsidR="00F558E3" w:rsidRPr="006635A8">
        <w:rPr>
          <w:rFonts w:ascii="Verdana" w:hAnsi="Verdana"/>
          <w:sz w:val="20"/>
          <w:szCs w:val="20"/>
          <w:lang w:val="es-ES_tradnl"/>
        </w:rPr>
        <w:t>:</w:t>
      </w:r>
      <w:r w:rsidR="00974B50" w:rsidRPr="006635A8">
        <w:rPr>
          <w:rFonts w:ascii="Verdana" w:hAnsi="Verdana"/>
          <w:sz w:val="20"/>
          <w:szCs w:val="20"/>
          <w:lang w:val="es-ES_tradnl"/>
        </w:rPr>
        <w:t xml:space="preserve"> </w:t>
      </w:r>
      <w:r w:rsidR="00F558E3" w:rsidRPr="006635A8">
        <w:rPr>
          <w:rFonts w:ascii="Verdana" w:hAnsi="Verdana"/>
          <w:sz w:val="20"/>
          <w:szCs w:val="20"/>
          <w:lang w:val="es-ES_tradnl"/>
        </w:rPr>
        <w:t xml:space="preserve">a) </w:t>
      </w:r>
      <w:r w:rsidR="006635A8" w:rsidRPr="006635A8">
        <w:rPr>
          <w:rFonts w:ascii="Verdana" w:hAnsi="Verdana"/>
          <w:sz w:val="20"/>
          <w:szCs w:val="20"/>
          <w:lang w:val="es-ES_tradnl"/>
        </w:rPr>
        <w:t xml:space="preserve">las decisiones </w:t>
      </w:r>
      <w:r w:rsidR="006635A8">
        <w:rPr>
          <w:rFonts w:ascii="Verdana" w:hAnsi="Verdana"/>
          <w:sz w:val="20"/>
          <w:szCs w:val="20"/>
          <w:lang w:val="es-ES_tradnl"/>
        </w:rPr>
        <w:t xml:space="preserve">de la Presidenta y del Pleno del Tribunal </w:t>
      </w:r>
      <w:r w:rsidR="006635A8" w:rsidRPr="006635A8">
        <w:rPr>
          <w:rFonts w:ascii="Verdana" w:hAnsi="Verdana"/>
          <w:sz w:val="20"/>
          <w:szCs w:val="20"/>
          <w:lang w:val="es-ES_tradnl"/>
        </w:rPr>
        <w:t>“solo se refieren a aspectos técnicos, sin hacerse cargo del argumento central de derecho del Estado en cuanto a que el plazo para remitir la contestación es para su remisión,</w:t>
      </w:r>
      <w:r w:rsidR="006635A8">
        <w:rPr>
          <w:rFonts w:ascii="Verdana" w:hAnsi="Verdana"/>
          <w:sz w:val="20"/>
          <w:szCs w:val="20"/>
          <w:lang w:val="es-ES_tradnl"/>
        </w:rPr>
        <w:t xml:space="preserve"> </w:t>
      </w:r>
      <w:r w:rsidR="006635A8" w:rsidRPr="006635A8">
        <w:rPr>
          <w:rFonts w:ascii="Verdana" w:hAnsi="Verdana"/>
          <w:sz w:val="20"/>
          <w:szCs w:val="20"/>
          <w:lang w:val="es-ES_tradnl"/>
        </w:rPr>
        <w:t>no para su recepción por la Corte”</w:t>
      </w:r>
      <w:r w:rsidR="006635A8">
        <w:rPr>
          <w:rFonts w:ascii="Verdana" w:hAnsi="Verdana"/>
          <w:sz w:val="20"/>
          <w:szCs w:val="20"/>
          <w:lang w:val="es-ES_tradnl"/>
        </w:rPr>
        <w:t>, de modo tal que</w:t>
      </w:r>
      <w:r w:rsidR="006635A8" w:rsidRPr="006635A8">
        <w:rPr>
          <w:rFonts w:ascii="Verdana" w:hAnsi="Verdana"/>
          <w:sz w:val="20"/>
          <w:szCs w:val="20"/>
          <w:lang w:val="es-ES_tradnl"/>
        </w:rPr>
        <w:t xml:space="preserve"> </w:t>
      </w:r>
      <w:r w:rsidR="00974B50" w:rsidRPr="006635A8">
        <w:rPr>
          <w:rFonts w:ascii="Verdana" w:hAnsi="Verdana"/>
          <w:sz w:val="20"/>
          <w:szCs w:val="20"/>
          <w:lang w:val="es-ES_tradnl"/>
        </w:rPr>
        <w:t>el escrito no es extemporáneo puesto que se debe tomar</w:t>
      </w:r>
      <w:r w:rsidR="0036667E" w:rsidRPr="006635A8">
        <w:rPr>
          <w:rFonts w:ascii="Verdana" w:hAnsi="Verdana"/>
          <w:sz w:val="20"/>
          <w:szCs w:val="20"/>
          <w:lang w:val="es-ES_tradnl"/>
        </w:rPr>
        <w:t xml:space="preserve"> como válida</w:t>
      </w:r>
      <w:r w:rsidR="00974B50" w:rsidRPr="006635A8">
        <w:rPr>
          <w:rFonts w:ascii="Verdana" w:hAnsi="Verdana"/>
          <w:sz w:val="20"/>
          <w:szCs w:val="20"/>
          <w:lang w:val="es-ES_tradnl"/>
        </w:rPr>
        <w:t xml:space="preserve"> la fecha de envío del escrito correspondiente y no</w:t>
      </w:r>
      <w:r w:rsidR="0036667E" w:rsidRPr="006635A8">
        <w:rPr>
          <w:rFonts w:ascii="Verdana" w:hAnsi="Verdana"/>
          <w:sz w:val="20"/>
          <w:szCs w:val="20"/>
          <w:lang w:val="es-ES_tradnl"/>
        </w:rPr>
        <w:t xml:space="preserve"> la</w:t>
      </w:r>
      <w:r w:rsidR="00974B50" w:rsidRPr="006635A8">
        <w:rPr>
          <w:rFonts w:ascii="Verdana" w:hAnsi="Verdana"/>
          <w:sz w:val="20"/>
          <w:szCs w:val="20"/>
          <w:lang w:val="es-ES_tradnl"/>
        </w:rPr>
        <w:t xml:space="preserve"> de su recepción; b) el Estado ha participado </w:t>
      </w:r>
      <w:r w:rsidR="0036667E" w:rsidRPr="006635A8">
        <w:rPr>
          <w:rFonts w:ascii="Verdana" w:hAnsi="Verdana"/>
          <w:sz w:val="20"/>
          <w:szCs w:val="20"/>
          <w:lang w:val="es-ES_tradnl"/>
        </w:rPr>
        <w:t>en</w:t>
      </w:r>
      <w:r w:rsidR="00974B50" w:rsidRPr="006635A8">
        <w:rPr>
          <w:rFonts w:ascii="Verdana" w:hAnsi="Verdana"/>
          <w:sz w:val="20"/>
          <w:szCs w:val="20"/>
          <w:lang w:val="es-ES_tradnl"/>
        </w:rPr>
        <w:t xml:space="preserve"> este proceso de buena fe y que no había sido acreditada la mala fe de su part</w:t>
      </w:r>
      <w:r w:rsidR="00F83312" w:rsidRPr="006635A8">
        <w:rPr>
          <w:rFonts w:ascii="Verdana" w:hAnsi="Verdana"/>
          <w:sz w:val="20"/>
          <w:szCs w:val="20"/>
          <w:lang w:val="es-ES_tradnl"/>
        </w:rPr>
        <w:t xml:space="preserve">e, y </w:t>
      </w:r>
      <w:r w:rsidR="00974B50" w:rsidRPr="006635A8">
        <w:rPr>
          <w:rFonts w:ascii="Verdana" w:hAnsi="Verdana"/>
          <w:sz w:val="20"/>
          <w:szCs w:val="20"/>
          <w:lang w:val="es-ES_tradnl"/>
        </w:rPr>
        <w:t xml:space="preserve">c) </w:t>
      </w:r>
      <w:r w:rsidR="00F83312" w:rsidRPr="006635A8">
        <w:rPr>
          <w:rFonts w:ascii="Verdana" w:hAnsi="Verdana"/>
          <w:sz w:val="20"/>
          <w:szCs w:val="20"/>
          <w:lang w:val="es-ES_tradnl"/>
        </w:rPr>
        <w:t xml:space="preserve">la recepción del escrito por parte de la Corte </w:t>
      </w:r>
      <w:r w:rsidR="00AA2C20">
        <w:rPr>
          <w:rFonts w:ascii="Verdana" w:hAnsi="Verdana"/>
          <w:sz w:val="20"/>
          <w:szCs w:val="20"/>
          <w:lang w:val="es-ES_tradnl"/>
        </w:rPr>
        <w:t xml:space="preserve">fuera del plazo previsto </w:t>
      </w:r>
      <w:r w:rsidR="00F83312" w:rsidRPr="006635A8">
        <w:rPr>
          <w:rFonts w:ascii="Verdana" w:hAnsi="Verdana"/>
          <w:sz w:val="20"/>
          <w:szCs w:val="20"/>
          <w:lang w:val="es-ES_tradnl"/>
        </w:rPr>
        <w:t>se debía a</w:t>
      </w:r>
      <w:r w:rsidR="00974B50" w:rsidRPr="006635A8">
        <w:rPr>
          <w:rFonts w:ascii="Verdana" w:hAnsi="Verdana"/>
          <w:sz w:val="20"/>
          <w:szCs w:val="20"/>
          <w:lang w:val="es-ES_tradnl"/>
        </w:rPr>
        <w:t xml:space="preserve"> </w:t>
      </w:r>
      <w:r w:rsidR="00AA2C20">
        <w:rPr>
          <w:rFonts w:ascii="Verdana" w:hAnsi="Verdana"/>
          <w:sz w:val="20"/>
          <w:szCs w:val="20"/>
          <w:lang w:val="es-ES_tradnl"/>
        </w:rPr>
        <w:t>“</w:t>
      </w:r>
      <w:r w:rsidR="00974B50" w:rsidRPr="006635A8">
        <w:rPr>
          <w:rFonts w:ascii="Verdana" w:hAnsi="Verdana"/>
          <w:sz w:val="20"/>
          <w:szCs w:val="20"/>
          <w:lang w:val="es-ES_tradnl"/>
        </w:rPr>
        <w:t>errores técnicos (no humanos) por completo ajenos a la voluntad del Estado y ajenos a cualquier acción u omisión que haya provenido de un funcionario o funcionari</w:t>
      </w:r>
      <w:r w:rsidR="00F83312" w:rsidRPr="006635A8">
        <w:rPr>
          <w:rFonts w:ascii="Verdana" w:hAnsi="Verdana"/>
          <w:sz w:val="20"/>
          <w:szCs w:val="20"/>
          <w:lang w:val="es-ES_tradnl"/>
        </w:rPr>
        <w:t>o</w:t>
      </w:r>
      <w:r w:rsidR="00AA2C20">
        <w:rPr>
          <w:rFonts w:ascii="Verdana" w:hAnsi="Verdana"/>
          <w:sz w:val="20"/>
          <w:szCs w:val="20"/>
          <w:lang w:val="es-ES_tradnl"/>
        </w:rPr>
        <w:t>”</w:t>
      </w:r>
      <w:r w:rsidR="00F83312" w:rsidRPr="006635A8">
        <w:rPr>
          <w:rFonts w:ascii="Verdana" w:hAnsi="Verdana"/>
          <w:sz w:val="20"/>
          <w:szCs w:val="20"/>
          <w:lang w:val="es-ES_tradnl"/>
        </w:rPr>
        <w:t>.</w:t>
      </w:r>
    </w:p>
    <w:p w14:paraId="392D65F3" w14:textId="2E033EAC" w:rsidR="009C6A66" w:rsidRPr="00F65959" w:rsidRDefault="000C66F1"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401422">
        <w:rPr>
          <w:rFonts w:ascii="Verdana" w:hAnsi="Verdana"/>
          <w:sz w:val="20"/>
          <w:szCs w:val="20"/>
          <w:lang w:val="es-ES_tradnl"/>
        </w:rPr>
        <w:t xml:space="preserve">En cuanto al </w:t>
      </w:r>
      <w:r w:rsidR="00161C37" w:rsidRPr="00401422">
        <w:rPr>
          <w:rFonts w:ascii="Verdana" w:hAnsi="Verdana"/>
          <w:sz w:val="20"/>
          <w:szCs w:val="20"/>
          <w:lang w:val="es-ES_tradnl"/>
        </w:rPr>
        <w:t>escrito de contestación presentado por el Estado corresponde recordar que</w:t>
      </w:r>
      <w:r w:rsidR="00256764" w:rsidRPr="00B334DC">
        <w:rPr>
          <w:rFonts w:ascii="Verdana" w:hAnsi="Verdana"/>
          <w:sz w:val="20"/>
          <w:szCs w:val="20"/>
          <w:lang w:val="es-ES_tradnl"/>
        </w:rPr>
        <w:t xml:space="preserve">: </w:t>
      </w:r>
    </w:p>
    <w:p w14:paraId="0C7B71A6" w14:textId="77777777" w:rsidR="009C6A66" w:rsidRPr="00401422" w:rsidRDefault="00256764" w:rsidP="009C6A66">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627EF3">
        <w:rPr>
          <w:rFonts w:ascii="Verdana" w:hAnsi="Verdana"/>
          <w:sz w:val="20"/>
          <w:szCs w:val="20"/>
          <w:lang w:val="es-ES_tradnl"/>
        </w:rPr>
        <w:t xml:space="preserve">a) por medio de </w:t>
      </w:r>
      <w:r w:rsidRPr="00401422">
        <w:rPr>
          <w:rFonts w:ascii="Verdana" w:hAnsi="Verdana"/>
          <w:sz w:val="20"/>
          <w:szCs w:val="20"/>
          <w:lang w:val="es-ES_tradnl"/>
        </w:rPr>
        <w:t xml:space="preserve">la nota de Secretaría CDH-26-2019/010 de 5 de marzo de 2020, se otorgó al Estado de Chile el plazo improrrogable de dos meses dispuesto en el artículo 41.1 del Reglamento del Tribunal para que presente su escrito de Contestación; </w:t>
      </w:r>
    </w:p>
    <w:p w14:paraId="47D9C2E6" w14:textId="362B101D" w:rsidR="009C6A66" w:rsidRPr="005902E9" w:rsidRDefault="00256764" w:rsidP="009C6A66">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401422">
        <w:rPr>
          <w:rFonts w:ascii="Verdana" w:hAnsi="Verdana"/>
          <w:sz w:val="20"/>
          <w:szCs w:val="20"/>
          <w:lang w:val="es-ES_tradnl"/>
        </w:rPr>
        <w:t>b) en virtud de lo dispue</w:t>
      </w:r>
      <w:r w:rsidRPr="002119DA">
        <w:rPr>
          <w:rFonts w:ascii="Verdana" w:hAnsi="Verdana"/>
          <w:sz w:val="20"/>
          <w:szCs w:val="20"/>
          <w:lang w:val="es-ES_tradnl"/>
        </w:rPr>
        <w:t xml:space="preserve">sto por los Acuerdos de Corte 1/20 y 2/20, </w:t>
      </w:r>
      <w:r w:rsidR="00C20FD8" w:rsidRPr="00C20FD8">
        <w:rPr>
          <w:rFonts w:ascii="Verdana" w:hAnsi="Verdana"/>
          <w:sz w:val="20"/>
          <w:szCs w:val="20"/>
          <w:lang w:val="es-ES_tradnl"/>
        </w:rPr>
        <w:t>la Corte dispuso suspender el cómputo de todos los plazos por la emergencia en la salud causada por el COVID</w:t>
      </w:r>
      <w:r w:rsidRPr="002119DA">
        <w:rPr>
          <w:rFonts w:ascii="Verdana" w:hAnsi="Verdana"/>
          <w:sz w:val="20"/>
          <w:szCs w:val="20"/>
          <w:lang w:val="es-ES_tradnl"/>
        </w:rPr>
        <w:t xml:space="preserve"> desde el día 17 de marzo hasta el día 20 de mayo </w:t>
      </w:r>
      <w:r w:rsidR="00C20FD8">
        <w:rPr>
          <w:rFonts w:ascii="Verdana" w:hAnsi="Verdana"/>
          <w:sz w:val="20"/>
          <w:szCs w:val="20"/>
          <w:lang w:val="es-ES_tradnl"/>
        </w:rPr>
        <w:t xml:space="preserve">de 2020 </w:t>
      </w:r>
      <w:r w:rsidRPr="002119DA">
        <w:rPr>
          <w:rFonts w:ascii="Verdana" w:hAnsi="Verdana"/>
          <w:sz w:val="20"/>
          <w:szCs w:val="20"/>
          <w:lang w:val="es-ES_tradnl"/>
        </w:rPr>
        <w:t>inclusive, por lo que el plazo para presentar el escrito de contestación del Estado venció el 10 de julio de 2020;</w:t>
      </w:r>
    </w:p>
    <w:p w14:paraId="6FD018FA" w14:textId="7E00C8CE" w:rsidR="009C6A66" w:rsidRPr="00F65959" w:rsidRDefault="00256764" w:rsidP="009C6A66">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B334DC">
        <w:rPr>
          <w:rFonts w:ascii="Verdana" w:hAnsi="Verdana"/>
          <w:sz w:val="20"/>
          <w:szCs w:val="20"/>
          <w:lang w:val="es-ES_tradnl"/>
        </w:rPr>
        <w:t>c) el escrito de contestación del Estado se recibió por correo electrónico en la Secretaría de la Corte IDH el 20 de julio de 2020</w:t>
      </w:r>
      <w:r w:rsidR="00457579" w:rsidRPr="00B334DC">
        <w:rPr>
          <w:rFonts w:ascii="Verdana" w:hAnsi="Verdana"/>
          <w:sz w:val="20"/>
          <w:szCs w:val="20"/>
          <w:lang w:val="es-ES_tradnl"/>
        </w:rPr>
        <w:t xml:space="preserve">. En ese escrito </w:t>
      </w:r>
      <w:r w:rsidR="00457579" w:rsidRPr="004E2353">
        <w:rPr>
          <w:rFonts w:ascii="Verdana" w:eastAsia="Calibri" w:hAnsi="Verdana"/>
          <w:sz w:val="20"/>
          <w:szCs w:val="20"/>
        </w:rPr>
        <w:t>el Estado solicitó que se “</w:t>
      </w:r>
      <w:r w:rsidR="00457579" w:rsidRPr="004E2353">
        <w:rPr>
          <w:rFonts w:ascii="Verdana" w:eastAsia="Calibri" w:hAnsi="Verdana"/>
          <w:sz w:val="20"/>
          <w:szCs w:val="20"/>
          <w:lang w:val="es-ES"/>
        </w:rPr>
        <w:t>tenga a bien acusar recibo del Escrito de Contestación y anexos del Caso Sandra Pavez Pavez vs. Chile, remitido con fecha 10 de julio”</w:t>
      </w:r>
      <w:r w:rsidRPr="00B334DC">
        <w:rPr>
          <w:rFonts w:ascii="Verdana" w:hAnsi="Verdana"/>
          <w:sz w:val="20"/>
          <w:szCs w:val="20"/>
          <w:lang w:val="es-ES_tradnl"/>
        </w:rPr>
        <w:t xml:space="preserve">; </w:t>
      </w:r>
    </w:p>
    <w:p w14:paraId="129B4351" w14:textId="112067D5" w:rsidR="008103FD" w:rsidRPr="004E2353" w:rsidRDefault="00256764" w:rsidP="00457579">
      <w:pPr>
        <w:pStyle w:val="Sinespaciado"/>
        <w:numPr>
          <w:ilvl w:val="0"/>
          <w:numId w:val="0"/>
        </w:numPr>
        <w:tabs>
          <w:tab w:val="clear" w:pos="0"/>
          <w:tab w:val="clear" w:pos="567"/>
        </w:tabs>
        <w:spacing w:before="120" w:after="120"/>
        <w:ind w:left="720" w:right="23"/>
        <w:contextualSpacing w:val="0"/>
        <w:rPr>
          <w:rFonts w:ascii="Verdana" w:eastAsia="Calibri" w:hAnsi="Verdana"/>
          <w:sz w:val="20"/>
          <w:szCs w:val="20"/>
        </w:rPr>
      </w:pPr>
      <w:r w:rsidRPr="00627EF3">
        <w:rPr>
          <w:rFonts w:ascii="Verdana" w:hAnsi="Verdana"/>
          <w:sz w:val="20"/>
          <w:szCs w:val="20"/>
          <w:lang w:val="es-ES_tradnl"/>
        </w:rPr>
        <w:t xml:space="preserve">d) </w:t>
      </w:r>
      <w:r w:rsidR="00FB272E">
        <w:rPr>
          <w:rFonts w:ascii="Verdana" w:hAnsi="Verdana"/>
          <w:sz w:val="20"/>
          <w:szCs w:val="20"/>
          <w:lang w:val="es-ES_tradnl"/>
        </w:rPr>
        <w:t>m</w:t>
      </w:r>
      <w:r w:rsidR="008103FD" w:rsidRPr="00401422">
        <w:rPr>
          <w:rFonts w:ascii="Verdana" w:hAnsi="Verdana"/>
          <w:sz w:val="20"/>
          <w:szCs w:val="20"/>
          <w:lang w:val="es-ES_tradnl"/>
        </w:rPr>
        <w:t xml:space="preserve">ediante nota de Secretaría </w:t>
      </w:r>
      <w:r w:rsidR="008103FD" w:rsidRPr="004E2353">
        <w:rPr>
          <w:rFonts w:ascii="Verdana" w:eastAsia="Calibri" w:hAnsi="Verdana"/>
          <w:sz w:val="20"/>
          <w:szCs w:val="20"/>
          <w:lang w:val="es-ES_tradnl"/>
        </w:rPr>
        <w:t>CDH-26-2019/021 de 24 de julio de 2020</w:t>
      </w:r>
      <w:r w:rsidR="00457579" w:rsidRPr="004E2353">
        <w:rPr>
          <w:rFonts w:ascii="Verdana" w:eastAsia="Calibri" w:hAnsi="Verdana"/>
          <w:sz w:val="20"/>
          <w:szCs w:val="20"/>
          <w:lang w:val="es-ES_tradnl"/>
        </w:rPr>
        <w:t xml:space="preserve"> se informó que se había procedido a </w:t>
      </w:r>
      <w:r w:rsidR="00457579" w:rsidRPr="004E2353">
        <w:rPr>
          <w:rFonts w:ascii="Verdana" w:eastAsia="Calibri" w:hAnsi="Verdana"/>
          <w:sz w:val="20"/>
          <w:szCs w:val="20"/>
        </w:rPr>
        <w:t>hacer el correspondiente estudio de verificación con el Departamento de Tecnologías de la Información de la Corte, el cual ha</w:t>
      </w:r>
      <w:r w:rsidR="00EE4D6A">
        <w:rPr>
          <w:rFonts w:ascii="Verdana" w:eastAsia="Calibri" w:hAnsi="Verdana"/>
          <w:sz w:val="20"/>
          <w:szCs w:val="20"/>
        </w:rPr>
        <w:t>bía</w:t>
      </w:r>
      <w:r w:rsidR="00457579" w:rsidRPr="004E2353">
        <w:rPr>
          <w:rFonts w:ascii="Verdana" w:eastAsia="Calibri" w:hAnsi="Verdana"/>
          <w:sz w:val="20"/>
          <w:szCs w:val="20"/>
        </w:rPr>
        <w:t xml:space="preserve"> concluido que no se recibió ningún correo </w:t>
      </w:r>
      <w:r w:rsidR="003236B9">
        <w:rPr>
          <w:rFonts w:ascii="Verdana" w:eastAsia="Calibri" w:hAnsi="Verdana"/>
          <w:sz w:val="20"/>
          <w:szCs w:val="20"/>
        </w:rPr>
        <w:t>el 10 de julio de 2020</w:t>
      </w:r>
      <w:r w:rsidR="00457579" w:rsidRPr="004E2353">
        <w:rPr>
          <w:rFonts w:ascii="Verdana" w:eastAsia="Calibri" w:hAnsi="Verdana"/>
          <w:sz w:val="20"/>
          <w:szCs w:val="20"/>
        </w:rPr>
        <w:t xml:space="preserve"> de parte de la remitente</w:t>
      </w:r>
      <w:r w:rsidR="00EE4D6A">
        <w:rPr>
          <w:rFonts w:ascii="Verdana" w:eastAsia="Calibri" w:hAnsi="Verdana"/>
          <w:sz w:val="20"/>
          <w:szCs w:val="20"/>
        </w:rPr>
        <w:t>;</w:t>
      </w:r>
      <w:r w:rsidR="00457579" w:rsidRPr="004E2353">
        <w:rPr>
          <w:rFonts w:ascii="Verdana" w:eastAsia="Calibri" w:hAnsi="Verdana"/>
          <w:sz w:val="20"/>
          <w:szCs w:val="20"/>
        </w:rPr>
        <w:t xml:space="preserve"> por</w:t>
      </w:r>
      <w:r w:rsidR="00EE4D6A">
        <w:rPr>
          <w:rFonts w:ascii="Verdana" w:eastAsia="Calibri" w:hAnsi="Verdana"/>
          <w:sz w:val="20"/>
          <w:szCs w:val="20"/>
        </w:rPr>
        <w:t xml:space="preserve"> tanto,</w:t>
      </w:r>
      <w:r w:rsidR="00457579" w:rsidRPr="004E2353">
        <w:rPr>
          <w:rFonts w:ascii="Verdana" w:eastAsia="Calibri" w:hAnsi="Verdana"/>
          <w:sz w:val="20"/>
          <w:szCs w:val="20"/>
        </w:rPr>
        <w:t xml:space="preserve"> sigu</w:t>
      </w:r>
      <w:r w:rsidR="00EE4D6A">
        <w:rPr>
          <w:rFonts w:ascii="Verdana" w:eastAsia="Calibri" w:hAnsi="Verdana"/>
          <w:sz w:val="20"/>
          <w:szCs w:val="20"/>
        </w:rPr>
        <w:t>i</w:t>
      </w:r>
      <w:r w:rsidR="00457579" w:rsidRPr="004E2353">
        <w:rPr>
          <w:rFonts w:ascii="Verdana" w:eastAsia="Calibri" w:hAnsi="Verdana"/>
          <w:sz w:val="20"/>
          <w:szCs w:val="20"/>
        </w:rPr>
        <w:t>endo instrucciones de la Presidencia</w:t>
      </w:r>
      <w:r w:rsidR="00EE4D6A">
        <w:rPr>
          <w:rFonts w:ascii="Verdana" w:eastAsia="Calibri" w:hAnsi="Verdana"/>
          <w:sz w:val="20"/>
          <w:szCs w:val="20"/>
        </w:rPr>
        <w:t>,</w:t>
      </w:r>
      <w:r w:rsidR="00457579" w:rsidRPr="004E2353">
        <w:rPr>
          <w:rFonts w:ascii="Verdana" w:eastAsia="Calibri" w:hAnsi="Verdana"/>
          <w:sz w:val="20"/>
          <w:szCs w:val="20"/>
        </w:rPr>
        <w:t xml:space="preserve"> se indicó que </w:t>
      </w:r>
      <w:r w:rsidR="008103FD" w:rsidRPr="004E2353">
        <w:rPr>
          <w:rFonts w:ascii="Verdana" w:eastAsia="Calibri" w:hAnsi="Verdana"/>
          <w:sz w:val="20"/>
          <w:szCs w:val="20"/>
        </w:rPr>
        <w:t xml:space="preserve">el escrito de contestación del Estado </w:t>
      </w:r>
      <w:r w:rsidR="00C20FD8">
        <w:rPr>
          <w:rFonts w:ascii="Verdana" w:eastAsia="Calibri" w:hAnsi="Verdana"/>
          <w:sz w:val="20"/>
          <w:szCs w:val="20"/>
        </w:rPr>
        <w:t>era</w:t>
      </w:r>
      <w:r w:rsidR="008103FD" w:rsidRPr="004E2353">
        <w:rPr>
          <w:rFonts w:ascii="Verdana" w:eastAsia="Calibri" w:hAnsi="Verdana"/>
          <w:sz w:val="20"/>
          <w:szCs w:val="20"/>
        </w:rPr>
        <w:t xml:space="preserve"> extemporáneo, por lo que ese escrito y sus anexos no </w:t>
      </w:r>
      <w:r w:rsidR="00C20FD8">
        <w:rPr>
          <w:rFonts w:ascii="Verdana" w:eastAsia="Calibri" w:hAnsi="Verdana"/>
          <w:sz w:val="20"/>
          <w:szCs w:val="20"/>
        </w:rPr>
        <w:t>fueron</w:t>
      </w:r>
      <w:r w:rsidR="008103FD" w:rsidRPr="004E2353">
        <w:rPr>
          <w:rFonts w:ascii="Verdana" w:eastAsia="Calibri" w:hAnsi="Verdana"/>
          <w:sz w:val="20"/>
          <w:szCs w:val="20"/>
        </w:rPr>
        <w:t xml:space="preserve"> tomados en cuenta por el Tribunal ni </w:t>
      </w:r>
      <w:r w:rsidR="00C20FD8">
        <w:rPr>
          <w:rFonts w:ascii="Verdana" w:eastAsia="Calibri" w:hAnsi="Verdana"/>
          <w:sz w:val="20"/>
          <w:szCs w:val="20"/>
        </w:rPr>
        <w:t>fueron</w:t>
      </w:r>
      <w:r w:rsidR="008103FD" w:rsidRPr="004E2353">
        <w:rPr>
          <w:rFonts w:ascii="Verdana" w:eastAsia="Calibri" w:hAnsi="Verdana"/>
          <w:sz w:val="20"/>
          <w:szCs w:val="20"/>
        </w:rPr>
        <w:t xml:space="preserve"> </w:t>
      </w:r>
      <w:r w:rsidR="00457579" w:rsidRPr="004E2353">
        <w:rPr>
          <w:rFonts w:ascii="Verdana" w:eastAsia="Calibri" w:hAnsi="Verdana"/>
          <w:sz w:val="20"/>
          <w:szCs w:val="20"/>
        </w:rPr>
        <w:t>transmitidos;</w:t>
      </w:r>
    </w:p>
    <w:p w14:paraId="7F247175" w14:textId="233C1FE3" w:rsidR="00457579" w:rsidRPr="00401422" w:rsidRDefault="00901CF2" w:rsidP="00457579">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B334DC">
        <w:rPr>
          <w:rFonts w:ascii="Verdana" w:hAnsi="Verdana"/>
          <w:sz w:val="20"/>
          <w:szCs w:val="20"/>
          <w:lang w:val="es-ES_tradnl"/>
        </w:rPr>
        <w:lastRenderedPageBreak/>
        <w:t xml:space="preserve">e) </w:t>
      </w:r>
      <w:r w:rsidR="00FB272E">
        <w:rPr>
          <w:rFonts w:ascii="Verdana" w:hAnsi="Verdana"/>
          <w:sz w:val="20"/>
          <w:szCs w:val="20"/>
          <w:lang w:val="es-ES_tradnl"/>
        </w:rPr>
        <w:t>e</w:t>
      </w:r>
      <w:r w:rsidR="00457579" w:rsidRPr="00F65959">
        <w:rPr>
          <w:rFonts w:ascii="Verdana" w:hAnsi="Verdana"/>
          <w:sz w:val="20"/>
          <w:szCs w:val="20"/>
          <w:lang w:val="es-ES_tradnl"/>
        </w:rPr>
        <w:t xml:space="preserve">l Estado presentó varios escritos impugnando esta decisión en los días </w:t>
      </w:r>
      <w:r w:rsidR="00457579" w:rsidRPr="00627EF3">
        <w:rPr>
          <w:rFonts w:ascii="Verdana" w:hAnsi="Verdana"/>
          <w:sz w:val="20"/>
          <w:szCs w:val="20"/>
          <w:lang w:val="es-ES_tradnl"/>
        </w:rPr>
        <w:t>24 y 31 de julio, 4 y 15 de agosto de 2020</w:t>
      </w:r>
      <w:r w:rsidR="00457579" w:rsidRPr="00401422">
        <w:rPr>
          <w:rFonts w:ascii="Verdana" w:hAnsi="Verdana"/>
          <w:sz w:val="20"/>
          <w:szCs w:val="20"/>
          <w:lang w:val="es-ES_tradnl"/>
        </w:rPr>
        <w:t>;</w:t>
      </w:r>
    </w:p>
    <w:p w14:paraId="5E507946" w14:textId="54A00235" w:rsidR="00901CF2" w:rsidRPr="00F65959" w:rsidRDefault="00457579" w:rsidP="00457579">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401422">
        <w:rPr>
          <w:rFonts w:ascii="Verdana" w:hAnsi="Verdana"/>
          <w:sz w:val="20"/>
          <w:szCs w:val="20"/>
          <w:lang w:val="es-ES_tradnl"/>
        </w:rPr>
        <w:t xml:space="preserve">f) </w:t>
      </w:r>
      <w:r w:rsidR="00FB272E">
        <w:rPr>
          <w:rFonts w:ascii="Verdana" w:hAnsi="Verdana"/>
          <w:sz w:val="20"/>
          <w:szCs w:val="20"/>
          <w:lang w:val="es-ES_tradnl"/>
        </w:rPr>
        <w:t>m</w:t>
      </w:r>
      <w:r w:rsidRPr="00401422">
        <w:rPr>
          <w:rFonts w:ascii="Verdana" w:hAnsi="Verdana"/>
          <w:sz w:val="20"/>
          <w:szCs w:val="20"/>
          <w:lang w:val="es-ES_tradnl"/>
        </w:rPr>
        <w:t xml:space="preserve">ediante notas de Secretaría </w:t>
      </w:r>
      <w:r w:rsidR="00EE4D6A" w:rsidRPr="004E2353">
        <w:rPr>
          <w:rFonts w:ascii="Verdana" w:eastAsia="Calibri" w:hAnsi="Verdana"/>
          <w:sz w:val="20"/>
          <w:szCs w:val="20"/>
          <w:lang w:val="es-ES_tradnl"/>
        </w:rPr>
        <w:t>CDH-26-2019/025 de 31 de julio de 2020</w:t>
      </w:r>
      <w:r w:rsidR="00EE4D6A">
        <w:rPr>
          <w:rFonts w:ascii="Verdana" w:eastAsia="Calibri" w:hAnsi="Verdana"/>
          <w:sz w:val="20"/>
          <w:szCs w:val="20"/>
          <w:lang w:val="es-ES_tradnl"/>
        </w:rPr>
        <w:t xml:space="preserve"> y</w:t>
      </w:r>
      <w:r w:rsidR="00EE4D6A" w:rsidRPr="004E2353">
        <w:rPr>
          <w:rFonts w:ascii="Verdana" w:eastAsia="Calibri" w:hAnsi="Verdana"/>
          <w:sz w:val="20"/>
          <w:szCs w:val="20"/>
          <w:lang w:val="es-ES_tradnl"/>
        </w:rPr>
        <w:t xml:space="preserve"> </w:t>
      </w:r>
      <w:r w:rsidRPr="004E2353">
        <w:rPr>
          <w:rFonts w:ascii="Verdana" w:eastAsia="Calibri" w:hAnsi="Verdana"/>
          <w:sz w:val="20"/>
          <w:szCs w:val="20"/>
          <w:lang w:val="es-ES_tradnl"/>
        </w:rPr>
        <w:t xml:space="preserve">CDH-26-2019/029 de 1 de septiembre de 2020, se dio respuesta </w:t>
      </w:r>
      <w:r w:rsidR="00EE4D6A">
        <w:rPr>
          <w:rFonts w:ascii="Verdana" w:eastAsia="Calibri" w:hAnsi="Verdana"/>
          <w:sz w:val="20"/>
          <w:szCs w:val="20"/>
          <w:lang w:val="es-ES_tradnl"/>
        </w:rPr>
        <w:t xml:space="preserve">formal </w:t>
      </w:r>
      <w:r w:rsidRPr="004E2353">
        <w:rPr>
          <w:rFonts w:ascii="Verdana" w:eastAsia="Calibri" w:hAnsi="Verdana"/>
          <w:sz w:val="20"/>
          <w:szCs w:val="20"/>
          <w:lang w:val="es-ES_tradnl"/>
        </w:rPr>
        <w:t>a lo planteado por el Estado. Se indicó que</w:t>
      </w:r>
      <w:r w:rsidR="00EE4D6A">
        <w:rPr>
          <w:rFonts w:ascii="Verdana" w:eastAsia="Calibri" w:hAnsi="Verdana"/>
          <w:sz w:val="20"/>
          <w:szCs w:val="20"/>
          <w:lang w:val="es-ES_tradnl"/>
        </w:rPr>
        <w:t>,</w:t>
      </w:r>
      <w:r w:rsidRPr="004E2353">
        <w:rPr>
          <w:rFonts w:ascii="Verdana" w:eastAsia="Calibri" w:hAnsi="Verdana"/>
          <w:sz w:val="20"/>
          <w:szCs w:val="20"/>
          <w:lang w:val="es-ES_tradnl"/>
        </w:rPr>
        <w:t xml:space="preserve"> siguiendo instrucciones de la Presidencia</w:t>
      </w:r>
      <w:r w:rsidR="00EE4D6A">
        <w:rPr>
          <w:rFonts w:ascii="Verdana" w:eastAsia="Calibri" w:hAnsi="Verdana"/>
          <w:sz w:val="20"/>
          <w:szCs w:val="20"/>
          <w:lang w:val="es-ES_tradnl"/>
        </w:rPr>
        <w:t>,</w:t>
      </w:r>
      <w:r w:rsidRPr="004E2353">
        <w:rPr>
          <w:rFonts w:ascii="Verdana" w:eastAsia="Calibri" w:hAnsi="Verdana"/>
          <w:sz w:val="20"/>
          <w:szCs w:val="20"/>
          <w:lang w:val="es-ES_tradnl"/>
        </w:rPr>
        <w:t xml:space="preserve"> se procedió a efectuar nuevos estudios </w:t>
      </w:r>
      <w:r w:rsidRPr="004E2353">
        <w:rPr>
          <w:rFonts w:ascii="Verdana" w:eastAsia="Calibri" w:hAnsi="Verdana"/>
          <w:sz w:val="20"/>
          <w:szCs w:val="20"/>
        </w:rPr>
        <w:t>de verificación con el Departamento de Tecnologías de la Información de la Corte y que esos estudios habían arrojado</w:t>
      </w:r>
      <w:r w:rsidR="00901CF2" w:rsidRPr="004E2353">
        <w:rPr>
          <w:rFonts w:ascii="Verdana" w:eastAsia="Calibri" w:hAnsi="Verdana"/>
          <w:sz w:val="20"/>
          <w:szCs w:val="20"/>
        </w:rPr>
        <w:t xml:space="preserve"> entre otras conclusiones</w:t>
      </w:r>
      <w:r w:rsidRPr="004E2353">
        <w:rPr>
          <w:rFonts w:ascii="Verdana" w:eastAsia="Calibri" w:hAnsi="Verdana"/>
          <w:sz w:val="20"/>
          <w:szCs w:val="20"/>
        </w:rPr>
        <w:t xml:space="preserve"> que</w:t>
      </w:r>
      <w:r w:rsidR="00EE4D6A">
        <w:rPr>
          <w:rFonts w:ascii="Verdana" w:eastAsia="Calibri" w:hAnsi="Verdana"/>
          <w:sz w:val="20"/>
          <w:szCs w:val="20"/>
        </w:rPr>
        <w:t>:</w:t>
      </w:r>
      <w:r w:rsidRPr="004E2353">
        <w:rPr>
          <w:rFonts w:ascii="Verdana" w:eastAsia="Calibri" w:hAnsi="Verdana"/>
          <w:sz w:val="20"/>
          <w:szCs w:val="20"/>
        </w:rPr>
        <w:t xml:space="preserve"> </w:t>
      </w:r>
      <w:r w:rsidR="00C2552B">
        <w:rPr>
          <w:rFonts w:ascii="Verdana" w:eastAsia="Calibri" w:hAnsi="Verdana"/>
          <w:sz w:val="20"/>
          <w:szCs w:val="20"/>
        </w:rPr>
        <w:t>(</w:t>
      </w:r>
      <w:r w:rsidRPr="004E2353">
        <w:rPr>
          <w:rFonts w:ascii="Verdana" w:eastAsia="Calibri" w:hAnsi="Verdana"/>
          <w:sz w:val="20"/>
          <w:szCs w:val="20"/>
        </w:rPr>
        <w:t>i</w:t>
      </w:r>
      <w:r w:rsidR="00C2552B">
        <w:rPr>
          <w:rFonts w:ascii="Verdana" w:eastAsia="Calibri" w:hAnsi="Verdana"/>
          <w:sz w:val="20"/>
          <w:szCs w:val="20"/>
        </w:rPr>
        <w:t>)</w:t>
      </w:r>
      <w:r w:rsidRPr="004E2353">
        <w:rPr>
          <w:rFonts w:ascii="Verdana" w:eastAsia="Calibri" w:hAnsi="Verdana"/>
          <w:sz w:val="20"/>
          <w:szCs w:val="20"/>
        </w:rPr>
        <w:t xml:space="preserve"> </w:t>
      </w:r>
      <w:r w:rsidRPr="004E2353">
        <w:rPr>
          <w:rFonts w:ascii="Verdana" w:eastAsia="Calibri" w:hAnsi="Verdana"/>
          <w:sz w:val="20"/>
          <w:szCs w:val="20"/>
          <w:lang w:val="es-ES_tradnl"/>
        </w:rPr>
        <w:t>no existe registro de entrada del correo electrónico de 10 de julio de 2020 mencionado por el Estado</w:t>
      </w:r>
      <w:r w:rsidR="006E749B">
        <w:rPr>
          <w:rFonts w:ascii="Verdana" w:eastAsia="Calibri" w:hAnsi="Verdana"/>
          <w:sz w:val="20"/>
          <w:szCs w:val="20"/>
          <w:lang w:val="es-ES_tradnl"/>
        </w:rPr>
        <w:t>;</w:t>
      </w:r>
      <w:r w:rsidRPr="004E2353">
        <w:rPr>
          <w:rFonts w:ascii="Verdana" w:eastAsia="Calibri" w:hAnsi="Verdana"/>
          <w:sz w:val="20"/>
          <w:szCs w:val="20"/>
          <w:lang w:val="es-ES_tradnl"/>
        </w:rPr>
        <w:t xml:space="preserve"> </w:t>
      </w:r>
      <w:r w:rsidR="00C2552B">
        <w:rPr>
          <w:rFonts w:ascii="Verdana" w:eastAsia="Calibri" w:hAnsi="Verdana"/>
          <w:sz w:val="20"/>
          <w:szCs w:val="20"/>
          <w:lang w:val="es-ES_tradnl"/>
        </w:rPr>
        <w:t>(</w:t>
      </w:r>
      <w:r w:rsidRPr="004E2353">
        <w:rPr>
          <w:rFonts w:ascii="Verdana" w:eastAsia="Calibri" w:hAnsi="Verdana"/>
          <w:sz w:val="20"/>
          <w:szCs w:val="20"/>
          <w:lang w:val="es-ES_tradnl"/>
        </w:rPr>
        <w:t>ii</w:t>
      </w:r>
      <w:r w:rsidR="00C2552B">
        <w:rPr>
          <w:rFonts w:ascii="Verdana" w:eastAsia="Calibri" w:hAnsi="Verdana"/>
          <w:sz w:val="20"/>
          <w:szCs w:val="20"/>
          <w:lang w:val="es-ES_tradnl"/>
        </w:rPr>
        <w:t>)</w:t>
      </w:r>
      <w:r w:rsidRPr="004E2353">
        <w:rPr>
          <w:rFonts w:ascii="Verdana" w:eastAsia="Calibri" w:hAnsi="Verdana"/>
          <w:sz w:val="20"/>
          <w:szCs w:val="20"/>
          <w:lang w:val="es-ES_tradnl"/>
        </w:rPr>
        <w:t xml:space="preserve"> no existe evidencia electrónica de su rechazo por parte del servidor de la Corte, ni que hubies</w:t>
      </w:r>
      <w:r w:rsidR="00901CF2" w:rsidRPr="004E2353">
        <w:rPr>
          <w:rFonts w:ascii="Verdana" w:eastAsia="Calibri" w:hAnsi="Verdana"/>
          <w:sz w:val="20"/>
          <w:szCs w:val="20"/>
          <w:lang w:val="es-ES_tradnl"/>
        </w:rPr>
        <w:t>e sido declinado, o eliminado</w:t>
      </w:r>
      <w:r w:rsidR="006E749B">
        <w:rPr>
          <w:rFonts w:ascii="Verdana" w:eastAsia="Calibri" w:hAnsi="Verdana"/>
          <w:sz w:val="20"/>
          <w:szCs w:val="20"/>
          <w:lang w:val="es-ES_tradnl"/>
        </w:rPr>
        <w:t>;</w:t>
      </w:r>
      <w:r w:rsidRPr="004E2353">
        <w:rPr>
          <w:rFonts w:ascii="Verdana" w:eastAsia="Calibri" w:hAnsi="Verdana"/>
          <w:sz w:val="20"/>
          <w:szCs w:val="20"/>
          <w:lang w:val="es-ES_tradnl"/>
        </w:rPr>
        <w:t xml:space="preserve"> </w:t>
      </w:r>
      <w:r w:rsidR="00C2552B">
        <w:rPr>
          <w:rFonts w:ascii="Verdana" w:eastAsia="Calibri" w:hAnsi="Verdana"/>
          <w:sz w:val="20"/>
          <w:szCs w:val="20"/>
          <w:lang w:val="es-ES_tradnl"/>
        </w:rPr>
        <w:t>(</w:t>
      </w:r>
      <w:r w:rsidRPr="004E2353">
        <w:rPr>
          <w:rFonts w:ascii="Verdana" w:eastAsia="Calibri" w:hAnsi="Verdana"/>
          <w:sz w:val="20"/>
          <w:szCs w:val="20"/>
          <w:lang w:val="es-ES_tradnl"/>
        </w:rPr>
        <w:t>iii</w:t>
      </w:r>
      <w:r w:rsidR="00C2552B">
        <w:rPr>
          <w:rFonts w:ascii="Verdana" w:eastAsia="Calibri" w:hAnsi="Verdana"/>
          <w:sz w:val="20"/>
          <w:szCs w:val="20"/>
          <w:lang w:val="es-ES_tradnl"/>
        </w:rPr>
        <w:t>)</w:t>
      </w:r>
      <w:r w:rsidRPr="004E2353">
        <w:rPr>
          <w:rFonts w:ascii="Verdana" w:eastAsia="Calibri" w:hAnsi="Verdana"/>
          <w:sz w:val="20"/>
          <w:szCs w:val="20"/>
          <w:lang w:val="es-ES_tradnl"/>
        </w:rPr>
        <w:t xml:space="preserve"> no se presentaron problemas que muestren evidencia de fallos en el sistema en esa fecha</w:t>
      </w:r>
      <w:r w:rsidR="00901CF2" w:rsidRPr="004E2353">
        <w:rPr>
          <w:rFonts w:ascii="Verdana" w:eastAsia="Calibri" w:hAnsi="Verdana"/>
          <w:sz w:val="20"/>
          <w:szCs w:val="20"/>
          <w:lang w:val="es-ES_tradnl"/>
        </w:rPr>
        <w:t>, y</w:t>
      </w:r>
      <w:r w:rsidRPr="004E2353">
        <w:rPr>
          <w:rFonts w:ascii="Verdana" w:eastAsia="Calibri" w:hAnsi="Verdana"/>
          <w:sz w:val="20"/>
          <w:szCs w:val="20"/>
          <w:lang w:val="es-ES_tradnl"/>
        </w:rPr>
        <w:t xml:space="preserve"> </w:t>
      </w:r>
      <w:r w:rsidR="00512E56">
        <w:rPr>
          <w:rFonts w:ascii="Verdana" w:eastAsia="Calibri" w:hAnsi="Verdana"/>
          <w:sz w:val="20"/>
          <w:szCs w:val="20"/>
          <w:lang w:val="es-ES_tradnl"/>
        </w:rPr>
        <w:t>(</w:t>
      </w:r>
      <w:r w:rsidR="00901CF2" w:rsidRPr="00B334DC">
        <w:rPr>
          <w:rFonts w:ascii="Verdana" w:hAnsi="Verdana"/>
          <w:sz w:val="20"/>
          <w:szCs w:val="20"/>
          <w:lang w:val="es-ES_tradnl"/>
        </w:rPr>
        <w:t>iv</w:t>
      </w:r>
      <w:r w:rsidR="00C2552B">
        <w:rPr>
          <w:rFonts w:ascii="Verdana" w:hAnsi="Verdana"/>
          <w:sz w:val="20"/>
          <w:szCs w:val="20"/>
          <w:lang w:val="es-ES_tradnl"/>
        </w:rPr>
        <w:t>)</w:t>
      </w:r>
      <w:r w:rsidR="00901CF2" w:rsidRPr="00B334DC">
        <w:rPr>
          <w:rFonts w:ascii="Verdana" w:hAnsi="Verdana"/>
          <w:sz w:val="20"/>
          <w:szCs w:val="20"/>
          <w:lang w:val="es-ES_tradnl"/>
        </w:rPr>
        <w:t xml:space="preserve"> las copias de pantalla de un correo de 10 de julio de 2020 de la remiten</w:t>
      </w:r>
      <w:r w:rsidR="00901CF2" w:rsidRPr="00F65959">
        <w:rPr>
          <w:rFonts w:ascii="Verdana" w:hAnsi="Verdana"/>
          <w:sz w:val="20"/>
          <w:szCs w:val="20"/>
          <w:lang w:val="es-ES_tradnl"/>
        </w:rPr>
        <w:t>te del correo electrónico desde el cual habría sido enviado el escrito, que fue adjuntado por el Estado para comprobar que su contestación había sido presentada a tiempo, indica</w:t>
      </w:r>
      <w:r w:rsidR="00FB272E">
        <w:rPr>
          <w:rFonts w:ascii="Verdana" w:hAnsi="Verdana"/>
          <w:sz w:val="20"/>
          <w:szCs w:val="20"/>
          <w:lang w:val="es-ES_tradnl"/>
        </w:rPr>
        <w:t>ba</w:t>
      </w:r>
      <w:r w:rsidR="00901CF2" w:rsidRPr="00F65959">
        <w:rPr>
          <w:rFonts w:ascii="Verdana" w:hAnsi="Verdana"/>
          <w:sz w:val="20"/>
          <w:szCs w:val="20"/>
          <w:lang w:val="es-ES_tradnl"/>
        </w:rPr>
        <w:t xml:space="preserve">n que ese correo no fue entregado, por lo que </w:t>
      </w:r>
      <w:r w:rsidR="00901CF2" w:rsidRPr="004E2353">
        <w:rPr>
          <w:rFonts w:ascii="Verdana" w:eastAsia="Calibri" w:hAnsi="Verdana"/>
          <w:sz w:val="20"/>
          <w:szCs w:val="20"/>
          <w:lang w:val="es-ES_tradnl"/>
        </w:rPr>
        <w:t xml:space="preserve">el escrito de contestación del Estado </w:t>
      </w:r>
      <w:r w:rsidR="00401422">
        <w:rPr>
          <w:rFonts w:ascii="Verdana" w:eastAsia="Calibri" w:hAnsi="Verdana"/>
          <w:sz w:val="20"/>
          <w:szCs w:val="20"/>
          <w:lang w:val="es-ES_tradnl"/>
        </w:rPr>
        <w:t xml:space="preserve">y sus anexos </w:t>
      </w:r>
      <w:r w:rsidR="00901CF2" w:rsidRPr="004E2353">
        <w:rPr>
          <w:rFonts w:ascii="Verdana" w:eastAsia="Calibri" w:hAnsi="Verdana"/>
          <w:sz w:val="20"/>
          <w:szCs w:val="20"/>
          <w:lang w:val="es-ES_tradnl"/>
        </w:rPr>
        <w:t>era</w:t>
      </w:r>
      <w:r w:rsidR="006E749B">
        <w:rPr>
          <w:rFonts w:ascii="Verdana" w:eastAsia="Calibri" w:hAnsi="Verdana"/>
          <w:sz w:val="20"/>
          <w:szCs w:val="20"/>
          <w:lang w:val="es-ES_tradnl"/>
        </w:rPr>
        <w:t>n</w:t>
      </w:r>
      <w:r w:rsidR="00901CF2" w:rsidRPr="004E2353">
        <w:rPr>
          <w:rFonts w:ascii="Verdana" w:eastAsia="Calibri" w:hAnsi="Verdana"/>
          <w:sz w:val="20"/>
          <w:szCs w:val="20"/>
          <w:lang w:val="es-ES_tradnl"/>
        </w:rPr>
        <w:t xml:space="preserve"> inadmisible</w:t>
      </w:r>
      <w:r w:rsidR="006E749B">
        <w:rPr>
          <w:rFonts w:ascii="Verdana" w:eastAsia="Calibri" w:hAnsi="Verdana"/>
          <w:sz w:val="20"/>
          <w:szCs w:val="20"/>
          <w:lang w:val="es-ES_tradnl"/>
        </w:rPr>
        <w:t>s</w:t>
      </w:r>
      <w:r w:rsidR="00901CF2" w:rsidRPr="004E2353">
        <w:rPr>
          <w:rFonts w:ascii="Verdana" w:eastAsia="Calibri" w:hAnsi="Verdana"/>
          <w:sz w:val="20"/>
          <w:szCs w:val="20"/>
          <w:lang w:val="es-ES_tradnl"/>
        </w:rPr>
        <w:t xml:space="preserve"> por extemporáneo</w:t>
      </w:r>
      <w:r w:rsidR="00901CF2" w:rsidRPr="00F65959">
        <w:rPr>
          <w:rFonts w:ascii="Verdana" w:hAnsi="Verdana"/>
          <w:sz w:val="20"/>
          <w:szCs w:val="20"/>
          <w:lang w:val="es-ES_tradnl"/>
        </w:rPr>
        <w:t>;</w:t>
      </w:r>
    </w:p>
    <w:p w14:paraId="616A74BB" w14:textId="198194AE" w:rsidR="00457579" w:rsidRPr="00401422" w:rsidRDefault="00901CF2" w:rsidP="00457579">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627EF3">
        <w:rPr>
          <w:rFonts w:ascii="Verdana" w:hAnsi="Verdana"/>
          <w:sz w:val="20"/>
          <w:szCs w:val="20"/>
          <w:lang w:val="es-ES_tradnl"/>
        </w:rPr>
        <w:t xml:space="preserve">g) </w:t>
      </w:r>
      <w:r w:rsidR="00FB272E">
        <w:rPr>
          <w:rFonts w:ascii="Verdana" w:hAnsi="Verdana"/>
          <w:sz w:val="20"/>
          <w:szCs w:val="20"/>
          <w:lang w:val="es-ES_tradnl"/>
        </w:rPr>
        <w:t>e</w:t>
      </w:r>
      <w:r w:rsidRPr="00627EF3">
        <w:rPr>
          <w:rFonts w:ascii="Verdana" w:hAnsi="Verdana"/>
          <w:sz w:val="20"/>
          <w:szCs w:val="20"/>
          <w:lang w:val="es-ES_tradnl"/>
        </w:rPr>
        <w:t xml:space="preserve">l </w:t>
      </w:r>
      <w:r w:rsidRPr="00401422">
        <w:rPr>
          <w:rFonts w:ascii="Verdana" w:hAnsi="Verdana"/>
          <w:sz w:val="20"/>
          <w:szCs w:val="20"/>
          <w:lang w:val="es-ES_tradnl"/>
        </w:rPr>
        <w:t xml:space="preserve">Estado apeló la decisión de Presidencia ante el </w:t>
      </w:r>
      <w:r w:rsidR="00EE4D6A">
        <w:rPr>
          <w:rFonts w:ascii="Verdana" w:hAnsi="Verdana"/>
          <w:sz w:val="20"/>
          <w:szCs w:val="20"/>
          <w:lang w:val="es-ES_tradnl"/>
        </w:rPr>
        <w:t>P</w:t>
      </w:r>
      <w:r w:rsidRPr="00401422">
        <w:rPr>
          <w:rFonts w:ascii="Verdana" w:hAnsi="Verdana"/>
          <w:sz w:val="20"/>
          <w:szCs w:val="20"/>
          <w:lang w:val="es-ES_tradnl"/>
        </w:rPr>
        <w:t>leno la Corte mediante notas de 9 y 30 de septiembre, y de 4 de noviembre de 2020</w:t>
      </w:r>
      <w:r w:rsidR="00C45693">
        <w:rPr>
          <w:rFonts w:ascii="Verdana" w:hAnsi="Verdana"/>
          <w:sz w:val="20"/>
          <w:szCs w:val="20"/>
          <w:lang w:val="es-ES_tradnl"/>
        </w:rPr>
        <w:t>, y</w:t>
      </w:r>
      <w:r w:rsidRPr="00401422">
        <w:rPr>
          <w:rFonts w:ascii="Verdana" w:hAnsi="Verdana"/>
          <w:sz w:val="20"/>
          <w:szCs w:val="20"/>
          <w:lang w:val="es-ES_tradnl"/>
        </w:rPr>
        <w:t xml:space="preserve">   </w:t>
      </w:r>
    </w:p>
    <w:p w14:paraId="3D2E5A5D" w14:textId="1B31A07E" w:rsidR="00901CF2" w:rsidRPr="00EE4D6A" w:rsidRDefault="00901CF2" w:rsidP="00194E6C">
      <w:pPr>
        <w:pStyle w:val="Sinespaciado"/>
        <w:numPr>
          <w:ilvl w:val="0"/>
          <w:numId w:val="0"/>
        </w:numPr>
        <w:tabs>
          <w:tab w:val="clear" w:pos="0"/>
          <w:tab w:val="clear" w:pos="567"/>
        </w:tabs>
        <w:spacing w:before="120" w:after="120"/>
        <w:ind w:left="720" w:right="23"/>
        <w:contextualSpacing w:val="0"/>
        <w:rPr>
          <w:rFonts w:ascii="Verdana" w:hAnsi="Verdana"/>
          <w:sz w:val="20"/>
          <w:szCs w:val="20"/>
          <w:lang w:val="es-ES_tradnl"/>
        </w:rPr>
      </w:pPr>
      <w:r w:rsidRPr="00EE4D6A">
        <w:rPr>
          <w:rFonts w:ascii="Verdana" w:hAnsi="Verdana"/>
          <w:sz w:val="20"/>
          <w:szCs w:val="20"/>
          <w:lang w:val="es-ES_tradnl"/>
        </w:rPr>
        <w:t xml:space="preserve">h) </w:t>
      </w:r>
      <w:r w:rsidR="00FB272E">
        <w:rPr>
          <w:rFonts w:ascii="Verdana" w:eastAsia="Calibri" w:hAnsi="Verdana"/>
          <w:bCs w:val="0"/>
          <w:iCs w:val="0"/>
          <w:sz w:val="20"/>
          <w:szCs w:val="20"/>
          <w:lang w:val="es-ES_tradnl"/>
        </w:rPr>
        <w:t>d</w:t>
      </w:r>
      <w:r w:rsidRPr="00EE4D6A">
        <w:rPr>
          <w:rFonts w:ascii="Verdana" w:eastAsia="Calibri" w:hAnsi="Verdana"/>
          <w:bCs w:val="0"/>
          <w:iCs w:val="0"/>
          <w:sz w:val="20"/>
          <w:szCs w:val="20"/>
          <w:lang w:val="es-ES_tradnl"/>
        </w:rPr>
        <w:t>urante los 137 y 138 Períodos Ordinarios de Sesiones, se pusieron en conocimiento de</w:t>
      </w:r>
      <w:r w:rsidR="00EE4D6A" w:rsidRPr="0014004E">
        <w:rPr>
          <w:rFonts w:ascii="Verdana" w:eastAsia="Calibri" w:hAnsi="Verdana"/>
          <w:bCs w:val="0"/>
          <w:iCs w:val="0"/>
          <w:sz w:val="20"/>
          <w:szCs w:val="20"/>
          <w:lang w:val="es-ES_tradnl"/>
        </w:rPr>
        <w:t xml:space="preserve">l </w:t>
      </w:r>
      <w:r w:rsidR="00EE4D6A" w:rsidRPr="0080036C">
        <w:rPr>
          <w:rFonts w:ascii="Verdana" w:eastAsia="Calibri" w:hAnsi="Verdana"/>
          <w:bCs w:val="0"/>
          <w:iCs w:val="0"/>
          <w:sz w:val="20"/>
          <w:szCs w:val="20"/>
          <w:lang w:val="es-ES_tradnl"/>
        </w:rPr>
        <w:t>Pleno de</w:t>
      </w:r>
      <w:r w:rsidRPr="0080036C">
        <w:rPr>
          <w:rFonts w:ascii="Verdana" w:eastAsia="Calibri" w:hAnsi="Verdana"/>
          <w:bCs w:val="0"/>
          <w:iCs w:val="0"/>
          <w:sz w:val="20"/>
          <w:szCs w:val="20"/>
          <w:lang w:val="es-ES_tradnl"/>
        </w:rPr>
        <w:t xml:space="preserve"> la Corte</w:t>
      </w:r>
      <w:r w:rsidR="00B334DC" w:rsidRPr="0080036C">
        <w:rPr>
          <w:rFonts w:ascii="Verdana" w:eastAsia="Calibri" w:hAnsi="Verdana"/>
          <w:bCs w:val="0"/>
          <w:iCs w:val="0"/>
          <w:sz w:val="20"/>
          <w:szCs w:val="20"/>
          <w:lang w:val="es-ES_tradnl"/>
        </w:rPr>
        <w:t xml:space="preserve"> los escritos del Estado junto con sus anexos, y </w:t>
      </w:r>
      <w:r w:rsidR="00EE4D6A" w:rsidRPr="0080036C">
        <w:rPr>
          <w:rFonts w:ascii="Verdana" w:hAnsi="Verdana"/>
          <w:sz w:val="20"/>
          <w:szCs w:val="20"/>
          <w:lang w:val="es-ES_tradnl"/>
        </w:rPr>
        <w:t>m</w:t>
      </w:r>
      <w:r w:rsidR="00B334DC" w:rsidRPr="00162F90">
        <w:rPr>
          <w:rFonts w:ascii="Verdana" w:hAnsi="Verdana"/>
          <w:sz w:val="20"/>
          <w:szCs w:val="20"/>
          <w:lang w:val="es-ES_tradnl"/>
        </w:rPr>
        <w:t xml:space="preserve">ediante las notas de Secretaría </w:t>
      </w:r>
      <w:r w:rsidR="00EE4D6A" w:rsidRPr="00162F90">
        <w:rPr>
          <w:rFonts w:ascii="Verdana" w:hAnsi="Verdana"/>
          <w:sz w:val="20"/>
          <w:szCs w:val="20"/>
          <w:lang w:val="es-ES_tradnl"/>
        </w:rPr>
        <w:t xml:space="preserve">CDH-26-2019/038 de 15 de octubre de 2020 y </w:t>
      </w:r>
      <w:r w:rsidR="00B334DC" w:rsidRPr="00C77BC0">
        <w:rPr>
          <w:rFonts w:ascii="Verdana" w:hAnsi="Verdana"/>
          <w:sz w:val="20"/>
          <w:szCs w:val="20"/>
          <w:lang w:val="es-ES_tradnl"/>
        </w:rPr>
        <w:t xml:space="preserve">CDH-26-2019/042 de 26 de noviembre de 2020, </w:t>
      </w:r>
      <w:r w:rsidR="00B334DC" w:rsidRPr="00665190">
        <w:rPr>
          <w:rFonts w:ascii="Verdana" w:hAnsi="Verdana"/>
          <w:sz w:val="20"/>
          <w:szCs w:val="20"/>
          <w:lang w:val="es-ES_tradnl"/>
        </w:rPr>
        <w:t xml:space="preserve">se </w:t>
      </w:r>
      <w:r w:rsidR="00EE4D6A" w:rsidRPr="00A218C9">
        <w:rPr>
          <w:rFonts w:ascii="Verdana" w:hAnsi="Verdana"/>
          <w:sz w:val="20"/>
          <w:szCs w:val="20"/>
          <w:lang w:val="es-ES_tradnl"/>
        </w:rPr>
        <w:t>comunic</w:t>
      </w:r>
      <w:r w:rsidR="00EE4D6A" w:rsidRPr="00D9124E">
        <w:rPr>
          <w:rFonts w:ascii="Verdana" w:hAnsi="Verdana"/>
          <w:sz w:val="20"/>
          <w:szCs w:val="20"/>
          <w:lang w:val="es-ES_tradnl"/>
        </w:rPr>
        <w:t>ó</w:t>
      </w:r>
      <w:r w:rsidR="00EE4D6A" w:rsidRPr="00F86BF8">
        <w:rPr>
          <w:rFonts w:ascii="Verdana" w:hAnsi="Verdana"/>
          <w:sz w:val="20"/>
          <w:szCs w:val="20"/>
          <w:lang w:val="es-ES_tradnl"/>
        </w:rPr>
        <w:t xml:space="preserve"> </w:t>
      </w:r>
      <w:r w:rsidR="00B334DC" w:rsidRPr="00772C0D">
        <w:rPr>
          <w:rFonts w:ascii="Verdana" w:hAnsi="Verdana"/>
          <w:sz w:val="20"/>
          <w:szCs w:val="20"/>
          <w:lang w:val="es-ES_tradnl"/>
        </w:rPr>
        <w:t xml:space="preserve">la decisión adoptada </w:t>
      </w:r>
      <w:r w:rsidR="00B334DC" w:rsidRPr="00EE4D6A">
        <w:rPr>
          <w:rFonts w:ascii="Verdana" w:hAnsi="Verdana"/>
          <w:sz w:val="20"/>
          <w:szCs w:val="20"/>
          <w:lang w:val="es-ES_tradnl"/>
        </w:rPr>
        <w:t xml:space="preserve">por el </w:t>
      </w:r>
      <w:r w:rsidR="00EE4D6A" w:rsidRPr="00EE4D6A">
        <w:rPr>
          <w:rFonts w:ascii="Verdana" w:hAnsi="Verdana"/>
          <w:sz w:val="20"/>
          <w:szCs w:val="20"/>
          <w:lang w:val="es-ES_tradnl"/>
        </w:rPr>
        <w:t>P</w:t>
      </w:r>
      <w:r w:rsidR="00B334DC" w:rsidRPr="00EE4D6A">
        <w:rPr>
          <w:rFonts w:ascii="Verdana" w:hAnsi="Verdana"/>
          <w:sz w:val="20"/>
          <w:szCs w:val="20"/>
          <w:lang w:val="es-ES_tradnl"/>
        </w:rPr>
        <w:t>leno de la Corte</w:t>
      </w:r>
      <w:r w:rsidR="00EE4D6A" w:rsidRPr="00EE4D6A">
        <w:rPr>
          <w:rFonts w:ascii="Verdana" w:hAnsi="Verdana"/>
          <w:sz w:val="20"/>
          <w:szCs w:val="20"/>
          <w:lang w:val="es-ES_tradnl"/>
        </w:rPr>
        <w:t xml:space="preserve"> </w:t>
      </w:r>
      <w:r w:rsidR="006E749B">
        <w:rPr>
          <w:rFonts w:ascii="Verdana" w:hAnsi="Verdana"/>
          <w:sz w:val="20"/>
          <w:szCs w:val="20"/>
          <w:lang w:val="es-ES_tradnl"/>
        </w:rPr>
        <w:t>mediante</w:t>
      </w:r>
      <w:r w:rsidR="00B43AE0">
        <w:rPr>
          <w:rFonts w:ascii="Verdana" w:hAnsi="Verdana"/>
          <w:sz w:val="20"/>
          <w:szCs w:val="20"/>
          <w:lang w:val="es-ES_tradnl"/>
        </w:rPr>
        <w:t xml:space="preserve"> la cual </w:t>
      </w:r>
      <w:r w:rsidR="00EE4D6A" w:rsidRPr="00EE4D6A">
        <w:rPr>
          <w:rFonts w:ascii="Verdana" w:hAnsi="Verdana"/>
          <w:sz w:val="20"/>
          <w:szCs w:val="20"/>
          <w:lang w:val="es-ES_tradnl"/>
        </w:rPr>
        <w:t>se dio respuesta a los planteos del</w:t>
      </w:r>
      <w:r w:rsidR="00EE4D6A">
        <w:rPr>
          <w:rFonts w:ascii="Verdana" w:hAnsi="Verdana"/>
          <w:sz w:val="20"/>
          <w:szCs w:val="20"/>
          <w:lang w:val="es-ES_tradnl"/>
        </w:rPr>
        <w:t xml:space="preserve"> </w:t>
      </w:r>
      <w:r w:rsidR="00EE4D6A" w:rsidRPr="00EE4D6A">
        <w:rPr>
          <w:rFonts w:ascii="Verdana" w:hAnsi="Verdana"/>
          <w:sz w:val="20"/>
          <w:szCs w:val="20"/>
          <w:lang w:val="es-ES_tradnl"/>
        </w:rPr>
        <w:t>Estado</w:t>
      </w:r>
      <w:r w:rsidR="00F65959" w:rsidRPr="00EE4D6A">
        <w:rPr>
          <w:rFonts w:ascii="Verdana" w:hAnsi="Verdana"/>
          <w:sz w:val="20"/>
          <w:szCs w:val="20"/>
          <w:lang w:val="es-ES_tradnl"/>
        </w:rPr>
        <w:t>. E</w:t>
      </w:r>
      <w:r w:rsidR="00401422" w:rsidRPr="00EE4D6A">
        <w:rPr>
          <w:rFonts w:ascii="Verdana" w:hAnsi="Verdana"/>
          <w:sz w:val="20"/>
          <w:szCs w:val="20"/>
          <w:lang w:val="es-ES_tradnl"/>
        </w:rPr>
        <w:t xml:space="preserve">n esas comunicaciones, se </w:t>
      </w:r>
      <w:r w:rsidR="00EE4D6A" w:rsidRPr="00EE4D6A">
        <w:rPr>
          <w:rFonts w:ascii="Verdana" w:hAnsi="Verdana"/>
          <w:sz w:val="20"/>
          <w:szCs w:val="20"/>
          <w:lang w:val="es-ES_tradnl"/>
        </w:rPr>
        <w:t>señaló</w:t>
      </w:r>
      <w:r w:rsidR="00EE4D6A">
        <w:rPr>
          <w:rFonts w:ascii="Verdana" w:hAnsi="Verdana"/>
          <w:sz w:val="20"/>
          <w:szCs w:val="20"/>
          <w:lang w:val="es-ES_tradnl"/>
        </w:rPr>
        <w:t>, entre otros,</w:t>
      </w:r>
      <w:r w:rsidR="00EE4D6A" w:rsidRPr="00EE4D6A">
        <w:rPr>
          <w:rFonts w:ascii="Verdana" w:hAnsi="Verdana"/>
          <w:sz w:val="20"/>
          <w:szCs w:val="20"/>
          <w:lang w:val="es-ES_tradnl"/>
        </w:rPr>
        <w:t xml:space="preserve"> que el Estado no había presentado información técnica adicional que permita verificar que el escrito de contestación fuera efectivamente recibido por el Tribunal en el plazo establecido para tales efectos, esto es, el día 10 de julio de 2020</w:t>
      </w:r>
      <w:r w:rsidR="00401422" w:rsidRPr="0080036C">
        <w:rPr>
          <w:rFonts w:ascii="Verdana" w:hAnsi="Verdana"/>
          <w:sz w:val="20"/>
          <w:szCs w:val="20"/>
          <w:lang w:val="es-ES_tradnl"/>
        </w:rPr>
        <w:t xml:space="preserve">. </w:t>
      </w:r>
      <w:r w:rsidR="00C45693" w:rsidRPr="00162F90">
        <w:rPr>
          <w:rFonts w:ascii="Verdana" w:hAnsi="Verdana"/>
          <w:sz w:val="20"/>
          <w:szCs w:val="20"/>
          <w:lang w:val="es-ES_tradnl"/>
        </w:rPr>
        <w:t>Además,</w:t>
      </w:r>
      <w:r w:rsidR="00401422" w:rsidRPr="00162F90">
        <w:rPr>
          <w:rFonts w:ascii="Verdana" w:hAnsi="Verdana"/>
          <w:sz w:val="20"/>
          <w:szCs w:val="20"/>
          <w:lang w:val="es-ES_tradnl"/>
        </w:rPr>
        <w:t xml:space="preserve"> se detalló que </w:t>
      </w:r>
      <w:r w:rsidR="00EE4D6A">
        <w:rPr>
          <w:rFonts w:ascii="Verdana" w:hAnsi="Verdana"/>
          <w:sz w:val="20"/>
          <w:szCs w:val="20"/>
          <w:lang w:val="es-ES_tradnl"/>
        </w:rPr>
        <w:t>la información proporcionada por el Estado confirmaba que dicho escrito</w:t>
      </w:r>
      <w:r w:rsidRPr="00EE4D6A">
        <w:rPr>
          <w:rFonts w:ascii="Verdana" w:hAnsi="Verdana"/>
          <w:sz w:val="20"/>
          <w:szCs w:val="20"/>
          <w:lang w:val="es-ES_tradnl"/>
        </w:rPr>
        <w:t xml:space="preserve"> “nunca fue recibido por el servidor de la Corte </w:t>
      </w:r>
      <w:r w:rsidRPr="00EE4D6A">
        <w:rPr>
          <w:rFonts w:ascii="Verdana" w:eastAsiaTheme="minorHAnsi" w:hAnsi="Verdana"/>
          <w:sz w:val="20"/>
          <w:szCs w:val="20"/>
          <w:lang w:val="es-ES_tradnl"/>
        </w:rPr>
        <w:t>ya que fue puesto en cuarentena por el propio sistema de comunicaciones del Ministerio de Relaciones Exteriores de Chile”</w:t>
      </w:r>
      <w:r w:rsidR="00401422" w:rsidRPr="00EE4D6A">
        <w:rPr>
          <w:rFonts w:ascii="Verdana" w:eastAsiaTheme="minorHAnsi" w:hAnsi="Verdana"/>
          <w:sz w:val="20"/>
          <w:szCs w:val="20"/>
          <w:lang w:val="es-ES_tradnl"/>
        </w:rPr>
        <w:t>. Por esos motivos</w:t>
      </w:r>
      <w:r w:rsidR="00EE4D6A" w:rsidRPr="00EE4D6A">
        <w:rPr>
          <w:rFonts w:ascii="Verdana" w:eastAsiaTheme="minorHAnsi" w:hAnsi="Verdana"/>
          <w:sz w:val="20"/>
          <w:szCs w:val="20"/>
          <w:lang w:val="es-ES_tradnl"/>
        </w:rPr>
        <w:t>,</w:t>
      </w:r>
      <w:r w:rsidR="00401422" w:rsidRPr="00EE4D6A">
        <w:rPr>
          <w:rFonts w:ascii="Verdana" w:eastAsiaTheme="minorHAnsi" w:hAnsi="Verdana"/>
          <w:sz w:val="20"/>
          <w:szCs w:val="20"/>
          <w:lang w:val="es-ES_tradnl"/>
        </w:rPr>
        <w:t xml:space="preserve"> se concluyó que </w:t>
      </w:r>
      <w:r w:rsidR="00401422" w:rsidRPr="00EE4D6A">
        <w:rPr>
          <w:rFonts w:ascii="Verdana" w:eastAsia="Calibri" w:hAnsi="Verdana"/>
          <w:sz w:val="20"/>
          <w:szCs w:val="20"/>
          <w:lang w:val="es-ES_tradnl"/>
        </w:rPr>
        <w:t>el escrito de contestación del Estado y sus anexos</w:t>
      </w:r>
      <w:r w:rsidR="00B43AE0">
        <w:rPr>
          <w:rFonts w:ascii="Verdana" w:eastAsia="Calibri" w:hAnsi="Verdana"/>
          <w:sz w:val="20"/>
          <w:szCs w:val="20"/>
          <w:lang w:val="es-ES_tradnl"/>
        </w:rPr>
        <w:t>,</w:t>
      </w:r>
      <w:r w:rsidR="0014004E">
        <w:rPr>
          <w:rFonts w:ascii="Verdana" w:eastAsia="Calibri" w:hAnsi="Verdana"/>
          <w:sz w:val="20"/>
          <w:szCs w:val="20"/>
          <w:lang w:val="es-ES_tradnl"/>
        </w:rPr>
        <w:t xml:space="preserve"> recibido</w:t>
      </w:r>
      <w:r w:rsidR="005C050F">
        <w:rPr>
          <w:rFonts w:ascii="Verdana" w:eastAsia="Calibri" w:hAnsi="Verdana"/>
          <w:sz w:val="20"/>
          <w:szCs w:val="20"/>
          <w:lang w:val="es-ES_tradnl"/>
        </w:rPr>
        <w:t>s</w:t>
      </w:r>
      <w:r w:rsidR="0014004E">
        <w:rPr>
          <w:rFonts w:ascii="Verdana" w:eastAsia="Calibri" w:hAnsi="Verdana"/>
          <w:sz w:val="20"/>
          <w:szCs w:val="20"/>
          <w:lang w:val="es-ES_tradnl"/>
        </w:rPr>
        <w:t xml:space="preserve"> el 20 de julio de 2020</w:t>
      </w:r>
      <w:r w:rsidR="00B43AE0">
        <w:rPr>
          <w:rFonts w:ascii="Verdana" w:eastAsia="Calibri" w:hAnsi="Verdana"/>
          <w:sz w:val="20"/>
          <w:szCs w:val="20"/>
          <w:lang w:val="es-ES_tradnl"/>
        </w:rPr>
        <w:t>,</w:t>
      </w:r>
      <w:r w:rsidR="00401422" w:rsidRPr="00EE4D6A">
        <w:rPr>
          <w:rFonts w:ascii="Verdana" w:eastAsia="Calibri" w:hAnsi="Verdana"/>
          <w:sz w:val="20"/>
          <w:szCs w:val="20"/>
          <w:lang w:val="es-ES_tradnl"/>
        </w:rPr>
        <w:t xml:space="preserve"> era</w:t>
      </w:r>
      <w:r w:rsidR="005C050F">
        <w:rPr>
          <w:rFonts w:ascii="Verdana" w:eastAsia="Calibri" w:hAnsi="Verdana"/>
          <w:sz w:val="20"/>
          <w:szCs w:val="20"/>
          <w:lang w:val="es-ES_tradnl"/>
        </w:rPr>
        <w:t>n</w:t>
      </w:r>
      <w:r w:rsidR="00401422" w:rsidRPr="00EE4D6A">
        <w:rPr>
          <w:rFonts w:ascii="Verdana" w:eastAsia="Calibri" w:hAnsi="Verdana"/>
          <w:sz w:val="20"/>
          <w:szCs w:val="20"/>
          <w:lang w:val="es-ES_tradnl"/>
        </w:rPr>
        <w:t xml:space="preserve"> inadmisible</w:t>
      </w:r>
      <w:r w:rsidR="005C050F">
        <w:rPr>
          <w:rFonts w:ascii="Verdana" w:eastAsia="Calibri" w:hAnsi="Verdana"/>
          <w:sz w:val="20"/>
          <w:szCs w:val="20"/>
          <w:lang w:val="es-ES_tradnl"/>
        </w:rPr>
        <w:t>s</w:t>
      </w:r>
      <w:r w:rsidR="00401422" w:rsidRPr="00EE4D6A">
        <w:rPr>
          <w:rFonts w:ascii="Verdana" w:eastAsia="Calibri" w:hAnsi="Verdana"/>
          <w:sz w:val="20"/>
          <w:szCs w:val="20"/>
          <w:lang w:val="es-ES_tradnl"/>
        </w:rPr>
        <w:t xml:space="preserve"> por extemporáneo</w:t>
      </w:r>
      <w:r w:rsidR="005C050F">
        <w:rPr>
          <w:rFonts w:ascii="Verdana" w:eastAsia="Calibri" w:hAnsi="Verdana"/>
          <w:sz w:val="20"/>
          <w:szCs w:val="20"/>
          <w:lang w:val="es-ES_tradnl"/>
        </w:rPr>
        <w:t>s</w:t>
      </w:r>
      <w:r w:rsidR="00C45693" w:rsidRPr="00EE4D6A">
        <w:rPr>
          <w:rFonts w:ascii="Verdana" w:eastAsia="Calibri" w:hAnsi="Verdana"/>
          <w:sz w:val="20"/>
          <w:szCs w:val="20"/>
          <w:lang w:val="es-ES_tradnl"/>
        </w:rPr>
        <w:t>.</w:t>
      </w:r>
      <w:r w:rsidR="00401422" w:rsidRPr="00EE4D6A">
        <w:rPr>
          <w:rFonts w:ascii="Verdana" w:eastAsiaTheme="minorHAnsi" w:hAnsi="Verdana"/>
          <w:sz w:val="20"/>
          <w:szCs w:val="20"/>
          <w:lang w:val="es-ES_tradnl"/>
        </w:rPr>
        <w:t xml:space="preserve">  </w:t>
      </w:r>
    </w:p>
    <w:p w14:paraId="56BB3E29" w14:textId="1C24597F" w:rsidR="00CD6C9A" w:rsidRPr="005902E9" w:rsidRDefault="00401422"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De acuerdo a lo anterior,</w:t>
      </w:r>
      <w:r w:rsidR="0080036C">
        <w:rPr>
          <w:rFonts w:ascii="Verdana" w:hAnsi="Verdana"/>
          <w:sz w:val="20"/>
          <w:szCs w:val="20"/>
          <w:lang w:val="es-ES_tradnl"/>
        </w:rPr>
        <w:t xml:space="preserve"> se advierte que</w:t>
      </w:r>
      <w:r>
        <w:rPr>
          <w:rFonts w:ascii="Verdana" w:hAnsi="Verdana"/>
          <w:sz w:val="20"/>
          <w:szCs w:val="20"/>
          <w:lang w:val="es-ES_tradnl"/>
        </w:rPr>
        <w:t xml:space="preserve"> los distintos escritos del Estado fueron puestos en conocimiento de la Presidencia y del Pleno de la Corte y que</w:t>
      </w:r>
      <w:r w:rsidR="00CE00CF">
        <w:rPr>
          <w:rFonts w:ascii="Verdana" w:hAnsi="Verdana"/>
          <w:sz w:val="20"/>
          <w:szCs w:val="20"/>
          <w:lang w:val="es-ES_tradnl"/>
        </w:rPr>
        <w:t>, con fundamento en las instrucciones recibidas de la Presidencia y del Pleno de la Corte,</w:t>
      </w:r>
      <w:r>
        <w:rPr>
          <w:rFonts w:ascii="Verdana" w:hAnsi="Verdana"/>
          <w:sz w:val="20"/>
          <w:szCs w:val="20"/>
          <w:lang w:val="es-ES_tradnl"/>
        </w:rPr>
        <w:t xml:space="preserve"> </w:t>
      </w:r>
      <w:r w:rsidR="0080036C">
        <w:rPr>
          <w:rFonts w:ascii="Verdana" w:hAnsi="Verdana"/>
          <w:sz w:val="20"/>
          <w:szCs w:val="20"/>
          <w:lang w:val="es-ES_tradnl"/>
        </w:rPr>
        <w:t xml:space="preserve">se </w:t>
      </w:r>
      <w:r>
        <w:rPr>
          <w:rFonts w:ascii="Verdana" w:hAnsi="Verdana"/>
          <w:sz w:val="20"/>
          <w:szCs w:val="20"/>
          <w:lang w:val="es-ES_tradnl"/>
        </w:rPr>
        <w:t>di</w:t>
      </w:r>
      <w:r w:rsidR="0080036C">
        <w:rPr>
          <w:rFonts w:ascii="Verdana" w:hAnsi="Verdana"/>
          <w:sz w:val="20"/>
          <w:szCs w:val="20"/>
          <w:lang w:val="es-ES_tradnl"/>
        </w:rPr>
        <w:t>o</w:t>
      </w:r>
      <w:r>
        <w:rPr>
          <w:rFonts w:ascii="Verdana" w:hAnsi="Verdana"/>
          <w:sz w:val="20"/>
          <w:szCs w:val="20"/>
          <w:lang w:val="es-ES_tradnl"/>
        </w:rPr>
        <w:t xml:space="preserve"> respuesta a los planteos del Estado </w:t>
      </w:r>
      <w:r w:rsidR="0080036C">
        <w:rPr>
          <w:rFonts w:ascii="Verdana" w:hAnsi="Verdana"/>
          <w:sz w:val="20"/>
          <w:szCs w:val="20"/>
          <w:lang w:val="es-ES_tradnl"/>
        </w:rPr>
        <w:t xml:space="preserve">con </w:t>
      </w:r>
      <w:r>
        <w:rPr>
          <w:rFonts w:ascii="Verdana" w:hAnsi="Verdana"/>
          <w:sz w:val="20"/>
          <w:szCs w:val="20"/>
          <w:lang w:val="es-ES_tradnl"/>
        </w:rPr>
        <w:t>bas</w:t>
      </w:r>
      <w:r w:rsidR="0080036C">
        <w:rPr>
          <w:rFonts w:ascii="Verdana" w:hAnsi="Verdana"/>
          <w:sz w:val="20"/>
          <w:szCs w:val="20"/>
          <w:lang w:val="es-ES_tradnl"/>
        </w:rPr>
        <w:t>e</w:t>
      </w:r>
      <w:r>
        <w:rPr>
          <w:rFonts w:ascii="Verdana" w:hAnsi="Verdana"/>
          <w:sz w:val="20"/>
          <w:szCs w:val="20"/>
          <w:lang w:val="es-ES_tradnl"/>
        </w:rPr>
        <w:t xml:space="preserve"> en</w:t>
      </w:r>
      <w:r w:rsidR="0080036C">
        <w:rPr>
          <w:rFonts w:ascii="Verdana" w:hAnsi="Verdana"/>
          <w:sz w:val="20"/>
          <w:szCs w:val="20"/>
          <w:lang w:val="es-ES_tradnl"/>
        </w:rPr>
        <w:t xml:space="preserve"> los</w:t>
      </w:r>
      <w:r>
        <w:rPr>
          <w:rFonts w:ascii="Verdana" w:hAnsi="Verdana"/>
          <w:sz w:val="20"/>
          <w:szCs w:val="20"/>
          <w:lang w:val="es-ES_tradnl"/>
        </w:rPr>
        <w:t xml:space="preserve"> informes técnicos</w:t>
      </w:r>
      <w:r w:rsidR="003E21C6">
        <w:rPr>
          <w:rFonts w:ascii="Verdana" w:hAnsi="Verdana"/>
          <w:sz w:val="20"/>
          <w:szCs w:val="20"/>
          <w:lang w:val="es-ES_tradnl"/>
        </w:rPr>
        <w:t xml:space="preserve">. </w:t>
      </w:r>
    </w:p>
    <w:p w14:paraId="151207EF" w14:textId="398A1A34" w:rsidR="00FC2BDC" w:rsidRPr="004E2353" w:rsidRDefault="002D79BA"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4E2353">
        <w:rPr>
          <w:rFonts w:ascii="Verdana" w:hAnsi="Verdana"/>
          <w:sz w:val="20"/>
          <w:szCs w:val="20"/>
          <w:lang w:val="es-ES_tradnl"/>
        </w:rPr>
        <w:t>Este Tribunal constata que n</w:t>
      </w:r>
      <w:r w:rsidR="00FC2BDC" w:rsidRPr="004E2353">
        <w:rPr>
          <w:rFonts w:ascii="Verdana" w:hAnsi="Verdana"/>
          <w:sz w:val="20"/>
          <w:szCs w:val="20"/>
          <w:lang w:val="es-ES_tradnl"/>
        </w:rPr>
        <w:t xml:space="preserve">o existe discusión en torno al hecho que el plazo para presentar el escrito de contestación del Estado vencía el día 10 de julio de 2020, y que el mismo acaeció sin que se hubiese recibido efectivamente el escrito. </w:t>
      </w:r>
      <w:r w:rsidR="00E9704E" w:rsidRPr="004E2353">
        <w:rPr>
          <w:rFonts w:ascii="Verdana" w:hAnsi="Verdana"/>
          <w:sz w:val="20"/>
          <w:szCs w:val="20"/>
          <w:lang w:val="es-ES_tradnl"/>
        </w:rPr>
        <w:t xml:space="preserve">De acuerdo a lo establecido por </w:t>
      </w:r>
      <w:r w:rsidR="00CE00CF">
        <w:rPr>
          <w:rFonts w:ascii="Verdana" w:hAnsi="Verdana"/>
          <w:sz w:val="20"/>
          <w:szCs w:val="20"/>
          <w:lang w:val="es-ES_tradnl"/>
        </w:rPr>
        <w:t>el Acuerdo 1/14</w:t>
      </w:r>
      <w:r w:rsidR="00E9704E" w:rsidRPr="004E2353">
        <w:rPr>
          <w:rFonts w:ascii="Verdana" w:hAnsi="Verdana"/>
          <w:sz w:val="20"/>
          <w:szCs w:val="20"/>
          <w:lang w:val="es-ES_tradnl"/>
        </w:rPr>
        <w:t xml:space="preserve"> de esta Corte, e</w:t>
      </w:r>
      <w:r w:rsidR="00FC2BDC" w:rsidRPr="004E2353">
        <w:rPr>
          <w:rFonts w:ascii="Verdana" w:hAnsi="Verdana"/>
          <w:sz w:val="20"/>
          <w:szCs w:val="20"/>
          <w:lang w:val="es-ES_tradnl"/>
        </w:rPr>
        <w:t xml:space="preserve">l plazo para la presentación </w:t>
      </w:r>
      <w:r w:rsidR="00E9704E" w:rsidRPr="004E2353">
        <w:rPr>
          <w:rFonts w:ascii="Verdana" w:hAnsi="Verdana"/>
          <w:sz w:val="20"/>
          <w:szCs w:val="20"/>
          <w:lang w:val="es-ES_tradnl"/>
        </w:rPr>
        <w:t>de un</w:t>
      </w:r>
      <w:r w:rsidR="00FC2BDC" w:rsidRPr="004E2353">
        <w:rPr>
          <w:rFonts w:ascii="Verdana" w:hAnsi="Verdana"/>
          <w:sz w:val="20"/>
          <w:szCs w:val="20"/>
          <w:lang w:val="es-ES_tradnl"/>
        </w:rPr>
        <w:t xml:space="preserve"> escrito implica necesariamente que el mismo debe ser recibido a más tardar ese día a las 2</w:t>
      </w:r>
      <w:r w:rsidR="003E21C6" w:rsidRPr="004E2353">
        <w:rPr>
          <w:rFonts w:ascii="Verdana" w:hAnsi="Verdana"/>
          <w:sz w:val="20"/>
          <w:szCs w:val="20"/>
          <w:lang w:val="es-ES_tradnl"/>
        </w:rPr>
        <w:t>4</w:t>
      </w:r>
      <w:r w:rsidR="00FC2BDC" w:rsidRPr="004E2353">
        <w:rPr>
          <w:rFonts w:ascii="Verdana" w:hAnsi="Verdana"/>
          <w:sz w:val="20"/>
          <w:szCs w:val="20"/>
          <w:lang w:val="es-ES_tradnl"/>
        </w:rPr>
        <w:t>:</w:t>
      </w:r>
      <w:r w:rsidR="003E21C6" w:rsidRPr="004E2353">
        <w:rPr>
          <w:rFonts w:ascii="Verdana" w:hAnsi="Verdana"/>
          <w:sz w:val="20"/>
          <w:szCs w:val="20"/>
          <w:lang w:val="es-ES_tradnl"/>
        </w:rPr>
        <w:t>00</w:t>
      </w:r>
      <w:r w:rsidR="00FC2BDC" w:rsidRPr="004E2353">
        <w:rPr>
          <w:rFonts w:ascii="Verdana" w:hAnsi="Verdana"/>
          <w:sz w:val="20"/>
          <w:szCs w:val="20"/>
          <w:lang w:val="es-ES_tradnl"/>
        </w:rPr>
        <w:t xml:space="preserve"> hora de Costa Rica</w:t>
      </w:r>
      <w:r w:rsidRPr="004E2353">
        <w:rPr>
          <w:rStyle w:val="Refdenotaalpie"/>
          <w:rFonts w:ascii="Verdana" w:hAnsi="Verdana"/>
          <w:sz w:val="20"/>
          <w:szCs w:val="20"/>
          <w:lang w:val="es-ES_tradnl"/>
        </w:rPr>
        <w:footnoteReference w:id="2"/>
      </w:r>
      <w:r w:rsidR="00E9704E" w:rsidRPr="002D79BA">
        <w:rPr>
          <w:rFonts w:ascii="Verdana" w:hAnsi="Verdana"/>
          <w:sz w:val="20"/>
          <w:szCs w:val="20"/>
          <w:lang w:val="es-ES_tradnl"/>
        </w:rPr>
        <w:t xml:space="preserve">. </w:t>
      </w:r>
    </w:p>
    <w:p w14:paraId="471E6256" w14:textId="08E9CF6E" w:rsidR="00A40142" w:rsidRDefault="00D7241B"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 xml:space="preserve">En relación con lo anterior, </w:t>
      </w:r>
      <w:r w:rsidR="00D85C34">
        <w:rPr>
          <w:rFonts w:ascii="Verdana" w:hAnsi="Verdana"/>
          <w:sz w:val="20"/>
          <w:szCs w:val="20"/>
          <w:lang w:val="es-ES_tradnl"/>
        </w:rPr>
        <w:t xml:space="preserve">la Corte nota que el artículo 41 </w:t>
      </w:r>
      <w:r w:rsidR="006300D3">
        <w:rPr>
          <w:rFonts w:ascii="Verdana" w:hAnsi="Verdana"/>
          <w:sz w:val="20"/>
          <w:szCs w:val="20"/>
          <w:lang w:val="es-ES_tradnl"/>
        </w:rPr>
        <w:t>del Reglamento que se refiere a la contestación del</w:t>
      </w:r>
      <w:r w:rsidR="00D85C34">
        <w:rPr>
          <w:rFonts w:ascii="Verdana" w:hAnsi="Verdana"/>
          <w:sz w:val="20"/>
          <w:szCs w:val="20"/>
          <w:lang w:val="es-ES_tradnl"/>
        </w:rPr>
        <w:t xml:space="preserve"> Estado indica que el “</w:t>
      </w:r>
      <w:r w:rsidR="00D85C34" w:rsidRPr="00D85C34">
        <w:rPr>
          <w:rFonts w:ascii="Verdana" w:hAnsi="Verdana"/>
          <w:sz w:val="20"/>
          <w:szCs w:val="20"/>
          <w:lang w:val="es-ES_tradnl"/>
        </w:rPr>
        <w:t>demandado expondrá por escrito su posición sobre el caso</w:t>
      </w:r>
      <w:r w:rsidR="00D85C34">
        <w:rPr>
          <w:rFonts w:ascii="Verdana" w:hAnsi="Verdana"/>
          <w:sz w:val="20"/>
          <w:szCs w:val="20"/>
          <w:lang w:val="es-ES_tradnl"/>
        </w:rPr>
        <w:t xml:space="preserve">” dentro </w:t>
      </w:r>
      <w:r w:rsidR="00D85C34" w:rsidRPr="00D85C34">
        <w:rPr>
          <w:rFonts w:ascii="Verdana" w:hAnsi="Verdana"/>
          <w:sz w:val="20"/>
          <w:szCs w:val="20"/>
          <w:lang w:val="es-ES_tradnl"/>
        </w:rPr>
        <w:t>del plazo de dos meses contado a partir de la recepción</w:t>
      </w:r>
      <w:r w:rsidR="00D85C34">
        <w:rPr>
          <w:rFonts w:ascii="Verdana" w:hAnsi="Verdana"/>
          <w:sz w:val="20"/>
          <w:szCs w:val="20"/>
          <w:lang w:val="es-ES_tradnl"/>
        </w:rPr>
        <w:t xml:space="preserve"> del </w:t>
      </w:r>
      <w:r w:rsidR="00D85C34" w:rsidRPr="002D79BA">
        <w:rPr>
          <w:rFonts w:ascii="Verdana" w:hAnsi="Verdana"/>
          <w:sz w:val="20"/>
          <w:szCs w:val="20"/>
          <w:lang w:val="es-ES_tradnl"/>
        </w:rPr>
        <w:t>escrito de solicitudes, argumentos y pruebas</w:t>
      </w:r>
      <w:r w:rsidR="00D85C34">
        <w:rPr>
          <w:rFonts w:ascii="Verdana" w:hAnsi="Verdana"/>
          <w:sz w:val="20"/>
          <w:szCs w:val="20"/>
          <w:lang w:val="es-ES_tradnl"/>
        </w:rPr>
        <w:t xml:space="preserve">. </w:t>
      </w:r>
    </w:p>
    <w:p w14:paraId="3C1F2EDE" w14:textId="7C13EFD1" w:rsidR="00A40142" w:rsidRPr="004E2353" w:rsidRDefault="00162F90"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Por su parte, e</w:t>
      </w:r>
      <w:r w:rsidR="00A40142" w:rsidRPr="00A60755">
        <w:rPr>
          <w:rFonts w:ascii="Verdana" w:hAnsi="Verdana"/>
          <w:sz w:val="20"/>
          <w:szCs w:val="20"/>
          <w:lang w:val="es-ES_tradnl"/>
        </w:rPr>
        <w:t>l art</w:t>
      </w:r>
      <w:r w:rsidR="00A40142" w:rsidRPr="004E2353">
        <w:rPr>
          <w:rFonts w:ascii="Verdana" w:hAnsi="Verdana"/>
          <w:sz w:val="20"/>
          <w:szCs w:val="20"/>
          <w:lang w:val="es-ES_tradnl"/>
        </w:rPr>
        <w:t xml:space="preserve">ículo </w:t>
      </w:r>
      <w:r w:rsidR="00055A46" w:rsidRPr="004E2353">
        <w:rPr>
          <w:rFonts w:ascii="Verdana" w:hAnsi="Verdana"/>
          <w:sz w:val="20"/>
          <w:szCs w:val="20"/>
          <w:lang w:val="es-ES_tradnl"/>
        </w:rPr>
        <w:t xml:space="preserve">28.1 del Reglamento, </w:t>
      </w:r>
      <w:r>
        <w:rPr>
          <w:rFonts w:ascii="Verdana" w:hAnsi="Verdana"/>
          <w:sz w:val="20"/>
          <w:szCs w:val="20"/>
          <w:lang w:val="es-ES_tradnl"/>
        </w:rPr>
        <w:t xml:space="preserve">que se denomina “presentación de </w:t>
      </w:r>
      <w:r>
        <w:rPr>
          <w:rFonts w:ascii="Verdana" w:hAnsi="Verdana"/>
          <w:sz w:val="20"/>
          <w:szCs w:val="20"/>
          <w:lang w:val="es-ES_tradnl"/>
        </w:rPr>
        <w:lastRenderedPageBreak/>
        <w:t xml:space="preserve">escritos” </w:t>
      </w:r>
      <w:r w:rsidR="00D85C34" w:rsidRPr="004E2353">
        <w:rPr>
          <w:rFonts w:ascii="Verdana" w:hAnsi="Verdana"/>
          <w:sz w:val="20"/>
          <w:szCs w:val="20"/>
          <w:lang w:val="es-ES_tradnl"/>
        </w:rPr>
        <w:t>establece</w:t>
      </w:r>
      <w:r w:rsidR="006300D3" w:rsidRPr="004E2353">
        <w:rPr>
          <w:rFonts w:ascii="Verdana" w:hAnsi="Verdana"/>
          <w:sz w:val="20"/>
          <w:szCs w:val="20"/>
          <w:lang w:val="es-ES_tradnl"/>
        </w:rPr>
        <w:t xml:space="preserve"> que los escritos dirigidos a la Corte</w:t>
      </w:r>
      <w:r w:rsidR="00C77BC0">
        <w:rPr>
          <w:rFonts w:ascii="Verdana" w:hAnsi="Verdana"/>
          <w:sz w:val="20"/>
          <w:szCs w:val="20"/>
          <w:lang w:val="es-ES_tradnl"/>
        </w:rPr>
        <w:t>, entre ellos aquel en que exponga su contestación,</w:t>
      </w:r>
      <w:r w:rsidR="006300D3" w:rsidRPr="004E2353">
        <w:rPr>
          <w:rFonts w:ascii="Verdana" w:hAnsi="Verdana"/>
          <w:sz w:val="20"/>
          <w:szCs w:val="20"/>
          <w:lang w:val="es-ES_tradnl"/>
        </w:rPr>
        <w:t xml:space="preserve"> podrán “presentarse personalmente, vía courier, facsímile, o correo postal o electrónico”</w:t>
      </w:r>
      <w:r w:rsidR="00C77BC0">
        <w:rPr>
          <w:rFonts w:ascii="Verdana" w:hAnsi="Verdana"/>
          <w:sz w:val="20"/>
          <w:szCs w:val="20"/>
          <w:lang w:val="es-ES_tradnl"/>
        </w:rPr>
        <w:t>. Asimismo, prescribe</w:t>
      </w:r>
      <w:r w:rsidR="006300D3" w:rsidRPr="004E2353">
        <w:rPr>
          <w:rFonts w:ascii="Verdana" w:hAnsi="Verdana"/>
          <w:sz w:val="20"/>
          <w:szCs w:val="20"/>
          <w:lang w:val="es-ES_tradnl"/>
        </w:rPr>
        <w:t xml:space="preserve"> que los escritos que no contengan la firma de quien los suscribe, o en caso de escritos cuyos anexos no fueron acompañados, los originales o la totalidad de los anexos “deberán ser recibidos en el Tribunal” a más tardar en el plazo improrrogable de 21 días, contado a partir del día en que venció el plazo para la remisión del escrito.</w:t>
      </w:r>
      <w:r w:rsidR="00055A46">
        <w:rPr>
          <w:rFonts w:ascii="Verdana" w:hAnsi="Verdana"/>
          <w:sz w:val="20"/>
          <w:szCs w:val="20"/>
          <w:lang w:val="es-ES_tradnl"/>
        </w:rPr>
        <w:t xml:space="preserve"> </w:t>
      </w:r>
      <w:r w:rsidR="00C77BC0">
        <w:rPr>
          <w:rFonts w:ascii="Verdana" w:hAnsi="Verdana"/>
          <w:sz w:val="20"/>
          <w:szCs w:val="20"/>
          <w:lang w:val="es-ES_tradnl"/>
        </w:rPr>
        <w:t>De conformidad con la normativa citada, es</w:t>
      </w:r>
      <w:r w:rsidR="00C77BC0" w:rsidRPr="004E2353">
        <w:rPr>
          <w:rFonts w:ascii="Verdana" w:hAnsi="Verdana"/>
          <w:sz w:val="20"/>
          <w:szCs w:val="20"/>
          <w:lang w:val="es-ES_tradnl"/>
        </w:rPr>
        <w:t xml:space="preserve"> </w:t>
      </w:r>
      <w:r w:rsidR="00A40142" w:rsidRPr="004E2353">
        <w:rPr>
          <w:rFonts w:ascii="Verdana" w:hAnsi="Verdana"/>
          <w:sz w:val="20"/>
          <w:szCs w:val="20"/>
          <w:lang w:val="es-ES_tradnl"/>
        </w:rPr>
        <w:t xml:space="preserve">razonable concluir </w:t>
      </w:r>
      <w:r w:rsidR="000B0977" w:rsidRPr="004E2353">
        <w:rPr>
          <w:rFonts w:ascii="Verdana" w:hAnsi="Verdana"/>
          <w:sz w:val="20"/>
          <w:szCs w:val="20"/>
          <w:lang w:val="es-ES_tradnl"/>
        </w:rPr>
        <w:t>que</w:t>
      </w:r>
      <w:r w:rsidR="000B0977">
        <w:rPr>
          <w:rFonts w:ascii="Verdana" w:hAnsi="Verdana"/>
          <w:sz w:val="20"/>
          <w:szCs w:val="20"/>
          <w:lang w:val="es-ES_tradnl"/>
        </w:rPr>
        <w:t xml:space="preserve"> los</w:t>
      </w:r>
      <w:r w:rsidR="00245957">
        <w:rPr>
          <w:rFonts w:ascii="Verdana" w:hAnsi="Verdana"/>
          <w:sz w:val="20"/>
          <w:szCs w:val="20"/>
          <w:lang w:val="es-ES_tradnl"/>
        </w:rPr>
        <w:t xml:space="preserve"> escritos sólo s</w:t>
      </w:r>
      <w:r w:rsidR="00AF7701">
        <w:rPr>
          <w:rFonts w:ascii="Verdana" w:hAnsi="Verdana"/>
          <w:sz w:val="20"/>
          <w:szCs w:val="20"/>
          <w:lang w:val="es-ES_tradnl"/>
        </w:rPr>
        <w:t xml:space="preserve">e entienden presentados una vez son recibidos por el Tribunal </w:t>
      </w:r>
      <w:r w:rsidR="00C77BC0">
        <w:rPr>
          <w:rFonts w:ascii="Verdana" w:hAnsi="Verdana"/>
          <w:sz w:val="20"/>
          <w:szCs w:val="20"/>
          <w:lang w:val="es-ES_tradnl"/>
        </w:rPr>
        <w:t>por los medios indicados reglamentariamente</w:t>
      </w:r>
      <w:r w:rsidR="00A40142" w:rsidRPr="004E2353">
        <w:rPr>
          <w:rFonts w:ascii="Verdana" w:hAnsi="Verdana"/>
          <w:sz w:val="20"/>
          <w:szCs w:val="20"/>
          <w:lang w:val="es-ES_tradnl"/>
        </w:rPr>
        <w:t>. En efecto, no tendría sentido alguno que el Reglamento de la Corte utilice un criterio para determinar la admisibilidad de los anexos y de los escritos firmados – a saber, el criterio de la recepción - y uno diferente para la admisión del escrito principal – el criterio del envío del escrito</w:t>
      </w:r>
      <w:r w:rsidR="00585F06">
        <w:rPr>
          <w:rFonts w:ascii="Verdana" w:hAnsi="Verdana"/>
          <w:sz w:val="20"/>
          <w:szCs w:val="20"/>
          <w:lang w:val="es-ES_tradnl"/>
        </w:rPr>
        <w:t xml:space="preserve"> -</w:t>
      </w:r>
      <w:r w:rsidR="00A40142" w:rsidRPr="004E2353">
        <w:rPr>
          <w:rFonts w:ascii="Verdana" w:hAnsi="Verdana"/>
          <w:sz w:val="20"/>
          <w:szCs w:val="20"/>
          <w:lang w:val="es-ES_tradnl"/>
        </w:rPr>
        <w:t xml:space="preserve">. Por el contrario, </w:t>
      </w:r>
      <w:r w:rsidR="00C77BC0">
        <w:rPr>
          <w:rFonts w:ascii="Verdana" w:hAnsi="Verdana"/>
          <w:sz w:val="20"/>
          <w:szCs w:val="20"/>
          <w:lang w:val="es-ES_tradnl"/>
        </w:rPr>
        <w:t>es</w:t>
      </w:r>
      <w:r w:rsidR="00C77BC0" w:rsidRPr="004E2353">
        <w:rPr>
          <w:rFonts w:ascii="Verdana" w:hAnsi="Verdana"/>
          <w:sz w:val="20"/>
          <w:szCs w:val="20"/>
          <w:lang w:val="es-ES_tradnl"/>
        </w:rPr>
        <w:t xml:space="preserve"> </w:t>
      </w:r>
      <w:r w:rsidR="00A40142" w:rsidRPr="004E2353">
        <w:rPr>
          <w:rFonts w:ascii="Verdana" w:hAnsi="Verdana"/>
          <w:sz w:val="20"/>
          <w:szCs w:val="20"/>
          <w:lang w:val="es-ES_tradnl"/>
        </w:rPr>
        <w:t xml:space="preserve">lógico interpretar que los dos criterios deben ser los mismos, por lo que, al ser inequívoco el término “recepción” empleado para los anexos y los escritos firmados, la única interpretación posible </w:t>
      </w:r>
      <w:r w:rsidR="00585F06">
        <w:rPr>
          <w:rFonts w:ascii="Verdana" w:hAnsi="Verdana"/>
          <w:sz w:val="20"/>
          <w:szCs w:val="20"/>
          <w:lang w:val="es-ES_tradnl"/>
        </w:rPr>
        <w:t xml:space="preserve">para </w:t>
      </w:r>
      <w:r w:rsidR="00C77BC0">
        <w:rPr>
          <w:rFonts w:ascii="Verdana" w:hAnsi="Verdana"/>
          <w:sz w:val="20"/>
          <w:szCs w:val="20"/>
          <w:lang w:val="es-ES_tradnl"/>
        </w:rPr>
        <w:t>dar por válida la</w:t>
      </w:r>
      <w:r w:rsidR="00A40142" w:rsidRPr="004E2353">
        <w:rPr>
          <w:rFonts w:ascii="Verdana" w:hAnsi="Verdana"/>
          <w:sz w:val="20"/>
          <w:szCs w:val="20"/>
          <w:lang w:val="es-ES_tradnl"/>
        </w:rPr>
        <w:t xml:space="preserve"> “presentación” </w:t>
      </w:r>
      <w:r w:rsidR="006B0A25">
        <w:rPr>
          <w:rFonts w:ascii="Verdana" w:hAnsi="Verdana"/>
          <w:sz w:val="20"/>
          <w:szCs w:val="20"/>
          <w:lang w:val="es-ES_tradnl"/>
        </w:rPr>
        <w:t xml:space="preserve">ante el Tribunal </w:t>
      </w:r>
      <w:r w:rsidR="00A40142" w:rsidRPr="004E2353">
        <w:rPr>
          <w:rFonts w:ascii="Verdana" w:hAnsi="Verdana"/>
          <w:sz w:val="20"/>
          <w:szCs w:val="20"/>
          <w:lang w:val="es-ES_tradnl"/>
        </w:rPr>
        <w:t xml:space="preserve">es que </w:t>
      </w:r>
      <w:r w:rsidR="006B0A25">
        <w:rPr>
          <w:rFonts w:ascii="Verdana" w:hAnsi="Verdana"/>
          <w:sz w:val="20"/>
          <w:szCs w:val="20"/>
          <w:lang w:val="es-ES_tradnl"/>
        </w:rPr>
        <w:t xml:space="preserve">esta </w:t>
      </w:r>
      <w:r w:rsidR="00A40142" w:rsidRPr="004E2353">
        <w:rPr>
          <w:rFonts w:ascii="Verdana" w:hAnsi="Verdana"/>
          <w:sz w:val="20"/>
          <w:szCs w:val="20"/>
          <w:lang w:val="es-ES_tradnl"/>
        </w:rPr>
        <w:t xml:space="preserve">se refiere a la </w:t>
      </w:r>
      <w:r w:rsidR="006B0A25">
        <w:rPr>
          <w:rFonts w:ascii="Verdana" w:hAnsi="Verdana"/>
          <w:sz w:val="20"/>
          <w:szCs w:val="20"/>
          <w:lang w:val="es-ES_tradnl"/>
        </w:rPr>
        <w:t xml:space="preserve">fecha de </w:t>
      </w:r>
      <w:r w:rsidR="00A40142" w:rsidRPr="004E2353">
        <w:rPr>
          <w:rFonts w:ascii="Verdana" w:hAnsi="Verdana"/>
          <w:sz w:val="20"/>
          <w:szCs w:val="20"/>
          <w:lang w:val="es-ES_tradnl"/>
        </w:rPr>
        <w:t>recepción de los escritos</w:t>
      </w:r>
      <w:r w:rsidR="00C77BC0">
        <w:rPr>
          <w:rFonts w:ascii="Verdana" w:hAnsi="Verdana"/>
          <w:sz w:val="20"/>
          <w:szCs w:val="20"/>
          <w:lang w:val="es-ES_tradnl"/>
        </w:rPr>
        <w:t xml:space="preserve"> </w:t>
      </w:r>
      <w:r w:rsidR="006B0A25">
        <w:rPr>
          <w:rFonts w:ascii="Verdana" w:hAnsi="Verdana"/>
          <w:sz w:val="20"/>
          <w:szCs w:val="20"/>
          <w:lang w:val="es-ES_tradnl"/>
        </w:rPr>
        <w:t xml:space="preserve">por la Corte </w:t>
      </w:r>
      <w:r w:rsidR="00A40142" w:rsidRPr="004E2353">
        <w:rPr>
          <w:rFonts w:ascii="Verdana" w:hAnsi="Verdana"/>
          <w:sz w:val="20"/>
          <w:szCs w:val="20"/>
          <w:lang w:val="es-ES_tradnl"/>
        </w:rPr>
        <w:t>y no al envío.</w:t>
      </w:r>
    </w:p>
    <w:p w14:paraId="010159E0" w14:textId="4671BBF5" w:rsidR="00572992" w:rsidRDefault="00055A46"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 xml:space="preserve">Por otra parte, el Estado indicó que existen </w:t>
      </w:r>
      <w:r w:rsidRPr="00055A46">
        <w:rPr>
          <w:rFonts w:ascii="Verdana" w:hAnsi="Verdana"/>
          <w:sz w:val="20"/>
          <w:szCs w:val="20"/>
          <w:lang w:val="es-ES_tradnl"/>
        </w:rPr>
        <w:t xml:space="preserve">dos pronunciamientos de </w:t>
      </w:r>
      <w:r>
        <w:rPr>
          <w:rFonts w:ascii="Verdana" w:hAnsi="Verdana"/>
          <w:sz w:val="20"/>
          <w:szCs w:val="20"/>
          <w:lang w:val="es-ES_tradnl"/>
        </w:rPr>
        <w:t>la</w:t>
      </w:r>
      <w:r w:rsidRPr="00055A46">
        <w:rPr>
          <w:rFonts w:ascii="Verdana" w:hAnsi="Verdana"/>
          <w:sz w:val="20"/>
          <w:szCs w:val="20"/>
          <w:lang w:val="es-ES_tradnl"/>
        </w:rPr>
        <w:t xml:space="preserve"> </w:t>
      </w:r>
      <w:r>
        <w:rPr>
          <w:rFonts w:ascii="Verdana" w:hAnsi="Verdana"/>
          <w:sz w:val="20"/>
          <w:szCs w:val="20"/>
          <w:lang w:val="es-ES_tradnl"/>
        </w:rPr>
        <w:t xml:space="preserve">Corte </w:t>
      </w:r>
      <w:r w:rsidRPr="00055A46">
        <w:rPr>
          <w:rFonts w:ascii="Verdana" w:hAnsi="Verdana"/>
          <w:sz w:val="20"/>
          <w:szCs w:val="20"/>
          <w:lang w:val="es-ES_tradnl"/>
        </w:rPr>
        <w:t>en los</w:t>
      </w:r>
      <w:r>
        <w:rPr>
          <w:rFonts w:ascii="Verdana" w:hAnsi="Verdana"/>
          <w:sz w:val="20"/>
          <w:szCs w:val="20"/>
          <w:lang w:val="es-ES_tradnl"/>
        </w:rPr>
        <w:t xml:space="preserve"> cuales se</w:t>
      </w:r>
      <w:r w:rsidR="00202293">
        <w:rPr>
          <w:rFonts w:ascii="Verdana" w:hAnsi="Verdana"/>
          <w:sz w:val="20"/>
          <w:szCs w:val="20"/>
          <w:lang w:val="es-ES_tradnl"/>
        </w:rPr>
        <w:t xml:space="preserve"> habría</w:t>
      </w:r>
      <w:r>
        <w:rPr>
          <w:rFonts w:ascii="Verdana" w:hAnsi="Verdana"/>
          <w:sz w:val="20"/>
          <w:szCs w:val="20"/>
          <w:lang w:val="es-ES_tradnl"/>
        </w:rPr>
        <w:t xml:space="preserve"> to</w:t>
      </w:r>
      <w:r w:rsidR="00202293">
        <w:rPr>
          <w:rFonts w:ascii="Verdana" w:hAnsi="Verdana"/>
          <w:sz w:val="20"/>
          <w:szCs w:val="20"/>
          <w:lang w:val="es-ES_tradnl"/>
        </w:rPr>
        <w:t>mado</w:t>
      </w:r>
      <w:r>
        <w:rPr>
          <w:rFonts w:ascii="Verdana" w:hAnsi="Verdana"/>
          <w:sz w:val="20"/>
          <w:szCs w:val="20"/>
          <w:lang w:val="es-ES_tradnl"/>
        </w:rPr>
        <w:t xml:space="preserve"> en cuenta el criterio del envío del escrito y no de la recepción del mismo para </w:t>
      </w:r>
      <w:r w:rsidR="00585F06">
        <w:rPr>
          <w:rFonts w:ascii="Verdana" w:hAnsi="Verdana"/>
          <w:sz w:val="20"/>
          <w:szCs w:val="20"/>
          <w:lang w:val="es-ES_tradnl"/>
        </w:rPr>
        <w:t xml:space="preserve">determinar si </w:t>
      </w:r>
      <w:r w:rsidR="00202293">
        <w:rPr>
          <w:rFonts w:ascii="Verdana" w:hAnsi="Verdana"/>
          <w:sz w:val="20"/>
          <w:szCs w:val="20"/>
          <w:lang w:val="es-ES_tradnl"/>
        </w:rPr>
        <w:t>los mismos</w:t>
      </w:r>
      <w:r>
        <w:rPr>
          <w:rFonts w:ascii="Verdana" w:hAnsi="Verdana"/>
          <w:sz w:val="20"/>
          <w:szCs w:val="20"/>
          <w:lang w:val="es-ES_tradnl"/>
        </w:rPr>
        <w:t xml:space="preserve"> </w:t>
      </w:r>
      <w:r w:rsidR="00585F06">
        <w:rPr>
          <w:rFonts w:ascii="Verdana" w:hAnsi="Verdana"/>
          <w:sz w:val="20"/>
          <w:szCs w:val="20"/>
          <w:lang w:val="es-ES_tradnl"/>
        </w:rPr>
        <w:t>eran</w:t>
      </w:r>
      <w:r>
        <w:rPr>
          <w:rFonts w:ascii="Verdana" w:hAnsi="Verdana"/>
          <w:sz w:val="20"/>
          <w:szCs w:val="20"/>
          <w:lang w:val="es-ES_tradnl"/>
        </w:rPr>
        <w:t xml:space="preserve"> admisibles. Se trata de los casos </w:t>
      </w:r>
      <w:r w:rsidRPr="004E2353">
        <w:rPr>
          <w:rFonts w:ascii="Verdana" w:hAnsi="Verdana"/>
          <w:i/>
          <w:iCs w:val="0"/>
          <w:sz w:val="20"/>
          <w:szCs w:val="20"/>
          <w:lang w:val="es-ES_tradnl"/>
        </w:rPr>
        <w:t>Nadege Dorzema y otros Vs. República Domin</w:t>
      </w:r>
      <w:r w:rsidR="00572992" w:rsidRPr="004E2353">
        <w:rPr>
          <w:rFonts w:ascii="Verdana" w:hAnsi="Verdana"/>
          <w:i/>
          <w:iCs w:val="0"/>
          <w:sz w:val="20"/>
          <w:szCs w:val="20"/>
          <w:lang w:val="es-ES_tradnl"/>
        </w:rPr>
        <w:t>i</w:t>
      </w:r>
      <w:r w:rsidRPr="004E2353">
        <w:rPr>
          <w:rFonts w:ascii="Verdana" w:hAnsi="Verdana"/>
          <w:i/>
          <w:iCs w:val="0"/>
          <w:sz w:val="20"/>
          <w:szCs w:val="20"/>
          <w:lang w:val="es-ES_tradnl"/>
        </w:rPr>
        <w:t>cana</w:t>
      </w:r>
      <w:r w:rsidR="00572992">
        <w:rPr>
          <w:rFonts w:ascii="Verdana" w:hAnsi="Verdana"/>
          <w:sz w:val="20"/>
          <w:szCs w:val="20"/>
          <w:lang w:val="es-ES_tradnl"/>
        </w:rPr>
        <w:t>,</w:t>
      </w:r>
      <w:r w:rsidRPr="00055A46">
        <w:rPr>
          <w:rFonts w:ascii="Verdana" w:hAnsi="Verdana"/>
          <w:sz w:val="20"/>
          <w:szCs w:val="20"/>
          <w:lang w:val="es-ES_tradnl"/>
        </w:rPr>
        <w:t xml:space="preserve"> y </w:t>
      </w:r>
      <w:r w:rsidRPr="004E2353">
        <w:rPr>
          <w:rFonts w:ascii="Verdana" w:hAnsi="Verdana"/>
          <w:i/>
          <w:iCs w:val="0"/>
          <w:sz w:val="20"/>
          <w:szCs w:val="20"/>
          <w:lang w:val="es-ES_tradnl"/>
        </w:rPr>
        <w:t>Argüelles y otros Vs. Argentina</w:t>
      </w:r>
      <w:r w:rsidRPr="00055A46">
        <w:rPr>
          <w:rFonts w:ascii="Verdana" w:hAnsi="Verdana"/>
          <w:sz w:val="20"/>
          <w:szCs w:val="20"/>
          <w:lang w:val="es-ES_tradnl"/>
        </w:rPr>
        <w:t>.</w:t>
      </w:r>
      <w:r w:rsidR="00572992">
        <w:rPr>
          <w:rFonts w:ascii="Verdana" w:hAnsi="Verdana"/>
          <w:sz w:val="20"/>
          <w:szCs w:val="20"/>
          <w:lang w:val="es-ES_tradnl"/>
        </w:rPr>
        <w:t xml:space="preserve"> Esta Corte constata que en ninguno de esos dos ejemplos se desprende que el criterio del envío del escrito fue</w:t>
      </w:r>
      <w:r w:rsidR="00202293">
        <w:rPr>
          <w:rFonts w:ascii="Verdana" w:hAnsi="Verdana"/>
          <w:sz w:val="20"/>
          <w:szCs w:val="20"/>
          <w:lang w:val="es-ES_tradnl"/>
        </w:rPr>
        <w:t>ra el</w:t>
      </w:r>
      <w:r w:rsidR="00572992">
        <w:rPr>
          <w:rFonts w:ascii="Verdana" w:hAnsi="Verdana"/>
          <w:sz w:val="20"/>
          <w:szCs w:val="20"/>
          <w:lang w:val="es-ES_tradnl"/>
        </w:rPr>
        <w:t xml:space="preserve"> tomado en cuenta para determinar la admisibilidad de los mismos</w:t>
      </w:r>
      <w:r w:rsidR="00585F06">
        <w:rPr>
          <w:rFonts w:ascii="Verdana" w:hAnsi="Verdana"/>
          <w:sz w:val="20"/>
          <w:szCs w:val="20"/>
          <w:lang w:val="es-ES_tradnl"/>
        </w:rPr>
        <w:t xml:space="preserve"> y que</w:t>
      </w:r>
      <w:r w:rsidR="00202293">
        <w:rPr>
          <w:rFonts w:ascii="Verdana" w:hAnsi="Verdana"/>
          <w:sz w:val="20"/>
          <w:szCs w:val="20"/>
          <w:lang w:val="es-ES_tradnl"/>
        </w:rPr>
        <w:t>,</w:t>
      </w:r>
      <w:r w:rsidR="00585F06">
        <w:rPr>
          <w:rFonts w:ascii="Verdana" w:hAnsi="Verdana"/>
          <w:sz w:val="20"/>
          <w:szCs w:val="20"/>
          <w:lang w:val="es-ES_tradnl"/>
        </w:rPr>
        <w:t xml:space="preserve"> por el contrario, esos casos </w:t>
      </w:r>
      <w:r w:rsidR="000B0977">
        <w:rPr>
          <w:rFonts w:ascii="Verdana" w:hAnsi="Verdana"/>
          <w:sz w:val="20"/>
          <w:szCs w:val="20"/>
          <w:lang w:val="es-ES_tradnl"/>
        </w:rPr>
        <w:t xml:space="preserve">confirman y </w:t>
      </w:r>
      <w:r w:rsidR="00585F06">
        <w:rPr>
          <w:rFonts w:ascii="Verdana" w:hAnsi="Verdana"/>
          <w:sz w:val="20"/>
          <w:szCs w:val="20"/>
          <w:lang w:val="es-ES_tradnl"/>
        </w:rPr>
        <w:t>refuerzan el criterio según el cual es la recepción del escrito ante el Tribunal l</w:t>
      </w:r>
      <w:r w:rsidR="00202293">
        <w:rPr>
          <w:rFonts w:ascii="Verdana" w:hAnsi="Verdana"/>
          <w:sz w:val="20"/>
          <w:szCs w:val="20"/>
          <w:lang w:val="es-ES_tradnl"/>
        </w:rPr>
        <w:t>a</w:t>
      </w:r>
      <w:r w:rsidR="00585F06">
        <w:rPr>
          <w:rFonts w:ascii="Verdana" w:hAnsi="Verdana"/>
          <w:sz w:val="20"/>
          <w:szCs w:val="20"/>
          <w:lang w:val="es-ES_tradnl"/>
        </w:rPr>
        <w:t xml:space="preserve"> que determina su admisibilidad.</w:t>
      </w:r>
    </w:p>
    <w:p w14:paraId="17226DD6" w14:textId="442A801E" w:rsidR="00055A46" w:rsidRPr="004E2353" w:rsidRDefault="00572992"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A60755">
        <w:rPr>
          <w:rFonts w:ascii="Verdana" w:hAnsi="Verdana"/>
          <w:sz w:val="20"/>
          <w:szCs w:val="20"/>
          <w:lang w:val="es-ES_tradnl"/>
        </w:rPr>
        <w:t>En efecto, en el caso</w:t>
      </w:r>
      <w:r w:rsidR="004F2E92">
        <w:rPr>
          <w:rFonts w:ascii="Verdana" w:hAnsi="Verdana"/>
          <w:sz w:val="20"/>
          <w:szCs w:val="20"/>
          <w:lang w:val="es-ES_tradnl"/>
        </w:rPr>
        <w:t xml:space="preserve"> </w:t>
      </w:r>
      <w:r w:rsidR="00277D72" w:rsidRPr="00D43408">
        <w:rPr>
          <w:rFonts w:ascii="Verdana" w:hAnsi="Verdana"/>
          <w:i/>
          <w:iCs w:val="0"/>
          <w:sz w:val="20"/>
          <w:szCs w:val="20"/>
          <w:lang w:val="es-ES_tradnl"/>
        </w:rPr>
        <w:t>Nadege Dorzema y otros Vs. República Dominicana</w:t>
      </w:r>
      <w:r w:rsidR="004F2E92">
        <w:rPr>
          <w:rFonts w:ascii="Verdana" w:hAnsi="Verdana"/>
          <w:sz w:val="20"/>
          <w:szCs w:val="20"/>
          <w:lang w:val="es-ES_tradnl"/>
        </w:rPr>
        <w:t>,</w:t>
      </w:r>
      <w:r w:rsidRPr="00A60755">
        <w:rPr>
          <w:rFonts w:ascii="Verdana" w:hAnsi="Verdana"/>
          <w:sz w:val="20"/>
          <w:szCs w:val="20"/>
          <w:lang w:val="es-ES_tradnl"/>
        </w:rPr>
        <w:t xml:space="preserve"> </w:t>
      </w:r>
      <w:r w:rsidRPr="004E2353">
        <w:rPr>
          <w:rFonts w:ascii="Verdana" w:hAnsi="Verdana"/>
          <w:sz w:val="20"/>
          <w:szCs w:val="20"/>
        </w:rPr>
        <w:t>el Estado solicitó que se declare inadmisible por extemporáneo el escrito de alegatos finales escritos remitido por los representantes el 24 de julio de 2012, cuyo plazo improrrogable vencía el 23 de julio de 2012. La Corte indicó que “el envío se comenzó a recibir dentro del plazo y prosiguió de manera ininterrumpida hasta las 2:16 horas de la madrugada</w:t>
      </w:r>
      <w:r w:rsidR="00585F06">
        <w:rPr>
          <w:rFonts w:ascii="Verdana" w:hAnsi="Verdana"/>
          <w:sz w:val="20"/>
          <w:szCs w:val="20"/>
        </w:rPr>
        <w:t>”.</w:t>
      </w:r>
      <w:r w:rsidRPr="004E2353">
        <w:rPr>
          <w:rFonts w:ascii="Verdana" w:hAnsi="Verdana"/>
          <w:sz w:val="20"/>
          <w:szCs w:val="20"/>
        </w:rPr>
        <w:t xml:space="preserve"> </w:t>
      </w:r>
      <w:r w:rsidR="00585F06">
        <w:rPr>
          <w:rFonts w:ascii="Verdana" w:hAnsi="Verdana"/>
          <w:sz w:val="20"/>
          <w:szCs w:val="20"/>
        </w:rPr>
        <w:t>E</w:t>
      </w:r>
      <w:r w:rsidRPr="004E2353">
        <w:rPr>
          <w:rFonts w:ascii="Verdana" w:hAnsi="Verdana"/>
          <w:sz w:val="20"/>
          <w:szCs w:val="20"/>
        </w:rPr>
        <w:t>n esa ocasión la Corte admit</w:t>
      </w:r>
      <w:r w:rsidR="00585F06">
        <w:rPr>
          <w:rFonts w:ascii="Verdana" w:hAnsi="Verdana"/>
          <w:sz w:val="20"/>
          <w:szCs w:val="20"/>
        </w:rPr>
        <w:t>ió</w:t>
      </w:r>
      <w:r w:rsidRPr="004E2353">
        <w:rPr>
          <w:rFonts w:ascii="Verdana" w:hAnsi="Verdana"/>
          <w:sz w:val="20"/>
          <w:szCs w:val="20"/>
        </w:rPr>
        <w:t xml:space="preserve"> el escrito de alegatos finales de los representantes y sus anexos, por considerar que </w:t>
      </w:r>
      <w:r w:rsidR="00585F06">
        <w:rPr>
          <w:rFonts w:ascii="Verdana" w:hAnsi="Verdana"/>
          <w:sz w:val="20"/>
          <w:szCs w:val="20"/>
        </w:rPr>
        <w:t>“</w:t>
      </w:r>
      <w:r w:rsidRPr="004E2353">
        <w:rPr>
          <w:rFonts w:ascii="Verdana" w:hAnsi="Verdana"/>
          <w:sz w:val="20"/>
          <w:szCs w:val="20"/>
        </w:rPr>
        <w:t>fueron recibidos dentro del plazo estipulado por el artículo 28 del Reglamento de la Corte”</w:t>
      </w:r>
      <w:r w:rsidR="00277D72" w:rsidRPr="004E2353">
        <w:rPr>
          <w:rStyle w:val="Refdenotaalpie"/>
          <w:rFonts w:ascii="Verdana" w:hAnsi="Verdana"/>
          <w:sz w:val="20"/>
          <w:szCs w:val="20"/>
          <w:lang w:val="es-ES_tradnl"/>
        </w:rPr>
        <w:footnoteReference w:id="3"/>
      </w:r>
      <w:r w:rsidRPr="004E2353">
        <w:rPr>
          <w:rFonts w:ascii="Verdana" w:hAnsi="Verdana"/>
          <w:sz w:val="20"/>
          <w:szCs w:val="20"/>
        </w:rPr>
        <w:t xml:space="preserve">. De lo anterior </w:t>
      </w:r>
      <w:r w:rsidR="009C1D5E">
        <w:rPr>
          <w:rFonts w:ascii="Verdana" w:hAnsi="Verdana"/>
          <w:sz w:val="20"/>
          <w:szCs w:val="20"/>
        </w:rPr>
        <w:t>se desprende</w:t>
      </w:r>
      <w:r w:rsidR="00585F06">
        <w:rPr>
          <w:rFonts w:ascii="Verdana" w:hAnsi="Verdana"/>
          <w:sz w:val="20"/>
          <w:szCs w:val="20"/>
        </w:rPr>
        <w:t xml:space="preserve"> que</w:t>
      </w:r>
      <w:r w:rsidR="00C2552B">
        <w:rPr>
          <w:rFonts w:ascii="Verdana" w:hAnsi="Verdana"/>
          <w:sz w:val="20"/>
          <w:szCs w:val="20"/>
        </w:rPr>
        <w:t xml:space="preserve"> en esa oportunidad el Tribunal consideró que</w:t>
      </w:r>
      <w:r w:rsidR="00202293">
        <w:rPr>
          <w:rFonts w:ascii="Verdana" w:hAnsi="Verdana"/>
          <w:sz w:val="20"/>
          <w:szCs w:val="20"/>
        </w:rPr>
        <w:t xml:space="preserve"> e</w:t>
      </w:r>
      <w:r w:rsidRPr="004E2353">
        <w:rPr>
          <w:rFonts w:ascii="Verdana" w:hAnsi="Verdana"/>
          <w:sz w:val="20"/>
          <w:szCs w:val="20"/>
        </w:rPr>
        <w:t xml:space="preserve">l artículo 28 del Reglamento se refiere a la recepción del escrito </w:t>
      </w:r>
      <w:r w:rsidR="00C2552B">
        <w:rPr>
          <w:rFonts w:ascii="Verdana" w:hAnsi="Verdana"/>
          <w:sz w:val="20"/>
          <w:szCs w:val="20"/>
        </w:rPr>
        <w:t xml:space="preserve">y no a su envío, </w:t>
      </w:r>
      <w:r w:rsidRPr="004E2353">
        <w:rPr>
          <w:rFonts w:ascii="Verdana" w:hAnsi="Verdana"/>
          <w:sz w:val="20"/>
          <w:szCs w:val="20"/>
        </w:rPr>
        <w:t xml:space="preserve">pues la Corte </w:t>
      </w:r>
      <w:r w:rsidR="00585F06">
        <w:rPr>
          <w:rFonts w:ascii="Verdana" w:hAnsi="Verdana"/>
          <w:sz w:val="20"/>
          <w:szCs w:val="20"/>
        </w:rPr>
        <w:t>indicó</w:t>
      </w:r>
      <w:r w:rsidRPr="004E2353">
        <w:rPr>
          <w:rFonts w:ascii="Verdana" w:hAnsi="Verdana"/>
          <w:sz w:val="20"/>
          <w:szCs w:val="20"/>
        </w:rPr>
        <w:t xml:space="preserve"> que esos escritos fueron “recibidos dentro del plazo estipulado” y no dice que fueron “enviados dentro del plazo estipulado”</w:t>
      </w:r>
      <w:r w:rsidR="00585F06">
        <w:rPr>
          <w:rFonts w:ascii="Verdana" w:hAnsi="Verdana"/>
          <w:sz w:val="20"/>
          <w:szCs w:val="20"/>
        </w:rPr>
        <w:t xml:space="preserve">. </w:t>
      </w:r>
      <w:r w:rsidR="00585F06" w:rsidRPr="000D72D8">
        <w:rPr>
          <w:rFonts w:ascii="Verdana" w:hAnsi="Verdana"/>
          <w:sz w:val="20"/>
          <w:szCs w:val="20"/>
        </w:rPr>
        <w:t xml:space="preserve">Por otra parte, </w:t>
      </w:r>
      <w:r w:rsidR="00202293" w:rsidRPr="000D72D8">
        <w:rPr>
          <w:rFonts w:ascii="Verdana" w:hAnsi="Verdana"/>
          <w:sz w:val="20"/>
          <w:szCs w:val="20"/>
        </w:rPr>
        <w:t>en dicho precedente se resalta que los sucesivos correos</w:t>
      </w:r>
      <w:r w:rsidR="004F2E92" w:rsidRPr="000D72D8">
        <w:rPr>
          <w:rFonts w:ascii="Verdana" w:hAnsi="Verdana"/>
          <w:sz w:val="20"/>
          <w:szCs w:val="20"/>
        </w:rPr>
        <w:t xml:space="preserve"> comenzar</w:t>
      </w:r>
      <w:r w:rsidR="00202293" w:rsidRPr="000D72D8">
        <w:rPr>
          <w:rFonts w:ascii="Verdana" w:hAnsi="Verdana"/>
          <w:sz w:val="20"/>
          <w:szCs w:val="20"/>
        </w:rPr>
        <w:t>on</w:t>
      </w:r>
      <w:r w:rsidR="004F2E92" w:rsidRPr="000D72D8">
        <w:rPr>
          <w:rFonts w:ascii="Verdana" w:hAnsi="Verdana"/>
          <w:sz w:val="20"/>
          <w:szCs w:val="20"/>
        </w:rPr>
        <w:t xml:space="preserve"> a recibirse </w:t>
      </w:r>
      <w:r w:rsidR="00202293" w:rsidRPr="000D72D8">
        <w:rPr>
          <w:rFonts w:ascii="Verdana" w:hAnsi="Verdana"/>
          <w:sz w:val="20"/>
          <w:szCs w:val="20"/>
        </w:rPr>
        <w:t>en el plazo previsto</w:t>
      </w:r>
      <w:r w:rsidR="00585F06" w:rsidRPr="000D72D8">
        <w:rPr>
          <w:rFonts w:ascii="Verdana" w:hAnsi="Verdana"/>
          <w:sz w:val="20"/>
          <w:szCs w:val="20"/>
        </w:rPr>
        <w:t>.</w:t>
      </w:r>
      <w:r w:rsidR="00585F06" w:rsidRPr="000B0977">
        <w:rPr>
          <w:rFonts w:ascii="Verdana" w:hAnsi="Verdana"/>
          <w:sz w:val="20"/>
          <w:szCs w:val="20"/>
          <w:u w:val="single"/>
        </w:rPr>
        <w:t xml:space="preserve"> </w:t>
      </w:r>
      <w:r w:rsidR="00585F06">
        <w:rPr>
          <w:rFonts w:ascii="Verdana" w:hAnsi="Verdana"/>
          <w:sz w:val="20"/>
          <w:szCs w:val="20"/>
        </w:rPr>
        <w:t xml:space="preserve">Finalmente, </w:t>
      </w:r>
      <w:r w:rsidR="00815A5C">
        <w:rPr>
          <w:rFonts w:ascii="Verdana" w:hAnsi="Verdana"/>
          <w:sz w:val="20"/>
          <w:szCs w:val="20"/>
        </w:rPr>
        <w:t xml:space="preserve">cabe anotar que </w:t>
      </w:r>
      <w:r w:rsidR="004F2E92" w:rsidRPr="004E2353">
        <w:rPr>
          <w:rFonts w:ascii="Verdana" w:hAnsi="Verdana"/>
          <w:sz w:val="20"/>
          <w:szCs w:val="20"/>
        </w:rPr>
        <w:t xml:space="preserve">la Corte efectuó ese análisis para evaluar si el escrito fue recibido </w:t>
      </w:r>
      <w:r w:rsidR="00C2552B">
        <w:rPr>
          <w:rFonts w:ascii="Verdana" w:hAnsi="Verdana"/>
          <w:sz w:val="20"/>
          <w:szCs w:val="20"/>
        </w:rPr>
        <w:t xml:space="preserve">dentro del plazo </w:t>
      </w:r>
      <w:r w:rsidR="009C1D5E">
        <w:rPr>
          <w:rFonts w:ascii="Verdana" w:hAnsi="Verdana"/>
          <w:sz w:val="20"/>
          <w:szCs w:val="20"/>
        </w:rPr>
        <w:t>y no si fue enviado</w:t>
      </w:r>
      <w:r w:rsidR="004F2E92" w:rsidRPr="004E2353">
        <w:rPr>
          <w:rFonts w:ascii="Verdana" w:hAnsi="Verdana"/>
          <w:sz w:val="20"/>
          <w:szCs w:val="20"/>
        </w:rPr>
        <w:t xml:space="preserve">. </w:t>
      </w:r>
    </w:p>
    <w:p w14:paraId="15B6F0B0" w14:textId="6BA38277" w:rsidR="009C1D5E" w:rsidRPr="00194E6C" w:rsidRDefault="004F2E92" w:rsidP="00932D0A">
      <w:pPr>
        <w:pStyle w:val="Sinespaciado"/>
        <w:numPr>
          <w:ilvl w:val="0"/>
          <w:numId w:val="5"/>
        </w:numPr>
        <w:tabs>
          <w:tab w:val="clear" w:pos="0"/>
          <w:tab w:val="clear" w:pos="567"/>
        </w:tabs>
        <w:spacing w:before="120" w:after="120"/>
        <w:ind w:left="0" w:right="23" w:firstLine="0"/>
        <w:contextualSpacing w:val="0"/>
        <w:rPr>
          <w:rFonts w:ascii="Verdana" w:hAnsi="Verdana"/>
          <w:b/>
          <w:sz w:val="20"/>
          <w:szCs w:val="20"/>
          <w:lang w:eastAsia="es-ES"/>
        </w:rPr>
      </w:pPr>
      <w:r w:rsidRPr="00A60755">
        <w:rPr>
          <w:rFonts w:ascii="Verdana" w:hAnsi="Verdana"/>
          <w:sz w:val="20"/>
          <w:szCs w:val="20"/>
        </w:rPr>
        <w:t>En cuan</w:t>
      </w:r>
      <w:r w:rsidRPr="004E2353">
        <w:rPr>
          <w:rFonts w:ascii="Verdana" w:hAnsi="Verdana"/>
          <w:sz w:val="20"/>
          <w:szCs w:val="20"/>
        </w:rPr>
        <w:t xml:space="preserve">to al caso </w:t>
      </w:r>
      <w:r w:rsidR="00277D72" w:rsidRPr="004E2353">
        <w:rPr>
          <w:rFonts w:ascii="Verdana" w:hAnsi="Verdana"/>
          <w:i/>
          <w:iCs w:val="0"/>
          <w:sz w:val="20"/>
          <w:szCs w:val="20"/>
          <w:lang w:val="es-ES_tradnl"/>
        </w:rPr>
        <w:t>Argüelles y otros Vs. Argentina</w:t>
      </w:r>
      <w:r w:rsidRPr="004E2353">
        <w:rPr>
          <w:rFonts w:ascii="Verdana" w:hAnsi="Verdana"/>
          <w:sz w:val="20"/>
          <w:szCs w:val="20"/>
        </w:rPr>
        <w:t xml:space="preserve">, </w:t>
      </w:r>
      <w:r w:rsidR="009C1D5E" w:rsidRPr="004E2353">
        <w:rPr>
          <w:rFonts w:ascii="Verdana" w:hAnsi="Verdana"/>
          <w:sz w:val="20"/>
          <w:szCs w:val="20"/>
        </w:rPr>
        <w:t>el Estado alegó la extemporaneidad del escrito de alegatos finales de los Defensores Interamericanos, los cuales habrían sido remitidos con posterioridad al plazo improrrogable de 30 de junio de 2014</w:t>
      </w:r>
      <w:r w:rsidR="009C1D5E" w:rsidRPr="00A60755">
        <w:rPr>
          <w:rFonts w:ascii="Verdana" w:hAnsi="Verdana"/>
          <w:sz w:val="20"/>
          <w:szCs w:val="20"/>
        </w:rPr>
        <w:t>. L</w:t>
      </w:r>
      <w:r w:rsidR="009C1D5E" w:rsidRPr="004E2353">
        <w:rPr>
          <w:rFonts w:ascii="Verdana" w:hAnsi="Verdana"/>
          <w:sz w:val="20"/>
          <w:szCs w:val="20"/>
        </w:rPr>
        <w:t xml:space="preserve">a Corte constató en ese caso que los representantes remitieron su escrito dentro del plazo </w:t>
      </w:r>
      <w:r w:rsidR="00665190">
        <w:rPr>
          <w:rFonts w:ascii="Verdana" w:hAnsi="Verdana"/>
          <w:sz w:val="20"/>
          <w:szCs w:val="20"/>
        </w:rPr>
        <w:t xml:space="preserve">previsto, </w:t>
      </w:r>
      <w:r w:rsidR="009C1D5E" w:rsidRPr="004E2353">
        <w:rPr>
          <w:rFonts w:ascii="Verdana" w:hAnsi="Verdana"/>
          <w:sz w:val="20"/>
          <w:szCs w:val="20"/>
        </w:rPr>
        <w:t>pero a una dirección de correo de la Corte</w:t>
      </w:r>
      <w:r w:rsidR="00665190">
        <w:rPr>
          <w:rFonts w:ascii="Verdana" w:hAnsi="Verdana"/>
          <w:sz w:val="20"/>
          <w:szCs w:val="20"/>
        </w:rPr>
        <w:t xml:space="preserve"> Interamericana</w:t>
      </w:r>
      <w:r w:rsidR="009C1D5E" w:rsidRPr="004E2353">
        <w:rPr>
          <w:rFonts w:ascii="Verdana" w:hAnsi="Verdana"/>
          <w:sz w:val="20"/>
          <w:szCs w:val="20"/>
        </w:rPr>
        <w:t xml:space="preserve"> distinta al correo principal y que</w:t>
      </w:r>
      <w:r w:rsidR="00815A5C">
        <w:rPr>
          <w:rFonts w:ascii="Verdana" w:hAnsi="Verdana"/>
          <w:sz w:val="20"/>
          <w:szCs w:val="20"/>
        </w:rPr>
        <w:t>,</w:t>
      </w:r>
      <w:r w:rsidR="009C1D5E" w:rsidRPr="004E2353">
        <w:rPr>
          <w:rFonts w:ascii="Verdana" w:hAnsi="Verdana"/>
          <w:sz w:val="20"/>
          <w:szCs w:val="20"/>
        </w:rPr>
        <w:t xml:space="preserve"> habiendo detectado esa situación, el día siguiente reenviaron su escrito a la dirección de correo principal de la Corte. En ese caso, el Tribunal admitió el escrito de alegatos finales de los representantes </w:t>
      </w:r>
      <w:r w:rsidR="00815A5C">
        <w:rPr>
          <w:rFonts w:ascii="Verdana" w:hAnsi="Verdana"/>
          <w:sz w:val="20"/>
          <w:szCs w:val="20"/>
        </w:rPr>
        <w:t xml:space="preserve">puesto que el mismo </w:t>
      </w:r>
      <w:r w:rsidR="009C1D5E" w:rsidRPr="004E2353">
        <w:rPr>
          <w:rFonts w:ascii="Verdana" w:hAnsi="Verdana"/>
          <w:sz w:val="20"/>
          <w:szCs w:val="20"/>
        </w:rPr>
        <w:t>fue “recibido dentro del plazo estipulado por el artículo 28 del Reglamento de la Corte”</w:t>
      </w:r>
      <w:r w:rsidR="00A60755" w:rsidRPr="00A5424F">
        <w:rPr>
          <w:rStyle w:val="Refdenotaalpie"/>
          <w:rFonts w:ascii="Verdana" w:hAnsi="Verdana"/>
          <w:sz w:val="20"/>
          <w:szCs w:val="20"/>
          <w:lang w:val="es-ES_tradnl"/>
        </w:rPr>
        <w:footnoteReference w:id="4"/>
      </w:r>
      <w:r w:rsidR="009C1D5E" w:rsidRPr="004E2353">
        <w:rPr>
          <w:rFonts w:ascii="Verdana" w:hAnsi="Verdana"/>
          <w:sz w:val="20"/>
          <w:szCs w:val="20"/>
        </w:rPr>
        <w:t>.</w:t>
      </w:r>
      <w:r w:rsidR="00A60755">
        <w:rPr>
          <w:rFonts w:ascii="Verdana" w:hAnsi="Verdana"/>
          <w:sz w:val="20"/>
          <w:szCs w:val="20"/>
        </w:rPr>
        <w:t xml:space="preserve"> Esta decisión del Tribunal se refiere claramente al plazo del </w:t>
      </w:r>
      <w:r w:rsidR="00A60755">
        <w:rPr>
          <w:rFonts w:ascii="Verdana" w:hAnsi="Verdana"/>
          <w:sz w:val="20"/>
          <w:szCs w:val="20"/>
        </w:rPr>
        <w:lastRenderedPageBreak/>
        <w:t>artículo 28 para la recepción del escrito y no para su envío, y lo relevante aquí fue que el mismo fue recibido efectivamente a una dirección de la Corte distinta del correo principal</w:t>
      </w:r>
      <w:r w:rsidR="00815A5C">
        <w:rPr>
          <w:rFonts w:ascii="Verdana" w:hAnsi="Verdana"/>
          <w:sz w:val="20"/>
          <w:szCs w:val="20"/>
        </w:rPr>
        <w:t xml:space="preserve"> en el plazo establecido</w:t>
      </w:r>
      <w:r w:rsidR="00A60755">
        <w:rPr>
          <w:rFonts w:ascii="Verdana" w:hAnsi="Verdana"/>
          <w:sz w:val="20"/>
          <w:szCs w:val="20"/>
        </w:rPr>
        <w:t xml:space="preserve">.  </w:t>
      </w:r>
    </w:p>
    <w:p w14:paraId="3139A06E" w14:textId="0B32416E" w:rsidR="00512E56" w:rsidRPr="00194E6C" w:rsidRDefault="00512E56" w:rsidP="00932D0A">
      <w:pPr>
        <w:pStyle w:val="Sinespaciado"/>
        <w:numPr>
          <w:ilvl w:val="0"/>
          <w:numId w:val="5"/>
        </w:numPr>
        <w:tabs>
          <w:tab w:val="clear" w:pos="0"/>
          <w:tab w:val="clear" w:pos="567"/>
        </w:tabs>
        <w:spacing w:before="120" w:after="120"/>
        <w:ind w:left="0" w:right="23" w:firstLine="0"/>
        <w:contextualSpacing w:val="0"/>
        <w:rPr>
          <w:rFonts w:ascii="Verdana" w:hAnsi="Verdana"/>
          <w:b/>
          <w:sz w:val="20"/>
          <w:szCs w:val="20"/>
          <w:lang w:eastAsia="es-ES"/>
        </w:rPr>
      </w:pPr>
      <w:r>
        <w:rPr>
          <w:rFonts w:ascii="Verdana" w:hAnsi="Verdana"/>
          <w:sz w:val="20"/>
          <w:szCs w:val="20"/>
        </w:rPr>
        <w:t>Se reitera entonces que</w:t>
      </w:r>
      <w:r w:rsidR="000076DC">
        <w:rPr>
          <w:rFonts w:ascii="Verdana" w:hAnsi="Verdana"/>
          <w:sz w:val="20"/>
          <w:szCs w:val="20"/>
        </w:rPr>
        <w:t>,</w:t>
      </w:r>
      <w:r>
        <w:rPr>
          <w:rFonts w:ascii="Verdana" w:hAnsi="Verdana"/>
          <w:sz w:val="20"/>
          <w:szCs w:val="20"/>
        </w:rPr>
        <w:t xml:space="preserve"> en los precedentes citados por el Estado</w:t>
      </w:r>
      <w:r w:rsidR="000076DC">
        <w:rPr>
          <w:rFonts w:ascii="Verdana" w:hAnsi="Verdana"/>
          <w:sz w:val="20"/>
          <w:szCs w:val="20"/>
        </w:rPr>
        <w:t>,</w:t>
      </w:r>
      <w:r>
        <w:rPr>
          <w:rFonts w:ascii="Verdana" w:hAnsi="Verdana"/>
          <w:sz w:val="20"/>
          <w:szCs w:val="20"/>
        </w:rPr>
        <w:t xml:space="preserve"> el criterio relevante para determinar la admisibilidad de los escritos </w:t>
      </w:r>
      <w:r w:rsidR="006B0A25">
        <w:rPr>
          <w:rFonts w:ascii="Verdana" w:hAnsi="Verdana"/>
          <w:sz w:val="20"/>
          <w:szCs w:val="20"/>
        </w:rPr>
        <w:t xml:space="preserve">no </w:t>
      </w:r>
      <w:r>
        <w:rPr>
          <w:rFonts w:ascii="Verdana" w:hAnsi="Verdana"/>
          <w:sz w:val="20"/>
          <w:szCs w:val="20"/>
        </w:rPr>
        <w:t>fue la fecha de su envío sino la fecha de su recepción por el Tribunal.</w:t>
      </w:r>
    </w:p>
    <w:p w14:paraId="1E5E19FA" w14:textId="6A233D58" w:rsidR="00882674" w:rsidRPr="003E0F12" w:rsidRDefault="00882674"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3E0F12">
        <w:rPr>
          <w:rFonts w:ascii="Verdana" w:hAnsi="Verdana"/>
          <w:sz w:val="20"/>
          <w:szCs w:val="20"/>
          <w:lang w:val="es-ES_tradnl"/>
        </w:rPr>
        <w:t>En consecuencia</w:t>
      </w:r>
      <w:r w:rsidR="009C1D5E">
        <w:rPr>
          <w:rFonts w:ascii="Verdana" w:hAnsi="Verdana"/>
          <w:sz w:val="20"/>
          <w:szCs w:val="20"/>
          <w:lang w:val="es-ES_tradnl"/>
        </w:rPr>
        <w:t xml:space="preserve">, </w:t>
      </w:r>
      <w:r w:rsidR="00A60755">
        <w:rPr>
          <w:rFonts w:ascii="Verdana" w:hAnsi="Verdana"/>
          <w:sz w:val="20"/>
          <w:szCs w:val="20"/>
          <w:lang w:val="es-ES_tradnl"/>
        </w:rPr>
        <w:t>de conformidad con todo lo expresado</w:t>
      </w:r>
      <w:r w:rsidRPr="003E0F12">
        <w:rPr>
          <w:rFonts w:ascii="Verdana" w:hAnsi="Verdana"/>
          <w:sz w:val="20"/>
          <w:szCs w:val="20"/>
          <w:lang w:val="es-ES_tradnl"/>
        </w:rPr>
        <w:t>, tomando en cuenta que el escrito de contestación que el Estado afirma haber enviado por correo electrónico el 10 de julio de 2020 n</w:t>
      </w:r>
      <w:r w:rsidR="00E161FD">
        <w:rPr>
          <w:rFonts w:ascii="Verdana" w:hAnsi="Verdana"/>
          <w:sz w:val="20"/>
          <w:szCs w:val="20"/>
          <w:lang w:val="es-ES_tradnl"/>
        </w:rPr>
        <w:t>o</w:t>
      </w:r>
      <w:r w:rsidRPr="003E0F12">
        <w:rPr>
          <w:rFonts w:ascii="Verdana" w:hAnsi="Verdana"/>
          <w:sz w:val="20"/>
          <w:szCs w:val="20"/>
          <w:lang w:val="es-ES_tradnl"/>
        </w:rPr>
        <w:t xml:space="preserve"> fue recibido por el Tribunal, ni ese día ni con posterioridad, y que es recién el día 20 de julio de 2020 que el Estado remitió </w:t>
      </w:r>
      <w:r w:rsidR="00AF328A">
        <w:rPr>
          <w:rFonts w:ascii="Verdana" w:hAnsi="Verdana"/>
          <w:sz w:val="20"/>
          <w:szCs w:val="20"/>
          <w:lang w:val="es-ES_tradnl"/>
        </w:rPr>
        <w:t>la contestación</w:t>
      </w:r>
      <w:r w:rsidRPr="003E0F12">
        <w:rPr>
          <w:rFonts w:ascii="Verdana" w:hAnsi="Verdana"/>
          <w:sz w:val="20"/>
          <w:szCs w:val="20"/>
          <w:lang w:val="es-ES_tradnl"/>
        </w:rPr>
        <w:t xml:space="preserve"> a través de otro correo electrónico</w:t>
      </w:r>
      <w:r w:rsidR="00BC2F38" w:rsidRPr="003E0F12">
        <w:rPr>
          <w:rFonts w:ascii="Verdana" w:hAnsi="Verdana"/>
          <w:sz w:val="20"/>
          <w:szCs w:val="20"/>
          <w:lang w:val="es-ES_tradnl"/>
        </w:rPr>
        <w:t xml:space="preserve"> distinto</w:t>
      </w:r>
      <w:r w:rsidR="000B0977">
        <w:rPr>
          <w:rFonts w:ascii="Verdana" w:hAnsi="Verdana"/>
          <w:sz w:val="20"/>
          <w:szCs w:val="20"/>
          <w:lang w:val="es-ES_tradnl"/>
        </w:rPr>
        <w:t>,</w:t>
      </w:r>
      <w:r w:rsidR="00BC2F38" w:rsidRPr="003E0F12">
        <w:rPr>
          <w:rFonts w:ascii="Verdana" w:hAnsi="Verdana"/>
          <w:sz w:val="20"/>
          <w:szCs w:val="20"/>
          <w:lang w:val="es-ES_tradnl"/>
        </w:rPr>
        <w:t xml:space="preserve"> enviado por la misma remitente</w:t>
      </w:r>
      <w:r w:rsidRPr="003E0F12">
        <w:rPr>
          <w:rFonts w:ascii="Verdana" w:hAnsi="Verdana"/>
          <w:sz w:val="20"/>
          <w:szCs w:val="20"/>
          <w:lang w:val="es-ES_tradnl"/>
        </w:rPr>
        <w:t xml:space="preserve">, </w:t>
      </w:r>
      <w:r w:rsidR="00BC2F38" w:rsidRPr="003E0F12">
        <w:rPr>
          <w:rFonts w:ascii="Verdana" w:hAnsi="Verdana"/>
          <w:sz w:val="20"/>
          <w:szCs w:val="20"/>
          <w:lang w:val="es-ES_tradnl"/>
        </w:rPr>
        <w:t>ese escrito</w:t>
      </w:r>
      <w:r w:rsidRPr="003E0F12">
        <w:rPr>
          <w:rFonts w:ascii="Verdana" w:hAnsi="Verdana"/>
          <w:sz w:val="20"/>
          <w:szCs w:val="20"/>
          <w:lang w:val="es-ES_tradnl"/>
        </w:rPr>
        <w:t xml:space="preserve"> </w:t>
      </w:r>
      <w:r w:rsidR="000076DC">
        <w:rPr>
          <w:rFonts w:ascii="Verdana" w:hAnsi="Verdana"/>
          <w:sz w:val="20"/>
          <w:szCs w:val="20"/>
          <w:lang w:val="es-ES_tradnl"/>
        </w:rPr>
        <w:t xml:space="preserve">recibido el 20 de julio de 2020 </w:t>
      </w:r>
      <w:r w:rsidRPr="003E0F12">
        <w:rPr>
          <w:rFonts w:ascii="Verdana" w:hAnsi="Verdana"/>
          <w:sz w:val="20"/>
          <w:szCs w:val="20"/>
          <w:lang w:val="es-ES_tradnl"/>
        </w:rPr>
        <w:t>resulta extemporáneo y</w:t>
      </w:r>
      <w:r w:rsidR="00665190">
        <w:rPr>
          <w:rFonts w:ascii="Verdana" w:hAnsi="Verdana"/>
          <w:sz w:val="20"/>
          <w:szCs w:val="20"/>
          <w:lang w:val="es-ES_tradnl"/>
        </w:rPr>
        <w:t>,</w:t>
      </w:r>
      <w:r w:rsidRPr="003E0F12">
        <w:rPr>
          <w:rFonts w:ascii="Verdana" w:hAnsi="Verdana"/>
          <w:sz w:val="20"/>
          <w:szCs w:val="20"/>
          <w:lang w:val="es-ES_tradnl"/>
        </w:rPr>
        <w:t xml:space="preserve"> por lo tanto</w:t>
      </w:r>
      <w:r w:rsidR="00665190">
        <w:rPr>
          <w:rFonts w:ascii="Verdana" w:hAnsi="Verdana"/>
          <w:sz w:val="20"/>
          <w:szCs w:val="20"/>
          <w:lang w:val="es-ES_tradnl"/>
        </w:rPr>
        <w:t>,</w:t>
      </w:r>
      <w:r w:rsidRPr="003E0F12">
        <w:rPr>
          <w:rFonts w:ascii="Verdana" w:hAnsi="Verdana"/>
          <w:sz w:val="20"/>
          <w:szCs w:val="20"/>
          <w:lang w:val="es-ES_tradnl"/>
        </w:rPr>
        <w:t xml:space="preserve"> no es admisible. En consecuencia, esta Corte reitera que </w:t>
      </w:r>
      <w:r w:rsidRPr="003E0F12">
        <w:rPr>
          <w:rFonts w:ascii="Verdana" w:eastAsiaTheme="minorHAnsi" w:hAnsi="Verdana"/>
          <w:sz w:val="20"/>
          <w:szCs w:val="20"/>
          <w:lang w:val="es-ES_tradnl"/>
        </w:rPr>
        <w:t>e</w:t>
      </w:r>
      <w:r w:rsidR="00BC2F38" w:rsidRPr="003E0F12">
        <w:rPr>
          <w:rFonts w:ascii="Verdana" w:hAnsi="Verdana"/>
          <w:sz w:val="20"/>
          <w:szCs w:val="20"/>
          <w:lang w:val="es-ES_tradnl"/>
        </w:rPr>
        <w:t>l escrito de contestación</w:t>
      </w:r>
      <w:r w:rsidRPr="003E0F12">
        <w:rPr>
          <w:rFonts w:ascii="Verdana" w:eastAsiaTheme="minorHAnsi" w:hAnsi="Verdana"/>
          <w:sz w:val="20"/>
          <w:szCs w:val="20"/>
          <w:lang w:val="es-ES_tradnl"/>
        </w:rPr>
        <w:t xml:space="preserve"> y sus anexos no serán tomados en cuenta por el Tribunal ni serán remitidos a la Comisión ni a los representantes de la presunta víctima del presente caso</w:t>
      </w:r>
      <w:r w:rsidRPr="003E0F12">
        <w:rPr>
          <w:rFonts w:ascii="Verdana" w:hAnsi="Verdana"/>
          <w:sz w:val="20"/>
          <w:szCs w:val="20"/>
          <w:lang w:val="es-ES_tradnl"/>
        </w:rPr>
        <w:t>.</w:t>
      </w:r>
    </w:p>
    <w:p w14:paraId="46AC53C6" w14:textId="35B0C0E6" w:rsidR="000C66F1" w:rsidRPr="003E0F12" w:rsidRDefault="000C66F1" w:rsidP="00932D0A">
      <w:pPr>
        <w:pStyle w:val="Sinespaciado"/>
        <w:numPr>
          <w:ilvl w:val="0"/>
          <w:numId w:val="4"/>
        </w:numPr>
        <w:spacing w:before="240" w:after="240"/>
        <w:ind w:left="714" w:right="23" w:hanging="357"/>
        <w:contextualSpacing w:val="0"/>
        <w:rPr>
          <w:rFonts w:ascii="Verdana" w:hAnsi="Verdana"/>
          <w:b/>
          <w:bCs w:val="0"/>
          <w:i/>
          <w:iCs w:val="0"/>
          <w:sz w:val="20"/>
          <w:szCs w:val="20"/>
          <w:lang w:val="es-ES_tradnl"/>
        </w:rPr>
      </w:pPr>
      <w:r w:rsidRPr="003E0F12">
        <w:rPr>
          <w:rFonts w:ascii="Verdana" w:hAnsi="Verdana"/>
          <w:b/>
          <w:bCs w:val="0"/>
          <w:i/>
          <w:iCs w:val="0"/>
          <w:sz w:val="20"/>
          <w:szCs w:val="20"/>
          <w:lang w:val="es-ES_tradnl"/>
        </w:rPr>
        <w:t xml:space="preserve">Sobre la solicitud del Estado relacionada con la declaración </w:t>
      </w:r>
      <w:r w:rsidR="00A218C9">
        <w:rPr>
          <w:rFonts w:ascii="Verdana" w:hAnsi="Verdana"/>
          <w:b/>
          <w:bCs w:val="0"/>
          <w:i/>
          <w:iCs w:val="0"/>
          <w:sz w:val="20"/>
          <w:szCs w:val="20"/>
          <w:lang w:val="es-ES_tradnl"/>
        </w:rPr>
        <w:t xml:space="preserve">pericial </w:t>
      </w:r>
      <w:r w:rsidRPr="003E0F12">
        <w:rPr>
          <w:rFonts w:ascii="Verdana" w:hAnsi="Verdana"/>
          <w:b/>
          <w:bCs w:val="0"/>
          <w:i/>
          <w:iCs w:val="0"/>
          <w:sz w:val="20"/>
          <w:szCs w:val="20"/>
          <w:lang w:val="es-ES_tradnl"/>
        </w:rPr>
        <w:t>de Paolo Carozza</w:t>
      </w:r>
    </w:p>
    <w:p w14:paraId="00F93E6E" w14:textId="4A464EFF" w:rsidR="00867D26" w:rsidRPr="003E0F12" w:rsidRDefault="00867D26"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3E0F12">
        <w:rPr>
          <w:rFonts w:ascii="Verdana" w:hAnsi="Verdana"/>
          <w:sz w:val="20"/>
          <w:szCs w:val="20"/>
          <w:lang w:val="es-ES_tradnl"/>
        </w:rPr>
        <w:t>En cuanto a este punto, el Estado solicitó que</w:t>
      </w:r>
      <w:r w:rsidR="00256764" w:rsidRPr="003E0F12">
        <w:rPr>
          <w:rFonts w:ascii="Verdana" w:hAnsi="Verdana"/>
          <w:sz w:val="20"/>
          <w:szCs w:val="20"/>
          <w:lang w:val="es-ES_tradnl"/>
        </w:rPr>
        <w:t xml:space="preserve"> la Corte cite a declarar </w:t>
      </w:r>
      <w:r w:rsidR="00276853">
        <w:rPr>
          <w:rFonts w:ascii="Verdana" w:hAnsi="Verdana"/>
          <w:sz w:val="20"/>
          <w:szCs w:val="20"/>
          <w:lang w:val="es-ES_tradnl"/>
        </w:rPr>
        <w:t xml:space="preserve">de oficio </w:t>
      </w:r>
      <w:r w:rsidR="00256764" w:rsidRPr="003E0F12">
        <w:rPr>
          <w:rFonts w:ascii="Verdana" w:hAnsi="Verdana"/>
          <w:sz w:val="20"/>
          <w:szCs w:val="20"/>
          <w:lang w:val="es-ES_tradnl"/>
        </w:rPr>
        <w:t>al perito Paolo Carozza como prueba para mejor resolver.</w:t>
      </w:r>
      <w:r w:rsidRPr="003E0F12">
        <w:rPr>
          <w:rFonts w:ascii="Verdana" w:hAnsi="Verdana"/>
          <w:sz w:val="20"/>
          <w:szCs w:val="20"/>
          <w:lang w:val="es-ES_tradnl"/>
        </w:rPr>
        <w:t xml:space="preserve"> Alegó</w:t>
      </w:r>
      <w:r w:rsidR="00276853">
        <w:rPr>
          <w:rFonts w:ascii="Verdana" w:hAnsi="Verdana"/>
          <w:sz w:val="20"/>
          <w:szCs w:val="20"/>
          <w:lang w:val="es-ES_tradnl"/>
        </w:rPr>
        <w:t>,</w:t>
      </w:r>
      <w:r w:rsidRPr="003E0F12">
        <w:rPr>
          <w:rFonts w:ascii="Verdana" w:hAnsi="Verdana"/>
          <w:sz w:val="20"/>
          <w:szCs w:val="20"/>
          <w:lang w:val="es-ES_tradnl"/>
        </w:rPr>
        <w:t xml:space="preserve"> en particular</w:t>
      </w:r>
      <w:r w:rsidR="00276853">
        <w:rPr>
          <w:rFonts w:ascii="Verdana" w:hAnsi="Verdana"/>
          <w:sz w:val="20"/>
          <w:szCs w:val="20"/>
          <w:lang w:val="es-ES_tradnl"/>
        </w:rPr>
        <w:t>,</w:t>
      </w:r>
      <w:r w:rsidRPr="003E0F12">
        <w:rPr>
          <w:rFonts w:ascii="Verdana" w:hAnsi="Verdana"/>
          <w:sz w:val="20"/>
          <w:szCs w:val="20"/>
          <w:lang w:val="es-ES_tradnl"/>
        </w:rPr>
        <w:t xml:space="preserve"> qu</w:t>
      </w:r>
      <w:r w:rsidR="00F83312" w:rsidRPr="003E0F12">
        <w:rPr>
          <w:rFonts w:ascii="Verdana" w:hAnsi="Verdana"/>
          <w:sz w:val="20"/>
          <w:szCs w:val="20"/>
          <w:lang w:val="es-ES_tradnl"/>
        </w:rPr>
        <w:t>e ese peritaje</w:t>
      </w:r>
      <w:r w:rsidR="00276853">
        <w:rPr>
          <w:rFonts w:ascii="Verdana" w:hAnsi="Verdana"/>
          <w:sz w:val="20"/>
          <w:szCs w:val="20"/>
          <w:lang w:val="es-ES_tradnl"/>
        </w:rPr>
        <w:t>:</w:t>
      </w:r>
      <w:r w:rsidR="00F83312" w:rsidRPr="003E0F12">
        <w:rPr>
          <w:rFonts w:ascii="Verdana" w:hAnsi="Verdana"/>
          <w:sz w:val="20"/>
          <w:szCs w:val="20"/>
          <w:lang w:val="es-ES_tradnl"/>
        </w:rPr>
        <w:t xml:space="preserve"> (i) permite a la Corte tener más elementos para esclarecer los hechos y tomar su decisión jurídica, (ii) es necesario, pertinente y útil, y (iii) garantizaría el principio de equilibrio procesal</w:t>
      </w:r>
      <w:r w:rsidR="008E0443">
        <w:rPr>
          <w:rFonts w:ascii="Verdana" w:hAnsi="Verdana"/>
          <w:sz w:val="20"/>
          <w:szCs w:val="20"/>
          <w:lang w:val="es-ES_tradnl"/>
        </w:rPr>
        <w:t xml:space="preserve"> entre las partes</w:t>
      </w:r>
      <w:r w:rsidR="00F83312" w:rsidRPr="003E0F12">
        <w:rPr>
          <w:rFonts w:ascii="Verdana" w:hAnsi="Verdana"/>
          <w:sz w:val="20"/>
          <w:szCs w:val="20"/>
          <w:lang w:val="es-ES_tradnl"/>
        </w:rPr>
        <w:t>.</w:t>
      </w:r>
    </w:p>
    <w:p w14:paraId="1E4FBE7B" w14:textId="3BAF27A8" w:rsidR="00766C3F" w:rsidRPr="003E0F12" w:rsidRDefault="00867D26"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3E0F12">
        <w:rPr>
          <w:rFonts w:ascii="Verdana" w:hAnsi="Verdana"/>
          <w:sz w:val="20"/>
          <w:szCs w:val="20"/>
          <w:lang w:val="es-ES_tradnl"/>
        </w:rPr>
        <w:t>Con respecto a lo anterior, corresponde recordar que e</w:t>
      </w:r>
      <w:r w:rsidR="00902AB2" w:rsidRPr="003E0F12">
        <w:rPr>
          <w:rFonts w:ascii="Verdana" w:hAnsi="Verdana"/>
          <w:sz w:val="20"/>
          <w:szCs w:val="20"/>
          <w:lang w:val="es-ES_tradnl"/>
        </w:rPr>
        <w:t>l ofrecimiento y la admisión de la prueba, así como la citación de presuntas víctimas, testigos y peritos, se encuentran regulados en los artículos 35.1.f, 40.2.c, 41.1.c, 46,</w:t>
      </w:r>
      <w:r w:rsidR="00B400D6" w:rsidRPr="003E0F12">
        <w:rPr>
          <w:rFonts w:ascii="Verdana" w:hAnsi="Verdana"/>
          <w:sz w:val="20"/>
          <w:szCs w:val="20"/>
          <w:lang w:val="es-ES_tradnl"/>
        </w:rPr>
        <w:t xml:space="preserve"> 47,</w:t>
      </w:r>
      <w:r w:rsidR="00902AB2" w:rsidRPr="003E0F12">
        <w:rPr>
          <w:rFonts w:ascii="Verdana" w:hAnsi="Verdana"/>
          <w:sz w:val="20"/>
          <w:szCs w:val="20"/>
          <w:lang w:val="es-ES_tradnl"/>
        </w:rPr>
        <w:t xml:space="preserve"> 48,</w:t>
      </w:r>
      <w:r w:rsidR="00D85549" w:rsidRPr="003E0F12">
        <w:rPr>
          <w:rFonts w:ascii="Verdana" w:hAnsi="Verdana"/>
          <w:sz w:val="20"/>
          <w:szCs w:val="20"/>
          <w:lang w:val="es-ES_tradnl"/>
        </w:rPr>
        <w:t xml:space="preserve"> 49,</w:t>
      </w:r>
      <w:r w:rsidR="00902AB2" w:rsidRPr="003E0F12">
        <w:rPr>
          <w:rFonts w:ascii="Verdana" w:hAnsi="Verdana"/>
          <w:sz w:val="20"/>
          <w:szCs w:val="20"/>
          <w:lang w:val="es-ES_tradnl"/>
        </w:rPr>
        <w:t xml:space="preserve"> 50 y 57 del Reglamento de la Corte Interamericana de Derechos Humanos (en adelante “la Corte” o “el Tribunal”). </w:t>
      </w:r>
      <w:r w:rsidR="00766C3F" w:rsidRPr="003E0F12">
        <w:rPr>
          <w:rFonts w:ascii="Verdana" w:hAnsi="Verdana"/>
          <w:sz w:val="20"/>
          <w:szCs w:val="20"/>
          <w:lang w:val="es-ES_tradnl"/>
        </w:rPr>
        <w:t>En virtud de lo anterior, la Presiden</w:t>
      </w:r>
      <w:r w:rsidRPr="003E0F12">
        <w:rPr>
          <w:rFonts w:ascii="Verdana" w:hAnsi="Verdana"/>
          <w:sz w:val="20"/>
          <w:szCs w:val="20"/>
          <w:lang w:val="es-ES_tradnl"/>
        </w:rPr>
        <w:t>ci</w:t>
      </w:r>
      <w:r w:rsidR="00766C3F" w:rsidRPr="003E0F12">
        <w:rPr>
          <w:rFonts w:ascii="Verdana" w:hAnsi="Verdana"/>
          <w:sz w:val="20"/>
          <w:szCs w:val="20"/>
          <w:lang w:val="es-ES_tradnl"/>
        </w:rPr>
        <w:t>a decidi</w:t>
      </w:r>
      <w:r w:rsidR="00CD6DFD" w:rsidRPr="003E0F12">
        <w:rPr>
          <w:rFonts w:ascii="Verdana" w:hAnsi="Verdana"/>
          <w:sz w:val="20"/>
          <w:szCs w:val="20"/>
          <w:lang w:val="es-ES_tradnl"/>
        </w:rPr>
        <w:t>ó, mediante Resolución de 3 de marzo de 2021 (</w:t>
      </w:r>
      <w:r w:rsidR="00CD6DFD" w:rsidRPr="003E0F12">
        <w:rPr>
          <w:rFonts w:ascii="Verdana" w:hAnsi="Verdana"/>
          <w:i/>
          <w:iCs w:val="0"/>
          <w:sz w:val="20"/>
          <w:szCs w:val="20"/>
          <w:lang w:val="es-ES_tradnl"/>
        </w:rPr>
        <w:t>supra</w:t>
      </w:r>
      <w:r w:rsidR="00CD6DFD" w:rsidRPr="003E0F12">
        <w:rPr>
          <w:rFonts w:ascii="Verdana" w:hAnsi="Verdana"/>
          <w:sz w:val="20"/>
          <w:szCs w:val="20"/>
          <w:lang w:val="es-ES_tradnl"/>
        </w:rPr>
        <w:t xml:space="preserve"> Visto 4)</w:t>
      </w:r>
      <w:r w:rsidR="00766C3F" w:rsidRPr="003E0F12">
        <w:rPr>
          <w:rFonts w:ascii="Verdana" w:hAnsi="Verdana"/>
          <w:sz w:val="20"/>
          <w:szCs w:val="20"/>
          <w:lang w:val="es-ES_tradnl"/>
        </w:rPr>
        <w:t xml:space="preserve">, en consulta con el Pleno de la Corte, que </w:t>
      </w:r>
      <w:r w:rsidR="00CD6DFD" w:rsidRPr="003E0F12">
        <w:rPr>
          <w:rFonts w:ascii="Verdana" w:hAnsi="Verdana"/>
          <w:sz w:val="20"/>
          <w:szCs w:val="20"/>
          <w:lang w:val="es-ES_tradnl"/>
        </w:rPr>
        <w:t>era</w:t>
      </w:r>
      <w:r w:rsidR="00766C3F" w:rsidRPr="003E0F12">
        <w:rPr>
          <w:rFonts w:ascii="Verdana" w:hAnsi="Verdana"/>
          <w:sz w:val="20"/>
          <w:szCs w:val="20"/>
          <w:lang w:val="es-ES_tradnl"/>
        </w:rPr>
        <w:t xml:space="preserve"> necesario convocar a una audiencia pública durante la cual se recibirán las declaraciones que sean admitidas para ser realizadas en la audiencia pública, así como los alegatos y observaciones finales orales, por medio de una plataforma de videoconferencia</w:t>
      </w:r>
      <w:r w:rsidR="002B60BA">
        <w:rPr>
          <w:rFonts w:ascii="Verdana" w:hAnsi="Verdana"/>
          <w:sz w:val="20"/>
          <w:szCs w:val="20"/>
          <w:lang w:val="es-ES_tradnl"/>
        </w:rPr>
        <w:t>, y requirió la producción de determinada prueba por affidávit</w:t>
      </w:r>
      <w:r w:rsidR="00766C3F" w:rsidRPr="003E0F12">
        <w:rPr>
          <w:rFonts w:ascii="Verdana" w:hAnsi="Verdana"/>
          <w:sz w:val="20"/>
          <w:szCs w:val="20"/>
          <w:lang w:val="es-ES_tradnl"/>
        </w:rPr>
        <w:t>.</w:t>
      </w:r>
    </w:p>
    <w:p w14:paraId="4308DB62" w14:textId="7AD0FC66" w:rsidR="00E31FB7" w:rsidRPr="003E0F12" w:rsidRDefault="00867D26" w:rsidP="00932D0A">
      <w:pPr>
        <w:pStyle w:val="Sinespaciado"/>
        <w:numPr>
          <w:ilvl w:val="0"/>
          <w:numId w:val="5"/>
        </w:numPr>
        <w:tabs>
          <w:tab w:val="clear" w:pos="0"/>
          <w:tab w:val="clear" w:pos="567"/>
        </w:tabs>
        <w:spacing w:before="120" w:after="120"/>
        <w:ind w:left="0" w:right="23" w:firstLine="0"/>
        <w:contextualSpacing w:val="0"/>
        <w:rPr>
          <w:rFonts w:ascii="Verdana" w:hAnsi="Verdana" w:cstheme="minorBidi"/>
          <w:sz w:val="20"/>
          <w:szCs w:val="20"/>
          <w:lang w:val="es-ES_tradnl"/>
        </w:rPr>
      </w:pPr>
      <w:r w:rsidRPr="003E0F12">
        <w:rPr>
          <w:rFonts w:ascii="Verdana" w:hAnsi="Verdana"/>
          <w:sz w:val="20"/>
          <w:szCs w:val="20"/>
          <w:lang w:val="es-ES_tradnl"/>
        </w:rPr>
        <w:t>L</w:t>
      </w:r>
      <w:r w:rsidR="00E31FB7" w:rsidRPr="003E0F12">
        <w:rPr>
          <w:rFonts w:ascii="Verdana" w:hAnsi="Verdana"/>
          <w:sz w:val="20"/>
          <w:szCs w:val="20"/>
          <w:lang w:val="es-ES_tradnl"/>
        </w:rPr>
        <w:t>a Presidenta consider</w:t>
      </w:r>
      <w:r w:rsidR="00CD6DFD" w:rsidRPr="003E0F12">
        <w:rPr>
          <w:rFonts w:ascii="Verdana" w:hAnsi="Verdana"/>
          <w:sz w:val="20"/>
          <w:szCs w:val="20"/>
          <w:lang w:val="es-ES_tradnl"/>
        </w:rPr>
        <w:t>ó</w:t>
      </w:r>
      <w:r w:rsidR="00E31FB7" w:rsidRPr="003E0F12">
        <w:rPr>
          <w:rFonts w:ascii="Verdana" w:hAnsi="Verdana"/>
          <w:sz w:val="20"/>
          <w:szCs w:val="20"/>
          <w:lang w:val="es-ES_tradnl"/>
        </w:rPr>
        <w:t xml:space="preserve"> conveniente recabar las declaraciones de la presunta víctima Sandra Pavez Pavez</w:t>
      </w:r>
      <w:r w:rsidR="00CD6DFD" w:rsidRPr="003E0F12">
        <w:rPr>
          <w:rFonts w:ascii="Verdana" w:hAnsi="Verdana"/>
          <w:sz w:val="20"/>
          <w:szCs w:val="20"/>
          <w:lang w:val="es-ES_tradnl"/>
        </w:rPr>
        <w:t>, ofrecida por los representantes</w:t>
      </w:r>
      <w:r w:rsidR="00E31FB7" w:rsidRPr="003E0F12">
        <w:rPr>
          <w:rFonts w:ascii="Verdana" w:hAnsi="Verdana"/>
          <w:sz w:val="20"/>
          <w:szCs w:val="20"/>
          <w:lang w:val="es-ES_tradnl"/>
        </w:rPr>
        <w:t>, las declaraciones testimoniales de Cynthia Verónica Ormazabal Pávez, Aída del Carmen Pavez Pávez, Ximena de los Ángeles Messina Bravo, y Berta Leticia Fernández Pizarro, y la declaración pericial de Estefanía Esparza Reyes, todas propuestas por los representantes</w:t>
      </w:r>
      <w:r w:rsidR="00CD6DFD" w:rsidRPr="003E0F12">
        <w:rPr>
          <w:rFonts w:ascii="Verdana" w:hAnsi="Verdana"/>
          <w:sz w:val="20"/>
          <w:szCs w:val="20"/>
          <w:lang w:val="es-ES_tradnl"/>
        </w:rPr>
        <w:t xml:space="preserve">, así como la declaración pericial de Rodrigo Uprimny Yepes ofrecida por la Comisión. Asimismo, la Presidencia </w:t>
      </w:r>
      <w:r w:rsidR="006B5740" w:rsidRPr="003E0F12">
        <w:rPr>
          <w:rFonts w:ascii="Verdana" w:hAnsi="Verdana"/>
          <w:sz w:val="20"/>
          <w:szCs w:val="20"/>
          <w:lang w:val="es-ES_tradnl"/>
        </w:rPr>
        <w:t>estimó necesario</w:t>
      </w:r>
      <w:r w:rsidR="00CD6DFD" w:rsidRPr="003E0F12">
        <w:rPr>
          <w:rFonts w:ascii="Verdana" w:hAnsi="Verdana"/>
          <w:sz w:val="20"/>
          <w:szCs w:val="20"/>
          <w:lang w:val="es-ES_tradnl"/>
        </w:rPr>
        <w:t xml:space="preserve"> convocar dos declaraciones periciales de ofici</w:t>
      </w:r>
      <w:r w:rsidRPr="003E0F12">
        <w:rPr>
          <w:rFonts w:ascii="Verdana" w:hAnsi="Verdana"/>
          <w:sz w:val="20"/>
          <w:szCs w:val="20"/>
          <w:lang w:val="es-ES_tradnl"/>
        </w:rPr>
        <w:t xml:space="preserve">o, las cuales serán presentadas por Gerhard Robbers y </w:t>
      </w:r>
      <w:r w:rsidR="00D9124E">
        <w:rPr>
          <w:rFonts w:ascii="Verdana" w:hAnsi="Verdana"/>
          <w:sz w:val="20"/>
          <w:szCs w:val="20"/>
          <w:lang w:val="es-ES_tradnl"/>
        </w:rPr>
        <w:t>por</w:t>
      </w:r>
      <w:r w:rsidR="00D9124E" w:rsidRPr="003E0F12">
        <w:rPr>
          <w:rFonts w:ascii="Verdana" w:hAnsi="Verdana"/>
          <w:sz w:val="20"/>
          <w:szCs w:val="20"/>
          <w:lang w:val="es-ES_tradnl"/>
        </w:rPr>
        <w:t xml:space="preserve"> </w:t>
      </w:r>
      <w:r w:rsidRPr="003E0F12">
        <w:rPr>
          <w:rFonts w:ascii="Verdana" w:hAnsi="Verdana"/>
          <w:sz w:val="20"/>
          <w:szCs w:val="20"/>
          <w:lang w:val="es-ES_tradnl"/>
        </w:rPr>
        <w:t>José Luis Lara Arroyo, declarantes que habían sido propuestos por el Estado</w:t>
      </w:r>
      <w:r w:rsidR="00E31FB7" w:rsidRPr="003E0F12">
        <w:rPr>
          <w:rFonts w:ascii="Verdana" w:hAnsi="Verdana"/>
          <w:sz w:val="20"/>
          <w:szCs w:val="20"/>
          <w:lang w:val="es-ES_tradnl"/>
        </w:rPr>
        <w:t>.</w:t>
      </w:r>
      <w:r w:rsidR="00D9124E">
        <w:rPr>
          <w:rFonts w:ascii="Verdana" w:hAnsi="Verdana"/>
          <w:sz w:val="20"/>
          <w:szCs w:val="20"/>
          <w:lang w:val="es-ES_tradnl"/>
        </w:rPr>
        <w:t xml:space="preserve"> </w:t>
      </w:r>
    </w:p>
    <w:p w14:paraId="7867E787" w14:textId="59E6CDF9" w:rsidR="00A60755" w:rsidRDefault="00D9124E"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En atención a lo anterior</w:t>
      </w:r>
      <w:r w:rsidR="00A60755" w:rsidRPr="003E0F12">
        <w:rPr>
          <w:rFonts w:ascii="Verdana" w:hAnsi="Verdana"/>
          <w:sz w:val="20"/>
          <w:szCs w:val="20"/>
          <w:lang w:val="es-ES_tradnl"/>
        </w:rPr>
        <w:t>, resulta importante recordar que</w:t>
      </w:r>
      <w:r w:rsidR="00867825">
        <w:rPr>
          <w:rFonts w:ascii="Verdana" w:hAnsi="Verdana"/>
          <w:sz w:val="20"/>
          <w:szCs w:val="20"/>
          <w:lang w:val="es-ES_tradnl"/>
        </w:rPr>
        <w:t>, de</w:t>
      </w:r>
      <w:r w:rsidR="00A60755" w:rsidRPr="003E0F12">
        <w:rPr>
          <w:rFonts w:ascii="Verdana" w:hAnsi="Verdana"/>
          <w:sz w:val="20"/>
          <w:szCs w:val="20"/>
          <w:lang w:val="es-ES_tradnl"/>
        </w:rPr>
        <w:t xml:space="preserve"> </w:t>
      </w:r>
      <w:r w:rsidR="00A60755">
        <w:rPr>
          <w:rFonts w:ascii="Verdana" w:hAnsi="Verdana"/>
          <w:sz w:val="20"/>
          <w:szCs w:val="20"/>
          <w:lang w:val="es-ES_tradnl"/>
        </w:rPr>
        <w:t xml:space="preserve">conformidad con el artículo 41 del Reglamento, </w:t>
      </w:r>
      <w:r w:rsidR="00A60755" w:rsidRPr="008E0443">
        <w:rPr>
          <w:rFonts w:ascii="Verdana" w:hAnsi="Verdana"/>
          <w:sz w:val="20"/>
          <w:szCs w:val="20"/>
          <w:lang w:val="es-ES_tradnl"/>
        </w:rPr>
        <w:t>la oportunidad procesal para que el Estado aportar</w:t>
      </w:r>
      <w:r w:rsidR="00867825">
        <w:rPr>
          <w:rFonts w:ascii="Verdana" w:hAnsi="Verdana"/>
          <w:sz w:val="20"/>
          <w:szCs w:val="20"/>
          <w:lang w:val="es-ES_tradnl"/>
        </w:rPr>
        <w:t>a</w:t>
      </w:r>
      <w:r w:rsidR="00A60755" w:rsidRPr="008E0443">
        <w:rPr>
          <w:rFonts w:ascii="Verdana" w:hAnsi="Verdana"/>
          <w:sz w:val="20"/>
          <w:szCs w:val="20"/>
          <w:lang w:val="es-ES_tradnl"/>
        </w:rPr>
        <w:t xml:space="preserve"> y ofrec</w:t>
      </w:r>
      <w:r w:rsidR="00867825">
        <w:rPr>
          <w:rFonts w:ascii="Verdana" w:hAnsi="Verdana"/>
          <w:sz w:val="20"/>
          <w:szCs w:val="20"/>
          <w:lang w:val="es-ES_tradnl"/>
        </w:rPr>
        <w:t>i</w:t>
      </w:r>
      <w:r w:rsidR="00A60755" w:rsidRPr="008E0443">
        <w:rPr>
          <w:rFonts w:ascii="Verdana" w:hAnsi="Verdana"/>
          <w:sz w:val="20"/>
          <w:szCs w:val="20"/>
          <w:lang w:val="es-ES_tradnl"/>
        </w:rPr>
        <w:t>er</w:t>
      </w:r>
      <w:r w:rsidR="00867825">
        <w:rPr>
          <w:rFonts w:ascii="Verdana" w:hAnsi="Verdana"/>
          <w:sz w:val="20"/>
          <w:szCs w:val="20"/>
          <w:lang w:val="es-ES_tradnl"/>
        </w:rPr>
        <w:t>a</w:t>
      </w:r>
      <w:r w:rsidR="00A60755" w:rsidRPr="008E0443">
        <w:rPr>
          <w:rFonts w:ascii="Verdana" w:hAnsi="Verdana"/>
          <w:sz w:val="20"/>
          <w:szCs w:val="20"/>
          <w:lang w:val="es-ES_tradnl"/>
        </w:rPr>
        <w:t xml:space="preserve"> prueba era el escrito de contestación</w:t>
      </w:r>
      <w:r w:rsidR="00F65030">
        <w:rPr>
          <w:rFonts w:ascii="Verdana" w:hAnsi="Verdana"/>
          <w:sz w:val="20"/>
          <w:szCs w:val="20"/>
          <w:lang w:val="es-ES_tradnl"/>
        </w:rPr>
        <w:t>,</w:t>
      </w:r>
      <w:r w:rsidR="00A60755" w:rsidRPr="008E0443">
        <w:rPr>
          <w:rFonts w:ascii="Verdana" w:hAnsi="Verdana"/>
          <w:sz w:val="20"/>
          <w:szCs w:val="20"/>
          <w:lang w:val="es-ES_tradnl"/>
        </w:rPr>
        <w:t xml:space="preserve"> el cual fue presentado de forma extemporánea (</w:t>
      </w:r>
      <w:r w:rsidR="00A60755" w:rsidRPr="008E0443">
        <w:rPr>
          <w:rFonts w:ascii="Verdana" w:hAnsi="Verdana"/>
          <w:i/>
          <w:iCs w:val="0"/>
          <w:sz w:val="20"/>
          <w:szCs w:val="20"/>
          <w:lang w:val="es-ES_tradnl"/>
        </w:rPr>
        <w:t>supra</w:t>
      </w:r>
      <w:r w:rsidR="00A60755" w:rsidRPr="008E0443">
        <w:rPr>
          <w:rFonts w:ascii="Verdana" w:hAnsi="Verdana"/>
          <w:sz w:val="20"/>
          <w:szCs w:val="20"/>
          <w:lang w:val="es-ES_tradnl"/>
        </w:rPr>
        <w:t xml:space="preserve"> párr. *)</w:t>
      </w:r>
      <w:r w:rsidR="00A60755" w:rsidRPr="003E0F12">
        <w:rPr>
          <w:rFonts w:ascii="Verdana" w:hAnsi="Verdana"/>
          <w:sz w:val="20"/>
          <w:szCs w:val="20"/>
          <w:lang w:val="es-ES_tradnl"/>
        </w:rPr>
        <w:t xml:space="preserve">, por lo que naturalmente los medios de prueba que ofreció en dicho escrito resultan inadmisibles. </w:t>
      </w:r>
      <w:r w:rsidR="00A60755">
        <w:rPr>
          <w:rFonts w:ascii="Verdana" w:hAnsi="Verdana"/>
          <w:sz w:val="20"/>
          <w:szCs w:val="20"/>
          <w:lang w:val="es-ES_tradnl"/>
        </w:rPr>
        <w:t xml:space="preserve">Lo anterior supone atribuir las </w:t>
      </w:r>
      <w:r w:rsidR="00A60755" w:rsidRPr="003E0F12">
        <w:rPr>
          <w:rFonts w:ascii="Verdana" w:hAnsi="Verdana"/>
          <w:sz w:val="20"/>
          <w:szCs w:val="20"/>
          <w:lang w:val="es-ES_tradnl"/>
        </w:rPr>
        <w:t xml:space="preserve">consecuencias </w:t>
      </w:r>
      <w:r w:rsidR="00A60755">
        <w:rPr>
          <w:rFonts w:ascii="Verdana" w:hAnsi="Verdana"/>
          <w:sz w:val="20"/>
          <w:szCs w:val="20"/>
          <w:lang w:val="es-ES_tradnl"/>
        </w:rPr>
        <w:t xml:space="preserve">previstas en el Reglamento a la </w:t>
      </w:r>
      <w:r w:rsidR="00A60755" w:rsidRPr="003E0F12">
        <w:rPr>
          <w:rFonts w:ascii="Verdana" w:hAnsi="Verdana"/>
          <w:sz w:val="20"/>
          <w:szCs w:val="20"/>
          <w:lang w:val="es-ES_tradnl"/>
        </w:rPr>
        <w:t>presentación extemporáne</w:t>
      </w:r>
      <w:r w:rsidR="00A60755">
        <w:rPr>
          <w:rFonts w:ascii="Verdana" w:hAnsi="Verdana"/>
          <w:sz w:val="20"/>
          <w:szCs w:val="20"/>
          <w:lang w:val="es-ES_tradnl"/>
        </w:rPr>
        <w:t>a</w:t>
      </w:r>
      <w:r w:rsidR="00A60755" w:rsidRPr="003E0F12">
        <w:rPr>
          <w:rFonts w:ascii="Verdana" w:hAnsi="Verdana"/>
          <w:sz w:val="20"/>
          <w:szCs w:val="20"/>
          <w:lang w:val="es-ES_tradnl"/>
        </w:rPr>
        <w:t xml:space="preserve"> de un escrito por una de las partes en el proceso. </w:t>
      </w:r>
      <w:r w:rsidR="00A60755">
        <w:rPr>
          <w:rFonts w:ascii="Verdana" w:hAnsi="Verdana"/>
          <w:sz w:val="20"/>
          <w:szCs w:val="20"/>
          <w:lang w:val="es-ES_tradnl"/>
        </w:rPr>
        <w:t xml:space="preserve">A pesar de lo anterior, tomando en cuenta las características del caso, esta Corte </w:t>
      </w:r>
      <w:r w:rsidR="00A60755" w:rsidRPr="003E0F12">
        <w:rPr>
          <w:rFonts w:ascii="Verdana" w:hAnsi="Verdana"/>
          <w:sz w:val="20"/>
          <w:szCs w:val="20"/>
          <w:lang w:val="es-ES_tradnl"/>
        </w:rPr>
        <w:t xml:space="preserve">contempló </w:t>
      </w:r>
      <w:r w:rsidR="00A60755">
        <w:rPr>
          <w:rFonts w:ascii="Verdana" w:hAnsi="Verdana"/>
          <w:sz w:val="20"/>
          <w:szCs w:val="20"/>
          <w:lang w:val="es-ES_tradnl"/>
        </w:rPr>
        <w:t xml:space="preserve">la utilidad y necesidad de varias de las </w:t>
      </w:r>
      <w:r w:rsidR="00A60755" w:rsidRPr="003E0F12">
        <w:rPr>
          <w:rFonts w:ascii="Verdana" w:hAnsi="Verdana"/>
          <w:sz w:val="20"/>
          <w:szCs w:val="20"/>
          <w:lang w:val="es-ES_tradnl"/>
        </w:rPr>
        <w:t xml:space="preserve">pruebas por declaraciones ofrecidas por el Estado, las cuales son </w:t>
      </w:r>
      <w:r w:rsidR="00A60755" w:rsidRPr="003E0F12">
        <w:rPr>
          <w:rFonts w:ascii="Verdana" w:hAnsi="Verdana"/>
          <w:sz w:val="20"/>
          <w:szCs w:val="20"/>
          <w:lang w:val="es-ES_tradnl"/>
        </w:rPr>
        <w:lastRenderedPageBreak/>
        <w:t>en principio inadmisibles, y ordenó su producción de oficio</w:t>
      </w:r>
      <w:r w:rsidR="00A60755">
        <w:rPr>
          <w:rFonts w:ascii="Verdana" w:hAnsi="Verdana"/>
          <w:sz w:val="20"/>
          <w:szCs w:val="20"/>
          <w:lang w:val="es-ES_tradnl"/>
        </w:rPr>
        <w:t xml:space="preserve"> (</w:t>
      </w:r>
      <w:r w:rsidR="00A60755" w:rsidRPr="00F558E3">
        <w:rPr>
          <w:rFonts w:ascii="Verdana" w:hAnsi="Verdana"/>
          <w:i/>
          <w:iCs w:val="0"/>
          <w:sz w:val="20"/>
          <w:szCs w:val="20"/>
          <w:lang w:val="es-ES_tradnl"/>
        </w:rPr>
        <w:t>supra</w:t>
      </w:r>
      <w:r w:rsidR="00A60755">
        <w:rPr>
          <w:rFonts w:ascii="Verdana" w:hAnsi="Verdana"/>
          <w:sz w:val="20"/>
          <w:szCs w:val="20"/>
          <w:lang w:val="es-ES_tradnl"/>
        </w:rPr>
        <w:t xml:space="preserve"> párr. *)</w:t>
      </w:r>
      <w:r w:rsidR="00A60755" w:rsidRPr="003E0F12">
        <w:rPr>
          <w:rFonts w:ascii="Verdana" w:hAnsi="Verdana"/>
          <w:sz w:val="20"/>
          <w:szCs w:val="20"/>
          <w:lang w:val="es-ES_tradnl"/>
        </w:rPr>
        <w:t xml:space="preserve">. </w:t>
      </w:r>
    </w:p>
    <w:p w14:paraId="4175C93C" w14:textId="0678BF40" w:rsidR="000E301B" w:rsidRDefault="00A60755"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Por otra parte, la Cor</w:t>
      </w:r>
      <w:r w:rsidR="00D9124E">
        <w:rPr>
          <w:rFonts w:ascii="Verdana" w:hAnsi="Verdana"/>
          <w:sz w:val="20"/>
          <w:szCs w:val="20"/>
          <w:lang w:val="es-ES_tradnl"/>
        </w:rPr>
        <w:t>t</w:t>
      </w:r>
      <w:r>
        <w:rPr>
          <w:rFonts w:ascii="Verdana" w:hAnsi="Verdana"/>
          <w:sz w:val="20"/>
          <w:szCs w:val="20"/>
          <w:lang w:val="es-ES_tradnl"/>
        </w:rPr>
        <w:t>e nota que l</w:t>
      </w:r>
      <w:r w:rsidR="00F558E3">
        <w:rPr>
          <w:rFonts w:ascii="Verdana" w:hAnsi="Verdana"/>
          <w:sz w:val="20"/>
          <w:szCs w:val="20"/>
          <w:lang w:val="es-ES_tradnl"/>
        </w:rPr>
        <w:t xml:space="preserve">a </w:t>
      </w:r>
      <w:r w:rsidR="00D9124E">
        <w:rPr>
          <w:rFonts w:ascii="Verdana" w:hAnsi="Verdana"/>
          <w:sz w:val="20"/>
          <w:szCs w:val="20"/>
          <w:lang w:val="es-ES_tradnl"/>
        </w:rPr>
        <w:t>d</w:t>
      </w:r>
      <w:r w:rsidR="00F558E3">
        <w:rPr>
          <w:rFonts w:ascii="Verdana" w:hAnsi="Verdana"/>
          <w:sz w:val="20"/>
          <w:szCs w:val="20"/>
          <w:lang w:val="es-ES_tradnl"/>
        </w:rPr>
        <w:t xml:space="preserve">eclaración pericial </w:t>
      </w:r>
      <w:r w:rsidR="00F558E3" w:rsidRPr="003E0F12">
        <w:rPr>
          <w:rFonts w:ascii="Verdana" w:hAnsi="Verdana"/>
          <w:sz w:val="20"/>
          <w:szCs w:val="20"/>
          <w:lang w:val="es-ES_tradnl"/>
        </w:rPr>
        <w:t>de Paolo Carozza</w:t>
      </w:r>
      <w:r w:rsidR="00F558E3">
        <w:rPr>
          <w:rFonts w:ascii="Verdana" w:hAnsi="Verdana"/>
          <w:sz w:val="20"/>
          <w:szCs w:val="20"/>
          <w:lang w:val="es-ES_tradnl"/>
        </w:rPr>
        <w:t>, propuesta por el Estado,</w:t>
      </w:r>
      <w:r w:rsidR="00256764" w:rsidRPr="003E0F12">
        <w:rPr>
          <w:rFonts w:ascii="Verdana" w:hAnsi="Verdana"/>
          <w:sz w:val="20"/>
          <w:szCs w:val="20"/>
          <w:lang w:val="es-ES_tradnl"/>
        </w:rPr>
        <w:t xml:space="preserve"> versaría </w:t>
      </w:r>
      <w:r w:rsidR="0032537C" w:rsidRPr="0032537C">
        <w:rPr>
          <w:rFonts w:ascii="Verdana" w:hAnsi="Verdana"/>
          <w:sz w:val="20"/>
          <w:szCs w:val="20"/>
          <w:lang w:val="es-ES_tradnl"/>
        </w:rPr>
        <w:t xml:space="preserve">sobre la relación del derecho internacional público en general, y del derecho regional de los derechos humanos en particular, con los asuntos que plantea el presente caso. Del mismo modo, </w:t>
      </w:r>
      <w:r w:rsidR="0032537C">
        <w:rPr>
          <w:rFonts w:ascii="Verdana" w:hAnsi="Verdana"/>
          <w:sz w:val="20"/>
          <w:szCs w:val="20"/>
          <w:lang w:val="es-ES_tradnl"/>
        </w:rPr>
        <w:t>abordará</w:t>
      </w:r>
      <w:r w:rsidR="0032537C" w:rsidRPr="0032537C">
        <w:rPr>
          <w:rFonts w:ascii="Verdana" w:hAnsi="Verdana"/>
          <w:sz w:val="20"/>
          <w:szCs w:val="20"/>
          <w:lang w:val="es-ES_tradnl"/>
        </w:rPr>
        <w:t xml:space="preserve"> las cuestiones de atribución de responsabilidad del Estado por hechos internacionalmente ilícitos, el estatuto de la libertad de religión bajo la Convención Americana sobre Derechos Humanos, y la aplicación del principio de subsidiariedad y pluralismo legal</w:t>
      </w:r>
      <w:r w:rsidR="00EE3EE0">
        <w:rPr>
          <w:rFonts w:ascii="Verdana" w:hAnsi="Verdana"/>
          <w:sz w:val="20"/>
          <w:szCs w:val="20"/>
          <w:lang w:val="es-ES_tradnl"/>
        </w:rPr>
        <w:t xml:space="preserve"> al presente caso</w:t>
      </w:r>
      <w:r w:rsidR="00256764" w:rsidRPr="003E0F12">
        <w:rPr>
          <w:rFonts w:ascii="Verdana" w:hAnsi="Verdana"/>
          <w:sz w:val="20"/>
          <w:szCs w:val="20"/>
          <w:lang w:val="es-ES_tradnl"/>
        </w:rPr>
        <w:t>.</w:t>
      </w:r>
    </w:p>
    <w:p w14:paraId="56CC1C07" w14:textId="7F988222" w:rsidR="00A60755" w:rsidRPr="003E0F12" w:rsidRDefault="00A60755"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Pr>
          <w:rFonts w:ascii="Verdana" w:hAnsi="Verdana"/>
          <w:sz w:val="20"/>
          <w:szCs w:val="20"/>
          <w:lang w:val="es-ES_tradnl"/>
        </w:rPr>
        <w:t xml:space="preserve">El Estado se refirió a la </w:t>
      </w:r>
      <w:r w:rsidRPr="00A60755">
        <w:rPr>
          <w:rFonts w:ascii="Verdana" w:hAnsi="Verdana"/>
          <w:sz w:val="20"/>
          <w:szCs w:val="20"/>
          <w:lang w:val="es-ES_tradnl"/>
        </w:rPr>
        <w:t>pertinencia, utilidad y necesidad de la prueba</w:t>
      </w:r>
      <w:r>
        <w:rPr>
          <w:rFonts w:ascii="Verdana" w:hAnsi="Verdana"/>
          <w:sz w:val="20"/>
          <w:szCs w:val="20"/>
          <w:lang w:val="es-ES_tradnl"/>
        </w:rPr>
        <w:t>, e indicó en particular que el peritaje propuesto está “</w:t>
      </w:r>
      <w:r w:rsidRPr="00A60755">
        <w:rPr>
          <w:rFonts w:ascii="Verdana" w:hAnsi="Verdana"/>
          <w:sz w:val="20"/>
          <w:szCs w:val="20"/>
          <w:lang w:val="es-ES_tradnl"/>
        </w:rPr>
        <w:t>encaminado a esclarecer los asuntos del caso y contar con el mayor acervo probatorio posible</w:t>
      </w:r>
      <w:r>
        <w:rPr>
          <w:rFonts w:ascii="Verdana" w:hAnsi="Verdana"/>
          <w:sz w:val="20"/>
          <w:szCs w:val="20"/>
          <w:lang w:val="es-ES_tradnl"/>
        </w:rPr>
        <w:t>”.</w:t>
      </w:r>
      <w:r w:rsidR="001969AE">
        <w:rPr>
          <w:rFonts w:ascii="Verdana" w:hAnsi="Verdana"/>
          <w:sz w:val="20"/>
          <w:szCs w:val="20"/>
          <w:lang w:val="es-ES_tradnl"/>
        </w:rPr>
        <w:t xml:space="preserve"> Por otra parte, sostuvo que esa declaración </w:t>
      </w:r>
      <w:r w:rsidR="001969AE" w:rsidRPr="001969AE">
        <w:rPr>
          <w:rFonts w:ascii="Verdana" w:hAnsi="Verdana"/>
          <w:sz w:val="20"/>
          <w:szCs w:val="20"/>
          <w:lang w:val="es-ES_tradnl"/>
        </w:rPr>
        <w:t>resulta</w:t>
      </w:r>
      <w:r w:rsidR="001969AE">
        <w:rPr>
          <w:rFonts w:ascii="Verdana" w:hAnsi="Verdana"/>
          <w:sz w:val="20"/>
          <w:szCs w:val="20"/>
          <w:lang w:val="es-ES_tradnl"/>
        </w:rPr>
        <w:t>ría</w:t>
      </w:r>
      <w:r w:rsidR="001969AE" w:rsidRPr="001969AE">
        <w:rPr>
          <w:rFonts w:ascii="Verdana" w:hAnsi="Verdana"/>
          <w:sz w:val="20"/>
          <w:szCs w:val="20"/>
          <w:lang w:val="es-ES_tradnl"/>
        </w:rPr>
        <w:t xml:space="preserve"> pertinente en tanto permit</w:t>
      </w:r>
      <w:r w:rsidR="00F61EB9">
        <w:rPr>
          <w:rFonts w:ascii="Verdana" w:hAnsi="Verdana"/>
          <w:sz w:val="20"/>
          <w:szCs w:val="20"/>
          <w:lang w:val="es-ES_tradnl"/>
        </w:rPr>
        <w:t>iría</w:t>
      </w:r>
      <w:r w:rsidR="001969AE" w:rsidRPr="001969AE">
        <w:rPr>
          <w:rFonts w:ascii="Verdana" w:hAnsi="Verdana"/>
          <w:sz w:val="20"/>
          <w:szCs w:val="20"/>
          <w:lang w:val="es-ES_tradnl"/>
        </w:rPr>
        <w:t xml:space="preserve"> </w:t>
      </w:r>
      <w:r w:rsidR="00F61EB9">
        <w:rPr>
          <w:rFonts w:ascii="Verdana" w:hAnsi="Verdana"/>
          <w:sz w:val="20"/>
          <w:szCs w:val="20"/>
          <w:lang w:val="es-ES_tradnl"/>
        </w:rPr>
        <w:t>“</w:t>
      </w:r>
      <w:r w:rsidR="001969AE" w:rsidRPr="001969AE">
        <w:rPr>
          <w:rFonts w:ascii="Verdana" w:hAnsi="Verdana"/>
          <w:sz w:val="20"/>
          <w:szCs w:val="20"/>
          <w:lang w:val="es-ES_tradnl"/>
        </w:rPr>
        <w:t xml:space="preserve">abordar de manera directa asuntos que actualmente están en controversia como lo es la atribución de responsabilidad internacional del Estado, atendiendo a la naturaleza institucional de quienes tuvieron poder decisorio en los hechos, tal como se deriva del </w:t>
      </w:r>
      <w:r w:rsidR="00F61EB9">
        <w:rPr>
          <w:rFonts w:ascii="Verdana" w:hAnsi="Verdana"/>
          <w:sz w:val="20"/>
          <w:szCs w:val="20"/>
          <w:lang w:val="es-ES_tradnl"/>
        </w:rPr>
        <w:t>[I]</w:t>
      </w:r>
      <w:r w:rsidR="001969AE" w:rsidRPr="001969AE">
        <w:rPr>
          <w:rFonts w:ascii="Verdana" w:hAnsi="Verdana"/>
          <w:sz w:val="20"/>
          <w:szCs w:val="20"/>
          <w:lang w:val="es-ES_tradnl"/>
        </w:rPr>
        <w:t>nforme de</w:t>
      </w:r>
      <w:r w:rsidR="00F61EB9">
        <w:rPr>
          <w:rFonts w:ascii="Verdana" w:hAnsi="Verdana"/>
          <w:sz w:val="20"/>
          <w:szCs w:val="20"/>
          <w:lang w:val="es-ES_tradnl"/>
        </w:rPr>
        <w:t xml:space="preserve"> [F]</w:t>
      </w:r>
      <w:r w:rsidR="001969AE" w:rsidRPr="001969AE">
        <w:rPr>
          <w:rFonts w:ascii="Verdana" w:hAnsi="Verdana"/>
          <w:sz w:val="20"/>
          <w:szCs w:val="20"/>
          <w:lang w:val="es-ES_tradnl"/>
        </w:rPr>
        <w:t>ondo de la Comisión</w:t>
      </w:r>
      <w:r w:rsidR="00F61EB9">
        <w:rPr>
          <w:rFonts w:ascii="Verdana" w:hAnsi="Verdana"/>
          <w:sz w:val="20"/>
          <w:szCs w:val="20"/>
          <w:lang w:val="es-ES_tradnl"/>
        </w:rPr>
        <w:t>”. Además, indicó que “</w:t>
      </w:r>
      <w:r w:rsidR="00F61EB9" w:rsidRPr="00F61EB9">
        <w:rPr>
          <w:rFonts w:ascii="Verdana" w:hAnsi="Verdana"/>
          <w:sz w:val="20"/>
          <w:szCs w:val="20"/>
          <w:lang w:val="es-ES_tradnl"/>
        </w:rPr>
        <w:t>el objeto del peritaje del profesor Carozza permite resolver asuntos esenciales de la presente controversia y que, hasta el momento, no cuentan con una respuesta unánime del derecho internacional</w:t>
      </w:r>
      <w:r w:rsidR="00F61EB9">
        <w:rPr>
          <w:rFonts w:ascii="Verdana" w:hAnsi="Verdana"/>
          <w:sz w:val="20"/>
          <w:szCs w:val="20"/>
          <w:lang w:val="es-ES_tradnl"/>
        </w:rPr>
        <w:t>”.</w:t>
      </w:r>
    </w:p>
    <w:p w14:paraId="473293DC" w14:textId="38817774" w:rsidR="00F61EB9" w:rsidRPr="004E2353" w:rsidRDefault="00461FFA"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4E2353">
        <w:rPr>
          <w:rFonts w:ascii="Verdana" w:hAnsi="Verdana"/>
          <w:sz w:val="20"/>
          <w:szCs w:val="20"/>
          <w:lang w:val="es-ES_tradnl"/>
        </w:rPr>
        <w:t>Sobre lo anterior, corresponde recordar que l</w:t>
      </w:r>
      <w:r w:rsidR="00F83312" w:rsidRPr="004E2353">
        <w:rPr>
          <w:rFonts w:ascii="Verdana" w:hAnsi="Verdana"/>
          <w:sz w:val="20"/>
          <w:szCs w:val="20"/>
          <w:lang w:val="es-ES_tradnl"/>
        </w:rPr>
        <w:t xml:space="preserve">a </w:t>
      </w:r>
      <w:r w:rsidR="00F558E3" w:rsidRPr="004E2353">
        <w:rPr>
          <w:rFonts w:ascii="Verdana" w:hAnsi="Verdana"/>
          <w:sz w:val="20"/>
          <w:szCs w:val="20"/>
          <w:lang w:val="es-ES_tradnl"/>
        </w:rPr>
        <w:t>posibilidad</w:t>
      </w:r>
      <w:r w:rsidRPr="004E2353">
        <w:rPr>
          <w:rFonts w:ascii="Verdana" w:hAnsi="Verdana"/>
          <w:sz w:val="20"/>
          <w:szCs w:val="20"/>
          <w:lang w:val="es-ES_tradnl"/>
        </w:rPr>
        <w:t xml:space="preserve"> para la Corte de p</w:t>
      </w:r>
      <w:r w:rsidRPr="004E2353">
        <w:rPr>
          <w:rFonts w:ascii="Verdana" w:eastAsiaTheme="minorHAnsi" w:hAnsi="Verdana" w:cstheme="minorBidi"/>
          <w:sz w:val="20"/>
          <w:szCs w:val="20"/>
          <w:lang w:val="es-ES_tradnl" w:eastAsia="en-US"/>
        </w:rPr>
        <w:t>rocurar de oficio toda prueba que considere útil y necesaria</w:t>
      </w:r>
      <w:r w:rsidRPr="004E2353">
        <w:rPr>
          <w:rFonts w:ascii="Verdana" w:hAnsi="Verdana"/>
          <w:sz w:val="20"/>
          <w:szCs w:val="20"/>
          <w:lang w:val="es-ES_tradnl"/>
        </w:rPr>
        <w:t xml:space="preserve"> en virtud del artículo 58.a del Reglamento, se aplica de forma excepcional y no puede operar como un mecanismo para que sea producida la prueba que fue </w:t>
      </w:r>
      <w:r w:rsidR="00E3349D" w:rsidRPr="004E2353">
        <w:rPr>
          <w:rFonts w:ascii="Verdana" w:hAnsi="Verdana"/>
          <w:sz w:val="20"/>
          <w:szCs w:val="20"/>
          <w:lang w:val="es-ES_tradnl"/>
        </w:rPr>
        <w:t>inadmitida</w:t>
      </w:r>
      <w:r w:rsidRPr="004E2353">
        <w:rPr>
          <w:rFonts w:ascii="Verdana" w:hAnsi="Verdana"/>
          <w:sz w:val="20"/>
          <w:szCs w:val="20"/>
          <w:lang w:val="es-ES_tradnl"/>
        </w:rPr>
        <w:t xml:space="preserve"> </w:t>
      </w:r>
      <w:r w:rsidR="00D9124E">
        <w:rPr>
          <w:rFonts w:ascii="Verdana" w:hAnsi="Verdana"/>
          <w:sz w:val="20"/>
          <w:szCs w:val="20"/>
          <w:lang w:val="es-ES_tradnl"/>
        </w:rPr>
        <w:t xml:space="preserve">en virtud de la presentación </w:t>
      </w:r>
      <w:r w:rsidRPr="004E2353">
        <w:rPr>
          <w:rFonts w:ascii="Verdana" w:hAnsi="Verdana"/>
          <w:sz w:val="20"/>
          <w:szCs w:val="20"/>
          <w:lang w:val="es-ES_tradnl"/>
        </w:rPr>
        <w:t>extemporánea</w:t>
      </w:r>
      <w:r w:rsidR="00D9124E">
        <w:rPr>
          <w:rFonts w:ascii="Verdana" w:hAnsi="Verdana"/>
          <w:sz w:val="20"/>
          <w:szCs w:val="20"/>
          <w:lang w:val="es-ES_tradnl"/>
        </w:rPr>
        <w:t xml:space="preserve"> del escrito del Estado</w:t>
      </w:r>
      <w:r w:rsidRPr="004E2353">
        <w:rPr>
          <w:rFonts w:ascii="Verdana" w:hAnsi="Verdana"/>
          <w:sz w:val="20"/>
          <w:szCs w:val="20"/>
          <w:lang w:val="es-ES_tradnl"/>
        </w:rPr>
        <w:t xml:space="preserve">. En </w:t>
      </w:r>
      <w:r w:rsidR="00F61EB9" w:rsidRPr="004E2353">
        <w:rPr>
          <w:rFonts w:ascii="Verdana" w:hAnsi="Verdana"/>
          <w:sz w:val="20"/>
          <w:szCs w:val="20"/>
          <w:lang w:val="es-ES_tradnl"/>
        </w:rPr>
        <w:t>vista de los nuevos elementos aportados por el Estado, y en aras de obtener mayor ilustración sobre las particularidades del caso y contar con más elementos de juicio para tomar una decisión, esta Corte considera que</w:t>
      </w:r>
      <w:r w:rsidRPr="004E2353">
        <w:rPr>
          <w:rFonts w:ascii="Verdana" w:hAnsi="Verdana"/>
          <w:sz w:val="20"/>
          <w:szCs w:val="20"/>
          <w:lang w:val="es-ES_tradnl"/>
        </w:rPr>
        <w:t xml:space="preserve"> la declaración pericial de </w:t>
      </w:r>
      <w:r w:rsidRPr="00F61EB9">
        <w:rPr>
          <w:rFonts w:ascii="Verdana" w:hAnsi="Verdana"/>
          <w:sz w:val="20"/>
          <w:szCs w:val="20"/>
          <w:lang w:val="es-ES_tradnl"/>
        </w:rPr>
        <w:t xml:space="preserve">Paolo </w:t>
      </w:r>
      <w:r w:rsidR="00E3349D" w:rsidRPr="004E2353">
        <w:rPr>
          <w:rFonts w:ascii="Verdana" w:hAnsi="Verdana"/>
          <w:sz w:val="20"/>
          <w:szCs w:val="20"/>
          <w:lang w:val="es-ES_tradnl"/>
        </w:rPr>
        <w:t>C</w:t>
      </w:r>
      <w:r w:rsidRPr="004E2353">
        <w:rPr>
          <w:rFonts w:ascii="Verdana" w:hAnsi="Verdana"/>
          <w:sz w:val="20"/>
          <w:szCs w:val="20"/>
          <w:lang w:val="es-ES_tradnl"/>
        </w:rPr>
        <w:t>aro</w:t>
      </w:r>
      <w:r w:rsidR="00E3349D" w:rsidRPr="004E2353">
        <w:rPr>
          <w:rFonts w:ascii="Verdana" w:hAnsi="Verdana"/>
          <w:sz w:val="20"/>
          <w:szCs w:val="20"/>
          <w:lang w:val="es-ES_tradnl"/>
        </w:rPr>
        <w:t>zza</w:t>
      </w:r>
      <w:r w:rsidRPr="004E2353">
        <w:rPr>
          <w:rFonts w:ascii="Verdana" w:hAnsi="Verdana"/>
          <w:sz w:val="20"/>
          <w:szCs w:val="20"/>
          <w:lang w:val="es-ES_tradnl"/>
        </w:rPr>
        <w:t xml:space="preserve"> podría resultar </w:t>
      </w:r>
      <w:r w:rsidR="00F61EB9" w:rsidRPr="004E2353">
        <w:rPr>
          <w:rFonts w:ascii="Verdana" w:hAnsi="Verdana"/>
          <w:sz w:val="20"/>
          <w:szCs w:val="20"/>
          <w:lang w:val="es-ES_tradnl"/>
        </w:rPr>
        <w:t>pertinente</w:t>
      </w:r>
      <w:r w:rsidR="00D9124E">
        <w:rPr>
          <w:rFonts w:ascii="Verdana" w:hAnsi="Verdana"/>
          <w:sz w:val="20"/>
          <w:szCs w:val="20"/>
          <w:lang w:val="es-ES_tradnl"/>
        </w:rPr>
        <w:t xml:space="preserve"> y</w:t>
      </w:r>
      <w:r w:rsidR="00F61EB9" w:rsidRPr="004E2353">
        <w:rPr>
          <w:rFonts w:ascii="Verdana" w:hAnsi="Verdana"/>
          <w:sz w:val="20"/>
          <w:szCs w:val="20"/>
          <w:lang w:val="es-ES_tradnl"/>
        </w:rPr>
        <w:t xml:space="preserve"> útil. En consecuencia, de conformidad con lo dispuesto en el artículo 58.a del Reglamento de la Corte, esta </w:t>
      </w:r>
      <w:r w:rsidR="00D9124E">
        <w:rPr>
          <w:rFonts w:ascii="Verdana" w:hAnsi="Verdana"/>
          <w:sz w:val="20"/>
          <w:szCs w:val="20"/>
          <w:lang w:val="es-ES_tradnl"/>
        </w:rPr>
        <w:t>Corte</w:t>
      </w:r>
      <w:r w:rsidR="00D9124E" w:rsidRPr="004E2353">
        <w:rPr>
          <w:rFonts w:ascii="Verdana" w:hAnsi="Verdana"/>
          <w:sz w:val="20"/>
          <w:szCs w:val="20"/>
          <w:lang w:val="es-ES_tradnl"/>
        </w:rPr>
        <w:t xml:space="preserve"> </w:t>
      </w:r>
      <w:r w:rsidR="00F61EB9" w:rsidRPr="004E2353">
        <w:rPr>
          <w:rFonts w:ascii="Verdana" w:hAnsi="Verdana"/>
          <w:sz w:val="20"/>
          <w:szCs w:val="20"/>
          <w:lang w:val="es-ES_tradnl"/>
        </w:rPr>
        <w:t xml:space="preserve">convoca de oficio a </w:t>
      </w:r>
      <w:r w:rsidR="00F61EB9" w:rsidRPr="00F61EB9">
        <w:rPr>
          <w:rFonts w:ascii="Verdana" w:hAnsi="Verdana"/>
          <w:sz w:val="20"/>
          <w:szCs w:val="20"/>
          <w:lang w:val="es-ES_tradnl"/>
        </w:rPr>
        <w:t xml:space="preserve">Paolo Carozza </w:t>
      </w:r>
      <w:r w:rsidR="00F61EB9" w:rsidRPr="004E2353">
        <w:rPr>
          <w:rFonts w:ascii="Verdana" w:hAnsi="Verdana"/>
          <w:sz w:val="20"/>
          <w:szCs w:val="20"/>
          <w:lang w:val="es-ES_tradnl"/>
        </w:rPr>
        <w:t xml:space="preserve">para que rinda su peritaje en el marco del presente caso. </w:t>
      </w:r>
      <w:r w:rsidR="00F61EB9">
        <w:rPr>
          <w:rFonts w:ascii="Verdana" w:hAnsi="Verdana"/>
          <w:sz w:val="20"/>
          <w:szCs w:val="20"/>
          <w:lang w:val="es-ES_tradnl"/>
        </w:rPr>
        <w:t xml:space="preserve">La declaración del perito será recibida por </w:t>
      </w:r>
      <w:r w:rsidR="00F61EB9" w:rsidRPr="004E2353">
        <w:rPr>
          <w:rFonts w:ascii="Verdana" w:hAnsi="Verdana"/>
          <w:i/>
          <w:iCs w:val="0"/>
          <w:sz w:val="20"/>
          <w:szCs w:val="20"/>
          <w:lang w:val="es-ES_tradnl"/>
        </w:rPr>
        <w:t>affidavit</w:t>
      </w:r>
      <w:r w:rsidR="00F61EB9">
        <w:rPr>
          <w:rFonts w:ascii="Verdana" w:hAnsi="Verdana"/>
          <w:sz w:val="20"/>
          <w:szCs w:val="20"/>
          <w:lang w:val="es-ES_tradnl"/>
        </w:rPr>
        <w:t xml:space="preserve"> </w:t>
      </w:r>
      <w:r w:rsidR="00D9124E">
        <w:rPr>
          <w:rFonts w:ascii="Verdana" w:hAnsi="Verdana"/>
          <w:sz w:val="20"/>
          <w:szCs w:val="20"/>
          <w:lang w:val="es-ES_tradnl"/>
        </w:rPr>
        <w:t>y e</w:t>
      </w:r>
      <w:r w:rsidR="00F61EB9" w:rsidRPr="004E2353">
        <w:rPr>
          <w:rFonts w:ascii="Verdana" w:hAnsi="Verdana"/>
          <w:sz w:val="20"/>
          <w:szCs w:val="20"/>
          <w:lang w:val="es-ES_tradnl"/>
        </w:rPr>
        <w:t xml:space="preserve">l objeto </w:t>
      </w:r>
      <w:r w:rsidR="000B0977">
        <w:rPr>
          <w:rFonts w:ascii="Verdana" w:hAnsi="Verdana"/>
          <w:sz w:val="20"/>
          <w:szCs w:val="20"/>
          <w:lang w:val="es-ES_tradnl"/>
        </w:rPr>
        <w:t xml:space="preserve">de las misma será </w:t>
      </w:r>
      <w:r w:rsidR="00F61EB9" w:rsidRPr="004E2353">
        <w:rPr>
          <w:rFonts w:ascii="Verdana" w:hAnsi="Verdana"/>
          <w:sz w:val="20"/>
          <w:szCs w:val="20"/>
          <w:lang w:val="es-ES_tradnl"/>
        </w:rPr>
        <w:t>determinad</w:t>
      </w:r>
      <w:r w:rsidR="00D9124E">
        <w:rPr>
          <w:rFonts w:ascii="Verdana" w:hAnsi="Verdana"/>
          <w:sz w:val="20"/>
          <w:szCs w:val="20"/>
          <w:lang w:val="es-ES_tradnl"/>
        </w:rPr>
        <w:t>o</w:t>
      </w:r>
      <w:r w:rsidR="00F61EB9" w:rsidRPr="004E2353">
        <w:rPr>
          <w:rFonts w:ascii="Verdana" w:hAnsi="Verdana"/>
          <w:sz w:val="20"/>
          <w:szCs w:val="20"/>
          <w:lang w:val="es-ES_tradnl"/>
        </w:rPr>
        <w:t xml:space="preserve"> en la parte resolutiva (</w:t>
      </w:r>
      <w:r w:rsidR="00F61EB9" w:rsidRPr="004E2353">
        <w:rPr>
          <w:rFonts w:ascii="Verdana" w:hAnsi="Verdana"/>
          <w:i/>
          <w:iCs w:val="0"/>
          <w:sz w:val="20"/>
          <w:szCs w:val="20"/>
          <w:lang w:val="es-ES_tradnl"/>
        </w:rPr>
        <w:t>infra</w:t>
      </w:r>
      <w:r w:rsidR="00F61EB9" w:rsidRPr="004E2353">
        <w:rPr>
          <w:rFonts w:ascii="Verdana" w:hAnsi="Verdana"/>
          <w:sz w:val="20"/>
          <w:szCs w:val="20"/>
          <w:lang w:val="es-ES_tradnl"/>
        </w:rPr>
        <w:t xml:space="preserve"> punto resolutivo </w:t>
      </w:r>
      <w:r w:rsidR="0032537C">
        <w:rPr>
          <w:rFonts w:ascii="Verdana" w:hAnsi="Verdana"/>
          <w:sz w:val="20"/>
          <w:szCs w:val="20"/>
          <w:lang w:val="es-ES_tradnl"/>
        </w:rPr>
        <w:t>2</w:t>
      </w:r>
      <w:r w:rsidR="00F61EB9" w:rsidRPr="004E2353">
        <w:rPr>
          <w:rFonts w:ascii="Verdana" w:hAnsi="Verdana"/>
          <w:sz w:val="20"/>
          <w:szCs w:val="20"/>
          <w:lang w:val="es-ES_tradnl"/>
        </w:rPr>
        <w:t>).</w:t>
      </w:r>
    </w:p>
    <w:p w14:paraId="25F7A30D" w14:textId="7821A8C7" w:rsidR="00F61EB9" w:rsidRPr="004E2353" w:rsidRDefault="00F61EB9" w:rsidP="00932D0A">
      <w:pPr>
        <w:pStyle w:val="Sinespaciado"/>
        <w:numPr>
          <w:ilvl w:val="0"/>
          <w:numId w:val="4"/>
        </w:numPr>
        <w:spacing w:before="240" w:after="240"/>
        <w:ind w:left="714" w:right="23" w:hanging="357"/>
        <w:contextualSpacing w:val="0"/>
        <w:rPr>
          <w:rFonts w:ascii="Verdana" w:hAnsi="Verdana"/>
          <w:b/>
          <w:bCs w:val="0"/>
          <w:i/>
          <w:iCs w:val="0"/>
          <w:sz w:val="20"/>
          <w:szCs w:val="20"/>
          <w:lang w:val="es-ES_tradnl"/>
        </w:rPr>
      </w:pPr>
      <w:r w:rsidRPr="004E2353">
        <w:rPr>
          <w:rFonts w:ascii="Verdana" w:hAnsi="Verdana"/>
          <w:b/>
          <w:bCs w:val="0"/>
          <w:i/>
          <w:iCs w:val="0"/>
          <w:sz w:val="20"/>
          <w:szCs w:val="20"/>
          <w:lang w:val="es-ES_tradnl"/>
        </w:rPr>
        <w:t xml:space="preserve">Sobre la </w:t>
      </w:r>
      <w:r w:rsidR="00D9124E">
        <w:rPr>
          <w:rFonts w:ascii="Verdana" w:hAnsi="Verdana"/>
          <w:b/>
          <w:bCs w:val="0"/>
          <w:i/>
          <w:iCs w:val="0"/>
          <w:sz w:val="20"/>
          <w:szCs w:val="20"/>
          <w:lang w:val="es-ES_tradnl"/>
        </w:rPr>
        <w:t>s</w:t>
      </w:r>
      <w:r w:rsidRPr="004E2353">
        <w:rPr>
          <w:rFonts w:ascii="Verdana" w:hAnsi="Verdana"/>
          <w:b/>
          <w:bCs w:val="0"/>
          <w:i/>
          <w:iCs w:val="0"/>
          <w:sz w:val="20"/>
          <w:szCs w:val="20"/>
          <w:lang w:val="es-ES_tradnl"/>
        </w:rPr>
        <w:t>olicitud de la Comisión de interrogar al perito</w:t>
      </w:r>
    </w:p>
    <w:p w14:paraId="1C351A5E" w14:textId="614D9C0A" w:rsidR="00262373" w:rsidRPr="00262373" w:rsidRDefault="00262373" w:rsidP="00932D0A">
      <w:pPr>
        <w:pStyle w:val="Sinespaciado"/>
        <w:numPr>
          <w:ilvl w:val="0"/>
          <w:numId w:val="5"/>
        </w:numPr>
        <w:tabs>
          <w:tab w:val="clear" w:pos="0"/>
          <w:tab w:val="clear" w:pos="567"/>
        </w:tabs>
        <w:spacing w:before="120" w:after="120"/>
        <w:ind w:left="0" w:right="23" w:firstLine="0"/>
        <w:contextualSpacing w:val="0"/>
      </w:pPr>
      <w:r w:rsidRPr="004E2353">
        <w:rPr>
          <w:rFonts w:ascii="Verdana" w:hAnsi="Verdana" w:cs="Verdana"/>
          <w:color w:val="000000"/>
          <w:sz w:val="20"/>
          <w:szCs w:val="20"/>
          <w:lang w:val="es-ES_tradnl"/>
        </w:rPr>
        <w:t>La Comisión solicitó se le conceda la oportunidad de formular preguntas al perito Paolo Carozza en caso de</w:t>
      </w:r>
      <w:r w:rsidR="00512E56">
        <w:rPr>
          <w:rFonts w:ascii="Verdana" w:hAnsi="Verdana" w:cs="Verdana"/>
          <w:color w:val="000000"/>
          <w:sz w:val="20"/>
          <w:szCs w:val="20"/>
          <w:lang w:val="es-ES_tradnl"/>
        </w:rPr>
        <w:t xml:space="preserve"> que fuese</w:t>
      </w:r>
      <w:r w:rsidRPr="004E2353">
        <w:rPr>
          <w:rFonts w:ascii="Verdana" w:hAnsi="Verdana" w:cs="Verdana"/>
          <w:color w:val="000000"/>
          <w:sz w:val="20"/>
          <w:szCs w:val="20"/>
          <w:lang w:val="es-ES_tradnl"/>
        </w:rPr>
        <w:t xml:space="preserve"> convocado de forma oficiosa. </w:t>
      </w:r>
      <w:r w:rsidR="00FB769B">
        <w:rPr>
          <w:rFonts w:ascii="Verdana" w:hAnsi="Verdana" w:cs="Verdana"/>
          <w:color w:val="000000"/>
          <w:sz w:val="20"/>
          <w:szCs w:val="20"/>
          <w:lang w:val="es-ES_tradnl"/>
        </w:rPr>
        <w:t>F</w:t>
      </w:r>
      <w:r w:rsidRPr="004E2353">
        <w:rPr>
          <w:rFonts w:ascii="Verdana" w:hAnsi="Verdana" w:cs="Verdana"/>
          <w:color w:val="000000"/>
          <w:sz w:val="20"/>
          <w:szCs w:val="20"/>
          <w:lang w:val="es-ES_tradnl"/>
        </w:rPr>
        <w:t xml:space="preserve">undamentó su petición, en el hecho de que el objeto de su </w:t>
      </w:r>
      <w:r w:rsidR="00D9124E">
        <w:rPr>
          <w:rFonts w:ascii="Verdana" w:hAnsi="Verdana" w:cs="Verdana"/>
          <w:color w:val="000000"/>
          <w:sz w:val="20"/>
          <w:szCs w:val="20"/>
          <w:lang w:val="es-ES_tradnl"/>
        </w:rPr>
        <w:t>experticia</w:t>
      </w:r>
      <w:r w:rsidR="00D9124E" w:rsidRPr="004E2353">
        <w:rPr>
          <w:rFonts w:ascii="Verdana" w:hAnsi="Verdana" w:cs="Verdana"/>
          <w:color w:val="000000"/>
          <w:sz w:val="20"/>
          <w:szCs w:val="20"/>
          <w:lang w:val="es-ES_tradnl"/>
        </w:rPr>
        <w:t xml:space="preserve"> </w:t>
      </w:r>
      <w:r w:rsidRPr="004E2353">
        <w:rPr>
          <w:rFonts w:ascii="Verdana" w:hAnsi="Verdana" w:cs="Verdana"/>
          <w:color w:val="000000"/>
          <w:sz w:val="20"/>
          <w:szCs w:val="20"/>
          <w:lang w:val="es-ES_tradnl"/>
        </w:rPr>
        <w:t>se relaciona y complementa con el presentado por la Comisión</w:t>
      </w:r>
      <w:r w:rsidR="00914FF4">
        <w:rPr>
          <w:rFonts w:ascii="Verdana" w:hAnsi="Verdana" w:cs="Verdana"/>
          <w:color w:val="000000"/>
          <w:sz w:val="20"/>
          <w:szCs w:val="20"/>
          <w:lang w:val="es-ES_tradnl"/>
        </w:rPr>
        <w:t>,</w:t>
      </w:r>
      <w:r w:rsidRPr="004E2353">
        <w:rPr>
          <w:rFonts w:ascii="Verdana" w:hAnsi="Verdana" w:cs="Verdana"/>
          <w:color w:val="000000"/>
          <w:sz w:val="20"/>
          <w:szCs w:val="20"/>
          <w:lang w:val="es-ES_tradnl"/>
        </w:rPr>
        <w:t xml:space="preserve"> a saber</w:t>
      </w:r>
      <w:r w:rsidR="00914FF4">
        <w:rPr>
          <w:rFonts w:ascii="Verdana" w:hAnsi="Verdana" w:cs="Verdana"/>
          <w:color w:val="000000"/>
          <w:sz w:val="20"/>
          <w:szCs w:val="20"/>
          <w:lang w:val="es-ES_tradnl"/>
        </w:rPr>
        <w:t>,</w:t>
      </w:r>
      <w:r w:rsidRPr="004E2353">
        <w:rPr>
          <w:rFonts w:ascii="Verdana" w:hAnsi="Verdana" w:cs="Verdana"/>
          <w:color w:val="000000"/>
          <w:sz w:val="20"/>
          <w:szCs w:val="20"/>
          <w:lang w:val="es-ES_tradnl"/>
        </w:rPr>
        <w:t xml:space="preserve"> el de Rodrigo Uprimmy. En efecto, indicó que los temas que serán abordados por el perito </w:t>
      </w:r>
      <w:r w:rsidR="00D9124E">
        <w:rPr>
          <w:rFonts w:ascii="Verdana" w:hAnsi="Verdana" w:cs="Verdana"/>
          <w:color w:val="000000"/>
          <w:sz w:val="20"/>
          <w:szCs w:val="20"/>
          <w:lang w:val="es-ES_tradnl"/>
        </w:rPr>
        <w:t>C</w:t>
      </w:r>
      <w:r w:rsidRPr="004E2353">
        <w:rPr>
          <w:rFonts w:ascii="Verdana" w:hAnsi="Verdana" w:cs="Verdana"/>
          <w:color w:val="000000"/>
          <w:sz w:val="20"/>
          <w:szCs w:val="20"/>
          <w:lang w:val="es-ES_tradnl"/>
        </w:rPr>
        <w:t xml:space="preserve">arozza, sobre los derechos reconocidos en la Convención Americana, incluyendo la libertad de conciencia y de religión, guardan correspondencia con la prueba pericial ofrecida por la Comisión a cargo </w:t>
      </w:r>
      <w:r w:rsidR="0032537C" w:rsidRPr="004E2353">
        <w:rPr>
          <w:rFonts w:ascii="Verdana" w:hAnsi="Verdana" w:cs="Verdana"/>
          <w:color w:val="000000"/>
          <w:sz w:val="20"/>
          <w:szCs w:val="20"/>
          <w:lang w:val="es-ES_tradnl"/>
        </w:rPr>
        <w:t xml:space="preserve">de Rodrigo </w:t>
      </w:r>
      <w:r w:rsidRPr="004E2353">
        <w:rPr>
          <w:rFonts w:ascii="Verdana" w:hAnsi="Verdana" w:cs="Verdana"/>
          <w:color w:val="000000"/>
          <w:sz w:val="20"/>
          <w:szCs w:val="20"/>
          <w:lang w:val="es-ES_tradnl"/>
        </w:rPr>
        <w:t>Uprimny</w:t>
      </w:r>
      <w:r w:rsidR="00FB769B">
        <w:rPr>
          <w:rFonts w:ascii="Verdana" w:hAnsi="Verdana" w:cs="Verdana"/>
          <w:color w:val="000000"/>
          <w:sz w:val="20"/>
          <w:szCs w:val="20"/>
          <w:lang w:val="es-ES_tradnl"/>
        </w:rPr>
        <w:t xml:space="preserve">, la cual </w:t>
      </w:r>
      <w:r w:rsidRPr="004E2353">
        <w:rPr>
          <w:rFonts w:ascii="Verdana" w:hAnsi="Verdana" w:cs="Verdana"/>
          <w:color w:val="000000"/>
          <w:sz w:val="20"/>
          <w:szCs w:val="20"/>
          <w:lang w:val="es-ES_tradnl"/>
        </w:rPr>
        <w:t xml:space="preserve">versa sobre la prohibición de la discriminación con base en la orientación sexual en el ámbito laboral, en particular en el ámbito educativo, incluyendo </w:t>
      </w:r>
      <w:r w:rsidR="00FB769B">
        <w:rPr>
          <w:rFonts w:ascii="Verdana" w:hAnsi="Verdana" w:cs="Verdana"/>
          <w:color w:val="000000"/>
          <w:sz w:val="20"/>
          <w:szCs w:val="20"/>
          <w:lang w:val="es-ES_tradnl"/>
        </w:rPr>
        <w:t xml:space="preserve">la </w:t>
      </w:r>
      <w:r w:rsidRPr="004E2353">
        <w:rPr>
          <w:rFonts w:ascii="Verdana" w:hAnsi="Verdana" w:cs="Verdana"/>
          <w:color w:val="000000"/>
          <w:sz w:val="20"/>
          <w:szCs w:val="20"/>
          <w:lang w:val="es-ES_tradnl"/>
        </w:rPr>
        <w:t>educación religiosa.</w:t>
      </w:r>
    </w:p>
    <w:p w14:paraId="007E46B0" w14:textId="3268297D" w:rsidR="00262373" w:rsidRPr="004E2353" w:rsidRDefault="00262373" w:rsidP="00932D0A">
      <w:pPr>
        <w:pStyle w:val="Sinespaciado"/>
        <w:numPr>
          <w:ilvl w:val="0"/>
          <w:numId w:val="5"/>
        </w:numPr>
        <w:tabs>
          <w:tab w:val="clear" w:pos="0"/>
          <w:tab w:val="clear" w:pos="567"/>
        </w:tabs>
        <w:spacing w:before="120" w:after="120"/>
        <w:ind w:left="0" w:right="23" w:firstLine="0"/>
        <w:contextualSpacing w:val="0"/>
        <w:rPr>
          <w:rFonts w:ascii="Verdana" w:hAnsi="Verdana" w:cs="Verdana"/>
          <w:color w:val="000000"/>
          <w:sz w:val="20"/>
          <w:szCs w:val="20"/>
          <w:lang w:val="es-ES_tradnl"/>
        </w:rPr>
      </w:pPr>
      <w:r w:rsidRPr="004E2353">
        <w:rPr>
          <w:rFonts w:ascii="Verdana" w:hAnsi="Verdana" w:cs="Calibri"/>
          <w:sz w:val="20"/>
          <w:szCs w:val="20"/>
          <w:lang w:val="es-ES_tradnl"/>
        </w:rPr>
        <w:t>En relación con la solicitud de la Comisión de formular preguntas al perit</w:t>
      </w:r>
      <w:r w:rsidR="00D9124E">
        <w:rPr>
          <w:rFonts w:ascii="Verdana" w:hAnsi="Verdana" w:cs="Calibri"/>
          <w:sz w:val="20"/>
          <w:szCs w:val="20"/>
          <w:lang w:val="es-ES_tradnl"/>
        </w:rPr>
        <w:t>o</w:t>
      </w:r>
      <w:r w:rsidRPr="004E2353">
        <w:rPr>
          <w:rFonts w:ascii="Verdana" w:hAnsi="Verdana" w:cs="Calibri"/>
          <w:sz w:val="20"/>
          <w:szCs w:val="20"/>
          <w:lang w:val="es-ES_tradnl"/>
        </w:rPr>
        <w:t xml:space="preserve"> </w:t>
      </w:r>
      <w:r w:rsidR="00D9124E">
        <w:rPr>
          <w:rFonts w:ascii="Verdana" w:hAnsi="Verdana" w:cs="Calibri"/>
          <w:sz w:val="20"/>
          <w:szCs w:val="20"/>
          <w:lang w:val="es-ES_tradnl"/>
        </w:rPr>
        <w:t>Carozza</w:t>
      </w:r>
      <w:r w:rsidRPr="004E2353">
        <w:rPr>
          <w:rFonts w:ascii="Verdana" w:hAnsi="Verdana" w:cs="Calibri"/>
          <w:sz w:val="20"/>
          <w:szCs w:val="20"/>
          <w:lang w:val="es-ES_tradnl"/>
        </w:rPr>
        <w:t xml:space="preserve">, en primer lugar, </w:t>
      </w:r>
      <w:r w:rsidRPr="004E2353">
        <w:rPr>
          <w:rFonts w:ascii="Verdana" w:hAnsi="Verdana"/>
          <w:sz w:val="20"/>
          <w:szCs w:val="20"/>
          <w:lang w:val="es-ES_tradnl"/>
        </w:rPr>
        <w:t xml:space="preserve">esta </w:t>
      </w:r>
      <w:r w:rsidRPr="004E2353">
        <w:rPr>
          <w:rFonts w:ascii="Verdana" w:hAnsi="Verdana"/>
          <w:bCs w:val="0"/>
          <w:iCs w:val="0"/>
          <w:sz w:val="20"/>
          <w:szCs w:val="20"/>
          <w:lang w:val="es-ES_tradnl"/>
        </w:rPr>
        <w:t>Corte</w:t>
      </w:r>
      <w:r w:rsidRPr="004E2353">
        <w:rPr>
          <w:rFonts w:ascii="Verdana" w:hAnsi="Verdana"/>
          <w:sz w:val="20"/>
          <w:szCs w:val="20"/>
          <w:lang w:val="es-ES_tradnl"/>
        </w:rPr>
        <w:t xml:space="preserve"> recuerda las normas del Reglamento del Tribunal en cuanto a la recepción de declaraciones propuestas por la Comisión, así como en relación con la facultad de ésta para interrogar a los </w:t>
      </w:r>
      <w:r w:rsidRPr="004E2353">
        <w:rPr>
          <w:rFonts w:ascii="Verdana" w:hAnsi="Verdana" w:cs="Verdana"/>
          <w:color w:val="000000"/>
          <w:sz w:val="20"/>
          <w:szCs w:val="20"/>
          <w:lang w:val="es-ES_tradnl"/>
        </w:rPr>
        <w:t>declarantes</w:t>
      </w:r>
      <w:r w:rsidRPr="004E2353">
        <w:rPr>
          <w:rFonts w:ascii="Verdana" w:hAnsi="Verdana"/>
          <w:sz w:val="20"/>
          <w:szCs w:val="20"/>
          <w:lang w:val="es-ES_tradnl"/>
        </w:rPr>
        <w:t xml:space="preserve"> ofrecidos por las partes</w:t>
      </w:r>
      <w:r w:rsidRPr="004E2353">
        <w:rPr>
          <w:rStyle w:val="Refdenotaalpie"/>
          <w:rFonts w:ascii="Verdana" w:hAnsi="Verdana"/>
          <w:sz w:val="20"/>
          <w:szCs w:val="20"/>
          <w:lang w:val="es-ES_tradnl"/>
        </w:rPr>
        <w:footnoteReference w:id="5"/>
      </w:r>
      <w:r w:rsidRPr="004E2353">
        <w:rPr>
          <w:rFonts w:ascii="Verdana" w:hAnsi="Verdana"/>
          <w:sz w:val="20"/>
          <w:szCs w:val="20"/>
          <w:lang w:val="es-ES_tradnl"/>
        </w:rPr>
        <w:t xml:space="preserve">. </w:t>
      </w:r>
      <w:r w:rsidRPr="004E2353">
        <w:rPr>
          <w:rFonts w:ascii="Verdana" w:hAnsi="Verdana" w:cs="Verdana"/>
          <w:color w:val="000000"/>
          <w:sz w:val="20"/>
          <w:szCs w:val="20"/>
          <w:lang w:val="es-ES_tradnl"/>
        </w:rPr>
        <w:t xml:space="preserve">En particular, es </w:t>
      </w:r>
      <w:r w:rsidRPr="004E2353">
        <w:rPr>
          <w:rFonts w:ascii="Verdana" w:hAnsi="Verdana"/>
          <w:sz w:val="20"/>
          <w:szCs w:val="20"/>
          <w:lang w:val="es-ES_tradnl"/>
        </w:rPr>
        <w:t>pertinente</w:t>
      </w:r>
      <w:r w:rsidRPr="004E2353">
        <w:rPr>
          <w:rFonts w:ascii="Verdana" w:hAnsi="Verdana" w:cs="Verdana"/>
          <w:color w:val="000000"/>
          <w:sz w:val="20"/>
          <w:szCs w:val="20"/>
          <w:lang w:val="es-ES_tradnl"/>
        </w:rPr>
        <w:t xml:space="preserve"> </w:t>
      </w:r>
      <w:r w:rsidRPr="004E2353">
        <w:rPr>
          <w:rFonts w:ascii="Verdana" w:hAnsi="Verdana" w:cs="Verdana"/>
          <w:color w:val="000000"/>
          <w:sz w:val="20"/>
          <w:szCs w:val="20"/>
          <w:lang w:val="es-ES_tradnl"/>
        </w:rPr>
        <w:lastRenderedPageBreak/>
        <w:t>recordar lo establecido en los artículos 50.5 y 52.3 del Reglamento, de modo tal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p>
    <w:p w14:paraId="076A8FA7" w14:textId="0692F4A4" w:rsidR="00262373" w:rsidRPr="004E2353" w:rsidRDefault="00262373" w:rsidP="00932D0A">
      <w:pPr>
        <w:pStyle w:val="Sinespaciado"/>
        <w:numPr>
          <w:ilvl w:val="0"/>
          <w:numId w:val="5"/>
        </w:numPr>
        <w:tabs>
          <w:tab w:val="clear" w:pos="0"/>
          <w:tab w:val="clear" w:pos="567"/>
        </w:tabs>
        <w:spacing w:before="120" w:after="120"/>
        <w:ind w:left="0" w:right="23" w:firstLine="0"/>
        <w:contextualSpacing w:val="0"/>
        <w:rPr>
          <w:rFonts w:ascii="Verdana" w:hAnsi="Verdana"/>
          <w:sz w:val="20"/>
          <w:szCs w:val="20"/>
          <w:lang w:val="es-ES_tradnl"/>
        </w:rPr>
      </w:pPr>
      <w:r w:rsidRPr="004E2353">
        <w:rPr>
          <w:rFonts w:ascii="Verdana" w:hAnsi="Verdana"/>
          <w:sz w:val="20"/>
          <w:szCs w:val="20"/>
          <w:lang w:val="es-ES_tradnl"/>
        </w:rPr>
        <w:t xml:space="preserve">Sentado lo anterior, esta </w:t>
      </w:r>
      <w:r w:rsidR="00D9124E">
        <w:rPr>
          <w:rFonts w:ascii="Verdana" w:hAnsi="Verdana"/>
          <w:sz w:val="20"/>
          <w:szCs w:val="20"/>
          <w:lang w:val="es-ES_tradnl"/>
        </w:rPr>
        <w:t>Corte</w:t>
      </w:r>
      <w:r w:rsidR="00D9124E" w:rsidRPr="004E2353">
        <w:rPr>
          <w:rFonts w:ascii="Verdana" w:hAnsi="Verdana"/>
          <w:sz w:val="20"/>
          <w:szCs w:val="20"/>
          <w:lang w:val="es-ES_tradnl"/>
        </w:rPr>
        <w:t xml:space="preserve"> </w:t>
      </w:r>
      <w:r w:rsidRPr="004E2353">
        <w:rPr>
          <w:rFonts w:ascii="Verdana" w:hAnsi="Verdana"/>
          <w:sz w:val="20"/>
          <w:szCs w:val="20"/>
          <w:lang w:val="es-ES_tradnl"/>
        </w:rPr>
        <w:t xml:space="preserve">considera que, efectivamente, el dictamen pericial de </w:t>
      </w:r>
      <w:r w:rsidR="0032537C">
        <w:rPr>
          <w:rFonts w:ascii="Verdana" w:hAnsi="Verdana"/>
          <w:sz w:val="20"/>
          <w:szCs w:val="20"/>
          <w:lang w:val="es-ES_tradnl"/>
        </w:rPr>
        <w:t>Paolo Carozza</w:t>
      </w:r>
      <w:r w:rsidRPr="004E2353">
        <w:rPr>
          <w:rFonts w:ascii="Verdana" w:hAnsi="Verdana"/>
          <w:sz w:val="20"/>
          <w:szCs w:val="20"/>
          <w:lang w:val="es-ES_tradnl"/>
        </w:rPr>
        <w:t xml:space="preserve"> se encuentra relacionado con el peritaje propuesto por la Comisión, motivo por el cual considera procedente, conforme a los artículos 50.5 y 52.3 del Reglamento, conceder oportunidad a la Comisión para formular preguntas al mencionad</w:t>
      </w:r>
      <w:r w:rsidR="00D9124E">
        <w:rPr>
          <w:rFonts w:ascii="Verdana" w:hAnsi="Verdana"/>
          <w:sz w:val="20"/>
          <w:szCs w:val="20"/>
          <w:lang w:val="es-ES_tradnl"/>
        </w:rPr>
        <w:t>o</w:t>
      </w:r>
      <w:r w:rsidRPr="004E2353">
        <w:rPr>
          <w:rFonts w:ascii="Verdana" w:hAnsi="Verdana"/>
          <w:sz w:val="20"/>
          <w:szCs w:val="20"/>
          <w:lang w:val="es-ES_tradnl"/>
        </w:rPr>
        <w:t xml:space="preserve"> declarante, respecto de los referidos temas relacionados con el orden público interamericano.  </w:t>
      </w:r>
    </w:p>
    <w:p w14:paraId="124F6C25" w14:textId="77777777" w:rsidR="000E301B" w:rsidRPr="003E0F12" w:rsidRDefault="000E301B" w:rsidP="00006D97">
      <w:pPr>
        <w:spacing w:before="360" w:after="360"/>
        <w:rPr>
          <w:rFonts w:ascii="Verdana" w:eastAsiaTheme="minorHAnsi" w:hAnsi="Verdana" w:cstheme="minorBidi"/>
          <w:b/>
          <w:sz w:val="20"/>
          <w:szCs w:val="20"/>
          <w:lang w:val="es-ES_tradnl" w:eastAsia="en-US"/>
        </w:rPr>
      </w:pPr>
      <w:r w:rsidRPr="000E301B">
        <w:rPr>
          <w:rFonts w:ascii="Verdana" w:eastAsiaTheme="minorHAnsi" w:hAnsi="Verdana" w:cstheme="minorBidi"/>
          <w:b/>
          <w:sz w:val="20"/>
          <w:szCs w:val="20"/>
          <w:lang w:val="es-ES_tradnl" w:eastAsia="en-US"/>
        </w:rPr>
        <w:t xml:space="preserve">POR TANTO: </w:t>
      </w:r>
    </w:p>
    <w:p w14:paraId="028A9C39" w14:textId="0BF48868" w:rsidR="000E301B" w:rsidRPr="003E0F12" w:rsidRDefault="000E301B" w:rsidP="00006D97">
      <w:pPr>
        <w:spacing w:before="360" w:after="360"/>
        <w:rPr>
          <w:rFonts w:ascii="Verdana" w:eastAsiaTheme="minorHAnsi" w:hAnsi="Verdana" w:cstheme="minorBidi"/>
          <w:b/>
          <w:sz w:val="20"/>
          <w:szCs w:val="20"/>
          <w:lang w:val="es-ES_tradnl" w:eastAsia="en-US"/>
        </w:rPr>
      </w:pPr>
      <w:r w:rsidRPr="000E301B">
        <w:rPr>
          <w:rFonts w:ascii="Verdana" w:eastAsiaTheme="minorHAnsi" w:hAnsi="Verdana" w:cstheme="minorBidi"/>
          <w:b/>
          <w:sz w:val="20"/>
          <w:szCs w:val="20"/>
          <w:lang w:val="es-ES_tradnl" w:eastAsia="en-US"/>
        </w:rPr>
        <w:t xml:space="preserve">LA CORTE INTERAMERICANA DE DERECHOS HUMANOS, </w:t>
      </w:r>
    </w:p>
    <w:p w14:paraId="65A53400" w14:textId="1ED18A9C" w:rsidR="0046082E" w:rsidRPr="003E0F12" w:rsidRDefault="0046082E" w:rsidP="0046082E">
      <w:pPr>
        <w:pStyle w:val="Sinespaciado"/>
        <w:numPr>
          <w:ilvl w:val="0"/>
          <w:numId w:val="0"/>
        </w:numPr>
        <w:tabs>
          <w:tab w:val="clear" w:pos="0"/>
          <w:tab w:val="clear" w:pos="567"/>
        </w:tabs>
        <w:spacing w:before="120" w:after="120"/>
        <w:ind w:right="23"/>
        <w:contextualSpacing w:val="0"/>
        <w:rPr>
          <w:rFonts w:ascii="Verdana" w:hAnsi="Verdana"/>
          <w:sz w:val="20"/>
          <w:szCs w:val="20"/>
          <w:lang w:val="es-ES_tradnl"/>
        </w:rPr>
      </w:pPr>
      <w:r w:rsidRPr="003E0F12">
        <w:rPr>
          <w:rFonts w:ascii="Verdana" w:hAnsi="Verdana"/>
          <w:sz w:val="20"/>
          <w:szCs w:val="20"/>
          <w:lang w:val="es-ES_tradnl"/>
        </w:rPr>
        <w:t>De conformidad con los artículos 24.1 y 25.2 del Estatuto de la Corte y con los artículos 4, 15, 26.1, 31.2, 35.1, 40.2, 41.1, 45, 46, 47, 48.1.c, 48.1.f, 50 a 56, 58.a y 60 del Reglamento de la Corte</w:t>
      </w:r>
      <w:r w:rsidR="00914FF4">
        <w:rPr>
          <w:rFonts w:ascii="Verdana" w:hAnsi="Verdana"/>
          <w:sz w:val="20"/>
          <w:szCs w:val="20"/>
          <w:lang w:val="es-ES_tradnl"/>
        </w:rPr>
        <w:t>,</w:t>
      </w:r>
    </w:p>
    <w:p w14:paraId="68A60E58" w14:textId="1D107DD3" w:rsidR="000E301B" w:rsidRPr="003E0F12" w:rsidRDefault="000E301B" w:rsidP="005643E0">
      <w:pPr>
        <w:rPr>
          <w:rFonts w:ascii="Verdana" w:hAnsi="Verdana"/>
          <w:sz w:val="20"/>
          <w:szCs w:val="20"/>
          <w:lang w:val="es-ES_tradnl"/>
        </w:rPr>
      </w:pPr>
    </w:p>
    <w:p w14:paraId="75193694" w14:textId="5EB5CFE6" w:rsidR="00802BD5" w:rsidRPr="003E0F12" w:rsidRDefault="00802BD5" w:rsidP="005643E0">
      <w:pPr>
        <w:rPr>
          <w:rFonts w:ascii="Verdana" w:hAnsi="Verdana"/>
          <w:b/>
          <w:sz w:val="20"/>
          <w:szCs w:val="20"/>
          <w:lang w:val="es-ES_tradnl"/>
        </w:rPr>
      </w:pPr>
      <w:r w:rsidRPr="003E0F12">
        <w:rPr>
          <w:rFonts w:ascii="Verdana" w:hAnsi="Verdana"/>
          <w:b/>
          <w:sz w:val="20"/>
          <w:szCs w:val="20"/>
          <w:lang w:val="es-ES_tradnl"/>
        </w:rPr>
        <w:t>RESUELVE:</w:t>
      </w:r>
    </w:p>
    <w:p w14:paraId="7FF580DE" w14:textId="085DCE72" w:rsidR="000E301B" w:rsidRPr="003E0F12" w:rsidRDefault="000E301B" w:rsidP="005643E0">
      <w:pPr>
        <w:rPr>
          <w:rFonts w:ascii="Verdana" w:hAnsi="Verdana"/>
          <w:b/>
          <w:sz w:val="20"/>
          <w:szCs w:val="20"/>
          <w:lang w:val="es-ES_tradnl"/>
        </w:rPr>
      </w:pPr>
    </w:p>
    <w:p w14:paraId="11C5A064" w14:textId="2B1C9F24" w:rsidR="000E301B" w:rsidRPr="003E0F12" w:rsidRDefault="00C33F24" w:rsidP="005643E0">
      <w:pPr>
        <w:rPr>
          <w:rFonts w:ascii="Verdana" w:hAnsi="Verdana"/>
          <w:bCs/>
          <w:sz w:val="20"/>
          <w:szCs w:val="20"/>
          <w:lang w:val="es-ES_tradnl"/>
        </w:rPr>
      </w:pPr>
      <w:r>
        <w:rPr>
          <w:rFonts w:ascii="Verdana" w:hAnsi="Verdana"/>
          <w:bCs/>
          <w:sz w:val="20"/>
          <w:szCs w:val="20"/>
          <w:lang w:val="es-ES_tradnl"/>
        </w:rPr>
        <w:t>Por unanimidad</w:t>
      </w:r>
      <w:r w:rsidR="000E301B" w:rsidRPr="003E0F12">
        <w:rPr>
          <w:rFonts w:ascii="Verdana" w:hAnsi="Verdana"/>
          <w:bCs/>
          <w:sz w:val="20"/>
          <w:szCs w:val="20"/>
          <w:lang w:val="es-ES_tradnl"/>
        </w:rPr>
        <w:t>,</w:t>
      </w:r>
    </w:p>
    <w:p w14:paraId="3A4C931B" w14:textId="77777777" w:rsidR="00CF1C87" w:rsidRPr="003E0F12" w:rsidRDefault="00CF1C87" w:rsidP="005643E0">
      <w:pPr>
        <w:rPr>
          <w:rFonts w:ascii="Verdana" w:hAnsi="Verdana"/>
          <w:sz w:val="20"/>
          <w:szCs w:val="20"/>
          <w:lang w:val="es-ES_tradnl"/>
        </w:rPr>
      </w:pPr>
    </w:p>
    <w:p w14:paraId="2F2DD692" w14:textId="0988E23F" w:rsidR="000E301B" w:rsidRDefault="008F460D" w:rsidP="00932D0A">
      <w:pPr>
        <w:pStyle w:val="Sinespaciado"/>
        <w:numPr>
          <w:ilvl w:val="0"/>
          <w:numId w:val="6"/>
        </w:numPr>
        <w:tabs>
          <w:tab w:val="clear" w:pos="0"/>
          <w:tab w:val="clear" w:pos="567"/>
        </w:tabs>
        <w:spacing w:before="120" w:after="120"/>
        <w:ind w:left="0" w:right="23" w:firstLine="0"/>
        <w:contextualSpacing w:val="0"/>
        <w:rPr>
          <w:rFonts w:ascii="Verdana" w:hAnsi="Verdana"/>
          <w:sz w:val="20"/>
          <w:szCs w:val="20"/>
          <w:lang w:val="es-ES_tradnl"/>
        </w:rPr>
      </w:pPr>
      <w:bookmarkStart w:id="0" w:name="_Ref445286350"/>
      <w:r w:rsidRPr="003E0F12">
        <w:rPr>
          <w:rFonts w:ascii="Verdana" w:hAnsi="Verdana"/>
          <w:sz w:val="20"/>
          <w:szCs w:val="20"/>
          <w:lang w:val="es-ES_tradnl"/>
        </w:rPr>
        <w:t xml:space="preserve">Reiterar que el </w:t>
      </w:r>
      <w:r w:rsidR="000E301B" w:rsidRPr="003E0F12">
        <w:rPr>
          <w:rFonts w:ascii="Verdana" w:hAnsi="Verdana"/>
          <w:sz w:val="20"/>
          <w:szCs w:val="20"/>
          <w:lang w:val="es-ES_tradnl"/>
        </w:rPr>
        <w:t>escrito de contestación del Estado recibido el 20 de julio de 2020 es inadmisible por extemporáneo, por lo que ese escrito y sus anexos no serán tomados en cuenta por el Tribunal ni serán remitidos a la Comisión ni a los representantes de la presunta víctima del presente caso.</w:t>
      </w:r>
    </w:p>
    <w:p w14:paraId="481A4A85" w14:textId="059ADFC3" w:rsidR="00EE3EE0" w:rsidRDefault="0032537C" w:rsidP="00932D0A">
      <w:pPr>
        <w:pStyle w:val="Sinespaciado"/>
        <w:numPr>
          <w:ilvl w:val="0"/>
          <w:numId w:val="6"/>
        </w:numPr>
        <w:tabs>
          <w:tab w:val="clear" w:pos="0"/>
          <w:tab w:val="clear" w:pos="567"/>
        </w:tabs>
        <w:spacing w:before="120" w:after="120"/>
        <w:ind w:left="0" w:right="23" w:firstLine="0"/>
        <w:contextualSpacing w:val="0"/>
        <w:rPr>
          <w:rFonts w:ascii="Verdana" w:hAnsi="Verdana"/>
          <w:sz w:val="20"/>
          <w:szCs w:val="20"/>
          <w:lang w:val="es-ES_tradnl"/>
        </w:rPr>
      </w:pPr>
      <w:r w:rsidRPr="0032537C">
        <w:rPr>
          <w:rFonts w:ascii="Verdana" w:hAnsi="Verdana"/>
          <w:sz w:val="20"/>
          <w:szCs w:val="20"/>
          <w:lang w:val="es-ES_tradnl"/>
        </w:rPr>
        <w:t xml:space="preserve">Requerir, </w:t>
      </w:r>
      <w:r w:rsidR="00EE3EE0">
        <w:rPr>
          <w:rFonts w:ascii="Verdana" w:hAnsi="Verdana"/>
          <w:sz w:val="20"/>
          <w:szCs w:val="20"/>
          <w:lang w:val="es-ES_tradnl"/>
        </w:rPr>
        <w:t>como diligencia probatoria de oficio</w:t>
      </w:r>
      <w:r w:rsidR="00B9559A">
        <w:rPr>
          <w:rFonts w:ascii="Verdana" w:hAnsi="Verdana"/>
          <w:sz w:val="20"/>
          <w:szCs w:val="20"/>
          <w:lang w:val="es-ES_tradnl"/>
        </w:rPr>
        <w:t xml:space="preserve"> con</w:t>
      </w:r>
      <w:r w:rsidRPr="0032537C">
        <w:rPr>
          <w:rFonts w:ascii="Verdana" w:hAnsi="Verdana"/>
          <w:sz w:val="20"/>
          <w:szCs w:val="20"/>
          <w:lang w:val="es-ES_tradnl"/>
        </w:rPr>
        <w:t xml:space="preserve"> la facultad que le otorga</w:t>
      </w:r>
      <w:r>
        <w:rPr>
          <w:rFonts w:ascii="Verdana" w:hAnsi="Verdana"/>
          <w:sz w:val="20"/>
          <w:szCs w:val="20"/>
          <w:lang w:val="es-ES_tradnl"/>
        </w:rPr>
        <w:t xml:space="preserve">n los </w:t>
      </w:r>
      <w:r w:rsidRPr="0032537C">
        <w:rPr>
          <w:rFonts w:ascii="Verdana" w:hAnsi="Verdana"/>
          <w:sz w:val="20"/>
          <w:szCs w:val="20"/>
          <w:lang w:val="es-ES_tradnl"/>
        </w:rPr>
        <w:t xml:space="preserve">artículos 50.1 </w:t>
      </w:r>
      <w:r>
        <w:rPr>
          <w:rFonts w:ascii="Verdana" w:hAnsi="Verdana"/>
          <w:sz w:val="20"/>
          <w:szCs w:val="20"/>
          <w:lang w:val="es-ES_tradnl"/>
        </w:rPr>
        <w:t xml:space="preserve">y 58.a </w:t>
      </w:r>
      <w:r w:rsidRPr="0032537C">
        <w:rPr>
          <w:rFonts w:ascii="Verdana" w:hAnsi="Verdana"/>
          <w:sz w:val="20"/>
          <w:szCs w:val="20"/>
          <w:lang w:val="es-ES_tradnl"/>
        </w:rPr>
        <w:t xml:space="preserve">del Reglamento de la Corte, que </w:t>
      </w:r>
      <w:r>
        <w:rPr>
          <w:rFonts w:ascii="Verdana" w:hAnsi="Verdana"/>
          <w:sz w:val="20"/>
          <w:szCs w:val="20"/>
          <w:lang w:val="es-ES_tradnl"/>
        </w:rPr>
        <w:t>la</w:t>
      </w:r>
      <w:r w:rsidRPr="0032537C">
        <w:rPr>
          <w:rFonts w:ascii="Verdana" w:hAnsi="Verdana"/>
          <w:sz w:val="20"/>
          <w:szCs w:val="20"/>
          <w:lang w:val="es-ES_tradnl"/>
        </w:rPr>
        <w:t xml:space="preserve"> siguiente persona preste su declaración ante fedatario público</w:t>
      </w:r>
      <w:r>
        <w:rPr>
          <w:rFonts w:ascii="Verdana" w:hAnsi="Verdana"/>
          <w:sz w:val="20"/>
          <w:szCs w:val="20"/>
          <w:lang w:val="es-ES_tradnl"/>
        </w:rPr>
        <w:t xml:space="preserve">: </w:t>
      </w:r>
    </w:p>
    <w:p w14:paraId="17362AFB" w14:textId="336BA347" w:rsidR="00074F60" w:rsidRPr="003E0F12" w:rsidRDefault="0032537C" w:rsidP="004E2353">
      <w:pPr>
        <w:pStyle w:val="Sinespaciado"/>
        <w:numPr>
          <w:ilvl w:val="0"/>
          <w:numId w:val="0"/>
        </w:numPr>
        <w:tabs>
          <w:tab w:val="clear" w:pos="0"/>
          <w:tab w:val="clear" w:pos="567"/>
        </w:tabs>
        <w:spacing w:before="120" w:after="120"/>
        <w:ind w:left="567" w:right="23"/>
        <w:contextualSpacing w:val="0"/>
        <w:rPr>
          <w:rFonts w:ascii="Verdana" w:hAnsi="Verdana"/>
          <w:sz w:val="20"/>
          <w:szCs w:val="20"/>
          <w:lang w:val="es-ES_tradnl"/>
        </w:rPr>
      </w:pPr>
      <w:r w:rsidRPr="004E2353">
        <w:rPr>
          <w:rFonts w:ascii="Verdana" w:hAnsi="Verdana"/>
          <w:i/>
          <w:iCs w:val="0"/>
          <w:sz w:val="20"/>
          <w:szCs w:val="20"/>
          <w:lang w:val="es-ES_tradnl"/>
        </w:rPr>
        <w:t>Paolo Carozza</w:t>
      </w:r>
      <w:r>
        <w:rPr>
          <w:rFonts w:ascii="Verdana" w:hAnsi="Verdana"/>
          <w:sz w:val="20"/>
          <w:szCs w:val="20"/>
          <w:lang w:val="es-ES_tradnl"/>
        </w:rPr>
        <w:t>, quien decla</w:t>
      </w:r>
      <w:r w:rsidR="00D9124E">
        <w:rPr>
          <w:rFonts w:ascii="Verdana" w:hAnsi="Verdana"/>
          <w:sz w:val="20"/>
          <w:szCs w:val="20"/>
          <w:lang w:val="es-ES_tradnl"/>
        </w:rPr>
        <w:t>ra</w:t>
      </w:r>
      <w:r>
        <w:rPr>
          <w:rFonts w:ascii="Verdana" w:hAnsi="Verdana"/>
          <w:sz w:val="20"/>
          <w:szCs w:val="20"/>
          <w:lang w:val="es-ES_tradnl"/>
        </w:rPr>
        <w:t xml:space="preserve">rá sobre </w:t>
      </w:r>
      <w:r w:rsidRPr="003E0F12">
        <w:rPr>
          <w:rFonts w:ascii="Verdana" w:hAnsi="Verdana"/>
          <w:sz w:val="20"/>
          <w:szCs w:val="20"/>
          <w:lang w:val="es-ES_tradnl"/>
        </w:rPr>
        <w:t>la relación del derecho internacional público en general, y del derecho regional de los derechos humanos en particular,</w:t>
      </w:r>
      <w:r>
        <w:rPr>
          <w:rFonts w:ascii="Verdana" w:hAnsi="Verdana"/>
          <w:sz w:val="20"/>
          <w:szCs w:val="20"/>
          <w:lang w:val="es-ES_tradnl"/>
        </w:rPr>
        <w:t xml:space="preserve"> </w:t>
      </w:r>
      <w:r w:rsidRPr="0032537C">
        <w:rPr>
          <w:rFonts w:ascii="Verdana" w:hAnsi="Verdana"/>
          <w:sz w:val="20"/>
          <w:szCs w:val="20"/>
          <w:lang w:val="es-ES_tradnl"/>
        </w:rPr>
        <w:t>con los asuntos que plantea el presente caso</w:t>
      </w:r>
      <w:r>
        <w:rPr>
          <w:rFonts w:ascii="Verdana" w:hAnsi="Verdana"/>
          <w:sz w:val="20"/>
          <w:szCs w:val="20"/>
          <w:lang w:val="es-ES_tradnl"/>
        </w:rPr>
        <w:t>. Del mismo modo, se referirá</w:t>
      </w:r>
      <w:r w:rsidRPr="003E0F12">
        <w:rPr>
          <w:rFonts w:ascii="Verdana" w:hAnsi="Verdana"/>
          <w:sz w:val="20"/>
          <w:szCs w:val="20"/>
          <w:lang w:val="es-ES_tradnl"/>
        </w:rPr>
        <w:t xml:space="preserve"> </w:t>
      </w:r>
      <w:r>
        <w:rPr>
          <w:rFonts w:ascii="Verdana" w:hAnsi="Verdana"/>
          <w:sz w:val="20"/>
          <w:szCs w:val="20"/>
          <w:lang w:val="es-ES_tradnl"/>
        </w:rPr>
        <w:t>a</w:t>
      </w:r>
      <w:r w:rsidRPr="003E0F12">
        <w:rPr>
          <w:rFonts w:ascii="Verdana" w:hAnsi="Verdana"/>
          <w:sz w:val="20"/>
          <w:szCs w:val="20"/>
          <w:lang w:val="es-ES_tradnl"/>
        </w:rPr>
        <w:t xml:space="preserve"> las cuestiones de atribución de responsabilidad del Estado por hechos internacionalmente ilícitos, el estatuto de la libertad de religión bajo la Convención Americana sobre Derechos Humanos, y la aplicación del principio de subsidiariedad y pluralismo legal</w:t>
      </w:r>
      <w:r>
        <w:rPr>
          <w:rFonts w:ascii="Verdana" w:hAnsi="Verdana"/>
          <w:sz w:val="20"/>
          <w:szCs w:val="20"/>
          <w:lang w:val="es-ES_tradnl"/>
        </w:rPr>
        <w:t>.</w:t>
      </w:r>
    </w:p>
    <w:p w14:paraId="7828CBB5" w14:textId="37582DC8" w:rsidR="00EE3EE0" w:rsidRPr="004E2353" w:rsidRDefault="00EE3EE0" w:rsidP="00932D0A">
      <w:pPr>
        <w:pStyle w:val="Sinespaciado"/>
        <w:numPr>
          <w:ilvl w:val="0"/>
          <w:numId w:val="6"/>
        </w:numPr>
        <w:tabs>
          <w:tab w:val="clear" w:pos="0"/>
          <w:tab w:val="clear" w:pos="567"/>
        </w:tabs>
        <w:spacing w:before="120" w:after="120"/>
        <w:ind w:left="0" w:right="23" w:firstLine="0"/>
        <w:contextualSpacing w:val="0"/>
        <w:rPr>
          <w:rFonts w:ascii="Verdana" w:hAnsi="Verdana" w:cs="Verdana"/>
          <w:color w:val="000000"/>
          <w:sz w:val="20"/>
          <w:szCs w:val="20"/>
          <w:lang w:val="es-ES_tradnl"/>
        </w:rPr>
      </w:pPr>
      <w:r w:rsidRPr="004E2353">
        <w:rPr>
          <w:rFonts w:ascii="Verdana" w:hAnsi="Verdana"/>
          <w:sz w:val="20"/>
          <w:szCs w:val="20"/>
          <w:lang w:val="es-ES_tradnl"/>
        </w:rPr>
        <w:t>El Estado deberá notificar la presente Resolución a</w:t>
      </w:r>
      <w:r>
        <w:rPr>
          <w:rFonts w:ascii="Verdana" w:hAnsi="Verdana"/>
          <w:sz w:val="20"/>
          <w:szCs w:val="20"/>
          <w:lang w:val="es-ES_tradnl"/>
        </w:rPr>
        <w:t xml:space="preserve">l </w:t>
      </w:r>
      <w:r w:rsidRPr="004E2353">
        <w:rPr>
          <w:rFonts w:ascii="Verdana" w:hAnsi="Verdana"/>
          <w:sz w:val="20"/>
          <w:szCs w:val="20"/>
          <w:lang w:val="es-ES_tradnl"/>
        </w:rPr>
        <w:t xml:space="preserve">declarante convocado de oficio. </w:t>
      </w:r>
    </w:p>
    <w:p w14:paraId="592B27F9" w14:textId="34FC7A80" w:rsidR="00332C49" w:rsidRDefault="00332C49" w:rsidP="00932D0A">
      <w:pPr>
        <w:pStyle w:val="Sinespaciado"/>
        <w:numPr>
          <w:ilvl w:val="0"/>
          <w:numId w:val="6"/>
        </w:numPr>
        <w:tabs>
          <w:tab w:val="clear" w:pos="0"/>
          <w:tab w:val="clear" w:pos="567"/>
        </w:tabs>
        <w:spacing w:before="120" w:after="120"/>
        <w:ind w:left="0" w:right="23" w:firstLine="0"/>
        <w:contextualSpacing w:val="0"/>
        <w:rPr>
          <w:rFonts w:ascii="Verdana" w:hAnsi="Verdana" w:cs="Verdana"/>
          <w:color w:val="000000"/>
          <w:sz w:val="20"/>
          <w:szCs w:val="20"/>
          <w:lang w:val="es-ES_tradnl"/>
        </w:rPr>
      </w:pPr>
      <w:r w:rsidRPr="00332C49">
        <w:rPr>
          <w:rFonts w:ascii="Verdana" w:hAnsi="Verdana" w:cs="Verdana"/>
          <w:color w:val="000000"/>
          <w:sz w:val="20"/>
          <w:szCs w:val="20"/>
          <w:lang w:val="es-ES_tradnl"/>
        </w:rPr>
        <w:t xml:space="preserve">Requerir a </w:t>
      </w:r>
      <w:r w:rsidR="00D9124E">
        <w:rPr>
          <w:rFonts w:ascii="Verdana" w:hAnsi="Verdana" w:cs="Verdana"/>
          <w:color w:val="000000"/>
          <w:sz w:val="20"/>
          <w:szCs w:val="20"/>
          <w:lang w:val="es-ES_tradnl"/>
        </w:rPr>
        <w:t>los representantes</w:t>
      </w:r>
      <w:r>
        <w:rPr>
          <w:rFonts w:ascii="Verdana" w:hAnsi="Verdana" w:cs="Verdana"/>
          <w:color w:val="000000"/>
          <w:sz w:val="20"/>
          <w:szCs w:val="20"/>
          <w:lang w:val="es-ES_tradnl"/>
        </w:rPr>
        <w:t xml:space="preserve"> y a la Comisión</w:t>
      </w:r>
      <w:r w:rsidRPr="00332C49">
        <w:rPr>
          <w:rFonts w:ascii="Verdana" w:hAnsi="Verdana" w:cs="Verdana"/>
          <w:color w:val="000000"/>
          <w:sz w:val="20"/>
          <w:szCs w:val="20"/>
          <w:lang w:val="es-ES_tradnl"/>
        </w:rPr>
        <w:t xml:space="preserve"> que remitan, en los términos del artículo 50.5 del Reglamento, de considerarlo pertinente y en el plazo improrrogable que vence el </w:t>
      </w:r>
      <w:r>
        <w:rPr>
          <w:rFonts w:ascii="Verdana" w:hAnsi="Verdana" w:cs="Verdana"/>
          <w:color w:val="000000"/>
          <w:sz w:val="20"/>
          <w:szCs w:val="20"/>
          <w:lang w:val="es-ES_tradnl"/>
        </w:rPr>
        <w:t>8</w:t>
      </w:r>
      <w:r w:rsidRPr="00332C49">
        <w:rPr>
          <w:rFonts w:ascii="Verdana" w:hAnsi="Verdana" w:cs="Verdana"/>
          <w:color w:val="000000"/>
          <w:sz w:val="20"/>
          <w:szCs w:val="20"/>
          <w:lang w:val="es-ES_tradnl"/>
        </w:rPr>
        <w:t xml:space="preserve"> de </w:t>
      </w:r>
      <w:r>
        <w:rPr>
          <w:rFonts w:ascii="Verdana" w:hAnsi="Verdana" w:cs="Verdana"/>
          <w:color w:val="000000"/>
          <w:sz w:val="20"/>
          <w:szCs w:val="20"/>
          <w:lang w:val="es-ES_tradnl"/>
        </w:rPr>
        <w:t>abril</w:t>
      </w:r>
      <w:r w:rsidRPr="00332C49">
        <w:rPr>
          <w:rFonts w:ascii="Verdana" w:hAnsi="Verdana" w:cs="Verdana"/>
          <w:color w:val="000000"/>
          <w:sz w:val="20"/>
          <w:szCs w:val="20"/>
          <w:lang w:val="es-ES_tradnl"/>
        </w:rPr>
        <w:t xml:space="preserve"> de 2021, las preguntas que </w:t>
      </w:r>
      <w:r w:rsidRPr="004E2353">
        <w:rPr>
          <w:rFonts w:ascii="Verdana" w:hAnsi="Verdana"/>
          <w:sz w:val="20"/>
          <w:szCs w:val="20"/>
          <w:lang w:val="es-ES_tradnl"/>
        </w:rPr>
        <w:t>estimen</w:t>
      </w:r>
      <w:r w:rsidRPr="00332C49">
        <w:rPr>
          <w:rFonts w:ascii="Verdana" w:hAnsi="Verdana" w:cs="Verdana"/>
          <w:color w:val="000000"/>
          <w:sz w:val="20"/>
          <w:szCs w:val="20"/>
          <w:lang w:val="es-ES_tradnl"/>
        </w:rPr>
        <w:t xml:space="preserve"> pertinente formular, a través de la Corte Interamericana, a</w:t>
      </w:r>
      <w:r>
        <w:rPr>
          <w:rFonts w:ascii="Verdana" w:hAnsi="Verdana" w:cs="Verdana"/>
          <w:color w:val="000000"/>
          <w:sz w:val="20"/>
          <w:szCs w:val="20"/>
          <w:lang w:val="es-ES_tradnl"/>
        </w:rPr>
        <w:t>l</w:t>
      </w:r>
      <w:r w:rsidRPr="00332C49">
        <w:rPr>
          <w:rFonts w:ascii="Verdana" w:hAnsi="Verdana" w:cs="Verdana"/>
          <w:color w:val="000000"/>
          <w:sz w:val="20"/>
          <w:szCs w:val="20"/>
          <w:lang w:val="es-ES_tradnl"/>
        </w:rPr>
        <w:t xml:space="preserve"> declarante indicado en el punto resolutivo 2 de la presente Resolución, según corresponda. </w:t>
      </w:r>
    </w:p>
    <w:p w14:paraId="082552D9" w14:textId="54F43FF7" w:rsidR="00332C49" w:rsidRDefault="00332C49" w:rsidP="00932D0A">
      <w:pPr>
        <w:pStyle w:val="Sinespaciado"/>
        <w:numPr>
          <w:ilvl w:val="0"/>
          <w:numId w:val="6"/>
        </w:numPr>
        <w:tabs>
          <w:tab w:val="clear" w:pos="0"/>
          <w:tab w:val="clear" w:pos="567"/>
        </w:tabs>
        <w:spacing w:before="120" w:after="120"/>
        <w:ind w:left="0" w:right="23" w:firstLine="0"/>
        <w:contextualSpacing w:val="0"/>
        <w:rPr>
          <w:rFonts w:ascii="Verdana" w:hAnsi="Verdana"/>
          <w:sz w:val="20"/>
          <w:szCs w:val="20"/>
          <w:lang w:val="es-ES_tradnl"/>
        </w:rPr>
      </w:pPr>
      <w:r w:rsidRPr="004E2353">
        <w:rPr>
          <w:rFonts w:ascii="Verdana" w:hAnsi="Verdana"/>
          <w:sz w:val="20"/>
          <w:szCs w:val="20"/>
          <w:lang w:val="es-ES_tradnl"/>
        </w:rPr>
        <w:t>Requerir a</w:t>
      </w:r>
      <w:r>
        <w:rPr>
          <w:rFonts w:ascii="Verdana" w:hAnsi="Verdana"/>
          <w:sz w:val="20"/>
          <w:szCs w:val="20"/>
          <w:lang w:val="es-ES_tradnl"/>
        </w:rPr>
        <w:t>l Estado</w:t>
      </w:r>
      <w:r w:rsidRPr="004E2353">
        <w:rPr>
          <w:rFonts w:ascii="Verdana" w:hAnsi="Verdana"/>
          <w:sz w:val="20"/>
          <w:szCs w:val="20"/>
          <w:lang w:val="es-ES_tradnl"/>
        </w:rPr>
        <w:t xml:space="preserve"> que coordine y realice las diligencias necesarias para que, una vez recibidas las preguntas, si las hubiere, </w:t>
      </w:r>
      <w:r>
        <w:rPr>
          <w:rFonts w:ascii="Verdana" w:hAnsi="Verdana"/>
          <w:sz w:val="20"/>
          <w:szCs w:val="20"/>
          <w:lang w:val="es-ES_tradnl"/>
        </w:rPr>
        <w:t>el</w:t>
      </w:r>
      <w:r w:rsidRPr="004E2353">
        <w:rPr>
          <w:rFonts w:ascii="Verdana" w:hAnsi="Verdana"/>
          <w:sz w:val="20"/>
          <w:szCs w:val="20"/>
          <w:lang w:val="es-ES_tradnl"/>
        </w:rPr>
        <w:t xml:space="preserve"> declarante incluya las respuestas en su respectiva </w:t>
      </w:r>
      <w:r w:rsidRPr="004E2353">
        <w:rPr>
          <w:rFonts w:ascii="Verdana" w:hAnsi="Verdana"/>
          <w:sz w:val="20"/>
          <w:szCs w:val="20"/>
          <w:lang w:val="es-ES_tradnl"/>
        </w:rPr>
        <w:lastRenderedPageBreak/>
        <w:t xml:space="preserve">declaración rendida ante fedatario público, salvo que </w:t>
      </w:r>
      <w:r w:rsidR="00772C0D">
        <w:rPr>
          <w:rFonts w:ascii="Verdana" w:hAnsi="Verdana"/>
          <w:sz w:val="20"/>
          <w:szCs w:val="20"/>
          <w:lang w:val="es-ES_tradnl"/>
        </w:rPr>
        <w:t>la</w:t>
      </w:r>
      <w:r w:rsidR="00772C0D" w:rsidRPr="004E2353">
        <w:rPr>
          <w:rFonts w:ascii="Verdana" w:hAnsi="Verdana"/>
          <w:sz w:val="20"/>
          <w:szCs w:val="20"/>
          <w:lang w:val="es-ES_tradnl"/>
        </w:rPr>
        <w:t xml:space="preserve"> </w:t>
      </w:r>
      <w:r w:rsidRPr="004E2353">
        <w:rPr>
          <w:rFonts w:ascii="Verdana" w:hAnsi="Verdana"/>
          <w:sz w:val="20"/>
          <w:szCs w:val="20"/>
          <w:lang w:val="es-ES_tradnl"/>
        </w:rPr>
        <w:t>Presidencia disponga lo contrario, cuando la Secretaría las transmita. La declaraci</w:t>
      </w:r>
      <w:r>
        <w:rPr>
          <w:rFonts w:ascii="Verdana" w:hAnsi="Verdana"/>
          <w:sz w:val="20"/>
          <w:szCs w:val="20"/>
          <w:lang w:val="es-ES_tradnl"/>
        </w:rPr>
        <w:t>ón</w:t>
      </w:r>
      <w:r w:rsidRPr="004E2353">
        <w:rPr>
          <w:rFonts w:ascii="Verdana" w:hAnsi="Verdana"/>
          <w:sz w:val="20"/>
          <w:szCs w:val="20"/>
          <w:lang w:val="es-ES_tradnl"/>
        </w:rPr>
        <w:t xml:space="preserve"> requerida deberá ser presentada al Tribunal a más tardar el 7 de mayo de 2021. </w:t>
      </w:r>
    </w:p>
    <w:p w14:paraId="6C2EEC70" w14:textId="714ABD9A" w:rsidR="00E93C0F" w:rsidRPr="004E2353" w:rsidRDefault="00E93C0F" w:rsidP="00932D0A">
      <w:pPr>
        <w:pStyle w:val="Sinespaciado"/>
        <w:numPr>
          <w:ilvl w:val="0"/>
          <w:numId w:val="6"/>
        </w:numPr>
        <w:tabs>
          <w:tab w:val="clear" w:pos="0"/>
          <w:tab w:val="clear" w:pos="567"/>
        </w:tabs>
        <w:spacing w:before="120" w:after="120"/>
        <w:ind w:left="0" w:right="23" w:firstLine="0"/>
        <w:contextualSpacing w:val="0"/>
        <w:rPr>
          <w:rFonts w:ascii="Verdana" w:hAnsi="Verdana" w:cs="Calibri"/>
          <w:color w:val="000000"/>
          <w:sz w:val="20"/>
          <w:szCs w:val="20"/>
          <w:lang w:val="es-ES_tradnl"/>
        </w:rPr>
      </w:pPr>
      <w:r w:rsidRPr="004E2353">
        <w:rPr>
          <w:rFonts w:ascii="Verdana" w:hAnsi="Verdana"/>
          <w:sz w:val="20"/>
          <w:szCs w:val="20"/>
          <w:lang w:val="es-ES_tradnl"/>
        </w:rPr>
        <w:t>Disponer, conforme al artículo 50.6 del Reglamento, que, una vez recibida la declaraci</w:t>
      </w:r>
      <w:r>
        <w:rPr>
          <w:rFonts w:ascii="Verdana" w:hAnsi="Verdana"/>
          <w:sz w:val="20"/>
          <w:szCs w:val="20"/>
          <w:lang w:val="es-ES_tradnl"/>
        </w:rPr>
        <w:t>ón</w:t>
      </w:r>
      <w:r w:rsidRPr="004E2353">
        <w:rPr>
          <w:rFonts w:ascii="Verdana" w:hAnsi="Verdana"/>
          <w:sz w:val="20"/>
          <w:szCs w:val="20"/>
          <w:lang w:val="es-ES_tradnl"/>
        </w:rPr>
        <w:t xml:space="preserve">, la Secretaría la transmita a </w:t>
      </w:r>
      <w:r>
        <w:rPr>
          <w:rFonts w:ascii="Verdana" w:hAnsi="Verdana"/>
          <w:sz w:val="20"/>
          <w:szCs w:val="20"/>
          <w:lang w:val="es-ES_tradnl"/>
        </w:rPr>
        <w:t>los representantes</w:t>
      </w:r>
      <w:r w:rsidRPr="004E2353">
        <w:rPr>
          <w:rFonts w:ascii="Verdana" w:hAnsi="Verdana"/>
          <w:sz w:val="20"/>
          <w:szCs w:val="20"/>
          <w:lang w:val="es-ES_tradnl"/>
        </w:rPr>
        <w:t xml:space="preserve"> y a la Comisión para que, si lo estima</w:t>
      </w:r>
      <w:r>
        <w:rPr>
          <w:rFonts w:ascii="Verdana" w:hAnsi="Verdana"/>
          <w:sz w:val="20"/>
          <w:szCs w:val="20"/>
          <w:lang w:val="es-ES_tradnl"/>
        </w:rPr>
        <w:t>n</w:t>
      </w:r>
      <w:r w:rsidRPr="004E2353">
        <w:rPr>
          <w:rFonts w:ascii="Verdana" w:hAnsi="Verdana"/>
          <w:sz w:val="20"/>
          <w:szCs w:val="20"/>
          <w:lang w:val="es-ES_tradnl"/>
        </w:rPr>
        <w:t xml:space="preserve"> necesario y en lo que les corresponda, presenten sus observaciones a más tardar con sus alegatos u observaciones finales escritas, respectivamente. </w:t>
      </w:r>
    </w:p>
    <w:p w14:paraId="299CF052" w14:textId="63FFEEE9" w:rsidR="00E93C0F" w:rsidRDefault="00E93C0F" w:rsidP="00932D0A">
      <w:pPr>
        <w:pStyle w:val="Sinespaciado"/>
        <w:numPr>
          <w:ilvl w:val="0"/>
          <w:numId w:val="6"/>
        </w:numPr>
        <w:tabs>
          <w:tab w:val="clear" w:pos="0"/>
          <w:tab w:val="clear" w:pos="567"/>
        </w:tabs>
        <w:spacing w:before="120" w:after="120"/>
        <w:ind w:left="0" w:right="23" w:firstLine="0"/>
        <w:contextualSpacing w:val="0"/>
        <w:rPr>
          <w:rFonts w:ascii="Verdana" w:hAnsi="Verdana"/>
          <w:sz w:val="20"/>
          <w:szCs w:val="20"/>
          <w:lang w:val="es-ES_tradnl"/>
        </w:rPr>
      </w:pPr>
      <w:r w:rsidRPr="004E2353">
        <w:rPr>
          <w:rFonts w:ascii="Verdana" w:hAnsi="Verdana"/>
          <w:sz w:val="20"/>
          <w:szCs w:val="20"/>
          <w:lang w:val="es-ES_tradnl"/>
        </w:rPr>
        <w:t>Informar a</w:t>
      </w:r>
      <w:r>
        <w:rPr>
          <w:rFonts w:ascii="Verdana" w:hAnsi="Verdana"/>
          <w:sz w:val="20"/>
          <w:szCs w:val="20"/>
          <w:lang w:val="es-ES_tradnl"/>
        </w:rPr>
        <w:t xml:space="preserve">l Estado que, </w:t>
      </w:r>
      <w:r w:rsidRPr="009A6426">
        <w:rPr>
          <w:rFonts w:ascii="Verdana" w:hAnsi="Verdana" w:cs="Verdana"/>
          <w:sz w:val="20"/>
          <w:szCs w:val="20"/>
          <w:lang w:val="es-MX"/>
        </w:rPr>
        <w:t>aunque se haya tramitado como prueba de oficio, el Estado deberá cubrir los gastos de la declaraci</w:t>
      </w:r>
      <w:r>
        <w:rPr>
          <w:rFonts w:ascii="Verdana" w:hAnsi="Verdana" w:cs="Verdana"/>
          <w:sz w:val="20"/>
          <w:szCs w:val="20"/>
          <w:lang w:val="es-MX"/>
        </w:rPr>
        <w:t>ón</w:t>
      </w:r>
      <w:r w:rsidRPr="009A6426">
        <w:rPr>
          <w:rFonts w:ascii="Verdana" w:hAnsi="Verdana" w:cs="Verdana"/>
          <w:sz w:val="20"/>
          <w:szCs w:val="20"/>
          <w:lang w:val="es-MX"/>
        </w:rPr>
        <w:t xml:space="preserve"> de </w:t>
      </w:r>
      <w:r>
        <w:rPr>
          <w:rFonts w:ascii="Verdana" w:hAnsi="Verdana"/>
          <w:sz w:val="20"/>
          <w:szCs w:val="20"/>
          <w:lang w:val="es-ES_tradnl"/>
        </w:rPr>
        <w:t>Paolo Carozza</w:t>
      </w:r>
      <w:r w:rsidR="00914FF4">
        <w:rPr>
          <w:rFonts w:ascii="Verdana" w:hAnsi="Verdana"/>
          <w:sz w:val="20"/>
          <w:szCs w:val="20"/>
          <w:lang w:val="es-ES_tradnl"/>
        </w:rPr>
        <w:t>,</w:t>
      </w:r>
      <w:r w:rsidRPr="00E93C0F">
        <w:rPr>
          <w:rFonts w:ascii="Verdana" w:hAnsi="Verdana"/>
          <w:sz w:val="20"/>
          <w:szCs w:val="20"/>
          <w:lang w:val="es-ES_tradnl"/>
        </w:rPr>
        <w:t xml:space="preserve"> </w:t>
      </w:r>
      <w:r w:rsidRPr="00A739C5">
        <w:rPr>
          <w:rFonts w:ascii="Verdana" w:hAnsi="Verdana"/>
          <w:sz w:val="20"/>
          <w:szCs w:val="20"/>
          <w:lang w:val="es-ES_tradnl"/>
        </w:rPr>
        <w:t>de conformidad con lo dispuesto en el artículo 60 del Reglamento</w:t>
      </w:r>
      <w:r>
        <w:rPr>
          <w:rFonts w:ascii="Verdana" w:hAnsi="Verdana"/>
          <w:sz w:val="20"/>
          <w:szCs w:val="20"/>
          <w:lang w:val="es-ES_tradnl"/>
        </w:rPr>
        <w:t>.</w:t>
      </w:r>
    </w:p>
    <w:bookmarkEnd w:id="0"/>
    <w:p w14:paraId="7180BE18" w14:textId="1B2F79D6" w:rsidR="00563E96" w:rsidRPr="003E0F12" w:rsidRDefault="005C0F81" w:rsidP="00932D0A">
      <w:pPr>
        <w:pStyle w:val="Sinespaciado"/>
        <w:numPr>
          <w:ilvl w:val="0"/>
          <w:numId w:val="6"/>
        </w:numPr>
        <w:tabs>
          <w:tab w:val="clear" w:pos="0"/>
          <w:tab w:val="clear" w:pos="567"/>
        </w:tabs>
        <w:spacing w:before="120" w:after="120"/>
        <w:ind w:left="0" w:right="23" w:firstLine="0"/>
        <w:contextualSpacing w:val="0"/>
        <w:rPr>
          <w:rFonts w:ascii="Verdana" w:hAnsi="Verdana"/>
          <w:sz w:val="20"/>
          <w:szCs w:val="20"/>
          <w:lang w:val="es-ES_tradnl"/>
        </w:rPr>
      </w:pPr>
      <w:r w:rsidRPr="003E0F12">
        <w:rPr>
          <w:rFonts w:ascii="Verdana" w:hAnsi="Verdana"/>
          <w:sz w:val="20"/>
          <w:szCs w:val="20"/>
          <w:lang w:val="es-ES_tradnl"/>
        </w:rPr>
        <w:t xml:space="preserve">Disponer que la Secretaría de la Corte Interamericana notifique la presente Resolución a la Comisión Interamericana de Derechos Humanos, a </w:t>
      </w:r>
      <w:r w:rsidR="00EB4920" w:rsidRPr="003E0F12">
        <w:rPr>
          <w:rFonts w:ascii="Verdana" w:hAnsi="Verdana"/>
          <w:sz w:val="20"/>
          <w:szCs w:val="20"/>
          <w:lang w:val="es-ES_tradnl"/>
        </w:rPr>
        <w:t>l</w:t>
      </w:r>
      <w:r w:rsidR="00F64A68" w:rsidRPr="003E0F12">
        <w:rPr>
          <w:rFonts w:ascii="Verdana" w:hAnsi="Verdana"/>
          <w:sz w:val="20"/>
          <w:szCs w:val="20"/>
          <w:lang w:val="es-ES_tradnl"/>
        </w:rPr>
        <w:t>o</w:t>
      </w:r>
      <w:r w:rsidR="00EB4920" w:rsidRPr="003E0F12">
        <w:rPr>
          <w:rFonts w:ascii="Verdana" w:hAnsi="Verdana"/>
          <w:sz w:val="20"/>
          <w:szCs w:val="20"/>
          <w:lang w:val="es-ES_tradnl"/>
        </w:rPr>
        <w:t>s representantes</w:t>
      </w:r>
      <w:r w:rsidR="00BD1F0D" w:rsidRPr="003E0F12">
        <w:rPr>
          <w:rFonts w:ascii="Verdana" w:hAnsi="Verdana"/>
          <w:sz w:val="20"/>
          <w:szCs w:val="20"/>
          <w:lang w:val="es-ES_tradnl"/>
        </w:rPr>
        <w:t xml:space="preserve"> </w:t>
      </w:r>
      <w:r w:rsidRPr="003E0F12">
        <w:rPr>
          <w:rFonts w:ascii="Verdana" w:hAnsi="Verdana"/>
          <w:sz w:val="20"/>
          <w:szCs w:val="20"/>
          <w:lang w:val="es-ES_tradnl"/>
        </w:rPr>
        <w:t>de la pr</w:t>
      </w:r>
      <w:r w:rsidR="007A0CCC" w:rsidRPr="003E0F12">
        <w:rPr>
          <w:rFonts w:ascii="Verdana" w:hAnsi="Verdana"/>
          <w:sz w:val="20"/>
          <w:szCs w:val="20"/>
          <w:lang w:val="es-ES_tradnl"/>
        </w:rPr>
        <w:t xml:space="preserve">esunta víctima y a la República de </w:t>
      </w:r>
      <w:r w:rsidR="00985D84" w:rsidRPr="003E0F12">
        <w:rPr>
          <w:rFonts w:ascii="Verdana" w:hAnsi="Verdana"/>
          <w:sz w:val="20"/>
          <w:szCs w:val="20"/>
          <w:lang w:val="es-ES_tradnl"/>
        </w:rPr>
        <w:t>Chile</w:t>
      </w:r>
      <w:r w:rsidRPr="003E0F12">
        <w:rPr>
          <w:rFonts w:ascii="Verdana" w:hAnsi="Verdana"/>
          <w:sz w:val="20"/>
          <w:szCs w:val="20"/>
          <w:lang w:val="es-ES_tradnl"/>
        </w:rPr>
        <w:t>.</w:t>
      </w:r>
    </w:p>
    <w:p w14:paraId="05595940" w14:textId="77777777" w:rsidR="00813B30" w:rsidRPr="003E0F12" w:rsidRDefault="00813B30" w:rsidP="00813B30">
      <w:pPr>
        <w:pStyle w:val="Prrafodelista"/>
        <w:rPr>
          <w:rFonts w:ascii="Verdana" w:hAnsi="Verdana"/>
          <w:sz w:val="20"/>
          <w:szCs w:val="20"/>
          <w:lang w:val="es-ES_tradnl"/>
        </w:rPr>
      </w:pPr>
    </w:p>
    <w:p w14:paraId="4671A683" w14:textId="5CE71B00" w:rsidR="00813B30" w:rsidRPr="003E0F12" w:rsidRDefault="00813B30" w:rsidP="00813B30">
      <w:pPr>
        <w:tabs>
          <w:tab w:val="left" w:pos="567"/>
        </w:tabs>
        <w:jc w:val="both"/>
        <w:rPr>
          <w:rFonts w:ascii="Verdana" w:hAnsi="Verdana"/>
          <w:sz w:val="20"/>
          <w:szCs w:val="20"/>
          <w:lang w:val="es-ES_tradnl"/>
        </w:rPr>
      </w:pPr>
    </w:p>
    <w:p w14:paraId="02319FEC" w14:textId="1AC591B6" w:rsidR="00813B30" w:rsidRPr="003E0F12" w:rsidRDefault="00813B30" w:rsidP="00813B30">
      <w:pPr>
        <w:keepNext/>
        <w:spacing w:after="200"/>
        <w:jc w:val="both"/>
        <w:outlineLvl w:val="0"/>
        <w:rPr>
          <w:rFonts w:ascii="Verdana" w:hAnsi="Verdana"/>
          <w:iCs/>
          <w:sz w:val="20"/>
          <w:szCs w:val="20"/>
          <w:lang w:val="es-ES_tradnl"/>
        </w:rPr>
      </w:pPr>
      <w:r w:rsidRPr="00194E6C">
        <w:rPr>
          <w:rFonts w:ascii="Verdana" w:hAnsi="Verdana" w:cs="Courier New"/>
          <w:sz w:val="20"/>
          <w:szCs w:val="20"/>
          <w:lang w:val="pt-BR"/>
        </w:rPr>
        <w:t xml:space="preserve">Corte IDH. </w:t>
      </w:r>
      <w:r w:rsidRPr="00194E6C">
        <w:rPr>
          <w:rFonts w:ascii="Verdana" w:hAnsi="Verdana" w:cs="Courier New"/>
          <w:i/>
          <w:sz w:val="20"/>
          <w:szCs w:val="20"/>
          <w:lang w:val="pt-BR"/>
        </w:rPr>
        <w:t xml:space="preserve">Caso </w:t>
      </w:r>
      <w:r w:rsidR="00693874" w:rsidRPr="00194E6C">
        <w:rPr>
          <w:rFonts w:ascii="Verdana" w:hAnsi="Verdana" w:cs="Courier New"/>
          <w:i/>
          <w:sz w:val="20"/>
          <w:szCs w:val="20"/>
          <w:lang w:val="pt-BR"/>
        </w:rPr>
        <w:t>Pavez Pavez</w:t>
      </w:r>
      <w:r w:rsidRPr="00194E6C">
        <w:rPr>
          <w:rFonts w:ascii="Verdana" w:hAnsi="Verdana" w:cs="Courier New"/>
          <w:i/>
          <w:sz w:val="20"/>
          <w:szCs w:val="20"/>
          <w:lang w:val="pt-BR"/>
        </w:rPr>
        <w:t xml:space="preserve"> Vs. </w:t>
      </w:r>
      <w:r w:rsidR="00693874" w:rsidRPr="003E0F12">
        <w:rPr>
          <w:rFonts w:ascii="Verdana" w:hAnsi="Verdana" w:cs="Courier New"/>
          <w:i/>
          <w:sz w:val="20"/>
          <w:szCs w:val="20"/>
          <w:lang w:val="es-ES_tradnl"/>
        </w:rPr>
        <w:t>Chile</w:t>
      </w:r>
      <w:r w:rsidRPr="003E0F12">
        <w:rPr>
          <w:rFonts w:ascii="Verdana" w:hAnsi="Verdana" w:cs="Arial"/>
          <w:sz w:val="20"/>
          <w:szCs w:val="20"/>
          <w:lang w:val="es-ES_tradnl"/>
        </w:rPr>
        <w:t xml:space="preserve">. </w:t>
      </w:r>
      <w:r w:rsidRPr="003E0F12">
        <w:rPr>
          <w:rFonts w:ascii="Verdana" w:hAnsi="Verdana"/>
          <w:sz w:val="20"/>
          <w:szCs w:val="20"/>
          <w:lang w:val="es-ES_tradnl"/>
        </w:rPr>
        <w:t xml:space="preserve">Resolución de </w:t>
      </w:r>
      <w:r w:rsidR="00C00041">
        <w:rPr>
          <w:rFonts w:ascii="Verdana" w:hAnsi="Verdana"/>
          <w:sz w:val="20"/>
          <w:szCs w:val="20"/>
          <w:lang w:val="es-ES_tradnl"/>
        </w:rPr>
        <w:t xml:space="preserve">la </w:t>
      </w:r>
      <w:r w:rsidRPr="003E0F12">
        <w:rPr>
          <w:rFonts w:ascii="Verdana" w:hAnsi="Verdana"/>
          <w:sz w:val="20"/>
          <w:szCs w:val="20"/>
          <w:lang w:val="es-ES_tradnl"/>
        </w:rPr>
        <w:t>Corte Interame</w:t>
      </w:r>
      <w:r w:rsidR="00693874" w:rsidRPr="003E0F12">
        <w:rPr>
          <w:rFonts w:ascii="Verdana" w:hAnsi="Verdana"/>
          <w:sz w:val="20"/>
          <w:szCs w:val="20"/>
          <w:lang w:val="es-ES_tradnl"/>
        </w:rPr>
        <w:t xml:space="preserve">ricana de Derechos Humanos de </w:t>
      </w:r>
      <w:r w:rsidR="00E93C0F">
        <w:rPr>
          <w:rFonts w:ascii="Verdana" w:hAnsi="Verdana"/>
          <w:sz w:val="20"/>
          <w:szCs w:val="20"/>
          <w:lang w:val="es-ES_tradnl"/>
        </w:rPr>
        <w:t>26</w:t>
      </w:r>
      <w:r w:rsidR="00E93C0F" w:rsidRPr="003E0F12">
        <w:rPr>
          <w:rFonts w:ascii="Verdana" w:hAnsi="Verdana"/>
          <w:sz w:val="20"/>
          <w:szCs w:val="20"/>
          <w:lang w:val="es-ES_tradnl"/>
        </w:rPr>
        <w:t xml:space="preserve"> </w:t>
      </w:r>
      <w:r w:rsidRPr="003E0F12">
        <w:rPr>
          <w:rFonts w:ascii="Verdana" w:hAnsi="Verdana"/>
          <w:sz w:val="20"/>
          <w:szCs w:val="20"/>
          <w:lang w:val="es-ES_tradnl"/>
        </w:rPr>
        <w:t xml:space="preserve">de </w:t>
      </w:r>
      <w:r w:rsidR="00BA051C" w:rsidRPr="003E0F12">
        <w:rPr>
          <w:rFonts w:ascii="Verdana" w:hAnsi="Verdana"/>
          <w:sz w:val="20"/>
          <w:szCs w:val="20"/>
          <w:lang w:val="es-ES_tradnl"/>
        </w:rPr>
        <w:t xml:space="preserve">marzo </w:t>
      </w:r>
      <w:r w:rsidRPr="003E0F12">
        <w:rPr>
          <w:rFonts w:ascii="Verdana" w:hAnsi="Verdana"/>
          <w:sz w:val="20"/>
          <w:szCs w:val="20"/>
          <w:lang w:val="es-ES_tradnl"/>
        </w:rPr>
        <w:t xml:space="preserve">de 2021. </w:t>
      </w:r>
      <w:r w:rsidRPr="003E0F12">
        <w:rPr>
          <w:rFonts w:ascii="Verdana" w:hAnsi="Verdana"/>
          <w:iCs/>
          <w:sz w:val="20"/>
          <w:szCs w:val="20"/>
          <w:lang w:val="es-ES_tradnl"/>
        </w:rPr>
        <w:t>Resolución adoptada en San José de Costa Rica.</w:t>
      </w:r>
    </w:p>
    <w:p w14:paraId="65FF7612" w14:textId="77777777" w:rsidR="004E6AA8" w:rsidRPr="002D12F9" w:rsidRDefault="004E6AA8" w:rsidP="004E6AA8">
      <w:pPr>
        <w:jc w:val="both"/>
        <w:rPr>
          <w:rFonts w:ascii="Verdana" w:hAnsi="Verdana"/>
          <w:sz w:val="20"/>
          <w:lang w:val="es-ES"/>
        </w:rPr>
      </w:pPr>
      <w:r w:rsidRPr="002D12F9">
        <w:rPr>
          <w:rFonts w:ascii="Verdana" w:hAnsi="Verdana"/>
          <w:sz w:val="20"/>
          <w:lang w:val="es-ES"/>
        </w:rPr>
        <w:t xml:space="preserve">Corte IDH. </w:t>
      </w:r>
      <w:r w:rsidRPr="005F2974">
        <w:rPr>
          <w:rFonts w:ascii="Verdana" w:hAnsi="Verdana"/>
          <w:i/>
          <w:sz w:val="20"/>
          <w:lang w:val="pt-BR"/>
        </w:rPr>
        <w:t xml:space="preserve">Caso </w:t>
      </w:r>
      <w:proofErr w:type="spellStart"/>
      <w:r w:rsidRPr="005F2974">
        <w:rPr>
          <w:rFonts w:ascii="Verdana" w:hAnsi="Verdana"/>
          <w:i/>
          <w:iCs/>
          <w:sz w:val="20"/>
          <w:lang w:val="pt-BR"/>
        </w:rPr>
        <w:t>Pavez</w:t>
      </w:r>
      <w:proofErr w:type="spellEnd"/>
      <w:r w:rsidRPr="005F2974">
        <w:rPr>
          <w:rFonts w:ascii="Verdana" w:hAnsi="Verdana"/>
          <w:i/>
          <w:iCs/>
          <w:sz w:val="20"/>
          <w:lang w:val="pt-BR"/>
        </w:rPr>
        <w:t xml:space="preserve"> </w:t>
      </w:r>
      <w:proofErr w:type="spellStart"/>
      <w:r w:rsidRPr="005F2974">
        <w:rPr>
          <w:rFonts w:ascii="Verdana" w:hAnsi="Verdana"/>
          <w:i/>
          <w:iCs/>
          <w:sz w:val="20"/>
          <w:lang w:val="pt-BR"/>
        </w:rPr>
        <w:t>Pavez</w:t>
      </w:r>
      <w:proofErr w:type="spellEnd"/>
      <w:r w:rsidRPr="005F2974">
        <w:rPr>
          <w:rFonts w:ascii="Verdana" w:hAnsi="Verdana"/>
          <w:i/>
          <w:iCs/>
          <w:sz w:val="20"/>
          <w:lang w:val="pt-BR"/>
        </w:rPr>
        <w:t xml:space="preserve"> Vs. Chile</w:t>
      </w:r>
      <w:r w:rsidRPr="005F2974">
        <w:rPr>
          <w:rFonts w:ascii="Verdana" w:hAnsi="Verdana"/>
          <w:iCs/>
          <w:sz w:val="20"/>
          <w:lang w:val="pt-BR"/>
        </w:rPr>
        <w:t>.</w:t>
      </w:r>
      <w:r w:rsidRPr="005F2974">
        <w:rPr>
          <w:rFonts w:ascii="Verdana" w:hAnsi="Verdana"/>
          <w:sz w:val="20"/>
          <w:lang w:val="pt-BR"/>
        </w:rPr>
        <w:t xml:space="preserve"> </w:t>
      </w:r>
      <w:r>
        <w:rPr>
          <w:rFonts w:ascii="Verdana" w:hAnsi="Verdana"/>
          <w:sz w:val="20"/>
          <w:lang w:val="es-ES"/>
        </w:rPr>
        <w:t>Resolución de la Corte Interamericana de Derechos Humanos</w:t>
      </w:r>
      <w:r w:rsidRPr="002D12F9">
        <w:rPr>
          <w:rFonts w:ascii="Verdana" w:hAnsi="Verdana"/>
          <w:sz w:val="20"/>
          <w:lang w:val="es-ES"/>
        </w:rPr>
        <w:t xml:space="preserve"> de </w:t>
      </w:r>
      <w:r>
        <w:rPr>
          <w:rFonts w:ascii="Verdana" w:hAnsi="Verdana"/>
          <w:sz w:val="20"/>
          <w:lang w:val="es-ES"/>
        </w:rPr>
        <w:t>26</w:t>
      </w:r>
      <w:r w:rsidRPr="002D12F9">
        <w:rPr>
          <w:rFonts w:ascii="Verdana" w:hAnsi="Verdana"/>
          <w:sz w:val="20"/>
          <w:lang w:val="es-ES"/>
        </w:rPr>
        <w:t xml:space="preserve"> de </w:t>
      </w:r>
      <w:r>
        <w:rPr>
          <w:rFonts w:ascii="Verdana" w:hAnsi="Verdana"/>
          <w:sz w:val="20"/>
          <w:lang w:val="es-ES"/>
        </w:rPr>
        <w:t>marzo</w:t>
      </w:r>
      <w:r w:rsidRPr="002D12F9">
        <w:rPr>
          <w:rFonts w:ascii="Verdana" w:hAnsi="Verdana"/>
          <w:sz w:val="20"/>
          <w:lang w:val="es-ES"/>
        </w:rPr>
        <w:t xml:space="preserve"> de 20</w:t>
      </w:r>
      <w:r>
        <w:rPr>
          <w:rFonts w:ascii="Verdana" w:hAnsi="Verdana"/>
          <w:sz w:val="20"/>
          <w:lang w:val="es-ES"/>
        </w:rPr>
        <w:t>21</w:t>
      </w:r>
      <w:r w:rsidRPr="002D12F9">
        <w:rPr>
          <w:rFonts w:ascii="Verdana" w:hAnsi="Verdana"/>
          <w:sz w:val="20"/>
          <w:lang w:val="es-ES"/>
        </w:rPr>
        <w:t>.</w:t>
      </w:r>
    </w:p>
    <w:p w14:paraId="63FDBA7F" w14:textId="77777777" w:rsidR="004E6AA8" w:rsidRPr="005F2974" w:rsidRDefault="004E6AA8" w:rsidP="004E6AA8">
      <w:pPr>
        <w:jc w:val="center"/>
        <w:rPr>
          <w:rFonts w:ascii="Verdana" w:hAnsi="Verdana"/>
          <w:sz w:val="20"/>
          <w:lang w:val="es-AR"/>
        </w:rPr>
      </w:pPr>
    </w:p>
    <w:p w14:paraId="17E87600" w14:textId="77777777" w:rsidR="004E6AA8" w:rsidRPr="005F2974" w:rsidRDefault="004E6AA8" w:rsidP="004E6AA8">
      <w:pPr>
        <w:jc w:val="center"/>
        <w:rPr>
          <w:rFonts w:ascii="Verdana" w:hAnsi="Verdana"/>
          <w:sz w:val="20"/>
          <w:lang w:val="es-AR"/>
        </w:rPr>
      </w:pPr>
      <w:r w:rsidRPr="005F2974">
        <w:rPr>
          <w:rFonts w:ascii="Verdana" w:hAnsi="Verdana"/>
          <w:sz w:val="20"/>
          <w:lang w:val="es-AR"/>
        </w:rPr>
        <w:t>Elizabeth Odio Benito</w:t>
      </w:r>
    </w:p>
    <w:p w14:paraId="4C03AC00" w14:textId="4291C1EC" w:rsidR="004E6AA8" w:rsidRPr="005F2974" w:rsidRDefault="004E6AA8" w:rsidP="004E6AA8">
      <w:pPr>
        <w:jc w:val="center"/>
        <w:rPr>
          <w:rFonts w:ascii="Verdana" w:hAnsi="Verdana"/>
          <w:sz w:val="20"/>
          <w:lang w:val="es-AR"/>
        </w:rPr>
      </w:pPr>
      <w:r w:rsidRPr="005F2974">
        <w:rPr>
          <w:rFonts w:ascii="Verdana" w:hAnsi="Verdana"/>
          <w:sz w:val="20"/>
          <w:lang w:val="es-AR"/>
        </w:rPr>
        <w:t>Presidenta</w:t>
      </w:r>
    </w:p>
    <w:p w14:paraId="43EA5936" w14:textId="6CC961AF" w:rsidR="004E6AA8" w:rsidRPr="005F2974" w:rsidRDefault="004E6AA8" w:rsidP="004E6AA8">
      <w:pPr>
        <w:jc w:val="center"/>
        <w:rPr>
          <w:rFonts w:ascii="Verdana" w:hAnsi="Verdana"/>
          <w:sz w:val="20"/>
          <w:lang w:val="es-AR"/>
        </w:rPr>
      </w:pPr>
    </w:p>
    <w:p w14:paraId="106D44F6" w14:textId="77777777" w:rsidR="004E6AA8" w:rsidRPr="005F2974" w:rsidRDefault="004E6AA8" w:rsidP="004E6AA8">
      <w:pPr>
        <w:jc w:val="center"/>
        <w:rPr>
          <w:rFonts w:ascii="Verdana" w:hAnsi="Verdana"/>
          <w:sz w:val="20"/>
          <w:lang w:val="es-AR"/>
        </w:rPr>
      </w:pPr>
    </w:p>
    <w:p w14:paraId="4AFB4AC3" w14:textId="77777777" w:rsidR="004E6AA8" w:rsidRPr="005F2974" w:rsidRDefault="004E6AA8" w:rsidP="004E6AA8">
      <w:pPr>
        <w:jc w:val="center"/>
        <w:rPr>
          <w:rFonts w:ascii="Verdana" w:hAnsi="Verdana"/>
          <w:sz w:val="20"/>
          <w:lang w:val="es-AR"/>
        </w:rPr>
      </w:pPr>
    </w:p>
    <w:p w14:paraId="7D7313D6" w14:textId="04B56672" w:rsidR="004E6AA8" w:rsidRPr="005F2974" w:rsidRDefault="004E6AA8" w:rsidP="004E6AA8">
      <w:pPr>
        <w:rPr>
          <w:rFonts w:ascii="Verdana" w:hAnsi="Verdana"/>
          <w:sz w:val="20"/>
          <w:lang w:val="pt-BR"/>
        </w:rPr>
      </w:pPr>
      <w:r w:rsidRPr="005F2974">
        <w:rPr>
          <w:rFonts w:ascii="Verdana" w:hAnsi="Verdana"/>
          <w:sz w:val="20"/>
          <w:lang w:val="pt-BR"/>
        </w:rPr>
        <w:t xml:space="preserve">L. </w:t>
      </w:r>
      <w:proofErr w:type="spellStart"/>
      <w:r w:rsidRPr="005F2974">
        <w:rPr>
          <w:rFonts w:ascii="Verdana" w:hAnsi="Verdana"/>
          <w:sz w:val="20"/>
          <w:lang w:val="pt-BR"/>
        </w:rPr>
        <w:t>Patricio</w:t>
      </w:r>
      <w:proofErr w:type="spellEnd"/>
      <w:r w:rsidRPr="005F2974">
        <w:rPr>
          <w:rFonts w:ascii="Verdana" w:hAnsi="Verdana"/>
          <w:sz w:val="20"/>
          <w:lang w:val="pt-BR"/>
        </w:rPr>
        <w:t xml:space="preserve"> </w:t>
      </w:r>
      <w:proofErr w:type="spellStart"/>
      <w:r w:rsidRPr="005F2974">
        <w:rPr>
          <w:rFonts w:ascii="Verdana" w:hAnsi="Verdana"/>
          <w:sz w:val="20"/>
          <w:lang w:val="pt-BR"/>
        </w:rPr>
        <w:t>Pazmiño</w:t>
      </w:r>
      <w:proofErr w:type="spellEnd"/>
      <w:r w:rsidRPr="005F2974">
        <w:rPr>
          <w:rFonts w:ascii="Verdana" w:hAnsi="Verdana"/>
          <w:sz w:val="20"/>
          <w:lang w:val="pt-BR"/>
        </w:rPr>
        <w:t xml:space="preserve"> Freire</w:t>
      </w:r>
      <w:r w:rsidRPr="005F2974">
        <w:rPr>
          <w:rFonts w:ascii="Verdana" w:hAnsi="Verdana"/>
          <w:sz w:val="20"/>
          <w:lang w:val="pt-BR"/>
        </w:rPr>
        <w:tab/>
      </w:r>
      <w:r w:rsidRPr="005F2974">
        <w:rPr>
          <w:rFonts w:ascii="Verdana" w:hAnsi="Verdana"/>
          <w:sz w:val="20"/>
          <w:lang w:val="pt-BR"/>
        </w:rPr>
        <w:tab/>
      </w:r>
      <w:r w:rsidRPr="005F2974">
        <w:rPr>
          <w:rFonts w:ascii="Verdana" w:hAnsi="Verdana"/>
          <w:sz w:val="20"/>
          <w:lang w:val="pt-BR"/>
        </w:rPr>
        <w:tab/>
      </w:r>
      <w:r w:rsidRPr="005F2974">
        <w:rPr>
          <w:rFonts w:ascii="Verdana" w:hAnsi="Verdana"/>
          <w:sz w:val="20"/>
          <w:lang w:val="pt-BR"/>
        </w:rPr>
        <w:tab/>
        <w:t xml:space="preserve">                 Humberto </w:t>
      </w:r>
      <w:proofErr w:type="spellStart"/>
      <w:r w:rsidRPr="005F2974">
        <w:rPr>
          <w:rFonts w:ascii="Verdana" w:hAnsi="Verdana"/>
          <w:sz w:val="20"/>
          <w:lang w:val="pt-BR"/>
        </w:rPr>
        <w:t>Antonio</w:t>
      </w:r>
      <w:proofErr w:type="spellEnd"/>
      <w:r w:rsidRPr="005F2974">
        <w:rPr>
          <w:rFonts w:ascii="Verdana" w:hAnsi="Verdana"/>
          <w:sz w:val="20"/>
          <w:lang w:val="pt-BR"/>
        </w:rPr>
        <w:t xml:space="preserve"> </w:t>
      </w:r>
      <w:proofErr w:type="spellStart"/>
      <w:r w:rsidRPr="005F2974">
        <w:rPr>
          <w:rFonts w:ascii="Verdana" w:hAnsi="Verdana"/>
          <w:sz w:val="20"/>
          <w:lang w:val="pt-BR"/>
        </w:rPr>
        <w:t>Sierra</w:t>
      </w:r>
      <w:proofErr w:type="spellEnd"/>
      <w:r w:rsidRPr="005F2974">
        <w:rPr>
          <w:rFonts w:ascii="Verdana" w:hAnsi="Verdana"/>
          <w:sz w:val="20"/>
          <w:lang w:val="pt-BR"/>
        </w:rPr>
        <w:t xml:space="preserve"> Porto</w:t>
      </w:r>
    </w:p>
    <w:p w14:paraId="42CCE131" w14:textId="77777777" w:rsidR="004E6AA8" w:rsidRPr="005F2974" w:rsidRDefault="004E6AA8" w:rsidP="004E6AA8">
      <w:pPr>
        <w:rPr>
          <w:rFonts w:ascii="Verdana" w:hAnsi="Verdana"/>
          <w:sz w:val="20"/>
          <w:lang w:val="pt-BR"/>
        </w:rPr>
      </w:pPr>
    </w:p>
    <w:p w14:paraId="48E7F6BB" w14:textId="29B3132F" w:rsidR="004E6AA8" w:rsidRPr="005F2974" w:rsidRDefault="004E6AA8" w:rsidP="004E6AA8">
      <w:pPr>
        <w:rPr>
          <w:rFonts w:ascii="Verdana" w:hAnsi="Verdana"/>
          <w:sz w:val="20"/>
          <w:lang w:val="pt-BR"/>
        </w:rPr>
      </w:pPr>
    </w:p>
    <w:p w14:paraId="05F14D49" w14:textId="77777777" w:rsidR="004E6AA8" w:rsidRPr="005F2974" w:rsidRDefault="004E6AA8" w:rsidP="004E6AA8">
      <w:pPr>
        <w:rPr>
          <w:rFonts w:ascii="Verdana" w:hAnsi="Verdana"/>
          <w:sz w:val="20"/>
          <w:lang w:val="pt-BR"/>
        </w:rPr>
      </w:pPr>
    </w:p>
    <w:p w14:paraId="490CFA71" w14:textId="77777777" w:rsidR="004E6AA8" w:rsidRPr="005F2974" w:rsidRDefault="004E6AA8" w:rsidP="004E6AA8">
      <w:pPr>
        <w:rPr>
          <w:rFonts w:ascii="Verdana" w:hAnsi="Verdana"/>
          <w:sz w:val="20"/>
          <w:lang w:val="pt-BR"/>
        </w:rPr>
      </w:pPr>
      <w:r w:rsidRPr="005F2974">
        <w:rPr>
          <w:rFonts w:ascii="Verdana" w:hAnsi="Verdana"/>
          <w:sz w:val="20"/>
          <w:lang w:val="pt-BR"/>
        </w:rPr>
        <w:t xml:space="preserve">Eduardo Ferrer </w:t>
      </w:r>
      <w:proofErr w:type="spellStart"/>
      <w:r w:rsidRPr="005F2974">
        <w:rPr>
          <w:rFonts w:ascii="Verdana" w:hAnsi="Verdana"/>
          <w:sz w:val="20"/>
          <w:lang w:val="pt-BR"/>
        </w:rPr>
        <w:t>Mac-Gregor</w:t>
      </w:r>
      <w:proofErr w:type="spellEnd"/>
      <w:r w:rsidRPr="005F2974">
        <w:rPr>
          <w:rFonts w:ascii="Verdana" w:hAnsi="Verdana"/>
          <w:sz w:val="20"/>
          <w:lang w:val="pt-BR"/>
        </w:rPr>
        <w:t xml:space="preserve"> </w:t>
      </w:r>
      <w:proofErr w:type="spellStart"/>
      <w:r w:rsidRPr="005F2974">
        <w:rPr>
          <w:rFonts w:ascii="Verdana" w:hAnsi="Verdana"/>
          <w:sz w:val="20"/>
          <w:lang w:val="pt-BR"/>
        </w:rPr>
        <w:t>Poisot</w:t>
      </w:r>
      <w:proofErr w:type="spellEnd"/>
      <w:r w:rsidRPr="005F2974">
        <w:rPr>
          <w:rFonts w:ascii="Verdana" w:hAnsi="Verdana"/>
          <w:sz w:val="20"/>
          <w:lang w:val="pt-BR"/>
        </w:rPr>
        <w:tab/>
        <w:t xml:space="preserve">                                                 Eugenio </w:t>
      </w:r>
      <w:proofErr w:type="spellStart"/>
      <w:r w:rsidRPr="005F2974">
        <w:rPr>
          <w:rFonts w:ascii="Verdana" w:hAnsi="Verdana"/>
          <w:sz w:val="20"/>
          <w:lang w:val="pt-BR"/>
        </w:rPr>
        <w:t>Raúl</w:t>
      </w:r>
      <w:proofErr w:type="spellEnd"/>
      <w:r w:rsidRPr="005F2974">
        <w:rPr>
          <w:rFonts w:ascii="Verdana" w:hAnsi="Verdana"/>
          <w:sz w:val="20"/>
          <w:lang w:val="pt-BR"/>
        </w:rPr>
        <w:t xml:space="preserve"> </w:t>
      </w:r>
      <w:proofErr w:type="spellStart"/>
      <w:r w:rsidRPr="005F2974">
        <w:rPr>
          <w:rFonts w:ascii="Verdana" w:hAnsi="Verdana"/>
          <w:sz w:val="20"/>
          <w:lang w:val="pt-BR"/>
        </w:rPr>
        <w:t>Zaffaroni</w:t>
      </w:r>
      <w:proofErr w:type="spellEnd"/>
      <w:r w:rsidRPr="005F2974">
        <w:rPr>
          <w:rFonts w:ascii="Verdana" w:hAnsi="Verdana"/>
          <w:sz w:val="20"/>
          <w:lang w:val="pt-BR"/>
        </w:rPr>
        <w:t xml:space="preserve"> </w:t>
      </w:r>
    </w:p>
    <w:p w14:paraId="11F08CBB" w14:textId="77777777" w:rsidR="004E6AA8" w:rsidRPr="005F2974" w:rsidRDefault="004E6AA8" w:rsidP="004E6AA8">
      <w:pPr>
        <w:rPr>
          <w:rFonts w:ascii="Verdana" w:hAnsi="Verdana"/>
          <w:sz w:val="20"/>
          <w:lang w:val="pt-BR"/>
        </w:rPr>
      </w:pPr>
    </w:p>
    <w:p w14:paraId="5453A6F1" w14:textId="77777777" w:rsidR="004E6AA8" w:rsidRPr="005F2974" w:rsidRDefault="004E6AA8" w:rsidP="004E6AA8">
      <w:pPr>
        <w:rPr>
          <w:rFonts w:ascii="Verdana" w:hAnsi="Verdana"/>
          <w:sz w:val="20"/>
          <w:lang w:val="pt-BR"/>
        </w:rPr>
      </w:pPr>
    </w:p>
    <w:p w14:paraId="2838508E" w14:textId="55F3AFAA" w:rsidR="004E6AA8" w:rsidRPr="005F2974" w:rsidRDefault="004E6AA8" w:rsidP="004E6AA8">
      <w:pPr>
        <w:rPr>
          <w:rFonts w:ascii="Verdana" w:hAnsi="Verdana"/>
          <w:sz w:val="20"/>
          <w:lang w:val="pt-BR"/>
        </w:rPr>
      </w:pPr>
    </w:p>
    <w:p w14:paraId="344D8B52" w14:textId="00A6F271" w:rsidR="004E6AA8" w:rsidRPr="005F2974" w:rsidRDefault="004E6AA8" w:rsidP="004E6AA8">
      <w:pPr>
        <w:jc w:val="center"/>
        <w:rPr>
          <w:rFonts w:ascii="Verdana" w:hAnsi="Verdana"/>
          <w:sz w:val="20"/>
          <w:lang w:val="es-AR"/>
        </w:rPr>
      </w:pPr>
      <w:r w:rsidRPr="005F2974">
        <w:rPr>
          <w:rFonts w:ascii="Verdana" w:hAnsi="Verdana"/>
          <w:sz w:val="20"/>
          <w:lang w:val="es-AR"/>
        </w:rPr>
        <w:t>Ricardo C. Pérez Manrique</w:t>
      </w:r>
    </w:p>
    <w:p w14:paraId="64059957" w14:textId="77777777" w:rsidR="004E6AA8" w:rsidRPr="005F2974" w:rsidRDefault="004E6AA8" w:rsidP="004E6AA8">
      <w:pPr>
        <w:jc w:val="both"/>
        <w:rPr>
          <w:rFonts w:ascii="Verdana" w:hAnsi="Verdana"/>
          <w:sz w:val="20"/>
          <w:lang w:val="es-AR"/>
        </w:rPr>
      </w:pPr>
    </w:p>
    <w:p w14:paraId="45D87AC4" w14:textId="77777777" w:rsidR="004E6AA8" w:rsidRPr="005F2974" w:rsidRDefault="004E6AA8" w:rsidP="004E6AA8">
      <w:pPr>
        <w:jc w:val="both"/>
        <w:rPr>
          <w:rFonts w:ascii="Verdana" w:hAnsi="Verdana"/>
          <w:sz w:val="20"/>
          <w:lang w:val="es-AR"/>
        </w:rPr>
      </w:pPr>
    </w:p>
    <w:p w14:paraId="1CEA9B14" w14:textId="77777777" w:rsidR="004E6AA8" w:rsidRPr="00FC4051" w:rsidRDefault="004E6AA8" w:rsidP="004E6AA8">
      <w:pPr>
        <w:jc w:val="center"/>
        <w:rPr>
          <w:rFonts w:ascii="Verdana" w:hAnsi="Verdana"/>
          <w:sz w:val="20"/>
          <w:lang w:val="pt-BR"/>
        </w:rPr>
      </w:pPr>
      <w:r w:rsidRPr="00FC4051">
        <w:rPr>
          <w:rFonts w:ascii="Verdana" w:hAnsi="Verdana"/>
          <w:sz w:val="20"/>
          <w:lang w:val="pt-BR"/>
        </w:rPr>
        <w:t>Pablo Saavedra Alessandri</w:t>
      </w:r>
    </w:p>
    <w:p w14:paraId="6F4C1AFD" w14:textId="77777777" w:rsidR="004E6AA8" w:rsidRDefault="004E6AA8" w:rsidP="004E6AA8">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55B45C1D" w14:textId="77777777" w:rsidR="004E6AA8" w:rsidRPr="00FC4051" w:rsidRDefault="004E6AA8" w:rsidP="004E6AA8">
      <w:pPr>
        <w:pStyle w:val="Textonotapie"/>
        <w:rPr>
          <w:rFonts w:ascii="Verdana" w:hAnsi="Verdana"/>
          <w:lang w:val="pt-BR"/>
        </w:rPr>
      </w:pPr>
    </w:p>
    <w:p w14:paraId="033E9649" w14:textId="77777777" w:rsidR="004E6AA8" w:rsidRPr="00FC4051" w:rsidRDefault="004E6AA8" w:rsidP="004E6AA8">
      <w:pPr>
        <w:pStyle w:val="Textonotapie"/>
        <w:rPr>
          <w:rFonts w:ascii="Verdana" w:hAnsi="Verdana"/>
          <w:lang w:val="pt-BR"/>
        </w:rPr>
      </w:pPr>
    </w:p>
    <w:p w14:paraId="13182884" w14:textId="1FAF78D3" w:rsidR="004E6AA8" w:rsidRPr="00FC4051" w:rsidRDefault="004E6AA8" w:rsidP="004E6AA8">
      <w:pPr>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14:paraId="2BC3D785" w14:textId="29BAEABB" w:rsidR="004E6AA8" w:rsidRDefault="004E6AA8" w:rsidP="004E6AA8">
      <w:pPr>
        <w:jc w:val="center"/>
        <w:rPr>
          <w:rFonts w:ascii="Verdana" w:hAnsi="Verdana"/>
          <w:sz w:val="20"/>
          <w:lang w:val="pt-BR"/>
        </w:rPr>
      </w:pPr>
    </w:p>
    <w:p w14:paraId="132FD692" w14:textId="77777777" w:rsidR="004E6AA8" w:rsidRPr="00FC4051" w:rsidRDefault="004E6AA8" w:rsidP="004E6AA8">
      <w:pPr>
        <w:jc w:val="right"/>
        <w:rPr>
          <w:rFonts w:ascii="Verdana" w:hAnsi="Verdana"/>
          <w:sz w:val="20"/>
          <w:lang w:val="pt-BR"/>
        </w:rPr>
      </w:pPr>
    </w:p>
    <w:p w14:paraId="2D475CEE" w14:textId="77777777" w:rsidR="004E6AA8" w:rsidRDefault="004E6AA8" w:rsidP="004E6AA8">
      <w:pPr>
        <w:jc w:val="center"/>
        <w:rPr>
          <w:rFonts w:ascii="Verdana" w:hAnsi="Verdana"/>
          <w:sz w:val="20"/>
          <w:lang w:val="pt-BR"/>
        </w:rPr>
      </w:pPr>
      <w:r>
        <w:rPr>
          <w:rFonts w:ascii="Verdana" w:hAnsi="Verdana"/>
          <w:sz w:val="20"/>
          <w:lang w:val="pt-BR"/>
        </w:rPr>
        <w:t xml:space="preserve">                                                                                                Elizabeth Odio Benito</w:t>
      </w:r>
    </w:p>
    <w:p w14:paraId="25C4F1A7" w14:textId="77777777" w:rsidR="004E6AA8" w:rsidRDefault="004E6AA8" w:rsidP="004E6AA8">
      <w:pPr>
        <w:ind w:left="6480" w:firstLine="720"/>
        <w:rPr>
          <w:rFonts w:ascii="Verdana" w:hAnsi="Verdana"/>
          <w:sz w:val="20"/>
          <w:lang w:val="pt-BR"/>
        </w:rPr>
      </w:pPr>
      <w:r>
        <w:rPr>
          <w:rFonts w:ascii="Verdana" w:hAnsi="Verdana"/>
          <w:sz w:val="20"/>
          <w:lang w:val="pt-BR"/>
        </w:rPr>
        <w:t xml:space="preserve">     Presidenta</w:t>
      </w:r>
    </w:p>
    <w:p w14:paraId="6E44845C" w14:textId="77777777" w:rsidR="004E6AA8" w:rsidRDefault="004E6AA8" w:rsidP="004E6AA8">
      <w:pPr>
        <w:jc w:val="both"/>
        <w:rPr>
          <w:rFonts w:ascii="Verdana" w:hAnsi="Verdana"/>
          <w:sz w:val="20"/>
          <w:lang w:val="pt-BR"/>
        </w:rPr>
      </w:pPr>
    </w:p>
    <w:p w14:paraId="5596B8C1" w14:textId="77777777" w:rsidR="004E6AA8" w:rsidRPr="00FC4051" w:rsidRDefault="004E6AA8" w:rsidP="004E6AA8">
      <w:pPr>
        <w:jc w:val="both"/>
        <w:rPr>
          <w:rFonts w:ascii="Verdana" w:hAnsi="Verdana"/>
          <w:sz w:val="20"/>
          <w:lang w:val="pt-BR"/>
        </w:rPr>
      </w:pPr>
    </w:p>
    <w:p w14:paraId="123A9D5B" w14:textId="77777777" w:rsidR="004E6AA8" w:rsidRPr="00FC4051" w:rsidRDefault="004E6AA8" w:rsidP="004E6AA8">
      <w:pPr>
        <w:jc w:val="both"/>
        <w:rPr>
          <w:rFonts w:ascii="Verdana" w:hAnsi="Verdana"/>
          <w:sz w:val="20"/>
          <w:lang w:val="pt-BR"/>
        </w:rPr>
      </w:pPr>
      <w:r w:rsidRPr="00FC4051">
        <w:rPr>
          <w:rFonts w:ascii="Verdana" w:hAnsi="Verdana"/>
          <w:sz w:val="20"/>
          <w:lang w:val="pt-BR"/>
        </w:rPr>
        <w:t>Pablo Saavedra Alessandri</w:t>
      </w:r>
    </w:p>
    <w:p w14:paraId="6DB36C58" w14:textId="77777777" w:rsidR="004E6AA8" w:rsidRPr="007E10A8" w:rsidRDefault="004E6AA8" w:rsidP="004E6AA8">
      <w:pPr>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sectPr w:rsidR="004E6AA8" w:rsidRPr="007E10A8" w:rsidSect="009F6A20">
      <w:headerReference w:type="even" r:id="rId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87BCF" w14:textId="77777777" w:rsidR="000D6D9F" w:rsidRDefault="000D6D9F" w:rsidP="00E97AA8">
      <w:r>
        <w:separator/>
      </w:r>
    </w:p>
    <w:p w14:paraId="4EA25EE8" w14:textId="77777777" w:rsidR="000D6D9F" w:rsidRDefault="000D6D9F" w:rsidP="00E97AA8"/>
  </w:endnote>
  <w:endnote w:type="continuationSeparator" w:id="0">
    <w:p w14:paraId="4EC7477F" w14:textId="77777777" w:rsidR="000D6D9F" w:rsidRDefault="000D6D9F" w:rsidP="00E97AA8">
      <w:r>
        <w:continuationSeparator/>
      </w:r>
    </w:p>
    <w:p w14:paraId="4E0EC241" w14:textId="77777777" w:rsidR="000D6D9F" w:rsidRDefault="000D6D9F"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BE3B6" w14:textId="77777777" w:rsidR="000D6D9F" w:rsidRDefault="000D6D9F" w:rsidP="00E97AA8">
      <w:r>
        <w:separator/>
      </w:r>
    </w:p>
  </w:footnote>
  <w:footnote w:type="continuationSeparator" w:id="0">
    <w:p w14:paraId="20A4A533" w14:textId="77777777" w:rsidR="000D6D9F" w:rsidRDefault="000D6D9F" w:rsidP="00E97AA8">
      <w:r>
        <w:continuationSeparator/>
      </w:r>
    </w:p>
    <w:p w14:paraId="6762560A" w14:textId="77777777" w:rsidR="000D6D9F" w:rsidRDefault="000D6D9F" w:rsidP="00E97AA8"/>
  </w:footnote>
  <w:footnote w:id="1">
    <w:p w14:paraId="06949E16" w14:textId="554FD122" w:rsidR="000D5F10" w:rsidRPr="000D5F10" w:rsidRDefault="000D5F10" w:rsidP="00541B0C">
      <w:pPr>
        <w:pStyle w:val="Textonotapie"/>
        <w:jc w:val="both"/>
      </w:pPr>
      <w:r w:rsidRPr="00541B0C">
        <w:rPr>
          <w:rStyle w:val="Refdenotaalpie"/>
        </w:rPr>
        <w:sym w:font="Symbol" w:char="F02A"/>
      </w:r>
      <w:r>
        <w:t xml:space="preserve"> </w:t>
      </w:r>
      <w:r>
        <w:tab/>
      </w:r>
      <w:r w:rsidRPr="0032537C">
        <w:rPr>
          <w:rFonts w:ascii="Verdana" w:hAnsi="Verdana"/>
          <w:sz w:val="16"/>
          <w:szCs w:val="16"/>
        </w:rPr>
        <w:t>Debido a las circunstancias excepcionales ocasionadas por la pandemia COVID-19, esta Resolución fue aprobada durante el 140 Período Ordinario de Sesiones, llevado a cabo de forma no presencial utilizando medios tecnológicos de conformidad con lo establecido en el Reglamento de la Corte. El Juez Eduardo Vio Grossi, de nacionalidad</w:t>
      </w:r>
      <w:r w:rsidRPr="0032537C">
        <w:rPr>
          <w:rFonts w:ascii="Verdana" w:hAnsi="Verdana"/>
          <w:spacing w:val="-10"/>
          <w:sz w:val="16"/>
          <w:szCs w:val="16"/>
        </w:rPr>
        <w:t xml:space="preserve"> </w:t>
      </w:r>
      <w:r w:rsidRPr="0032537C">
        <w:rPr>
          <w:rFonts w:ascii="Verdana" w:hAnsi="Verdana"/>
          <w:sz w:val="16"/>
          <w:szCs w:val="16"/>
        </w:rPr>
        <w:t>chilena,</w:t>
      </w:r>
      <w:r w:rsidRPr="0032537C">
        <w:rPr>
          <w:rFonts w:ascii="Verdana" w:hAnsi="Verdana"/>
          <w:spacing w:val="-9"/>
          <w:sz w:val="16"/>
          <w:szCs w:val="16"/>
        </w:rPr>
        <w:t xml:space="preserve"> </w:t>
      </w:r>
      <w:r w:rsidRPr="0032537C">
        <w:rPr>
          <w:rFonts w:ascii="Verdana" w:hAnsi="Verdana"/>
          <w:sz w:val="16"/>
          <w:szCs w:val="16"/>
        </w:rPr>
        <w:t>no</w:t>
      </w:r>
      <w:r w:rsidRPr="0032537C">
        <w:rPr>
          <w:rFonts w:ascii="Verdana" w:hAnsi="Verdana"/>
          <w:spacing w:val="-9"/>
          <w:sz w:val="16"/>
          <w:szCs w:val="16"/>
        </w:rPr>
        <w:t xml:space="preserve"> </w:t>
      </w:r>
      <w:r w:rsidRPr="0032537C">
        <w:rPr>
          <w:rFonts w:ascii="Verdana" w:hAnsi="Verdana"/>
          <w:sz w:val="16"/>
          <w:szCs w:val="16"/>
        </w:rPr>
        <w:t>participó</w:t>
      </w:r>
      <w:r w:rsidRPr="0032537C">
        <w:rPr>
          <w:rFonts w:ascii="Verdana" w:hAnsi="Verdana"/>
          <w:spacing w:val="-10"/>
          <w:sz w:val="16"/>
          <w:szCs w:val="16"/>
        </w:rPr>
        <w:t xml:space="preserve"> </w:t>
      </w:r>
      <w:r w:rsidRPr="0032537C">
        <w:rPr>
          <w:rFonts w:ascii="Verdana" w:hAnsi="Verdana"/>
          <w:sz w:val="16"/>
          <w:szCs w:val="16"/>
        </w:rPr>
        <w:t>en</w:t>
      </w:r>
      <w:r w:rsidRPr="0032537C">
        <w:rPr>
          <w:rFonts w:ascii="Verdana" w:hAnsi="Verdana"/>
          <w:spacing w:val="-12"/>
          <w:sz w:val="16"/>
          <w:szCs w:val="16"/>
        </w:rPr>
        <w:t xml:space="preserve"> </w:t>
      </w:r>
      <w:r w:rsidRPr="0032537C">
        <w:rPr>
          <w:rFonts w:ascii="Verdana" w:hAnsi="Verdana"/>
          <w:sz w:val="16"/>
          <w:szCs w:val="16"/>
        </w:rPr>
        <w:t>la</w:t>
      </w:r>
      <w:r w:rsidRPr="0032537C">
        <w:rPr>
          <w:rFonts w:ascii="Verdana" w:hAnsi="Verdana"/>
          <w:spacing w:val="-10"/>
          <w:sz w:val="16"/>
          <w:szCs w:val="16"/>
        </w:rPr>
        <w:t xml:space="preserve"> </w:t>
      </w:r>
      <w:r w:rsidRPr="0032537C">
        <w:rPr>
          <w:rFonts w:ascii="Verdana" w:hAnsi="Verdana"/>
          <w:sz w:val="16"/>
          <w:szCs w:val="16"/>
        </w:rPr>
        <w:t>discusión</w:t>
      </w:r>
      <w:r w:rsidRPr="0032537C">
        <w:rPr>
          <w:rFonts w:ascii="Verdana" w:hAnsi="Verdana"/>
          <w:spacing w:val="-12"/>
          <w:sz w:val="16"/>
          <w:szCs w:val="16"/>
        </w:rPr>
        <w:t xml:space="preserve"> </w:t>
      </w:r>
      <w:r w:rsidRPr="0032537C">
        <w:rPr>
          <w:rFonts w:ascii="Verdana" w:hAnsi="Verdana"/>
          <w:sz w:val="16"/>
          <w:szCs w:val="16"/>
        </w:rPr>
        <w:t>de</w:t>
      </w:r>
      <w:r w:rsidRPr="0032537C">
        <w:rPr>
          <w:rFonts w:ascii="Verdana" w:hAnsi="Verdana"/>
          <w:spacing w:val="-10"/>
          <w:sz w:val="16"/>
          <w:szCs w:val="16"/>
        </w:rPr>
        <w:t xml:space="preserve"> </w:t>
      </w:r>
      <w:r w:rsidRPr="0032537C">
        <w:rPr>
          <w:rFonts w:ascii="Verdana" w:hAnsi="Verdana"/>
          <w:sz w:val="16"/>
          <w:szCs w:val="16"/>
        </w:rPr>
        <w:t>la</w:t>
      </w:r>
      <w:r w:rsidRPr="0032537C">
        <w:rPr>
          <w:rFonts w:ascii="Verdana" w:hAnsi="Verdana"/>
          <w:spacing w:val="-14"/>
          <w:sz w:val="16"/>
          <w:szCs w:val="16"/>
        </w:rPr>
        <w:t xml:space="preserve"> </w:t>
      </w:r>
      <w:r w:rsidRPr="0032537C">
        <w:rPr>
          <w:rFonts w:ascii="Verdana" w:hAnsi="Verdana"/>
          <w:sz w:val="16"/>
          <w:szCs w:val="16"/>
        </w:rPr>
        <w:t>presente</w:t>
      </w:r>
      <w:r w:rsidRPr="0032537C">
        <w:rPr>
          <w:rFonts w:ascii="Verdana" w:hAnsi="Verdana"/>
          <w:spacing w:val="-12"/>
          <w:sz w:val="16"/>
          <w:szCs w:val="16"/>
        </w:rPr>
        <w:t xml:space="preserve"> </w:t>
      </w:r>
      <w:r w:rsidRPr="0032537C">
        <w:rPr>
          <w:rFonts w:ascii="Verdana" w:hAnsi="Verdana"/>
          <w:sz w:val="16"/>
          <w:szCs w:val="16"/>
        </w:rPr>
        <w:t>Resolución,</w:t>
      </w:r>
      <w:r w:rsidRPr="0032537C">
        <w:rPr>
          <w:rFonts w:ascii="Verdana" w:hAnsi="Verdana"/>
          <w:spacing w:val="-12"/>
          <w:sz w:val="16"/>
          <w:szCs w:val="16"/>
        </w:rPr>
        <w:t xml:space="preserve"> </w:t>
      </w:r>
      <w:r w:rsidRPr="0032537C">
        <w:rPr>
          <w:rFonts w:ascii="Verdana" w:hAnsi="Verdana"/>
          <w:sz w:val="16"/>
          <w:szCs w:val="16"/>
        </w:rPr>
        <w:t>de</w:t>
      </w:r>
      <w:r w:rsidRPr="0032537C">
        <w:rPr>
          <w:rFonts w:ascii="Verdana" w:hAnsi="Verdana"/>
          <w:spacing w:val="-12"/>
          <w:sz w:val="16"/>
          <w:szCs w:val="16"/>
        </w:rPr>
        <w:t xml:space="preserve"> </w:t>
      </w:r>
      <w:r w:rsidRPr="0032537C">
        <w:rPr>
          <w:rFonts w:ascii="Verdana" w:hAnsi="Verdana"/>
          <w:sz w:val="16"/>
          <w:szCs w:val="16"/>
        </w:rPr>
        <w:t>conformidad</w:t>
      </w:r>
      <w:r w:rsidRPr="0032537C">
        <w:rPr>
          <w:rFonts w:ascii="Verdana" w:hAnsi="Verdana"/>
          <w:spacing w:val="-10"/>
          <w:sz w:val="16"/>
          <w:szCs w:val="16"/>
        </w:rPr>
        <w:t xml:space="preserve"> </w:t>
      </w:r>
      <w:r w:rsidRPr="0032537C">
        <w:rPr>
          <w:rFonts w:ascii="Verdana" w:hAnsi="Verdana"/>
          <w:sz w:val="16"/>
          <w:szCs w:val="16"/>
        </w:rPr>
        <w:t>con</w:t>
      </w:r>
      <w:r w:rsidRPr="0032537C">
        <w:rPr>
          <w:rFonts w:ascii="Verdana" w:hAnsi="Verdana"/>
          <w:spacing w:val="-9"/>
          <w:sz w:val="16"/>
          <w:szCs w:val="16"/>
        </w:rPr>
        <w:t xml:space="preserve"> </w:t>
      </w:r>
      <w:r w:rsidRPr="0032537C">
        <w:rPr>
          <w:rFonts w:ascii="Verdana" w:hAnsi="Verdana"/>
          <w:sz w:val="16"/>
          <w:szCs w:val="16"/>
        </w:rPr>
        <w:t>los</w:t>
      </w:r>
      <w:r w:rsidRPr="0032537C">
        <w:rPr>
          <w:rFonts w:ascii="Verdana" w:hAnsi="Verdana"/>
          <w:spacing w:val="-10"/>
          <w:sz w:val="16"/>
          <w:szCs w:val="16"/>
        </w:rPr>
        <w:t xml:space="preserve"> </w:t>
      </w:r>
      <w:r w:rsidRPr="0032537C">
        <w:rPr>
          <w:rFonts w:ascii="Verdana" w:hAnsi="Verdana"/>
          <w:sz w:val="16"/>
          <w:szCs w:val="16"/>
        </w:rPr>
        <w:t>artículos</w:t>
      </w:r>
      <w:r w:rsidRPr="0032537C">
        <w:rPr>
          <w:rFonts w:ascii="Verdana" w:hAnsi="Verdana"/>
          <w:spacing w:val="-13"/>
          <w:sz w:val="16"/>
          <w:szCs w:val="16"/>
        </w:rPr>
        <w:t xml:space="preserve"> </w:t>
      </w:r>
      <w:r w:rsidRPr="0032537C">
        <w:rPr>
          <w:rFonts w:ascii="Verdana" w:hAnsi="Verdana"/>
          <w:sz w:val="16"/>
          <w:szCs w:val="16"/>
        </w:rPr>
        <w:t>19.2 del Estatuto y 19 del Reglamento de la</w:t>
      </w:r>
      <w:r w:rsidRPr="0032537C">
        <w:rPr>
          <w:rFonts w:ascii="Verdana" w:hAnsi="Verdana"/>
          <w:spacing w:val="-9"/>
          <w:sz w:val="16"/>
          <w:szCs w:val="16"/>
        </w:rPr>
        <w:t xml:space="preserve"> </w:t>
      </w:r>
      <w:r w:rsidRPr="0032537C">
        <w:rPr>
          <w:rFonts w:ascii="Verdana" w:hAnsi="Verdana"/>
          <w:sz w:val="16"/>
          <w:szCs w:val="16"/>
        </w:rPr>
        <w:t>Corte</w:t>
      </w:r>
      <w:r>
        <w:rPr>
          <w:rFonts w:ascii="Verdana" w:hAnsi="Verdana"/>
          <w:sz w:val="16"/>
          <w:szCs w:val="16"/>
        </w:rPr>
        <w:t>.</w:t>
      </w:r>
    </w:p>
  </w:footnote>
  <w:footnote w:id="2">
    <w:p w14:paraId="2DB89881" w14:textId="1E8124EF" w:rsidR="00585F06" w:rsidRPr="004E2353" w:rsidRDefault="00585F06" w:rsidP="004E2353">
      <w:pPr>
        <w:pStyle w:val="Textonotapie"/>
        <w:jc w:val="both"/>
        <w:rPr>
          <w:rFonts w:ascii="Verdana" w:hAnsi="Verdana"/>
          <w:sz w:val="16"/>
          <w:szCs w:val="16"/>
          <w:lang w:val="es-ES"/>
        </w:rPr>
      </w:pPr>
      <w:r w:rsidRPr="004E2353">
        <w:rPr>
          <w:rStyle w:val="Refdenotaalpie"/>
          <w:rFonts w:ascii="Verdana" w:hAnsi="Verdana"/>
          <w:sz w:val="16"/>
          <w:szCs w:val="16"/>
        </w:rPr>
        <w:footnoteRef/>
      </w:r>
      <w:r w:rsidRPr="004E2353">
        <w:rPr>
          <w:rFonts w:ascii="Verdana" w:hAnsi="Verdana"/>
          <w:sz w:val="16"/>
          <w:szCs w:val="16"/>
        </w:rPr>
        <w:t xml:space="preserve"> </w:t>
      </w:r>
      <w:r w:rsidRPr="004E2353">
        <w:rPr>
          <w:rFonts w:ascii="Verdana" w:hAnsi="Verdana"/>
          <w:sz w:val="16"/>
          <w:szCs w:val="16"/>
          <w:lang w:val="es-ES"/>
        </w:rPr>
        <w:tab/>
      </w:r>
      <w:r w:rsidRPr="004E2353">
        <w:rPr>
          <w:rFonts w:ascii="Verdana" w:hAnsi="Verdana"/>
          <w:i/>
          <w:iCs/>
          <w:sz w:val="16"/>
          <w:szCs w:val="16"/>
          <w:lang w:val="es-ES"/>
        </w:rPr>
        <w:t>Cfr</w:t>
      </w:r>
      <w:r w:rsidRPr="004E2353">
        <w:rPr>
          <w:rFonts w:ascii="Verdana" w:hAnsi="Verdana"/>
          <w:sz w:val="16"/>
          <w:szCs w:val="16"/>
          <w:lang w:val="es-ES"/>
        </w:rPr>
        <w:t xml:space="preserve">. Acuerdo de Corte 1/14 de 24 de agosto de 2014. Precisiones sobre el cómputo de plazos, numeral 5. </w:t>
      </w:r>
    </w:p>
  </w:footnote>
  <w:footnote w:id="3">
    <w:p w14:paraId="03B18183" w14:textId="3CD4D5AE" w:rsidR="00585F06" w:rsidRPr="004E2353" w:rsidRDefault="00585F06" w:rsidP="004E2353">
      <w:pPr>
        <w:rPr>
          <w:rFonts w:ascii="Verdana" w:hAnsi="Verdana"/>
          <w:sz w:val="16"/>
          <w:szCs w:val="16"/>
        </w:rPr>
      </w:pPr>
      <w:r w:rsidRPr="004E2353">
        <w:rPr>
          <w:rStyle w:val="Refdenotaalpie"/>
          <w:rFonts w:ascii="Verdana" w:hAnsi="Verdana"/>
          <w:sz w:val="16"/>
          <w:szCs w:val="16"/>
        </w:rPr>
        <w:footnoteRef/>
      </w:r>
      <w:r w:rsidRPr="004E2353">
        <w:rPr>
          <w:rFonts w:ascii="Verdana" w:hAnsi="Verdana"/>
          <w:sz w:val="16"/>
          <w:szCs w:val="16"/>
        </w:rPr>
        <w:t xml:space="preserve"> </w:t>
      </w:r>
      <w:r w:rsidRPr="004E2353">
        <w:rPr>
          <w:rFonts w:ascii="Verdana" w:hAnsi="Verdana"/>
          <w:sz w:val="16"/>
          <w:szCs w:val="16"/>
        </w:rPr>
        <w:tab/>
      </w:r>
      <w:r w:rsidRPr="004E2353">
        <w:rPr>
          <w:rFonts w:ascii="Verdana" w:hAnsi="Verdana" w:cs="Arial"/>
          <w:i/>
          <w:iCs/>
          <w:sz w:val="16"/>
          <w:szCs w:val="16"/>
        </w:rPr>
        <w:t>Caso Nadege Dorzema y otros Vs. República Dominicana. Fondo, Reparaciones y Costas</w:t>
      </w:r>
      <w:r w:rsidRPr="004E2353">
        <w:rPr>
          <w:rFonts w:ascii="Verdana" w:hAnsi="Verdana" w:cs="Arial"/>
          <w:sz w:val="16"/>
          <w:szCs w:val="16"/>
        </w:rPr>
        <w:t xml:space="preserve">. Sentencia de 24 de octubre de 2012. Serie C No. 251, párr. 21. </w:t>
      </w:r>
    </w:p>
  </w:footnote>
  <w:footnote w:id="4">
    <w:p w14:paraId="5D41A0B6" w14:textId="77777777" w:rsidR="00585F06" w:rsidRPr="004E2353" w:rsidRDefault="00585F06" w:rsidP="00A60755">
      <w:pPr>
        <w:pStyle w:val="Textonotapie"/>
        <w:rPr>
          <w:rFonts w:ascii="Verdana" w:hAnsi="Verdana"/>
          <w:sz w:val="16"/>
          <w:szCs w:val="16"/>
          <w:lang w:val="es-ES"/>
        </w:rPr>
      </w:pPr>
      <w:r w:rsidRPr="004E2353">
        <w:rPr>
          <w:rStyle w:val="Refdenotaalpie"/>
          <w:rFonts w:ascii="Verdana" w:hAnsi="Verdana"/>
          <w:sz w:val="16"/>
          <w:szCs w:val="16"/>
        </w:rPr>
        <w:footnoteRef/>
      </w:r>
      <w:r w:rsidRPr="004E2353">
        <w:rPr>
          <w:rFonts w:ascii="Verdana" w:hAnsi="Verdana"/>
          <w:sz w:val="16"/>
          <w:szCs w:val="16"/>
        </w:rPr>
        <w:t xml:space="preserve"> </w:t>
      </w:r>
      <w:r w:rsidRPr="004E2353">
        <w:rPr>
          <w:rFonts w:ascii="Verdana" w:hAnsi="Verdana"/>
          <w:sz w:val="16"/>
          <w:szCs w:val="16"/>
          <w:lang w:val="es-ES"/>
        </w:rPr>
        <w:tab/>
      </w:r>
      <w:r w:rsidRPr="004E2353">
        <w:rPr>
          <w:rFonts w:ascii="Verdana" w:hAnsi="Verdana"/>
          <w:i/>
          <w:iCs/>
          <w:sz w:val="16"/>
          <w:szCs w:val="16"/>
          <w:lang w:val="es-ES"/>
        </w:rPr>
        <w:t>Caso Argüelles y otros Vs. Argentina. Excepciones Preliminares, Fondo, Reparaciones y Costas</w:t>
      </w:r>
      <w:r w:rsidRPr="004E2353">
        <w:rPr>
          <w:rFonts w:ascii="Verdana" w:hAnsi="Verdana"/>
          <w:sz w:val="16"/>
          <w:szCs w:val="16"/>
          <w:lang w:val="es-ES"/>
        </w:rPr>
        <w:t>. Sentencia de 20 de noviembre de 2014. Serie C No. 288, párrs. 63 y 64.</w:t>
      </w:r>
    </w:p>
  </w:footnote>
  <w:footnote w:id="5">
    <w:p w14:paraId="1E15B89C" w14:textId="6531F286" w:rsidR="00585F06" w:rsidRPr="004E2353" w:rsidRDefault="00585F06" w:rsidP="00262373">
      <w:pPr>
        <w:pStyle w:val="Textonotapie"/>
        <w:spacing w:before="120" w:after="120"/>
        <w:jc w:val="both"/>
        <w:rPr>
          <w:rFonts w:ascii="Verdana" w:hAnsi="Verdana"/>
          <w:sz w:val="16"/>
          <w:szCs w:val="16"/>
        </w:rPr>
      </w:pPr>
      <w:r w:rsidRPr="004E2353">
        <w:rPr>
          <w:rStyle w:val="Refdenotaalpie"/>
          <w:rFonts w:ascii="Verdana" w:hAnsi="Verdana"/>
          <w:sz w:val="16"/>
          <w:szCs w:val="16"/>
        </w:rPr>
        <w:footnoteRef/>
      </w:r>
      <w:r w:rsidRPr="004E2353">
        <w:rPr>
          <w:rFonts w:ascii="Verdana" w:hAnsi="Verdana"/>
          <w:sz w:val="16"/>
          <w:szCs w:val="16"/>
        </w:rPr>
        <w:t xml:space="preserve"> </w:t>
      </w:r>
      <w:r w:rsidRPr="004E2353">
        <w:rPr>
          <w:rFonts w:ascii="Verdana" w:hAnsi="Verdana"/>
          <w:sz w:val="16"/>
          <w:szCs w:val="16"/>
        </w:rPr>
        <w:tab/>
      </w:r>
      <w:r w:rsidRPr="004E2353">
        <w:rPr>
          <w:rFonts w:ascii="Verdana" w:hAnsi="Verdana"/>
          <w:i/>
          <w:sz w:val="16"/>
          <w:szCs w:val="16"/>
        </w:rPr>
        <w:t>Cfr</w:t>
      </w:r>
      <w:r w:rsidRPr="004E2353">
        <w:rPr>
          <w:rFonts w:ascii="Verdana" w:hAnsi="Verdana"/>
          <w:sz w:val="16"/>
          <w:szCs w:val="16"/>
        </w:rPr>
        <w:t xml:space="preserve">. Caso </w:t>
      </w:r>
      <w:r w:rsidRPr="004E2353">
        <w:rPr>
          <w:rFonts w:ascii="Verdana" w:hAnsi="Verdana"/>
          <w:i/>
          <w:sz w:val="16"/>
          <w:szCs w:val="16"/>
        </w:rPr>
        <w:t>Barbani Duarte y Otros Vs. Uruguay</w:t>
      </w:r>
      <w:r w:rsidRPr="004E2353">
        <w:rPr>
          <w:rFonts w:ascii="Verdana" w:hAnsi="Verdana"/>
          <w:sz w:val="16"/>
          <w:szCs w:val="16"/>
        </w:rPr>
        <w:t xml:space="preserve">. Resolución del Presidente de la Corte Interamericana de Derechos Humanos de 31 de enero de 2011, Considerando 16, y </w:t>
      </w:r>
      <w:r w:rsidRPr="004E2353">
        <w:rPr>
          <w:rFonts w:ascii="Verdana" w:hAnsi="Verdana" w:cs="Arial"/>
          <w:i/>
          <w:sz w:val="16"/>
          <w:szCs w:val="16"/>
        </w:rPr>
        <w:t xml:space="preserve">Caso Vera Rojas y otros Vs. Chile. Convocatoria a audiencia. </w:t>
      </w:r>
      <w:r w:rsidRPr="004E2353">
        <w:rPr>
          <w:rFonts w:ascii="Verdana" w:hAnsi="Verdana" w:cs="Arial"/>
          <w:sz w:val="16"/>
          <w:szCs w:val="16"/>
        </w:rPr>
        <w:t>Resolución de la Presidenta de la Corte Interamericana de Derechos Humanos de 4 de diciembre de 2020, Considerando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585F06" w:rsidRDefault="00585F06"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585F06" w:rsidRDefault="00585F06" w:rsidP="00E97AA8">
    <w:pPr>
      <w:pStyle w:val="Encabezado"/>
    </w:pPr>
  </w:p>
  <w:p w14:paraId="2773835B" w14:textId="77777777" w:rsidR="00585F06" w:rsidRDefault="00585F06"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581ACB73" w:rsidR="00585F06" w:rsidRDefault="00585F06"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BD76F7">
      <w:rPr>
        <w:rStyle w:val="Nmerodepgina"/>
        <w:noProof/>
      </w:rPr>
      <w:t>7</w:t>
    </w:r>
    <w:r w:rsidRPr="00205583">
      <w:rPr>
        <w:rStyle w:val="Nmerodepgina"/>
      </w:rPr>
      <w:fldChar w:fldCharType="end"/>
    </w:r>
    <w:r>
      <w:rPr>
        <w:rStyle w:val="Nmerodepgina"/>
      </w:rPr>
      <w:t xml:space="preserve"> -</w:t>
    </w:r>
  </w:p>
  <w:p w14:paraId="6907126A" w14:textId="77777777" w:rsidR="00585F06" w:rsidRDefault="00585F06" w:rsidP="00E97AA8">
    <w:pPr>
      <w:pStyle w:val="Encabezado"/>
    </w:pPr>
  </w:p>
  <w:p w14:paraId="34E6923E" w14:textId="77777777" w:rsidR="00585F06" w:rsidRDefault="00585F06" w:rsidP="00E97A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9102" w14:textId="77777777" w:rsidR="00585F06" w:rsidRDefault="00585F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2B1ABB"/>
    <w:multiLevelType w:val="hybridMultilevel"/>
    <w:tmpl w:val="B54EFC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3735098"/>
    <w:multiLevelType w:val="hybridMultilevel"/>
    <w:tmpl w:val="36640940"/>
    <w:lvl w:ilvl="0" w:tplc="55622BA8">
      <w:start w:val="1"/>
      <w:numFmt w:val="decimal"/>
      <w:lvlText w:val="%1."/>
      <w:lvlJc w:val="left"/>
      <w:pPr>
        <w:ind w:left="720" w:hanging="360"/>
      </w:pPr>
      <w:rPr>
        <w:rFonts w:ascii="Verdana" w:hAnsi="Verdana"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DDB6DC6"/>
    <w:multiLevelType w:val="hybridMultilevel"/>
    <w:tmpl w:val="BF803A00"/>
    <w:lvl w:ilvl="0" w:tplc="83943FF2">
      <w:start w:val="1"/>
      <w:numFmt w:val="decimal"/>
      <w:pStyle w:val="Sinespaciado"/>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5" w15:restartNumberingAfterBreak="0">
    <w:nsid w:val="7F9C65F9"/>
    <w:multiLevelType w:val="hybridMultilevel"/>
    <w:tmpl w:val="C0BEBC60"/>
    <w:lvl w:ilvl="0" w:tplc="42D42D7E">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pt-BR" w:vendorID="64" w:dllVersion="6" w:nlCheck="1" w:checkStyle="0"/>
  <w:activeWritingStyle w:appName="MSWord" w:lang="es-ES" w:vendorID="64" w:dllVersion="6" w:nlCheck="1" w:checkStyle="1"/>
  <w:activeWritingStyle w:appName="MSWord" w:lang="es-MX" w:vendorID="64" w:dllVersion="6" w:nlCheck="1" w:checkStyle="0"/>
  <w:activeWritingStyle w:appName="MSWord" w:lang="es-CR"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AR" w:vendorID="64" w:dllVersion="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fr-FR"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6BE"/>
    <w:rsid w:val="00000EE8"/>
    <w:rsid w:val="000033D7"/>
    <w:rsid w:val="000054D5"/>
    <w:rsid w:val="00005C3B"/>
    <w:rsid w:val="00006D97"/>
    <w:rsid w:val="000076DC"/>
    <w:rsid w:val="00010226"/>
    <w:rsid w:val="00010255"/>
    <w:rsid w:val="00011410"/>
    <w:rsid w:val="00012E73"/>
    <w:rsid w:val="00013BA9"/>
    <w:rsid w:val="00014289"/>
    <w:rsid w:val="000142CB"/>
    <w:rsid w:val="00014AD2"/>
    <w:rsid w:val="00014C78"/>
    <w:rsid w:val="00016191"/>
    <w:rsid w:val="00017AD6"/>
    <w:rsid w:val="000205AC"/>
    <w:rsid w:val="0002209F"/>
    <w:rsid w:val="000223CE"/>
    <w:rsid w:val="000341DA"/>
    <w:rsid w:val="00035149"/>
    <w:rsid w:val="00036095"/>
    <w:rsid w:val="00036B28"/>
    <w:rsid w:val="000411C8"/>
    <w:rsid w:val="0004268F"/>
    <w:rsid w:val="00043F00"/>
    <w:rsid w:val="0004514C"/>
    <w:rsid w:val="00045F17"/>
    <w:rsid w:val="00047269"/>
    <w:rsid w:val="00047780"/>
    <w:rsid w:val="00055052"/>
    <w:rsid w:val="000551B0"/>
    <w:rsid w:val="00055A46"/>
    <w:rsid w:val="000572C5"/>
    <w:rsid w:val="00060660"/>
    <w:rsid w:val="00062639"/>
    <w:rsid w:val="00063C33"/>
    <w:rsid w:val="00063E3C"/>
    <w:rsid w:val="0006429F"/>
    <w:rsid w:val="00065FFD"/>
    <w:rsid w:val="00066CD6"/>
    <w:rsid w:val="00067B7C"/>
    <w:rsid w:val="00070C5A"/>
    <w:rsid w:val="000719A4"/>
    <w:rsid w:val="00073E13"/>
    <w:rsid w:val="00074F60"/>
    <w:rsid w:val="000759AC"/>
    <w:rsid w:val="0008188C"/>
    <w:rsid w:val="00082CF9"/>
    <w:rsid w:val="00082D54"/>
    <w:rsid w:val="000848E5"/>
    <w:rsid w:val="00086C27"/>
    <w:rsid w:val="00087ED4"/>
    <w:rsid w:val="00090055"/>
    <w:rsid w:val="0009389A"/>
    <w:rsid w:val="00093B23"/>
    <w:rsid w:val="00094A32"/>
    <w:rsid w:val="000951A5"/>
    <w:rsid w:val="00096CC8"/>
    <w:rsid w:val="00096D19"/>
    <w:rsid w:val="000A07F1"/>
    <w:rsid w:val="000A0FDA"/>
    <w:rsid w:val="000A2857"/>
    <w:rsid w:val="000A41E4"/>
    <w:rsid w:val="000A4368"/>
    <w:rsid w:val="000A6FEA"/>
    <w:rsid w:val="000A7575"/>
    <w:rsid w:val="000B0977"/>
    <w:rsid w:val="000B3001"/>
    <w:rsid w:val="000B3065"/>
    <w:rsid w:val="000B398F"/>
    <w:rsid w:val="000B61CF"/>
    <w:rsid w:val="000C00AC"/>
    <w:rsid w:val="000C41A4"/>
    <w:rsid w:val="000C54D2"/>
    <w:rsid w:val="000C5767"/>
    <w:rsid w:val="000C5F41"/>
    <w:rsid w:val="000C66F1"/>
    <w:rsid w:val="000C7B74"/>
    <w:rsid w:val="000D0F0E"/>
    <w:rsid w:val="000D150C"/>
    <w:rsid w:val="000D3879"/>
    <w:rsid w:val="000D4C2C"/>
    <w:rsid w:val="000D4C8E"/>
    <w:rsid w:val="000D5F10"/>
    <w:rsid w:val="000D608F"/>
    <w:rsid w:val="000D6D9F"/>
    <w:rsid w:val="000D72D8"/>
    <w:rsid w:val="000D7B5F"/>
    <w:rsid w:val="000E301B"/>
    <w:rsid w:val="000F00E0"/>
    <w:rsid w:val="000F095D"/>
    <w:rsid w:val="000F1688"/>
    <w:rsid w:val="000F1A7C"/>
    <w:rsid w:val="000F4504"/>
    <w:rsid w:val="000F74B5"/>
    <w:rsid w:val="001003B8"/>
    <w:rsid w:val="0010097D"/>
    <w:rsid w:val="00101232"/>
    <w:rsid w:val="00101B65"/>
    <w:rsid w:val="00102153"/>
    <w:rsid w:val="001031A7"/>
    <w:rsid w:val="00104220"/>
    <w:rsid w:val="0010494F"/>
    <w:rsid w:val="00106103"/>
    <w:rsid w:val="00107313"/>
    <w:rsid w:val="00107F5E"/>
    <w:rsid w:val="00110401"/>
    <w:rsid w:val="00113DF4"/>
    <w:rsid w:val="00113F6D"/>
    <w:rsid w:val="0011434A"/>
    <w:rsid w:val="00115083"/>
    <w:rsid w:val="00115A14"/>
    <w:rsid w:val="00117C4F"/>
    <w:rsid w:val="00117CED"/>
    <w:rsid w:val="00122A75"/>
    <w:rsid w:val="00122B93"/>
    <w:rsid w:val="00123050"/>
    <w:rsid w:val="00123C72"/>
    <w:rsid w:val="0012551A"/>
    <w:rsid w:val="00126567"/>
    <w:rsid w:val="001275D0"/>
    <w:rsid w:val="00133CE7"/>
    <w:rsid w:val="00135069"/>
    <w:rsid w:val="001362D7"/>
    <w:rsid w:val="001369CA"/>
    <w:rsid w:val="00136A3D"/>
    <w:rsid w:val="00136EDC"/>
    <w:rsid w:val="00137784"/>
    <w:rsid w:val="0014004E"/>
    <w:rsid w:val="0014071A"/>
    <w:rsid w:val="001418D3"/>
    <w:rsid w:val="00141F7E"/>
    <w:rsid w:val="00143B34"/>
    <w:rsid w:val="001448E6"/>
    <w:rsid w:val="00150BD8"/>
    <w:rsid w:val="001517BD"/>
    <w:rsid w:val="00155125"/>
    <w:rsid w:val="00155D07"/>
    <w:rsid w:val="00155FB3"/>
    <w:rsid w:val="00160E30"/>
    <w:rsid w:val="00161C37"/>
    <w:rsid w:val="00162BD2"/>
    <w:rsid w:val="00162F90"/>
    <w:rsid w:val="0016379E"/>
    <w:rsid w:val="0016461B"/>
    <w:rsid w:val="00164C90"/>
    <w:rsid w:val="00165C80"/>
    <w:rsid w:val="00167396"/>
    <w:rsid w:val="00171A62"/>
    <w:rsid w:val="00171AAD"/>
    <w:rsid w:val="0017204D"/>
    <w:rsid w:val="0017284C"/>
    <w:rsid w:val="001735A7"/>
    <w:rsid w:val="00174B71"/>
    <w:rsid w:val="001804D1"/>
    <w:rsid w:val="001859C1"/>
    <w:rsid w:val="00186B85"/>
    <w:rsid w:val="00187EE7"/>
    <w:rsid w:val="0019023E"/>
    <w:rsid w:val="00191BEF"/>
    <w:rsid w:val="00191CE9"/>
    <w:rsid w:val="001921B7"/>
    <w:rsid w:val="00192232"/>
    <w:rsid w:val="00194D24"/>
    <w:rsid w:val="00194E6C"/>
    <w:rsid w:val="001969AE"/>
    <w:rsid w:val="001977CD"/>
    <w:rsid w:val="001A0EFB"/>
    <w:rsid w:val="001A26F3"/>
    <w:rsid w:val="001A4569"/>
    <w:rsid w:val="001A5338"/>
    <w:rsid w:val="001A5456"/>
    <w:rsid w:val="001A549A"/>
    <w:rsid w:val="001B0154"/>
    <w:rsid w:val="001B03B6"/>
    <w:rsid w:val="001B2DF7"/>
    <w:rsid w:val="001B475B"/>
    <w:rsid w:val="001B480E"/>
    <w:rsid w:val="001B5010"/>
    <w:rsid w:val="001B5654"/>
    <w:rsid w:val="001B73FC"/>
    <w:rsid w:val="001B7D90"/>
    <w:rsid w:val="001C04CC"/>
    <w:rsid w:val="001C2B5C"/>
    <w:rsid w:val="001C338D"/>
    <w:rsid w:val="001C3A7B"/>
    <w:rsid w:val="001C3BCD"/>
    <w:rsid w:val="001C4681"/>
    <w:rsid w:val="001C510E"/>
    <w:rsid w:val="001D05D4"/>
    <w:rsid w:val="001D221F"/>
    <w:rsid w:val="001D33D6"/>
    <w:rsid w:val="001D5765"/>
    <w:rsid w:val="001E10EE"/>
    <w:rsid w:val="001E1C89"/>
    <w:rsid w:val="001E245F"/>
    <w:rsid w:val="001E33CC"/>
    <w:rsid w:val="001E35BA"/>
    <w:rsid w:val="001E3CCF"/>
    <w:rsid w:val="001E47F0"/>
    <w:rsid w:val="001E5716"/>
    <w:rsid w:val="001F06EF"/>
    <w:rsid w:val="001F0928"/>
    <w:rsid w:val="001F0CAB"/>
    <w:rsid w:val="001F1FFC"/>
    <w:rsid w:val="001F3986"/>
    <w:rsid w:val="001F6A02"/>
    <w:rsid w:val="001F6CFD"/>
    <w:rsid w:val="00201075"/>
    <w:rsid w:val="00202293"/>
    <w:rsid w:val="002045CB"/>
    <w:rsid w:val="002049B3"/>
    <w:rsid w:val="00205583"/>
    <w:rsid w:val="00205F3D"/>
    <w:rsid w:val="00206ECA"/>
    <w:rsid w:val="00210D02"/>
    <w:rsid w:val="002114F5"/>
    <w:rsid w:val="002119DA"/>
    <w:rsid w:val="002133D6"/>
    <w:rsid w:val="00213D56"/>
    <w:rsid w:val="00216C80"/>
    <w:rsid w:val="00220455"/>
    <w:rsid w:val="002232C5"/>
    <w:rsid w:val="00223A2A"/>
    <w:rsid w:val="00225F42"/>
    <w:rsid w:val="00226D4A"/>
    <w:rsid w:val="00227A4B"/>
    <w:rsid w:val="00230BE9"/>
    <w:rsid w:val="002320B9"/>
    <w:rsid w:val="00233193"/>
    <w:rsid w:val="00237232"/>
    <w:rsid w:val="002374FD"/>
    <w:rsid w:val="00237B9F"/>
    <w:rsid w:val="00240A37"/>
    <w:rsid w:val="00240A3F"/>
    <w:rsid w:val="00241D46"/>
    <w:rsid w:val="00241F49"/>
    <w:rsid w:val="00245957"/>
    <w:rsid w:val="00247084"/>
    <w:rsid w:val="00247B1B"/>
    <w:rsid w:val="002507D6"/>
    <w:rsid w:val="002509A8"/>
    <w:rsid w:val="00250AE1"/>
    <w:rsid w:val="00251166"/>
    <w:rsid w:val="00251F34"/>
    <w:rsid w:val="002521F0"/>
    <w:rsid w:val="002543B5"/>
    <w:rsid w:val="00256764"/>
    <w:rsid w:val="00262373"/>
    <w:rsid w:val="0026413C"/>
    <w:rsid w:val="00264697"/>
    <w:rsid w:val="00264ECD"/>
    <w:rsid w:val="0026641E"/>
    <w:rsid w:val="00266BB1"/>
    <w:rsid w:val="00271C1F"/>
    <w:rsid w:val="00271CF5"/>
    <w:rsid w:val="00271F05"/>
    <w:rsid w:val="00273A56"/>
    <w:rsid w:val="00275652"/>
    <w:rsid w:val="002759D8"/>
    <w:rsid w:val="00276853"/>
    <w:rsid w:val="00276873"/>
    <w:rsid w:val="00277D66"/>
    <w:rsid w:val="00277D72"/>
    <w:rsid w:val="002835F4"/>
    <w:rsid w:val="00285304"/>
    <w:rsid w:val="00287B48"/>
    <w:rsid w:val="00291A86"/>
    <w:rsid w:val="00292673"/>
    <w:rsid w:val="002929AD"/>
    <w:rsid w:val="0029627E"/>
    <w:rsid w:val="002A16CB"/>
    <w:rsid w:val="002A1F81"/>
    <w:rsid w:val="002A3AA8"/>
    <w:rsid w:val="002A56A4"/>
    <w:rsid w:val="002A6C1F"/>
    <w:rsid w:val="002A6EFA"/>
    <w:rsid w:val="002B0877"/>
    <w:rsid w:val="002B0E72"/>
    <w:rsid w:val="002B0FEB"/>
    <w:rsid w:val="002B12E1"/>
    <w:rsid w:val="002B13C6"/>
    <w:rsid w:val="002B22C5"/>
    <w:rsid w:val="002B3048"/>
    <w:rsid w:val="002B60BA"/>
    <w:rsid w:val="002B7166"/>
    <w:rsid w:val="002C039F"/>
    <w:rsid w:val="002C03B3"/>
    <w:rsid w:val="002C0961"/>
    <w:rsid w:val="002C152E"/>
    <w:rsid w:val="002C2A63"/>
    <w:rsid w:val="002C32E0"/>
    <w:rsid w:val="002C49A5"/>
    <w:rsid w:val="002C4F31"/>
    <w:rsid w:val="002C5F94"/>
    <w:rsid w:val="002D0D39"/>
    <w:rsid w:val="002D3F56"/>
    <w:rsid w:val="002D5571"/>
    <w:rsid w:val="002D6B08"/>
    <w:rsid w:val="002D79BA"/>
    <w:rsid w:val="002E0FFF"/>
    <w:rsid w:val="002E2762"/>
    <w:rsid w:val="002E27BE"/>
    <w:rsid w:val="002E32C7"/>
    <w:rsid w:val="002E6E4E"/>
    <w:rsid w:val="002F07BD"/>
    <w:rsid w:val="002F1E83"/>
    <w:rsid w:val="002F254E"/>
    <w:rsid w:val="002F421E"/>
    <w:rsid w:val="002F4E07"/>
    <w:rsid w:val="002F548B"/>
    <w:rsid w:val="002F6D60"/>
    <w:rsid w:val="002F6E28"/>
    <w:rsid w:val="00300EE1"/>
    <w:rsid w:val="00301F23"/>
    <w:rsid w:val="0030272E"/>
    <w:rsid w:val="00302F7C"/>
    <w:rsid w:val="00304EF4"/>
    <w:rsid w:val="003056CA"/>
    <w:rsid w:val="00305A57"/>
    <w:rsid w:val="00305EFF"/>
    <w:rsid w:val="003071BB"/>
    <w:rsid w:val="00310C35"/>
    <w:rsid w:val="003113F3"/>
    <w:rsid w:val="00311412"/>
    <w:rsid w:val="00312E2A"/>
    <w:rsid w:val="00313DAF"/>
    <w:rsid w:val="00314476"/>
    <w:rsid w:val="00314F96"/>
    <w:rsid w:val="00316949"/>
    <w:rsid w:val="00316B6E"/>
    <w:rsid w:val="00316D90"/>
    <w:rsid w:val="00317041"/>
    <w:rsid w:val="00320AD0"/>
    <w:rsid w:val="00320CAF"/>
    <w:rsid w:val="003211AF"/>
    <w:rsid w:val="003236B9"/>
    <w:rsid w:val="0032537C"/>
    <w:rsid w:val="00325908"/>
    <w:rsid w:val="00325AE6"/>
    <w:rsid w:val="003264BA"/>
    <w:rsid w:val="00327854"/>
    <w:rsid w:val="00332454"/>
    <w:rsid w:val="00332A4B"/>
    <w:rsid w:val="00332C49"/>
    <w:rsid w:val="00333A97"/>
    <w:rsid w:val="003344D3"/>
    <w:rsid w:val="00335797"/>
    <w:rsid w:val="0033759D"/>
    <w:rsid w:val="00337604"/>
    <w:rsid w:val="00340DD9"/>
    <w:rsid w:val="00341753"/>
    <w:rsid w:val="003426AC"/>
    <w:rsid w:val="00342A8B"/>
    <w:rsid w:val="00344E69"/>
    <w:rsid w:val="00345597"/>
    <w:rsid w:val="00351965"/>
    <w:rsid w:val="00352332"/>
    <w:rsid w:val="00352C5B"/>
    <w:rsid w:val="00354CF0"/>
    <w:rsid w:val="00355A97"/>
    <w:rsid w:val="003569F4"/>
    <w:rsid w:val="00357610"/>
    <w:rsid w:val="00357794"/>
    <w:rsid w:val="00357D3C"/>
    <w:rsid w:val="0036290C"/>
    <w:rsid w:val="00363877"/>
    <w:rsid w:val="0036667E"/>
    <w:rsid w:val="0036773E"/>
    <w:rsid w:val="00371A50"/>
    <w:rsid w:val="00371CC7"/>
    <w:rsid w:val="00371D98"/>
    <w:rsid w:val="00372891"/>
    <w:rsid w:val="003729C8"/>
    <w:rsid w:val="0037566C"/>
    <w:rsid w:val="003825E7"/>
    <w:rsid w:val="00384AAA"/>
    <w:rsid w:val="0038607F"/>
    <w:rsid w:val="003862C7"/>
    <w:rsid w:val="00387450"/>
    <w:rsid w:val="00387D2B"/>
    <w:rsid w:val="00387DC5"/>
    <w:rsid w:val="00391C4F"/>
    <w:rsid w:val="00393472"/>
    <w:rsid w:val="00393775"/>
    <w:rsid w:val="003945D3"/>
    <w:rsid w:val="00394ACD"/>
    <w:rsid w:val="003959FA"/>
    <w:rsid w:val="00395A68"/>
    <w:rsid w:val="00397E8F"/>
    <w:rsid w:val="003A018B"/>
    <w:rsid w:val="003A2389"/>
    <w:rsid w:val="003A364D"/>
    <w:rsid w:val="003A4FA8"/>
    <w:rsid w:val="003A6106"/>
    <w:rsid w:val="003B01EB"/>
    <w:rsid w:val="003B2554"/>
    <w:rsid w:val="003B3838"/>
    <w:rsid w:val="003B38A5"/>
    <w:rsid w:val="003B3F36"/>
    <w:rsid w:val="003B657E"/>
    <w:rsid w:val="003B706E"/>
    <w:rsid w:val="003B787B"/>
    <w:rsid w:val="003C0856"/>
    <w:rsid w:val="003C2C2D"/>
    <w:rsid w:val="003C2E75"/>
    <w:rsid w:val="003C3723"/>
    <w:rsid w:val="003C3755"/>
    <w:rsid w:val="003C4FA0"/>
    <w:rsid w:val="003C51F4"/>
    <w:rsid w:val="003C753B"/>
    <w:rsid w:val="003D07FD"/>
    <w:rsid w:val="003D1F38"/>
    <w:rsid w:val="003D25B3"/>
    <w:rsid w:val="003D2AFA"/>
    <w:rsid w:val="003D3EA0"/>
    <w:rsid w:val="003D7D50"/>
    <w:rsid w:val="003E055B"/>
    <w:rsid w:val="003E09BD"/>
    <w:rsid w:val="003E0F12"/>
    <w:rsid w:val="003E171E"/>
    <w:rsid w:val="003E1E70"/>
    <w:rsid w:val="003E21C6"/>
    <w:rsid w:val="003E2807"/>
    <w:rsid w:val="003E520F"/>
    <w:rsid w:val="003E70A7"/>
    <w:rsid w:val="003E77F1"/>
    <w:rsid w:val="003F3ED7"/>
    <w:rsid w:val="003F57F7"/>
    <w:rsid w:val="003F6603"/>
    <w:rsid w:val="00401422"/>
    <w:rsid w:val="00404DE4"/>
    <w:rsid w:val="004065DD"/>
    <w:rsid w:val="00407CC9"/>
    <w:rsid w:val="00412A02"/>
    <w:rsid w:val="004139A3"/>
    <w:rsid w:val="004149C3"/>
    <w:rsid w:val="0041576C"/>
    <w:rsid w:val="0041579F"/>
    <w:rsid w:val="00416450"/>
    <w:rsid w:val="00421DD4"/>
    <w:rsid w:val="0042377F"/>
    <w:rsid w:val="00426042"/>
    <w:rsid w:val="004260E7"/>
    <w:rsid w:val="00434006"/>
    <w:rsid w:val="00435A39"/>
    <w:rsid w:val="0044020B"/>
    <w:rsid w:val="0044039C"/>
    <w:rsid w:val="0044136C"/>
    <w:rsid w:val="004416D4"/>
    <w:rsid w:val="004419E0"/>
    <w:rsid w:val="0044308A"/>
    <w:rsid w:val="00445F10"/>
    <w:rsid w:val="004468E7"/>
    <w:rsid w:val="00450A75"/>
    <w:rsid w:val="004522A7"/>
    <w:rsid w:val="00454412"/>
    <w:rsid w:val="00454E64"/>
    <w:rsid w:val="00455B1E"/>
    <w:rsid w:val="00456572"/>
    <w:rsid w:val="00456601"/>
    <w:rsid w:val="00457579"/>
    <w:rsid w:val="00457D89"/>
    <w:rsid w:val="0046082E"/>
    <w:rsid w:val="0046106D"/>
    <w:rsid w:val="00461FFA"/>
    <w:rsid w:val="0046323D"/>
    <w:rsid w:val="00463738"/>
    <w:rsid w:val="004638E1"/>
    <w:rsid w:val="00466837"/>
    <w:rsid w:val="00467027"/>
    <w:rsid w:val="00467E9F"/>
    <w:rsid w:val="00470241"/>
    <w:rsid w:val="004718FD"/>
    <w:rsid w:val="004719A8"/>
    <w:rsid w:val="00476E16"/>
    <w:rsid w:val="00477642"/>
    <w:rsid w:val="00482112"/>
    <w:rsid w:val="004822C3"/>
    <w:rsid w:val="00482A2E"/>
    <w:rsid w:val="00482C53"/>
    <w:rsid w:val="004836BA"/>
    <w:rsid w:val="00484610"/>
    <w:rsid w:val="00485BA2"/>
    <w:rsid w:val="00485BA7"/>
    <w:rsid w:val="004863CD"/>
    <w:rsid w:val="0048700D"/>
    <w:rsid w:val="0048750C"/>
    <w:rsid w:val="00487AE7"/>
    <w:rsid w:val="00487FF6"/>
    <w:rsid w:val="0049025D"/>
    <w:rsid w:val="00494BDC"/>
    <w:rsid w:val="004969BD"/>
    <w:rsid w:val="00496EA3"/>
    <w:rsid w:val="00497516"/>
    <w:rsid w:val="00497960"/>
    <w:rsid w:val="00497C16"/>
    <w:rsid w:val="004A08DF"/>
    <w:rsid w:val="004A1516"/>
    <w:rsid w:val="004A1DF8"/>
    <w:rsid w:val="004A2004"/>
    <w:rsid w:val="004A48FE"/>
    <w:rsid w:val="004A4C8E"/>
    <w:rsid w:val="004B2167"/>
    <w:rsid w:val="004B3910"/>
    <w:rsid w:val="004B3B1D"/>
    <w:rsid w:val="004B5999"/>
    <w:rsid w:val="004B75E3"/>
    <w:rsid w:val="004B7966"/>
    <w:rsid w:val="004C0F6E"/>
    <w:rsid w:val="004C1066"/>
    <w:rsid w:val="004C139E"/>
    <w:rsid w:val="004C3045"/>
    <w:rsid w:val="004C3A43"/>
    <w:rsid w:val="004C4537"/>
    <w:rsid w:val="004D24A4"/>
    <w:rsid w:val="004D7FAA"/>
    <w:rsid w:val="004E2353"/>
    <w:rsid w:val="004E3C65"/>
    <w:rsid w:val="004E3D3D"/>
    <w:rsid w:val="004E4058"/>
    <w:rsid w:val="004E4C9C"/>
    <w:rsid w:val="004E5443"/>
    <w:rsid w:val="004E698B"/>
    <w:rsid w:val="004E6AA8"/>
    <w:rsid w:val="004E76A1"/>
    <w:rsid w:val="004F0195"/>
    <w:rsid w:val="004F14E2"/>
    <w:rsid w:val="004F2E92"/>
    <w:rsid w:val="004F30E5"/>
    <w:rsid w:val="004F3B42"/>
    <w:rsid w:val="004F5858"/>
    <w:rsid w:val="004F5AD2"/>
    <w:rsid w:val="004F5D1A"/>
    <w:rsid w:val="004F670C"/>
    <w:rsid w:val="004F6DA0"/>
    <w:rsid w:val="004F708F"/>
    <w:rsid w:val="004F75CB"/>
    <w:rsid w:val="00501D23"/>
    <w:rsid w:val="005020C1"/>
    <w:rsid w:val="00506AF2"/>
    <w:rsid w:val="00506B75"/>
    <w:rsid w:val="00507CF0"/>
    <w:rsid w:val="005114E8"/>
    <w:rsid w:val="005117D8"/>
    <w:rsid w:val="00511937"/>
    <w:rsid w:val="00511BB2"/>
    <w:rsid w:val="00511C16"/>
    <w:rsid w:val="00512CB8"/>
    <w:rsid w:val="00512E56"/>
    <w:rsid w:val="00513D5C"/>
    <w:rsid w:val="00513DEC"/>
    <w:rsid w:val="00514246"/>
    <w:rsid w:val="005145B8"/>
    <w:rsid w:val="0052032D"/>
    <w:rsid w:val="005236B8"/>
    <w:rsid w:val="005237C5"/>
    <w:rsid w:val="00523AC8"/>
    <w:rsid w:val="005245EB"/>
    <w:rsid w:val="00525495"/>
    <w:rsid w:val="00525A57"/>
    <w:rsid w:val="00526998"/>
    <w:rsid w:val="00530162"/>
    <w:rsid w:val="0053055C"/>
    <w:rsid w:val="005352E1"/>
    <w:rsid w:val="0053557B"/>
    <w:rsid w:val="00536C09"/>
    <w:rsid w:val="00537B8E"/>
    <w:rsid w:val="00540E03"/>
    <w:rsid w:val="00541B0C"/>
    <w:rsid w:val="00541C53"/>
    <w:rsid w:val="00542633"/>
    <w:rsid w:val="005440B2"/>
    <w:rsid w:val="0054465C"/>
    <w:rsid w:val="00544E5A"/>
    <w:rsid w:val="00546CE6"/>
    <w:rsid w:val="00547329"/>
    <w:rsid w:val="00547633"/>
    <w:rsid w:val="005509C5"/>
    <w:rsid w:val="0055209C"/>
    <w:rsid w:val="00553094"/>
    <w:rsid w:val="00556A78"/>
    <w:rsid w:val="00557B43"/>
    <w:rsid w:val="00561917"/>
    <w:rsid w:val="005620AF"/>
    <w:rsid w:val="00563E96"/>
    <w:rsid w:val="005643E0"/>
    <w:rsid w:val="00564E82"/>
    <w:rsid w:val="00564EC8"/>
    <w:rsid w:val="005657F8"/>
    <w:rsid w:val="0056628D"/>
    <w:rsid w:val="00567C99"/>
    <w:rsid w:val="005704D4"/>
    <w:rsid w:val="005705AB"/>
    <w:rsid w:val="00572992"/>
    <w:rsid w:val="00572CAE"/>
    <w:rsid w:val="00574629"/>
    <w:rsid w:val="00575D79"/>
    <w:rsid w:val="00576413"/>
    <w:rsid w:val="00576AEA"/>
    <w:rsid w:val="0057712C"/>
    <w:rsid w:val="00580898"/>
    <w:rsid w:val="00582B9D"/>
    <w:rsid w:val="00582D26"/>
    <w:rsid w:val="00584797"/>
    <w:rsid w:val="00585877"/>
    <w:rsid w:val="00585F06"/>
    <w:rsid w:val="005872DB"/>
    <w:rsid w:val="005902E9"/>
    <w:rsid w:val="00590A58"/>
    <w:rsid w:val="005917E0"/>
    <w:rsid w:val="00592F17"/>
    <w:rsid w:val="005931DB"/>
    <w:rsid w:val="0059335C"/>
    <w:rsid w:val="005937AA"/>
    <w:rsid w:val="00595502"/>
    <w:rsid w:val="0059627C"/>
    <w:rsid w:val="005A21F8"/>
    <w:rsid w:val="005A2E9C"/>
    <w:rsid w:val="005A3225"/>
    <w:rsid w:val="005A36DC"/>
    <w:rsid w:val="005A5A75"/>
    <w:rsid w:val="005A5BFA"/>
    <w:rsid w:val="005B368E"/>
    <w:rsid w:val="005B3DE6"/>
    <w:rsid w:val="005B5B88"/>
    <w:rsid w:val="005B65A2"/>
    <w:rsid w:val="005B69AA"/>
    <w:rsid w:val="005B6B9A"/>
    <w:rsid w:val="005B701F"/>
    <w:rsid w:val="005C050F"/>
    <w:rsid w:val="005C0F81"/>
    <w:rsid w:val="005C20CF"/>
    <w:rsid w:val="005C22DD"/>
    <w:rsid w:val="005C438B"/>
    <w:rsid w:val="005C5664"/>
    <w:rsid w:val="005C5CC5"/>
    <w:rsid w:val="005C5EF4"/>
    <w:rsid w:val="005C6C93"/>
    <w:rsid w:val="005D25DF"/>
    <w:rsid w:val="005D4FAC"/>
    <w:rsid w:val="005E1076"/>
    <w:rsid w:val="005E1BF7"/>
    <w:rsid w:val="005E291F"/>
    <w:rsid w:val="005E54E7"/>
    <w:rsid w:val="005E59AE"/>
    <w:rsid w:val="005E66F8"/>
    <w:rsid w:val="005E698B"/>
    <w:rsid w:val="005F152E"/>
    <w:rsid w:val="005F199C"/>
    <w:rsid w:val="005F201B"/>
    <w:rsid w:val="005F2974"/>
    <w:rsid w:val="005F40E2"/>
    <w:rsid w:val="005F4EF2"/>
    <w:rsid w:val="005F548F"/>
    <w:rsid w:val="005F5770"/>
    <w:rsid w:val="005F632C"/>
    <w:rsid w:val="005F7B36"/>
    <w:rsid w:val="00601AE8"/>
    <w:rsid w:val="00605EAB"/>
    <w:rsid w:val="006064E0"/>
    <w:rsid w:val="0060651A"/>
    <w:rsid w:val="00607534"/>
    <w:rsid w:val="00607755"/>
    <w:rsid w:val="006112B3"/>
    <w:rsid w:val="006145F1"/>
    <w:rsid w:val="00614D4B"/>
    <w:rsid w:val="006157EB"/>
    <w:rsid w:val="00615CCA"/>
    <w:rsid w:val="0061651F"/>
    <w:rsid w:val="006203C4"/>
    <w:rsid w:val="00620414"/>
    <w:rsid w:val="00622405"/>
    <w:rsid w:val="00623828"/>
    <w:rsid w:val="00624328"/>
    <w:rsid w:val="006251B4"/>
    <w:rsid w:val="00627EF3"/>
    <w:rsid w:val="006300D3"/>
    <w:rsid w:val="006306B6"/>
    <w:rsid w:val="00630F17"/>
    <w:rsid w:val="006312E3"/>
    <w:rsid w:val="00631E58"/>
    <w:rsid w:val="006328EB"/>
    <w:rsid w:val="006422E8"/>
    <w:rsid w:val="00643114"/>
    <w:rsid w:val="0064387E"/>
    <w:rsid w:val="00643A12"/>
    <w:rsid w:val="00644103"/>
    <w:rsid w:val="006457FF"/>
    <w:rsid w:val="00645A5F"/>
    <w:rsid w:val="00647660"/>
    <w:rsid w:val="006520ED"/>
    <w:rsid w:val="00652D45"/>
    <w:rsid w:val="00652E83"/>
    <w:rsid w:val="0065468B"/>
    <w:rsid w:val="00654FAD"/>
    <w:rsid w:val="00655850"/>
    <w:rsid w:val="00656E82"/>
    <w:rsid w:val="00657EBA"/>
    <w:rsid w:val="00662AE7"/>
    <w:rsid w:val="006635A8"/>
    <w:rsid w:val="00663628"/>
    <w:rsid w:val="006637F7"/>
    <w:rsid w:val="0066415E"/>
    <w:rsid w:val="00665190"/>
    <w:rsid w:val="00666241"/>
    <w:rsid w:val="00666A2C"/>
    <w:rsid w:val="00666ABF"/>
    <w:rsid w:val="00666B62"/>
    <w:rsid w:val="006701EE"/>
    <w:rsid w:val="006707EE"/>
    <w:rsid w:val="006709EC"/>
    <w:rsid w:val="00671AC8"/>
    <w:rsid w:val="006720F9"/>
    <w:rsid w:val="006747CB"/>
    <w:rsid w:val="00677DC8"/>
    <w:rsid w:val="00677E19"/>
    <w:rsid w:val="006810D4"/>
    <w:rsid w:val="00685F6B"/>
    <w:rsid w:val="00687787"/>
    <w:rsid w:val="00690509"/>
    <w:rsid w:val="00691AF7"/>
    <w:rsid w:val="006929A3"/>
    <w:rsid w:val="00693874"/>
    <w:rsid w:val="00695284"/>
    <w:rsid w:val="006954FE"/>
    <w:rsid w:val="00695A38"/>
    <w:rsid w:val="00696DC4"/>
    <w:rsid w:val="006A0BE5"/>
    <w:rsid w:val="006A17CB"/>
    <w:rsid w:val="006A3BB1"/>
    <w:rsid w:val="006A47BC"/>
    <w:rsid w:val="006A60ED"/>
    <w:rsid w:val="006A6EED"/>
    <w:rsid w:val="006B0A25"/>
    <w:rsid w:val="006B279B"/>
    <w:rsid w:val="006B36C4"/>
    <w:rsid w:val="006B402C"/>
    <w:rsid w:val="006B5740"/>
    <w:rsid w:val="006B5876"/>
    <w:rsid w:val="006B6D4D"/>
    <w:rsid w:val="006C2730"/>
    <w:rsid w:val="006C38AC"/>
    <w:rsid w:val="006C7E81"/>
    <w:rsid w:val="006D05AE"/>
    <w:rsid w:val="006D0C9B"/>
    <w:rsid w:val="006D1B7C"/>
    <w:rsid w:val="006D565D"/>
    <w:rsid w:val="006D68FA"/>
    <w:rsid w:val="006D7485"/>
    <w:rsid w:val="006E1807"/>
    <w:rsid w:val="006E1B2E"/>
    <w:rsid w:val="006E41FE"/>
    <w:rsid w:val="006E4645"/>
    <w:rsid w:val="006E576F"/>
    <w:rsid w:val="006E5B3E"/>
    <w:rsid w:val="006E713F"/>
    <w:rsid w:val="006E749B"/>
    <w:rsid w:val="006F168C"/>
    <w:rsid w:val="006F1A47"/>
    <w:rsid w:val="006F6008"/>
    <w:rsid w:val="006F6096"/>
    <w:rsid w:val="006F7C96"/>
    <w:rsid w:val="00702526"/>
    <w:rsid w:val="00702CEE"/>
    <w:rsid w:val="0070396C"/>
    <w:rsid w:val="00704831"/>
    <w:rsid w:val="007051D8"/>
    <w:rsid w:val="00706A10"/>
    <w:rsid w:val="0070726A"/>
    <w:rsid w:val="007118D1"/>
    <w:rsid w:val="0071192E"/>
    <w:rsid w:val="00711F2A"/>
    <w:rsid w:val="0071219F"/>
    <w:rsid w:val="0071244C"/>
    <w:rsid w:val="00721EA7"/>
    <w:rsid w:val="00723B0F"/>
    <w:rsid w:val="00725A67"/>
    <w:rsid w:val="00727142"/>
    <w:rsid w:val="00727EB6"/>
    <w:rsid w:val="00730250"/>
    <w:rsid w:val="0073089C"/>
    <w:rsid w:val="0073103B"/>
    <w:rsid w:val="007339F3"/>
    <w:rsid w:val="00736BAF"/>
    <w:rsid w:val="0074090B"/>
    <w:rsid w:val="00740C5E"/>
    <w:rsid w:val="007414E1"/>
    <w:rsid w:val="007414EF"/>
    <w:rsid w:val="00742CB6"/>
    <w:rsid w:val="00743421"/>
    <w:rsid w:val="00743707"/>
    <w:rsid w:val="007438D2"/>
    <w:rsid w:val="00745F74"/>
    <w:rsid w:val="0074714D"/>
    <w:rsid w:val="00747EEE"/>
    <w:rsid w:val="00750F33"/>
    <w:rsid w:val="00751245"/>
    <w:rsid w:val="007521F8"/>
    <w:rsid w:val="0075254D"/>
    <w:rsid w:val="00754DCB"/>
    <w:rsid w:val="00755142"/>
    <w:rsid w:val="00762315"/>
    <w:rsid w:val="0076551D"/>
    <w:rsid w:val="00766C3F"/>
    <w:rsid w:val="00766DD3"/>
    <w:rsid w:val="007702C3"/>
    <w:rsid w:val="00770E9C"/>
    <w:rsid w:val="00771038"/>
    <w:rsid w:val="00772254"/>
    <w:rsid w:val="0077293A"/>
    <w:rsid w:val="00772C0D"/>
    <w:rsid w:val="007743B9"/>
    <w:rsid w:val="007764B3"/>
    <w:rsid w:val="0077745B"/>
    <w:rsid w:val="00781FBE"/>
    <w:rsid w:val="00784A6C"/>
    <w:rsid w:val="007856AF"/>
    <w:rsid w:val="00787F35"/>
    <w:rsid w:val="0079442E"/>
    <w:rsid w:val="00794D07"/>
    <w:rsid w:val="00796032"/>
    <w:rsid w:val="007960FD"/>
    <w:rsid w:val="00796E22"/>
    <w:rsid w:val="0079705C"/>
    <w:rsid w:val="007A0CCC"/>
    <w:rsid w:val="007A0FB6"/>
    <w:rsid w:val="007A3312"/>
    <w:rsid w:val="007A4D1E"/>
    <w:rsid w:val="007A581C"/>
    <w:rsid w:val="007A5EE8"/>
    <w:rsid w:val="007A607F"/>
    <w:rsid w:val="007A6A1E"/>
    <w:rsid w:val="007A7106"/>
    <w:rsid w:val="007B0226"/>
    <w:rsid w:val="007B1867"/>
    <w:rsid w:val="007B1D63"/>
    <w:rsid w:val="007B50AF"/>
    <w:rsid w:val="007B5BB0"/>
    <w:rsid w:val="007B6003"/>
    <w:rsid w:val="007B67F0"/>
    <w:rsid w:val="007B7AB7"/>
    <w:rsid w:val="007C00CB"/>
    <w:rsid w:val="007C03FD"/>
    <w:rsid w:val="007C1A2F"/>
    <w:rsid w:val="007C1F48"/>
    <w:rsid w:val="007C32EE"/>
    <w:rsid w:val="007C47F0"/>
    <w:rsid w:val="007C5933"/>
    <w:rsid w:val="007D0789"/>
    <w:rsid w:val="007D1558"/>
    <w:rsid w:val="007D1957"/>
    <w:rsid w:val="007D244B"/>
    <w:rsid w:val="007D2464"/>
    <w:rsid w:val="007D3859"/>
    <w:rsid w:val="007D4727"/>
    <w:rsid w:val="007E04D4"/>
    <w:rsid w:val="007E1372"/>
    <w:rsid w:val="007E2B3D"/>
    <w:rsid w:val="007E3522"/>
    <w:rsid w:val="007E3782"/>
    <w:rsid w:val="007E4BF1"/>
    <w:rsid w:val="007E503E"/>
    <w:rsid w:val="007E5130"/>
    <w:rsid w:val="007E7781"/>
    <w:rsid w:val="007E7815"/>
    <w:rsid w:val="007F0C73"/>
    <w:rsid w:val="007F3A09"/>
    <w:rsid w:val="007F3AAA"/>
    <w:rsid w:val="007F58A9"/>
    <w:rsid w:val="007F5F37"/>
    <w:rsid w:val="0080036C"/>
    <w:rsid w:val="00802BD5"/>
    <w:rsid w:val="00805A8D"/>
    <w:rsid w:val="008103FD"/>
    <w:rsid w:val="00810709"/>
    <w:rsid w:val="00813B30"/>
    <w:rsid w:val="00815649"/>
    <w:rsid w:val="00815A5C"/>
    <w:rsid w:val="00815F5A"/>
    <w:rsid w:val="0082056B"/>
    <w:rsid w:val="00821219"/>
    <w:rsid w:val="00822BEF"/>
    <w:rsid w:val="00822F45"/>
    <w:rsid w:val="00824C61"/>
    <w:rsid w:val="008274AA"/>
    <w:rsid w:val="008279F3"/>
    <w:rsid w:val="0083088A"/>
    <w:rsid w:val="00831A60"/>
    <w:rsid w:val="008323D2"/>
    <w:rsid w:val="00833277"/>
    <w:rsid w:val="0083405E"/>
    <w:rsid w:val="00837140"/>
    <w:rsid w:val="00837746"/>
    <w:rsid w:val="00837AEB"/>
    <w:rsid w:val="00837B2A"/>
    <w:rsid w:val="008418CF"/>
    <w:rsid w:val="00844163"/>
    <w:rsid w:val="0084440D"/>
    <w:rsid w:val="00850EBD"/>
    <w:rsid w:val="00854FA7"/>
    <w:rsid w:val="008563F2"/>
    <w:rsid w:val="0085713C"/>
    <w:rsid w:val="00857F71"/>
    <w:rsid w:val="008606A8"/>
    <w:rsid w:val="00860A9B"/>
    <w:rsid w:val="00864CC2"/>
    <w:rsid w:val="00864F68"/>
    <w:rsid w:val="00865380"/>
    <w:rsid w:val="00866938"/>
    <w:rsid w:val="00867825"/>
    <w:rsid w:val="008679A8"/>
    <w:rsid w:val="00867D26"/>
    <w:rsid w:val="00870BE2"/>
    <w:rsid w:val="00871010"/>
    <w:rsid w:val="00873CFF"/>
    <w:rsid w:val="00874312"/>
    <w:rsid w:val="00880E65"/>
    <w:rsid w:val="0088228E"/>
    <w:rsid w:val="00882674"/>
    <w:rsid w:val="00885622"/>
    <w:rsid w:val="0088784D"/>
    <w:rsid w:val="00891D15"/>
    <w:rsid w:val="00891EF9"/>
    <w:rsid w:val="00892DEB"/>
    <w:rsid w:val="00895A6A"/>
    <w:rsid w:val="008974B0"/>
    <w:rsid w:val="00897846"/>
    <w:rsid w:val="00897B18"/>
    <w:rsid w:val="008A14C6"/>
    <w:rsid w:val="008A14DD"/>
    <w:rsid w:val="008A26E0"/>
    <w:rsid w:val="008A2D33"/>
    <w:rsid w:val="008A327A"/>
    <w:rsid w:val="008A61FF"/>
    <w:rsid w:val="008A6894"/>
    <w:rsid w:val="008A748C"/>
    <w:rsid w:val="008B3852"/>
    <w:rsid w:val="008B55C3"/>
    <w:rsid w:val="008B69D6"/>
    <w:rsid w:val="008C024E"/>
    <w:rsid w:val="008C0F48"/>
    <w:rsid w:val="008C1B7B"/>
    <w:rsid w:val="008C2726"/>
    <w:rsid w:val="008C2D49"/>
    <w:rsid w:val="008C4F57"/>
    <w:rsid w:val="008C760E"/>
    <w:rsid w:val="008D0467"/>
    <w:rsid w:val="008D0527"/>
    <w:rsid w:val="008D21FF"/>
    <w:rsid w:val="008D2A98"/>
    <w:rsid w:val="008D2FDC"/>
    <w:rsid w:val="008D3EC1"/>
    <w:rsid w:val="008D44FA"/>
    <w:rsid w:val="008D5BAC"/>
    <w:rsid w:val="008D5DDF"/>
    <w:rsid w:val="008D6573"/>
    <w:rsid w:val="008D7101"/>
    <w:rsid w:val="008E0443"/>
    <w:rsid w:val="008E474C"/>
    <w:rsid w:val="008E4D9A"/>
    <w:rsid w:val="008E5B95"/>
    <w:rsid w:val="008E60CA"/>
    <w:rsid w:val="008E6444"/>
    <w:rsid w:val="008E6F90"/>
    <w:rsid w:val="008E7E64"/>
    <w:rsid w:val="008F0658"/>
    <w:rsid w:val="008F1D22"/>
    <w:rsid w:val="008F3F54"/>
    <w:rsid w:val="008F460D"/>
    <w:rsid w:val="008F7143"/>
    <w:rsid w:val="008F757F"/>
    <w:rsid w:val="00901513"/>
    <w:rsid w:val="00901AE0"/>
    <w:rsid w:val="00901CF2"/>
    <w:rsid w:val="00902AB2"/>
    <w:rsid w:val="00903666"/>
    <w:rsid w:val="00903EFA"/>
    <w:rsid w:val="009042C4"/>
    <w:rsid w:val="0090445B"/>
    <w:rsid w:val="009050C9"/>
    <w:rsid w:val="009050F6"/>
    <w:rsid w:val="00913666"/>
    <w:rsid w:val="00913E6B"/>
    <w:rsid w:val="00914FF4"/>
    <w:rsid w:val="00915580"/>
    <w:rsid w:val="009167EA"/>
    <w:rsid w:val="00920638"/>
    <w:rsid w:val="00921C02"/>
    <w:rsid w:val="009230D3"/>
    <w:rsid w:val="009232EF"/>
    <w:rsid w:val="00923A9B"/>
    <w:rsid w:val="00924F1F"/>
    <w:rsid w:val="00931D35"/>
    <w:rsid w:val="00932A7B"/>
    <w:rsid w:val="00932AD4"/>
    <w:rsid w:val="00932AE5"/>
    <w:rsid w:val="00932D0A"/>
    <w:rsid w:val="0093392B"/>
    <w:rsid w:val="009365A1"/>
    <w:rsid w:val="009366A7"/>
    <w:rsid w:val="00936935"/>
    <w:rsid w:val="00936BB0"/>
    <w:rsid w:val="009426A8"/>
    <w:rsid w:val="00942758"/>
    <w:rsid w:val="009430D0"/>
    <w:rsid w:val="00943224"/>
    <w:rsid w:val="00943C6B"/>
    <w:rsid w:val="00954D63"/>
    <w:rsid w:val="009551EF"/>
    <w:rsid w:val="00955248"/>
    <w:rsid w:val="009557CE"/>
    <w:rsid w:val="00955EE9"/>
    <w:rsid w:val="009565D6"/>
    <w:rsid w:val="00956916"/>
    <w:rsid w:val="00956993"/>
    <w:rsid w:val="009573B3"/>
    <w:rsid w:val="009604A3"/>
    <w:rsid w:val="009605F0"/>
    <w:rsid w:val="00962F9D"/>
    <w:rsid w:val="00963A24"/>
    <w:rsid w:val="009649A4"/>
    <w:rsid w:val="00964EBE"/>
    <w:rsid w:val="00965342"/>
    <w:rsid w:val="00966BB2"/>
    <w:rsid w:val="00972551"/>
    <w:rsid w:val="00974B50"/>
    <w:rsid w:val="00976EF7"/>
    <w:rsid w:val="00977843"/>
    <w:rsid w:val="00981EC7"/>
    <w:rsid w:val="00982D01"/>
    <w:rsid w:val="00983032"/>
    <w:rsid w:val="009855E5"/>
    <w:rsid w:val="00985D84"/>
    <w:rsid w:val="009868B7"/>
    <w:rsid w:val="009876CB"/>
    <w:rsid w:val="00991CA9"/>
    <w:rsid w:val="00992076"/>
    <w:rsid w:val="009948FD"/>
    <w:rsid w:val="00995828"/>
    <w:rsid w:val="00995865"/>
    <w:rsid w:val="00995CA4"/>
    <w:rsid w:val="00996530"/>
    <w:rsid w:val="00997ED8"/>
    <w:rsid w:val="009A0C4C"/>
    <w:rsid w:val="009A0F43"/>
    <w:rsid w:val="009A1764"/>
    <w:rsid w:val="009A27AB"/>
    <w:rsid w:val="009A38DB"/>
    <w:rsid w:val="009A4EC2"/>
    <w:rsid w:val="009A7363"/>
    <w:rsid w:val="009B3872"/>
    <w:rsid w:val="009B5283"/>
    <w:rsid w:val="009B617B"/>
    <w:rsid w:val="009B7E8A"/>
    <w:rsid w:val="009C0110"/>
    <w:rsid w:val="009C14DC"/>
    <w:rsid w:val="009C1D5E"/>
    <w:rsid w:val="009C2AF5"/>
    <w:rsid w:val="009C6A66"/>
    <w:rsid w:val="009C6F4F"/>
    <w:rsid w:val="009D0142"/>
    <w:rsid w:val="009D078A"/>
    <w:rsid w:val="009D194E"/>
    <w:rsid w:val="009D2232"/>
    <w:rsid w:val="009D2EA3"/>
    <w:rsid w:val="009D6F17"/>
    <w:rsid w:val="009D7164"/>
    <w:rsid w:val="009E37F2"/>
    <w:rsid w:val="009E5C52"/>
    <w:rsid w:val="009E645F"/>
    <w:rsid w:val="009E6C4C"/>
    <w:rsid w:val="009E6DF2"/>
    <w:rsid w:val="009F0251"/>
    <w:rsid w:val="009F1DCB"/>
    <w:rsid w:val="009F2719"/>
    <w:rsid w:val="009F2E3C"/>
    <w:rsid w:val="009F40AC"/>
    <w:rsid w:val="009F44A5"/>
    <w:rsid w:val="009F4A9C"/>
    <w:rsid w:val="009F4D08"/>
    <w:rsid w:val="009F5B4F"/>
    <w:rsid w:val="009F6A20"/>
    <w:rsid w:val="00A00E05"/>
    <w:rsid w:val="00A01EAC"/>
    <w:rsid w:val="00A0286B"/>
    <w:rsid w:val="00A0297E"/>
    <w:rsid w:val="00A029C1"/>
    <w:rsid w:val="00A06994"/>
    <w:rsid w:val="00A113A8"/>
    <w:rsid w:val="00A11AA5"/>
    <w:rsid w:val="00A138D5"/>
    <w:rsid w:val="00A13BDA"/>
    <w:rsid w:val="00A146BE"/>
    <w:rsid w:val="00A15F82"/>
    <w:rsid w:val="00A166D6"/>
    <w:rsid w:val="00A16FFF"/>
    <w:rsid w:val="00A20177"/>
    <w:rsid w:val="00A218C9"/>
    <w:rsid w:val="00A21F4D"/>
    <w:rsid w:val="00A21F5E"/>
    <w:rsid w:val="00A22125"/>
    <w:rsid w:val="00A221A4"/>
    <w:rsid w:val="00A232BF"/>
    <w:rsid w:val="00A25BB2"/>
    <w:rsid w:val="00A31777"/>
    <w:rsid w:val="00A324EA"/>
    <w:rsid w:val="00A33D8B"/>
    <w:rsid w:val="00A347B1"/>
    <w:rsid w:val="00A35B20"/>
    <w:rsid w:val="00A378F8"/>
    <w:rsid w:val="00A37A21"/>
    <w:rsid w:val="00A40142"/>
    <w:rsid w:val="00A40638"/>
    <w:rsid w:val="00A4195E"/>
    <w:rsid w:val="00A451AF"/>
    <w:rsid w:val="00A4549C"/>
    <w:rsid w:val="00A47102"/>
    <w:rsid w:val="00A50558"/>
    <w:rsid w:val="00A5121E"/>
    <w:rsid w:val="00A52D5F"/>
    <w:rsid w:val="00A534C7"/>
    <w:rsid w:val="00A5374B"/>
    <w:rsid w:val="00A5486B"/>
    <w:rsid w:val="00A54E14"/>
    <w:rsid w:val="00A5763C"/>
    <w:rsid w:val="00A60755"/>
    <w:rsid w:val="00A609DE"/>
    <w:rsid w:val="00A60BFB"/>
    <w:rsid w:val="00A62CB6"/>
    <w:rsid w:val="00A63841"/>
    <w:rsid w:val="00A64DCF"/>
    <w:rsid w:val="00A673CE"/>
    <w:rsid w:val="00A675BA"/>
    <w:rsid w:val="00A71713"/>
    <w:rsid w:val="00A73EFD"/>
    <w:rsid w:val="00A74249"/>
    <w:rsid w:val="00A74BC1"/>
    <w:rsid w:val="00A75613"/>
    <w:rsid w:val="00A76228"/>
    <w:rsid w:val="00A81731"/>
    <w:rsid w:val="00A81839"/>
    <w:rsid w:val="00A81B57"/>
    <w:rsid w:val="00A81E8A"/>
    <w:rsid w:val="00A822D8"/>
    <w:rsid w:val="00A827A0"/>
    <w:rsid w:val="00A82E3B"/>
    <w:rsid w:val="00A83462"/>
    <w:rsid w:val="00A84670"/>
    <w:rsid w:val="00A84FCB"/>
    <w:rsid w:val="00A862C6"/>
    <w:rsid w:val="00A87E60"/>
    <w:rsid w:val="00A934BC"/>
    <w:rsid w:val="00A945AF"/>
    <w:rsid w:val="00A94AF1"/>
    <w:rsid w:val="00A951B6"/>
    <w:rsid w:val="00A9685E"/>
    <w:rsid w:val="00A9698F"/>
    <w:rsid w:val="00A97748"/>
    <w:rsid w:val="00AA1D35"/>
    <w:rsid w:val="00AA2C20"/>
    <w:rsid w:val="00AA337F"/>
    <w:rsid w:val="00AA34C6"/>
    <w:rsid w:val="00AA53AD"/>
    <w:rsid w:val="00AA55AA"/>
    <w:rsid w:val="00AB2A8E"/>
    <w:rsid w:val="00AB37F0"/>
    <w:rsid w:val="00AC02E5"/>
    <w:rsid w:val="00AC2E2B"/>
    <w:rsid w:val="00AC3D61"/>
    <w:rsid w:val="00AC3DFD"/>
    <w:rsid w:val="00AC57C1"/>
    <w:rsid w:val="00AC5CB4"/>
    <w:rsid w:val="00AC7647"/>
    <w:rsid w:val="00AC7AB0"/>
    <w:rsid w:val="00AD0AFD"/>
    <w:rsid w:val="00AD18AD"/>
    <w:rsid w:val="00AD4454"/>
    <w:rsid w:val="00AD6AE9"/>
    <w:rsid w:val="00AD6BA7"/>
    <w:rsid w:val="00AD6E59"/>
    <w:rsid w:val="00AD7167"/>
    <w:rsid w:val="00AE18A6"/>
    <w:rsid w:val="00AE2B46"/>
    <w:rsid w:val="00AE3BB0"/>
    <w:rsid w:val="00AE3CDF"/>
    <w:rsid w:val="00AE45CE"/>
    <w:rsid w:val="00AE6899"/>
    <w:rsid w:val="00AF0E62"/>
    <w:rsid w:val="00AF1B9E"/>
    <w:rsid w:val="00AF1E16"/>
    <w:rsid w:val="00AF28DC"/>
    <w:rsid w:val="00AF328A"/>
    <w:rsid w:val="00AF3442"/>
    <w:rsid w:val="00AF388A"/>
    <w:rsid w:val="00AF7701"/>
    <w:rsid w:val="00B01CEE"/>
    <w:rsid w:val="00B01CFF"/>
    <w:rsid w:val="00B0532B"/>
    <w:rsid w:val="00B05548"/>
    <w:rsid w:val="00B0564F"/>
    <w:rsid w:val="00B05CE3"/>
    <w:rsid w:val="00B07D05"/>
    <w:rsid w:val="00B10052"/>
    <w:rsid w:val="00B10C05"/>
    <w:rsid w:val="00B113C1"/>
    <w:rsid w:val="00B15143"/>
    <w:rsid w:val="00B157E6"/>
    <w:rsid w:val="00B15EC1"/>
    <w:rsid w:val="00B17811"/>
    <w:rsid w:val="00B17B2B"/>
    <w:rsid w:val="00B22B99"/>
    <w:rsid w:val="00B2418E"/>
    <w:rsid w:val="00B242D1"/>
    <w:rsid w:val="00B26D97"/>
    <w:rsid w:val="00B30169"/>
    <w:rsid w:val="00B31CC4"/>
    <w:rsid w:val="00B334DC"/>
    <w:rsid w:val="00B339DA"/>
    <w:rsid w:val="00B33E13"/>
    <w:rsid w:val="00B34A76"/>
    <w:rsid w:val="00B35224"/>
    <w:rsid w:val="00B3566E"/>
    <w:rsid w:val="00B379C0"/>
    <w:rsid w:val="00B400D6"/>
    <w:rsid w:val="00B41044"/>
    <w:rsid w:val="00B43AE0"/>
    <w:rsid w:val="00B43C78"/>
    <w:rsid w:val="00B47C1E"/>
    <w:rsid w:val="00B51D9B"/>
    <w:rsid w:val="00B51F1B"/>
    <w:rsid w:val="00B53A26"/>
    <w:rsid w:val="00B53D50"/>
    <w:rsid w:val="00B55BF9"/>
    <w:rsid w:val="00B56C42"/>
    <w:rsid w:val="00B57FCA"/>
    <w:rsid w:val="00B60EA2"/>
    <w:rsid w:val="00B62304"/>
    <w:rsid w:val="00B64B6F"/>
    <w:rsid w:val="00B64CCB"/>
    <w:rsid w:val="00B67B2D"/>
    <w:rsid w:val="00B67F60"/>
    <w:rsid w:val="00B71B60"/>
    <w:rsid w:val="00B72EB2"/>
    <w:rsid w:val="00B72FBD"/>
    <w:rsid w:val="00B73E67"/>
    <w:rsid w:val="00B77977"/>
    <w:rsid w:val="00B80F9E"/>
    <w:rsid w:val="00B81A87"/>
    <w:rsid w:val="00B81FBB"/>
    <w:rsid w:val="00B82897"/>
    <w:rsid w:val="00B8377B"/>
    <w:rsid w:val="00B84DA5"/>
    <w:rsid w:val="00B90658"/>
    <w:rsid w:val="00B91DF7"/>
    <w:rsid w:val="00B9306E"/>
    <w:rsid w:val="00B93E45"/>
    <w:rsid w:val="00B952F5"/>
    <w:rsid w:val="00B9559A"/>
    <w:rsid w:val="00BA00EE"/>
    <w:rsid w:val="00BA051C"/>
    <w:rsid w:val="00BA0675"/>
    <w:rsid w:val="00BA1328"/>
    <w:rsid w:val="00BA1C2A"/>
    <w:rsid w:val="00BA1CF2"/>
    <w:rsid w:val="00BA2335"/>
    <w:rsid w:val="00BA2806"/>
    <w:rsid w:val="00BA3628"/>
    <w:rsid w:val="00BA6210"/>
    <w:rsid w:val="00BA7C0D"/>
    <w:rsid w:val="00BA7E23"/>
    <w:rsid w:val="00BB2FDD"/>
    <w:rsid w:val="00BB44AC"/>
    <w:rsid w:val="00BB66EA"/>
    <w:rsid w:val="00BB7BCF"/>
    <w:rsid w:val="00BC0019"/>
    <w:rsid w:val="00BC2F38"/>
    <w:rsid w:val="00BC3D03"/>
    <w:rsid w:val="00BC5189"/>
    <w:rsid w:val="00BC7919"/>
    <w:rsid w:val="00BC7A7F"/>
    <w:rsid w:val="00BD0FDA"/>
    <w:rsid w:val="00BD1F0D"/>
    <w:rsid w:val="00BD485A"/>
    <w:rsid w:val="00BD4898"/>
    <w:rsid w:val="00BD530A"/>
    <w:rsid w:val="00BD639F"/>
    <w:rsid w:val="00BD6995"/>
    <w:rsid w:val="00BD76F7"/>
    <w:rsid w:val="00BE0EEB"/>
    <w:rsid w:val="00BE7FD0"/>
    <w:rsid w:val="00BF0249"/>
    <w:rsid w:val="00BF2B66"/>
    <w:rsid w:val="00BF346E"/>
    <w:rsid w:val="00BF40FC"/>
    <w:rsid w:val="00BF6548"/>
    <w:rsid w:val="00BF73D3"/>
    <w:rsid w:val="00BF78B5"/>
    <w:rsid w:val="00C00041"/>
    <w:rsid w:val="00C04D12"/>
    <w:rsid w:val="00C069DE"/>
    <w:rsid w:val="00C07F13"/>
    <w:rsid w:val="00C10454"/>
    <w:rsid w:val="00C1111F"/>
    <w:rsid w:val="00C11ECE"/>
    <w:rsid w:val="00C12030"/>
    <w:rsid w:val="00C12A5D"/>
    <w:rsid w:val="00C12DE5"/>
    <w:rsid w:val="00C16549"/>
    <w:rsid w:val="00C17AFD"/>
    <w:rsid w:val="00C200CF"/>
    <w:rsid w:val="00C20360"/>
    <w:rsid w:val="00C20FD8"/>
    <w:rsid w:val="00C20FE3"/>
    <w:rsid w:val="00C2552B"/>
    <w:rsid w:val="00C25585"/>
    <w:rsid w:val="00C26738"/>
    <w:rsid w:val="00C26A61"/>
    <w:rsid w:val="00C33C9B"/>
    <w:rsid w:val="00C33F24"/>
    <w:rsid w:val="00C33F93"/>
    <w:rsid w:val="00C34570"/>
    <w:rsid w:val="00C35123"/>
    <w:rsid w:val="00C3598D"/>
    <w:rsid w:val="00C3672E"/>
    <w:rsid w:val="00C41151"/>
    <w:rsid w:val="00C414A0"/>
    <w:rsid w:val="00C41522"/>
    <w:rsid w:val="00C41CF4"/>
    <w:rsid w:val="00C42693"/>
    <w:rsid w:val="00C43841"/>
    <w:rsid w:val="00C44461"/>
    <w:rsid w:val="00C44DAF"/>
    <w:rsid w:val="00C45693"/>
    <w:rsid w:val="00C50713"/>
    <w:rsid w:val="00C51ED9"/>
    <w:rsid w:val="00C524FA"/>
    <w:rsid w:val="00C55A95"/>
    <w:rsid w:val="00C57004"/>
    <w:rsid w:val="00C57751"/>
    <w:rsid w:val="00C60969"/>
    <w:rsid w:val="00C61AC0"/>
    <w:rsid w:val="00C61C5E"/>
    <w:rsid w:val="00C631E0"/>
    <w:rsid w:val="00C64DBD"/>
    <w:rsid w:val="00C66A19"/>
    <w:rsid w:val="00C66FEA"/>
    <w:rsid w:val="00C67690"/>
    <w:rsid w:val="00C7035C"/>
    <w:rsid w:val="00C73FBA"/>
    <w:rsid w:val="00C74022"/>
    <w:rsid w:val="00C74CCD"/>
    <w:rsid w:val="00C77B5B"/>
    <w:rsid w:val="00C77BC0"/>
    <w:rsid w:val="00C80327"/>
    <w:rsid w:val="00C807A8"/>
    <w:rsid w:val="00C80DBD"/>
    <w:rsid w:val="00C8141A"/>
    <w:rsid w:val="00C84D79"/>
    <w:rsid w:val="00C86BDC"/>
    <w:rsid w:val="00C872B7"/>
    <w:rsid w:val="00C9221B"/>
    <w:rsid w:val="00C92895"/>
    <w:rsid w:val="00C92D82"/>
    <w:rsid w:val="00C94B21"/>
    <w:rsid w:val="00C94DEE"/>
    <w:rsid w:val="00C95294"/>
    <w:rsid w:val="00C95CAE"/>
    <w:rsid w:val="00C967B5"/>
    <w:rsid w:val="00C9786D"/>
    <w:rsid w:val="00CA144D"/>
    <w:rsid w:val="00CA27DE"/>
    <w:rsid w:val="00CA372D"/>
    <w:rsid w:val="00CA488F"/>
    <w:rsid w:val="00CA4F8E"/>
    <w:rsid w:val="00CA50D1"/>
    <w:rsid w:val="00CB0655"/>
    <w:rsid w:val="00CB1CFE"/>
    <w:rsid w:val="00CB1E8F"/>
    <w:rsid w:val="00CB2F80"/>
    <w:rsid w:val="00CB3465"/>
    <w:rsid w:val="00CB55F8"/>
    <w:rsid w:val="00CB643B"/>
    <w:rsid w:val="00CB74EB"/>
    <w:rsid w:val="00CB7FDB"/>
    <w:rsid w:val="00CC3AD7"/>
    <w:rsid w:val="00CC3C93"/>
    <w:rsid w:val="00CC4B93"/>
    <w:rsid w:val="00CC6484"/>
    <w:rsid w:val="00CC69AA"/>
    <w:rsid w:val="00CC74FC"/>
    <w:rsid w:val="00CD0EAC"/>
    <w:rsid w:val="00CD1842"/>
    <w:rsid w:val="00CD2200"/>
    <w:rsid w:val="00CD327A"/>
    <w:rsid w:val="00CD33AA"/>
    <w:rsid w:val="00CD3750"/>
    <w:rsid w:val="00CD3DEB"/>
    <w:rsid w:val="00CD48D7"/>
    <w:rsid w:val="00CD5D52"/>
    <w:rsid w:val="00CD6C9A"/>
    <w:rsid w:val="00CD6DFD"/>
    <w:rsid w:val="00CD77F2"/>
    <w:rsid w:val="00CD7F19"/>
    <w:rsid w:val="00CE00CF"/>
    <w:rsid w:val="00CE16DE"/>
    <w:rsid w:val="00CE1C2A"/>
    <w:rsid w:val="00CE2030"/>
    <w:rsid w:val="00CE2865"/>
    <w:rsid w:val="00CE647D"/>
    <w:rsid w:val="00CE794A"/>
    <w:rsid w:val="00CF1C87"/>
    <w:rsid w:val="00CF2AEE"/>
    <w:rsid w:val="00CF3CF0"/>
    <w:rsid w:val="00CF5CA7"/>
    <w:rsid w:val="00D01A04"/>
    <w:rsid w:val="00D01E11"/>
    <w:rsid w:val="00D01E1E"/>
    <w:rsid w:val="00D06B51"/>
    <w:rsid w:val="00D06FC4"/>
    <w:rsid w:val="00D0766A"/>
    <w:rsid w:val="00D1095B"/>
    <w:rsid w:val="00D1213D"/>
    <w:rsid w:val="00D12DC5"/>
    <w:rsid w:val="00D14531"/>
    <w:rsid w:val="00D1644F"/>
    <w:rsid w:val="00D21B21"/>
    <w:rsid w:val="00D22112"/>
    <w:rsid w:val="00D2294E"/>
    <w:rsid w:val="00D242D3"/>
    <w:rsid w:val="00D24541"/>
    <w:rsid w:val="00D24CBB"/>
    <w:rsid w:val="00D25560"/>
    <w:rsid w:val="00D25B3E"/>
    <w:rsid w:val="00D277E6"/>
    <w:rsid w:val="00D303E4"/>
    <w:rsid w:val="00D303E5"/>
    <w:rsid w:val="00D30DB0"/>
    <w:rsid w:val="00D31ECF"/>
    <w:rsid w:val="00D3317E"/>
    <w:rsid w:val="00D33298"/>
    <w:rsid w:val="00D336D8"/>
    <w:rsid w:val="00D348BF"/>
    <w:rsid w:val="00D3505E"/>
    <w:rsid w:val="00D37330"/>
    <w:rsid w:val="00D375D1"/>
    <w:rsid w:val="00D43BDF"/>
    <w:rsid w:val="00D447EB"/>
    <w:rsid w:val="00D44A68"/>
    <w:rsid w:val="00D470B2"/>
    <w:rsid w:val="00D47459"/>
    <w:rsid w:val="00D47A3C"/>
    <w:rsid w:val="00D50BFD"/>
    <w:rsid w:val="00D51DEB"/>
    <w:rsid w:val="00D5225E"/>
    <w:rsid w:val="00D54C6F"/>
    <w:rsid w:val="00D57727"/>
    <w:rsid w:val="00D6345F"/>
    <w:rsid w:val="00D643EE"/>
    <w:rsid w:val="00D6699F"/>
    <w:rsid w:val="00D66C3C"/>
    <w:rsid w:val="00D67107"/>
    <w:rsid w:val="00D7241B"/>
    <w:rsid w:val="00D76AB0"/>
    <w:rsid w:val="00D81515"/>
    <w:rsid w:val="00D81E43"/>
    <w:rsid w:val="00D82234"/>
    <w:rsid w:val="00D8288E"/>
    <w:rsid w:val="00D828ED"/>
    <w:rsid w:val="00D82D3B"/>
    <w:rsid w:val="00D8389D"/>
    <w:rsid w:val="00D83B62"/>
    <w:rsid w:val="00D83CB9"/>
    <w:rsid w:val="00D83FC4"/>
    <w:rsid w:val="00D85549"/>
    <w:rsid w:val="00D85B24"/>
    <w:rsid w:val="00D85C34"/>
    <w:rsid w:val="00D86B7F"/>
    <w:rsid w:val="00D9010B"/>
    <w:rsid w:val="00D90640"/>
    <w:rsid w:val="00D909CB"/>
    <w:rsid w:val="00D9124E"/>
    <w:rsid w:val="00D925BC"/>
    <w:rsid w:val="00D9449C"/>
    <w:rsid w:val="00D96387"/>
    <w:rsid w:val="00D97C4E"/>
    <w:rsid w:val="00DA087C"/>
    <w:rsid w:val="00DA13CC"/>
    <w:rsid w:val="00DA468B"/>
    <w:rsid w:val="00DA5B2D"/>
    <w:rsid w:val="00DA69CC"/>
    <w:rsid w:val="00DA7CBA"/>
    <w:rsid w:val="00DB0F9A"/>
    <w:rsid w:val="00DB38D3"/>
    <w:rsid w:val="00DB3E4B"/>
    <w:rsid w:val="00DB4289"/>
    <w:rsid w:val="00DB4395"/>
    <w:rsid w:val="00DB4A3F"/>
    <w:rsid w:val="00DB649B"/>
    <w:rsid w:val="00DB7037"/>
    <w:rsid w:val="00DC2403"/>
    <w:rsid w:val="00DC30A0"/>
    <w:rsid w:val="00DC4872"/>
    <w:rsid w:val="00DC48B4"/>
    <w:rsid w:val="00DC6638"/>
    <w:rsid w:val="00DC766E"/>
    <w:rsid w:val="00DD25BE"/>
    <w:rsid w:val="00DD4CCD"/>
    <w:rsid w:val="00DD52D9"/>
    <w:rsid w:val="00DD5787"/>
    <w:rsid w:val="00DD647C"/>
    <w:rsid w:val="00DE0C1B"/>
    <w:rsid w:val="00DE3635"/>
    <w:rsid w:val="00DE4095"/>
    <w:rsid w:val="00DE4349"/>
    <w:rsid w:val="00DE50B3"/>
    <w:rsid w:val="00DF0810"/>
    <w:rsid w:val="00DF0EC3"/>
    <w:rsid w:val="00DF2A8A"/>
    <w:rsid w:val="00DF5305"/>
    <w:rsid w:val="00DF5B63"/>
    <w:rsid w:val="00DF5C67"/>
    <w:rsid w:val="00DF62D2"/>
    <w:rsid w:val="00DF68EB"/>
    <w:rsid w:val="00DF75C5"/>
    <w:rsid w:val="00E0037C"/>
    <w:rsid w:val="00E03794"/>
    <w:rsid w:val="00E03F1F"/>
    <w:rsid w:val="00E04AD8"/>
    <w:rsid w:val="00E04FF8"/>
    <w:rsid w:val="00E05358"/>
    <w:rsid w:val="00E1130E"/>
    <w:rsid w:val="00E11A4F"/>
    <w:rsid w:val="00E1444A"/>
    <w:rsid w:val="00E14C6B"/>
    <w:rsid w:val="00E15368"/>
    <w:rsid w:val="00E161FD"/>
    <w:rsid w:val="00E16756"/>
    <w:rsid w:val="00E17956"/>
    <w:rsid w:val="00E179EE"/>
    <w:rsid w:val="00E17E92"/>
    <w:rsid w:val="00E206D7"/>
    <w:rsid w:val="00E20AE5"/>
    <w:rsid w:val="00E20C06"/>
    <w:rsid w:val="00E22361"/>
    <w:rsid w:val="00E23B6C"/>
    <w:rsid w:val="00E23D61"/>
    <w:rsid w:val="00E26B05"/>
    <w:rsid w:val="00E300F8"/>
    <w:rsid w:val="00E31FB7"/>
    <w:rsid w:val="00E3349D"/>
    <w:rsid w:val="00E33948"/>
    <w:rsid w:val="00E340C2"/>
    <w:rsid w:val="00E34A30"/>
    <w:rsid w:val="00E35BA0"/>
    <w:rsid w:val="00E366F0"/>
    <w:rsid w:val="00E4054B"/>
    <w:rsid w:val="00E4080D"/>
    <w:rsid w:val="00E40E0A"/>
    <w:rsid w:val="00E42C79"/>
    <w:rsid w:val="00E47711"/>
    <w:rsid w:val="00E50AC5"/>
    <w:rsid w:val="00E53AA4"/>
    <w:rsid w:val="00E5453C"/>
    <w:rsid w:val="00E62414"/>
    <w:rsid w:val="00E6434E"/>
    <w:rsid w:val="00E64D54"/>
    <w:rsid w:val="00E65CAE"/>
    <w:rsid w:val="00E6602E"/>
    <w:rsid w:val="00E66096"/>
    <w:rsid w:val="00E70596"/>
    <w:rsid w:val="00E716F3"/>
    <w:rsid w:val="00E71CBE"/>
    <w:rsid w:val="00E743E2"/>
    <w:rsid w:val="00E74D80"/>
    <w:rsid w:val="00E7515E"/>
    <w:rsid w:val="00E75338"/>
    <w:rsid w:val="00E756DE"/>
    <w:rsid w:val="00E758C6"/>
    <w:rsid w:val="00E760B2"/>
    <w:rsid w:val="00E82F6E"/>
    <w:rsid w:val="00E8338D"/>
    <w:rsid w:val="00E83D45"/>
    <w:rsid w:val="00E85855"/>
    <w:rsid w:val="00E8671B"/>
    <w:rsid w:val="00E87629"/>
    <w:rsid w:val="00E87CD2"/>
    <w:rsid w:val="00E87E21"/>
    <w:rsid w:val="00E90780"/>
    <w:rsid w:val="00E90B7E"/>
    <w:rsid w:val="00E91200"/>
    <w:rsid w:val="00E91797"/>
    <w:rsid w:val="00E918AD"/>
    <w:rsid w:val="00E92310"/>
    <w:rsid w:val="00E92832"/>
    <w:rsid w:val="00E92AA5"/>
    <w:rsid w:val="00E93486"/>
    <w:rsid w:val="00E93C0F"/>
    <w:rsid w:val="00E949E1"/>
    <w:rsid w:val="00E962EC"/>
    <w:rsid w:val="00E96D59"/>
    <w:rsid w:val="00E9704E"/>
    <w:rsid w:val="00E97294"/>
    <w:rsid w:val="00E97461"/>
    <w:rsid w:val="00E97AA8"/>
    <w:rsid w:val="00EA0F7B"/>
    <w:rsid w:val="00EA3ECA"/>
    <w:rsid w:val="00EA4BE8"/>
    <w:rsid w:val="00EA5E6B"/>
    <w:rsid w:val="00EA6913"/>
    <w:rsid w:val="00EA71EC"/>
    <w:rsid w:val="00EA7F7F"/>
    <w:rsid w:val="00EB0412"/>
    <w:rsid w:val="00EB1BE1"/>
    <w:rsid w:val="00EB2297"/>
    <w:rsid w:val="00EB48FA"/>
    <w:rsid w:val="00EB4920"/>
    <w:rsid w:val="00EB753C"/>
    <w:rsid w:val="00EC0566"/>
    <w:rsid w:val="00EC1883"/>
    <w:rsid w:val="00EC24E4"/>
    <w:rsid w:val="00EC5169"/>
    <w:rsid w:val="00EC5585"/>
    <w:rsid w:val="00EC5EFF"/>
    <w:rsid w:val="00EC644B"/>
    <w:rsid w:val="00EC6EE2"/>
    <w:rsid w:val="00ED12CE"/>
    <w:rsid w:val="00ED13F4"/>
    <w:rsid w:val="00ED2CDA"/>
    <w:rsid w:val="00ED2EB4"/>
    <w:rsid w:val="00ED3795"/>
    <w:rsid w:val="00ED3B4E"/>
    <w:rsid w:val="00ED4988"/>
    <w:rsid w:val="00ED6E80"/>
    <w:rsid w:val="00ED7BDD"/>
    <w:rsid w:val="00EE01E6"/>
    <w:rsid w:val="00EE1C2C"/>
    <w:rsid w:val="00EE3BE1"/>
    <w:rsid w:val="00EE3EE0"/>
    <w:rsid w:val="00EE45DC"/>
    <w:rsid w:val="00EE49ED"/>
    <w:rsid w:val="00EE4D6A"/>
    <w:rsid w:val="00EE4DBC"/>
    <w:rsid w:val="00EE52D3"/>
    <w:rsid w:val="00EE56A8"/>
    <w:rsid w:val="00EE6554"/>
    <w:rsid w:val="00EE74CF"/>
    <w:rsid w:val="00EE7921"/>
    <w:rsid w:val="00EF0034"/>
    <w:rsid w:val="00EF0ACA"/>
    <w:rsid w:val="00EF17B6"/>
    <w:rsid w:val="00EF1BE0"/>
    <w:rsid w:val="00EF1FA6"/>
    <w:rsid w:val="00EF21C1"/>
    <w:rsid w:val="00EF2BDD"/>
    <w:rsid w:val="00EF2D39"/>
    <w:rsid w:val="00EF51DC"/>
    <w:rsid w:val="00EF6C60"/>
    <w:rsid w:val="00EF780A"/>
    <w:rsid w:val="00EF79E9"/>
    <w:rsid w:val="00EF7FBA"/>
    <w:rsid w:val="00F00CD6"/>
    <w:rsid w:val="00F02548"/>
    <w:rsid w:val="00F0339C"/>
    <w:rsid w:val="00F04AE1"/>
    <w:rsid w:val="00F06D4A"/>
    <w:rsid w:val="00F12D7B"/>
    <w:rsid w:val="00F12F79"/>
    <w:rsid w:val="00F13E2D"/>
    <w:rsid w:val="00F13FF4"/>
    <w:rsid w:val="00F206A7"/>
    <w:rsid w:val="00F20A17"/>
    <w:rsid w:val="00F20F60"/>
    <w:rsid w:val="00F21FF2"/>
    <w:rsid w:val="00F2290E"/>
    <w:rsid w:val="00F254DF"/>
    <w:rsid w:val="00F27436"/>
    <w:rsid w:val="00F3082B"/>
    <w:rsid w:val="00F32956"/>
    <w:rsid w:val="00F35D08"/>
    <w:rsid w:val="00F36125"/>
    <w:rsid w:val="00F364C2"/>
    <w:rsid w:val="00F36D1A"/>
    <w:rsid w:val="00F377DA"/>
    <w:rsid w:val="00F402CB"/>
    <w:rsid w:val="00F41E57"/>
    <w:rsid w:val="00F42DE9"/>
    <w:rsid w:val="00F52407"/>
    <w:rsid w:val="00F558E3"/>
    <w:rsid w:val="00F5606C"/>
    <w:rsid w:val="00F56B6A"/>
    <w:rsid w:val="00F6094C"/>
    <w:rsid w:val="00F61EB9"/>
    <w:rsid w:val="00F64A68"/>
    <w:rsid w:val="00F65030"/>
    <w:rsid w:val="00F65959"/>
    <w:rsid w:val="00F66814"/>
    <w:rsid w:val="00F66B9C"/>
    <w:rsid w:val="00F67455"/>
    <w:rsid w:val="00F67C76"/>
    <w:rsid w:val="00F67E89"/>
    <w:rsid w:val="00F7020E"/>
    <w:rsid w:val="00F71814"/>
    <w:rsid w:val="00F71F56"/>
    <w:rsid w:val="00F72EF5"/>
    <w:rsid w:val="00F7468B"/>
    <w:rsid w:val="00F74726"/>
    <w:rsid w:val="00F80DD2"/>
    <w:rsid w:val="00F81A80"/>
    <w:rsid w:val="00F81ADC"/>
    <w:rsid w:val="00F81D74"/>
    <w:rsid w:val="00F82439"/>
    <w:rsid w:val="00F8279C"/>
    <w:rsid w:val="00F82B11"/>
    <w:rsid w:val="00F83312"/>
    <w:rsid w:val="00F83459"/>
    <w:rsid w:val="00F86BF8"/>
    <w:rsid w:val="00F91CE5"/>
    <w:rsid w:val="00F923BC"/>
    <w:rsid w:val="00F95EAC"/>
    <w:rsid w:val="00FA05D8"/>
    <w:rsid w:val="00FA32DC"/>
    <w:rsid w:val="00FA3A59"/>
    <w:rsid w:val="00FA3AA6"/>
    <w:rsid w:val="00FA3BB6"/>
    <w:rsid w:val="00FA56C4"/>
    <w:rsid w:val="00FB0EE1"/>
    <w:rsid w:val="00FB272E"/>
    <w:rsid w:val="00FB6218"/>
    <w:rsid w:val="00FB70EF"/>
    <w:rsid w:val="00FB769B"/>
    <w:rsid w:val="00FB7869"/>
    <w:rsid w:val="00FC2BDC"/>
    <w:rsid w:val="00FC4252"/>
    <w:rsid w:val="00FC55E6"/>
    <w:rsid w:val="00FC72B9"/>
    <w:rsid w:val="00FC7CB8"/>
    <w:rsid w:val="00FD126D"/>
    <w:rsid w:val="00FD1695"/>
    <w:rsid w:val="00FD37E4"/>
    <w:rsid w:val="00FD631D"/>
    <w:rsid w:val="00FD6873"/>
    <w:rsid w:val="00FE5B4A"/>
    <w:rsid w:val="00FE61C7"/>
    <w:rsid w:val="00FE66A7"/>
    <w:rsid w:val="00FF00AE"/>
    <w:rsid w:val="00FF0397"/>
    <w:rsid w:val="00FF082F"/>
    <w:rsid w:val="00FF08A6"/>
    <w:rsid w:val="00FF0DDE"/>
    <w:rsid w:val="00FF2ACE"/>
    <w:rsid w:val="00FF3D83"/>
    <w:rsid w:val="00FF5A5D"/>
    <w:rsid w:val="00FF5B5F"/>
    <w:rsid w:val="00FF630C"/>
    <w:rsid w:val="00FF651B"/>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35756C"/>
  <w15:docId w15:val="{EE77F64B-1B7B-7D4E-A907-184268F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A9B"/>
    <w:pPr>
      <w:spacing w:after="0" w:line="240" w:lineRule="auto"/>
    </w:pPr>
    <w:rPr>
      <w:rFonts w:ascii="Times New Roman" w:eastAsia="Times New Roman" w:hAnsi="Times New Roman" w:cs="Times New Roman"/>
      <w:sz w:val="24"/>
      <w:szCs w:val="24"/>
      <w:lang w:val="es-CR" w:eastAsia="es-MX"/>
    </w:rPr>
  </w:style>
  <w:style w:type="paragraph" w:styleId="Ttulo1">
    <w:name w:val="heading 1"/>
    <w:basedOn w:val="Normal"/>
    <w:next w:val="Normal"/>
    <w:link w:val="Ttulo1Car"/>
    <w:uiPriority w:val="9"/>
    <w:qFormat/>
    <w:rsid w:val="006637F7"/>
    <w:pPr>
      <w:keepNext/>
      <w:numPr>
        <w:numId w:val="2"/>
      </w:numPr>
      <w:tabs>
        <w:tab w:val="left" w:pos="567"/>
      </w:tabs>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
    <w:basedOn w:val="Normal"/>
    <w:link w:val="PrrafodelistaCar"/>
    <w:uiPriority w:val="99"/>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6A0BE5"/>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pPr>
    <w:rPr>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Times New Roman" w:eastAsia="Calibri" w:hAnsi="Times New Roman" w:cs="Verdana"/>
      <w:b/>
      <w:bCs/>
      <w:i/>
      <w:iCs/>
      <w:sz w:val="24"/>
      <w:szCs w:val="24"/>
      <w:lang w:val="es-CR" w:eastAsia="es-MX"/>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jc w:val="center"/>
    </w:pPr>
    <w:rPr>
      <w:rFonts w:ascii="Garamond" w:hAnsi="Garamond"/>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qFormat/>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
    <w:link w:val="Prrafodelista"/>
    <w:uiPriority w:val="99"/>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33F93"/>
    <w:pPr>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ind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FAFuCar2">
    <w:name w:val="FA Fu Car2"/>
    <w:aliases w:val="Footnote Text Char Char Char Char Char Car1,Footnote Text Char Char Char Char Car1,Footnote reference Car1,Footnote Text Char Char Char Car1,FA Fu Car Car2,FA Fu Car Car Car1,Footnote Text Cha Car1,FA Fußnotentext Car1"/>
    <w:basedOn w:val="Fuentedeprrafopredeter"/>
    <w:uiPriority w:val="99"/>
    <w:semiHidden/>
    <w:rsid w:val="00D30DB0"/>
    <w:rPr>
      <w:rFonts w:ascii="Verdana" w:eastAsia="Calibri" w:hAnsi="Verdana" w:cs="Times"/>
      <w:sz w:val="20"/>
      <w:szCs w:val="20"/>
      <w:lang w:val="es-ES_tradnl" w:eastAsia="es-ES"/>
    </w:rPr>
  </w:style>
  <w:style w:type="character" w:styleId="Textodelmarcadordeposicin">
    <w:name w:val="Placeholder Text"/>
    <w:basedOn w:val="Fuentedeprrafopredeter"/>
    <w:uiPriority w:val="99"/>
    <w:semiHidden/>
    <w:rsid w:val="00325AE6"/>
    <w:rPr>
      <w:color w:val="808080"/>
    </w:rPr>
  </w:style>
  <w:style w:type="paragraph" w:customStyle="1" w:styleId="Estilo1">
    <w:name w:val="Estilo1"/>
    <w:basedOn w:val="Normal"/>
    <w:link w:val="Estilo1Car"/>
    <w:qFormat/>
    <w:rsid w:val="00572992"/>
    <w:pPr>
      <w:tabs>
        <w:tab w:val="left" w:pos="567"/>
        <w:tab w:val="left" w:pos="1134"/>
        <w:tab w:val="num" w:pos="6042"/>
      </w:tabs>
      <w:spacing w:after="120"/>
      <w:jc w:val="both"/>
    </w:pPr>
    <w:rPr>
      <w:rFonts w:ascii="Verdana" w:eastAsia="Calibri" w:hAnsi="Verdana"/>
      <w:sz w:val="20"/>
      <w:szCs w:val="20"/>
      <w:lang w:val="es-ES" w:eastAsia="x-none"/>
    </w:rPr>
  </w:style>
  <w:style w:type="paragraph" w:customStyle="1" w:styleId="Estilo2">
    <w:name w:val="Estilo2"/>
    <w:basedOn w:val="Normal"/>
    <w:qFormat/>
    <w:rsid w:val="00572992"/>
    <w:pPr>
      <w:tabs>
        <w:tab w:val="left" w:pos="567"/>
        <w:tab w:val="left" w:pos="1134"/>
        <w:tab w:val="num" w:pos="4767"/>
      </w:tabs>
      <w:spacing w:after="120"/>
      <w:ind w:firstLine="357"/>
      <w:jc w:val="both"/>
    </w:pPr>
    <w:rPr>
      <w:rFonts w:ascii="Verdana" w:eastAsia="Calibri" w:hAnsi="Verdana"/>
      <w:sz w:val="20"/>
      <w:szCs w:val="20"/>
      <w:lang w:val="x-none" w:eastAsia="x-none"/>
    </w:rPr>
  </w:style>
  <w:style w:type="character" w:customStyle="1" w:styleId="Estilo1Car">
    <w:name w:val="Estilo1 Car"/>
    <w:link w:val="Estilo1"/>
    <w:rsid w:val="00572992"/>
    <w:rPr>
      <w:rFonts w:ascii="Verdana" w:eastAsia="Calibri" w:hAnsi="Verdana" w:cs="Times New Roman"/>
      <w:sz w:val="20"/>
      <w:szCs w:val="20"/>
      <w:lang w:val="es-E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79499">
      <w:bodyDiv w:val="1"/>
      <w:marLeft w:val="0"/>
      <w:marRight w:val="0"/>
      <w:marTop w:val="0"/>
      <w:marBottom w:val="0"/>
      <w:divBdr>
        <w:top w:val="none" w:sz="0" w:space="0" w:color="auto"/>
        <w:left w:val="none" w:sz="0" w:space="0" w:color="auto"/>
        <w:bottom w:val="none" w:sz="0" w:space="0" w:color="auto"/>
        <w:right w:val="none" w:sz="0" w:space="0" w:color="auto"/>
      </w:divBdr>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3503544">
      <w:bodyDiv w:val="1"/>
      <w:marLeft w:val="0"/>
      <w:marRight w:val="0"/>
      <w:marTop w:val="0"/>
      <w:marBottom w:val="0"/>
      <w:divBdr>
        <w:top w:val="none" w:sz="0" w:space="0" w:color="auto"/>
        <w:left w:val="none" w:sz="0" w:space="0" w:color="auto"/>
        <w:bottom w:val="none" w:sz="0" w:space="0" w:color="auto"/>
        <w:right w:val="none" w:sz="0" w:space="0" w:color="auto"/>
      </w:divBdr>
      <w:divsChild>
        <w:div w:id="342977437">
          <w:marLeft w:val="0"/>
          <w:marRight w:val="0"/>
          <w:marTop w:val="0"/>
          <w:marBottom w:val="0"/>
          <w:divBdr>
            <w:top w:val="none" w:sz="0" w:space="0" w:color="auto"/>
            <w:left w:val="none" w:sz="0" w:space="0" w:color="auto"/>
            <w:bottom w:val="none" w:sz="0" w:space="0" w:color="auto"/>
            <w:right w:val="none" w:sz="0" w:space="0" w:color="auto"/>
          </w:divBdr>
          <w:divsChild>
            <w:div w:id="2095009027">
              <w:marLeft w:val="0"/>
              <w:marRight w:val="0"/>
              <w:marTop w:val="0"/>
              <w:marBottom w:val="0"/>
              <w:divBdr>
                <w:top w:val="none" w:sz="0" w:space="0" w:color="auto"/>
                <w:left w:val="none" w:sz="0" w:space="0" w:color="auto"/>
                <w:bottom w:val="none" w:sz="0" w:space="0" w:color="auto"/>
                <w:right w:val="none" w:sz="0" w:space="0" w:color="auto"/>
              </w:divBdr>
              <w:divsChild>
                <w:div w:id="513156549">
                  <w:marLeft w:val="0"/>
                  <w:marRight w:val="0"/>
                  <w:marTop w:val="0"/>
                  <w:marBottom w:val="0"/>
                  <w:divBdr>
                    <w:top w:val="none" w:sz="0" w:space="0" w:color="auto"/>
                    <w:left w:val="none" w:sz="0" w:space="0" w:color="auto"/>
                    <w:bottom w:val="none" w:sz="0" w:space="0" w:color="auto"/>
                    <w:right w:val="none" w:sz="0" w:space="0" w:color="auto"/>
                  </w:divBdr>
                  <w:divsChild>
                    <w:div w:id="15199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379129284">
      <w:bodyDiv w:val="1"/>
      <w:marLeft w:val="0"/>
      <w:marRight w:val="0"/>
      <w:marTop w:val="0"/>
      <w:marBottom w:val="0"/>
      <w:divBdr>
        <w:top w:val="none" w:sz="0" w:space="0" w:color="auto"/>
        <w:left w:val="none" w:sz="0" w:space="0" w:color="auto"/>
        <w:bottom w:val="none" w:sz="0" w:space="0" w:color="auto"/>
        <w:right w:val="none" w:sz="0" w:space="0" w:color="auto"/>
      </w:divBdr>
    </w:div>
    <w:div w:id="397216455">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3520">
      <w:bodyDiv w:val="1"/>
      <w:marLeft w:val="0"/>
      <w:marRight w:val="0"/>
      <w:marTop w:val="0"/>
      <w:marBottom w:val="0"/>
      <w:divBdr>
        <w:top w:val="none" w:sz="0" w:space="0" w:color="auto"/>
        <w:left w:val="none" w:sz="0" w:space="0" w:color="auto"/>
        <w:bottom w:val="none" w:sz="0" w:space="0" w:color="auto"/>
        <w:right w:val="none" w:sz="0" w:space="0" w:color="auto"/>
      </w:divBdr>
      <w:divsChild>
        <w:div w:id="1104301602">
          <w:marLeft w:val="0"/>
          <w:marRight w:val="0"/>
          <w:marTop w:val="0"/>
          <w:marBottom w:val="0"/>
          <w:divBdr>
            <w:top w:val="none" w:sz="0" w:space="0" w:color="auto"/>
            <w:left w:val="none" w:sz="0" w:space="0" w:color="auto"/>
            <w:bottom w:val="none" w:sz="0" w:space="0" w:color="auto"/>
            <w:right w:val="none" w:sz="0" w:space="0" w:color="auto"/>
          </w:divBdr>
          <w:divsChild>
            <w:div w:id="1708986894">
              <w:marLeft w:val="0"/>
              <w:marRight w:val="0"/>
              <w:marTop w:val="0"/>
              <w:marBottom w:val="0"/>
              <w:divBdr>
                <w:top w:val="none" w:sz="0" w:space="0" w:color="auto"/>
                <w:left w:val="none" w:sz="0" w:space="0" w:color="auto"/>
                <w:bottom w:val="none" w:sz="0" w:space="0" w:color="auto"/>
                <w:right w:val="none" w:sz="0" w:space="0" w:color="auto"/>
              </w:divBdr>
              <w:divsChild>
                <w:div w:id="5931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26604384">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44250721">
      <w:bodyDiv w:val="1"/>
      <w:marLeft w:val="0"/>
      <w:marRight w:val="0"/>
      <w:marTop w:val="0"/>
      <w:marBottom w:val="0"/>
      <w:divBdr>
        <w:top w:val="none" w:sz="0" w:space="0" w:color="auto"/>
        <w:left w:val="none" w:sz="0" w:space="0" w:color="auto"/>
        <w:bottom w:val="none" w:sz="0" w:space="0" w:color="auto"/>
        <w:right w:val="none" w:sz="0" w:space="0" w:color="auto"/>
      </w:divBdr>
      <w:divsChild>
        <w:div w:id="2105222771">
          <w:marLeft w:val="0"/>
          <w:marRight w:val="0"/>
          <w:marTop w:val="0"/>
          <w:marBottom w:val="0"/>
          <w:divBdr>
            <w:top w:val="none" w:sz="0" w:space="0" w:color="auto"/>
            <w:left w:val="none" w:sz="0" w:space="0" w:color="auto"/>
            <w:bottom w:val="none" w:sz="0" w:space="0" w:color="auto"/>
            <w:right w:val="none" w:sz="0" w:space="0" w:color="auto"/>
          </w:divBdr>
          <w:divsChild>
            <w:div w:id="1688361705">
              <w:marLeft w:val="0"/>
              <w:marRight w:val="0"/>
              <w:marTop w:val="0"/>
              <w:marBottom w:val="0"/>
              <w:divBdr>
                <w:top w:val="none" w:sz="0" w:space="0" w:color="auto"/>
                <w:left w:val="none" w:sz="0" w:space="0" w:color="auto"/>
                <w:bottom w:val="none" w:sz="0" w:space="0" w:color="auto"/>
                <w:right w:val="none" w:sz="0" w:space="0" w:color="auto"/>
              </w:divBdr>
              <w:divsChild>
                <w:div w:id="883175657">
                  <w:marLeft w:val="0"/>
                  <w:marRight w:val="0"/>
                  <w:marTop w:val="0"/>
                  <w:marBottom w:val="0"/>
                  <w:divBdr>
                    <w:top w:val="none" w:sz="0" w:space="0" w:color="auto"/>
                    <w:left w:val="none" w:sz="0" w:space="0" w:color="auto"/>
                    <w:bottom w:val="none" w:sz="0" w:space="0" w:color="auto"/>
                    <w:right w:val="none" w:sz="0" w:space="0" w:color="auto"/>
                  </w:divBdr>
                </w:div>
              </w:divsChild>
            </w:div>
            <w:div w:id="974455955">
              <w:marLeft w:val="0"/>
              <w:marRight w:val="0"/>
              <w:marTop w:val="0"/>
              <w:marBottom w:val="0"/>
              <w:divBdr>
                <w:top w:val="none" w:sz="0" w:space="0" w:color="auto"/>
                <w:left w:val="none" w:sz="0" w:space="0" w:color="auto"/>
                <w:bottom w:val="none" w:sz="0" w:space="0" w:color="auto"/>
                <w:right w:val="none" w:sz="0" w:space="0" w:color="auto"/>
              </w:divBdr>
              <w:divsChild>
                <w:div w:id="107617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9620">
          <w:marLeft w:val="0"/>
          <w:marRight w:val="0"/>
          <w:marTop w:val="0"/>
          <w:marBottom w:val="0"/>
          <w:divBdr>
            <w:top w:val="none" w:sz="0" w:space="0" w:color="auto"/>
            <w:left w:val="none" w:sz="0" w:space="0" w:color="auto"/>
            <w:bottom w:val="none" w:sz="0" w:space="0" w:color="auto"/>
            <w:right w:val="none" w:sz="0" w:space="0" w:color="auto"/>
          </w:divBdr>
          <w:divsChild>
            <w:div w:id="638002138">
              <w:marLeft w:val="0"/>
              <w:marRight w:val="0"/>
              <w:marTop w:val="0"/>
              <w:marBottom w:val="0"/>
              <w:divBdr>
                <w:top w:val="none" w:sz="0" w:space="0" w:color="auto"/>
                <w:left w:val="none" w:sz="0" w:space="0" w:color="auto"/>
                <w:bottom w:val="none" w:sz="0" w:space="0" w:color="auto"/>
                <w:right w:val="none" w:sz="0" w:space="0" w:color="auto"/>
              </w:divBdr>
              <w:divsChild>
                <w:div w:id="108510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40838873">
      <w:bodyDiv w:val="1"/>
      <w:marLeft w:val="0"/>
      <w:marRight w:val="0"/>
      <w:marTop w:val="0"/>
      <w:marBottom w:val="0"/>
      <w:divBdr>
        <w:top w:val="none" w:sz="0" w:space="0" w:color="auto"/>
        <w:left w:val="none" w:sz="0" w:space="0" w:color="auto"/>
        <w:bottom w:val="none" w:sz="0" w:space="0" w:color="auto"/>
        <w:right w:val="none" w:sz="0" w:space="0" w:color="auto"/>
      </w:divBdr>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082797497">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18555">
      <w:bodyDiv w:val="1"/>
      <w:marLeft w:val="0"/>
      <w:marRight w:val="0"/>
      <w:marTop w:val="0"/>
      <w:marBottom w:val="0"/>
      <w:divBdr>
        <w:top w:val="none" w:sz="0" w:space="0" w:color="auto"/>
        <w:left w:val="none" w:sz="0" w:space="0" w:color="auto"/>
        <w:bottom w:val="none" w:sz="0" w:space="0" w:color="auto"/>
        <w:right w:val="none" w:sz="0" w:space="0" w:color="auto"/>
      </w:divBdr>
      <w:divsChild>
        <w:div w:id="2065444900">
          <w:marLeft w:val="0"/>
          <w:marRight w:val="0"/>
          <w:marTop w:val="0"/>
          <w:marBottom w:val="0"/>
          <w:divBdr>
            <w:top w:val="none" w:sz="0" w:space="0" w:color="auto"/>
            <w:left w:val="none" w:sz="0" w:space="0" w:color="auto"/>
            <w:bottom w:val="none" w:sz="0" w:space="0" w:color="auto"/>
            <w:right w:val="none" w:sz="0" w:space="0" w:color="auto"/>
          </w:divBdr>
          <w:divsChild>
            <w:div w:id="474640440">
              <w:marLeft w:val="0"/>
              <w:marRight w:val="0"/>
              <w:marTop w:val="0"/>
              <w:marBottom w:val="0"/>
              <w:divBdr>
                <w:top w:val="none" w:sz="0" w:space="0" w:color="auto"/>
                <w:left w:val="none" w:sz="0" w:space="0" w:color="auto"/>
                <w:bottom w:val="none" w:sz="0" w:space="0" w:color="auto"/>
                <w:right w:val="none" w:sz="0" w:space="0" w:color="auto"/>
              </w:divBdr>
              <w:divsChild>
                <w:div w:id="1554972779">
                  <w:marLeft w:val="0"/>
                  <w:marRight w:val="0"/>
                  <w:marTop w:val="0"/>
                  <w:marBottom w:val="0"/>
                  <w:divBdr>
                    <w:top w:val="none" w:sz="0" w:space="0" w:color="auto"/>
                    <w:left w:val="none" w:sz="0" w:space="0" w:color="auto"/>
                    <w:bottom w:val="none" w:sz="0" w:space="0" w:color="auto"/>
                    <w:right w:val="none" w:sz="0" w:space="0" w:color="auto"/>
                  </w:divBdr>
                </w:div>
              </w:divsChild>
            </w:div>
            <w:div w:id="1694726686">
              <w:marLeft w:val="0"/>
              <w:marRight w:val="0"/>
              <w:marTop w:val="0"/>
              <w:marBottom w:val="0"/>
              <w:divBdr>
                <w:top w:val="none" w:sz="0" w:space="0" w:color="auto"/>
                <w:left w:val="none" w:sz="0" w:space="0" w:color="auto"/>
                <w:bottom w:val="none" w:sz="0" w:space="0" w:color="auto"/>
                <w:right w:val="none" w:sz="0" w:space="0" w:color="auto"/>
              </w:divBdr>
              <w:divsChild>
                <w:div w:id="128419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49858">
          <w:marLeft w:val="0"/>
          <w:marRight w:val="0"/>
          <w:marTop w:val="0"/>
          <w:marBottom w:val="0"/>
          <w:divBdr>
            <w:top w:val="none" w:sz="0" w:space="0" w:color="auto"/>
            <w:left w:val="none" w:sz="0" w:space="0" w:color="auto"/>
            <w:bottom w:val="none" w:sz="0" w:space="0" w:color="auto"/>
            <w:right w:val="none" w:sz="0" w:space="0" w:color="auto"/>
          </w:divBdr>
          <w:divsChild>
            <w:div w:id="518398856">
              <w:marLeft w:val="0"/>
              <w:marRight w:val="0"/>
              <w:marTop w:val="0"/>
              <w:marBottom w:val="0"/>
              <w:divBdr>
                <w:top w:val="none" w:sz="0" w:space="0" w:color="auto"/>
                <w:left w:val="none" w:sz="0" w:space="0" w:color="auto"/>
                <w:bottom w:val="none" w:sz="0" w:space="0" w:color="auto"/>
                <w:right w:val="none" w:sz="0" w:space="0" w:color="auto"/>
              </w:divBdr>
              <w:divsChild>
                <w:div w:id="19969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4507">
      <w:bodyDiv w:val="1"/>
      <w:marLeft w:val="0"/>
      <w:marRight w:val="0"/>
      <w:marTop w:val="0"/>
      <w:marBottom w:val="0"/>
      <w:divBdr>
        <w:top w:val="none" w:sz="0" w:space="0" w:color="auto"/>
        <w:left w:val="none" w:sz="0" w:space="0" w:color="auto"/>
        <w:bottom w:val="none" w:sz="0" w:space="0" w:color="auto"/>
        <w:right w:val="none" w:sz="0" w:space="0" w:color="auto"/>
      </w:divBdr>
      <w:divsChild>
        <w:div w:id="789058370">
          <w:marLeft w:val="0"/>
          <w:marRight w:val="0"/>
          <w:marTop w:val="0"/>
          <w:marBottom w:val="0"/>
          <w:divBdr>
            <w:top w:val="none" w:sz="0" w:space="0" w:color="auto"/>
            <w:left w:val="none" w:sz="0" w:space="0" w:color="auto"/>
            <w:bottom w:val="none" w:sz="0" w:space="0" w:color="auto"/>
            <w:right w:val="none" w:sz="0" w:space="0" w:color="auto"/>
          </w:divBdr>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462949">
      <w:bodyDiv w:val="1"/>
      <w:marLeft w:val="0"/>
      <w:marRight w:val="0"/>
      <w:marTop w:val="0"/>
      <w:marBottom w:val="0"/>
      <w:divBdr>
        <w:top w:val="none" w:sz="0" w:space="0" w:color="auto"/>
        <w:left w:val="none" w:sz="0" w:space="0" w:color="auto"/>
        <w:bottom w:val="none" w:sz="0" w:space="0" w:color="auto"/>
        <w:right w:val="none" w:sz="0" w:space="0" w:color="auto"/>
      </w:divBdr>
      <w:divsChild>
        <w:div w:id="834733015">
          <w:marLeft w:val="0"/>
          <w:marRight w:val="0"/>
          <w:marTop w:val="0"/>
          <w:marBottom w:val="0"/>
          <w:divBdr>
            <w:top w:val="none" w:sz="0" w:space="0" w:color="auto"/>
            <w:left w:val="none" w:sz="0" w:space="0" w:color="auto"/>
            <w:bottom w:val="none" w:sz="0" w:space="0" w:color="auto"/>
            <w:right w:val="none" w:sz="0" w:space="0" w:color="auto"/>
          </w:divBdr>
          <w:divsChild>
            <w:div w:id="1836189768">
              <w:marLeft w:val="0"/>
              <w:marRight w:val="0"/>
              <w:marTop w:val="0"/>
              <w:marBottom w:val="0"/>
              <w:divBdr>
                <w:top w:val="none" w:sz="0" w:space="0" w:color="auto"/>
                <w:left w:val="none" w:sz="0" w:space="0" w:color="auto"/>
                <w:bottom w:val="none" w:sz="0" w:space="0" w:color="auto"/>
                <w:right w:val="none" w:sz="0" w:space="0" w:color="auto"/>
              </w:divBdr>
              <w:divsChild>
                <w:div w:id="1687559903">
                  <w:marLeft w:val="0"/>
                  <w:marRight w:val="0"/>
                  <w:marTop w:val="0"/>
                  <w:marBottom w:val="0"/>
                  <w:divBdr>
                    <w:top w:val="none" w:sz="0" w:space="0" w:color="auto"/>
                    <w:left w:val="none" w:sz="0" w:space="0" w:color="auto"/>
                    <w:bottom w:val="none" w:sz="0" w:space="0" w:color="auto"/>
                    <w:right w:val="none" w:sz="0" w:space="0" w:color="auto"/>
                  </w:divBdr>
                  <w:divsChild>
                    <w:div w:id="4860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665860">
      <w:bodyDiv w:val="1"/>
      <w:marLeft w:val="0"/>
      <w:marRight w:val="0"/>
      <w:marTop w:val="0"/>
      <w:marBottom w:val="0"/>
      <w:divBdr>
        <w:top w:val="none" w:sz="0" w:space="0" w:color="auto"/>
        <w:left w:val="none" w:sz="0" w:space="0" w:color="auto"/>
        <w:bottom w:val="none" w:sz="0" w:space="0" w:color="auto"/>
        <w:right w:val="none" w:sz="0" w:space="0" w:color="auto"/>
      </w:divBdr>
      <w:divsChild>
        <w:div w:id="1536843925">
          <w:marLeft w:val="0"/>
          <w:marRight w:val="0"/>
          <w:marTop w:val="0"/>
          <w:marBottom w:val="0"/>
          <w:divBdr>
            <w:top w:val="none" w:sz="0" w:space="0" w:color="auto"/>
            <w:left w:val="none" w:sz="0" w:space="0" w:color="auto"/>
            <w:bottom w:val="none" w:sz="0" w:space="0" w:color="auto"/>
            <w:right w:val="none" w:sz="0" w:space="0" w:color="auto"/>
          </w:divBdr>
          <w:divsChild>
            <w:div w:id="1487092662">
              <w:marLeft w:val="0"/>
              <w:marRight w:val="0"/>
              <w:marTop w:val="0"/>
              <w:marBottom w:val="0"/>
              <w:divBdr>
                <w:top w:val="none" w:sz="0" w:space="0" w:color="auto"/>
                <w:left w:val="none" w:sz="0" w:space="0" w:color="auto"/>
                <w:bottom w:val="none" w:sz="0" w:space="0" w:color="auto"/>
                <w:right w:val="none" w:sz="0" w:space="0" w:color="auto"/>
              </w:divBdr>
              <w:divsChild>
                <w:div w:id="158776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09866940">
      <w:bodyDiv w:val="1"/>
      <w:marLeft w:val="0"/>
      <w:marRight w:val="0"/>
      <w:marTop w:val="0"/>
      <w:marBottom w:val="0"/>
      <w:divBdr>
        <w:top w:val="none" w:sz="0" w:space="0" w:color="auto"/>
        <w:left w:val="none" w:sz="0" w:space="0" w:color="auto"/>
        <w:bottom w:val="none" w:sz="0" w:space="0" w:color="auto"/>
        <w:right w:val="none" w:sz="0" w:space="0" w:color="auto"/>
      </w:divBdr>
      <w:divsChild>
        <w:div w:id="265230998">
          <w:marLeft w:val="0"/>
          <w:marRight w:val="0"/>
          <w:marTop w:val="0"/>
          <w:marBottom w:val="0"/>
          <w:divBdr>
            <w:top w:val="none" w:sz="0" w:space="0" w:color="auto"/>
            <w:left w:val="none" w:sz="0" w:space="0" w:color="auto"/>
            <w:bottom w:val="none" w:sz="0" w:space="0" w:color="auto"/>
            <w:right w:val="none" w:sz="0" w:space="0" w:color="auto"/>
          </w:divBdr>
        </w:div>
      </w:divsChild>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 w:id="2080469748">
      <w:bodyDiv w:val="1"/>
      <w:marLeft w:val="0"/>
      <w:marRight w:val="0"/>
      <w:marTop w:val="0"/>
      <w:marBottom w:val="0"/>
      <w:divBdr>
        <w:top w:val="none" w:sz="0" w:space="0" w:color="auto"/>
        <w:left w:val="none" w:sz="0" w:space="0" w:color="auto"/>
        <w:bottom w:val="none" w:sz="0" w:space="0" w:color="auto"/>
        <w:right w:val="none" w:sz="0" w:space="0" w:color="auto"/>
      </w:divBdr>
      <w:divsChild>
        <w:div w:id="799684365">
          <w:marLeft w:val="0"/>
          <w:marRight w:val="0"/>
          <w:marTop w:val="0"/>
          <w:marBottom w:val="0"/>
          <w:divBdr>
            <w:top w:val="none" w:sz="0" w:space="0" w:color="auto"/>
            <w:left w:val="none" w:sz="0" w:space="0" w:color="auto"/>
            <w:bottom w:val="none" w:sz="0" w:space="0" w:color="auto"/>
            <w:right w:val="none" w:sz="0" w:space="0" w:color="auto"/>
          </w:divBdr>
          <w:divsChild>
            <w:div w:id="1074398973">
              <w:marLeft w:val="0"/>
              <w:marRight w:val="0"/>
              <w:marTop w:val="0"/>
              <w:marBottom w:val="0"/>
              <w:divBdr>
                <w:top w:val="none" w:sz="0" w:space="0" w:color="auto"/>
                <w:left w:val="none" w:sz="0" w:space="0" w:color="auto"/>
                <w:bottom w:val="none" w:sz="0" w:space="0" w:color="auto"/>
                <w:right w:val="none" w:sz="0" w:space="0" w:color="auto"/>
              </w:divBdr>
              <w:divsChild>
                <w:div w:id="21304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FA8AD-DE69-4578-BDD7-14FFFEB3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3948</Words>
  <Characters>21718</Characters>
  <Application>Microsoft Office Word</Application>
  <DocSecurity>0</DocSecurity>
  <Lines>180</Lines>
  <Paragraphs>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2021-02-12T17:22:00Z</cp:lastPrinted>
  <dcterms:created xsi:type="dcterms:W3CDTF">2021-04-16T19:43:00Z</dcterms:created>
  <dcterms:modified xsi:type="dcterms:W3CDTF">2021-04-16T19:43:00Z</dcterms:modified>
</cp:coreProperties>
</file>