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995DF" w14:textId="1B957C20" w:rsidR="00DF1272" w:rsidRDefault="00DF1272" w:rsidP="0011029F">
      <w:pPr>
        <w:suppressLineNumbers/>
        <w:jc w:val="center"/>
        <w:rPr>
          <w:rFonts w:ascii="Verdana" w:hAnsi="Verdana"/>
          <w:b/>
          <w:sz w:val="20"/>
        </w:rPr>
      </w:pPr>
    </w:p>
    <w:p w14:paraId="5082770E" w14:textId="77777777" w:rsidR="00D11A05" w:rsidRDefault="00D11A05" w:rsidP="0011029F">
      <w:pPr>
        <w:suppressLineNumbers/>
        <w:jc w:val="center"/>
        <w:rPr>
          <w:rFonts w:ascii="Verdana" w:hAnsi="Verdana"/>
          <w:b/>
          <w:sz w:val="20"/>
        </w:rPr>
      </w:pPr>
    </w:p>
    <w:p w14:paraId="381E34BF" w14:textId="77777777" w:rsidR="00D11A05" w:rsidRDefault="00D11A05" w:rsidP="0011029F">
      <w:pPr>
        <w:suppressLineNumbers/>
        <w:jc w:val="center"/>
        <w:rPr>
          <w:rFonts w:ascii="Verdana" w:hAnsi="Verdana"/>
          <w:b/>
          <w:sz w:val="20"/>
        </w:rPr>
      </w:pPr>
    </w:p>
    <w:p w14:paraId="79DA42FF" w14:textId="77777777" w:rsidR="00D11A05" w:rsidRDefault="00D11A05" w:rsidP="0011029F">
      <w:pPr>
        <w:suppressLineNumbers/>
        <w:jc w:val="center"/>
        <w:rPr>
          <w:rFonts w:ascii="Verdana" w:hAnsi="Verdana"/>
          <w:b/>
          <w:sz w:val="20"/>
        </w:rPr>
      </w:pPr>
    </w:p>
    <w:p w14:paraId="50C793B7" w14:textId="32A318F0" w:rsidR="00DF1272" w:rsidRDefault="00DF1272" w:rsidP="0011029F">
      <w:pPr>
        <w:suppressLineNumbers/>
        <w:jc w:val="center"/>
        <w:rPr>
          <w:rFonts w:ascii="Verdana" w:hAnsi="Verdana"/>
          <w:b/>
          <w:sz w:val="20"/>
        </w:rPr>
      </w:pPr>
    </w:p>
    <w:p w14:paraId="36006E94" w14:textId="77777777" w:rsidR="00DF1272" w:rsidRDefault="00DF1272" w:rsidP="0011029F">
      <w:pPr>
        <w:suppressLineNumbers/>
        <w:jc w:val="center"/>
        <w:rPr>
          <w:rFonts w:ascii="Verdana" w:hAnsi="Verdana"/>
          <w:b/>
          <w:sz w:val="20"/>
        </w:rPr>
      </w:pPr>
    </w:p>
    <w:p w14:paraId="7030A2E2" w14:textId="38B59248" w:rsidR="005A76BF" w:rsidRPr="005A76BF" w:rsidRDefault="005A76BF" w:rsidP="0011029F">
      <w:pPr>
        <w:suppressLineNumbers/>
        <w:jc w:val="center"/>
        <w:rPr>
          <w:rFonts w:ascii="Verdana" w:hAnsi="Verdana"/>
          <w:b/>
          <w:sz w:val="20"/>
        </w:rPr>
      </w:pPr>
      <w:r w:rsidRPr="005A76BF">
        <w:rPr>
          <w:rFonts w:ascii="Verdana" w:hAnsi="Verdana"/>
          <w:b/>
          <w:sz w:val="20"/>
        </w:rPr>
        <w:t>RESOLUCIÓN DE LA</w:t>
      </w:r>
    </w:p>
    <w:p w14:paraId="14E5A13B" w14:textId="77777777" w:rsidR="005A76BF" w:rsidRPr="005A76BF" w:rsidRDefault="005A76BF" w:rsidP="0011029F">
      <w:pPr>
        <w:suppressLineNumbers/>
        <w:jc w:val="center"/>
        <w:rPr>
          <w:rFonts w:ascii="Verdana" w:hAnsi="Verdana"/>
          <w:b/>
          <w:sz w:val="20"/>
        </w:rPr>
      </w:pPr>
      <w:r w:rsidRPr="005A76BF">
        <w:rPr>
          <w:rFonts w:ascii="Verdana" w:hAnsi="Verdana"/>
          <w:b/>
          <w:sz w:val="20"/>
        </w:rPr>
        <w:t>CORTE INTERAMERICANA DE DERECHOS HUMANOS</w:t>
      </w:r>
      <w:r w:rsidRPr="005A76BF">
        <w:rPr>
          <w:rStyle w:val="Refdenotaalpie"/>
          <w:rFonts w:ascii="Verdana" w:hAnsi="Verdana"/>
          <w:b/>
          <w:sz w:val="20"/>
        </w:rPr>
        <w:footnoteReference w:customMarkFollows="1" w:id="1"/>
        <w:sym w:font="Symbol" w:char="F02A"/>
      </w:r>
    </w:p>
    <w:p w14:paraId="486701EA" w14:textId="6AE798A4" w:rsidR="005A76BF" w:rsidRPr="005A76BF" w:rsidRDefault="005A76BF" w:rsidP="0011029F">
      <w:pPr>
        <w:suppressLineNumbers/>
        <w:jc w:val="center"/>
        <w:rPr>
          <w:rFonts w:ascii="Verdana" w:hAnsi="Verdana"/>
          <w:b/>
          <w:sz w:val="20"/>
        </w:rPr>
      </w:pPr>
      <w:r w:rsidRPr="005A76BF">
        <w:rPr>
          <w:rFonts w:ascii="Verdana" w:hAnsi="Verdana"/>
          <w:b/>
          <w:sz w:val="20"/>
        </w:rPr>
        <w:t xml:space="preserve">DE </w:t>
      </w:r>
      <w:r w:rsidR="00C20EB9">
        <w:rPr>
          <w:rFonts w:ascii="Verdana" w:hAnsi="Verdana"/>
          <w:b/>
          <w:sz w:val="20"/>
        </w:rPr>
        <w:t>18</w:t>
      </w:r>
      <w:r w:rsidRPr="005A76BF">
        <w:rPr>
          <w:rFonts w:ascii="Verdana" w:hAnsi="Verdana"/>
          <w:b/>
          <w:sz w:val="20"/>
        </w:rPr>
        <w:t xml:space="preserve"> DE </w:t>
      </w:r>
      <w:r w:rsidR="002100D8">
        <w:rPr>
          <w:rFonts w:ascii="Verdana" w:hAnsi="Verdana"/>
          <w:b/>
          <w:sz w:val="20"/>
        </w:rPr>
        <w:t>FEBRERO</w:t>
      </w:r>
      <w:r w:rsidRPr="005A76BF">
        <w:rPr>
          <w:rFonts w:ascii="Verdana" w:hAnsi="Verdana"/>
          <w:b/>
          <w:sz w:val="20"/>
        </w:rPr>
        <w:t xml:space="preserve"> DE 2021</w:t>
      </w:r>
    </w:p>
    <w:p w14:paraId="32C151AA" w14:textId="77777777" w:rsidR="005A76BF" w:rsidRPr="00165BCC" w:rsidRDefault="005A76BF" w:rsidP="0011029F">
      <w:pPr>
        <w:suppressLineNumbers/>
        <w:jc w:val="center"/>
        <w:rPr>
          <w:rFonts w:ascii="Verdana" w:hAnsi="Verdana"/>
          <w:b/>
          <w:i/>
          <w:sz w:val="20"/>
        </w:rPr>
      </w:pPr>
      <w:r w:rsidRPr="00165BCC">
        <w:rPr>
          <w:rFonts w:ascii="Verdana" w:hAnsi="Verdana"/>
          <w:b/>
          <w:i/>
          <w:sz w:val="20"/>
        </w:rPr>
        <w:t>CASO NORÍN CATRIMÁN Y OTROS (DIRIGENTES, MIEMBROS Y ACTIVISTA DEL PUEBLO INDÍGENA MAPUCHE) VS. CHILE</w:t>
      </w:r>
    </w:p>
    <w:p w14:paraId="3D66B090" w14:textId="77777777" w:rsidR="009A3874" w:rsidRPr="005A76BF" w:rsidRDefault="005A76BF" w:rsidP="0011029F">
      <w:pPr>
        <w:suppressLineNumbers/>
        <w:jc w:val="center"/>
        <w:rPr>
          <w:rFonts w:ascii="Verdana" w:hAnsi="Verdana"/>
          <w:b/>
          <w:sz w:val="20"/>
        </w:rPr>
      </w:pPr>
      <w:r w:rsidRPr="005A76BF">
        <w:rPr>
          <w:rFonts w:ascii="Verdana" w:hAnsi="Verdana"/>
          <w:b/>
          <w:sz w:val="20"/>
        </w:rPr>
        <w:t>SUPERVISIÓN DE CUMPLIMIENTO DE SENTENCIA</w:t>
      </w:r>
    </w:p>
    <w:p w14:paraId="27905AEE" w14:textId="77777777" w:rsidR="005A76BF" w:rsidRPr="005A76BF" w:rsidRDefault="005A76BF" w:rsidP="0011029F">
      <w:pPr>
        <w:suppressLineNumbers/>
        <w:jc w:val="center"/>
        <w:rPr>
          <w:rFonts w:ascii="Verdana" w:hAnsi="Verdana"/>
          <w:b/>
          <w:sz w:val="20"/>
        </w:rPr>
      </w:pPr>
    </w:p>
    <w:p w14:paraId="67FD3566" w14:textId="77777777" w:rsidR="005A76BF" w:rsidRPr="005A76BF" w:rsidRDefault="005A76BF" w:rsidP="0011029F">
      <w:pPr>
        <w:suppressLineNumbers/>
        <w:jc w:val="both"/>
        <w:rPr>
          <w:rFonts w:ascii="Verdana" w:hAnsi="Verdana"/>
          <w:sz w:val="20"/>
        </w:rPr>
      </w:pPr>
      <w:r w:rsidRPr="005A76BF">
        <w:rPr>
          <w:rFonts w:ascii="Verdana" w:hAnsi="Verdana"/>
          <w:b/>
          <w:sz w:val="20"/>
        </w:rPr>
        <w:t>VISTO</w:t>
      </w:r>
      <w:r w:rsidRPr="00197218">
        <w:rPr>
          <w:rFonts w:ascii="Verdana" w:hAnsi="Verdana"/>
          <w:b/>
          <w:sz w:val="20"/>
        </w:rPr>
        <w:t>:</w:t>
      </w:r>
      <w:r w:rsidRPr="005A76BF">
        <w:rPr>
          <w:rFonts w:ascii="Verdana" w:hAnsi="Verdana"/>
          <w:sz w:val="20"/>
        </w:rPr>
        <w:t xml:space="preserve"> </w:t>
      </w:r>
    </w:p>
    <w:p w14:paraId="77F67B31" w14:textId="28FA2E70" w:rsidR="005A76BF" w:rsidRPr="0056122F" w:rsidRDefault="005A76BF" w:rsidP="0011029F">
      <w:pPr>
        <w:pStyle w:val="Prrafodelista"/>
        <w:numPr>
          <w:ilvl w:val="0"/>
          <w:numId w:val="1"/>
        </w:numPr>
        <w:suppressLineNumbers/>
        <w:spacing w:after="0" w:line="240" w:lineRule="auto"/>
        <w:ind w:left="0" w:firstLine="0"/>
        <w:jc w:val="both"/>
        <w:rPr>
          <w:rFonts w:ascii="Verdana" w:hAnsi="Verdana"/>
          <w:sz w:val="20"/>
        </w:rPr>
      </w:pPr>
      <w:r w:rsidRPr="005A76BF">
        <w:rPr>
          <w:rFonts w:ascii="Verdana" w:hAnsi="Verdana"/>
          <w:sz w:val="20"/>
        </w:rPr>
        <w:t>La Sentencia de fondo, reparaciones y costas (en adelante “la Sentencia” o “el Fallo”) dictada por la Corte Interamericana de Derechos Humanos (en adelante “la Corte Interamericana”, “la Corte” o “el Tribunal”) el 29 de mayo de 2014</w:t>
      </w:r>
      <w:r>
        <w:rPr>
          <w:rStyle w:val="Refdenotaalpie"/>
          <w:rFonts w:ascii="Verdana" w:hAnsi="Verdana"/>
          <w:sz w:val="20"/>
        </w:rPr>
        <w:footnoteReference w:id="2"/>
      </w:r>
      <w:r w:rsidRPr="005A76BF">
        <w:rPr>
          <w:rFonts w:ascii="Verdana" w:hAnsi="Verdana"/>
          <w:sz w:val="20"/>
        </w:rPr>
        <w:t xml:space="preserve">. La Corte declaró la responsabilidad internacional de la República de Chile (en adelante “el Estado” o “Chile”) por la violación del principio de legalidad y el derecho a la presunción de inocencia, así como del principio de igualdad y no discriminación, </w:t>
      </w:r>
      <w:r w:rsidR="00427B5A">
        <w:rPr>
          <w:rFonts w:ascii="Verdana" w:hAnsi="Verdana"/>
          <w:sz w:val="20"/>
        </w:rPr>
        <w:t>d</w:t>
      </w:r>
      <w:r w:rsidRPr="005A76BF">
        <w:rPr>
          <w:rFonts w:ascii="Verdana" w:hAnsi="Verdana"/>
          <w:sz w:val="20"/>
        </w:rPr>
        <w:t>el derecho a la igual protección de la ley y del derecho a la libertad personal, en perjuicio de las ocho víctimas de este caso, a saber: tres dirigentes</w:t>
      </w:r>
      <w:r>
        <w:rPr>
          <w:rStyle w:val="Refdenotaalpie"/>
          <w:rFonts w:ascii="Verdana" w:hAnsi="Verdana"/>
          <w:sz w:val="20"/>
        </w:rPr>
        <w:footnoteReference w:id="3"/>
      </w:r>
      <w:r w:rsidRPr="005A76BF">
        <w:rPr>
          <w:rFonts w:ascii="Verdana" w:hAnsi="Verdana"/>
          <w:sz w:val="20"/>
        </w:rPr>
        <w:t>, cuatro miembros</w:t>
      </w:r>
      <w:r>
        <w:rPr>
          <w:rStyle w:val="Refdenotaalpie"/>
          <w:rFonts w:ascii="Verdana" w:hAnsi="Verdana"/>
          <w:sz w:val="20"/>
        </w:rPr>
        <w:footnoteReference w:id="4"/>
      </w:r>
      <w:r w:rsidRPr="005A76BF">
        <w:rPr>
          <w:rFonts w:ascii="Verdana" w:hAnsi="Verdana"/>
          <w:sz w:val="20"/>
        </w:rPr>
        <w:t xml:space="preserve"> y una activista</w:t>
      </w:r>
      <w:r>
        <w:rPr>
          <w:rStyle w:val="Refdenotaalpie"/>
          <w:rFonts w:ascii="Verdana" w:hAnsi="Verdana"/>
          <w:sz w:val="20"/>
        </w:rPr>
        <w:footnoteReference w:id="5"/>
      </w:r>
      <w:r w:rsidRPr="005A76BF">
        <w:rPr>
          <w:rFonts w:ascii="Verdana" w:hAnsi="Verdana"/>
          <w:sz w:val="20"/>
        </w:rPr>
        <w:t xml:space="preserve"> del pueblo indígena mapuche</w:t>
      </w:r>
      <w:r>
        <w:rPr>
          <w:rStyle w:val="Refdenotaalpie"/>
          <w:rFonts w:ascii="Verdana" w:hAnsi="Verdana"/>
          <w:sz w:val="20"/>
        </w:rPr>
        <w:footnoteReference w:id="6"/>
      </w:r>
      <w:r w:rsidRPr="005A76BF">
        <w:rPr>
          <w:rFonts w:ascii="Verdana" w:hAnsi="Verdana"/>
          <w:sz w:val="20"/>
        </w:rPr>
        <w:t>. Asimismo, se declaró que Chile violó el derecho de la defensa a interrogar testigos, en perjuicio de dos de las víctimas</w:t>
      </w:r>
      <w:r>
        <w:rPr>
          <w:rStyle w:val="Refdenotaalpie"/>
          <w:rFonts w:ascii="Verdana" w:hAnsi="Verdana"/>
          <w:sz w:val="20"/>
        </w:rPr>
        <w:footnoteReference w:id="7"/>
      </w:r>
      <w:r w:rsidRPr="005A76BF">
        <w:rPr>
          <w:rFonts w:ascii="Verdana" w:hAnsi="Verdana"/>
          <w:sz w:val="20"/>
        </w:rPr>
        <w:t xml:space="preserve"> y el derecho a recurrir el fallo ante un juez o tribunal superior, en perjuicio de siete de las víctimas</w:t>
      </w:r>
      <w:r>
        <w:rPr>
          <w:rStyle w:val="Refdenotaalpie"/>
          <w:rFonts w:ascii="Verdana" w:hAnsi="Verdana"/>
          <w:sz w:val="20"/>
        </w:rPr>
        <w:footnoteReference w:id="8"/>
      </w:r>
      <w:r w:rsidRPr="005A76BF">
        <w:rPr>
          <w:rFonts w:ascii="Verdana" w:hAnsi="Verdana"/>
          <w:sz w:val="20"/>
        </w:rPr>
        <w:t xml:space="preserve">. También se declaró la violación </w:t>
      </w:r>
      <w:r w:rsidRPr="005A76BF">
        <w:rPr>
          <w:rFonts w:ascii="Verdana" w:hAnsi="Verdana"/>
          <w:sz w:val="20"/>
        </w:rPr>
        <w:lastRenderedPageBreak/>
        <w:t>del derecho a la libertad de pensamiento y de expresión en perjuicio de tres de las víctimas</w:t>
      </w:r>
      <w:r>
        <w:rPr>
          <w:rStyle w:val="Refdenotaalpie"/>
          <w:rFonts w:ascii="Verdana" w:hAnsi="Verdana"/>
          <w:sz w:val="20"/>
        </w:rPr>
        <w:footnoteReference w:id="9"/>
      </w:r>
      <w:r w:rsidRPr="005A76BF">
        <w:rPr>
          <w:rFonts w:ascii="Verdana" w:hAnsi="Verdana"/>
          <w:sz w:val="20"/>
        </w:rPr>
        <w:t>, de los derechos políticos de las ocho víctimas</w:t>
      </w:r>
      <w:r>
        <w:rPr>
          <w:rStyle w:val="Refdenotaalpie"/>
          <w:rFonts w:ascii="Verdana" w:hAnsi="Verdana"/>
          <w:sz w:val="20"/>
        </w:rPr>
        <w:footnoteReference w:id="10"/>
      </w:r>
      <w:r w:rsidRPr="005A76BF">
        <w:rPr>
          <w:rFonts w:ascii="Verdana" w:hAnsi="Verdana"/>
          <w:sz w:val="20"/>
        </w:rPr>
        <w:t xml:space="preserve"> y del derecho a la protección a la familia, en perjuicio de una de ellas</w:t>
      </w:r>
      <w:r>
        <w:rPr>
          <w:rStyle w:val="Refdenotaalpie"/>
          <w:rFonts w:ascii="Verdana" w:hAnsi="Verdana"/>
          <w:sz w:val="20"/>
        </w:rPr>
        <w:footnoteReference w:id="11"/>
      </w:r>
      <w:r w:rsidRPr="005A76BF">
        <w:rPr>
          <w:rFonts w:ascii="Verdana" w:hAnsi="Verdana"/>
          <w:sz w:val="20"/>
        </w:rPr>
        <w:t xml:space="preserve">. Dichas violaciones derivaron de los procesos penales que se abrieron en contra de las ocho víctimas por los hechos relativos al incendio de un predio forestal, la amenaza de incendio y la quema de un camión de una empresa privada, ocurridos en los años 2001 y 2002 en las Regiones Octava (Bío </w:t>
      </w:r>
      <w:proofErr w:type="spellStart"/>
      <w:r w:rsidRPr="005A76BF">
        <w:rPr>
          <w:rFonts w:ascii="Verdana" w:hAnsi="Verdana"/>
          <w:sz w:val="20"/>
        </w:rPr>
        <w:t>Bío</w:t>
      </w:r>
      <w:proofErr w:type="spellEnd"/>
      <w:r w:rsidRPr="005A76BF">
        <w:rPr>
          <w:rFonts w:ascii="Verdana" w:hAnsi="Verdana"/>
          <w:sz w:val="20"/>
        </w:rPr>
        <w:t>) y Novena (</w:t>
      </w:r>
      <w:proofErr w:type="spellStart"/>
      <w:r w:rsidRPr="005A76BF">
        <w:rPr>
          <w:rFonts w:ascii="Verdana" w:hAnsi="Verdana"/>
          <w:sz w:val="20"/>
        </w:rPr>
        <w:t>Araucanía</w:t>
      </w:r>
      <w:proofErr w:type="spellEnd"/>
      <w:r w:rsidRPr="005A76BF">
        <w:rPr>
          <w:rFonts w:ascii="Verdana" w:hAnsi="Verdana"/>
          <w:sz w:val="20"/>
        </w:rPr>
        <w:t>) de Chile, en los cuales fueron condenadas arbitrariamente como autores de delitos que fueron calificados como de carácter terrorista, en aplicación de la Ley N° 18.</w:t>
      </w:r>
      <w:r w:rsidRPr="0056122F">
        <w:rPr>
          <w:rFonts w:ascii="Verdana" w:hAnsi="Verdana"/>
          <w:sz w:val="20"/>
        </w:rPr>
        <w:t>314 que “[d]</w:t>
      </w:r>
      <w:proofErr w:type="spellStart"/>
      <w:r w:rsidRPr="0056122F">
        <w:rPr>
          <w:rFonts w:ascii="Verdana" w:hAnsi="Verdana"/>
          <w:sz w:val="20"/>
        </w:rPr>
        <w:t>etermina</w:t>
      </w:r>
      <w:proofErr w:type="spellEnd"/>
      <w:r w:rsidRPr="0056122F">
        <w:rPr>
          <w:rFonts w:ascii="Verdana" w:hAnsi="Verdana"/>
          <w:sz w:val="20"/>
        </w:rPr>
        <w:t xml:space="preserve"> conductas terroristas y fija su penalidad”</w:t>
      </w:r>
      <w:r w:rsidRPr="0056122F">
        <w:rPr>
          <w:rStyle w:val="Refdenotaalpie"/>
          <w:rFonts w:ascii="Verdana" w:hAnsi="Verdana"/>
          <w:sz w:val="20"/>
        </w:rPr>
        <w:footnoteReference w:id="12"/>
      </w:r>
      <w:r w:rsidRPr="0056122F">
        <w:rPr>
          <w:rFonts w:ascii="Verdana" w:hAnsi="Verdana"/>
          <w:sz w:val="20"/>
        </w:rPr>
        <w:t>. La Corte estableció que su Sentencia constituye por sí misma una forma de reparación y ordenó al Estado la adopción de diversas medidas de reparación adicionales (</w:t>
      </w:r>
      <w:r w:rsidRPr="0056122F">
        <w:rPr>
          <w:rFonts w:ascii="Verdana" w:hAnsi="Verdana"/>
          <w:i/>
          <w:sz w:val="20"/>
        </w:rPr>
        <w:t>infra</w:t>
      </w:r>
      <w:r w:rsidRPr="0056122F">
        <w:rPr>
          <w:rFonts w:ascii="Verdana" w:hAnsi="Verdana"/>
          <w:sz w:val="20"/>
        </w:rPr>
        <w:t xml:space="preserve"> Considerando 1).</w:t>
      </w:r>
    </w:p>
    <w:p w14:paraId="45E111A5" w14:textId="77777777" w:rsidR="005A76BF" w:rsidRPr="0056122F" w:rsidRDefault="005A76BF" w:rsidP="0011029F">
      <w:pPr>
        <w:pStyle w:val="Prrafodelista"/>
        <w:suppressLineNumbers/>
        <w:spacing w:after="0" w:line="240" w:lineRule="auto"/>
        <w:ind w:left="0"/>
        <w:jc w:val="both"/>
        <w:rPr>
          <w:rFonts w:ascii="Verdana" w:hAnsi="Verdana"/>
          <w:sz w:val="20"/>
        </w:rPr>
      </w:pPr>
    </w:p>
    <w:p w14:paraId="666EB0BE" w14:textId="77777777" w:rsidR="005A76BF" w:rsidRPr="005A76BF" w:rsidRDefault="005A76BF" w:rsidP="0011029F">
      <w:pPr>
        <w:pStyle w:val="Prrafodelista"/>
        <w:numPr>
          <w:ilvl w:val="0"/>
          <w:numId w:val="1"/>
        </w:numPr>
        <w:suppressLineNumbers/>
        <w:spacing w:after="0" w:line="240" w:lineRule="auto"/>
        <w:ind w:left="0" w:firstLine="0"/>
        <w:jc w:val="both"/>
        <w:rPr>
          <w:rFonts w:ascii="Verdana" w:hAnsi="Verdana"/>
          <w:b/>
          <w:sz w:val="18"/>
        </w:rPr>
      </w:pPr>
      <w:r w:rsidRPr="0056122F">
        <w:rPr>
          <w:rFonts w:ascii="Verdana" w:hAnsi="Verdana"/>
          <w:sz w:val="20"/>
        </w:rPr>
        <w:t>La Resolución emitida por la Corte el 26 de enero de 2015 sobre el cumplimiento del reintegro realizado por</w:t>
      </w:r>
      <w:r w:rsidRPr="005A76BF">
        <w:rPr>
          <w:rFonts w:ascii="Verdana" w:hAnsi="Verdana"/>
          <w:sz w:val="20"/>
        </w:rPr>
        <w:t xml:space="preserve"> el Estado al Fondo de Asistencia Legal de Víctimas de la Corte (en adelante “Fondo de Asistencia”) en relación con el presente caso</w:t>
      </w:r>
      <w:r>
        <w:rPr>
          <w:rStyle w:val="Refdenotaalpie"/>
          <w:rFonts w:ascii="Verdana" w:hAnsi="Verdana"/>
          <w:sz w:val="20"/>
        </w:rPr>
        <w:footnoteReference w:id="13"/>
      </w:r>
      <w:r w:rsidRPr="005A76BF">
        <w:rPr>
          <w:rFonts w:ascii="Verdana" w:hAnsi="Verdana"/>
          <w:sz w:val="20"/>
        </w:rPr>
        <w:t>.</w:t>
      </w:r>
    </w:p>
    <w:p w14:paraId="3F7F6601" w14:textId="77777777" w:rsidR="005A76BF" w:rsidRPr="005A76BF" w:rsidRDefault="005A76BF" w:rsidP="0011029F">
      <w:pPr>
        <w:pStyle w:val="Prrafodelista"/>
        <w:suppressLineNumbers/>
        <w:rPr>
          <w:rFonts w:ascii="Verdana" w:hAnsi="Verdana"/>
          <w:b/>
          <w:sz w:val="18"/>
        </w:rPr>
      </w:pPr>
    </w:p>
    <w:p w14:paraId="15790D4E" w14:textId="79BF1D23" w:rsidR="005A76BF" w:rsidRDefault="005A76BF" w:rsidP="0011029F">
      <w:pPr>
        <w:pStyle w:val="Prrafodelista"/>
        <w:numPr>
          <w:ilvl w:val="0"/>
          <w:numId w:val="1"/>
        </w:numPr>
        <w:suppressLineNumbers/>
        <w:spacing w:after="0" w:line="240" w:lineRule="auto"/>
        <w:ind w:left="0" w:firstLine="0"/>
        <w:jc w:val="both"/>
        <w:rPr>
          <w:rFonts w:ascii="Verdana" w:hAnsi="Verdana"/>
          <w:sz w:val="20"/>
        </w:rPr>
      </w:pPr>
      <w:r w:rsidRPr="005A76BF">
        <w:rPr>
          <w:rFonts w:ascii="Verdana" w:hAnsi="Verdana"/>
          <w:sz w:val="20"/>
        </w:rPr>
        <w:t>La Resolución</w:t>
      </w:r>
      <w:r w:rsidR="00107EC9">
        <w:rPr>
          <w:rFonts w:ascii="Verdana" w:hAnsi="Verdana"/>
          <w:sz w:val="20"/>
        </w:rPr>
        <w:t xml:space="preserve"> de supervisión de cumplimiento de Sentencia</w:t>
      </w:r>
      <w:r w:rsidRPr="005A76BF">
        <w:rPr>
          <w:rFonts w:ascii="Verdana" w:hAnsi="Verdana"/>
          <w:sz w:val="20"/>
        </w:rPr>
        <w:t xml:space="preserve"> emitida por la C</w:t>
      </w:r>
      <w:r w:rsidR="00107EC9">
        <w:rPr>
          <w:rFonts w:ascii="Verdana" w:hAnsi="Verdana"/>
          <w:sz w:val="20"/>
        </w:rPr>
        <w:t>orte el 28 de noviembre de 2018</w:t>
      </w:r>
      <w:r w:rsidR="00CE03F0">
        <w:rPr>
          <w:rStyle w:val="Refdenotaalpie"/>
          <w:rFonts w:ascii="Verdana" w:hAnsi="Verdana"/>
          <w:sz w:val="20"/>
        </w:rPr>
        <w:footnoteReference w:id="14"/>
      </w:r>
      <w:r w:rsidR="00107EC9">
        <w:rPr>
          <w:rFonts w:ascii="Verdana" w:hAnsi="Verdana"/>
          <w:sz w:val="20"/>
        </w:rPr>
        <w:t>.</w:t>
      </w:r>
    </w:p>
    <w:p w14:paraId="6000341D" w14:textId="77777777" w:rsidR="005A76BF" w:rsidRPr="005A76BF" w:rsidRDefault="005A76BF" w:rsidP="0011029F">
      <w:pPr>
        <w:pStyle w:val="Prrafodelista"/>
        <w:suppressLineNumbers/>
        <w:rPr>
          <w:rFonts w:ascii="Verdana" w:hAnsi="Verdana"/>
          <w:sz w:val="20"/>
        </w:rPr>
      </w:pPr>
    </w:p>
    <w:p w14:paraId="02DC2105" w14:textId="54E3FB96" w:rsidR="005A76BF" w:rsidRDefault="005A76BF" w:rsidP="0011029F">
      <w:pPr>
        <w:pStyle w:val="Prrafodelista"/>
        <w:numPr>
          <w:ilvl w:val="0"/>
          <w:numId w:val="1"/>
        </w:numPr>
        <w:suppressLineNumbers/>
        <w:spacing w:after="0" w:line="240" w:lineRule="auto"/>
        <w:ind w:left="0" w:firstLine="0"/>
        <w:jc w:val="both"/>
        <w:rPr>
          <w:rFonts w:ascii="Verdana" w:hAnsi="Verdana"/>
          <w:sz w:val="20"/>
        </w:rPr>
      </w:pPr>
      <w:r>
        <w:rPr>
          <w:rFonts w:ascii="Verdana" w:hAnsi="Verdana"/>
          <w:sz w:val="20"/>
        </w:rPr>
        <w:t xml:space="preserve">Los informes presentados por el Estado </w:t>
      </w:r>
      <w:r w:rsidR="008B275D">
        <w:rPr>
          <w:rFonts w:ascii="Verdana" w:hAnsi="Verdana"/>
          <w:sz w:val="20"/>
        </w:rPr>
        <w:t>los días</w:t>
      </w:r>
      <w:r w:rsidR="00AD2CF5">
        <w:rPr>
          <w:rFonts w:ascii="Verdana" w:hAnsi="Verdana"/>
          <w:sz w:val="20"/>
        </w:rPr>
        <w:t xml:space="preserve"> 2 y 12 de</w:t>
      </w:r>
      <w:r w:rsidR="00886B24">
        <w:rPr>
          <w:rFonts w:ascii="Verdana" w:hAnsi="Verdana"/>
          <w:sz w:val="20"/>
        </w:rPr>
        <w:t xml:space="preserve"> agosto de 2019. </w:t>
      </w:r>
    </w:p>
    <w:p w14:paraId="51EB602F" w14:textId="77777777" w:rsidR="005A76BF" w:rsidRPr="005A76BF" w:rsidRDefault="005A76BF" w:rsidP="0011029F">
      <w:pPr>
        <w:pStyle w:val="Prrafodelista"/>
        <w:suppressLineNumbers/>
        <w:rPr>
          <w:rFonts w:ascii="Verdana" w:hAnsi="Verdana"/>
          <w:sz w:val="20"/>
        </w:rPr>
      </w:pPr>
    </w:p>
    <w:p w14:paraId="4DD5BABA" w14:textId="6869BB91" w:rsidR="005A76BF" w:rsidRDefault="005A76BF" w:rsidP="0011029F">
      <w:pPr>
        <w:pStyle w:val="Prrafodelista"/>
        <w:numPr>
          <w:ilvl w:val="0"/>
          <w:numId w:val="1"/>
        </w:numPr>
        <w:suppressLineNumbers/>
        <w:spacing w:after="0" w:line="240" w:lineRule="auto"/>
        <w:ind w:left="0" w:firstLine="0"/>
        <w:jc w:val="both"/>
        <w:rPr>
          <w:rFonts w:ascii="Verdana" w:hAnsi="Verdana"/>
          <w:sz w:val="20"/>
        </w:rPr>
      </w:pPr>
      <w:r w:rsidRPr="005A76BF">
        <w:rPr>
          <w:rFonts w:ascii="Verdana" w:hAnsi="Verdana"/>
          <w:sz w:val="20"/>
        </w:rPr>
        <w:t>Los escritos presentados en</w:t>
      </w:r>
      <w:r w:rsidR="00886B24">
        <w:rPr>
          <w:rFonts w:ascii="Verdana" w:hAnsi="Verdana"/>
          <w:sz w:val="20"/>
        </w:rPr>
        <w:t xml:space="preserve"> </w:t>
      </w:r>
      <w:r w:rsidR="00EC499C">
        <w:rPr>
          <w:rFonts w:ascii="Verdana" w:hAnsi="Verdana"/>
          <w:sz w:val="20"/>
        </w:rPr>
        <w:t xml:space="preserve">el </w:t>
      </w:r>
      <w:r w:rsidR="00886B24">
        <w:rPr>
          <w:rFonts w:ascii="Verdana" w:hAnsi="Verdana"/>
          <w:sz w:val="20"/>
        </w:rPr>
        <w:t xml:space="preserve">2019 </w:t>
      </w:r>
      <w:r w:rsidR="00EC499C">
        <w:rPr>
          <w:rFonts w:ascii="Verdana" w:hAnsi="Verdana"/>
          <w:sz w:val="20"/>
        </w:rPr>
        <w:t xml:space="preserve">y </w:t>
      </w:r>
      <w:r w:rsidR="008B275D">
        <w:rPr>
          <w:rFonts w:ascii="Verdana" w:hAnsi="Verdana"/>
          <w:sz w:val="20"/>
        </w:rPr>
        <w:t xml:space="preserve">el </w:t>
      </w:r>
      <w:r w:rsidR="00EC499C">
        <w:rPr>
          <w:rFonts w:ascii="Verdana" w:hAnsi="Verdana"/>
          <w:sz w:val="20"/>
        </w:rPr>
        <w:t xml:space="preserve">2020 </w:t>
      </w:r>
      <w:r w:rsidRPr="005A76BF">
        <w:rPr>
          <w:rFonts w:ascii="Verdana" w:hAnsi="Verdana"/>
          <w:sz w:val="20"/>
        </w:rPr>
        <w:t xml:space="preserve">por </w:t>
      </w:r>
      <w:r w:rsidR="00EC499C">
        <w:rPr>
          <w:rFonts w:ascii="Verdana" w:hAnsi="Verdana"/>
          <w:sz w:val="20"/>
        </w:rPr>
        <w:t xml:space="preserve">los </w:t>
      </w:r>
      <w:r w:rsidRPr="005A76BF">
        <w:rPr>
          <w:rFonts w:ascii="Verdana" w:hAnsi="Verdana"/>
          <w:sz w:val="20"/>
        </w:rPr>
        <w:t xml:space="preserve">intervinientes comunes de los representantes de las víctimas, </w:t>
      </w:r>
      <w:r w:rsidR="00EC499C">
        <w:rPr>
          <w:rFonts w:ascii="Verdana" w:hAnsi="Verdana"/>
          <w:sz w:val="20"/>
        </w:rPr>
        <w:t xml:space="preserve">otros representantes de las víctimas y </w:t>
      </w:r>
      <w:r w:rsidRPr="00231376">
        <w:rPr>
          <w:rFonts w:ascii="Verdana" w:hAnsi="Verdana"/>
          <w:sz w:val="20"/>
        </w:rPr>
        <w:t>la víctima Patricia Troncoso Robles</w:t>
      </w:r>
      <w:r>
        <w:rPr>
          <w:rStyle w:val="Refdenotaalpie"/>
          <w:rFonts w:ascii="Verdana" w:hAnsi="Verdana"/>
          <w:sz w:val="20"/>
        </w:rPr>
        <w:footnoteReference w:id="15"/>
      </w:r>
      <w:r w:rsidR="000353C3">
        <w:rPr>
          <w:rFonts w:ascii="Verdana" w:hAnsi="Verdana"/>
          <w:sz w:val="20"/>
        </w:rPr>
        <w:t>, en los cuales presentaron observaciones a los informes estatales y solicitaron la realización de una audiencia de supervisión</w:t>
      </w:r>
      <w:r w:rsidR="00EC499C">
        <w:rPr>
          <w:rFonts w:ascii="Verdana" w:hAnsi="Verdana"/>
          <w:sz w:val="20"/>
        </w:rPr>
        <w:t>.</w:t>
      </w:r>
    </w:p>
    <w:p w14:paraId="1B693F46" w14:textId="77777777" w:rsidR="005A76BF" w:rsidRPr="005A76BF" w:rsidRDefault="005A76BF" w:rsidP="0011029F">
      <w:pPr>
        <w:pStyle w:val="Prrafodelista"/>
        <w:suppressLineNumbers/>
        <w:rPr>
          <w:rFonts w:ascii="Verdana" w:hAnsi="Verdana"/>
          <w:sz w:val="20"/>
        </w:rPr>
      </w:pPr>
    </w:p>
    <w:p w14:paraId="2FAD21C5" w14:textId="0FD9117B" w:rsidR="005A76BF" w:rsidRPr="00886B24" w:rsidRDefault="00AD2CF5" w:rsidP="0011029F">
      <w:pPr>
        <w:pStyle w:val="Prrafodelista"/>
        <w:numPr>
          <w:ilvl w:val="0"/>
          <w:numId w:val="1"/>
        </w:numPr>
        <w:suppressLineNumbers/>
        <w:spacing w:after="0" w:line="240" w:lineRule="auto"/>
        <w:ind w:left="0" w:firstLine="0"/>
        <w:jc w:val="both"/>
        <w:rPr>
          <w:rFonts w:ascii="Verdana" w:hAnsi="Verdana"/>
          <w:sz w:val="20"/>
        </w:rPr>
      </w:pPr>
      <w:r>
        <w:rPr>
          <w:rFonts w:ascii="Verdana" w:hAnsi="Verdana"/>
          <w:sz w:val="20"/>
        </w:rPr>
        <w:t>El</w:t>
      </w:r>
      <w:r w:rsidR="005A76BF">
        <w:rPr>
          <w:rFonts w:ascii="Verdana" w:hAnsi="Verdana"/>
          <w:sz w:val="20"/>
        </w:rPr>
        <w:t xml:space="preserve"> escrito de observaciones presentado por la Comisión Interamericana de Derechos Humanos (en adelante “la Comisión”</w:t>
      </w:r>
      <w:r>
        <w:rPr>
          <w:rFonts w:ascii="Verdana" w:hAnsi="Verdana"/>
          <w:sz w:val="20"/>
        </w:rPr>
        <w:t>) el 8 de</w:t>
      </w:r>
      <w:r w:rsidR="00E16F53">
        <w:rPr>
          <w:rFonts w:ascii="Verdana" w:hAnsi="Verdana"/>
          <w:sz w:val="20"/>
        </w:rPr>
        <w:t xml:space="preserve"> enero de 2020. </w:t>
      </w:r>
    </w:p>
    <w:p w14:paraId="1FF54508" w14:textId="77777777" w:rsidR="00886B24" w:rsidRPr="00886B24" w:rsidRDefault="00886B24" w:rsidP="0011029F">
      <w:pPr>
        <w:pStyle w:val="Prrafodelista"/>
        <w:suppressLineNumbers/>
        <w:rPr>
          <w:rFonts w:ascii="Verdana" w:hAnsi="Verdana"/>
          <w:sz w:val="20"/>
        </w:rPr>
      </w:pPr>
    </w:p>
    <w:p w14:paraId="2ADF8A5F" w14:textId="19B05124" w:rsidR="00E16F53" w:rsidRPr="009B472F" w:rsidRDefault="00E16F53" w:rsidP="0011029F">
      <w:pPr>
        <w:pStyle w:val="Prrafodelista"/>
        <w:numPr>
          <w:ilvl w:val="0"/>
          <w:numId w:val="1"/>
        </w:numPr>
        <w:suppressLineNumbers/>
        <w:spacing w:after="0" w:line="240" w:lineRule="auto"/>
        <w:ind w:left="0" w:firstLine="0"/>
        <w:jc w:val="both"/>
        <w:rPr>
          <w:rFonts w:ascii="Verdana" w:hAnsi="Verdana"/>
          <w:sz w:val="20"/>
        </w:rPr>
      </w:pPr>
      <w:r w:rsidRPr="009B472F">
        <w:rPr>
          <w:rFonts w:ascii="Verdana" w:hAnsi="Verdana"/>
          <w:sz w:val="20"/>
        </w:rPr>
        <w:t>La</w:t>
      </w:r>
      <w:r w:rsidR="00807DFE">
        <w:rPr>
          <w:rFonts w:ascii="Verdana" w:hAnsi="Verdana"/>
          <w:sz w:val="20"/>
        </w:rPr>
        <w:t>s</w:t>
      </w:r>
      <w:r w:rsidRPr="009B472F">
        <w:rPr>
          <w:rFonts w:ascii="Verdana" w:hAnsi="Verdana"/>
          <w:sz w:val="20"/>
        </w:rPr>
        <w:t xml:space="preserve"> nota</w:t>
      </w:r>
      <w:r w:rsidR="00807DFE">
        <w:rPr>
          <w:rFonts w:ascii="Verdana" w:hAnsi="Verdana"/>
          <w:sz w:val="20"/>
        </w:rPr>
        <w:t>s</w:t>
      </w:r>
      <w:r w:rsidRPr="009B472F">
        <w:rPr>
          <w:rFonts w:ascii="Verdana" w:hAnsi="Verdana"/>
          <w:sz w:val="20"/>
        </w:rPr>
        <w:t xml:space="preserve"> de la Secretaría de la Corte de 21 de febrero </w:t>
      </w:r>
      <w:r w:rsidR="00807DFE">
        <w:rPr>
          <w:rFonts w:ascii="Verdana" w:hAnsi="Verdana"/>
          <w:sz w:val="20"/>
        </w:rPr>
        <w:t xml:space="preserve">y 13 de marzo </w:t>
      </w:r>
      <w:r w:rsidRPr="009B472F">
        <w:rPr>
          <w:rFonts w:ascii="Verdana" w:hAnsi="Verdana"/>
          <w:sz w:val="20"/>
        </w:rPr>
        <w:t>de 2020, mediante la</w:t>
      </w:r>
      <w:r w:rsidR="00807DFE">
        <w:rPr>
          <w:rFonts w:ascii="Verdana" w:hAnsi="Verdana"/>
          <w:sz w:val="20"/>
        </w:rPr>
        <w:t>s</w:t>
      </w:r>
      <w:r w:rsidRPr="009B472F">
        <w:rPr>
          <w:rFonts w:ascii="Verdana" w:hAnsi="Verdana"/>
          <w:sz w:val="20"/>
        </w:rPr>
        <w:t xml:space="preserve"> cual</w:t>
      </w:r>
      <w:r w:rsidR="00807DFE">
        <w:rPr>
          <w:rFonts w:ascii="Verdana" w:hAnsi="Verdana"/>
          <w:sz w:val="20"/>
        </w:rPr>
        <w:t>es</w:t>
      </w:r>
      <w:r w:rsidRPr="009B472F">
        <w:rPr>
          <w:rFonts w:ascii="Verdana" w:hAnsi="Verdana"/>
          <w:sz w:val="20"/>
        </w:rPr>
        <w:t xml:space="preserve"> la Presidenta del Tribunal</w:t>
      </w:r>
      <w:r w:rsidR="00807DFE">
        <w:rPr>
          <w:rFonts w:ascii="Verdana" w:hAnsi="Verdana"/>
          <w:sz w:val="20"/>
        </w:rPr>
        <w:t>, respectivamente,</w:t>
      </w:r>
      <w:r w:rsidRPr="009B472F">
        <w:rPr>
          <w:rFonts w:ascii="Verdana" w:hAnsi="Verdana"/>
          <w:sz w:val="20"/>
        </w:rPr>
        <w:t xml:space="preserve"> convocó a una </w:t>
      </w:r>
      <w:r w:rsidRPr="009B472F">
        <w:rPr>
          <w:rFonts w:ascii="Verdana" w:hAnsi="Verdana"/>
          <w:sz w:val="20"/>
        </w:rPr>
        <w:lastRenderedPageBreak/>
        <w:t xml:space="preserve">audiencia privada de supervisión de cumplimiento, y suspendió la referida convocatoria en el marco de las medidas adoptadas para prevenir la propagación del COVID-19. </w:t>
      </w:r>
    </w:p>
    <w:p w14:paraId="46CE2B00" w14:textId="11235082" w:rsidR="003D32A7" w:rsidRDefault="003D32A7" w:rsidP="0011029F">
      <w:pPr>
        <w:pStyle w:val="Prrafodelista"/>
        <w:suppressLineNumbers/>
        <w:rPr>
          <w:rFonts w:ascii="Verdana" w:hAnsi="Verdana"/>
          <w:sz w:val="20"/>
        </w:rPr>
      </w:pPr>
    </w:p>
    <w:p w14:paraId="12D43E68" w14:textId="6D1501D8" w:rsidR="003D32A7" w:rsidRPr="003D32A7" w:rsidRDefault="003D32A7" w:rsidP="0011029F">
      <w:pPr>
        <w:suppressLineNumbers/>
        <w:rPr>
          <w:rFonts w:ascii="Verdana" w:hAnsi="Verdana"/>
          <w:b/>
          <w:sz w:val="18"/>
        </w:rPr>
      </w:pPr>
      <w:r w:rsidRPr="003D32A7">
        <w:rPr>
          <w:rFonts w:ascii="Verdana" w:hAnsi="Verdana"/>
          <w:b/>
          <w:sz w:val="20"/>
        </w:rPr>
        <w:t>CONSIDERANDO QUE:</w:t>
      </w:r>
    </w:p>
    <w:p w14:paraId="71F74E6B" w14:textId="22EC356A" w:rsidR="00751DC1" w:rsidRDefault="003D32A7" w:rsidP="0011029F">
      <w:pPr>
        <w:pStyle w:val="Prrafodelista"/>
        <w:numPr>
          <w:ilvl w:val="0"/>
          <w:numId w:val="2"/>
        </w:numPr>
        <w:suppressLineNumbers/>
        <w:spacing w:after="0" w:line="240" w:lineRule="auto"/>
        <w:ind w:left="0" w:firstLine="0"/>
        <w:jc w:val="both"/>
        <w:rPr>
          <w:rFonts w:ascii="Verdana" w:hAnsi="Verdana"/>
          <w:sz w:val="20"/>
          <w:szCs w:val="20"/>
        </w:rPr>
      </w:pPr>
      <w:r w:rsidRPr="003D32A7">
        <w:rPr>
          <w:rFonts w:ascii="Verdana" w:hAnsi="Verdana"/>
          <w:sz w:val="20"/>
          <w:szCs w:val="20"/>
        </w:rPr>
        <w:t>En el ejercicio de su función jurisdiccional de supervisar el cumplimiento de sus decisiones</w:t>
      </w:r>
      <w:r w:rsidRPr="003D32A7">
        <w:rPr>
          <w:rStyle w:val="Refdenotaalpie"/>
          <w:rFonts w:ascii="Verdana" w:hAnsi="Verdana"/>
          <w:sz w:val="20"/>
          <w:szCs w:val="20"/>
        </w:rPr>
        <w:footnoteReference w:id="16"/>
      </w:r>
      <w:r w:rsidRPr="003D32A7">
        <w:rPr>
          <w:rFonts w:ascii="Verdana" w:hAnsi="Verdana"/>
          <w:sz w:val="20"/>
          <w:szCs w:val="20"/>
        </w:rPr>
        <w:t>, la Corte ha venido supervisando la ejecución de la Sentencia emitida en el presente caso en el año 2014 (</w:t>
      </w:r>
      <w:r w:rsidRPr="003D32A7">
        <w:rPr>
          <w:rFonts w:ascii="Verdana" w:hAnsi="Verdana"/>
          <w:i/>
          <w:sz w:val="20"/>
          <w:szCs w:val="20"/>
        </w:rPr>
        <w:t>supra</w:t>
      </w:r>
      <w:r w:rsidRPr="003D32A7">
        <w:rPr>
          <w:rFonts w:ascii="Verdana" w:hAnsi="Verdana"/>
          <w:sz w:val="20"/>
          <w:szCs w:val="20"/>
        </w:rPr>
        <w:t xml:space="preserve"> Visto 1). En </w:t>
      </w:r>
      <w:r w:rsidR="0056122F">
        <w:rPr>
          <w:rFonts w:ascii="Verdana" w:hAnsi="Verdana"/>
          <w:sz w:val="20"/>
          <w:szCs w:val="20"/>
        </w:rPr>
        <w:t>dicho fallo</w:t>
      </w:r>
      <w:r w:rsidRPr="003D32A7">
        <w:rPr>
          <w:rFonts w:ascii="Verdana" w:hAnsi="Verdana"/>
          <w:sz w:val="20"/>
          <w:szCs w:val="20"/>
        </w:rPr>
        <w:t xml:space="preserve">, </w:t>
      </w:r>
      <w:r w:rsidR="0056122F">
        <w:rPr>
          <w:rFonts w:ascii="Verdana" w:hAnsi="Verdana"/>
          <w:sz w:val="20"/>
          <w:szCs w:val="20"/>
        </w:rPr>
        <w:t>la Corte</w:t>
      </w:r>
      <w:r w:rsidRPr="003D32A7">
        <w:rPr>
          <w:rFonts w:ascii="Verdana" w:hAnsi="Verdana"/>
          <w:sz w:val="20"/>
          <w:szCs w:val="20"/>
        </w:rPr>
        <w:t xml:space="preserve"> dispuso siete medidas de reparación</w:t>
      </w:r>
      <w:r w:rsidR="00751DC1">
        <w:rPr>
          <w:rFonts w:ascii="Verdana" w:hAnsi="Verdana"/>
          <w:sz w:val="20"/>
          <w:szCs w:val="20"/>
        </w:rPr>
        <w:t xml:space="preserve"> y el reintegro</w:t>
      </w:r>
      <w:r w:rsidRPr="003D32A7">
        <w:rPr>
          <w:rFonts w:ascii="Verdana" w:hAnsi="Verdana"/>
          <w:sz w:val="20"/>
          <w:szCs w:val="20"/>
        </w:rPr>
        <w:t xml:space="preserve"> al Fondo de Asistencia</w:t>
      </w:r>
      <w:r w:rsidR="0056122F">
        <w:rPr>
          <w:rFonts w:ascii="Verdana" w:hAnsi="Verdana"/>
          <w:sz w:val="20"/>
          <w:szCs w:val="20"/>
        </w:rPr>
        <w:t xml:space="preserve"> Legal de Víctimas</w:t>
      </w:r>
      <w:r w:rsidR="00B8426F">
        <w:rPr>
          <w:rFonts w:ascii="Verdana" w:hAnsi="Verdana"/>
          <w:sz w:val="20"/>
          <w:szCs w:val="20"/>
        </w:rPr>
        <w:t xml:space="preserve"> de</w:t>
      </w:r>
      <w:r w:rsidRPr="003D32A7">
        <w:rPr>
          <w:rFonts w:ascii="Verdana" w:hAnsi="Verdana"/>
          <w:sz w:val="20"/>
          <w:szCs w:val="20"/>
        </w:rPr>
        <w:t xml:space="preserve"> la cantidad erogada durante la tramitación de la etapa de fondo de este caso</w:t>
      </w:r>
      <w:r w:rsidR="00751DC1">
        <w:rPr>
          <w:rFonts w:ascii="Verdana" w:hAnsi="Verdana"/>
          <w:sz w:val="20"/>
          <w:szCs w:val="20"/>
        </w:rPr>
        <w:t>. El Tribunal ha emitido dos resoluciones de supervisión de cumplimiento</w:t>
      </w:r>
      <w:r w:rsidR="000353C3">
        <w:rPr>
          <w:rFonts w:ascii="Verdana" w:hAnsi="Verdana"/>
          <w:sz w:val="20"/>
          <w:szCs w:val="20"/>
        </w:rPr>
        <w:t>,</w:t>
      </w:r>
      <w:r w:rsidR="00751DC1">
        <w:rPr>
          <w:rFonts w:ascii="Verdana" w:hAnsi="Verdana"/>
          <w:sz w:val="20"/>
          <w:szCs w:val="20"/>
        </w:rPr>
        <w:t xml:space="preserve"> en las que declaró que el Estado dio cumplimiento a tres medidas de reparación</w:t>
      </w:r>
      <w:r w:rsidR="00751DC1">
        <w:rPr>
          <w:rStyle w:val="Refdenotaalpie"/>
          <w:rFonts w:ascii="Verdana" w:hAnsi="Verdana"/>
          <w:sz w:val="20"/>
          <w:szCs w:val="20"/>
        </w:rPr>
        <w:footnoteReference w:id="17"/>
      </w:r>
      <w:r w:rsidR="0056122F">
        <w:rPr>
          <w:rFonts w:ascii="Verdana" w:hAnsi="Verdana"/>
          <w:sz w:val="20"/>
          <w:szCs w:val="20"/>
        </w:rPr>
        <w:t xml:space="preserve"> (</w:t>
      </w:r>
      <w:r w:rsidR="0056122F" w:rsidRPr="0056122F">
        <w:rPr>
          <w:rFonts w:ascii="Verdana" w:hAnsi="Verdana"/>
          <w:i/>
          <w:sz w:val="20"/>
          <w:szCs w:val="20"/>
        </w:rPr>
        <w:t>supra</w:t>
      </w:r>
      <w:r w:rsidR="0056122F">
        <w:rPr>
          <w:rFonts w:ascii="Verdana" w:hAnsi="Verdana"/>
          <w:sz w:val="20"/>
          <w:szCs w:val="20"/>
        </w:rPr>
        <w:t xml:space="preserve"> Visto 3), así como que realizó el reintegro al Fondo de Asistencia Legal de Víctimas (</w:t>
      </w:r>
      <w:r w:rsidR="0056122F" w:rsidRPr="0056122F">
        <w:rPr>
          <w:rFonts w:ascii="Verdana" w:hAnsi="Verdana"/>
          <w:i/>
          <w:sz w:val="20"/>
          <w:szCs w:val="20"/>
        </w:rPr>
        <w:t>supra</w:t>
      </w:r>
      <w:r w:rsidR="0056122F">
        <w:rPr>
          <w:rFonts w:ascii="Verdana" w:hAnsi="Verdana"/>
          <w:sz w:val="20"/>
          <w:szCs w:val="20"/>
        </w:rPr>
        <w:t xml:space="preserve"> Visto 2), encontrándose pendientes de cumplimiento cuatro medidas de reparación (</w:t>
      </w:r>
      <w:r w:rsidR="0056122F" w:rsidRPr="0056122F">
        <w:rPr>
          <w:rFonts w:ascii="Verdana" w:hAnsi="Verdana"/>
          <w:i/>
          <w:sz w:val="20"/>
          <w:szCs w:val="20"/>
        </w:rPr>
        <w:t>infra</w:t>
      </w:r>
      <w:r w:rsidR="0056122F">
        <w:rPr>
          <w:rFonts w:ascii="Verdana" w:hAnsi="Verdana"/>
          <w:sz w:val="20"/>
          <w:szCs w:val="20"/>
        </w:rPr>
        <w:t xml:space="preserve"> Considerando</w:t>
      </w:r>
      <w:r w:rsidR="00F878BB">
        <w:rPr>
          <w:rFonts w:ascii="Verdana" w:hAnsi="Verdana"/>
          <w:sz w:val="20"/>
          <w:szCs w:val="20"/>
        </w:rPr>
        <w:t xml:space="preserve">s </w:t>
      </w:r>
      <w:r w:rsidR="003750AF">
        <w:rPr>
          <w:rFonts w:ascii="Verdana" w:hAnsi="Verdana"/>
          <w:sz w:val="20"/>
          <w:szCs w:val="20"/>
        </w:rPr>
        <w:t>4,</w:t>
      </w:r>
      <w:r w:rsidR="00F878BB">
        <w:rPr>
          <w:rFonts w:ascii="Verdana" w:hAnsi="Verdana"/>
          <w:sz w:val="20"/>
          <w:szCs w:val="20"/>
        </w:rPr>
        <w:t xml:space="preserve"> 5,</w:t>
      </w:r>
      <w:r w:rsidR="0056122F">
        <w:rPr>
          <w:rFonts w:ascii="Verdana" w:hAnsi="Verdana"/>
          <w:sz w:val="20"/>
          <w:szCs w:val="20"/>
        </w:rPr>
        <w:t xml:space="preserve"> </w:t>
      </w:r>
      <w:r w:rsidR="00A96390">
        <w:rPr>
          <w:rFonts w:ascii="Verdana" w:hAnsi="Verdana"/>
          <w:sz w:val="20"/>
          <w:szCs w:val="20"/>
        </w:rPr>
        <w:t>1</w:t>
      </w:r>
      <w:r w:rsidR="00F878BB">
        <w:rPr>
          <w:rFonts w:ascii="Verdana" w:hAnsi="Verdana"/>
          <w:sz w:val="20"/>
          <w:szCs w:val="20"/>
        </w:rPr>
        <w:t>9</w:t>
      </w:r>
      <w:r w:rsidR="00A96390">
        <w:rPr>
          <w:rFonts w:ascii="Verdana" w:hAnsi="Verdana"/>
          <w:sz w:val="20"/>
          <w:szCs w:val="20"/>
        </w:rPr>
        <w:t xml:space="preserve">, </w:t>
      </w:r>
      <w:r w:rsidR="00F878BB">
        <w:rPr>
          <w:rFonts w:ascii="Verdana" w:hAnsi="Verdana"/>
          <w:sz w:val="20"/>
          <w:szCs w:val="20"/>
        </w:rPr>
        <w:t>30</w:t>
      </w:r>
      <w:r w:rsidR="00720957">
        <w:rPr>
          <w:rFonts w:ascii="Verdana" w:hAnsi="Verdana"/>
          <w:sz w:val="20"/>
          <w:szCs w:val="20"/>
        </w:rPr>
        <w:t xml:space="preserve"> y </w:t>
      </w:r>
      <w:r w:rsidR="00D230DC">
        <w:rPr>
          <w:rFonts w:ascii="Verdana" w:hAnsi="Verdana"/>
          <w:sz w:val="20"/>
          <w:szCs w:val="20"/>
        </w:rPr>
        <w:t>4</w:t>
      </w:r>
      <w:r w:rsidR="00F878BB">
        <w:rPr>
          <w:rFonts w:ascii="Verdana" w:hAnsi="Verdana"/>
          <w:sz w:val="20"/>
          <w:szCs w:val="20"/>
        </w:rPr>
        <w:t>5</w:t>
      </w:r>
      <w:r w:rsidR="0056122F">
        <w:rPr>
          <w:rFonts w:ascii="Verdana" w:hAnsi="Verdana"/>
          <w:sz w:val="20"/>
          <w:szCs w:val="20"/>
        </w:rPr>
        <w:t xml:space="preserve">). </w:t>
      </w:r>
      <w:r w:rsidR="00751DC1">
        <w:rPr>
          <w:rFonts w:ascii="Verdana" w:hAnsi="Verdana"/>
          <w:sz w:val="20"/>
          <w:szCs w:val="20"/>
        </w:rPr>
        <w:t xml:space="preserve"> </w:t>
      </w:r>
    </w:p>
    <w:p w14:paraId="177A6774" w14:textId="77777777" w:rsidR="003D32A7" w:rsidRPr="003D32A7" w:rsidRDefault="003D32A7" w:rsidP="0011029F">
      <w:pPr>
        <w:pStyle w:val="Prrafodelista"/>
        <w:suppressLineNumbers/>
        <w:spacing w:after="0" w:line="240" w:lineRule="auto"/>
        <w:ind w:left="0"/>
        <w:jc w:val="both"/>
        <w:rPr>
          <w:rFonts w:ascii="Verdana" w:hAnsi="Verdana"/>
          <w:sz w:val="20"/>
          <w:szCs w:val="20"/>
        </w:rPr>
      </w:pPr>
    </w:p>
    <w:p w14:paraId="54F3ECB6" w14:textId="14F0E112" w:rsidR="003D32A7" w:rsidRDefault="003D32A7" w:rsidP="0011029F">
      <w:pPr>
        <w:pStyle w:val="Prrafodelista"/>
        <w:numPr>
          <w:ilvl w:val="0"/>
          <w:numId w:val="2"/>
        </w:numPr>
        <w:suppressLineNumbers/>
        <w:spacing w:after="0" w:line="240" w:lineRule="auto"/>
        <w:ind w:left="0" w:firstLine="0"/>
        <w:jc w:val="both"/>
        <w:rPr>
          <w:rFonts w:ascii="Verdana" w:hAnsi="Verdana"/>
          <w:sz w:val="20"/>
          <w:szCs w:val="20"/>
        </w:rPr>
      </w:pPr>
      <w:r w:rsidRPr="003D32A7">
        <w:rPr>
          <w:rFonts w:ascii="Verdana" w:hAnsi="Verdana"/>
          <w:sz w:val="20"/>
          <w:szCs w:val="20"/>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3D32A7">
        <w:rPr>
          <w:rStyle w:val="Refdenotaalpie"/>
          <w:rFonts w:ascii="Verdana" w:hAnsi="Verdana"/>
          <w:sz w:val="20"/>
          <w:szCs w:val="20"/>
        </w:rPr>
        <w:footnoteReference w:id="18"/>
      </w:r>
      <w:r w:rsidRPr="003D32A7">
        <w:rPr>
          <w:rFonts w:ascii="Verdana" w:hAnsi="Verdana"/>
          <w:sz w:val="20"/>
          <w:szCs w:val="20"/>
        </w:rPr>
        <w:t>. Los Estados Parte en la Convención deben garantizar el cumplimiento de las disposiciones convencionales y sus efectos propios (</w:t>
      </w:r>
      <w:proofErr w:type="spellStart"/>
      <w:r w:rsidRPr="003D32A7">
        <w:rPr>
          <w:rFonts w:ascii="Verdana" w:hAnsi="Verdana"/>
          <w:i/>
          <w:sz w:val="20"/>
          <w:szCs w:val="20"/>
        </w:rPr>
        <w:t>effet</w:t>
      </w:r>
      <w:proofErr w:type="spellEnd"/>
      <w:r w:rsidRPr="003D32A7">
        <w:rPr>
          <w:rFonts w:ascii="Verdana" w:hAnsi="Verdana"/>
          <w:i/>
          <w:sz w:val="20"/>
          <w:szCs w:val="20"/>
        </w:rPr>
        <w:t xml:space="preserve"> </w:t>
      </w:r>
      <w:proofErr w:type="spellStart"/>
      <w:r w:rsidRPr="003D32A7">
        <w:rPr>
          <w:rFonts w:ascii="Verdana" w:hAnsi="Verdana"/>
          <w:i/>
          <w:sz w:val="20"/>
          <w:szCs w:val="20"/>
        </w:rPr>
        <w:t>utile</w:t>
      </w:r>
      <w:proofErr w:type="spellEnd"/>
      <w:r w:rsidRPr="003D32A7">
        <w:rPr>
          <w:rFonts w:ascii="Verdana" w:hAnsi="Verdana"/>
          <w:sz w:val="20"/>
          <w:szCs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3D32A7">
        <w:rPr>
          <w:rStyle w:val="Refdenotaalpie"/>
          <w:rFonts w:ascii="Verdana" w:hAnsi="Verdana"/>
          <w:sz w:val="20"/>
          <w:szCs w:val="20"/>
        </w:rPr>
        <w:footnoteReference w:id="19"/>
      </w:r>
      <w:r w:rsidRPr="003D32A7">
        <w:rPr>
          <w:rFonts w:ascii="Verdana" w:hAnsi="Verdana"/>
          <w:sz w:val="20"/>
          <w:szCs w:val="20"/>
        </w:rPr>
        <w:t>.</w:t>
      </w:r>
    </w:p>
    <w:p w14:paraId="3DCAB193" w14:textId="77777777" w:rsidR="003D32A7" w:rsidRPr="003D32A7" w:rsidRDefault="003D32A7" w:rsidP="0011029F">
      <w:pPr>
        <w:pStyle w:val="Prrafodelista"/>
        <w:suppressLineNumbers/>
        <w:rPr>
          <w:rFonts w:ascii="Verdana" w:hAnsi="Verdana"/>
          <w:sz w:val="20"/>
          <w:szCs w:val="20"/>
        </w:rPr>
      </w:pPr>
    </w:p>
    <w:p w14:paraId="77F7258F" w14:textId="114F4174" w:rsidR="003D32A7" w:rsidRPr="006E51A8" w:rsidRDefault="003D32A7" w:rsidP="0011029F">
      <w:pPr>
        <w:pStyle w:val="Prrafodelista"/>
        <w:numPr>
          <w:ilvl w:val="0"/>
          <w:numId w:val="2"/>
        </w:numPr>
        <w:suppressLineNumbers/>
        <w:spacing w:after="0" w:line="240" w:lineRule="auto"/>
        <w:ind w:left="0" w:firstLine="0"/>
        <w:jc w:val="both"/>
        <w:rPr>
          <w:rFonts w:ascii="Verdana" w:hAnsi="Verdana"/>
          <w:sz w:val="18"/>
          <w:szCs w:val="20"/>
        </w:rPr>
      </w:pPr>
      <w:r w:rsidRPr="003D32A7">
        <w:rPr>
          <w:rFonts w:ascii="Verdana" w:hAnsi="Verdana"/>
          <w:sz w:val="20"/>
        </w:rPr>
        <w:t xml:space="preserve">Seguidamente, la Corte valorará la información </w:t>
      </w:r>
      <w:r w:rsidR="000353C3">
        <w:rPr>
          <w:rFonts w:ascii="Verdana" w:hAnsi="Verdana"/>
          <w:sz w:val="20"/>
        </w:rPr>
        <w:t xml:space="preserve">y observaciones </w:t>
      </w:r>
      <w:r w:rsidRPr="003D32A7">
        <w:rPr>
          <w:rFonts w:ascii="Verdana" w:hAnsi="Verdana"/>
          <w:sz w:val="20"/>
        </w:rPr>
        <w:t>presentada</w:t>
      </w:r>
      <w:r w:rsidR="000353C3">
        <w:rPr>
          <w:rFonts w:ascii="Verdana" w:hAnsi="Verdana"/>
          <w:sz w:val="20"/>
        </w:rPr>
        <w:t>s</w:t>
      </w:r>
      <w:r w:rsidRPr="003D32A7">
        <w:rPr>
          <w:rFonts w:ascii="Verdana" w:hAnsi="Verdana"/>
          <w:sz w:val="20"/>
        </w:rPr>
        <w:t xml:space="preserve"> por </w:t>
      </w:r>
      <w:r w:rsidR="000353C3">
        <w:rPr>
          <w:rFonts w:ascii="Verdana" w:hAnsi="Verdana"/>
          <w:sz w:val="20"/>
        </w:rPr>
        <w:t xml:space="preserve">las partes y </w:t>
      </w:r>
      <w:r w:rsidRPr="003D32A7">
        <w:rPr>
          <w:rFonts w:ascii="Verdana" w:hAnsi="Verdana"/>
          <w:sz w:val="20"/>
        </w:rPr>
        <w:t xml:space="preserve">la Comisión Interamericana respecto de las </w:t>
      </w:r>
      <w:r w:rsidR="006E51A8">
        <w:rPr>
          <w:rFonts w:ascii="Verdana" w:hAnsi="Verdana"/>
          <w:sz w:val="20"/>
        </w:rPr>
        <w:t>cuatro</w:t>
      </w:r>
      <w:r w:rsidRPr="003D32A7">
        <w:rPr>
          <w:rFonts w:ascii="Verdana" w:hAnsi="Verdana"/>
          <w:sz w:val="20"/>
        </w:rPr>
        <w:t xml:space="preserve"> medidas de reparación </w:t>
      </w:r>
      <w:r w:rsidR="006E51A8">
        <w:rPr>
          <w:rFonts w:ascii="Verdana" w:hAnsi="Verdana"/>
          <w:sz w:val="20"/>
        </w:rPr>
        <w:t>pendientes de cumplimiento</w:t>
      </w:r>
      <w:r w:rsidRPr="003D32A7">
        <w:rPr>
          <w:rFonts w:ascii="Verdana" w:hAnsi="Verdana"/>
          <w:sz w:val="20"/>
        </w:rPr>
        <w:t xml:space="preserve"> en este caso, y determinará el grado de cumplimiento por parte del Estado. Las consideraciones de este Tribunal se estructurarán en el siguiente orden:</w:t>
      </w:r>
    </w:p>
    <w:sdt>
      <w:sdtPr>
        <w:rPr>
          <w:rFonts w:asciiTheme="minorHAnsi" w:eastAsiaTheme="minorHAnsi" w:hAnsiTheme="minorHAnsi" w:cstheme="minorBidi"/>
          <w:color w:val="auto"/>
          <w:sz w:val="22"/>
          <w:szCs w:val="22"/>
          <w:lang w:val="es-ES" w:eastAsia="en-US"/>
        </w:rPr>
        <w:id w:val="-592936886"/>
        <w:docPartObj>
          <w:docPartGallery w:val="Table of Contents"/>
          <w:docPartUnique/>
        </w:docPartObj>
      </w:sdtPr>
      <w:sdtEndPr>
        <w:rPr>
          <w:rFonts w:ascii="Verdana" w:hAnsi="Verdana"/>
          <w:bCs/>
          <w:sz w:val="20"/>
          <w:szCs w:val="20"/>
        </w:rPr>
      </w:sdtEndPr>
      <w:sdtContent>
        <w:p w14:paraId="2E2F3AEB" w14:textId="34A8C502" w:rsidR="000D3990" w:rsidRPr="00DF1272" w:rsidRDefault="000D3990" w:rsidP="0011029F">
          <w:pPr>
            <w:pStyle w:val="TtuloTDC"/>
            <w:suppressLineNumbers/>
            <w:spacing w:before="0" w:line="240" w:lineRule="auto"/>
            <w:ind w:left="482"/>
            <w:jc w:val="both"/>
            <w:rPr>
              <w:rFonts w:ascii="Verdana" w:hAnsi="Verdana"/>
              <w:color w:val="auto"/>
              <w:sz w:val="20"/>
              <w:szCs w:val="20"/>
            </w:rPr>
          </w:pPr>
        </w:p>
        <w:p w14:paraId="7E139E86" w14:textId="505BFE64" w:rsidR="00907F27" w:rsidRPr="00907F27" w:rsidRDefault="000D3990" w:rsidP="00907F27">
          <w:pPr>
            <w:pStyle w:val="TDC1"/>
            <w:suppressLineNumbers/>
            <w:rPr>
              <w:rFonts w:ascii="Verdana" w:eastAsiaTheme="minorEastAsia" w:hAnsi="Verdana"/>
              <w:noProof/>
              <w:sz w:val="20"/>
              <w:lang w:eastAsia="es-CR"/>
            </w:rPr>
          </w:pPr>
          <w:r w:rsidRPr="00165BCC">
            <w:rPr>
              <w:rFonts w:ascii="Verdana" w:hAnsi="Verdana"/>
              <w:sz w:val="20"/>
              <w:szCs w:val="20"/>
            </w:rPr>
            <w:fldChar w:fldCharType="begin"/>
          </w:r>
          <w:r w:rsidRPr="00165BCC">
            <w:rPr>
              <w:rFonts w:ascii="Verdana" w:hAnsi="Verdana"/>
              <w:sz w:val="20"/>
              <w:szCs w:val="20"/>
            </w:rPr>
            <w:instrText xml:space="preserve"> TOC \o "1-3" \h \z \u </w:instrText>
          </w:r>
          <w:r w:rsidRPr="00165BCC">
            <w:rPr>
              <w:rFonts w:ascii="Verdana" w:hAnsi="Verdana"/>
              <w:sz w:val="20"/>
              <w:szCs w:val="20"/>
            </w:rPr>
            <w:fldChar w:fldCharType="separate"/>
          </w:r>
          <w:hyperlink w:anchor="_Toc66258557" w:history="1">
            <w:r w:rsidR="00907F27" w:rsidRPr="00907F27">
              <w:rPr>
                <w:rStyle w:val="Hipervnculo"/>
                <w:rFonts w:ascii="Verdana" w:hAnsi="Verdana"/>
                <w:i/>
                <w:noProof/>
                <w:sz w:val="20"/>
              </w:rPr>
              <w:t>A.</w:t>
            </w:r>
            <w:r w:rsidR="00907F27" w:rsidRPr="00907F27">
              <w:rPr>
                <w:rFonts w:ascii="Verdana" w:eastAsiaTheme="minorEastAsia" w:hAnsi="Verdana"/>
                <w:noProof/>
                <w:sz w:val="20"/>
                <w:lang w:eastAsia="es-CR"/>
              </w:rPr>
              <w:tab/>
            </w:r>
            <w:r w:rsidR="00907F27" w:rsidRPr="00907F27">
              <w:rPr>
                <w:rStyle w:val="Hipervnculo"/>
                <w:rFonts w:ascii="Verdana" w:hAnsi="Verdana"/>
                <w:i/>
                <w:noProof/>
                <w:sz w:val="20"/>
              </w:rPr>
              <w:t>Dejar sin efecto las sentencias penales condenatorias emitidas en contra de las víctimas</w:t>
            </w:r>
            <w:r w:rsidR="00907F27" w:rsidRPr="00907F27">
              <w:rPr>
                <w:rFonts w:ascii="Verdana" w:hAnsi="Verdana"/>
                <w:noProof/>
                <w:webHidden/>
                <w:sz w:val="20"/>
              </w:rPr>
              <w:tab/>
            </w:r>
            <w:r w:rsidR="00907F27" w:rsidRPr="00907F27">
              <w:rPr>
                <w:rFonts w:ascii="Verdana" w:hAnsi="Verdana"/>
                <w:noProof/>
                <w:webHidden/>
                <w:sz w:val="20"/>
              </w:rPr>
              <w:fldChar w:fldCharType="begin"/>
            </w:r>
            <w:r w:rsidR="00907F27" w:rsidRPr="00907F27">
              <w:rPr>
                <w:rFonts w:ascii="Verdana" w:hAnsi="Verdana"/>
                <w:noProof/>
                <w:webHidden/>
                <w:sz w:val="20"/>
              </w:rPr>
              <w:instrText xml:space="preserve"> PAGEREF _Toc66258557 \h </w:instrText>
            </w:r>
            <w:r w:rsidR="00907F27" w:rsidRPr="00907F27">
              <w:rPr>
                <w:rFonts w:ascii="Verdana" w:hAnsi="Verdana"/>
                <w:noProof/>
                <w:webHidden/>
                <w:sz w:val="20"/>
              </w:rPr>
            </w:r>
            <w:r w:rsidR="00907F27" w:rsidRPr="00907F27">
              <w:rPr>
                <w:rFonts w:ascii="Verdana" w:hAnsi="Verdana"/>
                <w:noProof/>
                <w:webHidden/>
                <w:sz w:val="20"/>
              </w:rPr>
              <w:fldChar w:fldCharType="separate"/>
            </w:r>
            <w:r w:rsidR="007E731F">
              <w:rPr>
                <w:rFonts w:ascii="Verdana" w:hAnsi="Verdana"/>
                <w:noProof/>
                <w:webHidden/>
                <w:sz w:val="20"/>
              </w:rPr>
              <w:t>4</w:t>
            </w:r>
            <w:r w:rsidR="00907F27" w:rsidRPr="00907F27">
              <w:rPr>
                <w:rFonts w:ascii="Verdana" w:hAnsi="Verdana"/>
                <w:noProof/>
                <w:webHidden/>
                <w:sz w:val="20"/>
              </w:rPr>
              <w:fldChar w:fldCharType="end"/>
            </w:r>
          </w:hyperlink>
        </w:p>
        <w:p w14:paraId="51B5689A" w14:textId="0CABA42F" w:rsidR="00907F27" w:rsidRPr="00907F27" w:rsidRDefault="00DC772D" w:rsidP="00907F27">
          <w:pPr>
            <w:pStyle w:val="TDC1"/>
            <w:suppressLineNumbers/>
            <w:rPr>
              <w:rFonts w:ascii="Verdana" w:eastAsiaTheme="minorEastAsia" w:hAnsi="Verdana"/>
              <w:noProof/>
              <w:sz w:val="20"/>
              <w:lang w:eastAsia="es-CR"/>
            </w:rPr>
          </w:pPr>
          <w:hyperlink w:anchor="_Toc66258558" w:history="1">
            <w:r w:rsidR="00907F27" w:rsidRPr="00907F27">
              <w:rPr>
                <w:rStyle w:val="Hipervnculo"/>
                <w:rFonts w:ascii="Verdana" w:hAnsi="Verdana" w:cs="Times New Roman"/>
                <w:i/>
                <w:noProof/>
                <w:sz w:val="20"/>
              </w:rPr>
              <w:t>B.</w:t>
            </w:r>
            <w:r w:rsidR="00907F27" w:rsidRPr="00907F27">
              <w:rPr>
                <w:rFonts w:ascii="Verdana" w:eastAsiaTheme="minorEastAsia" w:hAnsi="Verdana"/>
                <w:noProof/>
                <w:sz w:val="20"/>
                <w:lang w:eastAsia="es-CR"/>
              </w:rPr>
              <w:tab/>
            </w:r>
            <w:r w:rsidR="00907F27" w:rsidRPr="00907F27">
              <w:rPr>
                <w:rStyle w:val="Hipervnculo"/>
                <w:rFonts w:ascii="Verdana" w:hAnsi="Verdana" w:cs="Times New Roman"/>
                <w:i/>
                <w:noProof/>
                <w:sz w:val="20"/>
              </w:rPr>
              <w:t>Brindar tratamiento médico y psicológico o psiquiátrico</w:t>
            </w:r>
            <w:r w:rsidR="00907F27" w:rsidRPr="00907F27">
              <w:rPr>
                <w:rFonts w:ascii="Verdana" w:hAnsi="Verdana"/>
                <w:noProof/>
                <w:webHidden/>
                <w:sz w:val="20"/>
              </w:rPr>
              <w:tab/>
            </w:r>
            <w:r w:rsidR="00907F27" w:rsidRPr="00907F27">
              <w:rPr>
                <w:rFonts w:ascii="Verdana" w:hAnsi="Verdana"/>
                <w:noProof/>
                <w:webHidden/>
                <w:sz w:val="20"/>
              </w:rPr>
              <w:fldChar w:fldCharType="begin"/>
            </w:r>
            <w:r w:rsidR="00907F27" w:rsidRPr="00907F27">
              <w:rPr>
                <w:rFonts w:ascii="Verdana" w:hAnsi="Verdana"/>
                <w:noProof/>
                <w:webHidden/>
                <w:sz w:val="20"/>
              </w:rPr>
              <w:instrText xml:space="preserve"> PAGEREF _Toc66258558 \h </w:instrText>
            </w:r>
            <w:r w:rsidR="00907F27" w:rsidRPr="00907F27">
              <w:rPr>
                <w:rFonts w:ascii="Verdana" w:hAnsi="Verdana"/>
                <w:noProof/>
                <w:webHidden/>
                <w:sz w:val="20"/>
              </w:rPr>
            </w:r>
            <w:r w:rsidR="00907F27" w:rsidRPr="00907F27">
              <w:rPr>
                <w:rFonts w:ascii="Verdana" w:hAnsi="Verdana"/>
                <w:noProof/>
                <w:webHidden/>
                <w:sz w:val="20"/>
              </w:rPr>
              <w:fldChar w:fldCharType="separate"/>
            </w:r>
            <w:r w:rsidR="007E731F">
              <w:rPr>
                <w:rFonts w:ascii="Verdana" w:hAnsi="Verdana"/>
                <w:noProof/>
                <w:webHidden/>
                <w:sz w:val="20"/>
              </w:rPr>
              <w:t>10</w:t>
            </w:r>
            <w:r w:rsidR="00907F27" w:rsidRPr="00907F27">
              <w:rPr>
                <w:rFonts w:ascii="Verdana" w:hAnsi="Verdana"/>
                <w:noProof/>
                <w:webHidden/>
                <w:sz w:val="20"/>
              </w:rPr>
              <w:fldChar w:fldCharType="end"/>
            </w:r>
          </w:hyperlink>
        </w:p>
        <w:p w14:paraId="377AACF2" w14:textId="66E3B6AF" w:rsidR="00907F27" w:rsidRPr="00907F27" w:rsidRDefault="00DC772D" w:rsidP="00907F27">
          <w:pPr>
            <w:pStyle w:val="TDC1"/>
            <w:suppressLineNumbers/>
            <w:rPr>
              <w:rFonts w:ascii="Verdana" w:eastAsiaTheme="minorEastAsia" w:hAnsi="Verdana"/>
              <w:noProof/>
              <w:sz w:val="20"/>
              <w:lang w:eastAsia="es-CR"/>
            </w:rPr>
          </w:pPr>
          <w:hyperlink w:anchor="_Toc66258559" w:history="1">
            <w:r w:rsidR="00907F27" w:rsidRPr="00907F27">
              <w:rPr>
                <w:rStyle w:val="Hipervnculo"/>
                <w:rFonts w:ascii="Verdana" w:hAnsi="Verdana"/>
                <w:i/>
                <w:noProof/>
                <w:sz w:val="20"/>
              </w:rPr>
              <w:t>C.</w:t>
            </w:r>
            <w:r w:rsidR="00907F27" w:rsidRPr="00907F27">
              <w:rPr>
                <w:rFonts w:ascii="Verdana" w:eastAsiaTheme="minorEastAsia" w:hAnsi="Verdana"/>
                <w:noProof/>
                <w:sz w:val="20"/>
                <w:lang w:eastAsia="es-CR"/>
              </w:rPr>
              <w:tab/>
            </w:r>
            <w:r w:rsidR="00907F27" w:rsidRPr="00907F27">
              <w:rPr>
                <w:rStyle w:val="Hipervnculo"/>
                <w:rFonts w:ascii="Verdana" w:hAnsi="Verdana"/>
                <w:i/>
                <w:noProof/>
                <w:sz w:val="20"/>
              </w:rPr>
              <w:t>Otorgar becas de estudio a los hijos de las víctimas</w:t>
            </w:r>
            <w:r w:rsidR="00907F27" w:rsidRPr="00907F27">
              <w:rPr>
                <w:rFonts w:ascii="Verdana" w:hAnsi="Verdana"/>
                <w:noProof/>
                <w:webHidden/>
                <w:sz w:val="20"/>
              </w:rPr>
              <w:tab/>
            </w:r>
            <w:r w:rsidR="00907F27" w:rsidRPr="00907F27">
              <w:rPr>
                <w:rFonts w:ascii="Verdana" w:hAnsi="Verdana"/>
                <w:noProof/>
                <w:webHidden/>
                <w:sz w:val="20"/>
              </w:rPr>
              <w:fldChar w:fldCharType="begin"/>
            </w:r>
            <w:r w:rsidR="00907F27" w:rsidRPr="00907F27">
              <w:rPr>
                <w:rFonts w:ascii="Verdana" w:hAnsi="Verdana"/>
                <w:noProof/>
                <w:webHidden/>
                <w:sz w:val="20"/>
              </w:rPr>
              <w:instrText xml:space="preserve"> PAGEREF _Toc66258559 \h </w:instrText>
            </w:r>
            <w:r w:rsidR="00907F27" w:rsidRPr="00907F27">
              <w:rPr>
                <w:rFonts w:ascii="Verdana" w:hAnsi="Verdana"/>
                <w:noProof/>
                <w:webHidden/>
                <w:sz w:val="20"/>
              </w:rPr>
            </w:r>
            <w:r w:rsidR="00907F27" w:rsidRPr="00907F27">
              <w:rPr>
                <w:rFonts w:ascii="Verdana" w:hAnsi="Verdana"/>
                <w:noProof/>
                <w:webHidden/>
                <w:sz w:val="20"/>
              </w:rPr>
              <w:fldChar w:fldCharType="separate"/>
            </w:r>
            <w:r w:rsidR="007E731F">
              <w:rPr>
                <w:rFonts w:ascii="Verdana" w:hAnsi="Verdana"/>
                <w:noProof/>
                <w:webHidden/>
                <w:sz w:val="20"/>
              </w:rPr>
              <w:t>14</w:t>
            </w:r>
            <w:r w:rsidR="00907F27" w:rsidRPr="00907F27">
              <w:rPr>
                <w:rFonts w:ascii="Verdana" w:hAnsi="Verdana"/>
                <w:noProof/>
                <w:webHidden/>
                <w:sz w:val="20"/>
              </w:rPr>
              <w:fldChar w:fldCharType="end"/>
            </w:r>
          </w:hyperlink>
        </w:p>
        <w:p w14:paraId="784980F3" w14:textId="7A110A15" w:rsidR="00907F27" w:rsidRDefault="00DC772D" w:rsidP="00907F27">
          <w:pPr>
            <w:pStyle w:val="TDC1"/>
            <w:suppressLineNumbers/>
            <w:rPr>
              <w:rFonts w:eastAsiaTheme="minorEastAsia"/>
              <w:noProof/>
              <w:lang w:eastAsia="es-CR"/>
            </w:rPr>
          </w:pPr>
          <w:hyperlink w:anchor="_Toc66258560" w:history="1">
            <w:r w:rsidR="00907F27" w:rsidRPr="00907F27">
              <w:rPr>
                <w:rStyle w:val="Hipervnculo"/>
                <w:rFonts w:ascii="Verdana" w:hAnsi="Verdana"/>
                <w:i/>
                <w:noProof/>
                <w:sz w:val="20"/>
              </w:rPr>
              <w:t>D.</w:t>
            </w:r>
            <w:r w:rsidR="00907F27" w:rsidRPr="00907F27">
              <w:rPr>
                <w:rFonts w:ascii="Verdana" w:eastAsiaTheme="minorEastAsia" w:hAnsi="Verdana"/>
                <w:noProof/>
                <w:sz w:val="20"/>
                <w:lang w:eastAsia="es-CR"/>
              </w:rPr>
              <w:tab/>
            </w:r>
            <w:r w:rsidR="00907F27" w:rsidRPr="00907F27">
              <w:rPr>
                <w:rStyle w:val="Hipervnculo"/>
                <w:rFonts w:ascii="Verdana" w:hAnsi="Verdana"/>
                <w:i/>
                <w:noProof/>
                <w:sz w:val="20"/>
              </w:rPr>
              <w:t>Regular la medida procesal de protección de testigos relativa a la reserva de identidad</w:t>
            </w:r>
            <w:r w:rsidR="00907F27" w:rsidRPr="00907F27">
              <w:rPr>
                <w:rFonts w:ascii="Verdana" w:hAnsi="Verdana"/>
                <w:noProof/>
                <w:webHidden/>
                <w:sz w:val="20"/>
              </w:rPr>
              <w:tab/>
            </w:r>
            <w:r w:rsidR="00907F27" w:rsidRPr="00907F27">
              <w:rPr>
                <w:rFonts w:ascii="Verdana" w:hAnsi="Verdana"/>
                <w:noProof/>
                <w:webHidden/>
                <w:sz w:val="20"/>
              </w:rPr>
              <w:fldChar w:fldCharType="begin"/>
            </w:r>
            <w:r w:rsidR="00907F27" w:rsidRPr="00907F27">
              <w:rPr>
                <w:rFonts w:ascii="Verdana" w:hAnsi="Verdana"/>
                <w:noProof/>
                <w:webHidden/>
                <w:sz w:val="20"/>
              </w:rPr>
              <w:instrText xml:space="preserve"> PAGEREF _Toc66258560 \h </w:instrText>
            </w:r>
            <w:r w:rsidR="00907F27" w:rsidRPr="00907F27">
              <w:rPr>
                <w:rFonts w:ascii="Verdana" w:hAnsi="Verdana"/>
                <w:noProof/>
                <w:webHidden/>
                <w:sz w:val="20"/>
              </w:rPr>
            </w:r>
            <w:r w:rsidR="00907F27" w:rsidRPr="00907F27">
              <w:rPr>
                <w:rFonts w:ascii="Verdana" w:hAnsi="Verdana"/>
                <w:noProof/>
                <w:webHidden/>
                <w:sz w:val="20"/>
              </w:rPr>
              <w:fldChar w:fldCharType="separate"/>
            </w:r>
            <w:r w:rsidR="007E731F">
              <w:rPr>
                <w:rFonts w:ascii="Verdana" w:hAnsi="Verdana"/>
                <w:noProof/>
                <w:webHidden/>
                <w:sz w:val="20"/>
              </w:rPr>
              <w:t>19</w:t>
            </w:r>
            <w:r w:rsidR="00907F27" w:rsidRPr="00907F27">
              <w:rPr>
                <w:rFonts w:ascii="Verdana" w:hAnsi="Verdana"/>
                <w:noProof/>
                <w:webHidden/>
                <w:sz w:val="20"/>
              </w:rPr>
              <w:fldChar w:fldCharType="end"/>
            </w:r>
          </w:hyperlink>
        </w:p>
        <w:p w14:paraId="64F42335" w14:textId="00D81E6B" w:rsidR="000D3990" w:rsidRPr="00165BCC" w:rsidRDefault="000D3990" w:rsidP="00165BCC">
          <w:pPr>
            <w:suppressLineNumbers/>
            <w:spacing w:after="0" w:line="240" w:lineRule="auto"/>
            <w:ind w:left="482"/>
            <w:jc w:val="both"/>
            <w:rPr>
              <w:rFonts w:ascii="Verdana" w:hAnsi="Verdana"/>
              <w:sz w:val="20"/>
              <w:szCs w:val="20"/>
            </w:rPr>
          </w:pPr>
          <w:r w:rsidRPr="00165BCC">
            <w:rPr>
              <w:rFonts w:ascii="Verdana" w:hAnsi="Verdana"/>
              <w:bCs/>
              <w:sz w:val="20"/>
              <w:szCs w:val="20"/>
              <w:lang w:val="es-ES"/>
            </w:rPr>
            <w:lastRenderedPageBreak/>
            <w:fldChar w:fldCharType="end"/>
          </w:r>
        </w:p>
      </w:sdtContent>
    </w:sdt>
    <w:p w14:paraId="1ADDCEB2" w14:textId="77777777" w:rsidR="006E51A8" w:rsidRPr="006E51A8" w:rsidRDefault="006E51A8" w:rsidP="0011029F">
      <w:pPr>
        <w:pStyle w:val="Prrafodelista"/>
        <w:suppressLineNumbers/>
        <w:spacing w:after="0" w:line="240" w:lineRule="auto"/>
        <w:ind w:left="0"/>
        <w:jc w:val="both"/>
        <w:rPr>
          <w:rFonts w:ascii="Verdana" w:hAnsi="Verdana"/>
          <w:sz w:val="18"/>
          <w:szCs w:val="20"/>
        </w:rPr>
      </w:pPr>
    </w:p>
    <w:p w14:paraId="785A0BD1" w14:textId="77777777" w:rsidR="006E51A8" w:rsidRPr="006E51A8" w:rsidRDefault="006E51A8" w:rsidP="0011029F">
      <w:pPr>
        <w:pStyle w:val="Prrafodelista"/>
        <w:suppressLineNumbers/>
        <w:rPr>
          <w:rFonts w:ascii="Verdana" w:hAnsi="Verdana"/>
          <w:sz w:val="18"/>
          <w:szCs w:val="20"/>
        </w:rPr>
      </w:pPr>
    </w:p>
    <w:p w14:paraId="0156C1EB" w14:textId="0B2AEC12" w:rsidR="006E51A8" w:rsidRPr="009B3AD4" w:rsidRDefault="006E51A8" w:rsidP="0011029F">
      <w:pPr>
        <w:pStyle w:val="Prrafodelista"/>
        <w:numPr>
          <w:ilvl w:val="0"/>
          <w:numId w:val="3"/>
        </w:numPr>
        <w:suppressLineNumbers/>
        <w:spacing w:after="0" w:line="240" w:lineRule="auto"/>
        <w:jc w:val="both"/>
        <w:outlineLvl w:val="0"/>
        <w:rPr>
          <w:rFonts w:ascii="Verdana" w:hAnsi="Verdana"/>
          <w:b/>
          <w:i/>
          <w:sz w:val="20"/>
          <w:szCs w:val="20"/>
        </w:rPr>
      </w:pPr>
      <w:bookmarkStart w:id="0" w:name="_Toc66258557"/>
      <w:r w:rsidRPr="009B3AD4">
        <w:rPr>
          <w:rFonts w:ascii="Verdana" w:hAnsi="Verdana"/>
          <w:b/>
          <w:i/>
          <w:sz w:val="20"/>
          <w:szCs w:val="20"/>
        </w:rPr>
        <w:t>Dejar sin efecto las sentencias penales condenatorias emitidas en contra de las víctimas</w:t>
      </w:r>
      <w:bookmarkEnd w:id="0"/>
    </w:p>
    <w:p w14:paraId="08AF16EE" w14:textId="5CC2FADB" w:rsidR="006E51A8" w:rsidRDefault="006E51A8" w:rsidP="0011029F">
      <w:pPr>
        <w:suppressLineNumbers/>
        <w:spacing w:after="0" w:line="240" w:lineRule="auto"/>
        <w:jc w:val="both"/>
        <w:rPr>
          <w:rFonts w:ascii="Verdana" w:hAnsi="Verdana"/>
          <w:sz w:val="18"/>
          <w:szCs w:val="20"/>
        </w:rPr>
      </w:pPr>
    </w:p>
    <w:p w14:paraId="3F1E82A5" w14:textId="697A8132" w:rsidR="006E51A8" w:rsidRPr="00523DA3" w:rsidRDefault="006E51A8" w:rsidP="0011029F">
      <w:pPr>
        <w:suppressLineNumbers/>
        <w:spacing w:after="0" w:line="240" w:lineRule="auto"/>
        <w:ind w:firstLine="360"/>
        <w:jc w:val="both"/>
        <w:rPr>
          <w:rFonts w:ascii="Verdana" w:hAnsi="Verdana"/>
          <w:i/>
          <w:sz w:val="20"/>
          <w:szCs w:val="20"/>
        </w:rPr>
      </w:pPr>
      <w:r w:rsidRPr="00523DA3">
        <w:rPr>
          <w:rFonts w:ascii="Verdana" w:hAnsi="Verdana"/>
          <w:i/>
          <w:sz w:val="20"/>
          <w:szCs w:val="20"/>
        </w:rPr>
        <w:t>A.1. Medida ordenada por la Corte</w:t>
      </w:r>
      <w:r w:rsidR="00523DA3" w:rsidRPr="00523DA3">
        <w:rPr>
          <w:rFonts w:ascii="Verdana" w:hAnsi="Verdana"/>
          <w:i/>
          <w:sz w:val="20"/>
          <w:szCs w:val="20"/>
        </w:rPr>
        <w:t xml:space="preserve"> y supervisión realizada en la resolución anterior</w:t>
      </w:r>
    </w:p>
    <w:p w14:paraId="1845E85C" w14:textId="4CEFC93E" w:rsidR="006E51A8" w:rsidRDefault="006E51A8" w:rsidP="0011029F">
      <w:pPr>
        <w:suppressLineNumbers/>
        <w:spacing w:after="0" w:line="240" w:lineRule="auto"/>
        <w:jc w:val="both"/>
        <w:rPr>
          <w:rFonts w:ascii="Verdana" w:hAnsi="Verdana"/>
          <w:sz w:val="18"/>
          <w:szCs w:val="20"/>
        </w:rPr>
      </w:pPr>
    </w:p>
    <w:p w14:paraId="08473AD2" w14:textId="77777777" w:rsidR="008975B0" w:rsidRDefault="008975B0" w:rsidP="0011029F">
      <w:pPr>
        <w:pStyle w:val="Prrafodelista"/>
        <w:numPr>
          <w:ilvl w:val="0"/>
          <w:numId w:val="2"/>
        </w:numPr>
        <w:suppressLineNumbers/>
        <w:spacing w:after="0" w:line="240" w:lineRule="auto"/>
        <w:ind w:left="0" w:firstLine="0"/>
        <w:jc w:val="both"/>
        <w:rPr>
          <w:rFonts w:ascii="Verdana" w:hAnsi="Verdana"/>
          <w:sz w:val="16"/>
          <w:szCs w:val="20"/>
        </w:rPr>
      </w:pPr>
      <w:r w:rsidRPr="00037A45">
        <w:rPr>
          <w:rFonts w:ascii="Verdana" w:hAnsi="Verdana"/>
          <w:sz w:val="20"/>
        </w:rPr>
        <w:t xml:space="preserve">En el punto dispositivo décimo sexto de la Sentencia se dispuso que “[e]l Estado debe adoptar todas las medidas judiciales, administrativas o de cualquier otra índole para dejar sin efecto, en todos sus extremos, las sentencias penales condenatorias emitidas en contra de los señores Segundo Aniceto </w:t>
      </w:r>
      <w:proofErr w:type="spellStart"/>
      <w:r w:rsidRPr="00037A45">
        <w:rPr>
          <w:rFonts w:ascii="Verdana" w:hAnsi="Verdana"/>
          <w:sz w:val="20"/>
        </w:rPr>
        <w:t>Norín</w:t>
      </w:r>
      <w:proofErr w:type="spellEnd"/>
      <w:r w:rsidRPr="00037A45">
        <w:rPr>
          <w:rFonts w:ascii="Verdana" w:hAnsi="Verdana"/>
          <w:sz w:val="20"/>
        </w:rPr>
        <w:t xml:space="preserve"> </w:t>
      </w:r>
      <w:proofErr w:type="spellStart"/>
      <w:r w:rsidRPr="00037A45">
        <w:rPr>
          <w:rFonts w:ascii="Verdana" w:hAnsi="Verdana"/>
          <w:sz w:val="20"/>
        </w:rPr>
        <w:t>Catrimán</w:t>
      </w:r>
      <w:proofErr w:type="spellEnd"/>
      <w:r w:rsidRPr="00037A45">
        <w:rPr>
          <w:rFonts w:ascii="Verdana" w:hAnsi="Verdana"/>
          <w:sz w:val="20"/>
        </w:rPr>
        <w:t xml:space="preserve">, Pascual </w:t>
      </w:r>
      <w:proofErr w:type="spellStart"/>
      <w:r w:rsidRPr="00037A45">
        <w:rPr>
          <w:rFonts w:ascii="Verdana" w:hAnsi="Verdana"/>
          <w:sz w:val="20"/>
        </w:rPr>
        <w:t>Huentequeo</w:t>
      </w:r>
      <w:proofErr w:type="spellEnd"/>
      <w:r w:rsidRPr="00037A45">
        <w:rPr>
          <w:rFonts w:ascii="Verdana" w:hAnsi="Verdana"/>
          <w:sz w:val="20"/>
        </w:rPr>
        <w:t xml:space="preserve"> Pichún </w:t>
      </w:r>
      <w:proofErr w:type="spellStart"/>
      <w:r w:rsidRPr="00037A45">
        <w:rPr>
          <w:rFonts w:ascii="Verdana" w:hAnsi="Verdana"/>
          <w:sz w:val="20"/>
        </w:rPr>
        <w:t>Paillalao</w:t>
      </w:r>
      <w:proofErr w:type="spellEnd"/>
      <w:r w:rsidRPr="00037A45">
        <w:rPr>
          <w:rFonts w:ascii="Verdana" w:hAnsi="Verdana"/>
          <w:sz w:val="20"/>
        </w:rPr>
        <w:t xml:space="preserve">, Víctor Manuel </w:t>
      </w:r>
      <w:proofErr w:type="spellStart"/>
      <w:r w:rsidRPr="00037A45">
        <w:rPr>
          <w:rFonts w:ascii="Verdana" w:hAnsi="Verdana"/>
          <w:sz w:val="20"/>
        </w:rPr>
        <w:t>Ancalaf</w:t>
      </w:r>
      <w:proofErr w:type="spellEnd"/>
      <w:r w:rsidRPr="00037A45">
        <w:rPr>
          <w:rFonts w:ascii="Verdana" w:hAnsi="Verdana"/>
          <w:sz w:val="20"/>
        </w:rPr>
        <w:t xml:space="preserve"> </w:t>
      </w:r>
      <w:proofErr w:type="spellStart"/>
      <w:r w:rsidRPr="00037A45">
        <w:rPr>
          <w:rFonts w:ascii="Verdana" w:hAnsi="Verdana"/>
          <w:sz w:val="20"/>
        </w:rPr>
        <w:t>Llaupe</w:t>
      </w:r>
      <w:proofErr w:type="spellEnd"/>
      <w:r w:rsidRPr="00037A45">
        <w:rPr>
          <w:rFonts w:ascii="Verdana" w:hAnsi="Verdana"/>
          <w:sz w:val="20"/>
        </w:rPr>
        <w:t xml:space="preserve">, Florencio Jaime Marileo Saravia, Juan Patricio Marileo Saravia, José Huenchunao Mariñán, Juan Ciriaco </w:t>
      </w:r>
      <w:proofErr w:type="spellStart"/>
      <w:r w:rsidRPr="00037A45">
        <w:rPr>
          <w:rFonts w:ascii="Verdana" w:hAnsi="Verdana"/>
          <w:sz w:val="20"/>
        </w:rPr>
        <w:t>Millacheo</w:t>
      </w:r>
      <w:proofErr w:type="spellEnd"/>
      <w:r w:rsidRPr="00037A45">
        <w:rPr>
          <w:rFonts w:ascii="Verdana" w:hAnsi="Verdana"/>
          <w:sz w:val="20"/>
        </w:rPr>
        <w:t xml:space="preserve"> Licán y la señora Patricia Troncoso Robles[,] sobre las cuales la Corte se pronunció en [la] Sentencia, en los términos del párrafo 422 de la [misma]”.</w:t>
      </w:r>
    </w:p>
    <w:p w14:paraId="2FA832C1" w14:textId="77777777" w:rsidR="008975B0" w:rsidRDefault="008975B0" w:rsidP="0011029F">
      <w:pPr>
        <w:suppressLineNumbers/>
        <w:spacing w:after="0" w:line="240" w:lineRule="auto"/>
        <w:jc w:val="both"/>
        <w:rPr>
          <w:rFonts w:ascii="Verdana" w:hAnsi="Verdana"/>
          <w:sz w:val="16"/>
          <w:szCs w:val="20"/>
        </w:rPr>
      </w:pPr>
    </w:p>
    <w:p w14:paraId="62AFDA8A" w14:textId="6FD3B92F" w:rsidR="008975B0" w:rsidRPr="00523DA3" w:rsidRDefault="008975B0" w:rsidP="0011029F">
      <w:pPr>
        <w:suppressLineNumbers/>
        <w:spacing w:after="0" w:line="240" w:lineRule="auto"/>
        <w:jc w:val="both"/>
        <w:rPr>
          <w:rFonts w:ascii="Verdana" w:hAnsi="Verdana"/>
          <w:sz w:val="20"/>
          <w:szCs w:val="20"/>
        </w:rPr>
      </w:pPr>
      <w:r>
        <w:rPr>
          <w:rFonts w:ascii="Verdana" w:hAnsi="Verdana"/>
          <w:sz w:val="20"/>
          <w:szCs w:val="20"/>
        </w:rPr>
        <w:t>5.</w:t>
      </w:r>
      <w:r>
        <w:rPr>
          <w:rFonts w:ascii="Verdana" w:hAnsi="Verdana"/>
          <w:sz w:val="20"/>
          <w:szCs w:val="20"/>
        </w:rPr>
        <w:tab/>
      </w:r>
      <w:r w:rsidRPr="00523DA3">
        <w:rPr>
          <w:rFonts w:ascii="Verdana" w:hAnsi="Verdana"/>
          <w:sz w:val="20"/>
          <w:szCs w:val="20"/>
        </w:rPr>
        <w:t xml:space="preserve">En el referido párrafo 422 de la Sentencia, la Corte estableció que la medida de reparación comprende los siguientes cuatro aspectos: </w:t>
      </w:r>
    </w:p>
    <w:p w14:paraId="0F5FD240" w14:textId="77777777" w:rsidR="008975B0" w:rsidRPr="00523DA3" w:rsidRDefault="008975B0" w:rsidP="0011029F">
      <w:pPr>
        <w:suppressLineNumbers/>
        <w:spacing w:after="0" w:line="240" w:lineRule="auto"/>
        <w:jc w:val="both"/>
        <w:rPr>
          <w:rFonts w:ascii="Verdana" w:hAnsi="Verdana"/>
          <w:sz w:val="20"/>
          <w:szCs w:val="20"/>
        </w:rPr>
      </w:pPr>
    </w:p>
    <w:p w14:paraId="6A11AD3A" w14:textId="77777777" w:rsidR="008975B0" w:rsidRPr="00523DA3" w:rsidRDefault="008975B0" w:rsidP="0011029F">
      <w:pPr>
        <w:pStyle w:val="Prrafodelista"/>
        <w:numPr>
          <w:ilvl w:val="0"/>
          <w:numId w:val="4"/>
        </w:numPr>
        <w:suppressLineNumbers/>
        <w:spacing w:after="0" w:line="240" w:lineRule="auto"/>
        <w:jc w:val="both"/>
        <w:rPr>
          <w:rFonts w:ascii="Verdana" w:hAnsi="Verdana"/>
          <w:sz w:val="20"/>
          <w:szCs w:val="20"/>
        </w:rPr>
      </w:pPr>
      <w:r>
        <w:rPr>
          <w:rFonts w:ascii="Verdana" w:hAnsi="Verdana"/>
          <w:sz w:val="20"/>
          <w:szCs w:val="20"/>
        </w:rPr>
        <w:t>“</w:t>
      </w:r>
      <w:r w:rsidRPr="00523DA3">
        <w:rPr>
          <w:rFonts w:ascii="Verdana" w:hAnsi="Verdana"/>
          <w:sz w:val="20"/>
          <w:szCs w:val="20"/>
        </w:rPr>
        <w:t>dejar sin efecto la declaración de las ocho víctimas de este caso como autores de delitos de carácter terrorista</w:t>
      </w:r>
      <w:r>
        <w:rPr>
          <w:rFonts w:ascii="Verdana" w:hAnsi="Verdana"/>
          <w:sz w:val="20"/>
          <w:szCs w:val="20"/>
        </w:rPr>
        <w:t>”</w:t>
      </w:r>
      <w:r w:rsidRPr="00523DA3">
        <w:rPr>
          <w:rFonts w:ascii="Verdana" w:hAnsi="Verdana"/>
          <w:sz w:val="20"/>
          <w:szCs w:val="20"/>
        </w:rPr>
        <w:t xml:space="preserve">; </w:t>
      </w:r>
    </w:p>
    <w:p w14:paraId="432F6AF4" w14:textId="77777777" w:rsidR="008975B0" w:rsidRDefault="008975B0" w:rsidP="0011029F">
      <w:pPr>
        <w:pStyle w:val="Prrafodelista"/>
        <w:numPr>
          <w:ilvl w:val="0"/>
          <w:numId w:val="4"/>
        </w:numPr>
        <w:suppressLineNumbers/>
        <w:spacing w:after="0" w:line="240" w:lineRule="auto"/>
        <w:jc w:val="both"/>
        <w:rPr>
          <w:rFonts w:ascii="Verdana" w:hAnsi="Verdana"/>
          <w:sz w:val="20"/>
          <w:szCs w:val="20"/>
        </w:rPr>
      </w:pPr>
      <w:r>
        <w:rPr>
          <w:rFonts w:ascii="Verdana" w:hAnsi="Verdana"/>
          <w:sz w:val="20"/>
          <w:szCs w:val="20"/>
        </w:rPr>
        <w:t>“</w:t>
      </w:r>
      <w:r w:rsidRPr="00523DA3">
        <w:rPr>
          <w:rFonts w:ascii="Verdana" w:hAnsi="Verdana"/>
          <w:sz w:val="20"/>
          <w:szCs w:val="20"/>
        </w:rPr>
        <w:t>dejar sin efecto las penas privativas de libertad y penas accesorias, consecuencias y registros, a la mayor brevedad posible, así como las condenas civiles que se hayan impuesto a las víctimas</w:t>
      </w:r>
      <w:r>
        <w:rPr>
          <w:rFonts w:ascii="Verdana" w:hAnsi="Verdana"/>
          <w:sz w:val="20"/>
          <w:szCs w:val="20"/>
        </w:rPr>
        <w:t>”</w:t>
      </w:r>
      <w:r>
        <w:rPr>
          <w:rStyle w:val="Refdenotaalpie"/>
          <w:rFonts w:ascii="Verdana" w:hAnsi="Verdana"/>
          <w:sz w:val="20"/>
          <w:szCs w:val="20"/>
        </w:rPr>
        <w:footnoteReference w:id="20"/>
      </w:r>
      <w:r w:rsidRPr="00523DA3">
        <w:rPr>
          <w:rFonts w:ascii="Verdana" w:hAnsi="Verdana"/>
          <w:sz w:val="20"/>
          <w:szCs w:val="20"/>
        </w:rPr>
        <w:t xml:space="preserve">; </w:t>
      </w:r>
    </w:p>
    <w:p w14:paraId="0D26E72A" w14:textId="77777777" w:rsidR="008975B0" w:rsidRPr="00523DA3" w:rsidRDefault="008975B0" w:rsidP="0011029F">
      <w:pPr>
        <w:pStyle w:val="Prrafodelista"/>
        <w:numPr>
          <w:ilvl w:val="0"/>
          <w:numId w:val="4"/>
        </w:numPr>
        <w:suppressLineNumbers/>
        <w:spacing w:after="0" w:line="240" w:lineRule="auto"/>
        <w:jc w:val="both"/>
        <w:rPr>
          <w:rFonts w:ascii="Verdana" w:hAnsi="Verdana"/>
          <w:sz w:val="20"/>
          <w:szCs w:val="20"/>
        </w:rPr>
      </w:pPr>
      <w:r>
        <w:rPr>
          <w:rFonts w:ascii="Verdana" w:hAnsi="Verdana"/>
          <w:sz w:val="20"/>
          <w:szCs w:val="20"/>
        </w:rPr>
        <w:t>“</w:t>
      </w:r>
      <w:r w:rsidRPr="00523DA3">
        <w:rPr>
          <w:rFonts w:ascii="Verdana" w:hAnsi="Verdana"/>
          <w:sz w:val="20"/>
          <w:szCs w:val="20"/>
        </w:rPr>
        <w:t>disponer la libertad personal de las víctimas que aún se encuentren sujetas a libertad condicional</w:t>
      </w:r>
      <w:r>
        <w:rPr>
          <w:rFonts w:ascii="Verdana" w:hAnsi="Verdana"/>
          <w:sz w:val="20"/>
          <w:szCs w:val="20"/>
        </w:rPr>
        <w:t>”,</w:t>
      </w:r>
      <w:r w:rsidRPr="00523DA3">
        <w:rPr>
          <w:rFonts w:ascii="Verdana" w:hAnsi="Verdana"/>
          <w:sz w:val="20"/>
          <w:szCs w:val="20"/>
        </w:rPr>
        <w:t xml:space="preserve"> y </w:t>
      </w:r>
    </w:p>
    <w:p w14:paraId="287EE58A" w14:textId="77777777" w:rsidR="008975B0" w:rsidRDefault="008975B0" w:rsidP="0011029F">
      <w:pPr>
        <w:pStyle w:val="Prrafodelista"/>
        <w:numPr>
          <w:ilvl w:val="0"/>
          <w:numId w:val="4"/>
        </w:numPr>
        <w:suppressLineNumbers/>
        <w:spacing w:after="0" w:line="240" w:lineRule="auto"/>
        <w:jc w:val="both"/>
        <w:rPr>
          <w:rFonts w:ascii="Verdana" w:hAnsi="Verdana"/>
          <w:sz w:val="20"/>
          <w:szCs w:val="20"/>
        </w:rPr>
      </w:pPr>
      <w:r>
        <w:rPr>
          <w:rFonts w:ascii="Verdana" w:hAnsi="Verdana"/>
          <w:sz w:val="20"/>
          <w:szCs w:val="20"/>
        </w:rPr>
        <w:t>“</w:t>
      </w:r>
      <w:r w:rsidRPr="00523DA3">
        <w:rPr>
          <w:rFonts w:ascii="Verdana" w:hAnsi="Verdana"/>
          <w:sz w:val="20"/>
          <w:szCs w:val="20"/>
        </w:rPr>
        <w:t>suprimir los antecedentes judiciales, administrativos, penales o policiales que existan en contra de las ocho víctimas en relación con las referidas sentencias, así como la anulación de su inscripción en cualquier tipo de registro nacional e internacional que los vincule con actos de carácter terrorista</w:t>
      </w:r>
      <w:r>
        <w:rPr>
          <w:rFonts w:ascii="Verdana" w:hAnsi="Verdana"/>
          <w:sz w:val="20"/>
          <w:szCs w:val="20"/>
        </w:rPr>
        <w:t>”</w:t>
      </w:r>
      <w:r w:rsidRPr="00523DA3">
        <w:rPr>
          <w:rFonts w:ascii="Verdana" w:hAnsi="Verdana"/>
          <w:sz w:val="20"/>
          <w:szCs w:val="20"/>
        </w:rPr>
        <w:t>.</w:t>
      </w:r>
    </w:p>
    <w:p w14:paraId="2738AA36" w14:textId="77777777" w:rsidR="008975B0" w:rsidRDefault="008975B0" w:rsidP="0011029F">
      <w:pPr>
        <w:suppressLineNumbers/>
        <w:spacing w:after="0" w:line="240" w:lineRule="auto"/>
        <w:jc w:val="both"/>
        <w:rPr>
          <w:rFonts w:ascii="Verdana" w:hAnsi="Verdana"/>
          <w:sz w:val="20"/>
          <w:szCs w:val="20"/>
        </w:rPr>
      </w:pPr>
    </w:p>
    <w:p w14:paraId="43E6B39B" w14:textId="77777777" w:rsidR="008975B0" w:rsidRDefault="008975B0" w:rsidP="0011029F">
      <w:pPr>
        <w:pStyle w:val="Prrafodelista"/>
        <w:numPr>
          <w:ilvl w:val="0"/>
          <w:numId w:val="5"/>
        </w:numPr>
        <w:suppressLineNumbers/>
        <w:spacing w:after="0" w:line="240" w:lineRule="auto"/>
        <w:ind w:left="0" w:firstLine="0"/>
        <w:jc w:val="both"/>
        <w:rPr>
          <w:rFonts w:ascii="Verdana" w:hAnsi="Verdana"/>
          <w:sz w:val="20"/>
          <w:szCs w:val="20"/>
        </w:rPr>
      </w:pPr>
      <w:r w:rsidRPr="00523DA3">
        <w:rPr>
          <w:rFonts w:ascii="Verdana" w:hAnsi="Verdana"/>
          <w:sz w:val="20"/>
          <w:szCs w:val="20"/>
        </w:rPr>
        <w:t>En la Resolución de noviembre de 2018, la Corte declaró que el Estado había dado cumplimiento parcial a esta reparación al haber realizado “avances […] respecto a la eliminación de antecedentes de las víctimas en diversos registros estatales […</w:t>
      </w:r>
      <w:r>
        <w:rPr>
          <w:rFonts w:ascii="Verdana" w:hAnsi="Verdana"/>
          <w:sz w:val="20"/>
          <w:szCs w:val="20"/>
        </w:rPr>
        <w:t>y</w:t>
      </w:r>
      <w:r w:rsidRPr="00523DA3">
        <w:rPr>
          <w:rFonts w:ascii="Verdana" w:hAnsi="Verdana"/>
          <w:sz w:val="20"/>
          <w:szCs w:val="20"/>
        </w:rPr>
        <w:t>] de órdenes de detención […</w:t>
      </w:r>
      <w:r>
        <w:rPr>
          <w:rFonts w:ascii="Verdana" w:hAnsi="Verdana"/>
          <w:sz w:val="20"/>
          <w:szCs w:val="20"/>
        </w:rPr>
        <w:t>,</w:t>
      </w:r>
      <w:r w:rsidRPr="00523DA3">
        <w:rPr>
          <w:rFonts w:ascii="Verdana" w:hAnsi="Verdana"/>
          <w:sz w:val="20"/>
          <w:szCs w:val="20"/>
        </w:rPr>
        <w:t>] y para dejar sin efecto las penas accesorias relacionadas con la inhabilitación de las víctimas para el ejercicio de derechos políticos”</w:t>
      </w:r>
      <w:r>
        <w:rPr>
          <w:rStyle w:val="Refdenotaalpie"/>
          <w:rFonts w:ascii="Verdana" w:hAnsi="Verdana"/>
          <w:sz w:val="20"/>
          <w:szCs w:val="20"/>
        </w:rPr>
        <w:footnoteReference w:id="21"/>
      </w:r>
      <w:r w:rsidRPr="00523DA3">
        <w:rPr>
          <w:rFonts w:ascii="Verdana" w:hAnsi="Verdana"/>
          <w:sz w:val="20"/>
          <w:szCs w:val="20"/>
        </w:rPr>
        <w:t xml:space="preserve">. </w:t>
      </w:r>
      <w:r>
        <w:rPr>
          <w:rFonts w:ascii="Verdana" w:hAnsi="Verdana"/>
          <w:sz w:val="20"/>
          <w:szCs w:val="20"/>
        </w:rPr>
        <w:t>Al respecto, la Corte efectuó las siguientes consideraciones:</w:t>
      </w:r>
    </w:p>
    <w:p w14:paraId="048520EC" w14:textId="77777777" w:rsidR="008975B0" w:rsidRDefault="008975B0" w:rsidP="0011029F">
      <w:pPr>
        <w:suppressLineNumbers/>
        <w:spacing w:after="0" w:line="240" w:lineRule="auto"/>
        <w:jc w:val="both"/>
        <w:rPr>
          <w:rFonts w:ascii="Verdana" w:hAnsi="Verdana"/>
          <w:sz w:val="20"/>
          <w:szCs w:val="20"/>
        </w:rPr>
      </w:pPr>
    </w:p>
    <w:p w14:paraId="024CA886" w14:textId="25E9D09C" w:rsidR="008975B0" w:rsidRPr="006F67E5" w:rsidRDefault="008975B0" w:rsidP="0011029F">
      <w:pPr>
        <w:pStyle w:val="Prrafodelista"/>
        <w:numPr>
          <w:ilvl w:val="0"/>
          <w:numId w:val="6"/>
        </w:numPr>
        <w:suppressLineNumbers/>
        <w:spacing w:after="0" w:line="240" w:lineRule="auto"/>
        <w:jc w:val="both"/>
        <w:rPr>
          <w:rFonts w:ascii="Verdana" w:hAnsi="Verdana"/>
          <w:sz w:val="20"/>
          <w:szCs w:val="20"/>
        </w:rPr>
      </w:pPr>
      <w:r w:rsidRPr="006F67E5">
        <w:rPr>
          <w:rFonts w:ascii="Verdana" w:hAnsi="Verdana"/>
          <w:sz w:val="20"/>
          <w:szCs w:val="20"/>
        </w:rPr>
        <w:t>En cuanto al primer componente de la reparación (</w:t>
      </w:r>
      <w:r w:rsidRPr="006F67E5">
        <w:rPr>
          <w:rFonts w:ascii="Verdana" w:hAnsi="Verdana"/>
          <w:i/>
          <w:sz w:val="20"/>
          <w:szCs w:val="20"/>
        </w:rPr>
        <w:t xml:space="preserve">supra </w:t>
      </w:r>
      <w:r w:rsidRPr="006F67E5">
        <w:rPr>
          <w:rFonts w:ascii="Verdana" w:hAnsi="Verdana"/>
          <w:sz w:val="20"/>
          <w:szCs w:val="20"/>
        </w:rPr>
        <w:t>Considerando 5.i), el Tribunal advirtió que “Chile no ha presentado información que acredite que haya sido dejada sin efecto la declaración de las ocho víctimas como autores de delitos de carácter terrorista</w:t>
      </w:r>
      <w:r>
        <w:rPr>
          <w:rFonts w:ascii="Verdana" w:hAnsi="Verdana"/>
          <w:sz w:val="20"/>
          <w:szCs w:val="20"/>
        </w:rPr>
        <w:t>”,</w:t>
      </w:r>
      <w:r w:rsidRPr="006F67E5">
        <w:rPr>
          <w:rFonts w:ascii="Verdana" w:hAnsi="Verdana"/>
          <w:sz w:val="20"/>
          <w:szCs w:val="20"/>
        </w:rPr>
        <w:t xml:space="preserve"> </w:t>
      </w:r>
      <w:r>
        <w:rPr>
          <w:rFonts w:ascii="Verdana" w:hAnsi="Verdana"/>
          <w:sz w:val="20"/>
          <w:szCs w:val="20"/>
        </w:rPr>
        <w:t>y notó</w:t>
      </w:r>
      <w:r w:rsidRPr="006F67E5">
        <w:rPr>
          <w:rFonts w:ascii="Verdana" w:hAnsi="Verdana"/>
          <w:sz w:val="20"/>
          <w:szCs w:val="20"/>
        </w:rPr>
        <w:t xml:space="preserve">, con base en las observaciones de los representantes de las víctimas, que no fueron objetadas por el Estado, que las referidas sentencias penales condenatorias aún </w:t>
      </w:r>
      <w:r w:rsidR="00AA506F" w:rsidRPr="006F67E5">
        <w:rPr>
          <w:rFonts w:ascii="Verdana" w:hAnsi="Verdana"/>
          <w:sz w:val="20"/>
          <w:szCs w:val="20"/>
        </w:rPr>
        <w:t>tendrían</w:t>
      </w:r>
      <w:r w:rsidRPr="006F67E5">
        <w:rPr>
          <w:rFonts w:ascii="Verdana" w:hAnsi="Verdana"/>
          <w:sz w:val="20"/>
          <w:szCs w:val="20"/>
        </w:rPr>
        <w:t xml:space="preserve"> “mérito de sentencia[s] firme[s] y ejecutoriada[s]”</w:t>
      </w:r>
      <w:r>
        <w:rPr>
          <w:rStyle w:val="Refdenotaalpie"/>
          <w:rFonts w:ascii="Verdana" w:hAnsi="Verdana"/>
          <w:sz w:val="20"/>
          <w:szCs w:val="20"/>
        </w:rPr>
        <w:footnoteReference w:id="22"/>
      </w:r>
      <w:r w:rsidRPr="006F67E5">
        <w:rPr>
          <w:rFonts w:ascii="Verdana" w:hAnsi="Verdana"/>
          <w:sz w:val="20"/>
          <w:szCs w:val="20"/>
        </w:rPr>
        <w:t xml:space="preserve">. </w:t>
      </w:r>
    </w:p>
    <w:p w14:paraId="51E9C54A" w14:textId="242B9457" w:rsidR="008975B0" w:rsidRPr="00090C3C" w:rsidRDefault="008975B0" w:rsidP="0011029F">
      <w:pPr>
        <w:pStyle w:val="Prrafodelista"/>
        <w:numPr>
          <w:ilvl w:val="0"/>
          <w:numId w:val="6"/>
        </w:numPr>
        <w:suppressLineNumbers/>
        <w:spacing w:after="0" w:line="240" w:lineRule="auto"/>
        <w:jc w:val="both"/>
        <w:rPr>
          <w:rFonts w:ascii="Verdana" w:hAnsi="Verdana"/>
          <w:sz w:val="20"/>
          <w:szCs w:val="20"/>
        </w:rPr>
      </w:pPr>
      <w:r w:rsidRPr="00090C3C">
        <w:rPr>
          <w:rFonts w:ascii="Verdana" w:hAnsi="Verdana"/>
          <w:sz w:val="20"/>
          <w:szCs w:val="20"/>
        </w:rPr>
        <w:t xml:space="preserve">Respecto del segundo componente de la reparación transcripto en el Considerando 5.ii, el Tribunal constató únicamente la eliminación de la pena accesoria relacionada con la inhabilitación de las víctimas para el ejercicio de los derechos políticos y, adicionalmente, la eliminación de las órdenes de detención que permanecían vigentes en el Servicio de Registro Civil e Identificación. Sin embargo, la Corte observó que el Estado no se había pronunciado respecto a “las demás penas (privativas de libertad y otras accesorias) ni a las condenas civiles impuestas a las víctimas”. Adicionalmente, concluyó que “el cumplimiento de este extremo de la reparación ordenada </w:t>
      </w:r>
      <w:proofErr w:type="spellStart"/>
      <w:r w:rsidRPr="00090C3C">
        <w:rPr>
          <w:rFonts w:ascii="Verdana" w:hAnsi="Verdana"/>
          <w:sz w:val="20"/>
          <w:szCs w:val="20"/>
        </w:rPr>
        <w:t>depend</w:t>
      </w:r>
      <w:proofErr w:type="spellEnd"/>
      <w:r w:rsidR="00197218">
        <w:rPr>
          <w:rFonts w:ascii="Verdana" w:hAnsi="Verdana"/>
          <w:sz w:val="20"/>
          <w:szCs w:val="20"/>
        </w:rPr>
        <w:t>[</w:t>
      </w:r>
      <w:proofErr w:type="spellStart"/>
      <w:r w:rsidR="008233B9">
        <w:rPr>
          <w:rFonts w:ascii="Verdana" w:hAnsi="Verdana"/>
          <w:sz w:val="20"/>
          <w:szCs w:val="20"/>
        </w:rPr>
        <w:t>ía</w:t>
      </w:r>
      <w:proofErr w:type="spellEnd"/>
      <w:r w:rsidR="00197218">
        <w:rPr>
          <w:rFonts w:ascii="Verdana" w:hAnsi="Verdana"/>
          <w:sz w:val="20"/>
          <w:szCs w:val="20"/>
        </w:rPr>
        <w:t>]</w:t>
      </w:r>
      <w:r w:rsidRPr="00090C3C">
        <w:rPr>
          <w:rFonts w:ascii="Verdana" w:hAnsi="Verdana"/>
          <w:sz w:val="20"/>
          <w:szCs w:val="20"/>
        </w:rPr>
        <w:t>, fundamentalmente, de que el Estado cumpla con dejar sin efecto las sentencias penales que declararon a las víctimas como autores de delitos de carácter terrorista</w:t>
      </w:r>
      <w:r>
        <w:rPr>
          <w:rFonts w:ascii="Verdana" w:hAnsi="Verdana"/>
          <w:sz w:val="20"/>
          <w:szCs w:val="20"/>
        </w:rPr>
        <w:t>”</w:t>
      </w:r>
      <w:r>
        <w:rPr>
          <w:rStyle w:val="Refdenotaalpie"/>
          <w:rFonts w:ascii="Verdana" w:hAnsi="Verdana"/>
          <w:sz w:val="20"/>
          <w:szCs w:val="20"/>
        </w:rPr>
        <w:footnoteReference w:id="23"/>
      </w:r>
      <w:r>
        <w:rPr>
          <w:rFonts w:ascii="Verdana" w:hAnsi="Verdana"/>
          <w:sz w:val="20"/>
          <w:szCs w:val="20"/>
        </w:rPr>
        <w:t xml:space="preserve">. </w:t>
      </w:r>
      <w:r w:rsidRPr="00090C3C">
        <w:rPr>
          <w:rFonts w:ascii="Verdana" w:hAnsi="Verdana"/>
          <w:sz w:val="20"/>
          <w:szCs w:val="20"/>
        </w:rPr>
        <w:t xml:space="preserve"> </w:t>
      </w:r>
    </w:p>
    <w:p w14:paraId="104292F6" w14:textId="77777777" w:rsidR="008975B0" w:rsidRDefault="008975B0" w:rsidP="0011029F">
      <w:pPr>
        <w:pStyle w:val="Prrafodelista"/>
        <w:numPr>
          <w:ilvl w:val="0"/>
          <w:numId w:val="6"/>
        </w:numPr>
        <w:suppressLineNumbers/>
        <w:spacing w:after="0" w:line="240" w:lineRule="auto"/>
        <w:jc w:val="both"/>
        <w:rPr>
          <w:rFonts w:ascii="Verdana" w:hAnsi="Verdana"/>
          <w:sz w:val="20"/>
          <w:szCs w:val="20"/>
        </w:rPr>
      </w:pPr>
      <w:r>
        <w:rPr>
          <w:rFonts w:ascii="Verdana" w:hAnsi="Verdana"/>
          <w:sz w:val="20"/>
          <w:szCs w:val="20"/>
        </w:rPr>
        <w:t>Asimismo, en relación con el tercer aspecto de la reparación (</w:t>
      </w:r>
      <w:r w:rsidRPr="008A53C5">
        <w:rPr>
          <w:rFonts w:ascii="Verdana" w:hAnsi="Verdana"/>
          <w:i/>
          <w:sz w:val="20"/>
          <w:szCs w:val="20"/>
        </w:rPr>
        <w:t>supra</w:t>
      </w:r>
      <w:r>
        <w:rPr>
          <w:rFonts w:ascii="Verdana" w:hAnsi="Verdana"/>
          <w:sz w:val="20"/>
          <w:szCs w:val="20"/>
        </w:rPr>
        <w:t xml:space="preserve"> Considerando 5.iii), la Corte razonó que, de la información proporcionada por las partes, no se desprendía que alguna de las víctimas “</w:t>
      </w:r>
      <w:r w:rsidRPr="000A2CA2">
        <w:rPr>
          <w:rFonts w:ascii="Verdana" w:hAnsi="Verdana"/>
          <w:sz w:val="20"/>
          <w:szCs w:val="20"/>
        </w:rPr>
        <w:t xml:space="preserve">se </w:t>
      </w:r>
      <w:proofErr w:type="spellStart"/>
      <w:r>
        <w:rPr>
          <w:rFonts w:ascii="Verdana" w:hAnsi="Verdana"/>
          <w:sz w:val="20"/>
          <w:szCs w:val="20"/>
        </w:rPr>
        <w:t>e</w:t>
      </w:r>
      <w:r w:rsidRPr="000A2CA2">
        <w:rPr>
          <w:rFonts w:ascii="Verdana" w:hAnsi="Verdana"/>
          <w:sz w:val="20"/>
          <w:szCs w:val="20"/>
        </w:rPr>
        <w:t>nc</w:t>
      </w:r>
      <w:proofErr w:type="spellEnd"/>
      <w:r>
        <w:rPr>
          <w:rFonts w:ascii="Verdana" w:hAnsi="Verdana"/>
          <w:sz w:val="20"/>
          <w:szCs w:val="20"/>
        </w:rPr>
        <w:t>[</w:t>
      </w:r>
      <w:proofErr w:type="spellStart"/>
      <w:r>
        <w:rPr>
          <w:rFonts w:ascii="Verdana" w:hAnsi="Verdana"/>
          <w:sz w:val="20"/>
          <w:szCs w:val="20"/>
        </w:rPr>
        <w:t>ontrara</w:t>
      </w:r>
      <w:proofErr w:type="spellEnd"/>
      <w:r>
        <w:rPr>
          <w:rFonts w:ascii="Verdana" w:hAnsi="Verdana"/>
          <w:sz w:val="20"/>
          <w:szCs w:val="20"/>
        </w:rPr>
        <w:t>]</w:t>
      </w:r>
      <w:r w:rsidRPr="000A2CA2">
        <w:rPr>
          <w:rFonts w:ascii="Verdana" w:hAnsi="Verdana"/>
          <w:sz w:val="20"/>
          <w:szCs w:val="20"/>
        </w:rPr>
        <w:t xml:space="preserve"> sujeta a libertad condicional por las </w:t>
      </w:r>
      <w:r>
        <w:rPr>
          <w:rFonts w:ascii="Verdana" w:hAnsi="Verdana"/>
          <w:sz w:val="20"/>
          <w:szCs w:val="20"/>
        </w:rPr>
        <w:t xml:space="preserve">[referidas] </w:t>
      </w:r>
      <w:r w:rsidRPr="000A2CA2">
        <w:rPr>
          <w:rFonts w:ascii="Verdana" w:hAnsi="Verdana"/>
          <w:sz w:val="20"/>
          <w:szCs w:val="20"/>
        </w:rPr>
        <w:t>sentencias penales internas</w:t>
      </w:r>
      <w:r>
        <w:rPr>
          <w:rFonts w:ascii="Verdana" w:hAnsi="Verdana"/>
          <w:sz w:val="20"/>
          <w:szCs w:val="20"/>
        </w:rPr>
        <w:t>”</w:t>
      </w:r>
      <w:r>
        <w:rPr>
          <w:rStyle w:val="Refdenotaalpie"/>
          <w:rFonts w:ascii="Verdana" w:hAnsi="Verdana"/>
          <w:sz w:val="20"/>
          <w:szCs w:val="20"/>
        </w:rPr>
        <w:footnoteReference w:id="24"/>
      </w:r>
      <w:r>
        <w:rPr>
          <w:rFonts w:ascii="Verdana" w:hAnsi="Verdana"/>
          <w:sz w:val="20"/>
          <w:szCs w:val="20"/>
        </w:rPr>
        <w:t>.</w:t>
      </w:r>
    </w:p>
    <w:p w14:paraId="650CA123" w14:textId="252FD49F" w:rsidR="008975B0" w:rsidRPr="007730DD" w:rsidRDefault="008975B0" w:rsidP="0011029F">
      <w:pPr>
        <w:pStyle w:val="Prrafodelista"/>
        <w:numPr>
          <w:ilvl w:val="0"/>
          <w:numId w:val="6"/>
        </w:numPr>
        <w:suppressLineNumbers/>
        <w:spacing w:after="0" w:line="240" w:lineRule="auto"/>
        <w:jc w:val="both"/>
        <w:rPr>
          <w:rFonts w:ascii="Verdana" w:hAnsi="Verdana"/>
          <w:sz w:val="20"/>
          <w:szCs w:val="20"/>
        </w:rPr>
      </w:pPr>
      <w:r w:rsidRPr="007730DD">
        <w:rPr>
          <w:rFonts w:ascii="Verdana" w:hAnsi="Verdana"/>
          <w:sz w:val="20"/>
          <w:szCs w:val="20"/>
        </w:rPr>
        <w:t>Finalmente, respecto del componente relativo a la supresión de los antecedentes judiciales, administrativos, penales o policiales que existan en contra de las ocho víctimas en relación con las sentencias condenatorias por delitos de carácter terrorista (</w:t>
      </w:r>
      <w:r w:rsidRPr="007730DD">
        <w:rPr>
          <w:rFonts w:ascii="Verdana" w:hAnsi="Verdana"/>
          <w:i/>
          <w:sz w:val="20"/>
          <w:szCs w:val="20"/>
        </w:rPr>
        <w:t>supra</w:t>
      </w:r>
      <w:r w:rsidRPr="007730DD">
        <w:rPr>
          <w:rFonts w:ascii="Verdana" w:hAnsi="Verdana"/>
          <w:sz w:val="20"/>
          <w:szCs w:val="20"/>
        </w:rPr>
        <w:t xml:space="preserve"> Considerando 5.iv.), la Corte valoró positivamente la eliminación de los antecedentes de las víctimas que constaban en un conjunto de registros públicos</w:t>
      </w:r>
      <w:r>
        <w:rPr>
          <w:rStyle w:val="Refdenotaalpie"/>
          <w:rFonts w:ascii="Verdana" w:hAnsi="Verdana"/>
          <w:sz w:val="20"/>
          <w:szCs w:val="20"/>
        </w:rPr>
        <w:footnoteReference w:id="25"/>
      </w:r>
      <w:r w:rsidRPr="007730DD">
        <w:rPr>
          <w:rFonts w:ascii="Verdana" w:hAnsi="Verdana"/>
          <w:sz w:val="20"/>
          <w:szCs w:val="20"/>
        </w:rPr>
        <w:t>. No obstante, a la luz de las objeciones de los representantes de las víctimas</w:t>
      </w:r>
      <w:r>
        <w:rPr>
          <w:rFonts w:ascii="Verdana" w:hAnsi="Verdana"/>
          <w:sz w:val="20"/>
          <w:szCs w:val="20"/>
        </w:rPr>
        <w:t>,</w:t>
      </w:r>
      <w:r w:rsidRPr="007730DD">
        <w:rPr>
          <w:rFonts w:ascii="Verdana" w:hAnsi="Verdana"/>
          <w:sz w:val="20"/>
          <w:szCs w:val="20"/>
        </w:rPr>
        <w:t xml:space="preserve"> qu</w:t>
      </w:r>
      <w:r>
        <w:rPr>
          <w:rFonts w:ascii="Verdana" w:hAnsi="Verdana"/>
          <w:sz w:val="20"/>
          <w:szCs w:val="20"/>
        </w:rPr>
        <w:t>ienes</w:t>
      </w:r>
      <w:r w:rsidRPr="007730DD">
        <w:rPr>
          <w:rFonts w:ascii="Verdana" w:hAnsi="Verdana"/>
          <w:sz w:val="20"/>
          <w:szCs w:val="20"/>
        </w:rPr>
        <w:t xml:space="preserve"> manifestaron “la existencia de otros registros públicos respecto de los cuales Chile no ha</w:t>
      </w:r>
      <w:r w:rsidR="00197218">
        <w:rPr>
          <w:rFonts w:ascii="Verdana" w:hAnsi="Verdana"/>
          <w:sz w:val="20"/>
          <w:szCs w:val="20"/>
        </w:rPr>
        <w:t>[</w:t>
      </w:r>
      <w:proofErr w:type="spellStart"/>
      <w:r w:rsidR="00197218">
        <w:rPr>
          <w:rFonts w:ascii="Verdana" w:hAnsi="Verdana"/>
          <w:sz w:val="20"/>
          <w:szCs w:val="20"/>
        </w:rPr>
        <w:t>bía</w:t>
      </w:r>
      <w:proofErr w:type="spellEnd"/>
      <w:r w:rsidR="00197218">
        <w:rPr>
          <w:rFonts w:ascii="Verdana" w:hAnsi="Verdana"/>
          <w:sz w:val="20"/>
          <w:szCs w:val="20"/>
        </w:rPr>
        <w:t>]</w:t>
      </w:r>
      <w:r w:rsidRPr="007730DD">
        <w:rPr>
          <w:rFonts w:ascii="Verdana" w:hAnsi="Verdana"/>
          <w:sz w:val="20"/>
          <w:szCs w:val="20"/>
        </w:rPr>
        <w:t xml:space="preserve"> aportado constancia de la eliminación de sus antecedentes” y que el procedimiento respecto de “los registros de Carabineros </w:t>
      </w:r>
      <w:r w:rsidRPr="007730DD">
        <w:rPr>
          <w:rFonts w:ascii="Verdana" w:hAnsi="Verdana"/>
          <w:sz w:val="20"/>
          <w:szCs w:val="20"/>
        </w:rPr>
        <w:lastRenderedPageBreak/>
        <w:t>de Chile no se habría realizado de forma completa</w:t>
      </w:r>
      <w:r>
        <w:rPr>
          <w:rFonts w:ascii="Verdana" w:hAnsi="Verdana"/>
          <w:sz w:val="20"/>
          <w:szCs w:val="20"/>
        </w:rPr>
        <w:t>”</w:t>
      </w:r>
      <w:r>
        <w:rPr>
          <w:rStyle w:val="Refdenotaalpie"/>
          <w:rFonts w:ascii="Verdana" w:hAnsi="Verdana"/>
          <w:sz w:val="20"/>
          <w:szCs w:val="20"/>
        </w:rPr>
        <w:footnoteReference w:id="26"/>
      </w:r>
      <w:r w:rsidRPr="007730DD">
        <w:rPr>
          <w:rFonts w:ascii="Verdana" w:hAnsi="Verdana"/>
          <w:sz w:val="20"/>
          <w:szCs w:val="20"/>
        </w:rPr>
        <w:t xml:space="preserve">, la Corte requirió al Estado que </w:t>
      </w:r>
      <w:r>
        <w:rPr>
          <w:rFonts w:ascii="Verdana" w:hAnsi="Verdana"/>
          <w:sz w:val="20"/>
          <w:szCs w:val="20"/>
        </w:rPr>
        <w:t>“</w:t>
      </w:r>
      <w:r w:rsidRPr="0022109A">
        <w:rPr>
          <w:rFonts w:ascii="Verdana" w:hAnsi="Verdana"/>
          <w:sz w:val="20"/>
          <w:szCs w:val="20"/>
        </w:rPr>
        <w:t>se refiera a las referidas objeciones de los representante</w:t>
      </w:r>
      <w:r>
        <w:rPr>
          <w:rFonts w:ascii="Verdana" w:hAnsi="Verdana"/>
          <w:sz w:val="20"/>
          <w:szCs w:val="20"/>
        </w:rPr>
        <w:t xml:space="preserve">s”, que </w:t>
      </w:r>
      <w:r w:rsidRPr="007730DD">
        <w:rPr>
          <w:rFonts w:ascii="Verdana" w:hAnsi="Verdana"/>
          <w:sz w:val="20"/>
          <w:szCs w:val="20"/>
        </w:rPr>
        <w:t>informara “las acciones que está implementando para asegurar que los antecedentes de las ocho víctimas […] no consten en registro alguno”</w:t>
      </w:r>
      <w:r>
        <w:rPr>
          <w:rFonts w:ascii="Verdana" w:hAnsi="Verdana"/>
          <w:sz w:val="20"/>
          <w:szCs w:val="20"/>
        </w:rPr>
        <w:t>,</w:t>
      </w:r>
      <w:r w:rsidRPr="007730DD">
        <w:rPr>
          <w:rFonts w:ascii="Verdana" w:hAnsi="Verdana"/>
          <w:sz w:val="20"/>
          <w:szCs w:val="20"/>
        </w:rPr>
        <w:t xml:space="preserve"> y que “se refiera a la solicitud planteada reiteradamente por los representantes de las víctimas, así como por la Comisión Interamericana, respecto a proporcionar a cada una de las víctimas </w:t>
      </w:r>
      <w:r>
        <w:rPr>
          <w:rFonts w:ascii="Verdana" w:hAnsi="Verdana"/>
          <w:sz w:val="20"/>
          <w:szCs w:val="20"/>
        </w:rPr>
        <w:t>‘</w:t>
      </w:r>
      <w:r w:rsidRPr="007730DD">
        <w:rPr>
          <w:rFonts w:ascii="Verdana" w:hAnsi="Verdana"/>
          <w:sz w:val="20"/>
          <w:szCs w:val="20"/>
        </w:rPr>
        <w:t>una certificación específica y personalizada donde se haga constar que no existen anotaciones de sus antecedentes en cualquier tipo de registro en relación con las sentencias penales condenatorias que fueron objeto del presente caso</w:t>
      </w:r>
      <w:r>
        <w:rPr>
          <w:rFonts w:ascii="Verdana" w:hAnsi="Verdana"/>
          <w:sz w:val="20"/>
          <w:szCs w:val="20"/>
        </w:rPr>
        <w:t>’</w:t>
      </w:r>
      <w:r w:rsidRPr="007730DD">
        <w:rPr>
          <w:rFonts w:ascii="Verdana" w:hAnsi="Verdana"/>
          <w:sz w:val="20"/>
          <w:szCs w:val="20"/>
        </w:rPr>
        <w:t>”</w:t>
      </w:r>
      <w:r>
        <w:rPr>
          <w:rStyle w:val="Refdenotaalpie"/>
          <w:rFonts w:ascii="Verdana" w:hAnsi="Verdana"/>
          <w:sz w:val="20"/>
          <w:szCs w:val="20"/>
        </w:rPr>
        <w:footnoteReference w:id="27"/>
      </w:r>
      <w:r w:rsidRPr="007730DD">
        <w:rPr>
          <w:rFonts w:ascii="Verdana" w:hAnsi="Verdana"/>
          <w:sz w:val="20"/>
          <w:szCs w:val="20"/>
        </w:rPr>
        <w:t xml:space="preserve">. </w:t>
      </w:r>
    </w:p>
    <w:p w14:paraId="308E9747" w14:textId="77777777" w:rsidR="008975B0" w:rsidRDefault="008975B0" w:rsidP="0011029F">
      <w:pPr>
        <w:suppressLineNumbers/>
        <w:spacing w:after="0" w:line="240" w:lineRule="auto"/>
        <w:jc w:val="both"/>
        <w:rPr>
          <w:rFonts w:ascii="Verdana" w:hAnsi="Verdana"/>
          <w:sz w:val="20"/>
          <w:szCs w:val="20"/>
        </w:rPr>
      </w:pPr>
    </w:p>
    <w:p w14:paraId="694E5748" w14:textId="77777777" w:rsidR="008975B0" w:rsidRDefault="008975B0" w:rsidP="0011029F">
      <w:pPr>
        <w:suppressLineNumbers/>
        <w:spacing w:after="0" w:line="240" w:lineRule="auto"/>
        <w:ind w:firstLine="360"/>
        <w:jc w:val="both"/>
        <w:rPr>
          <w:rFonts w:ascii="Verdana" w:hAnsi="Verdana"/>
          <w:i/>
          <w:sz w:val="20"/>
          <w:szCs w:val="20"/>
        </w:rPr>
      </w:pPr>
      <w:r w:rsidRPr="00205D94">
        <w:rPr>
          <w:rFonts w:ascii="Verdana" w:hAnsi="Verdana"/>
          <w:i/>
          <w:sz w:val="20"/>
          <w:szCs w:val="20"/>
        </w:rPr>
        <w:t xml:space="preserve">A.2. Consideraciones de la Corte </w:t>
      </w:r>
    </w:p>
    <w:p w14:paraId="7D7752D9" w14:textId="77777777" w:rsidR="008975B0" w:rsidRDefault="008975B0" w:rsidP="0011029F">
      <w:pPr>
        <w:suppressLineNumbers/>
        <w:spacing w:after="0" w:line="240" w:lineRule="auto"/>
        <w:jc w:val="both"/>
        <w:rPr>
          <w:rFonts w:ascii="Verdana" w:hAnsi="Verdana"/>
          <w:i/>
          <w:sz w:val="20"/>
          <w:szCs w:val="20"/>
        </w:rPr>
      </w:pPr>
    </w:p>
    <w:p w14:paraId="65B24C09" w14:textId="77777777" w:rsidR="008975B0" w:rsidRPr="00A0723E" w:rsidRDefault="008975B0" w:rsidP="0011029F">
      <w:pPr>
        <w:pStyle w:val="Prrafodelista"/>
        <w:numPr>
          <w:ilvl w:val="0"/>
          <w:numId w:val="5"/>
        </w:numPr>
        <w:suppressLineNumbers/>
        <w:spacing w:after="0" w:line="240" w:lineRule="auto"/>
        <w:ind w:left="0" w:firstLine="0"/>
        <w:jc w:val="both"/>
        <w:rPr>
          <w:rFonts w:ascii="Verdana" w:hAnsi="Verdana"/>
          <w:sz w:val="20"/>
          <w:szCs w:val="20"/>
        </w:rPr>
      </w:pPr>
      <w:r w:rsidRPr="00D76726">
        <w:rPr>
          <w:rFonts w:ascii="Verdana" w:hAnsi="Verdana"/>
          <w:sz w:val="20"/>
          <w:szCs w:val="20"/>
        </w:rPr>
        <w:t>En primer lugar</w:t>
      </w:r>
      <w:r w:rsidRPr="003750AF">
        <w:rPr>
          <w:rFonts w:ascii="Verdana" w:hAnsi="Verdana"/>
          <w:sz w:val="20"/>
          <w:szCs w:val="20"/>
        </w:rPr>
        <w:t>, en lo que respecta a los componentes de la reparación relativos a “dejar sin efecto la declaración de las ocho víctimas de este caso como autores de delitos de carácter terrorista [y…] las penas privativas de libertad y penas accesorias, consecuencias y registros, a la mayor brevedad posible, así como las condenas civiles que se hayan impuesto a las víctimas” (</w:t>
      </w:r>
      <w:r w:rsidRPr="003750AF">
        <w:rPr>
          <w:rFonts w:ascii="Verdana" w:hAnsi="Verdana"/>
          <w:i/>
          <w:sz w:val="20"/>
          <w:szCs w:val="20"/>
        </w:rPr>
        <w:t>supra</w:t>
      </w:r>
      <w:r w:rsidRPr="003750AF">
        <w:rPr>
          <w:rFonts w:ascii="Verdana" w:hAnsi="Verdana"/>
          <w:sz w:val="20"/>
          <w:szCs w:val="20"/>
        </w:rPr>
        <w:t xml:space="preserve"> Considerandos 5.i y 5.ii), la</w:t>
      </w:r>
      <w:r w:rsidRPr="00D76726">
        <w:rPr>
          <w:rFonts w:ascii="Verdana" w:hAnsi="Verdana"/>
          <w:sz w:val="20"/>
          <w:szCs w:val="20"/>
        </w:rPr>
        <w:t xml:space="preserve"> Corte constata que el 16 de mayo de 2019 el Pleno de la Corte Suprema </w:t>
      </w:r>
      <w:r>
        <w:rPr>
          <w:rFonts w:ascii="Verdana" w:hAnsi="Verdana"/>
          <w:sz w:val="20"/>
          <w:szCs w:val="20"/>
        </w:rPr>
        <w:t xml:space="preserve">de Justicia </w:t>
      </w:r>
      <w:r w:rsidRPr="00D76726">
        <w:rPr>
          <w:rFonts w:ascii="Verdana" w:hAnsi="Verdana"/>
          <w:sz w:val="20"/>
          <w:szCs w:val="20"/>
        </w:rPr>
        <w:t xml:space="preserve">de </w:t>
      </w:r>
      <w:r w:rsidRPr="003750AF">
        <w:rPr>
          <w:rFonts w:ascii="Verdana" w:hAnsi="Verdana"/>
          <w:sz w:val="20"/>
          <w:szCs w:val="20"/>
        </w:rPr>
        <w:t>Chile</w:t>
      </w:r>
      <w:r>
        <w:rPr>
          <w:rStyle w:val="Refdenotaalpie"/>
          <w:rFonts w:ascii="Verdana" w:hAnsi="Verdana"/>
          <w:sz w:val="20"/>
          <w:szCs w:val="20"/>
        </w:rPr>
        <w:footnoteReference w:id="28"/>
      </w:r>
      <w:r>
        <w:rPr>
          <w:rFonts w:ascii="Verdana" w:hAnsi="Verdana"/>
          <w:sz w:val="20"/>
          <w:szCs w:val="20"/>
        </w:rPr>
        <w:t>,</w:t>
      </w:r>
      <w:r w:rsidRPr="003750AF">
        <w:rPr>
          <w:rFonts w:ascii="Verdana" w:hAnsi="Verdana"/>
          <w:sz w:val="20"/>
          <w:szCs w:val="20"/>
        </w:rPr>
        <w:t xml:space="preserve"> “</w:t>
      </w:r>
      <w:r>
        <w:rPr>
          <w:rFonts w:ascii="Verdana" w:hAnsi="Verdana"/>
          <w:sz w:val="20"/>
          <w:szCs w:val="20"/>
        </w:rPr>
        <w:t xml:space="preserve">dictó </w:t>
      </w:r>
      <w:r w:rsidRPr="003750AF">
        <w:rPr>
          <w:rFonts w:ascii="Verdana" w:hAnsi="Verdana"/>
          <w:sz w:val="20"/>
          <w:szCs w:val="20"/>
        </w:rPr>
        <w:t>[un</w:t>
      </w:r>
      <w:r>
        <w:rPr>
          <w:rFonts w:ascii="Verdana" w:hAnsi="Verdana"/>
          <w:sz w:val="20"/>
          <w:szCs w:val="20"/>
        </w:rPr>
        <w:t>a</w:t>
      </w:r>
      <w:r w:rsidRPr="003750AF">
        <w:rPr>
          <w:rFonts w:ascii="Verdana" w:hAnsi="Verdana"/>
          <w:sz w:val="20"/>
          <w:szCs w:val="20"/>
        </w:rPr>
        <w:t xml:space="preserve">] </w:t>
      </w:r>
      <w:r>
        <w:rPr>
          <w:rFonts w:ascii="Verdana" w:hAnsi="Verdana"/>
          <w:sz w:val="20"/>
          <w:szCs w:val="20"/>
        </w:rPr>
        <w:t>sentencia</w:t>
      </w:r>
      <w:r w:rsidRPr="003750AF">
        <w:rPr>
          <w:rFonts w:ascii="Verdana" w:hAnsi="Verdana"/>
          <w:sz w:val="20"/>
          <w:szCs w:val="20"/>
        </w:rPr>
        <w:t>”</w:t>
      </w:r>
      <w:r w:rsidRPr="003750AF">
        <w:rPr>
          <w:rStyle w:val="Refdenotaalpie"/>
          <w:rFonts w:ascii="Verdana" w:hAnsi="Verdana"/>
          <w:sz w:val="20"/>
          <w:szCs w:val="20"/>
        </w:rPr>
        <w:footnoteReference w:id="29"/>
      </w:r>
      <w:r>
        <w:rPr>
          <w:rFonts w:ascii="Verdana" w:hAnsi="Verdana"/>
          <w:sz w:val="20"/>
          <w:szCs w:val="20"/>
        </w:rPr>
        <w:t xml:space="preserve"> en aras de dar cumplimiento a esta medida. En la misma </w:t>
      </w:r>
      <w:r w:rsidRPr="00D76726">
        <w:rPr>
          <w:rFonts w:ascii="Verdana" w:hAnsi="Verdana"/>
          <w:sz w:val="20"/>
          <w:szCs w:val="20"/>
        </w:rPr>
        <w:t xml:space="preserve">resolvió que </w:t>
      </w:r>
      <w:r w:rsidRPr="004679E8">
        <w:rPr>
          <w:rFonts w:ascii="Verdana" w:hAnsi="Verdana"/>
          <w:sz w:val="20"/>
          <w:szCs w:val="20"/>
        </w:rPr>
        <w:t>“las referidas decisiones condenatorias habían perdido sus efectos</w:t>
      </w:r>
      <w:r w:rsidRPr="00D76726">
        <w:rPr>
          <w:rFonts w:ascii="Verdana" w:hAnsi="Verdana"/>
          <w:sz w:val="20"/>
          <w:szCs w:val="20"/>
        </w:rPr>
        <w:t>, estimando que su subsistencia supone la permanencia de actuaciones que han sido declaradas por el tribunal internacional competente como conductas lesivas de las garantías fundamentales”</w:t>
      </w:r>
      <w:r>
        <w:rPr>
          <w:rStyle w:val="Refdenotaalpie"/>
          <w:rFonts w:ascii="Verdana" w:hAnsi="Verdana"/>
          <w:sz w:val="20"/>
          <w:szCs w:val="20"/>
        </w:rPr>
        <w:footnoteReference w:id="30"/>
      </w:r>
      <w:r w:rsidRPr="00D76726">
        <w:rPr>
          <w:rFonts w:ascii="Verdana" w:hAnsi="Verdana"/>
          <w:sz w:val="20"/>
          <w:szCs w:val="20"/>
        </w:rPr>
        <w:t>.</w:t>
      </w:r>
      <w:r>
        <w:rPr>
          <w:rFonts w:ascii="Verdana" w:hAnsi="Verdana"/>
          <w:sz w:val="20"/>
          <w:szCs w:val="20"/>
        </w:rPr>
        <w:t xml:space="preserve"> </w:t>
      </w:r>
    </w:p>
    <w:p w14:paraId="041BE331" w14:textId="77777777" w:rsidR="008975B0" w:rsidRPr="003A1614" w:rsidRDefault="008975B0" w:rsidP="0011029F">
      <w:pPr>
        <w:pStyle w:val="Prrafodelista"/>
        <w:suppressLineNumbers/>
        <w:spacing w:after="0" w:line="240" w:lineRule="auto"/>
        <w:ind w:left="0"/>
        <w:jc w:val="both"/>
        <w:rPr>
          <w:rFonts w:ascii="Verdana" w:hAnsi="Verdana"/>
          <w:sz w:val="20"/>
          <w:szCs w:val="20"/>
        </w:rPr>
      </w:pPr>
      <w:r>
        <w:rPr>
          <w:rFonts w:ascii="Verdana" w:hAnsi="Verdana"/>
          <w:b/>
          <w:sz w:val="20"/>
          <w:szCs w:val="20"/>
        </w:rPr>
        <w:t xml:space="preserve"> </w:t>
      </w:r>
    </w:p>
    <w:p w14:paraId="3CE7942F" w14:textId="49AABB3D" w:rsidR="008975B0" w:rsidRPr="00A0723E" w:rsidRDefault="008975B0" w:rsidP="0011029F">
      <w:pPr>
        <w:pStyle w:val="Prrafodelista"/>
        <w:numPr>
          <w:ilvl w:val="0"/>
          <w:numId w:val="5"/>
        </w:numPr>
        <w:suppressLineNumbers/>
        <w:spacing w:after="0" w:line="240" w:lineRule="auto"/>
        <w:ind w:left="0" w:firstLine="0"/>
        <w:jc w:val="both"/>
        <w:rPr>
          <w:rFonts w:ascii="Verdana" w:hAnsi="Verdana"/>
          <w:sz w:val="20"/>
          <w:szCs w:val="20"/>
        </w:rPr>
      </w:pPr>
      <w:r w:rsidRPr="00A0723E">
        <w:rPr>
          <w:rFonts w:ascii="Verdana" w:hAnsi="Verdana"/>
          <w:sz w:val="20"/>
          <w:szCs w:val="20"/>
        </w:rPr>
        <w:t>En particular, en dicha decisión, la Corte Suprema determinó que</w:t>
      </w:r>
      <w:r w:rsidR="0085430C">
        <w:rPr>
          <w:rFonts w:ascii="Verdana" w:hAnsi="Verdana"/>
          <w:sz w:val="20"/>
          <w:szCs w:val="20"/>
        </w:rPr>
        <w:t>:</w:t>
      </w:r>
    </w:p>
    <w:p w14:paraId="1B2CB08F" w14:textId="77777777" w:rsidR="008975B0" w:rsidRPr="00595302" w:rsidRDefault="008975B0" w:rsidP="0011029F">
      <w:pPr>
        <w:pStyle w:val="Prrafodelista"/>
        <w:suppressLineNumbers/>
        <w:autoSpaceDE w:val="0"/>
        <w:autoSpaceDN w:val="0"/>
        <w:adjustRightInd w:val="0"/>
        <w:spacing w:after="0" w:line="240" w:lineRule="auto"/>
        <w:jc w:val="both"/>
        <w:rPr>
          <w:rFonts w:ascii="Arial" w:hAnsi="Arial" w:cs="Arial"/>
          <w:i/>
          <w:iCs/>
          <w:sz w:val="19"/>
          <w:szCs w:val="19"/>
        </w:rPr>
      </w:pPr>
    </w:p>
    <w:p w14:paraId="1C7E1D7E" w14:textId="01DECDA9" w:rsidR="008975B0" w:rsidRDefault="0085430C" w:rsidP="0011029F">
      <w:pPr>
        <w:pStyle w:val="Prrafodelista"/>
        <w:suppressLineNumbers/>
        <w:autoSpaceDE w:val="0"/>
        <w:autoSpaceDN w:val="0"/>
        <w:adjustRightInd w:val="0"/>
        <w:spacing w:after="0" w:line="240" w:lineRule="auto"/>
        <w:ind w:right="616"/>
        <w:jc w:val="both"/>
        <w:rPr>
          <w:rFonts w:ascii="Verdana" w:hAnsi="Verdana" w:cs="Arial"/>
          <w:iCs/>
          <w:sz w:val="18"/>
          <w:szCs w:val="18"/>
        </w:rPr>
      </w:pPr>
      <w:r>
        <w:rPr>
          <w:rFonts w:ascii="Verdana" w:hAnsi="Verdana" w:cs="Arial"/>
          <w:b/>
          <w:iCs/>
          <w:sz w:val="18"/>
          <w:szCs w:val="18"/>
        </w:rPr>
        <w:t xml:space="preserve">[…] </w:t>
      </w:r>
      <w:r w:rsidR="008975B0" w:rsidRPr="006F67E5">
        <w:rPr>
          <w:rFonts w:ascii="Verdana" w:hAnsi="Verdana" w:cs="Arial"/>
          <w:b/>
          <w:iCs/>
          <w:sz w:val="18"/>
          <w:szCs w:val="18"/>
        </w:rPr>
        <w:t xml:space="preserve">la ausencia de mecanismo interno que prevea específicamente la fórmula procesal indispensable pare ejecutar </w:t>
      </w:r>
      <w:r w:rsidR="008975B0" w:rsidRPr="006F67E5">
        <w:rPr>
          <w:rFonts w:ascii="Verdana" w:hAnsi="Verdana" w:cs="Times New Roman"/>
          <w:b/>
          <w:sz w:val="18"/>
          <w:szCs w:val="18"/>
        </w:rPr>
        <w:t xml:space="preserve">lo </w:t>
      </w:r>
      <w:r w:rsidR="008975B0" w:rsidRPr="006F67E5">
        <w:rPr>
          <w:rFonts w:ascii="Verdana" w:hAnsi="Verdana" w:cs="Arial"/>
          <w:b/>
          <w:iCs/>
          <w:sz w:val="18"/>
          <w:szCs w:val="18"/>
        </w:rPr>
        <w:t xml:space="preserve">resuelto [por la Corte Interamericana] </w:t>
      </w:r>
      <w:r w:rsidR="008975B0" w:rsidRPr="006F67E5">
        <w:rPr>
          <w:rFonts w:ascii="Verdana" w:hAnsi="Verdana" w:cs="Times New Roman"/>
          <w:b/>
          <w:sz w:val="18"/>
          <w:szCs w:val="18"/>
        </w:rPr>
        <w:t xml:space="preserve">no </w:t>
      </w:r>
      <w:r w:rsidR="008975B0" w:rsidRPr="006F67E5">
        <w:rPr>
          <w:rFonts w:ascii="Verdana" w:hAnsi="Verdana" w:cs="Arial"/>
          <w:b/>
          <w:iCs/>
          <w:sz w:val="18"/>
          <w:szCs w:val="18"/>
        </w:rPr>
        <w:t>inhibe ni excusa a este tribunal de resolver lo pertinente</w:t>
      </w:r>
      <w:r w:rsidR="008975B0" w:rsidRPr="00595302">
        <w:rPr>
          <w:rFonts w:ascii="Verdana" w:hAnsi="Verdana" w:cs="Arial"/>
          <w:iCs/>
          <w:sz w:val="18"/>
          <w:szCs w:val="18"/>
        </w:rPr>
        <w:t xml:space="preserve">, ya que la mantención del status de incumplimiento que ha sido constatado por </w:t>
      </w:r>
      <w:r w:rsidR="008975B0" w:rsidRPr="00595302">
        <w:rPr>
          <w:rFonts w:ascii="Verdana" w:hAnsi="Verdana" w:cs="Times New Roman"/>
          <w:sz w:val="18"/>
          <w:szCs w:val="18"/>
        </w:rPr>
        <w:t xml:space="preserve">la </w:t>
      </w:r>
      <w:r w:rsidR="008975B0" w:rsidRPr="00595302">
        <w:rPr>
          <w:rFonts w:ascii="Verdana" w:hAnsi="Verdana" w:cs="Arial"/>
          <w:iCs/>
          <w:sz w:val="18"/>
          <w:szCs w:val="18"/>
        </w:rPr>
        <w:t xml:space="preserve">resolución que </w:t>
      </w:r>
      <w:r w:rsidR="008975B0" w:rsidRPr="00595302">
        <w:rPr>
          <w:rFonts w:ascii="Verdana" w:hAnsi="Verdana" w:cs="Times New Roman"/>
          <w:sz w:val="18"/>
          <w:szCs w:val="18"/>
        </w:rPr>
        <w:t xml:space="preserve">se </w:t>
      </w:r>
      <w:r w:rsidR="008975B0" w:rsidRPr="00595302">
        <w:rPr>
          <w:rFonts w:ascii="Verdana" w:hAnsi="Verdana" w:cs="Arial"/>
          <w:iCs/>
          <w:sz w:val="18"/>
          <w:szCs w:val="18"/>
        </w:rPr>
        <w:t xml:space="preserve">ha dictado </w:t>
      </w:r>
      <w:r w:rsidR="008975B0" w:rsidRPr="00595302">
        <w:rPr>
          <w:rFonts w:ascii="Verdana" w:hAnsi="Verdana" w:cs="Times New Roman"/>
          <w:sz w:val="18"/>
          <w:szCs w:val="18"/>
        </w:rPr>
        <w:t xml:space="preserve">en </w:t>
      </w:r>
      <w:r w:rsidR="008975B0" w:rsidRPr="00595302">
        <w:rPr>
          <w:rFonts w:ascii="Verdana" w:hAnsi="Verdana" w:cs="Arial"/>
          <w:iCs/>
          <w:sz w:val="18"/>
          <w:szCs w:val="18"/>
        </w:rPr>
        <w:t>la fase de supervisión</w:t>
      </w:r>
      <w:r w:rsidR="008975B0">
        <w:rPr>
          <w:rFonts w:ascii="Verdana" w:hAnsi="Verdana" w:cs="Arial"/>
          <w:iCs/>
          <w:sz w:val="18"/>
          <w:szCs w:val="18"/>
        </w:rPr>
        <w:t xml:space="preserve"> [de cumplimiento de Sentencia]</w:t>
      </w:r>
      <w:r w:rsidR="008975B0" w:rsidRPr="00595302">
        <w:rPr>
          <w:rFonts w:ascii="Verdana" w:hAnsi="Verdana" w:cs="Arial"/>
          <w:iCs/>
          <w:sz w:val="18"/>
          <w:szCs w:val="18"/>
        </w:rPr>
        <w:t xml:space="preserve"> </w:t>
      </w:r>
      <w:r w:rsidR="008975B0">
        <w:rPr>
          <w:rFonts w:ascii="Verdana" w:hAnsi="Verdana" w:cs="Arial"/>
          <w:iCs/>
          <w:sz w:val="18"/>
          <w:szCs w:val="18"/>
        </w:rPr>
        <w:t>podrí</w:t>
      </w:r>
      <w:r w:rsidR="008975B0" w:rsidRPr="00595302">
        <w:rPr>
          <w:rFonts w:ascii="Verdana" w:hAnsi="Verdana" w:cs="Arial"/>
          <w:iCs/>
          <w:sz w:val="18"/>
          <w:szCs w:val="18"/>
        </w:rPr>
        <w:t xml:space="preserve">a generar nuevas responsabilidades para el Estado de Chile, al tratarse de </w:t>
      </w:r>
      <w:r w:rsidR="008975B0">
        <w:rPr>
          <w:rFonts w:ascii="Verdana" w:hAnsi="Verdana" w:cs="Arial"/>
          <w:iCs/>
          <w:sz w:val="18"/>
          <w:szCs w:val="18"/>
        </w:rPr>
        <w:t>conductas lesivas de garantías</w:t>
      </w:r>
      <w:r w:rsidR="008975B0" w:rsidRPr="00595302">
        <w:rPr>
          <w:rFonts w:ascii="Verdana" w:hAnsi="Verdana" w:cs="Arial"/>
          <w:iCs/>
          <w:sz w:val="18"/>
          <w:szCs w:val="18"/>
        </w:rPr>
        <w:t xml:space="preserve"> fundamentales y que han sido verificadas por el tribunal </w:t>
      </w:r>
      <w:r w:rsidR="008975B0">
        <w:rPr>
          <w:rFonts w:ascii="Verdana" w:hAnsi="Verdana" w:cs="Arial"/>
          <w:iCs/>
          <w:sz w:val="18"/>
          <w:szCs w:val="18"/>
        </w:rPr>
        <w:t>internacional</w:t>
      </w:r>
      <w:r w:rsidR="008975B0" w:rsidRPr="00595302">
        <w:rPr>
          <w:rFonts w:ascii="Verdana" w:hAnsi="Verdana" w:cs="Arial"/>
          <w:iCs/>
          <w:sz w:val="18"/>
          <w:szCs w:val="18"/>
        </w:rPr>
        <w:t xml:space="preserve"> competente</w:t>
      </w:r>
      <w:r w:rsidR="008975B0">
        <w:rPr>
          <w:rFonts w:ascii="Verdana" w:hAnsi="Verdana" w:cs="Arial"/>
          <w:iCs/>
          <w:sz w:val="18"/>
          <w:szCs w:val="18"/>
        </w:rPr>
        <w:t xml:space="preserve"> […]</w:t>
      </w:r>
      <w:r w:rsidR="00086C20">
        <w:rPr>
          <w:rFonts w:ascii="Verdana" w:hAnsi="Verdana" w:cs="Arial"/>
          <w:iCs/>
          <w:sz w:val="18"/>
          <w:szCs w:val="18"/>
        </w:rPr>
        <w:t>.</w:t>
      </w:r>
    </w:p>
    <w:p w14:paraId="2D3E1F73" w14:textId="77777777" w:rsidR="008975B0" w:rsidRDefault="008975B0" w:rsidP="0011029F">
      <w:pPr>
        <w:pStyle w:val="Prrafodelista"/>
        <w:suppressLineNumbers/>
        <w:autoSpaceDE w:val="0"/>
        <w:autoSpaceDN w:val="0"/>
        <w:adjustRightInd w:val="0"/>
        <w:spacing w:after="0" w:line="240" w:lineRule="auto"/>
        <w:ind w:right="616"/>
        <w:jc w:val="both"/>
        <w:rPr>
          <w:rFonts w:ascii="Verdana" w:hAnsi="Verdana" w:cs="Arial"/>
          <w:iCs/>
          <w:sz w:val="18"/>
          <w:szCs w:val="18"/>
        </w:rPr>
      </w:pPr>
    </w:p>
    <w:p w14:paraId="43494CDA" w14:textId="77777777" w:rsidR="008975B0" w:rsidRDefault="008975B0" w:rsidP="0011029F">
      <w:pPr>
        <w:pStyle w:val="Prrafodelista"/>
        <w:suppressLineNumbers/>
        <w:autoSpaceDE w:val="0"/>
        <w:autoSpaceDN w:val="0"/>
        <w:adjustRightInd w:val="0"/>
        <w:spacing w:after="0" w:line="240" w:lineRule="auto"/>
        <w:ind w:right="616"/>
        <w:jc w:val="both"/>
        <w:rPr>
          <w:rFonts w:ascii="Verdana" w:hAnsi="Verdana" w:cs="Arial"/>
          <w:iCs/>
          <w:sz w:val="18"/>
          <w:szCs w:val="18"/>
        </w:rPr>
      </w:pPr>
      <w:r>
        <w:rPr>
          <w:rFonts w:ascii="Verdana" w:hAnsi="Verdana" w:cs="Arial"/>
          <w:iCs/>
          <w:sz w:val="18"/>
          <w:szCs w:val="18"/>
        </w:rPr>
        <w:t xml:space="preserve">[…Por otra parte,] </w:t>
      </w:r>
      <w:r w:rsidRPr="0074452F">
        <w:rPr>
          <w:rFonts w:ascii="Verdana" w:hAnsi="Verdana" w:cs="Arial"/>
          <w:iCs/>
          <w:sz w:val="18"/>
          <w:szCs w:val="18"/>
        </w:rPr>
        <w:t>las infracciones a derechos fundamentales</w:t>
      </w:r>
      <w:r>
        <w:rPr>
          <w:rFonts w:ascii="Verdana" w:hAnsi="Verdana" w:cs="Arial"/>
          <w:iCs/>
          <w:sz w:val="18"/>
          <w:szCs w:val="18"/>
        </w:rPr>
        <w:t xml:space="preserve"> </w:t>
      </w:r>
      <w:r w:rsidRPr="0074452F">
        <w:rPr>
          <w:rFonts w:ascii="Verdana" w:hAnsi="Verdana" w:cs="Arial"/>
          <w:iCs/>
          <w:sz w:val="18"/>
          <w:szCs w:val="18"/>
        </w:rPr>
        <w:t>constatadas por la Corte Interamericana (presunción de inocencia, libertad de</w:t>
      </w:r>
      <w:r>
        <w:rPr>
          <w:rFonts w:ascii="Verdana" w:hAnsi="Verdana" w:cs="Arial"/>
          <w:iCs/>
          <w:sz w:val="18"/>
          <w:szCs w:val="18"/>
        </w:rPr>
        <w:t xml:space="preserve"> </w:t>
      </w:r>
      <w:r w:rsidRPr="0074452F">
        <w:rPr>
          <w:rFonts w:ascii="Verdana" w:hAnsi="Verdana" w:cs="Arial"/>
          <w:iCs/>
          <w:sz w:val="18"/>
          <w:szCs w:val="18"/>
        </w:rPr>
        <w:t>pensamiento y expresión, principio de igualdad y no discriminación, el derecho a</w:t>
      </w:r>
      <w:r>
        <w:rPr>
          <w:rFonts w:ascii="Verdana" w:hAnsi="Verdana" w:cs="Arial"/>
          <w:iCs/>
          <w:sz w:val="18"/>
          <w:szCs w:val="18"/>
        </w:rPr>
        <w:t xml:space="preserve"> </w:t>
      </w:r>
      <w:r w:rsidRPr="0074452F">
        <w:rPr>
          <w:rFonts w:ascii="Verdana" w:hAnsi="Verdana" w:cs="Arial"/>
          <w:iCs/>
          <w:sz w:val="18"/>
          <w:szCs w:val="18"/>
        </w:rPr>
        <w:t xml:space="preserve">la igual protección de la ley, derecho a defensa y a recurrir </w:t>
      </w:r>
      <w:r>
        <w:rPr>
          <w:rFonts w:ascii="Verdana" w:hAnsi="Verdana" w:cs="Arial"/>
          <w:iCs/>
          <w:sz w:val="18"/>
          <w:szCs w:val="18"/>
        </w:rPr>
        <w:t>[…]</w:t>
      </w:r>
      <w:r w:rsidRPr="0074452F">
        <w:rPr>
          <w:rFonts w:ascii="Verdana" w:hAnsi="Verdana" w:cs="Arial"/>
          <w:iCs/>
          <w:sz w:val="18"/>
          <w:szCs w:val="18"/>
        </w:rPr>
        <w:t xml:space="preserve"> los fallos penales</w:t>
      </w:r>
      <w:r>
        <w:rPr>
          <w:rFonts w:ascii="Verdana" w:hAnsi="Verdana" w:cs="Arial"/>
          <w:iCs/>
          <w:sz w:val="18"/>
          <w:szCs w:val="18"/>
        </w:rPr>
        <w:t xml:space="preserve"> </w:t>
      </w:r>
      <w:r w:rsidRPr="0074452F">
        <w:rPr>
          <w:rFonts w:ascii="Verdana" w:hAnsi="Verdana" w:cs="Arial"/>
          <w:iCs/>
          <w:sz w:val="18"/>
          <w:szCs w:val="18"/>
        </w:rPr>
        <w:t>condenatorios) tienen su adecuado correlato en nuestro ordenamiento jurídico</w:t>
      </w:r>
      <w:r>
        <w:rPr>
          <w:rFonts w:ascii="Verdana" w:hAnsi="Verdana" w:cs="Arial"/>
          <w:iCs/>
          <w:sz w:val="18"/>
          <w:szCs w:val="18"/>
        </w:rPr>
        <w:t xml:space="preserve"> </w:t>
      </w:r>
      <w:r w:rsidRPr="0074452F">
        <w:rPr>
          <w:rFonts w:ascii="Verdana" w:hAnsi="Verdana" w:cs="Arial"/>
          <w:iCs/>
          <w:sz w:val="18"/>
          <w:szCs w:val="18"/>
        </w:rPr>
        <w:t>tanto como garantías tuteladas por la Constitución Política de la República, como</w:t>
      </w:r>
      <w:r>
        <w:rPr>
          <w:rFonts w:ascii="Verdana" w:hAnsi="Verdana" w:cs="Arial"/>
          <w:iCs/>
          <w:sz w:val="18"/>
          <w:szCs w:val="18"/>
        </w:rPr>
        <w:t xml:space="preserve"> </w:t>
      </w:r>
      <w:r w:rsidRPr="0074452F">
        <w:rPr>
          <w:rFonts w:ascii="Verdana" w:hAnsi="Verdana" w:cs="Arial"/>
          <w:iCs/>
          <w:sz w:val="18"/>
          <w:szCs w:val="18"/>
        </w:rPr>
        <w:t>bajo la forma de motivos de invalidación de las sentencias y/o los procedimientos</w:t>
      </w:r>
      <w:r>
        <w:rPr>
          <w:rFonts w:ascii="Verdana" w:hAnsi="Verdana" w:cs="Arial"/>
          <w:iCs/>
          <w:sz w:val="18"/>
          <w:szCs w:val="18"/>
        </w:rPr>
        <w:t xml:space="preserve"> </w:t>
      </w:r>
      <w:r w:rsidRPr="0074452F">
        <w:rPr>
          <w:rFonts w:ascii="Verdana" w:hAnsi="Verdana" w:cs="Arial"/>
          <w:iCs/>
          <w:sz w:val="18"/>
          <w:szCs w:val="18"/>
        </w:rPr>
        <w:t>instruidos en contravención al debido proceso, presupuesto de legitimidad de una</w:t>
      </w:r>
      <w:r>
        <w:rPr>
          <w:rFonts w:ascii="Verdana" w:hAnsi="Verdana" w:cs="Arial"/>
          <w:iCs/>
          <w:sz w:val="18"/>
          <w:szCs w:val="18"/>
        </w:rPr>
        <w:t xml:space="preserve"> </w:t>
      </w:r>
      <w:r w:rsidRPr="0074452F">
        <w:rPr>
          <w:rFonts w:ascii="Verdana" w:hAnsi="Verdana" w:cs="Arial"/>
          <w:iCs/>
          <w:sz w:val="18"/>
          <w:szCs w:val="18"/>
        </w:rPr>
        <w:t>decisión jurisdiccional, constatación que consolida la conclusión referida al</w:t>
      </w:r>
      <w:r>
        <w:rPr>
          <w:rFonts w:ascii="Verdana" w:hAnsi="Verdana" w:cs="Arial"/>
          <w:iCs/>
          <w:sz w:val="18"/>
          <w:szCs w:val="18"/>
        </w:rPr>
        <w:t xml:space="preserve"> </w:t>
      </w:r>
      <w:r w:rsidRPr="0076644A">
        <w:rPr>
          <w:rFonts w:ascii="Verdana" w:hAnsi="Verdana" w:cs="Arial"/>
          <w:b/>
          <w:iCs/>
          <w:sz w:val="18"/>
          <w:szCs w:val="18"/>
        </w:rPr>
        <w:t>carácter ineludible y obligatorio de la [presente] declaración</w:t>
      </w:r>
      <w:r>
        <w:rPr>
          <w:rFonts w:ascii="Verdana" w:hAnsi="Verdana" w:cs="Arial"/>
          <w:iCs/>
          <w:sz w:val="18"/>
          <w:szCs w:val="18"/>
        </w:rPr>
        <w:t xml:space="preserve"> […];</w:t>
      </w:r>
    </w:p>
    <w:p w14:paraId="6E162B5F" w14:textId="77777777" w:rsidR="008975B0" w:rsidRDefault="008975B0" w:rsidP="0011029F">
      <w:pPr>
        <w:pStyle w:val="Prrafodelista"/>
        <w:suppressLineNumbers/>
        <w:autoSpaceDE w:val="0"/>
        <w:autoSpaceDN w:val="0"/>
        <w:adjustRightInd w:val="0"/>
        <w:spacing w:after="0" w:line="240" w:lineRule="auto"/>
        <w:ind w:right="616"/>
        <w:jc w:val="both"/>
        <w:rPr>
          <w:rFonts w:ascii="Verdana" w:hAnsi="Verdana" w:cs="Arial"/>
          <w:iCs/>
          <w:sz w:val="18"/>
          <w:szCs w:val="18"/>
        </w:rPr>
      </w:pPr>
    </w:p>
    <w:p w14:paraId="638AD618" w14:textId="77777777" w:rsidR="008975B0" w:rsidRDefault="008975B0" w:rsidP="0011029F">
      <w:pPr>
        <w:pStyle w:val="Prrafodelista"/>
        <w:suppressLineNumbers/>
        <w:autoSpaceDE w:val="0"/>
        <w:autoSpaceDN w:val="0"/>
        <w:adjustRightInd w:val="0"/>
        <w:spacing w:after="0" w:line="240" w:lineRule="auto"/>
        <w:ind w:right="616"/>
        <w:jc w:val="both"/>
        <w:rPr>
          <w:rFonts w:ascii="Verdana" w:hAnsi="Verdana" w:cs="Arial"/>
          <w:iCs/>
          <w:sz w:val="18"/>
          <w:szCs w:val="18"/>
        </w:rPr>
      </w:pPr>
      <w:r>
        <w:rPr>
          <w:rFonts w:ascii="Verdana" w:hAnsi="Verdana" w:cs="Arial"/>
          <w:iCs/>
          <w:sz w:val="18"/>
          <w:szCs w:val="18"/>
        </w:rPr>
        <w:t xml:space="preserve">[consecuentemente…] </w:t>
      </w:r>
      <w:r w:rsidRPr="006F67E5">
        <w:rPr>
          <w:rFonts w:ascii="Verdana" w:hAnsi="Verdana" w:cs="Arial"/>
          <w:b/>
          <w:iCs/>
          <w:sz w:val="18"/>
          <w:szCs w:val="18"/>
        </w:rPr>
        <w:t>el único remedio posible de disponer en el caso que se revisa es declarar que las sentencias condenatorias abordadas por el fallo de la Corte Interamericana de Derechos Humanos, han perdido todo efecto</w:t>
      </w:r>
      <w:r>
        <w:rPr>
          <w:rFonts w:ascii="Verdana" w:hAnsi="Verdana" w:cs="Arial"/>
          <w:iCs/>
          <w:sz w:val="18"/>
          <w:szCs w:val="18"/>
        </w:rPr>
        <w:t xml:space="preserve"> […] </w:t>
      </w:r>
      <w:r w:rsidRPr="006F67E5">
        <w:rPr>
          <w:rFonts w:ascii="Verdana" w:hAnsi="Verdana" w:cs="Arial"/>
          <w:iCs/>
          <w:sz w:val="18"/>
          <w:szCs w:val="18"/>
        </w:rPr>
        <w:t>Decisión que no importa la invalidación de los referidos fallos</w:t>
      </w:r>
      <w:r w:rsidRPr="0031665F">
        <w:rPr>
          <w:rFonts w:ascii="Verdana" w:hAnsi="Verdana" w:cs="Arial"/>
          <w:iCs/>
          <w:sz w:val="18"/>
          <w:szCs w:val="18"/>
        </w:rPr>
        <w:t xml:space="preserve">, atento a los efectos procesales que en el orden nacional se asigna a la nulidad de las resoluciones judiciales, </w:t>
      </w:r>
      <w:r w:rsidRPr="006F67E5">
        <w:rPr>
          <w:rFonts w:ascii="Verdana" w:hAnsi="Verdana" w:cs="Arial"/>
          <w:iCs/>
          <w:sz w:val="18"/>
          <w:szCs w:val="18"/>
        </w:rPr>
        <w:t>manteniendo la validez de tales sentencias en cuanto a la cosa juzgada</w:t>
      </w:r>
      <w:r w:rsidRPr="001D18C6">
        <w:rPr>
          <w:rFonts w:ascii="Verdana" w:hAnsi="Verdana" w:cs="Arial"/>
          <w:iCs/>
          <w:sz w:val="18"/>
          <w:szCs w:val="18"/>
        </w:rPr>
        <w:t>, como es la imposibilidad de rever el conflicto que dio origen a los procesos que se revisan</w:t>
      </w:r>
      <w:r>
        <w:rPr>
          <w:rStyle w:val="Refdenotaalpie"/>
          <w:rFonts w:ascii="Verdana" w:hAnsi="Verdana" w:cs="Arial"/>
          <w:iCs/>
          <w:sz w:val="18"/>
          <w:szCs w:val="18"/>
        </w:rPr>
        <w:footnoteReference w:id="31"/>
      </w:r>
      <w:r w:rsidRPr="00A0723E">
        <w:rPr>
          <w:rFonts w:ascii="Verdana" w:hAnsi="Verdana" w:cs="Arial"/>
          <w:iCs/>
          <w:sz w:val="18"/>
          <w:szCs w:val="18"/>
        </w:rPr>
        <w:t>.</w:t>
      </w:r>
      <w:r>
        <w:rPr>
          <w:rFonts w:ascii="Verdana" w:hAnsi="Verdana" w:cs="Arial"/>
          <w:iCs/>
          <w:sz w:val="18"/>
          <w:szCs w:val="18"/>
        </w:rPr>
        <w:t xml:space="preserve">  </w:t>
      </w:r>
      <w:r w:rsidRPr="0076644A">
        <w:rPr>
          <w:rFonts w:ascii="Verdana" w:hAnsi="Verdana" w:cs="Arial"/>
          <w:i/>
          <w:iCs/>
          <w:sz w:val="18"/>
          <w:szCs w:val="18"/>
        </w:rPr>
        <w:t xml:space="preserve">(Énfasis añadidos) </w:t>
      </w:r>
    </w:p>
    <w:p w14:paraId="604436DA" w14:textId="77777777" w:rsidR="008975B0" w:rsidRPr="00595302" w:rsidRDefault="008975B0" w:rsidP="0011029F">
      <w:pPr>
        <w:pStyle w:val="Prrafodelista"/>
        <w:suppressLineNumbers/>
        <w:autoSpaceDE w:val="0"/>
        <w:autoSpaceDN w:val="0"/>
        <w:adjustRightInd w:val="0"/>
        <w:spacing w:after="0" w:line="240" w:lineRule="auto"/>
        <w:jc w:val="both"/>
        <w:rPr>
          <w:rFonts w:ascii="Verdana" w:hAnsi="Verdana" w:cs="Arial"/>
          <w:iCs/>
          <w:sz w:val="18"/>
          <w:szCs w:val="18"/>
        </w:rPr>
      </w:pPr>
    </w:p>
    <w:p w14:paraId="33F924C2" w14:textId="0BF0941F" w:rsidR="008975B0" w:rsidRPr="001A4AE8" w:rsidRDefault="008975B0"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rPr>
      </w:pPr>
      <w:r w:rsidRPr="006F67E5">
        <w:rPr>
          <w:rFonts w:ascii="Verdana" w:hAnsi="Verdana"/>
          <w:sz w:val="20"/>
          <w:szCs w:val="20"/>
        </w:rPr>
        <w:t xml:space="preserve">El </w:t>
      </w:r>
      <w:r w:rsidRPr="00F67691">
        <w:rPr>
          <w:rFonts w:ascii="Verdana" w:hAnsi="Verdana"/>
          <w:sz w:val="20"/>
          <w:szCs w:val="20"/>
        </w:rPr>
        <w:t>Estado</w:t>
      </w:r>
      <w:r w:rsidRPr="006F67E5">
        <w:rPr>
          <w:rFonts w:ascii="Verdana" w:hAnsi="Verdana"/>
          <w:sz w:val="20"/>
          <w:szCs w:val="20"/>
        </w:rPr>
        <w:t xml:space="preserve"> sostuvo que, a la luz de la mencionada decisión de la Corte Suprema, “las sentencias penales condenatorias señaladas en la Sentencia […], han sido dejadas sin efecto en todos sus extremos, perdiendo la totalidad de las consecuencias que le son propias</w:t>
      </w:r>
      <w:r>
        <w:rPr>
          <w:rFonts w:ascii="Verdana" w:hAnsi="Verdana"/>
          <w:sz w:val="20"/>
          <w:szCs w:val="20"/>
        </w:rPr>
        <w:t>. Por tanto, tales condenas perdieron eficacia […]</w:t>
      </w:r>
      <w:r w:rsidRPr="006F67E5">
        <w:rPr>
          <w:rFonts w:ascii="Verdana" w:hAnsi="Verdana"/>
          <w:sz w:val="20"/>
          <w:szCs w:val="20"/>
        </w:rPr>
        <w:t>”. En consecuencia, solicitó que se declare el cumplimiento de los puntos i</w:t>
      </w:r>
      <w:r w:rsidR="007D7132">
        <w:rPr>
          <w:rFonts w:ascii="Verdana" w:hAnsi="Verdana"/>
          <w:sz w:val="20"/>
          <w:szCs w:val="20"/>
        </w:rPr>
        <w:t>)</w:t>
      </w:r>
      <w:r w:rsidRPr="006F67E5">
        <w:rPr>
          <w:rFonts w:ascii="Verdana" w:hAnsi="Verdana"/>
          <w:sz w:val="20"/>
          <w:szCs w:val="20"/>
        </w:rPr>
        <w:t xml:space="preserve"> y ii</w:t>
      </w:r>
      <w:r w:rsidR="007D7132">
        <w:rPr>
          <w:rFonts w:ascii="Verdana" w:hAnsi="Verdana"/>
          <w:sz w:val="20"/>
          <w:szCs w:val="20"/>
        </w:rPr>
        <w:t>)</w:t>
      </w:r>
      <w:r w:rsidRPr="006F67E5">
        <w:rPr>
          <w:rFonts w:ascii="Verdana" w:hAnsi="Verdana"/>
          <w:sz w:val="20"/>
          <w:szCs w:val="20"/>
        </w:rPr>
        <w:t xml:space="preserve"> de la reparación.</w:t>
      </w:r>
      <w:r w:rsidRPr="006F67E5">
        <w:rPr>
          <w:rFonts w:ascii="Verdana" w:hAnsi="Verdana"/>
          <w:b/>
          <w:sz w:val="20"/>
          <w:szCs w:val="20"/>
        </w:rPr>
        <w:t xml:space="preserve"> </w:t>
      </w:r>
      <w:r w:rsidRPr="00F67691">
        <w:rPr>
          <w:rFonts w:ascii="Verdana" w:hAnsi="Verdana"/>
          <w:sz w:val="20"/>
          <w:szCs w:val="20"/>
        </w:rPr>
        <w:t>Los representantes de las víctimas</w:t>
      </w:r>
      <w:r w:rsidRPr="006F67E5">
        <w:rPr>
          <w:rFonts w:ascii="Verdana" w:hAnsi="Verdana"/>
          <w:sz w:val="20"/>
          <w:szCs w:val="20"/>
        </w:rPr>
        <w:t xml:space="preserve"> que presentaron observaciones y la </w:t>
      </w:r>
      <w:r w:rsidRPr="00F67691">
        <w:rPr>
          <w:rFonts w:ascii="Verdana" w:hAnsi="Verdana"/>
          <w:sz w:val="20"/>
          <w:szCs w:val="20"/>
        </w:rPr>
        <w:t>Comisión IDH</w:t>
      </w:r>
      <w:r w:rsidRPr="006F67E5">
        <w:rPr>
          <w:rFonts w:ascii="Verdana" w:hAnsi="Verdana"/>
          <w:sz w:val="20"/>
          <w:szCs w:val="20"/>
        </w:rPr>
        <w:t xml:space="preserve"> reconocieron que la referida decisión de la Corte Suprema permite dar cumplimiento en este caso al componente de la medida relativo a dejar sin efectos las sentencias</w:t>
      </w:r>
      <w:r>
        <w:rPr>
          <w:rStyle w:val="Refdenotaalpie"/>
          <w:rFonts w:ascii="Verdana" w:hAnsi="Verdana"/>
          <w:sz w:val="20"/>
          <w:szCs w:val="20"/>
        </w:rPr>
        <w:footnoteReference w:id="32"/>
      </w:r>
      <w:r w:rsidRPr="006F67E5">
        <w:rPr>
          <w:rFonts w:ascii="Verdana" w:hAnsi="Verdana"/>
          <w:sz w:val="20"/>
          <w:szCs w:val="20"/>
        </w:rPr>
        <w:t xml:space="preserve">, </w:t>
      </w:r>
      <w:r>
        <w:rPr>
          <w:rFonts w:ascii="Verdana" w:hAnsi="Verdana"/>
          <w:sz w:val="20"/>
          <w:szCs w:val="20"/>
        </w:rPr>
        <w:t>sin perjuicio de que</w:t>
      </w:r>
      <w:r w:rsidRPr="006F67E5">
        <w:rPr>
          <w:rFonts w:ascii="Verdana" w:hAnsi="Verdana"/>
          <w:sz w:val="20"/>
          <w:szCs w:val="20"/>
        </w:rPr>
        <w:t xml:space="preserve"> uno de los representantes adicionalmente manifestó “preocupaci</w:t>
      </w:r>
      <w:r>
        <w:rPr>
          <w:rFonts w:ascii="Verdana" w:hAnsi="Verdana"/>
          <w:sz w:val="20"/>
          <w:szCs w:val="20"/>
        </w:rPr>
        <w:t>ón</w:t>
      </w:r>
      <w:r w:rsidRPr="006F67E5">
        <w:rPr>
          <w:rFonts w:ascii="Verdana" w:hAnsi="Verdana"/>
          <w:sz w:val="20"/>
          <w:szCs w:val="20"/>
        </w:rPr>
        <w:t xml:space="preserve">” por la falta de </w:t>
      </w:r>
      <w:r>
        <w:rPr>
          <w:rFonts w:ascii="Verdana" w:hAnsi="Verdana"/>
          <w:sz w:val="20"/>
          <w:szCs w:val="20"/>
        </w:rPr>
        <w:t xml:space="preserve">un </w:t>
      </w:r>
      <w:r w:rsidRPr="006F67E5">
        <w:rPr>
          <w:rFonts w:ascii="Verdana" w:hAnsi="Verdana"/>
          <w:sz w:val="20"/>
          <w:szCs w:val="20"/>
        </w:rPr>
        <w:t>procedimiento legal en Chile para dar cumplimiento a este tipo de reparaciones</w:t>
      </w:r>
      <w:r w:rsidR="00E71BAF">
        <w:rPr>
          <w:rFonts w:ascii="Verdana" w:hAnsi="Verdana"/>
          <w:sz w:val="20"/>
          <w:szCs w:val="20"/>
        </w:rPr>
        <w:t>,</w:t>
      </w:r>
      <w:r w:rsidRPr="006F67E5">
        <w:rPr>
          <w:rFonts w:ascii="Verdana" w:hAnsi="Verdana"/>
          <w:sz w:val="20"/>
          <w:szCs w:val="20"/>
        </w:rPr>
        <w:t xml:space="preserve"> </w:t>
      </w:r>
      <w:r>
        <w:rPr>
          <w:rFonts w:ascii="Verdana" w:hAnsi="Verdana"/>
          <w:sz w:val="20"/>
          <w:szCs w:val="20"/>
        </w:rPr>
        <w:t xml:space="preserve">así como </w:t>
      </w:r>
      <w:r w:rsidRPr="006F67E5">
        <w:rPr>
          <w:rFonts w:ascii="Verdana" w:hAnsi="Verdana"/>
          <w:sz w:val="20"/>
          <w:szCs w:val="20"/>
        </w:rPr>
        <w:t>por la referencia que dicho tribunal hizo a la “cosa juzgada”</w:t>
      </w:r>
      <w:r>
        <w:rPr>
          <w:rFonts w:ascii="Verdana" w:hAnsi="Verdana"/>
          <w:sz w:val="20"/>
          <w:szCs w:val="20"/>
        </w:rPr>
        <w:t xml:space="preserve"> (</w:t>
      </w:r>
      <w:r w:rsidRPr="00694F26">
        <w:rPr>
          <w:rFonts w:ascii="Verdana" w:hAnsi="Verdana"/>
          <w:i/>
          <w:sz w:val="20"/>
          <w:szCs w:val="20"/>
        </w:rPr>
        <w:t xml:space="preserve">supra </w:t>
      </w:r>
      <w:r>
        <w:rPr>
          <w:rFonts w:ascii="Verdana" w:hAnsi="Verdana"/>
          <w:sz w:val="20"/>
          <w:szCs w:val="20"/>
        </w:rPr>
        <w:t>Considerando 8)</w:t>
      </w:r>
      <w:r>
        <w:rPr>
          <w:rStyle w:val="Refdenotaalpie"/>
          <w:rFonts w:ascii="Verdana" w:hAnsi="Verdana"/>
          <w:sz w:val="20"/>
          <w:szCs w:val="20"/>
        </w:rPr>
        <w:footnoteReference w:id="33"/>
      </w:r>
      <w:r w:rsidRPr="006F67E5">
        <w:rPr>
          <w:rFonts w:ascii="Verdana" w:hAnsi="Verdana"/>
          <w:sz w:val="20"/>
          <w:szCs w:val="20"/>
        </w:rPr>
        <w:t xml:space="preserve">. </w:t>
      </w:r>
    </w:p>
    <w:p w14:paraId="7803FEF7" w14:textId="77777777" w:rsidR="008975B0" w:rsidRPr="001A4AE8" w:rsidRDefault="008975B0" w:rsidP="0011029F">
      <w:pPr>
        <w:pStyle w:val="Prrafodelista"/>
        <w:suppressLineNumbers/>
        <w:autoSpaceDE w:val="0"/>
        <w:autoSpaceDN w:val="0"/>
        <w:adjustRightInd w:val="0"/>
        <w:spacing w:after="0" w:line="240" w:lineRule="auto"/>
        <w:ind w:left="0"/>
        <w:jc w:val="both"/>
        <w:rPr>
          <w:rFonts w:ascii="Verdana" w:hAnsi="Verdana"/>
          <w:sz w:val="20"/>
        </w:rPr>
      </w:pPr>
    </w:p>
    <w:p w14:paraId="4C59376D" w14:textId="272B6B07" w:rsidR="008975B0" w:rsidRPr="003D4666" w:rsidRDefault="008975B0"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cs="Times New Roman"/>
          <w:sz w:val="20"/>
          <w:szCs w:val="20"/>
        </w:rPr>
      </w:pPr>
      <w:r>
        <w:rPr>
          <w:rFonts w:ascii="Verdana" w:hAnsi="Verdana" w:cs="Times New Roman"/>
          <w:color w:val="090909"/>
          <w:sz w:val="20"/>
          <w:szCs w:val="20"/>
        </w:rPr>
        <w:lastRenderedPageBreak/>
        <w:t xml:space="preserve">Esta </w:t>
      </w:r>
      <w:r w:rsidRPr="00B609B0">
        <w:rPr>
          <w:rFonts w:ascii="Verdana" w:hAnsi="Verdana" w:cs="Times New Roman"/>
          <w:color w:val="090909"/>
          <w:sz w:val="20"/>
          <w:szCs w:val="20"/>
        </w:rPr>
        <w:t xml:space="preserve">Corte </w:t>
      </w:r>
      <w:r>
        <w:rPr>
          <w:rFonts w:ascii="Verdana" w:hAnsi="Verdana" w:cs="Times New Roman"/>
          <w:color w:val="090909"/>
          <w:sz w:val="20"/>
          <w:szCs w:val="20"/>
        </w:rPr>
        <w:t xml:space="preserve">considera que la referida decisión de </w:t>
      </w:r>
      <w:r w:rsidRPr="00B609B0">
        <w:rPr>
          <w:rFonts w:ascii="Verdana" w:hAnsi="Verdana" w:cs="Times New Roman"/>
          <w:color w:val="090909"/>
          <w:sz w:val="20"/>
          <w:szCs w:val="20"/>
        </w:rPr>
        <w:t xml:space="preserve">la </w:t>
      </w:r>
      <w:r>
        <w:rPr>
          <w:rFonts w:ascii="Verdana" w:hAnsi="Verdana" w:cs="Times New Roman"/>
          <w:color w:val="090909"/>
          <w:sz w:val="20"/>
          <w:szCs w:val="20"/>
        </w:rPr>
        <w:t xml:space="preserve">Corte </w:t>
      </w:r>
      <w:r w:rsidRPr="00B609B0">
        <w:rPr>
          <w:rFonts w:ascii="Verdana" w:hAnsi="Verdana" w:cs="Times New Roman"/>
          <w:color w:val="090909"/>
          <w:sz w:val="20"/>
          <w:szCs w:val="20"/>
        </w:rPr>
        <w:t xml:space="preserve">Suprema de </w:t>
      </w:r>
      <w:r w:rsidR="00284F07">
        <w:rPr>
          <w:rFonts w:ascii="Verdana" w:hAnsi="Verdana" w:cs="Times New Roman"/>
          <w:color w:val="090909"/>
          <w:sz w:val="20"/>
          <w:szCs w:val="20"/>
        </w:rPr>
        <w:t xml:space="preserve">Justicia de </w:t>
      </w:r>
      <w:r w:rsidRPr="00B609B0">
        <w:rPr>
          <w:rFonts w:ascii="Verdana" w:hAnsi="Verdana" w:cs="Times New Roman"/>
          <w:color w:val="090909"/>
          <w:sz w:val="20"/>
          <w:szCs w:val="20"/>
        </w:rPr>
        <w:t>Chile</w:t>
      </w:r>
      <w:r>
        <w:rPr>
          <w:rFonts w:ascii="Verdana" w:hAnsi="Verdana" w:cs="Times New Roman"/>
          <w:color w:val="090909"/>
          <w:sz w:val="20"/>
          <w:szCs w:val="20"/>
        </w:rPr>
        <w:t xml:space="preserve"> permite dar cumplimiento a la orden de este Tribunal internacional de </w:t>
      </w:r>
      <w:r w:rsidRPr="00B609B0">
        <w:rPr>
          <w:rFonts w:ascii="Verdana" w:hAnsi="Verdana" w:cs="Arial"/>
          <w:iCs/>
          <w:sz w:val="20"/>
          <w:szCs w:val="20"/>
        </w:rPr>
        <w:t xml:space="preserve">dejar sin efecto </w:t>
      </w:r>
      <w:r w:rsidRPr="00B609B0">
        <w:rPr>
          <w:rFonts w:ascii="Verdana" w:hAnsi="Verdana"/>
          <w:sz w:val="20"/>
        </w:rPr>
        <w:t>en todos sus extremos a los referidos fallos condenatorios</w:t>
      </w:r>
      <w:r>
        <w:rPr>
          <w:rFonts w:ascii="Verdana" w:hAnsi="Verdana"/>
          <w:sz w:val="20"/>
        </w:rPr>
        <w:t xml:space="preserve">. Se trata de una decisión judicial de </w:t>
      </w:r>
      <w:r w:rsidRPr="00B609B0">
        <w:rPr>
          <w:rFonts w:ascii="Verdana" w:hAnsi="Verdana" w:cs="Times New Roman"/>
          <w:color w:val="090909"/>
          <w:sz w:val="20"/>
          <w:szCs w:val="20"/>
        </w:rPr>
        <w:t xml:space="preserve">carácter “obligatorio”, que establece que las sentencias nacionales, mediante las cuales fueron condenadas las ocho víctimas del presente caso, “han perdido </w:t>
      </w:r>
      <w:r w:rsidR="00640765">
        <w:rPr>
          <w:rFonts w:ascii="Verdana" w:hAnsi="Verdana" w:cs="Times New Roman"/>
          <w:color w:val="090909"/>
          <w:sz w:val="20"/>
          <w:szCs w:val="20"/>
        </w:rPr>
        <w:t>todo efecto</w:t>
      </w:r>
      <w:r w:rsidRPr="00B609B0">
        <w:rPr>
          <w:rFonts w:ascii="Verdana" w:hAnsi="Verdana" w:cs="Times New Roman"/>
          <w:color w:val="090909"/>
          <w:sz w:val="20"/>
          <w:szCs w:val="20"/>
        </w:rPr>
        <w:t>” (</w:t>
      </w:r>
      <w:r w:rsidRPr="00B609B0">
        <w:rPr>
          <w:rFonts w:ascii="Verdana" w:hAnsi="Verdana" w:cs="Times New Roman"/>
          <w:i/>
          <w:color w:val="090909"/>
          <w:sz w:val="20"/>
          <w:szCs w:val="20"/>
        </w:rPr>
        <w:t>supra</w:t>
      </w:r>
      <w:r w:rsidRPr="00B609B0">
        <w:rPr>
          <w:rFonts w:ascii="Verdana" w:hAnsi="Verdana" w:cs="Times New Roman"/>
          <w:color w:val="090909"/>
          <w:sz w:val="20"/>
          <w:szCs w:val="20"/>
        </w:rPr>
        <w:t xml:space="preserve"> </w:t>
      </w:r>
      <w:r w:rsidRPr="00ED602E">
        <w:rPr>
          <w:rFonts w:ascii="Verdana" w:hAnsi="Verdana" w:cs="Times New Roman"/>
          <w:color w:val="090909"/>
          <w:sz w:val="20"/>
          <w:szCs w:val="20"/>
        </w:rPr>
        <w:t>Considerandos 7</w:t>
      </w:r>
      <w:r>
        <w:rPr>
          <w:rFonts w:ascii="Verdana" w:hAnsi="Verdana" w:cs="Times New Roman"/>
          <w:color w:val="090909"/>
          <w:sz w:val="20"/>
          <w:szCs w:val="20"/>
        </w:rPr>
        <w:t>,</w:t>
      </w:r>
      <w:r w:rsidRPr="00ED602E">
        <w:rPr>
          <w:rFonts w:ascii="Verdana" w:hAnsi="Verdana" w:cs="Times New Roman"/>
          <w:color w:val="090909"/>
          <w:sz w:val="20"/>
          <w:szCs w:val="20"/>
        </w:rPr>
        <w:t xml:space="preserve"> 8</w:t>
      </w:r>
      <w:r>
        <w:rPr>
          <w:rFonts w:ascii="Verdana" w:hAnsi="Verdana" w:cs="Times New Roman"/>
          <w:color w:val="090909"/>
          <w:sz w:val="20"/>
          <w:szCs w:val="20"/>
        </w:rPr>
        <w:t xml:space="preserve"> y 9</w:t>
      </w:r>
      <w:r w:rsidRPr="00ED602E">
        <w:rPr>
          <w:rFonts w:ascii="Verdana" w:hAnsi="Verdana" w:cs="Times New Roman"/>
          <w:color w:val="090909"/>
          <w:sz w:val="20"/>
          <w:szCs w:val="20"/>
        </w:rPr>
        <w:t>),</w:t>
      </w:r>
      <w:r>
        <w:rPr>
          <w:rFonts w:ascii="Verdana" w:hAnsi="Verdana" w:cs="Times New Roman"/>
          <w:color w:val="090909"/>
          <w:sz w:val="20"/>
          <w:szCs w:val="20"/>
        </w:rPr>
        <w:t xml:space="preserve"> lo cual </w:t>
      </w:r>
      <w:r w:rsidRPr="00B609B0">
        <w:rPr>
          <w:rFonts w:ascii="Verdana" w:hAnsi="Verdana" w:cs="Times New Roman"/>
          <w:color w:val="090909"/>
          <w:sz w:val="20"/>
          <w:szCs w:val="20"/>
        </w:rPr>
        <w:t xml:space="preserve">comprende también la pérdida de efectos de las penas accesorias y de las </w:t>
      </w:r>
      <w:r w:rsidR="005B07B5">
        <w:rPr>
          <w:rFonts w:ascii="Verdana" w:hAnsi="Verdana" w:cs="Times New Roman"/>
          <w:color w:val="090909"/>
          <w:sz w:val="20"/>
          <w:szCs w:val="20"/>
        </w:rPr>
        <w:t>condenas</w:t>
      </w:r>
      <w:r w:rsidRPr="00B609B0">
        <w:rPr>
          <w:rFonts w:ascii="Verdana" w:hAnsi="Verdana" w:cs="Times New Roman"/>
          <w:color w:val="090909"/>
          <w:sz w:val="20"/>
          <w:szCs w:val="20"/>
        </w:rPr>
        <w:t xml:space="preserve"> civiles</w:t>
      </w:r>
      <w:r>
        <w:rPr>
          <w:rFonts w:ascii="Verdana" w:hAnsi="Verdana" w:cs="Times New Roman"/>
          <w:color w:val="090909"/>
          <w:sz w:val="20"/>
          <w:szCs w:val="20"/>
        </w:rPr>
        <w:t xml:space="preserve"> fijadas en esas sentencias</w:t>
      </w:r>
      <w:r w:rsidRPr="00B609B0">
        <w:rPr>
          <w:rFonts w:ascii="Verdana" w:hAnsi="Verdana" w:cs="Times New Roman"/>
          <w:color w:val="090909"/>
          <w:sz w:val="20"/>
          <w:szCs w:val="20"/>
        </w:rPr>
        <w:t xml:space="preserve">. </w:t>
      </w:r>
    </w:p>
    <w:p w14:paraId="15B02771" w14:textId="77777777" w:rsidR="008975B0" w:rsidRPr="00B609B0" w:rsidRDefault="008975B0" w:rsidP="0011029F">
      <w:pPr>
        <w:pStyle w:val="Prrafodelista"/>
        <w:suppressLineNumbers/>
        <w:autoSpaceDE w:val="0"/>
        <w:autoSpaceDN w:val="0"/>
        <w:adjustRightInd w:val="0"/>
        <w:spacing w:after="0" w:line="240" w:lineRule="auto"/>
        <w:ind w:left="0"/>
        <w:jc w:val="both"/>
        <w:rPr>
          <w:rFonts w:ascii="Verdana" w:hAnsi="Verdana" w:cs="Times New Roman"/>
          <w:sz w:val="20"/>
          <w:szCs w:val="20"/>
        </w:rPr>
      </w:pPr>
    </w:p>
    <w:p w14:paraId="21E5E189" w14:textId="16030732" w:rsidR="008975B0" w:rsidRDefault="008975B0"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cs="Times New Roman"/>
          <w:sz w:val="20"/>
          <w:szCs w:val="20"/>
        </w:rPr>
      </w:pPr>
      <w:r w:rsidRPr="00641048">
        <w:rPr>
          <w:rFonts w:ascii="Verdana" w:hAnsi="Verdana"/>
          <w:sz w:val="20"/>
        </w:rPr>
        <w:t xml:space="preserve">Reiteradamente este Tribunal se ha referido en su jurisprudencia al papel fundamental que tienen los tribunales internos, incluso </w:t>
      </w:r>
      <w:r w:rsidRPr="00641048">
        <w:rPr>
          <w:rFonts w:ascii="Verdana" w:hAnsi="Verdana"/>
          <w:sz w:val="20"/>
          <w:szCs w:val="20"/>
        </w:rPr>
        <w:t>aquellos de máxima jerarquía, en el cumplimiento o implementación de sus Sentencias</w:t>
      </w:r>
      <w:r w:rsidRPr="00600482">
        <w:rPr>
          <w:rStyle w:val="Refdenotaalpie"/>
          <w:rFonts w:ascii="Verdana" w:hAnsi="Verdana"/>
          <w:sz w:val="20"/>
          <w:szCs w:val="20"/>
        </w:rPr>
        <w:footnoteReference w:id="34"/>
      </w:r>
      <w:r w:rsidRPr="00641048">
        <w:rPr>
          <w:rFonts w:ascii="Verdana" w:hAnsi="Verdana"/>
          <w:sz w:val="20"/>
          <w:szCs w:val="20"/>
        </w:rPr>
        <w:t xml:space="preserve">. Por ello, </w:t>
      </w:r>
      <w:r w:rsidR="00284F07">
        <w:rPr>
          <w:rFonts w:ascii="Verdana" w:hAnsi="Verdana" w:cs="Times New Roman"/>
          <w:color w:val="090909"/>
          <w:sz w:val="20"/>
          <w:szCs w:val="20"/>
        </w:rPr>
        <w:t>este Tribunal</w:t>
      </w:r>
      <w:r w:rsidRPr="00641048">
        <w:rPr>
          <w:rFonts w:ascii="Verdana" w:hAnsi="Verdana" w:cs="Times New Roman"/>
          <w:color w:val="090909"/>
          <w:sz w:val="20"/>
          <w:szCs w:val="20"/>
        </w:rPr>
        <w:t xml:space="preserve"> destaca la importancia que la Corte Suprema otorgó al cumplimiento de la Sentencia de la Corte Interamericana, para lo cual buscó una forma de implementar la </w:t>
      </w:r>
      <w:r w:rsidRPr="00641048">
        <w:rPr>
          <w:rFonts w:ascii="Verdana" w:hAnsi="Verdana" w:cs="Times New Roman"/>
          <w:sz w:val="20"/>
          <w:szCs w:val="20"/>
        </w:rPr>
        <w:t>medida de reparación dispuesta en el punto resolutivo décimo sexto de la Sentencia, en respuesta a las consideraciones efectuadas por este Tribunal en la anterior Resolución de supervisión y habiendo oído primero a las víctimas y sus representantes y a instituciones estatales relevantes (</w:t>
      </w:r>
      <w:r w:rsidRPr="00641048">
        <w:rPr>
          <w:rFonts w:ascii="Verdana" w:hAnsi="Verdana" w:cs="Times New Roman"/>
          <w:i/>
          <w:sz w:val="20"/>
          <w:szCs w:val="20"/>
        </w:rPr>
        <w:t>supra</w:t>
      </w:r>
      <w:r w:rsidRPr="00641048">
        <w:rPr>
          <w:rFonts w:ascii="Verdana" w:hAnsi="Verdana" w:cs="Times New Roman"/>
          <w:sz w:val="20"/>
          <w:szCs w:val="20"/>
        </w:rPr>
        <w:t xml:space="preserve"> Considerando 7). </w:t>
      </w:r>
      <w:r>
        <w:rPr>
          <w:rFonts w:ascii="Verdana" w:hAnsi="Verdana" w:cs="Times New Roman"/>
          <w:sz w:val="20"/>
          <w:szCs w:val="20"/>
        </w:rPr>
        <w:t xml:space="preserve">Finalmente, el Tribunal estima valioso resaltar la voluntad y el compromiso del Estado demostrados a los fines de dar cumplimiento a este aspecto de la medida de reparación. </w:t>
      </w:r>
    </w:p>
    <w:p w14:paraId="0B0A0330" w14:textId="77777777" w:rsidR="008975B0" w:rsidRPr="00641048" w:rsidRDefault="008975B0" w:rsidP="0011029F">
      <w:pPr>
        <w:pStyle w:val="Prrafodelista"/>
        <w:suppressLineNumbers/>
        <w:rPr>
          <w:rFonts w:ascii="Verdana" w:hAnsi="Verdana" w:cs="Times New Roman"/>
          <w:sz w:val="20"/>
          <w:szCs w:val="20"/>
        </w:rPr>
      </w:pPr>
    </w:p>
    <w:p w14:paraId="1A2907AE" w14:textId="0107C471" w:rsidR="008975B0" w:rsidRPr="003D4666" w:rsidRDefault="008975B0"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cs="Times New Roman"/>
          <w:color w:val="090909"/>
          <w:sz w:val="20"/>
          <w:szCs w:val="20"/>
        </w:rPr>
      </w:pPr>
      <w:r w:rsidRPr="003D4666">
        <w:rPr>
          <w:rFonts w:ascii="Verdana" w:hAnsi="Verdana" w:cs="Times New Roman"/>
          <w:sz w:val="20"/>
          <w:szCs w:val="20"/>
        </w:rPr>
        <w:t>En lo que respecta a la referida falta de un “mecanismo interno” o “un procedimiento legal” para implementar este tipo de reparación (</w:t>
      </w:r>
      <w:r w:rsidRPr="003D4666">
        <w:rPr>
          <w:rFonts w:ascii="Verdana" w:hAnsi="Verdana" w:cs="Times New Roman"/>
          <w:i/>
          <w:sz w:val="20"/>
          <w:szCs w:val="20"/>
        </w:rPr>
        <w:t>supra</w:t>
      </w:r>
      <w:r w:rsidRPr="003D4666">
        <w:rPr>
          <w:rFonts w:ascii="Verdana" w:hAnsi="Verdana" w:cs="Times New Roman"/>
          <w:sz w:val="20"/>
          <w:szCs w:val="20"/>
        </w:rPr>
        <w:t xml:space="preserve"> Considerandos 8 y 9), esta Corte ha indicado que para dar</w:t>
      </w:r>
      <w:r w:rsidRPr="003D4666">
        <w:rPr>
          <w:rFonts w:ascii="Verdana" w:hAnsi="Verdana"/>
          <w:sz w:val="20"/>
          <w:szCs w:val="20"/>
        </w:rPr>
        <w:t xml:space="preserve"> cumplimiento al deber de “dejar sin efecto” las sentencias internas que se determinaron como violatorias de la Convención Americana, corresponde al Estado “identificar cuáles acciones implementar o por cuál vía de su derecho interno p[</w:t>
      </w:r>
      <w:proofErr w:type="spellStart"/>
      <w:r w:rsidRPr="003D4666">
        <w:rPr>
          <w:rFonts w:ascii="Verdana" w:hAnsi="Verdana"/>
          <w:sz w:val="20"/>
          <w:szCs w:val="20"/>
        </w:rPr>
        <w:t>uede</w:t>
      </w:r>
      <w:proofErr w:type="spellEnd"/>
      <w:r w:rsidRPr="003D4666">
        <w:rPr>
          <w:rFonts w:ascii="Verdana" w:hAnsi="Verdana"/>
          <w:sz w:val="20"/>
          <w:szCs w:val="20"/>
        </w:rPr>
        <w:t>] cumplir con lo ordenado por este Tribunal</w:t>
      </w:r>
      <w:r w:rsidR="00AD1F89">
        <w:rPr>
          <w:rFonts w:ascii="Verdana" w:hAnsi="Verdana"/>
          <w:sz w:val="20"/>
          <w:szCs w:val="20"/>
        </w:rPr>
        <w:t>”</w:t>
      </w:r>
      <w:r w:rsidRPr="000C19D3">
        <w:rPr>
          <w:rStyle w:val="Refdenotaalpie"/>
          <w:rFonts w:ascii="Verdana" w:hAnsi="Verdana"/>
          <w:sz w:val="20"/>
          <w:szCs w:val="20"/>
        </w:rPr>
        <w:footnoteReference w:id="35"/>
      </w:r>
      <w:r w:rsidRPr="003D4666">
        <w:rPr>
          <w:rFonts w:ascii="Verdana" w:hAnsi="Verdana"/>
          <w:sz w:val="20"/>
          <w:szCs w:val="20"/>
        </w:rPr>
        <w:t>. Asimismo, ha hecho notar que “[p]ara dar cumplimiento a esa reparación los Estados han adoptado diferentes tipos de medidas o acciones y lo han comunicado a la Corte, la cual realiza una valoración en cada caso concreto”</w:t>
      </w:r>
      <w:r>
        <w:rPr>
          <w:rStyle w:val="Refdenotaalpie"/>
          <w:rFonts w:ascii="Verdana" w:hAnsi="Verdana"/>
          <w:sz w:val="20"/>
          <w:szCs w:val="20"/>
        </w:rPr>
        <w:footnoteReference w:id="36"/>
      </w:r>
      <w:r w:rsidRPr="003D4666">
        <w:rPr>
          <w:rFonts w:ascii="Verdana" w:hAnsi="Verdana"/>
          <w:sz w:val="20"/>
          <w:szCs w:val="20"/>
        </w:rPr>
        <w:t>. Aun cuando</w:t>
      </w:r>
      <w:r>
        <w:t xml:space="preserve"> </w:t>
      </w:r>
      <w:r w:rsidRPr="003D4666">
        <w:rPr>
          <w:rFonts w:ascii="Verdana" w:hAnsi="Verdana" w:cs="Times New Roman"/>
          <w:color w:val="090909"/>
          <w:sz w:val="20"/>
          <w:szCs w:val="20"/>
        </w:rPr>
        <w:t>la Corte considera óptimo la disposición normativa de una figura que facilite la ejecución de este tipo de reparación, ante su ausencia</w:t>
      </w:r>
      <w:r>
        <w:rPr>
          <w:rFonts w:ascii="Verdana" w:hAnsi="Verdana" w:cs="Times New Roman"/>
          <w:color w:val="090909"/>
          <w:sz w:val="20"/>
          <w:szCs w:val="20"/>
        </w:rPr>
        <w:t>,</w:t>
      </w:r>
      <w:r w:rsidRPr="003D4666">
        <w:rPr>
          <w:rFonts w:ascii="Verdana" w:hAnsi="Verdana" w:cs="Times New Roman"/>
          <w:color w:val="090909"/>
          <w:sz w:val="20"/>
          <w:szCs w:val="20"/>
        </w:rPr>
        <w:t xml:space="preserve"> estima que d</w:t>
      </w:r>
      <w:r w:rsidRPr="003D4666">
        <w:rPr>
          <w:rFonts w:ascii="Verdana" w:hAnsi="Verdana" w:cs="Times New Roman"/>
          <w:sz w:val="20"/>
          <w:szCs w:val="20"/>
        </w:rPr>
        <w:t xml:space="preserve">icha acción efectuada por la Corte Suprema de Justicia chilena </w:t>
      </w:r>
      <w:r w:rsidRPr="003D4666">
        <w:rPr>
          <w:rFonts w:ascii="Verdana" w:hAnsi="Verdana"/>
          <w:sz w:val="20"/>
          <w:szCs w:val="20"/>
        </w:rPr>
        <w:t>es una muestra del diálogo constructivo y de la cooperación entre tribunales nacionales y la Corte Interamericana para el cumplimiento de las sentencias de esta última</w:t>
      </w:r>
      <w:r>
        <w:rPr>
          <w:rStyle w:val="Refdenotaalpie"/>
          <w:rFonts w:ascii="Verdana" w:hAnsi="Verdana"/>
          <w:sz w:val="20"/>
          <w:szCs w:val="20"/>
        </w:rPr>
        <w:footnoteReference w:id="37"/>
      </w:r>
      <w:r w:rsidRPr="003D4666">
        <w:rPr>
          <w:rFonts w:ascii="Verdana" w:hAnsi="Verdana"/>
          <w:sz w:val="20"/>
          <w:szCs w:val="20"/>
        </w:rPr>
        <w:t xml:space="preserve">, </w:t>
      </w:r>
      <w:r w:rsidRPr="003D4666">
        <w:rPr>
          <w:rFonts w:ascii="Verdana" w:hAnsi="Verdana" w:cs="Times New Roman"/>
          <w:sz w:val="20"/>
          <w:szCs w:val="20"/>
        </w:rPr>
        <w:t xml:space="preserve">y evidencia la voluntad del Estado de implementar mecanismos institucionales y democráticos para cumplir sus obligaciones de respetar y garantizar los derechos reconocidos por la Convención a las víctimas. </w:t>
      </w:r>
    </w:p>
    <w:p w14:paraId="33185D60" w14:textId="77777777" w:rsidR="008975B0" w:rsidRPr="00AE1472" w:rsidRDefault="008975B0" w:rsidP="0011029F">
      <w:pPr>
        <w:pStyle w:val="Prrafodelista"/>
        <w:suppressLineNumbers/>
        <w:rPr>
          <w:rFonts w:ascii="Verdana" w:hAnsi="Verdana" w:cs="Arial"/>
          <w:iCs/>
          <w:sz w:val="18"/>
          <w:szCs w:val="18"/>
        </w:rPr>
      </w:pPr>
    </w:p>
    <w:p w14:paraId="48C30A6F" w14:textId="77777777" w:rsidR="008975B0" w:rsidRPr="00B609B0" w:rsidRDefault="008975B0"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cs="Times New Roman"/>
          <w:sz w:val="20"/>
          <w:szCs w:val="20"/>
        </w:rPr>
      </w:pPr>
      <w:r w:rsidRPr="00B609B0">
        <w:rPr>
          <w:rFonts w:ascii="Verdana" w:hAnsi="Verdana" w:cs="Arial"/>
          <w:iCs/>
          <w:sz w:val="18"/>
          <w:szCs w:val="18"/>
        </w:rPr>
        <w:lastRenderedPageBreak/>
        <w:t xml:space="preserve"> E</w:t>
      </w:r>
      <w:r w:rsidRPr="00B609B0">
        <w:rPr>
          <w:rFonts w:ascii="Verdana" w:hAnsi="Verdana" w:cs="Times New Roman"/>
          <w:color w:val="090909"/>
          <w:sz w:val="20"/>
          <w:szCs w:val="20"/>
        </w:rPr>
        <w:t xml:space="preserve">n consecuencia, esta Corte considera que </w:t>
      </w:r>
      <w:r>
        <w:rPr>
          <w:rFonts w:ascii="Verdana" w:hAnsi="Verdana" w:cs="Times New Roman"/>
          <w:color w:val="090909"/>
          <w:sz w:val="20"/>
          <w:szCs w:val="20"/>
        </w:rPr>
        <w:t xml:space="preserve">Chile ha dado cumplimiento a </w:t>
      </w:r>
      <w:r w:rsidRPr="00B609B0">
        <w:rPr>
          <w:rFonts w:ascii="Verdana" w:hAnsi="Verdana" w:cs="Times New Roman"/>
          <w:sz w:val="20"/>
          <w:szCs w:val="20"/>
        </w:rPr>
        <w:t xml:space="preserve">los dos aspectos de la reparación relativos a </w:t>
      </w:r>
      <w:r w:rsidRPr="00B609B0">
        <w:rPr>
          <w:rFonts w:ascii="Verdana" w:hAnsi="Verdana"/>
          <w:sz w:val="20"/>
          <w:szCs w:val="20"/>
        </w:rPr>
        <w:t xml:space="preserve">“dejar sin efecto la declaración de las ocho víctimas de este caso como autores de delitos de carácter terrorista [y…] las penas privativas de libertad y penas accesorias, </w:t>
      </w:r>
      <w:r>
        <w:rPr>
          <w:rFonts w:ascii="Verdana" w:hAnsi="Verdana"/>
          <w:sz w:val="20"/>
          <w:szCs w:val="20"/>
        </w:rPr>
        <w:t xml:space="preserve">[…] </w:t>
      </w:r>
      <w:r w:rsidRPr="00B609B0">
        <w:rPr>
          <w:rFonts w:ascii="Verdana" w:hAnsi="Verdana"/>
          <w:sz w:val="20"/>
          <w:szCs w:val="20"/>
        </w:rPr>
        <w:t>así como las condenas civiles que se hayan impuesto a las víctimas” (</w:t>
      </w:r>
      <w:r w:rsidRPr="00B609B0">
        <w:rPr>
          <w:rFonts w:ascii="Verdana" w:hAnsi="Verdana"/>
          <w:i/>
          <w:sz w:val="20"/>
          <w:szCs w:val="20"/>
        </w:rPr>
        <w:t>supra</w:t>
      </w:r>
      <w:r w:rsidRPr="00B609B0">
        <w:rPr>
          <w:rFonts w:ascii="Verdana" w:hAnsi="Verdana"/>
          <w:sz w:val="20"/>
          <w:szCs w:val="20"/>
        </w:rPr>
        <w:t xml:space="preserve"> Considerandos 5.i y 5.ii). </w:t>
      </w:r>
    </w:p>
    <w:p w14:paraId="7D742700" w14:textId="77777777" w:rsidR="008975B0" w:rsidRPr="00B609B0" w:rsidRDefault="008975B0" w:rsidP="0011029F">
      <w:pPr>
        <w:pStyle w:val="Prrafodelista"/>
        <w:suppressLineNumbers/>
        <w:rPr>
          <w:rFonts w:ascii="Verdana" w:hAnsi="Verdana" w:cs="Times New Roman"/>
          <w:sz w:val="20"/>
          <w:szCs w:val="20"/>
        </w:rPr>
      </w:pPr>
    </w:p>
    <w:p w14:paraId="6C0933AB" w14:textId="77777777" w:rsidR="008975B0" w:rsidRPr="000D21C3" w:rsidRDefault="008975B0"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0D21C3">
        <w:rPr>
          <w:rFonts w:ascii="Verdana" w:hAnsi="Verdana"/>
          <w:sz w:val="20"/>
          <w:szCs w:val="20"/>
        </w:rPr>
        <w:t xml:space="preserve">Por otra parte, </w:t>
      </w:r>
      <w:r>
        <w:rPr>
          <w:rFonts w:ascii="Verdana" w:hAnsi="Verdana"/>
          <w:sz w:val="20"/>
          <w:szCs w:val="20"/>
        </w:rPr>
        <w:t>con</w:t>
      </w:r>
      <w:r w:rsidRPr="000D21C3">
        <w:rPr>
          <w:rFonts w:ascii="Verdana" w:hAnsi="Verdana"/>
          <w:sz w:val="20"/>
          <w:szCs w:val="20"/>
        </w:rPr>
        <w:t xml:space="preserve"> relación al tercer componente de la reparación bajo análisis (</w:t>
      </w:r>
      <w:r w:rsidRPr="000D21C3">
        <w:rPr>
          <w:rFonts w:ascii="Verdana" w:hAnsi="Verdana"/>
          <w:i/>
          <w:sz w:val="20"/>
          <w:szCs w:val="20"/>
        </w:rPr>
        <w:t>supra</w:t>
      </w:r>
      <w:r w:rsidRPr="000D21C3">
        <w:rPr>
          <w:rFonts w:ascii="Verdana" w:hAnsi="Verdana"/>
          <w:sz w:val="20"/>
          <w:szCs w:val="20"/>
        </w:rPr>
        <w:t xml:space="preserve"> considerando 5.iii), la Corte advierte que, de acuerdo a la información proporcionada por </w:t>
      </w:r>
      <w:r>
        <w:rPr>
          <w:rFonts w:ascii="Verdana" w:hAnsi="Verdana"/>
          <w:sz w:val="20"/>
          <w:szCs w:val="20"/>
        </w:rPr>
        <w:t>las partes</w:t>
      </w:r>
      <w:r w:rsidRPr="000D21C3">
        <w:rPr>
          <w:rFonts w:ascii="Verdana" w:hAnsi="Verdana"/>
          <w:sz w:val="20"/>
          <w:szCs w:val="20"/>
        </w:rPr>
        <w:t>, ninguna de las víctimas se encuentra sujeta a la libertad condicional. Ante la inexistencia de una controversia específica y actual entre las partes respecto a este extremo de la reparación, el Tribunal lo considera cumplido</w:t>
      </w:r>
      <w:r>
        <w:rPr>
          <w:rFonts w:ascii="Verdana" w:hAnsi="Verdana"/>
          <w:sz w:val="20"/>
          <w:szCs w:val="20"/>
        </w:rPr>
        <w:t>.</w:t>
      </w:r>
    </w:p>
    <w:p w14:paraId="38100CF3" w14:textId="77777777" w:rsidR="008975B0" w:rsidRPr="00B7380C" w:rsidRDefault="008975B0" w:rsidP="0011029F">
      <w:pPr>
        <w:pStyle w:val="Prrafodelista"/>
        <w:suppressLineNumbers/>
        <w:rPr>
          <w:rFonts w:ascii="Verdana" w:hAnsi="Verdana"/>
          <w:sz w:val="20"/>
          <w:szCs w:val="20"/>
        </w:rPr>
      </w:pPr>
    </w:p>
    <w:p w14:paraId="5ACD9A6C" w14:textId="6DBC10E1" w:rsidR="008975B0" w:rsidRPr="008A24C8" w:rsidRDefault="008975B0"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8A24C8">
        <w:rPr>
          <w:rFonts w:ascii="Verdana" w:hAnsi="Verdana"/>
          <w:sz w:val="20"/>
          <w:szCs w:val="20"/>
        </w:rPr>
        <w:t>Finalmente, respecto del componente relativo a la supresión de los antecedentes judiciales, administrativos, penales o policiales que existan en contra de las ocho víctimas en relación con las sentencias condenatorias por delitos de carácter terrorista (</w:t>
      </w:r>
      <w:r w:rsidRPr="008A24C8">
        <w:rPr>
          <w:rFonts w:ascii="Verdana" w:hAnsi="Verdana"/>
          <w:i/>
          <w:sz w:val="20"/>
          <w:szCs w:val="20"/>
        </w:rPr>
        <w:t>supra</w:t>
      </w:r>
      <w:r w:rsidRPr="008A24C8">
        <w:rPr>
          <w:rFonts w:ascii="Verdana" w:hAnsi="Verdana"/>
          <w:sz w:val="20"/>
          <w:szCs w:val="20"/>
        </w:rPr>
        <w:t xml:space="preserve"> Considerando 5.iv), el Estado solicitó al Tribunal que “</w:t>
      </w:r>
      <w:proofErr w:type="spellStart"/>
      <w:r w:rsidRPr="008A24C8">
        <w:rPr>
          <w:rFonts w:ascii="Verdana" w:hAnsi="Verdana"/>
          <w:sz w:val="20"/>
          <w:szCs w:val="20"/>
        </w:rPr>
        <w:t>recono</w:t>
      </w:r>
      <w:proofErr w:type="spellEnd"/>
      <w:r w:rsidRPr="008A24C8">
        <w:rPr>
          <w:rFonts w:ascii="Verdana" w:hAnsi="Verdana"/>
          <w:sz w:val="20"/>
          <w:szCs w:val="20"/>
        </w:rPr>
        <w:t>[</w:t>
      </w:r>
      <w:proofErr w:type="spellStart"/>
      <w:r w:rsidRPr="008A24C8">
        <w:rPr>
          <w:rFonts w:ascii="Verdana" w:hAnsi="Verdana"/>
          <w:sz w:val="20"/>
          <w:szCs w:val="20"/>
        </w:rPr>
        <w:t>zca</w:t>
      </w:r>
      <w:proofErr w:type="spellEnd"/>
      <w:r w:rsidRPr="008A24C8">
        <w:rPr>
          <w:rFonts w:ascii="Verdana" w:hAnsi="Verdana"/>
          <w:sz w:val="20"/>
          <w:szCs w:val="20"/>
        </w:rPr>
        <w:t>] los avances realizados” y que declare el cumplimiento de este aspecto de la reparación. Para acreditar lo anterior, el Estado aportó copias de certificaciones personalizadas extendidas por Carabineros de Chile a nombre de cada una de las ocho víctimas</w:t>
      </w:r>
      <w:r w:rsidR="00F919D8">
        <w:rPr>
          <w:rFonts w:ascii="Verdana" w:hAnsi="Verdana"/>
          <w:sz w:val="20"/>
          <w:szCs w:val="20"/>
        </w:rPr>
        <w:t>,</w:t>
      </w:r>
      <w:r w:rsidRPr="008A24C8">
        <w:rPr>
          <w:rFonts w:ascii="Verdana" w:hAnsi="Verdana"/>
          <w:sz w:val="20"/>
          <w:szCs w:val="20"/>
        </w:rPr>
        <w:t xml:space="preserve"> en las que consta que su titular “no registra antecedentes vigentes, en las bases de datos institucionales ‘Sistema repositorio de órdenes judiciales’ […ni en el…] ‘Sistema de registro civil e identificación – historia del sujeto policial, relativos a la Sentencia de la Corte Interamericana”</w:t>
      </w:r>
      <w:r w:rsidRPr="005637BD">
        <w:rPr>
          <w:rStyle w:val="Refdenotaalpie"/>
          <w:rFonts w:ascii="Verdana" w:hAnsi="Verdana"/>
          <w:sz w:val="20"/>
          <w:szCs w:val="20"/>
        </w:rPr>
        <w:footnoteReference w:id="38"/>
      </w:r>
      <w:r w:rsidRPr="008A24C8">
        <w:rPr>
          <w:rFonts w:ascii="Verdana" w:hAnsi="Verdana"/>
          <w:sz w:val="20"/>
          <w:szCs w:val="20"/>
        </w:rPr>
        <w:t xml:space="preserve">. Asimismo, también proporcionó una copia de una certificación emitida por la Policía de Investigaciones que acredita que “[habiendo sido] revisado[s] los registros institucionales […], [se] </w:t>
      </w:r>
      <w:proofErr w:type="spellStart"/>
      <w:r w:rsidRPr="008A24C8">
        <w:rPr>
          <w:rFonts w:ascii="Verdana" w:hAnsi="Verdana"/>
          <w:sz w:val="20"/>
          <w:szCs w:val="20"/>
        </w:rPr>
        <w:t>constat</w:t>
      </w:r>
      <w:proofErr w:type="spellEnd"/>
      <w:r w:rsidRPr="008A24C8">
        <w:rPr>
          <w:rFonts w:ascii="Verdana" w:hAnsi="Verdana"/>
          <w:sz w:val="20"/>
          <w:szCs w:val="20"/>
        </w:rPr>
        <w:t>[</w:t>
      </w:r>
      <w:proofErr w:type="spellStart"/>
      <w:r w:rsidRPr="008A24C8">
        <w:rPr>
          <w:rFonts w:ascii="Verdana" w:hAnsi="Verdana"/>
          <w:sz w:val="20"/>
          <w:szCs w:val="20"/>
        </w:rPr>
        <w:t>ó</w:t>
      </w:r>
      <w:proofErr w:type="spellEnd"/>
      <w:r w:rsidRPr="008A24C8">
        <w:rPr>
          <w:rFonts w:ascii="Verdana" w:hAnsi="Verdana"/>
          <w:sz w:val="20"/>
          <w:szCs w:val="20"/>
        </w:rPr>
        <w:t>] que fueron suprimidos [en] el año 2016 todos los antecedentes policiales y/o penales, que existían en contra de las ocho [víctimas] por las causas que dieron origen al proceso en sede internacional”</w:t>
      </w:r>
      <w:r w:rsidRPr="00530382">
        <w:rPr>
          <w:rStyle w:val="Refdenotaalpie"/>
          <w:rFonts w:ascii="Verdana" w:hAnsi="Verdana"/>
          <w:sz w:val="20"/>
          <w:szCs w:val="20"/>
        </w:rPr>
        <w:footnoteReference w:id="39"/>
      </w:r>
      <w:r w:rsidRPr="008A24C8">
        <w:rPr>
          <w:rFonts w:ascii="Verdana" w:hAnsi="Verdana"/>
          <w:sz w:val="20"/>
          <w:szCs w:val="20"/>
        </w:rPr>
        <w:t>. Adicionalmente, el Estado relató que, durante la audiencia pública que condujo la Corte Suprema de Chile en 2019,</w:t>
      </w:r>
      <w:r w:rsidR="00D2375A">
        <w:rPr>
          <w:rFonts w:ascii="Verdana" w:hAnsi="Verdana"/>
          <w:sz w:val="20"/>
          <w:szCs w:val="20"/>
        </w:rPr>
        <w:t xml:space="preserve"> “</w:t>
      </w:r>
      <w:r w:rsidRPr="008A24C8">
        <w:rPr>
          <w:rFonts w:ascii="Verdana" w:hAnsi="Verdana"/>
          <w:sz w:val="20"/>
          <w:szCs w:val="20"/>
        </w:rPr>
        <w:t xml:space="preserve">el representante de la Defensoría Penal Pública indicó que hoy en día cada una de las víctimas […] se encuentra en el contexto del artículo 11 número 6 del Código Penal, es decir de ‘irreprochable conducta anterior’, dando cuenta que la supresión de registros no solamente </w:t>
      </w:r>
      <w:proofErr w:type="spellStart"/>
      <w:r w:rsidRPr="008A24C8">
        <w:rPr>
          <w:rFonts w:ascii="Verdana" w:hAnsi="Verdana"/>
          <w:sz w:val="20"/>
          <w:szCs w:val="20"/>
        </w:rPr>
        <w:t>recay</w:t>
      </w:r>
      <w:proofErr w:type="spellEnd"/>
      <w:r w:rsidRPr="008A24C8">
        <w:rPr>
          <w:rFonts w:ascii="Verdana" w:hAnsi="Verdana"/>
          <w:sz w:val="20"/>
          <w:szCs w:val="20"/>
        </w:rPr>
        <w:t>[</w:t>
      </w:r>
      <w:proofErr w:type="spellStart"/>
      <w:r w:rsidRPr="008A24C8">
        <w:rPr>
          <w:rFonts w:ascii="Verdana" w:hAnsi="Verdana"/>
          <w:sz w:val="20"/>
          <w:szCs w:val="20"/>
        </w:rPr>
        <w:t>ó</w:t>
      </w:r>
      <w:proofErr w:type="spellEnd"/>
      <w:r w:rsidRPr="008A24C8">
        <w:rPr>
          <w:rFonts w:ascii="Verdana" w:hAnsi="Verdana"/>
          <w:sz w:val="20"/>
          <w:szCs w:val="20"/>
        </w:rPr>
        <w:t>] en la eliminación de las anotaciones penales de las causas referidas, sino también, a las penas accesorias impuestas”</w:t>
      </w:r>
      <w:r w:rsidRPr="00530382">
        <w:rPr>
          <w:rStyle w:val="Refdenotaalpie"/>
          <w:rFonts w:ascii="Verdana" w:hAnsi="Verdana"/>
          <w:sz w:val="20"/>
          <w:szCs w:val="20"/>
        </w:rPr>
        <w:footnoteReference w:id="40"/>
      </w:r>
      <w:r w:rsidRPr="008A24C8">
        <w:rPr>
          <w:rFonts w:ascii="Verdana" w:hAnsi="Verdana"/>
          <w:sz w:val="20"/>
          <w:szCs w:val="20"/>
        </w:rPr>
        <w:t xml:space="preserve">. Dicha información no fue objetada por los representantes. CEJIL y el representante Sergio Fuenzalida manifestaron que este aspecto de la reparación “se encuentra prácticamente </w:t>
      </w:r>
      <w:proofErr w:type="spellStart"/>
      <w:r w:rsidRPr="008A24C8">
        <w:rPr>
          <w:rFonts w:ascii="Verdana" w:hAnsi="Verdana"/>
          <w:sz w:val="20"/>
          <w:szCs w:val="20"/>
        </w:rPr>
        <w:t>satisfech</w:t>
      </w:r>
      <w:proofErr w:type="spellEnd"/>
      <w:r w:rsidRPr="008A24C8">
        <w:rPr>
          <w:rFonts w:ascii="Verdana" w:hAnsi="Verdana"/>
          <w:sz w:val="20"/>
          <w:szCs w:val="20"/>
        </w:rPr>
        <w:t xml:space="preserve">[o]”. Por su parte, la FIDH y la Comisión sostuvieron que el Estado ha omitido referirse a la eliminación de los antecedentes en “otros registros”, remarcando en particular </w:t>
      </w:r>
      <w:r w:rsidR="00F919D8">
        <w:rPr>
          <w:rFonts w:ascii="Verdana" w:hAnsi="Verdana"/>
          <w:sz w:val="20"/>
          <w:szCs w:val="20"/>
        </w:rPr>
        <w:t xml:space="preserve">el de </w:t>
      </w:r>
      <w:r w:rsidRPr="008A24C8">
        <w:rPr>
          <w:rFonts w:ascii="Verdana" w:hAnsi="Verdana"/>
          <w:sz w:val="20"/>
          <w:szCs w:val="20"/>
        </w:rPr>
        <w:t xml:space="preserve">la Agencia Nacional de Inteligencia. </w:t>
      </w:r>
    </w:p>
    <w:p w14:paraId="1CA9FA67" w14:textId="77777777" w:rsidR="008975B0" w:rsidRPr="00A31011" w:rsidRDefault="008975B0" w:rsidP="0011029F">
      <w:pPr>
        <w:pStyle w:val="Prrafodelista"/>
        <w:suppressLineNumbers/>
        <w:autoSpaceDE w:val="0"/>
        <w:autoSpaceDN w:val="0"/>
        <w:adjustRightInd w:val="0"/>
        <w:spacing w:after="0" w:line="240" w:lineRule="auto"/>
        <w:ind w:left="0"/>
        <w:jc w:val="both"/>
        <w:rPr>
          <w:rFonts w:ascii="Verdana" w:hAnsi="Verdana" w:cs="Times New Roman"/>
          <w:sz w:val="20"/>
          <w:szCs w:val="20"/>
        </w:rPr>
      </w:pPr>
    </w:p>
    <w:p w14:paraId="3FF7FABD" w14:textId="78A4CB59" w:rsidR="008975B0" w:rsidRPr="008A24C8" w:rsidRDefault="008975B0"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8A24C8">
        <w:rPr>
          <w:rFonts w:ascii="Verdana" w:hAnsi="Verdana"/>
          <w:sz w:val="20"/>
          <w:szCs w:val="20"/>
        </w:rPr>
        <w:t>La Corte recuerda que en 2018 constató que el Estado eliminó los antecedentes de siete diferentes registros públicos (</w:t>
      </w:r>
      <w:r w:rsidRPr="008A24C8">
        <w:rPr>
          <w:rFonts w:ascii="Verdana" w:hAnsi="Verdana"/>
          <w:i/>
          <w:sz w:val="20"/>
          <w:szCs w:val="20"/>
        </w:rPr>
        <w:t>supra</w:t>
      </w:r>
      <w:r w:rsidRPr="008A24C8">
        <w:rPr>
          <w:rFonts w:ascii="Verdana" w:hAnsi="Verdana"/>
          <w:sz w:val="20"/>
          <w:szCs w:val="20"/>
        </w:rPr>
        <w:t xml:space="preserve"> Considerando 6.d)</w:t>
      </w:r>
      <w:r w:rsidR="001117A7">
        <w:rPr>
          <w:rFonts w:ascii="Verdana" w:hAnsi="Verdana"/>
          <w:sz w:val="20"/>
          <w:szCs w:val="20"/>
        </w:rPr>
        <w:t xml:space="preserve"> y le solicitó determinada información. </w:t>
      </w:r>
      <w:r w:rsidRPr="008A24C8">
        <w:rPr>
          <w:rFonts w:ascii="Verdana" w:hAnsi="Verdana"/>
          <w:sz w:val="20"/>
          <w:szCs w:val="20"/>
        </w:rPr>
        <w:t>La Corte considera que son positivos los esfuerzos del Estado al proporcionar a cada una de las víctimas los certificados de Carabineros de Chile y de la Policía de Investigaciones</w:t>
      </w:r>
      <w:r w:rsidR="00F919D8">
        <w:rPr>
          <w:rFonts w:ascii="Verdana" w:hAnsi="Verdana"/>
          <w:sz w:val="20"/>
          <w:szCs w:val="20"/>
        </w:rPr>
        <w:t>,</w:t>
      </w:r>
      <w:r w:rsidRPr="008A24C8">
        <w:rPr>
          <w:rFonts w:ascii="Verdana" w:hAnsi="Verdana"/>
          <w:sz w:val="20"/>
          <w:szCs w:val="20"/>
        </w:rPr>
        <w:t xml:space="preserve"> en los cuales constan la falta de registros de antecedentes por los hechos que originaron las sentencias condenatorias en sus bases de datos, en </w:t>
      </w:r>
      <w:r w:rsidRPr="008A24C8">
        <w:rPr>
          <w:rFonts w:ascii="Verdana" w:hAnsi="Verdana"/>
          <w:sz w:val="20"/>
          <w:szCs w:val="20"/>
        </w:rPr>
        <w:lastRenderedPageBreak/>
        <w:t>respuesta a la solicitud efectuada por parte de los representantes de las víctimas y la Comisión Interamericana, recogida en la Resolución de 2018 (</w:t>
      </w:r>
      <w:r w:rsidRPr="008A24C8">
        <w:rPr>
          <w:rFonts w:ascii="Verdana" w:hAnsi="Verdana"/>
          <w:i/>
          <w:sz w:val="20"/>
          <w:szCs w:val="20"/>
        </w:rPr>
        <w:t>supra</w:t>
      </w:r>
      <w:r w:rsidRPr="008A24C8">
        <w:rPr>
          <w:rFonts w:ascii="Verdana" w:hAnsi="Verdana"/>
          <w:sz w:val="20"/>
          <w:szCs w:val="20"/>
        </w:rPr>
        <w:t xml:space="preserve"> Considerando 6.iv). Asimismo, advierte que en la documentación aportada se evidencia que el otorgamiento de ambas certificaciones se fundamenta en la Sentencia dictada por la Corte Interamericana, a la cual se hace mención expresa. A mayor abundamiento, el Tribunal constata que la certificación extendida por la Policía de Investigaciones menciona expresamente “que fueron suprimidos [en] el año 2016 todos los antecedentes policiales y/o penales, que existían en contra de las ocho [víctimas] por las causas que dieron origen al proceso en sede internacional”. </w:t>
      </w:r>
    </w:p>
    <w:p w14:paraId="275AFCC7" w14:textId="77777777" w:rsidR="008975B0" w:rsidRDefault="008975B0" w:rsidP="0011029F">
      <w:pPr>
        <w:suppressLineNumbers/>
        <w:autoSpaceDE w:val="0"/>
        <w:autoSpaceDN w:val="0"/>
        <w:adjustRightInd w:val="0"/>
        <w:spacing w:after="0" w:line="240" w:lineRule="auto"/>
        <w:jc w:val="both"/>
        <w:rPr>
          <w:rFonts w:ascii="Verdana" w:hAnsi="Verdana"/>
          <w:sz w:val="20"/>
          <w:szCs w:val="20"/>
        </w:rPr>
      </w:pPr>
    </w:p>
    <w:p w14:paraId="68A02925" w14:textId="5D8BE5A6" w:rsidR="008975B0" w:rsidRPr="00E8011F" w:rsidRDefault="008975B0"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cs="Times New Roman"/>
          <w:sz w:val="20"/>
          <w:szCs w:val="20"/>
        </w:rPr>
      </w:pPr>
      <w:r w:rsidRPr="00A31011">
        <w:rPr>
          <w:rFonts w:ascii="Verdana" w:hAnsi="Verdana"/>
          <w:sz w:val="20"/>
          <w:szCs w:val="20"/>
        </w:rPr>
        <w:t xml:space="preserve">Sin embargo, </w:t>
      </w:r>
      <w:r>
        <w:rPr>
          <w:rFonts w:ascii="Verdana" w:hAnsi="Verdana"/>
          <w:sz w:val="20"/>
          <w:szCs w:val="20"/>
        </w:rPr>
        <w:t xml:space="preserve">la Corte </w:t>
      </w:r>
      <w:r w:rsidR="00A35E9C">
        <w:rPr>
          <w:rFonts w:ascii="Verdana" w:hAnsi="Verdana"/>
          <w:sz w:val="20"/>
          <w:szCs w:val="20"/>
        </w:rPr>
        <w:t xml:space="preserve">encuentra necesario que el Estado acredite que no hay antecedentes en </w:t>
      </w:r>
      <w:r>
        <w:rPr>
          <w:rFonts w:ascii="Verdana" w:hAnsi="Verdana"/>
          <w:sz w:val="20"/>
          <w:szCs w:val="20"/>
        </w:rPr>
        <w:t>los registros pertenecientes a la Agencia Nacional de Inteligencia (</w:t>
      </w:r>
      <w:r w:rsidRPr="005301BE">
        <w:rPr>
          <w:rFonts w:ascii="Verdana" w:hAnsi="Verdana"/>
          <w:i/>
          <w:sz w:val="20"/>
          <w:szCs w:val="20"/>
        </w:rPr>
        <w:t xml:space="preserve">supra </w:t>
      </w:r>
      <w:r>
        <w:rPr>
          <w:rFonts w:ascii="Verdana" w:hAnsi="Verdana"/>
          <w:sz w:val="20"/>
          <w:szCs w:val="20"/>
        </w:rPr>
        <w:t>Considerando 15)</w:t>
      </w:r>
      <w:r w:rsidRPr="00E8011F">
        <w:rPr>
          <w:rFonts w:ascii="Verdana" w:hAnsi="Verdana"/>
          <w:sz w:val="20"/>
          <w:szCs w:val="20"/>
        </w:rPr>
        <w:t xml:space="preserve">. </w:t>
      </w:r>
    </w:p>
    <w:p w14:paraId="63575BE3" w14:textId="77777777" w:rsidR="008975B0" w:rsidRPr="00E8011F" w:rsidRDefault="008975B0" w:rsidP="0011029F">
      <w:pPr>
        <w:pStyle w:val="Prrafodelista"/>
        <w:suppressLineNumbers/>
        <w:autoSpaceDE w:val="0"/>
        <w:autoSpaceDN w:val="0"/>
        <w:adjustRightInd w:val="0"/>
        <w:spacing w:after="0" w:line="240" w:lineRule="auto"/>
        <w:ind w:left="0"/>
        <w:jc w:val="both"/>
        <w:rPr>
          <w:rFonts w:ascii="Verdana" w:hAnsi="Verdana" w:cs="Times New Roman"/>
          <w:sz w:val="20"/>
          <w:szCs w:val="20"/>
        </w:rPr>
      </w:pPr>
    </w:p>
    <w:p w14:paraId="296CFF70" w14:textId="6A962D8C" w:rsidR="008975B0" w:rsidRPr="00E8011F" w:rsidRDefault="008975B0" w:rsidP="0011029F">
      <w:pPr>
        <w:pStyle w:val="Prrafodelista"/>
        <w:numPr>
          <w:ilvl w:val="0"/>
          <w:numId w:val="5"/>
        </w:numPr>
        <w:suppressLineNumbers/>
        <w:autoSpaceDE w:val="0"/>
        <w:autoSpaceDN w:val="0"/>
        <w:adjustRightInd w:val="0"/>
        <w:spacing w:after="0" w:line="240" w:lineRule="auto"/>
        <w:ind w:left="0" w:firstLine="0"/>
        <w:jc w:val="both"/>
        <w:rPr>
          <w:sz w:val="20"/>
          <w:szCs w:val="20"/>
        </w:rPr>
      </w:pPr>
      <w:r w:rsidRPr="00E8011F">
        <w:rPr>
          <w:rFonts w:ascii="Verdana" w:hAnsi="Verdana"/>
          <w:sz w:val="20"/>
          <w:szCs w:val="20"/>
        </w:rPr>
        <w:t xml:space="preserve">En razón de los avances realizados por Chile, constatados tanto en la resolución de supervisión de 2018 como en los párrafos precedentes, la Corte considera que ha dado cumplimiento parcial a las medidas ordenadas en el punto resolutivo décimo sexto de la Sentencia. Para valorar el cumplimiento total de esta reparación, únicamente es necesario que Chile </w:t>
      </w:r>
      <w:r w:rsidR="00515B1E">
        <w:rPr>
          <w:rFonts w:ascii="Verdana" w:hAnsi="Verdana"/>
          <w:sz w:val="20"/>
          <w:szCs w:val="20"/>
        </w:rPr>
        <w:t xml:space="preserve">acredite que no </w:t>
      </w:r>
      <w:r w:rsidRPr="00E8011F">
        <w:rPr>
          <w:rFonts w:ascii="Verdana" w:hAnsi="Verdana"/>
          <w:sz w:val="20"/>
          <w:szCs w:val="20"/>
        </w:rPr>
        <w:t>existen en los registros de la Agencia Nacional de Inteligencia antecedentes de las víctimas derivados de los procesos penales por los cuales fueron condenados por delitos de terrorismo</w:t>
      </w:r>
      <w:r w:rsidR="00515B1E">
        <w:rPr>
          <w:rFonts w:ascii="Verdana" w:hAnsi="Verdana"/>
          <w:sz w:val="20"/>
          <w:szCs w:val="20"/>
        </w:rPr>
        <w:t>, lo cual puede hacerlo previo a la audiencia convocada en esta Resolución o durante la misma (</w:t>
      </w:r>
      <w:r w:rsidR="00515B1E" w:rsidRPr="00F82113">
        <w:rPr>
          <w:rFonts w:ascii="Verdana" w:hAnsi="Verdana"/>
          <w:i/>
          <w:sz w:val="20"/>
          <w:szCs w:val="20"/>
        </w:rPr>
        <w:t>infra</w:t>
      </w:r>
      <w:r w:rsidR="00515B1E">
        <w:rPr>
          <w:rFonts w:ascii="Verdana" w:hAnsi="Verdana"/>
          <w:sz w:val="20"/>
          <w:szCs w:val="20"/>
        </w:rPr>
        <w:t xml:space="preserve"> Considerando 55)</w:t>
      </w:r>
      <w:r w:rsidRPr="00E8011F">
        <w:rPr>
          <w:rFonts w:ascii="Verdana" w:hAnsi="Verdana"/>
          <w:sz w:val="20"/>
          <w:szCs w:val="20"/>
        </w:rPr>
        <w:t xml:space="preserve">. </w:t>
      </w:r>
    </w:p>
    <w:p w14:paraId="55903BB6" w14:textId="77777777" w:rsidR="008975B0" w:rsidRDefault="008975B0" w:rsidP="0011029F">
      <w:pPr>
        <w:pStyle w:val="Prrafodelista"/>
        <w:suppressLineNumbers/>
      </w:pPr>
    </w:p>
    <w:p w14:paraId="28CA8DF1" w14:textId="77777777" w:rsidR="00DF1272" w:rsidRDefault="00DF1272" w:rsidP="0011029F">
      <w:pPr>
        <w:pStyle w:val="Prrafodelista"/>
        <w:suppressLineNumbers/>
      </w:pPr>
    </w:p>
    <w:p w14:paraId="5AAF4A4C" w14:textId="3B3B39C9" w:rsidR="00895E47" w:rsidRPr="00197218" w:rsidRDefault="00895E47" w:rsidP="0011029F">
      <w:pPr>
        <w:pStyle w:val="Prrafodelista"/>
        <w:numPr>
          <w:ilvl w:val="0"/>
          <w:numId w:val="3"/>
        </w:numPr>
        <w:suppressLineNumbers/>
        <w:autoSpaceDE w:val="0"/>
        <w:autoSpaceDN w:val="0"/>
        <w:adjustRightInd w:val="0"/>
        <w:spacing w:after="0" w:line="240" w:lineRule="auto"/>
        <w:jc w:val="both"/>
        <w:outlineLvl w:val="0"/>
        <w:rPr>
          <w:rFonts w:ascii="Verdana" w:hAnsi="Verdana" w:cs="Times New Roman"/>
          <w:b/>
          <w:i/>
          <w:sz w:val="20"/>
          <w:szCs w:val="20"/>
          <w:lang w:val="pt-BR"/>
        </w:rPr>
      </w:pPr>
      <w:bookmarkStart w:id="1" w:name="_Toc66258558"/>
      <w:r w:rsidRPr="00197218">
        <w:rPr>
          <w:rFonts w:ascii="Verdana" w:hAnsi="Verdana" w:cs="Times New Roman"/>
          <w:b/>
          <w:i/>
          <w:sz w:val="20"/>
          <w:szCs w:val="20"/>
          <w:lang w:val="pt-BR"/>
        </w:rPr>
        <w:t xml:space="preserve">Brindar </w:t>
      </w:r>
      <w:proofErr w:type="spellStart"/>
      <w:r w:rsidRPr="0059661F">
        <w:rPr>
          <w:rFonts w:ascii="Verdana" w:hAnsi="Verdana" w:cs="Times New Roman"/>
          <w:b/>
          <w:i/>
          <w:sz w:val="20"/>
          <w:szCs w:val="20"/>
          <w:lang w:val="pt-BR"/>
        </w:rPr>
        <w:t>tratamiento</w:t>
      </w:r>
      <w:proofErr w:type="spellEnd"/>
      <w:r w:rsidRPr="00197218">
        <w:rPr>
          <w:rFonts w:ascii="Verdana" w:hAnsi="Verdana" w:cs="Times New Roman"/>
          <w:b/>
          <w:i/>
          <w:sz w:val="20"/>
          <w:szCs w:val="20"/>
          <w:lang w:val="pt-BR"/>
        </w:rPr>
        <w:t xml:space="preserve"> médico y psicológico o psiquiátrico</w:t>
      </w:r>
      <w:bookmarkEnd w:id="1"/>
    </w:p>
    <w:p w14:paraId="6A249894" w14:textId="6EF19703" w:rsidR="00895E47" w:rsidRPr="00197218" w:rsidRDefault="00895E47" w:rsidP="0011029F">
      <w:pPr>
        <w:suppressLineNumbers/>
        <w:autoSpaceDE w:val="0"/>
        <w:autoSpaceDN w:val="0"/>
        <w:adjustRightInd w:val="0"/>
        <w:spacing w:after="0" w:line="240" w:lineRule="auto"/>
        <w:jc w:val="both"/>
        <w:rPr>
          <w:rFonts w:ascii="Verdana" w:hAnsi="Verdana" w:cs="Times New Roman"/>
          <w:sz w:val="20"/>
          <w:szCs w:val="20"/>
          <w:lang w:val="pt-BR"/>
        </w:rPr>
      </w:pPr>
    </w:p>
    <w:p w14:paraId="453B3E08" w14:textId="5498F2B5" w:rsidR="00895E47" w:rsidRPr="009B3AD4" w:rsidRDefault="00895E47" w:rsidP="0011029F">
      <w:pPr>
        <w:suppressLineNumbers/>
        <w:tabs>
          <w:tab w:val="left" w:pos="709"/>
        </w:tabs>
        <w:autoSpaceDE w:val="0"/>
        <w:autoSpaceDN w:val="0"/>
        <w:adjustRightInd w:val="0"/>
        <w:spacing w:after="0" w:line="240" w:lineRule="auto"/>
        <w:ind w:firstLine="426"/>
        <w:jc w:val="both"/>
        <w:rPr>
          <w:rFonts w:ascii="Verdana" w:hAnsi="Verdana" w:cs="Times New Roman"/>
          <w:i/>
          <w:sz w:val="20"/>
          <w:szCs w:val="20"/>
        </w:rPr>
      </w:pPr>
      <w:r w:rsidRPr="009B3AD4">
        <w:rPr>
          <w:rFonts w:ascii="Verdana" w:hAnsi="Verdana" w:cs="Times New Roman"/>
          <w:i/>
          <w:sz w:val="20"/>
          <w:szCs w:val="20"/>
        </w:rPr>
        <w:t>B.1. Medida ordenada por la Corte</w:t>
      </w:r>
      <w:r w:rsidR="00581709">
        <w:rPr>
          <w:rFonts w:ascii="Verdana" w:hAnsi="Verdana" w:cs="Times New Roman"/>
          <w:i/>
          <w:sz w:val="20"/>
          <w:szCs w:val="20"/>
        </w:rPr>
        <w:t xml:space="preserve"> y supervisión realizada en resolución anterior</w:t>
      </w:r>
    </w:p>
    <w:p w14:paraId="76C67545" w14:textId="368DD14D" w:rsidR="00895E47" w:rsidRPr="009B3AD4" w:rsidRDefault="00895E47" w:rsidP="0011029F">
      <w:pPr>
        <w:suppressLineNumbers/>
        <w:autoSpaceDE w:val="0"/>
        <w:autoSpaceDN w:val="0"/>
        <w:adjustRightInd w:val="0"/>
        <w:spacing w:after="0" w:line="240" w:lineRule="auto"/>
        <w:jc w:val="both"/>
        <w:rPr>
          <w:rFonts w:ascii="Verdana" w:hAnsi="Verdana" w:cs="Times New Roman"/>
          <w:i/>
          <w:sz w:val="20"/>
          <w:szCs w:val="20"/>
        </w:rPr>
      </w:pPr>
    </w:p>
    <w:p w14:paraId="7486DA54" w14:textId="60DFF955" w:rsidR="00895E47" w:rsidRDefault="00895E47"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9B3AD4">
        <w:rPr>
          <w:rFonts w:ascii="Verdana" w:hAnsi="Verdana"/>
          <w:sz w:val="20"/>
          <w:szCs w:val="20"/>
        </w:rPr>
        <w:t>En el punto dispositivo décimo séptimo y en los párrafos 425 y 426 de la Sentencia, se dispuso que “el Estado debe brindar gratuitamente, a través de sus instituciones especializadas o personal de salud especializado, y de forma inmediata, adecuada y efectiva, el tratamiento médico y psicológico o psiquiátrico necesario</w:t>
      </w:r>
      <w:r w:rsidR="006F2408">
        <w:rPr>
          <w:rFonts w:ascii="Verdana" w:hAnsi="Verdana"/>
          <w:sz w:val="20"/>
          <w:szCs w:val="20"/>
        </w:rPr>
        <w:t>,</w:t>
      </w:r>
      <w:r w:rsidRPr="009B3AD4">
        <w:rPr>
          <w:rFonts w:ascii="Verdana" w:hAnsi="Verdana"/>
          <w:sz w:val="20"/>
          <w:szCs w:val="20"/>
        </w:rPr>
        <w:t xml:space="preserve"> a Segundo Aniceto </w:t>
      </w:r>
      <w:proofErr w:type="spellStart"/>
      <w:r w:rsidRPr="009B3AD4">
        <w:rPr>
          <w:rFonts w:ascii="Verdana" w:hAnsi="Verdana"/>
          <w:sz w:val="20"/>
          <w:szCs w:val="20"/>
        </w:rPr>
        <w:t>Norín</w:t>
      </w:r>
      <w:proofErr w:type="spellEnd"/>
      <w:r w:rsidRPr="009B3AD4">
        <w:rPr>
          <w:rFonts w:ascii="Verdana" w:hAnsi="Verdana"/>
          <w:sz w:val="20"/>
          <w:szCs w:val="20"/>
        </w:rPr>
        <w:t xml:space="preserve"> </w:t>
      </w:r>
      <w:proofErr w:type="spellStart"/>
      <w:r w:rsidRPr="009B3AD4">
        <w:rPr>
          <w:rFonts w:ascii="Verdana" w:hAnsi="Verdana"/>
          <w:sz w:val="20"/>
          <w:szCs w:val="20"/>
        </w:rPr>
        <w:t>Catrimán</w:t>
      </w:r>
      <w:proofErr w:type="spellEnd"/>
      <w:r w:rsidRPr="009B3AD4">
        <w:rPr>
          <w:rFonts w:ascii="Verdana" w:hAnsi="Verdana"/>
          <w:sz w:val="20"/>
          <w:szCs w:val="20"/>
        </w:rPr>
        <w:t xml:space="preserve">, Víctor Manuel </w:t>
      </w:r>
      <w:proofErr w:type="spellStart"/>
      <w:r w:rsidRPr="009B3AD4">
        <w:rPr>
          <w:rFonts w:ascii="Verdana" w:hAnsi="Verdana"/>
          <w:sz w:val="20"/>
          <w:szCs w:val="20"/>
        </w:rPr>
        <w:t>Ancalaf</w:t>
      </w:r>
      <w:proofErr w:type="spellEnd"/>
      <w:r w:rsidRPr="009B3AD4">
        <w:rPr>
          <w:rFonts w:ascii="Verdana" w:hAnsi="Verdana"/>
          <w:sz w:val="20"/>
          <w:szCs w:val="20"/>
        </w:rPr>
        <w:t xml:space="preserve"> </w:t>
      </w:r>
      <w:proofErr w:type="spellStart"/>
      <w:r w:rsidRPr="009B3AD4">
        <w:rPr>
          <w:rFonts w:ascii="Verdana" w:hAnsi="Verdana"/>
          <w:sz w:val="20"/>
          <w:szCs w:val="20"/>
        </w:rPr>
        <w:t>Llaupe</w:t>
      </w:r>
      <w:proofErr w:type="spellEnd"/>
      <w:r w:rsidRPr="009B3AD4">
        <w:rPr>
          <w:rFonts w:ascii="Verdana" w:hAnsi="Verdana"/>
          <w:sz w:val="20"/>
          <w:szCs w:val="20"/>
        </w:rPr>
        <w:t xml:space="preserve">, Florencio Jaime Marileo Saravia, Juan Patricio Marileo Saravia, José Benicio Huenchunao Mariñán, Juan Ciriaco </w:t>
      </w:r>
      <w:proofErr w:type="spellStart"/>
      <w:r w:rsidRPr="009B3AD4">
        <w:rPr>
          <w:rFonts w:ascii="Verdana" w:hAnsi="Verdana"/>
          <w:sz w:val="20"/>
          <w:szCs w:val="20"/>
        </w:rPr>
        <w:t>Millacheo</w:t>
      </w:r>
      <w:proofErr w:type="spellEnd"/>
      <w:r w:rsidRPr="009B3AD4">
        <w:rPr>
          <w:rFonts w:ascii="Verdana" w:hAnsi="Verdana"/>
          <w:sz w:val="20"/>
          <w:szCs w:val="20"/>
        </w:rPr>
        <w:t xml:space="preserve"> Licán y Patricia Roxana Troncoso Robles</w:t>
      </w:r>
      <w:r w:rsidRPr="009B3AD4">
        <w:rPr>
          <w:rStyle w:val="Refdenotaalpie"/>
          <w:rFonts w:ascii="Verdana" w:hAnsi="Verdana"/>
          <w:sz w:val="20"/>
          <w:szCs w:val="20"/>
        </w:rPr>
        <w:footnoteReference w:id="41"/>
      </w:r>
      <w:r w:rsidRPr="009B3AD4">
        <w:rPr>
          <w:rFonts w:ascii="Verdana" w:hAnsi="Verdana"/>
          <w:sz w:val="20"/>
          <w:szCs w:val="20"/>
        </w:rPr>
        <w:t>, previo consentimiento informado, incluyendo el suministro gratuito de los medicamentos que eventualmente se requieran, tomando en consideración los padecimientos de cada uno de ellos relacionados con el presente caso; así como, en su caso, el transporte, y otros gastos que sean estrictamente necesarios y estén directamente relacionados con la atención médica y psicológica”. Asimismo, se estableció que “[e]n el caso de que el Estado careciera de personal o de las instituciones que puedan proveer el nivel requerido de atención, deberá recurrir a instituciones privadas o de la sociedad civil especializadas”</w:t>
      </w:r>
      <w:r w:rsidR="009A7C3E">
        <w:rPr>
          <w:rFonts w:ascii="Verdana" w:hAnsi="Verdana"/>
          <w:sz w:val="20"/>
          <w:szCs w:val="20"/>
        </w:rPr>
        <w:t>.</w:t>
      </w:r>
      <w:r w:rsidRPr="009B3AD4">
        <w:rPr>
          <w:rFonts w:ascii="Verdana" w:hAnsi="Verdana"/>
          <w:sz w:val="20"/>
          <w:szCs w:val="20"/>
        </w:rPr>
        <w:t xml:space="preserve"> De igual manera, se dispuso que “los tratamientos respectivos deber[</w:t>
      </w:r>
      <w:proofErr w:type="spellStart"/>
      <w:r w:rsidRPr="009B3AD4">
        <w:rPr>
          <w:rFonts w:ascii="Verdana" w:hAnsi="Verdana"/>
          <w:sz w:val="20"/>
          <w:szCs w:val="20"/>
        </w:rPr>
        <w:t>ía</w:t>
      </w:r>
      <w:proofErr w:type="spellEnd"/>
      <w:r w:rsidRPr="009B3AD4">
        <w:rPr>
          <w:rFonts w:ascii="Verdana" w:hAnsi="Verdana"/>
          <w:sz w:val="20"/>
          <w:szCs w:val="20"/>
        </w:rPr>
        <w:t xml:space="preserve">]n prestarse, en la medida de lo posible, en los centros más cercanos a sus lugares de residencia en Chile por el tiempo que sea necesario”, y que “[a]l proveer el tratamiento se debe considerar, además, las circunstancias y necesidades particulares de cada víctima, también sus costumbres y tradiciones, según lo que se acuerde con cada una de ellas y después de una evaluación individual”. </w:t>
      </w:r>
      <w:r w:rsidR="00810976">
        <w:rPr>
          <w:rFonts w:ascii="Verdana" w:hAnsi="Verdana"/>
          <w:sz w:val="20"/>
          <w:szCs w:val="20"/>
        </w:rPr>
        <w:t xml:space="preserve">Asimismo, se dispuso de un plazo de seis meses contado a partir de la </w:t>
      </w:r>
      <w:r w:rsidR="00810976">
        <w:rPr>
          <w:rFonts w:ascii="Verdana" w:hAnsi="Verdana"/>
          <w:sz w:val="20"/>
          <w:szCs w:val="20"/>
        </w:rPr>
        <w:lastRenderedPageBreak/>
        <w:t>notificación de la Sentencia para que las personas beneficiarias confirmaran al Estado su anuencia a recibir la atención médica, psicológica o psiquiátrica.</w:t>
      </w:r>
    </w:p>
    <w:p w14:paraId="28F005FC" w14:textId="531F1279" w:rsidR="00124510" w:rsidRDefault="00124510" w:rsidP="0011029F">
      <w:pPr>
        <w:pStyle w:val="Prrafodelista"/>
        <w:suppressLineNumbers/>
        <w:autoSpaceDE w:val="0"/>
        <w:autoSpaceDN w:val="0"/>
        <w:adjustRightInd w:val="0"/>
        <w:spacing w:after="0" w:line="240" w:lineRule="auto"/>
        <w:ind w:left="0"/>
        <w:jc w:val="both"/>
        <w:rPr>
          <w:rFonts w:ascii="Verdana" w:hAnsi="Verdana"/>
          <w:sz w:val="20"/>
          <w:szCs w:val="20"/>
        </w:rPr>
      </w:pPr>
    </w:p>
    <w:p w14:paraId="5DBED9AF" w14:textId="5C36378E" w:rsidR="0003096C" w:rsidRDefault="00124510"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Pr>
          <w:rFonts w:ascii="Verdana" w:hAnsi="Verdana"/>
          <w:sz w:val="20"/>
          <w:szCs w:val="20"/>
        </w:rPr>
        <w:t xml:space="preserve">En la Resolución de noviembre de 2018, este Tribunal </w:t>
      </w:r>
      <w:r w:rsidR="00ED602E">
        <w:rPr>
          <w:rFonts w:ascii="Verdana" w:hAnsi="Verdana"/>
          <w:sz w:val="20"/>
          <w:szCs w:val="20"/>
        </w:rPr>
        <w:t xml:space="preserve">valoró positivamente </w:t>
      </w:r>
      <w:r w:rsidR="00942528">
        <w:rPr>
          <w:rFonts w:ascii="Verdana" w:hAnsi="Verdana"/>
          <w:sz w:val="20"/>
          <w:szCs w:val="20"/>
        </w:rPr>
        <w:t>“la elaboración y puesta en funcionamiento de un programa específico de atención para tal fin” denominado “Programa de Reparación Integral: Loncos [PRILONCOS]”</w:t>
      </w:r>
      <w:r w:rsidR="00135AA3">
        <w:rPr>
          <w:rFonts w:ascii="Verdana" w:hAnsi="Verdana"/>
          <w:sz w:val="20"/>
          <w:szCs w:val="20"/>
        </w:rPr>
        <w:t xml:space="preserve">, y requirió </w:t>
      </w:r>
      <w:r w:rsidR="00382EA6">
        <w:rPr>
          <w:rFonts w:ascii="Verdana" w:hAnsi="Verdana"/>
          <w:sz w:val="20"/>
          <w:szCs w:val="20"/>
        </w:rPr>
        <w:t>al</w:t>
      </w:r>
      <w:r w:rsidR="00657F60">
        <w:rPr>
          <w:rFonts w:ascii="Verdana" w:hAnsi="Verdana"/>
          <w:sz w:val="20"/>
          <w:szCs w:val="20"/>
        </w:rPr>
        <w:t xml:space="preserve"> Estado</w:t>
      </w:r>
      <w:r w:rsidR="00382EA6">
        <w:rPr>
          <w:rFonts w:ascii="Verdana" w:hAnsi="Verdana"/>
          <w:sz w:val="20"/>
          <w:szCs w:val="20"/>
        </w:rPr>
        <w:t xml:space="preserve"> que</w:t>
      </w:r>
      <w:r w:rsidR="00657F60">
        <w:rPr>
          <w:rFonts w:ascii="Verdana" w:hAnsi="Verdana"/>
          <w:sz w:val="20"/>
          <w:szCs w:val="20"/>
        </w:rPr>
        <w:t xml:space="preserve"> </w:t>
      </w:r>
      <w:r w:rsidR="00561DDF">
        <w:rPr>
          <w:rFonts w:ascii="Verdana" w:hAnsi="Verdana"/>
          <w:sz w:val="20"/>
          <w:szCs w:val="20"/>
        </w:rPr>
        <w:t>se refiriera</w:t>
      </w:r>
      <w:r w:rsidR="00657F60">
        <w:rPr>
          <w:rFonts w:ascii="Verdana" w:hAnsi="Verdana"/>
          <w:sz w:val="20"/>
          <w:szCs w:val="20"/>
        </w:rPr>
        <w:t xml:space="preserve"> “en forma actualizada y detallada </w:t>
      </w:r>
      <w:r w:rsidR="00561DDF">
        <w:rPr>
          <w:rFonts w:ascii="Verdana" w:hAnsi="Verdana"/>
          <w:sz w:val="20"/>
          <w:szCs w:val="20"/>
        </w:rPr>
        <w:t xml:space="preserve">a </w:t>
      </w:r>
      <w:r w:rsidR="00657F60">
        <w:rPr>
          <w:rFonts w:ascii="Verdana" w:hAnsi="Verdana"/>
          <w:sz w:val="20"/>
          <w:szCs w:val="20"/>
        </w:rPr>
        <w:t xml:space="preserve">los avances en la ejecución de esta reparación para cada una de </w:t>
      </w:r>
      <w:r w:rsidR="00135AA3">
        <w:rPr>
          <w:rFonts w:ascii="Verdana" w:hAnsi="Verdana"/>
          <w:sz w:val="20"/>
          <w:szCs w:val="20"/>
        </w:rPr>
        <w:t>las siete víctimas</w:t>
      </w:r>
      <w:r w:rsidR="00657F60">
        <w:rPr>
          <w:rFonts w:ascii="Verdana" w:hAnsi="Verdana"/>
          <w:sz w:val="20"/>
          <w:szCs w:val="20"/>
        </w:rPr>
        <w:t>”</w:t>
      </w:r>
      <w:r w:rsidR="0003096C">
        <w:rPr>
          <w:rFonts w:ascii="Verdana" w:hAnsi="Verdana"/>
          <w:sz w:val="20"/>
          <w:szCs w:val="20"/>
        </w:rPr>
        <w:t xml:space="preserve"> y, en particular, sobre las medidas adoptadas para otorgar</w:t>
      </w:r>
      <w:r w:rsidR="00561DDF">
        <w:rPr>
          <w:rFonts w:ascii="Verdana" w:hAnsi="Verdana"/>
          <w:sz w:val="20"/>
          <w:szCs w:val="20"/>
        </w:rPr>
        <w:t>les</w:t>
      </w:r>
      <w:r w:rsidR="0003096C">
        <w:rPr>
          <w:rFonts w:ascii="Verdana" w:hAnsi="Verdana"/>
          <w:sz w:val="20"/>
          <w:szCs w:val="20"/>
        </w:rPr>
        <w:t xml:space="preserve"> “un tratamiento diferenciado en relación con el trámite y procedimiento que debieran realizar para ser </w:t>
      </w:r>
      <w:proofErr w:type="spellStart"/>
      <w:r w:rsidR="0003096C">
        <w:rPr>
          <w:rFonts w:ascii="Verdana" w:hAnsi="Verdana"/>
          <w:sz w:val="20"/>
          <w:szCs w:val="20"/>
        </w:rPr>
        <w:t>atendid</w:t>
      </w:r>
      <w:proofErr w:type="spellEnd"/>
      <w:r w:rsidR="0003096C">
        <w:rPr>
          <w:rFonts w:ascii="Verdana" w:hAnsi="Verdana"/>
          <w:sz w:val="20"/>
          <w:szCs w:val="20"/>
        </w:rPr>
        <w:t>[a]s en los hospitales públicos”</w:t>
      </w:r>
      <w:r w:rsidR="0003096C">
        <w:rPr>
          <w:rStyle w:val="Refdenotaalpie"/>
          <w:rFonts w:ascii="Verdana" w:hAnsi="Verdana"/>
          <w:sz w:val="20"/>
          <w:szCs w:val="20"/>
        </w:rPr>
        <w:footnoteReference w:id="42"/>
      </w:r>
      <w:r w:rsidR="0003096C">
        <w:rPr>
          <w:rFonts w:ascii="Verdana" w:hAnsi="Verdana"/>
          <w:sz w:val="20"/>
          <w:szCs w:val="20"/>
        </w:rPr>
        <w:t>.</w:t>
      </w:r>
      <w:r w:rsidR="00810976">
        <w:rPr>
          <w:rFonts w:ascii="Verdana" w:hAnsi="Verdana"/>
          <w:sz w:val="20"/>
          <w:szCs w:val="20"/>
        </w:rPr>
        <w:t xml:space="preserve"> Adicionalmente, la Corte constató </w:t>
      </w:r>
      <w:r w:rsidR="00561DDF">
        <w:rPr>
          <w:rFonts w:ascii="Verdana" w:hAnsi="Verdana"/>
          <w:sz w:val="20"/>
          <w:szCs w:val="20"/>
        </w:rPr>
        <w:t xml:space="preserve">en dicha oportunidad </w:t>
      </w:r>
      <w:r w:rsidR="00810976">
        <w:rPr>
          <w:rFonts w:ascii="Verdana" w:hAnsi="Verdana"/>
          <w:sz w:val="20"/>
          <w:szCs w:val="20"/>
        </w:rPr>
        <w:t>que, dentro del plazo dispuesto en la Sentencia (</w:t>
      </w:r>
      <w:r w:rsidR="00810976" w:rsidRPr="009D4DFB">
        <w:rPr>
          <w:rFonts w:ascii="Verdana" w:hAnsi="Verdana"/>
          <w:i/>
          <w:sz w:val="20"/>
          <w:szCs w:val="20"/>
        </w:rPr>
        <w:t xml:space="preserve">supra </w:t>
      </w:r>
      <w:r w:rsidR="00810976">
        <w:rPr>
          <w:rFonts w:ascii="Verdana" w:hAnsi="Verdana"/>
          <w:sz w:val="20"/>
          <w:szCs w:val="20"/>
        </w:rPr>
        <w:t>Considerando 1</w:t>
      </w:r>
      <w:r w:rsidR="00561DDF">
        <w:rPr>
          <w:rFonts w:ascii="Verdana" w:hAnsi="Verdana"/>
          <w:sz w:val="20"/>
          <w:szCs w:val="20"/>
        </w:rPr>
        <w:t>9</w:t>
      </w:r>
      <w:r w:rsidR="00810976">
        <w:rPr>
          <w:rFonts w:ascii="Verdana" w:hAnsi="Verdana"/>
          <w:sz w:val="20"/>
          <w:szCs w:val="20"/>
        </w:rPr>
        <w:t>), las víctimas del caso expresaron su deseo de recibir atención médica, psicológica y/o psiquiátrica</w:t>
      </w:r>
      <w:r w:rsidR="00810976">
        <w:rPr>
          <w:rStyle w:val="Refdenotaalpie"/>
          <w:rFonts w:ascii="Verdana" w:hAnsi="Verdana"/>
          <w:sz w:val="20"/>
          <w:szCs w:val="20"/>
        </w:rPr>
        <w:footnoteReference w:id="43"/>
      </w:r>
      <w:r w:rsidR="00810976">
        <w:rPr>
          <w:rFonts w:ascii="Verdana" w:hAnsi="Verdana"/>
          <w:sz w:val="20"/>
          <w:szCs w:val="20"/>
        </w:rPr>
        <w:t xml:space="preserve">. </w:t>
      </w:r>
      <w:r w:rsidR="0003096C">
        <w:rPr>
          <w:rFonts w:ascii="Verdana" w:hAnsi="Verdana"/>
          <w:sz w:val="20"/>
          <w:szCs w:val="20"/>
        </w:rPr>
        <w:t xml:space="preserve"> </w:t>
      </w:r>
    </w:p>
    <w:p w14:paraId="522BFC0E" w14:textId="7E2B918E" w:rsidR="00614340" w:rsidRDefault="00614340" w:rsidP="0011029F">
      <w:pPr>
        <w:pStyle w:val="Prrafodelista"/>
        <w:suppressLineNumbers/>
        <w:rPr>
          <w:rFonts w:ascii="Verdana" w:hAnsi="Verdana"/>
          <w:sz w:val="20"/>
          <w:szCs w:val="20"/>
        </w:rPr>
      </w:pPr>
    </w:p>
    <w:p w14:paraId="31308CEF" w14:textId="112742F4" w:rsidR="00614340" w:rsidRPr="00614340" w:rsidRDefault="00614340" w:rsidP="0011029F">
      <w:pPr>
        <w:suppressLineNumbers/>
        <w:autoSpaceDE w:val="0"/>
        <w:autoSpaceDN w:val="0"/>
        <w:adjustRightInd w:val="0"/>
        <w:spacing w:after="0" w:line="240" w:lineRule="auto"/>
        <w:ind w:firstLine="708"/>
        <w:jc w:val="both"/>
        <w:rPr>
          <w:rFonts w:ascii="Verdana" w:hAnsi="Verdana"/>
          <w:i/>
          <w:sz w:val="20"/>
          <w:szCs w:val="20"/>
        </w:rPr>
      </w:pPr>
      <w:r w:rsidRPr="00614340">
        <w:rPr>
          <w:rFonts w:ascii="Verdana" w:hAnsi="Verdana"/>
          <w:i/>
          <w:sz w:val="20"/>
          <w:szCs w:val="20"/>
        </w:rPr>
        <w:t>B.2 Información y observaciones de las partes y de la Comisión Interamericana</w:t>
      </w:r>
    </w:p>
    <w:p w14:paraId="0317CF23" w14:textId="348DD552" w:rsidR="00614340" w:rsidRDefault="00614340" w:rsidP="0011029F">
      <w:pPr>
        <w:suppressLineNumbers/>
        <w:autoSpaceDE w:val="0"/>
        <w:autoSpaceDN w:val="0"/>
        <w:adjustRightInd w:val="0"/>
        <w:spacing w:after="0" w:line="240" w:lineRule="auto"/>
        <w:jc w:val="both"/>
        <w:rPr>
          <w:rFonts w:ascii="Verdana" w:hAnsi="Verdana"/>
          <w:sz w:val="20"/>
          <w:szCs w:val="20"/>
        </w:rPr>
      </w:pPr>
    </w:p>
    <w:p w14:paraId="150EE689" w14:textId="1F5E181C" w:rsidR="00D40057" w:rsidRDefault="00F201BE"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16"/>
        </w:rPr>
      </w:pPr>
      <w:r w:rsidRPr="00993F7D">
        <w:rPr>
          <w:rFonts w:ascii="Verdana" w:hAnsi="Verdana"/>
          <w:sz w:val="20"/>
          <w:szCs w:val="20"/>
        </w:rPr>
        <w:t>El Estado info</w:t>
      </w:r>
      <w:r w:rsidR="00BF4505" w:rsidRPr="00993F7D">
        <w:rPr>
          <w:rFonts w:ascii="Verdana" w:hAnsi="Verdana"/>
          <w:sz w:val="20"/>
          <w:szCs w:val="20"/>
        </w:rPr>
        <w:t>rmó</w:t>
      </w:r>
      <w:r w:rsidR="00F34B2B" w:rsidRPr="00993F7D">
        <w:rPr>
          <w:rFonts w:ascii="Verdana" w:hAnsi="Verdana"/>
          <w:sz w:val="20"/>
          <w:szCs w:val="20"/>
        </w:rPr>
        <w:t xml:space="preserve"> que ha continuado con la implementación </w:t>
      </w:r>
      <w:r w:rsidR="00BF4505" w:rsidRPr="00993F7D">
        <w:rPr>
          <w:rFonts w:ascii="Verdana" w:hAnsi="Verdana"/>
          <w:sz w:val="20"/>
          <w:szCs w:val="20"/>
        </w:rPr>
        <w:t xml:space="preserve">del </w:t>
      </w:r>
      <w:r w:rsidRPr="00993F7D">
        <w:rPr>
          <w:rFonts w:ascii="Verdana" w:hAnsi="Verdana"/>
          <w:sz w:val="20"/>
          <w:szCs w:val="20"/>
        </w:rPr>
        <w:t>P</w:t>
      </w:r>
      <w:r w:rsidR="0048356B" w:rsidRPr="00993F7D">
        <w:rPr>
          <w:rFonts w:ascii="Verdana" w:hAnsi="Verdana"/>
          <w:sz w:val="20"/>
          <w:szCs w:val="20"/>
        </w:rPr>
        <w:t>lan en reparación en salud</w:t>
      </w:r>
      <w:r w:rsidRPr="00993F7D">
        <w:rPr>
          <w:rFonts w:ascii="Verdana" w:hAnsi="Verdana"/>
          <w:sz w:val="20"/>
          <w:szCs w:val="20"/>
        </w:rPr>
        <w:t xml:space="preserve"> </w:t>
      </w:r>
      <w:r w:rsidR="00561DDF">
        <w:rPr>
          <w:rFonts w:ascii="Verdana" w:hAnsi="Verdana"/>
          <w:sz w:val="20"/>
          <w:szCs w:val="20"/>
        </w:rPr>
        <w:t>denominado</w:t>
      </w:r>
      <w:r w:rsidR="00742DF0">
        <w:rPr>
          <w:rFonts w:ascii="Verdana" w:hAnsi="Verdana"/>
          <w:sz w:val="20"/>
          <w:szCs w:val="20"/>
        </w:rPr>
        <w:t xml:space="preserve"> PRILONCOS</w:t>
      </w:r>
      <w:r w:rsidR="00AB5E70" w:rsidRPr="00993F7D">
        <w:rPr>
          <w:rStyle w:val="Refdenotaalpie"/>
          <w:rFonts w:ascii="Verdana" w:hAnsi="Verdana"/>
          <w:sz w:val="20"/>
          <w:szCs w:val="20"/>
        </w:rPr>
        <w:footnoteReference w:id="44"/>
      </w:r>
      <w:r w:rsidR="008A4018" w:rsidRPr="00993F7D">
        <w:rPr>
          <w:rFonts w:ascii="Verdana" w:hAnsi="Verdana"/>
          <w:sz w:val="20"/>
          <w:szCs w:val="20"/>
        </w:rPr>
        <w:t xml:space="preserve">, </w:t>
      </w:r>
      <w:r w:rsidR="00353564" w:rsidRPr="00993F7D">
        <w:rPr>
          <w:rFonts w:ascii="Verdana" w:hAnsi="Verdana"/>
          <w:sz w:val="20"/>
          <w:szCs w:val="20"/>
        </w:rPr>
        <w:t xml:space="preserve">y solicitó que se declare el cumplimiento total de la reparación. Sostuvo que dicho Plan </w:t>
      </w:r>
      <w:r w:rsidR="00274A39" w:rsidRPr="00993F7D">
        <w:rPr>
          <w:rFonts w:ascii="Verdana" w:hAnsi="Verdana"/>
          <w:sz w:val="20"/>
          <w:szCs w:val="20"/>
        </w:rPr>
        <w:t>cuenta</w:t>
      </w:r>
      <w:r w:rsidR="00742DF0">
        <w:rPr>
          <w:rFonts w:ascii="Verdana" w:hAnsi="Verdana"/>
          <w:sz w:val="20"/>
          <w:szCs w:val="20"/>
        </w:rPr>
        <w:t>,</w:t>
      </w:r>
      <w:r w:rsidR="00274A39" w:rsidRPr="00993F7D">
        <w:rPr>
          <w:rFonts w:ascii="Verdana" w:hAnsi="Verdana"/>
          <w:sz w:val="20"/>
          <w:szCs w:val="20"/>
        </w:rPr>
        <w:t xml:space="preserve"> </w:t>
      </w:r>
      <w:r w:rsidR="00742DF0" w:rsidRPr="00993F7D">
        <w:rPr>
          <w:rFonts w:ascii="Verdana" w:hAnsi="Verdana"/>
          <w:sz w:val="20"/>
          <w:szCs w:val="20"/>
        </w:rPr>
        <w:t>desde el año 2017</w:t>
      </w:r>
      <w:r w:rsidR="00742DF0">
        <w:rPr>
          <w:rFonts w:ascii="Verdana" w:hAnsi="Verdana"/>
          <w:sz w:val="20"/>
          <w:szCs w:val="20"/>
        </w:rPr>
        <w:t>,</w:t>
      </w:r>
      <w:r w:rsidR="00742DF0" w:rsidRPr="00993F7D">
        <w:rPr>
          <w:rFonts w:ascii="Verdana" w:hAnsi="Verdana"/>
          <w:sz w:val="20"/>
          <w:szCs w:val="20"/>
        </w:rPr>
        <w:t xml:space="preserve"> </w:t>
      </w:r>
      <w:r w:rsidR="00274A39" w:rsidRPr="00993F7D">
        <w:rPr>
          <w:rFonts w:ascii="Verdana" w:hAnsi="Verdana"/>
          <w:sz w:val="20"/>
          <w:szCs w:val="20"/>
        </w:rPr>
        <w:t xml:space="preserve">con recursos </w:t>
      </w:r>
      <w:r w:rsidR="00FD7626" w:rsidRPr="00993F7D">
        <w:rPr>
          <w:rFonts w:ascii="Verdana" w:hAnsi="Verdana"/>
          <w:sz w:val="20"/>
          <w:szCs w:val="20"/>
        </w:rPr>
        <w:t xml:space="preserve">financieros </w:t>
      </w:r>
      <w:r w:rsidR="00561DDF">
        <w:rPr>
          <w:rFonts w:ascii="Verdana" w:hAnsi="Verdana"/>
          <w:sz w:val="20"/>
          <w:szCs w:val="20"/>
        </w:rPr>
        <w:t>“exclusivos</w:t>
      </w:r>
      <w:r w:rsidR="008A4018" w:rsidRPr="00993F7D">
        <w:rPr>
          <w:rFonts w:ascii="Verdana" w:hAnsi="Verdana"/>
          <w:sz w:val="20"/>
          <w:szCs w:val="20"/>
        </w:rPr>
        <w:t xml:space="preserve"> para su ejecución</w:t>
      </w:r>
      <w:r w:rsidR="00561DDF">
        <w:rPr>
          <w:rFonts w:ascii="Verdana" w:hAnsi="Verdana"/>
          <w:sz w:val="20"/>
          <w:szCs w:val="20"/>
        </w:rPr>
        <w:t>”</w:t>
      </w:r>
      <w:r w:rsidR="00FD7626" w:rsidRPr="00993F7D">
        <w:rPr>
          <w:rFonts w:ascii="Verdana" w:hAnsi="Verdana"/>
          <w:sz w:val="20"/>
          <w:szCs w:val="20"/>
        </w:rPr>
        <w:t>,</w:t>
      </w:r>
      <w:r w:rsidR="00274A39" w:rsidRPr="00993F7D">
        <w:rPr>
          <w:rFonts w:ascii="Verdana" w:hAnsi="Verdana"/>
          <w:sz w:val="20"/>
          <w:szCs w:val="20"/>
        </w:rPr>
        <w:t xml:space="preserve"> que son asignados a través del “Programa Especial de Salud y Pueblos Indígenas del Ministerio de Salud”</w:t>
      </w:r>
      <w:r w:rsidR="00FD7626" w:rsidRPr="00993F7D">
        <w:rPr>
          <w:rFonts w:ascii="Verdana" w:hAnsi="Verdana"/>
          <w:sz w:val="20"/>
          <w:szCs w:val="20"/>
        </w:rPr>
        <w:t>,</w:t>
      </w:r>
      <w:r w:rsidR="005D7087" w:rsidRPr="00993F7D">
        <w:rPr>
          <w:rFonts w:ascii="Verdana" w:hAnsi="Verdana"/>
          <w:sz w:val="20"/>
          <w:szCs w:val="20"/>
        </w:rPr>
        <w:t xml:space="preserve"> </w:t>
      </w:r>
      <w:r w:rsidR="008A4018" w:rsidRPr="00993F7D">
        <w:rPr>
          <w:rFonts w:ascii="Verdana" w:hAnsi="Verdana"/>
          <w:sz w:val="20"/>
          <w:szCs w:val="20"/>
        </w:rPr>
        <w:t>y</w:t>
      </w:r>
      <w:r w:rsidR="005D7087" w:rsidRPr="00993F7D">
        <w:rPr>
          <w:rFonts w:ascii="Verdana" w:hAnsi="Verdana"/>
          <w:sz w:val="20"/>
          <w:szCs w:val="20"/>
        </w:rPr>
        <w:t xml:space="preserve"> cuya </w:t>
      </w:r>
      <w:r w:rsidR="00073139" w:rsidRPr="00993F7D">
        <w:rPr>
          <w:rFonts w:ascii="Verdana" w:hAnsi="Verdana"/>
          <w:sz w:val="20"/>
          <w:szCs w:val="20"/>
        </w:rPr>
        <w:t xml:space="preserve">modalidad de </w:t>
      </w:r>
      <w:r w:rsidR="005D7087" w:rsidRPr="00993F7D">
        <w:rPr>
          <w:rFonts w:ascii="Verdana" w:hAnsi="Verdana"/>
          <w:sz w:val="20"/>
          <w:szCs w:val="20"/>
        </w:rPr>
        <w:t>distribución “[da] cuenta de las propias realidades culturales y territoriales” de cada un</w:t>
      </w:r>
      <w:r w:rsidR="00073139" w:rsidRPr="00993F7D">
        <w:rPr>
          <w:rFonts w:ascii="Verdana" w:hAnsi="Verdana"/>
          <w:sz w:val="20"/>
          <w:szCs w:val="20"/>
        </w:rPr>
        <w:t>a de las víctimas beneficiarias</w:t>
      </w:r>
      <w:r w:rsidR="00274A39" w:rsidRPr="00A32447">
        <w:rPr>
          <w:rStyle w:val="Refdenotaalpie"/>
          <w:rFonts w:ascii="Verdana" w:hAnsi="Verdana"/>
          <w:sz w:val="20"/>
          <w:szCs w:val="20"/>
        </w:rPr>
        <w:footnoteReference w:id="45"/>
      </w:r>
      <w:r w:rsidR="00073139" w:rsidRPr="00993F7D">
        <w:rPr>
          <w:rFonts w:ascii="Verdana" w:hAnsi="Verdana"/>
          <w:sz w:val="20"/>
          <w:szCs w:val="20"/>
        </w:rPr>
        <w:t>.</w:t>
      </w:r>
      <w:r w:rsidR="005D7087" w:rsidRPr="00993F7D">
        <w:rPr>
          <w:rFonts w:ascii="Verdana" w:hAnsi="Verdana"/>
          <w:sz w:val="20"/>
          <w:szCs w:val="20"/>
        </w:rPr>
        <w:t xml:space="preserve"> </w:t>
      </w:r>
      <w:r w:rsidR="00331953" w:rsidRPr="00993F7D">
        <w:rPr>
          <w:rFonts w:ascii="Verdana" w:hAnsi="Verdana"/>
          <w:sz w:val="20"/>
          <w:szCs w:val="20"/>
        </w:rPr>
        <w:t xml:space="preserve">Precisó que el referido Plan se ejecuta en tres comunas del </w:t>
      </w:r>
      <w:r w:rsidR="00331953" w:rsidRPr="00993F7D">
        <w:rPr>
          <w:rFonts w:ascii="Verdana" w:hAnsi="Verdana"/>
          <w:sz w:val="20"/>
          <w:szCs w:val="20"/>
          <w:lang w:val="es-MX"/>
        </w:rPr>
        <w:t>Servicio de Salud Araucanía Norte y una comuna del Servicio de Salud Arauco, según donde residen las siete víctimas</w:t>
      </w:r>
      <w:r w:rsidR="00D53354">
        <w:rPr>
          <w:rFonts w:ascii="Verdana" w:hAnsi="Verdana"/>
          <w:sz w:val="20"/>
          <w:szCs w:val="20"/>
          <w:lang w:val="es-MX"/>
        </w:rPr>
        <w:t xml:space="preserve"> beneficiarias</w:t>
      </w:r>
      <w:r w:rsidR="00331953" w:rsidRPr="00993F7D">
        <w:rPr>
          <w:rFonts w:ascii="Verdana" w:hAnsi="Verdana"/>
          <w:sz w:val="20"/>
          <w:szCs w:val="20"/>
          <w:lang w:val="es-MX"/>
        </w:rPr>
        <w:t>.</w:t>
      </w:r>
      <w:r w:rsidR="00331953" w:rsidRPr="00993F7D">
        <w:rPr>
          <w:rFonts w:ascii="Verdana" w:hAnsi="Verdana"/>
          <w:sz w:val="16"/>
          <w:szCs w:val="16"/>
          <w:lang w:val="es-MX"/>
        </w:rPr>
        <w:t xml:space="preserve"> </w:t>
      </w:r>
      <w:r w:rsidR="00993F7D" w:rsidRPr="00007FE3">
        <w:rPr>
          <w:rFonts w:ascii="Verdana" w:hAnsi="Verdana"/>
          <w:sz w:val="20"/>
          <w:szCs w:val="16"/>
        </w:rPr>
        <w:t xml:space="preserve"> </w:t>
      </w:r>
    </w:p>
    <w:p w14:paraId="77CFBC37" w14:textId="77777777" w:rsidR="00F878BB" w:rsidRPr="00007FE3" w:rsidRDefault="00F878BB" w:rsidP="00F878BB">
      <w:pPr>
        <w:pStyle w:val="Prrafodelista"/>
        <w:suppressLineNumbers/>
        <w:autoSpaceDE w:val="0"/>
        <w:autoSpaceDN w:val="0"/>
        <w:adjustRightInd w:val="0"/>
        <w:spacing w:after="0" w:line="240" w:lineRule="auto"/>
        <w:ind w:left="0"/>
        <w:jc w:val="both"/>
        <w:rPr>
          <w:rFonts w:ascii="Verdana" w:hAnsi="Verdana"/>
          <w:sz w:val="20"/>
          <w:szCs w:val="16"/>
        </w:rPr>
      </w:pPr>
    </w:p>
    <w:p w14:paraId="5CCA2CCB" w14:textId="0FAB017A" w:rsidR="0068518A" w:rsidRPr="00B371BC" w:rsidRDefault="00D40057"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16"/>
        </w:rPr>
      </w:pPr>
      <w:r w:rsidRPr="00B371BC">
        <w:rPr>
          <w:rFonts w:ascii="Verdana" w:hAnsi="Verdana"/>
          <w:sz w:val="20"/>
          <w:szCs w:val="16"/>
        </w:rPr>
        <w:t>Adicionalmente, el Estado describió diversas características del Programa. En cuanto a su funcionamiento, indicó que</w:t>
      </w:r>
      <w:r w:rsidR="00DD222D" w:rsidRPr="00B371BC">
        <w:rPr>
          <w:rFonts w:ascii="Verdana" w:hAnsi="Verdana"/>
          <w:sz w:val="20"/>
          <w:szCs w:val="16"/>
        </w:rPr>
        <w:t xml:space="preserve"> “la atención médica es gratuita</w:t>
      </w:r>
      <w:r w:rsidR="00B371BC">
        <w:rPr>
          <w:rFonts w:ascii="Verdana" w:hAnsi="Verdana"/>
          <w:sz w:val="20"/>
          <w:szCs w:val="16"/>
        </w:rPr>
        <w:t>”</w:t>
      </w:r>
      <w:r w:rsidR="00DD222D" w:rsidRPr="00B371BC">
        <w:rPr>
          <w:rFonts w:ascii="Verdana" w:hAnsi="Verdana"/>
          <w:sz w:val="20"/>
          <w:szCs w:val="16"/>
        </w:rPr>
        <w:t xml:space="preserve">, </w:t>
      </w:r>
      <w:r w:rsidR="002915AF">
        <w:rPr>
          <w:rFonts w:ascii="Verdana" w:hAnsi="Verdana"/>
          <w:sz w:val="20"/>
          <w:szCs w:val="16"/>
        </w:rPr>
        <w:t>para lo cual</w:t>
      </w:r>
      <w:r w:rsidRPr="00B371BC">
        <w:rPr>
          <w:rFonts w:ascii="Verdana" w:hAnsi="Verdana"/>
          <w:sz w:val="20"/>
          <w:szCs w:val="16"/>
        </w:rPr>
        <w:t xml:space="preserve"> el respectivo Servicio de Salud “</w:t>
      </w:r>
      <w:r w:rsidRPr="00B371BC">
        <w:rPr>
          <w:rFonts w:ascii="Verdana" w:hAnsi="Verdana" w:cs="Times New Roman"/>
          <w:color w:val="080809"/>
          <w:sz w:val="20"/>
          <w:szCs w:val="16"/>
        </w:rPr>
        <w:t xml:space="preserve">realiza la coordinación y gestiona las horas otorgando preferencia a las que son requeridas en el marco del Plan </w:t>
      </w:r>
      <w:proofErr w:type="spellStart"/>
      <w:r w:rsidRPr="00B371BC">
        <w:rPr>
          <w:rFonts w:ascii="Verdana" w:hAnsi="Verdana" w:cs="Times New Roman"/>
          <w:color w:val="080809"/>
          <w:sz w:val="20"/>
          <w:szCs w:val="16"/>
        </w:rPr>
        <w:t>Pri</w:t>
      </w:r>
      <w:proofErr w:type="spellEnd"/>
      <w:r w:rsidRPr="00B371BC">
        <w:rPr>
          <w:rFonts w:ascii="Verdana" w:hAnsi="Verdana" w:cs="Times New Roman"/>
          <w:color w:val="080809"/>
          <w:sz w:val="20"/>
          <w:szCs w:val="16"/>
        </w:rPr>
        <w:t xml:space="preserve"> </w:t>
      </w:r>
      <w:proofErr w:type="spellStart"/>
      <w:r w:rsidRPr="00B371BC">
        <w:rPr>
          <w:rFonts w:ascii="Verdana" w:hAnsi="Verdana" w:cs="Times New Roman"/>
          <w:color w:val="080809"/>
          <w:sz w:val="20"/>
          <w:szCs w:val="16"/>
        </w:rPr>
        <w:t>Lonkos</w:t>
      </w:r>
      <w:proofErr w:type="spellEnd"/>
      <w:r w:rsidR="00624EFC" w:rsidRPr="00B371BC">
        <w:rPr>
          <w:rFonts w:ascii="Verdana" w:hAnsi="Verdana" w:cs="Times New Roman"/>
          <w:color w:val="080809"/>
          <w:sz w:val="20"/>
          <w:szCs w:val="16"/>
        </w:rPr>
        <w:t>”,</w:t>
      </w:r>
      <w:r w:rsidR="00DD222D" w:rsidRPr="00B371BC">
        <w:rPr>
          <w:rFonts w:ascii="Verdana" w:hAnsi="Verdana" w:cs="Times New Roman"/>
          <w:color w:val="080809"/>
          <w:sz w:val="20"/>
          <w:szCs w:val="16"/>
        </w:rPr>
        <w:t xml:space="preserve"> “en un período de tiempo razonable para dar respuesta a las víctimas” y </w:t>
      </w:r>
      <w:r w:rsidR="00624EFC" w:rsidRPr="00B371BC">
        <w:rPr>
          <w:rFonts w:ascii="Verdana" w:hAnsi="Verdana" w:cs="Times New Roman"/>
          <w:color w:val="080809"/>
          <w:sz w:val="20"/>
          <w:szCs w:val="16"/>
        </w:rPr>
        <w:t>priorizando la atención en la red de salud pública</w:t>
      </w:r>
      <w:r w:rsidRPr="00B371BC">
        <w:rPr>
          <w:rFonts w:ascii="Verdana" w:hAnsi="Verdana" w:cs="Times New Roman"/>
          <w:color w:val="080809"/>
          <w:sz w:val="20"/>
          <w:szCs w:val="16"/>
        </w:rPr>
        <w:t>.</w:t>
      </w:r>
      <w:r w:rsidR="00624EFC" w:rsidRPr="00B371BC">
        <w:rPr>
          <w:rFonts w:ascii="Verdana" w:hAnsi="Verdana" w:cs="Times New Roman"/>
          <w:color w:val="080809"/>
          <w:sz w:val="20"/>
          <w:szCs w:val="16"/>
        </w:rPr>
        <w:t xml:space="preserve"> </w:t>
      </w:r>
      <w:r w:rsidR="00007FE3">
        <w:rPr>
          <w:rFonts w:ascii="Verdana" w:hAnsi="Verdana" w:cs="Times New Roman"/>
          <w:color w:val="080809"/>
          <w:sz w:val="20"/>
          <w:szCs w:val="16"/>
        </w:rPr>
        <w:t>Precisó que, d</w:t>
      </w:r>
      <w:r w:rsidR="00624EFC" w:rsidRPr="00B371BC">
        <w:rPr>
          <w:rFonts w:ascii="Verdana" w:hAnsi="Verdana" w:cs="Times New Roman"/>
          <w:color w:val="080809"/>
          <w:sz w:val="20"/>
          <w:szCs w:val="16"/>
        </w:rPr>
        <w:t>e ser necesario, se ha acudido al sistema de salud privado r</w:t>
      </w:r>
      <w:r w:rsidR="00B371BC">
        <w:rPr>
          <w:rFonts w:ascii="Verdana" w:hAnsi="Verdana" w:cs="Times New Roman"/>
          <w:color w:val="080809"/>
          <w:sz w:val="20"/>
          <w:szCs w:val="16"/>
        </w:rPr>
        <w:t>especto a</w:t>
      </w:r>
      <w:r w:rsidRPr="00B371BC">
        <w:rPr>
          <w:rFonts w:ascii="Verdana" w:hAnsi="Verdana" w:cs="Times New Roman"/>
          <w:color w:val="080809"/>
          <w:sz w:val="20"/>
          <w:szCs w:val="16"/>
        </w:rPr>
        <w:t xml:space="preserve"> </w:t>
      </w:r>
      <w:r w:rsidR="00624EFC" w:rsidRPr="00B371BC">
        <w:rPr>
          <w:rFonts w:ascii="Verdana" w:hAnsi="Verdana" w:cs="Times New Roman"/>
          <w:color w:val="080809"/>
          <w:sz w:val="20"/>
          <w:szCs w:val="16"/>
        </w:rPr>
        <w:t>“</w:t>
      </w:r>
      <w:r w:rsidRPr="00B371BC">
        <w:rPr>
          <w:rFonts w:ascii="Verdana" w:hAnsi="Verdana" w:cs="Times New Roman"/>
          <w:color w:val="080809"/>
          <w:sz w:val="20"/>
          <w:szCs w:val="16"/>
        </w:rPr>
        <w:t xml:space="preserve">las prestaciones de mayor complejidad, como horas de especialidades médicas </w:t>
      </w:r>
      <w:r w:rsidRPr="00B371BC">
        <w:rPr>
          <w:rFonts w:ascii="Verdana" w:hAnsi="Verdana" w:cs="Arial"/>
          <w:color w:val="080809"/>
          <w:sz w:val="20"/>
          <w:szCs w:val="16"/>
        </w:rPr>
        <w:t xml:space="preserve">y </w:t>
      </w:r>
      <w:r w:rsidRPr="00B371BC">
        <w:rPr>
          <w:rFonts w:ascii="Verdana" w:hAnsi="Verdana" w:cs="Times New Roman"/>
          <w:color w:val="080809"/>
          <w:sz w:val="20"/>
          <w:szCs w:val="16"/>
        </w:rPr>
        <w:t>odontológicas</w:t>
      </w:r>
      <w:r w:rsidR="00624EFC" w:rsidRPr="00B371BC">
        <w:rPr>
          <w:rFonts w:ascii="Verdana" w:hAnsi="Verdana" w:cs="Times New Roman"/>
          <w:color w:val="080809"/>
          <w:sz w:val="20"/>
          <w:szCs w:val="16"/>
        </w:rPr>
        <w:t>,</w:t>
      </w:r>
      <w:r w:rsidRPr="00B371BC">
        <w:rPr>
          <w:rFonts w:ascii="Verdana" w:hAnsi="Verdana" w:cs="Times New Roman"/>
          <w:color w:val="080809"/>
          <w:sz w:val="20"/>
          <w:szCs w:val="16"/>
        </w:rPr>
        <w:t xml:space="preserve"> […] </w:t>
      </w:r>
      <w:r w:rsidR="00624EFC" w:rsidRPr="00B371BC">
        <w:rPr>
          <w:rFonts w:ascii="Verdana" w:hAnsi="Verdana" w:cs="Times New Roman"/>
          <w:color w:val="080809"/>
          <w:sz w:val="20"/>
          <w:szCs w:val="16"/>
        </w:rPr>
        <w:t>r</w:t>
      </w:r>
      <w:r w:rsidRPr="00B371BC">
        <w:rPr>
          <w:rFonts w:ascii="Verdana" w:hAnsi="Verdana" w:cs="Times New Roman"/>
          <w:color w:val="080809"/>
          <w:sz w:val="20"/>
          <w:szCs w:val="16"/>
        </w:rPr>
        <w:t xml:space="preserve">ealización de exámenes y compra de medicamentos”. </w:t>
      </w:r>
      <w:r w:rsidR="00DD222D" w:rsidRPr="00B371BC">
        <w:rPr>
          <w:rFonts w:ascii="Verdana" w:hAnsi="Verdana" w:cs="Times New Roman"/>
          <w:color w:val="080809"/>
          <w:sz w:val="20"/>
          <w:szCs w:val="16"/>
        </w:rPr>
        <w:t xml:space="preserve">Respecto a la accesibilidad a la atención sanitaria, el Estado </w:t>
      </w:r>
      <w:r w:rsidR="002815D3" w:rsidRPr="00B371BC">
        <w:rPr>
          <w:rFonts w:ascii="Verdana" w:hAnsi="Verdana" w:cs="Times New Roman"/>
          <w:color w:val="080809"/>
          <w:sz w:val="20"/>
          <w:szCs w:val="16"/>
        </w:rPr>
        <w:t xml:space="preserve">refirió </w:t>
      </w:r>
      <w:r w:rsidR="00DD222D" w:rsidRPr="00B371BC">
        <w:rPr>
          <w:rFonts w:ascii="Verdana" w:hAnsi="Verdana" w:cs="Times New Roman"/>
          <w:color w:val="080809"/>
          <w:sz w:val="20"/>
          <w:szCs w:val="16"/>
        </w:rPr>
        <w:t>que ha identificado “</w:t>
      </w:r>
      <w:r w:rsidR="002815D3" w:rsidRPr="00B371BC">
        <w:rPr>
          <w:rFonts w:ascii="Verdana" w:hAnsi="Verdana" w:cs="Times New Roman"/>
          <w:color w:val="080809"/>
          <w:sz w:val="20"/>
          <w:szCs w:val="16"/>
        </w:rPr>
        <w:t>[</w:t>
      </w:r>
      <w:r w:rsidR="00DD222D" w:rsidRPr="00B371BC">
        <w:rPr>
          <w:rFonts w:ascii="Verdana" w:hAnsi="Verdana" w:cs="Times New Roman"/>
          <w:color w:val="080809"/>
          <w:sz w:val="20"/>
          <w:szCs w:val="16"/>
        </w:rPr>
        <w:t>a</w:t>
      </w:r>
      <w:r w:rsidR="002815D3" w:rsidRPr="00B371BC">
        <w:rPr>
          <w:rFonts w:ascii="Verdana" w:hAnsi="Verdana" w:cs="Times New Roman"/>
          <w:color w:val="080809"/>
          <w:sz w:val="20"/>
          <w:szCs w:val="16"/>
        </w:rPr>
        <w:t>]</w:t>
      </w:r>
      <w:r w:rsidR="00DD222D" w:rsidRPr="00B371BC">
        <w:rPr>
          <w:rFonts w:ascii="Verdana" w:hAnsi="Verdana" w:cs="Times New Roman"/>
          <w:color w:val="080809"/>
          <w:sz w:val="20"/>
          <w:szCs w:val="16"/>
        </w:rPr>
        <w:t xml:space="preserve"> las personas beneficiadas en la condición </w:t>
      </w:r>
      <w:proofErr w:type="spellStart"/>
      <w:r w:rsidR="00DD222D" w:rsidRPr="00B371BC">
        <w:rPr>
          <w:rFonts w:ascii="Verdana" w:hAnsi="Verdana" w:cs="Times New Roman"/>
          <w:color w:val="080809"/>
          <w:sz w:val="20"/>
          <w:szCs w:val="16"/>
        </w:rPr>
        <w:t>Pri</w:t>
      </w:r>
      <w:proofErr w:type="spellEnd"/>
      <w:r w:rsidR="00DD222D" w:rsidRPr="00B371BC">
        <w:rPr>
          <w:rFonts w:ascii="Verdana" w:hAnsi="Verdana" w:cs="Times New Roman"/>
          <w:color w:val="080809"/>
          <w:sz w:val="20"/>
          <w:szCs w:val="16"/>
        </w:rPr>
        <w:t xml:space="preserve"> </w:t>
      </w:r>
      <w:proofErr w:type="spellStart"/>
      <w:r w:rsidR="00DD222D" w:rsidRPr="00B371BC">
        <w:rPr>
          <w:rFonts w:ascii="Verdana" w:hAnsi="Verdana" w:cs="Times New Roman"/>
          <w:color w:val="080809"/>
          <w:sz w:val="20"/>
          <w:szCs w:val="16"/>
        </w:rPr>
        <w:t>Lonkos</w:t>
      </w:r>
      <w:proofErr w:type="spellEnd"/>
      <w:r w:rsidR="00DD222D" w:rsidRPr="00B371BC">
        <w:rPr>
          <w:rFonts w:ascii="Verdana" w:hAnsi="Verdana" w:cs="Times New Roman"/>
          <w:color w:val="080809"/>
          <w:sz w:val="20"/>
          <w:szCs w:val="16"/>
        </w:rPr>
        <w:t xml:space="preserve"> en el FONASA</w:t>
      </w:r>
      <w:r w:rsidR="0072693A">
        <w:rPr>
          <w:rFonts w:ascii="Verdana" w:hAnsi="Verdana" w:cs="Times New Roman"/>
          <w:color w:val="080809"/>
          <w:sz w:val="20"/>
          <w:szCs w:val="16"/>
        </w:rPr>
        <w:t xml:space="preserve"> [Fondo Nacional de Salud]</w:t>
      </w:r>
      <w:r w:rsidR="00DD222D" w:rsidRPr="00B371BC">
        <w:rPr>
          <w:rFonts w:ascii="Verdana" w:hAnsi="Verdana" w:cs="Times New Roman"/>
          <w:color w:val="080809"/>
          <w:sz w:val="20"/>
          <w:szCs w:val="16"/>
        </w:rPr>
        <w:t>”</w:t>
      </w:r>
      <w:r w:rsidR="002815D3">
        <w:rPr>
          <w:rStyle w:val="Refdenotaalpie"/>
          <w:rFonts w:ascii="Verdana" w:hAnsi="Verdana" w:cs="Times New Roman"/>
          <w:color w:val="080809"/>
          <w:sz w:val="20"/>
          <w:szCs w:val="16"/>
        </w:rPr>
        <w:footnoteReference w:id="46"/>
      </w:r>
      <w:r w:rsidR="002815D3" w:rsidRPr="00B371BC">
        <w:rPr>
          <w:rFonts w:ascii="Verdana" w:hAnsi="Verdana" w:cs="Times New Roman"/>
          <w:color w:val="080809"/>
          <w:sz w:val="20"/>
          <w:szCs w:val="16"/>
        </w:rPr>
        <w:t xml:space="preserve"> y “en todos los sistemas informáticos del Servicio de Salud Araucanía Norte y Arauco”</w:t>
      </w:r>
      <w:r w:rsidR="0068518A" w:rsidRPr="00B371BC">
        <w:rPr>
          <w:rFonts w:ascii="Verdana" w:hAnsi="Verdana" w:cs="Times New Roman"/>
          <w:color w:val="080809"/>
          <w:sz w:val="20"/>
          <w:szCs w:val="16"/>
        </w:rPr>
        <w:t xml:space="preserve">, </w:t>
      </w:r>
      <w:r w:rsidR="002815D3" w:rsidRPr="00B371BC">
        <w:rPr>
          <w:rFonts w:ascii="Verdana" w:hAnsi="Verdana" w:cs="Times New Roman"/>
          <w:color w:val="080809"/>
          <w:sz w:val="20"/>
          <w:szCs w:val="16"/>
        </w:rPr>
        <w:t xml:space="preserve">ha difundido tanto la Sentencia como el Plan </w:t>
      </w:r>
      <w:proofErr w:type="spellStart"/>
      <w:r w:rsidR="002815D3" w:rsidRPr="00B371BC">
        <w:rPr>
          <w:rFonts w:ascii="Verdana" w:hAnsi="Verdana" w:cs="Times New Roman"/>
          <w:color w:val="080809"/>
          <w:sz w:val="20"/>
          <w:szCs w:val="16"/>
        </w:rPr>
        <w:t>Pri</w:t>
      </w:r>
      <w:proofErr w:type="spellEnd"/>
      <w:r w:rsidR="002815D3" w:rsidRPr="00B371BC">
        <w:rPr>
          <w:rFonts w:ascii="Verdana" w:hAnsi="Verdana" w:cs="Times New Roman"/>
          <w:color w:val="080809"/>
          <w:sz w:val="20"/>
          <w:szCs w:val="16"/>
        </w:rPr>
        <w:t xml:space="preserve"> </w:t>
      </w:r>
      <w:proofErr w:type="spellStart"/>
      <w:r w:rsidR="002815D3" w:rsidRPr="00B371BC">
        <w:rPr>
          <w:rFonts w:ascii="Verdana" w:hAnsi="Verdana" w:cs="Times New Roman"/>
          <w:color w:val="080809"/>
          <w:sz w:val="20"/>
          <w:szCs w:val="16"/>
        </w:rPr>
        <w:t>Lonkos</w:t>
      </w:r>
      <w:proofErr w:type="spellEnd"/>
      <w:r w:rsidR="002815D3" w:rsidRPr="00B371BC">
        <w:rPr>
          <w:rFonts w:ascii="Verdana" w:hAnsi="Verdana" w:cs="Times New Roman"/>
          <w:color w:val="080809"/>
          <w:sz w:val="20"/>
          <w:szCs w:val="16"/>
        </w:rPr>
        <w:t xml:space="preserve"> en el ámbito sanitario</w:t>
      </w:r>
      <w:r w:rsidR="002815D3">
        <w:rPr>
          <w:rStyle w:val="Refdenotaalpie"/>
          <w:rFonts w:ascii="Verdana" w:hAnsi="Verdana" w:cs="Times New Roman"/>
          <w:color w:val="080809"/>
          <w:sz w:val="20"/>
          <w:szCs w:val="16"/>
        </w:rPr>
        <w:footnoteReference w:id="47"/>
      </w:r>
      <w:r w:rsidR="0068518A" w:rsidRPr="00B371BC">
        <w:rPr>
          <w:rFonts w:ascii="Verdana" w:hAnsi="Verdana" w:cs="Times New Roman"/>
          <w:color w:val="080809"/>
          <w:sz w:val="20"/>
          <w:szCs w:val="16"/>
        </w:rPr>
        <w:t xml:space="preserve">, y gestiona el traslado de las víctimas a los centros de salud </w:t>
      </w:r>
      <w:r w:rsidR="0068518A" w:rsidRPr="00B371BC">
        <w:rPr>
          <w:rFonts w:ascii="Verdana" w:hAnsi="Verdana" w:cs="Times New Roman"/>
          <w:color w:val="080809"/>
          <w:sz w:val="20"/>
          <w:szCs w:val="16"/>
        </w:rPr>
        <w:lastRenderedPageBreak/>
        <w:t>correspondientes</w:t>
      </w:r>
      <w:r w:rsidR="001A4AE8">
        <w:rPr>
          <w:rStyle w:val="Refdenotaalpie"/>
          <w:rFonts w:ascii="Verdana" w:hAnsi="Verdana" w:cs="Times New Roman"/>
          <w:color w:val="080809"/>
          <w:sz w:val="20"/>
          <w:szCs w:val="16"/>
        </w:rPr>
        <w:footnoteReference w:id="48"/>
      </w:r>
      <w:r w:rsidR="002815D3" w:rsidRPr="00B371BC">
        <w:rPr>
          <w:rFonts w:ascii="Verdana" w:hAnsi="Verdana" w:cs="Times New Roman"/>
          <w:color w:val="080809"/>
          <w:sz w:val="20"/>
          <w:szCs w:val="16"/>
        </w:rPr>
        <w:t xml:space="preserve">. </w:t>
      </w:r>
      <w:r w:rsidR="0068518A" w:rsidRPr="00B371BC">
        <w:rPr>
          <w:rFonts w:ascii="Verdana" w:hAnsi="Verdana" w:cs="Times New Roman"/>
          <w:color w:val="080809"/>
          <w:sz w:val="20"/>
          <w:szCs w:val="16"/>
        </w:rPr>
        <w:t xml:space="preserve">Asimismo, sostuvo que </w:t>
      </w:r>
      <w:r w:rsidR="00F53846">
        <w:rPr>
          <w:rFonts w:ascii="Verdana" w:hAnsi="Verdana" w:cs="Times New Roman"/>
          <w:color w:val="080809"/>
          <w:sz w:val="20"/>
          <w:szCs w:val="16"/>
        </w:rPr>
        <w:t>se han realizado d</w:t>
      </w:r>
      <w:r w:rsidR="00F53846" w:rsidRPr="00A32447">
        <w:rPr>
          <w:rFonts w:ascii="Verdana" w:hAnsi="Verdana"/>
          <w:sz w:val="20"/>
          <w:szCs w:val="20"/>
        </w:rPr>
        <w:t xml:space="preserve">iversas acciones </w:t>
      </w:r>
      <w:r w:rsidR="00F53846">
        <w:rPr>
          <w:rFonts w:ascii="Verdana" w:hAnsi="Verdana"/>
          <w:sz w:val="20"/>
          <w:szCs w:val="20"/>
        </w:rPr>
        <w:t>p</w:t>
      </w:r>
      <w:r w:rsidR="00F53846" w:rsidRPr="00A32447">
        <w:rPr>
          <w:rFonts w:ascii="Verdana" w:hAnsi="Verdana"/>
          <w:sz w:val="20"/>
          <w:szCs w:val="20"/>
        </w:rPr>
        <w:t>ara garantizar la pert</w:t>
      </w:r>
      <w:r w:rsidR="00FE22A2">
        <w:rPr>
          <w:rFonts w:ascii="Verdana" w:hAnsi="Verdana"/>
          <w:sz w:val="20"/>
          <w:szCs w:val="20"/>
        </w:rPr>
        <w:t>i</w:t>
      </w:r>
      <w:r w:rsidR="00F53846" w:rsidRPr="00A32447">
        <w:rPr>
          <w:rFonts w:ascii="Verdana" w:hAnsi="Verdana"/>
          <w:sz w:val="20"/>
          <w:szCs w:val="20"/>
        </w:rPr>
        <w:t>nencia cultural de la atención sanitaria</w:t>
      </w:r>
      <w:r w:rsidR="00F53846">
        <w:rPr>
          <w:rFonts w:ascii="Verdana" w:hAnsi="Verdana" w:cs="Times New Roman"/>
          <w:color w:val="080809"/>
          <w:sz w:val="20"/>
          <w:szCs w:val="16"/>
        </w:rPr>
        <w:t>, entre ellas, la promoción de</w:t>
      </w:r>
      <w:r w:rsidR="00B371BC" w:rsidRPr="00B371BC">
        <w:rPr>
          <w:rFonts w:ascii="Verdana" w:hAnsi="Verdana" w:cs="Times New Roman"/>
          <w:color w:val="080809"/>
          <w:sz w:val="20"/>
          <w:szCs w:val="16"/>
        </w:rPr>
        <w:t xml:space="preserve"> la participación de las autoridades tradicionales para orientar sobre “cómo se debe incorporar la cosmovisión del Pueblo Mapuche en las atenciones [médicas]”</w:t>
      </w:r>
      <w:r w:rsidR="006C7CF8">
        <w:rPr>
          <w:rFonts w:ascii="Verdana" w:hAnsi="Verdana" w:cs="Times New Roman"/>
          <w:color w:val="080809"/>
          <w:sz w:val="20"/>
          <w:szCs w:val="16"/>
        </w:rPr>
        <w:t xml:space="preserve"> y </w:t>
      </w:r>
      <w:r w:rsidR="00F53846">
        <w:rPr>
          <w:rFonts w:ascii="Verdana" w:hAnsi="Verdana" w:cs="Times New Roman"/>
          <w:color w:val="080809"/>
          <w:sz w:val="20"/>
          <w:szCs w:val="16"/>
        </w:rPr>
        <w:t>en la contratación de los equipos médicos de atención</w:t>
      </w:r>
      <w:r w:rsidR="00F45DDD">
        <w:rPr>
          <w:rFonts w:ascii="Verdana" w:hAnsi="Verdana" w:cs="Times New Roman"/>
          <w:color w:val="080809"/>
          <w:sz w:val="20"/>
          <w:szCs w:val="16"/>
        </w:rPr>
        <w:t xml:space="preserve"> “en el nivel primario”</w:t>
      </w:r>
      <w:r w:rsidR="00F53846">
        <w:rPr>
          <w:rFonts w:ascii="Verdana" w:hAnsi="Verdana" w:cs="Times New Roman"/>
          <w:color w:val="080809"/>
          <w:sz w:val="20"/>
          <w:szCs w:val="16"/>
        </w:rPr>
        <w:t xml:space="preserve"> que </w:t>
      </w:r>
      <w:r w:rsidR="00F45DDD">
        <w:rPr>
          <w:rFonts w:ascii="Verdana" w:hAnsi="Verdana" w:cs="Times New Roman"/>
          <w:color w:val="080809"/>
          <w:sz w:val="20"/>
          <w:szCs w:val="16"/>
        </w:rPr>
        <w:t xml:space="preserve">resuelven consultas </w:t>
      </w:r>
      <w:r w:rsidR="00F53846">
        <w:rPr>
          <w:rFonts w:ascii="Verdana" w:hAnsi="Verdana" w:cs="Times New Roman"/>
          <w:color w:val="080809"/>
          <w:sz w:val="20"/>
          <w:szCs w:val="16"/>
        </w:rPr>
        <w:t>en los territorios,</w:t>
      </w:r>
      <w:r w:rsidR="00F53846" w:rsidRPr="00F53846">
        <w:rPr>
          <w:rFonts w:ascii="Verdana" w:hAnsi="Verdana"/>
          <w:b/>
          <w:sz w:val="20"/>
          <w:szCs w:val="20"/>
        </w:rPr>
        <w:t xml:space="preserve"> </w:t>
      </w:r>
      <w:r w:rsidR="00F53846">
        <w:rPr>
          <w:rFonts w:ascii="Verdana" w:hAnsi="Verdana" w:cs="Times New Roman"/>
          <w:color w:val="080809"/>
          <w:sz w:val="20"/>
          <w:szCs w:val="16"/>
        </w:rPr>
        <w:t>así como la cobertura de</w:t>
      </w:r>
      <w:r w:rsidR="00B371BC" w:rsidRPr="00B371BC">
        <w:rPr>
          <w:rFonts w:ascii="Verdana" w:hAnsi="Verdana" w:cs="Times New Roman"/>
          <w:color w:val="080809"/>
          <w:sz w:val="20"/>
          <w:szCs w:val="16"/>
        </w:rPr>
        <w:t xml:space="preserve"> medicinas alternativas </w:t>
      </w:r>
      <w:r w:rsidR="00361044">
        <w:rPr>
          <w:rFonts w:ascii="Verdana" w:hAnsi="Verdana" w:cs="Times New Roman"/>
          <w:color w:val="080809"/>
          <w:sz w:val="20"/>
          <w:szCs w:val="16"/>
        </w:rPr>
        <w:t xml:space="preserve">tales </w:t>
      </w:r>
      <w:r w:rsidR="00B371BC" w:rsidRPr="00B371BC">
        <w:rPr>
          <w:rFonts w:ascii="Verdana" w:hAnsi="Verdana" w:cs="Times New Roman"/>
          <w:color w:val="080809"/>
          <w:sz w:val="20"/>
          <w:szCs w:val="16"/>
        </w:rPr>
        <w:t xml:space="preserve">como la naturopatía, </w:t>
      </w:r>
      <w:r w:rsidR="00FE22A2">
        <w:rPr>
          <w:rFonts w:ascii="Verdana" w:hAnsi="Verdana" w:cs="Times New Roman"/>
          <w:color w:val="080809"/>
          <w:sz w:val="20"/>
          <w:szCs w:val="16"/>
        </w:rPr>
        <w:t xml:space="preserve">y la atención </w:t>
      </w:r>
      <w:r w:rsidR="00B371BC" w:rsidRPr="00B371BC">
        <w:rPr>
          <w:rFonts w:ascii="Verdana" w:hAnsi="Verdana" w:cs="Times New Roman"/>
          <w:color w:val="080809"/>
          <w:sz w:val="20"/>
          <w:szCs w:val="16"/>
        </w:rPr>
        <w:t>d</w:t>
      </w:r>
      <w:r w:rsidR="005B258E">
        <w:rPr>
          <w:rFonts w:ascii="Verdana" w:hAnsi="Verdana" w:cs="Times New Roman"/>
          <w:color w:val="080809"/>
          <w:sz w:val="20"/>
          <w:szCs w:val="16"/>
        </w:rPr>
        <w:t>e una facilitadora intercultural</w:t>
      </w:r>
      <w:r w:rsidR="00B371BC">
        <w:rPr>
          <w:rStyle w:val="Refdenotaalpie"/>
          <w:rFonts w:ascii="Verdana" w:hAnsi="Verdana" w:cs="Times New Roman"/>
          <w:color w:val="080809"/>
          <w:sz w:val="20"/>
          <w:szCs w:val="16"/>
        </w:rPr>
        <w:footnoteReference w:id="49"/>
      </w:r>
      <w:r w:rsidR="006C7CF8">
        <w:rPr>
          <w:rFonts w:ascii="Verdana" w:hAnsi="Verdana" w:cs="Times New Roman"/>
          <w:color w:val="080809"/>
          <w:sz w:val="20"/>
          <w:szCs w:val="16"/>
        </w:rPr>
        <w:t>,</w:t>
      </w:r>
      <w:r w:rsidR="005B258E">
        <w:rPr>
          <w:rFonts w:ascii="Verdana" w:hAnsi="Verdana" w:cs="Times New Roman"/>
          <w:color w:val="080809"/>
          <w:sz w:val="20"/>
          <w:szCs w:val="16"/>
        </w:rPr>
        <w:t xml:space="preserve"> </w:t>
      </w:r>
      <w:r w:rsidR="00FE22A2">
        <w:rPr>
          <w:rFonts w:ascii="Verdana" w:hAnsi="Verdana" w:cs="Times New Roman"/>
          <w:color w:val="080809"/>
          <w:sz w:val="20"/>
          <w:szCs w:val="16"/>
        </w:rPr>
        <w:t xml:space="preserve">de </w:t>
      </w:r>
      <w:r w:rsidR="005B258E">
        <w:rPr>
          <w:rFonts w:ascii="Verdana" w:hAnsi="Verdana" w:cs="Times New Roman"/>
          <w:color w:val="080809"/>
          <w:sz w:val="20"/>
          <w:szCs w:val="16"/>
        </w:rPr>
        <w:t>especialistas del sistema médico mapuche</w:t>
      </w:r>
      <w:r w:rsidR="006C7CF8">
        <w:rPr>
          <w:rStyle w:val="Refdenotaalpie"/>
          <w:rFonts w:ascii="Verdana" w:hAnsi="Verdana"/>
          <w:sz w:val="20"/>
          <w:szCs w:val="20"/>
        </w:rPr>
        <w:footnoteReference w:id="50"/>
      </w:r>
      <w:r w:rsidR="006C7CF8">
        <w:rPr>
          <w:rFonts w:ascii="Verdana" w:hAnsi="Verdana" w:cs="Times New Roman"/>
          <w:color w:val="080809"/>
          <w:sz w:val="20"/>
          <w:szCs w:val="16"/>
        </w:rPr>
        <w:t xml:space="preserve"> y </w:t>
      </w:r>
      <w:r w:rsidR="00FE22A2">
        <w:rPr>
          <w:rFonts w:ascii="Verdana" w:hAnsi="Verdana" w:cs="Times New Roman"/>
          <w:color w:val="080809"/>
          <w:sz w:val="20"/>
          <w:szCs w:val="16"/>
        </w:rPr>
        <w:t xml:space="preserve">de </w:t>
      </w:r>
      <w:r w:rsidR="006C7CF8">
        <w:rPr>
          <w:rFonts w:ascii="Verdana" w:hAnsi="Verdana" w:cs="Times New Roman"/>
          <w:color w:val="080809"/>
          <w:sz w:val="20"/>
          <w:szCs w:val="16"/>
        </w:rPr>
        <w:t>equipos de salud interculturales</w:t>
      </w:r>
      <w:r w:rsidR="00F53846" w:rsidRPr="00A32447">
        <w:rPr>
          <w:rStyle w:val="Refdenotaalpie"/>
          <w:rFonts w:ascii="Verdana" w:hAnsi="Verdana"/>
          <w:sz w:val="20"/>
          <w:szCs w:val="20"/>
        </w:rPr>
        <w:footnoteReference w:id="51"/>
      </w:r>
      <w:r w:rsidR="00F53846">
        <w:rPr>
          <w:rFonts w:ascii="Verdana" w:hAnsi="Verdana" w:cs="Times New Roman"/>
          <w:color w:val="080809"/>
          <w:sz w:val="20"/>
          <w:szCs w:val="16"/>
        </w:rPr>
        <w:t xml:space="preserve">. </w:t>
      </w:r>
    </w:p>
    <w:p w14:paraId="602753B9" w14:textId="77777777" w:rsidR="00DD222D" w:rsidRPr="00DD222D" w:rsidRDefault="00DD222D" w:rsidP="0011029F">
      <w:pPr>
        <w:pStyle w:val="Prrafodelista"/>
        <w:suppressLineNumbers/>
        <w:rPr>
          <w:rFonts w:ascii="Verdana" w:hAnsi="Verdana"/>
          <w:sz w:val="20"/>
          <w:szCs w:val="16"/>
        </w:rPr>
      </w:pPr>
    </w:p>
    <w:p w14:paraId="20BBB440" w14:textId="1D1ECBA8" w:rsidR="001E1B83" w:rsidRPr="006C7CF8" w:rsidRDefault="001A4AE8"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b/>
          <w:sz w:val="20"/>
          <w:szCs w:val="20"/>
        </w:rPr>
      </w:pPr>
      <w:r>
        <w:rPr>
          <w:rFonts w:ascii="Verdana" w:hAnsi="Verdana"/>
          <w:sz w:val="20"/>
          <w:szCs w:val="20"/>
        </w:rPr>
        <w:t>En este orden de cosas, e</w:t>
      </w:r>
      <w:r w:rsidR="001E1B83" w:rsidRPr="001E1B83">
        <w:rPr>
          <w:rFonts w:ascii="Verdana" w:hAnsi="Verdana"/>
          <w:sz w:val="20"/>
          <w:szCs w:val="20"/>
        </w:rPr>
        <w:t>l Estado presentó</w:t>
      </w:r>
      <w:r w:rsidR="002915AF">
        <w:rPr>
          <w:rFonts w:ascii="Verdana" w:hAnsi="Verdana"/>
          <w:sz w:val="20"/>
          <w:szCs w:val="20"/>
        </w:rPr>
        <w:t xml:space="preserve"> </w:t>
      </w:r>
      <w:r w:rsidR="001E1B83" w:rsidRPr="001E1B83">
        <w:rPr>
          <w:rFonts w:ascii="Verdana" w:hAnsi="Verdana"/>
          <w:sz w:val="20"/>
          <w:szCs w:val="20"/>
        </w:rPr>
        <w:t>información específica sobre la atención sanitaria que ha</w:t>
      </w:r>
      <w:r w:rsidR="002915AF">
        <w:rPr>
          <w:rFonts w:ascii="Verdana" w:hAnsi="Verdana"/>
          <w:sz w:val="20"/>
          <w:szCs w:val="20"/>
        </w:rPr>
        <w:t>n</w:t>
      </w:r>
      <w:r w:rsidR="001E1B83" w:rsidRPr="001E1B83">
        <w:rPr>
          <w:rFonts w:ascii="Verdana" w:hAnsi="Verdana"/>
          <w:sz w:val="20"/>
          <w:szCs w:val="20"/>
        </w:rPr>
        <w:t xml:space="preserve"> recibido cada una de las siete víctimas beneficiarias de esta reparación </w:t>
      </w:r>
      <w:r w:rsidR="00331953">
        <w:rPr>
          <w:rFonts w:ascii="Verdana" w:hAnsi="Verdana"/>
          <w:sz w:val="20"/>
          <w:szCs w:val="20"/>
        </w:rPr>
        <w:t xml:space="preserve">en los años </w:t>
      </w:r>
      <w:r w:rsidR="001E1B83" w:rsidRPr="001E1B83">
        <w:rPr>
          <w:rFonts w:ascii="Verdana" w:hAnsi="Verdana"/>
          <w:sz w:val="20"/>
          <w:szCs w:val="20"/>
        </w:rPr>
        <w:t>2018</w:t>
      </w:r>
      <w:r w:rsidR="00331953">
        <w:rPr>
          <w:rFonts w:ascii="Verdana" w:hAnsi="Verdana"/>
          <w:sz w:val="20"/>
          <w:szCs w:val="20"/>
        </w:rPr>
        <w:t xml:space="preserve"> y 2019</w:t>
      </w:r>
      <w:r>
        <w:rPr>
          <w:rFonts w:ascii="Verdana" w:hAnsi="Verdana"/>
          <w:sz w:val="20"/>
          <w:szCs w:val="20"/>
        </w:rPr>
        <w:t>, que han incluido consultas en la red pública y en la red privada de centros de salud, en este último caso mediante el sistema de reembolso.</w:t>
      </w:r>
      <w:r w:rsidR="006C7CF8">
        <w:rPr>
          <w:rFonts w:ascii="Verdana" w:hAnsi="Verdana"/>
          <w:sz w:val="20"/>
          <w:szCs w:val="20"/>
        </w:rPr>
        <w:t xml:space="preserve"> </w:t>
      </w:r>
    </w:p>
    <w:p w14:paraId="114D8DA4" w14:textId="5F6A97CE" w:rsidR="009E1E74" w:rsidRDefault="009E1E74" w:rsidP="0011029F">
      <w:pPr>
        <w:suppressLineNumbers/>
        <w:autoSpaceDE w:val="0"/>
        <w:autoSpaceDN w:val="0"/>
        <w:adjustRightInd w:val="0"/>
        <w:spacing w:after="0" w:line="240" w:lineRule="auto"/>
        <w:jc w:val="both"/>
        <w:rPr>
          <w:rFonts w:ascii="Verdana" w:hAnsi="Verdana"/>
          <w:sz w:val="20"/>
          <w:szCs w:val="20"/>
        </w:rPr>
      </w:pPr>
    </w:p>
    <w:p w14:paraId="186DB99C" w14:textId="1BAD9E04" w:rsidR="00A96390" w:rsidRPr="00A96390" w:rsidRDefault="00B0413F"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A96390">
        <w:rPr>
          <w:rFonts w:ascii="Verdana" w:hAnsi="Verdana"/>
          <w:sz w:val="20"/>
        </w:rPr>
        <w:t>Los</w:t>
      </w:r>
      <w:r w:rsidR="00CE7C9C" w:rsidRPr="00A96390">
        <w:rPr>
          <w:rFonts w:ascii="Verdana" w:hAnsi="Verdana"/>
          <w:sz w:val="20"/>
        </w:rPr>
        <w:t xml:space="preserve"> representantes de las v</w:t>
      </w:r>
      <w:r w:rsidRPr="00A96390">
        <w:rPr>
          <w:rFonts w:ascii="Verdana" w:hAnsi="Verdana"/>
          <w:sz w:val="20"/>
        </w:rPr>
        <w:t xml:space="preserve">íctimas </w:t>
      </w:r>
      <w:r w:rsidR="00CE7C9C" w:rsidRPr="00A96390">
        <w:rPr>
          <w:rFonts w:ascii="Verdana" w:hAnsi="Verdana"/>
          <w:sz w:val="20"/>
        </w:rPr>
        <w:t>valoraron la extensión de la cobertura de salud efectuada por el Estado en beneficio de los familiares y las comunidades. Sin perjuicio de lo anterior, señalaron</w:t>
      </w:r>
      <w:r w:rsidR="00993F7D">
        <w:rPr>
          <w:rFonts w:ascii="Verdana" w:hAnsi="Verdana"/>
          <w:sz w:val="20"/>
        </w:rPr>
        <w:t xml:space="preserve"> </w:t>
      </w:r>
      <w:r w:rsidR="00CE7C9C" w:rsidRPr="00A96390">
        <w:rPr>
          <w:rFonts w:ascii="Verdana" w:hAnsi="Verdana"/>
          <w:sz w:val="20"/>
        </w:rPr>
        <w:t>que existen en la práctica diversas dificultades e</w:t>
      </w:r>
      <w:r w:rsidR="00645FA1" w:rsidRPr="00A96390">
        <w:rPr>
          <w:rFonts w:ascii="Verdana" w:hAnsi="Verdana"/>
          <w:sz w:val="20"/>
        </w:rPr>
        <w:t>n el acceso a los servicios médicos</w:t>
      </w:r>
      <w:r w:rsidR="005518D2" w:rsidRPr="00A96390">
        <w:rPr>
          <w:rFonts w:ascii="Verdana" w:hAnsi="Verdana"/>
          <w:sz w:val="20"/>
        </w:rPr>
        <w:t>, por lo cual la reparación se encuentra pendiente de cumplimiento</w:t>
      </w:r>
      <w:r w:rsidR="00CE7C9C" w:rsidRPr="00A96390">
        <w:rPr>
          <w:rFonts w:ascii="Verdana" w:hAnsi="Verdana"/>
          <w:sz w:val="20"/>
        </w:rPr>
        <w:t>. En particular, refirieron</w:t>
      </w:r>
      <w:r w:rsidRPr="00A96390">
        <w:rPr>
          <w:rFonts w:ascii="Verdana" w:hAnsi="Verdana"/>
          <w:sz w:val="20"/>
        </w:rPr>
        <w:t xml:space="preserve"> la</w:t>
      </w:r>
      <w:r w:rsidR="00CE7C9C" w:rsidRPr="00A96390">
        <w:rPr>
          <w:rFonts w:ascii="Verdana" w:hAnsi="Verdana"/>
          <w:sz w:val="20"/>
        </w:rPr>
        <w:t xml:space="preserve"> </w:t>
      </w:r>
      <w:r w:rsidR="005518D2" w:rsidRPr="00A96390">
        <w:rPr>
          <w:rFonts w:ascii="Verdana" w:hAnsi="Verdana"/>
          <w:sz w:val="20"/>
        </w:rPr>
        <w:t xml:space="preserve">falta de conocimiento por parte del personal </w:t>
      </w:r>
      <w:r w:rsidRPr="00A96390">
        <w:rPr>
          <w:rFonts w:ascii="Verdana" w:hAnsi="Verdana"/>
          <w:sz w:val="20"/>
        </w:rPr>
        <w:t xml:space="preserve">administrativo y </w:t>
      </w:r>
      <w:r w:rsidR="005518D2" w:rsidRPr="00A96390">
        <w:rPr>
          <w:rFonts w:ascii="Verdana" w:hAnsi="Verdana"/>
          <w:sz w:val="20"/>
        </w:rPr>
        <w:t xml:space="preserve">sanitario del Programa </w:t>
      </w:r>
      <w:proofErr w:type="spellStart"/>
      <w:r w:rsidR="005518D2" w:rsidRPr="00A96390">
        <w:rPr>
          <w:rFonts w:ascii="Verdana" w:hAnsi="Verdana"/>
          <w:sz w:val="20"/>
        </w:rPr>
        <w:t>Pri</w:t>
      </w:r>
      <w:proofErr w:type="spellEnd"/>
      <w:r w:rsidR="005518D2" w:rsidRPr="00A96390">
        <w:rPr>
          <w:rFonts w:ascii="Verdana" w:hAnsi="Verdana"/>
          <w:sz w:val="20"/>
        </w:rPr>
        <w:t xml:space="preserve"> </w:t>
      </w:r>
      <w:proofErr w:type="spellStart"/>
      <w:r w:rsidR="005518D2" w:rsidRPr="00A96390">
        <w:rPr>
          <w:rFonts w:ascii="Verdana" w:hAnsi="Verdana"/>
          <w:sz w:val="20"/>
        </w:rPr>
        <w:t>Lonkos</w:t>
      </w:r>
      <w:proofErr w:type="spellEnd"/>
      <w:r w:rsidR="00C55F12">
        <w:rPr>
          <w:rStyle w:val="Refdenotaalpie"/>
          <w:rFonts w:ascii="Verdana" w:hAnsi="Verdana"/>
          <w:sz w:val="20"/>
        </w:rPr>
        <w:footnoteReference w:id="52"/>
      </w:r>
      <w:r w:rsidR="005518D2" w:rsidRPr="00A96390">
        <w:rPr>
          <w:rFonts w:ascii="Verdana" w:hAnsi="Verdana"/>
          <w:sz w:val="20"/>
        </w:rPr>
        <w:t>.</w:t>
      </w:r>
      <w:r w:rsidRPr="00A96390">
        <w:rPr>
          <w:rFonts w:ascii="Verdana" w:hAnsi="Verdana"/>
          <w:sz w:val="20"/>
        </w:rPr>
        <w:t xml:space="preserve"> </w:t>
      </w:r>
      <w:r w:rsidR="00FD23EB" w:rsidRPr="00A96390">
        <w:rPr>
          <w:rFonts w:ascii="Verdana" w:hAnsi="Verdana" w:cs="ArialMT"/>
          <w:sz w:val="20"/>
        </w:rPr>
        <w:t>La FIDH, por su parte,</w:t>
      </w:r>
      <w:r w:rsidR="00FD23EB" w:rsidRPr="00A96390">
        <w:rPr>
          <w:rFonts w:ascii="Verdana" w:hAnsi="Verdana"/>
          <w:sz w:val="20"/>
          <w:szCs w:val="20"/>
        </w:rPr>
        <w:t xml:space="preserve"> en representación de Juan Segundo Pichún </w:t>
      </w:r>
      <w:proofErr w:type="spellStart"/>
      <w:r w:rsidR="00FD23EB" w:rsidRPr="00A96390">
        <w:rPr>
          <w:rFonts w:ascii="Verdana" w:hAnsi="Verdana"/>
          <w:sz w:val="20"/>
          <w:szCs w:val="20"/>
        </w:rPr>
        <w:t>Paillalao</w:t>
      </w:r>
      <w:proofErr w:type="spellEnd"/>
      <w:r w:rsidR="00FD23EB" w:rsidRPr="00A96390">
        <w:rPr>
          <w:rFonts w:ascii="Verdana" w:hAnsi="Verdana"/>
          <w:sz w:val="20"/>
          <w:szCs w:val="20"/>
        </w:rPr>
        <w:t xml:space="preserve">, manifestó satisfacción por parte de la comunidad de </w:t>
      </w:r>
      <w:proofErr w:type="spellStart"/>
      <w:r w:rsidR="00FD23EB" w:rsidRPr="00A96390">
        <w:rPr>
          <w:rFonts w:ascii="Verdana" w:hAnsi="Verdana"/>
          <w:sz w:val="20"/>
          <w:szCs w:val="20"/>
        </w:rPr>
        <w:t>Temulemu</w:t>
      </w:r>
      <w:proofErr w:type="spellEnd"/>
      <w:r w:rsidR="00FD23EB" w:rsidRPr="00A96390">
        <w:rPr>
          <w:rFonts w:ascii="Verdana" w:hAnsi="Verdana"/>
          <w:sz w:val="20"/>
          <w:szCs w:val="20"/>
        </w:rPr>
        <w:t xml:space="preserve"> de la atención de salud recibida en el territorio, </w:t>
      </w:r>
      <w:r w:rsidR="00472698">
        <w:rPr>
          <w:rFonts w:ascii="Verdana" w:hAnsi="Verdana"/>
          <w:sz w:val="20"/>
          <w:szCs w:val="20"/>
        </w:rPr>
        <w:t xml:space="preserve">y </w:t>
      </w:r>
      <w:r w:rsidR="00FD23EB" w:rsidRPr="00A96390">
        <w:rPr>
          <w:rFonts w:ascii="Verdana" w:hAnsi="Verdana"/>
          <w:sz w:val="20"/>
          <w:szCs w:val="20"/>
        </w:rPr>
        <w:t xml:space="preserve">sostuvo que se requiere que el Programa sea regulado “a través de una ley que permita garantizar las </w:t>
      </w:r>
      <w:r w:rsidR="00FD23EB" w:rsidRPr="00A96390">
        <w:rPr>
          <w:rFonts w:ascii="Verdana" w:hAnsi="Verdana" w:cs="Calisto MT"/>
          <w:sz w:val="20"/>
          <w:szCs w:val="20"/>
        </w:rPr>
        <w:t>prestaciones en el futuro</w:t>
      </w:r>
      <w:r w:rsidR="00FD23EB" w:rsidRPr="00A96390">
        <w:rPr>
          <w:rFonts w:ascii="Verdana" w:hAnsi="Verdana"/>
          <w:sz w:val="20"/>
          <w:szCs w:val="20"/>
        </w:rPr>
        <w:t>”</w:t>
      </w:r>
      <w:r w:rsidR="000117D7">
        <w:rPr>
          <w:rFonts w:ascii="Verdana" w:hAnsi="Verdana"/>
          <w:sz w:val="20"/>
          <w:szCs w:val="20"/>
        </w:rPr>
        <w:t xml:space="preserve"> “tanto a nivel primario como de alta complejidad”</w:t>
      </w:r>
      <w:r w:rsidR="0095262B">
        <w:rPr>
          <w:rStyle w:val="Refdenotaalpie"/>
          <w:rFonts w:ascii="Verdana" w:hAnsi="Verdana"/>
          <w:sz w:val="20"/>
          <w:szCs w:val="20"/>
        </w:rPr>
        <w:footnoteReference w:id="53"/>
      </w:r>
      <w:r w:rsidR="000117D7">
        <w:rPr>
          <w:rFonts w:ascii="Verdana" w:hAnsi="Verdana"/>
          <w:sz w:val="20"/>
          <w:szCs w:val="20"/>
        </w:rPr>
        <w:t>.</w:t>
      </w:r>
      <w:r w:rsidR="0095262B" w:rsidRPr="00A96390">
        <w:rPr>
          <w:rFonts w:ascii="Verdana" w:hAnsi="Verdana"/>
          <w:b/>
          <w:sz w:val="20"/>
          <w:szCs w:val="20"/>
        </w:rPr>
        <w:t xml:space="preserve"> </w:t>
      </w:r>
      <w:r w:rsidR="0095262B" w:rsidRPr="00A96390">
        <w:rPr>
          <w:rFonts w:ascii="Verdana" w:hAnsi="Verdana"/>
          <w:sz w:val="20"/>
          <w:szCs w:val="20"/>
        </w:rPr>
        <w:t xml:space="preserve">Por último, CEJIL y el representante Fuenzalida hicieron notar la existencia de “retrasos de reintegros por erogaciones </w:t>
      </w:r>
      <w:r w:rsidR="00C55F12">
        <w:rPr>
          <w:rFonts w:ascii="Verdana" w:hAnsi="Verdana"/>
          <w:sz w:val="20"/>
          <w:szCs w:val="20"/>
        </w:rPr>
        <w:t xml:space="preserve">[en las] </w:t>
      </w:r>
      <w:r w:rsidR="0095262B" w:rsidRPr="00A96390">
        <w:rPr>
          <w:rFonts w:ascii="Verdana" w:hAnsi="Verdana"/>
          <w:sz w:val="20"/>
          <w:szCs w:val="20"/>
        </w:rPr>
        <w:t>que las víctimas y sus familiares incurren”.</w:t>
      </w:r>
      <w:r w:rsidR="000117D7">
        <w:rPr>
          <w:rFonts w:ascii="Verdana" w:hAnsi="Verdana"/>
          <w:b/>
          <w:sz w:val="20"/>
          <w:szCs w:val="20"/>
        </w:rPr>
        <w:t xml:space="preserve"> </w:t>
      </w:r>
    </w:p>
    <w:p w14:paraId="2D5C157C" w14:textId="77777777" w:rsidR="00A96390" w:rsidRDefault="00A96390" w:rsidP="0011029F">
      <w:pPr>
        <w:pStyle w:val="Prrafodelista"/>
        <w:suppressLineNumbers/>
        <w:autoSpaceDE w:val="0"/>
        <w:autoSpaceDN w:val="0"/>
        <w:adjustRightInd w:val="0"/>
        <w:spacing w:after="0" w:line="240" w:lineRule="auto"/>
        <w:ind w:left="0"/>
        <w:jc w:val="both"/>
        <w:rPr>
          <w:rFonts w:ascii="Verdana" w:hAnsi="Verdana"/>
          <w:sz w:val="20"/>
          <w:szCs w:val="20"/>
        </w:rPr>
      </w:pPr>
    </w:p>
    <w:p w14:paraId="2315CCDE" w14:textId="6F364242" w:rsidR="00753C8D" w:rsidRPr="00A96390" w:rsidRDefault="00753C8D"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A96390">
        <w:rPr>
          <w:rFonts w:ascii="Verdana" w:hAnsi="Verdana"/>
          <w:sz w:val="20"/>
          <w:szCs w:val="20"/>
        </w:rPr>
        <w:lastRenderedPageBreak/>
        <w:t>La C</w:t>
      </w:r>
      <w:r w:rsidR="00720957">
        <w:rPr>
          <w:rFonts w:ascii="Verdana" w:hAnsi="Verdana"/>
          <w:sz w:val="20"/>
          <w:szCs w:val="20"/>
        </w:rPr>
        <w:t xml:space="preserve">omisión </w:t>
      </w:r>
      <w:r w:rsidRPr="00A96390">
        <w:rPr>
          <w:rFonts w:ascii="Verdana" w:hAnsi="Verdana"/>
          <w:sz w:val="20"/>
          <w:szCs w:val="20"/>
        </w:rPr>
        <w:t>manifestó preocupación por las atenciones médicas que operan bajo el sistema de reembolso</w:t>
      </w:r>
      <w:r w:rsidR="000D6294" w:rsidRPr="00A96390">
        <w:rPr>
          <w:rFonts w:ascii="Verdana" w:hAnsi="Verdana"/>
          <w:sz w:val="20"/>
          <w:szCs w:val="20"/>
        </w:rPr>
        <w:t>,</w:t>
      </w:r>
      <w:r w:rsidRPr="00A96390">
        <w:rPr>
          <w:rFonts w:ascii="Verdana" w:hAnsi="Verdana"/>
          <w:sz w:val="20"/>
          <w:szCs w:val="20"/>
        </w:rPr>
        <w:t xml:space="preserve"> </w:t>
      </w:r>
      <w:r w:rsidR="00FD1F26" w:rsidRPr="00A96390">
        <w:rPr>
          <w:rFonts w:ascii="Verdana" w:hAnsi="Verdana"/>
          <w:sz w:val="20"/>
          <w:szCs w:val="20"/>
        </w:rPr>
        <w:t xml:space="preserve">así como </w:t>
      </w:r>
      <w:r w:rsidRPr="00A96390">
        <w:rPr>
          <w:rFonts w:ascii="Verdana" w:hAnsi="Verdana"/>
          <w:sz w:val="20"/>
          <w:szCs w:val="20"/>
        </w:rPr>
        <w:t>por las barreras en el acceso preferencial al servicio de salud referidas por los representantes (</w:t>
      </w:r>
      <w:r w:rsidRPr="00A96390">
        <w:rPr>
          <w:rFonts w:ascii="Verdana" w:hAnsi="Verdana"/>
          <w:i/>
          <w:sz w:val="20"/>
          <w:szCs w:val="20"/>
        </w:rPr>
        <w:t xml:space="preserve">supra </w:t>
      </w:r>
      <w:r w:rsidRPr="00A96390">
        <w:rPr>
          <w:rFonts w:ascii="Verdana" w:hAnsi="Verdana"/>
          <w:sz w:val="20"/>
          <w:szCs w:val="20"/>
        </w:rPr>
        <w:t xml:space="preserve">Considerando </w:t>
      </w:r>
      <w:r w:rsidR="005F1B35">
        <w:rPr>
          <w:rFonts w:ascii="Verdana" w:hAnsi="Verdana"/>
          <w:sz w:val="20"/>
          <w:szCs w:val="20"/>
        </w:rPr>
        <w:t>2</w:t>
      </w:r>
      <w:r w:rsidR="000117D7">
        <w:rPr>
          <w:rFonts w:ascii="Verdana" w:hAnsi="Verdana"/>
          <w:sz w:val="20"/>
          <w:szCs w:val="20"/>
        </w:rPr>
        <w:t>4</w:t>
      </w:r>
      <w:r w:rsidRPr="00A96390">
        <w:rPr>
          <w:rFonts w:ascii="Verdana" w:hAnsi="Verdana"/>
          <w:sz w:val="20"/>
          <w:szCs w:val="20"/>
        </w:rPr>
        <w:t>).</w:t>
      </w:r>
      <w:r w:rsidR="00FD1F26" w:rsidRPr="00A96390">
        <w:rPr>
          <w:rFonts w:ascii="Verdana" w:hAnsi="Verdana"/>
          <w:sz w:val="20"/>
          <w:szCs w:val="20"/>
        </w:rPr>
        <w:t xml:space="preserve"> </w:t>
      </w:r>
      <w:r w:rsidR="000D6294" w:rsidRPr="00A96390">
        <w:rPr>
          <w:rFonts w:ascii="Verdana" w:hAnsi="Verdana"/>
          <w:sz w:val="20"/>
          <w:szCs w:val="20"/>
        </w:rPr>
        <w:t xml:space="preserve">Al respecto, la Comisión afirmó que “el Estado debe demostrar la manera en que los servicios se realizan de manera diferenciada, individualizada, preferencial, integral, y a través de instituciones y personal especializado”, y, además, que debe aportar “información actualizada y detallada” sobre el cumplimiento de la reparación. </w:t>
      </w:r>
    </w:p>
    <w:p w14:paraId="389A5AF2" w14:textId="16D724EE" w:rsidR="00FD1F26" w:rsidRPr="000E1671" w:rsidRDefault="00FD1F26" w:rsidP="0011029F">
      <w:pPr>
        <w:pStyle w:val="Prrafodelista"/>
        <w:suppressLineNumbers/>
        <w:spacing w:after="0" w:line="240" w:lineRule="auto"/>
        <w:rPr>
          <w:rFonts w:ascii="Verdana" w:hAnsi="Verdana"/>
          <w:i/>
          <w:sz w:val="20"/>
          <w:szCs w:val="20"/>
        </w:rPr>
      </w:pPr>
    </w:p>
    <w:p w14:paraId="56B0705D" w14:textId="3B803F02" w:rsidR="00D9161A" w:rsidRPr="000E1671" w:rsidRDefault="00D9161A" w:rsidP="0011029F">
      <w:pPr>
        <w:pStyle w:val="Prrafodelista"/>
        <w:suppressLineNumbers/>
        <w:spacing w:after="0" w:line="240" w:lineRule="auto"/>
        <w:ind w:left="0" w:firstLine="708"/>
        <w:rPr>
          <w:rFonts w:ascii="Verdana" w:hAnsi="Verdana"/>
          <w:i/>
          <w:sz w:val="20"/>
          <w:szCs w:val="20"/>
        </w:rPr>
      </w:pPr>
      <w:r w:rsidRPr="000E1671">
        <w:rPr>
          <w:rFonts w:ascii="Verdana" w:hAnsi="Verdana"/>
          <w:i/>
          <w:sz w:val="20"/>
          <w:szCs w:val="20"/>
        </w:rPr>
        <w:t>B.3. Consideraciones de la Corte</w:t>
      </w:r>
    </w:p>
    <w:p w14:paraId="5664A145" w14:textId="7C83F611" w:rsidR="00D9161A" w:rsidRDefault="00D9161A" w:rsidP="0011029F">
      <w:pPr>
        <w:suppressLineNumbers/>
        <w:spacing w:after="0" w:line="240" w:lineRule="auto"/>
        <w:rPr>
          <w:rFonts w:ascii="Verdana" w:hAnsi="Verdana"/>
          <w:sz w:val="20"/>
          <w:szCs w:val="20"/>
        </w:rPr>
      </w:pPr>
    </w:p>
    <w:p w14:paraId="2A489026" w14:textId="6A25B757" w:rsidR="00955008" w:rsidRDefault="00955008" w:rsidP="0011029F">
      <w:pPr>
        <w:pStyle w:val="Prrafodelista"/>
        <w:numPr>
          <w:ilvl w:val="0"/>
          <w:numId w:val="5"/>
        </w:numPr>
        <w:suppressLineNumbers/>
        <w:spacing w:after="0" w:line="240" w:lineRule="auto"/>
        <w:ind w:left="0" w:firstLine="0"/>
        <w:jc w:val="both"/>
        <w:rPr>
          <w:rFonts w:ascii="Verdana" w:hAnsi="Verdana"/>
          <w:sz w:val="20"/>
          <w:szCs w:val="20"/>
        </w:rPr>
      </w:pPr>
      <w:r w:rsidRPr="00955008">
        <w:rPr>
          <w:rFonts w:ascii="Verdana" w:hAnsi="Verdana"/>
          <w:sz w:val="20"/>
          <w:szCs w:val="20"/>
        </w:rPr>
        <w:t>El Tribunal constata, según la información brindada por los representantes de las víctimas y el propio Estado, que el tratamiento médico, psicológico y psiquiátrico a las víctimas est</w:t>
      </w:r>
      <w:r w:rsidR="00197218">
        <w:rPr>
          <w:rFonts w:ascii="Verdana" w:hAnsi="Verdana"/>
          <w:sz w:val="20"/>
          <w:szCs w:val="20"/>
        </w:rPr>
        <w:t>á</w:t>
      </w:r>
      <w:r w:rsidRPr="00955008">
        <w:rPr>
          <w:rFonts w:ascii="Verdana" w:hAnsi="Verdana"/>
          <w:sz w:val="20"/>
          <w:szCs w:val="20"/>
        </w:rPr>
        <w:t xml:space="preserve"> siendo brindado a través del Programa </w:t>
      </w:r>
      <w:proofErr w:type="spellStart"/>
      <w:r w:rsidRPr="00955008">
        <w:rPr>
          <w:rFonts w:ascii="Verdana" w:hAnsi="Verdana"/>
          <w:sz w:val="20"/>
          <w:szCs w:val="20"/>
        </w:rPr>
        <w:t>Pri</w:t>
      </w:r>
      <w:proofErr w:type="spellEnd"/>
      <w:r w:rsidRPr="00955008">
        <w:rPr>
          <w:rFonts w:ascii="Verdana" w:hAnsi="Verdana"/>
          <w:sz w:val="20"/>
          <w:szCs w:val="20"/>
        </w:rPr>
        <w:t xml:space="preserve"> </w:t>
      </w:r>
      <w:proofErr w:type="spellStart"/>
      <w:r w:rsidRPr="00955008">
        <w:rPr>
          <w:rFonts w:ascii="Verdana" w:hAnsi="Verdana"/>
          <w:sz w:val="20"/>
          <w:szCs w:val="20"/>
        </w:rPr>
        <w:t>Lonkos</w:t>
      </w:r>
      <w:proofErr w:type="spellEnd"/>
      <w:r w:rsidRPr="00955008">
        <w:rPr>
          <w:rFonts w:ascii="Verdana" w:hAnsi="Verdana"/>
          <w:sz w:val="20"/>
          <w:szCs w:val="20"/>
        </w:rPr>
        <w:t>. Al respecto, la Corte valora positivamente las diversas acciones desplegadas en el marco de la implementación del referido Programa que incluyen, entre otros aspectos, la atención gratuita para sus beneficiarios, la incorporación de un enfoque intercultural centrado en “la cosmovisión del Pueblo Mapuche” respecto de la salud, el traslado hacia los centros de salud, y la designación de una partida presupuestaria específica destinada a hacer efectiva la referida atención de salud (</w:t>
      </w:r>
      <w:r w:rsidRPr="00955008">
        <w:rPr>
          <w:rFonts w:ascii="Verdana" w:hAnsi="Verdana"/>
          <w:i/>
          <w:sz w:val="20"/>
          <w:szCs w:val="20"/>
        </w:rPr>
        <w:t>supra</w:t>
      </w:r>
      <w:r w:rsidRPr="00955008">
        <w:rPr>
          <w:rFonts w:ascii="Verdana" w:hAnsi="Verdana"/>
          <w:sz w:val="20"/>
          <w:szCs w:val="20"/>
        </w:rPr>
        <w:t xml:space="preserve"> Considerandos </w:t>
      </w:r>
      <w:r w:rsidR="000C7A9E">
        <w:rPr>
          <w:rFonts w:ascii="Verdana" w:hAnsi="Verdana"/>
          <w:sz w:val="20"/>
          <w:szCs w:val="20"/>
        </w:rPr>
        <w:t>21</w:t>
      </w:r>
      <w:r w:rsidR="008B1C08">
        <w:rPr>
          <w:rFonts w:ascii="Verdana" w:hAnsi="Verdana"/>
          <w:sz w:val="20"/>
          <w:szCs w:val="20"/>
        </w:rPr>
        <w:t>,</w:t>
      </w:r>
      <w:r w:rsidR="000C7A9E">
        <w:rPr>
          <w:rFonts w:ascii="Verdana" w:hAnsi="Verdana"/>
          <w:sz w:val="20"/>
          <w:szCs w:val="20"/>
        </w:rPr>
        <w:t xml:space="preserve"> 22</w:t>
      </w:r>
      <w:r w:rsidR="008B1C08">
        <w:rPr>
          <w:rFonts w:ascii="Verdana" w:hAnsi="Verdana"/>
          <w:sz w:val="20"/>
          <w:szCs w:val="20"/>
        </w:rPr>
        <w:t xml:space="preserve"> y 23</w:t>
      </w:r>
      <w:r w:rsidRPr="00955008">
        <w:rPr>
          <w:rFonts w:ascii="Verdana" w:hAnsi="Verdana"/>
          <w:sz w:val="20"/>
          <w:szCs w:val="20"/>
        </w:rPr>
        <w:t>)</w:t>
      </w:r>
      <w:r>
        <w:rPr>
          <w:rFonts w:ascii="Verdana" w:hAnsi="Verdana"/>
          <w:sz w:val="20"/>
          <w:szCs w:val="20"/>
        </w:rPr>
        <w:t>.</w:t>
      </w:r>
    </w:p>
    <w:p w14:paraId="70E995B2" w14:textId="77777777" w:rsidR="00955008" w:rsidRDefault="00955008" w:rsidP="0011029F">
      <w:pPr>
        <w:pStyle w:val="Prrafodelista"/>
        <w:suppressLineNumbers/>
        <w:spacing w:after="0" w:line="240" w:lineRule="auto"/>
        <w:ind w:left="0"/>
        <w:jc w:val="both"/>
        <w:rPr>
          <w:rFonts w:ascii="Verdana" w:hAnsi="Verdana"/>
          <w:sz w:val="20"/>
          <w:szCs w:val="20"/>
        </w:rPr>
      </w:pPr>
    </w:p>
    <w:p w14:paraId="7AD52CD8" w14:textId="732C51E7" w:rsidR="00955008" w:rsidRPr="00955008" w:rsidRDefault="00955008" w:rsidP="0011029F">
      <w:pPr>
        <w:pStyle w:val="Prrafodelista"/>
        <w:numPr>
          <w:ilvl w:val="0"/>
          <w:numId w:val="5"/>
        </w:numPr>
        <w:suppressLineNumbers/>
        <w:spacing w:after="0" w:line="240" w:lineRule="auto"/>
        <w:ind w:left="0" w:firstLine="0"/>
        <w:jc w:val="both"/>
        <w:rPr>
          <w:rFonts w:ascii="Verdana" w:hAnsi="Verdana"/>
          <w:sz w:val="20"/>
          <w:szCs w:val="20"/>
        </w:rPr>
      </w:pPr>
      <w:r w:rsidRPr="00955008">
        <w:rPr>
          <w:rFonts w:ascii="Verdana" w:hAnsi="Verdana"/>
          <w:sz w:val="20"/>
          <w:szCs w:val="20"/>
        </w:rPr>
        <w:t xml:space="preserve">Si bien la Corte considera que Chile ha dado pasos importantes en la implementación de esta medida, también </w:t>
      </w:r>
      <w:r w:rsidR="00211DB1">
        <w:rPr>
          <w:rFonts w:ascii="Verdana" w:hAnsi="Verdana"/>
          <w:sz w:val="20"/>
          <w:szCs w:val="20"/>
        </w:rPr>
        <w:t xml:space="preserve">toma en cuenta que </w:t>
      </w:r>
      <w:r w:rsidRPr="00955008">
        <w:rPr>
          <w:rFonts w:ascii="Verdana" w:hAnsi="Verdana"/>
          <w:sz w:val="20"/>
          <w:szCs w:val="20"/>
        </w:rPr>
        <w:t xml:space="preserve">los representantes de las víctimas </w:t>
      </w:r>
      <w:r w:rsidR="00211DB1">
        <w:rPr>
          <w:rFonts w:ascii="Verdana" w:hAnsi="Verdana"/>
          <w:sz w:val="20"/>
          <w:szCs w:val="20"/>
        </w:rPr>
        <w:t xml:space="preserve">han planteado objeciones </w:t>
      </w:r>
      <w:r w:rsidRPr="00955008">
        <w:rPr>
          <w:rFonts w:ascii="Verdana" w:hAnsi="Verdana"/>
          <w:sz w:val="20"/>
          <w:szCs w:val="20"/>
        </w:rPr>
        <w:t xml:space="preserve">en cuanto a su implementación, relativas a las alegadas barreras que experimentan las víctimas para acceder a la atención médica en los centros que integran la red asistencial pública de salud, tales como la falta de conocimiento del Programa </w:t>
      </w:r>
      <w:proofErr w:type="spellStart"/>
      <w:r w:rsidRPr="00955008">
        <w:rPr>
          <w:rFonts w:ascii="Verdana" w:hAnsi="Verdana"/>
          <w:sz w:val="20"/>
          <w:szCs w:val="20"/>
        </w:rPr>
        <w:t>Pri</w:t>
      </w:r>
      <w:proofErr w:type="spellEnd"/>
      <w:r w:rsidRPr="00955008">
        <w:rPr>
          <w:rFonts w:ascii="Verdana" w:hAnsi="Verdana"/>
          <w:sz w:val="20"/>
          <w:szCs w:val="20"/>
        </w:rPr>
        <w:t xml:space="preserve"> </w:t>
      </w:r>
      <w:proofErr w:type="spellStart"/>
      <w:r w:rsidRPr="00955008">
        <w:rPr>
          <w:rFonts w:ascii="Verdana" w:hAnsi="Verdana"/>
          <w:sz w:val="20"/>
          <w:szCs w:val="20"/>
        </w:rPr>
        <w:t>Lonkos</w:t>
      </w:r>
      <w:proofErr w:type="spellEnd"/>
      <w:r w:rsidRPr="00955008">
        <w:rPr>
          <w:rFonts w:ascii="Verdana" w:hAnsi="Verdana"/>
          <w:sz w:val="20"/>
          <w:szCs w:val="20"/>
        </w:rPr>
        <w:t xml:space="preserve"> por parte del personal administrativo y sanitario y las demoras en el reintegro del valor de las consultas que deben realizar en el sistema privado de salud (</w:t>
      </w:r>
      <w:r w:rsidRPr="00955008">
        <w:rPr>
          <w:rFonts w:ascii="Verdana" w:hAnsi="Verdana"/>
          <w:i/>
          <w:sz w:val="20"/>
          <w:szCs w:val="20"/>
        </w:rPr>
        <w:t>supra</w:t>
      </w:r>
      <w:r w:rsidRPr="00955008">
        <w:rPr>
          <w:rFonts w:ascii="Verdana" w:hAnsi="Verdana"/>
          <w:sz w:val="20"/>
          <w:szCs w:val="20"/>
        </w:rPr>
        <w:t xml:space="preserve"> Considerando </w:t>
      </w:r>
      <w:r w:rsidR="00116339">
        <w:rPr>
          <w:rFonts w:ascii="Verdana" w:hAnsi="Verdana"/>
          <w:sz w:val="20"/>
          <w:szCs w:val="20"/>
        </w:rPr>
        <w:t>2</w:t>
      </w:r>
      <w:r w:rsidR="008B1C08">
        <w:rPr>
          <w:rFonts w:ascii="Verdana" w:hAnsi="Verdana"/>
          <w:sz w:val="20"/>
          <w:szCs w:val="20"/>
        </w:rPr>
        <w:t>4</w:t>
      </w:r>
      <w:r w:rsidRPr="00955008">
        <w:rPr>
          <w:rFonts w:ascii="Verdana" w:hAnsi="Verdana"/>
          <w:sz w:val="20"/>
          <w:szCs w:val="20"/>
        </w:rPr>
        <w:t xml:space="preserve">). </w:t>
      </w:r>
    </w:p>
    <w:p w14:paraId="504D8229" w14:textId="77777777" w:rsidR="00955008" w:rsidRPr="00955008" w:rsidRDefault="00955008" w:rsidP="0011029F">
      <w:pPr>
        <w:pStyle w:val="Prrafodelista"/>
        <w:suppressLineNumbers/>
        <w:rPr>
          <w:rFonts w:ascii="Verdana" w:hAnsi="Verdana"/>
          <w:sz w:val="20"/>
          <w:szCs w:val="20"/>
        </w:rPr>
      </w:pPr>
    </w:p>
    <w:p w14:paraId="3813FFE5" w14:textId="4C094942" w:rsidR="00955008" w:rsidRDefault="00955008" w:rsidP="0011029F">
      <w:pPr>
        <w:pStyle w:val="Prrafodelista"/>
        <w:numPr>
          <w:ilvl w:val="0"/>
          <w:numId w:val="5"/>
        </w:numPr>
        <w:suppressLineNumbers/>
        <w:spacing w:after="0" w:line="240" w:lineRule="auto"/>
        <w:ind w:left="0" w:firstLine="0"/>
        <w:jc w:val="both"/>
        <w:rPr>
          <w:rFonts w:ascii="Verdana" w:hAnsi="Verdana"/>
          <w:sz w:val="20"/>
          <w:szCs w:val="20"/>
        </w:rPr>
      </w:pPr>
      <w:r w:rsidRPr="00955008">
        <w:rPr>
          <w:rFonts w:ascii="Verdana" w:hAnsi="Verdana"/>
          <w:sz w:val="20"/>
          <w:szCs w:val="20"/>
        </w:rPr>
        <w:t xml:space="preserve">En relación </w:t>
      </w:r>
      <w:r w:rsidR="00673DB0">
        <w:rPr>
          <w:rFonts w:ascii="Verdana" w:hAnsi="Verdana"/>
          <w:sz w:val="20"/>
          <w:szCs w:val="20"/>
        </w:rPr>
        <w:t>con</w:t>
      </w:r>
      <w:r w:rsidRPr="00955008">
        <w:rPr>
          <w:rFonts w:ascii="Verdana" w:hAnsi="Verdana"/>
          <w:sz w:val="20"/>
          <w:szCs w:val="20"/>
        </w:rPr>
        <w:t xml:space="preserve"> lo alegado por los representantes de las víctimas, la Corte recuerda que la medida ordenada puede ser brindada a través de las instituciones públicas de salud si cumple con los criterios indicados en la Sentencia, de manera que se les brinde un tratamiento diferenciado por su carácter de víctimas</w:t>
      </w:r>
      <w:r>
        <w:rPr>
          <w:rStyle w:val="Refdenotaalpie"/>
          <w:rFonts w:ascii="Verdana" w:hAnsi="Verdana"/>
          <w:sz w:val="20"/>
          <w:szCs w:val="20"/>
        </w:rPr>
        <w:footnoteReference w:id="54"/>
      </w:r>
      <w:r w:rsidRPr="00955008">
        <w:rPr>
          <w:rFonts w:ascii="Verdana" w:hAnsi="Verdana"/>
          <w:sz w:val="20"/>
          <w:szCs w:val="20"/>
        </w:rPr>
        <w:t>, en relación con el trámite y el procedimiento que debieran realizar para ser atendidos en los hospitales públicos</w:t>
      </w:r>
      <w:r>
        <w:rPr>
          <w:rStyle w:val="Refdenotaalpie"/>
          <w:rFonts w:ascii="Verdana" w:hAnsi="Verdana"/>
          <w:sz w:val="20"/>
          <w:szCs w:val="20"/>
        </w:rPr>
        <w:footnoteReference w:id="55"/>
      </w:r>
      <w:r w:rsidRPr="00955008">
        <w:rPr>
          <w:rFonts w:ascii="Verdana" w:hAnsi="Verdana"/>
          <w:sz w:val="20"/>
          <w:szCs w:val="20"/>
        </w:rPr>
        <w:t xml:space="preserve">. </w:t>
      </w:r>
    </w:p>
    <w:p w14:paraId="1745F788" w14:textId="77777777" w:rsidR="00955008" w:rsidRPr="00955008" w:rsidRDefault="00955008" w:rsidP="0011029F">
      <w:pPr>
        <w:pStyle w:val="Prrafodelista"/>
        <w:suppressLineNumbers/>
        <w:rPr>
          <w:rFonts w:ascii="Verdana" w:hAnsi="Verdana"/>
          <w:sz w:val="20"/>
          <w:szCs w:val="20"/>
        </w:rPr>
      </w:pPr>
    </w:p>
    <w:p w14:paraId="56335B5A" w14:textId="7E087545" w:rsidR="00955008" w:rsidRPr="00993F7D" w:rsidRDefault="00720957" w:rsidP="0011029F">
      <w:pPr>
        <w:pStyle w:val="Prrafodelista"/>
        <w:numPr>
          <w:ilvl w:val="0"/>
          <w:numId w:val="5"/>
        </w:numPr>
        <w:suppressLineNumbers/>
        <w:spacing w:after="0" w:line="240" w:lineRule="auto"/>
        <w:ind w:left="0" w:firstLine="0"/>
        <w:jc w:val="both"/>
        <w:rPr>
          <w:rFonts w:ascii="Verdana" w:hAnsi="Verdana"/>
          <w:sz w:val="20"/>
          <w:szCs w:val="20"/>
        </w:rPr>
      </w:pPr>
      <w:r w:rsidRPr="00993F7D">
        <w:rPr>
          <w:rFonts w:ascii="Verdana" w:hAnsi="Verdana"/>
          <w:sz w:val="20"/>
          <w:szCs w:val="20"/>
        </w:rPr>
        <w:t>L</w:t>
      </w:r>
      <w:r w:rsidR="00955008" w:rsidRPr="00993F7D">
        <w:rPr>
          <w:rFonts w:ascii="Verdana" w:hAnsi="Verdana"/>
          <w:sz w:val="20"/>
          <w:szCs w:val="20"/>
        </w:rPr>
        <w:t xml:space="preserve">a Corte considera que el Estado ha </w:t>
      </w:r>
      <w:r w:rsidR="0059206E" w:rsidRPr="00993F7D">
        <w:rPr>
          <w:rFonts w:ascii="Verdana" w:hAnsi="Verdana"/>
          <w:sz w:val="20"/>
          <w:szCs w:val="20"/>
        </w:rPr>
        <w:t xml:space="preserve">venido dando </w:t>
      </w:r>
      <w:r w:rsidR="00955008" w:rsidRPr="00993F7D">
        <w:rPr>
          <w:rFonts w:ascii="Verdana" w:hAnsi="Verdana"/>
          <w:sz w:val="20"/>
          <w:szCs w:val="20"/>
        </w:rPr>
        <w:t xml:space="preserve">cumplimiento </w:t>
      </w:r>
      <w:r w:rsidR="0059206E" w:rsidRPr="00993F7D">
        <w:rPr>
          <w:rFonts w:ascii="Verdana" w:hAnsi="Verdana"/>
          <w:sz w:val="20"/>
          <w:szCs w:val="20"/>
        </w:rPr>
        <w:t>y debe continuar implementando</w:t>
      </w:r>
      <w:r w:rsidR="00955008" w:rsidRPr="00993F7D">
        <w:rPr>
          <w:rFonts w:ascii="Verdana" w:hAnsi="Verdana"/>
          <w:sz w:val="20"/>
          <w:szCs w:val="20"/>
        </w:rPr>
        <w:t xml:space="preserve"> la medida ordenada en el punto resolutivo décimo séptimo</w:t>
      </w:r>
      <w:r w:rsidR="003F0249">
        <w:rPr>
          <w:rFonts w:ascii="Verdana" w:hAnsi="Verdana"/>
          <w:sz w:val="20"/>
          <w:szCs w:val="20"/>
        </w:rPr>
        <w:t xml:space="preserve"> de la Sentencia</w:t>
      </w:r>
      <w:r w:rsidR="00955008" w:rsidRPr="00993F7D">
        <w:rPr>
          <w:rFonts w:ascii="Verdana" w:hAnsi="Verdana"/>
          <w:sz w:val="20"/>
          <w:szCs w:val="20"/>
        </w:rPr>
        <w:t xml:space="preserve"> </w:t>
      </w:r>
      <w:r w:rsidR="00BA4A5C">
        <w:rPr>
          <w:rFonts w:ascii="Verdana" w:hAnsi="Verdana"/>
          <w:sz w:val="20"/>
          <w:szCs w:val="20"/>
        </w:rPr>
        <w:t xml:space="preserve">en lo que respecta </w:t>
      </w:r>
      <w:r w:rsidR="00955008" w:rsidRPr="00993F7D">
        <w:rPr>
          <w:rFonts w:ascii="Verdana" w:hAnsi="Verdana"/>
          <w:sz w:val="20"/>
          <w:szCs w:val="20"/>
        </w:rPr>
        <w:t>a brindar tratamiento médico a las víctimas</w:t>
      </w:r>
      <w:r w:rsidR="005F1B35">
        <w:rPr>
          <w:rFonts w:ascii="Verdana" w:hAnsi="Verdana"/>
          <w:sz w:val="20"/>
          <w:szCs w:val="20"/>
        </w:rPr>
        <w:t xml:space="preserve">, pero considera que debe aportar mayor </w:t>
      </w:r>
      <w:r w:rsidR="005F1B35" w:rsidRPr="004B6979">
        <w:rPr>
          <w:rFonts w:ascii="Verdana" w:hAnsi="Verdana"/>
          <w:sz w:val="20"/>
          <w:szCs w:val="20"/>
        </w:rPr>
        <w:t>información tomando en cuenta las objeciones de los representantes (</w:t>
      </w:r>
      <w:r w:rsidR="005F1B35" w:rsidRPr="004B6979">
        <w:rPr>
          <w:rFonts w:ascii="Verdana" w:hAnsi="Verdana"/>
          <w:i/>
          <w:sz w:val="20"/>
          <w:szCs w:val="20"/>
        </w:rPr>
        <w:t xml:space="preserve">supra </w:t>
      </w:r>
      <w:r w:rsidR="005F1B35" w:rsidRPr="004B6979">
        <w:rPr>
          <w:rFonts w:ascii="Verdana" w:hAnsi="Verdana"/>
          <w:sz w:val="20"/>
          <w:szCs w:val="20"/>
        </w:rPr>
        <w:t>Considerando 2</w:t>
      </w:r>
      <w:r w:rsidR="003F0249" w:rsidRPr="004B6979">
        <w:rPr>
          <w:rFonts w:ascii="Verdana" w:hAnsi="Verdana"/>
          <w:sz w:val="20"/>
          <w:szCs w:val="20"/>
        </w:rPr>
        <w:t>4</w:t>
      </w:r>
      <w:r w:rsidR="005F1B35" w:rsidRPr="004B6979">
        <w:rPr>
          <w:rFonts w:ascii="Verdana" w:hAnsi="Verdana"/>
          <w:sz w:val="20"/>
          <w:szCs w:val="20"/>
        </w:rPr>
        <w:t>)</w:t>
      </w:r>
      <w:r w:rsidR="00955008" w:rsidRPr="004B6979">
        <w:rPr>
          <w:rFonts w:ascii="Verdana" w:hAnsi="Verdana"/>
          <w:sz w:val="20"/>
          <w:szCs w:val="20"/>
        </w:rPr>
        <w:t xml:space="preserve">. </w:t>
      </w:r>
      <w:r w:rsidR="00BA4A5C" w:rsidRPr="004B6979">
        <w:rPr>
          <w:rFonts w:ascii="Verdana" w:hAnsi="Verdana"/>
          <w:sz w:val="20"/>
          <w:szCs w:val="20"/>
        </w:rPr>
        <w:t xml:space="preserve">En lo que respecta al tratamiento psicológico y/o psiquiátrico, la Corte no cuenta con suficiente información que le permita valorar el grado de cumplimiento de este componente de la reparación. </w:t>
      </w:r>
      <w:r w:rsidR="00955008" w:rsidRPr="004B6979">
        <w:rPr>
          <w:rFonts w:ascii="Verdana" w:hAnsi="Verdana"/>
          <w:sz w:val="20"/>
          <w:szCs w:val="20"/>
        </w:rPr>
        <w:t xml:space="preserve">En consecuencia, </w:t>
      </w:r>
      <w:r w:rsidR="00C90F78" w:rsidRPr="004B6979">
        <w:rPr>
          <w:rFonts w:ascii="Verdana" w:hAnsi="Verdana"/>
          <w:sz w:val="20"/>
          <w:szCs w:val="20"/>
        </w:rPr>
        <w:t>es necesario que Chile presente</w:t>
      </w:r>
      <w:r w:rsidR="00472698">
        <w:rPr>
          <w:rFonts w:ascii="Verdana" w:hAnsi="Verdana"/>
          <w:sz w:val="20"/>
          <w:szCs w:val="20"/>
        </w:rPr>
        <w:t xml:space="preserve"> </w:t>
      </w:r>
      <w:r w:rsidR="00955008" w:rsidRPr="004B6979">
        <w:rPr>
          <w:rFonts w:ascii="Verdana" w:hAnsi="Verdana"/>
          <w:sz w:val="20"/>
          <w:szCs w:val="20"/>
        </w:rPr>
        <w:t>información detallada y actualizada que permita constatar que las objeciones efectuadas por los representantes y los intervinientes comunes han sido atendidas y subsanadas, así</w:t>
      </w:r>
      <w:r w:rsidR="00955008" w:rsidRPr="00993F7D">
        <w:rPr>
          <w:rFonts w:ascii="Verdana" w:hAnsi="Verdana"/>
          <w:sz w:val="20"/>
          <w:szCs w:val="20"/>
        </w:rPr>
        <w:t xml:space="preserve"> como que indique: i) cuáles son los mecanismos implementados para fiscalizar la adecuada aplicación del Programa </w:t>
      </w:r>
      <w:proofErr w:type="spellStart"/>
      <w:r w:rsidR="00955008" w:rsidRPr="00993F7D">
        <w:rPr>
          <w:rFonts w:ascii="Verdana" w:hAnsi="Verdana"/>
          <w:sz w:val="20"/>
          <w:szCs w:val="20"/>
        </w:rPr>
        <w:t>Pri</w:t>
      </w:r>
      <w:proofErr w:type="spellEnd"/>
      <w:r w:rsidR="00955008" w:rsidRPr="00993F7D">
        <w:rPr>
          <w:rFonts w:ascii="Verdana" w:hAnsi="Verdana"/>
          <w:sz w:val="20"/>
          <w:szCs w:val="20"/>
        </w:rPr>
        <w:t xml:space="preserve"> </w:t>
      </w:r>
      <w:proofErr w:type="spellStart"/>
      <w:r w:rsidR="00955008" w:rsidRPr="00993F7D">
        <w:rPr>
          <w:rFonts w:ascii="Verdana" w:hAnsi="Verdana"/>
          <w:sz w:val="20"/>
          <w:szCs w:val="20"/>
        </w:rPr>
        <w:t>Lonkos</w:t>
      </w:r>
      <w:proofErr w:type="spellEnd"/>
      <w:r w:rsidR="00955008" w:rsidRPr="00993F7D">
        <w:rPr>
          <w:rFonts w:ascii="Verdana" w:hAnsi="Verdana"/>
          <w:sz w:val="20"/>
          <w:szCs w:val="20"/>
        </w:rPr>
        <w:t xml:space="preserve"> </w:t>
      </w:r>
      <w:r w:rsidR="00BA4A5C">
        <w:rPr>
          <w:rFonts w:ascii="Verdana" w:hAnsi="Verdana"/>
          <w:sz w:val="20"/>
          <w:szCs w:val="20"/>
        </w:rPr>
        <w:t xml:space="preserve">a las siete </w:t>
      </w:r>
      <w:r w:rsidR="00BA4A5C">
        <w:rPr>
          <w:rFonts w:ascii="Verdana" w:hAnsi="Verdana"/>
          <w:sz w:val="20"/>
          <w:szCs w:val="20"/>
        </w:rPr>
        <w:lastRenderedPageBreak/>
        <w:t xml:space="preserve">víctimas del caso </w:t>
      </w:r>
      <w:r w:rsidR="00955008" w:rsidRPr="00993F7D">
        <w:rPr>
          <w:rFonts w:ascii="Verdana" w:hAnsi="Verdana"/>
          <w:sz w:val="20"/>
          <w:szCs w:val="20"/>
        </w:rPr>
        <w:t>en la red de salud, pública y privada, en especial en lo referido al efectivo conocimiento por parte de los funcionarios administrativos y sanitarios de las características de dicho Programa y de la atención preferencial que debe ser otorgada a las víc</w:t>
      </w:r>
      <w:r w:rsidR="00955008" w:rsidRPr="00993F7D">
        <w:rPr>
          <w:rFonts w:ascii="Verdana" w:hAnsi="Verdana" w:cstheme="minorHAnsi"/>
          <w:sz w:val="20"/>
          <w:szCs w:val="20"/>
        </w:rPr>
        <w:t>timas; ii)</w:t>
      </w:r>
      <w:r w:rsidR="00144E1C">
        <w:rPr>
          <w:rFonts w:ascii="Verdana" w:hAnsi="Verdana" w:cstheme="minorHAnsi"/>
          <w:sz w:val="20"/>
          <w:szCs w:val="20"/>
        </w:rPr>
        <w:t xml:space="preserve"> </w:t>
      </w:r>
      <w:r w:rsidR="00144E1C" w:rsidRPr="00993F7D">
        <w:rPr>
          <w:rFonts w:ascii="Verdana" w:hAnsi="Verdana"/>
          <w:sz w:val="20"/>
          <w:szCs w:val="20"/>
        </w:rPr>
        <w:t xml:space="preserve">cuáles autoridades específicas estarían encargadas de atender a las víctimas o </w:t>
      </w:r>
      <w:r w:rsidR="003F0249">
        <w:rPr>
          <w:rFonts w:ascii="Verdana" w:hAnsi="Verdana"/>
          <w:sz w:val="20"/>
          <w:szCs w:val="20"/>
        </w:rPr>
        <w:t xml:space="preserve">a </w:t>
      </w:r>
      <w:r w:rsidR="00144E1C" w:rsidRPr="00993F7D">
        <w:rPr>
          <w:rFonts w:ascii="Verdana" w:hAnsi="Verdana"/>
          <w:sz w:val="20"/>
          <w:szCs w:val="20"/>
        </w:rPr>
        <w:t>sus representantes en caso de alguna objeción o problema con relación a la atención médica, psicológica y psiquiátrica</w:t>
      </w:r>
      <w:r w:rsidR="00144E1C">
        <w:rPr>
          <w:rFonts w:ascii="Verdana" w:hAnsi="Verdana"/>
          <w:sz w:val="20"/>
          <w:szCs w:val="20"/>
        </w:rPr>
        <w:t>; iii)</w:t>
      </w:r>
      <w:r w:rsidR="00955008" w:rsidRPr="00993F7D">
        <w:rPr>
          <w:rFonts w:ascii="Verdana" w:hAnsi="Verdana" w:cstheme="minorHAnsi"/>
          <w:sz w:val="20"/>
          <w:szCs w:val="20"/>
        </w:rPr>
        <w:t xml:space="preserve"> cuáles son las medidas adoptadas para garantizar a las víctimas tratamientos médicos especializados </w:t>
      </w:r>
      <w:r w:rsidR="00927FD3" w:rsidRPr="00993F7D">
        <w:rPr>
          <w:rFonts w:ascii="Verdana" w:hAnsi="Verdana" w:cstheme="minorHAnsi"/>
          <w:sz w:val="20"/>
          <w:szCs w:val="20"/>
        </w:rPr>
        <w:t>de forma gratuita y pronta, que evite un esfuerzo económico por parte de las víctimas</w:t>
      </w:r>
      <w:r w:rsidR="00144E1C">
        <w:rPr>
          <w:rFonts w:ascii="Verdana" w:hAnsi="Verdana" w:cstheme="minorHAnsi"/>
          <w:sz w:val="20"/>
          <w:szCs w:val="20"/>
        </w:rPr>
        <w:t xml:space="preserve">, y </w:t>
      </w:r>
      <w:r w:rsidR="00955008" w:rsidRPr="00993F7D">
        <w:rPr>
          <w:rFonts w:ascii="Verdana" w:hAnsi="Verdana" w:cstheme="minorHAnsi"/>
          <w:sz w:val="20"/>
          <w:szCs w:val="20"/>
        </w:rPr>
        <w:t>i</w:t>
      </w:r>
      <w:r w:rsidR="00144E1C">
        <w:rPr>
          <w:rFonts w:ascii="Verdana" w:hAnsi="Verdana" w:cstheme="minorHAnsi"/>
          <w:sz w:val="20"/>
          <w:szCs w:val="20"/>
        </w:rPr>
        <w:t>v</w:t>
      </w:r>
      <w:r w:rsidR="00955008" w:rsidRPr="00993F7D">
        <w:rPr>
          <w:rFonts w:ascii="Verdana" w:hAnsi="Verdana" w:cstheme="minorHAnsi"/>
          <w:sz w:val="20"/>
          <w:szCs w:val="20"/>
        </w:rPr>
        <w:t>)</w:t>
      </w:r>
      <w:r w:rsidR="00955008" w:rsidRPr="00993F7D">
        <w:rPr>
          <w:rFonts w:ascii="Verdana" w:hAnsi="Verdana"/>
          <w:sz w:val="20"/>
          <w:szCs w:val="20"/>
        </w:rPr>
        <w:t xml:space="preserve"> qué acciones ha emprendido o emprenderá para garantizar en el futuro la continuidad </w:t>
      </w:r>
      <w:r w:rsidR="00BA4A5C">
        <w:rPr>
          <w:rFonts w:ascii="Verdana" w:hAnsi="Verdana"/>
          <w:sz w:val="20"/>
          <w:szCs w:val="20"/>
        </w:rPr>
        <w:t xml:space="preserve">de la </w:t>
      </w:r>
      <w:r w:rsidR="00955008" w:rsidRPr="00993F7D">
        <w:rPr>
          <w:rFonts w:ascii="Verdana" w:hAnsi="Verdana"/>
          <w:sz w:val="20"/>
          <w:szCs w:val="20"/>
        </w:rPr>
        <w:t>atención médica, psicológica y/o psiquiátrica que se encuentra brindando de conformidad con los parámetros establecidos en la Sentencia (</w:t>
      </w:r>
      <w:r w:rsidR="00955008" w:rsidRPr="00993F7D">
        <w:rPr>
          <w:rFonts w:ascii="Verdana" w:hAnsi="Verdana"/>
          <w:i/>
          <w:sz w:val="20"/>
          <w:szCs w:val="20"/>
        </w:rPr>
        <w:t>supra</w:t>
      </w:r>
      <w:r w:rsidR="00955008" w:rsidRPr="00993F7D">
        <w:rPr>
          <w:rFonts w:ascii="Verdana" w:hAnsi="Verdana"/>
          <w:sz w:val="20"/>
          <w:szCs w:val="20"/>
        </w:rPr>
        <w:t xml:space="preserve"> Considerando </w:t>
      </w:r>
      <w:r w:rsidR="005F1B35">
        <w:rPr>
          <w:rFonts w:ascii="Verdana" w:hAnsi="Verdana"/>
          <w:sz w:val="20"/>
          <w:szCs w:val="20"/>
        </w:rPr>
        <w:t>1</w:t>
      </w:r>
      <w:r w:rsidR="003F0249">
        <w:rPr>
          <w:rFonts w:ascii="Verdana" w:hAnsi="Verdana"/>
          <w:sz w:val="20"/>
          <w:szCs w:val="20"/>
        </w:rPr>
        <w:t>9</w:t>
      </w:r>
      <w:r w:rsidR="00144E1C">
        <w:rPr>
          <w:rFonts w:ascii="Verdana" w:hAnsi="Verdana"/>
          <w:sz w:val="20"/>
          <w:szCs w:val="20"/>
        </w:rPr>
        <w:t>).</w:t>
      </w:r>
    </w:p>
    <w:p w14:paraId="3759FC58" w14:textId="5EF584B6" w:rsidR="000E1671" w:rsidRDefault="000E1671" w:rsidP="0011029F">
      <w:pPr>
        <w:suppressLineNumbers/>
        <w:autoSpaceDE w:val="0"/>
        <w:autoSpaceDN w:val="0"/>
        <w:adjustRightInd w:val="0"/>
        <w:spacing w:after="0" w:line="240" w:lineRule="auto"/>
        <w:jc w:val="both"/>
        <w:rPr>
          <w:rFonts w:ascii="Arial" w:hAnsi="Arial" w:cs="Arial"/>
        </w:rPr>
      </w:pPr>
    </w:p>
    <w:p w14:paraId="0BF1203F" w14:textId="77777777" w:rsidR="00472698" w:rsidRDefault="00472698" w:rsidP="0011029F">
      <w:pPr>
        <w:suppressLineNumbers/>
        <w:autoSpaceDE w:val="0"/>
        <w:autoSpaceDN w:val="0"/>
        <w:adjustRightInd w:val="0"/>
        <w:spacing w:after="0" w:line="240" w:lineRule="auto"/>
        <w:jc w:val="both"/>
        <w:rPr>
          <w:rFonts w:ascii="Arial" w:hAnsi="Arial" w:cs="Arial"/>
        </w:rPr>
      </w:pPr>
    </w:p>
    <w:p w14:paraId="6A833C14" w14:textId="4E82D5BA" w:rsidR="000E1671" w:rsidRPr="000D3990" w:rsidRDefault="000E1671" w:rsidP="0011029F">
      <w:pPr>
        <w:pStyle w:val="Prrafodelista"/>
        <w:numPr>
          <w:ilvl w:val="0"/>
          <w:numId w:val="3"/>
        </w:numPr>
        <w:suppressLineNumbers/>
        <w:autoSpaceDE w:val="0"/>
        <w:autoSpaceDN w:val="0"/>
        <w:adjustRightInd w:val="0"/>
        <w:spacing w:after="0" w:line="240" w:lineRule="auto"/>
        <w:jc w:val="both"/>
        <w:outlineLvl w:val="0"/>
        <w:rPr>
          <w:rFonts w:ascii="Verdana" w:hAnsi="Verdana"/>
          <w:b/>
          <w:i/>
          <w:sz w:val="20"/>
          <w:szCs w:val="20"/>
        </w:rPr>
      </w:pPr>
      <w:bookmarkStart w:id="2" w:name="_Toc66258559"/>
      <w:r w:rsidRPr="000D3990">
        <w:rPr>
          <w:rFonts w:ascii="Verdana" w:hAnsi="Verdana"/>
          <w:b/>
          <w:i/>
          <w:sz w:val="20"/>
          <w:szCs w:val="20"/>
        </w:rPr>
        <w:t>Otorgar becas de estudio a los hijos de las víctimas</w:t>
      </w:r>
      <w:bookmarkEnd w:id="2"/>
      <w:r w:rsidRPr="000D3990">
        <w:rPr>
          <w:rFonts w:ascii="Verdana" w:hAnsi="Verdana"/>
          <w:b/>
          <w:i/>
          <w:sz w:val="20"/>
          <w:szCs w:val="20"/>
        </w:rPr>
        <w:t xml:space="preserve"> </w:t>
      </w:r>
    </w:p>
    <w:p w14:paraId="0C4E0EF3" w14:textId="1512D29F" w:rsidR="000E1671" w:rsidRDefault="000E1671" w:rsidP="0011029F">
      <w:pPr>
        <w:suppressLineNumbers/>
        <w:autoSpaceDE w:val="0"/>
        <w:autoSpaceDN w:val="0"/>
        <w:adjustRightInd w:val="0"/>
        <w:spacing w:after="0" w:line="240" w:lineRule="auto"/>
        <w:jc w:val="both"/>
        <w:rPr>
          <w:rFonts w:ascii="Verdana" w:hAnsi="Verdana"/>
          <w:sz w:val="20"/>
          <w:szCs w:val="20"/>
        </w:rPr>
      </w:pPr>
    </w:p>
    <w:p w14:paraId="0E26E89E" w14:textId="70E2F98D" w:rsidR="000E1671" w:rsidRPr="000F2323" w:rsidRDefault="000E1671" w:rsidP="0011029F">
      <w:pPr>
        <w:suppressLineNumbers/>
        <w:autoSpaceDE w:val="0"/>
        <w:autoSpaceDN w:val="0"/>
        <w:adjustRightInd w:val="0"/>
        <w:spacing w:after="0" w:line="240" w:lineRule="auto"/>
        <w:ind w:firstLine="360"/>
        <w:jc w:val="both"/>
        <w:rPr>
          <w:rFonts w:ascii="Verdana" w:hAnsi="Verdana"/>
          <w:i/>
          <w:sz w:val="20"/>
          <w:szCs w:val="20"/>
        </w:rPr>
      </w:pPr>
      <w:r w:rsidRPr="000F2323">
        <w:rPr>
          <w:rFonts w:ascii="Verdana" w:hAnsi="Verdana"/>
          <w:i/>
          <w:sz w:val="20"/>
          <w:szCs w:val="20"/>
        </w:rPr>
        <w:t xml:space="preserve">C.1. Medida ordenada por la Corte </w:t>
      </w:r>
      <w:r w:rsidR="00B835A1">
        <w:rPr>
          <w:rFonts w:ascii="Verdana" w:hAnsi="Verdana"/>
          <w:i/>
          <w:sz w:val="20"/>
          <w:szCs w:val="20"/>
        </w:rPr>
        <w:t>y supervisión realizada en resolución posterior</w:t>
      </w:r>
    </w:p>
    <w:p w14:paraId="779EA3DE" w14:textId="589BFDC9" w:rsidR="000E1671" w:rsidRDefault="000E1671" w:rsidP="0011029F">
      <w:pPr>
        <w:suppressLineNumbers/>
        <w:autoSpaceDE w:val="0"/>
        <w:autoSpaceDN w:val="0"/>
        <w:adjustRightInd w:val="0"/>
        <w:spacing w:after="0" w:line="240" w:lineRule="auto"/>
        <w:jc w:val="both"/>
        <w:rPr>
          <w:rFonts w:ascii="Verdana" w:hAnsi="Verdana"/>
          <w:sz w:val="20"/>
          <w:szCs w:val="20"/>
        </w:rPr>
      </w:pPr>
    </w:p>
    <w:p w14:paraId="7363FA82" w14:textId="34DD6B10" w:rsidR="000E1671" w:rsidRPr="00A96390" w:rsidRDefault="000E1671"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A96390">
        <w:rPr>
          <w:rFonts w:ascii="Verdana" w:hAnsi="Verdana"/>
          <w:sz w:val="20"/>
          <w:szCs w:val="20"/>
        </w:rPr>
        <w:t>En</w:t>
      </w:r>
      <w:r w:rsidR="00540BE6" w:rsidRPr="00A96390">
        <w:rPr>
          <w:rFonts w:ascii="Verdana" w:hAnsi="Verdana"/>
          <w:sz w:val="20"/>
          <w:szCs w:val="20"/>
        </w:rPr>
        <w:t xml:space="preserve"> el Fallo,</w:t>
      </w:r>
      <w:r w:rsidRPr="00A96390">
        <w:rPr>
          <w:rFonts w:ascii="Verdana" w:hAnsi="Verdana"/>
          <w:sz w:val="20"/>
          <w:szCs w:val="20"/>
        </w:rPr>
        <w:t xml:space="preserve"> la Corte constató que los procesos penales realizados en contra de las ocho víctimas con base en la aplicación de una ley contraria a la Convención</w:t>
      </w:r>
      <w:r w:rsidR="004A251A">
        <w:rPr>
          <w:rFonts w:ascii="Verdana" w:hAnsi="Verdana"/>
          <w:sz w:val="20"/>
          <w:szCs w:val="20"/>
        </w:rPr>
        <w:t xml:space="preserve"> Americana</w:t>
      </w:r>
      <w:r w:rsidRPr="00A96390">
        <w:rPr>
          <w:rFonts w:ascii="Verdana" w:hAnsi="Verdana"/>
          <w:sz w:val="20"/>
          <w:szCs w:val="20"/>
        </w:rPr>
        <w:t xml:space="preserve"> “</w:t>
      </w:r>
      <w:proofErr w:type="spellStart"/>
      <w:r w:rsidRPr="00A96390">
        <w:rPr>
          <w:rFonts w:ascii="Verdana" w:hAnsi="Verdana"/>
          <w:sz w:val="20"/>
          <w:szCs w:val="20"/>
        </w:rPr>
        <w:t>repercuti</w:t>
      </w:r>
      <w:proofErr w:type="spellEnd"/>
      <w:r w:rsidR="00293D86" w:rsidRPr="00A96390">
        <w:rPr>
          <w:rFonts w:ascii="Verdana" w:hAnsi="Verdana"/>
          <w:sz w:val="20"/>
          <w:szCs w:val="20"/>
        </w:rPr>
        <w:t>[</w:t>
      </w:r>
      <w:proofErr w:type="spellStart"/>
      <w:r w:rsidR="00293D86" w:rsidRPr="00A96390">
        <w:rPr>
          <w:rFonts w:ascii="Verdana" w:hAnsi="Verdana"/>
          <w:sz w:val="20"/>
          <w:szCs w:val="20"/>
        </w:rPr>
        <w:t>eron</w:t>
      </w:r>
      <w:proofErr w:type="spellEnd"/>
      <w:r w:rsidR="00293D86" w:rsidRPr="00A96390">
        <w:rPr>
          <w:rFonts w:ascii="Verdana" w:hAnsi="Verdana"/>
          <w:sz w:val="20"/>
          <w:szCs w:val="20"/>
        </w:rPr>
        <w:t>]</w:t>
      </w:r>
      <w:r w:rsidRPr="00A96390">
        <w:rPr>
          <w:rFonts w:ascii="Verdana" w:hAnsi="Verdana"/>
          <w:sz w:val="20"/>
          <w:szCs w:val="20"/>
        </w:rPr>
        <w:t xml:space="preserve"> en la situación económica de [cada] grupo familiar y, por ende, en la posibilidad de que sus hijos pudieran acceder o completar sus estudios”</w:t>
      </w:r>
      <w:r>
        <w:rPr>
          <w:rStyle w:val="Refdenotaalpie"/>
          <w:rFonts w:ascii="Verdana" w:hAnsi="Verdana"/>
          <w:sz w:val="20"/>
          <w:szCs w:val="20"/>
        </w:rPr>
        <w:footnoteReference w:id="56"/>
      </w:r>
      <w:r w:rsidRPr="00A96390">
        <w:rPr>
          <w:rFonts w:ascii="Verdana" w:hAnsi="Verdana"/>
          <w:sz w:val="20"/>
          <w:szCs w:val="20"/>
        </w:rPr>
        <w:t xml:space="preserve">. En consecuencia, en el punto dispositivo décimo noveno y en el párrafo 432 de la Sentencia, se ordenó al Estado “otorgar becas de estudio en instituciones públicas chilenas, en beneficio de los hijos de las ocho víctimas del presente caso que </w:t>
      </w:r>
      <w:proofErr w:type="spellStart"/>
      <w:r w:rsidRPr="00A96390">
        <w:rPr>
          <w:rFonts w:ascii="Verdana" w:hAnsi="Verdana"/>
          <w:sz w:val="20"/>
          <w:szCs w:val="20"/>
        </w:rPr>
        <w:t>asi</w:t>
      </w:r>
      <w:proofErr w:type="spellEnd"/>
      <w:r w:rsidRPr="00A96390">
        <w:rPr>
          <w:rFonts w:ascii="Verdana" w:hAnsi="Verdana"/>
          <w:sz w:val="20"/>
          <w:szCs w:val="20"/>
        </w:rPr>
        <w:t>́ lo soliciten”. Al respecto, el Tribunal especificó que las becas deben “</w:t>
      </w:r>
      <w:proofErr w:type="spellStart"/>
      <w:r w:rsidRPr="00A96390">
        <w:rPr>
          <w:rFonts w:ascii="Verdana" w:hAnsi="Verdana"/>
          <w:sz w:val="20"/>
          <w:szCs w:val="20"/>
        </w:rPr>
        <w:t>cubr</w:t>
      </w:r>
      <w:proofErr w:type="spellEnd"/>
      <w:r w:rsidRPr="00A96390">
        <w:rPr>
          <w:rFonts w:ascii="Verdana" w:hAnsi="Verdana"/>
          <w:sz w:val="20"/>
          <w:szCs w:val="20"/>
        </w:rPr>
        <w:t>[ir] todos los costos de su educación hasta la conclusión de sus estudios superiores, bien sean técnicos o universitarios”</w:t>
      </w:r>
      <w:r w:rsidR="00A96390">
        <w:rPr>
          <w:rStyle w:val="Refdenotaalpie"/>
          <w:rFonts w:ascii="Verdana" w:hAnsi="Verdana"/>
          <w:sz w:val="20"/>
          <w:szCs w:val="20"/>
        </w:rPr>
        <w:footnoteReference w:id="57"/>
      </w:r>
      <w:r w:rsidRPr="00A96390">
        <w:rPr>
          <w:rFonts w:ascii="Verdana" w:hAnsi="Verdana"/>
          <w:sz w:val="20"/>
          <w:szCs w:val="20"/>
        </w:rPr>
        <w:t xml:space="preserve">. </w:t>
      </w:r>
    </w:p>
    <w:p w14:paraId="37A13F2D" w14:textId="06989AFB" w:rsidR="00B835A1" w:rsidRDefault="00B835A1" w:rsidP="0011029F">
      <w:pPr>
        <w:suppressLineNumbers/>
        <w:autoSpaceDE w:val="0"/>
        <w:autoSpaceDN w:val="0"/>
        <w:adjustRightInd w:val="0"/>
        <w:spacing w:after="0" w:line="240" w:lineRule="auto"/>
        <w:jc w:val="both"/>
        <w:rPr>
          <w:rFonts w:ascii="Verdana" w:hAnsi="Verdana"/>
          <w:sz w:val="20"/>
          <w:szCs w:val="20"/>
        </w:rPr>
      </w:pPr>
    </w:p>
    <w:p w14:paraId="277E4CDA" w14:textId="36D5100C" w:rsidR="00B835A1" w:rsidRPr="008A563F" w:rsidRDefault="00B835A1" w:rsidP="008A563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9D72BD">
        <w:rPr>
          <w:rFonts w:ascii="Verdana" w:hAnsi="Verdana"/>
          <w:sz w:val="20"/>
          <w:szCs w:val="20"/>
        </w:rPr>
        <w:t>En la Resolución de 2018</w:t>
      </w:r>
      <w:r w:rsidR="00A53474" w:rsidRPr="009D72BD">
        <w:rPr>
          <w:rFonts w:ascii="Verdana" w:hAnsi="Verdana"/>
          <w:sz w:val="20"/>
          <w:szCs w:val="20"/>
        </w:rPr>
        <w:t>,</w:t>
      </w:r>
      <w:r w:rsidRPr="009D72BD">
        <w:rPr>
          <w:rFonts w:ascii="Verdana" w:hAnsi="Verdana"/>
          <w:sz w:val="20"/>
          <w:szCs w:val="20"/>
        </w:rPr>
        <w:t xml:space="preserve"> la Corte valoró las </w:t>
      </w:r>
      <w:r w:rsidR="000E6103" w:rsidRPr="009D72BD">
        <w:rPr>
          <w:rFonts w:ascii="Verdana" w:hAnsi="Verdana"/>
          <w:sz w:val="20"/>
          <w:szCs w:val="20"/>
        </w:rPr>
        <w:t xml:space="preserve">gestiones </w:t>
      </w:r>
      <w:r w:rsidRPr="009D72BD">
        <w:rPr>
          <w:rFonts w:ascii="Verdana" w:hAnsi="Verdana"/>
          <w:sz w:val="20"/>
          <w:szCs w:val="20"/>
        </w:rPr>
        <w:t>desplegadas por el Estado para dar cumplimiento a esta medida</w:t>
      </w:r>
      <w:r w:rsidR="00CF7C1F">
        <w:rPr>
          <w:rFonts w:ascii="Verdana" w:hAnsi="Verdana"/>
          <w:sz w:val="20"/>
          <w:szCs w:val="20"/>
        </w:rPr>
        <w:t>,</w:t>
      </w:r>
      <w:r w:rsidR="000E6103" w:rsidRPr="00375F5D">
        <w:rPr>
          <w:rFonts w:ascii="Verdana" w:hAnsi="Verdana"/>
          <w:sz w:val="20"/>
          <w:szCs w:val="20"/>
        </w:rPr>
        <w:t xml:space="preserve"> por lo cual declaró su cumplimiento parcial</w:t>
      </w:r>
      <w:r w:rsidRPr="00375F5D">
        <w:rPr>
          <w:rFonts w:ascii="Verdana" w:hAnsi="Verdana"/>
          <w:sz w:val="20"/>
          <w:szCs w:val="20"/>
        </w:rPr>
        <w:t>.</w:t>
      </w:r>
      <w:r w:rsidR="000E6103" w:rsidRPr="00375F5D">
        <w:rPr>
          <w:rFonts w:ascii="Verdana" w:hAnsi="Verdana"/>
          <w:sz w:val="20"/>
          <w:szCs w:val="20"/>
        </w:rPr>
        <w:t xml:space="preserve"> </w:t>
      </w:r>
      <w:r w:rsidR="0037746D">
        <w:rPr>
          <w:rFonts w:ascii="Verdana" w:hAnsi="Verdana"/>
          <w:sz w:val="20"/>
          <w:szCs w:val="20"/>
        </w:rPr>
        <w:t>En la Resolución se dejó constando que el Estado ampli</w:t>
      </w:r>
      <w:r w:rsidR="00712997">
        <w:rPr>
          <w:rFonts w:ascii="Verdana" w:hAnsi="Verdana"/>
          <w:sz w:val="20"/>
          <w:szCs w:val="20"/>
        </w:rPr>
        <w:t>ó</w:t>
      </w:r>
      <w:r w:rsidR="00453ED8">
        <w:rPr>
          <w:rFonts w:ascii="Verdana" w:hAnsi="Verdana"/>
          <w:sz w:val="20"/>
          <w:szCs w:val="20"/>
        </w:rPr>
        <w:t xml:space="preserve"> </w:t>
      </w:r>
      <w:r w:rsidR="00BB33D8">
        <w:rPr>
          <w:rFonts w:ascii="Verdana" w:hAnsi="Verdana"/>
          <w:sz w:val="20"/>
          <w:szCs w:val="20"/>
        </w:rPr>
        <w:t>e</w:t>
      </w:r>
      <w:r w:rsidR="00453ED8">
        <w:rPr>
          <w:rFonts w:ascii="Verdana" w:hAnsi="Verdana"/>
          <w:sz w:val="20"/>
          <w:szCs w:val="20"/>
        </w:rPr>
        <w:t>l universo de</w:t>
      </w:r>
      <w:r w:rsidR="0037746D">
        <w:rPr>
          <w:rFonts w:ascii="Verdana" w:hAnsi="Verdana"/>
          <w:sz w:val="20"/>
          <w:szCs w:val="20"/>
        </w:rPr>
        <w:t xml:space="preserve"> los beneficiarios de las becas, entre quienes incluyó también a las víctimas, además de sus hijos (como fue ordenado en la Sentencia)</w:t>
      </w:r>
      <w:r w:rsidR="006B5CB5" w:rsidRPr="00375F5D">
        <w:rPr>
          <w:rStyle w:val="Refdenotaalpie"/>
          <w:rFonts w:ascii="Verdana" w:hAnsi="Verdana"/>
          <w:sz w:val="20"/>
          <w:szCs w:val="20"/>
        </w:rPr>
        <w:footnoteReference w:id="58"/>
      </w:r>
      <w:r w:rsidR="0037746D">
        <w:rPr>
          <w:rFonts w:ascii="Verdana" w:hAnsi="Verdana"/>
          <w:sz w:val="20"/>
          <w:szCs w:val="20"/>
        </w:rPr>
        <w:t>, y la Corte decidió supervisar la medida tanto respecto de los hijos de las víctimas como de estas últimas. En la Resolución también se dejaron constando algunos “criterios” definidos por el Ministerio de Educación para el otorgamiento de las becas.</w:t>
      </w:r>
      <w:r w:rsidR="00E6513D" w:rsidRPr="00E6513D">
        <w:rPr>
          <w:rFonts w:ascii="Verdana" w:hAnsi="Verdana"/>
          <w:sz w:val="20"/>
          <w:szCs w:val="18"/>
          <w:lang w:val="es-MX"/>
        </w:rPr>
        <w:t xml:space="preserve"> </w:t>
      </w:r>
      <w:r w:rsidR="0037746D">
        <w:rPr>
          <w:rFonts w:ascii="Verdana" w:hAnsi="Verdana"/>
          <w:sz w:val="20"/>
          <w:szCs w:val="18"/>
          <w:lang w:val="es-MX"/>
        </w:rPr>
        <w:t xml:space="preserve">El Tribunal </w:t>
      </w:r>
      <w:r w:rsidR="000E6103" w:rsidRPr="00E6513D">
        <w:rPr>
          <w:rFonts w:ascii="Verdana" w:hAnsi="Verdana"/>
          <w:sz w:val="20"/>
          <w:szCs w:val="18"/>
        </w:rPr>
        <w:t>requirió al Estado que</w:t>
      </w:r>
      <w:r w:rsidR="00375F5D" w:rsidRPr="00E6513D">
        <w:rPr>
          <w:rFonts w:ascii="Verdana" w:hAnsi="Verdana"/>
          <w:sz w:val="20"/>
          <w:szCs w:val="18"/>
        </w:rPr>
        <w:t xml:space="preserve">, teniendo en consideración </w:t>
      </w:r>
      <w:r w:rsidR="00375F5D" w:rsidRPr="00E6513D">
        <w:rPr>
          <w:rFonts w:ascii="Verdana" w:hAnsi="Verdana"/>
          <w:sz w:val="20"/>
          <w:szCs w:val="18"/>
        </w:rPr>
        <w:lastRenderedPageBreak/>
        <w:t>las objeciones de los representantes y de la Comisión,</w:t>
      </w:r>
      <w:r w:rsidR="000E6103" w:rsidRPr="00E6513D">
        <w:rPr>
          <w:rFonts w:ascii="Verdana" w:hAnsi="Verdana"/>
          <w:sz w:val="20"/>
          <w:szCs w:val="18"/>
        </w:rPr>
        <w:t xml:space="preserve"> presentara información relativa a</w:t>
      </w:r>
      <w:r w:rsidR="008C3CED" w:rsidRPr="00662432">
        <w:rPr>
          <w:rFonts w:ascii="Verdana" w:hAnsi="Verdana"/>
          <w:sz w:val="20"/>
          <w:szCs w:val="18"/>
        </w:rPr>
        <w:t>: i) el listado definitivo de las víctimas y de sus</w:t>
      </w:r>
      <w:r w:rsidR="008C3CED" w:rsidRPr="00662432">
        <w:rPr>
          <w:rFonts w:ascii="Verdana" w:hAnsi="Verdana"/>
          <w:szCs w:val="20"/>
        </w:rPr>
        <w:t xml:space="preserve"> </w:t>
      </w:r>
      <w:r w:rsidR="008C3CED" w:rsidRPr="00662432">
        <w:rPr>
          <w:rFonts w:ascii="Verdana" w:hAnsi="Verdana"/>
          <w:sz w:val="20"/>
          <w:szCs w:val="20"/>
        </w:rPr>
        <w:t xml:space="preserve">hijos/as que han solicitado y están recibiendo las becas educativas junto con la indicación </w:t>
      </w:r>
      <w:r w:rsidR="008C3CED" w:rsidRPr="008A563F">
        <w:rPr>
          <w:rFonts w:ascii="Verdana" w:hAnsi="Verdana"/>
          <w:sz w:val="20"/>
          <w:szCs w:val="20"/>
        </w:rPr>
        <w:t>del nivel educativo para el cual la reciben</w:t>
      </w:r>
      <w:r w:rsidR="008A312D" w:rsidRPr="008A563F">
        <w:rPr>
          <w:rFonts w:ascii="Verdana" w:hAnsi="Verdana"/>
          <w:sz w:val="20"/>
          <w:szCs w:val="20"/>
        </w:rPr>
        <w:t xml:space="preserve"> (</w:t>
      </w:r>
      <w:r w:rsidR="008A312D" w:rsidRPr="008A563F">
        <w:rPr>
          <w:rFonts w:ascii="Verdana" w:hAnsi="Verdana"/>
          <w:i/>
          <w:sz w:val="20"/>
          <w:szCs w:val="20"/>
        </w:rPr>
        <w:t>infra</w:t>
      </w:r>
      <w:r w:rsidR="008A312D" w:rsidRPr="008A563F">
        <w:rPr>
          <w:rFonts w:ascii="Verdana" w:hAnsi="Verdana"/>
          <w:sz w:val="20"/>
          <w:szCs w:val="20"/>
        </w:rPr>
        <w:t xml:space="preserve"> Considerando</w:t>
      </w:r>
      <w:r w:rsidR="002A329C" w:rsidRPr="008A563F">
        <w:rPr>
          <w:rFonts w:ascii="Verdana" w:hAnsi="Verdana"/>
          <w:sz w:val="20"/>
          <w:szCs w:val="20"/>
        </w:rPr>
        <w:t xml:space="preserve"> 3</w:t>
      </w:r>
      <w:r w:rsidR="00662432" w:rsidRPr="008A563F">
        <w:rPr>
          <w:rFonts w:ascii="Verdana" w:hAnsi="Verdana"/>
          <w:sz w:val="20"/>
          <w:szCs w:val="20"/>
        </w:rPr>
        <w:t>3</w:t>
      </w:r>
      <w:r w:rsidR="008A312D" w:rsidRPr="008A563F">
        <w:rPr>
          <w:rFonts w:ascii="Verdana" w:hAnsi="Verdana"/>
          <w:sz w:val="20"/>
          <w:szCs w:val="20"/>
        </w:rPr>
        <w:t>)</w:t>
      </w:r>
      <w:r w:rsidR="008C3CED" w:rsidRPr="008A563F">
        <w:rPr>
          <w:rFonts w:ascii="Verdana" w:hAnsi="Verdana"/>
          <w:sz w:val="20"/>
          <w:szCs w:val="20"/>
        </w:rPr>
        <w:t xml:space="preserve">; ii) </w:t>
      </w:r>
      <w:r w:rsidR="000E6103" w:rsidRPr="008A563F">
        <w:rPr>
          <w:rFonts w:ascii="Verdana" w:hAnsi="Verdana"/>
          <w:sz w:val="20"/>
          <w:szCs w:val="20"/>
        </w:rPr>
        <w:t>l</w:t>
      </w:r>
      <w:r w:rsidR="008C3CED" w:rsidRPr="008A563F">
        <w:rPr>
          <w:rFonts w:ascii="Verdana" w:hAnsi="Verdana"/>
          <w:sz w:val="20"/>
          <w:szCs w:val="20"/>
        </w:rPr>
        <w:t>os rubros que cubren y e</w:t>
      </w:r>
      <w:r w:rsidR="00CB6150" w:rsidRPr="008A563F">
        <w:rPr>
          <w:rFonts w:ascii="Verdana" w:hAnsi="Verdana"/>
          <w:sz w:val="20"/>
          <w:szCs w:val="20"/>
        </w:rPr>
        <w:t xml:space="preserve">l cálculo del </w:t>
      </w:r>
      <w:r w:rsidR="00C525AD" w:rsidRPr="008A563F">
        <w:rPr>
          <w:rFonts w:ascii="Verdana" w:hAnsi="Verdana"/>
          <w:sz w:val="20"/>
          <w:szCs w:val="20"/>
        </w:rPr>
        <w:t>monto de las becas</w:t>
      </w:r>
      <w:r w:rsidR="008A312D" w:rsidRPr="008A563F">
        <w:rPr>
          <w:rFonts w:ascii="Verdana" w:hAnsi="Verdana"/>
          <w:sz w:val="20"/>
          <w:szCs w:val="20"/>
        </w:rPr>
        <w:t xml:space="preserve"> (</w:t>
      </w:r>
      <w:r w:rsidR="008A312D" w:rsidRPr="008A563F">
        <w:rPr>
          <w:rFonts w:ascii="Verdana" w:hAnsi="Verdana"/>
          <w:i/>
          <w:sz w:val="20"/>
          <w:szCs w:val="20"/>
        </w:rPr>
        <w:t>infra</w:t>
      </w:r>
      <w:r w:rsidR="008A312D" w:rsidRPr="008A563F">
        <w:rPr>
          <w:rFonts w:ascii="Verdana" w:hAnsi="Verdana"/>
          <w:sz w:val="20"/>
          <w:szCs w:val="20"/>
        </w:rPr>
        <w:t xml:space="preserve"> Considerando</w:t>
      </w:r>
      <w:r w:rsidR="003845C0" w:rsidRPr="008A563F">
        <w:rPr>
          <w:rFonts w:ascii="Verdana" w:hAnsi="Verdana"/>
          <w:sz w:val="20"/>
          <w:szCs w:val="20"/>
        </w:rPr>
        <w:t>s</w:t>
      </w:r>
      <w:r w:rsidR="008A312D" w:rsidRPr="008A563F">
        <w:rPr>
          <w:rFonts w:ascii="Verdana" w:hAnsi="Verdana"/>
          <w:sz w:val="20"/>
          <w:szCs w:val="20"/>
        </w:rPr>
        <w:t xml:space="preserve"> </w:t>
      </w:r>
      <w:r w:rsidR="006A1C0E" w:rsidRPr="008A563F">
        <w:rPr>
          <w:rFonts w:ascii="Verdana" w:hAnsi="Verdana"/>
          <w:sz w:val="20"/>
          <w:szCs w:val="20"/>
        </w:rPr>
        <w:t>3</w:t>
      </w:r>
      <w:r w:rsidR="00662432" w:rsidRPr="008A563F">
        <w:rPr>
          <w:rFonts w:ascii="Verdana" w:hAnsi="Verdana"/>
          <w:sz w:val="20"/>
          <w:szCs w:val="20"/>
        </w:rPr>
        <w:t>4</w:t>
      </w:r>
      <w:r w:rsidR="006A1C0E" w:rsidRPr="008A563F">
        <w:rPr>
          <w:rFonts w:ascii="Verdana" w:hAnsi="Verdana"/>
          <w:sz w:val="20"/>
          <w:szCs w:val="20"/>
        </w:rPr>
        <w:t xml:space="preserve"> a </w:t>
      </w:r>
      <w:r w:rsidR="000C7A9E" w:rsidRPr="008A563F">
        <w:rPr>
          <w:rFonts w:ascii="Verdana" w:hAnsi="Verdana"/>
          <w:sz w:val="20"/>
          <w:szCs w:val="20"/>
        </w:rPr>
        <w:t>3</w:t>
      </w:r>
      <w:r w:rsidR="00662432" w:rsidRPr="008A563F">
        <w:rPr>
          <w:rFonts w:ascii="Verdana" w:hAnsi="Verdana"/>
          <w:sz w:val="20"/>
          <w:szCs w:val="20"/>
        </w:rPr>
        <w:t>6</w:t>
      </w:r>
      <w:r w:rsidR="008A312D" w:rsidRPr="008A563F">
        <w:rPr>
          <w:rFonts w:ascii="Verdana" w:hAnsi="Verdana"/>
          <w:sz w:val="20"/>
          <w:szCs w:val="20"/>
        </w:rPr>
        <w:t>)</w:t>
      </w:r>
      <w:r w:rsidR="008C3CED" w:rsidRPr="008A563F">
        <w:rPr>
          <w:rFonts w:ascii="Verdana" w:hAnsi="Verdana"/>
          <w:sz w:val="20"/>
          <w:szCs w:val="20"/>
        </w:rPr>
        <w:t>; iii)</w:t>
      </w:r>
      <w:r w:rsidR="00C525AD" w:rsidRPr="008A563F">
        <w:rPr>
          <w:rFonts w:ascii="Verdana" w:hAnsi="Verdana"/>
          <w:sz w:val="20"/>
          <w:szCs w:val="20"/>
        </w:rPr>
        <w:t xml:space="preserve"> </w:t>
      </w:r>
      <w:r w:rsidR="00375F5D" w:rsidRPr="008A563F">
        <w:rPr>
          <w:rFonts w:ascii="Verdana" w:hAnsi="Verdana"/>
          <w:sz w:val="20"/>
          <w:szCs w:val="20"/>
        </w:rPr>
        <w:t>los pagos efectuados y los pagos pendientes</w:t>
      </w:r>
      <w:r w:rsidR="008A312D" w:rsidRPr="008A563F">
        <w:rPr>
          <w:rFonts w:ascii="Verdana" w:hAnsi="Verdana"/>
          <w:sz w:val="20"/>
          <w:szCs w:val="20"/>
        </w:rPr>
        <w:t xml:space="preserve"> (</w:t>
      </w:r>
      <w:r w:rsidR="008A312D" w:rsidRPr="008A563F">
        <w:rPr>
          <w:rFonts w:ascii="Verdana" w:hAnsi="Verdana"/>
          <w:i/>
          <w:sz w:val="20"/>
          <w:szCs w:val="20"/>
        </w:rPr>
        <w:t>infra</w:t>
      </w:r>
      <w:r w:rsidR="003845C0" w:rsidRPr="008A563F">
        <w:rPr>
          <w:rFonts w:ascii="Verdana" w:hAnsi="Verdana"/>
          <w:sz w:val="20"/>
          <w:szCs w:val="20"/>
        </w:rPr>
        <w:t xml:space="preserve"> Considerando </w:t>
      </w:r>
      <w:r w:rsidR="00CB5030" w:rsidRPr="008A563F">
        <w:rPr>
          <w:rFonts w:ascii="Verdana" w:hAnsi="Verdana"/>
          <w:sz w:val="20"/>
          <w:szCs w:val="20"/>
        </w:rPr>
        <w:t>32</w:t>
      </w:r>
      <w:r w:rsidR="008A312D" w:rsidRPr="008A563F">
        <w:rPr>
          <w:rFonts w:ascii="Verdana" w:hAnsi="Verdana"/>
          <w:sz w:val="20"/>
          <w:szCs w:val="20"/>
        </w:rPr>
        <w:t>)</w:t>
      </w:r>
      <w:r w:rsidR="008C3CED" w:rsidRPr="008A563F">
        <w:rPr>
          <w:rFonts w:ascii="Verdana" w:hAnsi="Verdana"/>
          <w:sz w:val="20"/>
          <w:szCs w:val="20"/>
        </w:rPr>
        <w:t>; iv)</w:t>
      </w:r>
      <w:r w:rsidR="00375F5D" w:rsidRPr="008A563F">
        <w:rPr>
          <w:rFonts w:ascii="Verdana" w:hAnsi="Verdana"/>
          <w:sz w:val="20"/>
          <w:szCs w:val="20"/>
        </w:rPr>
        <w:t xml:space="preserve"> la modalidad de pago retroactivo de las becas</w:t>
      </w:r>
      <w:r w:rsidR="008A312D" w:rsidRPr="008A563F">
        <w:rPr>
          <w:rFonts w:ascii="Verdana" w:hAnsi="Verdana"/>
          <w:sz w:val="20"/>
          <w:szCs w:val="20"/>
        </w:rPr>
        <w:t xml:space="preserve"> (</w:t>
      </w:r>
      <w:r w:rsidR="008A312D" w:rsidRPr="008A563F">
        <w:rPr>
          <w:rFonts w:ascii="Verdana" w:hAnsi="Verdana"/>
          <w:i/>
          <w:sz w:val="20"/>
          <w:szCs w:val="20"/>
        </w:rPr>
        <w:t>infra</w:t>
      </w:r>
      <w:r w:rsidR="008A312D" w:rsidRPr="008A563F">
        <w:rPr>
          <w:rFonts w:ascii="Verdana" w:hAnsi="Verdana"/>
          <w:sz w:val="20"/>
          <w:szCs w:val="20"/>
        </w:rPr>
        <w:t xml:space="preserve"> Considerando</w:t>
      </w:r>
      <w:r w:rsidR="003845C0" w:rsidRPr="008A563F">
        <w:rPr>
          <w:rFonts w:ascii="Verdana" w:hAnsi="Verdana"/>
          <w:sz w:val="20"/>
          <w:szCs w:val="20"/>
        </w:rPr>
        <w:t>s</w:t>
      </w:r>
      <w:r w:rsidR="008A312D" w:rsidRPr="008A563F">
        <w:rPr>
          <w:rFonts w:ascii="Verdana" w:hAnsi="Verdana"/>
          <w:sz w:val="20"/>
          <w:szCs w:val="20"/>
        </w:rPr>
        <w:t xml:space="preserve"> </w:t>
      </w:r>
      <w:r w:rsidR="000C7A9E" w:rsidRPr="008A563F">
        <w:rPr>
          <w:rFonts w:ascii="Verdana" w:hAnsi="Verdana"/>
          <w:sz w:val="20"/>
          <w:szCs w:val="20"/>
        </w:rPr>
        <w:t>3</w:t>
      </w:r>
      <w:r w:rsidR="008A563F" w:rsidRPr="008A563F">
        <w:rPr>
          <w:rFonts w:ascii="Verdana" w:hAnsi="Verdana"/>
          <w:sz w:val="20"/>
          <w:szCs w:val="20"/>
        </w:rPr>
        <w:t>5</w:t>
      </w:r>
      <w:r w:rsidR="002A329C" w:rsidRPr="008A563F">
        <w:rPr>
          <w:rFonts w:ascii="Verdana" w:hAnsi="Verdana"/>
          <w:sz w:val="20"/>
          <w:szCs w:val="20"/>
        </w:rPr>
        <w:t>, 3</w:t>
      </w:r>
      <w:r w:rsidR="008A563F" w:rsidRPr="008A563F">
        <w:rPr>
          <w:rFonts w:ascii="Verdana" w:hAnsi="Verdana"/>
          <w:sz w:val="20"/>
          <w:szCs w:val="20"/>
        </w:rPr>
        <w:t>7</w:t>
      </w:r>
      <w:r w:rsidR="003C7DD5" w:rsidRPr="008A563F">
        <w:rPr>
          <w:rFonts w:ascii="Verdana" w:hAnsi="Verdana"/>
          <w:sz w:val="20"/>
          <w:szCs w:val="20"/>
        </w:rPr>
        <w:t xml:space="preserve"> a </w:t>
      </w:r>
      <w:r w:rsidR="008A563F" w:rsidRPr="008A563F">
        <w:rPr>
          <w:rFonts w:ascii="Verdana" w:hAnsi="Verdana"/>
          <w:sz w:val="20"/>
          <w:szCs w:val="20"/>
        </w:rPr>
        <w:t>41</w:t>
      </w:r>
      <w:r w:rsidR="008A312D" w:rsidRPr="008A563F">
        <w:rPr>
          <w:rFonts w:ascii="Verdana" w:hAnsi="Verdana"/>
          <w:sz w:val="20"/>
          <w:szCs w:val="20"/>
        </w:rPr>
        <w:t>)</w:t>
      </w:r>
      <w:r w:rsidR="00375F5D" w:rsidRPr="008A563F">
        <w:rPr>
          <w:rFonts w:ascii="Verdana" w:hAnsi="Verdana"/>
          <w:sz w:val="20"/>
          <w:szCs w:val="20"/>
        </w:rPr>
        <w:t>, y</w:t>
      </w:r>
      <w:r w:rsidR="008C3CED" w:rsidRPr="008A563F">
        <w:rPr>
          <w:rFonts w:ascii="Verdana" w:hAnsi="Verdana"/>
          <w:sz w:val="20"/>
          <w:szCs w:val="20"/>
        </w:rPr>
        <w:t xml:space="preserve"> v)</w:t>
      </w:r>
      <w:r w:rsidR="00375F5D" w:rsidRPr="008A563F">
        <w:rPr>
          <w:rFonts w:ascii="Verdana" w:hAnsi="Verdana"/>
          <w:sz w:val="20"/>
          <w:szCs w:val="20"/>
        </w:rPr>
        <w:t xml:space="preserve"> la adopción de “previsiones […] a fin de garantizar el disfrute completo y efectivo de esta medida de reparación por todos los beneficiarios hasta la conclusión de sus estudios”</w:t>
      </w:r>
      <w:r w:rsidR="008A312D" w:rsidRPr="008A563F">
        <w:rPr>
          <w:rFonts w:ascii="Verdana" w:hAnsi="Verdana"/>
          <w:sz w:val="20"/>
          <w:szCs w:val="20"/>
        </w:rPr>
        <w:t xml:space="preserve"> (</w:t>
      </w:r>
      <w:r w:rsidR="008A312D" w:rsidRPr="008A563F">
        <w:rPr>
          <w:rFonts w:ascii="Verdana" w:hAnsi="Verdana"/>
          <w:i/>
          <w:sz w:val="20"/>
          <w:szCs w:val="20"/>
        </w:rPr>
        <w:t>infra</w:t>
      </w:r>
      <w:r w:rsidR="003845C0" w:rsidRPr="008A563F">
        <w:rPr>
          <w:rFonts w:ascii="Verdana" w:hAnsi="Verdana"/>
          <w:sz w:val="20"/>
          <w:szCs w:val="20"/>
        </w:rPr>
        <w:t xml:space="preserve"> Considerandos </w:t>
      </w:r>
      <w:r w:rsidR="002A329C" w:rsidRPr="008A563F">
        <w:rPr>
          <w:rFonts w:ascii="Verdana" w:hAnsi="Verdana"/>
          <w:sz w:val="20"/>
          <w:szCs w:val="20"/>
        </w:rPr>
        <w:t>4</w:t>
      </w:r>
      <w:r w:rsidR="008A563F" w:rsidRPr="008A563F">
        <w:rPr>
          <w:rFonts w:ascii="Verdana" w:hAnsi="Verdana"/>
          <w:sz w:val="20"/>
          <w:szCs w:val="20"/>
        </w:rPr>
        <w:t>2 y</w:t>
      </w:r>
      <w:r w:rsidR="009D72BD" w:rsidRPr="008A563F">
        <w:rPr>
          <w:rFonts w:ascii="Verdana" w:hAnsi="Verdana"/>
          <w:sz w:val="20"/>
          <w:szCs w:val="20"/>
        </w:rPr>
        <w:t xml:space="preserve"> 4</w:t>
      </w:r>
      <w:r w:rsidR="008A563F" w:rsidRPr="008A563F">
        <w:rPr>
          <w:rFonts w:ascii="Verdana" w:hAnsi="Verdana"/>
          <w:sz w:val="20"/>
          <w:szCs w:val="20"/>
        </w:rPr>
        <w:t>3</w:t>
      </w:r>
      <w:r w:rsidR="008A312D" w:rsidRPr="008A563F">
        <w:rPr>
          <w:rFonts w:ascii="Verdana" w:hAnsi="Verdana"/>
          <w:sz w:val="20"/>
          <w:szCs w:val="20"/>
        </w:rPr>
        <w:t>)</w:t>
      </w:r>
      <w:r w:rsidR="00375F5D" w:rsidRPr="008A563F">
        <w:rPr>
          <w:rStyle w:val="Refdenotaalpie"/>
          <w:rFonts w:ascii="Verdana" w:hAnsi="Verdana"/>
          <w:sz w:val="20"/>
          <w:szCs w:val="20"/>
        </w:rPr>
        <w:footnoteReference w:id="59"/>
      </w:r>
      <w:r w:rsidR="00375F5D" w:rsidRPr="008A563F">
        <w:rPr>
          <w:rFonts w:ascii="Verdana" w:hAnsi="Verdana"/>
          <w:sz w:val="20"/>
          <w:szCs w:val="20"/>
        </w:rPr>
        <w:t xml:space="preserve">. </w:t>
      </w:r>
    </w:p>
    <w:p w14:paraId="1CC1C6A5" w14:textId="77777777" w:rsidR="00DB5B0D" w:rsidRDefault="00DB5B0D" w:rsidP="0011029F">
      <w:pPr>
        <w:suppressLineNumbers/>
        <w:autoSpaceDE w:val="0"/>
        <w:autoSpaceDN w:val="0"/>
        <w:adjustRightInd w:val="0"/>
        <w:spacing w:after="0" w:line="240" w:lineRule="auto"/>
        <w:jc w:val="both"/>
        <w:rPr>
          <w:rFonts w:ascii="Verdana" w:hAnsi="Verdana"/>
          <w:sz w:val="20"/>
          <w:szCs w:val="20"/>
        </w:rPr>
      </w:pPr>
    </w:p>
    <w:p w14:paraId="15131D93" w14:textId="55782407" w:rsidR="00375F5D" w:rsidRPr="006F0E94" w:rsidRDefault="00375F5D" w:rsidP="0011029F">
      <w:pPr>
        <w:suppressLineNumbers/>
        <w:autoSpaceDE w:val="0"/>
        <w:autoSpaceDN w:val="0"/>
        <w:adjustRightInd w:val="0"/>
        <w:spacing w:after="0" w:line="240" w:lineRule="auto"/>
        <w:ind w:firstLine="708"/>
        <w:jc w:val="both"/>
        <w:rPr>
          <w:rFonts w:ascii="Verdana" w:hAnsi="Verdana"/>
          <w:i/>
          <w:sz w:val="20"/>
          <w:szCs w:val="20"/>
        </w:rPr>
      </w:pPr>
      <w:r w:rsidRPr="00375F5D">
        <w:rPr>
          <w:rFonts w:ascii="Verdana" w:hAnsi="Verdana"/>
          <w:i/>
          <w:sz w:val="20"/>
          <w:szCs w:val="20"/>
        </w:rPr>
        <w:t xml:space="preserve">C.3. </w:t>
      </w:r>
      <w:r w:rsidRPr="006F0E94">
        <w:rPr>
          <w:rFonts w:ascii="Verdana" w:hAnsi="Verdana"/>
          <w:i/>
          <w:sz w:val="20"/>
          <w:szCs w:val="20"/>
        </w:rPr>
        <w:t>Consideraciones de la Corte</w:t>
      </w:r>
    </w:p>
    <w:p w14:paraId="60ADFC98" w14:textId="77777777" w:rsidR="0089469C" w:rsidRPr="00421185" w:rsidRDefault="0089469C" w:rsidP="0011029F">
      <w:pPr>
        <w:pStyle w:val="Prrafodelista"/>
        <w:suppressLineNumbers/>
        <w:autoSpaceDE w:val="0"/>
        <w:autoSpaceDN w:val="0"/>
        <w:adjustRightInd w:val="0"/>
        <w:spacing w:after="0" w:line="240" w:lineRule="auto"/>
        <w:ind w:left="0"/>
        <w:jc w:val="both"/>
        <w:rPr>
          <w:rFonts w:ascii="Verdana" w:hAnsi="Verdana"/>
          <w:sz w:val="20"/>
          <w:szCs w:val="20"/>
        </w:rPr>
      </w:pPr>
    </w:p>
    <w:p w14:paraId="1C7898D1" w14:textId="7580E381" w:rsidR="00E10D98" w:rsidRPr="00BB33D8" w:rsidRDefault="00E10D98"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0429BB">
        <w:rPr>
          <w:rFonts w:ascii="Verdana" w:hAnsi="Verdana"/>
          <w:sz w:val="20"/>
          <w:szCs w:val="20"/>
        </w:rPr>
        <w:t xml:space="preserve">La Corte </w:t>
      </w:r>
      <w:r w:rsidR="00BB33D8">
        <w:rPr>
          <w:rFonts w:ascii="Verdana" w:hAnsi="Verdana"/>
          <w:sz w:val="20"/>
          <w:szCs w:val="20"/>
        </w:rPr>
        <w:t>toma nota de lo informado por C</w:t>
      </w:r>
      <w:r>
        <w:rPr>
          <w:rFonts w:ascii="Verdana" w:hAnsi="Verdana"/>
          <w:sz w:val="20"/>
          <w:szCs w:val="20"/>
        </w:rPr>
        <w:t>hile</w:t>
      </w:r>
      <w:r w:rsidRPr="000429BB">
        <w:rPr>
          <w:rFonts w:ascii="Verdana" w:hAnsi="Verdana"/>
          <w:sz w:val="20"/>
          <w:szCs w:val="20"/>
        </w:rPr>
        <w:t xml:space="preserve"> con posterioridad a la Resolución de 2018,</w:t>
      </w:r>
      <w:r w:rsidR="00BB33D8">
        <w:rPr>
          <w:rFonts w:ascii="Verdana" w:hAnsi="Verdana"/>
          <w:sz w:val="20"/>
          <w:szCs w:val="20"/>
        </w:rPr>
        <w:t xml:space="preserve"> </w:t>
      </w:r>
      <w:r>
        <w:rPr>
          <w:rFonts w:ascii="Verdana" w:hAnsi="Verdana"/>
          <w:sz w:val="20"/>
          <w:szCs w:val="20"/>
        </w:rPr>
        <w:t>que</w:t>
      </w:r>
      <w:r w:rsidRPr="005E50FE">
        <w:rPr>
          <w:rFonts w:ascii="Verdana" w:hAnsi="Verdana"/>
          <w:sz w:val="20"/>
          <w:szCs w:val="20"/>
        </w:rPr>
        <w:t xml:space="preserve"> indicó que, a la fecha de presentación de su último informe en agosto de 2019, había realizado “ocho pagos” que cubr</w:t>
      </w:r>
      <w:r w:rsidR="00127727">
        <w:rPr>
          <w:rFonts w:ascii="Verdana" w:hAnsi="Verdana"/>
          <w:sz w:val="20"/>
          <w:szCs w:val="20"/>
        </w:rPr>
        <w:t>en</w:t>
      </w:r>
      <w:r w:rsidRPr="005E50FE">
        <w:rPr>
          <w:rFonts w:ascii="Verdana" w:hAnsi="Verdana"/>
          <w:sz w:val="20"/>
          <w:szCs w:val="20"/>
        </w:rPr>
        <w:t xml:space="preserve"> los años 2014 a 2018</w:t>
      </w:r>
      <w:r>
        <w:rPr>
          <w:rFonts w:ascii="Verdana" w:hAnsi="Verdana"/>
          <w:sz w:val="20"/>
          <w:szCs w:val="20"/>
        </w:rPr>
        <w:t xml:space="preserve"> inclusive, dando continuidad a los pagos informados anteriormente</w:t>
      </w:r>
      <w:r w:rsidR="00957034">
        <w:rPr>
          <w:rFonts w:ascii="Verdana" w:hAnsi="Verdana"/>
          <w:sz w:val="20"/>
          <w:szCs w:val="20"/>
        </w:rPr>
        <w:t xml:space="preserve"> (</w:t>
      </w:r>
      <w:r w:rsidR="00957034" w:rsidRPr="00957034">
        <w:rPr>
          <w:rFonts w:ascii="Verdana" w:hAnsi="Verdana"/>
          <w:i/>
          <w:sz w:val="20"/>
          <w:szCs w:val="20"/>
        </w:rPr>
        <w:t xml:space="preserve">supra </w:t>
      </w:r>
      <w:r w:rsidR="00957034">
        <w:rPr>
          <w:rFonts w:ascii="Verdana" w:hAnsi="Verdana"/>
          <w:sz w:val="20"/>
          <w:szCs w:val="20"/>
        </w:rPr>
        <w:t>Considerando 3</w:t>
      </w:r>
      <w:r w:rsidR="00F41C60">
        <w:rPr>
          <w:rFonts w:ascii="Verdana" w:hAnsi="Verdana"/>
          <w:sz w:val="20"/>
          <w:szCs w:val="20"/>
        </w:rPr>
        <w:t>1</w:t>
      </w:r>
      <w:r w:rsidR="00957034">
        <w:rPr>
          <w:rFonts w:ascii="Verdana" w:hAnsi="Verdana"/>
          <w:sz w:val="20"/>
          <w:szCs w:val="20"/>
        </w:rPr>
        <w:t>)</w:t>
      </w:r>
      <w:r w:rsidR="00BB33D8">
        <w:rPr>
          <w:rFonts w:ascii="Verdana" w:hAnsi="Verdana"/>
          <w:sz w:val="20"/>
          <w:szCs w:val="20"/>
        </w:rPr>
        <w:t xml:space="preserve">, y que </w:t>
      </w:r>
      <w:r w:rsidRPr="005E50FE">
        <w:rPr>
          <w:rFonts w:ascii="Verdana" w:hAnsi="Verdana"/>
          <w:sz w:val="20"/>
          <w:szCs w:val="20"/>
        </w:rPr>
        <w:t>“[s</w:t>
      </w:r>
      <w:r w:rsidRPr="005E50FE">
        <w:rPr>
          <w:rFonts w:ascii="Verdana" w:hAnsi="Verdana" w:cs="Times New Roman"/>
          <w:color w:val="080809"/>
          <w:sz w:val="20"/>
          <w:szCs w:val="20"/>
        </w:rPr>
        <w:t xml:space="preserve">]e </w:t>
      </w:r>
      <w:proofErr w:type="spellStart"/>
      <w:r w:rsidRPr="005E50FE">
        <w:rPr>
          <w:rFonts w:ascii="Verdana" w:hAnsi="Verdana" w:cs="Times New Roman"/>
          <w:color w:val="080809"/>
          <w:sz w:val="20"/>
          <w:szCs w:val="20"/>
        </w:rPr>
        <w:t>enc</w:t>
      </w:r>
      <w:proofErr w:type="spellEnd"/>
      <w:r w:rsidRPr="005E50FE">
        <w:rPr>
          <w:rFonts w:ascii="Verdana" w:hAnsi="Verdana" w:cs="Times New Roman"/>
          <w:color w:val="080809"/>
          <w:sz w:val="20"/>
          <w:szCs w:val="20"/>
        </w:rPr>
        <w:t>[</w:t>
      </w:r>
      <w:proofErr w:type="spellStart"/>
      <w:r w:rsidRPr="005E50FE">
        <w:rPr>
          <w:rFonts w:ascii="Verdana" w:hAnsi="Verdana" w:cs="Times New Roman"/>
          <w:color w:val="080809"/>
          <w:sz w:val="20"/>
          <w:szCs w:val="20"/>
        </w:rPr>
        <w:t>ontraba</w:t>
      </w:r>
      <w:proofErr w:type="spellEnd"/>
      <w:r w:rsidRPr="005E50FE">
        <w:rPr>
          <w:rFonts w:ascii="Verdana" w:hAnsi="Verdana" w:cs="Times New Roman"/>
          <w:color w:val="080809"/>
          <w:sz w:val="20"/>
          <w:szCs w:val="20"/>
        </w:rPr>
        <w:t>] pendiente únicamente el pago del primer semestre del 2019”</w:t>
      </w:r>
      <w:r>
        <w:rPr>
          <w:rStyle w:val="Refdenotaalpie"/>
          <w:rFonts w:ascii="Verdana" w:hAnsi="Verdana" w:cs="Times New Roman"/>
          <w:color w:val="080809"/>
          <w:sz w:val="20"/>
          <w:szCs w:val="20"/>
        </w:rPr>
        <w:footnoteReference w:id="60"/>
      </w:r>
      <w:r w:rsidR="00BB33D8">
        <w:rPr>
          <w:rFonts w:ascii="Verdana" w:hAnsi="Verdana" w:cs="Times New Roman"/>
          <w:color w:val="080809"/>
          <w:sz w:val="20"/>
          <w:szCs w:val="20"/>
        </w:rPr>
        <w:t xml:space="preserve">. </w:t>
      </w:r>
      <w:r w:rsidR="00BB33D8" w:rsidRPr="00BB33D8">
        <w:rPr>
          <w:rFonts w:ascii="Verdana" w:hAnsi="Verdana" w:cs="Times New Roman"/>
          <w:color w:val="080809"/>
          <w:sz w:val="20"/>
          <w:szCs w:val="20"/>
        </w:rPr>
        <w:t xml:space="preserve">Asimismo, este Tribunal </w:t>
      </w:r>
      <w:r w:rsidR="00BB33D8">
        <w:rPr>
          <w:rFonts w:ascii="Verdana" w:hAnsi="Verdana" w:cs="Times New Roman"/>
          <w:color w:val="080809"/>
          <w:sz w:val="20"/>
          <w:szCs w:val="20"/>
        </w:rPr>
        <w:t xml:space="preserve">observa que, a pesar de lo indicado por Chile respecto a la realización de los pagos hasta la gestión de 2018 inclusive, </w:t>
      </w:r>
      <w:r w:rsidRPr="00BB33D8">
        <w:rPr>
          <w:rFonts w:ascii="Verdana" w:hAnsi="Verdana" w:cs="Times New Roman"/>
          <w:color w:val="080809"/>
          <w:sz w:val="20"/>
          <w:szCs w:val="20"/>
        </w:rPr>
        <w:t>la FIDH</w:t>
      </w:r>
      <w:r w:rsidRPr="005E50FE">
        <w:rPr>
          <w:rFonts w:ascii="Verdana" w:hAnsi="Verdana" w:cs="Times New Roman"/>
          <w:color w:val="080809"/>
          <w:sz w:val="20"/>
          <w:szCs w:val="20"/>
        </w:rPr>
        <w:t xml:space="preserve"> </w:t>
      </w:r>
      <w:r>
        <w:rPr>
          <w:rFonts w:ascii="Verdana" w:hAnsi="Verdana" w:cs="Times New Roman"/>
          <w:color w:val="080809"/>
          <w:sz w:val="20"/>
          <w:szCs w:val="20"/>
        </w:rPr>
        <w:t xml:space="preserve">presentó una observación referida a la alegada </w:t>
      </w:r>
      <w:r w:rsidRPr="005E50FE">
        <w:rPr>
          <w:rFonts w:ascii="Verdana" w:hAnsi="Verdana" w:cs="Times New Roman"/>
          <w:color w:val="080809"/>
          <w:sz w:val="20"/>
          <w:szCs w:val="20"/>
        </w:rPr>
        <w:t xml:space="preserve">falta </w:t>
      </w:r>
      <w:r>
        <w:rPr>
          <w:rFonts w:ascii="Verdana" w:hAnsi="Verdana" w:cs="Times New Roman"/>
          <w:color w:val="080809"/>
          <w:sz w:val="20"/>
          <w:szCs w:val="20"/>
        </w:rPr>
        <w:t>d</w:t>
      </w:r>
      <w:r w:rsidRPr="005E50FE">
        <w:rPr>
          <w:rFonts w:ascii="Verdana" w:hAnsi="Verdana" w:cs="Times New Roman"/>
          <w:color w:val="080809"/>
          <w:sz w:val="20"/>
          <w:szCs w:val="20"/>
        </w:rPr>
        <w:t>el pago a “</w:t>
      </w:r>
      <w:proofErr w:type="spellStart"/>
      <w:r w:rsidRPr="005E50FE">
        <w:rPr>
          <w:rFonts w:ascii="Verdana" w:hAnsi="Verdana" w:cs="Times New Roman"/>
          <w:color w:val="080809"/>
          <w:sz w:val="20"/>
          <w:szCs w:val="20"/>
        </w:rPr>
        <w:t>Jamelia</w:t>
      </w:r>
      <w:proofErr w:type="spellEnd"/>
      <w:r w:rsidRPr="005E50FE">
        <w:rPr>
          <w:rFonts w:ascii="Verdana" w:hAnsi="Verdana" w:cs="Times New Roman"/>
          <w:color w:val="080809"/>
          <w:sz w:val="20"/>
          <w:szCs w:val="20"/>
        </w:rPr>
        <w:t xml:space="preserve"> </w:t>
      </w:r>
      <w:proofErr w:type="spellStart"/>
      <w:r w:rsidRPr="005E50FE">
        <w:rPr>
          <w:rFonts w:ascii="Verdana" w:hAnsi="Verdana" w:cs="Times New Roman"/>
          <w:color w:val="080809"/>
          <w:sz w:val="20"/>
          <w:szCs w:val="20"/>
        </w:rPr>
        <w:t>Pichun</w:t>
      </w:r>
      <w:proofErr w:type="spellEnd"/>
      <w:r w:rsidRPr="005E50FE">
        <w:rPr>
          <w:rFonts w:ascii="Verdana" w:hAnsi="Verdana" w:cs="Times New Roman"/>
          <w:color w:val="080809"/>
          <w:sz w:val="20"/>
          <w:szCs w:val="20"/>
        </w:rPr>
        <w:t xml:space="preserve"> </w:t>
      </w:r>
      <w:proofErr w:type="spellStart"/>
      <w:r w:rsidRPr="005E50FE">
        <w:rPr>
          <w:rFonts w:ascii="Verdana" w:hAnsi="Verdana" w:cs="Times New Roman"/>
          <w:color w:val="080809"/>
          <w:sz w:val="20"/>
          <w:szCs w:val="20"/>
        </w:rPr>
        <w:t>Collonao</w:t>
      </w:r>
      <w:proofErr w:type="spellEnd"/>
      <w:r w:rsidRPr="005E50FE">
        <w:rPr>
          <w:rFonts w:ascii="Verdana" w:hAnsi="Verdana" w:cs="Times New Roman"/>
          <w:color w:val="080809"/>
          <w:sz w:val="20"/>
          <w:szCs w:val="20"/>
        </w:rPr>
        <w:t xml:space="preserve">, hija de la víctima Pascual </w:t>
      </w:r>
      <w:proofErr w:type="spellStart"/>
      <w:r w:rsidRPr="005E50FE">
        <w:rPr>
          <w:rFonts w:ascii="Verdana" w:hAnsi="Verdana" w:cs="Times New Roman"/>
          <w:color w:val="080809"/>
          <w:sz w:val="20"/>
          <w:szCs w:val="20"/>
        </w:rPr>
        <w:t>Pichun</w:t>
      </w:r>
      <w:proofErr w:type="spellEnd"/>
      <w:r w:rsidRPr="005E50FE">
        <w:rPr>
          <w:rFonts w:ascii="Verdana" w:hAnsi="Verdana" w:cs="Times New Roman"/>
          <w:color w:val="080809"/>
          <w:sz w:val="20"/>
          <w:szCs w:val="20"/>
        </w:rPr>
        <w:t xml:space="preserve"> </w:t>
      </w:r>
      <w:proofErr w:type="spellStart"/>
      <w:r w:rsidRPr="005E50FE">
        <w:rPr>
          <w:rFonts w:ascii="Verdana" w:hAnsi="Verdana" w:cs="Times New Roman"/>
          <w:color w:val="080809"/>
          <w:sz w:val="20"/>
          <w:szCs w:val="20"/>
        </w:rPr>
        <w:t>Paillalao</w:t>
      </w:r>
      <w:proofErr w:type="spellEnd"/>
      <w:r w:rsidRPr="005E50FE">
        <w:rPr>
          <w:rFonts w:ascii="Verdana" w:hAnsi="Verdana" w:cs="Times New Roman"/>
          <w:color w:val="080809"/>
          <w:sz w:val="20"/>
          <w:szCs w:val="20"/>
        </w:rPr>
        <w:t>, correspondiente al primer semestre del año 2018”.</w:t>
      </w:r>
      <w:r>
        <w:rPr>
          <w:rFonts w:ascii="Verdana" w:hAnsi="Verdana" w:cs="Times New Roman"/>
          <w:b/>
          <w:color w:val="080809"/>
          <w:sz w:val="20"/>
          <w:szCs w:val="20"/>
        </w:rPr>
        <w:t xml:space="preserve"> </w:t>
      </w:r>
      <w:r w:rsidR="008C034D" w:rsidRPr="008C034D">
        <w:rPr>
          <w:rFonts w:ascii="Verdana" w:hAnsi="Verdana" w:cs="Times New Roman"/>
          <w:color w:val="080809"/>
          <w:sz w:val="20"/>
          <w:szCs w:val="20"/>
        </w:rPr>
        <w:t xml:space="preserve">Por otra parte, la Corte no cuenta con información referida a los pagos correspondientes al segundo semestre de 2019 y a los dos semestres del año 2020. </w:t>
      </w:r>
      <w:r w:rsidR="00957034">
        <w:rPr>
          <w:rFonts w:ascii="Verdana" w:hAnsi="Verdana" w:cs="Times New Roman"/>
          <w:color w:val="080809"/>
          <w:sz w:val="20"/>
          <w:szCs w:val="20"/>
        </w:rPr>
        <w:t>En virtud de lo anterior</w:t>
      </w:r>
      <w:r w:rsidR="00BB33D8" w:rsidRPr="008C034D">
        <w:rPr>
          <w:rFonts w:ascii="Verdana" w:hAnsi="Verdana" w:cs="Times New Roman"/>
          <w:color w:val="080809"/>
          <w:sz w:val="20"/>
          <w:szCs w:val="20"/>
        </w:rPr>
        <w:t xml:space="preserve">, </w:t>
      </w:r>
      <w:r w:rsidR="00957034">
        <w:rPr>
          <w:rFonts w:ascii="Verdana" w:hAnsi="Verdana" w:cs="Times New Roman"/>
          <w:color w:val="080809"/>
          <w:sz w:val="20"/>
          <w:szCs w:val="20"/>
        </w:rPr>
        <w:t>la Corte considera</w:t>
      </w:r>
      <w:r w:rsidR="00BB33D8" w:rsidRPr="008C034D">
        <w:rPr>
          <w:rFonts w:ascii="Verdana" w:hAnsi="Verdana" w:cs="Times New Roman"/>
          <w:color w:val="080809"/>
          <w:sz w:val="20"/>
          <w:szCs w:val="20"/>
        </w:rPr>
        <w:t xml:space="preserve"> necesario que Chile presente información ac</w:t>
      </w:r>
      <w:r w:rsidR="00BB33D8">
        <w:rPr>
          <w:rFonts w:ascii="Verdana" w:hAnsi="Verdana" w:cs="Times New Roman"/>
          <w:color w:val="080809"/>
          <w:sz w:val="20"/>
          <w:szCs w:val="20"/>
        </w:rPr>
        <w:t xml:space="preserve">tualizada y debidamente documentada sobre los pagos realizados con posterioridad a la presentación de su informe de 2019, que indique si hay pagos pendientes, y que se refiera a la objeción </w:t>
      </w:r>
      <w:r w:rsidR="00957034">
        <w:rPr>
          <w:rFonts w:ascii="Verdana" w:hAnsi="Verdana" w:cs="Times New Roman"/>
          <w:color w:val="080809"/>
          <w:sz w:val="20"/>
          <w:szCs w:val="20"/>
        </w:rPr>
        <w:t>manifestada</w:t>
      </w:r>
      <w:r w:rsidR="00BB33D8">
        <w:rPr>
          <w:rFonts w:ascii="Verdana" w:hAnsi="Verdana" w:cs="Times New Roman"/>
          <w:color w:val="080809"/>
          <w:sz w:val="20"/>
          <w:szCs w:val="20"/>
        </w:rPr>
        <w:t xml:space="preserve"> por la FIDH. </w:t>
      </w:r>
    </w:p>
    <w:p w14:paraId="598B415F" w14:textId="77777777" w:rsidR="00E10D98" w:rsidRPr="0060658C" w:rsidRDefault="00E10D98" w:rsidP="0011029F">
      <w:pPr>
        <w:pStyle w:val="Prrafodelista"/>
        <w:suppressLineNumbers/>
        <w:rPr>
          <w:rFonts w:ascii="Verdana" w:hAnsi="Verdana"/>
          <w:sz w:val="20"/>
          <w:szCs w:val="20"/>
        </w:rPr>
      </w:pPr>
    </w:p>
    <w:p w14:paraId="74C544CB" w14:textId="313D436F" w:rsidR="00A4186D" w:rsidRPr="00F21300" w:rsidRDefault="00A4186D"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F21300">
        <w:rPr>
          <w:rFonts w:ascii="Verdana" w:hAnsi="Verdana"/>
          <w:sz w:val="20"/>
          <w:szCs w:val="20"/>
        </w:rPr>
        <w:t xml:space="preserve">Asimismo, con respecto a la información que fue </w:t>
      </w:r>
      <w:r w:rsidR="009D72BD">
        <w:rPr>
          <w:rFonts w:ascii="Verdana" w:hAnsi="Verdana"/>
          <w:sz w:val="20"/>
          <w:szCs w:val="20"/>
        </w:rPr>
        <w:t>requerida</w:t>
      </w:r>
      <w:r w:rsidRPr="00F21300">
        <w:rPr>
          <w:rFonts w:ascii="Verdana" w:hAnsi="Verdana"/>
          <w:sz w:val="20"/>
          <w:szCs w:val="20"/>
        </w:rPr>
        <w:t xml:space="preserve"> al Estado en la Resolución de 2018 (</w:t>
      </w:r>
      <w:r w:rsidRPr="00F21300">
        <w:rPr>
          <w:rFonts w:ascii="Verdana" w:hAnsi="Verdana"/>
          <w:i/>
          <w:sz w:val="20"/>
          <w:szCs w:val="20"/>
        </w:rPr>
        <w:t>supra</w:t>
      </w:r>
      <w:r w:rsidRPr="00F21300">
        <w:rPr>
          <w:rFonts w:ascii="Verdana" w:hAnsi="Verdana"/>
          <w:sz w:val="20"/>
          <w:szCs w:val="20"/>
        </w:rPr>
        <w:t xml:space="preserve"> Considerando 3</w:t>
      </w:r>
      <w:r w:rsidR="001B131D">
        <w:rPr>
          <w:rFonts w:ascii="Verdana" w:hAnsi="Verdana"/>
          <w:sz w:val="20"/>
          <w:szCs w:val="20"/>
        </w:rPr>
        <w:t>1</w:t>
      </w:r>
      <w:r w:rsidRPr="00F21300">
        <w:rPr>
          <w:rFonts w:ascii="Verdana" w:hAnsi="Verdana"/>
          <w:sz w:val="20"/>
          <w:szCs w:val="20"/>
        </w:rPr>
        <w:t xml:space="preserve">) sobre el listado definitivo de las víctimas </w:t>
      </w:r>
      <w:r w:rsidR="00F21300" w:rsidRPr="00F21300">
        <w:rPr>
          <w:rFonts w:ascii="Verdana" w:hAnsi="Verdana"/>
          <w:sz w:val="20"/>
          <w:szCs w:val="20"/>
        </w:rPr>
        <w:t>y de sus hijos e hijas “que habrían solicitado y están recibiendo actualmente las becas educativas […] con indicación del nivel educativo para el cual la reciben”</w:t>
      </w:r>
      <w:r w:rsidRPr="00F21300">
        <w:rPr>
          <w:rFonts w:ascii="Verdana" w:hAnsi="Verdana"/>
          <w:sz w:val="20"/>
          <w:szCs w:val="20"/>
        </w:rPr>
        <w:t xml:space="preserve">, continúa sin haber claridad al respecto, ya que </w:t>
      </w:r>
      <w:r w:rsidRPr="00F21300">
        <w:rPr>
          <w:rFonts w:ascii="Verdana" w:hAnsi="Verdana"/>
          <w:sz w:val="20"/>
          <w:szCs w:val="18"/>
        </w:rPr>
        <w:t xml:space="preserve">Chile </w:t>
      </w:r>
      <w:r w:rsidRPr="00F21300">
        <w:rPr>
          <w:rFonts w:ascii="Verdana" w:hAnsi="Verdana"/>
          <w:sz w:val="20"/>
          <w:szCs w:val="20"/>
        </w:rPr>
        <w:t>p</w:t>
      </w:r>
      <w:r w:rsidR="00F21300" w:rsidRPr="00F21300">
        <w:rPr>
          <w:rFonts w:ascii="Verdana" w:hAnsi="Verdana"/>
          <w:sz w:val="20"/>
          <w:szCs w:val="20"/>
        </w:rPr>
        <w:t>resentó distintos listados</w:t>
      </w:r>
      <w:r w:rsidRPr="00F21300">
        <w:rPr>
          <w:rFonts w:ascii="Verdana" w:hAnsi="Verdana"/>
          <w:sz w:val="20"/>
          <w:szCs w:val="20"/>
        </w:rPr>
        <w:t xml:space="preserve"> y algunos representantes han manifestado objeciones al respecto</w:t>
      </w:r>
      <w:r w:rsidRPr="00332050">
        <w:rPr>
          <w:rStyle w:val="Refdenotaalpie"/>
          <w:rFonts w:ascii="Verdana" w:hAnsi="Verdana"/>
          <w:sz w:val="20"/>
          <w:szCs w:val="20"/>
        </w:rPr>
        <w:footnoteReference w:id="61"/>
      </w:r>
      <w:r w:rsidRPr="00F21300">
        <w:rPr>
          <w:rFonts w:ascii="Verdana" w:hAnsi="Verdana"/>
          <w:sz w:val="20"/>
          <w:szCs w:val="20"/>
        </w:rPr>
        <w:t xml:space="preserve">. En consecuencia, para valorar </w:t>
      </w:r>
      <w:r w:rsidRPr="004B6979">
        <w:rPr>
          <w:rFonts w:ascii="Verdana" w:hAnsi="Verdana"/>
          <w:sz w:val="20"/>
          <w:szCs w:val="20"/>
        </w:rPr>
        <w:lastRenderedPageBreak/>
        <w:t>adecuadamente el cumplimiento de la presente medida, el Tribunal requiere que clarifique el listado definitivo de las personas que han sido beneficiarias de la reparación, y aquellas q</w:t>
      </w:r>
      <w:r w:rsidRPr="00F21300">
        <w:rPr>
          <w:rFonts w:ascii="Verdana" w:hAnsi="Verdana"/>
          <w:sz w:val="20"/>
          <w:szCs w:val="20"/>
        </w:rPr>
        <w:t>ue han recibido la beca durante los años 2019 y 2020, detallando el nivel educativo en el que se encuentran actualmente matriculadas. Tomando en cuenta que la Corte indicó que también supervisaría esta reparación respecto a las víctimas del caso y no solo respecto de sus hijos (</w:t>
      </w:r>
      <w:r w:rsidRPr="00F21300">
        <w:rPr>
          <w:rFonts w:ascii="Verdana" w:hAnsi="Verdana"/>
          <w:i/>
          <w:sz w:val="20"/>
          <w:szCs w:val="20"/>
        </w:rPr>
        <w:t>supra</w:t>
      </w:r>
      <w:r w:rsidR="009D72BD">
        <w:rPr>
          <w:rFonts w:ascii="Verdana" w:hAnsi="Verdana"/>
          <w:sz w:val="20"/>
          <w:szCs w:val="20"/>
        </w:rPr>
        <w:t xml:space="preserve"> Considerando 3</w:t>
      </w:r>
      <w:r w:rsidR="00CB5030">
        <w:rPr>
          <w:rFonts w:ascii="Verdana" w:hAnsi="Verdana"/>
          <w:sz w:val="20"/>
          <w:szCs w:val="20"/>
        </w:rPr>
        <w:t>1</w:t>
      </w:r>
      <w:r w:rsidRPr="00F21300">
        <w:rPr>
          <w:rFonts w:ascii="Verdana" w:hAnsi="Verdana"/>
          <w:sz w:val="20"/>
          <w:szCs w:val="20"/>
        </w:rPr>
        <w:t xml:space="preserve">), se hace notar que Chile solo </w:t>
      </w:r>
      <w:r w:rsidR="00F21300" w:rsidRPr="00F21300">
        <w:rPr>
          <w:rFonts w:ascii="Verdana" w:hAnsi="Verdana"/>
          <w:sz w:val="20"/>
          <w:szCs w:val="20"/>
        </w:rPr>
        <w:t xml:space="preserve">se </w:t>
      </w:r>
      <w:r w:rsidRPr="00F21300">
        <w:rPr>
          <w:rFonts w:ascii="Verdana" w:hAnsi="Verdana"/>
          <w:sz w:val="20"/>
          <w:szCs w:val="20"/>
        </w:rPr>
        <w:t xml:space="preserve">ha referido a la situación de la víctima Patricia Troncoso Robles, </w:t>
      </w:r>
      <w:r w:rsidR="00F21300" w:rsidRPr="00F21300">
        <w:rPr>
          <w:rFonts w:ascii="Verdana" w:hAnsi="Verdana"/>
          <w:sz w:val="20"/>
          <w:szCs w:val="20"/>
        </w:rPr>
        <w:t xml:space="preserve">por ello </w:t>
      </w:r>
      <w:r w:rsidRPr="00F21300">
        <w:rPr>
          <w:rFonts w:ascii="Verdana" w:hAnsi="Verdana"/>
          <w:sz w:val="20"/>
          <w:szCs w:val="20"/>
        </w:rPr>
        <w:t>se le solicita que precise quiénes de las restantes seis víctimas han solicitado ser incluidas en el programa de becas, si las han recibido</w:t>
      </w:r>
      <w:r w:rsidR="00F21300" w:rsidRPr="00F21300">
        <w:rPr>
          <w:rFonts w:ascii="Verdana" w:hAnsi="Verdana"/>
          <w:sz w:val="20"/>
          <w:szCs w:val="20"/>
        </w:rPr>
        <w:t xml:space="preserve"> y en qué períodos y, finalmente, en qué nivel educativo se encuentran en la actualidad.  </w:t>
      </w:r>
    </w:p>
    <w:p w14:paraId="64C6ED11" w14:textId="77777777" w:rsidR="00E224FA" w:rsidRPr="00596CA6" w:rsidRDefault="00E224FA" w:rsidP="0011029F">
      <w:pPr>
        <w:pStyle w:val="Prrafodelista"/>
        <w:suppressLineNumbers/>
        <w:autoSpaceDE w:val="0"/>
        <w:autoSpaceDN w:val="0"/>
        <w:adjustRightInd w:val="0"/>
        <w:spacing w:after="0" w:line="240" w:lineRule="auto"/>
        <w:ind w:left="0"/>
        <w:jc w:val="both"/>
        <w:rPr>
          <w:rFonts w:ascii="Verdana" w:hAnsi="Verdana"/>
          <w:sz w:val="20"/>
          <w:szCs w:val="20"/>
        </w:rPr>
      </w:pPr>
    </w:p>
    <w:p w14:paraId="41A7131B" w14:textId="0C515D36" w:rsidR="00453ED8" w:rsidRPr="00227E6B" w:rsidRDefault="000062BC"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cs="Arial"/>
          <w:sz w:val="20"/>
          <w:szCs w:val="20"/>
        </w:rPr>
      </w:pPr>
      <w:r w:rsidRPr="00227E6B">
        <w:rPr>
          <w:rFonts w:ascii="Verdana" w:hAnsi="Verdana" w:cs="Times New Roman"/>
          <w:sz w:val="20"/>
          <w:szCs w:val="20"/>
        </w:rPr>
        <w:t>En lo que respecta a la información solic</w:t>
      </w:r>
      <w:r w:rsidR="009D72BD">
        <w:rPr>
          <w:rFonts w:ascii="Verdana" w:hAnsi="Verdana" w:cs="Times New Roman"/>
          <w:sz w:val="20"/>
          <w:szCs w:val="20"/>
        </w:rPr>
        <w:t xml:space="preserve">itada en la Resolución de 2018 </w:t>
      </w:r>
      <w:r w:rsidRPr="00227E6B">
        <w:rPr>
          <w:rFonts w:ascii="Verdana" w:hAnsi="Verdana" w:cs="Times New Roman"/>
          <w:sz w:val="20"/>
          <w:szCs w:val="20"/>
        </w:rPr>
        <w:t>sobre los rubros que cubren las becas y el cálculo de las mismas</w:t>
      </w:r>
      <w:r w:rsidR="009D72BD">
        <w:rPr>
          <w:rFonts w:ascii="Verdana" w:hAnsi="Verdana" w:cs="Times New Roman"/>
          <w:sz w:val="20"/>
          <w:szCs w:val="20"/>
        </w:rPr>
        <w:t xml:space="preserve"> (</w:t>
      </w:r>
      <w:r w:rsidR="009D72BD" w:rsidRPr="00227E6B">
        <w:rPr>
          <w:rFonts w:ascii="Verdana" w:hAnsi="Verdana" w:cs="Times New Roman"/>
          <w:i/>
          <w:sz w:val="20"/>
          <w:szCs w:val="20"/>
        </w:rPr>
        <w:t xml:space="preserve">supra </w:t>
      </w:r>
      <w:r w:rsidR="009D72BD" w:rsidRPr="00227E6B">
        <w:rPr>
          <w:rFonts w:ascii="Verdana" w:hAnsi="Verdana" w:cs="Times New Roman"/>
          <w:sz w:val="20"/>
          <w:szCs w:val="20"/>
        </w:rPr>
        <w:t>Considerando 3</w:t>
      </w:r>
      <w:r w:rsidR="00D6334D">
        <w:rPr>
          <w:rFonts w:ascii="Verdana" w:hAnsi="Verdana" w:cs="Times New Roman"/>
          <w:sz w:val="20"/>
          <w:szCs w:val="20"/>
        </w:rPr>
        <w:t>1</w:t>
      </w:r>
      <w:r w:rsidR="009D72BD" w:rsidRPr="00227E6B">
        <w:rPr>
          <w:rFonts w:ascii="Verdana" w:hAnsi="Verdana" w:cs="Times New Roman"/>
          <w:sz w:val="20"/>
          <w:szCs w:val="20"/>
        </w:rPr>
        <w:t>)</w:t>
      </w:r>
      <w:r w:rsidRPr="00227E6B">
        <w:rPr>
          <w:rFonts w:ascii="Verdana" w:hAnsi="Verdana" w:cs="Times New Roman"/>
          <w:sz w:val="20"/>
          <w:szCs w:val="20"/>
        </w:rPr>
        <w:t xml:space="preserve">, el Estado aportó </w:t>
      </w:r>
      <w:r w:rsidR="0051391E">
        <w:rPr>
          <w:rFonts w:ascii="Verdana" w:hAnsi="Verdana" w:cs="Times New Roman"/>
          <w:sz w:val="20"/>
          <w:szCs w:val="20"/>
        </w:rPr>
        <w:t>la Resolución Exenta N°3343, emitida por e</w:t>
      </w:r>
      <w:r w:rsidR="000E165C" w:rsidRPr="00227E6B">
        <w:rPr>
          <w:rFonts w:ascii="Verdana" w:hAnsi="Verdana" w:cs="Times New Roman"/>
          <w:sz w:val="20"/>
          <w:szCs w:val="20"/>
        </w:rPr>
        <w:t xml:space="preserve">l </w:t>
      </w:r>
      <w:r w:rsidR="008960F6" w:rsidRPr="00227E6B">
        <w:rPr>
          <w:rFonts w:ascii="Verdana" w:hAnsi="Verdana" w:cs="Times New Roman"/>
          <w:sz w:val="20"/>
          <w:szCs w:val="20"/>
        </w:rPr>
        <w:t xml:space="preserve">Subsecretario del </w:t>
      </w:r>
      <w:r w:rsidR="000E165C" w:rsidRPr="00227E6B">
        <w:rPr>
          <w:rFonts w:ascii="Verdana" w:hAnsi="Verdana" w:cs="Times New Roman"/>
          <w:sz w:val="20"/>
          <w:szCs w:val="20"/>
        </w:rPr>
        <w:t>Ministerio de Educación de Chile</w:t>
      </w:r>
      <w:r w:rsidR="00C329EB" w:rsidRPr="00453ED8">
        <w:rPr>
          <w:rStyle w:val="Refdenotaalpie"/>
          <w:rFonts w:ascii="Verdana" w:hAnsi="Verdana" w:cs="Times New Roman"/>
          <w:sz w:val="20"/>
          <w:szCs w:val="20"/>
        </w:rPr>
        <w:footnoteReference w:id="62"/>
      </w:r>
      <w:r w:rsidR="00A303EA" w:rsidRPr="00227E6B">
        <w:rPr>
          <w:rFonts w:ascii="Verdana" w:hAnsi="Verdana" w:cs="Times New Roman"/>
          <w:sz w:val="20"/>
          <w:szCs w:val="20"/>
        </w:rPr>
        <w:t>,</w:t>
      </w:r>
      <w:r w:rsidR="0051391E">
        <w:rPr>
          <w:rFonts w:ascii="Verdana" w:hAnsi="Verdana" w:cs="Times New Roman"/>
          <w:sz w:val="20"/>
          <w:szCs w:val="20"/>
        </w:rPr>
        <w:t xml:space="preserve"> junto con un oficio elaborado por la misma autoridad</w:t>
      </w:r>
      <w:r w:rsidR="0051391E">
        <w:rPr>
          <w:rStyle w:val="Refdenotaalpie"/>
          <w:rFonts w:ascii="Verdana" w:hAnsi="Verdana" w:cs="Times New Roman"/>
          <w:sz w:val="20"/>
          <w:szCs w:val="20"/>
        </w:rPr>
        <w:footnoteReference w:id="63"/>
      </w:r>
      <w:r w:rsidR="0051391E">
        <w:rPr>
          <w:rFonts w:ascii="Verdana" w:hAnsi="Verdana" w:cs="Times New Roman"/>
          <w:sz w:val="20"/>
          <w:szCs w:val="20"/>
        </w:rPr>
        <w:t xml:space="preserve">. Según estos documentos, </w:t>
      </w:r>
      <w:r w:rsidR="008960F6" w:rsidRPr="00227E6B">
        <w:rPr>
          <w:rFonts w:ascii="Verdana" w:hAnsi="Verdana" w:cs="Times New Roman"/>
          <w:sz w:val="20"/>
          <w:szCs w:val="20"/>
        </w:rPr>
        <w:t>“</w:t>
      </w:r>
      <w:r w:rsidR="008960F6" w:rsidRPr="00227E6B">
        <w:rPr>
          <w:rFonts w:ascii="Verdana" w:hAnsi="Verdana" w:cs="Arial"/>
          <w:sz w:val="20"/>
          <w:szCs w:val="20"/>
        </w:rPr>
        <w:t xml:space="preserve">la reparación debe cubrir todos los costos de </w:t>
      </w:r>
      <w:r w:rsidR="008960F6" w:rsidRPr="00227E6B">
        <w:rPr>
          <w:rFonts w:ascii="Verdana" w:hAnsi="Verdana" w:cs="Arial"/>
          <w:bCs/>
          <w:sz w:val="20"/>
          <w:szCs w:val="20"/>
        </w:rPr>
        <w:t xml:space="preserve">educación, hasta la conclusión de los estudios superiores, bien sean técnicos o </w:t>
      </w:r>
      <w:r w:rsidR="008960F6" w:rsidRPr="00227E6B">
        <w:rPr>
          <w:rFonts w:ascii="Verdana" w:hAnsi="Verdana" w:cs="Arial"/>
          <w:sz w:val="20"/>
          <w:szCs w:val="20"/>
        </w:rPr>
        <w:t xml:space="preserve">universitarios”, </w:t>
      </w:r>
      <w:r w:rsidR="002644CD" w:rsidRPr="00227E6B">
        <w:rPr>
          <w:rFonts w:ascii="Verdana" w:hAnsi="Verdana" w:cs="Arial"/>
          <w:sz w:val="20"/>
          <w:szCs w:val="20"/>
        </w:rPr>
        <w:t xml:space="preserve">y se </w:t>
      </w:r>
      <w:r w:rsidR="008960F6" w:rsidRPr="00227E6B">
        <w:rPr>
          <w:rFonts w:ascii="Verdana" w:hAnsi="Verdana" w:cs="Arial"/>
          <w:sz w:val="20"/>
          <w:szCs w:val="20"/>
        </w:rPr>
        <w:t xml:space="preserve">indica que tales costos </w:t>
      </w:r>
      <w:r w:rsidR="007D3BED" w:rsidRPr="00227E6B">
        <w:rPr>
          <w:rFonts w:ascii="Verdana" w:hAnsi="Verdana" w:cs="Arial"/>
          <w:sz w:val="20"/>
          <w:szCs w:val="20"/>
        </w:rPr>
        <w:t xml:space="preserve">o rubros </w:t>
      </w:r>
      <w:r w:rsidR="008960F6" w:rsidRPr="00227E6B">
        <w:rPr>
          <w:rFonts w:ascii="Verdana" w:hAnsi="Verdana" w:cs="Arial"/>
          <w:sz w:val="20"/>
          <w:szCs w:val="20"/>
        </w:rPr>
        <w:t xml:space="preserve">“implican”: </w:t>
      </w:r>
      <w:r w:rsidR="00F300D9" w:rsidRPr="00227E6B">
        <w:rPr>
          <w:rFonts w:ascii="Verdana" w:hAnsi="Verdana" w:cs="Arial"/>
          <w:sz w:val="20"/>
          <w:szCs w:val="20"/>
        </w:rPr>
        <w:t xml:space="preserve">alimentación, traslados, </w:t>
      </w:r>
      <w:r w:rsidR="008960F6" w:rsidRPr="00227E6B">
        <w:rPr>
          <w:rFonts w:ascii="Verdana" w:hAnsi="Verdana" w:cs="Arial"/>
          <w:sz w:val="20"/>
          <w:szCs w:val="20"/>
        </w:rPr>
        <w:t>residencia</w:t>
      </w:r>
      <w:r w:rsidR="00F300D9" w:rsidRPr="00227E6B">
        <w:rPr>
          <w:rFonts w:ascii="Verdana" w:hAnsi="Verdana" w:cs="Arial"/>
          <w:sz w:val="20"/>
          <w:szCs w:val="20"/>
        </w:rPr>
        <w:t>, materiales educativos, uniforme, manutención</w:t>
      </w:r>
      <w:r w:rsidR="008960F6" w:rsidRPr="00227E6B">
        <w:rPr>
          <w:rFonts w:ascii="Verdana" w:hAnsi="Verdana" w:cs="Arial"/>
          <w:sz w:val="20"/>
          <w:szCs w:val="20"/>
        </w:rPr>
        <w:t xml:space="preserve"> </w:t>
      </w:r>
      <w:r w:rsidR="008960F6" w:rsidRPr="00227E6B">
        <w:rPr>
          <w:rFonts w:ascii="Verdana" w:hAnsi="Verdana" w:cs="Arial"/>
          <w:iCs/>
          <w:sz w:val="20"/>
          <w:szCs w:val="20"/>
        </w:rPr>
        <w:t>y,</w:t>
      </w:r>
      <w:r w:rsidR="008960F6" w:rsidRPr="00227E6B">
        <w:rPr>
          <w:rFonts w:ascii="Verdana" w:hAnsi="Verdana" w:cs="Arial"/>
          <w:i/>
          <w:iCs/>
          <w:sz w:val="20"/>
          <w:szCs w:val="20"/>
        </w:rPr>
        <w:t xml:space="preserve"> </w:t>
      </w:r>
      <w:r w:rsidR="008960F6" w:rsidRPr="00227E6B">
        <w:rPr>
          <w:rFonts w:ascii="Verdana" w:hAnsi="Verdana" w:cs="Arial"/>
          <w:sz w:val="20"/>
          <w:szCs w:val="20"/>
        </w:rPr>
        <w:t xml:space="preserve">adicionalmente para los estudiantes de educación </w:t>
      </w:r>
      <w:r w:rsidR="008960F6" w:rsidRPr="00227E6B">
        <w:rPr>
          <w:rFonts w:ascii="Verdana" w:hAnsi="Verdana" w:cs="Times New Roman"/>
          <w:sz w:val="20"/>
          <w:szCs w:val="20"/>
        </w:rPr>
        <w:t xml:space="preserve">superior, matrícula </w:t>
      </w:r>
      <w:r w:rsidR="008960F6" w:rsidRPr="00227E6B">
        <w:rPr>
          <w:rFonts w:ascii="Verdana" w:hAnsi="Verdana" w:cs="Arial"/>
          <w:sz w:val="20"/>
          <w:szCs w:val="20"/>
        </w:rPr>
        <w:t xml:space="preserve">y </w:t>
      </w:r>
      <w:r w:rsidR="008960F6" w:rsidRPr="00227E6B">
        <w:rPr>
          <w:rFonts w:ascii="Verdana" w:hAnsi="Verdana" w:cs="Times New Roman"/>
          <w:sz w:val="20"/>
          <w:szCs w:val="20"/>
        </w:rPr>
        <w:t>aranceles</w:t>
      </w:r>
      <w:r w:rsidR="00E44861" w:rsidRPr="00227E6B">
        <w:rPr>
          <w:rFonts w:ascii="Verdana" w:hAnsi="Verdana" w:cs="Arial"/>
          <w:sz w:val="20"/>
          <w:szCs w:val="20"/>
        </w:rPr>
        <w:t xml:space="preserve">. </w:t>
      </w:r>
      <w:r w:rsidR="004719D3" w:rsidRPr="00227E6B">
        <w:rPr>
          <w:rFonts w:ascii="Verdana" w:hAnsi="Verdana" w:cs="Times New Roman"/>
          <w:sz w:val="20"/>
          <w:szCs w:val="20"/>
        </w:rPr>
        <w:t>Asimismo</w:t>
      </w:r>
      <w:r w:rsidR="000E165C" w:rsidRPr="00227E6B">
        <w:rPr>
          <w:rFonts w:ascii="Verdana" w:hAnsi="Verdana" w:cs="Times New Roman"/>
          <w:sz w:val="20"/>
          <w:szCs w:val="20"/>
        </w:rPr>
        <w:t>, establece</w:t>
      </w:r>
      <w:r w:rsidR="0051391E">
        <w:rPr>
          <w:rFonts w:ascii="Verdana" w:hAnsi="Verdana" w:cs="Times New Roman"/>
          <w:sz w:val="20"/>
          <w:szCs w:val="20"/>
        </w:rPr>
        <w:t>n</w:t>
      </w:r>
      <w:r w:rsidR="000E165C" w:rsidRPr="00227E6B">
        <w:rPr>
          <w:rFonts w:ascii="Verdana" w:hAnsi="Verdana" w:cs="Times New Roman"/>
          <w:sz w:val="20"/>
          <w:szCs w:val="20"/>
        </w:rPr>
        <w:t xml:space="preserve"> el procedimiento, los organismos estatales que intervienen en la ejecución de las prestaciones educativas ordenadas, los criterios de definición de las personas beneficiarias</w:t>
      </w:r>
      <w:r w:rsidR="00C329EB" w:rsidRPr="00227E6B">
        <w:rPr>
          <w:rFonts w:ascii="Verdana" w:hAnsi="Verdana" w:cs="Times New Roman"/>
          <w:sz w:val="20"/>
          <w:szCs w:val="20"/>
        </w:rPr>
        <w:t xml:space="preserve"> y del cálculo de los montos</w:t>
      </w:r>
      <w:r w:rsidR="000E165C" w:rsidRPr="00227E6B">
        <w:rPr>
          <w:rFonts w:ascii="Verdana" w:hAnsi="Verdana" w:cs="Times New Roman"/>
          <w:sz w:val="20"/>
          <w:szCs w:val="20"/>
        </w:rPr>
        <w:t>, el alcance de la cobertura, la documentación que debe ser presentada para solicitar la beca</w:t>
      </w:r>
      <w:r w:rsidR="00C329EB" w:rsidRPr="00227E6B">
        <w:rPr>
          <w:rFonts w:ascii="Verdana" w:hAnsi="Verdana" w:cs="Times New Roman"/>
          <w:sz w:val="20"/>
          <w:szCs w:val="20"/>
        </w:rPr>
        <w:t>, los montos anuales por nivel educativo</w:t>
      </w:r>
      <w:r w:rsidR="00435804" w:rsidRPr="00227E6B">
        <w:rPr>
          <w:rFonts w:ascii="Verdana" w:hAnsi="Verdana" w:cs="Times New Roman"/>
          <w:sz w:val="20"/>
          <w:szCs w:val="20"/>
        </w:rPr>
        <w:t>,</w:t>
      </w:r>
      <w:r w:rsidR="00C329EB" w:rsidRPr="00227E6B">
        <w:rPr>
          <w:rFonts w:ascii="Verdana" w:hAnsi="Verdana" w:cs="Times New Roman"/>
          <w:sz w:val="20"/>
          <w:szCs w:val="20"/>
        </w:rPr>
        <w:t xml:space="preserve"> su periodicidad</w:t>
      </w:r>
      <w:r w:rsidR="00435804" w:rsidRPr="00227E6B">
        <w:rPr>
          <w:rFonts w:ascii="Verdana" w:hAnsi="Verdana" w:cs="Times New Roman"/>
          <w:sz w:val="20"/>
          <w:szCs w:val="20"/>
        </w:rPr>
        <w:t xml:space="preserve"> y las partidas presupuestarias </w:t>
      </w:r>
      <w:r w:rsidR="006124F0" w:rsidRPr="00227E6B">
        <w:rPr>
          <w:rFonts w:ascii="Verdana" w:hAnsi="Verdana" w:cs="Times New Roman"/>
          <w:sz w:val="20"/>
          <w:szCs w:val="20"/>
        </w:rPr>
        <w:t xml:space="preserve">del Ministerio de Justicia </w:t>
      </w:r>
      <w:r w:rsidR="00435804" w:rsidRPr="00227E6B">
        <w:rPr>
          <w:rFonts w:ascii="Verdana" w:hAnsi="Verdana" w:cs="Times New Roman"/>
          <w:sz w:val="20"/>
          <w:szCs w:val="20"/>
        </w:rPr>
        <w:t xml:space="preserve">destinadas </w:t>
      </w:r>
      <w:r w:rsidR="006124F0" w:rsidRPr="00227E6B">
        <w:rPr>
          <w:rFonts w:ascii="Verdana" w:hAnsi="Verdana" w:cs="Times New Roman"/>
          <w:sz w:val="20"/>
          <w:szCs w:val="20"/>
        </w:rPr>
        <w:t>específicamente a dar cumplimiento a esta medida</w:t>
      </w:r>
      <w:r w:rsidR="000E165C" w:rsidRPr="00227E6B">
        <w:rPr>
          <w:rFonts w:ascii="Verdana" w:hAnsi="Verdana" w:cs="Times New Roman"/>
          <w:sz w:val="20"/>
          <w:szCs w:val="20"/>
        </w:rPr>
        <w:t xml:space="preserve">. </w:t>
      </w:r>
    </w:p>
    <w:p w14:paraId="2C1F3C99" w14:textId="77777777" w:rsidR="00435804" w:rsidRPr="00453ED8" w:rsidRDefault="00435804" w:rsidP="0011029F">
      <w:pPr>
        <w:pStyle w:val="Prrafodelista"/>
        <w:suppressLineNumbers/>
        <w:spacing w:after="0" w:line="240" w:lineRule="auto"/>
        <w:ind w:left="0"/>
        <w:rPr>
          <w:rFonts w:ascii="Verdana" w:hAnsi="Verdana" w:cs="Times New Roman"/>
          <w:sz w:val="20"/>
          <w:szCs w:val="20"/>
        </w:rPr>
      </w:pPr>
    </w:p>
    <w:p w14:paraId="5CEAE67F" w14:textId="55DD9E33" w:rsidR="003D2056" w:rsidRPr="008B0840" w:rsidRDefault="000062BC"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8B0840">
        <w:rPr>
          <w:rFonts w:ascii="Verdana" w:hAnsi="Verdana" w:cs="Times New Roman"/>
          <w:sz w:val="20"/>
          <w:szCs w:val="20"/>
        </w:rPr>
        <w:t>Al respecto, l</w:t>
      </w:r>
      <w:r w:rsidR="008D5FC0" w:rsidRPr="008B0840">
        <w:rPr>
          <w:rFonts w:ascii="Verdana" w:hAnsi="Verdana" w:cs="Times New Roman"/>
          <w:sz w:val="20"/>
          <w:szCs w:val="20"/>
        </w:rPr>
        <w:t xml:space="preserve">os representantes no han objetado los </w:t>
      </w:r>
      <w:r w:rsidR="002644CD" w:rsidRPr="008B0840">
        <w:rPr>
          <w:rFonts w:ascii="Verdana" w:hAnsi="Verdana" w:cs="Times New Roman"/>
          <w:sz w:val="20"/>
          <w:szCs w:val="20"/>
        </w:rPr>
        <w:t xml:space="preserve">costos </w:t>
      </w:r>
      <w:r w:rsidR="007D3BED" w:rsidRPr="008B0840">
        <w:rPr>
          <w:rFonts w:ascii="Verdana" w:hAnsi="Verdana" w:cs="Times New Roman"/>
          <w:sz w:val="20"/>
          <w:szCs w:val="20"/>
        </w:rPr>
        <w:t xml:space="preserve">o rubros </w:t>
      </w:r>
      <w:r w:rsidR="002644CD" w:rsidRPr="008B0840">
        <w:rPr>
          <w:rFonts w:ascii="Verdana" w:hAnsi="Verdana" w:cs="Times New Roman"/>
          <w:sz w:val="20"/>
          <w:szCs w:val="20"/>
        </w:rPr>
        <w:t>educativos incluidos en la beca (</w:t>
      </w:r>
      <w:r w:rsidR="002644CD" w:rsidRPr="008B0840">
        <w:rPr>
          <w:rFonts w:ascii="Verdana" w:hAnsi="Verdana" w:cs="Times New Roman"/>
          <w:i/>
          <w:sz w:val="20"/>
          <w:szCs w:val="20"/>
        </w:rPr>
        <w:t>supra</w:t>
      </w:r>
      <w:r w:rsidR="002644CD" w:rsidRPr="008B0840">
        <w:rPr>
          <w:rFonts w:ascii="Verdana" w:hAnsi="Verdana" w:cs="Times New Roman"/>
          <w:sz w:val="20"/>
          <w:szCs w:val="20"/>
        </w:rPr>
        <w:t xml:space="preserve"> Considerando </w:t>
      </w:r>
      <w:r w:rsidR="009D72BD">
        <w:rPr>
          <w:rFonts w:ascii="Verdana" w:hAnsi="Verdana" w:cs="Times New Roman"/>
          <w:sz w:val="20"/>
          <w:szCs w:val="20"/>
        </w:rPr>
        <w:t>3</w:t>
      </w:r>
      <w:r w:rsidR="0051391E">
        <w:rPr>
          <w:rFonts w:ascii="Verdana" w:hAnsi="Verdana" w:cs="Times New Roman"/>
          <w:sz w:val="20"/>
          <w:szCs w:val="20"/>
        </w:rPr>
        <w:t>4</w:t>
      </w:r>
      <w:r w:rsidR="002644CD" w:rsidRPr="008B0840">
        <w:rPr>
          <w:rFonts w:ascii="Verdana" w:hAnsi="Verdana" w:cs="Times New Roman"/>
          <w:sz w:val="20"/>
          <w:szCs w:val="20"/>
        </w:rPr>
        <w:t xml:space="preserve">), pero sí han manifestado su inconformidad con los montos asignados a cada uno de esos costos </w:t>
      </w:r>
      <w:r w:rsidRPr="008B0840">
        <w:rPr>
          <w:rFonts w:ascii="Verdana" w:hAnsi="Verdana"/>
          <w:sz w:val="20"/>
          <w:szCs w:val="20"/>
        </w:rPr>
        <w:t xml:space="preserve">y los </w:t>
      </w:r>
      <w:r w:rsidR="007D7D92" w:rsidRPr="008B0840">
        <w:rPr>
          <w:rFonts w:ascii="Verdana" w:hAnsi="Verdana"/>
          <w:sz w:val="20"/>
          <w:szCs w:val="20"/>
        </w:rPr>
        <w:t xml:space="preserve">criterios </w:t>
      </w:r>
      <w:r w:rsidRPr="008B0840">
        <w:rPr>
          <w:rFonts w:ascii="Verdana" w:hAnsi="Verdana"/>
          <w:sz w:val="20"/>
          <w:szCs w:val="20"/>
        </w:rPr>
        <w:t xml:space="preserve">que se utilizan para su </w:t>
      </w:r>
      <w:r w:rsidR="007D7D92" w:rsidRPr="008B0840">
        <w:rPr>
          <w:rFonts w:ascii="Verdana" w:hAnsi="Verdana"/>
          <w:sz w:val="20"/>
          <w:szCs w:val="20"/>
        </w:rPr>
        <w:t>determinación</w:t>
      </w:r>
      <w:r w:rsidR="00534249" w:rsidRPr="008B0840">
        <w:rPr>
          <w:rFonts w:ascii="Verdana" w:hAnsi="Verdana"/>
          <w:sz w:val="20"/>
          <w:szCs w:val="20"/>
        </w:rPr>
        <w:t>,</w:t>
      </w:r>
      <w:r w:rsidR="006D1675" w:rsidRPr="008B0840">
        <w:rPr>
          <w:rFonts w:ascii="Verdana" w:hAnsi="Verdana"/>
          <w:sz w:val="20"/>
          <w:szCs w:val="20"/>
        </w:rPr>
        <w:t xml:space="preserve"> </w:t>
      </w:r>
      <w:r w:rsidRPr="008B0840">
        <w:rPr>
          <w:rFonts w:ascii="Verdana" w:hAnsi="Verdana"/>
          <w:sz w:val="20"/>
          <w:szCs w:val="20"/>
        </w:rPr>
        <w:t xml:space="preserve">así como respecto a </w:t>
      </w:r>
      <w:r w:rsidR="006D1675" w:rsidRPr="008B0840">
        <w:rPr>
          <w:rFonts w:ascii="Verdana" w:hAnsi="Verdana"/>
          <w:sz w:val="20"/>
          <w:szCs w:val="20"/>
        </w:rPr>
        <w:t>la modalidad retroactiva de los pagos</w:t>
      </w:r>
      <w:r w:rsidR="00534249" w:rsidRPr="008B0840">
        <w:rPr>
          <w:rFonts w:ascii="Verdana" w:hAnsi="Verdana"/>
          <w:sz w:val="20"/>
          <w:szCs w:val="20"/>
        </w:rPr>
        <w:t xml:space="preserve"> y la </w:t>
      </w:r>
      <w:r w:rsidR="00B97FF3" w:rsidRPr="008B0840">
        <w:rPr>
          <w:rFonts w:ascii="Verdana" w:hAnsi="Verdana"/>
          <w:sz w:val="20"/>
          <w:szCs w:val="20"/>
        </w:rPr>
        <w:t>alegada incertidumbre</w:t>
      </w:r>
      <w:r w:rsidR="006C1433" w:rsidRPr="008B0840">
        <w:rPr>
          <w:rFonts w:ascii="Verdana" w:hAnsi="Verdana"/>
          <w:sz w:val="20"/>
          <w:szCs w:val="20"/>
        </w:rPr>
        <w:t xml:space="preserve"> respecto a</w:t>
      </w:r>
      <w:r w:rsidR="006F7ACA" w:rsidRPr="008B0840">
        <w:rPr>
          <w:rFonts w:ascii="Verdana" w:hAnsi="Verdana"/>
          <w:sz w:val="20"/>
          <w:szCs w:val="20"/>
        </w:rPr>
        <w:t xml:space="preserve"> la </w:t>
      </w:r>
      <w:r w:rsidR="00534249" w:rsidRPr="008B0840">
        <w:rPr>
          <w:rFonts w:ascii="Verdana" w:hAnsi="Verdana"/>
          <w:sz w:val="20"/>
          <w:szCs w:val="20"/>
        </w:rPr>
        <w:t>sostenibilidad de las prestaciones educativas</w:t>
      </w:r>
      <w:r w:rsidR="007D7D92" w:rsidRPr="008B0840">
        <w:rPr>
          <w:rFonts w:ascii="Verdana" w:hAnsi="Verdana"/>
          <w:sz w:val="20"/>
          <w:szCs w:val="20"/>
        </w:rPr>
        <w:t>. El Estado</w:t>
      </w:r>
      <w:r w:rsidR="00596CA6" w:rsidRPr="008B0840">
        <w:rPr>
          <w:rFonts w:ascii="Verdana" w:hAnsi="Verdana"/>
          <w:sz w:val="20"/>
          <w:szCs w:val="20"/>
        </w:rPr>
        <w:t xml:space="preserve"> ha venido afirmando </w:t>
      </w:r>
      <w:r w:rsidR="006A1C0E" w:rsidRPr="008B0840">
        <w:rPr>
          <w:rFonts w:ascii="Verdana" w:hAnsi="Verdana"/>
          <w:sz w:val="20"/>
          <w:szCs w:val="20"/>
        </w:rPr>
        <w:t xml:space="preserve">que </w:t>
      </w:r>
      <w:r w:rsidR="000F7920" w:rsidRPr="008B0840">
        <w:rPr>
          <w:rFonts w:ascii="Verdana" w:hAnsi="Verdana" w:cs="Times New Roman"/>
          <w:color w:val="080809"/>
          <w:sz w:val="20"/>
          <w:szCs w:val="20"/>
        </w:rPr>
        <w:t xml:space="preserve">el monto </w:t>
      </w:r>
      <w:r w:rsidR="00A12C6F" w:rsidRPr="008B0840">
        <w:rPr>
          <w:rFonts w:ascii="Verdana" w:hAnsi="Verdana" w:cs="Times New Roman"/>
          <w:color w:val="080809"/>
          <w:sz w:val="20"/>
          <w:szCs w:val="20"/>
        </w:rPr>
        <w:t xml:space="preserve">cubierto </w:t>
      </w:r>
      <w:r w:rsidR="000F7920" w:rsidRPr="008B0840">
        <w:rPr>
          <w:rFonts w:ascii="Verdana" w:hAnsi="Verdana" w:cs="Times New Roman"/>
          <w:color w:val="080809"/>
          <w:sz w:val="20"/>
          <w:szCs w:val="20"/>
        </w:rPr>
        <w:t>de cada rubro es definido</w:t>
      </w:r>
      <w:r w:rsidR="00596CA6" w:rsidRPr="008B0840">
        <w:rPr>
          <w:rFonts w:ascii="Verdana" w:hAnsi="Verdana" w:cs="Times New Roman"/>
          <w:color w:val="080809"/>
          <w:sz w:val="20"/>
          <w:szCs w:val="20"/>
        </w:rPr>
        <w:t xml:space="preserve"> anualmente </w:t>
      </w:r>
      <w:r w:rsidR="000F7920" w:rsidRPr="008B0840">
        <w:rPr>
          <w:rFonts w:ascii="Verdana" w:hAnsi="Verdana" w:cs="Times New Roman"/>
          <w:color w:val="080809"/>
          <w:sz w:val="20"/>
          <w:szCs w:val="20"/>
        </w:rPr>
        <w:t>“en base a criterios técnicos</w:t>
      </w:r>
      <w:r w:rsidR="00596CA6" w:rsidRPr="008B0840">
        <w:rPr>
          <w:rFonts w:ascii="Verdana" w:hAnsi="Verdana" w:cs="Times New Roman"/>
          <w:color w:val="080809"/>
          <w:sz w:val="20"/>
          <w:szCs w:val="20"/>
        </w:rPr>
        <w:t xml:space="preserve"> </w:t>
      </w:r>
      <w:r w:rsidR="000F7920" w:rsidRPr="008B0840">
        <w:rPr>
          <w:rFonts w:ascii="Verdana" w:hAnsi="Verdana" w:cs="Times New Roman"/>
          <w:color w:val="080809"/>
          <w:sz w:val="20"/>
          <w:szCs w:val="20"/>
        </w:rPr>
        <w:t xml:space="preserve">establecidos por la Junta Nacional de Auxilio y Becas (JUNAEB)” </w:t>
      </w:r>
      <w:r w:rsidR="00A12C6F" w:rsidRPr="008B0840">
        <w:rPr>
          <w:rFonts w:ascii="Verdana" w:hAnsi="Verdana" w:cs="Times New Roman"/>
          <w:color w:val="080809"/>
          <w:sz w:val="20"/>
          <w:szCs w:val="20"/>
        </w:rPr>
        <w:t>en función de cada nivel educacional</w:t>
      </w:r>
      <w:r w:rsidR="0051391E">
        <w:rPr>
          <w:rFonts w:ascii="Verdana" w:hAnsi="Verdana" w:cs="Times New Roman"/>
          <w:color w:val="080809"/>
          <w:sz w:val="20"/>
          <w:szCs w:val="20"/>
        </w:rPr>
        <w:t xml:space="preserve">. </w:t>
      </w:r>
      <w:r w:rsidR="003D2056" w:rsidRPr="008B0840">
        <w:rPr>
          <w:rFonts w:ascii="Verdana" w:hAnsi="Verdana" w:cs="Times New Roman"/>
          <w:color w:val="080809"/>
          <w:sz w:val="20"/>
          <w:szCs w:val="20"/>
        </w:rPr>
        <w:t>En relación con lo anterior, la Corte nota que el propio Ministerio de Educación ha reconocido con respecto a determinados rubros de las becas, por ejemplo el de los útiles escolares, que</w:t>
      </w:r>
      <w:r w:rsidR="00640765">
        <w:rPr>
          <w:rFonts w:ascii="Verdana" w:hAnsi="Verdana" w:cs="Times New Roman"/>
          <w:color w:val="080809"/>
          <w:sz w:val="20"/>
          <w:szCs w:val="20"/>
        </w:rPr>
        <w:t xml:space="preserve"> en todos los niveles educativos</w:t>
      </w:r>
      <w:r w:rsidR="003D2056" w:rsidRPr="008B0840">
        <w:rPr>
          <w:rFonts w:ascii="Verdana" w:hAnsi="Verdana" w:cs="Times New Roman"/>
          <w:color w:val="080809"/>
          <w:sz w:val="20"/>
          <w:szCs w:val="20"/>
        </w:rPr>
        <w:t xml:space="preserve"> “[e]l monto </w:t>
      </w:r>
      <w:r w:rsidR="003D2056" w:rsidRPr="008B0840">
        <w:rPr>
          <w:rFonts w:ascii="Verdana" w:hAnsi="Verdana" w:cs="Arial"/>
          <w:sz w:val="20"/>
          <w:szCs w:val="20"/>
        </w:rPr>
        <w:t xml:space="preserve">del programa </w:t>
      </w:r>
      <w:proofErr w:type="gramStart"/>
      <w:r w:rsidR="003D2056" w:rsidRPr="008B0840">
        <w:rPr>
          <w:rFonts w:ascii="Verdana" w:hAnsi="Verdana" w:cs="Arial"/>
          <w:sz w:val="20"/>
          <w:szCs w:val="20"/>
        </w:rPr>
        <w:t>J[</w:t>
      </w:r>
      <w:proofErr w:type="gramEnd"/>
      <w:r w:rsidR="003D2056" w:rsidRPr="008B0840">
        <w:rPr>
          <w:rFonts w:ascii="Verdana" w:hAnsi="Verdana" w:cs="Arial"/>
          <w:sz w:val="20"/>
          <w:szCs w:val="20"/>
        </w:rPr>
        <w:t>UNAEB</w:t>
      </w:r>
      <w:r w:rsidR="003D2056" w:rsidRPr="008B0840">
        <w:rPr>
          <w:rFonts w:ascii="Verdana" w:hAnsi="Verdana" w:cs="Times New Roman"/>
          <w:color w:val="080809"/>
          <w:sz w:val="20"/>
          <w:szCs w:val="20"/>
        </w:rPr>
        <w:t xml:space="preserve">…] </w:t>
      </w:r>
      <w:r w:rsidR="003D2056" w:rsidRPr="008B0840">
        <w:rPr>
          <w:rFonts w:ascii="Verdana" w:hAnsi="Verdana" w:cs="Arial"/>
          <w:sz w:val="20"/>
          <w:szCs w:val="20"/>
        </w:rPr>
        <w:t xml:space="preserve">es insuficiente para </w:t>
      </w:r>
      <w:r w:rsidR="003D2056" w:rsidRPr="008B0840">
        <w:rPr>
          <w:rFonts w:ascii="Verdana" w:hAnsi="Verdana" w:cs="Times New Roman"/>
          <w:sz w:val="20"/>
          <w:szCs w:val="20"/>
        </w:rPr>
        <w:t xml:space="preserve">cubrir todas </w:t>
      </w:r>
      <w:r w:rsidR="003D2056" w:rsidRPr="008B0840">
        <w:rPr>
          <w:rFonts w:ascii="Verdana" w:hAnsi="Verdana" w:cs="Arial"/>
          <w:sz w:val="20"/>
          <w:szCs w:val="20"/>
        </w:rPr>
        <w:t xml:space="preserve">las necesidades </w:t>
      </w:r>
      <w:r w:rsidR="0051391E">
        <w:rPr>
          <w:rFonts w:ascii="Verdana" w:hAnsi="Verdana" w:cs="Arial"/>
          <w:sz w:val="20"/>
          <w:szCs w:val="20"/>
        </w:rPr>
        <w:t>escolares</w:t>
      </w:r>
      <w:r w:rsidR="003D2056" w:rsidRPr="008B0840">
        <w:rPr>
          <w:rFonts w:ascii="Verdana" w:hAnsi="Verdana" w:cs="Arial"/>
          <w:sz w:val="20"/>
          <w:szCs w:val="20"/>
        </w:rPr>
        <w:t>”</w:t>
      </w:r>
      <w:r w:rsidR="003D2056" w:rsidRPr="008B0840">
        <w:rPr>
          <w:rFonts w:ascii="Verdana" w:hAnsi="Verdana" w:cs="Times New Roman"/>
          <w:color w:val="080809"/>
          <w:sz w:val="20"/>
          <w:szCs w:val="20"/>
        </w:rPr>
        <w:t xml:space="preserve">, por lo cual </w:t>
      </w:r>
      <w:r w:rsidR="0051391E">
        <w:rPr>
          <w:rFonts w:ascii="Verdana" w:hAnsi="Verdana" w:cs="Times New Roman"/>
          <w:color w:val="080809"/>
          <w:sz w:val="20"/>
          <w:szCs w:val="20"/>
        </w:rPr>
        <w:t xml:space="preserve">dicha institución </w:t>
      </w:r>
      <w:r w:rsidR="003D2056" w:rsidRPr="008B0840">
        <w:rPr>
          <w:rFonts w:ascii="Verdana" w:hAnsi="Verdana" w:cs="Times New Roman"/>
          <w:color w:val="080809"/>
          <w:sz w:val="20"/>
          <w:szCs w:val="20"/>
        </w:rPr>
        <w:t>ha sugerido montos mayores</w:t>
      </w:r>
      <w:r w:rsidR="003D2056">
        <w:rPr>
          <w:rStyle w:val="Refdenotaalpie"/>
          <w:rFonts w:ascii="Verdana" w:hAnsi="Verdana" w:cs="Times New Roman"/>
          <w:color w:val="080809"/>
          <w:sz w:val="20"/>
          <w:szCs w:val="20"/>
        </w:rPr>
        <w:footnoteReference w:id="64"/>
      </w:r>
      <w:r w:rsidR="003D2056" w:rsidRPr="008B0840">
        <w:rPr>
          <w:rFonts w:ascii="Verdana" w:hAnsi="Verdana" w:cs="Times New Roman"/>
          <w:color w:val="080809"/>
          <w:sz w:val="20"/>
          <w:szCs w:val="20"/>
        </w:rPr>
        <w:t xml:space="preserve">. </w:t>
      </w:r>
    </w:p>
    <w:p w14:paraId="13D16984" w14:textId="77777777" w:rsidR="003D2056" w:rsidRPr="003D2056" w:rsidRDefault="003D2056" w:rsidP="0011029F">
      <w:pPr>
        <w:pStyle w:val="Prrafodelista"/>
        <w:suppressLineNumbers/>
        <w:rPr>
          <w:rFonts w:ascii="Verdana" w:hAnsi="Verdana" w:cs="Times New Roman"/>
          <w:color w:val="080809"/>
          <w:sz w:val="20"/>
          <w:szCs w:val="20"/>
        </w:rPr>
      </w:pPr>
    </w:p>
    <w:p w14:paraId="5D0FD677" w14:textId="64AF47C1" w:rsidR="00110CED" w:rsidRPr="008B0840" w:rsidRDefault="00C1092C"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8B0840">
        <w:rPr>
          <w:rFonts w:ascii="Verdana" w:hAnsi="Verdana" w:cs="Times New Roman"/>
          <w:sz w:val="20"/>
          <w:szCs w:val="20"/>
        </w:rPr>
        <w:t xml:space="preserve">Al respecto, la Corte considera importante que el Estado y los representantes entablen un espacio de diálogo directo sobre estos aspectos, así como que el </w:t>
      </w:r>
      <w:r w:rsidR="003B3293">
        <w:rPr>
          <w:rFonts w:ascii="Verdana" w:hAnsi="Verdana"/>
          <w:sz w:val="20"/>
          <w:szCs w:val="20"/>
        </w:rPr>
        <w:t>Estado evalúe</w:t>
      </w:r>
      <w:r w:rsidRPr="008B0840">
        <w:rPr>
          <w:rFonts w:ascii="Verdana" w:hAnsi="Verdana"/>
          <w:sz w:val="20"/>
          <w:szCs w:val="20"/>
        </w:rPr>
        <w:t xml:space="preserve"> si sería posible atender las solicitudes de los representantes únicamente con respecto al aumento de los montos de las becas para las víctimas de este caso y los hijos de las víctimas (</w:t>
      </w:r>
      <w:r w:rsidR="00BF3282">
        <w:rPr>
          <w:rFonts w:ascii="Verdana" w:hAnsi="Verdana"/>
          <w:sz w:val="20"/>
          <w:szCs w:val="20"/>
        </w:rPr>
        <w:t xml:space="preserve">es decir, </w:t>
      </w:r>
      <w:r w:rsidRPr="008B0840">
        <w:rPr>
          <w:rFonts w:ascii="Verdana" w:hAnsi="Verdana"/>
          <w:sz w:val="20"/>
          <w:szCs w:val="20"/>
        </w:rPr>
        <w:t>no para todo el universo de beneficiarios a quienes el Estado extendió el beneficio de las becas)</w:t>
      </w:r>
      <w:r w:rsidR="00B97FF3" w:rsidRPr="008B0840">
        <w:rPr>
          <w:rFonts w:ascii="Verdana" w:hAnsi="Verdana"/>
          <w:sz w:val="20"/>
          <w:szCs w:val="20"/>
        </w:rPr>
        <w:t>, respecto de aquellos rubros sobre los cuales</w:t>
      </w:r>
      <w:r w:rsidRPr="008B0840">
        <w:rPr>
          <w:rFonts w:ascii="Verdana" w:hAnsi="Verdana"/>
          <w:sz w:val="20"/>
          <w:szCs w:val="20"/>
        </w:rPr>
        <w:t xml:space="preserve"> los representantes </w:t>
      </w:r>
      <w:r w:rsidR="00127727">
        <w:rPr>
          <w:rFonts w:ascii="Verdana" w:hAnsi="Verdana"/>
          <w:sz w:val="20"/>
          <w:szCs w:val="20"/>
        </w:rPr>
        <w:t>hayan fundamentado q</w:t>
      </w:r>
      <w:r w:rsidRPr="008B0840">
        <w:rPr>
          <w:rFonts w:ascii="Verdana" w:hAnsi="Verdana"/>
          <w:sz w:val="20"/>
          <w:szCs w:val="20"/>
        </w:rPr>
        <w:t xml:space="preserve">ue el monto no es el adecuado, tomando en cuenta que estas personas son beneficiarias de una reparación dispuesta en una </w:t>
      </w:r>
      <w:r w:rsidRPr="008B0840">
        <w:rPr>
          <w:rFonts w:ascii="Verdana" w:hAnsi="Verdana"/>
          <w:sz w:val="20"/>
          <w:szCs w:val="20"/>
        </w:rPr>
        <w:lastRenderedPageBreak/>
        <w:t>Sentencia internacional.</w:t>
      </w:r>
      <w:r>
        <w:t xml:space="preserve"> </w:t>
      </w:r>
      <w:r w:rsidR="008B0840" w:rsidRPr="008B0840">
        <w:rPr>
          <w:rFonts w:ascii="Verdana" w:hAnsi="Verdana"/>
          <w:sz w:val="20"/>
        </w:rPr>
        <w:t xml:space="preserve">En este sentido, la Corte considera importante que haya una apertura para </w:t>
      </w:r>
      <w:r w:rsidR="008B0840" w:rsidRPr="008B0840">
        <w:rPr>
          <w:rFonts w:ascii="Verdana" w:hAnsi="Verdana"/>
          <w:sz w:val="20"/>
          <w:szCs w:val="20"/>
        </w:rPr>
        <w:t xml:space="preserve">evaluar si los montos de cada rubro son suficientes, después de escuchar a los representantes y a las víctimas, para cubrir todos los costos de la educación de manera que cumpla de forma completa con el contenido de la reparación ordenada por esta Corte en la Sentencia. </w:t>
      </w:r>
      <w:r w:rsidR="00150F94" w:rsidRPr="008B0840">
        <w:rPr>
          <w:rFonts w:ascii="Verdana" w:hAnsi="Verdana" w:cs="Times New Roman"/>
          <w:sz w:val="20"/>
          <w:szCs w:val="20"/>
        </w:rPr>
        <w:t xml:space="preserve">Adicionalmente, </w:t>
      </w:r>
      <w:r w:rsidRPr="008B0840">
        <w:rPr>
          <w:rFonts w:ascii="Verdana" w:hAnsi="Verdana" w:cs="Times New Roman"/>
          <w:sz w:val="20"/>
          <w:szCs w:val="20"/>
        </w:rPr>
        <w:t xml:space="preserve">se requiere al Estado que </w:t>
      </w:r>
      <w:r w:rsidR="004B3C78" w:rsidRPr="008B0840">
        <w:rPr>
          <w:rFonts w:ascii="Verdana" w:hAnsi="Verdana" w:cs="Times New Roman"/>
          <w:sz w:val="20"/>
          <w:szCs w:val="20"/>
        </w:rPr>
        <w:t xml:space="preserve">explique </w:t>
      </w:r>
      <w:r w:rsidR="00D32358">
        <w:rPr>
          <w:rFonts w:ascii="Verdana" w:hAnsi="Verdana" w:cs="Times New Roman"/>
          <w:sz w:val="20"/>
          <w:szCs w:val="20"/>
        </w:rPr>
        <w:t>de forma más detallada</w:t>
      </w:r>
      <w:r w:rsidR="00D32358" w:rsidRPr="008B0840">
        <w:rPr>
          <w:rFonts w:ascii="Verdana" w:hAnsi="Verdana" w:cs="Times New Roman"/>
          <w:sz w:val="20"/>
          <w:szCs w:val="20"/>
        </w:rPr>
        <w:t xml:space="preserve"> </w:t>
      </w:r>
      <w:r w:rsidR="004B3C78" w:rsidRPr="008B0840">
        <w:rPr>
          <w:rFonts w:ascii="Verdana" w:hAnsi="Verdana" w:cs="Times New Roman"/>
          <w:sz w:val="20"/>
          <w:szCs w:val="20"/>
        </w:rPr>
        <w:t xml:space="preserve">a qué se refiere el </w:t>
      </w:r>
      <w:r w:rsidR="00150F94" w:rsidRPr="008B0840">
        <w:rPr>
          <w:rFonts w:ascii="Verdana" w:hAnsi="Verdana" w:cs="Times New Roman"/>
          <w:sz w:val="20"/>
          <w:szCs w:val="20"/>
        </w:rPr>
        <w:t>descuento que realiza de otras becas que reciben los beneficiarios</w:t>
      </w:r>
      <w:r w:rsidR="004920AB" w:rsidRPr="008B0840">
        <w:rPr>
          <w:rFonts w:ascii="Verdana" w:hAnsi="Verdana" w:cs="Times New Roman"/>
          <w:sz w:val="20"/>
          <w:szCs w:val="20"/>
        </w:rPr>
        <w:t xml:space="preserve"> “para evitar duplicidad de pagos”</w:t>
      </w:r>
      <w:r w:rsidR="008B0840">
        <w:rPr>
          <w:rStyle w:val="Refdenotaalpie"/>
          <w:rFonts w:ascii="Verdana" w:hAnsi="Verdana" w:cs="Times New Roman"/>
          <w:color w:val="080809"/>
          <w:sz w:val="20"/>
          <w:szCs w:val="20"/>
        </w:rPr>
        <w:footnoteReference w:id="65"/>
      </w:r>
      <w:r w:rsidR="003B3293">
        <w:rPr>
          <w:rFonts w:ascii="Verdana" w:hAnsi="Verdana" w:cs="Times New Roman"/>
          <w:sz w:val="20"/>
          <w:szCs w:val="20"/>
        </w:rPr>
        <w:t>.</w:t>
      </w:r>
      <w:r w:rsidR="004920AB" w:rsidRPr="008B0840">
        <w:rPr>
          <w:rFonts w:ascii="Verdana" w:hAnsi="Verdana" w:cs="Times New Roman"/>
          <w:sz w:val="20"/>
          <w:szCs w:val="20"/>
        </w:rPr>
        <w:t xml:space="preserve"> </w:t>
      </w:r>
    </w:p>
    <w:p w14:paraId="1F42AC2D" w14:textId="77777777" w:rsidR="00332050" w:rsidRPr="00332050" w:rsidRDefault="00332050" w:rsidP="0011029F">
      <w:pPr>
        <w:pStyle w:val="Prrafodelista"/>
        <w:suppressLineNumbers/>
        <w:autoSpaceDE w:val="0"/>
        <w:autoSpaceDN w:val="0"/>
        <w:adjustRightInd w:val="0"/>
        <w:spacing w:after="0" w:line="240" w:lineRule="auto"/>
        <w:ind w:left="0"/>
        <w:jc w:val="both"/>
        <w:rPr>
          <w:rFonts w:ascii="Verdana" w:hAnsi="Verdana"/>
          <w:sz w:val="20"/>
          <w:szCs w:val="20"/>
        </w:rPr>
      </w:pPr>
    </w:p>
    <w:p w14:paraId="21DA8048" w14:textId="7A87A65D" w:rsidR="003E1BD2" w:rsidRPr="00B97FF3" w:rsidRDefault="006F7ACA"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B97FF3">
        <w:rPr>
          <w:rFonts w:ascii="Verdana" w:hAnsi="Verdana"/>
          <w:sz w:val="20"/>
          <w:szCs w:val="20"/>
        </w:rPr>
        <w:t>En lo que respecta al pago oportuno de las becas y la modalidad de pago retroactivo, sobre lo cual también se solicitó información al Estado en el 2018 (</w:t>
      </w:r>
      <w:r w:rsidRPr="00B97FF3">
        <w:rPr>
          <w:rFonts w:ascii="Verdana" w:hAnsi="Verdana"/>
          <w:i/>
          <w:sz w:val="20"/>
          <w:szCs w:val="20"/>
        </w:rPr>
        <w:t>supra</w:t>
      </w:r>
      <w:r w:rsidRPr="00B97FF3">
        <w:rPr>
          <w:rFonts w:ascii="Verdana" w:hAnsi="Verdana"/>
          <w:sz w:val="20"/>
          <w:szCs w:val="20"/>
        </w:rPr>
        <w:t xml:space="preserve"> Considerando 3</w:t>
      </w:r>
      <w:r w:rsidR="001539CF">
        <w:rPr>
          <w:rFonts w:ascii="Verdana" w:hAnsi="Verdana"/>
          <w:sz w:val="20"/>
          <w:szCs w:val="20"/>
        </w:rPr>
        <w:t>1</w:t>
      </w:r>
      <w:r w:rsidRPr="00B97FF3">
        <w:rPr>
          <w:rFonts w:ascii="Verdana" w:hAnsi="Verdana"/>
          <w:sz w:val="20"/>
          <w:szCs w:val="20"/>
        </w:rPr>
        <w:t xml:space="preserve">), </w:t>
      </w:r>
      <w:r w:rsidR="00EC7E88" w:rsidRPr="00B97FF3">
        <w:rPr>
          <w:rFonts w:ascii="Verdana" w:hAnsi="Verdana"/>
          <w:sz w:val="20"/>
          <w:szCs w:val="20"/>
        </w:rPr>
        <w:t xml:space="preserve">la Corte observa </w:t>
      </w:r>
      <w:r w:rsidR="0015624B" w:rsidRPr="00B97FF3">
        <w:rPr>
          <w:rFonts w:ascii="Verdana" w:hAnsi="Verdana"/>
          <w:sz w:val="20"/>
          <w:szCs w:val="20"/>
        </w:rPr>
        <w:t>con preocupación</w:t>
      </w:r>
      <w:r w:rsidR="001539CF">
        <w:rPr>
          <w:rFonts w:ascii="Verdana" w:hAnsi="Verdana"/>
          <w:sz w:val="20"/>
          <w:szCs w:val="20"/>
        </w:rPr>
        <w:t>, con base en la documentación aportada por el Estado (</w:t>
      </w:r>
      <w:r w:rsidR="001539CF" w:rsidRPr="001539CF">
        <w:rPr>
          <w:rFonts w:ascii="Verdana" w:hAnsi="Verdana"/>
          <w:i/>
          <w:sz w:val="20"/>
          <w:szCs w:val="20"/>
        </w:rPr>
        <w:t xml:space="preserve">supra </w:t>
      </w:r>
      <w:r w:rsidR="001539CF">
        <w:rPr>
          <w:rFonts w:ascii="Verdana" w:hAnsi="Verdana"/>
          <w:sz w:val="20"/>
          <w:szCs w:val="20"/>
        </w:rPr>
        <w:t>Considerando 32),</w:t>
      </w:r>
      <w:r w:rsidR="0015624B" w:rsidRPr="00B97FF3">
        <w:rPr>
          <w:rFonts w:ascii="Verdana" w:hAnsi="Verdana"/>
          <w:sz w:val="20"/>
          <w:szCs w:val="20"/>
        </w:rPr>
        <w:t xml:space="preserve"> </w:t>
      </w:r>
      <w:r w:rsidR="00EC7E88" w:rsidRPr="00B97FF3">
        <w:rPr>
          <w:rFonts w:ascii="Verdana" w:hAnsi="Verdana"/>
          <w:sz w:val="20"/>
          <w:szCs w:val="20"/>
        </w:rPr>
        <w:t>que</w:t>
      </w:r>
      <w:r w:rsidR="009C6804" w:rsidRPr="00B97FF3">
        <w:rPr>
          <w:rFonts w:ascii="Verdana" w:hAnsi="Verdana"/>
          <w:sz w:val="20"/>
          <w:szCs w:val="20"/>
        </w:rPr>
        <w:t xml:space="preserve">, en </w:t>
      </w:r>
      <w:r w:rsidR="00936DF4" w:rsidRPr="00B97FF3">
        <w:rPr>
          <w:rFonts w:ascii="Verdana" w:hAnsi="Verdana"/>
          <w:sz w:val="20"/>
          <w:szCs w:val="20"/>
        </w:rPr>
        <w:t>promedio</w:t>
      </w:r>
      <w:r w:rsidR="009C6804" w:rsidRPr="00B97FF3">
        <w:rPr>
          <w:rFonts w:ascii="Verdana" w:hAnsi="Verdana"/>
          <w:sz w:val="20"/>
          <w:szCs w:val="20"/>
        </w:rPr>
        <w:t xml:space="preserve">, el tiempo que ha </w:t>
      </w:r>
      <w:r w:rsidR="00720957" w:rsidRPr="00B97FF3">
        <w:rPr>
          <w:rFonts w:ascii="Verdana" w:hAnsi="Verdana"/>
          <w:sz w:val="20"/>
          <w:szCs w:val="20"/>
        </w:rPr>
        <w:t>transcurrido</w:t>
      </w:r>
      <w:r w:rsidR="009C6804" w:rsidRPr="00B97FF3">
        <w:rPr>
          <w:rFonts w:ascii="Verdana" w:hAnsi="Verdana"/>
          <w:sz w:val="20"/>
          <w:szCs w:val="20"/>
        </w:rPr>
        <w:t xml:space="preserve"> entre el inicio de cada período lectivo y de su pago correspondiente es de aproximadamente doce meses. </w:t>
      </w:r>
      <w:r w:rsidR="00386535" w:rsidRPr="00B97FF3">
        <w:rPr>
          <w:rFonts w:ascii="Verdana" w:hAnsi="Verdana"/>
          <w:sz w:val="20"/>
          <w:szCs w:val="20"/>
        </w:rPr>
        <w:t>Según el oficio de</w:t>
      </w:r>
      <w:r w:rsidR="00D32358">
        <w:rPr>
          <w:rFonts w:ascii="Verdana" w:hAnsi="Verdana"/>
          <w:sz w:val="20"/>
          <w:szCs w:val="20"/>
        </w:rPr>
        <w:t xml:space="preserve"> </w:t>
      </w:r>
      <w:r w:rsidR="00386535" w:rsidRPr="00B97FF3">
        <w:rPr>
          <w:rFonts w:ascii="Verdana" w:hAnsi="Verdana"/>
          <w:sz w:val="20"/>
          <w:szCs w:val="20"/>
        </w:rPr>
        <w:t>l</w:t>
      </w:r>
      <w:r w:rsidR="00D32358">
        <w:rPr>
          <w:rFonts w:ascii="Verdana" w:hAnsi="Verdana"/>
          <w:sz w:val="20"/>
          <w:szCs w:val="20"/>
        </w:rPr>
        <w:t>a</w:t>
      </w:r>
      <w:r w:rsidR="00386535" w:rsidRPr="00B97FF3">
        <w:rPr>
          <w:rFonts w:ascii="Verdana" w:hAnsi="Verdana"/>
          <w:sz w:val="20"/>
          <w:szCs w:val="20"/>
        </w:rPr>
        <w:t xml:space="preserve"> Subsecretar</w:t>
      </w:r>
      <w:r w:rsidR="00D32358">
        <w:rPr>
          <w:rFonts w:ascii="Verdana" w:hAnsi="Verdana"/>
          <w:sz w:val="20"/>
          <w:szCs w:val="20"/>
        </w:rPr>
        <w:t>ía</w:t>
      </w:r>
      <w:r w:rsidR="00386535" w:rsidRPr="00B97FF3">
        <w:rPr>
          <w:rFonts w:ascii="Verdana" w:hAnsi="Verdana"/>
          <w:sz w:val="20"/>
          <w:szCs w:val="20"/>
        </w:rPr>
        <w:t xml:space="preserve"> de Educación</w:t>
      </w:r>
      <w:r w:rsidR="005B78C0">
        <w:rPr>
          <w:rFonts w:ascii="Verdana" w:hAnsi="Verdana"/>
          <w:sz w:val="20"/>
          <w:szCs w:val="20"/>
        </w:rPr>
        <w:t xml:space="preserve"> (</w:t>
      </w:r>
      <w:r w:rsidR="005B78C0" w:rsidRPr="005B78C0">
        <w:rPr>
          <w:rFonts w:ascii="Verdana" w:hAnsi="Verdana"/>
          <w:i/>
          <w:sz w:val="20"/>
          <w:szCs w:val="20"/>
        </w:rPr>
        <w:t xml:space="preserve">supra </w:t>
      </w:r>
      <w:r w:rsidR="005B78C0">
        <w:rPr>
          <w:rFonts w:ascii="Verdana" w:hAnsi="Verdana"/>
          <w:sz w:val="20"/>
          <w:szCs w:val="20"/>
        </w:rPr>
        <w:t>Considerando 34)</w:t>
      </w:r>
      <w:r w:rsidR="00386535">
        <w:rPr>
          <w:rStyle w:val="Refdenotaalpie"/>
          <w:rFonts w:ascii="Verdana" w:hAnsi="Verdana"/>
          <w:sz w:val="20"/>
          <w:szCs w:val="20"/>
        </w:rPr>
        <w:footnoteReference w:id="66"/>
      </w:r>
      <w:r w:rsidR="001539CF">
        <w:rPr>
          <w:rFonts w:ascii="Verdana" w:hAnsi="Verdana"/>
          <w:sz w:val="20"/>
          <w:szCs w:val="20"/>
        </w:rPr>
        <w:t>, el pago de las becas s</w:t>
      </w:r>
      <w:r w:rsidR="00386535" w:rsidRPr="00B97FF3">
        <w:rPr>
          <w:rFonts w:ascii="Verdana" w:hAnsi="Verdana"/>
          <w:sz w:val="20"/>
          <w:szCs w:val="20"/>
        </w:rPr>
        <w:t xml:space="preserve">e </w:t>
      </w:r>
      <w:r w:rsidR="001539CF">
        <w:rPr>
          <w:rFonts w:ascii="Verdana" w:hAnsi="Verdana"/>
          <w:sz w:val="20"/>
          <w:szCs w:val="20"/>
        </w:rPr>
        <w:t>efectúa</w:t>
      </w:r>
      <w:r w:rsidR="00386535" w:rsidRPr="00B97FF3">
        <w:rPr>
          <w:rFonts w:ascii="Verdana" w:hAnsi="Verdana"/>
          <w:sz w:val="20"/>
          <w:szCs w:val="20"/>
        </w:rPr>
        <w:t xml:space="preserve"> de forma retroactiva “toda vez que </w:t>
      </w:r>
      <w:r w:rsidR="00537523">
        <w:rPr>
          <w:rFonts w:ascii="Verdana" w:hAnsi="Verdana"/>
          <w:sz w:val="20"/>
          <w:szCs w:val="20"/>
        </w:rPr>
        <w:t>[</w:t>
      </w:r>
      <w:r w:rsidR="00386535" w:rsidRPr="00B97FF3">
        <w:rPr>
          <w:rFonts w:ascii="Verdana" w:hAnsi="Verdana"/>
          <w:sz w:val="20"/>
          <w:szCs w:val="20"/>
        </w:rPr>
        <w:t>e</w:t>
      </w:r>
      <w:r w:rsidR="00537523">
        <w:rPr>
          <w:rFonts w:ascii="Verdana" w:hAnsi="Verdana"/>
          <w:sz w:val="20"/>
          <w:szCs w:val="20"/>
        </w:rPr>
        <w:t>]</w:t>
      </w:r>
      <w:proofErr w:type="spellStart"/>
      <w:r w:rsidR="00386535" w:rsidRPr="00B97FF3">
        <w:rPr>
          <w:rFonts w:ascii="Verdana" w:hAnsi="Verdana"/>
          <w:sz w:val="20"/>
          <w:szCs w:val="20"/>
        </w:rPr>
        <w:t>stos</w:t>
      </w:r>
      <w:proofErr w:type="spellEnd"/>
      <w:r w:rsidR="00386535" w:rsidRPr="00B97FF3">
        <w:rPr>
          <w:rFonts w:ascii="Verdana" w:hAnsi="Verdana"/>
          <w:sz w:val="20"/>
          <w:szCs w:val="20"/>
        </w:rPr>
        <w:t xml:space="preserve"> se realizarán a través del Ministerio de Justicia”</w:t>
      </w:r>
      <w:r w:rsidR="00F205E3" w:rsidRPr="00B97FF3">
        <w:rPr>
          <w:rFonts w:ascii="Verdana" w:hAnsi="Verdana"/>
          <w:sz w:val="20"/>
          <w:szCs w:val="20"/>
        </w:rPr>
        <w:t xml:space="preserve">. </w:t>
      </w:r>
      <w:r w:rsidR="003E1BD2" w:rsidRPr="00B97FF3">
        <w:rPr>
          <w:rFonts w:ascii="Verdana" w:hAnsi="Verdana"/>
          <w:sz w:val="20"/>
          <w:szCs w:val="20"/>
        </w:rPr>
        <w:t>El Estado reconoció el retraso en los pagos</w:t>
      </w:r>
      <w:r w:rsidR="009B633C" w:rsidRPr="00B97FF3">
        <w:rPr>
          <w:rFonts w:ascii="Verdana" w:hAnsi="Verdana"/>
          <w:sz w:val="20"/>
          <w:szCs w:val="20"/>
        </w:rPr>
        <w:t xml:space="preserve"> así como que “algunos estudiantes abandonan el sistema”,</w:t>
      </w:r>
      <w:r w:rsidR="003E1BD2" w:rsidRPr="00B97FF3">
        <w:rPr>
          <w:rFonts w:ascii="Verdana" w:hAnsi="Verdana"/>
          <w:sz w:val="20"/>
          <w:szCs w:val="20"/>
        </w:rPr>
        <w:t xml:space="preserve"> y afirmó que “</w:t>
      </w:r>
      <w:r w:rsidR="003E1BD2" w:rsidRPr="00B97FF3">
        <w:rPr>
          <w:rFonts w:ascii="Verdana" w:hAnsi="Verdana" w:cs="Times New Roman"/>
          <w:color w:val="080708"/>
          <w:sz w:val="20"/>
          <w:szCs w:val="20"/>
        </w:rPr>
        <w:t>hay aspectos prácticos en el sistema de becas chileno que no hacen posible cambiar [</w:t>
      </w:r>
      <w:r w:rsidR="005C006E" w:rsidRPr="00B97FF3">
        <w:rPr>
          <w:rFonts w:ascii="Verdana" w:hAnsi="Verdana" w:cs="Times New Roman"/>
          <w:color w:val="080708"/>
          <w:sz w:val="20"/>
          <w:szCs w:val="20"/>
        </w:rPr>
        <w:t>…su</w:t>
      </w:r>
      <w:r w:rsidR="003E1BD2" w:rsidRPr="00B97FF3">
        <w:rPr>
          <w:rFonts w:ascii="Verdana" w:hAnsi="Verdana" w:cs="Times New Roman"/>
          <w:color w:val="080708"/>
          <w:sz w:val="20"/>
          <w:szCs w:val="20"/>
        </w:rPr>
        <w:t>] modalidad [retroactiva]”</w:t>
      </w:r>
      <w:r w:rsidR="003E1BD2">
        <w:rPr>
          <w:rStyle w:val="Refdenotaalpie"/>
          <w:rFonts w:ascii="Verdana" w:hAnsi="Verdana"/>
          <w:sz w:val="20"/>
          <w:szCs w:val="20"/>
        </w:rPr>
        <w:footnoteReference w:id="67"/>
      </w:r>
      <w:r w:rsidR="003E1BD2" w:rsidRPr="00B97FF3">
        <w:rPr>
          <w:rFonts w:ascii="Verdana" w:hAnsi="Verdana" w:cs="Times New Roman"/>
          <w:color w:val="080708"/>
          <w:sz w:val="20"/>
          <w:szCs w:val="20"/>
        </w:rPr>
        <w:t xml:space="preserve">. </w:t>
      </w:r>
      <w:r w:rsidRPr="00B97FF3">
        <w:rPr>
          <w:rFonts w:ascii="Verdana" w:hAnsi="Verdana"/>
          <w:sz w:val="20"/>
          <w:szCs w:val="20"/>
        </w:rPr>
        <w:t>S</w:t>
      </w:r>
      <w:r w:rsidR="003E1BD2" w:rsidRPr="00B97FF3">
        <w:rPr>
          <w:rFonts w:ascii="Verdana" w:hAnsi="Verdana"/>
          <w:sz w:val="20"/>
          <w:szCs w:val="20"/>
        </w:rPr>
        <w:t>eñaló que, para subsanar</w:t>
      </w:r>
      <w:r w:rsidRPr="00B97FF3">
        <w:rPr>
          <w:rFonts w:ascii="Verdana" w:hAnsi="Verdana"/>
          <w:sz w:val="20"/>
          <w:szCs w:val="20"/>
        </w:rPr>
        <w:t xml:space="preserve"> el retraso</w:t>
      </w:r>
      <w:r w:rsidR="003E1BD2" w:rsidRPr="00B97FF3">
        <w:rPr>
          <w:rFonts w:ascii="Verdana" w:hAnsi="Verdana"/>
          <w:sz w:val="20"/>
          <w:szCs w:val="20"/>
        </w:rPr>
        <w:t>, “ha creado un protocolo que permit</w:t>
      </w:r>
      <w:r w:rsidR="00466347" w:rsidRPr="00B97FF3">
        <w:rPr>
          <w:rFonts w:ascii="Verdana" w:hAnsi="Verdana"/>
          <w:sz w:val="20"/>
          <w:szCs w:val="20"/>
        </w:rPr>
        <w:t>a</w:t>
      </w:r>
      <w:r w:rsidR="003E1BD2" w:rsidRPr="00B97FF3">
        <w:rPr>
          <w:rFonts w:ascii="Verdana" w:hAnsi="Verdana"/>
          <w:sz w:val="20"/>
          <w:szCs w:val="20"/>
        </w:rPr>
        <w:t xml:space="preserve"> agilizar los tiempos administrativos de las distintas secretarías de Estado que intervienen en el proceso”. </w:t>
      </w:r>
    </w:p>
    <w:p w14:paraId="329F21F1" w14:textId="77777777" w:rsidR="003E1BD2" w:rsidRDefault="003E1BD2" w:rsidP="0011029F">
      <w:pPr>
        <w:pStyle w:val="Prrafodelista"/>
        <w:suppressLineNumbers/>
        <w:autoSpaceDE w:val="0"/>
        <w:autoSpaceDN w:val="0"/>
        <w:adjustRightInd w:val="0"/>
        <w:spacing w:after="0" w:line="240" w:lineRule="auto"/>
        <w:ind w:left="0"/>
        <w:jc w:val="both"/>
        <w:rPr>
          <w:rFonts w:ascii="Verdana" w:hAnsi="Verdana"/>
          <w:sz w:val="20"/>
          <w:szCs w:val="20"/>
        </w:rPr>
      </w:pPr>
    </w:p>
    <w:p w14:paraId="4A8052A2" w14:textId="5FA5E108" w:rsidR="00720957" w:rsidRPr="00332050" w:rsidRDefault="004714C1" w:rsidP="0011029F">
      <w:pPr>
        <w:pStyle w:val="Prrafodelista"/>
        <w:numPr>
          <w:ilvl w:val="0"/>
          <w:numId w:val="5"/>
        </w:numPr>
        <w:suppressLineNumbers/>
        <w:spacing w:after="0" w:line="240" w:lineRule="auto"/>
        <w:ind w:left="0" w:firstLine="0"/>
        <w:jc w:val="both"/>
        <w:rPr>
          <w:rFonts w:ascii="Verdana" w:hAnsi="Verdana"/>
          <w:sz w:val="20"/>
          <w:szCs w:val="20"/>
        </w:rPr>
      </w:pPr>
      <w:r w:rsidRPr="00332050">
        <w:rPr>
          <w:rFonts w:ascii="Verdana" w:hAnsi="Verdana"/>
          <w:sz w:val="20"/>
          <w:szCs w:val="20"/>
        </w:rPr>
        <w:t>Los representantes reiteraron que la modalidad retroactiva y “la incertidumbre en la fecha de los pagos” dificulta</w:t>
      </w:r>
      <w:r w:rsidR="00D84A16" w:rsidRPr="00332050">
        <w:rPr>
          <w:rFonts w:ascii="Verdana" w:hAnsi="Verdana"/>
          <w:sz w:val="20"/>
          <w:szCs w:val="20"/>
        </w:rPr>
        <w:t>n</w:t>
      </w:r>
      <w:r w:rsidRPr="00332050">
        <w:rPr>
          <w:rFonts w:ascii="Verdana" w:hAnsi="Verdana"/>
          <w:sz w:val="20"/>
          <w:szCs w:val="20"/>
        </w:rPr>
        <w:t xml:space="preserve"> la continuidad de los estudios por parte de los beneficiarios, “quienes muchas veces tienen que endeudarse para financiar [su educación]”. </w:t>
      </w:r>
      <w:r w:rsidR="008B456A">
        <w:rPr>
          <w:rFonts w:ascii="Verdana" w:hAnsi="Verdana"/>
          <w:sz w:val="20"/>
          <w:szCs w:val="20"/>
        </w:rPr>
        <w:t>T</w:t>
      </w:r>
      <w:r w:rsidRPr="00332050">
        <w:rPr>
          <w:rFonts w:ascii="Verdana" w:hAnsi="Verdana"/>
          <w:sz w:val="20"/>
          <w:szCs w:val="20"/>
        </w:rPr>
        <w:t xml:space="preserve">ambién manifestaron la necesidad de que el Estado </w:t>
      </w:r>
      <w:r w:rsidR="001847F7">
        <w:rPr>
          <w:rFonts w:ascii="Verdana" w:hAnsi="Verdana"/>
          <w:sz w:val="20"/>
          <w:szCs w:val="20"/>
        </w:rPr>
        <w:t>establezca</w:t>
      </w:r>
      <w:r w:rsidRPr="00332050">
        <w:rPr>
          <w:rFonts w:ascii="Verdana" w:hAnsi="Verdana"/>
          <w:sz w:val="20"/>
          <w:szCs w:val="20"/>
        </w:rPr>
        <w:t xml:space="preserve"> “un </w:t>
      </w:r>
      <w:r w:rsidR="001847F7">
        <w:rPr>
          <w:rFonts w:ascii="Verdana" w:hAnsi="Verdana"/>
          <w:sz w:val="20"/>
          <w:szCs w:val="20"/>
        </w:rPr>
        <w:t>criterio diferencial</w:t>
      </w:r>
      <w:r w:rsidRPr="00332050">
        <w:rPr>
          <w:rFonts w:ascii="Verdana" w:hAnsi="Verdana"/>
          <w:sz w:val="20"/>
          <w:szCs w:val="20"/>
        </w:rPr>
        <w:t>” que incorpore “un mecanismo rápido</w:t>
      </w:r>
      <w:r w:rsidR="001847F7">
        <w:rPr>
          <w:rFonts w:ascii="Verdana" w:hAnsi="Verdana"/>
          <w:sz w:val="20"/>
          <w:szCs w:val="20"/>
        </w:rPr>
        <w:t xml:space="preserve"> </w:t>
      </w:r>
      <w:r w:rsidRPr="00332050">
        <w:rPr>
          <w:rFonts w:ascii="Verdana" w:hAnsi="Verdana"/>
          <w:sz w:val="20"/>
          <w:szCs w:val="20"/>
        </w:rPr>
        <w:t>[…] que no sea burocrático” para garantizar “una real reparación”</w:t>
      </w:r>
      <w:r w:rsidR="00110CED">
        <w:rPr>
          <w:rStyle w:val="Refdenotaalpie"/>
          <w:rFonts w:ascii="Verdana" w:hAnsi="Verdana"/>
          <w:sz w:val="20"/>
          <w:szCs w:val="20"/>
        </w:rPr>
        <w:footnoteReference w:id="68"/>
      </w:r>
      <w:r w:rsidRPr="00332050">
        <w:rPr>
          <w:rFonts w:ascii="Verdana" w:hAnsi="Verdana"/>
          <w:sz w:val="20"/>
          <w:szCs w:val="20"/>
        </w:rPr>
        <w:t xml:space="preserve">. </w:t>
      </w:r>
      <w:r w:rsidR="00720957" w:rsidRPr="00332050">
        <w:rPr>
          <w:rFonts w:ascii="Verdana" w:hAnsi="Verdana"/>
          <w:sz w:val="20"/>
          <w:szCs w:val="20"/>
        </w:rPr>
        <w:t xml:space="preserve">La Comisión afirmó que el pago retroactivo impone a las familias “una carga que corresponde al Estado asumir”, por lo cual es necesario que “garantice las partidas presupuestales y la entrega efectiva y previsible de los montos de las becas”. </w:t>
      </w:r>
    </w:p>
    <w:p w14:paraId="294AFF73" w14:textId="77777777" w:rsidR="00720957" w:rsidRPr="00720957" w:rsidRDefault="00720957" w:rsidP="0011029F">
      <w:pPr>
        <w:pStyle w:val="Prrafodelista"/>
        <w:suppressLineNumbers/>
        <w:rPr>
          <w:rFonts w:ascii="Verdana" w:hAnsi="Verdana"/>
          <w:sz w:val="20"/>
          <w:szCs w:val="20"/>
        </w:rPr>
      </w:pPr>
    </w:p>
    <w:p w14:paraId="01FB79E6" w14:textId="309F2939" w:rsidR="00B8581C" w:rsidRDefault="00110CED" w:rsidP="0011029F">
      <w:pPr>
        <w:pStyle w:val="Prrafodelista"/>
        <w:numPr>
          <w:ilvl w:val="0"/>
          <w:numId w:val="5"/>
        </w:numPr>
        <w:suppressLineNumbers/>
        <w:spacing w:after="0" w:line="240" w:lineRule="auto"/>
        <w:ind w:left="0" w:firstLine="0"/>
        <w:jc w:val="both"/>
        <w:rPr>
          <w:rFonts w:ascii="Verdana" w:hAnsi="Verdana"/>
          <w:sz w:val="20"/>
          <w:szCs w:val="20"/>
        </w:rPr>
      </w:pPr>
      <w:r>
        <w:rPr>
          <w:rFonts w:ascii="Verdana" w:hAnsi="Verdana"/>
          <w:sz w:val="20"/>
          <w:szCs w:val="20"/>
        </w:rPr>
        <w:t>Al respecto, l</w:t>
      </w:r>
      <w:r w:rsidR="006D1675" w:rsidRPr="00B8581C">
        <w:rPr>
          <w:rFonts w:ascii="Verdana" w:hAnsi="Verdana"/>
          <w:sz w:val="20"/>
          <w:szCs w:val="20"/>
        </w:rPr>
        <w:t>a Corte</w:t>
      </w:r>
      <w:r w:rsidR="002B2D9F">
        <w:rPr>
          <w:rFonts w:ascii="Verdana" w:hAnsi="Verdana"/>
          <w:sz w:val="20"/>
          <w:szCs w:val="20"/>
        </w:rPr>
        <w:t xml:space="preserve"> reitera lo indicado</w:t>
      </w:r>
      <w:r w:rsidR="006D1675" w:rsidRPr="00B8581C">
        <w:rPr>
          <w:rFonts w:ascii="Verdana" w:hAnsi="Verdana"/>
          <w:sz w:val="20"/>
          <w:szCs w:val="20"/>
        </w:rPr>
        <w:t xml:space="preserve"> en la Resolución de 2018,</w:t>
      </w:r>
      <w:r w:rsidR="004D5BAC">
        <w:rPr>
          <w:rFonts w:ascii="Verdana" w:hAnsi="Verdana"/>
          <w:sz w:val="20"/>
          <w:szCs w:val="20"/>
        </w:rPr>
        <w:t xml:space="preserve"> </w:t>
      </w:r>
      <w:r w:rsidR="002B2D9F">
        <w:rPr>
          <w:rFonts w:ascii="Verdana" w:hAnsi="Verdana"/>
          <w:sz w:val="20"/>
          <w:szCs w:val="20"/>
        </w:rPr>
        <w:t xml:space="preserve">respecto a </w:t>
      </w:r>
      <w:r w:rsidR="006D1675" w:rsidRPr="00B8581C">
        <w:rPr>
          <w:rFonts w:ascii="Verdana" w:hAnsi="Verdana"/>
          <w:sz w:val="20"/>
          <w:szCs w:val="20"/>
        </w:rPr>
        <w:t xml:space="preserve">que, </w:t>
      </w:r>
      <w:r w:rsidR="004D5BAC">
        <w:rPr>
          <w:rFonts w:ascii="Verdana" w:hAnsi="Verdana"/>
          <w:sz w:val="20"/>
          <w:szCs w:val="20"/>
        </w:rPr>
        <w:t>“</w:t>
      </w:r>
      <w:r w:rsidR="006D1675" w:rsidRPr="00B8581C">
        <w:rPr>
          <w:rFonts w:ascii="Verdana" w:hAnsi="Verdana"/>
          <w:sz w:val="20"/>
          <w:szCs w:val="20"/>
        </w:rPr>
        <w:t>para garantizar el efecto útil de la reparación ordenada,</w:t>
      </w:r>
      <w:r w:rsidR="00E04152" w:rsidRPr="00B8581C">
        <w:rPr>
          <w:rFonts w:ascii="Verdana" w:hAnsi="Verdana"/>
          <w:sz w:val="20"/>
          <w:szCs w:val="20"/>
        </w:rPr>
        <w:t xml:space="preserve"> </w:t>
      </w:r>
      <w:r w:rsidR="006D1675" w:rsidRPr="00B8581C">
        <w:rPr>
          <w:rFonts w:ascii="Verdana" w:hAnsi="Verdana"/>
          <w:sz w:val="20"/>
          <w:szCs w:val="20"/>
        </w:rPr>
        <w:t>el Estado debería garantizar que los beneficiarios cuenten con recursos necesarios, previo al</w:t>
      </w:r>
      <w:r w:rsidR="00E04152" w:rsidRPr="00B8581C">
        <w:rPr>
          <w:rFonts w:ascii="Verdana" w:hAnsi="Verdana"/>
          <w:sz w:val="20"/>
          <w:szCs w:val="20"/>
        </w:rPr>
        <w:t xml:space="preserve"> </w:t>
      </w:r>
      <w:r w:rsidR="006D1675" w:rsidRPr="00B8581C">
        <w:rPr>
          <w:rFonts w:ascii="Verdana" w:hAnsi="Verdana"/>
          <w:sz w:val="20"/>
          <w:szCs w:val="20"/>
        </w:rPr>
        <w:t>inicio del curso lectivo, para asegurar que podrán cubrir los costos que se generen durante</w:t>
      </w:r>
      <w:r w:rsidR="00E04152" w:rsidRPr="00B8581C">
        <w:rPr>
          <w:rFonts w:ascii="Verdana" w:hAnsi="Verdana"/>
          <w:sz w:val="20"/>
          <w:szCs w:val="20"/>
        </w:rPr>
        <w:t xml:space="preserve"> el mismo”</w:t>
      </w:r>
      <w:r w:rsidR="002B2D9F">
        <w:rPr>
          <w:rFonts w:ascii="Verdana" w:hAnsi="Verdana"/>
          <w:sz w:val="20"/>
          <w:szCs w:val="20"/>
        </w:rPr>
        <w:t>. E</w:t>
      </w:r>
      <w:r w:rsidR="00021322">
        <w:rPr>
          <w:rFonts w:ascii="Verdana" w:hAnsi="Verdana"/>
          <w:sz w:val="20"/>
          <w:szCs w:val="20"/>
        </w:rPr>
        <w:t>ste</w:t>
      </w:r>
      <w:r w:rsidR="002B2D9F">
        <w:rPr>
          <w:rFonts w:ascii="Verdana" w:hAnsi="Verdana"/>
          <w:sz w:val="20"/>
          <w:szCs w:val="20"/>
        </w:rPr>
        <w:t xml:space="preserve"> Tribunal agregó que </w:t>
      </w:r>
      <w:r w:rsidR="00E04152" w:rsidRPr="00B8581C">
        <w:rPr>
          <w:rFonts w:ascii="Verdana" w:hAnsi="Verdana"/>
          <w:sz w:val="20"/>
          <w:szCs w:val="20"/>
        </w:rPr>
        <w:t>“</w:t>
      </w:r>
      <w:r w:rsidR="002B2D9F">
        <w:rPr>
          <w:rFonts w:ascii="Verdana" w:hAnsi="Verdana"/>
          <w:sz w:val="20"/>
          <w:szCs w:val="20"/>
        </w:rPr>
        <w:t>considera</w:t>
      </w:r>
      <w:r w:rsidR="006D1675" w:rsidRPr="00B8581C">
        <w:rPr>
          <w:rFonts w:ascii="Verdana" w:hAnsi="Verdana"/>
          <w:sz w:val="20"/>
          <w:szCs w:val="20"/>
        </w:rPr>
        <w:t xml:space="preserve"> adecuado que</w:t>
      </w:r>
      <w:r w:rsidR="002B2D9F">
        <w:rPr>
          <w:rFonts w:ascii="Verdana" w:hAnsi="Verdana"/>
          <w:sz w:val="20"/>
          <w:szCs w:val="20"/>
        </w:rPr>
        <w:t>, en adelante</w:t>
      </w:r>
      <w:r w:rsidR="006D1675" w:rsidRPr="00B8581C">
        <w:rPr>
          <w:rFonts w:ascii="Verdana" w:hAnsi="Verdana"/>
          <w:sz w:val="20"/>
          <w:szCs w:val="20"/>
        </w:rPr>
        <w:t>, el Estado procure</w:t>
      </w:r>
      <w:r w:rsidR="002B2D9F">
        <w:rPr>
          <w:rFonts w:ascii="Verdana" w:hAnsi="Verdana"/>
          <w:sz w:val="20"/>
          <w:szCs w:val="20"/>
        </w:rPr>
        <w:t xml:space="preserve">, para el </w:t>
      </w:r>
      <w:r w:rsidR="002B2D9F">
        <w:rPr>
          <w:rFonts w:ascii="Verdana" w:hAnsi="Verdana"/>
          <w:sz w:val="20"/>
          <w:szCs w:val="20"/>
        </w:rPr>
        <w:lastRenderedPageBreak/>
        <w:t xml:space="preserve">cumplimiento de esta reparación, </w:t>
      </w:r>
      <w:r w:rsidR="006D1675" w:rsidRPr="00B8581C">
        <w:rPr>
          <w:rFonts w:ascii="Verdana" w:hAnsi="Verdana"/>
          <w:sz w:val="20"/>
          <w:szCs w:val="20"/>
        </w:rPr>
        <w:t>que el otorgamiento de becas se realice de una forma tal que no implique un esfuerzo económico previo por parte de las víctimas y/o sus hijos e hijas, ni acarree demoras en la recepción de las mismas, para que éstos tengan certeza de que podrán continuar con sus estudios”</w:t>
      </w:r>
      <w:r w:rsidR="00E04152">
        <w:rPr>
          <w:rStyle w:val="Refdenotaalpie"/>
          <w:rFonts w:ascii="Verdana" w:hAnsi="Verdana"/>
          <w:sz w:val="20"/>
          <w:szCs w:val="20"/>
        </w:rPr>
        <w:footnoteReference w:id="69"/>
      </w:r>
      <w:r w:rsidR="006D1675" w:rsidRPr="00B8581C">
        <w:rPr>
          <w:rFonts w:ascii="Verdana" w:hAnsi="Verdana"/>
          <w:sz w:val="20"/>
          <w:szCs w:val="20"/>
        </w:rPr>
        <w:t xml:space="preserve">. </w:t>
      </w:r>
    </w:p>
    <w:p w14:paraId="47C13BF5" w14:textId="77777777" w:rsidR="00B8581C" w:rsidRPr="00B8581C" w:rsidRDefault="00B8581C" w:rsidP="0011029F">
      <w:pPr>
        <w:pStyle w:val="Prrafodelista"/>
        <w:suppressLineNumbers/>
        <w:rPr>
          <w:rFonts w:ascii="Verdana" w:hAnsi="Verdana"/>
          <w:sz w:val="20"/>
          <w:szCs w:val="20"/>
        </w:rPr>
      </w:pPr>
    </w:p>
    <w:p w14:paraId="1921585A" w14:textId="76924170" w:rsidR="00616775" w:rsidRDefault="009B633C"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Pr>
          <w:rFonts w:ascii="Verdana" w:hAnsi="Verdana"/>
          <w:sz w:val="20"/>
          <w:szCs w:val="20"/>
        </w:rPr>
        <w:t>Este</w:t>
      </w:r>
      <w:r w:rsidR="00616775" w:rsidRPr="003F05BC">
        <w:rPr>
          <w:rFonts w:ascii="Verdana" w:hAnsi="Verdana"/>
          <w:sz w:val="20"/>
          <w:szCs w:val="20"/>
        </w:rPr>
        <w:t xml:space="preserve"> Tribunal estima relevante recordar que la obligación de cumplir lo dispuesto en sus decisiones corresponde a un principio básico del derecho sobre la responsabilidad internacional del Estado, respaldado por la jurisprudencia internacional, según el cual los Estados deben cumplir sus obligaciones convencionales internacionales de buena fe (</w:t>
      </w:r>
      <w:r w:rsidR="00616775" w:rsidRPr="003F05BC">
        <w:rPr>
          <w:rFonts w:ascii="Verdana" w:hAnsi="Verdana"/>
          <w:i/>
          <w:sz w:val="20"/>
          <w:szCs w:val="20"/>
        </w:rPr>
        <w:t xml:space="preserve">pacta sunt </w:t>
      </w:r>
      <w:proofErr w:type="spellStart"/>
      <w:r w:rsidR="00616775" w:rsidRPr="003F05BC">
        <w:rPr>
          <w:rFonts w:ascii="Verdana" w:hAnsi="Verdana"/>
          <w:i/>
          <w:sz w:val="20"/>
          <w:szCs w:val="20"/>
        </w:rPr>
        <w:t>servanda</w:t>
      </w:r>
      <w:proofErr w:type="spellEnd"/>
      <w:r w:rsidR="00616775" w:rsidRPr="003F05BC">
        <w:rPr>
          <w:rFonts w:ascii="Verdana" w:hAnsi="Verdana"/>
          <w:sz w:val="20"/>
          <w:szCs w:val="20"/>
        </w:rPr>
        <w:t>) y no pueden por razones de orden interno dejar de asumir la responsabilidad internacional ya establecida</w:t>
      </w:r>
      <w:r w:rsidR="00616775" w:rsidRPr="003F05BC">
        <w:rPr>
          <w:rStyle w:val="Refdenotaalpie"/>
          <w:rFonts w:ascii="Verdana" w:hAnsi="Verdana"/>
          <w:sz w:val="20"/>
          <w:szCs w:val="20"/>
        </w:rPr>
        <w:footnoteReference w:id="70"/>
      </w:r>
      <w:r w:rsidR="00616775" w:rsidRPr="003F05BC">
        <w:rPr>
          <w:rFonts w:ascii="Verdana" w:hAnsi="Verdana"/>
          <w:sz w:val="20"/>
          <w:szCs w:val="20"/>
        </w:rPr>
        <w:t>.</w:t>
      </w:r>
    </w:p>
    <w:p w14:paraId="1E6E4C4A" w14:textId="77777777" w:rsidR="003F05BC" w:rsidRPr="003F05BC" w:rsidRDefault="003F05BC" w:rsidP="0011029F">
      <w:pPr>
        <w:pStyle w:val="Prrafodelista"/>
        <w:suppressLineNumbers/>
        <w:rPr>
          <w:rFonts w:ascii="Verdana" w:hAnsi="Verdana"/>
          <w:sz w:val="20"/>
          <w:szCs w:val="20"/>
        </w:rPr>
      </w:pPr>
    </w:p>
    <w:p w14:paraId="7852E1B1" w14:textId="71011D53" w:rsidR="0022649F" w:rsidRDefault="000331A8"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F64879">
        <w:rPr>
          <w:rFonts w:ascii="Verdana" w:hAnsi="Verdana"/>
          <w:sz w:val="20"/>
          <w:szCs w:val="20"/>
        </w:rPr>
        <w:t>La Corte valora que el Estado ha realizado acciones dirigidas a garantizar una prestación educativa a las víctimas y a sus hijos e hijas</w:t>
      </w:r>
      <w:r w:rsidR="00EC0312" w:rsidRPr="00F64879">
        <w:rPr>
          <w:rFonts w:ascii="Verdana" w:hAnsi="Verdana"/>
          <w:sz w:val="20"/>
          <w:szCs w:val="20"/>
        </w:rPr>
        <w:t xml:space="preserve">. </w:t>
      </w:r>
      <w:r w:rsidRPr="00F64879">
        <w:rPr>
          <w:rFonts w:ascii="Verdana" w:hAnsi="Verdana"/>
          <w:sz w:val="20"/>
          <w:szCs w:val="20"/>
        </w:rPr>
        <w:t xml:space="preserve">No obstante, advierte que la modalidad retroactiva junto con la demora en la cancelación de dichos pagos </w:t>
      </w:r>
      <w:r w:rsidR="009B633C" w:rsidRPr="00F64879">
        <w:rPr>
          <w:rFonts w:ascii="Verdana" w:hAnsi="Verdana"/>
          <w:sz w:val="20"/>
          <w:szCs w:val="20"/>
        </w:rPr>
        <w:t>(</w:t>
      </w:r>
      <w:r w:rsidR="009B633C" w:rsidRPr="00F64879">
        <w:rPr>
          <w:rFonts w:ascii="Verdana" w:hAnsi="Verdana"/>
          <w:i/>
          <w:sz w:val="20"/>
          <w:szCs w:val="20"/>
        </w:rPr>
        <w:t>supra</w:t>
      </w:r>
      <w:r w:rsidR="009B633C" w:rsidRPr="00F64879">
        <w:rPr>
          <w:rFonts w:ascii="Verdana" w:hAnsi="Verdana"/>
          <w:sz w:val="20"/>
          <w:szCs w:val="20"/>
        </w:rPr>
        <w:t xml:space="preserve"> Considerando</w:t>
      </w:r>
      <w:r w:rsidR="00CE045A">
        <w:rPr>
          <w:rFonts w:ascii="Verdana" w:hAnsi="Verdana"/>
          <w:sz w:val="20"/>
          <w:szCs w:val="20"/>
        </w:rPr>
        <w:t>s 3</w:t>
      </w:r>
      <w:r w:rsidR="00EB7ACD">
        <w:rPr>
          <w:rFonts w:ascii="Verdana" w:hAnsi="Verdana"/>
          <w:sz w:val="20"/>
          <w:szCs w:val="20"/>
        </w:rPr>
        <w:t xml:space="preserve">7 </w:t>
      </w:r>
      <w:r w:rsidR="00CE045A">
        <w:rPr>
          <w:rFonts w:ascii="Verdana" w:hAnsi="Verdana"/>
          <w:sz w:val="20"/>
          <w:szCs w:val="20"/>
        </w:rPr>
        <w:t>y</w:t>
      </w:r>
      <w:r w:rsidR="009B633C" w:rsidRPr="00F64879">
        <w:rPr>
          <w:rFonts w:ascii="Verdana" w:hAnsi="Verdana"/>
          <w:sz w:val="20"/>
          <w:szCs w:val="20"/>
        </w:rPr>
        <w:t xml:space="preserve"> </w:t>
      </w:r>
      <w:r w:rsidR="000C7A9E" w:rsidRPr="00F64879">
        <w:rPr>
          <w:rFonts w:ascii="Verdana" w:hAnsi="Verdana"/>
          <w:sz w:val="20"/>
          <w:szCs w:val="20"/>
        </w:rPr>
        <w:t>3</w:t>
      </w:r>
      <w:r w:rsidR="00EB7ACD">
        <w:rPr>
          <w:rFonts w:ascii="Verdana" w:hAnsi="Verdana"/>
          <w:sz w:val="20"/>
          <w:szCs w:val="20"/>
        </w:rPr>
        <w:t>8</w:t>
      </w:r>
      <w:r w:rsidR="009B633C" w:rsidRPr="00F64879">
        <w:rPr>
          <w:rFonts w:ascii="Verdana" w:hAnsi="Verdana"/>
          <w:sz w:val="20"/>
          <w:szCs w:val="20"/>
        </w:rPr>
        <w:t xml:space="preserve">) </w:t>
      </w:r>
      <w:r w:rsidR="000C36CF" w:rsidRPr="00F64879">
        <w:rPr>
          <w:rFonts w:ascii="Verdana" w:hAnsi="Verdana"/>
          <w:sz w:val="20"/>
          <w:szCs w:val="20"/>
        </w:rPr>
        <w:t xml:space="preserve">constituyen barreras significativas en </w:t>
      </w:r>
      <w:r w:rsidR="00DE7F67" w:rsidRPr="00F64879">
        <w:rPr>
          <w:rFonts w:ascii="Verdana" w:hAnsi="Verdana"/>
          <w:sz w:val="20"/>
          <w:szCs w:val="20"/>
        </w:rPr>
        <w:t xml:space="preserve">la efectividad de la reparación </w:t>
      </w:r>
      <w:r w:rsidR="000C36CF" w:rsidRPr="00F64879">
        <w:rPr>
          <w:rFonts w:ascii="Verdana" w:hAnsi="Verdana"/>
          <w:sz w:val="20"/>
          <w:szCs w:val="20"/>
        </w:rPr>
        <w:t xml:space="preserve">y desvirtúan la finalidad de la </w:t>
      </w:r>
      <w:r w:rsidR="00DE7F67" w:rsidRPr="00F64879">
        <w:rPr>
          <w:rFonts w:ascii="Verdana" w:hAnsi="Verdana"/>
          <w:sz w:val="20"/>
          <w:szCs w:val="20"/>
        </w:rPr>
        <w:t>misma</w:t>
      </w:r>
      <w:r w:rsidR="000C36CF" w:rsidRPr="00F64879">
        <w:rPr>
          <w:rFonts w:ascii="Verdana" w:hAnsi="Verdana"/>
          <w:sz w:val="20"/>
          <w:szCs w:val="20"/>
        </w:rPr>
        <w:t>.</w:t>
      </w:r>
      <w:r w:rsidR="009B633C" w:rsidRPr="00F64879">
        <w:rPr>
          <w:rFonts w:ascii="Verdana" w:hAnsi="Verdana"/>
          <w:sz w:val="20"/>
          <w:szCs w:val="20"/>
        </w:rPr>
        <w:t xml:space="preserve"> </w:t>
      </w:r>
      <w:r w:rsidR="00386535" w:rsidRPr="00F64879">
        <w:rPr>
          <w:rFonts w:ascii="Verdana" w:hAnsi="Verdana"/>
          <w:sz w:val="20"/>
          <w:szCs w:val="20"/>
        </w:rPr>
        <w:t>Asimismo, considera necesario obtener mayor información respecto a la necesidad y posibilidad de aumentar los montos de los rubros de las becas</w:t>
      </w:r>
      <w:r w:rsidR="00C43AC0">
        <w:rPr>
          <w:rFonts w:ascii="Verdana" w:hAnsi="Verdana"/>
          <w:sz w:val="20"/>
          <w:szCs w:val="20"/>
        </w:rPr>
        <w:t>,</w:t>
      </w:r>
      <w:r w:rsidR="00F64879" w:rsidRPr="00F64879">
        <w:rPr>
          <w:rFonts w:ascii="Verdana" w:hAnsi="Verdana"/>
          <w:sz w:val="20"/>
          <w:szCs w:val="20"/>
        </w:rPr>
        <w:t xml:space="preserve"> así como respecto de las previsiones normativas relativas a la sostenibilidad en el tiempo de las asignaciones presupuestarias </w:t>
      </w:r>
      <w:r w:rsidR="00F64879">
        <w:rPr>
          <w:rFonts w:ascii="Verdana" w:hAnsi="Verdana"/>
          <w:sz w:val="20"/>
          <w:szCs w:val="20"/>
        </w:rPr>
        <w:t>destinadas a tal efecto</w:t>
      </w:r>
      <w:r w:rsidR="00386535" w:rsidRPr="00F64879">
        <w:rPr>
          <w:rFonts w:ascii="Verdana" w:hAnsi="Verdana"/>
          <w:sz w:val="20"/>
          <w:szCs w:val="20"/>
        </w:rPr>
        <w:t>, atendiendo a lo manifestado por los representantes (</w:t>
      </w:r>
      <w:r w:rsidR="00386535" w:rsidRPr="00F64879">
        <w:rPr>
          <w:rFonts w:ascii="Verdana" w:hAnsi="Verdana"/>
          <w:i/>
          <w:sz w:val="20"/>
          <w:szCs w:val="20"/>
        </w:rPr>
        <w:t>supra</w:t>
      </w:r>
      <w:r w:rsidR="00386535" w:rsidRPr="00F64879">
        <w:rPr>
          <w:rFonts w:ascii="Verdana" w:hAnsi="Verdana"/>
          <w:sz w:val="20"/>
          <w:szCs w:val="20"/>
        </w:rPr>
        <w:t xml:space="preserve"> Considerando</w:t>
      </w:r>
      <w:r w:rsidR="00CE045A">
        <w:rPr>
          <w:rFonts w:ascii="Verdana" w:hAnsi="Verdana"/>
          <w:sz w:val="20"/>
          <w:szCs w:val="20"/>
        </w:rPr>
        <w:t xml:space="preserve"> 3</w:t>
      </w:r>
      <w:r w:rsidR="00EB7ACD">
        <w:rPr>
          <w:rFonts w:ascii="Verdana" w:hAnsi="Verdana"/>
          <w:sz w:val="20"/>
          <w:szCs w:val="20"/>
        </w:rPr>
        <w:t>8</w:t>
      </w:r>
      <w:r w:rsidR="00CE045A">
        <w:rPr>
          <w:rFonts w:ascii="Verdana" w:hAnsi="Verdana"/>
          <w:sz w:val="20"/>
          <w:szCs w:val="20"/>
        </w:rPr>
        <w:t xml:space="preserve"> e </w:t>
      </w:r>
      <w:r w:rsidR="00CE045A" w:rsidRPr="00CE045A">
        <w:rPr>
          <w:rFonts w:ascii="Verdana" w:hAnsi="Verdana"/>
          <w:i/>
          <w:sz w:val="20"/>
          <w:szCs w:val="20"/>
        </w:rPr>
        <w:t>infra</w:t>
      </w:r>
      <w:r w:rsidR="00CE045A">
        <w:rPr>
          <w:rFonts w:ascii="Verdana" w:hAnsi="Verdana"/>
          <w:sz w:val="20"/>
          <w:szCs w:val="20"/>
        </w:rPr>
        <w:t xml:space="preserve"> Considerando 42</w:t>
      </w:r>
      <w:r w:rsidR="00386535" w:rsidRPr="00F64879">
        <w:rPr>
          <w:rFonts w:ascii="Verdana" w:hAnsi="Verdana"/>
          <w:sz w:val="20"/>
          <w:szCs w:val="20"/>
        </w:rPr>
        <w:t xml:space="preserve">). </w:t>
      </w:r>
    </w:p>
    <w:p w14:paraId="17AC75C0" w14:textId="77777777" w:rsidR="00F64879" w:rsidRPr="00F64879" w:rsidRDefault="00F64879" w:rsidP="0011029F">
      <w:pPr>
        <w:pStyle w:val="Prrafodelista"/>
        <w:suppressLineNumbers/>
        <w:rPr>
          <w:rFonts w:ascii="Verdana" w:hAnsi="Verdana"/>
          <w:sz w:val="20"/>
          <w:szCs w:val="20"/>
        </w:rPr>
      </w:pPr>
    </w:p>
    <w:p w14:paraId="0E15C3E2" w14:textId="77777777" w:rsidR="00D063A3" w:rsidRPr="00D063A3" w:rsidRDefault="00386535"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cs="Arial"/>
          <w:sz w:val="20"/>
          <w:szCs w:val="20"/>
        </w:rPr>
      </w:pPr>
      <w:r>
        <w:rPr>
          <w:rFonts w:ascii="Verdana" w:hAnsi="Verdana"/>
          <w:sz w:val="20"/>
        </w:rPr>
        <w:t>Por otra parte, e</w:t>
      </w:r>
      <w:r w:rsidR="00D93C4A" w:rsidRPr="00D93C4A">
        <w:rPr>
          <w:rFonts w:ascii="Verdana" w:hAnsi="Verdana"/>
          <w:sz w:val="20"/>
        </w:rPr>
        <w:t>n virtud de la naturaleza de la medida ordenada, el Tribunal estima relevante precisar que no requiere supervisar este tipo de medida por un tiempo indefinido, si el Estado prueba con seguridad jurídica que continuará brindando, de forma oportuna</w:t>
      </w:r>
      <w:r w:rsidR="00DE7F67">
        <w:rPr>
          <w:rFonts w:ascii="Verdana" w:hAnsi="Verdana"/>
          <w:sz w:val="20"/>
        </w:rPr>
        <w:t xml:space="preserve"> y efectiva</w:t>
      </w:r>
      <w:r w:rsidR="00D93C4A" w:rsidRPr="00D93C4A">
        <w:rPr>
          <w:rFonts w:ascii="Verdana" w:hAnsi="Verdana"/>
          <w:sz w:val="20"/>
        </w:rPr>
        <w:t xml:space="preserve">, de acuerdo a los parámetros fijados en la Sentencia, las becas educativas a todas las víctimas y a sus hijos </w:t>
      </w:r>
      <w:r w:rsidR="00E10D98">
        <w:rPr>
          <w:rFonts w:ascii="Verdana" w:hAnsi="Verdana"/>
          <w:sz w:val="20"/>
        </w:rPr>
        <w:t xml:space="preserve">e hijas </w:t>
      </w:r>
      <w:r w:rsidR="00D93C4A" w:rsidRPr="00D93C4A">
        <w:rPr>
          <w:rFonts w:ascii="Verdana" w:hAnsi="Verdana"/>
          <w:sz w:val="20"/>
        </w:rPr>
        <w:t xml:space="preserve">que las hayan solicitado, hasta la finalización de sus estudios, respectivamente.  </w:t>
      </w:r>
    </w:p>
    <w:p w14:paraId="233B5CD3" w14:textId="77777777" w:rsidR="00D063A3" w:rsidRPr="00D063A3" w:rsidRDefault="00D063A3" w:rsidP="0011029F">
      <w:pPr>
        <w:pStyle w:val="Prrafodelista"/>
        <w:suppressLineNumbers/>
        <w:rPr>
          <w:rFonts w:ascii="Verdana" w:hAnsi="Verdana" w:cs="Times New Roman"/>
          <w:sz w:val="20"/>
          <w:szCs w:val="20"/>
        </w:rPr>
      </w:pPr>
    </w:p>
    <w:p w14:paraId="74A84EAC" w14:textId="535781B5" w:rsidR="00D063A3" w:rsidRPr="00D063A3" w:rsidRDefault="00E65BEE"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cs="Arial"/>
          <w:sz w:val="20"/>
          <w:szCs w:val="20"/>
        </w:rPr>
      </w:pPr>
      <w:r>
        <w:rPr>
          <w:rFonts w:ascii="Verdana" w:hAnsi="Verdana" w:cs="Times New Roman"/>
          <w:sz w:val="20"/>
          <w:szCs w:val="20"/>
        </w:rPr>
        <w:t>Si bien</w:t>
      </w:r>
      <w:r w:rsidR="00377285" w:rsidRPr="00D063A3">
        <w:rPr>
          <w:rFonts w:ascii="Verdana" w:hAnsi="Verdana" w:cs="Times New Roman"/>
          <w:sz w:val="20"/>
          <w:szCs w:val="20"/>
        </w:rPr>
        <w:t xml:space="preserve"> el Estado sostuvo que la Resolución Exenta N° 3343 de 2018 (</w:t>
      </w:r>
      <w:r w:rsidR="00377285" w:rsidRPr="00D063A3">
        <w:rPr>
          <w:rFonts w:ascii="Verdana" w:hAnsi="Verdana" w:cs="Times New Roman"/>
          <w:i/>
          <w:sz w:val="20"/>
          <w:szCs w:val="20"/>
        </w:rPr>
        <w:t>supra</w:t>
      </w:r>
      <w:r w:rsidR="00377285" w:rsidRPr="00D063A3">
        <w:rPr>
          <w:rFonts w:ascii="Verdana" w:hAnsi="Verdana" w:cs="Times New Roman"/>
          <w:sz w:val="20"/>
          <w:szCs w:val="20"/>
        </w:rPr>
        <w:t xml:space="preserve"> Considerando </w:t>
      </w:r>
      <w:r w:rsidR="00CE045A">
        <w:rPr>
          <w:rFonts w:ascii="Verdana" w:hAnsi="Verdana" w:cs="Times New Roman"/>
          <w:sz w:val="20"/>
          <w:szCs w:val="20"/>
        </w:rPr>
        <w:t>3</w:t>
      </w:r>
      <w:r w:rsidR="005A1CF8">
        <w:rPr>
          <w:rFonts w:ascii="Verdana" w:hAnsi="Verdana" w:cs="Times New Roman"/>
          <w:sz w:val="20"/>
          <w:szCs w:val="20"/>
        </w:rPr>
        <w:t>4</w:t>
      </w:r>
      <w:r w:rsidR="00377285" w:rsidRPr="00D063A3">
        <w:rPr>
          <w:rFonts w:ascii="Verdana" w:hAnsi="Verdana" w:cs="Times New Roman"/>
          <w:sz w:val="20"/>
          <w:szCs w:val="20"/>
        </w:rPr>
        <w:t xml:space="preserve">) “asegura a los beneficiarios la continuidad del beneficio”, </w:t>
      </w:r>
      <w:r w:rsidR="00D063A3" w:rsidRPr="00D063A3">
        <w:rPr>
          <w:rFonts w:ascii="Verdana" w:hAnsi="Verdana" w:cs="Times New Roman"/>
          <w:sz w:val="20"/>
          <w:szCs w:val="20"/>
        </w:rPr>
        <w:t xml:space="preserve">los representantes manifestaron su preocupación por la alegada inexistencia de </w:t>
      </w:r>
      <w:r w:rsidR="00D063A3" w:rsidRPr="00D063A3">
        <w:rPr>
          <w:rFonts w:ascii="Verdana" w:hAnsi="Verdana" w:cs="Arial"/>
          <w:sz w:val="20"/>
          <w:szCs w:val="20"/>
        </w:rPr>
        <w:t>“un instrumento legal (Ley)</w:t>
      </w:r>
      <w:r w:rsidR="00D063A3" w:rsidRPr="00D063A3">
        <w:rPr>
          <w:rFonts w:ascii="Verdana" w:hAnsi="Verdana" w:cs="Calisto MT"/>
          <w:sz w:val="20"/>
          <w:szCs w:val="20"/>
        </w:rPr>
        <w:t xml:space="preserve"> que permita tener seguridad a futuro y no dependa de un </w:t>
      </w:r>
      <w:r w:rsidR="00D063A3">
        <w:rPr>
          <w:rFonts w:ascii="Verdana" w:hAnsi="Verdana" w:cs="Calisto MT"/>
          <w:sz w:val="20"/>
          <w:szCs w:val="20"/>
        </w:rPr>
        <w:t xml:space="preserve">gobierno de turno”, </w:t>
      </w:r>
      <w:r w:rsidR="00662432">
        <w:rPr>
          <w:rFonts w:ascii="Verdana" w:hAnsi="Verdana" w:cs="Calisto MT"/>
          <w:sz w:val="20"/>
          <w:szCs w:val="20"/>
        </w:rPr>
        <w:t xml:space="preserve">de modo que se garantice </w:t>
      </w:r>
      <w:r w:rsidR="00D063A3">
        <w:rPr>
          <w:rFonts w:ascii="Verdana" w:hAnsi="Verdana" w:cs="Calisto MT"/>
          <w:sz w:val="20"/>
          <w:szCs w:val="20"/>
        </w:rPr>
        <w:t xml:space="preserve">que el </w:t>
      </w:r>
      <w:r w:rsidR="00D063A3" w:rsidRPr="00D063A3">
        <w:rPr>
          <w:rFonts w:ascii="Verdana" w:hAnsi="Verdana" w:cs="Arial"/>
          <w:sz w:val="20"/>
          <w:szCs w:val="20"/>
        </w:rPr>
        <w:t>programa va a continuar hasta la conclusión de los estudios superiores de los y las beneficiarios/as</w:t>
      </w:r>
      <w:r w:rsidR="00662432">
        <w:rPr>
          <w:rFonts w:ascii="Verdana" w:hAnsi="Verdana" w:cs="Arial"/>
          <w:sz w:val="20"/>
          <w:szCs w:val="20"/>
        </w:rPr>
        <w:t>, de conformidad con lo ordenado en la Sentencia</w:t>
      </w:r>
      <w:r w:rsidR="00D063A3">
        <w:rPr>
          <w:rFonts w:ascii="Verdana" w:hAnsi="Verdana" w:cs="Arial"/>
          <w:sz w:val="20"/>
          <w:szCs w:val="20"/>
        </w:rPr>
        <w:t>.</w:t>
      </w:r>
      <w:r w:rsidR="00D063A3" w:rsidRPr="00D063A3">
        <w:rPr>
          <w:rFonts w:ascii="Verdana" w:hAnsi="Verdana" w:cs="Arial"/>
          <w:b/>
          <w:sz w:val="20"/>
          <w:szCs w:val="20"/>
        </w:rPr>
        <w:t xml:space="preserve"> </w:t>
      </w:r>
      <w:r w:rsidR="00D063A3">
        <w:rPr>
          <w:rFonts w:ascii="Verdana" w:hAnsi="Verdana" w:cs="Arial"/>
          <w:sz w:val="20"/>
          <w:szCs w:val="20"/>
        </w:rPr>
        <w:t xml:space="preserve">La Corte estima necesario que el Estado brinde una explicación al respecto, atendiendo a las referidas objeciones de los representantes. </w:t>
      </w:r>
    </w:p>
    <w:p w14:paraId="75195E41" w14:textId="5164506B" w:rsidR="00D93C4A" w:rsidRPr="00377285" w:rsidRDefault="00D93C4A" w:rsidP="0011029F">
      <w:pPr>
        <w:pStyle w:val="Prrafodelista"/>
        <w:suppressLineNumbers/>
        <w:autoSpaceDE w:val="0"/>
        <w:autoSpaceDN w:val="0"/>
        <w:adjustRightInd w:val="0"/>
        <w:spacing w:after="0" w:line="240" w:lineRule="auto"/>
        <w:ind w:left="0"/>
        <w:jc w:val="both"/>
        <w:rPr>
          <w:rFonts w:ascii="Verdana" w:hAnsi="Verdana"/>
          <w:sz w:val="18"/>
          <w:szCs w:val="20"/>
        </w:rPr>
      </w:pPr>
    </w:p>
    <w:p w14:paraId="1B94B852" w14:textId="5DC00D20" w:rsidR="00C73C5D" w:rsidRDefault="00D93C4A"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D20C63">
        <w:rPr>
          <w:rFonts w:ascii="Verdana" w:hAnsi="Verdana"/>
          <w:sz w:val="20"/>
          <w:szCs w:val="20"/>
        </w:rPr>
        <w:t>Con base en lo expuesto, la Corte considera que el Estado ha dado cumplimiento parcial a la medida ordenada en el punto dispositivo décimo noveno de la Sentencia, relativa a otorgar becas de estudio a las víctimas y a los hijos de éstas que así lo soliciten</w:t>
      </w:r>
      <w:r w:rsidR="00CE6FA9">
        <w:rPr>
          <w:rFonts w:ascii="Verdana" w:hAnsi="Verdana"/>
          <w:sz w:val="20"/>
          <w:szCs w:val="20"/>
        </w:rPr>
        <w:t xml:space="preserve">, y le solicita que para continuar con el cumplimiento de la </w:t>
      </w:r>
      <w:r w:rsidR="00DE7F67">
        <w:rPr>
          <w:rFonts w:ascii="Verdana" w:hAnsi="Verdana"/>
          <w:sz w:val="20"/>
          <w:szCs w:val="20"/>
        </w:rPr>
        <w:t>misma</w:t>
      </w:r>
      <w:r w:rsidR="00CE6FA9">
        <w:rPr>
          <w:rFonts w:ascii="Verdana" w:hAnsi="Verdana"/>
          <w:sz w:val="20"/>
          <w:szCs w:val="20"/>
        </w:rPr>
        <w:t xml:space="preserve"> tome en cuenta lo indicado en los Considerandos</w:t>
      </w:r>
      <w:r w:rsidR="00CE045A">
        <w:rPr>
          <w:rFonts w:ascii="Verdana" w:hAnsi="Verdana"/>
          <w:sz w:val="20"/>
          <w:szCs w:val="20"/>
        </w:rPr>
        <w:t xml:space="preserve"> 3</w:t>
      </w:r>
      <w:r w:rsidR="00662432">
        <w:rPr>
          <w:rFonts w:ascii="Verdana" w:hAnsi="Verdana"/>
          <w:sz w:val="20"/>
          <w:szCs w:val="20"/>
        </w:rPr>
        <w:t>5</w:t>
      </w:r>
      <w:r w:rsidR="00CE045A">
        <w:rPr>
          <w:rFonts w:ascii="Verdana" w:hAnsi="Verdana"/>
          <w:sz w:val="20"/>
          <w:szCs w:val="20"/>
        </w:rPr>
        <w:t xml:space="preserve"> y 3</w:t>
      </w:r>
      <w:r w:rsidR="00662432">
        <w:rPr>
          <w:rFonts w:ascii="Verdana" w:hAnsi="Verdana"/>
          <w:sz w:val="20"/>
          <w:szCs w:val="20"/>
        </w:rPr>
        <w:t>6</w:t>
      </w:r>
      <w:r w:rsidR="00CE6FA9">
        <w:rPr>
          <w:rFonts w:ascii="Verdana" w:hAnsi="Verdana"/>
          <w:sz w:val="20"/>
          <w:szCs w:val="20"/>
        </w:rPr>
        <w:t xml:space="preserve"> y aporte la información requerida en los Considerandos </w:t>
      </w:r>
      <w:r w:rsidR="00CE045A">
        <w:rPr>
          <w:rFonts w:ascii="Verdana" w:hAnsi="Verdana"/>
          <w:sz w:val="20"/>
          <w:szCs w:val="20"/>
        </w:rPr>
        <w:t>3</w:t>
      </w:r>
      <w:r w:rsidR="00662432">
        <w:rPr>
          <w:rFonts w:ascii="Verdana" w:hAnsi="Verdana"/>
          <w:sz w:val="20"/>
          <w:szCs w:val="20"/>
        </w:rPr>
        <w:t>2</w:t>
      </w:r>
      <w:r w:rsidR="00CE045A">
        <w:rPr>
          <w:rFonts w:ascii="Verdana" w:hAnsi="Verdana"/>
          <w:sz w:val="20"/>
          <w:szCs w:val="20"/>
        </w:rPr>
        <w:t>, 3</w:t>
      </w:r>
      <w:r w:rsidR="00662432">
        <w:rPr>
          <w:rFonts w:ascii="Verdana" w:hAnsi="Verdana"/>
          <w:sz w:val="20"/>
          <w:szCs w:val="20"/>
        </w:rPr>
        <w:t>3, 36</w:t>
      </w:r>
      <w:r w:rsidR="00CE045A">
        <w:rPr>
          <w:rFonts w:ascii="Verdana" w:hAnsi="Verdana"/>
          <w:sz w:val="20"/>
          <w:szCs w:val="20"/>
        </w:rPr>
        <w:t>, 4</w:t>
      </w:r>
      <w:r w:rsidR="00662432">
        <w:rPr>
          <w:rFonts w:ascii="Verdana" w:hAnsi="Verdana"/>
          <w:sz w:val="20"/>
          <w:szCs w:val="20"/>
        </w:rPr>
        <w:t>1,</w:t>
      </w:r>
      <w:r w:rsidR="00CE045A">
        <w:rPr>
          <w:rFonts w:ascii="Verdana" w:hAnsi="Verdana"/>
          <w:sz w:val="20"/>
          <w:szCs w:val="20"/>
        </w:rPr>
        <w:t xml:space="preserve"> 42</w:t>
      </w:r>
      <w:r w:rsidR="00662432">
        <w:rPr>
          <w:rFonts w:ascii="Verdana" w:hAnsi="Verdana"/>
          <w:sz w:val="20"/>
          <w:szCs w:val="20"/>
        </w:rPr>
        <w:t xml:space="preserve"> y 43</w:t>
      </w:r>
      <w:r w:rsidR="00DE7F67">
        <w:rPr>
          <w:rFonts w:ascii="Verdana" w:hAnsi="Verdana"/>
          <w:sz w:val="20"/>
          <w:szCs w:val="20"/>
        </w:rPr>
        <w:t xml:space="preserve">, así como que </w:t>
      </w:r>
      <w:r w:rsidR="00E70BE5" w:rsidRPr="00D20C63">
        <w:rPr>
          <w:rFonts w:ascii="Verdana" w:hAnsi="Verdana"/>
          <w:sz w:val="20"/>
          <w:szCs w:val="20"/>
        </w:rPr>
        <w:t xml:space="preserve">informe </w:t>
      </w:r>
      <w:r w:rsidR="000E165C" w:rsidRPr="00D20C63">
        <w:rPr>
          <w:rFonts w:ascii="Verdana" w:hAnsi="Verdana"/>
          <w:sz w:val="20"/>
          <w:szCs w:val="20"/>
        </w:rPr>
        <w:t xml:space="preserve">los pagos efectuados </w:t>
      </w:r>
      <w:r w:rsidR="000E165C" w:rsidRPr="00D20C63">
        <w:rPr>
          <w:rFonts w:ascii="Verdana" w:hAnsi="Verdana"/>
          <w:sz w:val="20"/>
          <w:szCs w:val="20"/>
        </w:rPr>
        <w:lastRenderedPageBreak/>
        <w:t xml:space="preserve">correspondientes a los períodos lectivos de 2019 y 2020 y que aclare si queda algún pago pendiente. </w:t>
      </w:r>
    </w:p>
    <w:p w14:paraId="4A627E84" w14:textId="77777777" w:rsidR="00D20C63" w:rsidRDefault="00D20C63" w:rsidP="0011029F">
      <w:pPr>
        <w:pStyle w:val="Prrafodelista"/>
        <w:suppressLineNumbers/>
        <w:autoSpaceDE w:val="0"/>
        <w:autoSpaceDN w:val="0"/>
        <w:adjustRightInd w:val="0"/>
        <w:spacing w:after="0" w:line="240" w:lineRule="auto"/>
        <w:ind w:left="0"/>
        <w:jc w:val="both"/>
        <w:rPr>
          <w:rFonts w:ascii="Verdana" w:hAnsi="Verdana"/>
          <w:sz w:val="20"/>
          <w:szCs w:val="20"/>
        </w:rPr>
      </w:pPr>
    </w:p>
    <w:p w14:paraId="2316470E" w14:textId="77777777" w:rsidR="00D20C63" w:rsidRPr="00D20C63" w:rsidRDefault="00D20C63" w:rsidP="0011029F">
      <w:pPr>
        <w:pStyle w:val="Prrafodelista"/>
        <w:suppressLineNumbers/>
        <w:autoSpaceDE w:val="0"/>
        <w:autoSpaceDN w:val="0"/>
        <w:adjustRightInd w:val="0"/>
        <w:spacing w:after="0" w:line="240" w:lineRule="auto"/>
        <w:ind w:left="0"/>
        <w:jc w:val="both"/>
        <w:rPr>
          <w:rFonts w:ascii="Verdana" w:hAnsi="Verdana"/>
          <w:sz w:val="20"/>
          <w:szCs w:val="20"/>
        </w:rPr>
      </w:pPr>
    </w:p>
    <w:p w14:paraId="05145D0E" w14:textId="4ACDA359" w:rsidR="0048542E" w:rsidRPr="00F45DDD" w:rsidRDefault="0048542E" w:rsidP="0011029F">
      <w:pPr>
        <w:pStyle w:val="Prrafodelista"/>
        <w:numPr>
          <w:ilvl w:val="0"/>
          <w:numId w:val="3"/>
        </w:numPr>
        <w:suppressLineNumbers/>
        <w:spacing w:after="0" w:line="240" w:lineRule="auto"/>
        <w:ind w:left="0" w:firstLine="0"/>
        <w:jc w:val="both"/>
        <w:outlineLvl w:val="0"/>
        <w:rPr>
          <w:rFonts w:ascii="Verdana" w:hAnsi="Verdana"/>
          <w:b/>
          <w:i/>
          <w:sz w:val="20"/>
          <w:szCs w:val="20"/>
        </w:rPr>
      </w:pPr>
      <w:bookmarkStart w:id="3" w:name="_Toc66258560"/>
      <w:r w:rsidRPr="00F45DDD">
        <w:rPr>
          <w:rFonts w:ascii="Verdana" w:hAnsi="Verdana"/>
          <w:b/>
          <w:i/>
          <w:sz w:val="20"/>
          <w:szCs w:val="20"/>
        </w:rPr>
        <w:t>Regular la medida procesal de protección de testigos relativa a la reserva de identidad</w:t>
      </w:r>
      <w:bookmarkEnd w:id="3"/>
    </w:p>
    <w:p w14:paraId="4E00667F" w14:textId="47F5B026" w:rsidR="0048542E" w:rsidRPr="0048542E" w:rsidRDefault="0048542E" w:rsidP="0011029F">
      <w:pPr>
        <w:suppressLineNumbers/>
        <w:spacing w:after="0" w:line="240" w:lineRule="auto"/>
        <w:jc w:val="both"/>
        <w:rPr>
          <w:rFonts w:ascii="Verdana" w:hAnsi="Verdana"/>
          <w:sz w:val="20"/>
          <w:szCs w:val="20"/>
        </w:rPr>
      </w:pPr>
    </w:p>
    <w:p w14:paraId="37737B45" w14:textId="40E3FFA7" w:rsidR="0048542E" w:rsidRPr="00E20688" w:rsidRDefault="0048542E" w:rsidP="00DF1272">
      <w:pPr>
        <w:suppressLineNumbers/>
        <w:spacing w:after="0" w:line="240" w:lineRule="auto"/>
        <w:ind w:left="708"/>
        <w:jc w:val="both"/>
        <w:rPr>
          <w:rFonts w:ascii="Verdana" w:hAnsi="Verdana"/>
          <w:i/>
          <w:sz w:val="20"/>
          <w:szCs w:val="20"/>
        </w:rPr>
      </w:pPr>
      <w:r w:rsidRPr="00714109">
        <w:rPr>
          <w:rFonts w:ascii="Verdana" w:hAnsi="Verdana"/>
          <w:i/>
          <w:sz w:val="20"/>
          <w:szCs w:val="20"/>
        </w:rPr>
        <w:t>D.1. Medida ordenada por la Corte</w:t>
      </w:r>
      <w:r w:rsidR="00E20688" w:rsidRPr="00714109">
        <w:rPr>
          <w:rFonts w:ascii="Verdana" w:hAnsi="Verdana"/>
          <w:i/>
          <w:sz w:val="20"/>
          <w:szCs w:val="20"/>
        </w:rPr>
        <w:t xml:space="preserve"> </w:t>
      </w:r>
      <w:r w:rsidR="00E20688" w:rsidRPr="00363216">
        <w:rPr>
          <w:rFonts w:ascii="Verdana" w:hAnsi="Verdana"/>
          <w:i/>
          <w:sz w:val="20"/>
          <w:szCs w:val="20"/>
        </w:rPr>
        <w:t>y supervisión realizada en la resolución anterior</w:t>
      </w:r>
      <w:r w:rsidR="00E20688">
        <w:rPr>
          <w:rFonts w:ascii="Verdana" w:hAnsi="Verdana"/>
          <w:i/>
          <w:sz w:val="20"/>
          <w:szCs w:val="20"/>
        </w:rPr>
        <w:t xml:space="preserve"> </w:t>
      </w:r>
    </w:p>
    <w:p w14:paraId="54107B0A" w14:textId="2F9E2E50" w:rsidR="0048542E" w:rsidRPr="00E20688" w:rsidRDefault="0048542E" w:rsidP="0011029F">
      <w:pPr>
        <w:suppressLineNumbers/>
        <w:spacing w:after="0" w:line="240" w:lineRule="auto"/>
        <w:jc w:val="both"/>
        <w:rPr>
          <w:rFonts w:ascii="Verdana" w:hAnsi="Verdana"/>
          <w:i/>
          <w:sz w:val="20"/>
          <w:szCs w:val="20"/>
        </w:rPr>
      </w:pPr>
    </w:p>
    <w:p w14:paraId="0F719DA3" w14:textId="1A9CDFB4" w:rsidR="00981474" w:rsidRPr="00363216" w:rsidRDefault="00981474" w:rsidP="0011029F">
      <w:pPr>
        <w:pStyle w:val="Prrafodelista"/>
        <w:numPr>
          <w:ilvl w:val="0"/>
          <w:numId w:val="5"/>
        </w:numPr>
        <w:suppressLineNumbers/>
        <w:spacing w:after="0" w:line="240" w:lineRule="auto"/>
        <w:ind w:left="0" w:firstLine="0"/>
        <w:jc w:val="both"/>
        <w:rPr>
          <w:rFonts w:ascii="Verdana" w:hAnsi="Verdana"/>
          <w:sz w:val="20"/>
          <w:szCs w:val="20"/>
        </w:rPr>
      </w:pPr>
      <w:r w:rsidRPr="0048542E">
        <w:rPr>
          <w:rFonts w:ascii="Verdana" w:hAnsi="Verdana"/>
          <w:sz w:val="20"/>
          <w:szCs w:val="20"/>
        </w:rPr>
        <w:t xml:space="preserve">En el punto dispositivo vigésimo y en el párrafo 436 de la Sentencia, se dispuso que “el Estado debe regular con claridad y seguridad la medida procesal de protección de testigos relativa a la reserva de identidad, asegurando que se trate de una medida excepcional, sujeta a control judicial en base a los principios de necesidad y proporcionalidad, y que ese medio de prueba no sea utilizado en grado decisivo para fundar una condena, así como regular las correspondientes </w:t>
      </w:r>
      <w:r w:rsidRPr="00363216">
        <w:rPr>
          <w:rFonts w:ascii="Verdana" w:hAnsi="Verdana"/>
          <w:sz w:val="20"/>
          <w:szCs w:val="20"/>
        </w:rPr>
        <w:t>medidas de contrapeso que aseguren que la afectación al derecho de defensa sea suficientemente contrarrestada, de acuerdo con lo establecido en la […] Sentencia”. En el párrafo 24</w:t>
      </w:r>
      <w:r>
        <w:rPr>
          <w:rFonts w:ascii="Verdana" w:hAnsi="Verdana"/>
          <w:sz w:val="20"/>
          <w:szCs w:val="20"/>
        </w:rPr>
        <w:t>6</w:t>
      </w:r>
      <w:r w:rsidRPr="00363216">
        <w:rPr>
          <w:rFonts w:ascii="Verdana" w:hAnsi="Verdana"/>
          <w:sz w:val="20"/>
          <w:szCs w:val="20"/>
        </w:rPr>
        <w:t xml:space="preserve"> del Fallo, la Corte precisó que dichas medidas pueden incluir disposiciones tales como las siguientes “a) la autoridad judicial debe conocer la identidad del testigo y tener la posibilidad de observar su comportamiento durante el interrogatorio con el objeto de que pueda formar su propia impresión sobre la confiabilidad del testigo y de su declaración, y b) debe concederse a la defensa una amplia oportunidad de interrogar directamente al testigo en alguna de las etapas del proceso, sobre cuestiones que no estén relacionadas con su identidad o paradero actual; lo anterior con el objeto de que la defensa pueda apreciar el comportamiento del testigo bajo interrogatorio, de modo que pueda desacreditarlo o, por lo menos, plantear dudas sobre la confiabilidad de su declaración”. En los párrafos 242 a 247 del Fallo se establec</w:t>
      </w:r>
      <w:r w:rsidR="00366CD8">
        <w:rPr>
          <w:rFonts w:ascii="Verdana" w:hAnsi="Verdana"/>
          <w:sz w:val="20"/>
          <w:szCs w:val="20"/>
        </w:rPr>
        <w:t>i</w:t>
      </w:r>
      <w:r w:rsidRPr="00363216">
        <w:rPr>
          <w:rFonts w:ascii="Verdana" w:hAnsi="Verdana"/>
          <w:sz w:val="20"/>
          <w:szCs w:val="20"/>
        </w:rPr>
        <w:t>e</w:t>
      </w:r>
      <w:r w:rsidR="00366CD8">
        <w:rPr>
          <w:rFonts w:ascii="Verdana" w:hAnsi="Verdana"/>
          <w:sz w:val="20"/>
          <w:szCs w:val="20"/>
        </w:rPr>
        <w:t>ro</w:t>
      </w:r>
      <w:r w:rsidRPr="00363216">
        <w:rPr>
          <w:rFonts w:ascii="Verdana" w:hAnsi="Verdana"/>
          <w:sz w:val="20"/>
          <w:szCs w:val="20"/>
        </w:rPr>
        <w:t>n los criterios o estándares para la protección del derecho de defensa a interrogar testigos, previsto en el artículo 8.2.f) de la Convención Americana</w:t>
      </w:r>
      <w:r w:rsidRPr="00363216">
        <w:rPr>
          <w:rStyle w:val="Refdenotaalpie"/>
          <w:rFonts w:ascii="Verdana" w:hAnsi="Verdana"/>
          <w:sz w:val="20"/>
          <w:szCs w:val="20"/>
        </w:rPr>
        <w:footnoteReference w:id="71"/>
      </w:r>
      <w:r w:rsidRPr="00363216">
        <w:rPr>
          <w:rFonts w:ascii="Verdana" w:hAnsi="Verdana"/>
          <w:sz w:val="20"/>
          <w:szCs w:val="20"/>
        </w:rPr>
        <w:t xml:space="preserve">. </w:t>
      </w:r>
    </w:p>
    <w:p w14:paraId="14B9287F" w14:textId="77777777" w:rsidR="00981474" w:rsidRDefault="00981474" w:rsidP="0011029F">
      <w:pPr>
        <w:pStyle w:val="Prrafodelista"/>
        <w:suppressLineNumbers/>
        <w:spacing w:after="0" w:line="240" w:lineRule="auto"/>
        <w:ind w:left="0"/>
        <w:jc w:val="both"/>
        <w:rPr>
          <w:rFonts w:ascii="Verdana" w:hAnsi="Verdana"/>
          <w:sz w:val="20"/>
          <w:szCs w:val="20"/>
        </w:rPr>
      </w:pPr>
    </w:p>
    <w:p w14:paraId="1E533F0B" w14:textId="42ABC7E3" w:rsidR="00981474" w:rsidRPr="00222A7A" w:rsidRDefault="00981474" w:rsidP="0011029F">
      <w:pPr>
        <w:pStyle w:val="Prrafodelista"/>
        <w:numPr>
          <w:ilvl w:val="0"/>
          <w:numId w:val="5"/>
        </w:numPr>
        <w:suppressLineNumbers/>
        <w:spacing w:after="0" w:line="240" w:lineRule="auto"/>
        <w:ind w:left="0" w:firstLine="0"/>
        <w:jc w:val="both"/>
        <w:rPr>
          <w:rFonts w:ascii="Verdana" w:hAnsi="Verdana"/>
          <w:sz w:val="20"/>
          <w:szCs w:val="20"/>
        </w:rPr>
      </w:pPr>
      <w:r w:rsidRPr="00222A7A">
        <w:rPr>
          <w:rFonts w:ascii="Verdana" w:hAnsi="Verdana"/>
          <w:sz w:val="20"/>
          <w:szCs w:val="20"/>
        </w:rPr>
        <w:t xml:space="preserve">En la Resolución dictada en 2018, el Tribunal valoró los esfuerzos estatales al presentar </w:t>
      </w:r>
      <w:r w:rsidR="00A4048A">
        <w:rPr>
          <w:rFonts w:ascii="Verdana" w:hAnsi="Verdana"/>
          <w:sz w:val="20"/>
          <w:szCs w:val="20"/>
        </w:rPr>
        <w:t>dos proyectos de ley</w:t>
      </w:r>
      <w:r w:rsidRPr="00222A7A">
        <w:rPr>
          <w:rFonts w:ascii="Verdana" w:hAnsi="Verdana"/>
          <w:sz w:val="20"/>
          <w:szCs w:val="20"/>
        </w:rPr>
        <w:t xml:space="preserve"> </w:t>
      </w:r>
      <w:r w:rsidR="00A4048A">
        <w:rPr>
          <w:rFonts w:ascii="Verdana" w:hAnsi="Verdana"/>
          <w:sz w:val="20"/>
          <w:szCs w:val="20"/>
        </w:rPr>
        <w:t>en octubre y noviembre de 2014, respectivamente, dirigido</w:t>
      </w:r>
      <w:r w:rsidRPr="00222A7A">
        <w:rPr>
          <w:rFonts w:ascii="Verdana" w:hAnsi="Verdana"/>
          <w:sz w:val="20"/>
          <w:szCs w:val="20"/>
        </w:rPr>
        <w:t xml:space="preserve">s a dar cumplimiento a la presente medida de reparación. Sin embargo, manifestó su preocupación por la falta de avance de los referidos proyectos en el trámite parlamentario, así como por la falta de información sobre la adecuación de su contenido a los parámetros ordenados en la Sentencia. </w:t>
      </w:r>
    </w:p>
    <w:p w14:paraId="7AA65798" w14:textId="77777777" w:rsidR="00981474" w:rsidRDefault="00981474" w:rsidP="0011029F">
      <w:pPr>
        <w:pStyle w:val="Prrafodelista"/>
        <w:suppressLineNumbers/>
        <w:spacing w:after="0" w:line="240" w:lineRule="auto"/>
        <w:ind w:left="0"/>
        <w:jc w:val="both"/>
        <w:rPr>
          <w:rFonts w:ascii="Verdana" w:hAnsi="Verdana"/>
          <w:sz w:val="20"/>
          <w:szCs w:val="20"/>
        </w:rPr>
      </w:pPr>
    </w:p>
    <w:p w14:paraId="5A7B50D0" w14:textId="6B052A89" w:rsidR="00981474" w:rsidRPr="00F458E6" w:rsidRDefault="00981474" w:rsidP="0011029F">
      <w:pPr>
        <w:pStyle w:val="Prrafodelista"/>
        <w:suppressLineNumbers/>
        <w:spacing w:after="0" w:line="240" w:lineRule="auto"/>
        <w:ind w:left="0" w:firstLine="708"/>
        <w:jc w:val="both"/>
        <w:rPr>
          <w:rFonts w:ascii="Verdana" w:hAnsi="Verdana"/>
          <w:i/>
          <w:sz w:val="20"/>
          <w:szCs w:val="20"/>
        </w:rPr>
      </w:pPr>
      <w:r w:rsidRPr="00F458E6">
        <w:rPr>
          <w:rFonts w:ascii="Verdana" w:hAnsi="Verdana"/>
          <w:i/>
          <w:sz w:val="20"/>
          <w:szCs w:val="20"/>
        </w:rPr>
        <w:t>D.</w:t>
      </w:r>
      <w:r w:rsidR="00F82113">
        <w:rPr>
          <w:rFonts w:ascii="Verdana" w:hAnsi="Verdana"/>
          <w:i/>
          <w:sz w:val="20"/>
          <w:szCs w:val="20"/>
        </w:rPr>
        <w:t>2</w:t>
      </w:r>
      <w:r w:rsidRPr="00F458E6">
        <w:rPr>
          <w:rFonts w:ascii="Verdana" w:hAnsi="Verdana"/>
          <w:i/>
          <w:sz w:val="20"/>
          <w:szCs w:val="20"/>
        </w:rPr>
        <w:t xml:space="preserve">. Información y observaciones de las partes y de la Comisión </w:t>
      </w:r>
    </w:p>
    <w:p w14:paraId="47D8194C" w14:textId="77777777" w:rsidR="00981474" w:rsidRPr="00A32447" w:rsidRDefault="00981474" w:rsidP="0011029F">
      <w:pPr>
        <w:pStyle w:val="Prrafodelista"/>
        <w:suppressLineNumbers/>
        <w:spacing w:after="0" w:line="240" w:lineRule="auto"/>
        <w:ind w:left="0"/>
        <w:jc w:val="both"/>
        <w:rPr>
          <w:rFonts w:ascii="Verdana" w:hAnsi="Verdana"/>
          <w:sz w:val="20"/>
          <w:szCs w:val="20"/>
        </w:rPr>
      </w:pPr>
    </w:p>
    <w:p w14:paraId="484F5B5D" w14:textId="06ABB638" w:rsidR="00981474" w:rsidRPr="00A2495D" w:rsidRDefault="00981474"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cs="Times New Roman"/>
          <w:sz w:val="20"/>
          <w:szCs w:val="20"/>
        </w:rPr>
      </w:pPr>
      <w:r w:rsidRPr="00A2495D">
        <w:rPr>
          <w:rFonts w:ascii="Verdana" w:hAnsi="Verdana"/>
          <w:sz w:val="20"/>
          <w:szCs w:val="20"/>
        </w:rPr>
        <w:t>En su informe de agosto de 2019, el Estado indicó que las iniciativas legislativas comprendidas bajo el Boletín N° 9692-07 se encontraban “en primer trámite constitucional y segundo trámite reglamentario, a la espera de ser discutidas en la Comisión de Constitución, Legislación, Justicia y Reglamento del Senado”. Resaltó que los referidos proyectos de ley constituyen “una prioridad para el Presidente de la República, quien lo ha calificado con urgencia suma”.</w:t>
      </w:r>
      <w:r w:rsidRPr="00A2495D">
        <w:rPr>
          <w:rFonts w:ascii="Verdana" w:hAnsi="Verdana"/>
          <w:b/>
          <w:sz w:val="20"/>
          <w:szCs w:val="20"/>
        </w:rPr>
        <w:t xml:space="preserve"> </w:t>
      </w:r>
      <w:r w:rsidRPr="00A2495D">
        <w:rPr>
          <w:rFonts w:ascii="Verdana" w:hAnsi="Verdana"/>
          <w:sz w:val="20"/>
          <w:szCs w:val="20"/>
        </w:rPr>
        <w:t>También</w:t>
      </w:r>
      <w:r w:rsidRPr="00A2495D">
        <w:rPr>
          <w:rFonts w:ascii="Verdana" w:hAnsi="Verdana"/>
          <w:b/>
          <w:sz w:val="20"/>
          <w:szCs w:val="20"/>
        </w:rPr>
        <w:t xml:space="preserve"> </w:t>
      </w:r>
      <w:r w:rsidRPr="00A2495D">
        <w:rPr>
          <w:rFonts w:ascii="Verdana" w:hAnsi="Verdana"/>
          <w:sz w:val="20"/>
          <w:szCs w:val="20"/>
        </w:rPr>
        <w:t>precisó que, en abril de 2018, el Poder Ejecutivo “formuló una indicación sustitutiva” a los proyectos bajo discusión, mediante la cual propuso que se incorpore de forma expresa que “</w:t>
      </w:r>
      <w:r w:rsidRPr="00A2495D">
        <w:rPr>
          <w:rFonts w:ascii="Verdana" w:hAnsi="Verdana" w:cs="Times New Roman"/>
          <w:sz w:val="20"/>
          <w:szCs w:val="20"/>
        </w:rPr>
        <w:t>el tribunal no podrá condenar teniendo</w:t>
      </w:r>
      <w:r w:rsidRPr="00F458E6">
        <w:rPr>
          <w:rFonts w:ascii="Verdana" w:hAnsi="Verdana" w:cs="Times New Roman"/>
          <w:sz w:val="20"/>
          <w:szCs w:val="20"/>
        </w:rPr>
        <w:t xml:space="preserve"> como único elemento de convicción para </w:t>
      </w:r>
      <w:r w:rsidRPr="00A2495D">
        <w:rPr>
          <w:rFonts w:ascii="Verdana" w:hAnsi="Verdana" w:cs="Times New Roman"/>
          <w:sz w:val="20"/>
          <w:szCs w:val="20"/>
        </w:rPr>
        <w:t xml:space="preserve">ello la declaración </w:t>
      </w:r>
      <w:r w:rsidRPr="00A2495D">
        <w:rPr>
          <w:rFonts w:ascii="Verdana" w:hAnsi="Verdana" w:cs="Times New Roman"/>
          <w:sz w:val="20"/>
          <w:szCs w:val="20"/>
        </w:rPr>
        <w:lastRenderedPageBreak/>
        <w:t>de testigos o peritos protegidos</w:t>
      </w:r>
      <w:r w:rsidR="002E4D8B">
        <w:rPr>
          <w:rFonts w:ascii="Verdana" w:hAnsi="Verdana" w:cs="Times New Roman"/>
          <w:sz w:val="20"/>
          <w:szCs w:val="20"/>
        </w:rPr>
        <w:t>”</w:t>
      </w:r>
      <w:r w:rsidRPr="00A2495D">
        <w:rPr>
          <w:rFonts w:ascii="Verdana" w:hAnsi="Verdana" w:cs="Times New Roman"/>
          <w:sz w:val="20"/>
          <w:szCs w:val="20"/>
        </w:rPr>
        <w:t xml:space="preserve"> lo cual, de acuerdo al Estado, “asegura que el testimonio con reserva de identidad no tenga un grado decisivo en la condena</w:t>
      </w:r>
      <w:r w:rsidRPr="00A2495D">
        <w:rPr>
          <w:rFonts w:ascii="Verdana" w:hAnsi="Verdana"/>
          <w:sz w:val="20"/>
          <w:szCs w:val="20"/>
        </w:rPr>
        <w:t>”</w:t>
      </w:r>
      <w:r w:rsidRPr="00A2495D">
        <w:rPr>
          <w:rStyle w:val="Refdenotaalpie"/>
          <w:rFonts w:ascii="Verdana" w:hAnsi="Verdana"/>
          <w:sz w:val="20"/>
          <w:szCs w:val="20"/>
        </w:rPr>
        <w:footnoteReference w:id="72"/>
      </w:r>
      <w:r w:rsidRPr="00A2495D">
        <w:rPr>
          <w:rFonts w:ascii="Verdana" w:hAnsi="Verdana"/>
          <w:sz w:val="20"/>
          <w:szCs w:val="20"/>
        </w:rPr>
        <w:t xml:space="preserve">. </w:t>
      </w:r>
    </w:p>
    <w:p w14:paraId="2770E810" w14:textId="77777777" w:rsidR="00981474" w:rsidRPr="008727D1" w:rsidRDefault="00981474" w:rsidP="0011029F">
      <w:pPr>
        <w:pStyle w:val="Prrafodelista"/>
        <w:suppressLineNumbers/>
        <w:autoSpaceDE w:val="0"/>
        <w:autoSpaceDN w:val="0"/>
        <w:adjustRightInd w:val="0"/>
        <w:spacing w:after="0" w:line="240" w:lineRule="auto"/>
        <w:ind w:left="0"/>
        <w:jc w:val="both"/>
        <w:rPr>
          <w:rFonts w:ascii="Verdana" w:hAnsi="Verdana" w:cs="Times New Roman"/>
          <w:i/>
          <w:iCs/>
          <w:color w:val="090909"/>
          <w:sz w:val="20"/>
          <w:szCs w:val="20"/>
        </w:rPr>
      </w:pPr>
    </w:p>
    <w:p w14:paraId="31836928" w14:textId="77777777" w:rsidR="00981474" w:rsidRPr="008150C4" w:rsidRDefault="00981474" w:rsidP="0011029F">
      <w:pPr>
        <w:pStyle w:val="Prrafodelista"/>
        <w:numPr>
          <w:ilvl w:val="0"/>
          <w:numId w:val="5"/>
        </w:numPr>
        <w:suppressLineNumbers/>
        <w:autoSpaceDE w:val="0"/>
        <w:autoSpaceDN w:val="0"/>
        <w:adjustRightInd w:val="0"/>
        <w:spacing w:after="0" w:line="240" w:lineRule="auto"/>
        <w:ind w:left="0" w:firstLine="0"/>
        <w:jc w:val="both"/>
        <w:rPr>
          <w:rFonts w:ascii="Verdana" w:hAnsi="Verdana"/>
          <w:sz w:val="20"/>
          <w:szCs w:val="20"/>
        </w:rPr>
      </w:pPr>
      <w:r w:rsidRPr="008150C4">
        <w:rPr>
          <w:rFonts w:ascii="Verdana" w:hAnsi="Verdana"/>
          <w:sz w:val="20"/>
          <w:szCs w:val="20"/>
        </w:rPr>
        <w:t>Por otra parte, el Estado disintió de la objeción formulada por la representante Myriam Reyes en cuanto a que el texto del artículo 308 del Código Procesal Penal</w:t>
      </w:r>
      <w:r>
        <w:rPr>
          <w:rFonts w:ascii="Verdana" w:hAnsi="Verdana"/>
          <w:sz w:val="20"/>
          <w:szCs w:val="20"/>
        </w:rPr>
        <w:t>, modificado en 2016,</w:t>
      </w:r>
      <w:r w:rsidRPr="008150C4">
        <w:rPr>
          <w:rFonts w:ascii="Verdana" w:hAnsi="Verdana"/>
          <w:sz w:val="20"/>
          <w:szCs w:val="20"/>
        </w:rPr>
        <w:t xml:space="preserve"> permitiría “decretar el secreto de la identidad de uno o más testigos sin que se respeten los estándares dispuestos en la Sentencia”</w:t>
      </w:r>
      <w:r w:rsidRPr="0095285A">
        <w:rPr>
          <w:rStyle w:val="Refdenotaalpie"/>
          <w:rFonts w:ascii="Verdana" w:hAnsi="Verdana"/>
          <w:sz w:val="20"/>
          <w:szCs w:val="20"/>
        </w:rPr>
        <w:footnoteReference w:id="73"/>
      </w:r>
      <w:r w:rsidRPr="008150C4">
        <w:rPr>
          <w:rFonts w:ascii="Verdana" w:hAnsi="Verdana"/>
          <w:sz w:val="20"/>
          <w:szCs w:val="20"/>
        </w:rPr>
        <w:t>. En sentido contrario, Chile sostuvo que dicha norma “es clara en señalar que las medidas de protección sólo proceden en casos graves y calificados […con] autorización judicial” y que “[</w:t>
      </w:r>
      <w:r>
        <w:rPr>
          <w:rFonts w:ascii="Verdana" w:hAnsi="Verdana"/>
          <w:sz w:val="20"/>
          <w:szCs w:val="20"/>
        </w:rPr>
        <w:t xml:space="preserve">éstas </w:t>
      </w:r>
      <w:r w:rsidRPr="008150C4">
        <w:rPr>
          <w:rFonts w:ascii="Verdana" w:hAnsi="Verdana"/>
          <w:sz w:val="20"/>
          <w:szCs w:val="20"/>
        </w:rPr>
        <w:t>no] suponen desconocer</w:t>
      </w:r>
      <w:r w:rsidRPr="008150C4">
        <w:rPr>
          <w:rFonts w:ascii="Verdana" w:hAnsi="Verdana" w:cs="Times New Roman"/>
          <w:color w:val="090909"/>
          <w:sz w:val="20"/>
          <w:szCs w:val="20"/>
        </w:rPr>
        <w:t xml:space="preserve"> la identidad de testigo o la imposibilidad de contrainterrogarlo”</w:t>
      </w:r>
      <w:r>
        <w:rPr>
          <w:rStyle w:val="Refdenotaalpie"/>
          <w:rFonts w:ascii="Verdana" w:hAnsi="Verdana" w:cs="Times New Roman"/>
          <w:color w:val="090909"/>
          <w:sz w:val="20"/>
          <w:szCs w:val="20"/>
        </w:rPr>
        <w:footnoteReference w:id="74"/>
      </w:r>
      <w:r w:rsidRPr="008150C4">
        <w:rPr>
          <w:rFonts w:ascii="Verdana" w:hAnsi="Verdana" w:cs="Times New Roman"/>
          <w:color w:val="090909"/>
          <w:sz w:val="20"/>
          <w:szCs w:val="20"/>
        </w:rPr>
        <w:t>. Adicionalmente, el Estado explicó que los referidos estándares contemplados en el artículo 308 del Código Procesal Penal, actualmente vigente y aplicable a todo tipo de delitos, “no se mantienen en la propuesta [legislativa…] en tramitación</w:t>
      </w:r>
      <w:r>
        <w:rPr>
          <w:rFonts w:ascii="Verdana" w:hAnsi="Verdana" w:cs="Times New Roman"/>
          <w:color w:val="090909"/>
          <w:sz w:val="20"/>
          <w:szCs w:val="20"/>
        </w:rPr>
        <w:t xml:space="preserve"> que regula los delitos calificados como terroristas</w:t>
      </w:r>
      <w:r w:rsidRPr="008150C4">
        <w:rPr>
          <w:rFonts w:ascii="Verdana" w:hAnsi="Verdana" w:cs="Times New Roman"/>
          <w:color w:val="090909"/>
          <w:sz w:val="20"/>
          <w:szCs w:val="20"/>
        </w:rPr>
        <w:t>”</w:t>
      </w:r>
      <w:r>
        <w:rPr>
          <w:rStyle w:val="Refdenotaalpie"/>
          <w:rFonts w:ascii="Verdana" w:hAnsi="Verdana" w:cs="Times New Roman"/>
          <w:color w:val="090909"/>
          <w:sz w:val="20"/>
          <w:szCs w:val="20"/>
        </w:rPr>
        <w:footnoteReference w:id="75"/>
      </w:r>
      <w:r w:rsidRPr="008150C4">
        <w:rPr>
          <w:rFonts w:ascii="Verdana" w:hAnsi="Verdana" w:cs="Times New Roman"/>
          <w:color w:val="090909"/>
          <w:sz w:val="20"/>
          <w:szCs w:val="20"/>
        </w:rPr>
        <w:t>.</w:t>
      </w:r>
      <w:r w:rsidRPr="008150C4">
        <w:rPr>
          <w:rFonts w:ascii="Verdana" w:hAnsi="Verdana" w:cs="Times New Roman"/>
          <w:b/>
          <w:color w:val="090909"/>
          <w:sz w:val="20"/>
          <w:szCs w:val="20"/>
        </w:rPr>
        <w:t xml:space="preserve"> </w:t>
      </w:r>
      <w:r w:rsidRPr="00F458E6">
        <w:rPr>
          <w:rFonts w:ascii="Verdana" w:hAnsi="Verdana" w:cs="Times New Roman"/>
          <w:color w:val="090909"/>
          <w:sz w:val="20"/>
          <w:szCs w:val="20"/>
        </w:rPr>
        <w:t>A</w:t>
      </w:r>
      <w:r w:rsidRPr="008150C4">
        <w:rPr>
          <w:rFonts w:ascii="Verdana" w:hAnsi="Verdana" w:cs="Times New Roman"/>
          <w:color w:val="090909"/>
          <w:sz w:val="20"/>
          <w:szCs w:val="20"/>
        </w:rPr>
        <w:t>gregó que</w:t>
      </w:r>
      <w:r>
        <w:rPr>
          <w:rFonts w:ascii="Verdana" w:hAnsi="Verdana" w:cs="Times New Roman"/>
          <w:color w:val="090909"/>
          <w:sz w:val="20"/>
          <w:szCs w:val="20"/>
        </w:rPr>
        <w:t>, “en materia de investigación y enjuiciamiento de conductas terroristas”, “</w:t>
      </w:r>
      <w:r w:rsidRPr="008150C4">
        <w:rPr>
          <w:rFonts w:ascii="Verdana" w:hAnsi="Verdana" w:cs="Times New Roman"/>
          <w:color w:val="090909"/>
          <w:sz w:val="20"/>
          <w:szCs w:val="20"/>
        </w:rPr>
        <w:t xml:space="preserve">la regla sobre protección de testigos dispuesta </w:t>
      </w:r>
      <w:r>
        <w:rPr>
          <w:rFonts w:ascii="Verdana" w:hAnsi="Verdana" w:cs="Times New Roman"/>
          <w:color w:val="090909"/>
          <w:sz w:val="20"/>
          <w:szCs w:val="20"/>
        </w:rPr>
        <w:t>en […] la Ley N° 18.314”</w:t>
      </w:r>
      <w:r w:rsidRPr="008150C4">
        <w:rPr>
          <w:rFonts w:ascii="Verdana" w:hAnsi="Verdana" w:cs="Times New Roman"/>
          <w:color w:val="090909"/>
          <w:sz w:val="20"/>
          <w:szCs w:val="20"/>
        </w:rPr>
        <w:t xml:space="preserve"> cumple con los estándares establecidos en la Sentencia “sin perjuicio de las enmiendas que se pretenden i</w:t>
      </w:r>
      <w:r>
        <w:rPr>
          <w:rFonts w:ascii="Verdana" w:hAnsi="Verdana" w:cs="Times New Roman"/>
          <w:color w:val="090909"/>
          <w:sz w:val="20"/>
          <w:szCs w:val="20"/>
        </w:rPr>
        <w:t xml:space="preserve">ntroducir con miras a reforzar </w:t>
      </w:r>
      <w:r w:rsidRPr="008150C4">
        <w:rPr>
          <w:rFonts w:ascii="Verdana" w:hAnsi="Verdana" w:cs="Times New Roman"/>
          <w:color w:val="090909"/>
          <w:sz w:val="20"/>
          <w:szCs w:val="20"/>
        </w:rPr>
        <w:t>los criterios”</w:t>
      </w:r>
      <w:r>
        <w:rPr>
          <w:rFonts w:ascii="Verdana" w:hAnsi="Verdana" w:cs="Times New Roman"/>
          <w:color w:val="090909"/>
          <w:sz w:val="20"/>
          <w:szCs w:val="20"/>
        </w:rPr>
        <w:t xml:space="preserve"> establecidos en la misma</w:t>
      </w:r>
      <w:r w:rsidRPr="008150C4">
        <w:rPr>
          <w:rFonts w:ascii="Verdana" w:hAnsi="Verdana" w:cs="Times New Roman"/>
          <w:color w:val="090909"/>
          <w:sz w:val="20"/>
          <w:szCs w:val="20"/>
        </w:rPr>
        <w:t xml:space="preserve">. </w:t>
      </w:r>
      <w:r w:rsidRPr="008150C4">
        <w:rPr>
          <w:rFonts w:ascii="Verdana" w:hAnsi="Verdana" w:cs="Times New Roman"/>
          <w:b/>
          <w:color w:val="090909"/>
          <w:sz w:val="20"/>
          <w:szCs w:val="20"/>
        </w:rPr>
        <w:t xml:space="preserve"> </w:t>
      </w:r>
    </w:p>
    <w:p w14:paraId="1965F7FA" w14:textId="77777777" w:rsidR="00981474" w:rsidRPr="008150C4" w:rsidRDefault="00981474" w:rsidP="0011029F">
      <w:pPr>
        <w:pStyle w:val="Prrafodelista"/>
        <w:suppressLineNumbers/>
        <w:spacing w:after="0" w:line="240" w:lineRule="auto"/>
        <w:ind w:left="0"/>
        <w:rPr>
          <w:rFonts w:ascii="Verdana" w:hAnsi="Verdana"/>
          <w:sz w:val="20"/>
          <w:szCs w:val="20"/>
        </w:rPr>
      </w:pPr>
    </w:p>
    <w:p w14:paraId="77E7007E" w14:textId="77777777" w:rsidR="00981474" w:rsidRPr="00D74E68" w:rsidRDefault="00981474" w:rsidP="0011029F">
      <w:pPr>
        <w:pStyle w:val="Prrafodelista"/>
        <w:numPr>
          <w:ilvl w:val="0"/>
          <w:numId w:val="5"/>
        </w:numPr>
        <w:suppressLineNumbers/>
        <w:spacing w:after="0" w:line="240" w:lineRule="auto"/>
        <w:ind w:left="0" w:firstLine="0"/>
        <w:jc w:val="both"/>
        <w:rPr>
          <w:rFonts w:ascii="Verdana" w:hAnsi="Verdana"/>
          <w:sz w:val="20"/>
          <w:szCs w:val="20"/>
        </w:rPr>
      </w:pPr>
      <w:r w:rsidRPr="00D74E68">
        <w:rPr>
          <w:rFonts w:ascii="Verdana" w:hAnsi="Verdana"/>
          <w:sz w:val="20"/>
          <w:szCs w:val="20"/>
        </w:rPr>
        <w:t xml:space="preserve">Por su parte, la FIDH recalcó la demora del trámite legislativo y objetó la permanencia en el proyecto de ley de las disposiciones que establecen “la provisión de recursos económicos” a los testigos protegidos, lo que afectaría su credibilidad. Además, en conjunto con CEJIL y el representante Sergio Fuenzalida, manifestaron su preocupación acerca de aquellas disposiciones que “propagan el uso de testigos ocultos, peritos secretos, agentes encubiertos y agentes reveladores sin poner los correspondientes contrapesos adecuados para proteger el derecho de la defensa a interrogar testigos”. </w:t>
      </w:r>
    </w:p>
    <w:p w14:paraId="740AD755" w14:textId="77777777" w:rsidR="00981474" w:rsidRPr="00C0590E" w:rsidRDefault="00981474" w:rsidP="0011029F">
      <w:pPr>
        <w:pStyle w:val="Prrafodelista"/>
        <w:suppressLineNumbers/>
        <w:rPr>
          <w:rFonts w:ascii="Verdana" w:hAnsi="Verdana"/>
          <w:sz w:val="20"/>
          <w:szCs w:val="20"/>
        </w:rPr>
      </w:pPr>
    </w:p>
    <w:p w14:paraId="5EF3D7EE" w14:textId="702BF3E5" w:rsidR="00981474" w:rsidRDefault="00981474" w:rsidP="0011029F">
      <w:pPr>
        <w:pStyle w:val="Prrafodelista"/>
        <w:suppressLineNumbers/>
        <w:spacing w:after="0" w:line="240" w:lineRule="auto"/>
        <w:ind w:left="0" w:firstLine="708"/>
        <w:jc w:val="both"/>
        <w:rPr>
          <w:rFonts w:ascii="Verdana" w:hAnsi="Verdana"/>
          <w:i/>
          <w:sz w:val="20"/>
          <w:szCs w:val="20"/>
        </w:rPr>
      </w:pPr>
      <w:r w:rsidRPr="00267A79">
        <w:rPr>
          <w:rFonts w:ascii="Verdana" w:hAnsi="Verdana"/>
          <w:i/>
          <w:sz w:val="20"/>
          <w:szCs w:val="20"/>
        </w:rPr>
        <w:t>D.</w:t>
      </w:r>
      <w:r w:rsidR="00F82113">
        <w:rPr>
          <w:rFonts w:ascii="Verdana" w:hAnsi="Verdana"/>
          <w:i/>
          <w:sz w:val="20"/>
          <w:szCs w:val="20"/>
        </w:rPr>
        <w:t>3</w:t>
      </w:r>
      <w:r w:rsidRPr="00267A79">
        <w:rPr>
          <w:rFonts w:ascii="Verdana" w:hAnsi="Verdana"/>
          <w:i/>
          <w:sz w:val="20"/>
          <w:szCs w:val="20"/>
        </w:rPr>
        <w:t xml:space="preserve">. Consideraciones de la Corte </w:t>
      </w:r>
    </w:p>
    <w:p w14:paraId="4BAFAFA2" w14:textId="77777777" w:rsidR="00981474" w:rsidRPr="00267A79" w:rsidRDefault="00981474" w:rsidP="0011029F">
      <w:pPr>
        <w:pStyle w:val="Prrafodelista"/>
        <w:suppressLineNumbers/>
        <w:spacing w:after="0" w:line="240" w:lineRule="auto"/>
        <w:ind w:left="0"/>
        <w:jc w:val="both"/>
        <w:rPr>
          <w:rFonts w:ascii="Verdana" w:hAnsi="Verdana"/>
          <w:i/>
          <w:sz w:val="20"/>
          <w:szCs w:val="20"/>
        </w:rPr>
      </w:pPr>
    </w:p>
    <w:p w14:paraId="2DF1C274" w14:textId="3DDAC6A0" w:rsidR="00981474" w:rsidRPr="004B6979" w:rsidRDefault="00981474" w:rsidP="0011029F">
      <w:pPr>
        <w:pStyle w:val="Prrafodelista"/>
        <w:numPr>
          <w:ilvl w:val="0"/>
          <w:numId w:val="5"/>
        </w:numPr>
        <w:suppressLineNumbers/>
        <w:spacing w:after="0" w:line="240" w:lineRule="auto"/>
        <w:ind w:left="0" w:firstLine="0"/>
        <w:jc w:val="both"/>
        <w:rPr>
          <w:rFonts w:ascii="Verdana" w:hAnsi="Verdana"/>
          <w:sz w:val="20"/>
          <w:szCs w:val="20"/>
        </w:rPr>
      </w:pPr>
      <w:r w:rsidRPr="009D2608">
        <w:rPr>
          <w:rFonts w:ascii="Verdana" w:hAnsi="Verdana"/>
          <w:sz w:val="20"/>
          <w:szCs w:val="20"/>
        </w:rPr>
        <w:t>Con base en lo informado por el Est</w:t>
      </w:r>
      <w:r>
        <w:rPr>
          <w:rFonts w:ascii="Verdana" w:hAnsi="Verdana"/>
          <w:sz w:val="20"/>
          <w:szCs w:val="20"/>
        </w:rPr>
        <w:t>ado, los intervinientes comunes</w:t>
      </w:r>
      <w:r w:rsidRPr="009D2608">
        <w:rPr>
          <w:rFonts w:ascii="Verdana" w:hAnsi="Verdana"/>
          <w:sz w:val="20"/>
          <w:szCs w:val="20"/>
        </w:rPr>
        <w:t xml:space="preserve"> y la Comisión, la Corte nota que han transcurrido al menos </w:t>
      </w:r>
      <w:r w:rsidR="00A4048A">
        <w:rPr>
          <w:rFonts w:ascii="Verdana" w:hAnsi="Verdana"/>
          <w:sz w:val="20"/>
          <w:szCs w:val="20"/>
        </w:rPr>
        <w:t>seis</w:t>
      </w:r>
      <w:r w:rsidRPr="009D2608">
        <w:rPr>
          <w:rFonts w:ascii="Verdana" w:hAnsi="Verdana"/>
          <w:sz w:val="20"/>
          <w:szCs w:val="20"/>
        </w:rPr>
        <w:t xml:space="preserve"> años </w:t>
      </w:r>
      <w:r w:rsidR="00772BDC" w:rsidRPr="009D2608">
        <w:rPr>
          <w:rFonts w:ascii="Verdana" w:hAnsi="Verdana"/>
          <w:sz w:val="20"/>
          <w:szCs w:val="20"/>
        </w:rPr>
        <w:t xml:space="preserve">desde la notificación de la Sentencia </w:t>
      </w:r>
      <w:r w:rsidR="00772BDC">
        <w:rPr>
          <w:rFonts w:ascii="Verdana" w:hAnsi="Verdana"/>
          <w:sz w:val="20"/>
          <w:szCs w:val="20"/>
        </w:rPr>
        <w:t xml:space="preserve">y </w:t>
      </w:r>
      <w:r w:rsidRPr="009D2608">
        <w:rPr>
          <w:rFonts w:ascii="Verdana" w:hAnsi="Verdana"/>
          <w:sz w:val="20"/>
          <w:szCs w:val="20"/>
        </w:rPr>
        <w:t xml:space="preserve">desde que fueron presentados los proyectos de ley, sin que se evidencien </w:t>
      </w:r>
      <w:r w:rsidRPr="009D2608">
        <w:rPr>
          <w:rFonts w:ascii="Verdana" w:hAnsi="Verdana"/>
          <w:sz w:val="20"/>
          <w:szCs w:val="20"/>
        </w:rPr>
        <w:lastRenderedPageBreak/>
        <w:t xml:space="preserve">avances sustantivos en la implementación de la presente medida de reparación. Si bien el Tribunal destaca positivamente el impulso que ha realizado el Poder Ejecutivo al trámite legislativo </w:t>
      </w:r>
      <w:r w:rsidRPr="004B6979">
        <w:rPr>
          <w:rFonts w:ascii="Verdana" w:hAnsi="Verdana"/>
          <w:sz w:val="20"/>
          <w:szCs w:val="20"/>
        </w:rPr>
        <w:t>del Boletín N° 9692-07 al otorgarle la calificación de “urgencia suma” (</w:t>
      </w:r>
      <w:r w:rsidRPr="004B6979">
        <w:rPr>
          <w:rFonts w:ascii="Verdana" w:hAnsi="Verdana"/>
          <w:i/>
          <w:sz w:val="20"/>
          <w:szCs w:val="20"/>
        </w:rPr>
        <w:t xml:space="preserve">supra </w:t>
      </w:r>
      <w:r w:rsidRPr="004B6979">
        <w:rPr>
          <w:rFonts w:ascii="Verdana" w:hAnsi="Verdana"/>
          <w:sz w:val="20"/>
          <w:szCs w:val="20"/>
        </w:rPr>
        <w:t>Considerando 4</w:t>
      </w:r>
      <w:r w:rsidR="008975B0" w:rsidRPr="004B6979">
        <w:rPr>
          <w:rFonts w:ascii="Verdana" w:hAnsi="Verdana"/>
          <w:sz w:val="20"/>
          <w:szCs w:val="20"/>
        </w:rPr>
        <w:t>7</w:t>
      </w:r>
      <w:r w:rsidRPr="004B6979">
        <w:rPr>
          <w:rFonts w:ascii="Verdana" w:hAnsi="Verdana"/>
          <w:sz w:val="20"/>
          <w:szCs w:val="20"/>
        </w:rPr>
        <w:t xml:space="preserve">), continúa sin </w:t>
      </w:r>
      <w:r w:rsidR="002E4D8B">
        <w:rPr>
          <w:rFonts w:ascii="Verdana" w:hAnsi="Verdana"/>
          <w:sz w:val="20"/>
          <w:szCs w:val="20"/>
        </w:rPr>
        <w:t>tener información sobre</w:t>
      </w:r>
      <w:r w:rsidR="002E4D8B" w:rsidRPr="004B6979">
        <w:rPr>
          <w:rFonts w:ascii="Verdana" w:hAnsi="Verdana"/>
          <w:sz w:val="20"/>
          <w:szCs w:val="20"/>
        </w:rPr>
        <w:t xml:space="preserve"> </w:t>
      </w:r>
      <w:r w:rsidRPr="004B6979">
        <w:rPr>
          <w:rFonts w:ascii="Verdana" w:hAnsi="Verdana"/>
          <w:sz w:val="20"/>
          <w:szCs w:val="20"/>
        </w:rPr>
        <w:t>cuál es el estatus legislativo actualizado de la referida propuesta de reforma legal. En consecuencia, el Tribunal requiere que</w:t>
      </w:r>
      <w:r w:rsidR="00C82C5F">
        <w:rPr>
          <w:rFonts w:ascii="Verdana" w:hAnsi="Verdana"/>
          <w:sz w:val="20"/>
          <w:szCs w:val="20"/>
        </w:rPr>
        <w:t xml:space="preserve"> </w:t>
      </w:r>
      <w:r w:rsidRPr="004B6979">
        <w:rPr>
          <w:rFonts w:ascii="Verdana" w:hAnsi="Verdana"/>
          <w:sz w:val="20"/>
          <w:szCs w:val="20"/>
        </w:rPr>
        <w:t>el Estado presente información actualizada y detallada sobre el estado del referido trámite legislativo y, de continuar en proceso de discusión parlamentaria, que explique las etapas del trámite y sus respectivos plazos que se encuentran pendientes.</w:t>
      </w:r>
    </w:p>
    <w:p w14:paraId="2EBDA57F" w14:textId="77777777" w:rsidR="00981474" w:rsidRPr="004B6979" w:rsidRDefault="00981474" w:rsidP="0011029F">
      <w:pPr>
        <w:pStyle w:val="Prrafodelista"/>
        <w:suppressLineNumbers/>
        <w:spacing w:after="0" w:line="240" w:lineRule="auto"/>
        <w:ind w:left="0"/>
        <w:jc w:val="both"/>
        <w:rPr>
          <w:rFonts w:ascii="Verdana" w:hAnsi="Verdana"/>
          <w:sz w:val="20"/>
          <w:szCs w:val="20"/>
        </w:rPr>
      </w:pPr>
    </w:p>
    <w:p w14:paraId="3C82CC4F" w14:textId="77777777" w:rsidR="00981474" w:rsidRDefault="00981474" w:rsidP="0011029F">
      <w:pPr>
        <w:pStyle w:val="Prrafodelista"/>
        <w:numPr>
          <w:ilvl w:val="0"/>
          <w:numId w:val="5"/>
        </w:numPr>
        <w:suppressLineNumbers/>
        <w:spacing w:after="0" w:line="240" w:lineRule="auto"/>
        <w:ind w:left="0" w:firstLine="0"/>
        <w:jc w:val="both"/>
        <w:rPr>
          <w:rFonts w:ascii="Verdana" w:hAnsi="Verdana"/>
          <w:sz w:val="20"/>
          <w:szCs w:val="20"/>
        </w:rPr>
      </w:pPr>
      <w:r w:rsidRPr="004B6979">
        <w:rPr>
          <w:rFonts w:ascii="Verdana" w:hAnsi="Verdana"/>
          <w:sz w:val="20"/>
          <w:szCs w:val="20"/>
        </w:rPr>
        <w:t>El Tribunal recuerda que la obligación contenida en la presente medida de reparación no debe limitarse a impulsar el proyecto de ley correspondiente, sino que se debe asegurar su pronta sanción y entrada en vigor, de acuerdo con los procedimientos establecidos en el ordenamiento jurídico interno. Asimismo</w:t>
      </w:r>
      <w:r w:rsidRPr="00B0478A">
        <w:rPr>
          <w:rFonts w:ascii="Verdana" w:hAnsi="Verdana"/>
          <w:sz w:val="20"/>
          <w:szCs w:val="20"/>
        </w:rPr>
        <w:t>,</w:t>
      </w:r>
      <w:r>
        <w:rPr>
          <w:rFonts w:ascii="Verdana" w:hAnsi="Verdana"/>
          <w:sz w:val="20"/>
          <w:szCs w:val="20"/>
        </w:rPr>
        <w:t xml:space="preserve"> en la Resolución emitida en 2018, la Corte expresó que</w:t>
      </w:r>
      <w:r w:rsidRPr="00B0478A">
        <w:rPr>
          <w:rFonts w:ascii="Verdana" w:hAnsi="Verdana"/>
          <w:sz w:val="20"/>
          <w:szCs w:val="20"/>
        </w:rPr>
        <w:t xml:space="preserve"> </w:t>
      </w:r>
      <w:r>
        <w:rPr>
          <w:rFonts w:ascii="Verdana" w:hAnsi="Verdana"/>
          <w:sz w:val="20"/>
          <w:szCs w:val="20"/>
        </w:rPr>
        <w:t>“</w:t>
      </w:r>
      <w:r w:rsidRPr="00B0478A">
        <w:rPr>
          <w:rFonts w:ascii="Verdana" w:hAnsi="Verdana"/>
          <w:sz w:val="20"/>
          <w:szCs w:val="20"/>
        </w:rPr>
        <w:t>el Estado debe asegurar que el trámite legislativo no culmine con la aprobación y vigencia de normativa que no se ajuste, en el caso concreto, a lo previsto en el artículo 8.2. f) de la Convención Americana, a los estándares internacionales y/o que no cumpla a cabalidad con lo ordenado por este Tribunal</w:t>
      </w:r>
      <w:r>
        <w:rPr>
          <w:rFonts w:ascii="Verdana" w:hAnsi="Verdana"/>
          <w:sz w:val="20"/>
          <w:szCs w:val="20"/>
        </w:rPr>
        <w:t>”</w:t>
      </w:r>
      <w:r>
        <w:rPr>
          <w:rStyle w:val="Refdenotaalpie"/>
          <w:rFonts w:ascii="Verdana" w:hAnsi="Verdana"/>
          <w:sz w:val="20"/>
          <w:szCs w:val="20"/>
        </w:rPr>
        <w:footnoteReference w:id="76"/>
      </w:r>
      <w:r w:rsidRPr="00B0478A">
        <w:rPr>
          <w:rFonts w:ascii="Verdana" w:hAnsi="Verdana"/>
          <w:sz w:val="20"/>
          <w:szCs w:val="20"/>
        </w:rPr>
        <w:t xml:space="preserve">. Por esta razón, </w:t>
      </w:r>
      <w:r>
        <w:rPr>
          <w:rFonts w:ascii="Verdana" w:hAnsi="Verdana"/>
          <w:sz w:val="20"/>
          <w:szCs w:val="20"/>
        </w:rPr>
        <w:t>“</w:t>
      </w:r>
      <w:r w:rsidRPr="00B0478A">
        <w:rPr>
          <w:rFonts w:ascii="Verdana" w:hAnsi="Verdana"/>
          <w:sz w:val="20"/>
          <w:szCs w:val="20"/>
        </w:rPr>
        <w:t>es de fundamental relevancia que Chile tome en cuenta que la normativa que eventualmente apruebe debe cumplir con lo dispuesto en los párrafos 242 a 247 de la Sentencia, en relación a que la medida procesal de protección de testigos relativa a la reserva de identidad debe tratarse de una medida excepcional, sujeta a control judicial, y que no puede ser utilizado como medio de prueba en grado decisivo para fundar una condena penal, así como regular las correspondientes medidas de contrapeso para asegurar que la afectación al derecho de defensa sea suficientemente contrarrestada</w:t>
      </w:r>
      <w:r>
        <w:rPr>
          <w:rFonts w:ascii="Verdana" w:hAnsi="Verdana"/>
          <w:sz w:val="20"/>
          <w:szCs w:val="20"/>
        </w:rPr>
        <w:t>”</w:t>
      </w:r>
      <w:r>
        <w:rPr>
          <w:rStyle w:val="Refdenotaalpie"/>
          <w:rFonts w:ascii="Verdana" w:hAnsi="Verdana"/>
          <w:sz w:val="20"/>
          <w:szCs w:val="20"/>
        </w:rPr>
        <w:footnoteReference w:id="77"/>
      </w:r>
      <w:r>
        <w:rPr>
          <w:rFonts w:ascii="Verdana" w:hAnsi="Verdana"/>
          <w:sz w:val="20"/>
          <w:szCs w:val="20"/>
        </w:rPr>
        <w:t xml:space="preserve"> (</w:t>
      </w:r>
      <w:r w:rsidRPr="0074076E">
        <w:rPr>
          <w:rFonts w:ascii="Verdana" w:hAnsi="Verdana"/>
          <w:i/>
          <w:sz w:val="20"/>
          <w:szCs w:val="20"/>
        </w:rPr>
        <w:t>supra</w:t>
      </w:r>
      <w:r>
        <w:rPr>
          <w:rFonts w:ascii="Verdana" w:hAnsi="Verdana"/>
          <w:sz w:val="20"/>
          <w:szCs w:val="20"/>
        </w:rPr>
        <w:t xml:space="preserve"> Considerando 44)</w:t>
      </w:r>
      <w:r w:rsidRPr="00B0478A">
        <w:rPr>
          <w:rFonts w:ascii="Verdana" w:hAnsi="Verdana"/>
          <w:sz w:val="20"/>
          <w:szCs w:val="20"/>
        </w:rPr>
        <w:t xml:space="preserve">. </w:t>
      </w:r>
      <w:r>
        <w:rPr>
          <w:rFonts w:ascii="Verdana" w:hAnsi="Verdana"/>
          <w:sz w:val="20"/>
          <w:szCs w:val="20"/>
        </w:rPr>
        <w:t>Finalmente, este Tribunal indicó que “[u]</w:t>
      </w:r>
      <w:r w:rsidRPr="00B0478A">
        <w:rPr>
          <w:rFonts w:ascii="Verdana" w:hAnsi="Verdana"/>
          <w:sz w:val="20"/>
          <w:szCs w:val="20"/>
        </w:rPr>
        <w:t>na vez sea aprobada legalmente una normativa, la Corte evaluará si la misma se adecua a dichos estándares</w:t>
      </w:r>
      <w:r>
        <w:rPr>
          <w:rFonts w:ascii="Verdana" w:hAnsi="Verdana"/>
          <w:sz w:val="20"/>
          <w:szCs w:val="20"/>
        </w:rPr>
        <w:t>”</w:t>
      </w:r>
      <w:r w:rsidRPr="00B0478A">
        <w:rPr>
          <w:rStyle w:val="Refdenotaalpie"/>
          <w:rFonts w:ascii="Verdana" w:hAnsi="Verdana"/>
          <w:sz w:val="20"/>
          <w:szCs w:val="20"/>
        </w:rPr>
        <w:footnoteReference w:id="78"/>
      </w:r>
      <w:r w:rsidRPr="00B0478A">
        <w:rPr>
          <w:rFonts w:ascii="Verdana" w:hAnsi="Verdana"/>
          <w:sz w:val="20"/>
          <w:szCs w:val="20"/>
        </w:rPr>
        <w:t>.</w:t>
      </w:r>
    </w:p>
    <w:p w14:paraId="00E4BE02" w14:textId="77777777" w:rsidR="00981474" w:rsidRDefault="00981474" w:rsidP="0011029F">
      <w:pPr>
        <w:pStyle w:val="Prrafodelista"/>
        <w:suppressLineNumbers/>
        <w:spacing w:after="0" w:line="240" w:lineRule="auto"/>
        <w:ind w:left="0"/>
        <w:jc w:val="both"/>
        <w:rPr>
          <w:rFonts w:ascii="Verdana" w:hAnsi="Verdana"/>
          <w:sz w:val="20"/>
          <w:szCs w:val="20"/>
        </w:rPr>
      </w:pPr>
    </w:p>
    <w:p w14:paraId="6259F4E4" w14:textId="77777777" w:rsidR="00981474" w:rsidRPr="004B6979" w:rsidRDefault="00981474" w:rsidP="0011029F">
      <w:pPr>
        <w:pStyle w:val="Prrafodelista"/>
        <w:numPr>
          <w:ilvl w:val="0"/>
          <w:numId w:val="5"/>
        </w:numPr>
        <w:suppressLineNumbers/>
        <w:spacing w:after="0" w:line="240" w:lineRule="auto"/>
        <w:ind w:left="0" w:firstLine="0"/>
        <w:jc w:val="both"/>
        <w:rPr>
          <w:rFonts w:ascii="Verdana" w:hAnsi="Verdana"/>
          <w:sz w:val="18"/>
          <w:szCs w:val="20"/>
        </w:rPr>
      </w:pPr>
      <w:r w:rsidRPr="009D2608">
        <w:rPr>
          <w:rFonts w:ascii="Verdana" w:hAnsi="Verdana"/>
          <w:sz w:val="20"/>
        </w:rPr>
        <w:t>Asimismo, de acuerdo a lo dispuesto en el artículo 2 de la Convención Americana sobre Derechos Humanos, los Estados Parte tienen la obligación de dejar sin efecto disposiciones legales contrarias a la Convención</w:t>
      </w:r>
      <w:r>
        <w:rPr>
          <w:rStyle w:val="Refdenotaalpie"/>
          <w:rFonts w:ascii="Verdana" w:hAnsi="Verdana"/>
          <w:sz w:val="20"/>
        </w:rPr>
        <w:footnoteReference w:id="79"/>
      </w:r>
      <w:r>
        <w:rPr>
          <w:rFonts w:ascii="Verdana" w:hAnsi="Verdana"/>
          <w:sz w:val="20"/>
        </w:rPr>
        <w:t>.</w:t>
      </w:r>
      <w:r w:rsidRPr="009D2608">
        <w:rPr>
          <w:rFonts w:ascii="Verdana" w:hAnsi="Verdana"/>
          <w:sz w:val="20"/>
        </w:rPr>
        <w:t xml:space="preserve"> Adicionalmente, se reitera que, al disponer en la Sentencia la medida de reparación de adecuación del derecho interno en relación con el derecho a la defensa a interrogar testigos, la Corte estableció en el párrafo 436 de la misma que, “a fin de garantizar dicho derecho […], las autoridades judiciales deben aplicar [l]os criterios […] establecidos por la Corte [en los párrafos] 242 [a] 247 [de la Sentencia,] en ejercicio del control de convencionalidad”. El cumplimiento de este deber es fundamental en tanto Chile no cumpla con su obligación principal de adecuar el </w:t>
      </w:r>
      <w:r w:rsidRPr="004B6979">
        <w:rPr>
          <w:rFonts w:ascii="Verdana" w:hAnsi="Verdana"/>
          <w:sz w:val="20"/>
        </w:rPr>
        <w:t>ordenamiento jurídico interno para garantizar un derecho adecuado a la defensa a interrogar testigos</w:t>
      </w:r>
      <w:r w:rsidRPr="004B6979">
        <w:rPr>
          <w:rStyle w:val="Refdenotaalpie"/>
          <w:rFonts w:ascii="Verdana" w:hAnsi="Verdana"/>
          <w:sz w:val="20"/>
        </w:rPr>
        <w:footnoteReference w:id="80"/>
      </w:r>
      <w:r w:rsidRPr="004B6979">
        <w:rPr>
          <w:rFonts w:ascii="Verdana" w:hAnsi="Verdana"/>
          <w:sz w:val="20"/>
        </w:rPr>
        <w:t>.</w:t>
      </w:r>
    </w:p>
    <w:p w14:paraId="3014C870" w14:textId="77777777" w:rsidR="00981474" w:rsidRPr="004B6979" w:rsidRDefault="00981474" w:rsidP="0011029F">
      <w:pPr>
        <w:pStyle w:val="Prrafodelista"/>
        <w:suppressLineNumbers/>
        <w:spacing w:after="0" w:line="240" w:lineRule="auto"/>
        <w:ind w:left="0"/>
        <w:jc w:val="both"/>
        <w:rPr>
          <w:rFonts w:ascii="Verdana" w:hAnsi="Verdana"/>
          <w:sz w:val="20"/>
          <w:szCs w:val="20"/>
        </w:rPr>
      </w:pPr>
    </w:p>
    <w:p w14:paraId="285A4E6D" w14:textId="7BFB7F58" w:rsidR="00981474" w:rsidRPr="004B6979" w:rsidRDefault="00981474" w:rsidP="0011029F">
      <w:pPr>
        <w:pStyle w:val="Prrafodelista"/>
        <w:numPr>
          <w:ilvl w:val="0"/>
          <w:numId w:val="5"/>
        </w:numPr>
        <w:suppressLineNumbers/>
        <w:spacing w:after="0" w:line="240" w:lineRule="auto"/>
        <w:ind w:left="0" w:firstLine="0"/>
        <w:jc w:val="both"/>
        <w:rPr>
          <w:rFonts w:ascii="Verdana" w:hAnsi="Verdana"/>
          <w:sz w:val="20"/>
          <w:szCs w:val="20"/>
        </w:rPr>
      </w:pPr>
      <w:r w:rsidRPr="004B6979">
        <w:rPr>
          <w:rFonts w:ascii="Verdana" w:hAnsi="Verdana"/>
          <w:sz w:val="20"/>
          <w:szCs w:val="20"/>
        </w:rPr>
        <w:t xml:space="preserve">La Corte valora lo informado por el Estado </w:t>
      </w:r>
      <w:r w:rsidR="0033657D">
        <w:rPr>
          <w:rFonts w:ascii="Verdana" w:hAnsi="Verdana"/>
          <w:sz w:val="20"/>
          <w:szCs w:val="20"/>
        </w:rPr>
        <w:t>con</w:t>
      </w:r>
      <w:r w:rsidRPr="004B6979">
        <w:rPr>
          <w:rFonts w:ascii="Verdana" w:hAnsi="Verdana"/>
          <w:sz w:val="20"/>
          <w:szCs w:val="20"/>
        </w:rPr>
        <w:t xml:space="preserve"> relación a la “formulación sustitutiva”, propuesta al referido proyecto de ley, que establecería expresamente que la prueba testimonial efectuada por un testigo sujeto al régimen de protección de su </w:t>
      </w:r>
      <w:r w:rsidRPr="004B6979">
        <w:rPr>
          <w:rFonts w:ascii="Verdana" w:hAnsi="Verdana"/>
          <w:sz w:val="20"/>
          <w:szCs w:val="20"/>
        </w:rPr>
        <w:lastRenderedPageBreak/>
        <w:t>identidad, no sea usada en grado decisivo para fundar una condena (</w:t>
      </w:r>
      <w:r w:rsidRPr="004B6979">
        <w:rPr>
          <w:rFonts w:ascii="Verdana" w:hAnsi="Verdana"/>
          <w:i/>
          <w:sz w:val="20"/>
          <w:szCs w:val="20"/>
        </w:rPr>
        <w:t>supra</w:t>
      </w:r>
      <w:r w:rsidRPr="004B6979">
        <w:rPr>
          <w:rFonts w:ascii="Verdana" w:hAnsi="Verdana"/>
          <w:sz w:val="20"/>
          <w:szCs w:val="20"/>
        </w:rPr>
        <w:t xml:space="preserve"> Considerando 46)</w:t>
      </w:r>
      <w:r w:rsidRPr="004B6979">
        <w:rPr>
          <w:rStyle w:val="Refdenotaalpie"/>
          <w:rFonts w:ascii="Verdana" w:hAnsi="Verdana"/>
          <w:sz w:val="20"/>
          <w:szCs w:val="20"/>
        </w:rPr>
        <w:footnoteReference w:id="81"/>
      </w:r>
      <w:r w:rsidRPr="004B6979">
        <w:rPr>
          <w:rFonts w:ascii="Verdana" w:hAnsi="Verdana"/>
          <w:sz w:val="20"/>
          <w:szCs w:val="20"/>
        </w:rPr>
        <w:t>. Sin embargo</w:t>
      </w:r>
      <w:r w:rsidRPr="00F45DDD">
        <w:rPr>
          <w:rFonts w:ascii="Verdana" w:hAnsi="Verdana"/>
          <w:sz w:val="20"/>
          <w:szCs w:val="20"/>
        </w:rPr>
        <w:t>, observa que no ha explicado, conforme fue requerido en la anterior Resolución</w:t>
      </w:r>
      <w:r w:rsidRPr="00F45DDD">
        <w:rPr>
          <w:rStyle w:val="Refdenotaalpie"/>
          <w:rFonts w:ascii="Verdana" w:hAnsi="Verdana"/>
          <w:sz w:val="20"/>
          <w:szCs w:val="20"/>
        </w:rPr>
        <w:footnoteReference w:id="82"/>
      </w:r>
      <w:r w:rsidRPr="00F45DDD">
        <w:rPr>
          <w:rFonts w:ascii="Verdana" w:hAnsi="Verdana"/>
          <w:sz w:val="20"/>
          <w:szCs w:val="20"/>
        </w:rPr>
        <w:t xml:space="preserve">, “cómo el proyecto de ley propuesto regula las medidas de contrapeso de la reserva de identidad de testigos, de manera tal que </w:t>
      </w:r>
      <w:r>
        <w:rPr>
          <w:rFonts w:ascii="Verdana" w:hAnsi="Verdana"/>
          <w:sz w:val="20"/>
          <w:szCs w:val="20"/>
        </w:rPr>
        <w:t xml:space="preserve">[éstas] </w:t>
      </w:r>
      <w:r w:rsidRPr="00F45DDD">
        <w:rPr>
          <w:rFonts w:ascii="Verdana" w:hAnsi="Verdana"/>
          <w:sz w:val="20"/>
          <w:szCs w:val="20"/>
        </w:rPr>
        <w:t xml:space="preserve">aseguren que la afectación al derecho de defensa sea suficientemente contrarrestada para que este medio de prueba </w:t>
      </w:r>
      <w:r w:rsidRPr="004B6979">
        <w:rPr>
          <w:rFonts w:ascii="Verdana" w:hAnsi="Verdana"/>
          <w:sz w:val="20"/>
          <w:szCs w:val="20"/>
        </w:rPr>
        <w:t>no tenga un grado decisivo para fundar una condena” (</w:t>
      </w:r>
      <w:r w:rsidRPr="004B6979">
        <w:rPr>
          <w:rFonts w:ascii="Verdana" w:hAnsi="Verdana"/>
          <w:i/>
          <w:sz w:val="20"/>
          <w:szCs w:val="20"/>
        </w:rPr>
        <w:t>supra</w:t>
      </w:r>
      <w:r w:rsidRPr="004B6979">
        <w:rPr>
          <w:rFonts w:ascii="Verdana" w:hAnsi="Verdana"/>
          <w:sz w:val="20"/>
          <w:szCs w:val="20"/>
        </w:rPr>
        <w:t xml:space="preserve"> Considerandos 4</w:t>
      </w:r>
      <w:r w:rsidR="008975B0" w:rsidRPr="004B6979">
        <w:rPr>
          <w:rFonts w:ascii="Verdana" w:hAnsi="Verdana"/>
          <w:sz w:val="20"/>
          <w:szCs w:val="20"/>
        </w:rPr>
        <w:t>5 y 46</w:t>
      </w:r>
      <w:r w:rsidRPr="004B6979">
        <w:rPr>
          <w:rFonts w:ascii="Verdana" w:hAnsi="Verdana"/>
          <w:sz w:val="20"/>
          <w:szCs w:val="20"/>
        </w:rPr>
        <w:t>). Por tant</w:t>
      </w:r>
      <w:r w:rsidR="00C82C5F">
        <w:rPr>
          <w:rFonts w:ascii="Verdana" w:hAnsi="Verdana"/>
          <w:sz w:val="20"/>
          <w:szCs w:val="20"/>
        </w:rPr>
        <w:t>o</w:t>
      </w:r>
      <w:r w:rsidR="0033657D">
        <w:rPr>
          <w:rFonts w:ascii="Verdana" w:hAnsi="Verdana"/>
          <w:sz w:val="20"/>
          <w:szCs w:val="20"/>
        </w:rPr>
        <w:t>,</w:t>
      </w:r>
      <w:r w:rsidR="004B6979" w:rsidRPr="004B6979">
        <w:rPr>
          <w:rFonts w:ascii="Verdana" w:hAnsi="Verdana"/>
          <w:sz w:val="20"/>
          <w:szCs w:val="20"/>
        </w:rPr>
        <w:t xml:space="preserve"> se requiere que el Estado</w:t>
      </w:r>
      <w:r w:rsidR="00C82C5F">
        <w:rPr>
          <w:rFonts w:ascii="Verdana" w:hAnsi="Verdana"/>
          <w:sz w:val="20"/>
          <w:szCs w:val="20"/>
        </w:rPr>
        <w:t xml:space="preserve"> </w:t>
      </w:r>
      <w:r w:rsidR="004B6979" w:rsidRPr="004B6979">
        <w:rPr>
          <w:rFonts w:ascii="Verdana" w:hAnsi="Verdana"/>
          <w:sz w:val="20"/>
          <w:szCs w:val="20"/>
        </w:rPr>
        <w:t>brinde tales explicaciones.</w:t>
      </w:r>
    </w:p>
    <w:p w14:paraId="11DEBCF0" w14:textId="77777777" w:rsidR="00F45DDD" w:rsidRPr="004B6979" w:rsidRDefault="00F45DDD" w:rsidP="0011029F">
      <w:pPr>
        <w:pStyle w:val="Prrafodelista"/>
        <w:suppressLineNumbers/>
        <w:rPr>
          <w:rFonts w:ascii="Verdana" w:hAnsi="Verdana"/>
          <w:sz w:val="20"/>
          <w:szCs w:val="20"/>
        </w:rPr>
      </w:pPr>
    </w:p>
    <w:p w14:paraId="79FA2700" w14:textId="3EC0C95F" w:rsidR="0024145D" w:rsidRPr="004B6979" w:rsidRDefault="00D53906" w:rsidP="0011029F">
      <w:pPr>
        <w:pStyle w:val="Prrafodelista"/>
        <w:numPr>
          <w:ilvl w:val="0"/>
          <w:numId w:val="5"/>
        </w:numPr>
        <w:suppressLineNumbers/>
        <w:spacing w:after="0" w:line="240" w:lineRule="auto"/>
        <w:ind w:left="0" w:firstLine="0"/>
        <w:jc w:val="both"/>
        <w:rPr>
          <w:rFonts w:ascii="Verdana" w:hAnsi="Verdana"/>
          <w:sz w:val="20"/>
          <w:szCs w:val="20"/>
        </w:rPr>
      </w:pPr>
      <w:r w:rsidRPr="004B6979">
        <w:rPr>
          <w:rFonts w:ascii="Verdana" w:hAnsi="Verdana"/>
          <w:sz w:val="20"/>
          <w:szCs w:val="20"/>
        </w:rPr>
        <w:t>A fin de continuar valorando su implementación, e</w:t>
      </w:r>
      <w:r w:rsidR="00F458E6" w:rsidRPr="004B6979">
        <w:rPr>
          <w:rFonts w:ascii="Verdana" w:hAnsi="Verdana"/>
          <w:sz w:val="20"/>
          <w:szCs w:val="20"/>
        </w:rPr>
        <w:t>l Tribunal considera que el Estado debe adoptar las medidas necesarias para garantizar, a la mayor brevedad posible, el cumplimiento de la medida de reparación ordenada en el punto dispositivo vigésimo de</w:t>
      </w:r>
      <w:r w:rsidR="00F458E6" w:rsidRPr="00E8011F">
        <w:rPr>
          <w:rFonts w:ascii="Verdana" w:hAnsi="Verdana"/>
          <w:sz w:val="20"/>
          <w:szCs w:val="20"/>
        </w:rPr>
        <w:t xml:space="preserve"> la Sentencia, la cual se encuentra pendiente de cumplimiento, así como para asegurar que el trámite legislativo del proyecto de ley o de otros que se presenten al respecto en el futuro culminen con la aprobación y vigencia de una norma que se adecue a los estándares expuestos en la </w:t>
      </w:r>
      <w:r w:rsidR="00F458E6" w:rsidRPr="004B6979">
        <w:rPr>
          <w:rFonts w:ascii="Verdana" w:hAnsi="Verdana"/>
          <w:sz w:val="20"/>
          <w:szCs w:val="20"/>
        </w:rPr>
        <w:t>Sentencia. Asimismo, se requiere a Chile que presente la información que le ha sido requerida en los Considerandos</w:t>
      </w:r>
      <w:r w:rsidR="009D2608" w:rsidRPr="004B6979">
        <w:rPr>
          <w:rFonts w:ascii="Verdana" w:hAnsi="Verdana"/>
          <w:sz w:val="20"/>
          <w:szCs w:val="20"/>
        </w:rPr>
        <w:t xml:space="preserve"> </w:t>
      </w:r>
      <w:r w:rsidR="000C7A9E" w:rsidRPr="004B6979">
        <w:rPr>
          <w:rFonts w:ascii="Verdana" w:hAnsi="Verdana"/>
          <w:sz w:val="20"/>
          <w:szCs w:val="20"/>
        </w:rPr>
        <w:t>49</w:t>
      </w:r>
      <w:r w:rsidR="00D20C63" w:rsidRPr="004B6979">
        <w:rPr>
          <w:rFonts w:ascii="Verdana" w:hAnsi="Verdana"/>
          <w:sz w:val="20"/>
          <w:szCs w:val="20"/>
        </w:rPr>
        <w:t xml:space="preserve"> y </w:t>
      </w:r>
      <w:r w:rsidR="00F45DDD" w:rsidRPr="004B6979">
        <w:rPr>
          <w:rFonts w:ascii="Verdana" w:hAnsi="Verdana"/>
          <w:sz w:val="20"/>
          <w:szCs w:val="20"/>
        </w:rPr>
        <w:t>5</w:t>
      </w:r>
      <w:r w:rsidR="000C7A9E" w:rsidRPr="004B6979">
        <w:rPr>
          <w:rFonts w:ascii="Verdana" w:hAnsi="Verdana"/>
          <w:sz w:val="20"/>
          <w:szCs w:val="20"/>
        </w:rPr>
        <w:t>2</w:t>
      </w:r>
      <w:r w:rsidR="0052582E" w:rsidRPr="004B6979">
        <w:rPr>
          <w:rFonts w:ascii="Verdana" w:hAnsi="Verdana"/>
          <w:sz w:val="20"/>
          <w:szCs w:val="20"/>
        </w:rPr>
        <w:t xml:space="preserve">. </w:t>
      </w:r>
    </w:p>
    <w:p w14:paraId="14B575CD" w14:textId="77777777" w:rsidR="0052582E" w:rsidRPr="0052582E" w:rsidRDefault="0052582E" w:rsidP="0011029F">
      <w:pPr>
        <w:pStyle w:val="Prrafodelista"/>
        <w:suppressLineNumbers/>
        <w:rPr>
          <w:rFonts w:ascii="Verdana" w:hAnsi="Verdana"/>
          <w:sz w:val="20"/>
          <w:szCs w:val="20"/>
        </w:rPr>
      </w:pPr>
    </w:p>
    <w:p w14:paraId="0E1247D0" w14:textId="685617D8" w:rsidR="0024145D" w:rsidRDefault="0024145D" w:rsidP="0011029F">
      <w:pPr>
        <w:pStyle w:val="Prrafodelista"/>
        <w:suppressLineNumbers/>
        <w:jc w:val="center"/>
        <w:rPr>
          <w:rFonts w:ascii="Verdana" w:hAnsi="Verdana"/>
          <w:sz w:val="20"/>
          <w:szCs w:val="20"/>
        </w:rPr>
      </w:pPr>
      <w:r>
        <w:rPr>
          <w:rFonts w:ascii="Verdana" w:hAnsi="Verdana"/>
          <w:sz w:val="20"/>
          <w:szCs w:val="20"/>
        </w:rPr>
        <w:t>***</w:t>
      </w:r>
    </w:p>
    <w:p w14:paraId="3C5AE16C" w14:textId="77777777" w:rsidR="0024145D" w:rsidRPr="0024145D" w:rsidRDefault="0024145D" w:rsidP="0011029F">
      <w:pPr>
        <w:pStyle w:val="Prrafodelista"/>
        <w:suppressLineNumbers/>
        <w:jc w:val="center"/>
        <w:rPr>
          <w:rFonts w:ascii="Verdana" w:hAnsi="Verdana"/>
          <w:sz w:val="20"/>
          <w:szCs w:val="20"/>
        </w:rPr>
      </w:pPr>
    </w:p>
    <w:p w14:paraId="20E87F15" w14:textId="4F52EDCA" w:rsidR="00E94603" w:rsidRPr="00C40A75" w:rsidRDefault="006B0974" w:rsidP="00C40A75">
      <w:pPr>
        <w:pStyle w:val="Prrafodelista"/>
        <w:numPr>
          <w:ilvl w:val="0"/>
          <w:numId w:val="5"/>
        </w:numPr>
        <w:suppressLineNumbers/>
        <w:spacing w:after="0" w:line="240" w:lineRule="auto"/>
        <w:ind w:left="0" w:firstLine="0"/>
        <w:jc w:val="both"/>
        <w:rPr>
          <w:rFonts w:ascii="Verdana" w:hAnsi="Verdana"/>
          <w:sz w:val="18"/>
          <w:lang w:val="es-MX"/>
        </w:rPr>
      </w:pPr>
      <w:r w:rsidRPr="00C40A75">
        <w:rPr>
          <w:rFonts w:ascii="Verdana" w:hAnsi="Verdana"/>
          <w:sz w:val="20"/>
          <w:szCs w:val="20"/>
        </w:rPr>
        <w:t xml:space="preserve">La Corte recuerda que la </w:t>
      </w:r>
      <w:r w:rsidR="00144E1C" w:rsidRPr="00C40A75">
        <w:rPr>
          <w:rFonts w:ascii="Verdana" w:hAnsi="Verdana"/>
          <w:sz w:val="20"/>
          <w:szCs w:val="20"/>
        </w:rPr>
        <w:t>Presidenta</w:t>
      </w:r>
      <w:r w:rsidRPr="00C40A75">
        <w:rPr>
          <w:rFonts w:ascii="Verdana" w:hAnsi="Verdana"/>
          <w:sz w:val="20"/>
          <w:szCs w:val="20"/>
        </w:rPr>
        <w:t xml:space="preserve"> del Tribunal había convocado a las partes y la Comisión IDH a una audiencia privada de supervisión de cumplimiento de sentencia para el día </w:t>
      </w:r>
      <w:r w:rsidR="00B46E3C" w:rsidRPr="00C40A75">
        <w:rPr>
          <w:rFonts w:ascii="Verdana" w:hAnsi="Verdana"/>
          <w:sz w:val="20"/>
          <w:szCs w:val="20"/>
        </w:rPr>
        <w:t>17 de abril de 2020</w:t>
      </w:r>
      <w:r w:rsidRPr="00C40A75">
        <w:rPr>
          <w:rFonts w:ascii="Verdana" w:hAnsi="Verdana"/>
          <w:sz w:val="20"/>
          <w:szCs w:val="20"/>
        </w:rPr>
        <w:t xml:space="preserve">, la cual tuvo que ser suspendida </w:t>
      </w:r>
      <w:r w:rsidR="00B46E3C" w:rsidRPr="00C40A75">
        <w:rPr>
          <w:rFonts w:ascii="Verdana" w:hAnsi="Verdana"/>
          <w:sz w:val="20"/>
        </w:rPr>
        <w:t>en el marco de las medidas adoptadas para prevenir la propagación del COVID-19</w:t>
      </w:r>
      <w:r w:rsidRPr="00C40A75">
        <w:rPr>
          <w:rFonts w:ascii="Verdana" w:hAnsi="Verdana"/>
          <w:sz w:val="20"/>
          <w:szCs w:val="20"/>
        </w:rPr>
        <w:t xml:space="preserve">. Tomando en cuenta </w:t>
      </w:r>
      <w:r w:rsidR="0024145D" w:rsidRPr="00C40A75">
        <w:rPr>
          <w:rFonts w:ascii="Verdana" w:hAnsi="Verdana"/>
          <w:sz w:val="20"/>
          <w:szCs w:val="20"/>
        </w:rPr>
        <w:t xml:space="preserve">que resulta necesario que Chile presente información actualizada y detallada respecto de la implementación de las cuatro medidas de reparación que se encuentran pendientes, este Tribunal considera pertinente </w:t>
      </w:r>
      <w:r w:rsidRPr="00C40A75">
        <w:rPr>
          <w:rFonts w:ascii="Verdana" w:hAnsi="Verdana"/>
          <w:sz w:val="20"/>
          <w:szCs w:val="20"/>
        </w:rPr>
        <w:t xml:space="preserve">reprogramar dicha audiencia </w:t>
      </w:r>
      <w:r w:rsidR="00A46FEA" w:rsidRPr="00C40A75">
        <w:rPr>
          <w:rFonts w:ascii="Verdana" w:hAnsi="Verdana"/>
          <w:sz w:val="20"/>
          <w:szCs w:val="20"/>
        </w:rPr>
        <w:t xml:space="preserve">para que sea efectuada de manera virtual el </w:t>
      </w:r>
      <w:r w:rsidR="00C52525" w:rsidRPr="00C40A75">
        <w:rPr>
          <w:rFonts w:ascii="Verdana" w:hAnsi="Verdana"/>
          <w:sz w:val="20"/>
          <w:szCs w:val="20"/>
        </w:rPr>
        <w:t>23</w:t>
      </w:r>
      <w:r w:rsidR="00A46FEA" w:rsidRPr="00C40A75">
        <w:rPr>
          <w:rFonts w:ascii="Verdana" w:hAnsi="Verdana"/>
          <w:sz w:val="20"/>
          <w:szCs w:val="20"/>
        </w:rPr>
        <w:t xml:space="preserve"> de </w:t>
      </w:r>
      <w:r w:rsidR="00C52525" w:rsidRPr="00C40A75">
        <w:rPr>
          <w:rFonts w:ascii="Verdana" w:hAnsi="Verdana"/>
          <w:sz w:val="20"/>
          <w:szCs w:val="20"/>
        </w:rPr>
        <w:t>abril</w:t>
      </w:r>
      <w:r w:rsidR="00A46FEA" w:rsidRPr="00C40A75">
        <w:rPr>
          <w:rFonts w:ascii="Verdana" w:hAnsi="Verdana"/>
          <w:sz w:val="20"/>
          <w:szCs w:val="20"/>
        </w:rPr>
        <w:t xml:space="preserve"> de 2021, </w:t>
      </w:r>
      <w:r w:rsidR="00A46FEA" w:rsidRPr="00760884">
        <w:rPr>
          <w:rFonts w:ascii="Verdana" w:hAnsi="Verdana"/>
          <w:sz w:val="20"/>
          <w:szCs w:val="20"/>
        </w:rPr>
        <w:t xml:space="preserve">de las </w:t>
      </w:r>
      <w:r w:rsidR="004B4B35">
        <w:rPr>
          <w:rFonts w:ascii="Verdana" w:hAnsi="Verdana"/>
          <w:sz w:val="20"/>
          <w:szCs w:val="20"/>
        </w:rPr>
        <w:t>10</w:t>
      </w:r>
      <w:r w:rsidR="00C82C5F" w:rsidRPr="00760884">
        <w:rPr>
          <w:rFonts w:ascii="Verdana" w:hAnsi="Verdana"/>
          <w:sz w:val="20"/>
          <w:szCs w:val="20"/>
        </w:rPr>
        <w:t>:</w:t>
      </w:r>
      <w:r w:rsidR="004B4B35">
        <w:rPr>
          <w:rFonts w:ascii="Verdana" w:hAnsi="Verdana"/>
          <w:sz w:val="20"/>
          <w:szCs w:val="20"/>
        </w:rPr>
        <w:t>3</w:t>
      </w:r>
      <w:r w:rsidR="00C82C5F" w:rsidRPr="00760884">
        <w:rPr>
          <w:rFonts w:ascii="Verdana" w:hAnsi="Verdana"/>
          <w:sz w:val="20"/>
          <w:szCs w:val="20"/>
        </w:rPr>
        <w:t>0 a las 1</w:t>
      </w:r>
      <w:r w:rsidR="004B4B35">
        <w:rPr>
          <w:rFonts w:ascii="Verdana" w:hAnsi="Verdana"/>
          <w:sz w:val="20"/>
          <w:szCs w:val="20"/>
        </w:rPr>
        <w:t>2</w:t>
      </w:r>
      <w:r w:rsidR="00C82C5F" w:rsidRPr="00760884">
        <w:rPr>
          <w:rFonts w:ascii="Verdana" w:hAnsi="Verdana"/>
          <w:sz w:val="20"/>
          <w:szCs w:val="20"/>
        </w:rPr>
        <w:t>:</w:t>
      </w:r>
      <w:r w:rsidR="004B4B35">
        <w:rPr>
          <w:rFonts w:ascii="Verdana" w:hAnsi="Verdana"/>
          <w:sz w:val="20"/>
          <w:szCs w:val="20"/>
        </w:rPr>
        <w:t>0</w:t>
      </w:r>
      <w:r w:rsidR="00C82C5F" w:rsidRPr="00760884">
        <w:rPr>
          <w:rFonts w:ascii="Verdana" w:hAnsi="Verdana"/>
          <w:sz w:val="20"/>
          <w:szCs w:val="20"/>
        </w:rPr>
        <w:t xml:space="preserve">0 </w:t>
      </w:r>
      <w:r w:rsidR="00A46FEA" w:rsidRPr="00760884">
        <w:rPr>
          <w:rFonts w:ascii="Verdana" w:hAnsi="Verdana"/>
          <w:sz w:val="20"/>
          <w:szCs w:val="20"/>
        </w:rPr>
        <w:t>horas</w:t>
      </w:r>
      <w:r w:rsidR="00A46FEA" w:rsidRPr="00C40A75">
        <w:rPr>
          <w:rFonts w:ascii="Verdana" w:hAnsi="Verdana"/>
          <w:sz w:val="20"/>
          <w:szCs w:val="20"/>
        </w:rPr>
        <w:t xml:space="preserve"> (horario de Costa Rica), durante el 141° Período Ordinario de Sesiones.</w:t>
      </w:r>
      <w:r w:rsidR="00A46FEA" w:rsidRPr="00C40A75">
        <w:rPr>
          <w:rFonts w:ascii="Verdana" w:hAnsi="Verdana"/>
          <w:sz w:val="18"/>
          <w:lang w:val="es-MX"/>
        </w:rPr>
        <w:t xml:space="preserve"> </w:t>
      </w:r>
      <w:r w:rsidR="00D063A3" w:rsidRPr="00C40A75">
        <w:rPr>
          <w:rFonts w:ascii="Verdana" w:hAnsi="Verdana"/>
          <w:sz w:val="20"/>
          <w:szCs w:val="20"/>
        </w:rPr>
        <w:t>As</w:t>
      </w:r>
      <w:r w:rsidR="00DA327B" w:rsidRPr="00C40A75">
        <w:rPr>
          <w:rFonts w:ascii="Verdana" w:hAnsi="Verdana"/>
          <w:sz w:val="20"/>
          <w:szCs w:val="20"/>
        </w:rPr>
        <w:t>i</w:t>
      </w:r>
      <w:r w:rsidR="00D063A3" w:rsidRPr="00C40A75">
        <w:rPr>
          <w:rFonts w:ascii="Verdana" w:hAnsi="Verdana"/>
          <w:sz w:val="20"/>
          <w:szCs w:val="20"/>
        </w:rPr>
        <w:t xml:space="preserve">mismo, </w:t>
      </w:r>
      <w:r w:rsidR="0024145D" w:rsidRPr="00C40A75">
        <w:rPr>
          <w:rFonts w:ascii="Verdana" w:hAnsi="Verdana"/>
          <w:sz w:val="20"/>
          <w:szCs w:val="20"/>
        </w:rPr>
        <w:t>delega en la Presidencia que</w:t>
      </w:r>
      <w:r w:rsidRPr="00C40A75">
        <w:rPr>
          <w:rFonts w:ascii="Verdana" w:hAnsi="Verdana"/>
          <w:sz w:val="20"/>
          <w:szCs w:val="20"/>
        </w:rPr>
        <w:t>,</w:t>
      </w:r>
      <w:r w:rsidR="0024145D" w:rsidRPr="00C40A75">
        <w:rPr>
          <w:rFonts w:ascii="Verdana" w:hAnsi="Verdana"/>
          <w:sz w:val="20"/>
          <w:szCs w:val="20"/>
        </w:rPr>
        <w:t xml:space="preserve"> posteriormente</w:t>
      </w:r>
      <w:r w:rsidRPr="00C40A75">
        <w:rPr>
          <w:rFonts w:ascii="Verdana" w:hAnsi="Verdana"/>
          <w:sz w:val="20"/>
          <w:szCs w:val="20"/>
        </w:rPr>
        <w:t>,</w:t>
      </w:r>
      <w:r w:rsidR="0024145D" w:rsidRPr="00C40A75">
        <w:rPr>
          <w:rFonts w:ascii="Verdana" w:hAnsi="Verdana"/>
          <w:sz w:val="20"/>
          <w:szCs w:val="20"/>
        </w:rPr>
        <w:t xml:space="preserve"> determine la necesidad de permitir la participación de alguna otra autoridad o institución estatal, en aplicación del artículo 69.2 del Reglamento</w:t>
      </w:r>
      <w:r w:rsidR="00B46E3C">
        <w:rPr>
          <w:rStyle w:val="Refdenotaalpie"/>
          <w:rFonts w:ascii="Verdana" w:hAnsi="Verdana"/>
          <w:sz w:val="20"/>
          <w:szCs w:val="20"/>
        </w:rPr>
        <w:footnoteReference w:id="83"/>
      </w:r>
      <w:r w:rsidR="0024145D" w:rsidRPr="00C40A75">
        <w:rPr>
          <w:rFonts w:ascii="Verdana" w:hAnsi="Verdana"/>
          <w:sz w:val="20"/>
          <w:szCs w:val="20"/>
        </w:rPr>
        <w:t xml:space="preserve">. </w:t>
      </w:r>
    </w:p>
    <w:p w14:paraId="2936B932" w14:textId="75592D63" w:rsidR="00B55EF3" w:rsidRDefault="00B55EF3" w:rsidP="0011029F">
      <w:pPr>
        <w:pStyle w:val="Prrafodelista"/>
        <w:suppressLineNumbers/>
        <w:spacing w:after="0" w:line="240" w:lineRule="auto"/>
        <w:ind w:left="399"/>
        <w:jc w:val="both"/>
      </w:pPr>
    </w:p>
    <w:p w14:paraId="0A627800" w14:textId="77777777" w:rsidR="00D54AC6" w:rsidRPr="001731F5" w:rsidRDefault="00D54AC6" w:rsidP="00BD1B76">
      <w:pPr>
        <w:suppressLineNumbers/>
        <w:spacing w:before="240" w:after="120"/>
        <w:jc w:val="both"/>
        <w:rPr>
          <w:rFonts w:ascii="Verdana" w:hAnsi="Verdana"/>
          <w:b/>
          <w:sz w:val="20"/>
          <w:lang w:val="es-MX"/>
        </w:rPr>
      </w:pPr>
      <w:r w:rsidRPr="001731F5">
        <w:rPr>
          <w:rFonts w:ascii="Verdana" w:hAnsi="Verdana"/>
          <w:b/>
          <w:sz w:val="20"/>
          <w:lang w:val="es-MX"/>
        </w:rPr>
        <w:t>POR TANTO:</w:t>
      </w:r>
    </w:p>
    <w:p w14:paraId="7EA2512B" w14:textId="77777777" w:rsidR="00D54AC6" w:rsidRPr="001731F5" w:rsidRDefault="00D54AC6" w:rsidP="00BD1B76">
      <w:pPr>
        <w:suppressLineNumbers/>
        <w:spacing w:before="240" w:after="120"/>
        <w:jc w:val="both"/>
        <w:rPr>
          <w:rFonts w:ascii="Verdana" w:hAnsi="Verdana"/>
          <w:b/>
          <w:sz w:val="20"/>
          <w:lang w:val="es-MX"/>
        </w:rPr>
      </w:pPr>
      <w:r w:rsidRPr="001731F5">
        <w:rPr>
          <w:rFonts w:ascii="Verdana" w:hAnsi="Verdana"/>
          <w:b/>
          <w:sz w:val="20"/>
          <w:lang w:val="es-MX"/>
        </w:rPr>
        <w:t>LA CORTE INTERAMERICANA DE DERECHOS HUMANOS,</w:t>
      </w:r>
    </w:p>
    <w:p w14:paraId="3410CF2A" w14:textId="77777777" w:rsidR="00D54AC6" w:rsidRPr="0024145D" w:rsidRDefault="00D54AC6" w:rsidP="00BD1B76">
      <w:pPr>
        <w:suppressLineNumbers/>
        <w:spacing w:before="240" w:after="0" w:line="240" w:lineRule="auto"/>
        <w:jc w:val="both"/>
        <w:rPr>
          <w:rFonts w:ascii="Verdana" w:hAnsi="Verdana"/>
          <w:sz w:val="20"/>
        </w:rPr>
      </w:pPr>
      <w:r>
        <w:rPr>
          <w:rFonts w:ascii="Verdana" w:hAnsi="Verdana"/>
          <w:sz w:val="20"/>
        </w:rPr>
        <w:t>e</w:t>
      </w:r>
      <w:r w:rsidRPr="001731F5">
        <w:rPr>
          <w:rFonts w:ascii="Verdana" w:hAnsi="Verdana"/>
          <w:sz w:val="20"/>
        </w:rPr>
        <w:t xml:space="preserve">n el ejercicio de sus atribuciones de supervisión del cumplimiento de sus decisiones y de conformidad con los artículos 33, 62.1, 62.3, 65, 67 y 68.1 de la Convención </w:t>
      </w:r>
      <w:r w:rsidRPr="00DF2D49">
        <w:rPr>
          <w:rFonts w:ascii="Verdana" w:hAnsi="Verdana"/>
          <w:sz w:val="20"/>
        </w:rPr>
        <w:t>Americana sobre Derechos Humanos, 24, 25 y 30 del Estatuto, y 31.2 y 69 de su Regl</w:t>
      </w:r>
      <w:r w:rsidRPr="0024145D">
        <w:rPr>
          <w:rFonts w:ascii="Verdana" w:hAnsi="Verdana"/>
          <w:sz w:val="20"/>
        </w:rPr>
        <w:t>amento,</w:t>
      </w:r>
    </w:p>
    <w:p w14:paraId="03E85182" w14:textId="77777777" w:rsidR="00D54AC6" w:rsidRPr="0024145D" w:rsidRDefault="00D54AC6" w:rsidP="00BD1B76">
      <w:pPr>
        <w:suppressLineNumbers/>
        <w:spacing w:before="240" w:after="120"/>
        <w:ind w:right="4"/>
        <w:jc w:val="both"/>
        <w:rPr>
          <w:rFonts w:ascii="Verdana" w:hAnsi="Verdana"/>
          <w:b/>
          <w:sz w:val="20"/>
          <w:lang w:val="es-MX"/>
        </w:rPr>
      </w:pPr>
      <w:r w:rsidRPr="0024145D">
        <w:rPr>
          <w:rFonts w:ascii="Verdana" w:hAnsi="Verdana"/>
          <w:b/>
          <w:sz w:val="20"/>
          <w:lang w:val="es-MX"/>
        </w:rPr>
        <w:t xml:space="preserve">RESUELVE: </w:t>
      </w:r>
    </w:p>
    <w:p w14:paraId="6E4C1EDF" w14:textId="4DBE48DF" w:rsidR="00CD79D7" w:rsidRPr="0024145D" w:rsidRDefault="00D54AC6" w:rsidP="00BD1B76">
      <w:pPr>
        <w:pStyle w:val="Prrafodelista"/>
        <w:numPr>
          <w:ilvl w:val="0"/>
          <w:numId w:val="24"/>
        </w:numPr>
        <w:suppressLineNumbers/>
        <w:autoSpaceDE w:val="0"/>
        <w:autoSpaceDN w:val="0"/>
        <w:adjustRightInd w:val="0"/>
        <w:spacing w:before="240" w:after="0" w:line="240" w:lineRule="auto"/>
        <w:ind w:left="0" w:firstLine="0"/>
        <w:contextualSpacing w:val="0"/>
        <w:jc w:val="both"/>
        <w:rPr>
          <w:rFonts w:ascii="Verdana" w:hAnsi="Verdana"/>
          <w:sz w:val="20"/>
          <w:szCs w:val="20"/>
          <w:lang w:val="es-MX"/>
        </w:rPr>
      </w:pPr>
      <w:r w:rsidRPr="0024145D">
        <w:rPr>
          <w:rFonts w:ascii="Verdana" w:hAnsi="Verdana"/>
          <w:sz w:val="20"/>
        </w:rPr>
        <w:lastRenderedPageBreak/>
        <w:t>Declarar, de conformidad con lo señalado en</w:t>
      </w:r>
      <w:r w:rsidR="0051472C" w:rsidRPr="0024145D">
        <w:rPr>
          <w:rFonts w:ascii="Verdana" w:hAnsi="Verdana"/>
          <w:sz w:val="20"/>
        </w:rPr>
        <w:t xml:space="preserve"> </w:t>
      </w:r>
      <w:r w:rsidR="00D230DC" w:rsidRPr="0024145D">
        <w:rPr>
          <w:rFonts w:ascii="Verdana" w:hAnsi="Verdana"/>
          <w:sz w:val="20"/>
        </w:rPr>
        <w:t>los</w:t>
      </w:r>
      <w:r w:rsidR="00ED602E" w:rsidRPr="0024145D">
        <w:rPr>
          <w:rFonts w:ascii="Verdana" w:hAnsi="Verdana"/>
          <w:sz w:val="20"/>
        </w:rPr>
        <w:t xml:space="preserve"> Considerando</w:t>
      </w:r>
      <w:r w:rsidR="00D230DC" w:rsidRPr="0024145D">
        <w:rPr>
          <w:rFonts w:ascii="Verdana" w:hAnsi="Verdana"/>
          <w:sz w:val="20"/>
        </w:rPr>
        <w:t>s</w:t>
      </w:r>
      <w:r w:rsidR="000C7A9E">
        <w:rPr>
          <w:rFonts w:ascii="Verdana" w:hAnsi="Verdana"/>
          <w:sz w:val="20"/>
        </w:rPr>
        <w:t xml:space="preserve"> 1</w:t>
      </w:r>
      <w:r w:rsidR="00E8011F">
        <w:rPr>
          <w:rFonts w:ascii="Verdana" w:hAnsi="Verdana"/>
          <w:sz w:val="20"/>
        </w:rPr>
        <w:t>8</w:t>
      </w:r>
      <w:r w:rsidR="00D230DC" w:rsidRPr="0024145D">
        <w:rPr>
          <w:rFonts w:ascii="Verdana" w:hAnsi="Verdana"/>
          <w:sz w:val="20"/>
        </w:rPr>
        <w:t xml:space="preserve"> y 4</w:t>
      </w:r>
      <w:r w:rsidR="00E8011F">
        <w:rPr>
          <w:rFonts w:ascii="Verdana" w:hAnsi="Verdana"/>
          <w:sz w:val="20"/>
        </w:rPr>
        <w:t>4</w:t>
      </w:r>
      <w:r w:rsidR="00B23667" w:rsidRPr="0024145D">
        <w:rPr>
          <w:rFonts w:ascii="Verdana" w:hAnsi="Verdana"/>
          <w:sz w:val="20"/>
        </w:rPr>
        <w:t xml:space="preserve"> </w:t>
      </w:r>
      <w:r w:rsidR="00E4116C" w:rsidRPr="0024145D">
        <w:rPr>
          <w:rFonts w:ascii="Verdana" w:hAnsi="Verdana"/>
          <w:sz w:val="20"/>
        </w:rPr>
        <w:t>de</w:t>
      </w:r>
      <w:r w:rsidRPr="0024145D">
        <w:rPr>
          <w:rFonts w:ascii="Verdana" w:hAnsi="Verdana"/>
          <w:sz w:val="20"/>
        </w:rPr>
        <w:t xml:space="preserve"> la presente Resolución, que el Estado</w:t>
      </w:r>
      <w:r w:rsidR="0051472C" w:rsidRPr="0024145D">
        <w:rPr>
          <w:rFonts w:ascii="Verdana" w:hAnsi="Verdana"/>
          <w:sz w:val="20"/>
        </w:rPr>
        <w:t xml:space="preserve"> </w:t>
      </w:r>
      <w:r w:rsidR="0051472C" w:rsidRPr="0024145D">
        <w:rPr>
          <w:rFonts w:ascii="Verdana" w:hAnsi="Verdana"/>
          <w:sz w:val="20"/>
          <w:szCs w:val="20"/>
        </w:rPr>
        <w:t xml:space="preserve">ha </w:t>
      </w:r>
      <w:r w:rsidR="00ED602E" w:rsidRPr="0024145D">
        <w:rPr>
          <w:rFonts w:ascii="Verdana" w:hAnsi="Verdana"/>
          <w:sz w:val="20"/>
          <w:szCs w:val="20"/>
        </w:rPr>
        <w:t>dado cumplimiento parcial a</w:t>
      </w:r>
      <w:r w:rsidR="00E4116C" w:rsidRPr="0024145D">
        <w:rPr>
          <w:rFonts w:ascii="Verdana" w:hAnsi="Verdana"/>
          <w:sz w:val="20"/>
          <w:szCs w:val="20"/>
        </w:rPr>
        <w:t xml:space="preserve"> la</w:t>
      </w:r>
      <w:r w:rsidR="00D230DC" w:rsidRPr="0024145D">
        <w:rPr>
          <w:rFonts w:ascii="Verdana" w:hAnsi="Verdana"/>
          <w:sz w:val="20"/>
          <w:szCs w:val="20"/>
        </w:rPr>
        <w:t>s</w:t>
      </w:r>
      <w:r w:rsidR="00CD79D7" w:rsidRPr="0024145D">
        <w:rPr>
          <w:rFonts w:ascii="Verdana" w:hAnsi="Verdana"/>
          <w:sz w:val="20"/>
          <w:szCs w:val="20"/>
        </w:rPr>
        <w:t xml:space="preserve"> siguientes</w:t>
      </w:r>
      <w:r w:rsidR="00E4116C" w:rsidRPr="0024145D">
        <w:rPr>
          <w:rFonts w:ascii="Verdana" w:hAnsi="Verdana"/>
          <w:sz w:val="20"/>
          <w:szCs w:val="20"/>
        </w:rPr>
        <w:t xml:space="preserve"> medida</w:t>
      </w:r>
      <w:r w:rsidR="00D230DC" w:rsidRPr="0024145D">
        <w:rPr>
          <w:rFonts w:ascii="Verdana" w:hAnsi="Verdana"/>
          <w:sz w:val="20"/>
          <w:szCs w:val="20"/>
        </w:rPr>
        <w:t>s</w:t>
      </w:r>
      <w:r w:rsidR="00B23667" w:rsidRPr="0024145D">
        <w:rPr>
          <w:rFonts w:ascii="Verdana" w:hAnsi="Verdana"/>
          <w:sz w:val="20"/>
          <w:szCs w:val="20"/>
        </w:rPr>
        <w:t xml:space="preserve"> de reparación</w:t>
      </w:r>
      <w:r w:rsidR="00CD79D7" w:rsidRPr="0024145D">
        <w:rPr>
          <w:rFonts w:ascii="Verdana" w:hAnsi="Verdana"/>
          <w:sz w:val="20"/>
          <w:szCs w:val="20"/>
        </w:rPr>
        <w:t>:</w:t>
      </w:r>
    </w:p>
    <w:p w14:paraId="00C271B8" w14:textId="0A8DF402" w:rsidR="00CD79D7" w:rsidRPr="00E8011F" w:rsidRDefault="00CD79D7" w:rsidP="00BD1B76">
      <w:pPr>
        <w:pStyle w:val="Prrafodelista"/>
        <w:suppressLineNumbers/>
        <w:autoSpaceDE w:val="0"/>
        <w:autoSpaceDN w:val="0"/>
        <w:adjustRightInd w:val="0"/>
        <w:spacing w:before="240" w:after="0" w:line="240" w:lineRule="auto"/>
        <w:ind w:left="357"/>
        <w:contextualSpacing w:val="0"/>
        <w:jc w:val="both"/>
        <w:rPr>
          <w:rFonts w:ascii="Verdana" w:hAnsi="Verdana"/>
          <w:sz w:val="20"/>
          <w:szCs w:val="20"/>
        </w:rPr>
      </w:pPr>
      <w:r w:rsidRPr="00E8011F">
        <w:rPr>
          <w:rFonts w:ascii="Verdana" w:hAnsi="Verdana"/>
          <w:sz w:val="20"/>
          <w:szCs w:val="20"/>
        </w:rPr>
        <w:t xml:space="preserve">a) </w:t>
      </w:r>
      <w:r w:rsidR="0051472C" w:rsidRPr="00E8011F">
        <w:rPr>
          <w:rFonts w:ascii="Verdana" w:hAnsi="Verdana"/>
          <w:sz w:val="20"/>
        </w:rPr>
        <w:t>adoptar todas las medidas judiciales, administrativas o de cualquier otra índole para dejar sin efecto, en todos sus extremos, las sentencias penales condenatorias emitidas en contra de las ocho víctimas del presente caso (</w:t>
      </w:r>
      <w:r w:rsidR="0051472C" w:rsidRPr="00E8011F">
        <w:rPr>
          <w:rFonts w:ascii="Verdana" w:hAnsi="Verdana"/>
          <w:i/>
          <w:sz w:val="20"/>
          <w:szCs w:val="20"/>
        </w:rPr>
        <w:t>punto resolutivo décimo sexto</w:t>
      </w:r>
      <w:r w:rsidR="00D54AC6" w:rsidRPr="00E8011F">
        <w:rPr>
          <w:rFonts w:ascii="Verdana" w:hAnsi="Verdana"/>
          <w:i/>
          <w:sz w:val="20"/>
        </w:rPr>
        <w:t xml:space="preserve"> de la Sentencia</w:t>
      </w:r>
      <w:r w:rsidR="00E4116C" w:rsidRPr="00E8011F">
        <w:rPr>
          <w:rFonts w:ascii="Verdana" w:hAnsi="Verdana"/>
          <w:sz w:val="20"/>
        </w:rPr>
        <w:t>)</w:t>
      </w:r>
      <w:r w:rsidR="006B0974" w:rsidRPr="00E8011F">
        <w:rPr>
          <w:rFonts w:ascii="Verdana" w:hAnsi="Verdana"/>
          <w:sz w:val="20"/>
        </w:rPr>
        <w:t xml:space="preserve">. Únicamente se encuentra pendiente que el Estado </w:t>
      </w:r>
      <w:r w:rsidR="00C82C5F">
        <w:rPr>
          <w:rFonts w:ascii="Verdana" w:hAnsi="Verdana"/>
          <w:sz w:val="20"/>
        </w:rPr>
        <w:t xml:space="preserve">acredite la eliminación de antecedentes de las víctimas de </w:t>
      </w:r>
      <w:r w:rsidR="00E8011F" w:rsidRPr="00E8011F">
        <w:rPr>
          <w:rFonts w:ascii="Verdana" w:hAnsi="Verdana"/>
          <w:sz w:val="20"/>
          <w:szCs w:val="20"/>
        </w:rPr>
        <w:t>los registros de la Agencia Nacional de Inteligencia derivados de los procesos penales</w:t>
      </w:r>
      <w:r w:rsidR="004C40EF">
        <w:rPr>
          <w:rFonts w:ascii="Verdana" w:hAnsi="Verdana"/>
          <w:sz w:val="20"/>
          <w:szCs w:val="20"/>
        </w:rPr>
        <w:t xml:space="preserve"> por los cuales fueron condenada</w:t>
      </w:r>
      <w:r w:rsidR="00E8011F" w:rsidRPr="00E8011F">
        <w:rPr>
          <w:rFonts w:ascii="Verdana" w:hAnsi="Verdana"/>
          <w:sz w:val="20"/>
          <w:szCs w:val="20"/>
        </w:rPr>
        <w:t xml:space="preserve">s por delitos de terrorismo </w:t>
      </w:r>
      <w:r w:rsidR="006B0974" w:rsidRPr="00E8011F">
        <w:rPr>
          <w:rFonts w:ascii="Verdana" w:hAnsi="Verdana"/>
          <w:sz w:val="20"/>
          <w:szCs w:val="20"/>
        </w:rPr>
        <w:t>según lo indicado en los Considerandos</w:t>
      </w:r>
      <w:r w:rsidR="00B46E3C" w:rsidRPr="00E8011F">
        <w:rPr>
          <w:rFonts w:ascii="Verdana" w:hAnsi="Verdana"/>
          <w:sz w:val="20"/>
          <w:szCs w:val="20"/>
        </w:rPr>
        <w:t xml:space="preserve"> </w:t>
      </w:r>
      <w:r w:rsidR="000C7A9E" w:rsidRPr="00E8011F">
        <w:rPr>
          <w:rFonts w:ascii="Verdana" w:hAnsi="Verdana"/>
          <w:sz w:val="20"/>
          <w:szCs w:val="20"/>
        </w:rPr>
        <w:t>17</w:t>
      </w:r>
      <w:r w:rsidR="00E8011F">
        <w:rPr>
          <w:rFonts w:ascii="Verdana" w:hAnsi="Verdana"/>
          <w:sz w:val="20"/>
          <w:szCs w:val="20"/>
        </w:rPr>
        <w:t xml:space="preserve"> y 18</w:t>
      </w:r>
      <w:r w:rsidR="006B0974" w:rsidRPr="00E8011F">
        <w:rPr>
          <w:rFonts w:ascii="Verdana" w:hAnsi="Verdana"/>
          <w:sz w:val="20"/>
          <w:szCs w:val="20"/>
        </w:rPr>
        <w:t xml:space="preserve"> de la presente Resolución</w:t>
      </w:r>
      <w:r w:rsidRPr="00E8011F">
        <w:rPr>
          <w:rFonts w:ascii="Verdana" w:hAnsi="Verdana" w:cs="Times New Roman"/>
          <w:color w:val="090909"/>
          <w:sz w:val="20"/>
          <w:szCs w:val="20"/>
        </w:rPr>
        <w:t>,</w:t>
      </w:r>
      <w:r w:rsidR="00E8011F" w:rsidRPr="00E8011F">
        <w:rPr>
          <w:rFonts w:ascii="Verdana" w:hAnsi="Verdana" w:cs="Times New Roman"/>
          <w:color w:val="090909"/>
          <w:sz w:val="20"/>
          <w:szCs w:val="20"/>
        </w:rPr>
        <w:t xml:space="preserve"> y</w:t>
      </w:r>
      <w:r w:rsidRPr="00E8011F">
        <w:rPr>
          <w:rFonts w:ascii="Verdana" w:hAnsi="Verdana" w:cs="Times New Roman"/>
          <w:color w:val="090909"/>
          <w:sz w:val="20"/>
          <w:szCs w:val="20"/>
        </w:rPr>
        <w:t xml:space="preserve"> </w:t>
      </w:r>
    </w:p>
    <w:p w14:paraId="78161F13" w14:textId="474F4F4B" w:rsidR="00D230DC" w:rsidRPr="0024145D" w:rsidRDefault="00CD79D7" w:rsidP="00BD1B76">
      <w:pPr>
        <w:pStyle w:val="Prrafodelista"/>
        <w:suppressLineNumbers/>
        <w:autoSpaceDE w:val="0"/>
        <w:autoSpaceDN w:val="0"/>
        <w:adjustRightInd w:val="0"/>
        <w:spacing w:before="240" w:after="0" w:line="240" w:lineRule="auto"/>
        <w:ind w:left="357"/>
        <w:contextualSpacing w:val="0"/>
        <w:jc w:val="both"/>
        <w:rPr>
          <w:rFonts w:ascii="Verdana" w:hAnsi="Verdana"/>
          <w:sz w:val="20"/>
          <w:szCs w:val="20"/>
          <w:lang w:val="es-MX"/>
        </w:rPr>
      </w:pPr>
      <w:r w:rsidRPr="0024145D">
        <w:rPr>
          <w:rFonts w:ascii="Verdana" w:hAnsi="Verdana"/>
          <w:sz w:val="20"/>
          <w:szCs w:val="20"/>
        </w:rPr>
        <w:t xml:space="preserve">b) </w:t>
      </w:r>
      <w:r w:rsidR="00D230DC" w:rsidRPr="0024145D">
        <w:rPr>
          <w:rFonts w:ascii="Verdana" w:hAnsi="Verdana"/>
          <w:sz w:val="20"/>
          <w:szCs w:val="20"/>
        </w:rPr>
        <w:t>otorgar becas de estudio en instituciones públicas chilenas en beneficio de las víctimas y los hijos de éstas que así lo soliciten (</w:t>
      </w:r>
      <w:r w:rsidR="00D230DC" w:rsidRPr="0024145D">
        <w:rPr>
          <w:rFonts w:ascii="Verdana" w:hAnsi="Verdana"/>
          <w:i/>
          <w:sz w:val="20"/>
          <w:szCs w:val="20"/>
        </w:rPr>
        <w:t>punto resolutivo décimo noveno de la Sentencia</w:t>
      </w:r>
      <w:r w:rsidR="00D230DC" w:rsidRPr="0024145D">
        <w:rPr>
          <w:rFonts w:ascii="Verdana" w:hAnsi="Verdana"/>
          <w:sz w:val="20"/>
          <w:szCs w:val="20"/>
        </w:rPr>
        <w:t>)</w:t>
      </w:r>
      <w:r w:rsidR="00D230DC" w:rsidRPr="0024145D">
        <w:rPr>
          <w:rFonts w:ascii="Verdana" w:hAnsi="Verdana"/>
          <w:sz w:val="20"/>
          <w:szCs w:val="20"/>
          <w:lang w:val="es-MX"/>
        </w:rPr>
        <w:t>.</w:t>
      </w:r>
    </w:p>
    <w:p w14:paraId="5FE67D95" w14:textId="77777777" w:rsidR="00E4116C" w:rsidRPr="0024145D" w:rsidRDefault="00E4116C" w:rsidP="00BD1B76">
      <w:pPr>
        <w:pStyle w:val="Prrafodelista"/>
        <w:suppressLineNumbers/>
        <w:spacing w:before="240"/>
        <w:rPr>
          <w:rFonts w:ascii="Verdana" w:hAnsi="Verdana"/>
          <w:sz w:val="20"/>
          <w:szCs w:val="20"/>
          <w:lang w:val="es-MX"/>
        </w:rPr>
      </w:pPr>
    </w:p>
    <w:p w14:paraId="31478E7B" w14:textId="17F8DD35" w:rsidR="00993F7D" w:rsidRPr="0024145D" w:rsidRDefault="00B23667" w:rsidP="00BD1B76">
      <w:pPr>
        <w:pStyle w:val="Prrafodelista"/>
        <w:numPr>
          <w:ilvl w:val="0"/>
          <w:numId w:val="24"/>
        </w:numPr>
        <w:suppressLineNumbers/>
        <w:autoSpaceDE w:val="0"/>
        <w:autoSpaceDN w:val="0"/>
        <w:adjustRightInd w:val="0"/>
        <w:spacing w:before="240" w:after="0" w:line="240" w:lineRule="auto"/>
        <w:ind w:left="0" w:firstLine="0"/>
        <w:contextualSpacing w:val="0"/>
        <w:jc w:val="both"/>
        <w:rPr>
          <w:rFonts w:ascii="Verdana" w:hAnsi="Verdana"/>
          <w:sz w:val="20"/>
          <w:szCs w:val="20"/>
          <w:lang w:val="es-MX"/>
        </w:rPr>
      </w:pPr>
      <w:r w:rsidRPr="0024145D">
        <w:rPr>
          <w:rFonts w:ascii="Verdana" w:hAnsi="Verdana"/>
          <w:sz w:val="20"/>
          <w:szCs w:val="20"/>
          <w:lang w:val="es-MX"/>
        </w:rPr>
        <w:t xml:space="preserve">Declarar, de conformidad con lo señalado en </w:t>
      </w:r>
      <w:r w:rsidR="00993F7D" w:rsidRPr="0024145D">
        <w:rPr>
          <w:rFonts w:ascii="Verdana" w:hAnsi="Verdana"/>
          <w:sz w:val="20"/>
          <w:szCs w:val="20"/>
          <w:lang w:val="es-MX"/>
        </w:rPr>
        <w:t>el</w:t>
      </w:r>
      <w:r w:rsidRPr="0024145D">
        <w:rPr>
          <w:rFonts w:ascii="Verdana" w:hAnsi="Verdana"/>
          <w:sz w:val="20"/>
          <w:szCs w:val="20"/>
          <w:lang w:val="es-MX"/>
        </w:rPr>
        <w:t xml:space="preserve"> Considerando</w:t>
      </w:r>
      <w:r w:rsidR="00993F7D" w:rsidRPr="0024145D">
        <w:rPr>
          <w:rFonts w:ascii="Verdana" w:hAnsi="Verdana"/>
          <w:sz w:val="20"/>
          <w:szCs w:val="20"/>
          <w:lang w:val="es-MX"/>
        </w:rPr>
        <w:t xml:space="preserve"> 2</w:t>
      </w:r>
      <w:r w:rsidR="00E8011F">
        <w:rPr>
          <w:rFonts w:ascii="Verdana" w:hAnsi="Verdana"/>
          <w:sz w:val="20"/>
          <w:szCs w:val="20"/>
          <w:lang w:val="es-MX"/>
        </w:rPr>
        <w:t>9</w:t>
      </w:r>
      <w:r w:rsidR="00993F7D" w:rsidRPr="0024145D">
        <w:rPr>
          <w:rFonts w:ascii="Verdana" w:hAnsi="Verdana"/>
          <w:sz w:val="20"/>
          <w:szCs w:val="20"/>
          <w:lang w:val="es-MX"/>
        </w:rPr>
        <w:t xml:space="preserve"> d</w:t>
      </w:r>
      <w:r w:rsidRPr="0024145D">
        <w:rPr>
          <w:rFonts w:ascii="Verdana" w:hAnsi="Verdana"/>
          <w:sz w:val="20"/>
          <w:szCs w:val="20"/>
          <w:lang w:val="es-MX"/>
        </w:rPr>
        <w:t xml:space="preserve">e la presente Resolución, que el Estado ha </w:t>
      </w:r>
      <w:r w:rsidR="00993F7D" w:rsidRPr="0024145D">
        <w:rPr>
          <w:rFonts w:ascii="Verdana" w:hAnsi="Verdana"/>
          <w:sz w:val="20"/>
          <w:szCs w:val="20"/>
          <w:lang w:val="es-MX"/>
        </w:rPr>
        <w:t>venido dando cumplimiento y debe continuar implementando l</w:t>
      </w:r>
      <w:r w:rsidRPr="0024145D">
        <w:rPr>
          <w:rFonts w:ascii="Verdana" w:hAnsi="Verdana"/>
          <w:sz w:val="20"/>
          <w:szCs w:val="20"/>
          <w:lang w:val="es-MX"/>
        </w:rPr>
        <w:t xml:space="preserve">a medida de reparación </w:t>
      </w:r>
      <w:r w:rsidR="00C82C5F">
        <w:rPr>
          <w:rFonts w:ascii="Verdana" w:hAnsi="Verdana"/>
          <w:sz w:val="20"/>
          <w:szCs w:val="20"/>
          <w:lang w:val="es-MX"/>
        </w:rPr>
        <w:t xml:space="preserve">relativa a </w:t>
      </w:r>
      <w:r w:rsidR="00E4116C" w:rsidRPr="0024145D">
        <w:rPr>
          <w:rFonts w:ascii="Verdana" w:hAnsi="Verdana"/>
          <w:sz w:val="20"/>
        </w:rPr>
        <w:t>brindar</w:t>
      </w:r>
      <w:r w:rsidR="006B0974">
        <w:rPr>
          <w:rFonts w:ascii="Verdana" w:hAnsi="Verdana"/>
          <w:sz w:val="20"/>
        </w:rPr>
        <w:t xml:space="preserve"> </w:t>
      </w:r>
      <w:r w:rsidR="00E4116C" w:rsidRPr="0024145D">
        <w:rPr>
          <w:rFonts w:ascii="Verdana" w:hAnsi="Verdana"/>
          <w:sz w:val="20"/>
        </w:rPr>
        <w:t>tratamiento médico a las víctimas que así lo soliciten</w:t>
      </w:r>
      <w:r w:rsidRPr="0024145D">
        <w:rPr>
          <w:rFonts w:ascii="Verdana" w:hAnsi="Verdana"/>
          <w:sz w:val="20"/>
          <w:szCs w:val="20"/>
          <w:lang w:val="es-MX"/>
        </w:rPr>
        <w:t xml:space="preserve"> </w:t>
      </w:r>
      <w:r w:rsidR="00E4116C" w:rsidRPr="0024145D">
        <w:rPr>
          <w:rFonts w:ascii="Verdana" w:hAnsi="Verdana"/>
          <w:sz w:val="20"/>
        </w:rPr>
        <w:t>(</w:t>
      </w:r>
      <w:r w:rsidR="00E4116C" w:rsidRPr="0024145D">
        <w:rPr>
          <w:rFonts w:ascii="Verdana" w:hAnsi="Verdana"/>
          <w:i/>
          <w:sz w:val="20"/>
        </w:rPr>
        <w:t>punto resolutivo décimo séptimo de la Sentencia</w:t>
      </w:r>
      <w:r w:rsidR="00993F7D" w:rsidRPr="0024145D">
        <w:rPr>
          <w:rFonts w:ascii="Verdana" w:hAnsi="Verdana"/>
          <w:sz w:val="20"/>
        </w:rPr>
        <w:t>).</w:t>
      </w:r>
      <w:r w:rsidR="00626A99">
        <w:rPr>
          <w:rFonts w:ascii="Verdana" w:hAnsi="Verdana"/>
          <w:sz w:val="20"/>
        </w:rPr>
        <w:t xml:space="preserve"> La </w:t>
      </w:r>
      <w:r w:rsidR="00144E1C">
        <w:rPr>
          <w:rFonts w:ascii="Verdana" w:hAnsi="Verdana"/>
          <w:sz w:val="20"/>
        </w:rPr>
        <w:t>Corte</w:t>
      </w:r>
      <w:r w:rsidR="00626A99">
        <w:rPr>
          <w:rFonts w:ascii="Verdana" w:hAnsi="Verdana"/>
          <w:sz w:val="20"/>
        </w:rPr>
        <w:t xml:space="preserve"> no cuenta con información respecto al componente de la medida relativo a brindar tratamiento psicológico </w:t>
      </w:r>
      <w:r w:rsidR="005961DD">
        <w:rPr>
          <w:rFonts w:ascii="Verdana" w:hAnsi="Verdana"/>
          <w:sz w:val="20"/>
        </w:rPr>
        <w:t>y/</w:t>
      </w:r>
      <w:r w:rsidR="00626A99">
        <w:rPr>
          <w:rFonts w:ascii="Verdana" w:hAnsi="Verdana"/>
          <w:sz w:val="20"/>
        </w:rPr>
        <w:t xml:space="preserve">o psiquiátrico a las víctimas. </w:t>
      </w:r>
    </w:p>
    <w:p w14:paraId="40CCDBC7" w14:textId="77777777" w:rsidR="00993F7D" w:rsidRPr="00993F7D" w:rsidRDefault="00993F7D" w:rsidP="00BD1B76">
      <w:pPr>
        <w:pStyle w:val="Prrafodelista"/>
        <w:suppressLineNumbers/>
        <w:spacing w:before="240"/>
        <w:rPr>
          <w:rFonts w:ascii="Verdana" w:hAnsi="Verdana"/>
          <w:sz w:val="20"/>
        </w:rPr>
      </w:pPr>
    </w:p>
    <w:p w14:paraId="14E9EA40" w14:textId="033930F2" w:rsidR="00D54AC6" w:rsidRPr="00A32447" w:rsidRDefault="00D54AC6" w:rsidP="00BD1B76">
      <w:pPr>
        <w:pStyle w:val="Prrafodelista"/>
        <w:numPr>
          <w:ilvl w:val="0"/>
          <w:numId w:val="24"/>
        </w:numPr>
        <w:suppressLineNumbers/>
        <w:spacing w:before="240" w:after="0" w:line="240" w:lineRule="auto"/>
        <w:ind w:left="0" w:firstLine="0"/>
        <w:contextualSpacing w:val="0"/>
        <w:jc w:val="both"/>
        <w:rPr>
          <w:rFonts w:ascii="Verdana" w:hAnsi="Verdana"/>
          <w:sz w:val="20"/>
          <w:lang w:val="es-MX"/>
        </w:rPr>
      </w:pPr>
      <w:r w:rsidRPr="00A32447">
        <w:rPr>
          <w:rFonts w:ascii="Verdana" w:hAnsi="Verdana"/>
          <w:sz w:val="20"/>
        </w:rPr>
        <w:t>Mantener abierto el procedimiento de supervisión de cumplimiento respecto de las siguientes medidas de reparación pendientes de acatamiento:</w:t>
      </w:r>
    </w:p>
    <w:p w14:paraId="64DCF272" w14:textId="77777777" w:rsidR="00E4116C" w:rsidRPr="00A32447" w:rsidRDefault="00E4116C" w:rsidP="00BD1B76">
      <w:pPr>
        <w:pStyle w:val="Prrafodelista"/>
        <w:suppressLineNumbers/>
        <w:spacing w:before="240" w:line="240" w:lineRule="auto"/>
        <w:rPr>
          <w:rFonts w:ascii="Verdana" w:hAnsi="Verdana"/>
          <w:sz w:val="20"/>
          <w:lang w:val="es-MX"/>
        </w:rPr>
      </w:pPr>
    </w:p>
    <w:p w14:paraId="4F108B71" w14:textId="2D98A73B" w:rsidR="00BD1B76" w:rsidRPr="00BD1B76" w:rsidRDefault="00C82C5F" w:rsidP="00BD1B76">
      <w:pPr>
        <w:pStyle w:val="Prrafodelista"/>
        <w:numPr>
          <w:ilvl w:val="0"/>
          <w:numId w:val="18"/>
        </w:numPr>
        <w:suppressLineNumbers/>
        <w:spacing w:before="240" w:after="0" w:line="240" w:lineRule="auto"/>
        <w:ind w:left="714" w:right="6" w:hanging="357"/>
        <w:jc w:val="both"/>
        <w:rPr>
          <w:rFonts w:ascii="Verdana" w:hAnsi="Verdana"/>
          <w:sz w:val="20"/>
        </w:rPr>
      </w:pPr>
      <w:r w:rsidRPr="00BD1B76">
        <w:rPr>
          <w:rFonts w:ascii="Verdana" w:hAnsi="Verdana"/>
          <w:sz w:val="20"/>
          <w:szCs w:val="20"/>
        </w:rPr>
        <w:t xml:space="preserve">suprimir los antecedentes judiciales, administrativos, penales o policiales que existan en contra de las ocho víctimas en relación con las referidas sentencias, así como la anulación de su inscripción en cualquier tipo de registro nacional e internacional que los vincule con actos de carácter terrorista, en lo que respecta a acreditar lo relativo a la Agencia Nacional de Inteligencia </w:t>
      </w:r>
      <w:r w:rsidR="004474A8" w:rsidRPr="00BD1B76">
        <w:rPr>
          <w:rFonts w:ascii="Verdana" w:hAnsi="Verdana"/>
          <w:sz w:val="20"/>
        </w:rPr>
        <w:t>(</w:t>
      </w:r>
      <w:r w:rsidR="004474A8" w:rsidRPr="00BD1B76">
        <w:rPr>
          <w:rFonts w:ascii="Verdana" w:hAnsi="Verdana"/>
          <w:i/>
          <w:sz w:val="20"/>
        </w:rPr>
        <w:t xml:space="preserve">punto </w:t>
      </w:r>
      <w:r w:rsidR="00E4116C" w:rsidRPr="00BD1B76">
        <w:rPr>
          <w:rFonts w:ascii="Verdana" w:hAnsi="Verdana"/>
          <w:i/>
          <w:sz w:val="20"/>
        </w:rPr>
        <w:t>resolutivo</w:t>
      </w:r>
      <w:r w:rsidR="004474A8" w:rsidRPr="00BD1B76">
        <w:rPr>
          <w:rFonts w:ascii="Verdana" w:hAnsi="Verdana"/>
          <w:i/>
          <w:sz w:val="20"/>
        </w:rPr>
        <w:t xml:space="preserve"> décimo sexto de la Sentencia</w:t>
      </w:r>
      <w:r w:rsidR="004474A8" w:rsidRPr="00BD1B76">
        <w:rPr>
          <w:rFonts w:ascii="Verdana" w:hAnsi="Verdana"/>
          <w:sz w:val="20"/>
        </w:rPr>
        <w:t>);</w:t>
      </w:r>
    </w:p>
    <w:p w14:paraId="4C0C9120" w14:textId="2A198D13" w:rsidR="004B6979" w:rsidRPr="00BD1B76" w:rsidRDefault="004474A8" w:rsidP="00BD1B76">
      <w:pPr>
        <w:pStyle w:val="Prrafodelista"/>
        <w:numPr>
          <w:ilvl w:val="0"/>
          <w:numId w:val="18"/>
        </w:numPr>
        <w:suppressLineNumbers/>
        <w:spacing w:before="240" w:after="0" w:line="240" w:lineRule="auto"/>
        <w:ind w:right="6"/>
        <w:contextualSpacing w:val="0"/>
        <w:jc w:val="both"/>
        <w:rPr>
          <w:rFonts w:ascii="Verdana" w:hAnsi="Verdana"/>
          <w:sz w:val="20"/>
        </w:rPr>
      </w:pPr>
      <w:r w:rsidRPr="00BD1B76">
        <w:rPr>
          <w:rFonts w:ascii="Verdana" w:hAnsi="Verdana"/>
          <w:sz w:val="20"/>
        </w:rPr>
        <w:t>brindar, de forma gratuita e inmediata, el tratamiento médico y psicológico o psiquiátrico a las víctimas que así lo soliciten (</w:t>
      </w:r>
      <w:r w:rsidRPr="00BD1B76">
        <w:rPr>
          <w:rFonts w:ascii="Verdana" w:hAnsi="Verdana"/>
          <w:i/>
          <w:sz w:val="20"/>
        </w:rPr>
        <w:t xml:space="preserve">punto </w:t>
      </w:r>
      <w:r w:rsidR="00E4116C" w:rsidRPr="00BD1B76">
        <w:rPr>
          <w:rFonts w:ascii="Verdana" w:hAnsi="Verdana"/>
          <w:i/>
          <w:sz w:val="20"/>
        </w:rPr>
        <w:t>resolutivo</w:t>
      </w:r>
      <w:r w:rsidRPr="00BD1B76">
        <w:rPr>
          <w:rFonts w:ascii="Verdana" w:hAnsi="Verdana"/>
          <w:i/>
          <w:sz w:val="20"/>
        </w:rPr>
        <w:t xml:space="preserve"> décimo séptimo</w:t>
      </w:r>
      <w:r w:rsidR="00BD1B76">
        <w:rPr>
          <w:rFonts w:ascii="Verdana" w:hAnsi="Verdana"/>
          <w:i/>
          <w:sz w:val="20"/>
        </w:rPr>
        <w:t xml:space="preserve"> </w:t>
      </w:r>
      <w:r w:rsidRPr="00BD1B76">
        <w:rPr>
          <w:rFonts w:ascii="Verdana" w:hAnsi="Verdana"/>
          <w:i/>
          <w:sz w:val="20"/>
        </w:rPr>
        <w:t>de la Sentencia</w:t>
      </w:r>
      <w:r w:rsidRPr="00BD1B76">
        <w:rPr>
          <w:rFonts w:ascii="Verdana" w:hAnsi="Verdana"/>
          <w:sz w:val="20"/>
        </w:rPr>
        <w:t>);</w:t>
      </w:r>
      <w:r w:rsidR="004B6979" w:rsidRPr="00BD1B76">
        <w:rPr>
          <w:rFonts w:ascii="Verdana" w:hAnsi="Verdana"/>
          <w:sz w:val="20"/>
        </w:rPr>
        <w:t xml:space="preserve"> </w:t>
      </w:r>
    </w:p>
    <w:p w14:paraId="41224C7A" w14:textId="54F1FE7D" w:rsidR="004474A8" w:rsidRPr="00BD1B76" w:rsidRDefault="004474A8" w:rsidP="00BD1B76">
      <w:pPr>
        <w:pStyle w:val="Prrafodelista"/>
        <w:numPr>
          <w:ilvl w:val="0"/>
          <w:numId w:val="18"/>
        </w:numPr>
        <w:suppressLineNumbers/>
        <w:spacing w:before="240" w:after="0" w:line="240" w:lineRule="auto"/>
        <w:ind w:right="6"/>
        <w:contextualSpacing w:val="0"/>
        <w:jc w:val="both"/>
        <w:rPr>
          <w:rFonts w:ascii="Verdana" w:hAnsi="Verdana"/>
          <w:sz w:val="20"/>
        </w:rPr>
      </w:pPr>
      <w:r w:rsidRPr="00BD1B76">
        <w:rPr>
          <w:rFonts w:ascii="Verdana" w:hAnsi="Verdana"/>
          <w:sz w:val="20"/>
        </w:rPr>
        <w:t>otorgar becas de estudio en instituciones públicas chilenas en beneficio de las víctimas y los hijos de éstas que así lo soliciten (</w:t>
      </w:r>
      <w:r w:rsidRPr="00BD1B76">
        <w:rPr>
          <w:rFonts w:ascii="Verdana" w:hAnsi="Verdana"/>
          <w:i/>
          <w:sz w:val="20"/>
        </w:rPr>
        <w:t xml:space="preserve">punto </w:t>
      </w:r>
      <w:r w:rsidR="00E4116C" w:rsidRPr="00BD1B76">
        <w:rPr>
          <w:rFonts w:ascii="Verdana" w:hAnsi="Verdana"/>
          <w:i/>
          <w:sz w:val="20"/>
        </w:rPr>
        <w:t>resolutivo</w:t>
      </w:r>
      <w:r w:rsidRPr="00BD1B76">
        <w:rPr>
          <w:rFonts w:ascii="Verdana" w:hAnsi="Verdana"/>
          <w:i/>
          <w:sz w:val="20"/>
        </w:rPr>
        <w:t xml:space="preserve"> décimo noveno</w:t>
      </w:r>
      <w:r w:rsidR="00BD1B76">
        <w:rPr>
          <w:rFonts w:ascii="Verdana" w:hAnsi="Verdana"/>
          <w:i/>
          <w:sz w:val="20"/>
        </w:rPr>
        <w:t xml:space="preserve"> </w:t>
      </w:r>
      <w:r w:rsidRPr="00BD1B76">
        <w:rPr>
          <w:rFonts w:ascii="Verdana" w:hAnsi="Verdana"/>
          <w:i/>
          <w:sz w:val="20"/>
        </w:rPr>
        <w:t>de la Sentencia</w:t>
      </w:r>
      <w:r w:rsidRPr="00BD1B76">
        <w:rPr>
          <w:rFonts w:ascii="Verdana" w:hAnsi="Verdana"/>
          <w:sz w:val="20"/>
        </w:rPr>
        <w:t>), y</w:t>
      </w:r>
    </w:p>
    <w:p w14:paraId="07927981" w14:textId="017C3009" w:rsidR="004474A8" w:rsidRPr="009D2608" w:rsidRDefault="004474A8" w:rsidP="00BD1B76">
      <w:pPr>
        <w:pStyle w:val="Prrafodelista"/>
        <w:numPr>
          <w:ilvl w:val="0"/>
          <w:numId w:val="18"/>
        </w:numPr>
        <w:suppressLineNumbers/>
        <w:spacing w:before="240" w:after="0" w:line="240" w:lineRule="auto"/>
        <w:ind w:right="6"/>
        <w:contextualSpacing w:val="0"/>
        <w:jc w:val="both"/>
        <w:rPr>
          <w:rFonts w:ascii="Verdana" w:hAnsi="Verdana"/>
          <w:sz w:val="20"/>
          <w:lang w:val="es-MX"/>
        </w:rPr>
      </w:pPr>
      <w:r w:rsidRPr="004B6979">
        <w:rPr>
          <w:rFonts w:ascii="Verdana" w:hAnsi="Verdana"/>
          <w:sz w:val="20"/>
        </w:rPr>
        <w:t>regular con claridad y seguridad la medida procesal de protección de testigos relativa a la reserva de identidad, asegurando que se trate de una medida excepcional, sujeta a control judicial en base a los principios de necesidad y proporcionalidad, y que ese medio de prueba no sea utilizado en grado decisivo</w:t>
      </w:r>
      <w:r w:rsidRPr="0051472C">
        <w:rPr>
          <w:rFonts w:ascii="Verdana" w:hAnsi="Verdana"/>
          <w:sz w:val="20"/>
        </w:rPr>
        <w:t xml:space="preserve"> para fundar una condena, así como regular las correspondientes medidas de contrapeso que aseguren que la afectación al derecho de defensa sea suficientemente </w:t>
      </w:r>
      <w:r w:rsidRPr="009D2608">
        <w:rPr>
          <w:rFonts w:ascii="Verdana" w:hAnsi="Verdana"/>
          <w:sz w:val="20"/>
        </w:rPr>
        <w:t>contrarrestada (</w:t>
      </w:r>
      <w:r w:rsidRPr="009D2608">
        <w:rPr>
          <w:rFonts w:ascii="Verdana" w:hAnsi="Verdana"/>
          <w:i/>
          <w:sz w:val="20"/>
        </w:rPr>
        <w:t xml:space="preserve">punto </w:t>
      </w:r>
      <w:r w:rsidR="00E4116C" w:rsidRPr="009D2608">
        <w:rPr>
          <w:rFonts w:ascii="Verdana" w:hAnsi="Verdana"/>
          <w:i/>
          <w:sz w:val="20"/>
        </w:rPr>
        <w:t>resolutivo</w:t>
      </w:r>
      <w:r w:rsidRPr="009D2608">
        <w:rPr>
          <w:rFonts w:ascii="Verdana" w:hAnsi="Verdana"/>
          <w:i/>
          <w:sz w:val="20"/>
        </w:rPr>
        <w:t xml:space="preserve"> </w:t>
      </w:r>
      <w:r w:rsidR="00B2076E">
        <w:rPr>
          <w:rFonts w:ascii="Verdana" w:hAnsi="Verdana"/>
          <w:i/>
          <w:sz w:val="20"/>
        </w:rPr>
        <w:t>vigésimo</w:t>
      </w:r>
      <w:r w:rsidRPr="009D2608">
        <w:rPr>
          <w:rFonts w:ascii="Verdana" w:hAnsi="Verdana"/>
          <w:i/>
          <w:sz w:val="20"/>
        </w:rPr>
        <w:t xml:space="preserve"> de la Sentencia</w:t>
      </w:r>
      <w:r w:rsidRPr="009D2608">
        <w:rPr>
          <w:rFonts w:ascii="Verdana" w:hAnsi="Verdana"/>
          <w:sz w:val="20"/>
        </w:rPr>
        <w:t>).</w:t>
      </w:r>
    </w:p>
    <w:p w14:paraId="590F606F" w14:textId="77777777" w:rsidR="004474A8" w:rsidRPr="009D2608" w:rsidRDefault="004474A8" w:rsidP="00BD1B76">
      <w:pPr>
        <w:pStyle w:val="Prrafodelista"/>
        <w:suppressLineNumbers/>
        <w:spacing w:before="240" w:after="0" w:line="240" w:lineRule="auto"/>
        <w:ind w:right="4"/>
        <w:contextualSpacing w:val="0"/>
        <w:jc w:val="both"/>
        <w:rPr>
          <w:rFonts w:ascii="Verdana" w:hAnsi="Verdana"/>
          <w:sz w:val="20"/>
          <w:highlight w:val="yellow"/>
          <w:lang w:val="es-MX"/>
        </w:rPr>
      </w:pPr>
    </w:p>
    <w:p w14:paraId="5DD88AD5" w14:textId="1DE4B596" w:rsidR="004B6979" w:rsidRPr="004B6979" w:rsidRDefault="00D54AC6" w:rsidP="00BD1B76">
      <w:pPr>
        <w:pStyle w:val="Prrafodelista"/>
        <w:numPr>
          <w:ilvl w:val="0"/>
          <w:numId w:val="24"/>
        </w:numPr>
        <w:suppressLineNumbers/>
        <w:spacing w:before="240" w:after="0" w:line="240" w:lineRule="auto"/>
        <w:ind w:left="0" w:firstLine="0"/>
        <w:jc w:val="both"/>
        <w:rPr>
          <w:rFonts w:ascii="Verdana" w:hAnsi="Verdana"/>
          <w:sz w:val="20"/>
          <w:lang w:val="es-MX"/>
        </w:rPr>
      </w:pPr>
      <w:r w:rsidRPr="009D2608">
        <w:rPr>
          <w:rFonts w:ascii="Verdana" w:hAnsi="Verdana"/>
          <w:sz w:val="20"/>
        </w:rPr>
        <w:lastRenderedPageBreak/>
        <w:t xml:space="preserve">Disponer que el Estado de </w:t>
      </w:r>
      <w:r w:rsidR="004474A8" w:rsidRPr="009D2608">
        <w:rPr>
          <w:rFonts w:ascii="Verdana" w:hAnsi="Verdana"/>
          <w:sz w:val="20"/>
        </w:rPr>
        <w:t>Chile</w:t>
      </w:r>
      <w:r w:rsidRPr="009D2608">
        <w:rPr>
          <w:rFonts w:ascii="Verdana" w:hAnsi="Verdana"/>
          <w:sz w:val="20"/>
        </w:rPr>
        <w:t xml:space="preserve"> adopte, en definitiva y a la mayor brevedad posible, las medidas que sean necesarias para dar efectivo y pronto cumplimiento a las reparaciones indicadas en el punto resolutivo anterior, de acuerdo con lo considerado en la presente Resolución, y con lo estipulado en el artículo 68.1 de la Convención A</w:t>
      </w:r>
      <w:r w:rsidR="004B6979">
        <w:rPr>
          <w:rFonts w:ascii="Verdana" w:hAnsi="Verdana"/>
          <w:sz w:val="20"/>
        </w:rPr>
        <w:t>mericana sobre Derechos Humanos.</w:t>
      </w:r>
    </w:p>
    <w:p w14:paraId="6A1701FF" w14:textId="77777777" w:rsidR="004B6979" w:rsidRDefault="004B6979" w:rsidP="00BD1B76">
      <w:pPr>
        <w:pStyle w:val="Prrafodelista"/>
        <w:suppressLineNumbers/>
        <w:spacing w:before="240" w:after="0" w:line="240" w:lineRule="auto"/>
        <w:ind w:left="0"/>
        <w:jc w:val="both"/>
        <w:rPr>
          <w:rFonts w:ascii="Verdana" w:hAnsi="Verdana"/>
          <w:sz w:val="20"/>
          <w:lang w:val="es-MX"/>
        </w:rPr>
      </w:pPr>
    </w:p>
    <w:p w14:paraId="0280C05F" w14:textId="57C4DED0" w:rsidR="00E8011F" w:rsidRPr="004B6979" w:rsidRDefault="00A46FEA" w:rsidP="00BD1B76">
      <w:pPr>
        <w:pStyle w:val="Prrafodelista"/>
        <w:numPr>
          <w:ilvl w:val="0"/>
          <w:numId w:val="24"/>
        </w:numPr>
        <w:suppressLineNumbers/>
        <w:spacing w:before="240" w:after="0" w:line="240" w:lineRule="auto"/>
        <w:ind w:left="0" w:firstLine="0"/>
        <w:jc w:val="both"/>
        <w:rPr>
          <w:rFonts w:ascii="Verdana" w:hAnsi="Verdana"/>
          <w:sz w:val="20"/>
          <w:lang w:val="es-MX"/>
        </w:rPr>
      </w:pPr>
      <w:r w:rsidRPr="004B6979">
        <w:rPr>
          <w:rFonts w:ascii="Verdana" w:hAnsi="Verdana"/>
          <w:sz w:val="20"/>
        </w:rPr>
        <w:t xml:space="preserve">Reprogramar </w:t>
      </w:r>
      <w:r w:rsidR="00B46E3C" w:rsidRPr="004B6979">
        <w:rPr>
          <w:rFonts w:ascii="Verdana" w:hAnsi="Verdana"/>
          <w:sz w:val="20"/>
        </w:rPr>
        <w:t xml:space="preserve">la audiencia privada de </w:t>
      </w:r>
      <w:r w:rsidRPr="004B6979">
        <w:rPr>
          <w:rFonts w:ascii="Verdana" w:hAnsi="Verdana"/>
          <w:sz w:val="20"/>
        </w:rPr>
        <w:t>supervisión de cumplimiento de s</w:t>
      </w:r>
      <w:r w:rsidR="00B46E3C" w:rsidRPr="004B6979">
        <w:rPr>
          <w:rFonts w:ascii="Verdana" w:hAnsi="Verdana"/>
          <w:sz w:val="20"/>
        </w:rPr>
        <w:t xml:space="preserve">entencia </w:t>
      </w:r>
      <w:r w:rsidRPr="004B6979">
        <w:rPr>
          <w:rFonts w:ascii="Verdana" w:hAnsi="Verdana"/>
          <w:sz w:val="20"/>
        </w:rPr>
        <w:t>a que fueron convocados el Estado, los intervinientes comunes de los representantes de las víctimas y la Comisión Interamericana</w:t>
      </w:r>
      <w:r w:rsidR="00930822">
        <w:rPr>
          <w:rFonts w:ascii="Verdana" w:hAnsi="Verdana"/>
          <w:sz w:val="20"/>
        </w:rPr>
        <w:t xml:space="preserve"> de Derechos Humanos</w:t>
      </w:r>
      <w:r w:rsidRPr="004B6979">
        <w:rPr>
          <w:rFonts w:ascii="Verdana" w:hAnsi="Verdana"/>
          <w:sz w:val="20"/>
        </w:rPr>
        <w:t xml:space="preserve">, </w:t>
      </w:r>
      <w:r w:rsidR="005D4FF4" w:rsidRPr="004B6979">
        <w:rPr>
          <w:rFonts w:ascii="Verdana" w:hAnsi="Verdana"/>
          <w:sz w:val="20"/>
          <w:szCs w:val="20"/>
        </w:rPr>
        <w:t>para que sea efectuada</w:t>
      </w:r>
      <w:r w:rsidRPr="004B6979">
        <w:rPr>
          <w:rFonts w:ascii="Verdana" w:hAnsi="Verdana"/>
          <w:sz w:val="20"/>
          <w:szCs w:val="20"/>
        </w:rPr>
        <w:t xml:space="preserve"> de manera virtual</w:t>
      </w:r>
      <w:r w:rsidR="005D4FF4" w:rsidRPr="004B6979">
        <w:rPr>
          <w:rFonts w:ascii="Verdana" w:hAnsi="Verdana"/>
          <w:sz w:val="20"/>
          <w:szCs w:val="20"/>
        </w:rPr>
        <w:t xml:space="preserve"> </w:t>
      </w:r>
      <w:r w:rsidR="00D063A3" w:rsidRPr="004B6979">
        <w:rPr>
          <w:rFonts w:ascii="Verdana" w:hAnsi="Verdana"/>
          <w:sz w:val="20"/>
          <w:szCs w:val="20"/>
        </w:rPr>
        <w:t xml:space="preserve">el </w:t>
      </w:r>
      <w:r w:rsidR="00E8011F" w:rsidRPr="004B6979">
        <w:rPr>
          <w:rFonts w:ascii="Verdana" w:hAnsi="Verdana"/>
          <w:sz w:val="20"/>
          <w:szCs w:val="20"/>
        </w:rPr>
        <w:t>23 de abril</w:t>
      </w:r>
      <w:r w:rsidR="00D063A3" w:rsidRPr="004B6979">
        <w:rPr>
          <w:rFonts w:ascii="Verdana" w:hAnsi="Verdana"/>
          <w:sz w:val="20"/>
          <w:szCs w:val="20"/>
        </w:rPr>
        <w:t xml:space="preserve"> de 2021</w:t>
      </w:r>
      <w:r w:rsidRPr="004B6979">
        <w:rPr>
          <w:rFonts w:ascii="Verdana" w:hAnsi="Verdana"/>
          <w:sz w:val="20"/>
          <w:szCs w:val="20"/>
        </w:rPr>
        <w:t>,</w:t>
      </w:r>
      <w:r w:rsidR="00D063A3" w:rsidRPr="004B6979">
        <w:rPr>
          <w:rFonts w:ascii="Verdana" w:hAnsi="Verdana"/>
          <w:sz w:val="20"/>
          <w:szCs w:val="20"/>
        </w:rPr>
        <w:t xml:space="preserve"> </w:t>
      </w:r>
      <w:r w:rsidRPr="004B6979">
        <w:rPr>
          <w:rFonts w:ascii="Verdana" w:hAnsi="Verdana"/>
          <w:sz w:val="20"/>
          <w:szCs w:val="20"/>
        </w:rPr>
        <w:t xml:space="preserve">de las </w:t>
      </w:r>
      <w:r w:rsidR="00C82C5F">
        <w:rPr>
          <w:rFonts w:ascii="Verdana" w:hAnsi="Verdana"/>
          <w:sz w:val="20"/>
          <w:szCs w:val="20"/>
        </w:rPr>
        <w:t>10:</w:t>
      </w:r>
      <w:r w:rsidR="005961DD">
        <w:rPr>
          <w:rFonts w:ascii="Verdana" w:hAnsi="Verdana"/>
          <w:sz w:val="20"/>
          <w:szCs w:val="20"/>
        </w:rPr>
        <w:t>3</w:t>
      </w:r>
      <w:r w:rsidR="00C82C5F">
        <w:rPr>
          <w:rFonts w:ascii="Verdana" w:hAnsi="Verdana"/>
          <w:sz w:val="20"/>
          <w:szCs w:val="20"/>
        </w:rPr>
        <w:t>0 a las 1</w:t>
      </w:r>
      <w:r w:rsidR="005961DD">
        <w:rPr>
          <w:rFonts w:ascii="Verdana" w:hAnsi="Verdana"/>
          <w:sz w:val="20"/>
          <w:szCs w:val="20"/>
        </w:rPr>
        <w:t>2</w:t>
      </w:r>
      <w:r w:rsidR="00C82C5F">
        <w:rPr>
          <w:rFonts w:ascii="Verdana" w:hAnsi="Verdana"/>
          <w:sz w:val="20"/>
          <w:szCs w:val="20"/>
        </w:rPr>
        <w:t>:</w:t>
      </w:r>
      <w:r w:rsidR="005961DD">
        <w:rPr>
          <w:rFonts w:ascii="Verdana" w:hAnsi="Verdana"/>
          <w:sz w:val="20"/>
          <w:szCs w:val="20"/>
        </w:rPr>
        <w:t>0</w:t>
      </w:r>
      <w:r w:rsidR="00C82C5F">
        <w:rPr>
          <w:rFonts w:ascii="Verdana" w:hAnsi="Verdana"/>
          <w:sz w:val="20"/>
          <w:szCs w:val="20"/>
        </w:rPr>
        <w:t xml:space="preserve">0 </w:t>
      </w:r>
      <w:r w:rsidRPr="004B6979">
        <w:rPr>
          <w:rFonts w:ascii="Verdana" w:hAnsi="Verdana"/>
          <w:sz w:val="20"/>
          <w:szCs w:val="20"/>
        </w:rPr>
        <w:t xml:space="preserve">horas (horario de Costa Rica), </w:t>
      </w:r>
      <w:r w:rsidR="00D063A3" w:rsidRPr="004B6979">
        <w:rPr>
          <w:rFonts w:ascii="Verdana" w:hAnsi="Verdana"/>
          <w:sz w:val="20"/>
          <w:szCs w:val="20"/>
        </w:rPr>
        <w:t>durante el 141</w:t>
      </w:r>
      <w:r w:rsidR="0024417D" w:rsidRPr="004B6979">
        <w:rPr>
          <w:rFonts w:ascii="Verdana" w:hAnsi="Verdana"/>
          <w:sz w:val="20"/>
          <w:szCs w:val="20"/>
        </w:rPr>
        <w:t>°</w:t>
      </w:r>
      <w:r w:rsidR="00D063A3" w:rsidRPr="004B6979">
        <w:rPr>
          <w:rFonts w:ascii="Verdana" w:hAnsi="Verdana"/>
          <w:sz w:val="20"/>
          <w:szCs w:val="20"/>
        </w:rPr>
        <w:t xml:space="preserve"> Período Ordinario de Sesiones</w:t>
      </w:r>
      <w:r w:rsidRPr="004B6979">
        <w:rPr>
          <w:rFonts w:ascii="Verdana" w:hAnsi="Verdana"/>
          <w:sz w:val="20"/>
          <w:szCs w:val="20"/>
        </w:rPr>
        <w:t xml:space="preserve">, </w:t>
      </w:r>
      <w:r w:rsidRPr="004B6979">
        <w:rPr>
          <w:rFonts w:ascii="Verdana" w:hAnsi="Verdana"/>
          <w:sz w:val="20"/>
        </w:rPr>
        <w:t>de conformidad con lo señalado en el Considerando 5</w:t>
      </w:r>
      <w:r w:rsidR="00E8011F" w:rsidRPr="004B6979">
        <w:rPr>
          <w:rFonts w:ascii="Verdana" w:hAnsi="Verdana"/>
          <w:sz w:val="20"/>
        </w:rPr>
        <w:t>5</w:t>
      </w:r>
      <w:r w:rsidRPr="004B6979">
        <w:rPr>
          <w:rFonts w:ascii="Verdana" w:hAnsi="Verdana"/>
          <w:sz w:val="20"/>
        </w:rPr>
        <w:t xml:space="preserve"> de la presente Resolución</w:t>
      </w:r>
      <w:r w:rsidR="005D4FF4" w:rsidRPr="004B6979">
        <w:rPr>
          <w:rFonts w:ascii="Verdana" w:hAnsi="Verdana"/>
          <w:sz w:val="20"/>
          <w:szCs w:val="20"/>
        </w:rPr>
        <w:t>.</w:t>
      </w:r>
    </w:p>
    <w:p w14:paraId="311A7FFD" w14:textId="77777777" w:rsidR="00E8011F" w:rsidRPr="005D4FF4" w:rsidRDefault="00E8011F" w:rsidP="00BD1B76">
      <w:pPr>
        <w:pStyle w:val="Prrafodelista"/>
        <w:suppressLineNumbers/>
        <w:spacing w:before="240" w:after="0" w:line="240" w:lineRule="auto"/>
        <w:ind w:left="0"/>
        <w:jc w:val="both"/>
        <w:rPr>
          <w:rFonts w:ascii="Verdana" w:hAnsi="Verdana"/>
          <w:sz w:val="18"/>
          <w:lang w:val="es-MX"/>
        </w:rPr>
      </w:pPr>
    </w:p>
    <w:p w14:paraId="712F3C72" w14:textId="08C203FD" w:rsidR="00BD1B76" w:rsidRDefault="00D54AC6" w:rsidP="00BD1B76">
      <w:pPr>
        <w:pStyle w:val="Prrafodelista"/>
        <w:numPr>
          <w:ilvl w:val="0"/>
          <w:numId w:val="24"/>
        </w:numPr>
        <w:suppressLineNumbers/>
        <w:spacing w:before="240" w:after="0" w:line="240" w:lineRule="auto"/>
        <w:ind w:left="0" w:firstLine="0"/>
        <w:jc w:val="both"/>
        <w:rPr>
          <w:rFonts w:ascii="Verdana" w:hAnsi="Verdana"/>
          <w:sz w:val="20"/>
        </w:rPr>
      </w:pPr>
      <w:r w:rsidRPr="00B46E3C">
        <w:rPr>
          <w:rFonts w:ascii="Verdana" w:hAnsi="Verdana"/>
          <w:sz w:val="20"/>
        </w:rPr>
        <w:t xml:space="preserve"> Disponer que la Secretaría de la Corte notifique la presente Resolución al Estado, a los intervinientes comunes de los representantes de las víctimas y a la Comisión Interamericana de Derechos Humanos.</w:t>
      </w:r>
    </w:p>
    <w:p w14:paraId="161FB750" w14:textId="7C90C970" w:rsidR="00BD1B76" w:rsidRDefault="00BD1B76">
      <w:pPr>
        <w:rPr>
          <w:rFonts w:ascii="Verdana" w:hAnsi="Verdana"/>
          <w:sz w:val="20"/>
        </w:rPr>
      </w:pPr>
    </w:p>
    <w:p w14:paraId="1FE807F4" w14:textId="2E76E3C5" w:rsidR="00BD1B76" w:rsidRPr="00BD1B76" w:rsidRDefault="00BD1B76" w:rsidP="00BD1B76">
      <w:pPr>
        <w:tabs>
          <w:tab w:val="left" w:pos="4215"/>
        </w:tabs>
        <w:spacing w:after="200" w:line="240" w:lineRule="auto"/>
        <w:jc w:val="both"/>
        <w:rPr>
          <w:rFonts w:ascii="Verdana" w:eastAsia="Times" w:hAnsi="Verdana" w:cs="Courier New"/>
          <w:sz w:val="20"/>
          <w:szCs w:val="20"/>
        </w:rPr>
      </w:pPr>
      <w:r w:rsidRPr="00BD1B76">
        <w:rPr>
          <w:rFonts w:ascii="Verdana" w:eastAsia="Times" w:hAnsi="Verdana" w:cs="Courier New"/>
          <w:sz w:val="20"/>
          <w:szCs w:val="20"/>
        </w:rPr>
        <w:t xml:space="preserve">Corte IDH. </w:t>
      </w:r>
      <w:r w:rsidRPr="00BD1B76">
        <w:rPr>
          <w:rFonts w:ascii="Verdana" w:eastAsia="Times" w:hAnsi="Verdana" w:cs="Courier New"/>
          <w:i/>
          <w:sz w:val="20"/>
          <w:szCs w:val="20"/>
        </w:rPr>
        <w:t xml:space="preserve">Caso </w:t>
      </w:r>
      <w:proofErr w:type="spellStart"/>
      <w:r w:rsidRPr="00BD1B76">
        <w:rPr>
          <w:rFonts w:ascii="Verdana" w:eastAsia="Times" w:hAnsi="Verdana" w:cs="Courier New"/>
          <w:i/>
          <w:sz w:val="20"/>
          <w:szCs w:val="20"/>
        </w:rPr>
        <w:t>Norín</w:t>
      </w:r>
      <w:proofErr w:type="spellEnd"/>
      <w:r w:rsidRPr="00BD1B76">
        <w:rPr>
          <w:rFonts w:ascii="Verdana" w:eastAsia="Times" w:hAnsi="Verdana" w:cs="Courier New"/>
          <w:i/>
          <w:sz w:val="20"/>
          <w:szCs w:val="20"/>
        </w:rPr>
        <w:t xml:space="preserve"> </w:t>
      </w:r>
      <w:proofErr w:type="spellStart"/>
      <w:r w:rsidRPr="00BD1B76">
        <w:rPr>
          <w:rFonts w:ascii="Verdana" w:eastAsia="Times" w:hAnsi="Verdana" w:cs="Courier New"/>
          <w:i/>
          <w:sz w:val="20"/>
          <w:szCs w:val="20"/>
        </w:rPr>
        <w:t>Catrimán</w:t>
      </w:r>
      <w:proofErr w:type="spellEnd"/>
      <w:r w:rsidRPr="00BD1B76">
        <w:rPr>
          <w:rFonts w:ascii="Verdana" w:eastAsia="Times" w:hAnsi="Verdana" w:cs="Courier New"/>
          <w:i/>
          <w:sz w:val="20"/>
          <w:szCs w:val="20"/>
        </w:rPr>
        <w:t xml:space="preserve"> y otros (Dirigentes, miembros y activista del Pueblo indígena Mapuche) Vs. Chile.</w:t>
      </w:r>
      <w:r w:rsidRPr="00BD1B76">
        <w:rPr>
          <w:rFonts w:ascii="Verdana" w:eastAsia="Times" w:hAnsi="Verdana" w:cs="Courier New"/>
          <w:sz w:val="20"/>
          <w:szCs w:val="20"/>
        </w:rPr>
        <w:t xml:space="preserve"> Supervisión de Cumplimiento de Sentencia. Resolución de la Corte Interamericana de Derechos Humanos de 18 de febrero de 2021. Resolución adoptada en San José de Costa Rica por medio de sesión virtual.</w:t>
      </w:r>
    </w:p>
    <w:p w14:paraId="52044846" w14:textId="77777777" w:rsidR="00BD1B76" w:rsidRPr="0059661F" w:rsidRDefault="00BD1B76" w:rsidP="00BD1B76">
      <w:pPr>
        <w:snapToGrid w:val="0"/>
        <w:spacing w:after="0" w:line="240" w:lineRule="auto"/>
        <w:jc w:val="center"/>
        <w:rPr>
          <w:rFonts w:ascii="Verdana" w:eastAsia="Calibri" w:hAnsi="Verdana" w:cs="Times New Roman"/>
          <w:sz w:val="20"/>
          <w:szCs w:val="20"/>
          <w:lang w:val="es-AR"/>
        </w:rPr>
      </w:pPr>
    </w:p>
    <w:p w14:paraId="095585A4" w14:textId="15AD2526" w:rsidR="00BD1B76" w:rsidRPr="0059661F" w:rsidRDefault="00BD1B76" w:rsidP="00BD1B76">
      <w:pPr>
        <w:snapToGrid w:val="0"/>
        <w:spacing w:after="0" w:line="240" w:lineRule="auto"/>
        <w:jc w:val="center"/>
        <w:rPr>
          <w:rFonts w:ascii="Verdana" w:eastAsia="Calibri" w:hAnsi="Verdana" w:cs="Times New Roman"/>
          <w:sz w:val="20"/>
          <w:szCs w:val="20"/>
          <w:lang w:val="es-AR"/>
        </w:rPr>
      </w:pPr>
      <w:r w:rsidRPr="0059661F">
        <w:rPr>
          <w:rFonts w:ascii="Verdana" w:eastAsia="Calibri" w:hAnsi="Verdana" w:cs="Times New Roman"/>
          <w:sz w:val="20"/>
          <w:szCs w:val="20"/>
          <w:lang w:val="es-AR"/>
        </w:rPr>
        <w:t>Elizabeth Odio Benito</w:t>
      </w:r>
    </w:p>
    <w:p w14:paraId="30F4A0BF" w14:textId="6851656E" w:rsidR="00BD1B76" w:rsidRPr="0059661F" w:rsidRDefault="00BD1B76" w:rsidP="00BD1B76">
      <w:pPr>
        <w:snapToGrid w:val="0"/>
        <w:spacing w:after="0" w:line="240" w:lineRule="auto"/>
        <w:jc w:val="center"/>
        <w:rPr>
          <w:rFonts w:ascii="Verdana" w:eastAsia="Calibri" w:hAnsi="Verdana" w:cs="Times New Roman"/>
          <w:sz w:val="20"/>
          <w:szCs w:val="20"/>
          <w:lang w:val="es-AR"/>
        </w:rPr>
      </w:pPr>
      <w:r w:rsidRPr="0059661F">
        <w:rPr>
          <w:rFonts w:ascii="Verdana" w:eastAsia="Calibri" w:hAnsi="Verdana" w:cs="Times New Roman"/>
          <w:sz w:val="20"/>
          <w:szCs w:val="20"/>
          <w:lang w:val="es-AR"/>
        </w:rPr>
        <w:t>Presidenta</w:t>
      </w:r>
    </w:p>
    <w:p w14:paraId="33C793C2" w14:textId="77777777" w:rsidR="00BD1B76" w:rsidRPr="0059661F" w:rsidRDefault="00BD1B76" w:rsidP="00BD1B76">
      <w:pPr>
        <w:snapToGrid w:val="0"/>
        <w:spacing w:after="0" w:line="240" w:lineRule="auto"/>
        <w:jc w:val="both"/>
        <w:rPr>
          <w:rFonts w:ascii="Verdana" w:eastAsia="Calibri" w:hAnsi="Verdana" w:cs="Times New Roman"/>
          <w:sz w:val="20"/>
          <w:szCs w:val="20"/>
          <w:lang w:val="es-AR"/>
        </w:rPr>
      </w:pPr>
    </w:p>
    <w:p w14:paraId="0A7C4130" w14:textId="77777777" w:rsidR="00BD1B76" w:rsidRPr="0059661F" w:rsidRDefault="00BD1B76" w:rsidP="00BD1B76">
      <w:pPr>
        <w:snapToGrid w:val="0"/>
        <w:spacing w:after="0" w:line="240" w:lineRule="auto"/>
        <w:jc w:val="both"/>
        <w:rPr>
          <w:rFonts w:ascii="Verdana" w:eastAsia="Calibri" w:hAnsi="Verdana" w:cs="Times New Roman"/>
          <w:sz w:val="20"/>
          <w:szCs w:val="20"/>
          <w:lang w:val="es-AR"/>
        </w:rPr>
      </w:pPr>
    </w:p>
    <w:p w14:paraId="5BDD7B65" w14:textId="77777777" w:rsidR="00BD1B76" w:rsidRPr="0059661F" w:rsidRDefault="00BD1B76" w:rsidP="00BD1B76">
      <w:pPr>
        <w:snapToGrid w:val="0"/>
        <w:spacing w:after="0" w:line="240" w:lineRule="auto"/>
        <w:jc w:val="both"/>
        <w:rPr>
          <w:rFonts w:ascii="Verdana" w:eastAsia="Calibri" w:hAnsi="Verdana" w:cs="Times New Roman"/>
          <w:sz w:val="20"/>
          <w:szCs w:val="20"/>
          <w:lang w:val="es-AR"/>
        </w:rPr>
      </w:pPr>
    </w:p>
    <w:p w14:paraId="0551531E" w14:textId="77777777" w:rsidR="00BD1B76" w:rsidRPr="0059661F" w:rsidRDefault="00BD1B76" w:rsidP="00BD1B76">
      <w:pPr>
        <w:snapToGrid w:val="0"/>
        <w:spacing w:after="0" w:line="240" w:lineRule="auto"/>
        <w:jc w:val="both"/>
        <w:rPr>
          <w:rFonts w:ascii="Verdana" w:eastAsia="Calibri" w:hAnsi="Verdana" w:cs="Times New Roman"/>
          <w:sz w:val="20"/>
          <w:szCs w:val="20"/>
          <w:lang w:val="es-AR"/>
        </w:rPr>
      </w:pPr>
      <w:r w:rsidRPr="0059661F">
        <w:rPr>
          <w:rFonts w:ascii="Verdana" w:eastAsia="Calibri" w:hAnsi="Verdana" w:cs="Times New Roman"/>
          <w:sz w:val="20"/>
          <w:szCs w:val="20"/>
          <w:lang w:val="es-AR"/>
        </w:rPr>
        <w:t>L. Patricio Pazmiño Freire</w:t>
      </w:r>
      <w:r w:rsidRPr="0059661F">
        <w:rPr>
          <w:rFonts w:ascii="Verdana" w:eastAsia="Calibri" w:hAnsi="Verdana" w:cs="Times New Roman"/>
          <w:sz w:val="20"/>
          <w:szCs w:val="20"/>
          <w:lang w:val="es-AR"/>
        </w:rPr>
        <w:tab/>
      </w:r>
      <w:r w:rsidRPr="0059661F">
        <w:rPr>
          <w:rFonts w:ascii="Verdana" w:eastAsia="Calibri" w:hAnsi="Verdana" w:cs="Times New Roman"/>
          <w:sz w:val="20"/>
          <w:szCs w:val="20"/>
          <w:lang w:val="es-AR"/>
        </w:rPr>
        <w:tab/>
      </w:r>
      <w:r w:rsidRPr="0059661F">
        <w:rPr>
          <w:rFonts w:ascii="Verdana" w:eastAsia="Calibri" w:hAnsi="Verdana" w:cs="Times New Roman"/>
          <w:sz w:val="20"/>
          <w:szCs w:val="20"/>
          <w:lang w:val="es-AR"/>
        </w:rPr>
        <w:tab/>
      </w:r>
      <w:r w:rsidRPr="0059661F">
        <w:rPr>
          <w:rFonts w:ascii="Verdana" w:eastAsia="Calibri" w:hAnsi="Verdana" w:cs="Times New Roman"/>
          <w:sz w:val="20"/>
          <w:szCs w:val="20"/>
          <w:lang w:val="es-AR"/>
        </w:rPr>
        <w:tab/>
      </w:r>
      <w:r w:rsidRPr="0059661F">
        <w:rPr>
          <w:rFonts w:ascii="Verdana" w:eastAsia="Calibri" w:hAnsi="Verdana" w:cs="Times New Roman"/>
          <w:sz w:val="20"/>
          <w:szCs w:val="20"/>
          <w:lang w:val="es-AR"/>
        </w:rPr>
        <w:tab/>
      </w:r>
      <w:r w:rsidRPr="0059661F">
        <w:rPr>
          <w:rFonts w:ascii="Verdana" w:eastAsia="Times" w:hAnsi="Verdana" w:cs="Times New Roman"/>
          <w:sz w:val="20"/>
          <w:szCs w:val="20"/>
          <w:lang w:val="es-AR"/>
        </w:rPr>
        <w:t>Humberto Antonio Sierra Porto</w:t>
      </w:r>
      <w:r w:rsidRPr="0059661F">
        <w:rPr>
          <w:rFonts w:ascii="Verdana" w:eastAsia="Calibri" w:hAnsi="Verdana" w:cs="Times New Roman"/>
          <w:sz w:val="20"/>
          <w:szCs w:val="20"/>
          <w:lang w:val="es-AR"/>
        </w:rPr>
        <w:t xml:space="preserve">         </w:t>
      </w:r>
    </w:p>
    <w:p w14:paraId="1BEE5388" w14:textId="5E07B256" w:rsidR="00BD1B76" w:rsidRPr="0059661F" w:rsidRDefault="00BD1B76" w:rsidP="00BD1B76">
      <w:pPr>
        <w:snapToGrid w:val="0"/>
        <w:spacing w:after="0" w:line="240" w:lineRule="auto"/>
        <w:jc w:val="both"/>
        <w:rPr>
          <w:rFonts w:ascii="Verdana" w:eastAsia="Calibri" w:hAnsi="Verdana" w:cs="Times New Roman"/>
          <w:sz w:val="20"/>
          <w:szCs w:val="20"/>
          <w:lang w:val="es-AR"/>
        </w:rPr>
      </w:pPr>
    </w:p>
    <w:p w14:paraId="210753A3" w14:textId="77777777" w:rsidR="00BD1B76" w:rsidRPr="0059661F" w:rsidRDefault="00BD1B76" w:rsidP="00BD1B76">
      <w:pPr>
        <w:snapToGrid w:val="0"/>
        <w:spacing w:after="0" w:line="240" w:lineRule="auto"/>
        <w:jc w:val="both"/>
        <w:rPr>
          <w:rFonts w:ascii="Verdana" w:eastAsia="Calibri" w:hAnsi="Verdana" w:cs="Times New Roman"/>
          <w:sz w:val="20"/>
          <w:szCs w:val="20"/>
          <w:lang w:val="es-AR"/>
        </w:rPr>
      </w:pPr>
    </w:p>
    <w:p w14:paraId="52BED02D" w14:textId="77777777" w:rsidR="00BD1B76" w:rsidRPr="0059661F" w:rsidRDefault="00BD1B76" w:rsidP="00BD1B76">
      <w:pPr>
        <w:snapToGrid w:val="0"/>
        <w:spacing w:after="0" w:line="240" w:lineRule="auto"/>
        <w:jc w:val="both"/>
        <w:rPr>
          <w:rFonts w:ascii="Verdana" w:eastAsia="Calibri" w:hAnsi="Verdana" w:cs="Times New Roman"/>
          <w:sz w:val="20"/>
          <w:szCs w:val="20"/>
          <w:lang w:val="pt-BR"/>
        </w:rPr>
      </w:pPr>
      <w:r w:rsidRPr="0059661F">
        <w:rPr>
          <w:rFonts w:ascii="Verdana" w:eastAsia="Calibri" w:hAnsi="Verdana" w:cs="Times New Roman"/>
          <w:sz w:val="20"/>
          <w:szCs w:val="20"/>
          <w:lang w:val="pt-BR"/>
        </w:rPr>
        <w:t xml:space="preserve">Eduardo Ferrer </w:t>
      </w:r>
      <w:proofErr w:type="spellStart"/>
      <w:r w:rsidRPr="0059661F">
        <w:rPr>
          <w:rFonts w:ascii="Verdana" w:eastAsia="Calibri" w:hAnsi="Verdana" w:cs="Times New Roman"/>
          <w:sz w:val="20"/>
          <w:szCs w:val="20"/>
          <w:lang w:val="pt-BR"/>
        </w:rPr>
        <w:t>Mac-Gregor</w:t>
      </w:r>
      <w:proofErr w:type="spellEnd"/>
      <w:r w:rsidRPr="0059661F">
        <w:rPr>
          <w:rFonts w:ascii="Verdana" w:eastAsia="Calibri" w:hAnsi="Verdana" w:cs="Times New Roman"/>
          <w:sz w:val="20"/>
          <w:szCs w:val="20"/>
          <w:lang w:val="pt-BR"/>
        </w:rPr>
        <w:t xml:space="preserve"> </w:t>
      </w:r>
      <w:proofErr w:type="spellStart"/>
      <w:r w:rsidRPr="0059661F">
        <w:rPr>
          <w:rFonts w:ascii="Verdana" w:eastAsia="Calibri" w:hAnsi="Verdana" w:cs="Times New Roman"/>
          <w:sz w:val="20"/>
          <w:szCs w:val="20"/>
          <w:lang w:val="pt-BR"/>
        </w:rPr>
        <w:t>Poisot</w:t>
      </w:r>
      <w:proofErr w:type="spellEnd"/>
      <w:r w:rsidRPr="0059661F">
        <w:rPr>
          <w:rFonts w:ascii="Verdana" w:eastAsia="Calibri" w:hAnsi="Verdana" w:cs="Times New Roman"/>
          <w:sz w:val="20"/>
          <w:szCs w:val="20"/>
          <w:lang w:val="pt-BR"/>
        </w:rPr>
        <w:t xml:space="preserve"> </w:t>
      </w:r>
      <w:r w:rsidRPr="0059661F">
        <w:rPr>
          <w:rFonts w:ascii="Verdana" w:eastAsia="Calibri" w:hAnsi="Verdana" w:cs="Times New Roman"/>
          <w:sz w:val="20"/>
          <w:szCs w:val="20"/>
          <w:lang w:val="pt-BR"/>
        </w:rPr>
        <w:tab/>
      </w:r>
      <w:r w:rsidRPr="0059661F">
        <w:rPr>
          <w:rFonts w:ascii="Verdana" w:eastAsia="Calibri" w:hAnsi="Verdana" w:cs="Times New Roman"/>
          <w:sz w:val="20"/>
          <w:szCs w:val="20"/>
          <w:lang w:val="pt-BR"/>
        </w:rPr>
        <w:tab/>
      </w:r>
      <w:r w:rsidRPr="0059661F">
        <w:rPr>
          <w:rFonts w:ascii="Verdana" w:eastAsia="Calibri" w:hAnsi="Verdana" w:cs="Times New Roman"/>
          <w:sz w:val="20"/>
          <w:szCs w:val="20"/>
          <w:lang w:val="pt-BR"/>
        </w:rPr>
        <w:tab/>
      </w:r>
      <w:r w:rsidRPr="0059661F">
        <w:rPr>
          <w:rFonts w:ascii="Verdana" w:eastAsia="Calibri" w:hAnsi="Verdana" w:cs="Times New Roman"/>
          <w:sz w:val="20"/>
          <w:szCs w:val="20"/>
          <w:lang w:val="pt-BR"/>
        </w:rPr>
        <w:tab/>
        <w:t xml:space="preserve">Eugenio </w:t>
      </w:r>
      <w:proofErr w:type="spellStart"/>
      <w:r w:rsidRPr="0059661F">
        <w:rPr>
          <w:rFonts w:ascii="Verdana" w:eastAsia="Calibri" w:hAnsi="Verdana" w:cs="Times New Roman"/>
          <w:sz w:val="20"/>
          <w:szCs w:val="20"/>
          <w:lang w:val="pt-BR"/>
        </w:rPr>
        <w:t>Raúl</w:t>
      </w:r>
      <w:proofErr w:type="spellEnd"/>
      <w:r w:rsidRPr="0059661F">
        <w:rPr>
          <w:rFonts w:ascii="Verdana" w:eastAsia="Calibri" w:hAnsi="Verdana" w:cs="Times New Roman"/>
          <w:sz w:val="20"/>
          <w:szCs w:val="20"/>
          <w:lang w:val="pt-BR"/>
        </w:rPr>
        <w:t xml:space="preserve"> </w:t>
      </w:r>
      <w:proofErr w:type="spellStart"/>
      <w:r w:rsidRPr="0059661F">
        <w:rPr>
          <w:rFonts w:ascii="Verdana" w:eastAsia="Calibri" w:hAnsi="Verdana" w:cs="Times New Roman"/>
          <w:sz w:val="20"/>
          <w:szCs w:val="20"/>
          <w:lang w:val="pt-BR"/>
        </w:rPr>
        <w:t>Zaffaroni</w:t>
      </w:r>
      <w:proofErr w:type="spellEnd"/>
    </w:p>
    <w:p w14:paraId="7D453692" w14:textId="77777777" w:rsidR="00BD1B76" w:rsidRPr="0059661F" w:rsidRDefault="00BD1B76" w:rsidP="00BD1B76">
      <w:pPr>
        <w:snapToGrid w:val="0"/>
        <w:spacing w:after="0" w:line="240" w:lineRule="auto"/>
        <w:jc w:val="both"/>
        <w:rPr>
          <w:rFonts w:ascii="Verdana" w:eastAsia="Calibri" w:hAnsi="Verdana" w:cs="Times New Roman"/>
          <w:sz w:val="20"/>
          <w:szCs w:val="20"/>
          <w:lang w:val="pt-BR"/>
        </w:rPr>
      </w:pPr>
    </w:p>
    <w:p w14:paraId="634B7247" w14:textId="54ACA901" w:rsidR="00BD1B76" w:rsidRPr="0059661F" w:rsidRDefault="00BD1B76" w:rsidP="00BD1B76">
      <w:pPr>
        <w:snapToGrid w:val="0"/>
        <w:spacing w:after="0" w:line="240" w:lineRule="auto"/>
        <w:jc w:val="both"/>
        <w:rPr>
          <w:rFonts w:ascii="Verdana" w:eastAsia="Calibri" w:hAnsi="Verdana" w:cs="Times New Roman"/>
          <w:sz w:val="20"/>
          <w:szCs w:val="20"/>
          <w:lang w:val="pt-BR"/>
        </w:rPr>
      </w:pPr>
    </w:p>
    <w:p w14:paraId="6D37977A" w14:textId="0B299102" w:rsidR="00BD1B76" w:rsidRPr="0059661F" w:rsidRDefault="00BD1B76" w:rsidP="00BD1B76">
      <w:pPr>
        <w:snapToGrid w:val="0"/>
        <w:spacing w:after="0" w:line="240" w:lineRule="auto"/>
        <w:ind w:left="2880" w:firstLine="720"/>
        <w:jc w:val="both"/>
        <w:rPr>
          <w:rFonts w:ascii="Verdana" w:eastAsia="Calibri" w:hAnsi="Verdana" w:cs="Times New Roman"/>
          <w:sz w:val="20"/>
          <w:szCs w:val="20"/>
          <w:lang w:val="es-AR"/>
        </w:rPr>
      </w:pPr>
      <w:r w:rsidRPr="0059661F">
        <w:rPr>
          <w:rFonts w:ascii="Verdana" w:eastAsia="Calibri" w:hAnsi="Verdana" w:cs="Times New Roman"/>
          <w:sz w:val="20"/>
          <w:szCs w:val="20"/>
          <w:lang w:val="es-AR"/>
        </w:rPr>
        <w:t>Ricardo C. Pérez Manrique</w:t>
      </w:r>
    </w:p>
    <w:p w14:paraId="797567E7" w14:textId="77777777" w:rsidR="00BD1B76" w:rsidRPr="0059661F" w:rsidRDefault="00BD1B76" w:rsidP="00BD1B76">
      <w:pPr>
        <w:snapToGrid w:val="0"/>
        <w:spacing w:after="0" w:line="240" w:lineRule="auto"/>
        <w:jc w:val="both"/>
        <w:rPr>
          <w:rFonts w:ascii="Verdana" w:eastAsia="Times" w:hAnsi="Verdana" w:cs="Times New Roman"/>
          <w:sz w:val="20"/>
          <w:szCs w:val="20"/>
          <w:lang w:val="es-AR"/>
        </w:rPr>
      </w:pPr>
    </w:p>
    <w:p w14:paraId="28200693" w14:textId="77777777" w:rsidR="00BD1B76" w:rsidRPr="0059661F" w:rsidRDefault="00BD1B76" w:rsidP="00BD1B76">
      <w:pPr>
        <w:snapToGrid w:val="0"/>
        <w:spacing w:after="0" w:line="240" w:lineRule="auto"/>
        <w:jc w:val="both"/>
        <w:rPr>
          <w:rFonts w:ascii="Verdana" w:eastAsia="Times" w:hAnsi="Verdana" w:cs="Times New Roman"/>
          <w:sz w:val="20"/>
          <w:szCs w:val="20"/>
          <w:lang w:val="es-AR"/>
        </w:rPr>
      </w:pPr>
    </w:p>
    <w:p w14:paraId="6FA90067" w14:textId="77777777" w:rsidR="00BD1B76" w:rsidRPr="00BD1B76" w:rsidRDefault="00BD1B76" w:rsidP="00BD1B76">
      <w:pPr>
        <w:snapToGrid w:val="0"/>
        <w:spacing w:after="0" w:line="240" w:lineRule="auto"/>
        <w:jc w:val="center"/>
        <w:rPr>
          <w:rFonts w:ascii="Verdana" w:eastAsia="Times" w:hAnsi="Verdana" w:cs="Times New Roman"/>
          <w:sz w:val="20"/>
          <w:szCs w:val="20"/>
          <w:lang w:val="pt-BR"/>
        </w:rPr>
      </w:pPr>
      <w:r w:rsidRPr="00BD1B76">
        <w:rPr>
          <w:rFonts w:ascii="Verdana" w:eastAsia="Times" w:hAnsi="Verdana" w:cs="Times New Roman"/>
          <w:sz w:val="20"/>
          <w:szCs w:val="20"/>
          <w:lang w:val="pt-BR"/>
        </w:rPr>
        <w:t>Pablo Saavedra Alessandri</w:t>
      </w:r>
    </w:p>
    <w:p w14:paraId="418168CD" w14:textId="77777777" w:rsidR="00BD1B76" w:rsidRPr="00BD1B76" w:rsidRDefault="00BD1B76" w:rsidP="00BD1B76">
      <w:pPr>
        <w:snapToGrid w:val="0"/>
        <w:spacing w:after="0" w:line="240" w:lineRule="auto"/>
        <w:jc w:val="center"/>
        <w:rPr>
          <w:rFonts w:ascii="Verdana" w:eastAsia="Times" w:hAnsi="Verdana" w:cs="Times New Roman"/>
          <w:sz w:val="20"/>
          <w:szCs w:val="20"/>
          <w:lang w:val="pt-BR"/>
        </w:rPr>
      </w:pPr>
      <w:r w:rsidRPr="00BD1B76">
        <w:rPr>
          <w:rFonts w:ascii="Verdana" w:eastAsia="Times" w:hAnsi="Verdana" w:cs="Times New Roman"/>
          <w:sz w:val="20"/>
          <w:szCs w:val="20"/>
          <w:lang w:val="pt-BR"/>
        </w:rPr>
        <w:t>Secretario</w:t>
      </w:r>
    </w:p>
    <w:p w14:paraId="1C9E6434" w14:textId="77777777" w:rsidR="00BD1B76" w:rsidRPr="00BD1B76" w:rsidRDefault="00BD1B76" w:rsidP="00BD1B76">
      <w:pPr>
        <w:snapToGrid w:val="0"/>
        <w:spacing w:after="0" w:line="240" w:lineRule="auto"/>
        <w:jc w:val="both"/>
        <w:rPr>
          <w:rFonts w:ascii="Verdana" w:eastAsia="Times" w:hAnsi="Verdana" w:cs="Times New Roman"/>
          <w:sz w:val="20"/>
          <w:szCs w:val="20"/>
          <w:lang w:val="pt-BR"/>
        </w:rPr>
      </w:pPr>
    </w:p>
    <w:p w14:paraId="0376EFAB" w14:textId="77777777" w:rsidR="00BD1B76" w:rsidRPr="00BD1B76" w:rsidRDefault="00BD1B76" w:rsidP="00BD1B76">
      <w:pPr>
        <w:snapToGrid w:val="0"/>
        <w:spacing w:after="0" w:line="240" w:lineRule="auto"/>
        <w:jc w:val="both"/>
        <w:rPr>
          <w:rFonts w:ascii="Verdana" w:eastAsia="Times" w:hAnsi="Verdana" w:cs="Times New Roman"/>
          <w:sz w:val="20"/>
          <w:szCs w:val="20"/>
          <w:lang w:val="pt-BR"/>
        </w:rPr>
      </w:pPr>
      <w:proofErr w:type="spellStart"/>
      <w:r w:rsidRPr="00BD1B76">
        <w:rPr>
          <w:rFonts w:ascii="Verdana" w:eastAsia="Times" w:hAnsi="Verdana" w:cs="Times New Roman"/>
          <w:sz w:val="20"/>
          <w:szCs w:val="20"/>
          <w:lang w:val="pt-BR"/>
        </w:rPr>
        <w:t>Comuníquese</w:t>
      </w:r>
      <w:proofErr w:type="spellEnd"/>
      <w:r w:rsidRPr="00BD1B76">
        <w:rPr>
          <w:rFonts w:ascii="Verdana" w:eastAsia="Times" w:hAnsi="Verdana" w:cs="Times New Roman"/>
          <w:sz w:val="20"/>
          <w:szCs w:val="20"/>
          <w:lang w:val="pt-BR"/>
        </w:rPr>
        <w:t xml:space="preserve"> y </w:t>
      </w:r>
      <w:proofErr w:type="spellStart"/>
      <w:r w:rsidRPr="00BD1B76">
        <w:rPr>
          <w:rFonts w:ascii="Verdana" w:eastAsia="Times" w:hAnsi="Verdana" w:cs="Times New Roman"/>
          <w:sz w:val="20"/>
          <w:szCs w:val="20"/>
          <w:lang w:val="pt-BR"/>
        </w:rPr>
        <w:t>ejecútese</w:t>
      </w:r>
      <w:proofErr w:type="spellEnd"/>
      <w:r w:rsidRPr="00BD1B76">
        <w:rPr>
          <w:rFonts w:ascii="Verdana" w:eastAsia="Times" w:hAnsi="Verdana" w:cs="Times New Roman"/>
          <w:sz w:val="20"/>
          <w:szCs w:val="20"/>
          <w:lang w:val="pt-BR"/>
        </w:rPr>
        <w:t>,</w:t>
      </w:r>
    </w:p>
    <w:p w14:paraId="04D51F42" w14:textId="6A8B25BB" w:rsidR="00BD1B76" w:rsidRPr="009D45DB" w:rsidRDefault="00BD1B76" w:rsidP="00BD1B76">
      <w:pPr>
        <w:snapToGrid w:val="0"/>
        <w:spacing w:after="0" w:line="240" w:lineRule="auto"/>
        <w:jc w:val="both"/>
        <w:rPr>
          <w:rFonts w:ascii="Verdana" w:eastAsia="Times" w:hAnsi="Verdana" w:cs="Times New Roman"/>
          <w:sz w:val="20"/>
          <w:szCs w:val="20"/>
          <w:lang w:val="pt-BR"/>
        </w:rPr>
      </w:pPr>
    </w:p>
    <w:p w14:paraId="7F1CD9ED" w14:textId="77777777" w:rsidR="00BD1B76" w:rsidRPr="00BD1B76" w:rsidRDefault="00BD1B76" w:rsidP="00BD1B76">
      <w:pPr>
        <w:snapToGrid w:val="0"/>
        <w:spacing w:after="0" w:line="240" w:lineRule="auto"/>
        <w:jc w:val="both"/>
        <w:rPr>
          <w:rFonts w:ascii="Verdana" w:eastAsia="Times" w:hAnsi="Verdana" w:cs="Times New Roman"/>
          <w:sz w:val="20"/>
          <w:szCs w:val="20"/>
          <w:lang w:val="pt-BR"/>
        </w:rPr>
      </w:pPr>
    </w:p>
    <w:p w14:paraId="10E146B9" w14:textId="77777777" w:rsidR="00BD1B76" w:rsidRPr="00BD1B76" w:rsidRDefault="00BD1B76" w:rsidP="00BD1B76">
      <w:pPr>
        <w:snapToGrid w:val="0"/>
        <w:spacing w:after="0" w:line="240" w:lineRule="auto"/>
        <w:jc w:val="both"/>
        <w:rPr>
          <w:rFonts w:ascii="Verdana" w:eastAsia="Times" w:hAnsi="Verdana" w:cs="Times New Roman"/>
          <w:sz w:val="20"/>
          <w:szCs w:val="20"/>
          <w:lang w:val="pt-BR"/>
        </w:rPr>
      </w:pPr>
    </w:p>
    <w:p w14:paraId="2D62D0CB" w14:textId="77777777" w:rsidR="00BD1B76" w:rsidRPr="00BD1B76" w:rsidRDefault="00BD1B76" w:rsidP="00BD1B76">
      <w:pPr>
        <w:snapToGrid w:val="0"/>
        <w:spacing w:after="0" w:line="240" w:lineRule="auto"/>
        <w:jc w:val="both"/>
        <w:rPr>
          <w:rFonts w:ascii="Verdana" w:eastAsia="Times" w:hAnsi="Verdana" w:cs="Times New Roman"/>
          <w:sz w:val="20"/>
          <w:szCs w:val="20"/>
          <w:lang w:val="pt-BR"/>
        </w:rPr>
      </w:pPr>
    </w:p>
    <w:p w14:paraId="42F0CE51" w14:textId="77336EAB" w:rsidR="00BD1B76" w:rsidRPr="00BD1B76" w:rsidRDefault="00BD1B76" w:rsidP="00BD1B76">
      <w:pPr>
        <w:snapToGrid w:val="0"/>
        <w:spacing w:after="0" w:line="240" w:lineRule="auto"/>
        <w:jc w:val="both"/>
        <w:rPr>
          <w:rFonts w:ascii="Verdana" w:eastAsia="Times" w:hAnsi="Verdana" w:cs="Times New Roman"/>
          <w:sz w:val="20"/>
          <w:szCs w:val="20"/>
          <w:lang w:val="pt-BR"/>
        </w:rPr>
      </w:pPr>
    </w:p>
    <w:p w14:paraId="2B27D9B6" w14:textId="77777777" w:rsidR="00BD1B76" w:rsidRPr="00BD1B76" w:rsidRDefault="00BD1B76" w:rsidP="00BD1B76">
      <w:pPr>
        <w:snapToGrid w:val="0"/>
        <w:spacing w:after="0" w:line="240" w:lineRule="auto"/>
        <w:ind w:left="4248" w:firstLine="708"/>
        <w:jc w:val="center"/>
        <w:rPr>
          <w:rFonts w:ascii="Verdana" w:eastAsia="Times" w:hAnsi="Verdana" w:cs="Times New Roman"/>
          <w:sz w:val="20"/>
          <w:szCs w:val="20"/>
          <w:lang w:val="es-CO"/>
        </w:rPr>
      </w:pPr>
      <w:r w:rsidRPr="00BD1B76">
        <w:rPr>
          <w:rFonts w:ascii="Verdana" w:eastAsia="Times" w:hAnsi="Verdana" w:cs="Times New Roman"/>
          <w:sz w:val="20"/>
          <w:szCs w:val="20"/>
          <w:lang w:val="pt-BR"/>
        </w:rPr>
        <w:t>Elizabeth Odio Benito</w:t>
      </w:r>
    </w:p>
    <w:p w14:paraId="32D7DE41" w14:textId="77777777" w:rsidR="00BD1B76" w:rsidRPr="00BD1B76" w:rsidRDefault="00BD1B76" w:rsidP="00BD1B76">
      <w:pPr>
        <w:snapToGrid w:val="0"/>
        <w:spacing w:after="0" w:line="240" w:lineRule="auto"/>
        <w:ind w:left="4248" w:firstLine="708"/>
        <w:jc w:val="center"/>
        <w:rPr>
          <w:rFonts w:ascii="Verdana" w:eastAsia="Times" w:hAnsi="Verdana" w:cs="Times New Roman"/>
          <w:sz w:val="20"/>
          <w:szCs w:val="20"/>
          <w:lang w:val="pt-BR"/>
        </w:rPr>
      </w:pPr>
      <w:r w:rsidRPr="00BD1B76">
        <w:rPr>
          <w:rFonts w:ascii="Verdana" w:eastAsia="Times" w:hAnsi="Verdana" w:cs="Times New Roman"/>
          <w:sz w:val="20"/>
          <w:szCs w:val="20"/>
          <w:lang w:val="pt-BR"/>
        </w:rPr>
        <w:t>Presidenta</w:t>
      </w:r>
    </w:p>
    <w:p w14:paraId="1E7633DD" w14:textId="77777777" w:rsidR="00BD1B76" w:rsidRPr="00BD1B76" w:rsidRDefault="00BD1B76" w:rsidP="00BD1B76">
      <w:pPr>
        <w:snapToGrid w:val="0"/>
        <w:spacing w:after="0" w:line="240" w:lineRule="auto"/>
        <w:jc w:val="both"/>
        <w:rPr>
          <w:rFonts w:ascii="Verdana" w:eastAsia="Times" w:hAnsi="Verdana" w:cs="Times New Roman"/>
          <w:sz w:val="20"/>
          <w:szCs w:val="20"/>
          <w:lang w:val="pt-BR"/>
        </w:rPr>
      </w:pPr>
    </w:p>
    <w:p w14:paraId="37B06D5E" w14:textId="77777777" w:rsidR="00BD1B76" w:rsidRPr="00BD1B76" w:rsidRDefault="00BD1B76" w:rsidP="00BD1B76">
      <w:pPr>
        <w:snapToGrid w:val="0"/>
        <w:spacing w:after="0" w:line="240" w:lineRule="auto"/>
        <w:jc w:val="both"/>
        <w:rPr>
          <w:rFonts w:ascii="Verdana" w:eastAsia="Times" w:hAnsi="Verdana" w:cs="Times New Roman"/>
          <w:sz w:val="20"/>
          <w:szCs w:val="20"/>
          <w:lang w:val="pt-BR"/>
        </w:rPr>
      </w:pPr>
    </w:p>
    <w:p w14:paraId="09AA772C" w14:textId="77777777" w:rsidR="00BD1B76" w:rsidRPr="00BD1B76" w:rsidRDefault="00BD1B76" w:rsidP="00BD1B76">
      <w:pPr>
        <w:snapToGrid w:val="0"/>
        <w:spacing w:after="0" w:line="240" w:lineRule="auto"/>
        <w:jc w:val="both"/>
        <w:rPr>
          <w:rFonts w:ascii="Verdana" w:eastAsia="Times" w:hAnsi="Verdana" w:cs="Times New Roman"/>
          <w:sz w:val="20"/>
          <w:szCs w:val="20"/>
          <w:lang w:val="es-ES"/>
        </w:rPr>
      </w:pPr>
      <w:r w:rsidRPr="00BD1B76">
        <w:rPr>
          <w:rFonts w:ascii="Verdana" w:eastAsia="Times" w:hAnsi="Verdana" w:cs="Times New Roman"/>
          <w:sz w:val="20"/>
          <w:szCs w:val="20"/>
          <w:lang w:val="es-ES"/>
        </w:rPr>
        <w:t>Pablo Saavedra Alessandri</w:t>
      </w:r>
    </w:p>
    <w:p w14:paraId="6BAA955E" w14:textId="77777777" w:rsidR="00BD1B76" w:rsidRPr="00BD1B76" w:rsidRDefault="00BD1B76" w:rsidP="00BD1B76">
      <w:pPr>
        <w:snapToGrid w:val="0"/>
        <w:spacing w:after="0" w:line="240" w:lineRule="auto"/>
        <w:rPr>
          <w:rFonts w:ascii="Calibri" w:eastAsia="Calibri" w:hAnsi="Calibri" w:cs="Times New Roman"/>
          <w:lang w:val="es-419"/>
        </w:rPr>
      </w:pPr>
      <w:r w:rsidRPr="00BD1B76">
        <w:rPr>
          <w:rFonts w:ascii="Verdana" w:eastAsia="Times" w:hAnsi="Verdana" w:cs="Times New Roman"/>
          <w:sz w:val="20"/>
          <w:szCs w:val="20"/>
          <w:lang w:val="es-ES"/>
        </w:rPr>
        <w:tab/>
      </w:r>
      <w:r w:rsidRPr="00BD1B76">
        <w:rPr>
          <w:rFonts w:ascii="Verdana" w:eastAsia="Times" w:hAnsi="Verdana" w:cs="Times New Roman"/>
          <w:sz w:val="20"/>
          <w:szCs w:val="20"/>
        </w:rPr>
        <w:t>Secretario</w:t>
      </w:r>
    </w:p>
    <w:sectPr w:rsidR="00BD1B76" w:rsidRPr="00BD1B76" w:rsidSect="00BD1B76">
      <w:footerReference w:type="default" r:id="rId8"/>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DA2B5" w14:textId="77777777" w:rsidR="00DC772D" w:rsidRDefault="00DC772D" w:rsidP="005A76BF">
      <w:pPr>
        <w:spacing w:after="0" w:line="240" w:lineRule="auto"/>
      </w:pPr>
      <w:r>
        <w:separator/>
      </w:r>
    </w:p>
  </w:endnote>
  <w:endnote w:type="continuationSeparator" w:id="0">
    <w:p w14:paraId="3DF94A68" w14:textId="77777777" w:rsidR="00DC772D" w:rsidRDefault="00DC772D" w:rsidP="005A7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421642"/>
      <w:docPartObj>
        <w:docPartGallery w:val="Page Numbers (Bottom of Page)"/>
        <w:docPartUnique/>
      </w:docPartObj>
    </w:sdtPr>
    <w:sdtEndPr/>
    <w:sdtContent>
      <w:p w14:paraId="38E56A7F" w14:textId="5AA1AD20" w:rsidR="00453ED8" w:rsidRDefault="00453ED8">
        <w:pPr>
          <w:pStyle w:val="Piedepgina"/>
          <w:jc w:val="center"/>
        </w:pPr>
        <w:r>
          <w:fldChar w:fldCharType="begin"/>
        </w:r>
        <w:r>
          <w:instrText>PAGE   \* MERGEFORMAT</w:instrText>
        </w:r>
        <w:r>
          <w:fldChar w:fldCharType="separate"/>
        </w:r>
        <w:r w:rsidR="009D45DB" w:rsidRPr="009D45DB">
          <w:rPr>
            <w:noProof/>
            <w:lang w:val="es-ES"/>
          </w:rPr>
          <w:t>24</w:t>
        </w:r>
        <w:r>
          <w:fldChar w:fldCharType="end"/>
        </w:r>
      </w:p>
    </w:sdtContent>
  </w:sdt>
  <w:p w14:paraId="3A805515" w14:textId="77777777" w:rsidR="00453ED8" w:rsidRDefault="00453E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210A7" w14:textId="77777777" w:rsidR="00DC772D" w:rsidRDefault="00DC772D" w:rsidP="005A76BF">
      <w:pPr>
        <w:spacing w:after="0" w:line="240" w:lineRule="auto"/>
      </w:pPr>
      <w:r>
        <w:separator/>
      </w:r>
    </w:p>
  </w:footnote>
  <w:footnote w:type="continuationSeparator" w:id="0">
    <w:p w14:paraId="7D86A59E" w14:textId="77777777" w:rsidR="00DC772D" w:rsidRDefault="00DC772D" w:rsidP="005A76BF">
      <w:pPr>
        <w:spacing w:after="0" w:line="240" w:lineRule="auto"/>
      </w:pPr>
      <w:r>
        <w:continuationSeparator/>
      </w:r>
    </w:p>
  </w:footnote>
  <w:footnote w:id="1">
    <w:p w14:paraId="6283BBFE" w14:textId="77777777"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sym w:font="Symbol" w:char="F02A"/>
      </w:r>
      <w:r w:rsidRPr="00E052E1">
        <w:rPr>
          <w:rFonts w:ascii="Verdana" w:hAnsi="Verdana"/>
          <w:sz w:val="16"/>
          <w:szCs w:val="16"/>
        </w:rPr>
        <w:t xml:space="preserve"> </w:t>
      </w:r>
      <w:r w:rsidRPr="00E052E1">
        <w:rPr>
          <w:rFonts w:ascii="Verdana" w:hAnsi="Verdana"/>
          <w:sz w:val="16"/>
          <w:szCs w:val="16"/>
        </w:rPr>
        <w:tab/>
        <w:t>El Juez Eduardo Vio Grossi, de nacionalidad chilena, no participó en la deliberación y firma de la Sentencia del presente caso, ni en el conocimiento y deliberación de la presente Resolución, de conformidad con lo dispuesto en el artículo 19.1 del Reglamento de la Corte. Debido a las circunstancias excepcionales ocasionadas por la pandemia COVID-19, esta Resolución fue deliberada y aprobada durante el 139 Período Ordinario de Sesiones, el cual se llevó a cabo de forma no presencial utilizando medios tecnológicos de conformidad con lo establecido en el Reglamento de la Corte.</w:t>
      </w:r>
    </w:p>
  </w:footnote>
  <w:footnote w:id="2">
    <w:p w14:paraId="72CFD7E9" w14:textId="77777777"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La Sentencia fue notificada el 29 de julio de 2014. </w:t>
      </w:r>
      <w:r w:rsidRPr="00E052E1">
        <w:rPr>
          <w:rFonts w:ascii="Verdana" w:hAnsi="Verdana"/>
          <w:i/>
          <w:sz w:val="16"/>
          <w:szCs w:val="16"/>
        </w:rPr>
        <w:t xml:space="preserve">Cfr. Caso </w:t>
      </w:r>
      <w:proofErr w:type="spellStart"/>
      <w:r w:rsidRPr="00E052E1">
        <w:rPr>
          <w:rFonts w:ascii="Verdana" w:hAnsi="Verdana"/>
          <w:i/>
          <w:sz w:val="16"/>
          <w:szCs w:val="16"/>
        </w:rPr>
        <w:t>Norín</w:t>
      </w:r>
      <w:proofErr w:type="spellEnd"/>
      <w:r w:rsidRPr="00E052E1">
        <w:rPr>
          <w:rFonts w:ascii="Verdana" w:hAnsi="Verdana"/>
          <w:i/>
          <w:sz w:val="16"/>
          <w:szCs w:val="16"/>
        </w:rPr>
        <w:t xml:space="preserve"> </w:t>
      </w:r>
      <w:proofErr w:type="spellStart"/>
      <w:r w:rsidRPr="00E052E1">
        <w:rPr>
          <w:rFonts w:ascii="Verdana" w:hAnsi="Verdana"/>
          <w:i/>
          <w:sz w:val="16"/>
          <w:szCs w:val="16"/>
        </w:rPr>
        <w:t>Catrimán</w:t>
      </w:r>
      <w:proofErr w:type="spellEnd"/>
      <w:r w:rsidRPr="00E052E1">
        <w:rPr>
          <w:rFonts w:ascii="Verdana" w:hAnsi="Verdana"/>
          <w:i/>
          <w:sz w:val="16"/>
          <w:szCs w:val="16"/>
        </w:rPr>
        <w:t xml:space="preserve"> y otros (Dirigentes, Miembros y Activista del Pueblo Indígena Mapuche) Vs. Chile. Fondo, Reparaciones y Costas. </w:t>
      </w:r>
      <w:r w:rsidRPr="00E052E1">
        <w:rPr>
          <w:rFonts w:ascii="Verdana" w:hAnsi="Verdana"/>
          <w:sz w:val="16"/>
          <w:szCs w:val="16"/>
        </w:rPr>
        <w:t>Sentencia de 29 de mayo de 2014. Serie C No. 279. El texto íntegro se encuentra disponible en: http://www.corteidh.or.cr/docs/casos/articulos/seriec_279_esp.pdf.</w:t>
      </w:r>
    </w:p>
  </w:footnote>
  <w:footnote w:id="3">
    <w:p w14:paraId="2A9B0147" w14:textId="74A007D3"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La dirigencia de las comunidades </w:t>
      </w:r>
      <w:proofErr w:type="spellStart"/>
      <w:r w:rsidRPr="00E052E1">
        <w:rPr>
          <w:rFonts w:ascii="Verdana" w:hAnsi="Verdana"/>
          <w:sz w:val="16"/>
          <w:szCs w:val="16"/>
        </w:rPr>
        <w:t>indígenas</w:t>
      </w:r>
      <w:proofErr w:type="spellEnd"/>
      <w:r w:rsidRPr="00E052E1">
        <w:rPr>
          <w:rFonts w:ascii="Verdana" w:hAnsi="Verdana"/>
          <w:sz w:val="16"/>
          <w:szCs w:val="16"/>
        </w:rPr>
        <w:t xml:space="preserve"> mapuche la ejercen los “</w:t>
      </w:r>
      <w:proofErr w:type="spellStart"/>
      <w:r w:rsidRPr="00E052E1">
        <w:rPr>
          <w:rFonts w:ascii="Verdana" w:hAnsi="Verdana"/>
          <w:sz w:val="16"/>
          <w:szCs w:val="16"/>
        </w:rPr>
        <w:t>Lonkos</w:t>
      </w:r>
      <w:proofErr w:type="spellEnd"/>
      <w:r w:rsidRPr="00E052E1">
        <w:rPr>
          <w:rFonts w:ascii="Verdana" w:hAnsi="Verdana"/>
          <w:sz w:val="16"/>
          <w:szCs w:val="16"/>
        </w:rPr>
        <w:t>” y los “</w:t>
      </w:r>
      <w:proofErr w:type="spellStart"/>
      <w:r w:rsidRPr="00E052E1">
        <w:rPr>
          <w:rFonts w:ascii="Verdana" w:hAnsi="Verdana"/>
          <w:sz w:val="16"/>
          <w:szCs w:val="16"/>
        </w:rPr>
        <w:t>Werkén</w:t>
      </w:r>
      <w:proofErr w:type="spellEnd"/>
      <w:r w:rsidRPr="00E052E1">
        <w:rPr>
          <w:rFonts w:ascii="Verdana" w:hAnsi="Verdana"/>
          <w:sz w:val="16"/>
          <w:szCs w:val="16"/>
        </w:rPr>
        <w:t xml:space="preserve">”. Las </w:t>
      </w:r>
      <w:proofErr w:type="spellStart"/>
      <w:r w:rsidRPr="00E052E1">
        <w:rPr>
          <w:rFonts w:ascii="Verdana" w:hAnsi="Verdana"/>
          <w:sz w:val="16"/>
          <w:szCs w:val="16"/>
        </w:rPr>
        <w:t>víctimas</w:t>
      </w:r>
      <w:proofErr w:type="spellEnd"/>
      <w:r w:rsidRPr="00E052E1">
        <w:rPr>
          <w:rFonts w:ascii="Verdana" w:hAnsi="Verdana"/>
          <w:sz w:val="16"/>
          <w:szCs w:val="16"/>
        </w:rPr>
        <w:t xml:space="preserve"> Segundo Aniceto </w:t>
      </w:r>
      <w:proofErr w:type="spellStart"/>
      <w:r w:rsidRPr="00E052E1">
        <w:rPr>
          <w:rFonts w:ascii="Verdana" w:hAnsi="Verdana"/>
          <w:sz w:val="16"/>
          <w:szCs w:val="16"/>
        </w:rPr>
        <w:t>Norín</w:t>
      </w:r>
      <w:proofErr w:type="spellEnd"/>
      <w:r w:rsidRPr="00E052E1">
        <w:rPr>
          <w:rFonts w:ascii="Verdana" w:hAnsi="Verdana"/>
          <w:sz w:val="16"/>
          <w:szCs w:val="16"/>
        </w:rPr>
        <w:t xml:space="preserve"> </w:t>
      </w:r>
      <w:proofErr w:type="spellStart"/>
      <w:r w:rsidRPr="00E052E1">
        <w:rPr>
          <w:rFonts w:ascii="Verdana" w:hAnsi="Verdana"/>
          <w:sz w:val="16"/>
          <w:szCs w:val="16"/>
        </w:rPr>
        <w:t>Catrimán</w:t>
      </w:r>
      <w:proofErr w:type="spellEnd"/>
      <w:r w:rsidRPr="00E052E1">
        <w:rPr>
          <w:rFonts w:ascii="Verdana" w:hAnsi="Verdana"/>
          <w:sz w:val="16"/>
          <w:szCs w:val="16"/>
        </w:rPr>
        <w:t xml:space="preserve"> y Pascual </w:t>
      </w:r>
      <w:proofErr w:type="spellStart"/>
      <w:r w:rsidRPr="00E052E1">
        <w:rPr>
          <w:rFonts w:ascii="Verdana" w:hAnsi="Verdana"/>
          <w:sz w:val="16"/>
          <w:szCs w:val="16"/>
        </w:rPr>
        <w:t>Huentequeo</w:t>
      </w:r>
      <w:proofErr w:type="spellEnd"/>
      <w:r w:rsidRPr="00E052E1">
        <w:rPr>
          <w:rFonts w:ascii="Verdana" w:hAnsi="Verdana"/>
          <w:sz w:val="16"/>
          <w:szCs w:val="16"/>
        </w:rPr>
        <w:t xml:space="preserve"> Pichún </w:t>
      </w:r>
      <w:proofErr w:type="spellStart"/>
      <w:r w:rsidRPr="00E052E1">
        <w:rPr>
          <w:rFonts w:ascii="Verdana" w:hAnsi="Verdana"/>
          <w:sz w:val="16"/>
          <w:szCs w:val="16"/>
        </w:rPr>
        <w:t>Paillalao</w:t>
      </w:r>
      <w:proofErr w:type="spellEnd"/>
      <w:r w:rsidRPr="00E052E1">
        <w:rPr>
          <w:rFonts w:ascii="Verdana" w:hAnsi="Verdana"/>
          <w:sz w:val="16"/>
          <w:szCs w:val="16"/>
        </w:rPr>
        <w:t xml:space="preserve"> eran “</w:t>
      </w:r>
      <w:proofErr w:type="spellStart"/>
      <w:r w:rsidRPr="00E052E1">
        <w:rPr>
          <w:rFonts w:ascii="Verdana" w:hAnsi="Verdana"/>
          <w:sz w:val="16"/>
          <w:szCs w:val="16"/>
        </w:rPr>
        <w:t>Lonkos</w:t>
      </w:r>
      <w:proofErr w:type="spellEnd"/>
      <w:r w:rsidRPr="00E052E1">
        <w:rPr>
          <w:rFonts w:ascii="Verdana" w:hAnsi="Verdana"/>
          <w:sz w:val="16"/>
          <w:szCs w:val="16"/>
        </w:rPr>
        <w:t xml:space="preserve">” y la </w:t>
      </w:r>
      <w:proofErr w:type="spellStart"/>
      <w:r w:rsidRPr="00E052E1">
        <w:rPr>
          <w:rFonts w:ascii="Verdana" w:hAnsi="Verdana"/>
          <w:sz w:val="16"/>
          <w:szCs w:val="16"/>
        </w:rPr>
        <w:t>víctim</w:t>
      </w:r>
      <w:r w:rsidR="00F82113">
        <w:rPr>
          <w:rFonts w:ascii="Verdana" w:hAnsi="Verdana"/>
          <w:sz w:val="16"/>
          <w:szCs w:val="16"/>
        </w:rPr>
        <w:t>a</w:t>
      </w:r>
      <w:proofErr w:type="spellEnd"/>
      <w:r w:rsidR="00F82113">
        <w:rPr>
          <w:rFonts w:ascii="Verdana" w:hAnsi="Verdana"/>
          <w:sz w:val="16"/>
          <w:szCs w:val="16"/>
        </w:rPr>
        <w:t xml:space="preserve"> </w:t>
      </w:r>
      <w:proofErr w:type="spellStart"/>
      <w:r w:rsidR="00F82113">
        <w:rPr>
          <w:rFonts w:ascii="Verdana" w:hAnsi="Verdana"/>
          <w:sz w:val="16"/>
          <w:szCs w:val="16"/>
        </w:rPr>
        <w:t>Víctor</w:t>
      </w:r>
      <w:proofErr w:type="spellEnd"/>
      <w:r w:rsidR="00F82113">
        <w:rPr>
          <w:rFonts w:ascii="Verdana" w:hAnsi="Verdana"/>
          <w:sz w:val="16"/>
          <w:szCs w:val="16"/>
        </w:rPr>
        <w:t xml:space="preserve"> </w:t>
      </w:r>
      <w:proofErr w:type="spellStart"/>
      <w:r w:rsidR="00F82113">
        <w:rPr>
          <w:rFonts w:ascii="Verdana" w:hAnsi="Verdana"/>
          <w:sz w:val="16"/>
          <w:szCs w:val="16"/>
        </w:rPr>
        <w:t>Ancalaf</w:t>
      </w:r>
      <w:proofErr w:type="spellEnd"/>
      <w:r w:rsidR="00F82113">
        <w:rPr>
          <w:rFonts w:ascii="Verdana" w:hAnsi="Verdana"/>
          <w:sz w:val="16"/>
          <w:szCs w:val="16"/>
        </w:rPr>
        <w:t xml:space="preserve"> </w:t>
      </w:r>
      <w:proofErr w:type="spellStart"/>
      <w:r w:rsidR="00F82113">
        <w:rPr>
          <w:rFonts w:ascii="Verdana" w:hAnsi="Verdana"/>
          <w:sz w:val="16"/>
          <w:szCs w:val="16"/>
        </w:rPr>
        <w:t>Llaupe</w:t>
      </w:r>
      <w:proofErr w:type="spellEnd"/>
      <w:r w:rsidR="00F82113">
        <w:rPr>
          <w:rFonts w:ascii="Verdana" w:hAnsi="Verdana"/>
          <w:sz w:val="16"/>
          <w:szCs w:val="16"/>
        </w:rPr>
        <w:t xml:space="preserve"> era “</w:t>
      </w:r>
      <w:proofErr w:type="spellStart"/>
      <w:r w:rsidR="00F82113">
        <w:rPr>
          <w:rFonts w:ascii="Verdana" w:hAnsi="Verdana"/>
          <w:sz w:val="16"/>
          <w:szCs w:val="16"/>
        </w:rPr>
        <w:t>Wer</w:t>
      </w:r>
      <w:r w:rsidRPr="00E052E1">
        <w:rPr>
          <w:rFonts w:ascii="Verdana" w:hAnsi="Verdana"/>
          <w:sz w:val="16"/>
          <w:szCs w:val="16"/>
        </w:rPr>
        <w:t>kén</w:t>
      </w:r>
      <w:proofErr w:type="spellEnd"/>
      <w:r w:rsidRPr="00E052E1">
        <w:rPr>
          <w:rFonts w:ascii="Verdana" w:hAnsi="Verdana"/>
          <w:sz w:val="16"/>
          <w:szCs w:val="16"/>
        </w:rPr>
        <w:t xml:space="preserve">”. </w:t>
      </w:r>
      <w:r w:rsidRPr="00E052E1">
        <w:rPr>
          <w:rFonts w:ascii="Verdana" w:hAnsi="Verdana"/>
          <w:i/>
          <w:sz w:val="16"/>
          <w:szCs w:val="16"/>
        </w:rPr>
        <w:t xml:space="preserve">Cfr. Caso </w:t>
      </w:r>
      <w:proofErr w:type="spellStart"/>
      <w:r w:rsidRPr="00E052E1">
        <w:rPr>
          <w:rFonts w:ascii="Verdana" w:hAnsi="Verdana"/>
          <w:i/>
          <w:sz w:val="16"/>
          <w:szCs w:val="16"/>
        </w:rPr>
        <w:t>Norín</w:t>
      </w:r>
      <w:proofErr w:type="spellEnd"/>
      <w:r w:rsidRPr="00E052E1">
        <w:rPr>
          <w:rFonts w:ascii="Verdana" w:hAnsi="Verdana"/>
          <w:i/>
          <w:sz w:val="16"/>
          <w:szCs w:val="16"/>
        </w:rPr>
        <w:t xml:space="preserve"> </w:t>
      </w:r>
      <w:proofErr w:type="spellStart"/>
      <w:r w:rsidRPr="00E052E1">
        <w:rPr>
          <w:rFonts w:ascii="Verdana" w:hAnsi="Verdana"/>
          <w:i/>
          <w:sz w:val="16"/>
          <w:szCs w:val="16"/>
        </w:rPr>
        <w:t>Catrimán</w:t>
      </w:r>
      <w:proofErr w:type="spellEnd"/>
      <w:r w:rsidRPr="00E052E1">
        <w:rPr>
          <w:rFonts w:ascii="Verdana" w:hAnsi="Verdana"/>
          <w:i/>
          <w:sz w:val="16"/>
          <w:szCs w:val="16"/>
        </w:rPr>
        <w:t xml:space="preserve"> y otros, supra</w:t>
      </w:r>
      <w:r w:rsidRPr="00E052E1">
        <w:rPr>
          <w:rFonts w:ascii="Verdana" w:hAnsi="Verdana"/>
          <w:sz w:val="16"/>
          <w:szCs w:val="16"/>
        </w:rPr>
        <w:t xml:space="preserve"> nota 1, párr. 78.</w:t>
      </w:r>
    </w:p>
  </w:footnote>
  <w:footnote w:id="4">
    <w:p w14:paraId="178CCF8C" w14:textId="333D93E6"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Las víctimas Juan Ciriaco </w:t>
      </w:r>
      <w:proofErr w:type="spellStart"/>
      <w:r w:rsidRPr="00E052E1">
        <w:rPr>
          <w:rFonts w:ascii="Verdana" w:hAnsi="Verdana"/>
          <w:sz w:val="16"/>
          <w:szCs w:val="16"/>
        </w:rPr>
        <w:t>Millacheo</w:t>
      </w:r>
      <w:proofErr w:type="spellEnd"/>
      <w:r w:rsidRPr="00E052E1">
        <w:rPr>
          <w:rFonts w:ascii="Verdana" w:hAnsi="Verdana"/>
          <w:sz w:val="16"/>
          <w:szCs w:val="16"/>
        </w:rPr>
        <w:t xml:space="preserve"> Licán, Florencio Jaime Marileo Saravia, José Benicio Huenchunao Mariñán, y Juan Patricio Marileo Saravia.</w:t>
      </w:r>
      <w:r w:rsidR="00ED68E3">
        <w:rPr>
          <w:rFonts w:ascii="Verdana" w:hAnsi="Verdana"/>
          <w:sz w:val="16"/>
          <w:szCs w:val="16"/>
        </w:rPr>
        <w:t xml:space="preserve"> </w:t>
      </w:r>
    </w:p>
  </w:footnote>
  <w:footnote w:id="5">
    <w:p w14:paraId="1002DDAB" w14:textId="5479A7E1"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La víctima Patricia Roxana Troncoso Robles. </w:t>
      </w:r>
    </w:p>
  </w:footnote>
  <w:footnote w:id="6">
    <w:p w14:paraId="58FE9840" w14:textId="2C00C463"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rPr>
        <w:t>Cfr.</w:t>
      </w:r>
      <w:r w:rsidRPr="00E052E1">
        <w:rPr>
          <w:rFonts w:ascii="Verdana" w:hAnsi="Verdana"/>
          <w:sz w:val="16"/>
          <w:szCs w:val="16"/>
        </w:rPr>
        <w:t xml:space="preserve"> Caso </w:t>
      </w:r>
      <w:proofErr w:type="spellStart"/>
      <w:r w:rsidRPr="00E052E1">
        <w:rPr>
          <w:rFonts w:ascii="Verdana" w:hAnsi="Verdana"/>
          <w:sz w:val="16"/>
          <w:szCs w:val="16"/>
        </w:rPr>
        <w:t>Norín</w:t>
      </w:r>
      <w:proofErr w:type="spellEnd"/>
      <w:r w:rsidRPr="00E052E1">
        <w:rPr>
          <w:rFonts w:ascii="Verdana" w:hAnsi="Verdana"/>
          <w:sz w:val="16"/>
          <w:szCs w:val="16"/>
        </w:rPr>
        <w:t xml:space="preserve"> </w:t>
      </w:r>
      <w:proofErr w:type="spellStart"/>
      <w:r w:rsidRPr="00E052E1">
        <w:rPr>
          <w:rFonts w:ascii="Verdana" w:hAnsi="Verdana"/>
          <w:sz w:val="16"/>
          <w:szCs w:val="16"/>
        </w:rPr>
        <w:t>Catrimán</w:t>
      </w:r>
      <w:proofErr w:type="spellEnd"/>
      <w:r w:rsidRPr="00E052E1">
        <w:rPr>
          <w:rFonts w:ascii="Verdana" w:hAnsi="Verdana"/>
          <w:sz w:val="16"/>
          <w:szCs w:val="16"/>
        </w:rPr>
        <w:t xml:space="preserve"> y otros, </w:t>
      </w:r>
      <w:r w:rsidRPr="0011029F">
        <w:rPr>
          <w:rFonts w:ascii="Verdana" w:hAnsi="Verdana"/>
          <w:i/>
          <w:sz w:val="16"/>
          <w:szCs w:val="16"/>
        </w:rPr>
        <w:t>supra</w:t>
      </w:r>
      <w:r w:rsidRPr="00E052E1">
        <w:rPr>
          <w:rFonts w:ascii="Verdana" w:hAnsi="Verdana"/>
          <w:sz w:val="16"/>
          <w:szCs w:val="16"/>
        </w:rPr>
        <w:t xml:space="preserve"> nota 1, </w:t>
      </w:r>
      <w:proofErr w:type="spellStart"/>
      <w:r w:rsidRPr="00E052E1">
        <w:rPr>
          <w:rFonts w:ascii="Verdana" w:hAnsi="Verdana"/>
          <w:sz w:val="16"/>
          <w:szCs w:val="16"/>
        </w:rPr>
        <w:t>párrs</w:t>
      </w:r>
      <w:proofErr w:type="spellEnd"/>
      <w:r w:rsidRPr="00E052E1">
        <w:rPr>
          <w:rFonts w:ascii="Verdana" w:hAnsi="Verdana"/>
          <w:sz w:val="16"/>
          <w:szCs w:val="16"/>
        </w:rPr>
        <w:t>.</w:t>
      </w:r>
      <w:r w:rsidR="008A563F">
        <w:rPr>
          <w:rFonts w:ascii="Verdana" w:hAnsi="Verdana"/>
          <w:sz w:val="16"/>
          <w:szCs w:val="16"/>
        </w:rPr>
        <w:t xml:space="preserve"> </w:t>
      </w:r>
      <w:r w:rsidRPr="00E052E1">
        <w:rPr>
          <w:rFonts w:ascii="Verdana" w:hAnsi="Verdana"/>
          <w:sz w:val="16"/>
          <w:szCs w:val="16"/>
        </w:rPr>
        <w:t>168 a 177, 223 a 228</w:t>
      </w:r>
      <w:r w:rsidR="00575693">
        <w:rPr>
          <w:rFonts w:ascii="Verdana" w:hAnsi="Verdana"/>
          <w:sz w:val="16"/>
          <w:szCs w:val="16"/>
        </w:rPr>
        <w:t xml:space="preserve">, </w:t>
      </w:r>
      <w:r w:rsidRPr="00E052E1">
        <w:rPr>
          <w:rFonts w:ascii="Verdana" w:hAnsi="Verdana"/>
          <w:sz w:val="16"/>
          <w:szCs w:val="16"/>
        </w:rPr>
        <w:t>230</w:t>
      </w:r>
      <w:r w:rsidR="001A724A">
        <w:rPr>
          <w:rFonts w:ascii="Verdana" w:hAnsi="Verdana"/>
          <w:sz w:val="16"/>
          <w:szCs w:val="16"/>
        </w:rPr>
        <w:t xml:space="preserve">, </w:t>
      </w:r>
      <w:r w:rsidR="00575693">
        <w:rPr>
          <w:rFonts w:ascii="Verdana" w:hAnsi="Verdana"/>
          <w:sz w:val="16"/>
          <w:szCs w:val="16"/>
        </w:rPr>
        <w:t>327, 343</w:t>
      </w:r>
      <w:r w:rsidR="001A724A">
        <w:rPr>
          <w:rFonts w:ascii="Verdana" w:hAnsi="Verdana"/>
          <w:sz w:val="16"/>
          <w:szCs w:val="16"/>
        </w:rPr>
        <w:t xml:space="preserve"> y 355</w:t>
      </w:r>
      <w:r w:rsidRPr="00E052E1">
        <w:rPr>
          <w:rFonts w:ascii="Verdana" w:hAnsi="Verdana"/>
          <w:sz w:val="16"/>
          <w:szCs w:val="16"/>
        </w:rPr>
        <w:t>.</w:t>
      </w:r>
    </w:p>
  </w:footnote>
  <w:footnote w:id="7">
    <w:p w14:paraId="3A23B2C1" w14:textId="3706745D"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Las víctimas Pascual </w:t>
      </w:r>
      <w:proofErr w:type="spellStart"/>
      <w:r w:rsidRPr="00E052E1">
        <w:rPr>
          <w:rFonts w:ascii="Verdana" w:hAnsi="Verdana"/>
          <w:sz w:val="16"/>
          <w:szCs w:val="16"/>
        </w:rPr>
        <w:t>Huentequeo</w:t>
      </w:r>
      <w:proofErr w:type="spellEnd"/>
      <w:r w:rsidRPr="00E052E1">
        <w:rPr>
          <w:rFonts w:ascii="Verdana" w:hAnsi="Verdana"/>
          <w:sz w:val="16"/>
          <w:szCs w:val="16"/>
        </w:rPr>
        <w:t xml:space="preserve"> Pichún </w:t>
      </w:r>
      <w:proofErr w:type="spellStart"/>
      <w:r w:rsidRPr="00E052E1">
        <w:rPr>
          <w:rFonts w:ascii="Verdana" w:hAnsi="Verdana"/>
          <w:sz w:val="16"/>
          <w:szCs w:val="16"/>
        </w:rPr>
        <w:t>Paillalao</w:t>
      </w:r>
      <w:proofErr w:type="spellEnd"/>
      <w:r w:rsidRPr="00E052E1">
        <w:rPr>
          <w:rFonts w:ascii="Verdana" w:hAnsi="Verdana"/>
          <w:sz w:val="16"/>
          <w:szCs w:val="16"/>
        </w:rPr>
        <w:t xml:space="preserve"> y Víctor Manuel </w:t>
      </w:r>
      <w:proofErr w:type="spellStart"/>
      <w:r w:rsidRPr="00E052E1">
        <w:rPr>
          <w:rFonts w:ascii="Verdana" w:hAnsi="Verdana"/>
          <w:sz w:val="16"/>
          <w:szCs w:val="16"/>
        </w:rPr>
        <w:t>Ancalaf</w:t>
      </w:r>
      <w:proofErr w:type="spellEnd"/>
      <w:r w:rsidRPr="00E052E1">
        <w:rPr>
          <w:rFonts w:ascii="Verdana" w:hAnsi="Verdana"/>
          <w:sz w:val="16"/>
          <w:szCs w:val="16"/>
        </w:rPr>
        <w:t xml:space="preserve"> </w:t>
      </w:r>
      <w:proofErr w:type="spellStart"/>
      <w:r w:rsidRPr="00E052E1">
        <w:rPr>
          <w:rFonts w:ascii="Verdana" w:hAnsi="Verdana"/>
          <w:sz w:val="16"/>
          <w:szCs w:val="16"/>
        </w:rPr>
        <w:t>Llaupe</w:t>
      </w:r>
      <w:proofErr w:type="spellEnd"/>
      <w:r w:rsidRPr="00E052E1">
        <w:rPr>
          <w:rFonts w:ascii="Verdana" w:hAnsi="Verdana"/>
          <w:sz w:val="16"/>
          <w:szCs w:val="16"/>
        </w:rPr>
        <w:t xml:space="preserve">. </w:t>
      </w:r>
      <w:r w:rsidRPr="00E052E1">
        <w:rPr>
          <w:rFonts w:ascii="Verdana" w:hAnsi="Verdana"/>
          <w:i/>
          <w:sz w:val="16"/>
          <w:szCs w:val="16"/>
        </w:rPr>
        <w:t xml:space="preserve">Cfr. Caso </w:t>
      </w:r>
      <w:proofErr w:type="spellStart"/>
      <w:r w:rsidRPr="00E052E1">
        <w:rPr>
          <w:rFonts w:ascii="Verdana" w:hAnsi="Verdana"/>
          <w:i/>
          <w:sz w:val="16"/>
          <w:szCs w:val="16"/>
        </w:rPr>
        <w:t>Norín</w:t>
      </w:r>
      <w:proofErr w:type="spellEnd"/>
      <w:r w:rsidRPr="00E052E1">
        <w:rPr>
          <w:rFonts w:ascii="Verdana" w:hAnsi="Verdana"/>
          <w:i/>
          <w:sz w:val="16"/>
          <w:szCs w:val="16"/>
        </w:rPr>
        <w:t xml:space="preserve"> </w:t>
      </w:r>
      <w:proofErr w:type="spellStart"/>
      <w:r w:rsidRPr="00E052E1">
        <w:rPr>
          <w:rFonts w:ascii="Verdana" w:hAnsi="Verdana"/>
          <w:i/>
          <w:sz w:val="16"/>
          <w:szCs w:val="16"/>
        </w:rPr>
        <w:t>Catrimán</w:t>
      </w:r>
      <w:proofErr w:type="spellEnd"/>
      <w:r w:rsidRPr="00E052E1">
        <w:rPr>
          <w:rFonts w:ascii="Verdana" w:hAnsi="Verdana"/>
          <w:i/>
          <w:sz w:val="16"/>
          <w:szCs w:val="16"/>
        </w:rPr>
        <w:t xml:space="preserve"> y otros, supra</w:t>
      </w:r>
      <w:r w:rsidRPr="00E052E1">
        <w:rPr>
          <w:rFonts w:ascii="Verdana" w:hAnsi="Verdana"/>
          <w:sz w:val="16"/>
          <w:szCs w:val="16"/>
        </w:rPr>
        <w:t xml:space="preserve"> nota 1, </w:t>
      </w:r>
      <w:proofErr w:type="spellStart"/>
      <w:r w:rsidRPr="00E052E1">
        <w:rPr>
          <w:rFonts w:ascii="Verdana" w:hAnsi="Verdana"/>
          <w:sz w:val="16"/>
          <w:szCs w:val="16"/>
        </w:rPr>
        <w:t>párrs</w:t>
      </w:r>
      <w:proofErr w:type="spellEnd"/>
      <w:r w:rsidRPr="00E052E1">
        <w:rPr>
          <w:rFonts w:ascii="Verdana" w:hAnsi="Verdana"/>
          <w:sz w:val="16"/>
          <w:szCs w:val="16"/>
        </w:rPr>
        <w:t>. 248 a 2</w:t>
      </w:r>
      <w:r w:rsidR="001A724A">
        <w:rPr>
          <w:rFonts w:ascii="Verdana" w:hAnsi="Verdana"/>
          <w:sz w:val="16"/>
          <w:szCs w:val="16"/>
        </w:rPr>
        <w:t>60</w:t>
      </w:r>
      <w:r w:rsidRPr="00E052E1">
        <w:rPr>
          <w:rFonts w:ascii="Verdana" w:hAnsi="Verdana"/>
          <w:sz w:val="16"/>
          <w:szCs w:val="16"/>
        </w:rPr>
        <w:t>.</w:t>
      </w:r>
    </w:p>
  </w:footnote>
  <w:footnote w:id="8">
    <w:p w14:paraId="068D7859" w14:textId="61616777"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Las víctimas Segundo Aniceto </w:t>
      </w:r>
      <w:proofErr w:type="spellStart"/>
      <w:r w:rsidRPr="00E052E1">
        <w:rPr>
          <w:rFonts w:ascii="Verdana" w:hAnsi="Verdana"/>
          <w:sz w:val="16"/>
          <w:szCs w:val="16"/>
        </w:rPr>
        <w:t>Norín</w:t>
      </w:r>
      <w:proofErr w:type="spellEnd"/>
      <w:r w:rsidRPr="00E052E1">
        <w:rPr>
          <w:rFonts w:ascii="Verdana" w:hAnsi="Verdana"/>
          <w:sz w:val="16"/>
          <w:szCs w:val="16"/>
        </w:rPr>
        <w:t xml:space="preserve"> </w:t>
      </w:r>
      <w:proofErr w:type="spellStart"/>
      <w:r w:rsidRPr="00E052E1">
        <w:rPr>
          <w:rFonts w:ascii="Verdana" w:hAnsi="Verdana"/>
          <w:sz w:val="16"/>
          <w:szCs w:val="16"/>
        </w:rPr>
        <w:t>Catrimán</w:t>
      </w:r>
      <w:proofErr w:type="spellEnd"/>
      <w:r w:rsidRPr="00E052E1">
        <w:rPr>
          <w:rFonts w:ascii="Verdana" w:hAnsi="Verdana"/>
          <w:sz w:val="16"/>
          <w:szCs w:val="16"/>
        </w:rPr>
        <w:t xml:space="preserve">, Pascual </w:t>
      </w:r>
      <w:proofErr w:type="spellStart"/>
      <w:r w:rsidRPr="00E052E1">
        <w:rPr>
          <w:rFonts w:ascii="Verdana" w:hAnsi="Verdana"/>
          <w:sz w:val="16"/>
          <w:szCs w:val="16"/>
        </w:rPr>
        <w:t>Huentequeo</w:t>
      </w:r>
      <w:proofErr w:type="spellEnd"/>
      <w:r w:rsidRPr="00E052E1">
        <w:rPr>
          <w:rFonts w:ascii="Verdana" w:hAnsi="Verdana"/>
          <w:sz w:val="16"/>
          <w:szCs w:val="16"/>
        </w:rPr>
        <w:t xml:space="preserve"> Pichún </w:t>
      </w:r>
      <w:proofErr w:type="spellStart"/>
      <w:r w:rsidRPr="00E052E1">
        <w:rPr>
          <w:rFonts w:ascii="Verdana" w:hAnsi="Verdana"/>
          <w:sz w:val="16"/>
          <w:szCs w:val="16"/>
        </w:rPr>
        <w:t>Paillalao</w:t>
      </w:r>
      <w:proofErr w:type="spellEnd"/>
      <w:r w:rsidRPr="00E052E1">
        <w:rPr>
          <w:rFonts w:ascii="Verdana" w:hAnsi="Verdana"/>
          <w:sz w:val="16"/>
          <w:szCs w:val="16"/>
        </w:rPr>
        <w:t xml:space="preserve">, Juan Patricio Marileo Saravia, Florencio Jaime Marileo Saravia, José Benicio Huenchunao Mariñán, Juan Ciriaco </w:t>
      </w:r>
      <w:proofErr w:type="spellStart"/>
      <w:r w:rsidRPr="00E052E1">
        <w:rPr>
          <w:rFonts w:ascii="Verdana" w:hAnsi="Verdana"/>
          <w:sz w:val="16"/>
          <w:szCs w:val="16"/>
        </w:rPr>
        <w:t>Millacheo</w:t>
      </w:r>
      <w:proofErr w:type="spellEnd"/>
      <w:r w:rsidRPr="00E052E1">
        <w:rPr>
          <w:rFonts w:ascii="Verdana" w:hAnsi="Verdana"/>
          <w:sz w:val="16"/>
          <w:szCs w:val="16"/>
        </w:rPr>
        <w:t xml:space="preserve"> Licán y la señora Patricia Roxana Troncoso Robles. </w:t>
      </w:r>
      <w:r w:rsidRPr="00E052E1">
        <w:rPr>
          <w:rFonts w:ascii="Verdana" w:hAnsi="Verdana"/>
          <w:i/>
          <w:sz w:val="16"/>
          <w:szCs w:val="16"/>
        </w:rPr>
        <w:t xml:space="preserve">Cfr. Caso </w:t>
      </w:r>
      <w:proofErr w:type="spellStart"/>
      <w:r w:rsidRPr="00E052E1">
        <w:rPr>
          <w:rFonts w:ascii="Verdana" w:hAnsi="Verdana"/>
          <w:i/>
          <w:sz w:val="16"/>
          <w:szCs w:val="16"/>
        </w:rPr>
        <w:t>Norín</w:t>
      </w:r>
      <w:proofErr w:type="spellEnd"/>
      <w:r w:rsidRPr="00E052E1">
        <w:rPr>
          <w:rFonts w:ascii="Verdana" w:hAnsi="Verdana"/>
          <w:i/>
          <w:sz w:val="16"/>
          <w:szCs w:val="16"/>
        </w:rPr>
        <w:t xml:space="preserve"> </w:t>
      </w:r>
      <w:proofErr w:type="spellStart"/>
      <w:r w:rsidRPr="00E052E1">
        <w:rPr>
          <w:rFonts w:ascii="Verdana" w:hAnsi="Verdana"/>
          <w:i/>
          <w:sz w:val="16"/>
          <w:szCs w:val="16"/>
        </w:rPr>
        <w:t>Catrimán</w:t>
      </w:r>
      <w:proofErr w:type="spellEnd"/>
      <w:r w:rsidRPr="00E052E1">
        <w:rPr>
          <w:rFonts w:ascii="Verdana" w:hAnsi="Verdana"/>
          <w:i/>
          <w:sz w:val="16"/>
          <w:szCs w:val="16"/>
        </w:rPr>
        <w:t xml:space="preserve"> y otros, supra</w:t>
      </w:r>
      <w:r w:rsidRPr="00E052E1">
        <w:rPr>
          <w:rFonts w:ascii="Verdana" w:hAnsi="Verdana"/>
          <w:sz w:val="16"/>
          <w:szCs w:val="16"/>
        </w:rPr>
        <w:t xml:space="preserve"> nota, </w:t>
      </w:r>
      <w:proofErr w:type="spellStart"/>
      <w:r w:rsidRPr="00E052E1">
        <w:rPr>
          <w:rFonts w:ascii="Verdana" w:hAnsi="Verdana"/>
          <w:sz w:val="16"/>
          <w:szCs w:val="16"/>
        </w:rPr>
        <w:t>párrs</w:t>
      </w:r>
      <w:proofErr w:type="spellEnd"/>
      <w:r w:rsidRPr="00E052E1">
        <w:rPr>
          <w:rFonts w:ascii="Verdana" w:hAnsi="Verdana"/>
          <w:sz w:val="16"/>
          <w:szCs w:val="16"/>
        </w:rPr>
        <w:t>. 274 a 291.</w:t>
      </w:r>
    </w:p>
  </w:footnote>
  <w:footnote w:id="9">
    <w:p w14:paraId="7C4EA6D3" w14:textId="2400C35D"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Las víctimas Segundo Aniceto </w:t>
      </w:r>
      <w:proofErr w:type="spellStart"/>
      <w:r w:rsidRPr="00E052E1">
        <w:rPr>
          <w:rFonts w:ascii="Verdana" w:hAnsi="Verdana"/>
          <w:sz w:val="16"/>
          <w:szCs w:val="16"/>
        </w:rPr>
        <w:t>Norín</w:t>
      </w:r>
      <w:proofErr w:type="spellEnd"/>
      <w:r w:rsidRPr="00E052E1">
        <w:rPr>
          <w:rFonts w:ascii="Verdana" w:hAnsi="Verdana"/>
          <w:sz w:val="16"/>
          <w:szCs w:val="16"/>
        </w:rPr>
        <w:t xml:space="preserve"> </w:t>
      </w:r>
      <w:proofErr w:type="spellStart"/>
      <w:r w:rsidRPr="00E052E1">
        <w:rPr>
          <w:rFonts w:ascii="Verdana" w:hAnsi="Verdana"/>
          <w:sz w:val="16"/>
          <w:szCs w:val="16"/>
        </w:rPr>
        <w:t>Catrimán</w:t>
      </w:r>
      <w:proofErr w:type="spellEnd"/>
      <w:r w:rsidRPr="00E052E1">
        <w:rPr>
          <w:rFonts w:ascii="Verdana" w:hAnsi="Verdana"/>
          <w:sz w:val="16"/>
          <w:szCs w:val="16"/>
        </w:rPr>
        <w:t xml:space="preserve">, Pascual </w:t>
      </w:r>
      <w:proofErr w:type="spellStart"/>
      <w:r w:rsidRPr="00E052E1">
        <w:rPr>
          <w:rFonts w:ascii="Verdana" w:hAnsi="Verdana"/>
          <w:sz w:val="16"/>
          <w:szCs w:val="16"/>
        </w:rPr>
        <w:t>Huentequeo</w:t>
      </w:r>
      <w:proofErr w:type="spellEnd"/>
      <w:r w:rsidRPr="00E052E1">
        <w:rPr>
          <w:rFonts w:ascii="Verdana" w:hAnsi="Verdana"/>
          <w:sz w:val="16"/>
          <w:szCs w:val="16"/>
        </w:rPr>
        <w:t xml:space="preserve"> Pichún </w:t>
      </w:r>
      <w:proofErr w:type="spellStart"/>
      <w:r w:rsidRPr="00E052E1">
        <w:rPr>
          <w:rFonts w:ascii="Verdana" w:hAnsi="Verdana"/>
          <w:sz w:val="16"/>
          <w:szCs w:val="16"/>
        </w:rPr>
        <w:t>Paillalao</w:t>
      </w:r>
      <w:proofErr w:type="spellEnd"/>
      <w:r w:rsidRPr="00E052E1">
        <w:rPr>
          <w:rFonts w:ascii="Verdana" w:hAnsi="Verdana"/>
          <w:sz w:val="16"/>
          <w:szCs w:val="16"/>
        </w:rPr>
        <w:t xml:space="preserve"> y Víctor Manuel </w:t>
      </w:r>
      <w:proofErr w:type="spellStart"/>
      <w:r w:rsidRPr="00E052E1">
        <w:rPr>
          <w:rFonts w:ascii="Verdana" w:hAnsi="Verdana"/>
          <w:sz w:val="16"/>
          <w:szCs w:val="16"/>
        </w:rPr>
        <w:t>Ancalaf</w:t>
      </w:r>
      <w:proofErr w:type="spellEnd"/>
      <w:r w:rsidRPr="00E052E1">
        <w:rPr>
          <w:rFonts w:ascii="Verdana" w:hAnsi="Verdana"/>
          <w:sz w:val="16"/>
          <w:szCs w:val="16"/>
        </w:rPr>
        <w:t xml:space="preserve"> </w:t>
      </w:r>
      <w:proofErr w:type="spellStart"/>
      <w:r w:rsidRPr="00E052E1">
        <w:rPr>
          <w:rFonts w:ascii="Verdana" w:hAnsi="Verdana"/>
          <w:sz w:val="16"/>
          <w:szCs w:val="16"/>
        </w:rPr>
        <w:t>Llaupe</w:t>
      </w:r>
      <w:proofErr w:type="spellEnd"/>
      <w:r w:rsidRPr="00E052E1">
        <w:rPr>
          <w:rFonts w:ascii="Verdana" w:hAnsi="Verdana"/>
          <w:i/>
          <w:sz w:val="16"/>
          <w:szCs w:val="16"/>
        </w:rPr>
        <w:t xml:space="preserve">. Cfr. Caso </w:t>
      </w:r>
      <w:proofErr w:type="spellStart"/>
      <w:r w:rsidRPr="00E052E1">
        <w:rPr>
          <w:rFonts w:ascii="Verdana" w:hAnsi="Verdana"/>
          <w:i/>
          <w:sz w:val="16"/>
          <w:szCs w:val="16"/>
        </w:rPr>
        <w:t>Norín</w:t>
      </w:r>
      <w:proofErr w:type="spellEnd"/>
      <w:r w:rsidRPr="00E052E1">
        <w:rPr>
          <w:rFonts w:ascii="Verdana" w:hAnsi="Verdana"/>
          <w:i/>
          <w:sz w:val="16"/>
          <w:szCs w:val="16"/>
        </w:rPr>
        <w:t xml:space="preserve"> </w:t>
      </w:r>
      <w:proofErr w:type="spellStart"/>
      <w:r w:rsidRPr="00E052E1">
        <w:rPr>
          <w:rFonts w:ascii="Verdana" w:hAnsi="Verdana"/>
          <w:i/>
          <w:sz w:val="16"/>
          <w:szCs w:val="16"/>
        </w:rPr>
        <w:t>Catrimán</w:t>
      </w:r>
      <w:proofErr w:type="spellEnd"/>
      <w:r w:rsidRPr="00E052E1">
        <w:rPr>
          <w:rFonts w:ascii="Verdana" w:hAnsi="Verdana"/>
          <w:i/>
          <w:sz w:val="16"/>
          <w:szCs w:val="16"/>
        </w:rPr>
        <w:t xml:space="preserve"> y otros, supra</w:t>
      </w:r>
      <w:r w:rsidRPr="00E052E1">
        <w:rPr>
          <w:rFonts w:ascii="Verdana" w:hAnsi="Verdana"/>
          <w:sz w:val="16"/>
          <w:szCs w:val="16"/>
        </w:rPr>
        <w:t xml:space="preserve"> nota 1, párr. 374.</w:t>
      </w:r>
    </w:p>
  </w:footnote>
  <w:footnote w:id="10">
    <w:p w14:paraId="7062EB34" w14:textId="66497744"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rPr>
        <w:t xml:space="preserve">Cfr. Caso </w:t>
      </w:r>
      <w:proofErr w:type="spellStart"/>
      <w:r w:rsidRPr="00E052E1">
        <w:rPr>
          <w:rFonts w:ascii="Verdana" w:hAnsi="Verdana"/>
          <w:i/>
          <w:sz w:val="16"/>
          <w:szCs w:val="16"/>
        </w:rPr>
        <w:t>Norín</w:t>
      </w:r>
      <w:proofErr w:type="spellEnd"/>
      <w:r w:rsidRPr="00E052E1">
        <w:rPr>
          <w:rFonts w:ascii="Verdana" w:hAnsi="Verdana"/>
          <w:i/>
          <w:sz w:val="16"/>
          <w:szCs w:val="16"/>
        </w:rPr>
        <w:t xml:space="preserve"> </w:t>
      </w:r>
      <w:proofErr w:type="spellStart"/>
      <w:r w:rsidRPr="00E052E1">
        <w:rPr>
          <w:rFonts w:ascii="Verdana" w:hAnsi="Verdana"/>
          <w:i/>
          <w:sz w:val="16"/>
          <w:szCs w:val="16"/>
        </w:rPr>
        <w:t>Catrimán</w:t>
      </w:r>
      <w:proofErr w:type="spellEnd"/>
      <w:r w:rsidRPr="00E052E1">
        <w:rPr>
          <w:rFonts w:ascii="Verdana" w:hAnsi="Verdana"/>
          <w:i/>
          <w:sz w:val="16"/>
          <w:szCs w:val="16"/>
        </w:rPr>
        <w:t xml:space="preserve"> y otros, supra </w:t>
      </w:r>
      <w:r w:rsidRPr="00E052E1">
        <w:rPr>
          <w:rFonts w:ascii="Verdana" w:hAnsi="Verdana"/>
          <w:sz w:val="16"/>
          <w:szCs w:val="16"/>
        </w:rPr>
        <w:t>nota 1, párr. 383.</w:t>
      </w:r>
    </w:p>
  </w:footnote>
  <w:footnote w:id="11">
    <w:p w14:paraId="1DE62227" w14:textId="680B0680"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La víctima Víctor </w:t>
      </w:r>
      <w:r w:rsidR="00A27F44">
        <w:rPr>
          <w:rFonts w:ascii="Verdana" w:hAnsi="Verdana"/>
          <w:sz w:val="16"/>
          <w:szCs w:val="16"/>
        </w:rPr>
        <w:t xml:space="preserve">Manuel </w:t>
      </w:r>
      <w:proofErr w:type="spellStart"/>
      <w:r w:rsidRPr="00E052E1">
        <w:rPr>
          <w:rFonts w:ascii="Verdana" w:hAnsi="Verdana"/>
          <w:sz w:val="16"/>
          <w:szCs w:val="16"/>
        </w:rPr>
        <w:t>Ancalaf</w:t>
      </w:r>
      <w:proofErr w:type="spellEnd"/>
      <w:r w:rsidRPr="00E052E1">
        <w:rPr>
          <w:rFonts w:ascii="Verdana" w:hAnsi="Verdana"/>
          <w:sz w:val="16"/>
          <w:szCs w:val="16"/>
        </w:rPr>
        <w:t xml:space="preserve"> </w:t>
      </w:r>
      <w:proofErr w:type="spellStart"/>
      <w:r w:rsidRPr="00E052E1">
        <w:rPr>
          <w:rFonts w:ascii="Verdana" w:hAnsi="Verdana"/>
          <w:sz w:val="16"/>
          <w:szCs w:val="16"/>
        </w:rPr>
        <w:t>L</w:t>
      </w:r>
      <w:r w:rsidR="0011029F">
        <w:rPr>
          <w:rFonts w:ascii="Verdana" w:hAnsi="Verdana"/>
          <w:sz w:val="16"/>
          <w:szCs w:val="16"/>
        </w:rPr>
        <w:t>l</w:t>
      </w:r>
      <w:r w:rsidRPr="00E052E1">
        <w:rPr>
          <w:rFonts w:ascii="Verdana" w:hAnsi="Verdana"/>
          <w:sz w:val="16"/>
          <w:szCs w:val="16"/>
        </w:rPr>
        <w:t>aupe</w:t>
      </w:r>
      <w:proofErr w:type="spellEnd"/>
      <w:r w:rsidRPr="00E052E1">
        <w:rPr>
          <w:rFonts w:ascii="Verdana" w:hAnsi="Verdana"/>
          <w:sz w:val="16"/>
          <w:szCs w:val="16"/>
        </w:rPr>
        <w:t xml:space="preserve">. </w:t>
      </w:r>
      <w:r w:rsidRPr="00E052E1">
        <w:rPr>
          <w:rFonts w:ascii="Verdana" w:hAnsi="Verdana"/>
          <w:i/>
          <w:sz w:val="16"/>
          <w:szCs w:val="16"/>
        </w:rPr>
        <w:t xml:space="preserve">Cfr. Caso </w:t>
      </w:r>
      <w:proofErr w:type="spellStart"/>
      <w:r w:rsidRPr="00E052E1">
        <w:rPr>
          <w:rFonts w:ascii="Verdana" w:hAnsi="Verdana"/>
          <w:i/>
          <w:sz w:val="16"/>
          <w:szCs w:val="16"/>
        </w:rPr>
        <w:t>Norín</w:t>
      </w:r>
      <w:proofErr w:type="spellEnd"/>
      <w:r w:rsidRPr="00E052E1">
        <w:rPr>
          <w:rFonts w:ascii="Verdana" w:hAnsi="Verdana"/>
          <w:i/>
          <w:sz w:val="16"/>
          <w:szCs w:val="16"/>
        </w:rPr>
        <w:t xml:space="preserve"> </w:t>
      </w:r>
      <w:proofErr w:type="spellStart"/>
      <w:r w:rsidRPr="00E052E1">
        <w:rPr>
          <w:rFonts w:ascii="Verdana" w:hAnsi="Verdana"/>
          <w:i/>
          <w:sz w:val="16"/>
          <w:szCs w:val="16"/>
        </w:rPr>
        <w:t>Catrimán</w:t>
      </w:r>
      <w:proofErr w:type="spellEnd"/>
      <w:r w:rsidRPr="00E052E1">
        <w:rPr>
          <w:rFonts w:ascii="Verdana" w:hAnsi="Verdana"/>
          <w:i/>
          <w:sz w:val="16"/>
          <w:szCs w:val="16"/>
        </w:rPr>
        <w:t xml:space="preserve"> y otros, supra</w:t>
      </w:r>
      <w:r w:rsidRPr="00E052E1">
        <w:rPr>
          <w:rFonts w:ascii="Verdana" w:hAnsi="Verdana"/>
          <w:sz w:val="16"/>
          <w:szCs w:val="16"/>
        </w:rPr>
        <w:t xml:space="preserve"> nota</w:t>
      </w:r>
      <w:r w:rsidR="00F878BB">
        <w:rPr>
          <w:rFonts w:ascii="Verdana" w:hAnsi="Verdana"/>
          <w:sz w:val="16"/>
          <w:szCs w:val="16"/>
        </w:rPr>
        <w:t xml:space="preserve"> 1</w:t>
      </w:r>
      <w:r w:rsidRPr="00E052E1">
        <w:rPr>
          <w:rFonts w:ascii="Verdana" w:hAnsi="Verdana"/>
          <w:sz w:val="16"/>
          <w:szCs w:val="16"/>
        </w:rPr>
        <w:t xml:space="preserve">, </w:t>
      </w:r>
      <w:proofErr w:type="spellStart"/>
      <w:r w:rsidRPr="00E052E1">
        <w:rPr>
          <w:rFonts w:ascii="Verdana" w:hAnsi="Verdana"/>
          <w:sz w:val="16"/>
          <w:szCs w:val="16"/>
        </w:rPr>
        <w:t>párrs</w:t>
      </w:r>
      <w:proofErr w:type="spellEnd"/>
      <w:r w:rsidRPr="00E052E1">
        <w:rPr>
          <w:rFonts w:ascii="Verdana" w:hAnsi="Verdana"/>
          <w:sz w:val="16"/>
          <w:szCs w:val="16"/>
        </w:rPr>
        <w:t>. 403 a 41</w:t>
      </w:r>
      <w:r w:rsidR="00A27F44">
        <w:rPr>
          <w:rFonts w:ascii="Verdana" w:hAnsi="Verdana"/>
          <w:sz w:val="16"/>
          <w:szCs w:val="16"/>
        </w:rPr>
        <w:t>0</w:t>
      </w:r>
      <w:r w:rsidRPr="00E052E1">
        <w:rPr>
          <w:rFonts w:ascii="Verdana" w:hAnsi="Verdana"/>
          <w:sz w:val="16"/>
          <w:szCs w:val="16"/>
        </w:rPr>
        <w:t>.</w:t>
      </w:r>
    </w:p>
  </w:footnote>
  <w:footnote w:id="12">
    <w:p w14:paraId="20B8FA2D" w14:textId="3A5E2331"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En ninguno de los hechos por los cuales fueron juzgados las víctimas resultó afectada la integridad física ni la vida de alguna persona. </w:t>
      </w:r>
      <w:r w:rsidRPr="00E052E1">
        <w:rPr>
          <w:rFonts w:ascii="Verdana" w:hAnsi="Verdana"/>
          <w:i/>
          <w:sz w:val="16"/>
          <w:szCs w:val="16"/>
        </w:rPr>
        <w:t xml:space="preserve">Cfr. Caso </w:t>
      </w:r>
      <w:proofErr w:type="spellStart"/>
      <w:r w:rsidRPr="00E052E1">
        <w:rPr>
          <w:rFonts w:ascii="Verdana" w:hAnsi="Verdana"/>
          <w:i/>
          <w:sz w:val="16"/>
          <w:szCs w:val="16"/>
        </w:rPr>
        <w:t>Norín</w:t>
      </w:r>
      <w:proofErr w:type="spellEnd"/>
      <w:r w:rsidRPr="00E052E1">
        <w:rPr>
          <w:rFonts w:ascii="Verdana" w:hAnsi="Verdana"/>
          <w:i/>
          <w:sz w:val="16"/>
          <w:szCs w:val="16"/>
        </w:rPr>
        <w:t xml:space="preserve"> </w:t>
      </w:r>
      <w:proofErr w:type="spellStart"/>
      <w:r w:rsidRPr="00E052E1">
        <w:rPr>
          <w:rFonts w:ascii="Verdana" w:hAnsi="Verdana"/>
          <w:i/>
          <w:sz w:val="16"/>
          <w:szCs w:val="16"/>
        </w:rPr>
        <w:t>Catrimán</w:t>
      </w:r>
      <w:proofErr w:type="spellEnd"/>
      <w:r w:rsidRPr="00E052E1">
        <w:rPr>
          <w:rFonts w:ascii="Verdana" w:hAnsi="Verdana"/>
          <w:i/>
          <w:sz w:val="16"/>
          <w:szCs w:val="16"/>
        </w:rPr>
        <w:t xml:space="preserve"> y otros, supra</w:t>
      </w:r>
      <w:r w:rsidRPr="00E052E1">
        <w:rPr>
          <w:rFonts w:ascii="Verdana" w:hAnsi="Verdana"/>
          <w:sz w:val="16"/>
          <w:szCs w:val="16"/>
        </w:rPr>
        <w:t xml:space="preserve"> nota 1, </w:t>
      </w:r>
      <w:proofErr w:type="spellStart"/>
      <w:r w:rsidRPr="00E052E1">
        <w:rPr>
          <w:rFonts w:ascii="Verdana" w:hAnsi="Verdana"/>
          <w:sz w:val="16"/>
          <w:szCs w:val="16"/>
        </w:rPr>
        <w:t>párrs</w:t>
      </w:r>
      <w:proofErr w:type="spellEnd"/>
      <w:r w:rsidRPr="00E052E1">
        <w:rPr>
          <w:rFonts w:ascii="Verdana" w:hAnsi="Verdana"/>
          <w:sz w:val="16"/>
          <w:szCs w:val="16"/>
        </w:rPr>
        <w:t>. 74, 81, 98 a 100, y 106 a 152.</w:t>
      </w:r>
    </w:p>
  </w:footnote>
  <w:footnote w:id="13">
    <w:p w14:paraId="7BD34946" w14:textId="1322B7CF" w:rsidR="00453ED8" w:rsidRPr="00E052E1" w:rsidRDefault="00453ED8" w:rsidP="00950477">
      <w:pPr>
        <w:pStyle w:val="Textonotapie"/>
        <w:jc w:val="both"/>
        <w:rPr>
          <w:rFonts w:ascii="Verdana" w:hAnsi="Verdana"/>
          <w:sz w:val="16"/>
          <w:szCs w:val="16"/>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rPr>
        <w:t xml:space="preserve">Cfr. Caso </w:t>
      </w:r>
      <w:proofErr w:type="spellStart"/>
      <w:r w:rsidRPr="00E052E1">
        <w:rPr>
          <w:rFonts w:ascii="Verdana" w:hAnsi="Verdana"/>
          <w:i/>
          <w:sz w:val="16"/>
          <w:szCs w:val="16"/>
        </w:rPr>
        <w:t>Norín</w:t>
      </w:r>
      <w:proofErr w:type="spellEnd"/>
      <w:r w:rsidRPr="00E052E1">
        <w:rPr>
          <w:rFonts w:ascii="Verdana" w:hAnsi="Verdana"/>
          <w:i/>
          <w:sz w:val="16"/>
          <w:szCs w:val="16"/>
        </w:rPr>
        <w:t xml:space="preserve"> </w:t>
      </w:r>
      <w:proofErr w:type="spellStart"/>
      <w:r w:rsidRPr="00E052E1">
        <w:rPr>
          <w:rFonts w:ascii="Verdana" w:hAnsi="Verdana"/>
          <w:i/>
          <w:sz w:val="16"/>
          <w:szCs w:val="16"/>
        </w:rPr>
        <w:t>Catrimán</w:t>
      </w:r>
      <w:proofErr w:type="spellEnd"/>
      <w:r w:rsidRPr="00E052E1">
        <w:rPr>
          <w:rFonts w:ascii="Verdana" w:hAnsi="Verdana"/>
          <w:i/>
          <w:sz w:val="16"/>
          <w:szCs w:val="16"/>
        </w:rPr>
        <w:t xml:space="preserve"> y otros (Dirigentes, Miembros y Activista del Pueblo Indígena Mapuche) Vs. Chile. Reintegro al Fondo de Asistencia Legal de Víctimas de la Corte.</w:t>
      </w:r>
      <w:r w:rsidRPr="00E052E1">
        <w:rPr>
          <w:rFonts w:ascii="Verdana" w:hAnsi="Verdana"/>
          <w:sz w:val="16"/>
          <w:szCs w:val="16"/>
        </w:rPr>
        <w:t xml:space="preserve"> Resolución de la Corte Interamericana de Derechos Humanos de 26 de enero de 2015, disponible en:</w:t>
      </w:r>
    </w:p>
    <w:p w14:paraId="7362592D" w14:textId="17818ACC" w:rsidR="00453ED8" w:rsidRPr="00E052E1" w:rsidRDefault="00453ED8" w:rsidP="00950477">
      <w:pPr>
        <w:pStyle w:val="Textonotapie"/>
        <w:jc w:val="both"/>
        <w:rPr>
          <w:rFonts w:ascii="Verdana" w:hAnsi="Verdana"/>
          <w:sz w:val="16"/>
          <w:szCs w:val="16"/>
          <w:lang w:val="es-MX"/>
        </w:rPr>
      </w:pPr>
      <w:r w:rsidRPr="00E052E1">
        <w:rPr>
          <w:rFonts w:ascii="Verdana" w:hAnsi="Verdana"/>
          <w:sz w:val="16"/>
          <w:szCs w:val="16"/>
        </w:rPr>
        <w:t>http://www.corteidh.or.cr/docs/supervisiones/norin_26_01_15.pdf</w:t>
      </w:r>
      <w:r w:rsidR="0011029F">
        <w:rPr>
          <w:rFonts w:ascii="Verdana" w:hAnsi="Verdana"/>
          <w:sz w:val="16"/>
          <w:szCs w:val="16"/>
        </w:rPr>
        <w:t>.</w:t>
      </w:r>
    </w:p>
  </w:footnote>
  <w:footnote w:id="14">
    <w:p w14:paraId="375B7F46" w14:textId="54B5E8F7" w:rsidR="00CE03F0" w:rsidRPr="00CE03F0" w:rsidRDefault="00CE03F0" w:rsidP="00950477">
      <w:pPr>
        <w:pStyle w:val="Textonotapie"/>
        <w:jc w:val="both"/>
        <w:rPr>
          <w:rFonts w:ascii="Verdana" w:hAnsi="Verdana"/>
          <w:sz w:val="16"/>
          <w:szCs w:val="16"/>
        </w:rPr>
      </w:pPr>
      <w:r w:rsidRPr="00C20EB9">
        <w:rPr>
          <w:rStyle w:val="Refdenotaalpie"/>
          <w:rFonts w:ascii="Verdana" w:hAnsi="Verdana"/>
          <w:sz w:val="16"/>
          <w:szCs w:val="16"/>
        </w:rPr>
        <w:footnoteRef/>
      </w:r>
      <w:r w:rsidRPr="00C20EB9">
        <w:rPr>
          <w:rFonts w:ascii="Verdana" w:hAnsi="Verdana"/>
          <w:sz w:val="16"/>
          <w:szCs w:val="16"/>
        </w:rPr>
        <w:t xml:space="preserve"> </w:t>
      </w:r>
      <w:r w:rsidRPr="00C20EB9">
        <w:rPr>
          <w:rFonts w:ascii="Verdana" w:hAnsi="Verdana"/>
          <w:sz w:val="16"/>
          <w:szCs w:val="16"/>
        </w:rPr>
        <w:tab/>
      </w:r>
      <w:r w:rsidRPr="00CE03F0">
        <w:rPr>
          <w:rFonts w:ascii="Verdana" w:hAnsi="Verdana"/>
          <w:i/>
          <w:sz w:val="16"/>
          <w:szCs w:val="16"/>
        </w:rPr>
        <w:t xml:space="preserve">Cfr. Caso </w:t>
      </w:r>
      <w:proofErr w:type="spellStart"/>
      <w:r w:rsidRPr="00CE03F0">
        <w:rPr>
          <w:rFonts w:ascii="Verdana" w:hAnsi="Verdana"/>
          <w:i/>
          <w:sz w:val="16"/>
          <w:szCs w:val="16"/>
        </w:rPr>
        <w:t>Norín</w:t>
      </w:r>
      <w:proofErr w:type="spellEnd"/>
      <w:r w:rsidRPr="00CE03F0">
        <w:rPr>
          <w:rFonts w:ascii="Verdana" w:hAnsi="Verdana"/>
          <w:i/>
          <w:sz w:val="16"/>
          <w:szCs w:val="16"/>
        </w:rPr>
        <w:t xml:space="preserve"> </w:t>
      </w:r>
      <w:proofErr w:type="spellStart"/>
      <w:r w:rsidRPr="00CE03F0">
        <w:rPr>
          <w:rFonts w:ascii="Verdana" w:hAnsi="Verdana"/>
          <w:i/>
          <w:sz w:val="16"/>
          <w:szCs w:val="16"/>
        </w:rPr>
        <w:t>Catrimán</w:t>
      </w:r>
      <w:proofErr w:type="spellEnd"/>
      <w:r w:rsidRPr="00CE03F0">
        <w:rPr>
          <w:rFonts w:ascii="Verdana" w:hAnsi="Verdana"/>
          <w:i/>
          <w:sz w:val="16"/>
          <w:szCs w:val="16"/>
        </w:rPr>
        <w:t xml:space="preserve"> y otros (Dirigentes, Miembros y Activista del Pueblo Indígena Mapuche) Vs. Chile</w:t>
      </w:r>
      <w:r w:rsidRPr="00C20EB9">
        <w:rPr>
          <w:rFonts w:ascii="Verdana" w:hAnsi="Verdana"/>
          <w:sz w:val="16"/>
          <w:szCs w:val="16"/>
        </w:rPr>
        <w:t>.</w:t>
      </w:r>
      <w:r w:rsidRPr="00CE03F0">
        <w:rPr>
          <w:rFonts w:ascii="Verdana" w:hAnsi="Verdana"/>
          <w:i/>
          <w:sz w:val="16"/>
          <w:szCs w:val="16"/>
        </w:rPr>
        <w:t xml:space="preserve"> Supervisión de Cumplimiento de Sentencia. </w:t>
      </w:r>
      <w:r w:rsidRPr="00CE03F0">
        <w:rPr>
          <w:rFonts w:ascii="Verdana" w:hAnsi="Verdana"/>
          <w:sz w:val="16"/>
          <w:szCs w:val="16"/>
        </w:rPr>
        <w:t>Resolución de la Corte Interamericana de Derechos Humanos de 28 de noviembre de 2018, disponible en:</w:t>
      </w:r>
    </w:p>
    <w:p w14:paraId="33CDC2F9" w14:textId="66F7770C" w:rsidR="00CE03F0" w:rsidRPr="00C20EB9" w:rsidRDefault="00CE03F0" w:rsidP="00950477">
      <w:pPr>
        <w:pStyle w:val="Textonotapie"/>
        <w:jc w:val="both"/>
        <w:rPr>
          <w:rFonts w:ascii="Verdana" w:hAnsi="Verdana"/>
          <w:sz w:val="16"/>
          <w:szCs w:val="16"/>
        </w:rPr>
      </w:pPr>
      <w:r w:rsidRPr="00CE03F0">
        <w:rPr>
          <w:rFonts w:ascii="Verdana" w:hAnsi="Verdana"/>
          <w:sz w:val="16"/>
          <w:szCs w:val="16"/>
        </w:rPr>
        <w:t>https://www.corteidh.or.cr/docs/supervisiones/norincatriman_28_11_18.pdf</w:t>
      </w:r>
      <w:r w:rsidR="0011029F">
        <w:rPr>
          <w:rFonts w:ascii="Verdana" w:hAnsi="Verdana"/>
          <w:sz w:val="16"/>
          <w:szCs w:val="16"/>
        </w:rPr>
        <w:t>.</w:t>
      </w:r>
    </w:p>
  </w:footnote>
  <w:footnote w:id="15">
    <w:p w14:paraId="1F040278" w14:textId="1EF68C78"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Los intervinientes comunes de los representantes de las víctimas son el Centro por la Justicia y el Derecho Internacional (en adelante, “CEJIL”) y la Federación Interamericana de Derechos Humanos (en adelante, “FIDH”). También fungen como representantes el señor Sergio Fuenzalida, la señora Myriam Reyes García y la señora Natividad Llanquileo </w:t>
      </w:r>
      <w:proofErr w:type="spellStart"/>
      <w:r w:rsidRPr="00E052E1">
        <w:rPr>
          <w:rFonts w:ascii="Verdana" w:hAnsi="Verdana"/>
          <w:sz w:val="16"/>
          <w:szCs w:val="16"/>
        </w:rPr>
        <w:t>Pilquimán</w:t>
      </w:r>
      <w:proofErr w:type="spellEnd"/>
      <w:r w:rsidRPr="00E052E1">
        <w:rPr>
          <w:rFonts w:ascii="Verdana" w:hAnsi="Verdana"/>
          <w:sz w:val="16"/>
          <w:szCs w:val="16"/>
        </w:rPr>
        <w:t xml:space="preserve">. </w:t>
      </w:r>
      <w:r w:rsidR="000F0C66">
        <w:rPr>
          <w:rFonts w:ascii="Verdana" w:hAnsi="Verdana"/>
          <w:sz w:val="16"/>
          <w:szCs w:val="16"/>
        </w:rPr>
        <w:t>L</w:t>
      </w:r>
      <w:r w:rsidR="000F0C66" w:rsidRPr="000F0C66">
        <w:rPr>
          <w:rFonts w:ascii="Verdana" w:hAnsi="Verdana"/>
          <w:sz w:val="16"/>
          <w:szCs w:val="16"/>
        </w:rPr>
        <w:t xml:space="preserve">a </w:t>
      </w:r>
      <w:proofErr w:type="spellStart"/>
      <w:r w:rsidR="000F0C66" w:rsidRPr="000F0C66">
        <w:rPr>
          <w:rFonts w:ascii="Verdana" w:hAnsi="Verdana"/>
          <w:sz w:val="16"/>
          <w:szCs w:val="16"/>
        </w:rPr>
        <w:t>víctima</w:t>
      </w:r>
      <w:proofErr w:type="spellEnd"/>
      <w:r w:rsidR="000F0C66" w:rsidRPr="000F0C66">
        <w:rPr>
          <w:rFonts w:ascii="Verdana" w:hAnsi="Verdana"/>
          <w:sz w:val="16"/>
          <w:szCs w:val="16"/>
        </w:rPr>
        <w:t xml:space="preserve"> Patricia Troncoso </w:t>
      </w:r>
      <w:r w:rsidR="000F0C66">
        <w:rPr>
          <w:rFonts w:ascii="Verdana" w:hAnsi="Verdana"/>
          <w:sz w:val="16"/>
          <w:szCs w:val="16"/>
        </w:rPr>
        <w:t xml:space="preserve">Robles </w:t>
      </w:r>
      <w:r w:rsidR="000F0C66" w:rsidRPr="000F0C66">
        <w:rPr>
          <w:rFonts w:ascii="Verdana" w:hAnsi="Verdana"/>
          <w:sz w:val="16"/>
          <w:szCs w:val="16"/>
        </w:rPr>
        <w:t xml:space="preserve">se </w:t>
      </w:r>
      <w:r w:rsidR="000F0C66">
        <w:rPr>
          <w:rFonts w:ascii="Verdana" w:hAnsi="Verdana"/>
          <w:sz w:val="16"/>
          <w:szCs w:val="16"/>
        </w:rPr>
        <w:t>representa</w:t>
      </w:r>
      <w:r w:rsidR="000F0C66" w:rsidRPr="000F0C66">
        <w:rPr>
          <w:rFonts w:ascii="Verdana" w:hAnsi="Verdana"/>
          <w:sz w:val="16"/>
          <w:szCs w:val="16"/>
        </w:rPr>
        <w:t xml:space="preserve"> a sí misma.</w:t>
      </w:r>
    </w:p>
  </w:footnote>
  <w:footnote w:id="16">
    <w:p w14:paraId="79105D55" w14:textId="7348C5A2"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Facultad que además se desprende de lo dispuesto en los artículos 33, 62.1, 62.3 y 65 de la Convención Americana sobre Derechos Humanos y 30 de su Estatuto y se encuentra regulada en el artículo 69 de su Reglamento.</w:t>
      </w:r>
    </w:p>
  </w:footnote>
  <w:footnote w:id="17">
    <w:p w14:paraId="19F3E332" w14:textId="23A4A1F3"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En la Resolución de noviembre de 2018 se declaró el cumplimiento total de las medidas de reparación relativas a la publicación y difusión de la Sentencia (</w:t>
      </w:r>
      <w:r w:rsidRPr="00E052E1">
        <w:rPr>
          <w:rFonts w:ascii="Verdana" w:hAnsi="Verdana"/>
          <w:i/>
          <w:sz w:val="16"/>
          <w:szCs w:val="16"/>
        </w:rPr>
        <w:t>punto dispositivo décimo octavo de la Sentencia</w:t>
      </w:r>
      <w:r w:rsidRPr="00E052E1">
        <w:rPr>
          <w:rFonts w:ascii="Verdana" w:hAnsi="Verdana"/>
          <w:sz w:val="16"/>
          <w:szCs w:val="16"/>
        </w:rPr>
        <w:t>), el pago de las indemnizaciones por concepto de daños materiales e inmateriales (</w:t>
      </w:r>
      <w:r w:rsidRPr="00E052E1">
        <w:rPr>
          <w:rFonts w:ascii="Verdana" w:hAnsi="Verdana"/>
          <w:i/>
          <w:sz w:val="16"/>
          <w:szCs w:val="16"/>
        </w:rPr>
        <w:t>punto dispositivo vigésimo primero de la Sentencia</w:t>
      </w:r>
      <w:r w:rsidRPr="00E052E1">
        <w:rPr>
          <w:rFonts w:ascii="Verdana" w:hAnsi="Verdana"/>
          <w:sz w:val="16"/>
          <w:szCs w:val="16"/>
        </w:rPr>
        <w:t>), y el reintegro de costas y gastos (</w:t>
      </w:r>
      <w:r w:rsidRPr="00E052E1">
        <w:rPr>
          <w:rFonts w:ascii="Verdana" w:hAnsi="Verdana"/>
          <w:i/>
          <w:sz w:val="16"/>
          <w:szCs w:val="16"/>
        </w:rPr>
        <w:t>punto dispositivo vigésimo segundo de la Sentencia</w:t>
      </w:r>
      <w:r w:rsidRPr="00E052E1">
        <w:rPr>
          <w:rFonts w:ascii="Verdana" w:hAnsi="Verdana"/>
          <w:sz w:val="16"/>
          <w:szCs w:val="16"/>
        </w:rPr>
        <w:t xml:space="preserve">). </w:t>
      </w:r>
    </w:p>
  </w:footnote>
  <w:footnote w:id="18">
    <w:p w14:paraId="7BA93F1F" w14:textId="194DAA37"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rPr>
        <w:t xml:space="preserve">Cfr. Caso Cinco Pensionistas Vs. Perú. Supervisión de </w:t>
      </w:r>
      <w:r w:rsidR="005D4E39">
        <w:rPr>
          <w:rFonts w:ascii="Verdana" w:hAnsi="Verdana"/>
          <w:i/>
          <w:sz w:val="16"/>
          <w:szCs w:val="16"/>
        </w:rPr>
        <w:t>C</w:t>
      </w:r>
      <w:r w:rsidRPr="00E052E1">
        <w:rPr>
          <w:rFonts w:ascii="Verdana" w:hAnsi="Verdana"/>
          <w:i/>
          <w:sz w:val="16"/>
          <w:szCs w:val="16"/>
        </w:rPr>
        <w:t>umplimiento de Sentencia.</w:t>
      </w:r>
      <w:r w:rsidRPr="00E052E1">
        <w:rPr>
          <w:rFonts w:ascii="Verdana" w:hAnsi="Verdana"/>
          <w:sz w:val="16"/>
          <w:szCs w:val="16"/>
        </w:rPr>
        <w:t xml:space="preserve"> Resolución de la Corte Interamericana de Derechos Humanos de 17 de noviembre de 2004, Considerando 5, y </w:t>
      </w:r>
      <w:r w:rsidRPr="00E052E1">
        <w:rPr>
          <w:rFonts w:ascii="Verdana" w:hAnsi="Verdana"/>
          <w:i/>
          <w:sz w:val="16"/>
          <w:szCs w:val="16"/>
        </w:rPr>
        <w:t xml:space="preserve">Caso Mujeres Víctimas de Tortura Sexual en Atenco Vs. México. Supervisión de Cumplimiento de Sentencia. </w:t>
      </w:r>
      <w:r w:rsidRPr="00E052E1">
        <w:rPr>
          <w:rFonts w:ascii="Verdana" w:hAnsi="Verdana"/>
          <w:sz w:val="16"/>
          <w:szCs w:val="16"/>
        </w:rPr>
        <w:t>Resolución de la Corte Interamericana de Derechos Humanos de 19 de noviembre de 2020, Considerando 2.</w:t>
      </w:r>
    </w:p>
  </w:footnote>
  <w:footnote w:id="19">
    <w:p w14:paraId="270BA2A0" w14:textId="687B6C78" w:rsidR="00453ED8" w:rsidRPr="00E052E1" w:rsidRDefault="00453ED8" w:rsidP="00950477">
      <w:pPr>
        <w:pStyle w:val="Textonotapie"/>
        <w:jc w:val="both"/>
        <w:rPr>
          <w:rFonts w:ascii="Verdana" w:hAnsi="Verdana"/>
          <w:sz w:val="16"/>
          <w:szCs w:val="16"/>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rPr>
        <w:t xml:space="preserve">Cfr. Caso </w:t>
      </w:r>
      <w:proofErr w:type="spellStart"/>
      <w:r w:rsidRPr="00E052E1">
        <w:rPr>
          <w:rFonts w:ascii="Verdana" w:hAnsi="Verdana"/>
          <w:i/>
          <w:sz w:val="16"/>
          <w:szCs w:val="16"/>
        </w:rPr>
        <w:t>Ivcher</w:t>
      </w:r>
      <w:proofErr w:type="spellEnd"/>
      <w:r w:rsidRPr="00E052E1">
        <w:rPr>
          <w:rFonts w:ascii="Verdana" w:hAnsi="Verdana"/>
          <w:i/>
          <w:sz w:val="16"/>
          <w:szCs w:val="16"/>
        </w:rPr>
        <w:t xml:space="preserve"> </w:t>
      </w:r>
      <w:proofErr w:type="spellStart"/>
      <w:r w:rsidRPr="00E052E1">
        <w:rPr>
          <w:rFonts w:ascii="Verdana" w:hAnsi="Verdana"/>
          <w:i/>
          <w:sz w:val="16"/>
          <w:szCs w:val="16"/>
        </w:rPr>
        <w:t>Bronstein</w:t>
      </w:r>
      <w:proofErr w:type="spellEnd"/>
      <w:r w:rsidRPr="00E052E1">
        <w:rPr>
          <w:rFonts w:ascii="Verdana" w:hAnsi="Verdana"/>
          <w:i/>
          <w:sz w:val="16"/>
          <w:szCs w:val="16"/>
        </w:rPr>
        <w:t xml:space="preserve"> Vs. Perú. Competencia</w:t>
      </w:r>
      <w:r w:rsidRPr="00E052E1">
        <w:rPr>
          <w:rFonts w:ascii="Verdana" w:hAnsi="Verdana"/>
          <w:sz w:val="16"/>
          <w:szCs w:val="16"/>
        </w:rPr>
        <w:t>. Sentencia de la Corte Interamericana de Derechos</w:t>
      </w:r>
    </w:p>
    <w:p w14:paraId="5E3226E6" w14:textId="4E002611" w:rsidR="00453ED8" w:rsidRPr="00E052E1" w:rsidRDefault="00453ED8" w:rsidP="00950477">
      <w:pPr>
        <w:pStyle w:val="Textonotapie"/>
        <w:jc w:val="both"/>
        <w:rPr>
          <w:rFonts w:ascii="Verdana" w:hAnsi="Verdana"/>
          <w:sz w:val="16"/>
          <w:szCs w:val="16"/>
          <w:lang w:val="es-MX"/>
        </w:rPr>
      </w:pPr>
      <w:r w:rsidRPr="00E052E1">
        <w:rPr>
          <w:rFonts w:ascii="Verdana" w:hAnsi="Verdana"/>
          <w:sz w:val="16"/>
          <w:szCs w:val="16"/>
        </w:rPr>
        <w:t xml:space="preserve">Humanos de 24 de septiembre de 1999. Serie C No. 54, párr. 37, y </w:t>
      </w:r>
      <w:r w:rsidRPr="00E052E1">
        <w:rPr>
          <w:rFonts w:ascii="Verdana" w:hAnsi="Verdana"/>
          <w:i/>
          <w:sz w:val="16"/>
          <w:szCs w:val="16"/>
        </w:rPr>
        <w:t xml:space="preserve">Caso Mujeres Víctimas de Tortura Sexual en Atenco Vs. México. Supervisión de Cumplimiento de Sentencia. </w:t>
      </w:r>
      <w:r w:rsidRPr="00E052E1">
        <w:rPr>
          <w:rFonts w:ascii="Verdana" w:hAnsi="Verdana"/>
          <w:sz w:val="16"/>
          <w:szCs w:val="16"/>
        </w:rPr>
        <w:t xml:space="preserve">Resolución de la Corte Interamericana de Derechos Humanos de 19 de noviembre de 2020, Considerando 2. </w:t>
      </w:r>
    </w:p>
  </w:footnote>
  <w:footnote w:id="20">
    <w:p w14:paraId="194F8EA9" w14:textId="77777777"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sz w:val="16"/>
          <w:szCs w:val="16"/>
          <w:lang w:val="es-MX"/>
        </w:rPr>
        <w:t xml:space="preserve">En los párrafos 117, 126, 128, 144, 148 y 151 de la Sentencia quedó establecido que los efectos impuestos en las sentencias condenatorias, adicionales a la pena privativa de libertad, fueron los siguientes: </w:t>
      </w:r>
    </w:p>
    <w:p w14:paraId="1C209F32" w14:textId="77777777" w:rsidR="008975B0" w:rsidRPr="00FA1791" w:rsidRDefault="008975B0" w:rsidP="00950477">
      <w:pPr>
        <w:pStyle w:val="Textonotapie"/>
        <w:numPr>
          <w:ilvl w:val="0"/>
          <w:numId w:val="8"/>
        </w:numPr>
        <w:ind w:left="0" w:firstLine="0"/>
        <w:jc w:val="both"/>
        <w:rPr>
          <w:rFonts w:ascii="Verdana" w:hAnsi="Verdana"/>
          <w:sz w:val="16"/>
          <w:szCs w:val="16"/>
          <w:lang w:val="es-MX"/>
        </w:rPr>
      </w:pPr>
      <w:r w:rsidRPr="00FA1791">
        <w:rPr>
          <w:rFonts w:ascii="Verdana" w:hAnsi="Verdana"/>
          <w:sz w:val="16"/>
          <w:szCs w:val="16"/>
          <w:lang w:val="es-MX"/>
        </w:rPr>
        <w:t xml:space="preserve">respecto de las víctimas Segundo Aniceto </w:t>
      </w:r>
      <w:proofErr w:type="spellStart"/>
      <w:r w:rsidRPr="00FA1791">
        <w:rPr>
          <w:rFonts w:ascii="Verdana" w:hAnsi="Verdana"/>
          <w:sz w:val="16"/>
          <w:szCs w:val="16"/>
          <w:lang w:val="es-MX"/>
        </w:rPr>
        <w:t>Norín</w:t>
      </w:r>
      <w:proofErr w:type="spellEnd"/>
      <w:r w:rsidRPr="00FA1791">
        <w:rPr>
          <w:rFonts w:ascii="Verdana" w:hAnsi="Verdana"/>
          <w:sz w:val="16"/>
          <w:szCs w:val="16"/>
          <w:lang w:val="es-MX"/>
        </w:rPr>
        <w:t xml:space="preserve"> </w:t>
      </w:r>
      <w:proofErr w:type="spellStart"/>
      <w:r w:rsidRPr="00FA1791">
        <w:rPr>
          <w:rFonts w:ascii="Verdana" w:hAnsi="Verdana"/>
          <w:sz w:val="16"/>
          <w:szCs w:val="16"/>
          <w:lang w:val="es-MX"/>
        </w:rPr>
        <w:t>Catrimán</w:t>
      </w:r>
      <w:proofErr w:type="spellEnd"/>
      <w:r w:rsidRPr="00FA1791">
        <w:rPr>
          <w:rFonts w:ascii="Verdana" w:hAnsi="Verdana"/>
          <w:sz w:val="16"/>
          <w:szCs w:val="16"/>
          <w:lang w:val="es-MX"/>
        </w:rPr>
        <w:t xml:space="preserve"> y Pascual </w:t>
      </w:r>
      <w:proofErr w:type="spellStart"/>
      <w:r w:rsidRPr="00FA1791">
        <w:rPr>
          <w:rFonts w:ascii="Verdana" w:hAnsi="Verdana"/>
          <w:sz w:val="16"/>
          <w:szCs w:val="16"/>
          <w:lang w:val="es-MX"/>
        </w:rPr>
        <w:t>Huentequeo</w:t>
      </w:r>
      <w:proofErr w:type="spellEnd"/>
      <w:r w:rsidRPr="00FA1791">
        <w:rPr>
          <w:rFonts w:ascii="Verdana" w:hAnsi="Verdana"/>
          <w:sz w:val="16"/>
          <w:szCs w:val="16"/>
          <w:lang w:val="es-MX"/>
        </w:rPr>
        <w:t xml:space="preserve"> Pichún </w:t>
      </w:r>
      <w:proofErr w:type="spellStart"/>
      <w:r w:rsidRPr="00FA1791">
        <w:rPr>
          <w:rFonts w:ascii="Verdana" w:hAnsi="Verdana"/>
          <w:sz w:val="16"/>
          <w:szCs w:val="16"/>
          <w:lang w:val="es-MX"/>
        </w:rPr>
        <w:t>Paillalao</w:t>
      </w:r>
      <w:proofErr w:type="spellEnd"/>
      <w:r w:rsidRPr="00FA1791">
        <w:rPr>
          <w:rFonts w:ascii="Verdana" w:hAnsi="Verdana"/>
          <w:sz w:val="16"/>
          <w:szCs w:val="16"/>
          <w:lang w:val="es-MX"/>
        </w:rPr>
        <w:t xml:space="preserve">, “[la] inhabilitación absoluta perpetua para cargos y oficios públicos y derechos políticos y la </w:t>
      </w:r>
      <w:r w:rsidRPr="00FA1791">
        <w:rPr>
          <w:rFonts w:ascii="Verdana" w:hAnsi="Verdana" w:cstheme="minorHAnsi"/>
          <w:sz w:val="16"/>
          <w:szCs w:val="16"/>
          <w:lang w:val="es-MX"/>
        </w:rPr>
        <w:t>[</w:t>
      </w:r>
      <w:r w:rsidRPr="00FA1791">
        <w:rPr>
          <w:rFonts w:ascii="Verdana" w:hAnsi="Verdana"/>
          <w:sz w:val="16"/>
          <w:szCs w:val="16"/>
          <w:lang w:val="es-MX"/>
        </w:rPr>
        <w:t>…</w:t>
      </w:r>
      <w:r w:rsidRPr="00FA1791">
        <w:rPr>
          <w:rFonts w:ascii="Verdana" w:hAnsi="Verdana" w:cstheme="minorHAnsi"/>
          <w:sz w:val="16"/>
          <w:szCs w:val="16"/>
          <w:lang w:val="es-MX"/>
        </w:rPr>
        <w:t>]</w:t>
      </w:r>
      <w:r w:rsidRPr="00FA1791">
        <w:rPr>
          <w:rFonts w:ascii="Verdana" w:hAnsi="Verdana"/>
          <w:sz w:val="16"/>
          <w:szCs w:val="16"/>
          <w:lang w:val="es-MX"/>
        </w:rPr>
        <w:t xml:space="preserve"> inhabilitación absoluta para profesiones titulares mientras dure la condena”, la “inhabilita[</w:t>
      </w:r>
      <w:proofErr w:type="spellStart"/>
      <w:r w:rsidRPr="00FA1791">
        <w:rPr>
          <w:rFonts w:ascii="Verdana" w:hAnsi="Verdana"/>
          <w:sz w:val="16"/>
          <w:szCs w:val="16"/>
          <w:lang w:val="es-MX"/>
        </w:rPr>
        <w:t>ción</w:t>
      </w:r>
      <w:proofErr w:type="spellEnd"/>
      <w:r w:rsidRPr="00FA1791">
        <w:rPr>
          <w:rFonts w:ascii="Verdana" w:hAnsi="Verdana"/>
          <w:sz w:val="16"/>
          <w:szCs w:val="16"/>
          <w:lang w:val="es-MX"/>
        </w:rPr>
        <w:t>] por el plazo de quince años para ejercer funciones o cargos públicos, sean o no de elección popular, o de rector o director de establecimiento de educación, o para ejercer en ellos funciones de enseñanza; para explotar un medio de comunicación social o ser director o administrador del mismo, o para desempeñar en él funciones relacionadas con la emisión o difusión de opiniones o informaciones; [así como para…] ser dirigentes de organizaciones políticas o relacionadas con la educación o de carácter vecinal, profesional, empresarial, sindical, estudiantil o gremial en general, durante dicho plazo” y “el pago de las costas del juicio”;</w:t>
      </w:r>
    </w:p>
    <w:p w14:paraId="2A8804AD" w14:textId="1A0AACD8" w:rsidR="008975B0" w:rsidRPr="00FA1791" w:rsidRDefault="008975B0" w:rsidP="00950477">
      <w:pPr>
        <w:pStyle w:val="Textonotapie"/>
        <w:numPr>
          <w:ilvl w:val="0"/>
          <w:numId w:val="8"/>
        </w:numPr>
        <w:ind w:left="0" w:firstLine="0"/>
        <w:jc w:val="both"/>
        <w:rPr>
          <w:rFonts w:ascii="Verdana" w:hAnsi="Verdana"/>
          <w:sz w:val="16"/>
          <w:szCs w:val="16"/>
          <w:lang w:val="es-MX"/>
        </w:rPr>
      </w:pPr>
      <w:r w:rsidRPr="00FA1791">
        <w:rPr>
          <w:rFonts w:ascii="Verdana" w:hAnsi="Verdana"/>
          <w:sz w:val="16"/>
          <w:szCs w:val="16"/>
          <w:lang w:val="es-MX"/>
        </w:rPr>
        <w:t xml:space="preserve">respecto de las víctimas Juan Patricio Marileo Saravia, Florencio Jaime Marileo Saravia, José Benicio Huenchunao Mariñán, Juan Ciriaco </w:t>
      </w:r>
      <w:proofErr w:type="spellStart"/>
      <w:r w:rsidRPr="00FA1791">
        <w:rPr>
          <w:rFonts w:ascii="Verdana" w:hAnsi="Verdana"/>
          <w:sz w:val="16"/>
          <w:szCs w:val="16"/>
          <w:lang w:val="es-MX"/>
        </w:rPr>
        <w:t>Millacheo</w:t>
      </w:r>
      <w:proofErr w:type="spellEnd"/>
      <w:r w:rsidRPr="00FA1791">
        <w:rPr>
          <w:rFonts w:ascii="Verdana" w:hAnsi="Verdana"/>
          <w:sz w:val="16"/>
          <w:szCs w:val="16"/>
          <w:lang w:val="es-MX"/>
        </w:rPr>
        <w:t xml:space="preserve"> Licán y Patricia Roxana Troncoso Robles, “[la] inhabilitación absoluta perpetua para cargos y oficios públicos y derechos políticos e inhabilitación absoluta para profesiones titulares mientras dure la condena”, así como la obligación solidaria de “pagar a la empresa Forestal Mini</w:t>
      </w:r>
      <w:r w:rsidR="00F82113">
        <w:rPr>
          <w:rFonts w:ascii="Verdana" w:hAnsi="Verdana"/>
          <w:sz w:val="16"/>
          <w:szCs w:val="16"/>
          <w:lang w:val="es-MX"/>
        </w:rPr>
        <w:t>n</w:t>
      </w:r>
      <w:r w:rsidRPr="00FA1791">
        <w:rPr>
          <w:rFonts w:ascii="Verdana" w:hAnsi="Verdana"/>
          <w:sz w:val="16"/>
          <w:szCs w:val="16"/>
          <w:lang w:val="es-MX"/>
        </w:rPr>
        <w:t xml:space="preserve">co S.A. la suma de $424.964.798 pesos chilenos por concepto de daños materiales”, y </w:t>
      </w:r>
    </w:p>
    <w:p w14:paraId="3F282D93" w14:textId="77777777" w:rsidR="008975B0" w:rsidRPr="00FA1791" w:rsidRDefault="008975B0" w:rsidP="00950477">
      <w:pPr>
        <w:pStyle w:val="Textonotapie"/>
        <w:numPr>
          <w:ilvl w:val="0"/>
          <w:numId w:val="8"/>
        </w:numPr>
        <w:ind w:left="0" w:firstLine="0"/>
        <w:jc w:val="both"/>
        <w:rPr>
          <w:rFonts w:ascii="Verdana" w:hAnsi="Verdana"/>
          <w:sz w:val="16"/>
          <w:szCs w:val="16"/>
          <w:lang w:val="es-MX"/>
        </w:rPr>
      </w:pPr>
      <w:r w:rsidRPr="00FA1791">
        <w:rPr>
          <w:rFonts w:ascii="Verdana" w:hAnsi="Verdana"/>
          <w:sz w:val="16"/>
          <w:szCs w:val="16"/>
          <w:lang w:val="es-MX"/>
        </w:rPr>
        <w:t xml:space="preserve">respecto de la víctima Víctor Manuel </w:t>
      </w:r>
      <w:proofErr w:type="spellStart"/>
      <w:r w:rsidRPr="00FA1791">
        <w:rPr>
          <w:rFonts w:ascii="Verdana" w:hAnsi="Verdana"/>
          <w:sz w:val="16"/>
          <w:szCs w:val="16"/>
          <w:lang w:val="es-MX"/>
        </w:rPr>
        <w:t>Ancalaf</w:t>
      </w:r>
      <w:proofErr w:type="spellEnd"/>
      <w:r w:rsidRPr="00FA1791">
        <w:rPr>
          <w:rFonts w:ascii="Verdana" w:hAnsi="Verdana"/>
          <w:sz w:val="16"/>
          <w:szCs w:val="16"/>
          <w:lang w:val="es-MX"/>
        </w:rPr>
        <w:t xml:space="preserve"> </w:t>
      </w:r>
      <w:proofErr w:type="spellStart"/>
      <w:r w:rsidRPr="00FA1791">
        <w:rPr>
          <w:rFonts w:ascii="Verdana" w:hAnsi="Verdana"/>
          <w:sz w:val="16"/>
          <w:szCs w:val="16"/>
          <w:lang w:val="es-MX"/>
        </w:rPr>
        <w:t>Llaupe</w:t>
      </w:r>
      <w:proofErr w:type="spellEnd"/>
      <w:r w:rsidRPr="00FA1791">
        <w:rPr>
          <w:rFonts w:ascii="Verdana" w:hAnsi="Verdana"/>
          <w:sz w:val="16"/>
          <w:szCs w:val="16"/>
          <w:lang w:val="es-MX"/>
        </w:rPr>
        <w:t xml:space="preserve">, “el pago de las costas de la causa [,…la] inhabilitación absoluta perpetua para cargos y oficios públicos y derechos políticos [,…] la […] inhabilitación absoluta para profesiones titulares mientras dure la condena [… y] por el plazo de quince años para ejercer funciones o cargos públicos, sean o no de elección popular, o de rector o director de establecimiento de educación, o para ejercer en ellos funciones de enseñanza, para explotar un medio de comunicación social o ser director o administrador del mismo, o para desempeñar en él funciones relacionadas con la emisión o difusión de opiniones o informaciones; [y para…] ser dirigente de organizaciones políticas o relacionadas con la educación o de carácter vecinal, profesional, empresarial, sindical, estudiantil o gremial en general, durante dicho plazo”. </w:t>
      </w:r>
    </w:p>
  </w:footnote>
  <w:footnote w:id="21">
    <w:p w14:paraId="03693A3F" w14:textId="3CB87CFC"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i/>
          <w:sz w:val="16"/>
          <w:szCs w:val="16"/>
          <w:lang w:val="es-MX"/>
        </w:rPr>
        <w:t xml:space="preserve">Cfr. Caso </w:t>
      </w:r>
      <w:proofErr w:type="spellStart"/>
      <w:r w:rsidRPr="00FA1791">
        <w:rPr>
          <w:rFonts w:ascii="Verdana" w:hAnsi="Verdana"/>
          <w:i/>
          <w:sz w:val="16"/>
          <w:szCs w:val="16"/>
          <w:lang w:val="es-MX"/>
        </w:rPr>
        <w:t>Norín</w:t>
      </w:r>
      <w:proofErr w:type="spellEnd"/>
      <w:r w:rsidRPr="00FA1791">
        <w:rPr>
          <w:rFonts w:ascii="Verdana" w:hAnsi="Verdana"/>
          <w:i/>
          <w:sz w:val="16"/>
          <w:szCs w:val="16"/>
          <w:lang w:val="es-MX"/>
        </w:rPr>
        <w:t xml:space="preserve"> </w:t>
      </w:r>
      <w:proofErr w:type="spellStart"/>
      <w:r w:rsidRPr="00FA1791">
        <w:rPr>
          <w:rFonts w:ascii="Verdana" w:hAnsi="Verdana"/>
          <w:i/>
          <w:sz w:val="16"/>
          <w:szCs w:val="16"/>
          <w:lang w:val="es-MX"/>
        </w:rPr>
        <w:t>Catrimán</w:t>
      </w:r>
      <w:proofErr w:type="spellEnd"/>
      <w:r w:rsidRPr="00FA1791">
        <w:rPr>
          <w:rFonts w:ascii="Verdana" w:hAnsi="Verdana"/>
          <w:i/>
          <w:sz w:val="16"/>
          <w:szCs w:val="16"/>
          <w:lang w:val="es-MX"/>
        </w:rPr>
        <w:t xml:space="preserve"> y otros (Dirigentes, miembros y activista del Pueblo Indígena Mapuche) Vs. Chile. Supervisión de cumplimiento de sentencia</w:t>
      </w:r>
      <w:r w:rsidRPr="00FA1791">
        <w:rPr>
          <w:rFonts w:ascii="Verdana" w:hAnsi="Verdana"/>
          <w:sz w:val="16"/>
          <w:szCs w:val="16"/>
          <w:lang w:val="es-MX"/>
        </w:rPr>
        <w:t>,</w:t>
      </w:r>
      <w:r w:rsidR="00165BCC">
        <w:rPr>
          <w:rFonts w:ascii="Verdana" w:hAnsi="Verdana"/>
          <w:sz w:val="16"/>
          <w:szCs w:val="16"/>
          <w:lang w:val="es-MX"/>
        </w:rPr>
        <w:t xml:space="preserve"> </w:t>
      </w:r>
      <w:r w:rsidR="00165BCC" w:rsidRPr="00165BCC">
        <w:rPr>
          <w:rFonts w:ascii="Verdana" w:hAnsi="Verdana"/>
          <w:i/>
          <w:sz w:val="16"/>
          <w:szCs w:val="16"/>
          <w:lang w:val="es-MX"/>
        </w:rPr>
        <w:t>supra</w:t>
      </w:r>
      <w:r w:rsidR="00165BCC">
        <w:rPr>
          <w:rFonts w:ascii="Verdana" w:hAnsi="Verdana"/>
          <w:sz w:val="16"/>
          <w:szCs w:val="16"/>
          <w:lang w:val="es-MX"/>
        </w:rPr>
        <w:t xml:space="preserve"> nota 13,</w:t>
      </w:r>
      <w:r w:rsidRPr="00FA1791">
        <w:rPr>
          <w:rFonts w:ascii="Verdana" w:hAnsi="Verdana"/>
          <w:sz w:val="16"/>
          <w:szCs w:val="16"/>
          <w:lang w:val="es-MX"/>
        </w:rPr>
        <w:t xml:space="preserve"> Considerando 14. </w:t>
      </w:r>
    </w:p>
  </w:footnote>
  <w:footnote w:id="22">
    <w:p w14:paraId="76EC2E31" w14:textId="066A3776"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i/>
          <w:sz w:val="16"/>
          <w:szCs w:val="16"/>
          <w:lang w:val="es-MX"/>
        </w:rPr>
        <w:t xml:space="preserve">Cfr. Caso </w:t>
      </w:r>
      <w:proofErr w:type="spellStart"/>
      <w:r w:rsidRPr="00FA1791">
        <w:rPr>
          <w:rFonts w:ascii="Verdana" w:hAnsi="Verdana"/>
          <w:i/>
          <w:sz w:val="16"/>
          <w:szCs w:val="16"/>
          <w:lang w:val="es-MX"/>
        </w:rPr>
        <w:t>Norín</w:t>
      </w:r>
      <w:proofErr w:type="spellEnd"/>
      <w:r w:rsidRPr="00FA1791">
        <w:rPr>
          <w:rFonts w:ascii="Verdana" w:hAnsi="Verdana"/>
          <w:i/>
          <w:sz w:val="16"/>
          <w:szCs w:val="16"/>
          <w:lang w:val="es-MX"/>
        </w:rPr>
        <w:t xml:space="preserve"> </w:t>
      </w:r>
      <w:proofErr w:type="spellStart"/>
      <w:r w:rsidRPr="00FA1791">
        <w:rPr>
          <w:rFonts w:ascii="Verdana" w:hAnsi="Verdana"/>
          <w:i/>
          <w:sz w:val="16"/>
          <w:szCs w:val="16"/>
          <w:lang w:val="es-MX"/>
        </w:rPr>
        <w:t>Catrimán</w:t>
      </w:r>
      <w:proofErr w:type="spellEnd"/>
      <w:r w:rsidRPr="00FA1791">
        <w:rPr>
          <w:rFonts w:ascii="Verdana" w:hAnsi="Verdana"/>
          <w:i/>
          <w:sz w:val="16"/>
          <w:szCs w:val="16"/>
          <w:lang w:val="es-MX"/>
        </w:rPr>
        <w:t xml:space="preserve"> y otros (Dirigentes, miembros y activista del Pueblo Indígena Mapuche) Vs. Chile. Supervisión de cumplimiento de sentencia</w:t>
      </w:r>
      <w:r w:rsidRPr="00FA1791">
        <w:rPr>
          <w:rFonts w:ascii="Verdana" w:hAnsi="Verdana"/>
          <w:sz w:val="16"/>
          <w:szCs w:val="16"/>
          <w:lang w:val="es-MX"/>
        </w:rPr>
        <w:t xml:space="preserve">, </w:t>
      </w:r>
      <w:r w:rsidRPr="00FA1791">
        <w:rPr>
          <w:rFonts w:ascii="Verdana" w:hAnsi="Verdana"/>
          <w:i/>
          <w:sz w:val="16"/>
          <w:szCs w:val="16"/>
          <w:lang w:val="es-MX"/>
        </w:rPr>
        <w:t xml:space="preserve">supra </w:t>
      </w:r>
      <w:r w:rsidRPr="00FA1791">
        <w:rPr>
          <w:rFonts w:ascii="Verdana" w:hAnsi="Verdana"/>
          <w:sz w:val="16"/>
          <w:szCs w:val="16"/>
          <w:lang w:val="es-MX"/>
        </w:rPr>
        <w:t xml:space="preserve">nota </w:t>
      </w:r>
      <w:r w:rsidR="00165BCC">
        <w:rPr>
          <w:rFonts w:ascii="Verdana" w:hAnsi="Verdana"/>
          <w:sz w:val="16"/>
          <w:szCs w:val="16"/>
          <w:lang w:val="es-MX"/>
        </w:rPr>
        <w:t>13</w:t>
      </w:r>
      <w:r w:rsidRPr="00FA1791">
        <w:rPr>
          <w:rFonts w:ascii="Verdana" w:hAnsi="Verdana"/>
          <w:sz w:val="16"/>
          <w:szCs w:val="16"/>
          <w:lang w:val="es-MX"/>
        </w:rPr>
        <w:t xml:space="preserve">, Considerandos 6 y 12. </w:t>
      </w:r>
    </w:p>
  </w:footnote>
  <w:footnote w:id="23">
    <w:p w14:paraId="5DB50D8D" w14:textId="17C07043"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i/>
          <w:sz w:val="16"/>
          <w:szCs w:val="16"/>
          <w:lang w:val="es-MX"/>
        </w:rPr>
        <w:t xml:space="preserve">Cfr. Caso </w:t>
      </w:r>
      <w:proofErr w:type="spellStart"/>
      <w:r w:rsidRPr="00FA1791">
        <w:rPr>
          <w:rFonts w:ascii="Verdana" w:hAnsi="Verdana"/>
          <w:i/>
          <w:sz w:val="16"/>
          <w:szCs w:val="16"/>
          <w:lang w:val="es-MX"/>
        </w:rPr>
        <w:t>Norín</w:t>
      </w:r>
      <w:proofErr w:type="spellEnd"/>
      <w:r w:rsidRPr="00FA1791">
        <w:rPr>
          <w:rFonts w:ascii="Verdana" w:hAnsi="Verdana"/>
          <w:i/>
          <w:sz w:val="16"/>
          <w:szCs w:val="16"/>
          <w:lang w:val="es-MX"/>
        </w:rPr>
        <w:t xml:space="preserve"> </w:t>
      </w:r>
      <w:proofErr w:type="spellStart"/>
      <w:r w:rsidRPr="00FA1791">
        <w:rPr>
          <w:rFonts w:ascii="Verdana" w:hAnsi="Verdana"/>
          <w:i/>
          <w:sz w:val="16"/>
          <w:szCs w:val="16"/>
          <w:lang w:val="es-MX"/>
        </w:rPr>
        <w:t>Catrimán</w:t>
      </w:r>
      <w:proofErr w:type="spellEnd"/>
      <w:r w:rsidRPr="00FA1791">
        <w:rPr>
          <w:rFonts w:ascii="Verdana" w:hAnsi="Verdana"/>
          <w:i/>
          <w:sz w:val="16"/>
          <w:szCs w:val="16"/>
          <w:lang w:val="es-MX"/>
        </w:rPr>
        <w:t xml:space="preserve"> y otros (Dirigentes, miembros y activista del Pueblo Indígena Mapuche) Vs. Chile. Supervisión de cumplimiento de sentencia</w:t>
      </w:r>
      <w:r w:rsidRPr="00FA1791">
        <w:rPr>
          <w:rFonts w:ascii="Verdana" w:hAnsi="Verdana"/>
          <w:sz w:val="16"/>
          <w:szCs w:val="16"/>
          <w:lang w:val="es-MX"/>
        </w:rPr>
        <w:t xml:space="preserve">, </w:t>
      </w:r>
      <w:r w:rsidRPr="00FA1791">
        <w:rPr>
          <w:rFonts w:ascii="Verdana" w:hAnsi="Verdana"/>
          <w:i/>
          <w:sz w:val="16"/>
          <w:szCs w:val="16"/>
          <w:lang w:val="es-MX"/>
        </w:rPr>
        <w:t xml:space="preserve">supra </w:t>
      </w:r>
      <w:r w:rsidR="00561DDF">
        <w:rPr>
          <w:rFonts w:ascii="Verdana" w:hAnsi="Verdana"/>
          <w:sz w:val="16"/>
          <w:szCs w:val="16"/>
          <w:lang w:val="es-MX"/>
        </w:rPr>
        <w:t xml:space="preserve">nota </w:t>
      </w:r>
      <w:r w:rsidR="00165BCC">
        <w:rPr>
          <w:rFonts w:ascii="Verdana" w:hAnsi="Verdana"/>
          <w:sz w:val="16"/>
          <w:szCs w:val="16"/>
          <w:lang w:val="es-MX"/>
        </w:rPr>
        <w:t>13</w:t>
      </w:r>
      <w:r w:rsidRPr="00FA1791">
        <w:rPr>
          <w:rFonts w:ascii="Verdana" w:hAnsi="Verdana"/>
          <w:sz w:val="16"/>
          <w:szCs w:val="16"/>
          <w:lang w:val="es-MX"/>
        </w:rPr>
        <w:t xml:space="preserve">, Considerandos 7, 8 y 9. </w:t>
      </w:r>
    </w:p>
  </w:footnote>
  <w:footnote w:id="24">
    <w:p w14:paraId="05D5CEE4" w14:textId="49C1652B"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i/>
          <w:sz w:val="16"/>
          <w:szCs w:val="16"/>
          <w:lang w:val="es-MX"/>
        </w:rPr>
        <w:t xml:space="preserve">Cfr. Caso </w:t>
      </w:r>
      <w:proofErr w:type="spellStart"/>
      <w:r w:rsidRPr="00FA1791">
        <w:rPr>
          <w:rFonts w:ascii="Verdana" w:hAnsi="Verdana"/>
          <w:i/>
          <w:sz w:val="16"/>
          <w:szCs w:val="16"/>
          <w:lang w:val="es-MX"/>
        </w:rPr>
        <w:t>Norín</w:t>
      </w:r>
      <w:proofErr w:type="spellEnd"/>
      <w:r w:rsidRPr="00FA1791">
        <w:rPr>
          <w:rFonts w:ascii="Verdana" w:hAnsi="Verdana"/>
          <w:i/>
          <w:sz w:val="16"/>
          <w:szCs w:val="16"/>
          <w:lang w:val="es-MX"/>
        </w:rPr>
        <w:t xml:space="preserve"> </w:t>
      </w:r>
      <w:proofErr w:type="spellStart"/>
      <w:r w:rsidRPr="00FA1791">
        <w:rPr>
          <w:rFonts w:ascii="Verdana" w:hAnsi="Verdana"/>
          <w:i/>
          <w:sz w:val="16"/>
          <w:szCs w:val="16"/>
          <w:lang w:val="es-MX"/>
        </w:rPr>
        <w:t>Catrimán</w:t>
      </w:r>
      <w:proofErr w:type="spellEnd"/>
      <w:r w:rsidRPr="00FA1791">
        <w:rPr>
          <w:rFonts w:ascii="Verdana" w:hAnsi="Verdana"/>
          <w:i/>
          <w:sz w:val="16"/>
          <w:szCs w:val="16"/>
          <w:lang w:val="es-MX"/>
        </w:rPr>
        <w:t xml:space="preserve"> y otros (Dirigentes, miembros y activista del Pueblo Indígena Mapuche) Vs. Chile. Supervisión de cumplimiento de sentencia</w:t>
      </w:r>
      <w:r w:rsidRPr="00FA1791">
        <w:rPr>
          <w:rFonts w:ascii="Verdana" w:hAnsi="Verdana"/>
          <w:sz w:val="16"/>
          <w:szCs w:val="16"/>
          <w:lang w:val="es-MX"/>
        </w:rPr>
        <w:t xml:space="preserve">, </w:t>
      </w:r>
      <w:r w:rsidRPr="00FA1791">
        <w:rPr>
          <w:rFonts w:ascii="Verdana" w:hAnsi="Verdana"/>
          <w:i/>
          <w:sz w:val="16"/>
          <w:szCs w:val="16"/>
          <w:lang w:val="es-MX"/>
        </w:rPr>
        <w:t xml:space="preserve">supra </w:t>
      </w:r>
      <w:r w:rsidR="00165BCC">
        <w:rPr>
          <w:rFonts w:ascii="Verdana" w:hAnsi="Verdana"/>
          <w:sz w:val="16"/>
          <w:szCs w:val="16"/>
          <w:lang w:val="es-MX"/>
        </w:rPr>
        <w:t>nota 13</w:t>
      </w:r>
      <w:r w:rsidRPr="00FA1791">
        <w:rPr>
          <w:rFonts w:ascii="Verdana" w:hAnsi="Verdana"/>
          <w:sz w:val="16"/>
          <w:szCs w:val="16"/>
          <w:lang w:val="es-MX"/>
        </w:rPr>
        <w:t>, Considerando 10.</w:t>
      </w:r>
    </w:p>
  </w:footnote>
  <w:footnote w:id="25">
    <w:p w14:paraId="766EAD2F" w14:textId="2DB84FC3"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t xml:space="preserve">La Corte constató, con base en la documentación aportada por el Estado, la eliminación de los referidos antecedentes de los siguientes registros: el “Registro General de Condenas” y el “Registro de Condenados de la Base de Datos de ADN”, ambos del “Servicio Civil e Identificación”; ii) el “Servicio Médico Legal”; iii) los “registros informáticos [de] </w:t>
      </w:r>
      <w:proofErr w:type="spellStart"/>
      <w:r w:rsidRPr="00FA1791">
        <w:rPr>
          <w:rFonts w:ascii="Verdana" w:hAnsi="Verdana"/>
          <w:sz w:val="16"/>
          <w:szCs w:val="16"/>
        </w:rPr>
        <w:t>Gendarmería</w:t>
      </w:r>
      <w:proofErr w:type="spellEnd"/>
      <w:r w:rsidRPr="00FA1791">
        <w:rPr>
          <w:rFonts w:ascii="Verdana" w:hAnsi="Verdana"/>
          <w:sz w:val="16"/>
          <w:szCs w:val="16"/>
        </w:rPr>
        <w:t xml:space="preserve"> de Chile”; </w:t>
      </w:r>
      <w:proofErr w:type="spellStart"/>
      <w:r w:rsidRPr="00FA1791">
        <w:rPr>
          <w:rFonts w:ascii="Verdana" w:hAnsi="Verdana"/>
          <w:sz w:val="16"/>
          <w:szCs w:val="16"/>
        </w:rPr>
        <w:t>iv</w:t>
      </w:r>
      <w:proofErr w:type="spellEnd"/>
      <w:r w:rsidRPr="00FA1791">
        <w:rPr>
          <w:rFonts w:ascii="Verdana" w:hAnsi="Verdana"/>
          <w:sz w:val="16"/>
          <w:szCs w:val="16"/>
        </w:rPr>
        <w:t>) los registros de datos policiales y administrativos de “Carabineros de Chile”; v) el “Registro de Sistema de Apoyo a Fiscales”, y vi) los registros de la “</w:t>
      </w:r>
      <w:proofErr w:type="spellStart"/>
      <w:r w:rsidRPr="00FA1791">
        <w:rPr>
          <w:rFonts w:ascii="Verdana" w:hAnsi="Verdana"/>
          <w:sz w:val="16"/>
          <w:szCs w:val="16"/>
        </w:rPr>
        <w:t>Policía</w:t>
      </w:r>
      <w:proofErr w:type="spellEnd"/>
      <w:r w:rsidRPr="00FA1791">
        <w:rPr>
          <w:rFonts w:ascii="Verdana" w:hAnsi="Verdana"/>
          <w:sz w:val="16"/>
          <w:szCs w:val="16"/>
        </w:rPr>
        <w:t xml:space="preserve"> de Investigaciones”. </w:t>
      </w:r>
      <w:r w:rsidRPr="00FA1791">
        <w:rPr>
          <w:rFonts w:ascii="Verdana" w:hAnsi="Verdana"/>
          <w:i/>
          <w:sz w:val="16"/>
          <w:szCs w:val="16"/>
          <w:lang w:val="es-MX"/>
        </w:rPr>
        <w:t xml:space="preserve">Cfr. Caso </w:t>
      </w:r>
      <w:proofErr w:type="spellStart"/>
      <w:r w:rsidRPr="00FA1791">
        <w:rPr>
          <w:rFonts w:ascii="Verdana" w:hAnsi="Verdana"/>
          <w:i/>
          <w:sz w:val="16"/>
          <w:szCs w:val="16"/>
          <w:lang w:val="es-MX"/>
        </w:rPr>
        <w:t>Norín</w:t>
      </w:r>
      <w:proofErr w:type="spellEnd"/>
      <w:r w:rsidRPr="00FA1791">
        <w:rPr>
          <w:rFonts w:ascii="Verdana" w:hAnsi="Verdana"/>
          <w:i/>
          <w:sz w:val="16"/>
          <w:szCs w:val="16"/>
          <w:lang w:val="es-MX"/>
        </w:rPr>
        <w:t xml:space="preserve"> </w:t>
      </w:r>
      <w:proofErr w:type="spellStart"/>
      <w:r w:rsidRPr="00FA1791">
        <w:rPr>
          <w:rFonts w:ascii="Verdana" w:hAnsi="Verdana"/>
          <w:i/>
          <w:sz w:val="16"/>
          <w:szCs w:val="16"/>
          <w:lang w:val="es-MX"/>
        </w:rPr>
        <w:t>Catrimán</w:t>
      </w:r>
      <w:proofErr w:type="spellEnd"/>
      <w:r w:rsidRPr="00FA1791">
        <w:rPr>
          <w:rFonts w:ascii="Verdana" w:hAnsi="Verdana"/>
          <w:i/>
          <w:sz w:val="16"/>
          <w:szCs w:val="16"/>
          <w:lang w:val="es-MX"/>
        </w:rPr>
        <w:t xml:space="preserve"> y otros (Dirigentes, miembros y activista del Pueblo Indígena Mapuche) Vs. Chile. Supervisión de cumplimiento de sentencia</w:t>
      </w:r>
      <w:r w:rsidRPr="00FA1791">
        <w:rPr>
          <w:rFonts w:ascii="Verdana" w:hAnsi="Verdana"/>
          <w:sz w:val="16"/>
          <w:szCs w:val="16"/>
          <w:lang w:val="es-MX"/>
        </w:rPr>
        <w:t xml:space="preserve">, </w:t>
      </w:r>
      <w:r w:rsidRPr="00FA1791">
        <w:rPr>
          <w:rFonts w:ascii="Verdana" w:hAnsi="Verdana"/>
          <w:i/>
          <w:sz w:val="16"/>
          <w:szCs w:val="16"/>
          <w:lang w:val="es-MX"/>
        </w:rPr>
        <w:t xml:space="preserve">supra </w:t>
      </w:r>
      <w:r w:rsidRPr="00FA1791">
        <w:rPr>
          <w:rFonts w:ascii="Verdana" w:hAnsi="Verdana"/>
          <w:sz w:val="16"/>
          <w:szCs w:val="16"/>
          <w:lang w:val="es-MX"/>
        </w:rPr>
        <w:t xml:space="preserve">nota </w:t>
      </w:r>
      <w:r w:rsidR="00165BCC">
        <w:rPr>
          <w:rFonts w:ascii="Verdana" w:hAnsi="Verdana"/>
          <w:sz w:val="16"/>
          <w:szCs w:val="16"/>
          <w:lang w:val="es-MX"/>
        </w:rPr>
        <w:t>13</w:t>
      </w:r>
      <w:r w:rsidRPr="00FA1791">
        <w:rPr>
          <w:rFonts w:ascii="Verdana" w:hAnsi="Verdana"/>
          <w:sz w:val="16"/>
          <w:szCs w:val="16"/>
          <w:lang w:val="es-MX"/>
        </w:rPr>
        <w:t xml:space="preserve">, Considerando 11. </w:t>
      </w:r>
    </w:p>
  </w:footnote>
  <w:footnote w:id="26">
    <w:p w14:paraId="0EF6D24C" w14:textId="5F403CD7"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t xml:space="preserve">A saber: i) el Registro de Conductores, radicado en el Servicio del Registro Civil e Identificación, ii) el Sistema de Gestión de la Defensa Penal, de la Defensoría Penal Pública, iii) el Sistema de Apoyo a la Gestión Judicial, del Poder Judicial, iv) la página web del Poder Judicial Chileno: www.poderjudicial.cl, v) la Contraloría General de la República, vi) los registros del Ministerio Público y la Agencia Nacional de Inteligencia, vii) el Departamento de Inteligencia Policial. </w:t>
      </w:r>
      <w:r w:rsidRPr="00FA1791">
        <w:rPr>
          <w:rFonts w:ascii="Verdana" w:hAnsi="Verdana"/>
          <w:i/>
          <w:sz w:val="16"/>
          <w:szCs w:val="16"/>
          <w:lang w:val="es-MX"/>
        </w:rPr>
        <w:t xml:space="preserve">Cfr. Caso </w:t>
      </w:r>
      <w:proofErr w:type="spellStart"/>
      <w:r w:rsidRPr="00FA1791">
        <w:rPr>
          <w:rFonts w:ascii="Verdana" w:hAnsi="Verdana"/>
          <w:i/>
          <w:sz w:val="16"/>
          <w:szCs w:val="16"/>
          <w:lang w:val="es-MX"/>
        </w:rPr>
        <w:t>Norín</w:t>
      </w:r>
      <w:proofErr w:type="spellEnd"/>
      <w:r w:rsidRPr="00FA1791">
        <w:rPr>
          <w:rFonts w:ascii="Verdana" w:hAnsi="Verdana"/>
          <w:i/>
          <w:sz w:val="16"/>
          <w:szCs w:val="16"/>
          <w:lang w:val="es-MX"/>
        </w:rPr>
        <w:t xml:space="preserve"> </w:t>
      </w:r>
      <w:proofErr w:type="spellStart"/>
      <w:r w:rsidRPr="00FA1791">
        <w:rPr>
          <w:rFonts w:ascii="Verdana" w:hAnsi="Verdana"/>
          <w:i/>
          <w:sz w:val="16"/>
          <w:szCs w:val="16"/>
          <w:lang w:val="es-MX"/>
        </w:rPr>
        <w:t>Catrimán</w:t>
      </w:r>
      <w:proofErr w:type="spellEnd"/>
      <w:r w:rsidRPr="00FA1791">
        <w:rPr>
          <w:rFonts w:ascii="Verdana" w:hAnsi="Verdana"/>
          <w:i/>
          <w:sz w:val="16"/>
          <w:szCs w:val="16"/>
          <w:lang w:val="es-MX"/>
        </w:rPr>
        <w:t xml:space="preserve"> y otros (Dirigentes, miembros y activista del Pueblo Indígena Mapuche) Vs. Chile. Supervisión de cumplimiento de sentencia</w:t>
      </w:r>
      <w:r w:rsidRPr="00FA1791">
        <w:rPr>
          <w:rFonts w:ascii="Verdana" w:hAnsi="Verdana"/>
          <w:sz w:val="16"/>
          <w:szCs w:val="16"/>
          <w:lang w:val="es-MX"/>
        </w:rPr>
        <w:t xml:space="preserve">, </w:t>
      </w:r>
      <w:r w:rsidRPr="00FA1791">
        <w:rPr>
          <w:rFonts w:ascii="Verdana" w:hAnsi="Verdana"/>
          <w:i/>
          <w:sz w:val="16"/>
          <w:szCs w:val="16"/>
          <w:lang w:val="es-MX"/>
        </w:rPr>
        <w:t xml:space="preserve">supra </w:t>
      </w:r>
      <w:r w:rsidR="00561DDF">
        <w:rPr>
          <w:rFonts w:ascii="Verdana" w:hAnsi="Verdana"/>
          <w:sz w:val="16"/>
          <w:szCs w:val="16"/>
          <w:lang w:val="es-MX"/>
        </w:rPr>
        <w:t xml:space="preserve">nota </w:t>
      </w:r>
      <w:r w:rsidR="00165BCC">
        <w:rPr>
          <w:rFonts w:ascii="Verdana" w:hAnsi="Verdana"/>
          <w:sz w:val="16"/>
          <w:szCs w:val="16"/>
          <w:lang w:val="es-MX"/>
        </w:rPr>
        <w:t>13</w:t>
      </w:r>
      <w:r w:rsidRPr="00FA1791">
        <w:rPr>
          <w:rFonts w:ascii="Verdana" w:hAnsi="Verdana"/>
          <w:sz w:val="16"/>
          <w:szCs w:val="16"/>
          <w:lang w:val="es-MX"/>
        </w:rPr>
        <w:t xml:space="preserve">, Considerando 12. </w:t>
      </w:r>
    </w:p>
  </w:footnote>
  <w:footnote w:id="27">
    <w:p w14:paraId="2DEE6894" w14:textId="408B62E1"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i/>
          <w:sz w:val="16"/>
          <w:szCs w:val="16"/>
          <w:lang w:val="es-MX"/>
        </w:rPr>
        <w:t xml:space="preserve">Cfr. Caso </w:t>
      </w:r>
      <w:proofErr w:type="spellStart"/>
      <w:r w:rsidRPr="00FA1791">
        <w:rPr>
          <w:rFonts w:ascii="Verdana" w:hAnsi="Verdana"/>
          <w:i/>
          <w:sz w:val="16"/>
          <w:szCs w:val="16"/>
          <w:lang w:val="es-MX"/>
        </w:rPr>
        <w:t>Norín</w:t>
      </w:r>
      <w:proofErr w:type="spellEnd"/>
      <w:r w:rsidRPr="00FA1791">
        <w:rPr>
          <w:rFonts w:ascii="Verdana" w:hAnsi="Verdana"/>
          <w:i/>
          <w:sz w:val="16"/>
          <w:szCs w:val="16"/>
          <w:lang w:val="es-MX"/>
        </w:rPr>
        <w:t xml:space="preserve"> </w:t>
      </w:r>
      <w:proofErr w:type="spellStart"/>
      <w:r w:rsidRPr="00FA1791">
        <w:rPr>
          <w:rFonts w:ascii="Verdana" w:hAnsi="Verdana"/>
          <w:i/>
          <w:sz w:val="16"/>
          <w:szCs w:val="16"/>
          <w:lang w:val="es-MX"/>
        </w:rPr>
        <w:t>Catrimán</w:t>
      </w:r>
      <w:proofErr w:type="spellEnd"/>
      <w:r w:rsidRPr="00FA1791">
        <w:rPr>
          <w:rFonts w:ascii="Verdana" w:hAnsi="Verdana"/>
          <w:i/>
          <w:sz w:val="16"/>
          <w:szCs w:val="16"/>
          <w:lang w:val="es-MX"/>
        </w:rPr>
        <w:t xml:space="preserve"> y otros (Dirigentes, miembros y activista del Pueblo Indígena Mapuche) Vs. Chile. Supervisión de cumplimiento de sentencia</w:t>
      </w:r>
      <w:r w:rsidRPr="00FA1791">
        <w:rPr>
          <w:rFonts w:ascii="Verdana" w:hAnsi="Verdana"/>
          <w:sz w:val="16"/>
          <w:szCs w:val="16"/>
          <w:lang w:val="es-MX"/>
        </w:rPr>
        <w:t xml:space="preserve">, </w:t>
      </w:r>
      <w:r w:rsidRPr="00FA1791">
        <w:rPr>
          <w:rFonts w:ascii="Verdana" w:hAnsi="Verdana"/>
          <w:i/>
          <w:sz w:val="16"/>
          <w:szCs w:val="16"/>
          <w:lang w:val="es-MX"/>
        </w:rPr>
        <w:t xml:space="preserve">supra </w:t>
      </w:r>
      <w:r w:rsidR="00561DDF">
        <w:rPr>
          <w:rFonts w:ascii="Verdana" w:hAnsi="Verdana"/>
          <w:sz w:val="16"/>
          <w:szCs w:val="16"/>
          <w:lang w:val="es-MX"/>
        </w:rPr>
        <w:t xml:space="preserve">nota </w:t>
      </w:r>
      <w:r w:rsidR="00165BCC">
        <w:rPr>
          <w:rFonts w:ascii="Verdana" w:hAnsi="Verdana"/>
          <w:sz w:val="16"/>
          <w:szCs w:val="16"/>
          <w:lang w:val="es-MX"/>
        </w:rPr>
        <w:t>13</w:t>
      </w:r>
      <w:r w:rsidRPr="00FA1791">
        <w:rPr>
          <w:rFonts w:ascii="Verdana" w:hAnsi="Verdana"/>
          <w:sz w:val="16"/>
          <w:szCs w:val="16"/>
          <w:lang w:val="es-MX"/>
        </w:rPr>
        <w:t>, Considerandos 11, 12 y 13.</w:t>
      </w:r>
    </w:p>
  </w:footnote>
  <w:footnote w:id="28">
    <w:p w14:paraId="2E2ECDBC" w14:textId="0D55105B"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sz w:val="16"/>
          <w:szCs w:val="16"/>
          <w:lang w:val="es-MX"/>
        </w:rPr>
        <w:t xml:space="preserve">El Estado relató que dicha decisión fue antecedida por la celebración de una audiencia pública </w:t>
      </w:r>
      <w:r w:rsidR="00B04395">
        <w:rPr>
          <w:rFonts w:ascii="Verdana" w:hAnsi="Verdana"/>
          <w:sz w:val="16"/>
          <w:szCs w:val="16"/>
          <w:lang w:val="es-MX"/>
        </w:rPr>
        <w:t xml:space="preserve">ante la Corte Suprema de Justicia </w:t>
      </w:r>
      <w:r w:rsidRPr="00FA1791">
        <w:rPr>
          <w:rFonts w:ascii="Verdana" w:hAnsi="Verdana"/>
          <w:sz w:val="16"/>
          <w:szCs w:val="16"/>
          <w:lang w:val="es-MX"/>
        </w:rPr>
        <w:t xml:space="preserve">que “tuvo como único objetivo </w:t>
      </w:r>
      <w:r w:rsidRPr="00FA1791">
        <w:rPr>
          <w:rFonts w:ascii="Verdana" w:hAnsi="Verdana" w:cstheme="minorHAnsi"/>
          <w:sz w:val="16"/>
          <w:szCs w:val="16"/>
          <w:lang w:val="es-MX"/>
        </w:rPr>
        <w:t>[</w:t>
      </w:r>
      <w:r w:rsidRPr="00FA1791">
        <w:rPr>
          <w:rFonts w:ascii="Verdana" w:hAnsi="Verdana"/>
          <w:sz w:val="16"/>
          <w:szCs w:val="16"/>
          <w:lang w:val="es-MX"/>
        </w:rPr>
        <w:t>…</w:t>
      </w:r>
      <w:r w:rsidRPr="00FA1791">
        <w:rPr>
          <w:rFonts w:ascii="Verdana" w:hAnsi="Verdana" w:cstheme="minorHAnsi"/>
          <w:sz w:val="16"/>
          <w:szCs w:val="16"/>
          <w:lang w:val="es-MX"/>
        </w:rPr>
        <w:t>]</w:t>
      </w:r>
      <w:r w:rsidRPr="00FA1791">
        <w:rPr>
          <w:rFonts w:ascii="Verdana" w:hAnsi="Verdana"/>
          <w:sz w:val="16"/>
          <w:szCs w:val="16"/>
          <w:lang w:val="es-MX"/>
        </w:rPr>
        <w:t xml:space="preserve"> alcanzar una Resolución en cuanto al cumplimiento o la falta de cumplimiento o supuesto falta de cumplimiento que ha sido representada por la Corte </w:t>
      </w:r>
      <w:r w:rsidRPr="00FA1791">
        <w:rPr>
          <w:rFonts w:ascii="Verdana" w:hAnsi="Verdana" w:cstheme="minorHAnsi"/>
          <w:sz w:val="16"/>
          <w:szCs w:val="16"/>
          <w:lang w:val="es-MX"/>
        </w:rPr>
        <w:t>[</w:t>
      </w:r>
      <w:r w:rsidRPr="00FA1791">
        <w:rPr>
          <w:rFonts w:ascii="Verdana" w:hAnsi="Verdana"/>
          <w:sz w:val="16"/>
          <w:szCs w:val="16"/>
          <w:lang w:val="es-MX"/>
        </w:rPr>
        <w:t>Interamericana en el presente caso</w:t>
      </w:r>
      <w:r w:rsidRPr="00FA1791">
        <w:rPr>
          <w:rFonts w:ascii="Verdana" w:hAnsi="Verdana" w:cstheme="minorHAnsi"/>
          <w:sz w:val="16"/>
          <w:szCs w:val="16"/>
          <w:lang w:val="es-MX"/>
        </w:rPr>
        <w:t>]”</w:t>
      </w:r>
      <w:r w:rsidR="0085430C">
        <w:rPr>
          <w:rFonts w:ascii="Verdana" w:hAnsi="Verdana" w:cstheme="minorHAnsi"/>
          <w:sz w:val="16"/>
          <w:szCs w:val="16"/>
          <w:lang w:val="es-MX"/>
        </w:rPr>
        <w:t>.</w:t>
      </w:r>
      <w:r w:rsidRPr="00FA1791">
        <w:rPr>
          <w:rFonts w:ascii="Verdana" w:hAnsi="Verdana" w:cstheme="minorHAnsi"/>
          <w:sz w:val="16"/>
          <w:szCs w:val="16"/>
          <w:lang w:val="es-MX"/>
        </w:rPr>
        <w:t xml:space="preserve"> Precisó que</w:t>
      </w:r>
      <w:r w:rsidR="0085430C">
        <w:rPr>
          <w:rFonts w:ascii="Verdana" w:hAnsi="Verdana" w:cstheme="minorHAnsi"/>
          <w:sz w:val="16"/>
          <w:szCs w:val="16"/>
          <w:lang w:val="es-MX"/>
        </w:rPr>
        <w:t>,</w:t>
      </w:r>
      <w:r w:rsidRPr="00FA1791">
        <w:rPr>
          <w:rFonts w:ascii="Verdana" w:hAnsi="Verdana" w:cstheme="minorHAnsi"/>
          <w:sz w:val="16"/>
          <w:szCs w:val="16"/>
          <w:lang w:val="es-MX"/>
        </w:rPr>
        <w:t xml:space="preserve"> en la referida audiencia</w:t>
      </w:r>
      <w:r w:rsidR="0085430C">
        <w:rPr>
          <w:rFonts w:ascii="Verdana" w:hAnsi="Verdana" w:cstheme="minorHAnsi"/>
          <w:sz w:val="16"/>
          <w:szCs w:val="16"/>
          <w:lang w:val="es-MX"/>
        </w:rPr>
        <w:t>,</w:t>
      </w:r>
      <w:r w:rsidRPr="00FA1791">
        <w:rPr>
          <w:rFonts w:ascii="Verdana" w:hAnsi="Verdana" w:cstheme="minorHAnsi"/>
          <w:sz w:val="16"/>
          <w:szCs w:val="16"/>
          <w:lang w:val="es-MX"/>
        </w:rPr>
        <w:t xml:space="preserve"> “</w:t>
      </w:r>
      <w:r w:rsidRPr="00FA1791">
        <w:rPr>
          <w:rFonts w:ascii="Verdana" w:hAnsi="Verdana"/>
          <w:sz w:val="16"/>
          <w:szCs w:val="16"/>
          <w:lang w:val="es-MX"/>
        </w:rPr>
        <w:t xml:space="preserve">se escucharon las propuestas de los intervinientes en las causas nacionales que fueron examinadas por la Corte </w:t>
      </w:r>
      <w:r w:rsidRPr="00FA1791">
        <w:rPr>
          <w:rFonts w:ascii="Verdana" w:hAnsi="Verdana" w:cstheme="minorHAnsi"/>
          <w:sz w:val="16"/>
          <w:szCs w:val="16"/>
          <w:lang w:val="es-MX"/>
        </w:rPr>
        <w:t>[</w:t>
      </w:r>
      <w:r w:rsidRPr="00FA1791">
        <w:rPr>
          <w:rFonts w:ascii="Verdana" w:hAnsi="Verdana"/>
          <w:sz w:val="16"/>
          <w:szCs w:val="16"/>
          <w:lang w:val="es-MX"/>
        </w:rPr>
        <w:t>Interamericana</w:t>
      </w:r>
      <w:r w:rsidRPr="00FA1791">
        <w:rPr>
          <w:rFonts w:ascii="Verdana" w:hAnsi="Verdana" w:cstheme="minorHAnsi"/>
          <w:sz w:val="16"/>
          <w:szCs w:val="16"/>
          <w:lang w:val="es-MX"/>
        </w:rPr>
        <w:t>]</w:t>
      </w:r>
      <w:r w:rsidRPr="00FA1791">
        <w:rPr>
          <w:rFonts w:ascii="Verdana" w:hAnsi="Verdana"/>
          <w:sz w:val="16"/>
          <w:szCs w:val="16"/>
          <w:lang w:val="es-MX"/>
        </w:rPr>
        <w:t>, a saber: Ministerio Público, Ministerio del Interior y Seguridad Pública, Forestal Mininco, Defensoría Penal Pública y los representantes de las víctimas del presente caso ante el Sistema Interamericano</w:t>
      </w:r>
      <w:r w:rsidRPr="00FA1791">
        <w:rPr>
          <w:rFonts w:ascii="Verdana" w:hAnsi="Verdana" w:cstheme="minorHAnsi"/>
          <w:sz w:val="16"/>
          <w:szCs w:val="16"/>
          <w:lang w:val="es-MX"/>
        </w:rPr>
        <w:t>[</w:t>
      </w:r>
      <w:r w:rsidRPr="00FA1791">
        <w:rPr>
          <w:rFonts w:ascii="Verdana" w:hAnsi="Verdana"/>
          <w:sz w:val="16"/>
          <w:szCs w:val="16"/>
          <w:lang w:val="es-MX"/>
        </w:rPr>
        <w:t>,</w:t>
      </w:r>
      <w:r w:rsidRPr="00FA1791">
        <w:rPr>
          <w:rFonts w:ascii="Verdana" w:hAnsi="Verdana" w:cstheme="minorHAnsi"/>
          <w:sz w:val="16"/>
          <w:szCs w:val="16"/>
          <w:lang w:val="es-MX"/>
        </w:rPr>
        <w:t>]</w:t>
      </w:r>
      <w:r w:rsidRPr="00FA1791">
        <w:rPr>
          <w:rFonts w:ascii="Verdana" w:hAnsi="Verdana"/>
          <w:sz w:val="16"/>
          <w:szCs w:val="16"/>
          <w:lang w:val="es-MX"/>
        </w:rPr>
        <w:t xml:space="preserve"> CEJIL, Myriam Reyes y Jaime Madariaga”. </w:t>
      </w:r>
      <w:r w:rsidRPr="00FA1791">
        <w:rPr>
          <w:rFonts w:ascii="Verdana" w:hAnsi="Verdana" w:cstheme="minorHAnsi"/>
          <w:b/>
          <w:sz w:val="16"/>
          <w:szCs w:val="16"/>
          <w:lang w:val="es-MX"/>
        </w:rPr>
        <w:t xml:space="preserve">  </w:t>
      </w:r>
    </w:p>
  </w:footnote>
  <w:footnote w:id="29">
    <w:p w14:paraId="54976236" w14:textId="2CB27155" w:rsidR="008975B0" w:rsidRPr="00FA1791" w:rsidRDefault="008975B0" w:rsidP="00950477">
      <w:pPr>
        <w:autoSpaceDE w:val="0"/>
        <w:autoSpaceDN w:val="0"/>
        <w:adjustRightInd w:val="0"/>
        <w:spacing w:after="0" w:line="240" w:lineRule="auto"/>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i/>
          <w:sz w:val="16"/>
          <w:szCs w:val="16"/>
          <w:lang w:val="es-MX"/>
        </w:rPr>
        <w:t>Cfr.</w:t>
      </w:r>
      <w:r w:rsidRPr="00FA1791">
        <w:rPr>
          <w:rFonts w:ascii="Verdana" w:hAnsi="Verdana"/>
          <w:sz w:val="16"/>
          <w:szCs w:val="16"/>
          <w:lang w:val="es-MX"/>
        </w:rPr>
        <w:t xml:space="preserve"> Decisión emitida por la Corte Suprema de Justicia de 16 de mayo de 2019 en el expediente administrativo </w:t>
      </w:r>
      <w:r w:rsidRPr="00FA1791">
        <w:rPr>
          <w:rFonts w:ascii="Verdana" w:hAnsi="Verdana" w:cs="TimesNewRoman"/>
          <w:sz w:val="16"/>
          <w:szCs w:val="16"/>
        </w:rPr>
        <w:t>AD 1386-2014 (anexo</w:t>
      </w:r>
      <w:r w:rsidR="00B04395">
        <w:rPr>
          <w:rFonts w:ascii="Verdana" w:hAnsi="Verdana" w:cs="TimesNewRoman"/>
          <w:sz w:val="16"/>
          <w:szCs w:val="16"/>
        </w:rPr>
        <w:t>s</w:t>
      </w:r>
      <w:r w:rsidRPr="00FA1791">
        <w:rPr>
          <w:rFonts w:ascii="Verdana" w:hAnsi="Verdana" w:cs="TimesNewRoman"/>
          <w:sz w:val="16"/>
          <w:szCs w:val="16"/>
        </w:rPr>
        <w:t xml:space="preserve"> a</w:t>
      </w:r>
      <w:r w:rsidR="00B04395">
        <w:rPr>
          <w:rFonts w:ascii="Verdana" w:hAnsi="Verdana" w:cs="TimesNewRoman"/>
          <w:sz w:val="16"/>
          <w:szCs w:val="16"/>
        </w:rPr>
        <w:t xml:space="preserve"> </w:t>
      </w:r>
      <w:r w:rsidRPr="00FA1791">
        <w:rPr>
          <w:rFonts w:ascii="Verdana" w:hAnsi="Verdana" w:cs="TimesNewRoman"/>
          <w:sz w:val="16"/>
          <w:szCs w:val="16"/>
        </w:rPr>
        <w:t>l</w:t>
      </w:r>
      <w:r w:rsidR="00B04395">
        <w:rPr>
          <w:rFonts w:ascii="Verdana" w:hAnsi="Verdana" w:cs="TimesNewRoman"/>
          <w:sz w:val="16"/>
          <w:szCs w:val="16"/>
        </w:rPr>
        <w:t>os</w:t>
      </w:r>
      <w:r w:rsidRPr="00FA1791">
        <w:rPr>
          <w:rFonts w:ascii="Verdana" w:hAnsi="Verdana" w:cs="TimesNewRoman"/>
          <w:sz w:val="16"/>
          <w:szCs w:val="16"/>
        </w:rPr>
        <w:t xml:space="preserve"> informe</w:t>
      </w:r>
      <w:r w:rsidR="00B04395">
        <w:rPr>
          <w:rFonts w:ascii="Verdana" w:hAnsi="Verdana" w:cs="TimesNewRoman"/>
          <w:sz w:val="16"/>
          <w:szCs w:val="16"/>
        </w:rPr>
        <w:t>s</w:t>
      </w:r>
      <w:r w:rsidRPr="00FA1791">
        <w:rPr>
          <w:rFonts w:ascii="Verdana" w:hAnsi="Verdana" w:cs="TimesNewRoman"/>
          <w:sz w:val="16"/>
          <w:szCs w:val="16"/>
        </w:rPr>
        <w:t xml:space="preserve"> estatal</w:t>
      </w:r>
      <w:r w:rsidR="00B04395">
        <w:rPr>
          <w:rFonts w:ascii="Verdana" w:hAnsi="Verdana" w:cs="TimesNewRoman"/>
          <w:sz w:val="16"/>
          <w:szCs w:val="16"/>
        </w:rPr>
        <w:t>es</w:t>
      </w:r>
      <w:r w:rsidRPr="00FA1791">
        <w:rPr>
          <w:rFonts w:ascii="Verdana" w:hAnsi="Verdana" w:cs="TimesNewRoman"/>
          <w:sz w:val="16"/>
          <w:szCs w:val="16"/>
        </w:rPr>
        <w:t xml:space="preserve"> de </w:t>
      </w:r>
      <w:r w:rsidR="00B04395">
        <w:rPr>
          <w:rFonts w:ascii="Verdana" w:hAnsi="Verdana" w:cs="TimesNewRoman"/>
          <w:sz w:val="16"/>
          <w:szCs w:val="16"/>
        </w:rPr>
        <w:t xml:space="preserve">2 y </w:t>
      </w:r>
      <w:r w:rsidRPr="00FA1791">
        <w:rPr>
          <w:rFonts w:ascii="Verdana" w:hAnsi="Verdana" w:cs="TimesNewRoman"/>
          <w:sz w:val="16"/>
          <w:szCs w:val="16"/>
        </w:rPr>
        <w:t xml:space="preserve">12 de agosto de 2019). </w:t>
      </w:r>
    </w:p>
  </w:footnote>
  <w:footnote w:id="30">
    <w:p w14:paraId="4E9FA54E" w14:textId="2C56942D"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sz w:val="16"/>
          <w:szCs w:val="16"/>
          <w:lang w:val="es-MX"/>
        </w:rPr>
        <w:t xml:space="preserve">En efecto, en la parte resolutiva de la mencionada </w:t>
      </w:r>
      <w:r w:rsidR="003E4EEA">
        <w:rPr>
          <w:rFonts w:ascii="Verdana" w:hAnsi="Verdana"/>
          <w:sz w:val="16"/>
          <w:szCs w:val="16"/>
          <w:lang w:val="es-MX"/>
        </w:rPr>
        <w:t>sentencia</w:t>
      </w:r>
      <w:r w:rsidRPr="00FA1791">
        <w:rPr>
          <w:rFonts w:ascii="Verdana" w:hAnsi="Verdana"/>
          <w:sz w:val="16"/>
          <w:szCs w:val="16"/>
          <w:lang w:val="es-MX"/>
        </w:rPr>
        <w:t>, la Corte Suprema</w:t>
      </w:r>
      <w:r w:rsidR="003E4EEA">
        <w:rPr>
          <w:rFonts w:ascii="Verdana" w:hAnsi="Verdana"/>
          <w:sz w:val="16"/>
          <w:szCs w:val="16"/>
          <w:lang w:val="es-MX"/>
        </w:rPr>
        <w:t xml:space="preserve"> de Justicia de Chile</w:t>
      </w:r>
      <w:r w:rsidRPr="00F82113">
        <w:rPr>
          <w:rFonts w:ascii="Verdana" w:hAnsi="Verdana"/>
          <w:b/>
          <w:sz w:val="16"/>
          <w:szCs w:val="16"/>
          <w:lang w:val="es-MX"/>
        </w:rPr>
        <w:t xml:space="preserve"> “</w:t>
      </w:r>
      <w:proofErr w:type="spellStart"/>
      <w:r w:rsidRPr="005637C1">
        <w:rPr>
          <w:rFonts w:ascii="Verdana" w:hAnsi="Verdana"/>
          <w:b/>
          <w:sz w:val="16"/>
          <w:szCs w:val="16"/>
          <w:lang w:val="es-MX"/>
        </w:rPr>
        <w:t>declar</w:t>
      </w:r>
      <w:proofErr w:type="spellEnd"/>
      <w:r w:rsidRPr="005637C1">
        <w:rPr>
          <w:rFonts w:ascii="Verdana" w:hAnsi="Verdana" w:cstheme="minorHAnsi"/>
          <w:b/>
          <w:sz w:val="16"/>
          <w:szCs w:val="16"/>
          <w:lang w:val="es-MX"/>
        </w:rPr>
        <w:t>[</w:t>
      </w:r>
      <w:proofErr w:type="spellStart"/>
      <w:r w:rsidRPr="005637C1">
        <w:rPr>
          <w:rFonts w:ascii="Verdana" w:hAnsi="Verdana"/>
          <w:b/>
          <w:sz w:val="16"/>
          <w:szCs w:val="16"/>
          <w:lang w:val="es-MX"/>
        </w:rPr>
        <w:t>ó</w:t>
      </w:r>
      <w:proofErr w:type="spellEnd"/>
      <w:r w:rsidRPr="005637C1">
        <w:rPr>
          <w:rFonts w:ascii="Verdana" w:hAnsi="Verdana" w:cstheme="minorHAnsi"/>
          <w:b/>
          <w:sz w:val="16"/>
          <w:szCs w:val="16"/>
          <w:lang w:val="es-MX"/>
        </w:rPr>
        <w:t>]</w:t>
      </w:r>
      <w:r w:rsidRPr="005637C1">
        <w:rPr>
          <w:rFonts w:ascii="Verdana" w:hAnsi="Verdana"/>
          <w:b/>
          <w:sz w:val="16"/>
          <w:szCs w:val="16"/>
          <w:lang w:val="es-MX"/>
        </w:rPr>
        <w:t xml:space="preserve"> que las sentencias</w:t>
      </w:r>
      <w:r w:rsidRPr="00FA1791">
        <w:rPr>
          <w:rFonts w:ascii="Verdana" w:hAnsi="Verdana"/>
          <w:sz w:val="16"/>
          <w:szCs w:val="16"/>
          <w:lang w:val="es-MX"/>
        </w:rPr>
        <w:t xml:space="preserve"> dictadas por la Corte de Apelaciones de Concepción, de 4 de junio de 2004, en el Ingreso de ese tribunal Rol 191-2004 por la que se condenó a don Víctor </w:t>
      </w:r>
      <w:proofErr w:type="spellStart"/>
      <w:r w:rsidRPr="00FA1791">
        <w:rPr>
          <w:rFonts w:ascii="Verdana" w:hAnsi="Verdana"/>
          <w:sz w:val="16"/>
          <w:szCs w:val="16"/>
          <w:lang w:val="es-MX"/>
        </w:rPr>
        <w:t>Ancalaf</w:t>
      </w:r>
      <w:proofErr w:type="spellEnd"/>
      <w:r w:rsidRPr="00FA1791">
        <w:rPr>
          <w:rFonts w:ascii="Verdana" w:hAnsi="Verdana"/>
          <w:sz w:val="16"/>
          <w:szCs w:val="16"/>
          <w:lang w:val="es-MX"/>
        </w:rPr>
        <w:t xml:space="preserve"> </w:t>
      </w:r>
      <w:proofErr w:type="spellStart"/>
      <w:r w:rsidRPr="00FA1791">
        <w:rPr>
          <w:rFonts w:ascii="Verdana" w:hAnsi="Verdana"/>
          <w:sz w:val="16"/>
          <w:szCs w:val="16"/>
          <w:lang w:val="es-MX"/>
        </w:rPr>
        <w:t>Llaupe</w:t>
      </w:r>
      <w:proofErr w:type="spellEnd"/>
      <w:r w:rsidRPr="00FA1791">
        <w:rPr>
          <w:rFonts w:ascii="Verdana" w:hAnsi="Verdana"/>
          <w:sz w:val="16"/>
          <w:szCs w:val="16"/>
          <w:lang w:val="es-MX"/>
        </w:rPr>
        <w:t xml:space="preserve"> como autor del delito establecido en el artículo 2 N° 4 de la Ley 18.314, en relación al artículo 1° de la misma ley, a la pena de 5 años y un día de presidio mayor en su grado mínimo; de 27 de septiembre de 2003, dictada por el Tribunal de Juicio Oral en lo Penal de Angol en el RIT 2-2003 por la que se condenó a don Segundo Aniceto </w:t>
      </w:r>
      <w:proofErr w:type="spellStart"/>
      <w:r w:rsidRPr="00FA1791">
        <w:rPr>
          <w:rFonts w:ascii="Verdana" w:hAnsi="Verdana"/>
          <w:sz w:val="16"/>
          <w:szCs w:val="16"/>
          <w:lang w:val="es-MX"/>
        </w:rPr>
        <w:t>Norín</w:t>
      </w:r>
      <w:proofErr w:type="spellEnd"/>
      <w:r w:rsidRPr="00FA1791">
        <w:rPr>
          <w:rFonts w:ascii="Verdana" w:hAnsi="Verdana"/>
          <w:sz w:val="16"/>
          <w:szCs w:val="16"/>
          <w:lang w:val="es-MX"/>
        </w:rPr>
        <w:t xml:space="preserve"> </w:t>
      </w:r>
      <w:proofErr w:type="spellStart"/>
      <w:r w:rsidRPr="00FA1791">
        <w:rPr>
          <w:rFonts w:ascii="Verdana" w:hAnsi="Verdana"/>
          <w:sz w:val="16"/>
          <w:szCs w:val="16"/>
          <w:lang w:val="es-MX"/>
        </w:rPr>
        <w:t>Catrimán</w:t>
      </w:r>
      <w:proofErr w:type="spellEnd"/>
      <w:r w:rsidRPr="00FA1791">
        <w:rPr>
          <w:rFonts w:ascii="Verdana" w:hAnsi="Verdana"/>
          <w:sz w:val="16"/>
          <w:szCs w:val="16"/>
          <w:lang w:val="es-MX"/>
        </w:rPr>
        <w:t xml:space="preserve"> y a don Pascual </w:t>
      </w:r>
      <w:proofErr w:type="spellStart"/>
      <w:r w:rsidRPr="00FA1791">
        <w:rPr>
          <w:rFonts w:ascii="Verdana" w:hAnsi="Verdana"/>
          <w:sz w:val="16"/>
          <w:szCs w:val="16"/>
          <w:lang w:val="es-MX"/>
        </w:rPr>
        <w:t>Huentenequeo</w:t>
      </w:r>
      <w:proofErr w:type="spellEnd"/>
      <w:r w:rsidRPr="00FA1791">
        <w:rPr>
          <w:rFonts w:ascii="Verdana" w:hAnsi="Verdana"/>
          <w:sz w:val="16"/>
          <w:szCs w:val="16"/>
          <w:lang w:val="es-MX"/>
        </w:rPr>
        <w:t xml:space="preserve"> Pichún </w:t>
      </w:r>
      <w:proofErr w:type="spellStart"/>
      <w:r w:rsidRPr="00FA1791">
        <w:rPr>
          <w:rFonts w:ascii="Verdana" w:hAnsi="Verdana"/>
          <w:sz w:val="16"/>
          <w:szCs w:val="16"/>
          <w:lang w:val="es-MX"/>
        </w:rPr>
        <w:t>Paillalao</w:t>
      </w:r>
      <w:proofErr w:type="spellEnd"/>
      <w:r w:rsidRPr="00FA1791">
        <w:rPr>
          <w:rFonts w:ascii="Verdana" w:hAnsi="Verdana"/>
          <w:sz w:val="16"/>
          <w:szCs w:val="16"/>
          <w:lang w:val="es-MX"/>
        </w:rPr>
        <w:t xml:space="preserve"> como autores del delito de amenazas terroristas a la pena de cinco años y un día de presidio mayor en su grado mínimo de cumplimiento efectivo[,] y de 22 de agosto de 2004, dictada por el mismo Tribunal de Juicio Oral en lo Penal en el RIT 21-2004 por la que se condenó a los señores José Benicio Huenchunao Mariñán, Patricia Roxana Troncoso Robles, Juan Ciriaco </w:t>
      </w:r>
      <w:proofErr w:type="spellStart"/>
      <w:r w:rsidRPr="00FA1791">
        <w:rPr>
          <w:rFonts w:ascii="Verdana" w:hAnsi="Verdana"/>
          <w:sz w:val="16"/>
          <w:szCs w:val="16"/>
          <w:lang w:val="es-MX"/>
        </w:rPr>
        <w:t>Millacheo</w:t>
      </w:r>
      <w:proofErr w:type="spellEnd"/>
      <w:r w:rsidRPr="00FA1791">
        <w:rPr>
          <w:rFonts w:ascii="Verdana" w:hAnsi="Verdana"/>
          <w:sz w:val="16"/>
          <w:szCs w:val="16"/>
          <w:lang w:val="es-MX"/>
        </w:rPr>
        <w:t xml:space="preserve"> Licán, Florencio Jaime Marileo Saravia y Juan Patricio Marileo Saravia, como autores del delito de incendio terrorista a la pena de diez años y un día de presidio mayor en su grado medio de cumplimiento efectivo, </w:t>
      </w:r>
      <w:r w:rsidRPr="00FA1791">
        <w:rPr>
          <w:rFonts w:ascii="Verdana" w:hAnsi="Verdana"/>
          <w:b/>
          <w:sz w:val="16"/>
          <w:szCs w:val="16"/>
          <w:lang w:val="es-MX"/>
        </w:rPr>
        <w:t>han perdido la totalidad de los efectos que les son propios</w:t>
      </w:r>
      <w:r w:rsidRPr="00FA1791">
        <w:rPr>
          <w:rFonts w:ascii="Verdana" w:hAnsi="Verdana"/>
          <w:sz w:val="16"/>
          <w:szCs w:val="16"/>
          <w:lang w:val="es-MX"/>
        </w:rPr>
        <w:t xml:space="preserve">.” </w:t>
      </w:r>
      <w:r w:rsidRPr="00FA1791">
        <w:rPr>
          <w:rFonts w:ascii="Verdana" w:hAnsi="Verdana"/>
          <w:i/>
          <w:sz w:val="16"/>
          <w:szCs w:val="16"/>
          <w:lang w:val="es-MX"/>
        </w:rPr>
        <w:t>Cfr.</w:t>
      </w:r>
      <w:r w:rsidRPr="00FA1791">
        <w:rPr>
          <w:rFonts w:ascii="Verdana" w:hAnsi="Verdana"/>
          <w:sz w:val="16"/>
          <w:szCs w:val="16"/>
          <w:lang w:val="es-MX"/>
        </w:rPr>
        <w:t xml:space="preserve"> Decisión emitida por la Corte Suprema de Justicia </w:t>
      </w:r>
      <w:r w:rsidR="003E4EEA">
        <w:rPr>
          <w:rFonts w:ascii="Verdana" w:hAnsi="Verdana"/>
          <w:sz w:val="16"/>
          <w:szCs w:val="16"/>
          <w:lang w:val="es-MX"/>
        </w:rPr>
        <w:t xml:space="preserve">de Chile </w:t>
      </w:r>
      <w:r w:rsidRPr="00FA1791">
        <w:rPr>
          <w:rFonts w:ascii="Verdana" w:hAnsi="Verdana"/>
          <w:sz w:val="16"/>
          <w:szCs w:val="16"/>
          <w:lang w:val="es-MX"/>
        </w:rPr>
        <w:t xml:space="preserve">de 16 de mayo de 2019 en el expediente administrativo </w:t>
      </w:r>
      <w:r w:rsidRPr="00FA1791">
        <w:rPr>
          <w:rFonts w:ascii="Verdana" w:hAnsi="Verdana" w:cs="TimesNewRoman"/>
          <w:sz w:val="16"/>
          <w:szCs w:val="16"/>
        </w:rPr>
        <w:t xml:space="preserve">AD 1386-2014 (anexo al informe estatal de 12 de agosto de 2019). </w:t>
      </w:r>
      <w:r w:rsidR="00A22480">
        <w:rPr>
          <w:rFonts w:ascii="Verdana" w:hAnsi="Verdana" w:cs="TimesNewRoman"/>
          <w:i/>
          <w:sz w:val="16"/>
          <w:szCs w:val="16"/>
        </w:rPr>
        <w:t>[énfasis original</w:t>
      </w:r>
      <w:r w:rsidR="000F0C66" w:rsidRPr="000F0C66">
        <w:rPr>
          <w:rFonts w:ascii="Verdana" w:hAnsi="Verdana" w:cs="TimesNewRoman"/>
          <w:i/>
          <w:sz w:val="16"/>
          <w:szCs w:val="16"/>
        </w:rPr>
        <w:t>]</w:t>
      </w:r>
    </w:p>
  </w:footnote>
  <w:footnote w:id="31">
    <w:p w14:paraId="5D958C8F" w14:textId="66CB7B16"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i/>
          <w:sz w:val="16"/>
          <w:szCs w:val="16"/>
          <w:lang w:val="es-MX"/>
        </w:rPr>
        <w:t>Cfr.</w:t>
      </w:r>
      <w:r w:rsidRPr="00FA1791">
        <w:rPr>
          <w:rFonts w:ascii="Verdana" w:hAnsi="Verdana"/>
          <w:sz w:val="16"/>
          <w:szCs w:val="16"/>
          <w:lang w:val="es-MX"/>
        </w:rPr>
        <w:t xml:space="preserve"> Decisión emitida por la Corte Suprema de Justicia </w:t>
      </w:r>
      <w:r w:rsidR="003E4EEA">
        <w:rPr>
          <w:rFonts w:ascii="Verdana" w:hAnsi="Verdana"/>
          <w:sz w:val="16"/>
          <w:szCs w:val="16"/>
          <w:lang w:val="es-MX"/>
        </w:rPr>
        <w:t xml:space="preserve">de Chile </w:t>
      </w:r>
      <w:r w:rsidRPr="00FA1791">
        <w:rPr>
          <w:rFonts w:ascii="Verdana" w:hAnsi="Verdana"/>
          <w:sz w:val="16"/>
          <w:szCs w:val="16"/>
          <w:lang w:val="es-MX"/>
        </w:rPr>
        <w:t xml:space="preserve">de 16 de mayo de 2019 en el expediente administrativo </w:t>
      </w:r>
      <w:r w:rsidRPr="00FA1791">
        <w:rPr>
          <w:rFonts w:ascii="Verdana" w:hAnsi="Verdana" w:cs="TimesNewRoman"/>
          <w:sz w:val="16"/>
          <w:szCs w:val="16"/>
        </w:rPr>
        <w:t>AD 1386-2014, Considerandos 13, 14 y 15 (anexo al informe estatal de 12 de agosto de 2019).</w:t>
      </w:r>
    </w:p>
  </w:footnote>
  <w:footnote w:id="32">
    <w:p w14:paraId="4D3E2104" w14:textId="77777777"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t xml:space="preserve">CEJIL y el representante Sergio Fuenzalida celebraron la realización de la audiencia pública y que la misma contara con la participación de los representantes de las víctimas, así como el posterior dictado de la sentencia por parte de la Corte Suprema nacional, la cual consideraron que “en el caso concreto es posible que […] logre el efecto útil de la reparación con respecto a asegurar la falta de efectos de las condenas”. </w:t>
      </w:r>
      <w:r w:rsidRPr="00FA1791">
        <w:rPr>
          <w:rFonts w:ascii="Verdana" w:hAnsi="Verdana"/>
          <w:sz w:val="16"/>
          <w:szCs w:val="16"/>
          <w:lang w:val="es-MX"/>
        </w:rPr>
        <w:t xml:space="preserve">Precisaron que la referida audiencia pública “contó con [su] participación [y la] de algunas de las víctimas del caso […], oportunidad en la cual </w:t>
      </w:r>
      <w:proofErr w:type="spellStart"/>
      <w:r w:rsidRPr="00FA1791">
        <w:rPr>
          <w:rFonts w:ascii="Verdana" w:hAnsi="Verdana"/>
          <w:sz w:val="16"/>
          <w:szCs w:val="16"/>
          <w:lang w:val="es-MX"/>
        </w:rPr>
        <w:t>pudi</w:t>
      </w:r>
      <w:proofErr w:type="spellEnd"/>
      <w:r w:rsidRPr="00FA1791">
        <w:rPr>
          <w:rFonts w:ascii="Verdana" w:hAnsi="Verdana" w:cstheme="minorHAnsi"/>
          <w:sz w:val="16"/>
          <w:szCs w:val="16"/>
          <w:lang w:val="es-MX"/>
        </w:rPr>
        <w:t>[</w:t>
      </w:r>
      <w:proofErr w:type="spellStart"/>
      <w:r w:rsidRPr="00FA1791">
        <w:rPr>
          <w:rFonts w:ascii="Verdana" w:hAnsi="Verdana"/>
          <w:sz w:val="16"/>
          <w:szCs w:val="16"/>
          <w:lang w:val="es-MX"/>
        </w:rPr>
        <w:t>eron</w:t>
      </w:r>
      <w:proofErr w:type="spellEnd"/>
      <w:r w:rsidRPr="00FA1791">
        <w:rPr>
          <w:rFonts w:ascii="Verdana" w:hAnsi="Verdana" w:cstheme="minorHAnsi"/>
          <w:sz w:val="16"/>
          <w:szCs w:val="16"/>
          <w:lang w:val="es-MX"/>
        </w:rPr>
        <w:t>]</w:t>
      </w:r>
      <w:r w:rsidRPr="00FA1791">
        <w:rPr>
          <w:rFonts w:ascii="Verdana" w:hAnsi="Verdana"/>
          <w:sz w:val="16"/>
          <w:szCs w:val="16"/>
          <w:lang w:val="es-MX"/>
        </w:rPr>
        <w:t xml:space="preserve"> exponer </w:t>
      </w:r>
      <w:r w:rsidRPr="00FA1791">
        <w:rPr>
          <w:rFonts w:ascii="Verdana" w:hAnsi="Verdana" w:cstheme="minorHAnsi"/>
          <w:sz w:val="16"/>
          <w:szCs w:val="16"/>
          <w:lang w:val="es-MX"/>
        </w:rPr>
        <w:t>[</w:t>
      </w:r>
      <w:r w:rsidRPr="00FA1791">
        <w:rPr>
          <w:rFonts w:ascii="Verdana" w:hAnsi="Verdana"/>
          <w:sz w:val="16"/>
          <w:szCs w:val="16"/>
          <w:lang w:val="es-MX"/>
        </w:rPr>
        <w:t>sus</w:t>
      </w:r>
      <w:r w:rsidRPr="00FA1791">
        <w:rPr>
          <w:rFonts w:ascii="Verdana" w:hAnsi="Verdana" w:cstheme="minorHAnsi"/>
          <w:sz w:val="16"/>
          <w:szCs w:val="16"/>
          <w:lang w:val="es-MX"/>
        </w:rPr>
        <w:t>]</w:t>
      </w:r>
      <w:r w:rsidRPr="00FA1791">
        <w:rPr>
          <w:rFonts w:ascii="Verdana" w:hAnsi="Verdana"/>
          <w:sz w:val="16"/>
          <w:szCs w:val="16"/>
          <w:lang w:val="es-MX"/>
        </w:rPr>
        <w:t xml:space="preserve"> observaciones sobre el modo de cumplimiento de esta reparación”. </w:t>
      </w:r>
    </w:p>
  </w:footnote>
  <w:footnote w:id="33">
    <w:p w14:paraId="638572D6" w14:textId="77777777"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t xml:space="preserve">El representante Sergio Fuenzalida sostuvo que existen excepciones a la imposibilidad legal de revisar “procesos y sentencias que sean violatorias de derechos humanos </w:t>
      </w:r>
      <w:r w:rsidRPr="00FA1791">
        <w:rPr>
          <w:rFonts w:ascii="Verdana" w:hAnsi="Verdana" w:cstheme="minorHAnsi"/>
          <w:sz w:val="16"/>
          <w:szCs w:val="16"/>
        </w:rPr>
        <w:t>[</w:t>
      </w:r>
      <w:r w:rsidRPr="00FA1791">
        <w:rPr>
          <w:rFonts w:ascii="Verdana" w:hAnsi="Verdana"/>
          <w:sz w:val="16"/>
          <w:szCs w:val="16"/>
        </w:rPr>
        <w:t>...tales como</w:t>
      </w:r>
      <w:r w:rsidRPr="00FA1791">
        <w:rPr>
          <w:rFonts w:ascii="Verdana" w:hAnsi="Verdana" w:cstheme="minorHAnsi"/>
          <w:sz w:val="16"/>
          <w:szCs w:val="16"/>
        </w:rPr>
        <w:t>]</w:t>
      </w:r>
      <w:r w:rsidRPr="00FA1791">
        <w:rPr>
          <w:rFonts w:ascii="Verdana" w:hAnsi="Verdana"/>
          <w:sz w:val="16"/>
          <w:szCs w:val="16"/>
        </w:rPr>
        <w:t xml:space="preserve"> la cosa juzgada fraudulenta, […de lo] que trataba el [presente] caso”. </w:t>
      </w:r>
    </w:p>
  </w:footnote>
  <w:footnote w:id="34">
    <w:p w14:paraId="11937A86" w14:textId="77777777"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i/>
          <w:sz w:val="16"/>
          <w:szCs w:val="16"/>
        </w:rPr>
        <w:t>Cfr. Caso Gelman Vs. Uruguay. Supervisión de Cumplimiento de Sentencia</w:t>
      </w:r>
      <w:r w:rsidRPr="00FA1791">
        <w:rPr>
          <w:rFonts w:ascii="Verdana" w:hAnsi="Verdana"/>
          <w:sz w:val="16"/>
          <w:szCs w:val="16"/>
        </w:rPr>
        <w:t>. Resolución de la Corte Interamericana de Derechos Humanos de 20 de marzo de 2013, Considerandos 65 a 68</w:t>
      </w:r>
      <w:r w:rsidRPr="00FA1791">
        <w:rPr>
          <w:rFonts w:ascii="Verdana" w:hAnsi="Verdana"/>
          <w:i/>
          <w:sz w:val="16"/>
          <w:szCs w:val="16"/>
        </w:rPr>
        <w:t xml:space="preserve">; Caso Radilla Pacheco Vs. México. Supervisión de Cumplimiento de Sentencia. </w:t>
      </w:r>
      <w:r w:rsidRPr="00FA1791">
        <w:rPr>
          <w:rFonts w:ascii="Verdana" w:hAnsi="Verdana"/>
          <w:sz w:val="16"/>
          <w:szCs w:val="16"/>
        </w:rPr>
        <w:t xml:space="preserve">Resolución de 14 de mayo de 2013, Considerando 6; </w:t>
      </w:r>
      <w:r w:rsidRPr="00FA1791">
        <w:rPr>
          <w:rFonts w:ascii="Verdana" w:hAnsi="Verdana"/>
          <w:i/>
          <w:sz w:val="16"/>
          <w:szCs w:val="16"/>
        </w:rPr>
        <w:t>Caso Artavia Murillo y otros ("Fecundación In Vitro") Vs. Costa Rica. Supervisión de Cumplimiento de Sentencia.</w:t>
      </w:r>
      <w:r w:rsidRPr="00FA1791">
        <w:rPr>
          <w:rFonts w:ascii="Verdana" w:hAnsi="Verdana"/>
          <w:sz w:val="16"/>
          <w:szCs w:val="16"/>
        </w:rPr>
        <w:t xml:space="preserve"> Resolución de la Corte Interamericana de Derechos Humanos de 26 de febrero de 2016, Considerando 12; </w:t>
      </w:r>
      <w:r w:rsidRPr="00FA1791">
        <w:rPr>
          <w:rFonts w:ascii="Verdana" w:hAnsi="Verdana"/>
          <w:i/>
          <w:sz w:val="16"/>
          <w:szCs w:val="16"/>
        </w:rPr>
        <w:t>Caso 19 Comerciantes Vs. Colombia. Supervisión de Cumplimiento de Sentencia.</w:t>
      </w:r>
      <w:r w:rsidRPr="00FA1791">
        <w:rPr>
          <w:rFonts w:ascii="Verdana" w:hAnsi="Verdana"/>
          <w:sz w:val="16"/>
          <w:szCs w:val="16"/>
        </w:rPr>
        <w:t xml:space="preserve"> Resolución de la Corte Interamericana de Derechos Humanos de 23 de junio de 2016, Considerando 10; </w:t>
      </w:r>
      <w:r w:rsidRPr="00FA1791">
        <w:rPr>
          <w:rFonts w:ascii="Verdana" w:hAnsi="Verdana"/>
          <w:i/>
          <w:sz w:val="16"/>
          <w:szCs w:val="16"/>
        </w:rPr>
        <w:t>Caso Maldonado Vargas y otros Vs. Chile. Supervisión de Cumplimiento de Sentencia.</w:t>
      </w:r>
      <w:r w:rsidRPr="00FA1791">
        <w:rPr>
          <w:rFonts w:ascii="Verdana" w:hAnsi="Verdana"/>
          <w:sz w:val="16"/>
          <w:szCs w:val="16"/>
        </w:rPr>
        <w:t xml:space="preserve"> Resolución de la Corte Interamericana de Derechos Humanos de 30 de agosto de 2017, Considerando 43, y </w:t>
      </w:r>
      <w:r w:rsidRPr="00FA1791">
        <w:rPr>
          <w:rFonts w:ascii="Verdana" w:hAnsi="Verdana"/>
          <w:i/>
          <w:sz w:val="16"/>
          <w:szCs w:val="16"/>
        </w:rPr>
        <w:t xml:space="preserve">Bueno Alves Vs. Argentina. Supervisión de Cumplimiento de Sentencia. </w:t>
      </w:r>
      <w:r w:rsidRPr="00FA1791">
        <w:rPr>
          <w:rFonts w:ascii="Verdana" w:hAnsi="Verdana"/>
          <w:sz w:val="16"/>
          <w:szCs w:val="16"/>
        </w:rPr>
        <w:t xml:space="preserve">Resolución de la Corte Interamericana de Derechos Humanos de 30 de mayo de 2018, Considerando 15. </w:t>
      </w:r>
    </w:p>
  </w:footnote>
  <w:footnote w:id="35">
    <w:p w14:paraId="61D0270B" w14:textId="77777777" w:rsidR="008975B0" w:rsidRPr="00FA1791" w:rsidRDefault="008975B0" w:rsidP="00950477">
      <w:pPr>
        <w:pStyle w:val="Textonotapie"/>
        <w:jc w:val="both"/>
        <w:rPr>
          <w:rFonts w:ascii="Verdana" w:hAnsi="Verdana"/>
          <w:sz w:val="16"/>
          <w:szCs w:val="16"/>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i/>
          <w:sz w:val="16"/>
          <w:szCs w:val="16"/>
        </w:rPr>
        <w:t xml:space="preserve">Cfr. Caso </w:t>
      </w:r>
      <w:proofErr w:type="spellStart"/>
      <w:r w:rsidRPr="00FA1791">
        <w:rPr>
          <w:rFonts w:ascii="Verdana" w:hAnsi="Verdana"/>
          <w:i/>
          <w:sz w:val="16"/>
          <w:szCs w:val="16"/>
        </w:rPr>
        <w:t>Fontevecchia</w:t>
      </w:r>
      <w:proofErr w:type="spellEnd"/>
      <w:r w:rsidRPr="00FA1791">
        <w:rPr>
          <w:rFonts w:ascii="Verdana" w:hAnsi="Verdana"/>
          <w:i/>
          <w:sz w:val="16"/>
          <w:szCs w:val="16"/>
        </w:rPr>
        <w:t xml:space="preserve"> y </w:t>
      </w:r>
      <w:proofErr w:type="spellStart"/>
      <w:r w:rsidRPr="00FA1791">
        <w:rPr>
          <w:rFonts w:ascii="Verdana" w:hAnsi="Verdana"/>
          <w:i/>
          <w:sz w:val="16"/>
          <w:szCs w:val="16"/>
        </w:rPr>
        <w:t>D’Amico</w:t>
      </w:r>
      <w:proofErr w:type="spellEnd"/>
      <w:r w:rsidRPr="00FA1791">
        <w:rPr>
          <w:rFonts w:ascii="Verdana" w:hAnsi="Verdana"/>
          <w:i/>
          <w:sz w:val="16"/>
          <w:szCs w:val="16"/>
        </w:rPr>
        <w:t xml:space="preserve"> Vs. Argentina. Supervisión de cumplimiento de Sentencia</w:t>
      </w:r>
      <w:r w:rsidRPr="00FA1791">
        <w:rPr>
          <w:rFonts w:ascii="Verdana" w:hAnsi="Verdana"/>
          <w:sz w:val="16"/>
          <w:szCs w:val="16"/>
        </w:rPr>
        <w:t>. Resolución de la Corte Interamericana de Derechos Humanos de 18 de octubre de 2017, Considerando 16.</w:t>
      </w:r>
    </w:p>
  </w:footnote>
  <w:footnote w:id="36">
    <w:p w14:paraId="0976ABF6" w14:textId="0505483A" w:rsidR="008975B0" w:rsidRPr="00FA1791" w:rsidRDefault="008975B0" w:rsidP="00950477">
      <w:pPr>
        <w:pStyle w:val="Textonotapie"/>
        <w:jc w:val="both"/>
        <w:rPr>
          <w:rFonts w:ascii="Verdana" w:hAnsi="Verdana"/>
          <w:sz w:val="16"/>
          <w:szCs w:val="16"/>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i/>
          <w:sz w:val="16"/>
          <w:szCs w:val="16"/>
        </w:rPr>
        <w:t xml:space="preserve">Cfr. Caso </w:t>
      </w:r>
      <w:proofErr w:type="spellStart"/>
      <w:r w:rsidRPr="00FA1791">
        <w:rPr>
          <w:rFonts w:ascii="Verdana" w:hAnsi="Verdana"/>
          <w:i/>
          <w:sz w:val="16"/>
          <w:szCs w:val="16"/>
        </w:rPr>
        <w:t>Fontevecchia</w:t>
      </w:r>
      <w:proofErr w:type="spellEnd"/>
      <w:r w:rsidRPr="00FA1791">
        <w:rPr>
          <w:rFonts w:ascii="Verdana" w:hAnsi="Verdana"/>
          <w:i/>
          <w:sz w:val="16"/>
          <w:szCs w:val="16"/>
        </w:rPr>
        <w:t xml:space="preserve"> y </w:t>
      </w:r>
      <w:proofErr w:type="spellStart"/>
      <w:r w:rsidRPr="00FA1791">
        <w:rPr>
          <w:rFonts w:ascii="Verdana" w:hAnsi="Verdana"/>
          <w:i/>
          <w:sz w:val="16"/>
          <w:szCs w:val="16"/>
        </w:rPr>
        <w:t>D’Amico</w:t>
      </w:r>
      <w:proofErr w:type="spellEnd"/>
      <w:r w:rsidRPr="00FA1791">
        <w:rPr>
          <w:rFonts w:ascii="Verdana" w:hAnsi="Verdana"/>
          <w:i/>
          <w:sz w:val="16"/>
          <w:szCs w:val="16"/>
        </w:rPr>
        <w:t xml:space="preserve"> Vs. Argentina, supra </w:t>
      </w:r>
      <w:r w:rsidRPr="00FA1791">
        <w:rPr>
          <w:rFonts w:ascii="Verdana" w:hAnsi="Verdana"/>
          <w:sz w:val="16"/>
          <w:szCs w:val="16"/>
        </w:rPr>
        <w:t>nota 3</w:t>
      </w:r>
      <w:r w:rsidR="00561DDF">
        <w:rPr>
          <w:rFonts w:ascii="Verdana" w:hAnsi="Verdana"/>
          <w:sz w:val="16"/>
          <w:szCs w:val="16"/>
        </w:rPr>
        <w:t>4</w:t>
      </w:r>
      <w:r w:rsidRPr="00FA1791">
        <w:rPr>
          <w:rFonts w:ascii="Verdana" w:hAnsi="Verdana"/>
          <w:sz w:val="16"/>
          <w:szCs w:val="16"/>
        </w:rPr>
        <w:t>, Considerando 20.</w:t>
      </w:r>
      <w:r w:rsidRPr="00FA1791">
        <w:rPr>
          <w:rFonts w:ascii="Verdana" w:hAnsi="Verdana"/>
          <w:i/>
          <w:sz w:val="16"/>
          <w:szCs w:val="16"/>
        </w:rPr>
        <w:t xml:space="preserve"> </w:t>
      </w:r>
    </w:p>
  </w:footnote>
  <w:footnote w:id="37">
    <w:p w14:paraId="28AFC37A" w14:textId="77777777"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i/>
          <w:sz w:val="16"/>
          <w:szCs w:val="16"/>
          <w:lang w:val="es-MX"/>
        </w:rPr>
        <w:t xml:space="preserve">Cfr. Caso Omar Humberto Maldonado Vargas y otros Vs. Chile. Supervisión de cumplimiento de Sentencia. </w:t>
      </w:r>
      <w:r w:rsidRPr="00FA1791">
        <w:rPr>
          <w:rFonts w:ascii="Verdana" w:hAnsi="Verdana"/>
          <w:sz w:val="16"/>
          <w:szCs w:val="16"/>
          <w:lang w:val="es-MX"/>
        </w:rPr>
        <w:t>Resolución de la Corte Interamericana de Derechos Humanos de 30 de agosto de 2017, Considerando 43.</w:t>
      </w:r>
    </w:p>
  </w:footnote>
  <w:footnote w:id="38">
    <w:p w14:paraId="79EAE141" w14:textId="77777777"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i/>
          <w:sz w:val="16"/>
          <w:szCs w:val="16"/>
          <w:lang w:val="es-MX"/>
        </w:rPr>
        <w:t>Cfr.</w:t>
      </w:r>
      <w:r w:rsidRPr="00FA1791">
        <w:rPr>
          <w:rFonts w:ascii="Verdana" w:hAnsi="Verdana"/>
          <w:sz w:val="16"/>
          <w:szCs w:val="16"/>
          <w:lang w:val="es-MX"/>
        </w:rPr>
        <w:t xml:space="preserve"> Departamento de Información y Coordinación y Departamento de Operaciones Policiales, Carabineros de Chile, Certificados emitidos el 13 de agosto de 2018 por la Dirección Nacional de Orden y Seguridad (anexo 4 al informe estatal de 2 de agosto de 2019). </w:t>
      </w:r>
    </w:p>
  </w:footnote>
  <w:footnote w:id="39">
    <w:p w14:paraId="42D074D2" w14:textId="77777777" w:rsidR="008975B0" w:rsidRPr="00FA1791" w:rsidRDefault="008975B0" w:rsidP="00950477">
      <w:pPr>
        <w:pStyle w:val="Textonotapie"/>
        <w:jc w:val="both"/>
        <w:rPr>
          <w:rFonts w:ascii="Verdana" w:hAnsi="Verdana"/>
          <w:sz w:val="16"/>
          <w:szCs w:val="16"/>
          <w:lang w:val="es-MX"/>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r>
      <w:r w:rsidRPr="00FA1791">
        <w:rPr>
          <w:rFonts w:ascii="Verdana" w:hAnsi="Verdana"/>
          <w:i/>
          <w:sz w:val="16"/>
          <w:szCs w:val="16"/>
        </w:rPr>
        <w:t>Cfr.</w:t>
      </w:r>
      <w:r w:rsidRPr="00FA1791">
        <w:rPr>
          <w:rFonts w:ascii="Verdana" w:hAnsi="Verdana"/>
          <w:sz w:val="16"/>
          <w:szCs w:val="16"/>
        </w:rPr>
        <w:t xml:space="preserve"> </w:t>
      </w:r>
      <w:r w:rsidRPr="00FA1791">
        <w:rPr>
          <w:rFonts w:ascii="Verdana" w:hAnsi="Verdana"/>
          <w:sz w:val="16"/>
          <w:szCs w:val="16"/>
          <w:lang w:val="es-MX"/>
        </w:rPr>
        <w:t xml:space="preserve">Oficio Reservado de 13 de agosto de 2018, Departamento de Asesoría Técnica, Policía de Investigaciones de Chile (anexo 5 al informe estatal de 2 de agosto de 2019). </w:t>
      </w:r>
    </w:p>
  </w:footnote>
  <w:footnote w:id="40">
    <w:p w14:paraId="521E8005" w14:textId="77777777" w:rsidR="008975B0" w:rsidRPr="00FA1791" w:rsidRDefault="008975B0" w:rsidP="00950477">
      <w:pPr>
        <w:pStyle w:val="Textonotapie"/>
        <w:jc w:val="both"/>
        <w:rPr>
          <w:rFonts w:ascii="Verdana" w:hAnsi="Verdana"/>
          <w:sz w:val="16"/>
          <w:szCs w:val="16"/>
        </w:rPr>
      </w:pPr>
      <w:r w:rsidRPr="00FA1791">
        <w:rPr>
          <w:rStyle w:val="Refdenotaalpie"/>
          <w:rFonts w:ascii="Verdana" w:hAnsi="Verdana"/>
          <w:sz w:val="16"/>
          <w:szCs w:val="16"/>
        </w:rPr>
        <w:footnoteRef/>
      </w:r>
      <w:r w:rsidRPr="00FA1791">
        <w:rPr>
          <w:rFonts w:ascii="Verdana" w:hAnsi="Verdana"/>
          <w:sz w:val="16"/>
          <w:szCs w:val="16"/>
        </w:rPr>
        <w:t xml:space="preserve"> </w:t>
      </w:r>
      <w:r w:rsidRPr="00FA1791">
        <w:rPr>
          <w:rFonts w:ascii="Verdana" w:hAnsi="Verdana"/>
          <w:sz w:val="16"/>
          <w:szCs w:val="16"/>
        </w:rPr>
        <w:tab/>
        <w:t xml:space="preserve">El Estado señaló que, en dicha audiencia, el representante de la Defensoría Penal Pública presentó “certificados de algunas de las víctimas en que constan que ya no se encuentran vigentes en sus registros ninguna de las causas penales”. </w:t>
      </w:r>
      <w:r w:rsidRPr="00FA1791">
        <w:rPr>
          <w:rFonts w:ascii="Verdana" w:hAnsi="Verdana"/>
          <w:i/>
          <w:sz w:val="16"/>
          <w:szCs w:val="16"/>
        </w:rPr>
        <w:t>Cfr.</w:t>
      </w:r>
      <w:r>
        <w:rPr>
          <w:rFonts w:ascii="Verdana" w:hAnsi="Verdana"/>
          <w:sz w:val="16"/>
          <w:szCs w:val="16"/>
        </w:rPr>
        <w:t xml:space="preserve"> Informe estatal de 2 de agosto de 2019. </w:t>
      </w:r>
    </w:p>
  </w:footnote>
  <w:footnote w:id="41">
    <w:p w14:paraId="65E9102D" w14:textId="7662406A"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La víctima Pascual </w:t>
      </w:r>
      <w:proofErr w:type="spellStart"/>
      <w:r w:rsidRPr="00E052E1">
        <w:rPr>
          <w:rFonts w:ascii="Verdana" w:hAnsi="Verdana"/>
          <w:sz w:val="16"/>
          <w:szCs w:val="16"/>
        </w:rPr>
        <w:t>Huentequeo</w:t>
      </w:r>
      <w:proofErr w:type="spellEnd"/>
      <w:r w:rsidRPr="00E052E1">
        <w:rPr>
          <w:rFonts w:ascii="Verdana" w:hAnsi="Verdana"/>
          <w:sz w:val="16"/>
          <w:szCs w:val="16"/>
        </w:rPr>
        <w:t xml:space="preserve"> Pichún </w:t>
      </w:r>
      <w:proofErr w:type="spellStart"/>
      <w:r w:rsidRPr="00E052E1">
        <w:rPr>
          <w:rFonts w:ascii="Verdana" w:hAnsi="Verdana"/>
          <w:sz w:val="16"/>
          <w:szCs w:val="16"/>
        </w:rPr>
        <w:t>Paillalao</w:t>
      </w:r>
      <w:proofErr w:type="spellEnd"/>
      <w:r w:rsidRPr="00E052E1">
        <w:rPr>
          <w:rFonts w:ascii="Verdana" w:hAnsi="Verdana"/>
          <w:sz w:val="16"/>
          <w:szCs w:val="16"/>
        </w:rPr>
        <w:t xml:space="preserve"> falleció el 20 de </w:t>
      </w:r>
      <w:r w:rsidR="00CB12BF">
        <w:rPr>
          <w:rFonts w:ascii="Verdana" w:hAnsi="Verdana"/>
          <w:sz w:val="16"/>
          <w:szCs w:val="16"/>
        </w:rPr>
        <w:t>marzo</w:t>
      </w:r>
      <w:r w:rsidR="00CB12BF" w:rsidRPr="00E052E1">
        <w:rPr>
          <w:rFonts w:ascii="Verdana" w:hAnsi="Verdana"/>
          <w:sz w:val="16"/>
          <w:szCs w:val="16"/>
        </w:rPr>
        <w:t xml:space="preserve"> </w:t>
      </w:r>
      <w:r w:rsidRPr="00E052E1">
        <w:rPr>
          <w:rFonts w:ascii="Verdana" w:hAnsi="Verdana"/>
          <w:sz w:val="16"/>
          <w:szCs w:val="16"/>
        </w:rPr>
        <w:t xml:space="preserve">de 2013, antes de la emisión de la Sentencia, por lo cual no se ordenó esta medida de reparación a su favor. </w:t>
      </w:r>
      <w:r w:rsidRPr="00E052E1">
        <w:rPr>
          <w:rFonts w:ascii="Verdana" w:hAnsi="Verdana"/>
          <w:i/>
          <w:sz w:val="16"/>
          <w:szCs w:val="16"/>
        </w:rPr>
        <w:t xml:space="preserve">Cfr. Caso </w:t>
      </w:r>
      <w:proofErr w:type="spellStart"/>
      <w:r w:rsidRPr="00E052E1">
        <w:rPr>
          <w:rFonts w:ascii="Verdana" w:hAnsi="Verdana"/>
          <w:i/>
          <w:sz w:val="16"/>
          <w:szCs w:val="16"/>
        </w:rPr>
        <w:t>Norín</w:t>
      </w:r>
      <w:proofErr w:type="spellEnd"/>
      <w:r w:rsidRPr="00E052E1">
        <w:rPr>
          <w:rFonts w:ascii="Verdana" w:hAnsi="Verdana"/>
          <w:i/>
          <w:sz w:val="16"/>
          <w:szCs w:val="16"/>
        </w:rPr>
        <w:t xml:space="preserve"> </w:t>
      </w:r>
      <w:proofErr w:type="spellStart"/>
      <w:r w:rsidRPr="00E052E1">
        <w:rPr>
          <w:rFonts w:ascii="Verdana" w:hAnsi="Verdana"/>
          <w:i/>
          <w:sz w:val="16"/>
          <w:szCs w:val="16"/>
        </w:rPr>
        <w:t>Catrimán</w:t>
      </w:r>
      <w:proofErr w:type="spellEnd"/>
      <w:r w:rsidRPr="00E052E1">
        <w:rPr>
          <w:rFonts w:ascii="Verdana" w:hAnsi="Verdana"/>
          <w:i/>
          <w:sz w:val="16"/>
          <w:szCs w:val="16"/>
        </w:rPr>
        <w:t xml:space="preserve"> y otros </w:t>
      </w:r>
      <w:r w:rsidRPr="00E052E1">
        <w:rPr>
          <w:rFonts w:ascii="Verdana" w:hAnsi="Verdana"/>
          <w:i/>
          <w:sz w:val="16"/>
          <w:szCs w:val="16"/>
          <w:lang w:val="es-MX"/>
        </w:rPr>
        <w:t>(Dirigentes, miembros y activista del Pueblo Indígena Mapuche) Vs. Chile</w:t>
      </w:r>
      <w:r w:rsidRPr="00E052E1">
        <w:rPr>
          <w:rFonts w:ascii="Verdana" w:hAnsi="Verdana"/>
          <w:i/>
          <w:sz w:val="16"/>
          <w:szCs w:val="16"/>
        </w:rPr>
        <w:t xml:space="preserve">, supra </w:t>
      </w:r>
      <w:r w:rsidRPr="00E052E1">
        <w:rPr>
          <w:rFonts w:ascii="Verdana" w:hAnsi="Verdana"/>
          <w:sz w:val="16"/>
          <w:szCs w:val="16"/>
        </w:rPr>
        <w:t>nota 1, párr. 12.</w:t>
      </w:r>
    </w:p>
  </w:footnote>
  <w:footnote w:id="42">
    <w:p w14:paraId="0E5B14B1" w14:textId="0F23A1BF" w:rsidR="00453ED8" w:rsidRPr="00426D34" w:rsidRDefault="00453ED8" w:rsidP="00950477">
      <w:pPr>
        <w:pStyle w:val="Textonotapie"/>
        <w:jc w:val="both"/>
        <w:rPr>
          <w:rFonts w:ascii="Verdana" w:hAnsi="Verdana"/>
          <w:sz w:val="16"/>
          <w:szCs w:val="16"/>
          <w:lang w:val="es-MX"/>
        </w:rPr>
      </w:pPr>
      <w:r w:rsidRPr="00C6314F">
        <w:rPr>
          <w:rStyle w:val="Refdenotaalpie"/>
          <w:rFonts w:ascii="Verdana" w:hAnsi="Verdana"/>
          <w:sz w:val="16"/>
          <w:szCs w:val="16"/>
        </w:rPr>
        <w:footnoteRef/>
      </w:r>
      <w:r w:rsidRPr="00C6314F">
        <w:rPr>
          <w:rFonts w:ascii="Verdana" w:hAnsi="Verdana"/>
          <w:sz w:val="16"/>
          <w:szCs w:val="16"/>
        </w:rPr>
        <w:t xml:space="preserve"> </w:t>
      </w:r>
      <w:r w:rsidRPr="00C6314F">
        <w:rPr>
          <w:rFonts w:ascii="Verdana" w:hAnsi="Verdana"/>
          <w:sz w:val="16"/>
          <w:szCs w:val="16"/>
        </w:rPr>
        <w:tab/>
      </w:r>
      <w:r w:rsidRPr="00C6314F">
        <w:rPr>
          <w:rFonts w:ascii="Verdana" w:hAnsi="Verdana"/>
          <w:i/>
          <w:sz w:val="16"/>
          <w:szCs w:val="16"/>
          <w:lang w:val="es-MX"/>
        </w:rPr>
        <w:t xml:space="preserve">Cfr. Caso </w:t>
      </w:r>
      <w:proofErr w:type="spellStart"/>
      <w:r w:rsidRPr="00C6314F">
        <w:rPr>
          <w:rFonts w:ascii="Verdana" w:hAnsi="Verdana"/>
          <w:i/>
          <w:sz w:val="16"/>
          <w:szCs w:val="16"/>
          <w:lang w:val="es-MX"/>
        </w:rPr>
        <w:t>Norín</w:t>
      </w:r>
      <w:proofErr w:type="spellEnd"/>
      <w:r w:rsidRPr="00C6314F">
        <w:rPr>
          <w:rFonts w:ascii="Verdana" w:hAnsi="Verdana"/>
          <w:i/>
          <w:sz w:val="16"/>
          <w:szCs w:val="16"/>
          <w:lang w:val="es-MX"/>
        </w:rPr>
        <w:t xml:space="preserve"> </w:t>
      </w:r>
      <w:proofErr w:type="spellStart"/>
      <w:r w:rsidRPr="00C6314F">
        <w:rPr>
          <w:rFonts w:ascii="Verdana" w:hAnsi="Verdana"/>
          <w:i/>
          <w:sz w:val="16"/>
          <w:szCs w:val="16"/>
          <w:lang w:val="es-MX"/>
        </w:rPr>
        <w:t>Catrimán</w:t>
      </w:r>
      <w:proofErr w:type="spellEnd"/>
      <w:r w:rsidRPr="00C6314F">
        <w:rPr>
          <w:rFonts w:ascii="Verdana" w:hAnsi="Verdana"/>
          <w:i/>
          <w:sz w:val="16"/>
          <w:szCs w:val="16"/>
          <w:lang w:val="es-MX"/>
        </w:rPr>
        <w:t xml:space="preserve"> y otros (Dirigentes, miembros y activista del Pueblo Indígena Mapuche) Vs. Chile. Supervisión de </w:t>
      </w:r>
      <w:r w:rsidR="00561DDF">
        <w:rPr>
          <w:rFonts w:ascii="Verdana" w:hAnsi="Verdana"/>
          <w:i/>
          <w:sz w:val="16"/>
          <w:szCs w:val="16"/>
          <w:lang w:val="es-MX"/>
        </w:rPr>
        <w:t>C</w:t>
      </w:r>
      <w:r w:rsidRPr="00C6314F">
        <w:rPr>
          <w:rFonts w:ascii="Verdana" w:hAnsi="Verdana"/>
          <w:i/>
          <w:sz w:val="16"/>
          <w:szCs w:val="16"/>
          <w:lang w:val="es-MX"/>
        </w:rPr>
        <w:t xml:space="preserve">umplimiento de </w:t>
      </w:r>
      <w:r w:rsidR="00561DDF">
        <w:rPr>
          <w:rFonts w:ascii="Verdana" w:hAnsi="Verdana"/>
          <w:i/>
          <w:sz w:val="16"/>
          <w:szCs w:val="16"/>
          <w:lang w:val="es-MX"/>
        </w:rPr>
        <w:t>S</w:t>
      </w:r>
      <w:r w:rsidRPr="00C6314F">
        <w:rPr>
          <w:rFonts w:ascii="Verdana" w:hAnsi="Verdana"/>
          <w:i/>
          <w:sz w:val="16"/>
          <w:szCs w:val="16"/>
          <w:lang w:val="es-MX"/>
        </w:rPr>
        <w:t>entencia</w:t>
      </w:r>
      <w:r w:rsidRPr="00426D34">
        <w:rPr>
          <w:rFonts w:ascii="Verdana" w:hAnsi="Verdana"/>
          <w:sz w:val="16"/>
          <w:szCs w:val="16"/>
          <w:lang w:val="es-MX"/>
        </w:rPr>
        <w:t xml:space="preserve">, </w:t>
      </w:r>
      <w:r w:rsidRPr="00426D34">
        <w:rPr>
          <w:rFonts w:ascii="Verdana" w:hAnsi="Verdana"/>
          <w:i/>
          <w:sz w:val="16"/>
          <w:szCs w:val="16"/>
          <w:lang w:val="es-MX"/>
        </w:rPr>
        <w:t xml:space="preserve">supra </w:t>
      </w:r>
      <w:r w:rsidRPr="00426D34">
        <w:rPr>
          <w:rFonts w:ascii="Verdana" w:hAnsi="Verdana"/>
          <w:sz w:val="16"/>
          <w:szCs w:val="16"/>
          <w:lang w:val="es-MX"/>
        </w:rPr>
        <w:t xml:space="preserve">nota </w:t>
      </w:r>
      <w:r w:rsidR="00165BCC">
        <w:rPr>
          <w:rFonts w:ascii="Verdana" w:hAnsi="Verdana"/>
          <w:sz w:val="16"/>
          <w:szCs w:val="16"/>
          <w:lang w:val="es-MX"/>
        </w:rPr>
        <w:t>13</w:t>
      </w:r>
      <w:r w:rsidRPr="00426D34">
        <w:rPr>
          <w:rFonts w:ascii="Verdana" w:hAnsi="Verdana"/>
          <w:sz w:val="16"/>
          <w:szCs w:val="16"/>
          <w:lang w:val="es-MX"/>
        </w:rPr>
        <w:t>, Considerandos 25, 26 y 27.</w:t>
      </w:r>
    </w:p>
  </w:footnote>
  <w:footnote w:id="43">
    <w:p w14:paraId="074B005A" w14:textId="69A22C26" w:rsidR="00453ED8" w:rsidRPr="00A059F5" w:rsidRDefault="00453ED8" w:rsidP="00950477">
      <w:pPr>
        <w:pStyle w:val="Textonotapie"/>
        <w:jc w:val="both"/>
        <w:rPr>
          <w:lang w:val="es-MX"/>
        </w:rPr>
      </w:pPr>
      <w:r w:rsidRPr="00561DDF">
        <w:rPr>
          <w:rStyle w:val="Refdenotaalpie"/>
          <w:rFonts w:ascii="Verdana" w:hAnsi="Verdana"/>
          <w:sz w:val="16"/>
          <w:szCs w:val="16"/>
        </w:rPr>
        <w:footnoteRef/>
      </w:r>
      <w:r w:rsidRPr="00561DDF">
        <w:rPr>
          <w:rFonts w:ascii="Verdana" w:hAnsi="Verdana"/>
          <w:sz w:val="16"/>
          <w:szCs w:val="16"/>
        </w:rPr>
        <w:t xml:space="preserve"> </w:t>
      </w:r>
      <w:r w:rsidR="009D4DFB" w:rsidRPr="00561DDF">
        <w:rPr>
          <w:rFonts w:ascii="Verdana" w:hAnsi="Verdana"/>
          <w:sz w:val="16"/>
          <w:szCs w:val="16"/>
        </w:rPr>
        <w:tab/>
      </w:r>
      <w:r w:rsidRPr="00C6314F">
        <w:rPr>
          <w:rFonts w:ascii="Verdana" w:hAnsi="Verdana"/>
          <w:i/>
          <w:sz w:val="16"/>
          <w:szCs w:val="16"/>
          <w:lang w:val="es-MX"/>
        </w:rPr>
        <w:t xml:space="preserve">Cfr. Caso </w:t>
      </w:r>
      <w:proofErr w:type="spellStart"/>
      <w:r w:rsidRPr="00C6314F">
        <w:rPr>
          <w:rFonts w:ascii="Verdana" w:hAnsi="Verdana"/>
          <w:i/>
          <w:sz w:val="16"/>
          <w:szCs w:val="16"/>
          <w:lang w:val="es-MX"/>
        </w:rPr>
        <w:t>Norín</w:t>
      </w:r>
      <w:proofErr w:type="spellEnd"/>
      <w:r w:rsidRPr="00C6314F">
        <w:rPr>
          <w:rFonts w:ascii="Verdana" w:hAnsi="Verdana"/>
          <w:i/>
          <w:sz w:val="16"/>
          <w:szCs w:val="16"/>
          <w:lang w:val="es-MX"/>
        </w:rPr>
        <w:t xml:space="preserve"> </w:t>
      </w:r>
      <w:proofErr w:type="spellStart"/>
      <w:r w:rsidRPr="00C6314F">
        <w:rPr>
          <w:rFonts w:ascii="Verdana" w:hAnsi="Verdana"/>
          <w:i/>
          <w:sz w:val="16"/>
          <w:szCs w:val="16"/>
          <w:lang w:val="es-MX"/>
        </w:rPr>
        <w:t>Catrimán</w:t>
      </w:r>
      <w:proofErr w:type="spellEnd"/>
      <w:r w:rsidRPr="00C6314F">
        <w:rPr>
          <w:rFonts w:ascii="Verdana" w:hAnsi="Verdana"/>
          <w:i/>
          <w:sz w:val="16"/>
          <w:szCs w:val="16"/>
          <w:lang w:val="es-MX"/>
        </w:rPr>
        <w:t xml:space="preserve"> y otros (Dirigentes, miembros y activista del Pueblo Indígena Mapuche) Vs. Chile. Supervisión de </w:t>
      </w:r>
      <w:r w:rsidR="00561DDF">
        <w:rPr>
          <w:rFonts w:ascii="Verdana" w:hAnsi="Verdana"/>
          <w:i/>
          <w:sz w:val="16"/>
          <w:szCs w:val="16"/>
          <w:lang w:val="es-MX"/>
        </w:rPr>
        <w:t>C</w:t>
      </w:r>
      <w:r w:rsidRPr="00C6314F">
        <w:rPr>
          <w:rFonts w:ascii="Verdana" w:hAnsi="Verdana"/>
          <w:i/>
          <w:sz w:val="16"/>
          <w:szCs w:val="16"/>
          <w:lang w:val="es-MX"/>
        </w:rPr>
        <w:t xml:space="preserve">umplimiento de </w:t>
      </w:r>
      <w:r w:rsidR="00561DDF">
        <w:rPr>
          <w:rFonts w:ascii="Verdana" w:hAnsi="Verdana"/>
          <w:i/>
          <w:sz w:val="16"/>
          <w:szCs w:val="16"/>
          <w:lang w:val="es-MX"/>
        </w:rPr>
        <w:t>S</w:t>
      </w:r>
      <w:r w:rsidRPr="00C6314F">
        <w:rPr>
          <w:rFonts w:ascii="Verdana" w:hAnsi="Verdana"/>
          <w:i/>
          <w:sz w:val="16"/>
          <w:szCs w:val="16"/>
          <w:lang w:val="es-MX"/>
        </w:rPr>
        <w:t>entencia</w:t>
      </w:r>
      <w:r w:rsidRPr="00C6314F">
        <w:rPr>
          <w:rFonts w:ascii="Verdana" w:hAnsi="Verdana"/>
          <w:sz w:val="16"/>
          <w:szCs w:val="16"/>
          <w:lang w:val="es-MX"/>
        </w:rPr>
        <w:t xml:space="preserve">, </w:t>
      </w:r>
      <w:r w:rsidRPr="00C6314F">
        <w:rPr>
          <w:rFonts w:ascii="Verdana" w:hAnsi="Verdana"/>
          <w:i/>
          <w:sz w:val="16"/>
          <w:szCs w:val="16"/>
          <w:lang w:val="es-MX"/>
        </w:rPr>
        <w:t xml:space="preserve">supra </w:t>
      </w:r>
      <w:r w:rsidRPr="00C6314F">
        <w:rPr>
          <w:rFonts w:ascii="Verdana" w:hAnsi="Verdana"/>
          <w:sz w:val="16"/>
          <w:szCs w:val="16"/>
          <w:lang w:val="es-MX"/>
        </w:rPr>
        <w:t xml:space="preserve">nota </w:t>
      </w:r>
      <w:r w:rsidR="00165BCC">
        <w:rPr>
          <w:rFonts w:ascii="Verdana" w:hAnsi="Verdana"/>
          <w:sz w:val="16"/>
          <w:szCs w:val="16"/>
          <w:lang w:val="es-MX"/>
        </w:rPr>
        <w:t>13</w:t>
      </w:r>
      <w:r w:rsidRPr="00C6314F">
        <w:rPr>
          <w:rFonts w:ascii="Verdana" w:hAnsi="Verdana"/>
          <w:sz w:val="16"/>
          <w:szCs w:val="16"/>
          <w:lang w:val="es-MX"/>
        </w:rPr>
        <w:t>, Considerando 1</w:t>
      </w:r>
      <w:r w:rsidR="00C6314F">
        <w:rPr>
          <w:rFonts w:ascii="Verdana" w:hAnsi="Verdana"/>
          <w:sz w:val="16"/>
          <w:szCs w:val="16"/>
          <w:lang w:val="es-MX"/>
        </w:rPr>
        <w:t>8</w:t>
      </w:r>
      <w:r w:rsidRPr="00C6314F">
        <w:rPr>
          <w:rFonts w:ascii="Verdana" w:hAnsi="Verdana"/>
          <w:sz w:val="16"/>
          <w:szCs w:val="16"/>
          <w:lang w:val="es-MX"/>
        </w:rPr>
        <w:t>.</w:t>
      </w:r>
      <w:r w:rsidRPr="00561DDF">
        <w:rPr>
          <w:rFonts w:ascii="Verdana" w:hAnsi="Verdana"/>
          <w:sz w:val="18"/>
          <w:szCs w:val="16"/>
          <w:lang w:val="es-MX"/>
        </w:rPr>
        <w:t xml:space="preserve"> </w:t>
      </w:r>
    </w:p>
  </w:footnote>
  <w:footnote w:id="44">
    <w:p w14:paraId="546152B7" w14:textId="5CE556BD"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Dicho Plan tiene por objetivo “garantizar, de forma gratuita y oportuna, el acceso a la atención de salud integral que dispone la red de salud, tanto a las víctimas como a sus familiares e integrantes de las comunidades, como medida de reparación del daño ocasionado, proporcionando recursos que garanticen la atención médica, odontológica, psicológica o psiquiátrica”.</w:t>
      </w:r>
      <w:r w:rsidRPr="00E052E1">
        <w:rPr>
          <w:rFonts w:ascii="Verdana" w:hAnsi="Verdana"/>
          <w:sz w:val="16"/>
          <w:szCs w:val="16"/>
          <w:lang w:val="es-MX"/>
        </w:rPr>
        <w:t xml:space="preserve"> </w:t>
      </w:r>
      <w:r w:rsidRPr="00E052E1">
        <w:rPr>
          <w:rFonts w:ascii="Verdana" w:hAnsi="Verdana"/>
          <w:i/>
          <w:sz w:val="16"/>
          <w:szCs w:val="16"/>
          <w:lang w:val="es-MX"/>
        </w:rPr>
        <w:t>Cfr</w:t>
      </w:r>
      <w:r w:rsidRPr="00E052E1">
        <w:rPr>
          <w:rFonts w:ascii="Verdana" w:hAnsi="Verdana"/>
          <w:sz w:val="16"/>
          <w:szCs w:val="16"/>
          <w:lang w:val="es-MX"/>
        </w:rPr>
        <w:t xml:space="preserve">. Informe estatal de 2 de agosto de 2019. </w:t>
      </w:r>
    </w:p>
  </w:footnote>
  <w:footnote w:id="45">
    <w:p w14:paraId="4D6DF145" w14:textId="34615B82"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El Estado indicó que en 2015 el presupuesto asignado para ejecutar el referido Plan ha sido de 84.015.028 pesos chilenos y que dicho monto ha sido aumentado hasta alcanzar los 300.137.783 de pesos chilenos en el año 2018. </w:t>
      </w:r>
      <w:r w:rsidRPr="00E052E1">
        <w:rPr>
          <w:rFonts w:ascii="Verdana" w:hAnsi="Verdana"/>
          <w:i/>
          <w:sz w:val="16"/>
          <w:szCs w:val="16"/>
          <w:lang w:val="es-MX"/>
        </w:rPr>
        <w:t>Cfr</w:t>
      </w:r>
      <w:r w:rsidRPr="00E052E1">
        <w:rPr>
          <w:rFonts w:ascii="Verdana" w:hAnsi="Verdana"/>
          <w:sz w:val="16"/>
          <w:szCs w:val="16"/>
          <w:lang w:val="es-MX"/>
        </w:rPr>
        <w:t xml:space="preserve">. Informe estatal de 2 de agosto de 2019. </w:t>
      </w:r>
    </w:p>
  </w:footnote>
  <w:footnote w:id="46">
    <w:p w14:paraId="667D1620" w14:textId="715FE2EB"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w:t>
      </w:r>
      <w:r w:rsidRPr="00E052E1">
        <w:rPr>
          <w:rFonts w:ascii="Verdana" w:hAnsi="Verdana" w:cstheme="minorHAnsi"/>
          <w:sz w:val="16"/>
          <w:szCs w:val="16"/>
        </w:rPr>
        <w:t>[</w:t>
      </w:r>
      <w:r w:rsidRPr="00E052E1">
        <w:rPr>
          <w:rFonts w:ascii="Verdana" w:hAnsi="Verdana"/>
          <w:sz w:val="16"/>
          <w:szCs w:val="16"/>
        </w:rPr>
        <w:t>L</w:t>
      </w:r>
      <w:r w:rsidRPr="00E052E1">
        <w:rPr>
          <w:rFonts w:ascii="Verdana" w:hAnsi="Verdana" w:cstheme="minorHAnsi"/>
          <w:sz w:val="16"/>
          <w:szCs w:val="16"/>
        </w:rPr>
        <w:t>]</w:t>
      </w:r>
      <w:r w:rsidRPr="00E052E1">
        <w:rPr>
          <w:rFonts w:ascii="Verdana" w:hAnsi="Verdana"/>
          <w:sz w:val="16"/>
          <w:szCs w:val="16"/>
        </w:rPr>
        <w:t xml:space="preserve">o cual </w:t>
      </w:r>
      <w:r w:rsidRPr="00E052E1">
        <w:rPr>
          <w:rFonts w:ascii="Verdana" w:hAnsi="Verdana" w:cstheme="minorHAnsi"/>
          <w:sz w:val="16"/>
          <w:szCs w:val="16"/>
        </w:rPr>
        <w:t>[</w:t>
      </w:r>
      <w:r w:rsidRPr="00E052E1">
        <w:rPr>
          <w:rFonts w:ascii="Verdana" w:hAnsi="Verdana"/>
          <w:sz w:val="16"/>
          <w:szCs w:val="16"/>
        </w:rPr>
        <w:t>les</w:t>
      </w:r>
      <w:r w:rsidRPr="00E052E1">
        <w:rPr>
          <w:rFonts w:ascii="Verdana" w:hAnsi="Verdana" w:cstheme="minorHAnsi"/>
          <w:sz w:val="16"/>
          <w:szCs w:val="16"/>
        </w:rPr>
        <w:t>]</w:t>
      </w:r>
      <w:r w:rsidRPr="00E052E1">
        <w:rPr>
          <w:rFonts w:ascii="Verdana" w:hAnsi="Verdana"/>
          <w:sz w:val="16"/>
          <w:szCs w:val="16"/>
        </w:rPr>
        <w:t xml:space="preserve"> permite </w:t>
      </w:r>
      <w:r w:rsidRPr="00E052E1">
        <w:rPr>
          <w:rFonts w:ascii="Verdana" w:hAnsi="Verdana" w:cstheme="minorHAnsi"/>
          <w:sz w:val="16"/>
          <w:szCs w:val="16"/>
        </w:rPr>
        <w:t>[</w:t>
      </w:r>
      <w:r w:rsidRPr="00E052E1">
        <w:rPr>
          <w:rFonts w:ascii="Verdana" w:hAnsi="Verdana"/>
          <w:sz w:val="16"/>
          <w:szCs w:val="16"/>
        </w:rPr>
        <w:t>…</w:t>
      </w:r>
      <w:r w:rsidRPr="00E052E1">
        <w:rPr>
          <w:rFonts w:ascii="Verdana" w:hAnsi="Verdana" w:cstheme="minorHAnsi"/>
          <w:sz w:val="16"/>
          <w:szCs w:val="16"/>
        </w:rPr>
        <w:t>] goz</w:t>
      </w:r>
      <w:r w:rsidRPr="00E052E1">
        <w:rPr>
          <w:rFonts w:ascii="Verdana" w:hAnsi="Verdana"/>
          <w:sz w:val="16"/>
          <w:szCs w:val="16"/>
        </w:rPr>
        <w:t xml:space="preserve">ar de gratuidad en todos los establecimientos de la red pública de salud de todo el país”. </w:t>
      </w:r>
      <w:r w:rsidR="00891FE6" w:rsidRPr="00E052E1">
        <w:rPr>
          <w:rFonts w:ascii="Verdana" w:hAnsi="Verdana"/>
          <w:i/>
          <w:sz w:val="16"/>
          <w:szCs w:val="16"/>
          <w:lang w:val="es-MX"/>
        </w:rPr>
        <w:t>Cfr</w:t>
      </w:r>
      <w:r w:rsidR="00891FE6" w:rsidRPr="00E052E1">
        <w:rPr>
          <w:rFonts w:ascii="Verdana" w:hAnsi="Verdana"/>
          <w:sz w:val="16"/>
          <w:szCs w:val="16"/>
          <w:lang w:val="es-MX"/>
        </w:rPr>
        <w:t>. Informe estatal de 2 de agosto de 2019.</w:t>
      </w:r>
      <w:r w:rsidR="00891FE6" w:rsidRPr="00E052E1">
        <w:rPr>
          <w:rFonts w:ascii="Verdana" w:hAnsi="Verdana"/>
          <w:b/>
          <w:sz w:val="16"/>
          <w:szCs w:val="16"/>
          <w:lang w:val="es-MX"/>
        </w:rPr>
        <w:t xml:space="preserve"> </w:t>
      </w:r>
    </w:p>
  </w:footnote>
  <w:footnote w:id="47">
    <w:p w14:paraId="6DEA50A0" w14:textId="4870E23D" w:rsidR="00453ED8" w:rsidRPr="00E052E1" w:rsidRDefault="00453ED8" w:rsidP="00950477">
      <w:pPr>
        <w:pStyle w:val="Textonotapie"/>
        <w:jc w:val="both"/>
        <w:rPr>
          <w:rFonts w:ascii="Verdana" w:hAnsi="Verdana"/>
          <w:b/>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“Para ello se utilizaron plataformas como el CIRA (Consejo Integrador de la Red Asistencial) del Servicio de Salud Araucanía Norte, las Direcciones de los establecimientos de salud involucrados </w:t>
      </w:r>
      <w:r w:rsidR="00985348">
        <w:rPr>
          <w:rFonts w:ascii="Verdana" w:hAnsi="Verdana"/>
          <w:sz w:val="16"/>
          <w:szCs w:val="16"/>
        </w:rPr>
        <w:t>(</w:t>
      </w:r>
      <w:r w:rsidRPr="00E052E1">
        <w:rPr>
          <w:rFonts w:ascii="Verdana" w:hAnsi="Verdana"/>
          <w:sz w:val="16"/>
          <w:szCs w:val="16"/>
        </w:rPr>
        <w:t xml:space="preserve">Hospital Traiguén, CESFAM Ercilla, Hospital de Collipulli, Hospital de Victoria, Hospital Angol) y la Red de Facilitadores interculturales de la provincia de Malleco del Programa mapuche del Servicio de Salud Araucanía Norte”. </w:t>
      </w:r>
      <w:r w:rsidR="00BF4DDD" w:rsidRPr="00E052E1">
        <w:rPr>
          <w:rFonts w:ascii="Verdana" w:hAnsi="Verdana"/>
          <w:i/>
          <w:sz w:val="16"/>
          <w:szCs w:val="16"/>
          <w:lang w:val="es-MX"/>
        </w:rPr>
        <w:t>Cfr</w:t>
      </w:r>
      <w:r w:rsidR="00BF4DDD" w:rsidRPr="00E052E1">
        <w:rPr>
          <w:rFonts w:ascii="Verdana" w:hAnsi="Verdana"/>
          <w:sz w:val="16"/>
          <w:szCs w:val="16"/>
          <w:lang w:val="es-MX"/>
        </w:rPr>
        <w:t>. Informe estatal de 2 de agosto de 2019.</w:t>
      </w:r>
      <w:r w:rsidR="00BF4DDD" w:rsidRPr="00E052E1">
        <w:rPr>
          <w:rFonts w:ascii="Verdana" w:hAnsi="Verdana" w:cstheme="minorHAnsi"/>
          <w:b/>
          <w:sz w:val="16"/>
          <w:szCs w:val="16"/>
        </w:rPr>
        <w:t xml:space="preserve"> </w:t>
      </w:r>
    </w:p>
  </w:footnote>
  <w:footnote w:id="48">
    <w:p w14:paraId="2FB32C45" w14:textId="65CE8409"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sz w:val="16"/>
          <w:szCs w:val="16"/>
          <w:lang w:val="es-MX"/>
        </w:rPr>
        <w:t xml:space="preserve">Precisó que se garantiza el reembolso del combustible que utilizan </w:t>
      </w:r>
      <w:r w:rsidR="002C30CD">
        <w:rPr>
          <w:rFonts w:ascii="Verdana" w:hAnsi="Verdana"/>
          <w:sz w:val="16"/>
          <w:szCs w:val="16"/>
          <w:lang w:val="es-MX"/>
        </w:rPr>
        <w:t>algunas víctimas</w:t>
      </w:r>
      <w:r w:rsidR="003B59CC">
        <w:rPr>
          <w:rFonts w:ascii="Verdana" w:hAnsi="Verdana"/>
          <w:sz w:val="16"/>
          <w:szCs w:val="16"/>
          <w:lang w:val="es-MX"/>
        </w:rPr>
        <w:t xml:space="preserve"> y</w:t>
      </w:r>
      <w:r w:rsidRPr="00E052E1">
        <w:rPr>
          <w:rFonts w:ascii="Verdana" w:hAnsi="Verdana"/>
          <w:sz w:val="16"/>
          <w:szCs w:val="16"/>
          <w:lang w:val="es-MX"/>
        </w:rPr>
        <w:t xml:space="preserve"> se ponen a disposición vehículos institucionales </w:t>
      </w:r>
      <w:r w:rsidR="003B59CC">
        <w:rPr>
          <w:rFonts w:ascii="Verdana" w:hAnsi="Verdana"/>
          <w:sz w:val="16"/>
          <w:szCs w:val="16"/>
          <w:lang w:val="es-MX"/>
        </w:rPr>
        <w:t xml:space="preserve">para facilitar su traslado hacia los centros de salud, y que asimismo </w:t>
      </w:r>
      <w:r w:rsidRPr="00E052E1">
        <w:rPr>
          <w:rFonts w:ascii="Verdana" w:hAnsi="Verdana"/>
          <w:sz w:val="16"/>
          <w:szCs w:val="16"/>
          <w:lang w:val="es-MX"/>
        </w:rPr>
        <w:t>se ha hecho entrega de un vehículo a la</w:t>
      </w:r>
      <w:r w:rsidR="002C30CD">
        <w:rPr>
          <w:rFonts w:ascii="Verdana" w:hAnsi="Verdana"/>
          <w:sz w:val="16"/>
          <w:szCs w:val="16"/>
          <w:lang w:val="es-MX"/>
        </w:rPr>
        <w:t>s</w:t>
      </w:r>
      <w:r w:rsidRPr="00E052E1">
        <w:rPr>
          <w:rFonts w:ascii="Verdana" w:hAnsi="Verdana"/>
          <w:sz w:val="16"/>
          <w:szCs w:val="16"/>
          <w:lang w:val="es-MX"/>
        </w:rPr>
        <w:t xml:space="preserve"> comunidad</w:t>
      </w:r>
      <w:r w:rsidR="002C30CD">
        <w:rPr>
          <w:rFonts w:ascii="Verdana" w:hAnsi="Verdana"/>
          <w:sz w:val="16"/>
          <w:szCs w:val="16"/>
          <w:lang w:val="es-MX"/>
        </w:rPr>
        <w:t>es</w:t>
      </w:r>
      <w:r w:rsidRPr="00E052E1">
        <w:rPr>
          <w:rFonts w:ascii="Verdana" w:hAnsi="Verdana"/>
          <w:sz w:val="16"/>
          <w:szCs w:val="16"/>
          <w:lang w:val="es-MX"/>
        </w:rPr>
        <w:t xml:space="preserve"> de</w:t>
      </w:r>
      <w:r w:rsidR="002C30CD">
        <w:rPr>
          <w:rFonts w:ascii="Verdana" w:hAnsi="Verdana"/>
          <w:sz w:val="16"/>
          <w:szCs w:val="16"/>
          <w:lang w:val="es-MX"/>
        </w:rPr>
        <w:t xml:space="preserve"> </w:t>
      </w:r>
      <w:r w:rsidRPr="00E052E1">
        <w:rPr>
          <w:rFonts w:ascii="Verdana" w:hAnsi="Verdana"/>
          <w:sz w:val="16"/>
          <w:szCs w:val="16"/>
          <w:lang w:val="es-MX"/>
        </w:rPr>
        <w:t>l</w:t>
      </w:r>
      <w:r w:rsidR="002C30CD">
        <w:rPr>
          <w:rFonts w:ascii="Verdana" w:hAnsi="Verdana"/>
          <w:sz w:val="16"/>
          <w:szCs w:val="16"/>
          <w:lang w:val="es-MX"/>
        </w:rPr>
        <w:t>os</w:t>
      </w:r>
      <w:r w:rsidRPr="00E052E1">
        <w:rPr>
          <w:rFonts w:ascii="Verdana" w:hAnsi="Verdana"/>
          <w:sz w:val="16"/>
          <w:szCs w:val="16"/>
          <w:lang w:val="es-MX"/>
        </w:rPr>
        <w:t xml:space="preserve"> </w:t>
      </w:r>
      <w:proofErr w:type="spellStart"/>
      <w:r w:rsidRPr="00E052E1">
        <w:rPr>
          <w:rFonts w:ascii="Verdana" w:hAnsi="Verdana"/>
          <w:sz w:val="16"/>
          <w:szCs w:val="16"/>
          <w:lang w:val="es-MX"/>
        </w:rPr>
        <w:t>Lonko</w:t>
      </w:r>
      <w:r w:rsidR="002C30CD">
        <w:rPr>
          <w:rFonts w:ascii="Verdana" w:hAnsi="Verdana"/>
          <w:sz w:val="16"/>
          <w:szCs w:val="16"/>
          <w:lang w:val="es-MX"/>
        </w:rPr>
        <w:t>s</w:t>
      </w:r>
      <w:proofErr w:type="spellEnd"/>
      <w:r w:rsidRPr="00E052E1">
        <w:rPr>
          <w:rFonts w:ascii="Verdana" w:hAnsi="Verdana"/>
          <w:sz w:val="16"/>
          <w:szCs w:val="16"/>
          <w:lang w:val="es-MX"/>
        </w:rPr>
        <w:t xml:space="preserve"> </w:t>
      </w:r>
      <w:proofErr w:type="spellStart"/>
      <w:r w:rsidRPr="00E052E1">
        <w:rPr>
          <w:rFonts w:ascii="Verdana" w:hAnsi="Verdana"/>
          <w:sz w:val="16"/>
          <w:szCs w:val="16"/>
          <w:lang w:val="es-MX"/>
        </w:rPr>
        <w:t>Norín</w:t>
      </w:r>
      <w:proofErr w:type="spellEnd"/>
      <w:r w:rsidRPr="00E052E1">
        <w:rPr>
          <w:rFonts w:ascii="Verdana" w:hAnsi="Verdana"/>
          <w:sz w:val="16"/>
          <w:szCs w:val="16"/>
          <w:lang w:val="es-MX"/>
        </w:rPr>
        <w:t xml:space="preserve"> </w:t>
      </w:r>
      <w:proofErr w:type="spellStart"/>
      <w:r w:rsidRPr="00E052E1">
        <w:rPr>
          <w:rFonts w:ascii="Verdana" w:hAnsi="Verdana"/>
          <w:sz w:val="16"/>
          <w:szCs w:val="16"/>
          <w:lang w:val="es-MX"/>
        </w:rPr>
        <w:t>Catrimán</w:t>
      </w:r>
      <w:proofErr w:type="spellEnd"/>
      <w:r w:rsidR="002C30CD">
        <w:rPr>
          <w:rFonts w:ascii="Verdana" w:hAnsi="Verdana"/>
          <w:sz w:val="16"/>
          <w:szCs w:val="16"/>
          <w:lang w:val="es-MX"/>
        </w:rPr>
        <w:t xml:space="preserve"> y </w:t>
      </w:r>
      <w:r w:rsidR="002C30CD" w:rsidRPr="002C30CD">
        <w:rPr>
          <w:rFonts w:ascii="Verdana" w:hAnsi="Verdana"/>
          <w:sz w:val="16"/>
          <w:szCs w:val="16"/>
          <w:lang w:val="es-MX"/>
        </w:rPr>
        <w:t xml:space="preserve">Pascual </w:t>
      </w:r>
      <w:proofErr w:type="spellStart"/>
      <w:r w:rsidR="002C30CD" w:rsidRPr="002C30CD">
        <w:rPr>
          <w:rFonts w:ascii="Verdana" w:hAnsi="Verdana"/>
          <w:sz w:val="16"/>
          <w:szCs w:val="16"/>
          <w:lang w:val="es-MX"/>
        </w:rPr>
        <w:t>Pichun</w:t>
      </w:r>
      <w:proofErr w:type="spellEnd"/>
      <w:r w:rsidR="002C30CD" w:rsidRPr="002C30CD">
        <w:rPr>
          <w:rFonts w:ascii="Verdana" w:hAnsi="Verdana"/>
          <w:sz w:val="16"/>
          <w:szCs w:val="16"/>
          <w:lang w:val="es-MX"/>
        </w:rPr>
        <w:t xml:space="preserve"> </w:t>
      </w:r>
      <w:proofErr w:type="spellStart"/>
      <w:r w:rsidR="002C30CD" w:rsidRPr="002C30CD">
        <w:rPr>
          <w:rFonts w:ascii="Verdana" w:hAnsi="Verdana"/>
          <w:sz w:val="16"/>
          <w:szCs w:val="16"/>
          <w:lang w:val="es-MX"/>
        </w:rPr>
        <w:t>Paillalao</w:t>
      </w:r>
      <w:proofErr w:type="spellEnd"/>
      <w:r w:rsidR="002C30CD" w:rsidRPr="002C30CD">
        <w:rPr>
          <w:rFonts w:ascii="Verdana" w:hAnsi="Verdana"/>
          <w:sz w:val="16"/>
          <w:szCs w:val="16"/>
          <w:lang w:val="es-MX"/>
        </w:rPr>
        <w:t xml:space="preserve">, representado por su hijo Juan </w:t>
      </w:r>
      <w:proofErr w:type="spellStart"/>
      <w:r w:rsidR="002C30CD" w:rsidRPr="002C30CD">
        <w:rPr>
          <w:rFonts w:ascii="Verdana" w:hAnsi="Verdana"/>
          <w:sz w:val="16"/>
          <w:szCs w:val="16"/>
          <w:lang w:val="es-MX"/>
        </w:rPr>
        <w:t>Pichun</w:t>
      </w:r>
      <w:proofErr w:type="spellEnd"/>
      <w:r w:rsidR="002C30CD" w:rsidRPr="002C30CD">
        <w:rPr>
          <w:rFonts w:ascii="Verdana" w:hAnsi="Verdana"/>
          <w:sz w:val="16"/>
          <w:szCs w:val="16"/>
          <w:lang w:val="es-MX"/>
        </w:rPr>
        <w:t xml:space="preserve"> </w:t>
      </w:r>
      <w:proofErr w:type="spellStart"/>
      <w:r w:rsidR="002C30CD" w:rsidRPr="002C30CD">
        <w:rPr>
          <w:rFonts w:ascii="Verdana" w:hAnsi="Verdana"/>
          <w:sz w:val="16"/>
          <w:szCs w:val="16"/>
          <w:lang w:val="es-MX"/>
        </w:rPr>
        <w:t>Collonao</w:t>
      </w:r>
      <w:proofErr w:type="spellEnd"/>
      <w:r w:rsidR="002C30CD">
        <w:rPr>
          <w:rFonts w:ascii="Verdana" w:hAnsi="Verdana"/>
          <w:sz w:val="16"/>
          <w:szCs w:val="16"/>
          <w:lang w:val="es-MX"/>
        </w:rPr>
        <w:t>,</w:t>
      </w:r>
      <w:r w:rsidRPr="00E052E1">
        <w:rPr>
          <w:rFonts w:ascii="Verdana" w:hAnsi="Verdana"/>
          <w:sz w:val="16"/>
          <w:szCs w:val="16"/>
          <w:lang w:val="es-MX"/>
        </w:rPr>
        <w:t xml:space="preserve"> para facilitar el traslado de sus integrantes al acudir al equipo de salud que atiende en el territorio. De esta forma, el Estado sostuvo que brinda “de forma permanente” y “en terreno una atención gratuita, inmediata y oportuna”. </w:t>
      </w:r>
      <w:r w:rsidR="00BF4DDD" w:rsidRPr="00E052E1">
        <w:rPr>
          <w:rFonts w:ascii="Verdana" w:hAnsi="Verdana"/>
          <w:i/>
          <w:sz w:val="16"/>
          <w:szCs w:val="16"/>
          <w:lang w:val="es-MX"/>
        </w:rPr>
        <w:t>Cfr</w:t>
      </w:r>
      <w:r w:rsidR="00BF4DDD" w:rsidRPr="00E052E1">
        <w:rPr>
          <w:rFonts w:ascii="Verdana" w:hAnsi="Verdana"/>
          <w:sz w:val="16"/>
          <w:szCs w:val="16"/>
          <w:lang w:val="es-MX"/>
        </w:rPr>
        <w:t>. Informe estatal de 2 de agosto de 2019.</w:t>
      </w:r>
      <w:r w:rsidR="00417178" w:rsidRPr="00937AEB">
        <w:rPr>
          <w:rFonts w:ascii="Verdana" w:hAnsi="Verdana"/>
          <w:color w:val="00B050"/>
          <w:sz w:val="16"/>
          <w:szCs w:val="16"/>
          <w:lang w:val="es-MX"/>
        </w:rPr>
        <w:t xml:space="preserve"> </w:t>
      </w:r>
    </w:p>
  </w:footnote>
  <w:footnote w:id="49">
    <w:p w14:paraId="27A5E57E" w14:textId="0E2D293F"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Explicó que la participación de la Facilitadora Intercultural ha beneficiado “a los adultos mayores; dado que el establecer una comunicación en su lengua, el Mapudungun, </w:t>
      </w:r>
      <w:r w:rsidR="00361044">
        <w:rPr>
          <w:rFonts w:ascii="Verdana" w:hAnsi="Verdana"/>
          <w:sz w:val="16"/>
          <w:szCs w:val="16"/>
        </w:rPr>
        <w:t>implica en muchos casos</w:t>
      </w:r>
      <w:r w:rsidRPr="00E052E1">
        <w:rPr>
          <w:rFonts w:ascii="Verdana" w:hAnsi="Verdana"/>
          <w:sz w:val="16"/>
          <w:szCs w:val="16"/>
        </w:rPr>
        <w:t xml:space="preserve"> una mayor adhesión a los tratamientos y una mayor comprensión de su enfermedad y de los cuidados que se precisan”.</w:t>
      </w:r>
      <w:r w:rsidR="00BF4DDD">
        <w:rPr>
          <w:rFonts w:ascii="Verdana" w:hAnsi="Verdana"/>
          <w:sz w:val="16"/>
          <w:szCs w:val="16"/>
        </w:rPr>
        <w:t xml:space="preserve"> </w:t>
      </w:r>
      <w:r w:rsidR="00BF4DDD" w:rsidRPr="00E052E1">
        <w:rPr>
          <w:rFonts w:ascii="Verdana" w:hAnsi="Verdana"/>
          <w:i/>
          <w:sz w:val="16"/>
          <w:szCs w:val="16"/>
          <w:lang w:val="es-MX"/>
        </w:rPr>
        <w:t>Cfr</w:t>
      </w:r>
      <w:r w:rsidR="00BF4DDD" w:rsidRPr="00E052E1">
        <w:rPr>
          <w:rFonts w:ascii="Verdana" w:hAnsi="Verdana"/>
          <w:sz w:val="16"/>
          <w:szCs w:val="16"/>
          <w:lang w:val="es-MX"/>
        </w:rPr>
        <w:t>. Informe estatal de 2 de agosto de 2019.</w:t>
      </w:r>
      <w:r w:rsidRPr="00E052E1">
        <w:rPr>
          <w:rFonts w:ascii="Verdana" w:hAnsi="Verdana"/>
          <w:sz w:val="16"/>
          <w:szCs w:val="16"/>
        </w:rPr>
        <w:t xml:space="preserve"> </w:t>
      </w:r>
    </w:p>
  </w:footnote>
  <w:footnote w:id="50">
    <w:p w14:paraId="440C098D" w14:textId="1A2F73F2" w:rsidR="00453ED8" w:rsidRPr="00E052E1" w:rsidRDefault="00453ED8" w:rsidP="00950477">
      <w:pPr>
        <w:autoSpaceDE w:val="0"/>
        <w:autoSpaceDN w:val="0"/>
        <w:adjustRightInd w:val="0"/>
        <w:spacing w:after="0" w:line="240" w:lineRule="auto"/>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sz w:val="16"/>
          <w:szCs w:val="16"/>
          <w:lang w:val="es-MX"/>
        </w:rPr>
        <w:t xml:space="preserve">El Estado detalló que ha debido desarrollar estrategias alternativas “para financiar los servicios” </w:t>
      </w:r>
      <w:r w:rsidRPr="00E052E1">
        <w:rPr>
          <w:rFonts w:ascii="Verdana" w:hAnsi="Verdana" w:cstheme="minorHAnsi"/>
          <w:sz w:val="16"/>
          <w:szCs w:val="16"/>
          <w:lang w:val="es-MX"/>
        </w:rPr>
        <w:t>[</w:t>
      </w:r>
      <w:r w:rsidRPr="00E052E1">
        <w:rPr>
          <w:rFonts w:ascii="Verdana" w:hAnsi="Verdana"/>
          <w:sz w:val="16"/>
          <w:szCs w:val="16"/>
          <w:lang w:val="es-MX"/>
        </w:rPr>
        <w:t>de medicina mapuche</w:t>
      </w:r>
      <w:r w:rsidRPr="00E052E1">
        <w:rPr>
          <w:rFonts w:ascii="Verdana" w:hAnsi="Verdana" w:cstheme="minorHAnsi"/>
          <w:sz w:val="16"/>
          <w:szCs w:val="16"/>
          <w:lang w:val="es-MX"/>
        </w:rPr>
        <w:t>]</w:t>
      </w:r>
      <w:r w:rsidRPr="00E052E1">
        <w:rPr>
          <w:rFonts w:ascii="Verdana" w:hAnsi="Verdana"/>
          <w:sz w:val="16"/>
          <w:szCs w:val="16"/>
          <w:lang w:val="es-MX"/>
        </w:rPr>
        <w:t>, en ausencia de respaldos formales o tributarios”.</w:t>
      </w:r>
      <w:r w:rsidR="00BF4DDD">
        <w:rPr>
          <w:rFonts w:ascii="Verdana" w:hAnsi="Verdana"/>
          <w:sz w:val="16"/>
          <w:szCs w:val="16"/>
          <w:lang w:val="es-MX"/>
        </w:rPr>
        <w:t xml:space="preserve"> </w:t>
      </w:r>
      <w:r w:rsidR="00BF4DDD" w:rsidRPr="00E052E1">
        <w:rPr>
          <w:rFonts w:ascii="Verdana" w:hAnsi="Verdana"/>
          <w:i/>
          <w:sz w:val="16"/>
          <w:szCs w:val="16"/>
          <w:lang w:val="es-MX"/>
        </w:rPr>
        <w:t>Cfr</w:t>
      </w:r>
      <w:r w:rsidR="00BF4DDD" w:rsidRPr="00E052E1">
        <w:rPr>
          <w:rFonts w:ascii="Verdana" w:hAnsi="Verdana"/>
          <w:sz w:val="16"/>
          <w:szCs w:val="16"/>
          <w:lang w:val="es-MX"/>
        </w:rPr>
        <w:t>. Informe estatal de 2 de agosto de 2019</w:t>
      </w:r>
      <w:r w:rsidR="00BF4DDD">
        <w:rPr>
          <w:rFonts w:ascii="Verdana" w:hAnsi="Verdana"/>
          <w:sz w:val="16"/>
          <w:szCs w:val="16"/>
          <w:lang w:val="es-MX"/>
        </w:rPr>
        <w:t>.</w:t>
      </w:r>
      <w:r w:rsidRPr="00E052E1">
        <w:rPr>
          <w:rFonts w:ascii="Verdana" w:hAnsi="Verdana"/>
          <w:sz w:val="16"/>
          <w:szCs w:val="16"/>
          <w:lang w:val="es-MX"/>
        </w:rPr>
        <w:t xml:space="preserve"> </w:t>
      </w:r>
    </w:p>
  </w:footnote>
  <w:footnote w:id="51">
    <w:p w14:paraId="2C17C412" w14:textId="77777777"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sz w:val="16"/>
          <w:szCs w:val="16"/>
          <w:lang w:val="es-MX"/>
        </w:rPr>
        <w:t xml:space="preserve">Señaló que se ha provisto “la atención de Machi, lawentuchefe o </w:t>
      </w:r>
      <w:proofErr w:type="spellStart"/>
      <w:r w:rsidRPr="00E052E1">
        <w:rPr>
          <w:rFonts w:ascii="Verdana" w:hAnsi="Verdana"/>
          <w:sz w:val="16"/>
          <w:szCs w:val="16"/>
          <w:lang w:val="es-MX"/>
        </w:rPr>
        <w:t>ngetanchefe</w:t>
      </w:r>
      <w:proofErr w:type="spellEnd"/>
      <w:r w:rsidRPr="00E052E1">
        <w:rPr>
          <w:rFonts w:ascii="Verdana" w:hAnsi="Verdana"/>
          <w:sz w:val="16"/>
          <w:szCs w:val="16"/>
          <w:lang w:val="es-MX"/>
        </w:rPr>
        <w:t xml:space="preserve"> para las personas de las comunidades que lo han requerido” y se han organizado “</w:t>
      </w:r>
      <w:r w:rsidRPr="00E052E1">
        <w:rPr>
          <w:rFonts w:ascii="Verdana" w:hAnsi="Verdana" w:cstheme="minorHAnsi"/>
          <w:sz w:val="16"/>
          <w:szCs w:val="16"/>
          <w:lang w:val="es-MX"/>
        </w:rPr>
        <w:t>a</w:t>
      </w:r>
      <w:r w:rsidRPr="00E052E1">
        <w:rPr>
          <w:rFonts w:ascii="Verdana" w:hAnsi="Verdana"/>
          <w:sz w:val="16"/>
          <w:szCs w:val="16"/>
          <w:lang w:val="es-MX"/>
        </w:rPr>
        <w:t>ctividades culturales que apuntan al rescate y</w:t>
      </w:r>
    </w:p>
    <w:p w14:paraId="26C9B1C5" w14:textId="4C5BBE4F" w:rsidR="00453ED8" w:rsidRPr="00E052E1" w:rsidRDefault="00453ED8" w:rsidP="00950477">
      <w:pPr>
        <w:pStyle w:val="Textonotapie"/>
        <w:jc w:val="both"/>
        <w:rPr>
          <w:rFonts w:ascii="Verdana" w:hAnsi="Verdana"/>
          <w:sz w:val="16"/>
          <w:szCs w:val="16"/>
          <w:lang w:val="es-MX"/>
        </w:rPr>
      </w:pPr>
      <w:r w:rsidRPr="00E052E1">
        <w:rPr>
          <w:rFonts w:ascii="Verdana" w:hAnsi="Verdana"/>
          <w:sz w:val="16"/>
          <w:szCs w:val="16"/>
          <w:lang w:val="es-MX"/>
        </w:rPr>
        <w:t xml:space="preserve">conservación de las tradiciones y que </w:t>
      </w:r>
      <w:r w:rsidRPr="00E052E1">
        <w:rPr>
          <w:rFonts w:ascii="Verdana" w:hAnsi="Verdana" w:cstheme="minorHAnsi"/>
          <w:sz w:val="16"/>
          <w:szCs w:val="16"/>
          <w:lang w:val="es-MX"/>
        </w:rPr>
        <w:t>[</w:t>
      </w:r>
      <w:r w:rsidRPr="00E052E1">
        <w:rPr>
          <w:rFonts w:ascii="Verdana" w:hAnsi="Verdana"/>
          <w:sz w:val="16"/>
          <w:szCs w:val="16"/>
          <w:lang w:val="es-MX"/>
        </w:rPr>
        <w:t>…</w:t>
      </w:r>
      <w:r w:rsidRPr="00E052E1">
        <w:rPr>
          <w:rFonts w:ascii="Verdana" w:hAnsi="Verdana" w:cstheme="minorHAnsi"/>
          <w:sz w:val="16"/>
          <w:szCs w:val="16"/>
          <w:lang w:val="es-MX"/>
        </w:rPr>
        <w:t>]</w:t>
      </w:r>
      <w:r w:rsidRPr="00E052E1">
        <w:rPr>
          <w:rFonts w:ascii="Verdana" w:hAnsi="Verdana"/>
          <w:sz w:val="16"/>
          <w:szCs w:val="16"/>
          <w:lang w:val="es-MX"/>
        </w:rPr>
        <w:t xml:space="preserve"> son parte de la salud de las comunidades […como] el concepto de </w:t>
      </w:r>
      <w:proofErr w:type="spellStart"/>
      <w:r w:rsidRPr="00E052E1">
        <w:rPr>
          <w:rFonts w:ascii="Verdana" w:hAnsi="Verdana"/>
          <w:sz w:val="16"/>
          <w:szCs w:val="16"/>
          <w:lang w:val="es-MX"/>
        </w:rPr>
        <w:t>Küme</w:t>
      </w:r>
      <w:proofErr w:type="spellEnd"/>
      <w:r w:rsidRPr="00E052E1">
        <w:rPr>
          <w:rFonts w:ascii="Verdana" w:hAnsi="Verdana"/>
          <w:sz w:val="16"/>
          <w:szCs w:val="16"/>
          <w:lang w:val="es-MX"/>
        </w:rPr>
        <w:t xml:space="preserve"> </w:t>
      </w:r>
      <w:proofErr w:type="spellStart"/>
      <w:r w:rsidRPr="00E052E1">
        <w:rPr>
          <w:rFonts w:ascii="Verdana" w:hAnsi="Verdana"/>
          <w:sz w:val="16"/>
          <w:szCs w:val="16"/>
          <w:lang w:val="es-MX"/>
        </w:rPr>
        <w:t>mongen</w:t>
      </w:r>
      <w:proofErr w:type="spellEnd"/>
      <w:r w:rsidRPr="00E052E1">
        <w:rPr>
          <w:rFonts w:ascii="Verdana" w:hAnsi="Verdana"/>
          <w:sz w:val="16"/>
          <w:szCs w:val="16"/>
          <w:lang w:val="es-MX"/>
        </w:rPr>
        <w:t xml:space="preserve"> (Buen vivir), que es lo que culturalmente mantiene sano a un Lof mapuche”. </w:t>
      </w:r>
      <w:r w:rsidRPr="00E052E1">
        <w:rPr>
          <w:rFonts w:ascii="Verdana" w:hAnsi="Verdana"/>
          <w:i/>
          <w:sz w:val="16"/>
          <w:szCs w:val="16"/>
          <w:lang w:val="es-MX"/>
        </w:rPr>
        <w:t>Cfr</w:t>
      </w:r>
      <w:r w:rsidRPr="00E052E1">
        <w:rPr>
          <w:rFonts w:ascii="Verdana" w:hAnsi="Verdana"/>
          <w:sz w:val="16"/>
          <w:szCs w:val="16"/>
          <w:lang w:val="es-MX"/>
        </w:rPr>
        <w:t xml:space="preserve">. Informe estatal de 2 de agosto de 2019. </w:t>
      </w:r>
      <w:r w:rsidR="00D15F65" w:rsidRPr="00E052E1">
        <w:rPr>
          <w:rFonts w:ascii="Verdana" w:hAnsi="Verdana"/>
          <w:i/>
          <w:sz w:val="16"/>
          <w:szCs w:val="16"/>
          <w:lang w:val="es-MX"/>
        </w:rPr>
        <w:t>Cfr</w:t>
      </w:r>
      <w:r w:rsidR="00D15F65" w:rsidRPr="00E052E1">
        <w:rPr>
          <w:rFonts w:ascii="Verdana" w:hAnsi="Verdana"/>
          <w:sz w:val="16"/>
          <w:szCs w:val="16"/>
          <w:lang w:val="es-MX"/>
        </w:rPr>
        <w:t>. Informe estatal de 2 de agosto de 2019.</w:t>
      </w:r>
      <w:r w:rsidR="00D15F65" w:rsidRPr="00E052E1">
        <w:rPr>
          <w:rFonts w:ascii="Verdana" w:hAnsi="Verdana"/>
          <w:b/>
          <w:sz w:val="16"/>
          <w:szCs w:val="16"/>
          <w:lang w:val="es-MX"/>
        </w:rPr>
        <w:t xml:space="preserve"> </w:t>
      </w:r>
      <w:r w:rsidRPr="00E052E1">
        <w:rPr>
          <w:rFonts w:ascii="Verdana" w:hAnsi="Verdana"/>
          <w:sz w:val="16"/>
          <w:szCs w:val="16"/>
        </w:rPr>
        <w:t xml:space="preserve"> </w:t>
      </w:r>
    </w:p>
  </w:footnote>
  <w:footnote w:id="52">
    <w:p w14:paraId="5F5E784D" w14:textId="6FE686E5" w:rsidR="00453ED8" w:rsidRPr="00976419"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La víctima Patricia Troncoso manifestó que la falta de familiarización por parte del personal de los hospitales, hace que el proceso de atención sea “engorroso y angustiante”, y que deba “acudir al sistema privado en algunos casos para agilizar la atención lo que [le…] ha generado endeudamiento”. La representante Myriam Reyes expresó que el Programa </w:t>
      </w:r>
      <w:proofErr w:type="spellStart"/>
      <w:r w:rsidRPr="00E052E1">
        <w:rPr>
          <w:rFonts w:ascii="Verdana" w:hAnsi="Verdana"/>
          <w:sz w:val="16"/>
          <w:szCs w:val="16"/>
        </w:rPr>
        <w:t>Pri</w:t>
      </w:r>
      <w:proofErr w:type="spellEnd"/>
      <w:r w:rsidRPr="00E052E1">
        <w:rPr>
          <w:rFonts w:ascii="Verdana" w:hAnsi="Verdana"/>
          <w:sz w:val="16"/>
          <w:szCs w:val="16"/>
        </w:rPr>
        <w:t xml:space="preserve"> </w:t>
      </w:r>
      <w:proofErr w:type="spellStart"/>
      <w:r w:rsidRPr="00E052E1">
        <w:rPr>
          <w:rFonts w:ascii="Verdana" w:hAnsi="Verdana"/>
          <w:sz w:val="16"/>
          <w:szCs w:val="16"/>
        </w:rPr>
        <w:t>Lonkos</w:t>
      </w:r>
      <w:proofErr w:type="spellEnd"/>
      <w:r w:rsidRPr="00E052E1">
        <w:rPr>
          <w:rFonts w:ascii="Verdana" w:hAnsi="Verdana"/>
          <w:sz w:val="16"/>
          <w:szCs w:val="16"/>
        </w:rPr>
        <w:t xml:space="preserve"> no es “un programa especial”, sino que “las víctimas son atendidas como cualquier particular” a quien se le extiende “la gratuidad que se aplica en Chile a los beneficiarios de más escasos recursos”. Añadió que del informe estatal no se desprende “[un] mecanismo específico destinado a la atención de las víctimas, de manera personal e inmediata”. </w:t>
      </w:r>
    </w:p>
  </w:footnote>
  <w:footnote w:id="53">
    <w:p w14:paraId="62409841" w14:textId="000E7066"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También señalaron que “</w:t>
      </w:r>
      <w:r w:rsidRPr="00E052E1">
        <w:rPr>
          <w:rFonts w:ascii="Verdana" w:hAnsi="Verdana" w:cstheme="minorHAnsi"/>
          <w:sz w:val="16"/>
          <w:szCs w:val="16"/>
        </w:rPr>
        <w:t>[</w:t>
      </w:r>
      <w:r w:rsidRPr="00E052E1">
        <w:rPr>
          <w:rFonts w:ascii="Verdana" w:hAnsi="Verdana"/>
          <w:sz w:val="16"/>
          <w:szCs w:val="16"/>
        </w:rPr>
        <w:t>a</w:t>
      </w:r>
      <w:r w:rsidRPr="00E052E1">
        <w:rPr>
          <w:rFonts w:ascii="Verdana" w:hAnsi="Verdana" w:cstheme="minorHAnsi"/>
          <w:sz w:val="16"/>
          <w:szCs w:val="16"/>
        </w:rPr>
        <w:t>]</w:t>
      </w:r>
      <w:r w:rsidRPr="00E052E1">
        <w:rPr>
          <w:rFonts w:ascii="Verdana" w:hAnsi="Verdana"/>
          <w:sz w:val="16"/>
          <w:szCs w:val="16"/>
        </w:rPr>
        <w:t xml:space="preserve"> los hijo/as de la víctima </w:t>
      </w:r>
      <w:proofErr w:type="spellStart"/>
      <w:r w:rsidRPr="00E052E1">
        <w:rPr>
          <w:rFonts w:ascii="Verdana" w:hAnsi="Verdana"/>
          <w:sz w:val="16"/>
          <w:szCs w:val="16"/>
        </w:rPr>
        <w:t>Pichun</w:t>
      </w:r>
      <w:proofErr w:type="spellEnd"/>
      <w:r w:rsidRPr="00E052E1">
        <w:rPr>
          <w:rFonts w:ascii="Verdana" w:hAnsi="Verdana"/>
          <w:sz w:val="16"/>
          <w:szCs w:val="16"/>
        </w:rPr>
        <w:t xml:space="preserve"> </w:t>
      </w:r>
      <w:proofErr w:type="spellStart"/>
      <w:r w:rsidRPr="00E052E1">
        <w:rPr>
          <w:rFonts w:ascii="Verdana" w:hAnsi="Verdana"/>
          <w:sz w:val="16"/>
          <w:szCs w:val="16"/>
        </w:rPr>
        <w:t>Paillalao</w:t>
      </w:r>
      <w:proofErr w:type="spellEnd"/>
      <w:r w:rsidRPr="00E052E1">
        <w:rPr>
          <w:rFonts w:ascii="Verdana" w:hAnsi="Verdana"/>
          <w:sz w:val="16"/>
          <w:szCs w:val="16"/>
        </w:rPr>
        <w:t xml:space="preserve">, desde el sistema de salud le siguen descontando como cotización en salud en sus respectivas liquidaciones de sueldo”. </w:t>
      </w:r>
    </w:p>
  </w:footnote>
  <w:footnote w:id="54">
    <w:p w14:paraId="0D6C4524" w14:textId="77777777"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rPr>
        <w:t>Cfr. Caso Ruano Torres y otros Vs. El Salvador. Supervisión de Cumplimiento de Sentencia.</w:t>
      </w:r>
      <w:r w:rsidRPr="00E052E1">
        <w:rPr>
          <w:rFonts w:ascii="Verdana" w:hAnsi="Verdana"/>
          <w:sz w:val="16"/>
          <w:szCs w:val="16"/>
        </w:rPr>
        <w:t xml:space="preserve">  Resolución de la Corte Interamericana de Derechos Humanos de 5 de febrero de 2018, Considerando 6.</w:t>
      </w:r>
    </w:p>
  </w:footnote>
  <w:footnote w:id="55">
    <w:p w14:paraId="0DA5359F" w14:textId="1C2B44EF"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rPr>
        <w:t>Cfr. Caso Heliodoro Portugal Vs. Panamá. Supervisión de Cumplimiento de Sentencia.</w:t>
      </w:r>
      <w:r w:rsidRPr="00E052E1">
        <w:rPr>
          <w:rFonts w:ascii="Verdana" w:hAnsi="Verdana"/>
          <w:sz w:val="16"/>
          <w:szCs w:val="16"/>
        </w:rPr>
        <w:t xml:space="preserve"> Resolución de la Corte Interamericana de Derechos Humanos de 28 de mayo de 2010, Considerando 28, y</w:t>
      </w:r>
      <w:r w:rsidRPr="00E052E1">
        <w:rPr>
          <w:rFonts w:ascii="Verdana" w:hAnsi="Verdana"/>
          <w:i/>
          <w:sz w:val="16"/>
          <w:szCs w:val="16"/>
          <w:lang w:val="es-MX"/>
        </w:rPr>
        <w:t xml:space="preserve"> Caso </w:t>
      </w:r>
      <w:r w:rsidR="003F0249">
        <w:rPr>
          <w:rFonts w:ascii="Verdana" w:hAnsi="Verdana"/>
          <w:i/>
          <w:sz w:val="16"/>
          <w:szCs w:val="16"/>
          <w:lang w:val="es-MX"/>
        </w:rPr>
        <w:t>Gomes Lund y otros (“</w:t>
      </w:r>
      <w:proofErr w:type="spellStart"/>
      <w:r w:rsidR="003F0249">
        <w:rPr>
          <w:rFonts w:ascii="Verdana" w:hAnsi="Verdana"/>
          <w:i/>
          <w:sz w:val="16"/>
          <w:szCs w:val="16"/>
          <w:lang w:val="es-MX"/>
        </w:rPr>
        <w:t>Gherrilha</w:t>
      </w:r>
      <w:proofErr w:type="spellEnd"/>
      <w:r w:rsidR="003F0249">
        <w:rPr>
          <w:rFonts w:ascii="Verdana" w:hAnsi="Verdana"/>
          <w:i/>
          <w:sz w:val="16"/>
          <w:szCs w:val="16"/>
          <w:lang w:val="es-MX"/>
        </w:rPr>
        <w:t xml:space="preserve"> Do </w:t>
      </w:r>
      <w:proofErr w:type="spellStart"/>
      <w:r w:rsidR="003F0249">
        <w:rPr>
          <w:rFonts w:ascii="Verdana" w:hAnsi="Verdana"/>
          <w:i/>
          <w:sz w:val="16"/>
          <w:szCs w:val="16"/>
          <w:lang w:val="es-MX"/>
        </w:rPr>
        <w:t>Araguaia</w:t>
      </w:r>
      <w:proofErr w:type="spellEnd"/>
      <w:r w:rsidR="003F0249">
        <w:rPr>
          <w:rFonts w:ascii="Verdana" w:hAnsi="Verdana"/>
          <w:i/>
          <w:sz w:val="16"/>
          <w:szCs w:val="16"/>
          <w:lang w:val="es-MX"/>
        </w:rPr>
        <w:t xml:space="preserve">”) Vs. Brasil. Supervisión de Cumplimiento de Sentencia. </w:t>
      </w:r>
      <w:r w:rsidR="003F0249" w:rsidRPr="003F0249">
        <w:rPr>
          <w:rFonts w:ascii="Verdana" w:hAnsi="Verdana"/>
          <w:sz w:val="16"/>
          <w:szCs w:val="16"/>
          <w:lang w:val="es-MX"/>
        </w:rPr>
        <w:t>Resolución de la Corte Interamericana de Derechos Humanos de 17 de octubre de 2014, Considerando 44.</w:t>
      </w:r>
      <w:r w:rsidR="003F0249">
        <w:rPr>
          <w:rFonts w:ascii="Verdana" w:hAnsi="Verdana"/>
          <w:i/>
          <w:sz w:val="16"/>
          <w:szCs w:val="16"/>
          <w:lang w:val="es-MX"/>
        </w:rPr>
        <w:t xml:space="preserve"> </w:t>
      </w:r>
      <w:r w:rsidRPr="00E052E1">
        <w:rPr>
          <w:rFonts w:ascii="Verdana" w:hAnsi="Verdana"/>
          <w:sz w:val="16"/>
          <w:szCs w:val="16"/>
          <w:lang w:val="es-MX"/>
        </w:rPr>
        <w:t xml:space="preserve"> </w:t>
      </w:r>
      <w:r w:rsidRPr="00E052E1">
        <w:rPr>
          <w:rFonts w:ascii="Verdana" w:hAnsi="Verdana"/>
          <w:sz w:val="16"/>
          <w:szCs w:val="16"/>
        </w:rPr>
        <w:t xml:space="preserve"> </w:t>
      </w:r>
    </w:p>
  </w:footnote>
  <w:footnote w:id="56">
    <w:p w14:paraId="2C77DAAA" w14:textId="7038AD7E"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rPr>
        <w:t xml:space="preserve">Cfr. Caso </w:t>
      </w:r>
      <w:proofErr w:type="spellStart"/>
      <w:r w:rsidRPr="00E052E1">
        <w:rPr>
          <w:rFonts w:ascii="Verdana" w:hAnsi="Verdana"/>
          <w:i/>
          <w:sz w:val="16"/>
          <w:szCs w:val="16"/>
        </w:rPr>
        <w:t>Norín</w:t>
      </w:r>
      <w:proofErr w:type="spellEnd"/>
      <w:r w:rsidRPr="00E052E1">
        <w:rPr>
          <w:rFonts w:ascii="Verdana" w:hAnsi="Verdana"/>
          <w:i/>
          <w:sz w:val="16"/>
          <w:szCs w:val="16"/>
        </w:rPr>
        <w:t xml:space="preserve"> </w:t>
      </w:r>
      <w:proofErr w:type="spellStart"/>
      <w:r w:rsidRPr="00E052E1">
        <w:rPr>
          <w:rFonts w:ascii="Verdana" w:hAnsi="Verdana"/>
          <w:i/>
          <w:sz w:val="16"/>
          <w:szCs w:val="16"/>
        </w:rPr>
        <w:t>Catrimán</w:t>
      </w:r>
      <w:proofErr w:type="spellEnd"/>
      <w:r w:rsidRPr="00E052E1">
        <w:rPr>
          <w:rFonts w:ascii="Verdana" w:hAnsi="Verdana"/>
          <w:i/>
          <w:sz w:val="16"/>
          <w:szCs w:val="16"/>
        </w:rPr>
        <w:t xml:space="preserve"> y otros </w:t>
      </w:r>
      <w:r w:rsidRPr="00E052E1">
        <w:rPr>
          <w:rFonts w:ascii="Verdana" w:hAnsi="Verdana"/>
          <w:i/>
          <w:sz w:val="16"/>
          <w:szCs w:val="16"/>
          <w:lang w:val="es-MX"/>
        </w:rPr>
        <w:t>(Dirigentes, miembros y activista del Pueblo Indígena Mapuche) Vs. Chile</w:t>
      </w:r>
      <w:r w:rsidRPr="00E052E1">
        <w:rPr>
          <w:rFonts w:ascii="Verdana" w:hAnsi="Verdana"/>
          <w:i/>
          <w:sz w:val="16"/>
          <w:szCs w:val="16"/>
        </w:rPr>
        <w:t xml:space="preserve">, supra </w:t>
      </w:r>
      <w:r w:rsidRPr="00E052E1">
        <w:rPr>
          <w:rFonts w:ascii="Verdana" w:hAnsi="Verdana"/>
          <w:sz w:val="16"/>
          <w:szCs w:val="16"/>
        </w:rPr>
        <w:t xml:space="preserve">nota 1, párr. 432. </w:t>
      </w:r>
    </w:p>
  </w:footnote>
  <w:footnote w:id="57">
    <w:p w14:paraId="35D23B1F" w14:textId="25A69818"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Para el cumplimiento de esta obligación, se dispuso que “quienes soliciten esta medida de reparación, o sus representantes legales, disponen de un plazo de seis meses, contados a partir de la notificación de la […] Sentencia, para que den a conocer al Estado sus solicitudes de becas”.</w:t>
      </w:r>
      <w:r w:rsidR="00B9041C">
        <w:rPr>
          <w:rFonts w:ascii="Verdana" w:hAnsi="Verdana"/>
          <w:sz w:val="16"/>
          <w:szCs w:val="16"/>
        </w:rPr>
        <w:t xml:space="preserve"> </w:t>
      </w:r>
      <w:r w:rsidR="00B9041C" w:rsidRPr="00E052E1">
        <w:rPr>
          <w:rFonts w:ascii="Verdana" w:hAnsi="Verdana"/>
          <w:i/>
          <w:sz w:val="16"/>
          <w:szCs w:val="16"/>
        </w:rPr>
        <w:t xml:space="preserve">Cfr. Caso </w:t>
      </w:r>
      <w:proofErr w:type="spellStart"/>
      <w:r w:rsidR="00B9041C" w:rsidRPr="00E052E1">
        <w:rPr>
          <w:rFonts w:ascii="Verdana" w:hAnsi="Verdana"/>
          <w:i/>
          <w:sz w:val="16"/>
          <w:szCs w:val="16"/>
        </w:rPr>
        <w:t>Norín</w:t>
      </w:r>
      <w:proofErr w:type="spellEnd"/>
      <w:r w:rsidR="00B9041C" w:rsidRPr="00E052E1">
        <w:rPr>
          <w:rFonts w:ascii="Verdana" w:hAnsi="Verdana"/>
          <w:i/>
          <w:sz w:val="16"/>
          <w:szCs w:val="16"/>
        </w:rPr>
        <w:t xml:space="preserve"> </w:t>
      </w:r>
      <w:proofErr w:type="spellStart"/>
      <w:r w:rsidR="00B9041C" w:rsidRPr="00E052E1">
        <w:rPr>
          <w:rFonts w:ascii="Verdana" w:hAnsi="Verdana"/>
          <w:i/>
          <w:sz w:val="16"/>
          <w:szCs w:val="16"/>
        </w:rPr>
        <w:t>Catrimán</w:t>
      </w:r>
      <w:proofErr w:type="spellEnd"/>
      <w:r w:rsidR="00B9041C" w:rsidRPr="00E052E1">
        <w:rPr>
          <w:rFonts w:ascii="Verdana" w:hAnsi="Verdana"/>
          <w:i/>
          <w:sz w:val="16"/>
          <w:szCs w:val="16"/>
        </w:rPr>
        <w:t xml:space="preserve"> y otros </w:t>
      </w:r>
      <w:r w:rsidR="00B9041C" w:rsidRPr="00E052E1">
        <w:rPr>
          <w:rFonts w:ascii="Verdana" w:hAnsi="Verdana"/>
          <w:i/>
          <w:sz w:val="16"/>
          <w:szCs w:val="16"/>
          <w:lang w:val="es-MX"/>
        </w:rPr>
        <w:t>(Dirigentes, miembros y activista del Pueblo Indígena Mapuche) Vs. Chile</w:t>
      </w:r>
      <w:r w:rsidR="00B9041C" w:rsidRPr="00E052E1">
        <w:rPr>
          <w:rFonts w:ascii="Verdana" w:hAnsi="Verdana"/>
          <w:i/>
          <w:sz w:val="16"/>
          <w:szCs w:val="16"/>
        </w:rPr>
        <w:t xml:space="preserve">, supra </w:t>
      </w:r>
      <w:r w:rsidR="00B9041C" w:rsidRPr="00E052E1">
        <w:rPr>
          <w:rFonts w:ascii="Verdana" w:hAnsi="Verdana"/>
          <w:sz w:val="16"/>
          <w:szCs w:val="16"/>
        </w:rPr>
        <w:t>nota 1, párr. 432.</w:t>
      </w:r>
    </w:p>
  </w:footnote>
  <w:footnote w:id="58">
    <w:p w14:paraId="060845E3" w14:textId="77FE8A28" w:rsidR="006B5CB5" w:rsidRPr="00E052E1" w:rsidRDefault="006B5CB5"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lang w:val="es-MX"/>
        </w:rPr>
        <w:t xml:space="preserve"> </w:t>
      </w:r>
      <w:r w:rsidRPr="00E052E1">
        <w:rPr>
          <w:rFonts w:ascii="Verdana" w:hAnsi="Verdana"/>
          <w:sz w:val="16"/>
          <w:szCs w:val="16"/>
          <w:lang w:val="es-MX"/>
        </w:rPr>
        <w:tab/>
      </w:r>
      <w:r>
        <w:rPr>
          <w:rFonts w:ascii="Verdana" w:hAnsi="Verdana"/>
          <w:sz w:val="16"/>
          <w:szCs w:val="16"/>
          <w:lang w:val="es-MX"/>
        </w:rPr>
        <w:t>M</w:t>
      </w:r>
      <w:r w:rsidRPr="00E052E1">
        <w:rPr>
          <w:rFonts w:ascii="Verdana" w:hAnsi="Verdana"/>
          <w:sz w:val="16"/>
          <w:szCs w:val="16"/>
          <w:lang w:val="es-MX"/>
        </w:rPr>
        <w:t>ediante un oficio de la Subsecretaría del Ministerio de Educación</w:t>
      </w:r>
      <w:r>
        <w:rPr>
          <w:rFonts w:ascii="Verdana" w:hAnsi="Verdana"/>
          <w:sz w:val="16"/>
          <w:szCs w:val="16"/>
          <w:lang w:val="es-MX"/>
        </w:rPr>
        <w:t xml:space="preserve"> de Chile,</w:t>
      </w:r>
      <w:r w:rsidRPr="00E052E1">
        <w:rPr>
          <w:rFonts w:ascii="Verdana" w:hAnsi="Verdana"/>
          <w:sz w:val="16"/>
          <w:szCs w:val="16"/>
          <w:lang w:val="es-MX"/>
        </w:rPr>
        <w:t xml:space="preserve"> dictado en 2015, </w:t>
      </w:r>
      <w:r>
        <w:rPr>
          <w:rFonts w:ascii="Verdana" w:hAnsi="Verdana"/>
          <w:sz w:val="16"/>
          <w:szCs w:val="16"/>
          <w:lang w:val="es-MX"/>
        </w:rPr>
        <w:t>el Estado amplió el universo de personas beneficiarias de la beca de estudio ordenada en la Sentencia. De esta manera, reconoció</w:t>
      </w:r>
      <w:r w:rsidRPr="00E052E1">
        <w:rPr>
          <w:rFonts w:ascii="Verdana" w:hAnsi="Verdana"/>
          <w:sz w:val="16"/>
          <w:szCs w:val="16"/>
          <w:lang w:val="es-MX"/>
        </w:rPr>
        <w:t xml:space="preserve"> </w:t>
      </w:r>
      <w:r>
        <w:rPr>
          <w:rFonts w:ascii="Verdana" w:hAnsi="Verdana"/>
          <w:sz w:val="16"/>
          <w:szCs w:val="16"/>
          <w:lang w:val="es-MX"/>
        </w:rPr>
        <w:t xml:space="preserve">como beneficiarios de la beca de estudio </w:t>
      </w:r>
      <w:r w:rsidRPr="00E052E1">
        <w:rPr>
          <w:rFonts w:ascii="Verdana" w:hAnsi="Verdana"/>
          <w:sz w:val="16"/>
          <w:szCs w:val="16"/>
          <w:lang w:val="es-MX"/>
        </w:rPr>
        <w:t>no sólo a las hijas y los hijos de las ocho víctimas del caso, sino también a las propias víctimas, a sus nietos</w:t>
      </w:r>
      <w:r>
        <w:rPr>
          <w:rFonts w:ascii="Verdana" w:hAnsi="Verdana"/>
          <w:sz w:val="16"/>
          <w:szCs w:val="16"/>
          <w:lang w:val="es-MX"/>
        </w:rPr>
        <w:t xml:space="preserve"> y, en el caso de </w:t>
      </w:r>
      <w:r w:rsidRPr="00E052E1">
        <w:rPr>
          <w:rFonts w:ascii="Verdana" w:hAnsi="Verdana"/>
          <w:sz w:val="16"/>
          <w:szCs w:val="16"/>
          <w:lang w:val="es-MX"/>
        </w:rPr>
        <w:t xml:space="preserve">los </w:t>
      </w:r>
      <w:proofErr w:type="spellStart"/>
      <w:r w:rsidRPr="00E052E1">
        <w:rPr>
          <w:rFonts w:ascii="Verdana" w:hAnsi="Verdana"/>
          <w:sz w:val="16"/>
          <w:szCs w:val="16"/>
          <w:lang w:val="es-MX"/>
        </w:rPr>
        <w:t>Lonkos</w:t>
      </w:r>
      <w:proofErr w:type="spellEnd"/>
      <w:r w:rsidRPr="00E052E1">
        <w:rPr>
          <w:rFonts w:ascii="Verdana" w:hAnsi="Verdana"/>
          <w:sz w:val="16"/>
          <w:szCs w:val="16"/>
          <w:lang w:val="es-MX"/>
        </w:rPr>
        <w:t xml:space="preserve"> Segundo Aniceto </w:t>
      </w:r>
      <w:proofErr w:type="spellStart"/>
      <w:r w:rsidRPr="00E052E1">
        <w:rPr>
          <w:rFonts w:ascii="Verdana" w:hAnsi="Verdana"/>
          <w:sz w:val="16"/>
          <w:szCs w:val="16"/>
          <w:lang w:val="es-MX"/>
        </w:rPr>
        <w:t>Norín</w:t>
      </w:r>
      <w:proofErr w:type="spellEnd"/>
      <w:r w:rsidRPr="00E052E1">
        <w:rPr>
          <w:rFonts w:ascii="Verdana" w:hAnsi="Verdana"/>
          <w:sz w:val="16"/>
          <w:szCs w:val="16"/>
          <w:lang w:val="es-MX"/>
        </w:rPr>
        <w:t xml:space="preserve"> </w:t>
      </w:r>
      <w:proofErr w:type="spellStart"/>
      <w:r w:rsidRPr="00E052E1">
        <w:rPr>
          <w:rFonts w:ascii="Verdana" w:hAnsi="Verdana"/>
          <w:sz w:val="16"/>
          <w:szCs w:val="16"/>
          <w:lang w:val="es-MX"/>
        </w:rPr>
        <w:t>Catrimán</w:t>
      </w:r>
      <w:proofErr w:type="spellEnd"/>
      <w:r w:rsidRPr="00E052E1">
        <w:rPr>
          <w:rFonts w:ascii="Verdana" w:hAnsi="Verdana"/>
          <w:sz w:val="16"/>
          <w:szCs w:val="16"/>
          <w:lang w:val="es-MX"/>
        </w:rPr>
        <w:t xml:space="preserve"> y Pascual </w:t>
      </w:r>
      <w:proofErr w:type="spellStart"/>
      <w:r w:rsidRPr="00E052E1">
        <w:rPr>
          <w:rFonts w:ascii="Verdana" w:hAnsi="Verdana"/>
          <w:sz w:val="16"/>
          <w:szCs w:val="16"/>
          <w:lang w:val="es-MX"/>
        </w:rPr>
        <w:t>Huentequeo</w:t>
      </w:r>
      <w:proofErr w:type="spellEnd"/>
      <w:r w:rsidRPr="00E052E1">
        <w:rPr>
          <w:rFonts w:ascii="Verdana" w:hAnsi="Verdana"/>
          <w:sz w:val="16"/>
          <w:szCs w:val="16"/>
          <w:lang w:val="es-MX"/>
        </w:rPr>
        <w:t xml:space="preserve"> Pichún </w:t>
      </w:r>
      <w:proofErr w:type="spellStart"/>
      <w:r w:rsidRPr="00E052E1">
        <w:rPr>
          <w:rFonts w:ascii="Verdana" w:hAnsi="Verdana"/>
          <w:sz w:val="16"/>
          <w:szCs w:val="16"/>
          <w:lang w:val="es-MX"/>
        </w:rPr>
        <w:t>Paillalao</w:t>
      </w:r>
      <w:proofErr w:type="spellEnd"/>
      <w:r>
        <w:rPr>
          <w:rFonts w:ascii="Verdana" w:hAnsi="Verdana"/>
          <w:sz w:val="16"/>
          <w:szCs w:val="16"/>
          <w:lang w:val="es-MX"/>
        </w:rPr>
        <w:t xml:space="preserve">, también a </w:t>
      </w:r>
      <w:r w:rsidRPr="00E052E1">
        <w:rPr>
          <w:rFonts w:ascii="Verdana" w:hAnsi="Verdana"/>
          <w:sz w:val="16"/>
          <w:szCs w:val="16"/>
          <w:lang w:val="es-MX"/>
        </w:rPr>
        <w:t>las personas integrantes de sus comunidades. En el referido oficio quedó establecido que las becas educativas “debe[n] incluir desde el nivel preescolar [(parvulario)] hasta la finalización de la educación superior de pregrado, ya sea, técnica o universitaria completa”, en “instituciones públicas chilenas, salvo que en la región en que […] t[</w:t>
      </w:r>
      <w:proofErr w:type="spellStart"/>
      <w:r w:rsidRPr="00E052E1">
        <w:rPr>
          <w:rFonts w:ascii="Verdana" w:hAnsi="Verdana"/>
          <w:sz w:val="16"/>
          <w:szCs w:val="16"/>
          <w:lang w:val="es-MX"/>
        </w:rPr>
        <w:t>enga</w:t>
      </w:r>
      <w:proofErr w:type="spellEnd"/>
      <w:r w:rsidRPr="00E052E1">
        <w:rPr>
          <w:rFonts w:ascii="Verdana" w:hAnsi="Verdana"/>
          <w:sz w:val="16"/>
          <w:szCs w:val="16"/>
          <w:lang w:val="es-MX"/>
        </w:rPr>
        <w:t xml:space="preserve">] domicilio el beneficiario, no exista una entidad pública que imparta la carrera seleccionada por éste, o que el estudiante ya se hubiere matriculado en otra”, lo cual, según el parecer del Tribunal, “[guarda] conformidad con la reparación dispuesta”. Asimismo, la Corte valoró positivamente que el Estado </w:t>
      </w:r>
      <w:r>
        <w:rPr>
          <w:rFonts w:ascii="Verdana" w:hAnsi="Verdana"/>
          <w:sz w:val="16"/>
          <w:szCs w:val="16"/>
          <w:lang w:val="es-MX"/>
        </w:rPr>
        <w:t>hubiera</w:t>
      </w:r>
      <w:r w:rsidRPr="00E052E1">
        <w:rPr>
          <w:rFonts w:ascii="Verdana" w:hAnsi="Verdana"/>
          <w:sz w:val="16"/>
          <w:szCs w:val="16"/>
          <w:lang w:val="es-MX"/>
        </w:rPr>
        <w:t xml:space="preserve"> optado por abonar dicha beca de forma retroactiva a la fecha d</w:t>
      </w:r>
      <w:r>
        <w:rPr>
          <w:rFonts w:ascii="Verdana" w:hAnsi="Verdana"/>
          <w:sz w:val="16"/>
          <w:szCs w:val="16"/>
          <w:lang w:val="es-MX"/>
        </w:rPr>
        <w:t>e la emisión de la Sentencia y los d</w:t>
      </w:r>
      <w:r w:rsidRPr="00E052E1">
        <w:rPr>
          <w:rFonts w:ascii="Verdana" w:hAnsi="Verdana"/>
          <w:sz w:val="16"/>
          <w:szCs w:val="16"/>
          <w:lang w:val="es-MX"/>
        </w:rPr>
        <w:t xml:space="preserve">iversos pagos </w:t>
      </w:r>
      <w:r>
        <w:rPr>
          <w:rFonts w:ascii="Verdana" w:hAnsi="Verdana"/>
          <w:sz w:val="16"/>
          <w:szCs w:val="16"/>
          <w:lang w:val="es-MX"/>
        </w:rPr>
        <w:t xml:space="preserve">efectuados </w:t>
      </w:r>
      <w:r w:rsidRPr="00E052E1">
        <w:rPr>
          <w:rFonts w:ascii="Verdana" w:hAnsi="Verdana"/>
          <w:sz w:val="16"/>
          <w:szCs w:val="16"/>
          <w:lang w:val="es-MX"/>
        </w:rPr>
        <w:t xml:space="preserve">correspondientes a las gestiones de los años 2014, 2015 y 2016. </w:t>
      </w:r>
      <w:r w:rsidRPr="00E052E1">
        <w:rPr>
          <w:rFonts w:ascii="Verdana" w:hAnsi="Verdana"/>
          <w:i/>
          <w:sz w:val="16"/>
          <w:szCs w:val="16"/>
          <w:lang w:val="es-MX"/>
        </w:rPr>
        <w:t xml:space="preserve">Cfr. Caso </w:t>
      </w:r>
      <w:proofErr w:type="spellStart"/>
      <w:r w:rsidRPr="00E052E1">
        <w:rPr>
          <w:rFonts w:ascii="Verdana" w:hAnsi="Verdana"/>
          <w:i/>
          <w:sz w:val="16"/>
          <w:szCs w:val="16"/>
          <w:lang w:val="es-MX"/>
        </w:rPr>
        <w:t>Norín</w:t>
      </w:r>
      <w:proofErr w:type="spellEnd"/>
      <w:r w:rsidRPr="00E052E1">
        <w:rPr>
          <w:rFonts w:ascii="Verdana" w:hAnsi="Verdana"/>
          <w:i/>
          <w:sz w:val="16"/>
          <w:szCs w:val="16"/>
          <w:lang w:val="es-MX"/>
        </w:rPr>
        <w:t xml:space="preserve"> </w:t>
      </w:r>
      <w:proofErr w:type="spellStart"/>
      <w:r w:rsidRPr="00E052E1">
        <w:rPr>
          <w:rFonts w:ascii="Verdana" w:hAnsi="Verdana"/>
          <w:i/>
          <w:sz w:val="16"/>
          <w:szCs w:val="16"/>
          <w:lang w:val="es-MX"/>
        </w:rPr>
        <w:t>Catrimán</w:t>
      </w:r>
      <w:proofErr w:type="spellEnd"/>
      <w:r w:rsidRPr="00E052E1">
        <w:rPr>
          <w:rFonts w:ascii="Verdana" w:hAnsi="Verdana"/>
          <w:i/>
          <w:sz w:val="16"/>
          <w:szCs w:val="16"/>
          <w:lang w:val="es-MX"/>
        </w:rPr>
        <w:t xml:space="preserve"> y otros (Dirigentes, miembros y activista del Pueblo Indígena Mapuche) Vs. Chile. Supervisión de </w:t>
      </w:r>
      <w:r>
        <w:rPr>
          <w:rFonts w:ascii="Verdana" w:hAnsi="Verdana"/>
          <w:i/>
          <w:sz w:val="16"/>
          <w:szCs w:val="16"/>
          <w:lang w:val="es-MX"/>
        </w:rPr>
        <w:t>C</w:t>
      </w:r>
      <w:r w:rsidRPr="00E052E1">
        <w:rPr>
          <w:rFonts w:ascii="Verdana" w:hAnsi="Verdana"/>
          <w:i/>
          <w:sz w:val="16"/>
          <w:szCs w:val="16"/>
          <w:lang w:val="es-MX"/>
        </w:rPr>
        <w:t xml:space="preserve">umplimiento de </w:t>
      </w:r>
      <w:r>
        <w:rPr>
          <w:rFonts w:ascii="Verdana" w:hAnsi="Verdana"/>
          <w:i/>
          <w:sz w:val="16"/>
          <w:szCs w:val="16"/>
          <w:lang w:val="es-MX"/>
        </w:rPr>
        <w:t>S</w:t>
      </w:r>
      <w:r w:rsidRPr="00E052E1">
        <w:rPr>
          <w:rFonts w:ascii="Verdana" w:hAnsi="Verdana"/>
          <w:i/>
          <w:sz w:val="16"/>
          <w:szCs w:val="16"/>
          <w:lang w:val="es-MX"/>
        </w:rPr>
        <w:t>entencia</w:t>
      </w:r>
      <w:r w:rsidRPr="00E052E1">
        <w:rPr>
          <w:rFonts w:ascii="Verdana" w:hAnsi="Verdana"/>
          <w:sz w:val="16"/>
          <w:szCs w:val="16"/>
          <w:lang w:val="es-MX"/>
        </w:rPr>
        <w:t xml:space="preserve">, </w:t>
      </w:r>
      <w:r w:rsidRPr="00E052E1">
        <w:rPr>
          <w:rFonts w:ascii="Verdana" w:hAnsi="Verdana"/>
          <w:i/>
          <w:sz w:val="16"/>
          <w:szCs w:val="16"/>
          <w:lang w:val="es-MX"/>
        </w:rPr>
        <w:t xml:space="preserve">supra </w:t>
      </w:r>
      <w:r w:rsidRPr="00E052E1">
        <w:rPr>
          <w:rFonts w:ascii="Verdana" w:hAnsi="Verdana"/>
          <w:sz w:val="16"/>
          <w:szCs w:val="16"/>
          <w:lang w:val="es-MX"/>
        </w:rPr>
        <w:t xml:space="preserve">nota </w:t>
      </w:r>
      <w:r w:rsidR="00165BCC">
        <w:rPr>
          <w:rFonts w:ascii="Verdana" w:hAnsi="Verdana"/>
          <w:sz w:val="16"/>
          <w:szCs w:val="16"/>
          <w:lang w:val="es-MX"/>
        </w:rPr>
        <w:t>13</w:t>
      </w:r>
      <w:r w:rsidRPr="00E052E1">
        <w:rPr>
          <w:rFonts w:ascii="Verdana" w:hAnsi="Verdana"/>
          <w:sz w:val="16"/>
          <w:szCs w:val="16"/>
          <w:lang w:val="es-MX"/>
        </w:rPr>
        <w:t xml:space="preserve">, Considerandos </w:t>
      </w:r>
      <w:r>
        <w:rPr>
          <w:rFonts w:ascii="Verdana" w:hAnsi="Verdana"/>
          <w:sz w:val="16"/>
          <w:szCs w:val="16"/>
          <w:lang w:val="es-MX"/>
        </w:rPr>
        <w:t xml:space="preserve">41, </w:t>
      </w:r>
      <w:r w:rsidRPr="00E052E1">
        <w:rPr>
          <w:rFonts w:ascii="Verdana" w:hAnsi="Verdana"/>
          <w:sz w:val="16"/>
          <w:szCs w:val="16"/>
          <w:lang w:val="es-MX"/>
        </w:rPr>
        <w:t xml:space="preserve">42, 43 y 49.  </w:t>
      </w:r>
    </w:p>
  </w:footnote>
  <w:footnote w:id="59">
    <w:p w14:paraId="66D741BA" w14:textId="4D89B9B5"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lang w:val="es-MX"/>
        </w:rPr>
        <w:t xml:space="preserve">Cfr. Caso </w:t>
      </w:r>
      <w:proofErr w:type="spellStart"/>
      <w:r w:rsidRPr="00E052E1">
        <w:rPr>
          <w:rFonts w:ascii="Verdana" w:hAnsi="Verdana"/>
          <w:i/>
          <w:sz w:val="16"/>
          <w:szCs w:val="16"/>
          <w:lang w:val="es-MX"/>
        </w:rPr>
        <w:t>Norín</w:t>
      </w:r>
      <w:proofErr w:type="spellEnd"/>
      <w:r w:rsidRPr="00E052E1">
        <w:rPr>
          <w:rFonts w:ascii="Verdana" w:hAnsi="Verdana"/>
          <w:i/>
          <w:sz w:val="16"/>
          <w:szCs w:val="16"/>
          <w:lang w:val="es-MX"/>
        </w:rPr>
        <w:t xml:space="preserve"> </w:t>
      </w:r>
      <w:proofErr w:type="spellStart"/>
      <w:r w:rsidRPr="00E052E1">
        <w:rPr>
          <w:rFonts w:ascii="Verdana" w:hAnsi="Verdana"/>
          <w:i/>
          <w:sz w:val="16"/>
          <w:szCs w:val="16"/>
          <w:lang w:val="es-MX"/>
        </w:rPr>
        <w:t>Catrimán</w:t>
      </w:r>
      <w:proofErr w:type="spellEnd"/>
      <w:r w:rsidRPr="00E052E1">
        <w:rPr>
          <w:rFonts w:ascii="Verdana" w:hAnsi="Verdana"/>
          <w:i/>
          <w:sz w:val="16"/>
          <w:szCs w:val="16"/>
          <w:lang w:val="es-MX"/>
        </w:rPr>
        <w:t xml:space="preserve"> y otros (Dirigentes, miembros </w:t>
      </w:r>
      <w:r w:rsidRPr="008A563F">
        <w:rPr>
          <w:rFonts w:ascii="Verdana" w:hAnsi="Verdana"/>
          <w:i/>
          <w:sz w:val="16"/>
          <w:szCs w:val="16"/>
          <w:lang w:val="es-MX"/>
        </w:rPr>
        <w:t xml:space="preserve">y activista del Pueblo Indígena Mapuche) Vs. Chile. Supervisión de </w:t>
      </w:r>
      <w:r w:rsidR="004A251A" w:rsidRPr="008A563F">
        <w:rPr>
          <w:rFonts w:ascii="Verdana" w:hAnsi="Verdana"/>
          <w:i/>
          <w:sz w:val="16"/>
          <w:szCs w:val="16"/>
          <w:lang w:val="es-MX"/>
        </w:rPr>
        <w:t>C</w:t>
      </w:r>
      <w:r w:rsidRPr="008A563F">
        <w:rPr>
          <w:rFonts w:ascii="Verdana" w:hAnsi="Verdana"/>
          <w:i/>
          <w:sz w:val="16"/>
          <w:szCs w:val="16"/>
          <w:lang w:val="es-MX"/>
        </w:rPr>
        <w:t xml:space="preserve">umplimiento de </w:t>
      </w:r>
      <w:r w:rsidR="004A251A" w:rsidRPr="008A563F">
        <w:rPr>
          <w:rFonts w:ascii="Verdana" w:hAnsi="Verdana"/>
          <w:i/>
          <w:sz w:val="16"/>
          <w:szCs w:val="16"/>
          <w:lang w:val="es-MX"/>
        </w:rPr>
        <w:t>S</w:t>
      </w:r>
      <w:r w:rsidRPr="008A563F">
        <w:rPr>
          <w:rFonts w:ascii="Verdana" w:hAnsi="Verdana"/>
          <w:i/>
          <w:sz w:val="16"/>
          <w:szCs w:val="16"/>
          <w:lang w:val="es-MX"/>
        </w:rPr>
        <w:t>entencia</w:t>
      </w:r>
      <w:r w:rsidRPr="008A563F">
        <w:rPr>
          <w:rFonts w:ascii="Verdana" w:hAnsi="Verdana"/>
          <w:sz w:val="16"/>
          <w:szCs w:val="16"/>
          <w:lang w:val="es-MX"/>
        </w:rPr>
        <w:t xml:space="preserve">, </w:t>
      </w:r>
      <w:r w:rsidRPr="008A563F">
        <w:rPr>
          <w:rFonts w:ascii="Verdana" w:hAnsi="Verdana"/>
          <w:i/>
          <w:sz w:val="16"/>
          <w:szCs w:val="16"/>
          <w:lang w:val="es-MX"/>
        </w:rPr>
        <w:t xml:space="preserve">supra </w:t>
      </w:r>
      <w:r w:rsidRPr="008A563F">
        <w:rPr>
          <w:rFonts w:ascii="Verdana" w:hAnsi="Verdana"/>
          <w:sz w:val="16"/>
          <w:szCs w:val="16"/>
          <w:lang w:val="es-MX"/>
        </w:rPr>
        <w:t xml:space="preserve">nota </w:t>
      </w:r>
      <w:r w:rsidR="00165BCC">
        <w:rPr>
          <w:rFonts w:ascii="Verdana" w:hAnsi="Verdana"/>
          <w:sz w:val="16"/>
          <w:szCs w:val="16"/>
          <w:lang w:val="es-MX"/>
        </w:rPr>
        <w:t>13</w:t>
      </w:r>
      <w:r w:rsidRPr="008A563F">
        <w:rPr>
          <w:rFonts w:ascii="Verdana" w:hAnsi="Verdana"/>
          <w:sz w:val="16"/>
          <w:szCs w:val="16"/>
          <w:lang w:val="es-MX"/>
        </w:rPr>
        <w:t>, Considerandos 44, 46, 47, 50 y 51.</w:t>
      </w:r>
    </w:p>
  </w:footnote>
  <w:footnote w:id="60">
    <w:p w14:paraId="7C8F815B" w14:textId="7192CA60"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lang w:val="es-MX"/>
        </w:rPr>
        <w:t xml:space="preserve">Cfr. </w:t>
      </w:r>
      <w:r w:rsidRPr="00E052E1">
        <w:rPr>
          <w:rFonts w:ascii="Verdana" w:hAnsi="Verdana"/>
          <w:sz w:val="16"/>
          <w:szCs w:val="16"/>
          <w:lang w:val="es-MX"/>
        </w:rPr>
        <w:t>Resolución Exenta N° 205 de 20 de febrero de 2018, que dispuso los pagos “correspondientes al primer semestre de 2017” para 176 personas; Resolución Exenta N° 1212 de 7 de agosto de 2018, que dispuso los pagos correspondientes al “segundo semestre de 2017” para 178 personas; Resolución Exenta N° 21 de 4 de enero de 2019, que dispuso los pagos correspondientes al “primer semestre d</w:t>
      </w:r>
      <w:r w:rsidR="00ED3F75">
        <w:rPr>
          <w:rFonts w:ascii="Verdana" w:hAnsi="Verdana"/>
          <w:sz w:val="16"/>
          <w:szCs w:val="16"/>
          <w:lang w:val="es-MX"/>
        </w:rPr>
        <w:t>e 2018” para 158 personas;</w:t>
      </w:r>
      <w:r w:rsidRPr="00E052E1">
        <w:rPr>
          <w:rFonts w:ascii="Verdana" w:hAnsi="Verdana"/>
          <w:b/>
          <w:sz w:val="16"/>
          <w:szCs w:val="16"/>
          <w:lang w:val="es-MX"/>
        </w:rPr>
        <w:t xml:space="preserve"> </w:t>
      </w:r>
      <w:r w:rsidRPr="00E052E1">
        <w:rPr>
          <w:rFonts w:ascii="Verdana" w:hAnsi="Verdana"/>
          <w:sz w:val="16"/>
          <w:szCs w:val="16"/>
          <w:lang w:val="es-MX"/>
        </w:rPr>
        <w:t>Resoluciones Exentas N° 888 y 1418, de 16 de mayo y 22 de julio de 2019,</w:t>
      </w:r>
      <w:r w:rsidR="00ED3F75">
        <w:rPr>
          <w:rFonts w:ascii="Verdana" w:hAnsi="Verdana"/>
          <w:sz w:val="16"/>
          <w:szCs w:val="16"/>
          <w:lang w:val="es-MX"/>
        </w:rPr>
        <w:t xml:space="preserve"> respectivamente,</w:t>
      </w:r>
      <w:r w:rsidRPr="00E052E1">
        <w:rPr>
          <w:rFonts w:ascii="Verdana" w:hAnsi="Verdana"/>
          <w:sz w:val="16"/>
          <w:szCs w:val="16"/>
          <w:lang w:val="es-MX"/>
        </w:rPr>
        <w:t xml:space="preserve"> que dispusieron los pagos correspondientes al segundo sem</w:t>
      </w:r>
      <w:r w:rsidR="00ED3F75">
        <w:rPr>
          <w:rFonts w:ascii="Verdana" w:hAnsi="Verdana"/>
          <w:sz w:val="16"/>
          <w:szCs w:val="16"/>
          <w:lang w:val="es-MX"/>
        </w:rPr>
        <w:t>estre de 2018 para 161 personas,</w:t>
      </w:r>
      <w:r w:rsidRPr="00E052E1">
        <w:rPr>
          <w:rFonts w:ascii="Verdana" w:hAnsi="Verdana"/>
          <w:b/>
          <w:sz w:val="16"/>
          <w:szCs w:val="16"/>
          <w:lang w:val="es-MX"/>
        </w:rPr>
        <w:t xml:space="preserve"> </w:t>
      </w:r>
      <w:r w:rsidRPr="00E052E1">
        <w:rPr>
          <w:rFonts w:ascii="Verdana" w:hAnsi="Verdana"/>
          <w:sz w:val="16"/>
          <w:szCs w:val="16"/>
          <w:lang w:val="es-MX"/>
        </w:rPr>
        <w:t>y Resolución Exenta N° 1396 de 23 de agosto de 2018, que dispuso “[el] pago retroactivo de prestaciones correspondientes a los años 2014, 2015 y 2016” en beneficio de 11</w:t>
      </w:r>
      <w:r w:rsidR="00ED3F75">
        <w:rPr>
          <w:rFonts w:ascii="Verdana" w:hAnsi="Verdana"/>
          <w:sz w:val="16"/>
          <w:szCs w:val="16"/>
          <w:lang w:val="es-MX"/>
        </w:rPr>
        <w:t>6</w:t>
      </w:r>
      <w:r w:rsidRPr="00E052E1">
        <w:rPr>
          <w:rFonts w:ascii="Verdana" w:hAnsi="Verdana"/>
          <w:sz w:val="16"/>
          <w:szCs w:val="16"/>
          <w:lang w:val="es-MX"/>
        </w:rPr>
        <w:t xml:space="preserve">, 122 y 131 personas, respectivamente. </w:t>
      </w:r>
    </w:p>
  </w:footnote>
  <w:footnote w:id="61">
    <w:p w14:paraId="6095EB1D" w14:textId="48EF9608" w:rsidR="00A4186D" w:rsidRPr="00E052E1" w:rsidRDefault="00A4186D"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 La Corte advierte que el Estado ha presentado dos listados de personas beneficiarias de la referida beca que contienen diferencias entre sí: a) por un lado, el Estado identificó “a las siete víctimas y sus hijos y/o hijas” en dos tablas en las que están enumeradas 21 personas beneficiarias que son hijas e hijos de las víctimas del caso, con excepción de los descendientes de la víctima fallecida Pascual </w:t>
      </w:r>
      <w:proofErr w:type="spellStart"/>
      <w:r w:rsidRPr="00E052E1">
        <w:rPr>
          <w:rFonts w:ascii="Verdana" w:hAnsi="Verdana"/>
          <w:sz w:val="16"/>
          <w:szCs w:val="16"/>
        </w:rPr>
        <w:t>Huentequeo</w:t>
      </w:r>
      <w:proofErr w:type="spellEnd"/>
      <w:r w:rsidRPr="00E052E1">
        <w:rPr>
          <w:rFonts w:ascii="Verdana" w:hAnsi="Verdana"/>
          <w:sz w:val="16"/>
          <w:szCs w:val="16"/>
        </w:rPr>
        <w:t xml:space="preserve"> Pichún </w:t>
      </w:r>
      <w:proofErr w:type="spellStart"/>
      <w:r w:rsidRPr="00E052E1">
        <w:rPr>
          <w:rFonts w:ascii="Verdana" w:hAnsi="Verdana"/>
          <w:sz w:val="16"/>
          <w:szCs w:val="16"/>
        </w:rPr>
        <w:t>Paillalao</w:t>
      </w:r>
      <w:proofErr w:type="spellEnd"/>
      <w:r w:rsidRPr="00E052E1">
        <w:rPr>
          <w:rFonts w:ascii="Verdana" w:hAnsi="Verdana"/>
          <w:sz w:val="16"/>
          <w:szCs w:val="16"/>
        </w:rPr>
        <w:t>, lo cual fue cuestionado por sus representantes. Por el otro lado, aportó un oficio emitido por el Ministerio de Desarrollo Social en el que se enumera “[la] nómina final con el número de personas beneficiarias</w:t>
      </w:r>
      <w:r w:rsidR="007C782C">
        <w:rPr>
          <w:rFonts w:ascii="Verdana" w:hAnsi="Verdana"/>
          <w:sz w:val="16"/>
          <w:szCs w:val="16"/>
        </w:rPr>
        <w:t xml:space="preserve"> que tendrán derecho a la [b]</w:t>
      </w:r>
      <w:proofErr w:type="spellStart"/>
      <w:r w:rsidR="007C782C">
        <w:rPr>
          <w:rFonts w:ascii="Verdana" w:hAnsi="Verdana"/>
          <w:sz w:val="16"/>
          <w:szCs w:val="16"/>
        </w:rPr>
        <w:t>eca</w:t>
      </w:r>
      <w:proofErr w:type="spellEnd"/>
      <w:r w:rsidRPr="00E052E1">
        <w:rPr>
          <w:rFonts w:ascii="Verdana" w:hAnsi="Verdana"/>
          <w:sz w:val="16"/>
          <w:szCs w:val="16"/>
        </w:rPr>
        <w:t>”</w:t>
      </w:r>
      <w:r w:rsidR="007C782C">
        <w:rPr>
          <w:rFonts w:ascii="Verdana" w:hAnsi="Verdana"/>
          <w:sz w:val="16"/>
          <w:szCs w:val="16"/>
        </w:rPr>
        <w:t>,</w:t>
      </w:r>
      <w:r w:rsidRPr="00E052E1">
        <w:rPr>
          <w:rFonts w:ascii="Verdana" w:hAnsi="Verdana"/>
          <w:sz w:val="16"/>
          <w:szCs w:val="16"/>
        </w:rPr>
        <w:t xml:space="preserve"> </w:t>
      </w:r>
      <w:r w:rsidR="007C782C">
        <w:rPr>
          <w:rFonts w:ascii="Verdana" w:hAnsi="Verdana"/>
          <w:sz w:val="16"/>
          <w:szCs w:val="16"/>
        </w:rPr>
        <w:t>la cual</w:t>
      </w:r>
      <w:r w:rsidRPr="00E052E1">
        <w:rPr>
          <w:rFonts w:ascii="Verdana" w:hAnsi="Verdana"/>
          <w:sz w:val="16"/>
          <w:szCs w:val="16"/>
        </w:rPr>
        <w:t xml:space="preserve"> contiene a las 21 personas referidas anteriormente y, adicionalmente, a otras nueve personas beneficiarias en su calidad de hijas e hijos de las víctimas, además del resto de beneficiarios respecto de quienes la Corte determinó</w:t>
      </w:r>
      <w:r w:rsidR="007C782C">
        <w:rPr>
          <w:rFonts w:ascii="Verdana" w:hAnsi="Verdana"/>
          <w:sz w:val="16"/>
          <w:szCs w:val="16"/>
        </w:rPr>
        <w:t xml:space="preserve"> que </w:t>
      </w:r>
      <w:r w:rsidRPr="00E052E1">
        <w:rPr>
          <w:rFonts w:ascii="Verdana" w:hAnsi="Verdana"/>
          <w:sz w:val="16"/>
          <w:szCs w:val="16"/>
        </w:rPr>
        <w:t>no realizar</w:t>
      </w:r>
      <w:r w:rsidR="007C782C">
        <w:rPr>
          <w:rFonts w:ascii="Verdana" w:hAnsi="Verdana"/>
          <w:sz w:val="16"/>
          <w:szCs w:val="16"/>
        </w:rPr>
        <w:t>á</w:t>
      </w:r>
      <w:r w:rsidRPr="00E052E1">
        <w:rPr>
          <w:rFonts w:ascii="Verdana" w:hAnsi="Verdana"/>
          <w:sz w:val="16"/>
          <w:szCs w:val="16"/>
        </w:rPr>
        <w:t xml:space="preserve"> la supervisión de la ejecución de la presente medida de reparación. Dichas nueve personas son </w:t>
      </w:r>
      <w:r w:rsidRPr="00E052E1">
        <w:rPr>
          <w:rFonts w:ascii="Verdana" w:hAnsi="Verdana"/>
          <w:sz w:val="16"/>
          <w:szCs w:val="16"/>
          <w:lang w:val="es-MX"/>
        </w:rPr>
        <w:t xml:space="preserve">Cristofer Alexis </w:t>
      </w:r>
      <w:proofErr w:type="spellStart"/>
      <w:r w:rsidRPr="00E052E1">
        <w:rPr>
          <w:rFonts w:ascii="Verdana" w:hAnsi="Verdana"/>
          <w:sz w:val="16"/>
          <w:szCs w:val="16"/>
          <w:lang w:val="es-MX"/>
        </w:rPr>
        <w:t>Millacheo</w:t>
      </w:r>
      <w:proofErr w:type="spellEnd"/>
      <w:r w:rsidRPr="00E052E1">
        <w:rPr>
          <w:rFonts w:ascii="Verdana" w:hAnsi="Verdana"/>
          <w:sz w:val="16"/>
          <w:szCs w:val="16"/>
          <w:lang w:val="es-MX"/>
        </w:rPr>
        <w:t xml:space="preserve"> </w:t>
      </w:r>
      <w:proofErr w:type="spellStart"/>
      <w:r w:rsidRPr="00E052E1">
        <w:rPr>
          <w:rFonts w:ascii="Verdana" w:hAnsi="Verdana"/>
          <w:sz w:val="16"/>
          <w:szCs w:val="16"/>
          <w:lang w:val="es-MX"/>
        </w:rPr>
        <w:t>Millacheo</w:t>
      </w:r>
      <w:proofErr w:type="spellEnd"/>
      <w:r w:rsidRPr="00E052E1">
        <w:rPr>
          <w:rFonts w:ascii="Verdana" w:hAnsi="Verdana"/>
          <w:sz w:val="16"/>
          <w:szCs w:val="16"/>
          <w:lang w:val="es-MX"/>
        </w:rPr>
        <w:t xml:space="preserve"> (hijo de la víctima Juan Patricio Marileo Saravia), Lientur </w:t>
      </w:r>
      <w:proofErr w:type="spellStart"/>
      <w:r w:rsidRPr="00E052E1">
        <w:rPr>
          <w:rFonts w:ascii="Verdana" w:hAnsi="Verdana"/>
          <w:sz w:val="16"/>
          <w:szCs w:val="16"/>
          <w:lang w:val="es-MX"/>
        </w:rPr>
        <w:t>Aliwen</w:t>
      </w:r>
      <w:proofErr w:type="spellEnd"/>
      <w:r w:rsidRPr="00E052E1">
        <w:rPr>
          <w:rFonts w:ascii="Verdana" w:hAnsi="Verdana"/>
          <w:sz w:val="16"/>
          <w:szCs w:val="16"/>
          <w:lang w:val="es-MX"/>
        </w:rPr>
        <w:t xml:space="preserve"> </w:t>
      </w:r>
      <w:proofErr w:type="spellStart"/>
      <w:r w:rsidRPr="00E052E1">
        <w:rPr>
          <w:rFonts w:ascii="Verdana" w:hAnsi="Verdana"/>
          <w:sz w:val="16"/>
          <w:szCs w:val="16"/>
          <w:lang w:val="es-MX"/>
        </w:rPr>
        <w:t>Norín</w:t>
      </w:r>
      <w:proofErr w:type="spellEnd"/>
      <w:r w:rsidRPr="00E052E1">
        <w:rPr>
          <w:rFonts w:ascii="Verdana" w:hAnsi="Verdana"/>
          <w:sz w:val="16"/>
          <w:szCs w:val="16"/>
          <w:lang w:val="es-MX"/>
        </w:rPr>
        <w:t xml:space="preserve"> </w:t>
      </w:r>
      <w:proofErr w:type="spellStart"/>
      <w:r w:rsidRPr="00E052E1">
        <w:rPr>
          <w:rFonts w:ascii="Verdana" w:hAnsi="Verdana"/>
          <w:sz w:val="16"/>
          <w:szCs w:val="16"/>
          <w:lang w:val="es-MX"/>
        </w:rPr>
        <w:t>Norín</w:t>
      </w:r>
      <w:proofErr w:type="spellEnd"/>
      <w:r w:rsidRPr="00E052E1">
        <w:rPr>
          <w:rFonts w:ascii="Verdana" w:hAnsi="Verdana"/>
          <w:sz w:val="16"/>
          <w:szCs w:val="16"/>
          <w:lang w:val="es-MX"/>
        </w:rPr>
        <w:t xml:space="preserve"> (hijo de la víctima Segundo Aniceto </w:t>
      </w:r>
      <w:proofErr w:type="spellStart"/>
      <w:r w:rsidRPr="00E052E1">
        <w:rPr>
          <w:rFonts w:ascii="Verdana" w:hAnsi="Verdana"/>
          <w:sz w:val="16"/>
          <w:szCs w:val="16"/>
          <w:lang w:val="es-MX"/>
        </w:rPr>
        <w:t>Norín</w:t>
      </w:r>
      <w:proofErr w:type="spellEnd"/>
      <w:r w:rsidRPr="00E052E1">
        <w:rPr>
          <w:rFonts w:ascii="Verdana" w:hAnsi="Verdana"/>
          <w:sz w:val="16"/>
          <w:szCs w:val="16"/>
          <w:lang w:val="es-MX"/>
        </w:rPr>
        <w:t xml:space="preserve"> </w:t>
      </w:r>
      <w:proofErr w:type="spellStart"/>
      <w:r w:rsidRPr="00E052E1">
        <w:rPr>
          <w:rFonts w:ascii="Verdana" w:hAnsi="Verdana"/>
          <w:sz w:val="16"/>
          <w:szCs w:val="16"/>
          <w:lang w:val="es-MX"/>
        </w:rPr>
        <w:t>Catrimán</w:t>
      </w:r>
      <w:proofErr w:type="spellEnd"/>
      <w:r w:rsidRPr="00E052E1">
        <w:rPr>
          <w:rFonts w:ascii="Verdana" w:hAnsi="Verdana"/>
          <w:sz w:val="16"/>
          <w:szCs w:val="16"/>
          <w:lang w:val="es-MX"/>
        </w:rPr>
        <w:t xml:space="preserve">), y siete hijos/as de la víctima fallecida Pascual </w:t>
      </w:r>
      <w:proofErr w:type="spellStart"/>
      <w:r w:rsidRPr="00E052E1">
        <w:rPr>
          <w:rFonts w:ascii="Verdana" w:hAnsi="Verdana"/>
          <w:sz w:val="16"/>
          <w:szCs w:val="16"/>
          <w:lang w:val="es-MX"/>
        </w:rPr>
        <w:t>Huentequeo</w:t>
      </w:r>
      <w:proofErr w:type="spellEnd"/>
      <w:r w:rsidRPr="00E052E1">
        <w:rPr>
          <w:rFonts w:ascii="Verdana" w:hAnsi="Verdana"/>
          <w:sz w:val="16"/>
          <w:szCs w:val="16"/>
          <w:lang w:val="es-MX"/>
        </w:rPr>
        <w:t xml:space="preserve"> Pichún </w:t>
      </w:r>
      <w:proofErr w:type="spellStart"/>
      <w:r w:rsidRPr="00E052E1">
        <w:rPr>
          <w:rFonts w:ascii="Verdana" w:hAnsi="Verdana"/>
          <w:sz w:val="16"/>
          <w:szCs w:val="16"/>
          <w:lang w:val="es-MX"/>
        </w:rPr>
        <w:t>Paillalao</w:t>
      </w:r>
      <w:proofErr w:type="spellEnd"/>
      <w:r w:rsidRPr="00E052E1">
        <w:rPr>
          <w:rFonts w:ascii="Verdana" w:hAnsi="Verdana"/>
          <w:sz w:val="16"/>
          <w:szCs w:val="16"/>
          <w:lang w:val="es-MX"/>
        </w:rPr>
        <w:t xml:space="preserve"> (Juan Segundo, Marina Mercedes, Rafael Genaro, </w:t>
      </w:r>
      <w:proofErr w:type="spellStart"/>
      <w:r w:rsidRPr="00E052E1">
        <w:rPr>
          <w:rFonts w:ascii="Verdana" w:hAnsi="Verdana"/>
          <w:sz w:val="16"/>
          <w:szCs w:val="16"/>
          <w:lang w:val="es-MX"/>
        </w:rPr>
        <w:t>Jamelia</w:t>
      </w:r>
      <w:proofErr w:type="spellEnd"/>
      <w:r w:rsidRPr="00E052E1">
        <w:rPr>
          <w:rFonts w:ascii="Verdana" w:hAnsi="Verdana"/>
          <w:sz w:val="16"/>
          <w:szCs w:val="16"/>
          <w:lang w:val="es-MX"/>
        </w:rPr>
        <w:t xml:space="preserve"> María, Carlos Patricio, Pascual Alejandro y </w:t>
      </w:r>
      <w:proofErr w:type="spellStart"/>
      <w:r w:rsidRPr="00E052E1">
        <w:rPr>
          <w:rFonts w:ascii="Verdana" w:hAnsi="Verdana"/>
          <w:sz w:val="16"/>
          <w:szCs w:val="16"/>
          <w:lang w:val="es-MX"/>
        </w:rPr>
        <w:t>Nayadet</w:t>
      </w:r>
      <w:proofErr w:type="spellEnd"/>
      <w:r w:rsidRPr="00E052E1">
        <w:rPr>
          <w:rFonts w:ascii="Verdana" w:hAnsi="Verdana"/>
          <w:sz w:val="16"/>
          <w:szCs w:val="16"/>
          <w:lang w:val="es-MX"/>
        </w:rPr>
        <w:t xml:space="preserve"> Alicia, todos de apellido Pichún </w:t>
      </w:r>
      <w:proofErr w:type="spellStart"/>
      <w:r w:rsidRPr="00E052E1">
        <w:rPr>
          <w:rFonts w:ascii="Verdana" w:hAnsi="Verdana"/>
          <w:sz w:val="16"/>
          <w:szCs w:val="16"/>
          <w:lang w:val="es-MX"/>
        </w:rPr>
        <w:t>Collonao</w:t>
      </w:r>
      <w:proofErr w:type="spellEnd"/>
      <w:r w:rsidRPr="00E052E1">
        <w:rPr>
          <w:rFonts w:ascii="Verdana" w:hAnsi="Verdana"/>
          <w:sz w:val="16"/>
          <w:szCs w:val="16"/>
          <w:lang w:val="es-MX"/>
        </w:rPr>
        <w:t xml:space="preserve">). </w:t>
      </w:r>
    </w:p>
  </w:footnote>
  <w:footnote w:id="62">
    <w:p w14:paraId="3B441A40" w14:textId="791BBC98"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lang w:val="es-MX"/>
        </w:rPr>
        <w:t>Cfr.</w:t>
      </w:r>
      <w:r w:rsidRPr="00E052E1">
        <w:rPr>
          <w:rFonts w:ascii="Verdana" w:hAnsi="Verdana"/>
          <w:sz w:val="16"/>
          <w:szCs w:val="16"/>
          <w:lang w:val="es-MX"/>
        </w:rPr>
        <w:t xml:space="preserve"> Resolución Exenta Nº 3343 del </w:t>
      </w:r>
      <w:r w:rsidR="006F689A">
        <w:rPr>
          <w:rFonts w:ascii="Verdana" w:hAnsi="Verdana"/>
          <w:sz w:val="16"/>
          <w:szCs w:val="16"/>
          <w:lang w:val="es-MX"/>
        </w:rPr>
        <w:t xml:space="preserve">Subsecretario de Educación, </w:t>
      </w:r>
      <w:r w:rsidRPr="00E052E1">
        <w:rPr>
          <w:rFonts w:ascii="Verdana" w:hAnsi="Verdana"/>
          <w:sz w:val="16"/>
          <w:szCs w:val="16"/>
          <w:lang w:val="es-MX"/>
        </w:rPr>
        <w:t xml:space="preserve">Ministerio de Educación de 5 de julio de 2018 (anexo 10 al informe </w:t>
      </w:r>
      <w:r w:rsidR="00D6334D">
        <w:rPr>
          <w:rFonts w:ascii="Verdana" w:hAnsi="Verdana"/>
          <w:sz w:val="16"/>
          <w:szCs w:val="16"/>
          <w:lang w:val="es-MX"/>
        </w:rPr>
        <w:t>e</w:t>
      </w:r>
      <w:r w:rsidR="0051391E">
        <w:rPr>
          <w:rFonts w:ascii="Verdana" w:hAnsi="Verdana"/>
          <w:sz w:val="16"/>
          <w:szCs w:val="16"/>
          <w:lang w:val="es-MX"/>
        </w:rPr>
        <w:t>statal de 2 de agosto de 2019)</w:t>
      </w:r>
      <w:r w:rsidR="00D6334D">
        <w:rPr>
          <w:rFonts w:ascii="Verdana" w:hAnsi="Verdana"/>
          <w:sz w:val="16"/>
          <w:szCs w:val="16"/>
          <w:lang w:val="es-MX"/>
        </w:rPr>
        <w:t xml:space="preserve">. </w:t>
      </w:r>
    </w:p>
  </w:footnote>
  <w:footnote w:id="63">
    <w:p w14:paraId="4CD427F5" w14:textId="5DBD63DF" w:rsidR="0051391E" w:rsidRPr="0051391E" w:rsidRDefault="0051391E" w:rsidP="00950477">
      <w:pPr>
        <w:pStyle w:val="Textonotapie"/>
        <w:jc w:val="both"/>
        <w:rPr>
          <w:rFonts w:ascii="Verdana" w:hAnsi="Verdana"/>
          <w:sz w:val="16"/>
        </w:rPr>
      </w:pPr>
      <w:r>
        <w:rPr>
          <w:rStyle w:val="Refdenotaalpie"/>
        </w:rPr>
        <w:footnoteRef/>
      </w:r>
      <w:r>
        <w:t xml:space="preserve"> </w:t>
      </w:r>
      <w:r>
        <w:tab/>
      </w:r>
      <w:r w:rsidRPr="0051391E">
        <w:rPr>
          <w:rFonts w:ascii="Verdana" w:hAnsi="Verdana"/>
          <w:i/>
          <w:sz w:val="16"/>
        </w:rPr>
        <w:t>Cfr.</w:t>
      </w:r>
      <w:r w:rsidRPr="0051391E">
        <w:rPr>
          <w:rFonts w:ascii="Verdana" w:hAnsi="Verdana"/>
          <w:sz w:val="16"/>
        </w:rPr>
        <w:t xml:space="preserve"> Oficio Ordinal Nº 4/488 del Subsecretario de Edu</w:t>
      </w:r>
      <w:r>
        <w:rPr>
          <w:rFonts w:ascii="Verdana" w:hAnsi="Verdana"/>
          <w:sz w:val="16"/>
        </w:rPr>
        <w:t>cación, Ministerio de Educación</w:t>
      </w:r>
      <w:r w:rsidRPr="0051391E">
        <w:rPr>
          <w:rFonts w:ascii="Verdana" w:hAnsi="Verdana"/>
          <w:sz w:val="16"/>
        </w:rPr>
        <w:t xml:space="preserve"> de 24 de abril de 2019 (anexo 8 al informe estatal de 2 de agosto de 2019). </w:t>
      </w:r>
    </w:p>
  </w:footnote>
  <w:footnote w:id="64">
    <w:p w14:paraId="5EF2E5E9" w14:textId="513422C7" w:rsidR="003D2056" w:rsidRPr="003D2056" w:rsidRDefault="003D2056" w:rsidP="00950477">
      <w:pPr>
        <w:pStyle w:val="Textonotapie"/>
        <w:jc w:val="both"/>
        <w:rPr>
          <w:lang w:val="es-MX"/>
        </w:rPr>
      </w:pPr>
      <w:r>
        <w:rPr>
          <w:rStyle w:val="Refdenotaalpie"/>
        </w:rPr>
        <w:footnoteRef/>
      </w:r>
      <w:r>
        <w:t xml:space="preserve"> </w:t>
      </w:r>
      <w:r>
        <w:tab/>
      </w:r>
      <w:r w:rsidRPr="00E052E1">
        <w:rPr>
          <w:rFonts w:ascii="Verdana" w:hAnsi="Verdana"/>
          <w:i/>
          <w:sz w:val="16"/>
          <w:szCs w:val="16"/>
          <w:lang w:val="es-MX"/>
        </w:rPr>
        <w:t>Cfr.</w:t>
      </w:r>
      <w:r w:rsidRPr="00E052E1">
        <w:rPr>
          <w:rFonts w:ascii="Verdana" w:hAnsi="Verdana"/>
          <w:sz w:val="16"/>
          <w:szCs w:val="16"/>
          <w:lang w:val="es-MX"/>
        </w:rPr>
        <w:t xml:space="preserve"> Oficio Ordinal Nº 4/488, del 24 de abril de 2019, del Subsecretario de Educación, Ministerio de Educación (anexo 8 al informe </w:t>
      </w:r>
      <w:r w:rsidR="0051391E">
        <w:rPr>
          <w:rFonts w:ascii="Verdana" w:hAnsi="Verdana"/>
          <w:sz w:val="16"/>
          <w:szCs w:val="16"/>
          <w:lang w:val="es-MX"/>
        </w:rPr>
        <w:t>estatal de 2 de agosto de 2019).</w:t>
      </w:r>
    </w:p>
  </w:footnote>
  <w:footnote w:id="65">
    <w:p w14:paraId="430AEDB4" w14:textId="2BB423EC" w:rsidR="008B0840" w:rsidRPr="00E052E1" w:rsidRDefault="008B0840"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El Estado precisó que, para determinar el monto final que percibe cada persona beneficiaria, “se descuentan del total que le corresponde de acuerdo a su nivel educativo” el monto de “los beneficios” de los que goza previamente. Asimismo, en el caso de quienes estudian en el nivel superior, el monto final también se calcula en base a los valores reales, no referenciales, de la matrícula y arancel del programa de estudios en el cual </w:t>
      </w:r>
      <w:r w:rsidR="001539CF">
        <w:rPr>
          <w:rFonts w:ascii="Verdana" w:hAnsi="Verdana"/>
          <w:sz w:val="16"/>
          <w:szCs w:val="16"/>
        </w:rPr>
        <w:t xml:space="preserve">dichos beneficiarios </w:t>
      </w:r>
      <w:r w:rsidRPr="00E052E1">
        <w:rPr>
          <w:rFonts w:ascii="Verdana" w:hAnsi="Verdana"/>
          <w:sz w:val="16"/>
          <w:szCs w:val="16"/>
        </w:rPr>
        <w:t xml:space="preserve">están inscriptos.  </w:t>
      </w:r>
      <w:r w:rsidRPr="00E052E1">
        <w:rPr>
          <w:rFonts w:ascii="Verdana" w:hAnsi="Verdana"/>
          <w:i/>
          <w:sz w:val="16"/>
          <w:szCs w:val="16"/>
        </w:rPr>
        <w:t>Cfr.</w:t>
      </w:r>
      <w:r w:rsidRPr="00E052E1">
        <w:rPr>
          <w:rFonts w:ascii="Verdana" w:hAnsi="Verdana"/>
          <w:sz w:val="16"/>
          <w:szCs w:val="16"/>
        </w:rPr>
        <w:t xml:space="preserve"> Informe estatal de 2 de agosto de 2019. </w:t>
      </w:r>
    </w:p>
  </w:footnote>
  <w:footnote w:id="66">
    <w:p w14:paraId="18CF5730" w14:textId="514EAF89" w:rsidR="00453ED8" w:rsidRPr="00E052E1" w:rsidRDefault="00453ED8" w:rsidP="00950477">
      <w:pPr>
        <w:pStyle w:val="Textonotapie"/>
        <w:jc w:val="both"/>
        <w:rPr>
          <w:rFonts w:ascii="Verdana" w:hAnsi="Verdana"/>
          <w:sz w:val="16"/>
          <w:szCs w:val="16"/>
        </w:rPr>
      </w:pPr>
      <w:r w:rsidRPr="00E052E1">
        <w:rPr>
          <w:rStyle w:val="Refdenotaalpie"/>
          <w:rFonts w:ascii="Verdana" w:hAnsi="Verdana"/>
          <w:sz w:val="16"/>
          <w:szCs w:val="16"/>
        </w:rPr>
        <w:footnoteRef/>
      </w:r>
      <w:r w:rsidRPr="00E052E1">
        <w:rPr>
          <w:rFonts w:ascii="Verdana" w:hAnsi="Verdana"/>
          <w:sz w:val="16"/>
          <w:szCs w:val="16"/>
        </w:rPr>
        <w:t xml:space="preserve"> </w:t>
      </w:r>
      <w:r w:rsidR="00C110A0">
        <w:rPr>
          <w:rFonts w:ascii="Verdana" w:hAnsi="Verdana"/>
          <w:sz w:val="16"/>
          <w:szCs w:val="16"/>
        </w:rPr>
        <w:tab/>
      </w:r>
      <w:r w:rsidR="00C110A0" w:rsidRPr="00E052E1">
        <w:rPr>
          <w:rFonts w:ascii="Verdana" w:hAnsi="Verdana"/>
          <w:i/>
          <w:sz w:val="16"/>
          <w:szCs w:val="16"/>
          <w:lang w:val="es-MX"/>
        </w:rPr>
        <w:t>Cfr.</w:t>
      </w:r>
      <w:r w:rsidR="00C110A0" w:rsidRPr="00E052E1">
        <w:rPr>
          <w:rFonts w:ascii="Verdana" w:hAnsi="Verdana"/>
          <w:sz w:val="16"/>
          <w:szCs w:val="16"/>
          <w:lang w:val="es-MX"/>
        </w:rPr>
        <w:t xml:space="preserve"> Oficio Ordinal Nº</w:t>
      </w:r>
      <w:r w:rsidR="001539CF">
        <w:rPr>
          <w:rFonts w:ascii="Verdana" w:hAnsi="Verdana"/>
          <w:sz w:val="16"/>
          <w:szCs w:val="16"/>
          <w:lang w:val="es-MX"/>
        </w:rPr>
        <w:t xml:space="preserve"> 4/488, del 24 de abril de 2019</w:t>
      </w:r>
      <w:r w:rsidR="00C110A0" w:rsidRPr="00E052E1">
        <w:rPr>
          <w:rFonts w:ascii="Verdana" w:hAnsi="Verdana"/>
          <w:sz w:val="16"/>
          <w:szCs w:val="16"/>
          <w:lang w:val="es-MX"/>
        </w:rPr>
        <w:t xml:space="preserve"> del Subsecretario de Educación, Ministerio de</w:t>
      </w:r>
      <w:r w:rsidR="000163F7">
        <w:rPr>
          <w:rFonts w:ascii="Verdana" w:hAnsi="Verdana"/>
          <w:sz w:val="16"/>
          <w:szCs w:val="16"/>
          <w:lang w:val="es-MX"/>
        </w:rPr>
        <w:t xml:space="preserve"> </w:t>
      </w:r>
      <w:r w:rsidR="00C110A0" w:rsidRPr="00E052E1">
        <w:rPr>
          <w:rFonts w:ascii="Verdana" w:hAnsi="Verdana"/>
          <w:sz w:val="16"/>
          <w:szCs w:val="16"/>
          <w:lang w:val="es-MX"/>
        </w:rPr>
        <w:t>Educación (anexo 8 al informe estatal de 2 de agosto de 2019).</w:t>
      </w:r>
    </w:p>
  </w:footnote>
  <w:footnote w:id="67">
    <w:p w14:paraId="4E7D029E" w14:textId="2FBDC2D7"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sz w:val="16"/>
          <w:szCs w:val="16"/>
          <w:lang w:val="es-MX"/>
        </w:rPr>
        <w:t xml:space="preserve">Explicó que ello se debe a dos razones: por un lado, debido a que la JUNAEB, para calcular el monto de las becas educativas, examina al final de cada semestre si los estudiantes perciben otros beneficios, los cuales deben ser descontados y, así, “evitar duplicidad de pagos”. Por el otro lado, obedecería “al retraso en la entrega de la documentación que debe entregar el beneficiario” para acreditar que se encuentra inscripto en el sistema educativa en el semestre en curso. </w:t>
      </w:r>
      <w:r w:rsidRPr="00E052E1">
        <w:rPr>
          <w:rFonts w:ascii="Verdana" w:hAnsi="Verdana"/>
          <w:i/>
          <w:sz w:val="16"/>
          <w:szCs w:val="16"/>
        </w:rPr>
        <w:t>Cfr.</w:t>
      </w:r>
      <w:r w:rsidRPr="00E052E1">
        <w:rPr>
          <w:rFonts w:ascii="Verdana" w:hAnsi="Verdana"/>
          <w:sz w:val="16"/>
          <w:szCs w:val="16"/>
        </w:rPr>
        <w:t xml:space="preserve"> </w:t>
      </w:r>
      <w:r w:rsidRPr="00E052E1">
        <w:rPr>
          <w:rFonts w:ascii="Verdana" w:hAnsi="Verdana" w:cs="Times New Roman"/>
          <w:color w:val="080808"/>
          <w:sz w:val="16"/>
          <w:szCs w:val="16"/>
        </w:rPr>
        <w:t xml:space="preserve">Oficio Ordinal Nº 4/488, del 24 de abril de 2019, del Subsecretario de Educación, Ministerio de Educación (anexo 8 al informe estatal de 2 de agosto de 2019). </w:t>
      </w:r>
    </w:p>
  </w:footnote>
  <w:footnote w:id="68">
    <w:p w14:paraId="0F9052F8" w14:textId="00EABCC7"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La FIDH resaltó “la falta de un instrumento legal (Ley) que permita tener seguridad a futuro y no dependa [para los pagos de las prestaciones educativas] de un gobierno de turno como lo es en la actualidad”. Asimismo, la representante Myriam Reyes manifestó que es necesario que “se explicite que [la beca] dura hasta la conclusión de los estudios universitarios del </w:t>
      </w:r>
      <w:r w:rsidR="001847F7">
        <w:rPr>
          <w:rFonts w:ascii="Verdana" w:hAnsi="Verdana"/>
          <w:sz w:val="16"/>
          <w:szCs w:val="16"/>
        </w:rPr>
        <w:t xml:space="preserve">beneficiario, sin perjuicio de </w:t>
      </w:r>
      <w:proofErr w:type="gramStart"/>
      <w:r w:rsidRPr="00E052E1">
        <w:rPr>
          <w:rFonts w:ascii="Verdana" w:hAnsi="Verdana"/>
          <w:sz w:val="16"/>
          <w:szCs w:val="16"/>
        </w:rPr>
        <w:t>cuán</w:t>
      </w:r>
      <w:r w:rsidR="001847F7">
        <w:rPr>
          <w:rFonts w:ascii="Verdana" w:hAnsi="Verdana"/>
          <w:sz w:val="16"/>
          <w:szCs w:val="16"/>
        </w:rPr>
        <w:t>[</w:t>
      </w:r>
      <w:proofErr w:type="gramEnd"/>
      <w:r w:rsidRPr="00E052E1">
        <w:rPr>
          <w:rFonts w:ascii="Verdana" w:hAnsi="Verdana"/>
          <w:sz w:val="16"/>
          <w:szCs w:val="16"/>
        </w:rPr>
        <w:t>to…] demore […] y de que eventualmente pueda reiniciar estudios universitarios o técnicos”.</w:t>
      </w:r>
      <w:r w:rsidRPr="00E052E1">
        <w:rPr>
          <w:rFonts w:ascii="Verdana" w:hAnsi="Verdana"/>
          <w:b/>
          <w:sz w:val="16"/>
          <w:szCs w:val="16"/>
        </w:rPr>
        <w:t xml:space="preserve"> </w:t>
      </w:r>
    </w:p>
  </w:footnote>
  <w:footnote w:id="69">
    <w:p w14:paraId="0CFCFFDB" w14:textId="58E01B7D"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lang w:val="es-MX"/>
        </w:rPr>
        <w:t xml:space="preserve">Cfr. Caso </w:t>
      </w:r>
      <w:proofErr w:type="spellStart"/>
      <w:r w:rsidRPr="00E052E1">
        <w:rPr>
          <w:rFonts w:ascii="Verdana" w:hAnsi="Verdana"/>
          <w:i/>
          <w:sz w:val="16"/>
          <w:szCs w:val="16"/>
          <w:lang w:val="es-MX"/>
        </w:rPr>
        <w:t>Norín</w:t>
      </w:r>
      <w:proofErr w:type="spellEnd"/>
      <w:r w:rsidRPr="00E052E1">
        <w:rPr>
          <w:rFonts w:ascii="Verdana" w:hAnsi="Verdana"/>
          <w:i/>
          <w:sz w:val="16"/>
          <w:szCs w:val="16"/>
          <w:lang w:val="es-MX"/>
        </w:rPr>
        <w:t xml:space="preserve"> </w:t>
      </w:r>
      <w:proofErr w:type="spellStart"/>
      <w:r w:rsidRPr="00E052E1">
        <w:rPr>
          <w:rFonts w:ascii="Verdana" w:hAnsi="Verdana"/>
          <w:i/>
          <w:sz w:val="16"/>
          <w:szCs w:val="16"/>
          <w:lang w:val="es-MX"/>
        </w:rPr>
        <w:t>Catrimán</w:t>
      </w:r>
      <w:proofErr w:type="spellEnd"/>
      <w:r w:rsidRPr="00E052E1">
        <w:rPr>
          <w:rFonts w:ascii="Verdana" w:hAnsi="Verdana"/>
          <w:i/>
          <w:sz w:val="16"/>
          <w:szCs w:val="16"/>
          <w:lang w:val="es-MX"/>
        </w:rPr>
        <w:t xml:space="preserve"> y otros (Dirigentes, miembros y activista del Pueblo Indígena Mapuche) Vs. Chile. Supervisión de cumplimiento de sentencia</w:t>
      </w:r>
      <w:r w:rsidRPr="00E052E1">
        <w:rPr>
          <w:rFonts w:ascii="Verdana" w:hAnsi="Verdana"/>
          <w:sz w:val="16"/>
          <w:szCs w:val="16"/>
          <w:lang w:val="es-MX"/>
        </w:rPr>
        <w:t xml:space="preserve">, </w:t>
      </w:r>
      <w:r w:rsidRPr="00E052E1">
        <w:rPr>
          <w:rFonts w:ascii="Verdana" w:hAnsi="Verdana"/>
          <w:i/>
          <w:sz w:val="16"/>
          <w:szCs w:val="16"/>
          <w:lang w:val="es-MX"/>
        </w:rPr>
        <w:t xml:space="preserve">supra </w:t>
      </w:r>
      <w:r w:rsidRPr="00E052E1">
        <w:rPr>
          <w:rFonts w:ascii="Verdana" w:hAnsi="Verdana"/>
          <w:sz w:val="16"/>
          <w:szCs w:val="16"/>
          <w:lang w:val="es-MX"/>
        </w:rPr>
        <w:t xml:space="preserve">nota </w:t>
      </w:r>
      <w:r w:rsidR="00165BCC">
        <w:rPr>
          <w:rFonts w:ascii="Verdana" w:hAnsi="Verdana"/>
          <w:sz w:val="16"/>
          <w:szCs w:val="16"/>
          <w:lang w:val="es-MX"/>
        </w:rPr>
        <w:t>13</w:t>
      </w:r>
      <w:r w:rsidRPr="00E052E1">
        <w:rPr>
          <w:rFonts w:ascii="Verdana" w:hAnsi="Verdana"/>
          <w:sz w:val="16"/>
          <w:szCs w:val="16"/>
          <w:lang w:val="es-MX"/>
        </w:rPr>
        <w:t>, Considerando 4</w:t>
      </w:r>
      <w:r w:rsidR="001847F7">
        <w:rPr>
          <w:rFonts w:ascii="Verdana" w:hAnsi="Verdana"/>
          <w:sz w:val="16"/>
          <w:szCs w:val="16"/>
          <w:lang w:val="es-MX"/>
        </w:rPr>
        <w:t>9</w:t>
      </w:r>
      <w:r w:rsidRPr="00E052E1">
        <w:rPr>
          <w:rFonts w:ascii="Verdana" w:hAnsi="Verdana"/>
          <w:sz w:val="16"/>
          <w:szCs w:val="16"/>
          <w:lang w:val="es-MX"/>
        </w:rPr>
        <w:t xml:space="preserve">. </w:t>
      </w:r>
    </w:p>
  </w:footnote>
  <w:footnote w:id="70">
    <w:p w14:paraId="2D8B767C" w14:textId="04608A1D" w:rsidR="00453ED8" w:rsidRPr="008113D6"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rPr>
        <w:t>Cfr.</w:t>
      </w:r>
      <w:r w:rsidRPr="00E052E1">
        <w:rPr>
          <w:rFonts w:ascii="Verdana" w:hAnsi="Verdana"/>
          <w:sz w:val="16"/>
          <w:szCs w:val="16"/>
        </w:rPr>
        <w:t xml:space="preserve"> Responsabilidad internacional por expedición y aplicación de leyes violatorias de la Convención (arts. 1 y 2 Convención Americana sobre Derechos Humanos). Opinión Consultiva OC-14/94 de 9 de diciembre de 1994. Serie A No. 14, párr. 35; </w:t>
      </w:r>
      <w:r w:rsidRPr="00E052E1">
        <w:rPr>
          <w:rFonts w:ascii="Verdana" w:hAnsi="Verdana"/>
          <w:i/>
          <w:sz w:val="16"/>
          <w:szCs w:val="16"/>
        </w:rPr>
        <w:t xml:space="preserve">Caso Castillo </w:t>
      </w:r>
      <w:proofErr w:type="spellStart"/>
      <w:r w:rsidRPr="00E052E1">
        <w:rPr>
          <w:rFonts w:ascii="Verdana" w:hAnsi="Verdana"/>
          <w:i/>
          <w:sz w:val="16"/>
          <w:szCs w:val="16"/>
        </w:rPr>
        <w:t>Petruzzi</w:t>
      </w:r>
      <w:proofErr w:type="spellEnd"/>
      <w:r w:rsidRPr="00E052E1">
        <w:rPr>
          <w:rFonts w:ascii="Verdana" w:hAnsi="Verdana"/>
          <w:i/>
          <w:sz w:val="16"/>
          <w:szCs w:val="16"/>
        </w:rPr>
        <w:t xml:space="preserve"> y otros Vs. Perú. Supervisión de Cumplimiento de Sentencia. </w:t>
      </w:r>
      <w:r w:rsidRPr="00E052E1">
        <w:rPr>
          <w:rFonts w:ascii="Verdana" w:hAnsi="Verdana"/>
          <w:sz w:val="16"/>
          <w:szCs w:val="16"/>
        </w:rPr>
        <w:t xml:space="preserve">Resolución de la Corte Interamericana de Derechos Humanos de 17 de noviembre de 1999, Considerando 4, y </w:t>
      </w:r>
      <w:r w:rsidRPr="008113D6">
        <w:rPr>
          <w:rFonts w:ascii="Verdana" w:hAnsi="Verdana"/>
          <w:i/>
          <w:sz w:val="16"/>
          <w:szCs w:val="16"/>
        </w:rPr>
        <w:t>Caso Órdenes Guerra Vs. Chile. Supervisión de cumplimiento de sentencia.</w:t>
      </w:r>
      <w:r w:rsidRPr="008113D6">
        <w:rPr>
          <w:rFonts w:ascii="Verdana" w:hAnsi="Verdana"/>
          <w:sz w:val="16"/>
          <w:szCs w:val="16"/>
        </w:rPr>
        <w:t xml:space="preserve"> Resolución de la Corte Interamericana de Derechos Humanos de 21 de julio de 2020, Considerando 19. </w:t>
      </w:r>
    </w:p>
  </w:footnote>
  <w:footnote w:id="71">
    <w:p w14:paraId="2B7F67FE" w14:textId="77777777" w:rsidR="00981474" w:rsidRPr="00E052E1" w:rsidRDefault="00981474"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Adicionalmente, “el Tribunal </w:t>
      </w:r>
      <w:proofErr w:type="spellStart"/>
      <w:r w:rsidRPr="00E052E1">
        <w:rPr>
          <w:rFonts w:ascii="Verdana" w:hAnsi="Verdana"/>
          <w:sz w:val="16"/>
          <w:szCs w:val="16"/>
        </w:rPr>
        <w:t>rec</w:t>
      </w:r>
      <w:proofErr w:type="spellEnd"/>
      <w:r w:rsidRPr="00E052E1">
        <w:rPr>
          <w:rFonts w:ascii="Verdana" w:hAnsi="Verdana"/>
          <w:sz w:val="16"/>
          <w:szCs w:val="16"/>
        </w:rPr>
        <w:t>[</w:t>
      </w:r>
      <w:proofErr w:type="spellStart"/>
      <w:r w:rsidRPr="00E052E1">
        <w:rPr>
          <w:rFonts w:ascii="Verdana" w:hAnsi="Verdana"/>
          <w:sz w:val="16"/>
          <w:szCs w:val="16"/>
        </w:rPr>
        <w:t>ordó</w:t>
      </w:r>
      <w:proofErr w:type="spellEnd"/>
      <w:r w:rsidRPr="00E052E1">
        <w:rPr>
          <w:rFonts w:ascii="Verdana" w:hAnsi="Verdana"/>
          <w:sz w:val="16"/>
          <w:szCs w:val="16"/>
        </w:rPr>
        <w:t xml:space="preserve">] </w:t>
      </w:r>
      <w:proofErr w:type="gramStart"/>
      <w:r w:rsidRPr="00E052E1">
        <w:rPr>
          <w:rFonts w:ascii="Verdana" w:hAnsi="Verdana"/>
          <w:sz w:val="16"/>
          <w:szCs w:val="16"/>
        </w:rPr>
        <w:t>que</w:t>
      </w:r>
      <w:proofErr w:type="gramEnd"/>
      <w:r w:rsidRPr="00E052E1">
        <w:rPr>
          <w:rFonts w:ascii="Verdana" w:hAnsi="Verdana"/>
          <w:sz w:val="16"/>
          <w:szCs w:val="16"/>
        </w:rPr>
        <w:t xml:space="preserve"> a fin de garantizar dicho derecho de la defensa a interrogar testigos, las autoridades judiciales deben aplicar [los] criterios o estándares establecidos por la Corte […] en ejercicio del control de convencionalidad”.</w:t>
      </w:r>
    </w:p>
  </w:footnote>
  <w:footnote w:id="72">
    <w:p w14:paraId="51C53E2F" w14:textId="77777777" w:rsidR="00981474" w:rsidRPr="00E052E1" w:rsidRDefault="00981474"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lang w:val="es-MX"/>
        </w:rPr>
        <w:t>Cfr</w:t>
      </w:r>
      <w:r w:rsidRPr="00E052E1">
        <w:rPr>
          <w:rFonts w:ascii="Verdana" w:hAnsi="Verdana"/>
          <w:sz w:val="16"/>
          <w:szCs w:val="16"/>
          <w:lang w:val="es-MX"/>
        </w:rPr>
        <w:t xml:space="preserve">. </w:t>
      </w:r>
      <w:r w:rsidRPr="00A2495D">
        <w:rPr>
          <w:rFonts w:ascii="Verdana" w:hAnsi="Verdana"/>
          <w:sz w:val="16"/>
          <w:szCs w:val="16"/>
          <w:lang w:val="es-MX"/>
        </w:rPr>
        <w:t>Oficio Nº 1661 del 15 de marzo de 2019</w:t>
      </w:r>
      <w:r>
        <w:rPr>
          <w:rFonts w:ascii="Verdana" w:hAnsi="Verdana"/>
          <w:sz w:val="16"/>
          <w:szCs w:val="16"/>
          <w:lang w:val="es-MX"/>
        </w:rPr>
        <w:t>, del Subsecretario de Justicia</w:t>
      </w:r>
      <w:r w:rsidRPr="00A2495D">
        <w:rPr>
          <w:rFonts w:ascii="Verdana" w:hAnsi="Verdana"/>
          <w:sz w:val="16"/>
          <w:szCs w:val="16"/>
          <w:lang w:val="es-MX"/>
        </w:rPr>
        <w:t xml:space="preserve"> </w:t>
      </w:r>
      <w:r>
        <w:rPr>
          <w:rFonts w:ascii="Verdana" w:hAnsi="Verdana"/>
          <w:sz w:val="16"/>
          <w:szCs w:val="16"/>
          <w:lang w:val="es-MX"/>
        </w:rPr>
        <w:t xml:space="preserve">(anexo 18 al informe estatal de 2 de agosto de 2019), y </w:t>
      </w:r>
      <w:r w:rsidRPr="00E052E1">
        <w:rPr>
          <w:rFonts w:ascii="Verdana" w:hAnsi="Verdana"/>
          <w:sz w:val="16"/>
          <w:szCs w:val="16"/>
          <w:lang w:val="es-MX"/>
        </w:rPr>
        <w:t xml:space="preserve">Cuarto Boletín, Indicaciones, Boletines Números 9.669-07 Y 9.692-07, 2/05/2018, Indicaciones formuladas durante la discusión en general del proyecto de ley, en primer trámite constitucional, que determina conductas terroristas y su penalidad, y modifica los Códigos Penal y Procesal Penal, indicaciones presentadas al Boletín Nº 9.692-07 (Mensaje) (anexo 19 al informe estatal de 2 de agosto de 2019). </w:t>
      </w:r>
    </w:p>
  </w:footnote>
  <w:footnote w:id="73">
    <w:p w14:paraId="16EF72C9" w14:textId="41346411" w:rsidR="00981474" w:rsidRPr="00E052E1" w:rsidRDefault="00981474"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lang w:val="es-MX"/>
        </w:rPr>
        <w:t xml:space="preserve">Cfr. Caso </w:t>
      </w:r>
      <w:proofErr w:type="spellStart"/>
      <w:r w:rsidRPr="00E052E1">
        <w:rPr>
          <w:rFonts w:ascii="Verdana" w:hAnsi="Verdana"/>
          <w:i/>
          <w:sz w:val="16"/>
          <w:szCs w:val="16"/>
          <w:lang w:val="es-MX"/>
        </w:rPr>
        <w:t>Norín</w:t>
      </w:r>
      <w:proofErr w:type="spellEnd"/>
      <w:r w:rsidRPr="00E052E1">
        <w:rPr>
          <w:rFonts w:ascii="Verdana" w:hAnsi="Verdana"/>
          <w:i/>
          <w:sz w:val="16"/>
          <w:szCs w:val="16"/>
          <w:lang w:val="es-MX"/>
        </w:rPr>
        <w:t xml:space="preserve"> </w:t>
      </w:r>
      <w:proofErr w:type="spellStart"/>
      <w:r w:rsidRPr="00E052E1">
        <w:rPr>
          <w:rFonts w:ascii="Verdana" w:hAnsi="Verdana"/>
          <w:i/>
          <w:sz w:val="16"/>
          <w:szCs w:val="16"/>
          <w:lang w:val="es-MX"/>
        </w:rPr>
        <w:t>Catrimán</w:t>
      </w:r>
      <w:proofErr w:type="spellEnd"/>
      <w:r w:rsidRPr="00E052E1">
        <w:rPr>
          <w:rFonts w:ascii="Verdana" w:hAnsi="Verdana"/>
          <w:i/>
          <w:sz w:val="16"/>
          <w:szCs w:val="16"/>
          <w:lang w:val="es-MX"/>
        </w:rPr>
        <w:t xml:space="preserve"> y otros (Dirigentes, miembros y activista del Pueblo Indígena Mapuche) Vs. Chile. Supervisión de cumplimiento de sentencia</w:t>
      </w:r>
      <w:r w:rsidRPr="00E052E1">
        <w:rPr>
          <w:rFonts w:ascii="Verdana" w:hAnsi="Verdana"/>
          <w:sz w:val="16"/>
          <w:szCs w:val="16"/>
          <w:lang w:val="es-MX"/>
        </w:rPr>
        <w:t xml:space="preserve">, </w:t>
      </w:r>
      <w:r w:rsidRPr="00E052E1">
        <w:rPr>
          <w:rFonts w:ascii="Verdana" w:hAnsi="Verdana"/>
          <w:i/>
          <w:sz w:val="16"/>
          <w:szCs w:val="16"/>
          <w:lang w:val="es-MX"/>
        </w:rPr>
        <w:t xml:space="preserve">supra </w:t>
      </w:r>
      <w:r w:rsidR="00EB5E87">
        <w:rPr>
          <w:rFonts w:ascii="Verdana" w:hAnsi="Verdana"/>
          <w:sz w:val="16"/>
          <w:szCs w:val="16"/>
          <w:lang w:val="es-MX"/>
        </w:rPr>
        <w:t xml:space="preserve">nota </w:t>
      </w:r>
      <w:r w:rsidR="00165BCC">
        <w:rPr>
          <w:rFonts w:ascii="Verdana" w:hAnsi="Verdana"/>
          <w:sz w:val="16"/>
          <w:szCs w:val="16"/>
          <w:lang w:val="es-MX"/>
        </w:rPr>
        <w:t>13</w:t>
      </w:r>
      <w:r w:rsidRPr="00E052E1">
        <w:rPr>
          <w:rFonts w:ascii="Verdana" w:hAnsi="Verdana"/>
          <w:sz w:val="16"/>
          <w:szCs w:val="16"/>
          <w:lang w:val="es-MX"/>
        </w:rPr>
        <w:t xml:space="preserve">, Considerando 63. </w:t>
      </w:r>
    </w:p>
  </w:footnote>
  <w:footnote w:id="74">
    <w:p w14:paraId="7B133719" w14:textId="77777777" w:rsidR="00981474" w:rsidRPr="00E052E1" w:rsidRDefault="00981474" w:rsidP="00950477">
      <w:pPr>
        <w:pStyle w:val="Textonotapie"/>
        <w:jc w:val="both"/>
        <w:rPr>
          <w:rFonts w:ascii="Verdana" w:hAnsi="Verdana"/>
          <w:sz w:val="16"/>
          <w:szCs w:val="16"/>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“Artículo 308.- Protección a los testigos. El tribunal, en casos graves y calificados, podrá, por solicitud de cualquiera de las partes o del propio testigo, disponer medidas especiales destinadas a proteger la seguridad de este último, las que podrán consistir, entre otras, en autorizarlo para deponer vía sistema de vídeo conferencia, separado del resto de la sala de audiencias mediante algún sistema de obstrucción visual, o por otros mecanismos que impidan el contacto directo del testigo con los intervinientes o el público. Dichas medidas durarán el tiempo razonable que el tribunal dispusiere y podrán ser renovadas cuantas veces fuere necesario. </w:t>
      </w:r>
    </w:p>
    <w:p w14:paraId="2B35AF1F" w14:textId="77777777" w:rsidR="00981474" w:rsidRPr="00E052E1" w:rsidRDefault="00981474" w:rsidP="00950477">
      <w:pPr>
        <w:pStyle w:val="Textonotapie"/>
        <w:jc w:val="both"/>
        <w:rPr>
          <w:rFonts w:ascii="Verdana" w:hAnsi="Verdana"/>
          <w:sz w:val="16"/>
          <w:szCs w:val="16"/>
        </w:rPr>
      </w:pPr>
      <w:r w:rsidRPr="00E052E1">
        <w:rPr>
          <w:rFonts w:ascii="Verdana" w:hAnsi="Verdana"/>
          <w:sz w:val="16"/>
          <w:szCs w:val="16"/>
        </w:rPr>
        <w:t>De igual forma, el ministerio público, de oficio o a petición del interesado, adoptará las medidas que fueren procedentes para conferir al testigo, antes o después de prestadas sus declaraciones, la debida protección.</w:t>
      </w:r>
    </w:p>
    <w:p w14:paraId="458C079C" w14:textId="77777777" w:rsidR="00981474" w:rsidRPr="00E052E1" w:rsidRDefault="00981474" w:rsidP="00950477">
      <w:pPr>
        <w:pStyle w:val="Textonotapie"/>
        <w:jc w:val="both"/>
        <w:rPr>
          <w:rFonts w:ascii="Verdana" w:hAnsi="Verdana"/>
          <w:sz w:val="16"/>
          <w:szCs w:val="16"/>
          <w:lang w:val="es-MX"/>
        </w:rPr>
      </w:pPr>
      <w:r w:rsidRPr="00E052E1">
        <w:rPr>
          <w:rFonts w:ascii="Verdana" w:hAnsi="Verdana"/>
          <w:sz w:val="16"/>
          <w:szCs w:val="16"/>
        </w:rPr>
        <w:t xml:space="preserve">Se entenderá que constituye un caso grave y calificado aquel en que la solicitud se fundamente en la existencia de malos tratos de obra o amenazas en los términos del artículo 296 del Código Penal. Para adoptar esta decisión, el tribunal podrá oír de manera reservada al testigo, sin participación de los intervinientes en el juicio.” </w:t>
      </w:r>
      <w:r w:rsidRPr="00E052E1">
        <w:rPr>
          <w:rFonts w:ascii="Verdana" w:hAnsi="Verdana"/>
          <w:i/>
          <w:sz w:val="16"/>
          <w:szCs w:val="16"/>
        </w:rPr>
        <w:t>Cfr.</w:t>
      </w:r>
      <w:r w:rsidRPr="00E052E1">
        <w:rPr>
          <w:rFonts w:ascii="Verdana" w:hAnsi="Verdana"/>
          <w:sz w:val="16"/>
          <w:szCs w:val="16"/>
        </w:rPr>
        <w:t xml:space="preserve"> Informe </w:t>
      </w:r>
      <w:r>
        <w:rPr>
          <w:rFonts w:ascii="Verdana" w:hAnsi="Verdana"/>
          <w:sz w:val="16"/>
          <w:szCs w:val="16"/>
        </w:rPr>
        <w:t xml:space="preserve">estatal de 2 de agosto de 2019.” </w:t>
      </w:r>
      <w:r w:rsidRPr="00DB405E">
        <w:rPr>
          <w:rFonts w:ascii="Verdana" w:hAnsi="Verdana"/>
          <w:i/>
          <w:sz w:val="16"/>
          <w:szCs w:val="16"/>
        </w:rPr>
        <w:t>Cfr.</w:t>
      </w:r>
      <w:r>
        <w:rPr>
          <w:rFonts w:ascii="Verdana" w:hAnsi="Verdana"/>
          <w:sz w:val="16"/>
          <w:szCs w:val="16"/>
        </w:rPr>
        <w:t xml:space="preserve"> Informe estatal de 2 de agosto de 2019. </w:t>
      </w:r>
    </w:p>
  </w:footnote>
  <w:footnote w:id="75">
    <w:p w14:paraId="280CD339" w14:textId="77777777" w:rsidR="00981474" w:rsidRPr="00E052E1" w:rsidRDefault="00981474"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lang w:val="es-MX"/>
        </w:rPr>
        <w:t>Cfr.</w:t>
      </w:r>
      <w:r w:rsidRPr="00E052E1">
        <w:rPr>
          <w:rFonts w:ascii="Verdana" w:hAnsi="Verdana"/>
          <w:sz w:val="16"/>
          <w:szCs w:val="16"/>
          <w:lang w:val="es-MX"/>
        </w:rPr>
        <w:t xml:space="preserve"> Oficio Nº 1661 del 15 de marzo de 2019, del Subsecretario de Justicia (anexo 18 al informe estatal de 2 de agosto de 2019).</w:t>
      </w:r>
      <w:r w:rsidRPr="00E052E1">
        <w:rPr>
          <w:rFonts w:ascii="Verdana" w:hAnsi="Verdana"/>
          <w:b/>
          <w:sz w:val="16"/>
          <w:szCs w:val="16"/>
          <w:lang w:val="es-MX"/>
        </w:rPr>
        <w:t xml:space="preserve"> </w:t>
      </w:r>
    </w:p>
  </w:footnote>
  <w:footnote w:id="76">
    <w:p w14:paraId="0F100C99" w14:textId="00B98FDE" w:rsidR="00981474" w:rsidRPr="003C1564" w:rsidRDefault="00981474" w:rsidP="00950477">
      <w:pPr>
        <w:pStyle w:val="Textonotapie"/>
        <w:jc w:val="both"/>
      </w:pPr>
      <w:r>
        <w:rPr>
          <w:rStyle w:val="Refdenotaalpie"/>
        </w:rPr>
        <w:footnoteRef/>
      </w:r>
      <w:r>
        <w:t xml:space="preserve"> </w:t>
      </w:r>
      <w:r>
        <w:tab/>
      </w:r>
      <w:r w:rsidRPr="00E052E1">
        <w:rPr>
          <w:rFonts w:ascii="Verdana" w:hAnsi="Verdana"/>
          <w:i/>
          <w:sz w:val="16"/>
          <w:szCs w:val="16"/>
          <w:lang w:val="es-MX"/>
        </w:rPr>
        <w:t xml:space="preserve">Cfr. Caso </w:t>
      </w:r>
      <w:proofErr w:type="spellStart"/>
      <w:r w:rsidRPr="00E052E1">
        <w:rPr>
          <w:rFonts w:ascii="Verdana" w:hAnsi="Verdana"/>
          <w:i/>
          <w:sz w:val="16"/>
          <w:szCs w:val="16"/>
          <w:lang w:val="es-MX"/>
        </w:rPr>
        <w:t>Norín</w:t>
      </w:r>
      <w:proofErr w:type="spellEnd"/>
      <w:r w:rsidRPr="00E052E1">
        <w:rPr>
          <w:rFonts w:ascii="Verdana" w:hAnsi="Verdana"/>
          <w:i/>
          <w:sz w:val="16"/>
          <w:szCs w:val="16"/>
          <w:lang w:val="es-MX"/>
        </w:rPr>
        <w:t xml:space="preserve"> </w:t>
      </w:r>
      <w:proofErr w:type="spellStart"/>
      <w:r w:rsidRPr="00E052E1">
        <w:rPr>
          <w:rFonts w:ascii="Verdana" w:hAnsi="Verdana"/>
          <w:i/>
          <w:sz w:val="16"/>
          <w:szCs w:val="16"/>
          <w:lang w:val="es-MX"/>
        </w:rPr>
        <w:t>Catrimán</w:t>
      </w:r>
      <w:proofErr w:type="spellEnd"/>
      <w:r w:rsidRPr="00E052E1">
        <w:rPr>
          <w:rFonts w:ascii="Verdana" w:hAnsi="Verdana"/>
          <w:i/>
          <w:sz w:val="16"/>
          <w:szCs w:val="16"/>
          <w:lang w:val="es-MX"/>
        </w:rPr>
        <w:t xml:space="preserve"> y otros (Dirigentes, miembros y activista del Pueblo Indígena Mapuche) Vs. Chile. Supervisión de cumplimiento de sentencia</w:t>
      </w:r>
      <w:r w:rsidRPr="00E052E1">
        <w:rPr>
          <w:rFonts w:ascii="Verdana" w:hAnsi="Verdana"/>
          <w:sz w:val="16"/>
          <w:szCs w:val="16"/>
          <w:lang w:val="es-MX"/>
        </w:rPr>
        <w:t xml:space="preserve">, </w:t>
      </w:r>
      <w:r w:rsidRPr="00E052E1">
        <w:rPr>
          <w:rFonts w:ascii="Verdana" w:hAnsi="Verdana"/>
          <w:i/>
          <w:sz w:val="16"/>
          <w:szCs w:val="16"/>
          <w:lang w:val="es-MX"/>
        </w:rPr>
        <w:t xml:space="preserve">supra </w:t>
      </w:r>
      <w:r w:rsidR="00EB5E87">
        <w:rPr>
          <w:rFonts w:ascii="Verdana" w:hAnsi="Verdana"/>
          <w:sz w:val="16"/>
          <w:szCs w:val="16"/>
          <w:lang w:val="es-MX"/>
        </w:rPr>
        <w:t xml:space="preserve">nota </w:t>
      </w:r>
      <w:r w:rsidR="00165BCC">
        <w:rPr>
          <w:rFonts w:ascii="Verdana" w:hAnsi="Verdana"/>
          <w:sz w:val="16"/>
          <w:szCs w:val="16"/>
          <w:lang w:val="es-MX"/>
        </w:rPr>
        <w:t>13</w:t>
      </w:r>
      <w:r w:rsidRPr="00E052E1">
        <w:rPr>
          <w:rFonts w:ascii="Verdana" w:hAnsi="Verdana"/>
          <w:sz w:val="16"/>
          <w:szCs w:val="16"/>
          <w:lang w:val="es-MX"/>
        </w:rPr>
        <w:t>,</w:t>
      </w:r>
      <w:r>
        <w:rPr>
          <w:rFonts w:ascii="Verdana" w:hAnsi="Verdana"/>
          <w:sz w:val="16"/>
          <w:szCs w:val="16"/>
          <w:lang w:val="es-MX"/>
        </w:rPr>
        <w:t xml:space="preserve"> Considerando 62. </w:t>
      </w:r>
    </w:p>
  </w:footnote>
  <w:footnote w:id="77">
    <w:p w14:paraId="75C009B8" w14:textId="00A888EB" w:rsidR="00981474" w:rsidRPr="00E052E1" w:rsidRDefault="00981474"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lang w:val="es-MX"/>
        </w:rPr>
        <w:t xml:space="preserve">Cfr. Caso </w:t>
      </w:r>
      <w:proofErr w:type="spellStart"/>
      <w:r w:rsidRPr="00E052E1">
        <w:rPr>
          <w:rFonts w:ascii="Verdana" w:hAnsi="Verdana"/>
          <w:i/>
          <w:sz w:val="16"/>
          <w:szCs w:val="16"/>
          <w:lang w:val="es-MX"/>
        </w:rPr>
        <w:t>Norín</w:t>
      </w:r>
      <w:proofErr w:type="spellEnd"/>
      <w:r w:rsidRPr="00E052E1">
        <w:rPr>
          <w:rFonts w:ascii="Verdana" w:hAnsi="Verdana"/>
          <w:i/>
          <w:sz w:val="16"/>
          <w:szCs w:val="16"/>
          <w:lang w:val="es-MX"/>
        </w:rPr>
        <w:t xml:space="preserve"> </w:t>
      </w:r>
      <w:proofErr w:type="spellStart"/>
      <w:r w:rsidRPr="00E052E1">
        <w:rPr>
          <w:rFonts w:ascii="Verdana" w:hAnsi="Verdana"/>
          <w:i/>
          <w:sz w:val="16"/>
          <w:szCs w:val="16"/>
          <w:lang w:val="es-MX"/>
        </w:rPr>
        <w:t>Catrimán</w:t>
      </w:r>
      <w:proofErr w:type="spellEnd"/>
      <w:r w:rsidRPr="00E052E1">
        <w:rPr>
          <w:rFonts w:ascii="Verdana" w:hAnsi="Verdana"/>
          <w:i/>
          <w:sz w:val="16"/>
          <w:szCs w:val="16"/>
          <w:lang w:val="es-MX"/>
        </w:rPr>
        <w:t xml:space="preserve"> y otros (Dirigentes, miembros y activista del Pueblo Indígena Mapuche) Vs. Chile. Supervisión de cumplimiento de sentencia</w:t>
      </w:r>
      <w:r w:rsidRPr="00E052E1">
        <w:rPr>
          <w:rFonts w:ascii="Verdana" w:hAnsi="Verdana"/>
          <w:sz w:val="16"/>
          <w:szCs w:val="16"/>
          <w:lang w:val="es-MX"/>
        </w:rPr>
        <w:t xml:space="preserve">, </w:t>
      </w:r>
      <w:r w:rsidRPr="00E052E1">
        <w:rPr>
          <w:rFonts w:ascii="Verdana" w:hAnsi="Verdana"/>
          <w:i/>
          <w:sz w:val="16"/>
          <w:szCs w:val="16"/>
          <w:lang w:val="es-MX"/>
        </w:rPr>
        <w:t xml:space="preserve">supra </w:t>
      </w:r>
      <w:r w:rsidRPr="00E052E1">
        <w:rPr>
          <w:rFonts w:ascii="Verdana" w:hAnsi="Verdana"/>
          <w:sz w:val="16"/>
          <w:szCs w:val="16"/>
          <w:lang w:val="es-MX"/>
        </w:rPr>
        <w:t xml:space="preserve">nota </w:t>
      </w:r>
      <w:r w:rsidR="00165BCC">
        <w:rPr>
          <w:rFonts w:ascii="Verdana" w:hAnsi="Verdana"/>
          <w:sz w:val="16"/>
          <w:szCs w:val="16"/>
          <w:lang w:val="es-MX"/>
        </w:rPr>
        <w:t>13</w:t>
      </w:r>
      <w:r w:rsidRPr="00E052E1">
        <w:rPr>
          <w:rFonts w:ascii="Verdana" w:hAnsi="Verdana"/>
          <w:sz w:val="16"/>
          <w:szCs w:val="16"/>
          <w:lang w:val="es-MX"/>
        </w:rPr>
        <w:t>, Considerando 62.</w:t>
      </w:r>
    </w:p>
  </w:footnote>
  <w:footnote w:id="78">
    <w:p w14:paraId="6341C443" w14:textId="6D6AA8C8" w:rsidR="00981474" w:rsidRPr="00E052E1" w:rsidRDefault="00981474"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lang w:val="es-MX"/>
        </w:rPr>
        <w:t xml:space="preserve">Cfr. Caso </w:t>
      </w:r>
      <w:proofErr w:type="spellStart"/>
      <w:r w:rsidRPr="00E052E1">
        <w:rPr>
          <w:rFonts w:ascii="Verdana" w:hAnsi="Verdana"/>
          <w:i/>
          <w:sz w:val="16"/>
          <w:szCs w:val="16"/>
          <w:lang w:val="es-MX"/>
        </w:rPr>
        <w:t>Norín</w:t>
      </w:r>
      <w:proofErr w:type="spellEnd"/>
      <w:r w:rsidRPr="00E052E1">
        <w:rPr>
          <w:rFonts w:ascii="Verdana" w:hAnsi="Verdana"/>
          <w:i/>
          <w:sz w:val="16"/>
          <w:szCs w:val="16"/>
          <w:lang w:val="es-MX"/>
        </w:rPr>
        <w:t xml:space="preserve"> </w:t>
      </w:r>
      <w:proofErr w:type="spellStart"/>
      <w:r w:rsidRPr="00E052E1">
        <w:rPr>
          <w:rFonts w:ascii="Verdana" w:hAnsi="Verdana"/>
          <w:i/>
          <w:sz w:val="16"/>
          <w:szCs w:val="16"/>
          <w:lang w:val="es-MX"/>
        </w:rPr>
        <w:t>Catrimán</w:t>
      </w:r>
      <w:proofErr w:type="spellEnd"/>
      <w:r w:rsidRPr="00E052E1">
        <w:rPr>
          <w:rFonts w:ascii="Verdana" w:hAnsi="Verdana"/>
          <w:i/>
          <w:sz w:val="16"/>
          <w:szCs w:val="16"/>
          <w:lang w:val="es-MX"/>
        </w:rPr>
        <w:t xml:space="preserve"> y otros (Dirigentes, miembros y activista del Pueblo Indígena Mapuche) Vs. Chile. Supervisión de cumplimiento de sentencia</w:t>
      </w:r>
      <w:r w:rsidRPr="00E052E1">
        <w:rPr>
          <w:rFonts w:ascii="Verdana" w:hAnsi="Verdana"/>
          <w:sz w:val="16"/>
          <w:szCs w:val="16"/>
          <w:lang w:val="es-MX"/>
        </w:rPr>
        <w:t xml:space="preserve">, </w:t>
      </w:r>
      <w:r w:rsidRPr="00E052E1">
        <w:rPr>
          <w:rFonts w:ascii="Verdana" w:hAnsi="Verdana"/>
          <w:i/>
          <w:sz w:val="16"/>
          <w:szCs w:val="16"/>
          <w:lang w:val="es-MX"/>
        </w:rPr>
        <w:t xml:space="preserve">supra </w:t>
      </w:r>
      <w:r w:rsidR="00EB5E87">
        <w:rPr>
          <w:rFonts w:ascii="Verdana" w:hAnsi="Verdana"/>
          <w:sz w:val="16"/>
          <w:szCs w:val="16"/>
          <w:lang w:val="es-MX"/>
        </w:rPr>
        <w:t>nota</w:t>
      </w:r>
      <w:r w:rsidR="00165BCC">
        <w:rPr>
          <w:rFonts w:ascii="Verdana" w:hAnsi="Verdana"/>
          <w:sz w:val="16"/>
          <w:szCs w:val="16"/>
          <w:lang w:val="es-MX"/>
        </w:rPr>
        <w:t xml:space="preserve"> 13</w:t>
      </w:r>
      <w:r w:rsidRPr="00E052E1">
        <w:rPr>
          <w:rFonts w:ascii="Verdana" w:hAnsi="Verdana"/>
          <w:sz w:val="16"/>
          <w:szCs w:val="16"/>
          <w:lang w:val="es-MX"/>
        </w:rPr>
        <w:t xml:space="preserve">, Considerando 63. </w:t>
      </w:r>
    </w:p>
  </w:footnote>
  <w:footnote w:id="79">
    <w:p w14:paraId="6D13383F" w14:textId="77777777" w:rsidR="00981474" w:rsidRPr="00E052E1" w:rsidRDefault="00981474" w:rsidP="00950477">
      <w:pPr>
        <w:pStyle w:val="Textonotapie"/>
        <w:jc w:val="both"/>
        <w:rPr>
          <w:rFonts w:ascii="Verdana" w:hAnsi="Verdana"/>
          <w:i/>
          <w:sz w:val="16"/>
          <w:szCs w:val="16"/>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rPr>
        <w:t>Cfr. Caso Gomes Lund y otros ("</w:t>
      </w:r>
      <w:proofErr w:type="spellStart"/>
      <w:r w:rsidRPr="00E052E1">
        <w:rPr>
          <w:rFonts w:ascii="Verdana" w:hAnsi="Verdana"/>
          <w:i/>
          <w:sz w:val="16"/>
          <w:szCs w:val="16"/>
        </w:rPr>
        <w:t>Guerrilha</w:t>
      </w:r>
      <w:proofErr w:type="spellEnd"/>
      <w:r w:rsidRPr="00E052E1">
        <w:rPr>
          <w:rFonts w:ascii="Verdana" w:hAnsi="Verdana"/>
          <w:i/>
          <w:sz w:val="16"/>
          <w:szCs w:val="16"/>
        </w:rPr>
        <w:t xml:space="preserve"> do </w:t>
      </w:r>
      <w:proofErr w:type="spellStart"/>
      <w:r w:rsidRPr="00E052E1">
        <w:rPr>
          <w:rFonts w:ascii="Verdana" w:hAnsi="Verdana"/>
          <w:i/>
          <w:sz w:val="16"/>
          <w:szCs w:val="16"/>
        </w:rPr>
        <w:t>Araguaia</w:t>
      </w:r>
      <w:proofErr w:type="spellEnd"/>
      <w:r w:rsidRPr="00E052E1">
        <w:rPr>
          <w:rFonts w:ascii="Verdana" w:hAnsi="Verdana"/>
          <w:i/>
          <w:sz w:val="16"/>
          <w:szCs w:val="16"/>
        </w:rPr>
        <w:t>") Vs. Brasil. Excepciones Preliminares, Fondo,</w:t>
      </w:r>
    </w:p>
    <w:p w14:paraId="1561B709" w14:textId="77777777" w:rsidR="00981474" w:rsidRPr="00E052E1" w:rsidRDefault="00981474" w:rsidP="00950477">
      <w:pPr>
        <w:pStyle w:val="Textonotapie"/>
        <w:jc w:val="both"/>
        <w:rPr>
          <w:rFonts w:ascii="Verdana" w:hAnsi="Verdana"/>
          <w:sz w:val="16"/>
          <w:szCs w:val="16"/>
          <w:lang w:val="es-MX"/>
        </w:rPr>
      </w:pPr>
      <w:r w:rsidRPr="00E052E1">
        <w:rPr>
          <w:rFonts w:ascii="Verdana" w:hAnsi="Verdana"/>
          <w:i/>
          <w:sz w:val="16"/>
          <w:szCs w:val="16"/>
        </w:rPr>
        <w:t>Reparaciones y Costas</w:t>
      </w:r>
      <w:r w:rsidRPr="00E052E1">
        <w:rPr>
          <w:rFonts w:ascii="Verdana" w:hAnsi="Verdana"/>
          <w:sz w:val="16"/>
          <w:szCs w:val="16"/>
        </w:rPr>
        <w:t>. Sentencia de 24 de noviembre de 2010. Serie C No. 219, párr. 173.</w:t>
      </w:r>
    </w:p>
  </w:footnote>
  <w:footnote w:id="80">
    <w:p w14:paraId="60B78858" w14:textId="4D0DB167" w:rsidR="00981474" w:rsidRPr="00E052E1" w:rsidRDefault="00981474"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lang w:val="es-MX"/>
        </w:rPr>
        <w:t xml:space="preserve">Cfr. Caso </w:t>
      </w:r>
      <w:proofErr w:type="spellStart"/>
      <w:r w:rsidRPr="00E052E1">
        <w:rPr>
          <w:rFonts w:ascii="Verdana" w:hAnsi="Verdana"/>
          <w:i/>
          <w:sz w:val="16"/>
          <w:szCs w:val="16"/>
          <w:lang w:val="es-MX"/>
        </w:rPr>
        <w:t>Norín</w:t>
      </w:r>
      <w:proofErr w:type="spellEnd"/>
      <w:r w:rsidRPr="00E052E1">
        <w:rPr>
          <w:rFonts w:ascii="Verdana" w:hAnsi="Verdana"/>
          <w:i/>
          <w:sz w:val="16"/>
          <w:szCs w:val="16"/>
          <w:lang w:val="es-MX"/>
        </w:rPr>
        <w:t xml:space="preserve"> </w:t>
      </w:r>
      <w:proofErr w:type="spellStart"/>
      <w:r w:rsidRPr="00E052E1">
        <w:rPr>
          <w:rFonts w:ascii="Verdana" w:hAnsi="Verdana"/>
          <w:i/>
          <w:sz w:val="16"/>
          <w:szCs w:val="16"/>
          <w:lang w:val="es-MX"/>
        </w:rPr>
        <w:t>Catrimán</w:t>
      </w:r>
      <w:proofErr w:type="spellEnd"/>
      <w:r w:rsidRPr="00E052E1">
        <w:rPr>
          <w:rFonts w:ascii="Verdana" w:hAnsi="Verdana"/>
          <w:i/>
          <w:sz w:val="16"/>
          <w:szCs w:val="16"/>
          <w:lang w:val="es-MX"/>
        </w:rPr>
        <w:t xml:space="preserve"> y otros (Dirigentes, miembros y activista del Pueblo Indígena Mapuche) Vs. Chile. Supervisión de cumplimiento de sentencia</w:t>
      </w:r>
      <w:r w:rsidRPr="00E052E1">
        <w:rPr>
          <w:rFonts w:ascii="Verdana" w:hAnsi="Verdana"/>
          <w:sz w:val="16"/>
          <w:szCs w:val="16"/>
          <w:lang w:val="es-MX"/>
        </w:rPr>
        <w:t xml:space="preserve">, </w:t>
      </w:r>
      <w:r w:rsidRPr="00E052E1">
        <w:rPr>
          <w:rFonts w:ascii="Verdana" w:hAnsi="Verdana"/>
          <w:i/>
          <w:sz w:val="16"/>
          <w:szCs w:val="16"/>
          <w:lang w:val="es-MX"/>
        </w:rPr>
        <w:t xml:space="preserve">supra </w:t>
      </w:r>
      <w:r w:rsidRPr="00E052E1">
        <w:rPr>
          <w:rFonts w:ascii="Verdana" w:hAnsi="Verdana"/>
          <w:sz w:val="16"/>
          <w:szCs w:val="16"/>
          <w:lang w:val="es-MX"/>
        </w:rPr>
        <w:t xml:space="preserve">nota </w:t>
      </w:r>
      <w:r w:rsidR="00165BCC">
        <w:rPr>
          <w:rFonts w:ascii="Verdana" w:hAnsi="Verdana"/>
          <w:sz w:val="16"/>
          <w:szCs w:val="16"/>
          <w:lang w:val="es-MX"/>
        </w:rPr>
        <w:t>13</w:t>
      </w:r>
      <w:r w:rsidRPr="00E052E1">
        <w:rPr>
          <w:rFonts w:ascii="Verdana" w:hAnsi="Verdana"/>
          <w:sz w:val="16"/>
          <w:szCs w:val="16"/>
          <w:lang w:val="es-MX"/>
        </w:rPr>
        <w:t>, Considerando 64.</w:t>
      </w:r>
    </w:p>
  </w:footnote>
  <w:footnote w:id="81">
    <w:p w14:paraId="7BF67B05" w14:textId="26695C9E" w:rsidR="00981474" w:rsidRPr="00E052E1" w:rsidRDefault="00981474"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 xml:space="preserve">CEJIL y el representante Sergio Fuenzalida valoraron como un avance “las recomendaciones realizadas por el Poder Ejecutivo” al proyecto ya que su contenido “resulta fundamental para evaluar el cumplimiento de este punto resolutivo”. Sin embargo, sostuvieron que “no es claro si [la referida formulación sustitutiva] ha sido integrada o si lo será en el futuro al texto de la ley”, y que es necesario que el Estado asegure su pronta sanción. </w:t>
      </w:r>
    </w:p>
  </w:footnote>
  <w:footnote w:id="82">
    <w:p w14:paraId="39DA73F7" w14:textId="62F8CFB4" w:rsidR="00981474" w:rsidRPr="00E052E1" w:rsidRDefault="00981474"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r>
      <w:r w:rsidRPr="00E052E1">
        <w:rPr>
          <w:rFonts w:ascii="Verdana" w:hAnsi="Verdana"/>
          <w:i/>
          <w:sz w:val="16"/>
          <w:szCs w:val="16"/>
          <w:lang w:val="es-MX"/>
        </w:rPr>
        <w:t xml:space="preserve">Cfr. Caso </w:t>
      </w:r>
      <w:proofErr w:type="spellStart"/>
      <w:r w:rsidRPr="00E052E1">
        <w:rPr>
          <w:rFonts w:ascii="Verdana" w:hAnsi="Verdana"/>
          <w:i/>
          <w:sz w:val="16"/>
          <w:szCs w:val="16"/>
          <w:lang w:val="es-MX"/>
        </w:rPr>
        <w:t>Norín</w:t>
      </w:r>
      <w:proofErr w:type="spellEnd"/>
      <w:r w:rsidRPr="00E052E1">
        <w:rPr>
          <w:rFonts w:ascii="Verdana" w:hAnsi="Verdana"/>
          <w:i/>
          <w:sz w:val="16"/>
          <w:szCs w:val="16"/>
          <w:lang w:val="es-MX"/>
        </w:rPr>
        <w:t xml:space="preserve"> </w:t>
      </w:r>
      <w:proofErr w:type="spellStart"/>
      <w:r w:rsidRPr="00E052E1">
        <w:rPr>
          <w:rFonts w:ascii="Verdana" w:hAnsi="Verdana"/>
          <w:i/>
          <w:sz w:val="16"/>
          <w:szCs w:val="16"/>
          <w:lang w:val="es-MX"/>
        </w:rPr>
        <w:t>Catrimán</w:t>
      </w:r>
      <w:proofErr w:type="spellEnd"/>
      <w:r w:rsidRPr="00E052E1">
        <w:rPr>
          <w:rFonts w:ascii="Verdana" w:hAnsi="Verdana"/>
          <w:i/>
          <w:sz w:val="16"/>
          <w:szCs w:val="16"/>
          <w:lang w:val="es-MX"/>
        </w:rPr>
        <w:t xml:space="preserve"> y otros (Dirigentes, miembros y activista del Pueblo Indígena Mapuche) Vs. Chile. Supervisión de cumplimiento de sentencia</w:t>
      </w:r>
      <w:r w:rsidRPr="00E052E1">
        <w:rPr>
          <w:rFonts w:ascii="Verdana" w:hAnsi="Verdana"/>
          <w:sz w:val="16"/>
          <w:szCs w:val="16"/>
          <w:lang w:val="es-MX"/>
        </w:rPr>
        <w:t xml:space="preserve">, </w:t>
      </w:r>
      <w:r w:rsidRPr="00E052E1">
        <w:rPr>
          <w:rFonts w:ascii="Verdana" w:hAnsi="Verdana"/>
          <w:i/>
          <w:sz w:val="16"/>
          <w:szCs w:val="16"/>
          <w:lang w:val="es-MX"/>
        </w:rPr>
        <w:t xml:space="preserve">supra </w:t>
      </w:r>
      <w:r w:rsidR="00165BCC">
        <w:rPr>
          <w:rFonts w:ascii="Verdana" w:hAnsi="Verdana"/>
          <w:sz w:val="16"/>
          <w:szCs w:val="16"/>
          <w:lang w:val="es-MX"/>
        </w:rPr>
        <w:t>nota 13</w:t>
      </w:r>
      <w:r w:rsidRPr="00E052E1">
        <w:rPr>
          <w:rFonts w:ascii="Verdana" w:hAnsi="Verdana"/>
          <w:sz w:val="16"/>
          <w:szCs w:val="16"/>
          <w:lang w:val="es-MX"/>
        </w:rPr>
        <w:t xml:space="preserve">, Considerando 61. </w:t>
      </w:r>
    </w:p>
  </w:footnote>
  <w:footnote w:id="83">
    <w:p w14:paraId="05A0ACD3" w14:textId="68F3FB6B" w:rsidR="00453ED8" w:rsidRPr="00E052E1" w:rsidRDefault="00453ED8" w:rsidP="00950477">
      <w:pPr>
        <w:pStyle w:val="Textonotapie"/>
        <w:jc w:val="both"/>
        <w:rPr>
          <w:rFonts w:ascii="Verdana" w:hAnsi="Verdana"/>
          <w:sz w:val="16"/>
          <w:szCs w:val="16"/>
          <w:lang w:val="es-MX"/>
        </w:rPr>
      </w:pPr>
      <w:r w:rsidRPr="00E052E1">
        <w:rPr>
          <w:rStyle w:val="Refdenotaalpie"/>
          <w:rFonts w:ascii="Verdana" w:hAnsi="Verdana"/>
          <w:sz w:val="16"/>
          <w:szCs w:val="16"/>
        </w:rPr>
        <w:footnoteRef/>
      </w:r>
      <w:r w:rsidRPr="00E052E1">
        <w:rPr>
          <w:rFonts w:ascii="Verdana" w:hAnsi="Verdana"/>
          <w:sz w:val="16"/>
          <w:szCs w:val="16"/>
        </w:rPr>
        <w:t xml:space="preserve"> </w:t>
      </w:r>
      <w:r w:rsidRPr="00E052E1">
        <w:rPr>
          <w:rFonts w:ascii="Verdana" w:hAnsi="Verdana"/>
          <w:sz w:val="16"/>
          <w:szCs w:val="16"/>
        </w:rPr>
        <w:tab/>
        <w:t>El artículo 69.2 establece que “[l]a Corte podrá requerir a otras fuentes de información datos relevantes sobre el caso, que permitan apreciar el cumplimiento.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56AD77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E66B9A"/>
    <w:multiLevelType w:val="hybridMultilevel"/>
    <w:tmpl w:val="891EDD62"/>
    <w:lvl w:ilvl="0" w:tplc="0CBAA13C">
      <w:start w:val="9"/>
      <w:numFmt w:val="decimal"/>
      <w:lvlText w:val="%1."/>
      <w:lvlJc w:val="left"/>
      <w:pPr>
        <w:ind w:left="5038" w:hanging="360"/>
      </w:pPr>
      <w:rPr>
        <w:rFonts w:hint="default"/>
        <w:b w:val="0"/>
        <w:i w:val="0"/>
      </w:rPr>
    </w:lvl>
    <w:lvl w:ilvl="1" w:tplc="140A0019" w:tentative="1">
      <w:start w:val="1"/>
      <w:numFmt w:val="lowerLetter"/>
      <w:lvlText w:val="%2."/>
      <w:lvlJc w:val="left"/>
      <w:pPr>
        <w:ind w:left="5758" w:hanging="360"/>
      </w:pPr>
    </w:lvl>
    <w:lvl w:ilvl="2" w:tplc="140A001B" w:tentative="1">
      <w:start w:val="1"/>
      <w:numFmt w:val="lowerRoman"/>
      <w:lvlText w:val="%3."/>
      <w:lvlJc w:val="right"/>
      <w:pPr>
        <w:ind w:left="6478" w:hanging="180"/>
      </w:pPr>
    </w:lvl>
    <w:lvl w:ilvl="3" w:tplc="140A000F" w:tentative="1">
      <w:start w:val="1"/>
      <w:numFmt w:val="decimal"/>
      <w:lvlText w:val="%4."/>
      <w:lvlJc w:val="left"/>
      <w:pPr>
        <w:ind w:left="7198" w:hanging="360"/>
      </w:pPr>
    </w:lvl>
    <w:lvl w:ilvl="4" w:tplc="140A0019" w:tentative="1">
      <w:start w:val="1"/>
      <w:numFmt w:val="lowerLetter"/>
      <w:lvlText w:val="%5."/>
      <w:lvlJc w:val="left"/>
      <w:pPr>
        <w:ind w:left="7918" w:hanging="360"/>
      </w:pPr>
    </w:lvl>
    <w:lvl w:ilvl="5" w:tplc="140A001B" w:tentative="1">
      <w:start w:val="1"/>
      <w:numFmt w:val="lowerRoman"/>
      <w:lvlText w:val="%6."/>
      <w:lvlJc w:val="right"/>
      <w:pPr>
        <w:ind w:left="8638" w:hanging="180"/>
      </w:pPr>
    </w:lvl>
    <w:lvl w:ilvl="6" w:tplc="140A000F" w:tentative="1">
      <w:start w:val="1"/>
      <w:numFmt w:val="decimal"/>
      <w:lvlText w:val="%7."/>
      <w:lvlJc w:val="left"/>
      <w:pPr>
        <w:ind w:left="9358" w:hanging="360"/>
      </w:pPr>
    </w:lvl>
    <w:lvl w:ilvl="7" w:tplc="140A0019" w:tentative="1">
      <w:start w:val="1"/>
      <w:numFmt w:val="lowerLetter"/>
      <w:lvlText w:val="%8."/>
      <w:lvlJc w:val="left"/>
      <w:pPr>
        <w:ind w:left="10078" w:hanging="360"/>
      </w:pPr>
    </w:lvl>
    <w:lvl w:ilvl="8" w:tplc="140A001B" w:tentative="1">
      <w:start w:val="1"/>
      <w:numFmt w:val="lowerRoman"/>
      <w:lvlText w:val="%9."/>
      <w:lvlJc w:val="right"/>
      <w:pPr>
        <w:ind w:left="10798" w:hanging="180"/>
      </w:pPr>
    </w:lvl>
  </w:abstractNum>
  <w:abstractNum w:abstractNumId="2" w15:restartNumberingAfterBreak="0">
    <w:nsid w:val="06633569"/>
    <w:multiLevelType w:val="hybridMultilevel"/>
    <w:tmpl w:val="8F72A046"/>
    <w:lvl w:ilvl="0" w:tplc="300A6CF6">
      <w:start w:val="23"/>
      <w:numFmt w:val="decimal"/>
      <w:lvlText w:val="%1."/>
      <w:lvlJc w:val="left"/>
      <w:pPr>
        <w:ind w:left="399" w:hanging="360"/>
      </w:pPr>
      <w:rPr>
        <w:rFonts w:ascii="Verdana" w:hAnsi="Verdana" w:hint="default"/>
        <w:sz w:val="20"/>
      </w:rPr>
    </w:lvl>
    <w:lvl w:ilvl="1" w:tplc="140A0019" w:tentative="1">
      <w:start w:val="1"/>
      <w:numFmt w:val="lowerLetter"/>
      <w:lvlText w:val="%2."/>
      <w:lvlJc w:val="left"/>
      <w:pPr>
        <w:ind w:left="1119" w:hanging="360"/>
      </w:pPr>
    </w:lvl>
    <w:lvl w:ilvl="2" w:tplc="140A001B" w:tentative="1">
      <w:start w:val="1"/>
      <w:numFmt w:val="lowerRoman"/>
      <w:lvlText w:val="%3."/>
      <w:lvlJc w:val="right"/>
      <w:pPr>
        <w:ind w:left="1839" w:hanging="180"/>
      </w:pPr>
    </w:lvl>
    <w:lvl w:ilvl="3" w:tplc="140A000F" w:tentative="1">
      <w:start w:val="1"/>
      <w:numFmt w:val="decimal"/>
      <w:lvlText w:val="%4."/>
      <w:lvlJc w:val="left"/>
      <w:pPr>
        <w:ind w:left="2559" w:hanging="360"/>
      </w:pPr>
    </w:lvl>
    <w:lvl w:ilvl="4" w:tplc="140A0019" w:tentative="1">
      <w:start w:val="1"/>
      <w:numFmt w:val="lowerLetter"/>
      <w:lvlText w:val="%5."/>
      <w:lvlJc w:val="left"/>
      <w:pPr>
        <w:ind w:left="3279" w:hanging="360"/>
      </w:pPr>
    </w:lvl>
    <w:lvl w:ilvl="5" w:tplc="140A001B" w:tentative="1">
      <w:start w:val="1"/>
      <w:numFmt w:val="lowerRoman"/>
      <w:lvlText w:val="%6."/>
      <w:lvlJc w:val="right"/>
      <w:pPr>
        <w:ind w:left="3999" w:hanging="180"/>
      </w:pPr>
    </w:lvl>
    <w:lvl w:ilvl="6" w:tplc="140A000F" w:tentative="1">
      <w:start w:val="1"/>
      <w:numFmt w:val="decimal"/>
      <w:lvlText w:val="%7."/>
      <w:lvlJc w:val="left"/>
      <w:pPr>
        <w:ind w:left="4719" w:hanging="360"/>
      </w:pPr>
    </w:lvl>
    <w:lvl w:ilvl="7" w:tplc="140A0019" w:tentative="1">
      <w:start w:val="1"/>
      <w:numFmt w:val="lowerLetter"/>
      <w:lvlText w:val="%8."/>
      <w:lvlJc w:val="left"/>
      <w:pPr>
        <w:ind w:left="5439" w:hanging="360"/>
      </w:pPr>
    </w:lvl>
    <w:lvl w:ilvl="8" w:tplc="140A001B" w:tentative="1">
      <w:start w:val="1"/>
      <w:numFmt w:val="lowerRoman"/>
      <w:lvlText w:val="%9."/>
      <w:lvlJc w:val="right"/>
      <w:pPr>
        <w:ind w:left="6159" w:hanging="180"/>
      </w:pPr>
    </w:lvl>
  </w:abstractNum>
  <w:abstractNum w:abstractNumId="3" w15:restartNumberingAfterBreak="0">
    <w:nsid w:val="091B6F21"/>
    <w:multiLevelType w:val="hybridMultilevel"/>
    <w:tmpl w:val="B13E37F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D95407C"/>
    <w:multiLevelType w:val="hybridMultilevel"/>
    <w:tmpl w:val="3C423886"/>
    <w:lvl w:ilvl="0" w:tplc="A61AC51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2544146"/>
    <w:multiLevelType w:val="hybridMultilevel"/>
    <w:tmpl w:val="6526D274"/>
    <w:lvl w:ilvl="0" w:tplc="140A000F">
      <w:start w:val="6"/>
      <w:numFmt w:val="decimal"/>
      <w:lvlText w:val="%1."/>
      <w:lvlJc w:val="left"/>
      <w:pPr>
        <w:ind w:left="3904"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5842FF7"/>
    <w:multiLevelType w:val="hybridMultilevel"/>
    <w:tmpl w:val="9CAAB2E0"/>
    <w:lvl w:ilvl="0" w:tplc="039E0038">
      <w:start w:val="1"/>
      <w:numFmt w:val="decimal"/>
      <w:lvlText w:val="%1."/>
      <w:lvlJc w:val="left"/>
      <w:pPr>
        <w:ind w:left="720" w:hanging="360"/>
      </w:pPr>
      <w:rPr>
        <w:rFonts w:cstheme="minorBidi"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6B015BC"/>
    <w:multiLevelType w:val="hybridMultilevel"/>
    <w:tmpl w:val="0562ED60"/>
    <w:lvl w:ilvl="0" w:tplc="009A89A2">
      <w:start w:val="6"/>
      <w:numFmt w:val="decimal"/>
      <w:lvlText w:val="%1."/>
      <w:lvlJc w:val="left"/>
      <w:pPr>
        <w:ind w:left="3904" w:hanging="360"/>
      </w:pPr>
      <w:rPr>
        <w:rFonts w:ascii="Verdana" w:hAnsi="Verdana"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7610F55"/>
    <w:multiLevelType w:val="hybridMultilevel"/>
    <w:tmpl w:val="8F72A046"/>
    <w:lvl w:ilvl="0" w:tplc="300A6CF6">
      <w:start w:val="23"/>
      <w:numFmt w:val="decimal"/>
      <w:lvlText w:val="%1."/>
      <w:lvlJc w:val="left"/>
      <w:pPr>
        <w:ind w:left="399" w:hanging="360"/>
      </w:pPr>
      <w:rPr>
        <w:rFonts w:ascii="Verdana" w:hAnsi="Verdana" w:hint="default"/>
        <w:sz w:val="20"/>
      </w:rPr>
    </w:lvl>
    <w:lvl w:ilvl="1" w:tplc="140A0019" w:tentative="1">
      <w:start w:val="1"/>
      <w:numFmt w:val="lowerLetter"/>
      <w:lvlText w:val="%2."/>
      <w:lvlJc w:val="left"/>
      <w:pPr>
        <w:ind w:left="1119" w:hanging="360"/>
      </w:pPr>
    </w:lvl>
    <w:lvl w:ilvl="2" w:tplc="140A001B" w:tentative="1">
      <w:start w:val="1"/>
      <w:numFmt w:val="lowerRoman"/>
      <w:lvlText w:val="%3."/>
      <w:lvlJc w:val="right"/>
      <w:pPr>
        <w:ind w:left="1839" w:hanging="180"/>
      </w:pPr>
    </w:lvl>
    <w:lvl w:ilvl="3" w:tplc="140A000F" w:tentative="1">
      <w:start w:val="1"/>
      <w:numFmt w:val="decimal"/>
      <w:lvlText w:val="%4."/>
      <w:lvlJc w:val="left"/>
      <w:pPr>
        <w:ind w:left="2559" w:hanging="360"/>
      </w:pPr>
    </w:lvl>
    <w:lvl w:ilvl="4" w:tplc="140A0019" w:tentative="1">
      <w:start w:val="1"/>
      <w:numFmt w:val="lowerLetter"/>
      <w:lvlText w:val="%5."/>
      <w:lvlJc w:val="left"/>
      <w:pPr>
        <w:ind w:left="3279" w:hanging="360"/>
      </w:pPr>
    </w:lvl>
    <w:lvl w:ilvl="5" w:tplc="140A001B" w:tentative="1">
      <w:start w:val="1"/>
      <w:numFmt w:val="lowerRoman"/>
      <w:lvlText w:val="%6."/>
      <w:lvlJc w:val="right"/>
      <w:pPr>
        <w:ind w:left="3999" w:hanging="180"/>
      </w:pPr>
    </w:lvl>
    <w:lvl w:ilvl="6" w:tplc="140A000F" w:tentative="1">
      <w:start w:val="1"/>
      <w:numFmt w:val="decimal"/>
      <w:lvlText w:val="%7."/>
      <w:lvlJc w:val="left"/>
      <w:pPr>
        <w:ind w:left="4719" w:hanging="360"/>
      </w:pPr>
    </w:lvl>
    <w:lvl w:ilvl="7" w:tplc="140A0019" w:tentative="1">
      <w:start w:val="1"/>
      <w:numFmt w:val="lowerLetter"/>
      <w:lvlText w:val="%8."/>
      <w:lvlJc w:val="left"/>
      <w:pPr>
        <w:ind w:left="5439" w:hanging="360"/>
      </w:pPr>
    </w:lvl>
    <w:lvl w:ilvl="8" w:tplc="140A001B" w:tentative="1">
      <w:start w:val="1"/>
      <w:numFmt w:val="lowerRoman"/>
      <w:lvlText w:val="%9."/>
      <w:lvlJc w:val="right"/>
      <w:pPr>
        <w:ind w:left="6159" w:hanging="180"/>
      </w:pPr>
    </w:lvl>
  </w:abstractNum>
  <w:abstractNum w:abstractNumId="9" w15:restartNumberingAfterBreak="0">
    <w:nsid w:val="185E79E3"/>
    <w:multiLevelType w:val="hybridMultilevel"/>
    <w:tmpl w:val="AC0A68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C5768F5"/>
    <w:multiLevelType w:val="hybridMultilevel"/>
    <w:tmpl w:val="8F72A046"/>
    <w:lvl w:ilvl="0" w:tplc="300A6CF6">
      <w:start w:val="23"/>
      <w:numFmt w:val="decimal"/>
      <w:lvlText w:val="%1."/>
      <w:lvlJc w:val="left"/>
      <w:pPr>
        <w:ind w:left="399" w:hanging="360"/>
      </w:pPr>
      <w:rPr>
        <w:rFonts w:ascii="Verdana" w:hAnsi="Verdana" w:hint="default"/>
        <w:sz w:val="20"/>
      </w:rPr>
    </w:lvl>
    <w:lvl w:ilvl="1" w:tplc="140A0019" w:tentative="1">
      <w:start w:val="1"/>
      <w:numFmt w:val="lowerLetter"/>
      <w:lvlText w:val="%2."/>
      <w:lvlJc w:val="left"/>
      <w:pPr>
        <w:ind w:left="1119" w:hanging="360"/>
      </w:pPr>
    </w:lvl>
    <w:lvl w:ilvl="2" w:tplc="140A001B" w:tentative="1">
      <w:start w:val="1"/>
      <w:numFmt w:val="lowerRoman"/>
      <w:lvlText w:val="%3."/>
      <w:lvlJc w:val="right"/>
      <w:pPr>
        <w:ind w:left="1839" w:hanging="180"/>
      </w:pPr>
    </w:lvl>
    <w:lvl w:ilvl="3" w:tplc="140A000F" w:tentative="1">
      <w:start w:val="1"/>
      <w:numFmt w:val="decimal"/>
      <w:lvlText w:val="%4."/>
      <w:lvlJc w:val="left"/>
      <w:pPr>
        <w:ind w:left="2559" w:hanging="360"/>
      </w:pPr>
    </w:lvl>
    <w:lvl w:ilvl="4" w:tplc="140A0019" w:tentative="1">
      <w:start w:val="1"/>
      <w:numFmt w:val="lowerLetter"/>
      <w:lvlText w:val="%5."/>
      <w:lvlJc w:val="left"/>
      <w:pPr>
        <w:ind w:left="3279" w:hanging="360"/>
      </w:pPr>
    </w:lvl>
    <w:lvl w:ilvl="5" w:tplc="140A001B" w:tentative="1">
      <w:start w:val="1"/>
      <w:numFmt w:val="lowerRoman"/>
      <w:lvlText w:val="%6."/>
      <w:lvlJc w:val="right"/>
      <w:pPr>
        <w:ind w:left="3999" w:hanging="180"/>
      </w:pPr>
    </w:lvl>
    <w:lvl w:ilvl="6" w:tplc="140A000F" w:tentative="1">
      <w:start w:val="1"/>
      <w:numFmt w:val="decimal"/>
      <w:lvlText w:val="%7."/>
      <w:lvlJc w:val="left"/>
      <w:pPr>
        <w:ind w:left="4719" w:hanging="360"/>
      </w:pPr>
    </w:lvl>
    <w:lvl w:ilvl="7" w:tplc="140A0019" w:tentative="1">
      <w:start w:val="1"/>
      <w:numFmt w:val="lowerLetter"/>
      <w:lvlText w:val="%8."/>
      <w:lvlJc w:val="left"/>
      <w:pPr>
        <w:ind w:left="5439" w:hanging="360"/>
      </w:pPr>
    </w:lvl>
    <w:lvl w:ilvl="8" w:tplc="140A001B" w:tentative="1">
      <w:start w:val="1"/>
      <w:numFmt w:val="lowerRoman"/>
      <w:lvlText w:val="%9."/>
      <w:lvlJc w:val="right"/>
      <w:pPr>
        <w:ind w:left="6159" w:hanging="180"/>
      </w:pPr>
    </w:lvl>
  </w:abstractNum>
  <w:abstractNum w:abstractNumId="11" w15:restartNumberingAfterBreak="0">
    <w:nsid w:val="28003154"/>
    <w:multiLevelType w:val="hybridMultilevel"/>
    <w:tmpl w:val="1FB8476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C767918"/>
    <w:multiLevelType w:val="hybridMultilevel"/>
    <w:tmpl w:val="D708D61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F2276B3"/>
    <w:multiLevelType w:val="hybridMultilevel"/>
    <w:tmpl w:val="509CE92A"/>
    <w:lvl w:ilvl="0" w:tplc="77D0FEDE">
      <w:start w:val="51"/>
      <w:numFmt w:val="decimal"/>
      <w:lvlText w:val="%1"/>
      <w:lvlJc w:val="left"/>
      <w:pPr>
        <w:ind w:left="720" w:hanging="360"/>
      </w:pPr>
      <w:rPr>
        <w:rFonts w:cstheme="minorBidi" w:hint="default"/>
        <w:i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1D73A48"/>
    <w:multiLevelType w:val="hybridMultilevel"/>
    <w:tmpl w:val="501A7E0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2AA59CF"/>
    <w:multiLevelType w:val="hybridMultilevel"/>
    <w:tmpl w:val="8F72A046"/>
    <w:lvl w:ilvl="0" w:tplc="300A6CF6">
      <w:start w:val="23"/>
      <w:numFmt w:val="decimal"/>
      <w:lvlText w:val="%1."/>
      <w:lvlJc w:val="left"/>
      <w:pPr>
        <w:ind w:left="399" w:hanging="360"/>
      </w:pPr>
      <w:rPr>
        <w:rFonts w:ascii="Verdana" w:hAnsi="Verdana" w:hint="default"/>
        <w:sz w:val="20"/>
      </w:rPr>
    </w:lvl>
    <w:lvl w:ilvl="1" w:tplc="140A0019" w:tentative="1">
      <w:start w:val="1"/>
      <w:numFmt w:val="lowerLetter"/>
      <w:lvlText w:val="%2."/>
      <w:lvlJc w:val="left"/>
      <w:pPr>
        <w:ind w:left="1119" w:hanging="360"/>
      </w:pPr>
    </w:lvl>
    <w:lvl w:ilvl="2" w:tplc="140A001B" w:tentative="1">
      <w:start w:val="1"/>
      <w:numFmt w:val="lowerRoman"/>
      <w:lvlText w:val="%3."/>
      <w:lvlJc w:val="right"/>
      <w:pPr>
        <w:ind w:left="1839" w:hanging="180"/>
      </w:pPr>
    </w:lvl>
    <w:lvl w:ilvl="3" w:tplc="140A000F" w:tentative="1">
      <w:start w:val="1"/>
      <w:numFmt w:val="decimal"/>
      <w:lvlText w:val="%4."/>
      <w:lvlJc w:val="left"/>
      <w:pPr>
        <w:ind w:left="2559" w:hanging="360"/>
      </w:pPr>
    </w:lvl>
    <w:lvl w:ilvl="4" w:tplc="140A0019" w:tentative="1">
      <w:start w:val="1"/>
      <w:numFmt w:val="lowerLetter"/>
      <w:lvlText w:val="%5."/>
      <w:lvlJc w:val="left"/>
      <w:pPr>
        <w:ind w:left="3279" w:hanging="360"/>
      </w:pPr>
    </w:lvl>
    <w:lvl w:ilvl="5" w:tplc="140A001B" w:tentative="1">
      <w:start w:val="1"/>
      <w:numFmt w:val="lowerRoman"/>
      <w:lvlText w:val="%6."/>
      <w:lvlJc w:val="right"/>
      <w:pPr>
        <w:ind w:left="3999" w:hanging="180"/>
      </w:pPr>
    </w:lvl>
    <w:lvl w:ilvl="6" w:tplc="140A000F" w:tentative="1">
      <w:start w:val="1"/>
      <w:numFmt w:val="decimal"/>
      <w:lvlText w:val="%7."/>
      <w:lvlJc w:val="left"/>
      <w:pPr>
        <w:ind w:left="4719" w:hanging="360"/>
      </w:pPr>
    </w:lvl>
    <w:lvl w:ilvl="7" w:tplc="140A0019" w:tentative="1">
      <w:start w:val="1"/>
      <w:numFmt w:val="lowerLetter"/>
      <w:lvlText w:val="%8."/>
      <w:lvlJc w:val="left"/>
      <w:pPr>
        <w:ind w:left="5439" w:hanging="360"/>
      </w:pPr>
    </w:lvl>
    <w:lvl w:ilvl="8" w:tplc="140A001B" w:tentative="1">
      <w:start w:val="1"/>
      <w:numFmt w:val="lowerRoman"/>
      <w:lvlText w:val="%9."/>
      <w:lvlJc w:val="right"/>
      <w:pPr>
        <w:ind w:left="6159" w:hanging="180"/>
      </w:pPr>
    </w:lvl>
  </w:abstractNum>
  <w:abstractNum w:abstractNumId="16" w15:restartNumberingAfterBreak="0">
    <w:nsid w:val="334102AC"/>
    <w:multiLevelType w:val="hybridMultilevel"/>
    <w:tmpl w:val="8F72A046"/>
    <w:lvl w:ilvl="0" w:tplc="300A6CF6">
      <w:start w:val="23"/>
      <w:numFmt w:val="decimal"/>
      <w:lvlText w:val="%1."/>
      <w:lvlJc w:val="left"/>
      <w:pPr>
        <w:ind w:left="399" w:hanging="360"/>
      </w:pPr>
      <w:rPr>
        <w:rFonts w:ascii="Verdana" w:hAnsi="Verdana" w:hint="default"/>
        <w:sz w:val="20"/>
      </w:rPr>
    </w:lvl>
    <w:lvl w:ilvl="1" w:tplc="140A0019" w:tentative="1">
      <w:start w:val="1"/>
      <w:numFmt w:val="lowerLetter"/>
      <w:lvlText w:val="%2."/>
      <w:lvlJc w:val="left"/>
      <w:pPr>
        <w:ind w:left="1119" w:hanging="360"/>
      </w:pPr>
    </w:lvl>
    <w:lvl w:ilvl="2" w:tplc="140A001B" w:tentative="1">
      <w:start w:val="1"/>
      <w:numFmt w:val="lowerRoman"/>
      <w:lvlText w:val="%3."/>
      <w:lvlJc w:val="right"/>
      <w:pPr>
        <w:ind w:left="1839" w:hanging="180"/>
      </w:pPr>
    </w:lvl>
    <w:lvl w:ilvl="3" w:tplc="140A000F" w:tentative="1">
      <w:start w:val="1"/>
      <w:numFmt w:val="decimal"/>
      <w:lvlText w:val="%4."/>
      <w:lvlJc w:val="left"/>
      <w:pPr>
        <w:ind w:left="2559" w:hanging="360"/>
      </w:pPr>
    </w:lvl>
    <w:lvl w:ilvl="4" w:tplc="140A0019" w:tentative="1">
      <w:start w:val="1"/>
      <w:numFmt w:val="lowerLetter"/>
      <w:lvlText w:val="%5."/>
      <w:lvlJc w:val="left"/>
      <w:pPr>
        <w:ind w:left="3279" w:hanging="360"/>
      </w:pPr>
    </w:lvl>
    <w:lvl w:ilvl="5" w:tplc="140A001B" w:tentative="1">
      <w:start w:val="1"/>
      <w:numFmt w:val="lowerRoman"/>
      <w:lvlText w:val="%6."/>
      <w:lvlJc w:val="right"/>
      <w:pPr>
        <w:ind w:left="3999" w:hanging="180"/>
      </w:pPr>
    </w:lvl>
    <w:lvl w:ilvl="6" w:tplc="140A000F" w:tentative="1">
      <w:start w:val="1"/>
      <w:numFmt w:val="decimal"/>
      <w:lvlText w:val="%7."/>
      <w:lvlJc w:val="left"/>
      <w:pPr>
        <w:ind w:left="4719" w:hanging="360"/>
      </w:pPr>
    </w:lvl>
    <w:lvl w:ilvl="7" w:tplc="140A0019" w:tentative="1">
      <w:start w:val="1"/>
      <w:numFmt w:val="lowerLetter"/>
      <w:lvlText w:val="%8."/>
      <w:lvlJc w:val="left"/>
      <w:pPr>
        <w:ind w:left="5439" w:hanging="360"/>
      </w:pPr>
    </w:lvl>
    <w:lvl w:ilvl="8" w:tplc="140A001B" w:tentative="1">
      <w:start w:val="1"/>
      <w:numFmt w:val="lowerRoman"/>
      <w:lvlText w:val="%9."/>
      <w:lvlJc w:val="right"/>
      <w:pPr>
        <w:ind w:left="6159" w:hanging="180"/>
      </w:pPr>
    </w:lvl>
  </w:abstractNum>
  <w:abstractNum w:abstractNumId="17" w15:restartNumberingAfterBreak="0">
    <w:nsid w:val="339F20F7"/>
    <w:multiLevelType w:val="hybridMultilevel"/>
    <w:tmpl w:val="D8049AE8"/>
    <w:lvl w:ilvl="0" w:tplc="140A0011">
      <w:start w:val="4"/>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6982EF1"/>
    <w:multiLevelType w:val="hybridMultilevel"/>
    <w:tmpl w:val="1C5A0896"/>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96A60E7"/>
    <w:multiLevelType w:val="hybridMultilevel"/>
    <w:tmpl w:val="1FE89296"/>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DF64EF5"/>
    <w:multiLevelType w:val="hybridMultilevel"/>
    <w:tmpl w:val="6526D274"/>
    <w:lvl w:ilvl="0" w:tplc="140A000F">
      <w:start w:val="6"/>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11167FA"/>
    <w:multiLevelType w:val="hybridMultilevel"/>
    <w:tmpl w:val="7B667F06"/>
    <w:lvl w:ilvl="0" w:tplc="68F26A24">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27E1C15"/>
    <w:multiLevelType w:val="hybridMultilevel"/>
    <w:tmpl w:val="6C22F470"/>
    <w:lvl w:ilvl="0" w:tplc="999220A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64622AD"/>
    <w:multiLevelType w:val="hybridMultilevel"/>
    <w:tmpl w:val="7DC09C44"/>
    <w:lvl w:ilvl="0" w:tplc="42E47B40">
      <w:start w:val="1"/>
      <w:numFmt w:val="decimal"/>
      <w:lvlText w:val="%1."/>
      <w:lvlJc w:val="left"/>
      <w:pPr>
        <w:ind w:left="1065" w:hanging="705"/>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9CA1555"/>
    <w:multiLevelType w:val="hybridMultilevel"/>
    <w:tmpl w:val="0CAA316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B555284"/>
    <w:multiLevelType w:val="hybridMultilevel"/>
    <w:tmpl w:val="97B6A540"/>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DB733D3"/>
    <w:multiLevelType w:val="hybridMultilevel"/>
    <w:tmpl w:val="7E6C54B4"/>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2BA65B8"/>
    <w:multiLevelType w:val="hybridMultilevel"/>
    <w:tmpl w:val="F342DA40"/>
    <w:lvl w:ilvl="0" w:tplc="74A4506E">
      <w:start w:val="1"/>
      <w:numFmt w:val="decimal"/>
      <w:lvlText w:val="%1."/>
      <w:lvlJc w:val="left"/>
      <w:pPr>
        <w:ind w:left="720" w:hanging="360"/>
      </w:pPr>
      <w:rPr>
        <w:rFonts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2EF5575"/>
    <w:multiLevelType w:val="hybridMultilevel"/>
    <w:tmpl w:val="B13E37F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6DA2EC3"/>
    <w:multiLevelType w:val="hybridMultilevel"/>
    <w:tmpl w:val="1966DE60"/>
    <w:lvl w:ilvl="0" w:tplc="42E47B4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C346E22"/>
    <w:multiLevelType w:val="hybridMultilevel"/>
    <w:tmpl w:val="CFFED2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D3806B9"/>
    <w:multiLevelType w:val="hybridMultilevel"/>
    <w:tmpl w:val="8F72A046"/>
    <w:lvl w:ilvl="0" w:tplc="300A6CF6">
      <w:start w:val="23"/>
      <w:numFmt w:val="decimal"/>
      <w:lvlText w:val="%1."/>
      <w:lvlJc w:val="left"/>
      <w:pPr>
        <w:ind w:left="399" w:hanging="360"/>
      </w:pPr>
      <w:rPr>
        <w:rFonts w:ascii="Verdana" w:hAnsi="Verdana" w:hint="default"/>
        <w:sz w:val="20"/>
      </w:rPr>
    </w:lvl>
    <w:lvl w:ilvl="1" w:tplc="140A0019" w:tentative="1">
      <w:start w:val="1"/>
      <w:numFmt w:val="lowerLetter"/>
      <w:lvlText w:val="%2."/>
      <w:lvlJc w:val="left"/>
      <w:pPr>
        <w:ind w:left="1119" w:hanging="360"/>
      </w:pPr>
    </w:lvl>
    <w:lvl w:ilvl="2" w:tplc="140A001B" w:tentative="1">
      <w:start w:val="1"/>
      <w:numFmt w:val="lowerRoman"/>
      <w:lvlText w:val="%3."/>
      <w:lvlJc w:val="right"/>
      <w:pPr>
        <w:ind w:left="1839" w:hanging="180"/>
      </w:pPr>
    </w:lvl>
    <w:lvl w:ilvl="3" w:tplc="140A000F" w:tentative="1">
      <w:start w:val="1"/>
      <w:numFmt w:val="decimal"/>
      <w:lvlText w:val="%4."/>
      <w:lvlJc w:val="left"/>
      <w:pPr>
        <w:ind w:left="2559" w:hanging="360"/>
      </w:pPr>
    </w:lvl>
    <w:lvl w:ilvl="4" w:tplc="140A0019" w:tentative="1">
      <w:start w:val="1"/>
      <w:numFmt w:val="lowerLetter"/>
      <w:lvlText w:val="%5."/>
      <w:lvlJc w:val="left"/>
      <w:pPr>
        <w:ind w:left="3279" w:hanging="360"/>
      </w:pPr>
    </w:lvl>
    <w:lvl w:ilvl="5" w:tplc="140A001B" w:tentative="1">
      <w:start w:val="1"/>
      <w:numFmt w:val="lowerRoman"/>
      <w:lvlText w:val="%6."/>
      <w:lvlJc w:val="right"/>
      <w:pPr>
        <w:ind w:left="3999" w:hanging="180"/>
      </w:pPr>
    </w:lvl>
    <w:lvl w:ilvl="6" w:tplc="140A000F" w:tentative="1">
      <w:start w:val="1"/>
      <w:numFmt w:val="decimal"/>
      <w:lvlText w:val="%7."/>
      <w:lvlJc w:val="left"/>
      <w:pPr>
        <w:ind w:left="4719" w:hanging="360"/>
      </w:pPr>
    </w:lvl>
    <w:lvl w:ilvl="7" w:tplc="140A0019" w:tentative="1">
      <w:start w:val="1"/>
      <w:numFmt w:val="lowerLetter"/>
      <w:lvlText w:val="%8."/>
      <w:lvlJc w:val="left"/>
      <w:pPr>
        <w:ind w:left="5439" w:hanging="360"/>
      </w:pPr>
    </w:lvl>
    <w:lvl w:ilvl="8" w:tplc="140A001B" w:tentative="1">
      <w:start w:val="1"/>
      <w:numFmt w:val="lowerRoman"/>
      <w:lvlText w:val="%9."/>
      <w:lvlJc w:val="right"/>
      <w:pPr>
        <w:ind w:left="6159" w:hanging="180"/>
      </w:pPr>
    </w:lvl>
  </w:abstractNum>
  <w:abstractNum w:abstractNumId="32" w15:restartNumberingAfterBreak="0">
    <w:nsid w:val="5DDC1885"/>
    <w:multiLevelType w:val="hybridMultilevel"/>
    <w:tmpl w:val="0B72581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6A076D3E"/>
    <w:multiLevelType w:val="hybridMultilevel"/>
    <w:tmpl w:val="0BBA49BE"/>
    <w:lvl w:ilvl="0" w:tplc="6FC68840">
      <w:start w:val="1"/>
      <w:numFmt w:val="lowerLetter"/>
      <w:lvlText w:val="%1)"/>
      <w:lvlJc w:val="left"/>
      <w:pPr>
        <w:ind w:left="720" w:hanging="360"/>
      </w:pPr>
      <w:rPr>
        <w:rFonts w:ascii="Verdana" w:hAnsi="Verdana"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C0F1C07"/>
    <w:multiLevelType w:val="hybridMultilevel"/>
    <w:tmpl w:val="6C22F470"/>
    <w:lvl w:ilvl="0" w:tplc="999220A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3"/>
  </w:num>
  <w:num w:numId="2">
    <w:abstractNumId w:val="21"/>
  </w:num>
  <w:num w:numId="3">
    <w:abstractNumId w:val="14"/>
  </w:num>
  <w:num w:numId="4">
    <w:abstractNumId w:val="34"/>
  </w:num>
  <w:num w:numId="5">
    <w:abstractNumId w:val="7"/>
  </w:num>
  <w:num w:numId="6">
    <w:abstractNumId w:val="32"/>
  </w:num>
  <w:num w:numId="7">
    <w:abstractNumId w:val="22"/>
  </w:num>
  <w:num w:numId="8">
    <w:abstractNumId w:val="4"/>
  </w:num>
  <w:num w:numId="9">
    <w:abstractNumId w:val="20"/>
  </w:num>
  <w:num w:numId="10">
    <w:abstractNumId w:val="11"/>
  </w:num>
  <w:num w:numId="11">
    <w:abstractNumId w:val="3"/>
  </w:num>
  <w:num w:numId="12">
    <w:abstractNumId w:val="28"/>
  </w:num>
  <w:num w:numId="13">
    <w:abstractNumId w:val="16"/>
  </w:num>
  <w:num w:numId="14">
    <w:abstractNumId w:val="2"/>
  </w:num>
  <w:num w:numId="15">
    <w:abstractNumId w:val="8"/>
  </w:num>
  <w:num w:numId="16">
    <w:abstractNumId w:val="1"/>
  </w:num>
  <w:num w:numId="17">
    <w:abstractNumId w:val="27"/>
  </w:num>
  <w:num w:numId="18">
    <w:abstractNumId w:val="33"/>
  </w:num>
  <w:num w:numId="19">
    <w:abstractNumId w:val="17"/>
  </w:num>
  <w:num w:numId="20">
    <w:abstractNumId w:val="10"/>
  </w:num>
  <w:num w:numId="21">
    <w:abstractNumId w:val="31"/>
  </w:num>
  <w:num w:numId="22">
    <w:abstractNumId w:val="15"/>
  </w:num>
  <w:num w:numId="23">
    <w:abstractNumId w:val="5"/>
  </w:num>
  <w:num w:numId="24">
    <w:abstractNumId w:val="6"/>
  </w:num>
  <w:num w:numId="25">
    <w:abstractNumId w:val="13"/>
  </w:num>
  <w:num w:numId="26">
    <w:abstractNumId w:val="12"/>
  </w:num>
  <w:num w:numId="27">
    <w:abstractNumId w:val="29"/>
  </w:num>
  <w:num w:numId="28">
    <w:abstractNumId w:val="26"/>
  </w:num>
  <w:num w:numId="29">
    <w:abstractNumId w:val="19"/>
  </w:num>
  <w:num w:numId="30">
    <w:abstractNumId w:val="0"/>
  </w:num>
  <w:num w:numId="31">
    <w:abstractNumId w:val="24"/>
  </w:num>
  <w:num w:numId="32">
    <w:abstractNumId w:val="9"/>
  </w:num>
  <w:num w:numId="33">
    <w:abstractNumId w:val="18"/>
  </w:num>
  <w:num w:numId="34">
    <w:abstractNumId w:val="25"/>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2A7"/>
    <w:rsid w:val="00000A09"/>
    <w:rsid w:val="00005467"/>
    <w:rsid w:val="000062BC"/>
    <w:rsid w:val="00007FE3"/>
    <w:rsid w:val="000100AA"/>
    <w:rsid w:val="000117D7"/>
    <w:rsid w:val="000163F7"/>
    <w:rsid w:val="00021322"/>
    <w:rsid w:val="0002220C"/>
    <w:rsid w:val="00025BE7"/>
    <w:rsid w:val="00027910"/>
    <w:rsid w:val="0003096C"/>
    <w:rsid w:val="00031F2B"/>
    <w:rsid w:val="000331A8"/>
    <w:rsid w:val="000353C3"/>
    <w:rsid w:val="000356FE"/>
    <w:rsid w:val="00037A45"/>
    <w:rsid w:val="000420BA"/>
    <w:rsid w:val="000429BB"/>
    <w:rsid w:val="00050678"/>
    <w:rsid w:val="00055004"/>
    <w:rsid w:val="00067191"/>
    <w:rsid w:val="00073139"/>
    <w:rsid w:val="000840FD"/>
    <w:rsid w:val="00086069"/>
    <w:rsid w:val="00086C20"/>
    <w:rsid w:val="00090C3C"/>
    <w:rsid w:val="0009141C"/>
    <w:rsid w:val="00091CD2"/>
    <w:rsid w:val="000A19C7"/>
    <w:rsid w:val="000A2CA2"/>
    <w:rsid w:val="000B7056"/>
    <w:rsid w:val="000B7870"/>
    <w:rsid w:val="000C13FC"/>
    <w:rsid w:val="000C19D3"/>
    <w:rsid w:val="000C36CF"/>
    <w:rsid w:val="000C433C"/>
    <w:rsid w:val="000C5ED8"/>
    <w:rsid w:val="000C7461"/>
    <w:rsid w:val="000C7A9E"/>
    <w:rsid w:val="000D2166"/>
    <w:rsid w:val="000D21C3"/>
    <w:rsid w:val="000D2BC4"/>
    <w:rsid w:val="000D3990"/>
    <w:rsid w:val="000D6294"/>
    <w:rsid w:val="000D688B"/>
    <w:rsid w:val="000D77B4"/>
    <w:rsid w:val="000E165C"/>
    <w:rsid w:val="000E1671"/>
    <w:rsid w:val="000E3233"/>
    <w:rsid w:val="000E6103"/>
    <w:rsid w:val="000E6AFD"/>
    <w:rsid w:val="000F0304"/>
    <w:rsid w:val="000F0C66"/>
    <w:rsid w:val="000F2070"/>
    <w:rsid w:val="000F2323"/>
    <w:rsid w:val="000F5867"/>
    <w:rsid w:val="000F7920"/>
    <w:rsid w:val="001009D5"/>
    <w:rsid w:val="00107EC9"/>
    <w:rsid w:val="0011029F"/>
    <w:rsid w:val="00110CED"/>
    <w:rsid w:val="001117A7"/>
    <w:rsid w:val="001124C6"/>
    <w:rsid w:val="00116339"/>
    <w:rsid w:val="00120355"/>
    <w:rsid w:val="001216BD"/>
    <w:rsid w:val="00122C0C"/>
    <w:rsid w:val="00124510"/>
    <w:rsid w:val="00127727"/>
    <w:rsid w:val="00133830"/>
    <w:rsid w:val="00134A23"/>
    <w:rsid w:val="00135AA3"/>
    <w:rsid w:val="001425A4"/>
    <w:rsid w:val="0014434B"/>
    <w:rsid w:val="00144D0D"/>
    <w:rsid w:val="00144E1C"/>
    <w:rsid w:val="00150F94"/>
    <w:rsid w:val="001539CF"/>
    <w:rsid w:val="0015624B"/>
    <w:rsid w:val="00157AD5"/>
    <w:rsid w:val="00165BCC"/>
    <w:rsid w:val="00184375"/>
    <w:rsid w:val="001847F7"/>
    <w:rsid w:val="00186626"/>
    <w:rsid w:val="00186C47"/>
    <w:rsid w:val="0019237B"/>
    <w:rsid w:val="00193BBC"/>
    <w:rsid w:val="00195415"/>
    <w:rsid w:val="00197218"/>
    <w:rsid w:val="001A4AE8"/>
    <w:rsid w:val="001A4DD6"/>
    <w:rsid w:val="001A724A"/>
    <w:rsid w:val="001A7FA3"/>
    <w:rsid w:val="001B131D"/>
    <w:rsid w:val="001B3C81"/>
    <w:rsid w:val="001B6341"/>
    <w:rsid w:val="001D18C6"/>
    <w:rsid w:val="001D1E73"/>
    <w:rsid w:val="001D3631"/>
    <w:rsid w:val="001D52FF"/>
    <w:rsid w:val="001E1546"/>
    <w:rsid w:val="001E1B83"/>
    <w:rsid w:val="001E54F7"/>
    <w:rsid w:val="001F3EC5"/>
    <w:rsid w:val="002014E3"/>
    <w:rsid w:val="00201EE6"/>
    <w:rsid w:val="00205D94"/>
    <w:rsid w:val="002100D8"/>
    <w:rsid w:val="00211DB1"/>
    <w:rsid w:val="00211FE6"/>
    <w:rsid w:val="00212F39"/>
    <w:rsid w:val="0021498B"/>
    <w:rsid w:val="002159B8"/>
    <w:rsid w:val="00222A7A"/>
    <w:rsid w:val="00223360"/>
    <w:rsid w:val="0022649F"/>
    <w:rsid w:val="00227E6B"/>
    <w:rsid w:val="00231376"/>
    <w:rsid w:val="002348F9"/>
    <w:rsid w:val="0024145D"/>
    <w:rsid w:val="0024417D"/>
    <w:rsid w:val="002544EE"/>
    <w:rsid w:val="002566C3"/>
    <w:rsid w:val="002644CD"/>
    <w:rsid w:val="00267509"/>
    <w:rsid w:val="00267A79"/>
    <w:rsid w:val="00271B54"/>
    <w:rsid w:val="00274A39"/>
    <w:rsid w:val="00277029"/>
    <w:rsid w:val="002815D3"/>
    <w:rsid w:val="002817AF"/>
    <w:rsid w:val="00284F07"/>
    <w:rsid w:val="0028523C"/>
    <w:rsid w:val="00285D0F"/>
    <w:rsid w:val="002864D0"/>
    <w:rsid w:val="002915AF"/>
    <w:rsid w:val="00292EB2"/>
    <w:rsid w:val="00293D86"/>
    <w:rsid w:val="002A2006"/>
    <w:rsid w:val="002A329C"/>
    <w:rsid w:val="002A3E0B"/>
    <w:rsid w:val="002B2D9F"/>
    <w:rsid w:val="002C30CD"/>
    <w:rsid w:val="002C58A2"/>
    <w:rsid w:val="002C7DDF"/>
    <w:rsid w:val="002D4A01"/>
    <w:rsid w:val="002D5467"/>
    <w:rsid w:val="002E04DE"/>
    <w:rsid w:val="002E4D8B"/>
    <w:rsid w:val="002E5C28"/>
    <w:rsid w:val="002F0EA4"/>
    <w:rsid w:val="00310375"/>
    <w:rsid w:val="00311866"/>
    <w:rsid w:val="00316541"/>
    <w:rsid w:val="0031665F"/>
    <w:rsid w:val="00322F5A"/>
    <w:rsid w:val="0032375C"/>
    <w:rsid w:val="00324DA2"/>
    <w:rsid w:val="00331953"/>
    <w:rsid w:val="00332050"/>
    <w:rsid w:val="00335810"/>
    <w:rsid w:val="0033657D"/>
    <w:rsid w:val="00336E19"/>
    <w:rsid w:val="00350A5C"/>
    <w:rsid w:val="003512B6"/>
    <w:rsid w:val="00353564"/>
    <w:rsid w:val="00356520"/>
    <w:rsid w:val="00357FED"/>
    <w:rsid w:val="00361044"/>
    <w:rsid w:val="00363216"/>
    <w:rsid w:val="0036580D"/>
    <w:rsid w:val="00366338"/>
    <w:rsid w:val="00366CD8"/>
    <w:rsid w:val="003750AF"/>
    <w:rsid w:val="00375F5D"/>
    <w:rsid w:val="0037607E"/>
    <w:rsid w:val="00377285"/>
    <w:rsid w:val="0037746D"/>
    <w:rsid w:val="00380E54"/>
    <w:rsid w:val="003824FF"/>
    <w:rsid w:val="00382EA6"/>
    <w:rsid w:val="003845C0"/>
    <w:rsid w:val="00386535"/>
    <w:rsid w:val="00386C34"/>
    <w:rsid w:val="003A1614"/>
    <w:rsid w:val="003B1A00"/>
    <w:rsid w:val="003B1B72"/>
    <w:rsid w:val="003B222A"/>
    <w:rsid w:val="003B3293"/>
    <w:rsid w:val="003B3874"/>
    <w:rsid w:val="003B59CC"/>
    <w:rsid w:val="003B5F38"/>
    <w:rsid w:val="003C05EA"/>
    <w:rsid w:val="003C6A5B"/>
    <w:rsid w:val="003C7DD5"/>
    <w:rsid w:val="003D2056"/>
    <w:rsid w:val="003D317E"/>
    <w:rsid w:val="003D32A7"/>
    <w:rsid w:val="003D4666"/>
    <w:rsid w:val="003D4C9B"/>
    <w:rsid w:val="003D7636"/>
    <w:rsid w:val="003E1BD2"/>
    <w:rsid w:val="003E2404"/>
    <w:rsid w:val="003E4EEA"/>
    <w:rsid w:val="003E5FA8"/>
    <w:rsid w:val="003F0249"/>
    <w:rsid w:val="003F05BC"/>
    <w:rsid w:val="003F486C"/>
    <w:rsid w:val="003F6002"/>
    <w:rsid w:val="003F73BD"/>
    <w:rsid w:val="00403327"/>
    <w:rsid w:val="004140D8"/>
    <w:rsid w:val="00414565"/>
    <w:rsid w:val="00416CBC"/>
    <w:rsid w:val="00416ECC"/>
    <w:rsid w:val="00417178"/>
    <w:rsid w:val="00421185"/>
    <w:rsid w:val="00426D34"/>
    <w:rsid w:val="00427B5A"/>
    <w:rsid w:val="0043020B"/>
    <w:rsid w:val="00435804"/>
    <w:rsid w:val="00437583"/>
    <w:rsid w:val="00444030"/>
    <w:rsid w:val="0044731C"/>
    <w:rsid w:val="004474A8"/>
    <w:rsid w:val="0045092E"/>
    <w:rsid w:val="00453ED8"/>
    <w:rsid w:val="00466347"/>
    <w:rsid w:val="004679E8"/>
    <w:rsid w:val="004714C1"/>
    <w:rsid w:val="004719D3"/>
    <w:rsid w:val="00472698"/>
    <w:rsid w:val="00476DD5"/>
    <w:rsid w:val="00483318"/>
    <w:rsid w:val="0048356B"/>
    <w:rsid w:val="0048542E"/>
    <w:rsid w:val="004920AB"/>
    <w:rsid w:val="004971F7"/>
    <w:rsid w:val="004A251A"/>
    <w:rsid w:val="004B2960"/>
    <w:rsid w:val="004B3C78"/>
    <w:rsid w:val="004B4B35"/>
    <w:rsid w:val="004B6979"/>
    <w:rsid w:val="004C3718"/>
    <w:rsid w:val="004C40EF"/>
    <w:rsid w:val="004C4538"/>
    <w:rsid w:val="004D2F6B"/>
    <w:rsid w:val="004D4D33"/>
    <w:rsid w:val="004D5BAC"/>
    <w:rsid w:val="004D7074"/>
    <w:rsid w:val="004E1B84"/>
    <w:rsid w:val="004F0176"/>
    <w:rsid w:val="004F111A"/>
    <w:rsid w:val="004F1754"/>
    <w:rsid w:val="004F3B4E"/>
    <w:rsid w:val="004F6B4D"/>
    <w:rsid w:val="0051391E"/>
    <w:rsid w:val="0051472C"/>
    <w:rsid w:val="00515B1E"/>
    <w:rsid w:val="00517847"/>
    <w:rsid w:val="00520E01"/>
    <w:rsid w:val="00522D01"/>
    <w:rsid w:val="00523DA3"/>
    <w:rsid w:val="00525651"/>
    <w:rsid w:val="0052582E"/>
    <w:rsid w:val="0052791C"/>
    <w:rsid w:val="00531EC3"/>
    <w:rsid w:val="00534249"/>
    <w:rsid w:val="00536482"/>
    <w:rsid w:val="005366F6"/>
    <w:rsid w:val="00537523"/>
    <w:rsid w:val="00540181"/>
    <w:rsid w:val="00540BE6"/>
    <w:rsid w:val="0054146C"/>
    <w:rsid w:val="0054147A"/>
    <w:rsid w:val="005518D2"/>
    <w:rsid w:val="00553FBE"/>
    <w:rsid w:val="00557078"/>
    <w:rsid w:val="0056122F"/>
    <w:rsid w:val="00561DDF"/>
    <w:rsid w:val="005637BD"/>
    <w:rsid w:val="005637C1"/>
    <w:rsid w:val="0056443B"/>
    <w:rsid w:val="00575693"/>
    <w:rsid w:val="005775A2"/>
    <w:rsid w:val="00580225"/>
    <w:rsid w:val="00581709"/>
    <w:rsid w:val="00582E59"/>
    <w:rsid w:val="00583A11"/>
    <w:rsid w:val="00583B7A"/>
    <w:rsid w:val="0059206E"/>
    <w:rsid w:val="00595302"/>
    <w:rsid w:val="005961DD"/>
    <w:rsid w:val="0059661F"/>
    <w:rsid w:val="00596CA6"/>
    <w:rsid w:val="005A0DEB"/>
    <w:rsid w:val="005A1CF8"/>
    <w:rsid w:val="005A76BF"/>
    <w:rsid w:val="005B07B5"/>
    <w:rsid w:val="005B0F26"/>
    <w:rsid w:val="005B258E"/>
    <w:rsid w:val="005B78C0"/>
    <w:rsid w:val="005C006E"/>
    <w:rsid w:val="005C1F9D"/>
    <w:rsid w:val="005D4E39"/>
    <w:rsid w:val="005D4FF4"/>
    <w:rsid w:val="005D509C"/>
    <w:rsid w:val="005D664B"/>
    <w:rsid w:val="005D6D3E"/>
    <w:rsid w:val="005D7087"/>
    <w:rsid w:val="005E0224"/>
    <w:rsid w:val="005E1AF4"/>
    <w:rsid w:val="005E1DFE"/>
    <w:rsid w:val="005E50FE"/>
    <w:rsid w:val="005F1B35"/>
    <w:rsid w:val="005F3246"/>
    <w:rsid w:val="005F4627"/>
    <w:rsid w:val="00600482"/>
    <w:rsid w:val="006057D4"/>
    <w:rsid w:val="0060658C"/>
    <w:rsid w:val="0061169F"/>
    <w:rsid w:val="006124F0"/>
    <w:rsid w:val="00614340"/>
    <w:rsid w:val="00616775"/>
    <w:rsid w:val="00617583"/>
    <w:rsid w:val="00621203"/>
    <w:rsid w:val="006223DA"/>
    <w:rsid w:val="00624EFC"/>
    <w:rsid w:val="00626A99"/>
    <w:rsid w:val="00636CC6"/>
    <w:rsid w:val="006374BD"/>
    <w:rsid w:val="00640765"/>
    <w:rsid w:val="00641048"/>
    <w:rsid w:val="006452A7"/>
    <w:rsid w:val="00645FA1"/>
    <w:rsid w:val="00646071"/>
    <w:rsid w:val="00646C0A"/>
    <w:rsid w:val="006524D6"/>
    <w:rsid w:val="00657F60"/>
    <w:rsid w:val="00662432"/>
    <w:rsid w:val="00662ADC"/>
    <w:rsid w:val="006730ED"/>
    <w:rsid w:val="00673DB0"/>
    <w:rsid w:val="00684640"/>
    <w:rsid w:val="0068518A"/>
    <w:rsid w:val="00691108"/>
    <w:rsid w:val="006A1C0E"/>
    <w:rsid w:val="006B0174"/>
    <w:rsid w:val="006B0974"/>
    <w:rsid w:val="006B2125"/>
    <w:rsid w:val="006B2255"/>
    <w:rsid w:val="006B5161"/>
    <w:rsid w:val="006B5874"/>
    <w:rsid w:val="006B5CB5"/>
    <w:rsid w:val="006C1433"/>
    <w:rsid w:val="006C5E32"/>
    <w:rsid w:val="006C7CF8"/>
    <w:rsid w:val="006D1675"/>
    <w:rsid w:val="006D607B"/>
    <w:rsid w:val="006E39DF"/>
    <w:rsid w:val="006E51A8"/>
    <w:rsid w:val="006E60EA"/>
    <w:rsid w:val="006E77DC"/>
    <w:rsid w:val="006F0E94"/>
    <w:rsid w:val="006F2408"/>
    <w:rsid w:val="006F2715"/>
    <w:rsid w:val="006F6458"/>
    <w:rsid w:val="006F67E5"/>
    <w:rsid w:val="006F689A"/>
    <w:rsid w:val="006F7ACA"/>
    <w:rsid w:val="00712997"/>
    <w:rsid w:val="00714109"/>
    <w:rsid w:val="007146F6"/>
    <w:rsid w:val="00715FA9"/>
    <w:rsid w:val="00717214"/>
    <w:rsid w:val="00720957"/>
    <w:rsid w:val="0072693A"/>
    <w:rsid w:val="00733AA8"/>
    <w:rsid w:val="007340B5"/>
    <w:rsid w:val="007365A0"/>
    <w:rsid w:val="00737ADD"/>
    <w:rsid w:val="0074076E"/>
    <w:rsid w:val="00742DF0"/>
    <w:rsid w:val="0074452F"/>
    <w:rsid w:val="00751DC1"/>
    <w:rsid w:val="00753C8D"/>
    <w:rsid w:val="00760884"/>
    <w:rsid w:val="00763FDD"/>
    <w:rsid w:val="0076644A"/>
    <w:rsid w:val="00772BDC"/>
    <w:rsid w:val="007730DD"/>
    <w:rsid w:val="0079168F"/>
    <w:rsid w:val="007963AD"/>
    <w:rsid w:val="00797B62"/>
    <w:rsid w:val="007A6A3E"/>
    <w:rsid w:val="007B34FD"/>
    <w:rsid w:val="007C23C7"/>
    <w:rsid w:val="007C782C"/>
    <w:rsid w:val="007D0247"/>
    <w:rsid w:val="007D0D76"/>
    <w:rsid w:val="007D2A4F"/>
    <w:rsid w:val="007D3926"/>
    <w:rsid w:val="007D3BED"/>
    <w:rsid w:val="007D7132"/>
    <w:rsid w:val="007D73B1"/>
    <w:rsid w:val="007D7769"/>
    <w:rsid w:val="007D7D92"/>
    <w:rsid w:val="007E731F"/>
    <w:rsid w:val="007F2D61"/>
    <w:rsid w:val="007F3FDC"/>
    <w:rsid w:val="00801FB5"/>
    <w:rsid w:val="00805456"/>
    <w:rsid w:val="008069D3"/>
    <w:rsid w:val="0080793B"/>
    <w:rsid w:val="00807DFE"/>
    <w:rsid w:val="00810976"/>
    <w:rsid w:val="008113D6"/>
    <w:rsid w:val="00812534"/>
    <w:rsid w:val="008150C4"/>
    <w:rsid w:val="00822886"/>
    <w:rsid w:val="008233B9"/>
    <w:rsid w:val="008244BC"/>
    <w:rsid w:val="00831F9B"/>
    <w:rsid w:val="00833578"/>
    <w:rsid w:val="008336F4"/>
    <w:rsid w:val="00835304"/>
    <w:rsid w:val="0084283C"/>
    <w:rsid w:val="0085430C"/>
    <w:rsid w:val="00854ACD"/>
    <w:rsid w:val="00864836"/>
    <w:rsid w:val="0086700F"/>
    <w:rsid w:val="008727D1"/>
    <w:rsid w:val="0087798D"/>
    <w:rsid w:val="00880724"/>
    <w:rsid w:val="008809F6"/>
    <w:rsid w:val="00886B24"/>
    <w:rsid w:val="00890163"/>
    <w:rsid w:val="00891FE6"/>
    <w:rsid w:val="0089469C"/>
    <w:rsid w:val="00895C65"/>
    <w:rsid w:val="00895E47"/>
    <w:rsid w:val="008960F6"/>
    <w:rsid w:val="008975B0"/>
    <w:rsid w:val="008A312D"/>
    <w:rsid w:val="008A4018"/>
    <w:rsid w:val="008A53C5"/>
    <w:rsid w:val="008A563F"/>
    <w:rsid w:val="008A70B5"/>
    <w:rsid w:val="008B0840"/>
    <w:rsid w:val="008B1C08"/>
    <w:rsid w:val="008B1D0D"/>
    <w:rsid w:val="008B275D"/>
    <w:rsid w:val="008B456A"/>
    <w:rsid w:val="008C034D"/>
    <w:rsid w:val="008C3CED"/>
    <w:rsid w:val="008D5FC0"/>
    <w:rsid w:val="008E7ADD"/>
    <w:rsid w:val="008F2329"/>
    <w:rsid w:val="00901149"/>
    <w:rsid w:val="00907F27"/>
    <w:rsid w:val="0091076F"/>
    <w:rsid w:val="00911947"/>
    <w:rsid w:val="00914C52"/>
    <w:rsid w:val="00915C4E"/>
    <w:rsid w:val="00915F85"/>
    <w:rsid w:val="00927FD3"/>
    <w:rsid w:val="00930187"/>
    <w:rsid w:val="00930822"/>
    <w:rsid w:val="00933922"/>
    <w:rsid w:val="00935539"/>
    <w:rsid w:val="00936DF4"/>
    <w:rsid w:val="00936E2B"/>
    <w:rsid w:val="00937AEB"/>
    <w:rsid w:val="00942528"/>
    <w:rsid w:val="00943259"/>
    <w:rsid w:val="00943374"/>
    <w:rsid w:val="009476BA"/>
    <w:rsid w:val="00950325"/>
    <w:rsid w:val="00950477"/>
    <w:rsid w:val="00950C39"/>
    <w:rsid w:val="00951ED8"/>
    <w:rsid w:val="0095262B"/>
    <w:rsid w:val="0095285A"/>
    <w:rsid w:val="00953006"/>
    <w:rsid w:val="00955008"/>
    <w:rsid w:val="00956D47"/>
    <w:rsid w:val="00957034"/>
    <w:rsid w:val="00963CC7"/>
    <w:rsid w:val="0096610E"/>
    <w:rsid w:val="00976419"/>
    <w:rsid w:val="00976AA1"/>
    <w:rsid w:val="00981474"/>
    <w:rsid w:val="00985348"/>
    <w:rsid w:val="00992880"/>
    <w:rsid w:val="00993DE2"/>
    <w:rsid w:val="00993F7D"/>
    <w:rsid w:val="009A3874"/>
    <w:rsid w:val="009A6977"/>
    <w:rsid w:val="009A7C3E"/>
    <w:rsid w:val="009B268B"/>
    <w:rsid w:val="009B3AD4"/>
    <w:rsid w:val="009B472F"/>
    <w:rsid w:val="009B633C"/>
    <w:rsid w:val="009C39CC"/>
    <w:rsid w:val="009C3EAE"/>
    <w:rsid w:val="009C6804"/>
    <w:rsid w:val="009C7D90"/>
    <w:rsid w:val="009D1B53"/>
    <w:rsid w:val="009D2608"/>
    <w:rsid w:val="009D3EDB"/>
    <w:rsid w:val="009D45DB"/>
    <w:rsid w:val="009D4DFB"/>
    <w:rsid w:val="009D72BD"/>
    <w:rsid w:val="009E1E74"/>
    <w:rsid w:val="009E2E79"/>
    <w:rsid w:val="009F309E"/>
    <w:rsid w:val="00A04365"/>
    <w:rsid w:val="00A0723E"/>
    <w:rsid w:val="00A10EDA"/>
    <w:rsid w:val="00A12C6F"/>
    <w:rsid w:val="00A149BA"/>
    <w:rsid w:val="00A14A52"/>
    <w:rsid w:val="00A1582D"/>
    <w:rsid w:val="00A17BE8"/>
    <w:rsid w:val="00A22480"/>
    <w:rsid w:val="00A233C9"/>
    <w:rsid w:val="00A27F44"/>
    <w:rsid w:val="00A303EA"/>
    <w:rsid w:val="00A31011"/>
    <w:rsid w:val="00A32447"/>
    <w:rsid w:val="00A35E9C"/>
    <w:rsid w:val="00A360FE"/>
    <w:rsid w:val="00A36C84"/>
    <w:rsid w:val="00A4048A"/>
    <w:rsid w:val="00A4186D"/>
    <w:rsid w:val="00A420C3"/>
    <w:rsid w:val="00A43C49"/>
    <w:rsid w:val="00A46FEA"/>
    <w:rsid w:val="00A47DBC"/>
    <w:rsid w:val="00A50C7F"/>
    <w:rsid w:val="00A53474"/>
    <w:rsid w:val="00A54B4E"/>
    <w:rsid w:val="00A55479"/>
    <w:rsid w:val="00A56911"/>
    <w:rsid w:val="00A60394"/>
    <w:rsid w:val="00A72096"/>
    <w:rsid w:val="00A75644"/>
    <w:rsid w:val="00A82EB7"/>
    <w:rsid w:val="00A848B4"/>
    <w:rsid w:val="00A849CE"/>
    <w:rsid w:val="00A90AF1"/>
    <w:rsid w:val="00A91F65"/>
    <w:rsid w:val="00A96390"/>
    <w:rsid w:val="00A96FE6"/>
    <w:rsid w:val="00AA506F"/>
    <w:rsid w:val="00AA6FCF"/>
    <w:rsid w:val="00AB132C"/>
    <w:rsid w:val="00AB3D2B"/>
    <w:rsid w:val="00AB5E70"/>
    <w:rsid w:val="00AC64B3"/>
    <w:rsid w:val="00AD0E40"/>
    <w:rsid w:val="00AD1F89"/>
    <w:rsid w:val="00AD2CF5"/>
    <w:rsid w:val="00AE1472"/>
    <w:rsid w:val="00AF3D3A"/>
    <w:rsid w:val="00AF6CEC"/>
    <w:rsid w:val="00B023FB"/>
    <w:rsid w:val="00B0413F"/>
    <w:rsid w:val="00B04395"/>
    <w:rsid w:val="00B0478A"/>
    <w:rsid w:val="00B14A5C"/>
    <w:rsid w:val="00B16B96"/>
    <w:rsid w:val="00B2076E"/>
    <w:rsid w:val="00B22379"/>
    <w:rsid w:val="00B22F4A"/>
    <w:rsid w:val="00B23667"/>
    <w:rsid w:val="00B24F83"/>
    <w:rsid w:val="00B2725C"/>
    <w:rsid w:val="00B371BC"/>
    <w:rsid w:val="00B40EB5"/>
    <w:rsid w:val="00B4168D"/>
    <w:rsid w:val="00B459B9"/>
    <w:rsid w:val="00B459E8"/>
    <w:rsid w:val="00B46E3C"/>
    <w:rsid w:val="00B52F96"/>
    <w:rsid w:val="00B546F8"/>
    <w:rsid w:val="00B55EF3"/>
    <w:rsid w:val="00B609B0"/>
    <w:rsid w:val="00B60FAB"/>
    <w:rsid w:val="00B71018"/>
    <w:rsid w:val="00B71838"/>
    <w:rsid w:val="00B77267"/>
    <w:rsid w:val="00B8252D"/>
    <w:rsid w:val="00B835A1"/>
    <w:rsid w:val="00B8426F"/>
    <w:rsid w:val="00B8581C"/>
    <w:rsid w:val="00B9041C"/>
    <w:rsid w:val="00B90A2C"/>
    <w:rsid w:val="00B94B33"/>
    <w:rsid w:val="00B97FF3"/>
    <w:rsid w:val="00BA4A5C"/>
    <w:rsid w:val="00BA59AC"/>
    <w:rsid w:val="00BB33D8"/>
    <w:rsid w:val="00BB364D"/>
    <w:rsid w:val="00BC3FC6"/>
    <w:rsid w:val="00BD0A6A"/>
    <w:rsid w:val="00BD1B76"/>
    <w:rsid w:val="00BD7C89"/>
    <w:rsid w:val="00BD7CB4"/>
    <w:rsid w:val="00BE06B1"/>
    <w:rsid w:val="00BE11A9"/>
    <w:rsid w:val="00BE4990"/>
    <w:rsid w:val="00BF1066"/>
    <w:rsid w:val="00BF3282"/>
    <w:rsid w:val="00BF4505"/>
    <w:rsid w:val="00BF4DDD"/>
    <w:rsid w:val="00BF6829"/>
    <w:rsid w:val="00C01875"/>
    <w:rsid w:val="00C0590E"/>
    <w:rsid w:val="00C1092C"/>
    <w:rsid w:val="00C110A0"/>
    <w:rsid w:val="00C13896"/>
    <w:rsid w:val="00C1592B"/>
    <w:rsid w:val="00C17667"/>
    <w:rsid w:val="00C20EB9"/>
    <w:rsid w:val="00C27AF6"/>
    <w:rsid w:val="00C27D89"/>
    <w:rsid w:val="00C329EB"/>
    <w:rsid w:val="00C35236"/>
    <w:rsid w:val="00C36AAE"/>
    <w:rsid w:val="00C37EF6"/>
    <w:rsid w:val="00C40A75"/>
    <w:rsid w:val="00C41727"/>
    <w:rsid w:val="00C43AC0"/>
    <w:rsid w:val="00C44A4B"/>
    <w:rsid w:val="00C52196"/>
    <w:rsid w:val="00C521B7"/>
    <w:rsid w:val="00C52525"/>
    <w:rsid w:val="00C525AD"/>
    <w:rsid w:val="00C55F12"/>
    <w:rsid w:val="00C62EEC"/>
    <w:rsid w:val="00C6314F"/>
    <w:rsid w:val="00C647CF"/>
    <w:rsid w:val="00C66084"/>
    <w:rsid w:val="00C660AF"/>
    <w:rsid w:val="00C676B3"/>
    <w:rsid w:val="00C73C5D"/>
    <w:rsid w:val="00C82C5F"/>
    <w:rsid w:val="00C84009"/>
    <w:rsid w:val="00C87244"/>
    <w:rsid w:val="00C90F78"/>
    <w:rsid w:val="00C94133"/>
    <w:rsid w:val="00C94A79"/>
    <w:rsid w:val="00C951B2"/>
    <w:rsid w:val="00C95264"/>
    <w:rsid w:val="00C96B39"/>
    <w:rsid w:val="00CA020F"/>
    <w:rsid w:val="00CA7A1F"/>
    <w:rsid w:val="00CB12BF"/>
    <w:rsid w:val="00CB5030"/>
    <w:rsid w:val="00CB6150"/>
    <w:rsid w:val="00CC2062"/>
    <w:rsid w:val="00CC5F48"/>
    <w:rsid w:val="00CD024F"/>
    <w:rsid w:val="00CD79D7"/>
    <w:rsid w:val="00CE03F0"/>
    <w:rsid w:val="00CE045A"/>
    <w:rsid w:val="00CE3945"/>
    <w:rsid w:val="00CE6FA9"/>
    <w:rsid w:val="00CE7C9C"/>
    <w:rsid w:val="00CF4A25"/>
    <w:rsid w:val="00CF4CB5"/>
    <w:rsid w:val="00CF6669"/>
    <w:rsid w:val="00CF7C1F"/>
    <w:rsid w:val="00D063A3"/>
    <w:rsid w:val="00D11A05"/>
    <w:rsid w:val="00D12A98"/>
    <w:rsid w:val="00D15F65"/>
    <w:rsid w:val="00D16770"/>
    <w:rsid w:val="00D20C63"/>
    <w:rsid w:val="00D21F0C"/>
    <w:rsid w:val="00D230DC"/>
    <w:rsid w:val="00D2375A"/>
    <w:rsid w:val="00D24A95"/>
    <w:rsid w:val="00D25C4B"/>
    <w:rsid w:val="00D32358"/>
    <w:rsid w:val="00D35D03"/>
    <w:rsid w:val="00D40057"/>
    <w:rsid w:val="00D41DED"/>
    <w:rsid w:val="00D42BB3"/>
    <w:rsid w:val="00D43B6E"/>
    <w:rsid w:val="00D45F83"/>
    <w:rsid w:val="00D5208F"/>
    <w:rsid w:val="00D53354"/>
    <w:rsid w:val="00D53906"/>
    <w:rsid w:val="00D54AC6"/>
    <w:rsid w:val="00D556D0"/>
    <w:rsid w:val="00D61606"/>
    <w:rsid w:val="00D6334D"/>
    <w:rsid w:val="00D7025A"/>
    <w:rsid w:val="00D74FA5"/>
    <w:rsid w:val="00D755FA"/>
    <w:rsid w:val="00D76726"/>
    <w:rsid w:val="00D810A3"/>
    <w:rsid w:val="00D81726"/>
    <w:rsid w:val="00D8469F"/>
    <w:rsid w:val="00D84A16"/>
    <w:rsid w:val="00D85F39"/>
    <w:rsid w:val="00D86350"/>
    <w:rsid w:val="00D86742"/>
    <w:rsid w:val="00D9161A"/>
    <w:rsid w:val="00D9381D"/>
    <w:rsid w:val="00D93C4A"/>
    <w:rsid w:val="00D97517"/>
    <w:rsid w:val="00DA1903"/>
    <w:rsid w:val="00DA327B"/>
    <w:rsid w:val="00DA3384"/>
    <w:rsid w:val="00DA6182"/>
    <w:rsid w:val="00DB0CE6"/>
    <w:rsid w:val="00DB0ED6"/>
    <w:rsid w:val="00DB5B0D"/>
    <w:rsid w:val="00DB7069"/>
    <w:rsid w:val="00DC2794"/>
    <w:rsid w:val="00DC3458"/>
    <w:rsid w:val="00DC772D"/>
    <w:rsid w:val="00DD222D"/>
    <w:rsid w:val="00DD7B99"/>
    <w:rsid w:val="00DE2722"/>
    <w:rsid w:val="00DE6D95"/>
    <w:rsid w:val="00DE7F67"/>
    <w:rsid w:val="00DF1272"/>
    <w:rsid w:val="00DF2677"/>
    <w:rsid w:val="00DF2D49"/>
    <w:rsid w:val="00DF6ED9"/>
    <w:rsid w:val="00DF7DC0"/>
    <w:rsid w:val="00E038DF"/>
    <w:rsid w:val="00E04059"/>
    <w:rsid w:val="00E04152"/>
    <w:rsid w:val="00E052E1"/>
    <w:rsid w:val="00E10D98"/>
    <w:rsid w:val="00E121DB"/>
    <w:rsid w:val="00E16D70"/>
    <w:rsid w:val="00E16F53"/>
    <w:rsid w:val="00E20688"/>
    <w:rsid w:val="00E22308"/>
    <w:rsid w:val="00E224FA"/>
    <w:rsid w:val="00E30777"/>
    <w:rsid w:val="00E34168"/>
    <w:rsid w:val="00E404D3"/>
    <w:rsid w:val="00E4116C"/>
    <w:rsid w:val="00E44861"/>
    <w:rsid w:val="00E45786"/>
    <w:rsid w:val="00E51135"/>
    <w:rsid w:val="00E64E38"/>
    <w:rsid w:val="00E6513D"/>
    <w:rsid w:val="00E65BEE"/>
    <w:rsid w:val="00E70BE5"/>
    <w:rsid w:val="00E71BAF"/>
    <w:rsid w:val="00E8011F"/>
    <w:rsid w:val="00E81024"/>
    <w:rsid w:val="00E83D4E"/>
    <w:rsid w:val="00E87E75"/>
    <w:rsid w:val="00E904E4"/>
    <w:rsid w:val="00E94603"/>
    <w:rsid w:val="00E9651C"/>
    <w:rsid w:val="00EA367E"/>
    <w:rsid w:val="00EA5CCE"/>
    <w:rsid w:val="00EB18AA"/>
    <w:rsid w:val="00EB3349"/>
    <w:rsid w:val="00EB56DF"/>
    <w:rsid w:val="00EB5E87"/>
    <w:rsid w:val="00EB7ACD"/>
    <w:rsid w:val="00EC0312"/>
    <w:rsid w:val="00EC311A"/>
    <w:rsid w:val="00EC4518"/>
    <w:rsid w:val="00EC499C"/>
    <w:rsid w:val="00EC4E57"/>
    <w:rsid w:val="00EC4E72"/>
    <w:rsid w:val="00EC7E88"/>
    <w:rsid w:val="00ED25F5"/>
    <w:rsid w:val="00ED3F75"/>
    <w:rsid w:val="00ED5AC8"/>
    <w:rsid w:val="00ED602E"/>
    <w:rsid w:val="00ED68E3"/>
    <w:rsid w:val="00EE11BD"/>
    <w:rsid w:val="00EE2970"/>
    <w:rsid w:val="00EE3396"/>
    <w:rsid w:val="00EE4266"/>
    <w:rsid w:val="00EF3C49"/>
    <w:rsid w:val="00F01D75"/>
    <w:rsid w:val="00F02946"/>
    <w:rsid w:val="00F02FC5"/>
    <w:rsid w:val="00F04E1F"/>
    <w:rsid w:val="00F07655"/>
    <w:rsid w:val="00F105B3"/>
    <w:rsid w:val="00F10B55"/>
    <w:rsid w:val="00F10B6C"/>
    <w:rsid w:val="00F17517"/>
    <w:rsid w:val="00F201BE"/>
    <w:rsid w:val="00F205E3"/>
    <w:rsid w:val="00F21300"/>
    <w:rsid w:val="00F24CBD"/>
    <w:rsid w:val="00F300D9"/>
    <w:rsid w:val="00F32476"/>
    <w:rsid w:val="00F34B2B"/>
    <w:rsid w:val="00F41C60"/>
    <w:rsid w:val="00F433AA"/>
    <w:rsid w:val="00F458E6"/>
    <w:rsid w:val="00F45DDD"/>
    <w:rsid w:val="00F51073"/>
    <w:rsid w:val="00F53846"/>
    <w:rsid w:val="00F62268"/>
    <w:rsid w:val="00F629D6"/>
    <w:rsid w:val="00F64879"/>
    <w:rsid w:val="00F72486"/>
    <w:rsid w:val="00F82113"/>
    <w:rsid w:val="00F878BB"/>
    <w:rsid w:val="00F919D8"/>
    <w:rsid w:val="00FA2A75"/>
    <w:rsid w:val="00FA3B5D"/>
    <w:rsid w:val="00FB1AAC"/>
    <w:rsid w:val="00FD074B"/>
    <w:rsid w:val="00FD1F26"/>
    <w:rsid w:val="00FD23EB"/>
    <w:rsid w:val="00FD24FA"/>
    <w:rsid w:val="00FD379E"/>
    <w:rsid w:val="00FD7626"/>
    <w:rsid w:val="00FD795A"/>
    <w:rsid w:val="00FE0C0B"/>
    <w:rsid w:val="00FE0E98"/>
    <w:rsid w:val="00FE22A2"/>
    <w:rsid w:val="00FE297D"/>
    <w:rsid w:val="00FE6802"/>
    <w:rsid w:val="00FF0D78"/>
    <w:rsid w:val="00FF110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63E17"/>
  <w15:docId w15:val="{803BF7F8-CC0D-4A03-A44F-69A1E15A1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D39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5A76BF"/>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rsid w:val="005A76BF"/>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unhideWhenUsed/>
    <w:qFormat/>
    <w:rsid w:val="005A76BF"/>
    <w:rPr>
      <w:vertAlign w:val="superscript"/>
    </w:rPr>
  </w:style>
  <w:style w:type="paragraph" w:styleId="Prrafodelista">
    <w:name w:val="List Paragraph"/>
    <w:basedOn w:val="Normal"/>
    <w:link w:val="PrrafodelistaCar"/>
    <w:qFormat/>
    <w:rsid w:val="005A76BF"/>
    <w:pPr>
      <w:ind w:left="720"/>
      <w:contextualSpacing/>
    </w:pPr>
  </w:style>
  <w:style w:type="character" w:styleId="Refdecomentario">
    <w:name w:val="annotation reference"/>
    <w:basedOn w:val="Fuentedeprrafopredeter"/>
    <w:uiPriority w:val="99"/>
    <w:semiHidden/>
    <w:unhideWhenUsed/>
    <w:rsid w:val="00886B24"/>
    <w:rPr>
      <w:sz w:val="16"/>
      <w:szCs w:val="16"/>
    </w:rPr>
  </w:style>
  <w:style w:type="paragraph" w:styleId="Textocomentario">
    <w:name w:val="annotation text"/>
    <w:basedOn w:val="Normal"/>
    <w:link w:val="TextocomentarioCar"/>
    <w:uiPriority w:val="99"/>
    <w:semiHidden/>
    <w:unhideWhenUsed/>
    <w:rsid w:val="00886B2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86B24"/>
    <w:rPr>
      <w:sz w:val="20"/>
      <w:szCs w:val="20"/>
    </w:rPr>
  </w:style>
  <w:style w:type="paragraph" w:styleId="Asuntodelcomentario">
    <w:name w:val="annotation subject"/>
    <w:basedOn w:val="Textocomentario"/>
    <w:next w:val="Textocomentario"/>
    <w:link w:val="AsuntodelcomentarioCar"/>
    <w:uiPriority w:val="99"/>
    <w:semiHidden/>
    <w:unhideWhenUsed/>
    <w:rsid w:val="00886B24"/>
    <w:rPr>
      <w:b/>
      <w:bCs/>
    </w:rPr>
  </w:style>
  <w:style w:type="character" w:customStyle="1" w:styleId="AsuntodelcomentarioCar">
    <w:name w:val="Asunto del comentario Car"/>
    <w:basedOn w:val="TextocomentarioCar"/>
    <w:link w:val="Asuntodelcomentario"/>
    <w:uiPriority w:val="99"/>
    <w:semiHidden/>
    <w:rsid w:val="00886B24"/>
    <w:rPr>
      <w:b/>
      <w:bCs/>
      <w:sz w:val="20"/>
      <w:szCs w:val="20"/>
    </w:rPr>
  </w:style>
  <w:style w:type="paragraph" w:styleId="Textodeglobo">
    <w:name w:val="Balloon Text"/>
    <w:basedOn w:val="Normal"/>
    <w:link w:val="TextodegloboCar"/>
    <w:uiPriority w:val="99"/>
    <w:semiHidden/>
    <w:unhideWhenUsed/>
    <w:rsid w:val="00886B2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6B24"/>
    <w:rPr>
      <w:rFonts w:ascii="Segoe UI" w:hAnsi="Segoe UI" w:cs="Segoe UI"/>
      <w:sz w:val="18"/>
      <w:szCs w:val="18"/>
    </w:rPr>
  </w:style>
  <w:style w:type="character" w:styleId="Textodelmarcadordeposicin">
    <w:name w:val="Placeholder Text"/>
    <w:basedOn w:val="Fuentedeprrafopredeter"/>
    <w:uiPriority w:val="99"/>
    <w:semiHidden/>
    <w:rsid w:val="00A50C7F"/>
    <w:rPr>
      <w:color w:val="808080"/>
    </w:rPr>
  </w:style>
  <w:style w:type="character" w:styleId="Nmerodelnea">
    <w:name w:val="line number"/>
    <w:basedOn w:val="Fuentedeprrafopredeter"/>
    <w:uiPriority w:val="99"/>
    <w:semiHidden/>
    <w:unhideWhenUsed/>
    <w:rsid w:val="00E34168"/>
  </w:style>
  <w:style w:type="paragraph" w:styleId="Textoindependiente">
    <w:name w:val="Body Text"/>
    <w:basedOn w:val="Normal"/>
    <w:link w:val="TextoindependienteCar"/>
    <w:uiPriority w:val="1"/>
    <w:qFormat/>
    <w:rsid w:val="005D509C"/>
    <w:pPr>
      <w:autoSpaceDE w:val="0"/>
      <w:autoSpaceDN w:val="0"/>
      <w:adjustRightInd w:val="0"/>
      <w:spacing w:after="0" w:line="266" w:lineRule="exact"/>
      <w:ind w:left="39"/>
    </w:pPr>
    <w:rPr>
      <w:rFonts w:ascii="Calisto MT" w:hAnsi="Calisto MT" w:cs="Calisto MT"/>
      <w:sz w:val="24"/>
      <w:szCs w:val="24"/>
    </w:rPr>
  </w:style>
  <w:style w:type="character" w:customStyle="1" w:styleId="TextoindependienteCar">
    <w:name w:val="Texto independiente Car"/>
    <w:basedOn w:val="Fuentedeprrafopredeter"/>
    <w:link w:val="Textoindependiente"/>
    <w:uiPriority w:val="1"/>
    <w:rsid w:val="005D509C"/>
    <w:rPr>
      <w:rFonts w:ascii="Calisto MT" w:hAnsi="Calisto MT" w:cs="Calisto MT"/>
      <w:sz w:val="24"/>
      <w:szCs w:val="24"/>
    </w:rPr>
  </w:style>
  <w:style w:type="paragraph" w:styleId="Encabezado">
    <w:name w:val="header"/>
    <w:basedOn w:val="Normal"/>
    <w:link w:val="EncabezadoCar"/>
    <w:uiPriority w:val="99"/>
    <w:unhideWhenUsed/>
    <w:rsid w:val="006460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6071"/>
  </w:style>
  <w:style w:type="paragraph" w:styleId="Piedepgina">
    <w:name w:val="footer"/>
    <w:basedOn w:val="Normal"/>
    <w:link w:val="PiedepginaCar"/>
    <w:uiPriority w:val="99"/>
    <w:unhideWhenUsed/>
    <w:rsid w:val="006460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6071"/>
  </w:style>
  <w:style w:type="paragraph" w:customStyle="1" w:styleId="ColorfulList-Accent11">
    <w:name w:val="Colorful List - Accent 11"/>
    <w:aliases w:val="Footnote,Párrafo de lista1"/>
    <w:basedOn w:val="Normal"/>
    <w:link w:val="ColorfulList-Accent1Char"/>
    <w:uiPriority w:val="34"/>
    <w:qFormat/>
    <w:rsid w:val="00522D01"/>
    <w:pPr>
      <w:spacing w:after="0" w:line="240" w:lineRule="auto"/>
      <w:ind w:left="720"/>
      <w:contextualSpacing/>
    </w:pPr>
    <w:rPr>
      <w:rFonts w:ascii="Times" w:eastAsia="Times" w:hAnsi="Times" w:cs="Times New Roman"/>
      <w:sz w:val="24"/>
      <w:szCs w:val="24"/>
      <w:lang w:val="es-ES_tradnl"/>
    </w:rPr>
  </w:style>
  <w:style w:type="character" w:customStyle="1" w:styleId="ColorfulList-Accent1Char">
    <w:name w:val="Colorful List - Accent 1 Char"/>
    <w:aliases w:val="Footnote Char,Párrafo de lista1 Char"/>
    <w:link w:val="ColorfulList-Accent11"/>
    <w:uiPriority w:val="34"/>
    <w:rsid w:val="00522D01"/>
    <w:rPr>
      <w:rFonts w:ascii="Times" w:eastAsia="Times" w:hAnsi="Times" w:cs="Times New Roman"/>
      <w:sz w:val="24"/>
      <w:szCs w:val="24"/>
      <w:lang w:val="es-ES_tradnl"/>
    </w:rPr>
  </w:style>
  <w:style w:type="character" w:customStyle="1" w:styleId="Ttulo1Car">
    <w:name w:val="Título 1 Car"/>
    <w:basedOn w:val="Fuentedeprrafopredeter"/>
    <w:link w:val="Ttulo1"/>
    <w:uiPriority w:val="9"/>
    <w:rsid w:val="000D3990"/>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0D3990"/>
    <w:pPr>
      <w:outlineLvl w:val="9"/>
    </w:pPr>
    <w:rPr>
      <w:lang w:eastAsia="es-CR"/>
    </w:rPr>
  </w:style>
  <w:style w:type="paragraph" w:styleId="TDC1">
    <w:name w:val="toc 1"/>
    <w:basedOn w:val="Normal"/>
    <w:next w:val="Normal"/>
    <w:autoRedefine/>
    <w:uiPriority w:val="39"/>
    <w:unhideWhenUsed/>
    <w:rsid w:val="0048542E"/>
    <w:pPr>
      <w:tabs>
        <w:tab w:val="left" w:pos="660"/>
        <w:tab w:val="right" w:leader="dot" w:pos="8828"/>
      </w:tabs>
      <w:spacing w:after="0" w:line="240" w:lineRule="auto"/>
      <w:jc w:val="both"/>
    </w:pPr>
  </w:style>
  <w:style w:type="character" w:styleId="Hipervnculo">
    <w:name w:val="Hyperlink"/>
    <w:basedOn w:val="Fuentedeprrafopredeter"/>
    <w:uiPriority w:val="99"/>
    <w:unhideWhenUsed/>
    <w:rsid w:val="000D3990"/>
    <w:rPr>
      <w:color w:val="0563C1" w:themeColor="hyperlink"/>
      <w:u w:val="single"/>
    </w:rPr>
  </w:style>
  <w:style w:type="character" w:customStyle="1" w:styleId="PrrafodelistaCar">
    <w:name w:val="Párrafo de lista Car"/>
    <w:link w:val="Prrafodelista"/>
    <w:rsid w:val="00D54AC6"/>
  </w:style>
  <w:style w:type="paragraph" w:styleId="Listaconvietas">
    <w:name w:val="List Bullet"/>
    <w:basedOn w:val="Normal"/>
    <w:uiPriority w:val="99"/>
    <w:unhideWhenUsed/>
    <w:rsid w:val="00B40EB5"/>
    <w:pPr>
      <w:numPr>
        <w:numId w:val="30"/>
      </w:numPr>
      <w:contextualSpacing/>
    </w:pPr>
  </w:style>
  <w:style w:type="paragraph" w:styleId="Revisin">
    <w:name w:val="Revision"/>
    <w:hidden/>
    <w:uiPriority w:val="99"/>
    <w:semiHidden/>
    <w:rsid w:val="00D25C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96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91255-FBC5-4E4C-B556-65FCA6C44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9796</Words>
  <Characters>53878</Characters>
  <Application>Microsoft Office Word</Application>
  <DocSecurity>0</DocSecurity>
  <Lines>448</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2021-03-18T16:24:00Z</cp:lastPrinted>
  <dcterms:created xsi:type="dcterms:W3CDTF">2021-04-16T20:51:00Z</dcterms:created>
  <dcterms:modified xsi:type="dcterms:W3CDTF">2021-04-16T20:51:00Z</dcterms:modified>
</cp:coreProperties>
</file>