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E84D1" w14:textId="77777777" w:rsidR="00195F77" w:rsidRPr="00B2590E" w:rsidRDefault="00195F77" w:rsidP="00B2590E">
      <w:pPr>
        <w:tabs>
          <w:tab w:val="left" w:pos="567"/>
        </w:tabs>
        <w:jc w:val="center"/>
        <w:rPr>
          <w:rFonts w:eastAsiaTheme="minorHAnsi" w:cstheme="minorBidi"/>
          <w:b/>
          <w:lang w:val="es-MX"/>
        </w:rPr>
      </w:pPr>
    </w:p>
    <w:p w14:paraId="450A016B" w14:textId="77777777" w:rsidR="00195F77" w:rsidRPr="00B2590E" w:rsidRDefault="00195F77" w:rsidP="00B2590E">
      <w:pPr>
        <w:tabs>
          <w:tab w:val="left" w:pos="567"/>
        </w:tabs>
        <w:jc w:val="center"/>
        <w:rPr>
          <w:rFonts w:eastAsiaTheme="minorHAnsi" w:cstheme="minorBidi"/>
          <w:b/>
          <w:lang w:val="es-MX"/>
        </w:rPr>
      </w:pPr>
      <w:r w:rsidRPr="00B2590E">
        <w:rPr>
          <w:rFonts w:eastAsiaTheme="minorHAnsi" w:cstheme="minorBidi"/>
          <w:b/>
          <w:lang w:val="es-MX"/>
        </w:rPr>
        <w:t xml:space="preserve">RESOLUCIÓN DE LA </w:t>
      </w:r>
    </w:p>
    <w:p w14:paraId="2BE54841" w14:textId="77777777" w:rsidR="00195F77" w:rsidRPr="00B2590E" w:rsidRDefault="00195F77" w:rsidP="00B2590E">
      <w:pPr>
        <w:pStyle w:val="Ttulo"/>
        <w:tabs>
          <w:tab w:val="left" w:pos="567"/>
        </w:tabs>
        <w:rPr>
          <w:spacing w:val="-4"/>
        </w:rPr>
      </w:pPr>
      <w:r w:rsidRPr="00B2590E">
        <w:rPr>
          <w:spacing w:val="-4"/>
        </w:rPr>
        <w:t>CORTE INTERAMERICANA DE DERECHOS HUMANOS</w:t>
      </w:r>
      <w:r w:rsidRPr="00B2590E">
        <w:rPr>
          <w:rStyle w:val="Refdenotaalpie"/>
          <w:rFonts w:eastAsia="MS Mincho"/>
          <w:spacing w:val="-4"/>
        </w:rPr>
        <w:footnoteReference w:customMarkFollows="1" w:id="1"/>
        <w:t>*</w:t>
      </w:r>
    </w:p>
    <w:p w14:paraId="1611AC0C" w14:textId="77777777" w:rsidR="00195F77" w:rsidRPr="00B2590E" w:rsidRDefault="00195F77" w:rsidP="00B2590E">
      <w:pPr>
        <w:tabs>
          <w:tab w:val="left" w:pos="567"/>
        </w:tabs>
        <w:jc w:val="center"/>
        <w:rPr>
          <w:rFonts w:eastAsiaTheme="minorHAnsi" w:cstheme="minorBidi"/>
          <w:b/>
          <w:lang w:val="es-ES_tradnl"/>
        </w:rPr>
      </w:pPr>
    </w:p>
    <w:p w14:paraId="3F02184F" w14:textId="264BAEFC" w:rsidR="00195F77" w:rsidRPr="00B2590E" w:rsidRDefault="00195F77" w:rsidP="00B2590E">
      <w:pPr>
        <w:tabs>
          <w:tab w:val="left" w:pos="567"/>
        </w:tabs>
        <w:jc w:val="center"/>
        <w:rPr>
          <w:rFonts w:eastAsiaTheme="minorHAnsi" w:cstheme="minorBidi"/>
          <w:b/>
          <w:lang w:val="es-MX"/>
        </w:rPr>
      </w:pPr>
      <w:r w:rsidRPr="00B2590E">
        <w:rPr>
          <w:rFonts w:eastAsiaTheme="minorHAnsi" w:cstheme="minorBidi"/>
          <w:b/>
          <w:lang w:val="es-MX"/>
        </w:rPr>
        <w:t xml:space="preserve">DE </w:t>
      </w:r>
      <w:r w:rsidR="00961195">
        <w:rPr>
          <w:rFonts w:eastAsiaTheme="minorHAnsi" w:cstheme="minorBidi"/>
          <w:b/>
          <w:lang w:val="es-GT"/>
        </w:rPr>
        <w:t>11</w:t>
      </w:r>
      <w:r w:rsidRPr="00B2590E">
        <w:rPr>
          <w:rFonts w:eastAsiaTheme="minorHAnsi" w:cstheme="minorBidi"/>
          <w:b/>
          <w:lang w:val="es-GT"/>
        </w:rPr>
        <w:t xml:space="preserve"> DE </w:t>
      </w:r>
      <w:r w:rsidR="00B2590E">
        <w:rPr>
          <w:rFonts w:eastAsiaTheme="minorHAnsi" w:cstheme="minorBidi"/>
          <w:b/>
          <w:lang w:val="es-GT"/>
        </w:rPr>
        <w:t>MARZO</w:t>
      </w:r>
      <w:r w:rsidRPr="00B2590E">
        <w:rPr>
          <w:rFonts w:eastAsiaTheme="minorHAnsi" w:cstheme="minorBidi"/>
          <w:b/>
          <w:lang w:val="es-GT"/>
        </w:rPr>
        <w:t xml:space="preserve"> </w:t>
      </w:r>
      <w:r w:rsidRPr="00B2590E">
        <w:rPr>
          <w:rFonts w:eastAsiaTheme="minorHAnsi" w:cstheme="minorBidi"/>
          <w:b/>
          <w:lang w:val="es-MX"/>
        </w:rPr>
        <w:t>DE 20</w:t>
      </w:r>
      <w:r w:rsidR="00B2590E">
        <w:rPr>
          <w:rFonts w:eastAsiaTheme="minorHAnsi" w:cstheme="minorBidi"/>
          <w:b/>
          <w:lang w:val="es-MX"/>
        </w:rPr>
        <w:t>21</w:t>
      </w:r>
    </w:p>
    <w:p w14:paraId="4E6B6145" w14:textId="77777777" w:rsidR="00195F77" w:rsidRPr="00B2590E" w:rsidRDefault="00195F77" w:rsidP="00B2590E">
      <w:pPr>
        <w:tabs>
          <w:tab w:val="left" w:pos="567"/>
        </w:tabs>
        <w:jc w:val="center"/>
        <w:rPr>
          <w:rFonts w:eastAsiaTheme="minorHAnsi" w:cstheme="minorBidi"/>
          <w:b/>
          <w:lang w:val="es-MX"/>
        </w:rPr>
      </w:pPr>
    </w:p>
    <w:p w14:paraId="087F745A" w14:textId="1B29BE1C" w:rsidR="00195F77" w:rsidRPr="00B2590E" w:rsidRDefault="00195F77" w:rsidP="00B2590E">
      <w:pPr>
        <w:tabs>
          <w:tab w:val="left" w:pos="567"/>
        </w:tabs>
        <w:jc w:val="center"/>
        <w:rPr>
          <w:rFonts w:eastAsiaTheme="minorHAnsi" w:cstheme="minorBidi"/>
          <w:b/>
          <w:lang w:val="es-MX"/>
        </w:rPr>
      </w:pPr>
      <w:r w:rsidRPr="00B2590E">
        <w:rPr>
          <w:rFonts w:eastAsiaTheme="minorHAnsi" w:cstheme="minorBidi"/>
          <w:b/>
          <w:lang w:val="es-MX"/>
        </w:rPr>
        <w:t xml:space="preserve">SOLICITUD </w:t>
      </w:r>
      <w:r w:rsidR="00D37821">
        <w:rPr>
          <w:rFonts w:eastAsiaTheme="minorHAnsi" w:cstheme="minorBidi"/>
          <w:b/>
          <w:lang w:val="es-MX"/>
        </w:rPr>
        <w:t>DE MEDIDAS</w:t>
      </w:r>
    </w:p>
    <w:p w14:paraId="29C5B2A1" w14:textId="77777777" w:rsidR="00195F77" w:rsidRPr="00B2590E" w:rsidRDefault="00195F77" w:rsidP="00B2590E">
      <w:pPr>
        <w:tabs>
          <w:tab w:val="left" w:pos="567"/>
        </w:tabs>
        <w:jc w:val="center"/>
        <w:rPr>
          <w:rFonts w:eastAsiaTheme="minorHAnsi" w:cstheme="minorBidi"/>
          <w:b/>
          <w:lang w:val="es-CR"/>
        </w:rPr>
      </w:pPr>
    </w:p>
    <w:p w14:paraId="02F404EC" w14:textId="77777777" w:rsidR="00D37821" w:rsidRDefault="00195F77" w:rsidP="00D37821">
      <w:pPr>
        <w:tabs>
          <w:tab w:val="left" w:pos="567"/>
        </w:tabs>
        <w:jc w:val="center"/>
        <w:rPr>
          <w:rFonts w:eastAsiaTheme="minorHAnsi" w:cstheme="minorBidi"/>
          <w:b/>
          <w:lang w:val="es-CR"/>
        </w:rPr>
      </w:pPr>
      <w:r w:rsidRPr="00B2590E">
        <w:rPr>
          <w:rFonts w:eastAsiaTheme="minorHAnsi" w:cstheme="minorBidi"/>
          <w:b/>
          <w:lang w:val="es-CR"/>
        </w:rPr>
        <w:t>ASUNTO CRISTINA ARROM SUHURT</w:t>
      </w:r>
      <w:r w:rsidR="00D37821" w:rsidRPr="00D37821">
        <w:rPr>
          <w:rFonts w:eastAsiaTheme="minorHAnsi" w:cstheme="minorBidi"/>
          <w:b/>
          <w:lang w:val="es-CR"/>
        </w:rPr>
        <w:t xml:space="preserve"> </w:t>
      </w:r>
    </w:p>
    <w:p w14:paraId="607F71D2" w14:textId="57481254" w:rsidR="00D37821" w:rsidRPr="00B2590E" w:rsidRDefault="00D37821" w:rsidP="00D37821">
      <w:pPr>
        <w:tabs>
          <w:tab w:val="left" w:pos="567"/>
        </w:tabs>
        <w:jc w:val="center"/>
        <w:rPr>
          <w:rFonts w:eastAsiaTheme="minorHAnsi" w:cstheme="minorBidi"/>
          <w:b/>
          <w:lang w:val="es-CR"/>
        </w:rPr>
      </w:pPr>
      <w:r w:rsidRPr="00B2590E">
        <w:rPr>
          <w:rFonts w:eastAsiaTheme="minorHAnsi" w:cstheme="minorBidi"/>
          <w:b/>
          <w:lang w:val="es-CR"/>
        </w:rPr>
        <w:t>RESPECTO DE PARAGUAY</w:t>
      </w:r>
    </w:p>
    <w:p w14:paraId="20629292" w14:textId="77777777" w:rsidR="00195F77" w:rsidRPr="00B2590E" w:rsidRDefault="00195F77" w:rsidP="00B2590E">
      <w:pPr>
        <w:tabs>
          <w:tab w:val="left" w:pos="567"/>
        </w:tabs>
        <w:jc w:val="center"/>
        <w:rPr>
          <w:rFonts w:eastAsiaTheme="minorHAnsi" w:cstheme="minorBidi"/>
          <w:b/>
          <w:lang w:val="es-CR"/>
        </w:rPr>
      </w:pPr>
    </w:p>
    <w:p w14:paraId="009DBAD8" w14:textId="77777777" w:rsidR="00195F77" w:rsidRPr="00B2590E" w:rsidRDefault="00195F77" w:rsidP="00B2590E">
      <w:pPr>
        <w:tabs>
          <w:tab w:val="left" w:pos="567"/>
        </w:tabs>
        <w:spacing w:before="120" w:after="120"/>
        <w:jc w:val="both"/>
        <w:rPr>
          <w:rFonts w:eastAsiaTheme="minorHAnsi" w:cstheme="minorBidi"/>
          <w:lang w:val="es-CR"/>
        </w:rPr>
      </w:pPr>
    </w:p>
    <w:p w14:paraId="3E158EBD" w14:textId="77777777" w:rsidR="00195F77" w:rsidRPr="00B2590E" w:rsidRDefault="00195F77" w:rsidP="00B2590E">
      <w:pPr>
        <w:tabs>
          <w:tab w:val="left" w:pos="567"/>
        </w:tabs>
        <w:spacing w:before="120" w:after="120"/>
        <w:jc w:val="both"/>
        <w:rPr>
          <w:rFonts w:eastAsiaTheme="minorHAnsi" w:cstheme="minorBidi"/>
          <w:lang w:val="es-CR"/>
        </w:rPr>
      </w:pPr>
    </w:p>
    <w:p w14:paraId="5C11D12F" w14:textId="77777777" w:rsidR="00195F77" w:rsidRPr="00B2590E" w:rsidRDefault="00195F77" w:rsidP="00B2590E">
      <w:pPr>
        <w:tabs>
          <w:tab w:val="left" w:pos="567"/>
        </w:tabs>
        <w:spacing w:before="120" w:after="120"/>
        <w:jc w:val="both"/>
        <w:rPr>
          <w:rFonts w:eastAsiaTheme="minorHAnsi" w:cstheme="minorBidi"/>
          <w:b/>
          <w:lang w:val="es-MX"/>
        </w:rPr>
      </w:pPr>
      <w:r w:rsidRPr="00B2590E">
        <w:rPr>
          <w:rFonts w:eastAsiaTheme="minorHAnsi" w:cstheme="minorBidi"/>
          <w:b/>
          <w:lang w:val="es-MX"/>
        </w:rPr>
        <w:t>VISTO:</w:t>
      </w:r>
    </w:p>
    <w:p w14:paraId="3292EC4A" w14:textId="6E70376D" w:rsidR="00195F77" w:rsidRPr="00B2590E" w:rsidRDefault="00195F77" w:rsidP="00B2590E">
      <w:pPr>
        <w:pStyle w:val="Numberedparagraphs"/>
        <w:tabs>
          <w:tab w:val="left" w:pos="567"/>
        </w:tabs>
        <w:spacing w:before="120" w:after="120"/>
        <w:rPr>
          <w:rFonts w:cs="Times New Roman"/>
          <w:color w:val="auto"/>
          <w:sz w:val="20"/>
          <w:szCs w:val="20"/>
        </w:rPr>
      </w:pPr>
      <w:bookmarkStart w:id="0" w:name="_Ref25680429"/>
      <w:r w:rsidRPr="00B2590E">
        <w:rPr>
          <w:color w:val="auto"/>
          <w:sz w:val="20"/>
          <w:szCs w:val="20"/>
        </w:rPr>
        <w:t>La</w:t>
      </w:r>
      <w:r w:rsidR="007405DD">
        <w:rPr>
          <w:color w:val="auto"/>
          <w:sz w:val="20"/>
          <w:szCs w:val="20"/>
        </w:rPr>
        <w:t>s</w:t>
      </w:r>
      <w:r w:rsidRPr="00B2590E">
        <w:rPr>
          <w:color w:val="auto"/>
          <w:sz w:val="20"/>
          <w:szCs w:val="20"/>
        </w:rPr>
        <w:t xml:space="preserve"> Resoluci</w:t>
      </w:r>
      <w:r w:rsidR="007F34E2">
        <w:rPr>
          <w:color w:val="auto"/>
          <w:sz w:val="20"/>
          <w:szCs w:val="20"/>
        </w:rPr>
        <w:t>o</w:t>
      </w:r>
      <w:r w:rsidRPr="00B2590E">
        <w:rPr>
          <w:color w:val="auto"/>
          <w:sz w:val="20"/>
          <w:szCs w:val="20"/>
        </w:rPr>
        <w:t>n</w:t>
      </w:r>
      <w:r w:rsidR="007F34E2">
        <w:rPr>
          <w:color w:val="auto"/>
          <w:sz w:val="20"/>
          <w:szCs w:val="20"/>
        </w:rPr>
        <w:t>es</w:t>
      </w:r>
      <w:r w:rsidRPr="00B2590E">
        <w:rPr>
          <w:color w:val="auto"/>
          <w:sz w:val="20"/>
          <w:szCs w:val="20"/>
        </w:rPr>
        <w:t xml:space="preserve"> de la Corte Interamericana de Derechos Humanos (en adelante “la Corte” o “el Tribunal”) de 14 de marzo </w:t>
      </w:r>
      <w:r w:rsidR="007405DD">
        <w:rPr>
          <w:color w:val="auto"/>
          <w:sz w:val="20"/>
          <w:szCs w:val="20"/>
        </w:rPr>
        <w:t xml:space="preserve">y 26 de noviembre </w:t>
      </w:r>
      <w:r w:rsidRPr="00B2590E">
        <w:rPr>
          <w:color w:val="auto"/>
          <w:sz w:val="20"/>
          <w:szCs w:val="20"/>
        </w:rPr>
        <w:t>2019, en la</w:t>
      </w:r>
      <w:r w:rsidR="007405DD">
        <w:rPr>
          <w:color w:val="auto"/>
          <w:sz w:val="20"/>
          <w:szCs w:val="20"/>
        </w:rPr>
        <w:t>s</w:t>
      </w:r>
      <w:r w:rsidRPr="00B2590E">
        <w:rPr>
          <w:color w:val="auto"/>
          <w:sz w:val="20"/>
          <w:szCs w:val="20"/>
        </w:rPr>
        <w:t xml:space="preserve"> cual</w:t>
      </w:r>
      <w:r w:rsidR="007405DD">
        <w:rPr>
          <w:color w:val="auto"/>
          <w:sz w:val="20"/>
          <w:szCs w:val="20"/>
        </w:rPr>
        <w:t>es</w:t>
      </w:r>
      <w:r w:rsidRPr="00B2590E">
        <w:rPr>
          <w:color w:val="auto"/>
          <w:sz w:val="20"/>
          <w:szCs w:val="20"/>
        </w:rPr>
        <w:t xml:space="preserve"> se ordenó al Estado de Paraguay (en adelante “el Estado” o “Paraguay”) adoptar las medidas necesarias para que cesara el proceso penal iniciado a la señora Cristina Haydée Arrom </w:t>
      </w:r>
      <w:proofErr w:type="spellStart"/>
      <w:r w:rsidRPr="00B2590E">
        <w:rPr>
          <w:color w:val="auto"/>
          <w:sz w:val="20"/>
          <w:szCs w:val="20"/>
        </w:rPr>
        <w:t>Suhurt</w:t>
      </w:r>
      <w:proofErr w:type="spellEnd"/>
      <w:r w:rsidRPr="00B2590E">
        <w:rPr>
          <w:color w:val="auto"/>
          <w:sz w:val="20"/>
          <w:szCs w:val="20"/>
        </w:rPr>
        <w:t xml:space="preserve"> a causa de sus declaraciones ante la Corte</w:t>
      </w:r>
      <w:r w:rsidRPr="00B2590E">
        <w:rPr>
          <w:rStyle w:val="Refdenotaalpie"/>
          <w:color w:val="auto"/>
          <w:sz w:val="20"/>
          <w:szCs w:val="20"/>
        </w:rPr>
        <w:footnoteReference w:id="2"/>
      </w:r>
      <w:r w:rsidRPr="00B2590E">
        <w:rPr>
          <w:i/>
          <w:color w:val="auto"/>
          <w:sz w:val="20"/>
          <w:szCs w:val="20"/>
        </w:rPr>
        <w:t>.</w:t>
      </w:r>
      <w:bookmarkEnd w:id="0"/>
      <w:r w:rsidRPr="00B2590E">
        <w:rPr>
          <w:i/>
          <w:color w:val="auto"/>
          <w:sz w:val="20"/>
          <w:szCs w:val="20"/>
        </w:rPr>
        <w:t xml:space="preserve"> </w:t>
      </w:r>
    </w:p>
    <w:p w14:paraId="497FA228" w14:textId="02D50061" w:rsidR="00095493" w:rsidRPr="00630B8F" w:rsidRDefault="00195F77" w:rsidP="00095493">
      <w:pPr>
        <w:pStyle w:val="Numberedparagraphs"/>
        <w:tabs>
          <w:tab w:val="left" w:pos="567"/>
        </w:tabs>
        <w:spacing w:before="120" w:after="120"/>
        <w:rPr>
          <w:rFonts w:eastAsiaTheme="minorHAnsi" w:cs="Arial"/>
          <w:color w:val="auto"/>
          <w:sz w:val="20"/>
          <w:szCs w:val="20"/>
          <w:lang w:val="es-CR"/>
        </w:rPr>
      </w:pPr>
      <w:r w:rsidRPr="00B2590E">
        <w:rPr>
          <w:color w:val="auto"/>
          <w:sz w:val="20"/>
          <w:szCs w:val="20"/>
        </w:rPr>
        <w:t xml:space="preserve">El escrito de </w:t>
      </w:r>
      <w:r w:rsidR="005B2ED6">
        <w:rPr>
          <w:color w:val="auto"/>
          <w:sz w:val="20"/>
          <w:szCs w:val="20"/>
        </w:rPr>
        <w:t>8 de enero de 2021 y su anexo</w:t>
      </w:r>
      <w:r w:rsidRPr="00B2590E">
        <w:rPr>
          <w:color w:val="auto"/>
          <w:sz w:val="20"/>
          <w:szCs w:val="20"/>
        </w:rPr>
        <w:t>, mediante el cual</w:t>
      </w:r>
      <w:r w:rsidR="00577F58">
        <w:rPr>
          <w:color w:val="auto"/>
          <w:sz w:val="20"/>
          <w:szCs w:val="20"/>
        </w:rPr>
        <w:t xml:space="preserve"> el </w:t>
      </w:r>
      <w:r w:rsidR="005B2ED6">
        <w:rPr>
          <w:color w:val="auto"/>
          <w:sz w:val="20"/>
          <w:szCs w:val="20"/>
        </w:rPr>
        <w:t xml:space="preserve">representante </w:t>
      </w:r>
      <w:r w:rsidR="00577F58">
        <w:rPr>
          <w:color w:val="auto"/>
          <w:sz w:val="20"/>
          <w:szCs w:val="20"/>
        </w:rPr>
        <w:t xml:space="preserve">informó </w:t>
      </w:r>
      <w:r w:rsidR="005B2ED6">
        <w:rPr>
          <w:color w:val="auto"/>
          <w:sz w:val="20"/>
          <w:szCs w:val="20"/>
        </w:rPr>
        <w:t>que</w:t>
      </w:r>
      <w:r w:rsidR="00BD7D52">
        <w:rPr>
          <w:color w:val="auto"/>
          <w:sz w:val="20"/>
          <w:szCs w:val="20"/>
        </w:rPr>
        <w:t>,</w:t>
      </w:r>
      <w:r w:rsidR="005B2ED6">
        <w:rPr>
          <w:color w:val="auto"/>
          <w:sz w:val="20"/>
          <w:szCs w:val="20"/>
        </w:rPr>
        <w:t xml:space="preserve"> en el proceso penal iniciado </w:t>
      </w:r>
      <w:r w:rsidR="00E34258">
        <w:rPr>
          <w:color w:val="auto"/>
          <w:sz w:val="20"/>
          <w:szCs w:val="20"/>
        </w:rPr>
        <w:t xml:space="preserve">el 10 de diciembre de 2020 </w:t>
      </w:r>
      <w:r w:rsidR="007F34E2">
        <w:rPr>
          <w:color w:val="auto"/>
          <w:sz w:val="20"/>
          <w:szCs w:val="20"/>
        </w:rPr>
        <w:t>contra</w:t>
      </w:r>
      <w:r w:rsidR="005B2ED6">
        <w:rPr>
          <w:color w:val="auto"/>
          <w:sz w:val="20"/>
          <w:szCs w:val="20"/>
        </w:rPr>
        <w:t xml:space="preserve"> la </w:t>
      </w:r>
      <w:r w:rsidR="005B2ED6" w:rsidRPr="00B2590E">
        <w:rPr>
          <w:color w:val="auto"/>
          <w:sz w:val="20"/>
          <w:szCs w:val="20"/>
        </w:rPr>
        <w:t xml:space="preserve">señora Cristina Haydée Arrom </w:t>
      </w:r>
      <w:proofErr w:type="spellStart"/>
      <w:r w:rsidR="005B2ED6" w:rsidRPr="00B2590E">
        <w:rPr>
          <w:color w:val="auto"/>
          <w:sz w:val="20"/>
          <w:szCs w:val="20"/>
        </w:rPr>
        <w:t>Suhurt</w:t>
      </w:r>
      <w:proofErr w:type="spellEnd"/>
      <w:r w:rsidR="005B2ED6" w:rsidRPr="00B2590E">
        <w:rPr>
          <w:color w:val="auto"/>
          <w:sz w:val="20"/>
          <w:szCs w:val="20"/>
        </w:rPr>
        <w:t xml:space="preserve"> a causa de sus declaraciones ante la Corte</w:t>
      </w:r>
      <w:r w:rsidR="00BD7D52">
        <w:rPr>
          <w:color w:val="auto"/>
          <w:sz w:val="20"/>
          <w:szCs w:val="20"/>
        </w:rPr>
        <w:t>,</w:t>
      </w:r>
      <w:r w:rsidR="005B2ED6">
        <w:rPr>
          <w:color w:val="auto"/>
          <w:sz w:val="20"/>
          <w:szCs w:val="20"/>
        </w:rPr>
        <w:t xml:space="preserve"> el Tribunal de Apelación </w:t>
      </w:r>
      <w:r w:rsidR="00577F58">
        <w:rPr>
          <w:color w:val="auto"/>
          <w:sz w:val="20"/>
          <w:szCs w:val="20"/>
        </w:rPr>
        <w:t xml:space="preserve">en lo Penal </w:t>
      </w:r>
      <w:r w:rsidR="005B2ED6">
        <w:rPr>
          <w:color w:val="auto"/>
          <w:sz w:val="20"/>
          <w:szCs w:val="20"/>
        </w:rPr>
        <w:t>declaró admisible el recurso de apelación interpuesto por el querellante y anuló la decisión de 7 de febrero de 2020 que había desestimado la querella en contra</w:t>
      </w:r>
      <w:r w:rsidR="007F34E2">
        <w:rPr>
          <w:color w:val="auto"/>
          <w:sz w:val="20"/>
          <w:szCs w:val="20"/>
        </w:rPr>
        <w:t xml:space="preserve"> de</w:t>
      </w:r>
      <w:r w:rsidR="005B2ED6">
        <w:rPr>
          <w:color w:val="auto"/>
          <w:sz w:val="20"/>
          <w:szCs w:val="20"/>
        </w:rPr>
        <w:t xml:space="preserve"> </w:t>
      </w:r>
      <w:r w:rsidRPr="00B2590E">
        <w:rPr>
          <w:color w:val="auto"/>
          <w:sz w:val="20"/>
          <w:szCs w:val="20"/>
        </w:rPr>
        <w:t xml:space="preserve">la señora Cristina Haydée Arrom </w:t>
      </w:r>
      <w:proofErr w:type="spellStart"/>
      <w:r w:rsidRPr="00B2590E">
        <w:rPr>
          <w:color w:val="auto"/>
          <w:sz w:val="20"/>
          <w:szCs w:val="20"/>
        </w:rPr>
        <w:t>Suhurt</w:t>
      </w:r>
      <w:proofErr w:type="spellEnd"/>
      <w:r w:rsidRPr="00B2590E">
        <w:rPr>
          <w:color w:val="auto"/>
          <w:sz w:val="20"/>
          <w:szCs w:val="20"/>
        </w:rPr>
        <w:t xml:space="preserve">. </w:t>
      </w:r>
      <w:bookmarkStart w:id="1" w:name="_Ref4408379"/>
      <w:r w:rsidR="00577F58">
        <w:rPr>
          <w:color w:val="auto"/>
          <w:sz w:val="20"/>
          <w:szCs w:val="20"/>
        </w:rPr>
        <w:t>El r</w:t>
      </w:r>
      <w:r w:rsidR="00095493">
        <w:rPr>
          <w:color w:val="auto"/>
          <w:sz w:val="20"/>
          <w:szCs w:val="20"/>
        </w:rPr>
        <w:t xml:space="preserve">epresentante </w:t>
      </w:r>
      <w:r w:rsidR="00577F58">
        <w:rPr>
          <w:color w:val="auto"/>
          <w:sz w:val="20"/>
          <w:szCs w:val="20"/>
        </w:rPr>
        <w:t xml:space="preserve">solicitó </w:t>
      </w:r>
      <w:r w:rsidR="00095493">
        <w:rPr>
          <w:color w:val="auto"/>
          <w:sz w:val="20"/>
          <w:szCs w:val="20"/>
        </w:rPr>
        <w:t>que la Corte orden</w:t>
      </w:r>
      <w:r w:rsidR="006E2AF2">
        <w:rPr>
          <w:color w:val="auto"/>
          <w:sz w:val="20"/>
          <w:szCs w:val="20"/>
        </w:rPr>
        <w:t>ara</w:t>
      </w:r>
      <w:r w:rsidR="00095493">
        <w:rPr>
          <w:color w:val="auto"/>
          <w:sz w:val="20"/>
          <w:szCs w:val="20"/>
        </w:rPr>
        <w:t xml:space="preserve"> al Estado que</w:t>
      </w:r>
      <w:r w:rsidR="00095493" w:rsidRPr="00095493">
        <w:rPr>
          <w:color w:val="auto"/>
          <w:sz w:val="20"/>
          <w:szCs w:val="20"/>
        </w:rPr>
        <w:t xml:space="preserve">: </w:t>
      </w:r>
      <w:r w:rsidR="00095493">
        <w:rPr>
          <w:color w:val="auto"/>
          <w:sz w:val="20"/>
          <w:szCs w:val="20"/>
        </w:rPr>
        <w:t>i</w:t>
      </w:r>
      <w:r w:rsidR="00095493" w:rsidRPr="00095493">
        <w:rPr>
          <w:color w:val="auto"/>
          <w:sz w:val="20"/>
          <w:szCs w:val="20"/>
        </w:rPr>
        <w:t xml:space="preserve">) tome todas las medidas necesarias para </w:t>
      </w:r>
      <w:r w:rsidR="00095493" w:rsidRPr="00095493">
        <w:rPr>
          <w:sz w:val="20"/>
          <w:szCs w:val="20"/>
          <w:lang w:val="es-CR"/>
        </w:rPr>
        <w:t xml:space="preserve">la protección de la </w:t>
      </w:r>
      <w:r w:rsidR="00845C4F">
        <w:rPr>
          <w:sz w:val="20"/>
          <w:szCs w:val="20"/>
          <w:lang w:val="es-CR"/>
        </w:rPr>
        <w:t>“</w:t>
      </w:r>
      <w:r w:rsidR="00095493" w:rsidRPr="00095493">
        <w:rPr>
          <w:sz w:val="20"/>
          <w:szCs w:val="20"/>
          <w:lang w:val="es-CR"/>
        </w:rPr>
        <w:t xml:space="preserve">integridad física, síquica, sicológica y moral” de la señora </w:t>
      </w:r>
      <w:r w:rsidR="00095493" w:rsidRPr="00B2590E">
        <w:rPr>
          <w:color w:val="auto"/>
          <w:sz w:val="20"/>
          <w:szCs w:val="20"/>
        </w:rPr>
        <w:t xml:space="preserve">Cristina Arrom </w:t>
      </w:r>
      <w:proofErr w:type="spellStart"/>
      <w:r w:rsidR="00095493" w:rsidRPr="00B2590E">
        <w:rPr>
          <w:color w:val="auto"/>
          <w:sz w:val="20"/>
          <w:szCs w:val="20"/>
        </w:rPr>
        <w:t>Suhurt</w:t>
      </w:r>
      <w:proofErr w:type="spellEnd"/>
      <w:r w:rsidR="00095493">
        <w:rPr>
          <w:color w:val="auto"/>
          <w:sz w:val="20"/>
          <w:szCs w:val="20"/>
        </w:rPr>
        <w:t xml:space="preserve">; </w:t>
      </w:r>
      <w:proofErr w:type="spellStart"/>
      <w:r w:rsidR="00095493">
        <w:rPr>
          <w:color w:val="auto"/>
          <w:sz w:val="20"/>
          <w:szCs w:val="20"/>
        </w:rPr>
        <w:t>ii</w:t>
      </w:r>
      <w:proofErr w:type="spellEnd"/>
      <w:r w:rsidR="00095493">
        <w:rPr>
          <w:color w:val="auto"/>
          <w:sz w:val="20"/>
          <w:szCs w:val="20"/>
        </w:rPr>
        <w:t>) cese el incumplimiento de la resoluciones emitidas por la Corte</w:t>
      </w:r>
      <w:r w:rsidR="006E2AF2">
        <w:rPr>
          <w:color w:val="auto"/>
          <w:sz w:val="20"/>
          <w:szCs w:val="20"/>
        </w:rPr>
        <w:t xml:space="preserve"> Interamericana</w:t>
      </w:r>
      <w:r w:rsidR="00095493">
        <w:rPr>
          <w:color w:val="auto"/>
          <w:sz w:val="20"/>
          <w:szCs w:val="20"/>
        </w:rPr>
        <w:t xml:space="preserve">; </w:t>
      </w:r>
      <w:proofErr w:type="spellStart"/>
      <w:r w:rsidR="00095493">
        <w:rPr>
          <w:color w:val="auto"/>
          <w:sz w:val="20"/>
          <w:szCs w:val="20"/>
        </w:rPr>
        <w:t>iii</w:t>
      </w:r>
      <w:proofErr w:type="spellEnd"/>
      <w:r w:rsidR="00095493">
        <w:rPr>
          <w:color w:val="auto"/>
          <w:sz w:val="20"/>
          <w:szCs w:val="20"/>
        </w:rPr>
        <w:t xml:space="preserve">) adopte las medidas necesarias para cerrar definitivamente toda querella contra Cristina Arrom por sus declaraciones hechas ante la Corte; </w:t>
      </w:r>
      <w:proofErr w:type="spellStart"/>
      <w:r w:rsidR="00095493">
        <w:rPr>
          <w:color w:val="auto"/>
          <w:sz w:val="20"/>
          <w:szCs w:val="20"/>
        </w:rPr>
        <w:t>iv</w:t>
      </w:r>
      <w:proofErr w:type="spellEnd"/>
      <w:r w:rsidR="00095493">
        <w:rPr>
          <w:color w:val="auto"/>
          <w:sz w:val="20"/>
          <w:szCs w:val="20"/>
        </w:rPr>
        <w:t xml:space="preserve">) tome las medidas necesarias para evitar el agravamiento de la </w:t>
      </w:r>
      <w:r w:rsidR="00095493" w:rsidRPr="00095493">
        <w:rPr>
          <w:color w:val="auto"/>
          <w:sz w:val="20"/>
          <w:szCs w:val="20"/>
        </w:rPr>
        <w:t>situación en la que se encuentra la señora Arrom; v) investig</w:t>
      </w:r>
      <w:r w:rsidR="00095493">
        <w:rPr>
          <w:color w:val="auto"/>
          <w:sz w:val="20"/>
          <w:szCs w:val="20"/>
        </w:rPr>
        <w:t>ue</w:t>
      </w:r>
      <w:r w:rsidR="00095493" w:rsidRPr="00095493">
        <w:rPr>
          <w:color w:val="auto"/>
          <w:sz w:val="20"/>
          <w:szCs w:val="20"/>
        </w:rPr>
        <w:t xml:space="preserve"> y sancione a los responsables de la </w:t>
      </w:r>
      <w:r w:rsidR="00095493" w:rsidRPr="00095493">
        <w:rPr>
          <w:sz w:val="20"/>
          <w:szCs w:val="20"/>
          <w:lang w:val="es-CR"/>
        </w:rPr>
        <w:t>transgres</w:t>
      </w:r>
      <w:r w:rsidR="00095493">
        <w:rPr>
          <w:sz w:val="20"/>
          <w:szCs w:val="20"/>
          <w:lang w:val="es-CR"/>
        </w:rPr>
        <w:t xml:space="preserve">ión de los </w:t>
      </w:r>
      <w:r w:rsidR="00845C4F">
        <w:rPr>
          <w:sz w:val="20"/>
          <w:szCs w:val="20"/>
          <w:lang w:val="es-CR"/>
        </w:rPr>
        <w:t xml:space="preserve">derechos </w:t>
      </w:r>
      <w:r w:rsidR="00095493">
        <w:rPr>
          <w:sz w:val="20"/>
          <w:szCs w:val="20"/>
          <w:lang w:val="es-CR"/>
        </w:rPr>
        <w:t xml:space="preserve">consagrados </w:t>
      </w:r>
      <w:r w:rsidR="00095493" w:rsidRPr="00095493">
        <w:rPr>
          <w:color w:val="auto"/>
          <w:sz w:val="20"/>
          <w:szCs w:val="20"/>
          <w:lang w:val="es-CR"/>
        </w:rPr>
        <w:t xml:space="preserve">en la Convención </w:t>
      </w:r>
      <w:r w:rsidR="00095493" w:rsidRPr="00630B8F">
        <w:rPr>
          <w:color w:val="auto"/>
          <w:sz w:val="20"/>
          <w:szCs w:val="20"/>
          <w:lang w:val="es-CR"/>
        </w:rPr>
        <w:t>Americana</w:t>
      </w:r>
      <w:r w:rsidR="00845C4F">
        <w:rPr>
          <w:color w:val="auto"/>
          <w:sz w:val="20"/>
          <w:szCs w:val="20"/>
          <w:lang w:val="es-CR"/>
        </w:rPr>
        <w:t>,</w:t>
      </w:r>
      <w:r w:rsidR="00845C4F" w:rsidRPr="00630B8F">
        <w:rPr>
          <w:color w:val="auto"/>
          <w:sz w:val="20"/>
          <w:szCs w:val="20"/>
          <w:lang w:val="es-CR"/>
        </w:rPr>
        <w:t xml:space="preserve"> </w:t>
      </w:r>
      <w:r w:rsidR="00095493" w:rsidRPr="00630B8F">
        <w:rPr>
          <w:color w:val="auto"/>
          <w:sz w:val="20"/>
          <w:szCs w:val="20"/>
          <w:lang w:val="es-CR"/>
        </w:rPr>
        <w:t xml:space="preserve">y vi) </w:t>
      </w:r>
      <w:r w:rsidR="00095493" w:rsidRPr="00630B8F">
        <w:rPr>
          <w:rFonts w:eastAsiaTheme="minorHAnsi" w:cs="Arial"/>
          <w:color w:val="auto"/>
          <w:sz w:val="20"/>
          <w:szCs w:val="20"/>
          <w:lang w:val="es-CR"/>
        </w:rPr>
        <w:t xml:space="preserve">asuma los debidos honorarios profesionales ocasionados por los actos sucesivos de reapertura de la querella contra la señora Arrom </w:t>
      </w:r>
      <w:proofErr w:type="spellStart"/>
      <w:r w:rsidR="00095493" w:rsidRPr="00630B8F">
        <w:rPr>
          <w:rFonts w:eastAsiaTheme="minorHAnsi" w:cs="Arial"/>
          <w:color w:val="auto"/>
          <w:sz w:val="20"/>
          <w:szCs w:val="20"/>
          <w:lang w:val="es-CR"/>
        </w:rPr>
        <w:t>Suhurt</w:t>
      </w:r>
      <w:proofErr w:type="spellEnd"/>
      <w:r w:rsidR="00095493" w:rsidRPr="00630B8F">
        <w:rPr>
          <w:rFonts w:eastAsiaTheme="minorHAnsi" w:cs="Arial"/>
          <w:color w:val="auto"/>
          <w:sz w:val="20"/>
          <w:szCs w:val="20"/>
          <w:lang w:val="es-CR"/>
        </w:rPr>
        <w:t>.</w:t>
      </w:r>
    </w:p>
    <w:bookmarkEnd w:id="1"/>
    <w:p w14:paraId="407CB91D" w14:textId="09B7E8E0" w:rsidR="00195F77" w:rsidRPr="00630B8F" w:rsidRDefault="006A2BCF" w:rsidP="008F53CB">
      <w:pPr>
        <w:pStyle w:val="Numberedparagraphs"/>
        <w:tabs>
          <w:tab w:val="clear" w:pos="720"/>
          <w:tab w:val="num" w:pos="567"/>
        </w:tabs>
        <w:spacing w:before="120" w:after="120"/>
        <w:rPr>
          <w:color w:val="auto"/>
          <w:sz w:val="20"/>
          <w:szCs w:val="20"/>
          <w:lang w:val="es-CR"/>
        </w:rPr>
      </w:pPr>
      <w:r w:rsidRPr="00630B8F">
        <w:rPr>
          <w:color w:val="auto"/>
          <w:sz w:val="20"/>
          <w:szCs w:val="20"/>
          <w:lang w:val="es-VE"/>
        </w:rPr>
        <w:t>Los</w:t>
      </w:r>
      <w:r w:rsidR="00CE5568" w:rsidRPr="00630B8F">
        <w:rPr>
          <w:color w:val="auto"/>
          <w:sz w:val="20"/>
          <w:szCs w:val="20"/>
          <w:lang w:val="es-VE"/>
        </w:rPr>
        <w:t xml:space="preserve"> escrito</w:t>
      </w:r>
      <w:r w:rsidRPr="00630B8F">
        <w:rPr>
          <w:color w:val="auto"/>
          <w:sz w:val="20"/>
          <w:szCs w:val="20"/>
          <w:lang w:val="es-VE"/>
        </w:rPr>
        <w:t>s</w:t>
      </w:r>
      <w:r w:rsidR="00CE5568" w:rsidRPr="00630B8F">
        <w:rPr>
          <w:color w:val="auto"/>
          <w:sz w:val="20"/>
          <w:szCs w:val="20"/>
          <w:lang w:val="es-VE"/>
        </w:rPr>
        <w:t xml:space="preserve"> </w:t>
      </w:r>
      <w:r w:rsidR="00845C4F">
        <w:rPr>
          <w:color w:val="auto"/>
          <w:sz w:val="20"/>
          <w:szCs w:val="20"/>
          <w:lang w:val="es-VE"/>
        </w:rPr>
        <w:t>de 2</w:t>
      </w:r>
      <w:r w:rsidRPr="00630B8F">
        <w:rPr>
          <w:color w:val="auto"/>
          <w:sz w:val="20"/>
          <w:szCs w:val="20"/>
          <w:lang w:val="es-VE"/>
        </w:rPr>
        <w:t xml:space="preserve">1 </w:t>
      </w:r>
      <w:r w:rsidR="00CE5568" w:rsidRPr="00630B8F">
        <w:rPr>
          <w:color w:val="auto"/>
          <w:sz w:val="20"/>
          <w:szCs w:val="20"/>
          <w:lang w:val="es-VE"/>
        </w:rPr>
        <w:t>de enero</w:t>
      </w:r>
      <w:r w:rsidR="00845C4F">
        <w:rPr>
          <w:color w:val="auto"/>
          <w:sz w:val="20"/>
          <w:szCs w:val="20"/>
          <w:lang w:val="es-VE"/>
        </w:rPr>
        <w:t xml:space="preserve"> y 12 de febrero</w:t>
      </w:r>
      <w:r w:rsidR="00CE5568" w:rsidRPr="00630B8F">
        <w:rPr>
          <w:color w:val="auto"/>
          <w:sz w:val="20"/>
          <w:szCs w:val="20"/>
          <w:lang w:val="es-VE"/>
        </w:rPr>
        <w:t xml:space="preserve"> de 2021, mediante l</w:t>
      </w:r>
      <w:r w:rsidRPr="00630B8F">
        <w:rPr>
          <w:color w:val="auto"/>
          <w:sz w:val="20"/>
          <w:szCs w:val="20"/>
          <w:lang w:val="es-VE"/>
        </w:rPr>
        <w:t>os</w:t>
      </w:r>
      <w:r w:rsidR="00CE5568" w:rsidRPr="00630B8F">
        <w:rPr>
          <w:color w:val="auto"/>
          <w:sz w:val="20"/>
          <w:szCs w:val="20"/>
          <w:lang w:val="es-VE"/>
        </w:rPr>
        <w:t xml:space="preserve"> cual</w:t>
      </w:r>
      <w:r w:rsidRPr="00630B8F">
        <w:rPr>
          <w:color w:val="auto"/>
          <w:sz w:val="20"/>
          <w:szCs w:val="20"/>
          <w:lang w:val="es-VE"/>
        </w:rPr>
        <w:t>es</w:t>
      </w:r>
      <w:r w:rsidR="00CE5568" w:rsidRPr="00630B8F">
        <w:rPr>
          <w:color w:val="auto"/>
          <w:sz w:val="20"/>
          <w:szCs w:val="20"/>
          <w:lang w:val="es-VE"/>
        </w:rPr>
        <w:t xml:space="preserve"> la Comisión Interamericana de Derechos Humanos (en adelante “la Comisión”) señaló que “</w:t>
      </w:r>
      <w:r w:rsidR="00CE5568" w:rsidRPr="00630B8F">
        <w:rPr>
          <w:color w:val="auto"/>
          <w:sz w:val="20"/>
          <w:szCs w:val="20"/>
          <w:lang w:val="es-CR"/>
        </w:rPr>
        <w:t xml:space="preserve">la continuidad del proceso judicial iniciado en contra de la señora Cristina Arrom </w:t>
      </w:r>
      <w:proofErr w:type="spellStart"/>
      <w:r w:rsidR="00CE5568" w:rsidRPr="00630B8F">
        <w:rPr>
          <w:color w:val="auto"/>
          <w:sz w:val="20"/>
          <w:szCs w:val="20"/>
          <w:lang w:val="es-CR"/>
        </w:rPr>
        <w:t>Suhurt</w:t>
      </w:r>
      <w:proofErr w:type="spellEnd"/>
      <w:r w:rsidR="00CE5568" w:rsidRPr="00630B8F">
        <w:rPr>
          <w:color w:val="auto"/>
          <w:sz w:val="20"/>
          <w:szCs w:val="20"/>
          <w:lang w:val="es-CR"/>
        </w:rPr>
        <w:t xml:space="preserve"> no permiten indicar que se viene dando cumplimiento a las resoluciones de 14 de marzo y de 26 de noviembre de 2019”.</w:t>
      </w:r>
    </w:p>
    <w:p w14:paraId="0BD66C8C" w14:textId="6E86FCD8" w:rsidR="00CE5568" w:rsidRPr="00630B8F" w:rsidRDefault="00CE5568" w:rsidP="00CE5568">
      <w:pPr>
        <w:pStyle w:val="Numberedparagraphs"/>
        <w:tabs>
          <w:tab w:val="left" w:pos="567"/>
          <w:tab w:val="num" w:pos="630"/>
        </w:tabs>
        <w:spacing w:before="120" w:after="120"/>
        <w:rPr>
          <w:color w:val="auto"/>
          <w:sz w:val="20"/>
          <w:szCs w:val="20"/>
          <w:lang w:val="es-CR"/>
        </w:rPr>
      </w:pPr>
      <w:r w:rsidRPr="00630B8F">
        <w:rPr>
          <w:color w:val="auto"/>
          <w:sz w:val="20"/>
          <w:szCs w:val="20"/>
          <w:lang w:val="es-CR"/>
        </w:rPr>
        <w:lastRenderedPageBreak/>
        <w:t>El escrito de 8 de febrero de 2021, mediante el cual el Estado alegó que “corresponde al nuevo magistrado compete</w:t>
      </w:r>
      <w:r w:rsidR="000172EE" w:rsidRPr="00630B8F">
        <w:rPr>
          <w:color w:val="auto"/>
          <w:sz w:val="20"/>
          <w:szCs w:val="20"/>
          <w:lang w:val="es-CR"/>
        </w:rPr>
        <w:t>n</w:t>
      </w:r>
      <w:r w:rsidRPr="00630B8F">
        <w:rPr>
          <w:color w:val="auto"/>
          <w:sz w:val="20"/>
          <w:szCs w:val="20"/>
          <w:lang w:val="es-CR"/>
        </w:rPr>
        <w:t xml:space="preserve">te la decisión </w:t>
      </w:r>
      <w:r w:rsidR="000172EE" w:rsidRPr="00630B8F">
        <w:rPr>
          <w:color w:val="auto"/>
          <w:sz w:val="20"/>
          <w:szCs w:val="20"/>
          <w:lang w:val="es-CR"/>
        </w:rPr>
        <w:t xml:space="preserve">sobre los </w:t>
      </w:r>
      <w:r w:rsidR="005038E7" w:rsidRPr="00630B8F">
        <w:rPr>
          <w:color w:val="auto"/>
          <w:sz w:val="20"/>
          <w:szCs w:val="20"/>
          <w:lang w:val="es-CR"/>
        </w:rPr>
        <w:t>planteamientos</w:t>
      </w:r>
      <w:r w:rsidR="000172EE" w:rsidRPr="00630B8F">
        <w:rPr>
          <w:color w:val="auto"/>
          <w:sz w:val="20"/>
          <w:szCs w:val="20"/>
          <w:lang w:val="es-CR"/>
        </w:rPr>
        <w:t xml:space="preserve"> que pudieran presentar las partes […], además de valorar la información que obra en el expediente, entre las que se encuentran [las resoluciones que la Corte ha dictado en el presente asunto</w:t>
      </w:r>
      <w:r w:rsidR="00845C4F">
        <w:rPr>
          <w:color w:val="auto"/>
          <w:sz w:val="20"/>
          <w:szCs w:val="20"/>
          <w:lang w:val="es-CR"/>
        </w:rPr>
        <w:t>]</w:t>
      </w:r>
      <w:r w:rsidR="000172EE" w:rsidRPr="00630B8F">
        <w:rPr>
          <w:color w:val="auto"/>
          <w:sz w:val="20"/>
          <w:szCs w:val="20"/>
          <w:lang w:val="es-CR"/>
        </w:rPr>
        <w:t>”. Además, señaló que “no se ha arrimado evidencia alguna que permita suponer una turbación a la ‘integridad física, síquica, psicológica o moral’ de la señora Arrom</w:t>
      </w:r>
      <w:r w:rsidR="00577F58">
        <w:rPr>
          <w:color w:val="auto"/>
          <w:sz w:val="20"/>
          <w:szCs w:val="20"/>
          <w:lang w:val="es-CR"/>
        </w:rPr>
        <w:t>”</w:t>
      </w:r>
      <w:r w:rsidR="000172EE" w:rsidRPr="00630B8F">
        <w:rPr>
          <w:color w:val="auto"/>
          <w:sz w:val="20"/>
          <w:szCs w:val="20"/>
          <w:lang w:val="es-CR"/>
        </w:rPr>
        <w:t xml:space="preserve">, así como que “no existen previsiones reglamentarias que permitan suponer que caben obligaciones de pago de honorarios”. Por tanto, el Estado solicitó que “no se adopten las medidas requeridas por </w:t>
      </w:r>
      <w:r w:rsidR="00577F58">
        <w:rPr>
          <w:color w:val="auto"/>
          <w:sz w:val="20"/>
          <w:szCs w:val="20"/>
          <w:lang w:val="es-CR"/>
        </w:rPr>
        <w:t>el representante</w:t>
      </w:r>
      <w:r w:rsidR="000172EE" w:rsidRPr="00630B8F">
        <w:rPr>
          <w:color w:val="auto"/>
          <w:sz w:val="20"/>
          <w:szCs w:val="20"/>
          <w:lang w:val="es-CR"/>
        </w:rPr>
        <w:t>, reiterando el compromiso de mantener informada a la Corte Interamericana sobre las medidas adoptadas por el Poder Judicial”.</w:t>
      </w:r>
    </w:p>
    <w:p w14:paraId="3C0EF6A0" w14:textId="3B5D3736" w:rsidR="006A2BCF" w:rsidRDefault="006A2BCF" w:rsidP="004B447D">
      <w:pPr>
        <w:pStyle w:val="Numberedparagraphs"/>
        <w:tabs>
          <w:tab w:val="num" w:pos="567"/>
        </w:tabs>
        <w:spacing w:before="120" w:after="120"/>
        <w:rPr>
          <w:color w:val="auto"/>
          <w:sz w:val="20"/>
          <w:szCs w:val="20"/>
          <w:lang w:val="es-CR"/>
        </w:rPr>
      </w:pPr>
      <w:r w:rsidRPr="00630B8F">
        <w:rPr>
          <w:color w:val="auto"/>
          <w:sz w:val="20"/>
          <w:szCs w:val="20"/>
          <w:lang w:val="es-CR"/>
        </w:rPr>
        <w:t>El escrito de 17 de febrero de 2021, mediante el cual el representante informó que</w:t>
      </w:r>
      <w:r w:rsidR="007B6B68" w:rsidRPr="00630B8F">
        <w:rPr>
          <w:color w:val="auto"/>
          <w:sz w:val="20"/>
          <w:szCs w:val="20"/>
          <w:lang w:val="es-CR"/>
        </w:rPr>
        <w:t xml:space="preserve"> </w:t>
      </w:r>
      <w:r w:rsidR="004B447D">
        <w:rPr>
          <w:color w:val="auto"/>
          <w:sz w:val="20"/>
          <w:szCs w:val="20"/>
          <w:lang w:val="es-CR"/>
        </w:rPr>
        <w:t xml:space="preserve">se fijó la audiencia para el 19 de marzo de 2021 y que </w:t>
      </w:r>
      <w:r w:rsidR="007B6B68" w:rsidRPr="00630B8F">
        <w:rPr>
          <w:color w:val="auto"/>
          <w:sz w:val="20"/>
          <w:szCs w:val="20"/>
          <w:lang w:val="es-CR"/>
        </w:rPr>
        <w:t xml:space="preserve">“se encuentra en trámite ante la Corte </w:t>
      </w:r>
      <w:r w:rsidR="004B447D">
        <w:rPr>
          <w:color w:val="auto"/>
          <w:sz w:val="20"/>
          <w:szCs w:val="20"/>
          <w:lang w:val="es-CR"/>
        </w:rPr>
        <w:t>S</w:t>
      </w:r>
      <w:r w:rsidR="007B6B68" w:rsidRPr="00630B8F">
        <w:rPr>
          <w:color w:val="auto"/>
          <w:sz w:val="20"/>
          <w:szCs w:val="20"/>
          <w:lang w:val="es-CR"/>
        </w:rPr>
        <w:t>uprema de Justicia una acción de Inconstitucionalidad, cuyo efecto es la suspensión de todo trámite en relación con el actual proceso, los mismos jueces proceden a violar su propio derecho interno prosiguiendo en forma arbitraria y contra todo derecho, la querella penal contra Cristina Arrom”</w:t>
      </w:r>
      <w:r w:rsidR="00630B8F" w:rsidRPr="00630B8F">
        <w:rPr>
          <w:color w:val="auto"/>
          <w:sz w:val="20"/>
          <w:szCs w:val="20"/>
          <w:lang w:val="es-CR"/>
        </w:rPr>
        <w:t>. Además, resaltó que los jueces paraguayos tienen la obligación de cumplir con el derecho interno y el derecho internacional.</w:t>
      </w:r>
    </w:p>
    <w:p w14:paraId="021BDC33" w14:textId="77777777" w:rsidR="008839C2" w:rsidRPr="00630B8F" w:rsidRDefault="008839C2" w:rsidP="008839C2">
      <w:pPr>
        <w:pStyle w:val="Numberedparagraphs"/>
        <w:numPr>
          <w:ilvl w:val="0"/>
          <w:numId w:val="0"/>
        </w:numPr>
        <w:spacing w:before="120" w:after="120"/>
        <w:rPr>
          <w:color w:val="auto"/>
          <w:sz w:val="20"/>
          <w:szCs w:val="20"/>
          <w:lang w:val="es-CR"/>
        </w:rPr>
      </w:pPr>
    </w:p>
    <w:p w14:paraId="251821B5" w14:textId="77777777" w:rsidR="00195F77" w:rsidRPr="00B2590E" w:rsidRDefault="00195F77" w:rsidP="00B2590E">
      <w:pPr>
        <w:pStyle w:val="Numberedparagraphs"/>
        <w:numPr>
          <w:ilvl w:val="0"/>
          <w:numId w:val="0"/>
        </w:numPr>
        <w:tabs>
          <w:tab w:val="left" w:pos="567"/>
        </w:tabs>
        <w:spacing w:before="120" w:after="120"/>
        <w:rPr>
          <w:b/>
          <w:color w:val="auto"/>
          <w:sz w:val="20"/>
          <w:szCs w:val="20"/>
        </w:rPr>
      </w:pPr>
      <w:r w:rsidRPr="00B2590E">
        <w:rPr>
          <w:b/>
          <w:color w:val="auto"/>
          <w:sz w:val="20"/>
          <w:szCs w:val="20"/>
        </w:rPr>
        <w:t>CONSIDERANDO:</w:t>
      </w:r>
    </w:p>
    <w:p w14:paraId="29D1DE78" w14:textId="77777777" w:rsidR="00195F77" w:rsidRPr="00B2590E" w:rsidRDefault="00195F77" w:rsidP="00B2590E">
      <w:pPr>
        <w:pStyle w:val="Prrafodelista"/>
        <w:numPr>
          <w:ilvl w:val="0"/>
          <w:numId w:val="2"/>
        </w:numPr>
        <w:tabs>
          <w:tab w:val="left" w:pos="540"/>
          <w:tab w:val="left" w:pos="567"/>
        </w:tabs>
        <w:spacing w:before="120" w:after="120" w:line="240" w:lineRule="auto"/>
        <w:ind w:left="0" w:right="48" w:firstLine="0"/>
        <w:contextualSpacing w:val="0"/>
        <w:jc w:val="both"/>
        <w:rPr>
          <w:rFonts w:ascii="Verdana" w:eastAsia="Verdana" w:hAnsi="Verdana"/>
          <w:sz w:val="20"/>
          <w:szCs w:val="20"/>
          <w:lang w:val="es-PE"/>
        </w:rPr>
      </w:pPr>
      <w:r w:rsidRPr="00B2590E">
        <w:rPr>
          <w:rFonts w:ascii="Verdana" w:eastAsia="Verdana" w:hAnsi="Verdana"/>
          <w:sz w:val="20"/>
          <w:szCs w:val="20"/>
          <w:lang w:val="es-PE"/>
        </w:rPr>
        <w:t xml:space="preserve">Paraguay es Estado Parte en la Convención Americana sobre Derechos Humanos (en adelante “Convención Americana”) desde el 24 de agosto de 1989 y reconoció la competencia contenciosa de la Corte el 11 de marzo de 1993.  </w:t>
      </w:r>
    </w:p>
    <w:p w14:paraId="73506088" w14:textId="77777777" w:rsidR="00195F77" w:rsidRPr="00B2590E" w:rsidRDefault="00195F77" w:rsidP="00B2590E">
      <w:pPr>
        <w:pStyle w:val="Prrafodelista"/>
        <w:numPr>
          <w:ilvl w:val="0"/>
          <w:numId w:val="2"/>
        </w:numPr>
        <w:tabs>
          <w:tab w:val="left" w:pos="540"/>
          <w:tab w:val="left" w:pos="567"/>
        </w:tabs>
        <w:spacing w:before="120" w:after="120" w:line="240" w:lineRule="auto"/>
        <w:ind w:left="0" w:right="45" w:firstLine="0"/>
        <w:contextualSpacing w:val="0"/>
        <w:jc w:val="both"/>
        <w:rPr>
          <w:rFonts w:ascii="Verdana" w:eastAsia="Calibri" w:hAnsi="Verdana"/>
          <w:sz w:val="20"/>
          <w:szCs w:val="20"/>
        </w:rPr>
      </w:pPr>
      <w:r w:rsidRPr="00B2590E">
        <w:rPr>
          <w:rFonts w:ascii="Verdana" w:eastAsia="Verdana" w:hAnsi="Verdana"/>
          <w:sz w:val="20"/>
          <w:szCs w:val="20"/>
          <w:lang w:val="es-PE"/>
        </w:rPr>
        <w:t xml:space="preserve">La Corte recuerda que el artículo 53 del </w:t>
      </w:r>
      <w:r w:rsidRPr="00B2590E">
        <w:rPr>
          <w:rFonts w:ascii="Verdana" w:hAnsi="Verdana"/>
          <w:sz w:val="20"/>
          <w:szCs w:val="20"/>
        </w:rPr>
        <w:t>Reglamento de la Corte</w:t>
      </w:r>
      <w:r w:rsidRPr="00B2590E">
        <w:rPr>
          <w:rStyle w:val="Refdenotaalpie"/>
          <w:rFonts w:ascii="Verdana" w:hAnsi="Verdana"/>
          <w:bCs/>
          <w:sz w:val="20"/>
          <w:szCs w:val="20"/>
        </w:rPr>
        <w:footnoteReference w:id="3"/>
      </w:r>
      <w:r w:rsidR="0090770D">
        <w:rPr>
          <w:rFonts w:ascii="Verdana" w:hAnsi="Verdana"/>
          <w:sz w:val="20"/>
          <w:szCs w:val="20"/>
        </w:rPr>
        <w:t xml:space="preserve">, </w:t>
      </w:r>
      <w:r w:rsidR="0090770D" w:rsidRPr="0090770D">
        <w:rPr>
          <w:rFonts w:ascii="Verdana" w:hAnsi="Verdana"/>
          <w:sz w:val="20"/>
          <w:szCs w:val="20"/>
        </w:rPr>
        <w:t>prohí</w:t>
      </w:r>
      <w:r w:rsidRPr="0090770D">
        <w:rPr>
          <w:rFonts w:ascii="Verdana" w:hAnsi="Verdana"/>
          <w:sz w:val="20"/>
          <w:szCs w:val="20"/>
        </w:rPr>
        <w:t>be</w:t>
      </w:r>
      <w:r w:rsidRPr="00B2590E">
        <w:rPr>
          <w:rFonts w:ascii="Verdana" w:hAnsi="Verdana"/>
          <w:sz w:val="20"/>
          <w:szCs w:val="20"/>
        </w:rPr>
        <w:t>, en general, el “enjuicia[miento]” o la adopción de “represalias” a causa de las “declaraciones o [la] defensa legal” ante este Tribunal. Al interpretar dicha norma, la Corte ha afirmado que “su finalidad es garantizar que quienes intervienen en el proceso ante la Corte puedan hacerlo libremente, con la seguridad de no verse perjudicados por tal motivo”</w:t>
      </w:r>
      <w:r w:rsidRPr="00B2590E">
        <w:rPr>
          <w:rStyle w:val="Refdenotaalpie"/>
          <w:rFonts w:ascii="Verdana" w:hAnsi="Verdana"/>
          <w:sz w:val="20"/>
          <w:szCs w:val="20"/>
        </w:rPr>
        <w:footnoteReference w:id="4"/>
      </w:r>
      <w:r w:rsidRPr="00B2590E">
        <w:rPr>
          <w:rFonts w:ascii="Verdana" w:hAnsi="Verdana"/>
          <w:sz w:val="20"/>
          <w:szCs w:val="20"/>
        </w:rPr>
        <w:t xml:space="preserve">. Ante la importancia de este precepto, el Secretario de la Corte da lectura al artículo del Reglamento en cada oportunidad que una persona declara ante este Tribunal, tal como lo hizo en la audiencia pública del </w:t>
      </w:r>
      <w:r w:rsidRPr="00B2590E">
        <w:rPr>
          <w:rFonts w:ascii="Verdana" w:hAnsi="Verdana"/>
          <w:i/>
          <w:sz w:val="20"/>
          <w:szCs w:val="20"/>
        </w:rPr>
        <w:t xml:space="preserve">caso Arrom </w:t>
      </w:r>
      <w:proofErr w:type="spellStart"/>
      <w:r w:rsidRPr="00B2590E">
        <w:rPr>
          <w:rFonts w:ascii="Verdana" w:hAnsi="Verdana"/>
          <w:i/>
          <w:sz w:val="20"/>
          <w:szCs w:val="20"/>
        </w:rPr>
        <w:t>Suhurt</w:t>
      </w:r>
      <w:proofErr w:type="spellEnd"/>
      <w:r w:rsidRPr="00B2590E">
        <w:rPr>
          <w:rFonts w:ascii="Verdana" w:hAnsi="Verdana"/>
          <w:i/>
          <w:sz w:val="20"/>
          <w:szCs w:val="20"/>
        </w:rPr>
        <w:t xml:space="preserve"> y otros Vs. Paraguay</w:t>
      </w:r>
      <w:r w:rsidRPr="00B2590E">
        <w:rPr>
          <w:rFonts w:ascii="Verdana" w:hAnsi="Verdana"/>
          <w:sz w:val="20"/>
          <w:szCs w:val="20"/>
        </w:rPr>
        <w:t xml:space="preserve">. </w:t>
      </w:r>
    </w:p>
    <w:p w14:paraId="6D94316C" w14:textId="480CEA48" w:rsidR="00195F77" w:rsidRPr="0090770D" w:rsidRDefault="00195F77" w:rsidP="00B2590E">
      <w:pPr>
        <w:pStyle w:val="Prrafodelista"/>
        <w:numPr>
          <w:ilvl w:val="0"/>
          <w:numId w:val="2"/>
        </w:numPr>
        <w:tabs>
          <w:tab w:val="left" w:pos="540"/>
          <w:tab w:val="left" w:pos="567"/>
        </w:tabs>
        <w:spacing w:before="120" w:after="120" w:line="240" w:lineRule="auto"/>
        <w:ind w:left="0" w:right="45" w:firstLine="0"/>
        <w:contextualSpacing w:val="0"/>
        <w:jc w:val="both"/>
        <w:rPr>
          <w:rFonts w:ascii="Verdana" w:hAnsi="Verdana"/>
          <w:sz w:val="20"/>
          <w:szCs w:val="20"/>
        </w:rPr>
      </w:pPr>
      <w:r w:rsidRPr="00B2590E">
        <w:rPr>
          <w:rFonts w:ascii="Verdana" w:hAnsi="Verdana"/>
          <w:sz w:val="20"/>
          <w:szCs w:val="20"/>
        </w:rPr>
        <w:t>En su</w:t>
      </w:r>
      <w:r w:rsidR="0090770D">
        <w:rPr>
          <w:rFonts w:ascii="Verdana" w:hAnsi="Verdana"/>
          <w:sz w:val="20"/>
          <w:szCs w:val="20"/>
        </w:rPr>
        <w:t>s</w:t>
      </w:r>
      <w:r w:rsidRPr="00B2590E">
        <w:rPr>
          <w:rFonts w:ascii="Verdana" w:hAnsi="Verdana"/>
          <w:sz w:val="20"/>
          <w:szCs w:val="20"/>
        </w:rPr>
        <w:t xml:space="preserve"> resoluci</w:t>
      </w:r>
      <w:r w:rsidR="0090770D">
        <w:rPr>
          <w:rFonts w:ascii="Verdana" w:hAnsi="Verdana"/>
          <w:sz w:val="20"/>
          <w:szCs w:val="20"/>
        </w:rPr>
        <w:t>o</w:t>
      </w:r>
      <w:r w:rsidRPr="00B2590E">
        <w:rPr>
          <w:rFonts w:ascii="Verdana" w:hAnsi="Verdana"/>
          <w:sz w:val="20"/>
          <w:szCs w:val="20"/>
        </w:rPr>
        <w:t>n</w:t>
      </w:r>
      <w:r w:rsidR="0090770D">
        <w:rPr>
          <w:rFonts w:ascii="Verdana" w:hAnsi="Verdana"/>
          <w:sz w:val="20"/>
          <w:szCs w:val="20"/>
        </w:rPr>
        <w:t xml:space="preserve">es de 14 de marzo y 26 de noviembre </w:t>
      </w:r>
      <w:r w:rsidRPr="00B2590E">
        <w:rPr>
          <w:rFonts w:ascii="Verdana" w:hAnsi="Verdana"/>
          <w:sz w:val="20"/>
          <w:szCs w:val="20"/>
        </w:rPr>
        <w:t>de 2019 (</w:t>
      </w:r>
      <w:r w:rsidRPr="00B2590E">
        <w:rPr>
          <w:rFonts w:ascii="Verdana" w:hAnsi="Verdana"/>
          <w:i/>
          <w:sz w:val="20"/>
          <w:szCs w:val="20"/>
        </w:rPr>
        <w:t xml:space="preserve">supra </w:t>
      </w:r>
      <w:r w:rsidRPr="00B2590E">
        <w:rPr>
          <w:rFonts w:ascii="Verdana" w:hAnsi="Verdana"/>
          <w:sz w:val="20"/>
          <w:szCs w:val="20"/>
        </w:rPr>
        <w:t xml:space="preserve">visto 1) este Tribunal constató que la querella instaurada en contra de la señora Arrom </w:t>
      </w:r>
      <w:proofErr w:type="spellStart"/>
      <w:r w:rsidRPr="00B2590E">
        <w:rPr>
          <w:rFonts w:ascii="Verdana" w:hAnsi="Verdana"/>
          <w:sz w:val="20"/>
          <w:szCs w:val="20"/>
        </w:rPr>
        <w:t>Suhurt</w:t>
      </w:r>
      <w:proofErr w:type="spellEnd"/>
      <w:r w:rsidRPr="00B2590E">
        <w:rPr>
          <w:rFonts w:ascii="Verdana" w:hAnsi="Verdana"/>
          <w:sz w:val="20"/>
          <w:szCs w:val="20"/>
        </w:rPr>
        <w:t xml:space="preserve"> estaba directamente relacionada con lo declarado por ella en la audiencia pública realizada en el </w:t>
      </w:r>
      <w:r w:rsidRPr="00B2590E">
        <w:rPr>
          <w:rFonts w:ascii="Verdana" w:hAnsi="Verdana"/>
          <w:i/>
          <w:sz w:val="20"/>
          <w:szCs w:val="20"/>
        </w:rPr>
        <w:t xml:space="preserve">caso Arrom </w:t>
      </w:r>
      <w:proofErr w:type="spellStart"/>
      <w:r w:rsidRPr="00B2590E">
        <w:rPr>
          <w:rFonts w:ascii="Verdana" w:hAnsi="Verdana"/>
          <w:i/>
          <w:sz w:val="20"/>
          <w:szCs w:val="20"/>
        </w:rPr>
        <w:t>Suhurt</w:t>
      </w:r>
      <w:proofErr w:type="spellEnd"/>
      <w:r w:rsidRPr="00B2590E">
        <w:rPr>
          <w:rFonts w:ascii="Verdana" w:hAnsi="Verdana"/>
          <w:i/>
          <w:sz w:val="20"/>
          <w:szCs w:val="20"/>
        </w:rPr>
        <w:t xml:space="preserve"> y otros Vs. Paraguay</w:t>
      </w:r>
      <w:r w:rsidRPr="00B2590E">
        <w:rPr>
          <w:rStyle w:val="Refdenotaalpie"/>
          <w:rFonts w:ascii="Verdana" w:hAnsi="Verdana"/>
          <w:sz w:val="20"/>
          <w:szCs w:val="20"/>
        </w:rPr>
        <w:footnoteReference w:id="5"/>
      </w:r>
      <w:r w:rsidRPr="00B2590E">
        <w:rPr>
          <w:rFonts w:ascii="Verdana" w:hAnsi="Verdana"/>
          <w:sz w:val="20"/>
          <w:szCs w:val="20"/>
        </w:rPr>
        <w:t xml:space="preserve">. Asimismo, la Corte señaló que el artículo 53 del Reglamento prohíbe el “enjuiciamiento” de declarantes y, en </w:t>
      </w:r>
      <w:r w:rsidRPr="00B2590E">
        <w:rPr>
          <w:rFonts w:ascii="Verdana" w:hAnsi="Verdana"/>
          <w:sz w:val="20"/>
          <w:szCs w:val="20"/>
        </w:rPr>
        <w:lastRenderedPageBreak/>
        <w:t>consecuencia, consideró que el sometimiento al proceso penal que implica la admisión de la querella constituye una violación a este artículo. En virtud de ello</w:t>
      </w:r>
      <w:r w:rsidR="000C1B0C">
        <w:rPr>
          <w:rFonts w:ascii="Verdana" w:hAnsi="Verdana"/>
          <w:sz w:val="20"/>
          <w:szCs w:val="20"/>
        </w:rPr>
        <w:t>,</w:t>
      </w:r>
      <w:r w:rsidRPr="00B2590E">
        <w:rPr>
          <w:rFonts w:ascii="Verdana" w:hAnsi="Verdana"/>
          <w:sz w:val="20"/>
          <w:szCs w:val="20"/>
        </w:rPr>
        <w:t xml:space="preserve"> el Tribunal ordenó </w:t>
      </w:r>
      <w:r w:rsidRPr="0090770D">
        <w:rPr>
          <w:rFonts w:ascii="Verdana" w:hAnsi="Verdana"/>
          <w:sz w:val="20"/>
          <w:szCs w:val="20"/>
        </w:rPr>
        <w:t xml:space="preserve">a Paraguay adoptar las medidas necesarias para que cese el proceso penal iniciado a la señora Cristina Haydée Arrom </w:t>
      </w:r>
      <w:proofErr w:type="spellStart"/>
      <w:r w:rsidRPr="0090770D">
        <w:rPr>
          <w:rFonts w:ascii="Verdana" w:hAnsi="Verdana"/>
          <w:sz w:val="20"/>
          <w:szCs w:val="20"/>
        </w:rPr>
        <w:t>Suhurt</w:t>
      </w:r>
      <w:proofErr w:type="spellEnd"/>
      <w:r w:rsidRPr="0090770D">
        <w:rPr>
          <w:rFonts w:ascii="Verdana" w:hAnsi="Verdana"/>
          <w:sz w:val="20"/>
          <w:szCs w:val="20"/>
        </w:rPr>
        <w:t xml:space="preserve"> a causa de sus declaraciones ante la Corte. </w:t>
      </w:r>
      <w:bookmarkStart w:id="2" w:name="_Ref2869170"/>
    </w:p>
    <w:p w14:paraId="6938EB5A" w14:textId="77777777" w:rsidR="00195F77" w:rsidRPr="0090770D" w:rsidRDefault="00195F77" w:rsidP="00B2590E">
      <w:pPr>
        <w:pStyle w:val="Prrafodelista"/>
        <w:numPr>
          <w:ilvl w:val="0"/>
          <w:numId w:val="2"/>
        </w:numPr>
        <w:tabs>
          <w:tab w:val="left" w:pos="540"/>
          <w:tab w:val="left" w:pos="567"/>
        </w:tabs>
        <w:spacing w:before="120" w:after="120" w:line="240" w:lineRule="auto"/>
        <w:ind w:left="0" w:right="45" w:firstLine="0"/>
        <w:contextualSpacing w:val="0"/>
        <w:jc w:val="both"/>
        <w:rPr>
          <w:rFonts w:ascii="Verdana" w:hAnsi="Verdana"/>
          <w:sz w:val="20"/>
          <w:szCs w:val="20"/>
        </w:rPr>
      </w:pPr>
      <w:r w:rsidRPr="0090770D">
        <w:rPr>
          <w:rFonts w:ascii="Verdana" w:hAnsi="Verdana"/>
          <w:sz w:val="20"/>
          <w:szCs w:val="20"/>
        </w:rPr>
        <w:t>La Corte reitera que todas las autoridades de un Estado Parte en la Convención tienen la obligación de ejercer un control de convencionalidad</w:t>
      </w:r>
      <w:r w:rsidRPr="0090770D">
        <w:rPr>
          <w:rStyle w:val="Refdenotaalpie"/>
          <w:rFonts w:ascii="Verdana" w:hAnsi="Verdana"/>
          <w:sz w:val="20"/>
          <w:szCs w:val="20"/>
        </w:rPr>
        <w:footnoteReference w:id="6"/>
      </w:r>
      <w:r w:rsidRPr="0090770D">
        <w:rPr>
          <w:rFonts w:ascii="Verdana" w:hAnsi="Verdana"/>
          <w:sz w:val="20"/>
          <w:szCs w:val="20"/>
        </w:rPr>
        <w:t xml:space="preserve"> entre los actos u omisiones y las normas internas y la Convención Americana, de forma tal que la interpretación y aplicación del derecho nacional sea consistente con las obligaciones internacionales del Estado en materia de derechos humanos</w:t>
      </w:r>
      <w:r w:rsidRPr="0090770D">
        <w:rPr>
          <w:rStyle w:val="Refdenotaalpie"/>
          <w:rFonts w:ascii="Verdana" w:hAnsi="Verdana"/>
          <w:sz w:val="20"/>
          <w:szCs w:val="20"/>
        </w:rPr>
        <w:footnoteReference w:id="7"/>
      </w:r>
      <w:r w:rsidRPr="0090770D">
        <w:rPr>
          <w:rFonts w:ascii="Verdana" w:hAnsi="Verdana"/>
          <w:sz w:val="20"/>
          <w:szCs w:val="20"/>
        </w:rPr>
        <w:t>. Este control de convencionalidad debe realizarse en el marco de sus respectivas competencias y de las regulaciones procesales correspondientes en esta tarea, teniendo en cuenta no solo el tratado, sino también la interpretación que del mismo ha hecho la Corte Interamericana, intérprete última de la Convención Americana</w:t>
      </w:r>
      <w:r w:rsidRPr="0090770D">
        <w:rPr>
          <w:rStyle w:val="Refdenotaalpie"/>
          <w:rFonts w:ascii="Verdana" w:hAnsi="Verdana"/>
          <w:sz w:val="20"/>
          <w:szCs w:val="20"/>
        </w:rPr>
        <w:footnoteReference w:id="8"/>
      </w:r>
      <w:r w:rsidRPr="0090770D">
        <w:rPr>
          <w:rFonts w:ascii="Verdana" w:hAnsi="Verdana"/>
          <w:sz w:val="20"/>
          <w:szCs w:val="20"/>
        </w:rPr>
        <w:t xml:space="preserve">. </w:t>
      </w:r>
      <w:bookmarkEnd w:id="2"/>
    </w:p>
    <w:p w14:paraId="47A9C3EC" w14:textId="33964E9D" w:rsidR="00195F77" w:rsidRPr="0010630A" w:rsidRDefault="00195F77" w:rsidP="0010630A">
      <w:pPr>
        <w:pStyle w:val="Prrafodelista"/>
        <w:numPr>
          <w:ilvl w:val="0"/>
          <w:numId w:val="2"/>
        </w:numPr>
        <w:tabs>
          <w:tab w:val="left" w:pos="540"/>
          <w:tab w:val="left" w:pos="567"/>
        </w:tabs>
        <w:spacing w:before="120" w:after="120" w:line="240" w:lineRule="auto"/>
        <w:ind w:left="0" w:right="48" w:firstLine="0"/>
        <w:contextualSpacing w:val="0"/>
        <w:jc w:val="both"/>
        <w:rPr>
          <w:rFonts w:ascii="Verdana" w:eastAsia="Verdana" w:hAnsi="Verdana"/>
          <w:sz w:val="20"/>
          <w:szCs w:val="20"/>
        </w:rPr>
      </w:pPr>
      <w:r w:rsidRPr="00ED781F">
        <w:rPr>
          <w:rFonts w:ascii="Verdana" w:hAnsi="Verdana"/>
          <w:sz w:val="20"/>
          <w:szCs w:val="20"/>
        </w:rPr>
        <w:t xml:space="preserve">La Corte constata que el </w:t>
      </w:r>
      <w:r w:rsidR="00ED781F" w:rsidRPr="00ED781F">
        <w:rPr>
          <w:rFonts w:ascii="Verdana" w:hAnsi="Verdana"/>
          <w:sz w:val="20"/>
          <w:szCs w:val="20"/>
        </w:rPr>
        <w:t>10 de diciembre de 2020 el Tribunal de Apelación</w:t>
      </w:r>
      <w:r w:rsidRPr="00ED781F">
        <w:rPr>
          <w:rFonts w:ascii="Verdana" w:hAnsi="Verdana"/>
          <w:sz w:val="20"/>
          <w:szCs w:val="20"/>
        </w:rPr>
        <w:t xml:space="preserve"> resolvió anular </w:t>
      </w:r>
      <w:r w:rsidR="00ED781F" w:rsidRPr="00ED781F">
        <w:rPr>
          <w:rFonts w:ascii="Verdana" w:hAnsi="Verdana"/>
          <w:sz w:val="20"/>
          <w:szCs w:val="20"/>
        </w:rPr>
        <w:t>la decisión de 7 de febrero de 2020 que había</w:t>
      </w:r>
      <w:r w:rsidR="00ED781F" w:rsidRPr="00ED781F">
        <w:rPr>
          <w:rFonts w:ascii="Verdana" w:eastAsia="Times New Roman" w:hAnsi="Verdana" w:cs="Times New Roman"/>
          <w:sz w:val="20"/>
          <w:szCs w:val="20"/>
        </w:rPr>
        <w:t xml:space="preserve"> </w:t>
      </w:r>
      <w:r w:rsidR="00ED781F" w:rsidRPr="00ED781F">
        <w:rPr>
          <w:rFonts w:ascii="Verdana" w:hAnsi="Verdana"/>
          <w:sz w:val="20"/>
          <w:szCs w:val="20"/>
        </w:rPr>
        <w:t xml:space="preserve">desestimado la querella en contra </w:t>
      </w:r>
      <w:r w:rsidR="000C1B0C">
        <w:rPr>
          <w:rFonts w:ascii="Verdana" w:hAnsi="Verdana"/>
          <w:sz w:val="20"/>
          <w:szCs w:val="20"/>
        </w:rPr>
        <w:t xml:space="preserve">de </w:t>
      </w:r>
      <w:r w:rsidR="00ED781F" w:rsidRPr="00ED781F">
        <w:rPr>
          <w:rFonts w:ascii="Verdana" w:hAnsi="Verdana"/>
          <w:sz w:val="20"/>
          <w:szCs w:val="20"/>
        </w:rPr>
        <w:t xml:space="preserve">la señora Cristina Haydée </w:t>
      </w:r>
      <w:r w:rsidR="00ED781F" w:rsidRPr="005808E4">
        <w:rPr>
          <w:rFonts w:ascii="Verdana" w:hAnsi="Verdana"/>
          <w:sz w:val="20"/>
          <w:szCs w:val="20"/>
        </w:rPr>
        <w:t xml:space="preserve">Arrom </w:t>
      </w:r>
      <w:proofErr w:type="spellStart"/>
      <w:r w:rsidR="00ED781F" w:rsidRPr="005808E4">
        <w:rPr>
          <w:rFonts w:ascii="Verdana" w:hAnsi="Verdana"/>
          <w:sz w:val="20"/>
          <w:szCs w:val="20"/>
        </w:rPr>
        <w:t>Suhurt</w:t>
      </w:r>
      <w:proofErr w:type="spellEnd"/>
      <w:r w:rsidR="00ED781F" w:rsidRPr="005808E4">
        <w:rPr>
          <w:rFonts w:ascii="Verdana" w:hAnsi="Verdana"/>
          <w:sz w:val="20"/>
          <w:szCs w:val="20"/>
        </w:rPr>
        <w:t>.</w:t>
      </w:r>
      <w:r w:rsidR="0010630A" w:rsidRPr="005808E4">
        <w:rPr>
          <w:rFonts w:ascii="Verdana" w:eastAsia="Verdana" w:hAnsi="Verdana"/>
          <w:sz w:val="20"/>
          <w:szCs w:val="20"/>
        </w:rPr>
        <w:t xml:space="preserve"> </w:t>
      </w:r>
      <w:r w:rsidRPr="005808E4">
        <w:rPr>
          <w:rFonts w:ascii="Verdana" w:hAnsi="Verdana"/>
          <w:sz w:val="20"/>
          <w:szCs w:val="20"/>
        </w:rPr>
        <w:t>Como consecuencia de ello</w:t>
      </w:r>
      <w:r w:rsidR="005808E4" w:rsidRPr="005808E4">
        <w:rPr>
          <w:rFonts w:ascii="Verdana" w:hAnsi="Verdana"/>
          <w:sz w:val="20"/>
          <w:szCs w:val="20"/>
        </w:rPr>
        <w:t xml:space="preserve"> se reabrió el procedimiento de la querella </w:t>
      </w:r>
      <w:r w:rsidRPr="005808E4">
        <w:rPr>
          <w:rFonts w:ascii="Verdana" w:hAnsi="Verdana"/>
          <w:sz w:val="20"/>
          <w:szCs w:val="20"/>
        </w:rPr>
        <w:t>presentad</w:t>
      </w:r>
      <w:r w:rsidR="005808E4" w:rsidRPr="005808E4">
        <w:rPr>
          <w:rFonts w:ascii="Verdana" w:hAnsi="Verdana"/>
          <w:sz w:val="20"/>
          <w:szCs w:val="20"/>
        </w:rPr>
        <w:t xml:space="preserve">a contra la señora Arrom </w:t>
      </w:r>
      <w:proofErr w:type="spellStart"/>
      <w:r w:rsidR="005808E4" w:rsidRPr="005808E4">
        <w:rPr>
          <w:rFonts w:ascii="Verdana" w:hAnsi="Verdana"/>
          <w:sz w:val="20"/>
          <w:szCs w:val="20"/>
        </w:rPr>
        <w:t>Suhurt</w:t>
      </w:r>
      <w:proofErr w:type="spellEnd"/>
      <w:r w:rsidRPr="005808E4">
        <w:rPr>
          <w:rFonts w:ascii="Verdana" w:hAnsi="Verdana"/>
          <w:sz w:val="20"/>
          <w:szCs w:val="20"/>
        </w:rPr>
        <w:t xml:space="preserve">. </w:t>
      </w:r>
    </w:p>
    <w:p w14:paraId="56CE019C" w14:textId="77777777" w:rsidR="00195F77" w:rsidRPr="005808E4" w:rsidRDefault="00E21109" w:rsidP="00B2590E">
      <w:pPr>
        <w:pStyle w:val="Prrafodelista"/>
        <w:numPr>
          <w:ilvl w:val="0"/>
          <w:numId w:val="2"/>
        </w:numPr>
        <w:tabs>
          <w:tab w:val="left" w:pos="540"/>
          <w:tab w:val="left" w:pos="567"/>
        </w:tabs>
        <w:spacing w:before="120" w:after="120" w:line="240" w:lineRule="auto"/>
        <w:ind w:left="0" w:right="48" w:firstLine="0"/>
        <w:contextualSpacing w:val="0"/>
        <w:jc w:val="both"/>
        <w:rPr>
          <w:rFonts w:ascii="Verdana" w:eastAsia="Verdana" w:hAnsi="Verdana"/>
          <w:color w:val="FF0000"/>
          <w:sz w:val="20"/>
          <w:szCs w:val="20"/>
        </w:rPr>
      </w:pPr>
      <w:bookmarkStart w:id="3" w:name="_Ref66365065"/>
      <w:r w:rsidRPr="00E21109">
        <w:rPr>
          <w:rFonts w:ascii="Verdana" w:eastAsia="Times New Roman" w:hAnsi="Verdana"/>
          <w:sz w:val="20"/>
          <w:szCs w:val="20"/>
        </w:rPr>
        <w:t xml:space="preserve">Este Tribunal ha sido </w:t>
      </w:r>
      <w:r w:rsidR="00195F77" w:rsidRPr="00E21109">
        <w:rPr>
          <w:rFonts w:ascii="Verdana" w:eastAsia="Times New Roman" w:hAnsi="Verdana"/>
          <w:sz w:val="20"/>
          <w:szCs w:val="20"/>
        </w:rPr>
        <w:t>clar</w:t>
      </w:r>
      <w:r w:rsidRPr="00E21109">
        <w:rPr>
          <w:rFonts w:ascii="Verdana" w:eastAsia="Times New Roman" w:hAnsi="Verdana"/>
          <w:sz w:val="20"/>
          <w:szCs w:val="20"/>
        </w:rPr>
        <w:t>o</w:t>
      </w:r>
      <w:r w:rsidR="00195F77" w:rsidRPr="00E21109">
        <w:rPr>
          <w:rFonts w:ascii="Verdana" w:eastAsia="Times New Roman" w:hAnsi="Verdana"/>
          <w:sz w:val="20"/>
          <w:szCs w:val="20"/>
        </w:rPr>
        <w:t xml:space="preserve"> en </w:t>
      </w:r>
      <w:r w:rsidR="00195F77" w:rsidRPr="00E21109">
        <w:rPr>
          <w:rFonts w:ascii="Verdana" w:hAnsi="Verdana"/>
          <w:sz w:val="20"/>
          <w:szCs w:val="20"/>
        </w:rPr>
        <w:t xml:space="preserve">advertir que la </w:t>
      </w:r>
      <w:r w:rsidR="00195F77" w:rsidRPr="00E21109">
        <w:rPr>
          <w:rFonts w:ascii="Verdana" w:eastAsia="Times New Roman" w:hAnsi="Verdana"/>
          <w:sz w:val="20"/>
          <w:szCs w:val="20"/>
        </w:rPr>
        <w:t>responsabilidad internacional del Estado se funda en actos u omisiones de cualquier poder u órgano de éste, independientemente de su jerarquía</w:t>
      </w:r>
      <w:r w:rsidR="00195F77" w:rsidRPr="00E21109">
        <w:rPr>
          <w:rStyle w:val="Refdenotaalpie"/>
          <w:rFonts w:ascii="Verdana" w:hAnsi="Verdana"/>
          <w:sz w:val="20"/>
          <w:szCs w:val="20"/>
        </w:rPr>
        <w:footnoteReference w:id="9"/>
      </w:r>
      <w:r w:rsidR="00195F77" w:rsidRPr="00E21109">
        <w:rPr>
          <w:rFonts w:ascii="Verdana" w:eastAsia="Times New Roman" w:hAnsi="Verdana"/>
          <w:sz w:val="20"/>
          <w:szCs w:val="20"/>
        </w:rPr>
        <w:t xml:space="preserve">. </w:t>
      </w:r>
      <w:r w:rsidR="00195F77" w:rsidRPr="00E64DC2">
        <w:rPr>
          <w:rFonts w:ascii="Verdana" w:eastAsia="Times New Roman" w:hAnsi="Verdana"/>
          <w:sz w:val="20"/>
          <w:szCs w:val="20"/>
        </w:rPr>
        <w:t xml:space="preserve">Por tanto, la </w:t>
      </w:r>
      <w:r w:rsidR="005808E4">
        <w:rPr>
          <w:rFonts w:ascii="Verdana" w:eastAsia="Times New Roman" w:hAnsi="Verdana"/>
          <w:sz w:val="20"/>
          <w:szCs w:val="20"/>
        </w:rPr>
        <w:t>reapertura</w:t>
      </w:r>
      <w:r w:rsidR="00195F77" w:rsidRPr="00E64DC2">
        <w:rPr>
          <w:rFonts w:ascii="Verdana" w:eastAsia="Times New Roman" w:hAnsi="Verdana"/>
          <w:sz w:val="20"/>
          <w:szCs w:val="20"/>
        </w:rPr>
        <w:t xml:space="preserve"> de la </w:t>
      </w:r>
      <w:r w:rsidR="005808E4">
        <w:rPr>
          <w:rFonts w:ascii="Verdana" w:eastAsia="Times New Roman" w:hAnsi="Verdana"/>
          <w:sz w:val="20"/>
          <w:szCs w:val="20"/>
        </w:rPr>
        <w:t>querella</w:t>
      </w:r>
      <w:r w:rsidR="00195F77" w:rsidRPr="00E64DC2">
        <w:rPr>
          <w:rFonts w:ascii="Verdana" w:hAnsi="Verdana"/>
          <w:sz w:val="20"/>
          <w:szCs w:val="20"/>
        </w:rPr>
        <w:t xml:space="preserve"> </w:t>
      </w:r>
      <w:r w:rsidR="00195F77" w:rsidRPr="00E64DC2">
        <w:rPr>
          <w:rFonts w:ascii="Verdana" w:eastAsia="Times New Roman" w:hAnsi="Verdana"/>
          <w:sz w:val="20"/>
          <w:szCs w:val="20"/>
        </w:rPr>
        <w:t xml:space="preserve">constituye una acción estatal </w:t>
      </w:r>
      <w:r w:rsidR="00195F77" w:rsidRPr="005808E4">
        <w:rPr>
          <w:rFonts w:ascii="Verdana" w:eastAsia="Times New Roman" w:hAnsi="Verdana"/>
          <w:sz w:val="20"/>
          <w:szCs w:val="20"/>
        </w:rPr>
        <w:t>atribuible al Estado. En consecuencia, el sometimiento al proceso penal que implica la</w:t>
      </w:r>
      <w:r w:rsidR="00195F77" w:rsidRPr="005808E4">
        <w:rPr>
          <w:rFonts w:ascii="Verdana" w:hAnsi="Verdana"/>
          <w:sz w:val="20"/>
          <w:szCs w:val="20"/>
        </w:rPr>
        <w:t xml:space="preserve"> nueva</w:t>
      </w:r>
      <w:r w:rsidR="00195F77" w:rsidRPr="005808E4">
        <w:rPr>
          <w:rFonts w:ascii="Verdana" w:eastAsia="Times New Roman" w:hAnsi="Verdana"/>
          <w:sz w:val="20"/>
          <w:szCs w:val="20"/>
        </w:rPr>
        <w:t xml:space="preserve"> </w:t>
      </w:r>
      <w:r w:rsidR="005808E4" w:rsidRPr="005808E4">
        <w:rPr>
          <w:rFonts w:ascii="Verdana" w:eastAsia="Times New Roman" w:hAnsi="Verdana"/>
          <w:sz w:val="20"/>
          <w:szCs w:val="20"/>
        </w:rPr>
        <w:t>apertura</w:t>
      </w:r>
      <w:r w:rsidR="00195F77" w:rsidRPr="005808E4">
        <w:rPr>
          <w:rFonts w:ascii="Verdana" w:eastAsia="Times New Roman" w:hAnsi="Verdana"/>
          <w:sz w:val="20"/>
          <w:szCs w:val="20"/>
        </w:rPr>
        <w:t xml:space="preserve"> de la querella </w:t>
      </w:r>
      <w:r w:rsidR="00195F77" w:rsidRPr="005808E4">
        <w:rPr>
          <w:rFonts w:ascii="Verdana" w:hAnsi="Verdana"/>
          <w:sz w:val="20"/>
          <w:szCs w:val="20"/>
        </w:rPr>
        <w:t xml:space="preserve">contra la señora Arrom </w:t>
      </w:r>
      <w:proofErr w:type="spellStart"/>
      <w:r w:rsidR="00195F77" w:rsidRPr="005808E4">
        <w:rPr>
          <w:rFonts w:ascii="Verdana" w:hAnsi="Verdana"/>
          <w:sz w:val="20"/>
          <w:szCs w:val="20"/>
        </w:rPr>
        <w:t>Suhurt</w:t>
      </w:r>
      <w:proofErr w:type="spellEnd"/>
      <w:r w:rsidR="00195F77" w:rsidRPr="005808E4">
        <w:rPr>
          <w:rFonts w:ascii="Verdana" w:hAnsi="Verdana"/>
          <w:sz w:val="20"/>
          <w:szCs w:val="20"/>
        </w:rPr>
        <w:t xml:space="preserve"> </w:t>
      </w:r>
      <w:r w:rsidR="00195F77" w:rsidRPr="005808E4">
        <w:rPr>
          <w:rFonts w:ascii="Verdana" w:eastAsia="Times New Roman" w:hAnsi="Verdana"/>
          <w:sz w:val="20"/>
          <w:szCs w:val="20"/>
        </w:rPr>
        <w:t>a causa de sus dec</w:t>
      </w:r>
      <w:r w:rsidR="005808E4" w:rsidRPr="005808E4">
        <w:rPr>
          <w:rFonts w:ascii="Verdana" w:eastAsia="Times New Roman" w:hAnsi="Verdana"/>
          <w:sz w:val="20"/>
          <w:szCs w:val="20"/>
        </w:rPr>
        <w:t>l</w:t>
      </w:r>
      <w:r w:rsidR="00195F77" w:rsidRPr="005808E4">
        <w:rPr>
          <w:rFonts w:ascii="Verdana" w:eastAsia="Times New Roman" w:hAnsi="Verdana"/>
          <w:sz w:val="20"/>
          <w:szCs w:val="20"/>
        </w:rPr>
        <w:t xml:space="preserve">araciones ante este Tribunal implica que el Estado ha incumplido </w:t>
      </w:r>
      <w:r w:rsidR="005808E4">
        <w:rPr>
          <w:rFonts w:ascii="Verdana" w:eastAsia="Times New Roman" w:hAnsi="Verdana"/>
          <w:sz w:val="20"/>
          <w:szCs w:val="20"/>
        </w:rPr>
        <w:t xml:space="preserve">con su obligación de aplicar mediante control de convencionalidad </w:t>
      </w:r>
      <w:r w:rsidR="00195F77" w:rsidRPr="005808E4">
        <w:rPr>
          <w:rFonts w:ascii="Verdana" w:eastAsia="Times New Roman" w:hAnsi="Verdana"/>
          <w:sz w:val="20"/>
          <w:szCs w:val="20"/>
        </w:rPr>
        <w:t>la</w:t>
      </w:r>
      <w:r w:rsidR="005808E4" w:rsidRPr="005808E4">
        <w:rPr>
          <w:rFonts w:ascii="Verdana" w:eastAsia="Times New Roman" w:hAnsi="Verdana"/>
          <w:sz w:val="20"/>
          <w:szCs w:val="20"/>
        </w:rPr>
        <w:t>s</w:t>
      </w:r>
      <w:r w:rsidR="00195F77" w:rsidRPr="005808E4">
        <w:rPr>
          <w:rFonts w:ascii="Verdana" w:eastAsia="Times New Roman" w:hAnsi="Verdana"/>
          <w:sz w:val="20"/>
          <w:szCs w:val="20"/>
        </w:rPr>
        <w:t xml:space="preserve"> Resoluci</w:t>
      </w:r>
      <w:r w:rsidR="005808E4" w:rsidRPr="005808E4">
        <w:rPr>
          <w:rFonts w:ascii="Verdana" w:eastAsia="Times New Roman" w:hAnsi="Verdana"/>
          <w:sz w:val="20"/>
          <w:szCs w:val="20"/>
        </w:rPr>
        <w:t>ones</w:t>
      </w:r>
      <w:r w:rsidR="00195F77" w:rsidRPr="005808E4">
        <w:rPr>
          <w:rFonts w:ascii="Verdana" w:eastAsia="Times New Roman" w:hAnsi="Verdana"/>
          <w:sz w:val="20"/>
          <w:szCs w:val="20"/>
        </w:rPr>
        <w:t xml:space="preserve"> de la Corte de 14 de marzo </w:t>
      </w:r>
      <w:r w:rsidR="005808E4" w:rsidRPr="005808E4">
        <w:rPr>
          <w:rFonts w:ascii="Verdana" w:eastAsia="Times New Roman" w:hAnsi="Verdana"/>
          <w:sz w:val="20"/>
          <w:szCs w:val="20"/>
        </w:rPr>
        <w:t xml:space="preserve">y 26 de noviembre </w:t>
      </w:r>
      <w:r w:rsidR="00195F77" w:rsidRPr="005808E4">
        <w:rPr>
          <w:rFonts w:ascii="Verdana" w:eastAsia="Times New Roman" w:hAnsi="Verdana"/>
          <w:sz w:val="20"/>
          <w:szCs w:val="20"/>
        </w:rPr>
        <w:t>de 2019, en violación del artículo 53 del Reglamento</w:t>
      </w:r>
      <w:r w:rsidRPr="005808E4">
        <w:rPr>
          <w:rStyle w:val="Refdenotaalpie"/>
          <w:rFonts w:ascii="Verdana" w:hAnsi="Verdana"/>
          <w:sz w:val="20"/>
          <w:szCs w:val="20"/>
        </w:rPr>
        <w:footnoteReference w:id="10"/>
      </w:r>
      <w:r w:rsidR="00195F77" w:rsidRPr="005808E4">
        <w:rPr>
          <w:rFonts w:ascii="Verdana" w:eastAsia="Times New Roman" w:hAnsi="Verdana"/>
          <w:sz w:val="20"/>
          <w:szCs w:val="20"/>
        </w:rPr>
        <w:t>.</w:t>
      </w:r>
      <w:bookmarkEnd w:id="3"/>
      <w:r w:rsidR="00195F77" w:rsidRPr="005808E4">
        <w:rPr>
          <w:rFonts w:ascii="Verdana" w:eastAsia="Times New Roman" w:hAnsi="Verdana"/>
          <w:sz w:val="20"/>
          <w:szCs w:val="20"/>
        </w:rPr>
        <w:t xml:space="preserve"> </w:t>
      </w:r>
    </w:p>
    <w:p w14:paraId="3820A573" w14:textId="3EA29FA2" w:rsidR="005808E4" w:rsidRPr="00577F58" w:rsidRDefault="005808E4" w:rsidP="00B2590E">
      <w:pPr>
        <w:pStyle w:val="Prrafodelista"/>
        <w:numPr>
          <w:ilvl w:val="0"/>
          <w:numId w:val="2"/>
        </w:numPr>
        <w:tabs>
          <w:tab w:val="left" w:pos="540"/>
          <w:tab w:val="left" w:pos="567"/>
        </w:tabs>
        <w:spacing w:before="120" w:after="120" w:line="240" w:lineRule="auto"/>
        <w:ind w:left="0" w:right="48" w:firstLine="0"/>
        <w:contextualSpacing w:val="0"/>
        <w:jc w:val="both"/>
        <w:rPr>
          <w:rFonts w:ascii="Verdana" w:eastAsia="Verdana" w:hAnsi="Verdana"/>
          <w:color w:val="FF0000"/>
          <w:sz w:val="20"/>
          <w:szCs w:val="20"/>
        </w:rPr>
      </w:pPr>
      <w:r>
        <w:rPr>
          <w:rFonts w:ascii="Verdana" w:eastAsia="Times New Roman" w:hAnsi="Verdana"/>
          <w:sz w:val="20"/>
          <w:szCs w:val="20"/>
        </w:rPr>
        <w:t>Por último, la Corte considera innecesario pronunciarse sobre las demás solicitudes presentadas por el representante.</w:t>
      </w:r>
    </w:p>
    <w:p w14:paraId="7FD2DA52" w14:textId="77777777" w:rsidR="000C1B0C" w:rsidRPr="00630B8F" w:rsidRDefault="000C1B0C" w:rsidP="000C1B0C">
      <w:pPr>
        <w:pStyle w:val="Prrafodelista"/>
        <w:tabs>
          <w:tab w:val="left" w:pos="540"/>
          <w:tab w:val="left" w:pos="567"/>
        </w:tabs>
        <w:spacing w:before="120" w:after="120" w:line="240" w:lineRule="auto"/>
        <w:ind w:left="0" w:right="48"/>
        <w:contextualSpacing w:val="0"/>
        <w:jc w:val="both"/>
        <w:rPr>
          <w:rFonts w:ascii="Verdana" w:eastAsia="Verdana" w:hAnsi="Verdana"/>
          <w:color w:val="FF0000"/>
          <w:sz w:val="20"/>
          <w:szCs w:val="20"/>
        </w:rPr>
      </w:pPr>
    </w:p>
    <w:p w14:paraId="5777F635" w14:textId="77777777" w:rsidR="00195F77" w:rsidRPr="00B2590E" w:rsidRDefault="00195F77" w:rsidP="00B2590E">
      <w:pPr>
        <w:pStyle w:val="PrrafodeSentencia"/>
        <w:numPr>
          <w:ilvl w:val="0"/>
          <w:numId w:val="0"/>
        </w:numPr>
        <w:spacing w:before="120" w:after="120"/>
        <w:rPr>
          <w:b/>
          <w:color w:val="auto"/>
          <w:sz w:val="20"/>
          <w:szCs w:val="20"/>
        </w:rPr>
      </w:pPr>
      <w:r w:rsidRPr="00B2590E">
        <w:rPr>
          <w:b/>
          <w:color w:val="auto"/>
          <w:sz w:val="20"/>
          <w:szCs w:val="20"/>
        </w:rPr>
        <w:lastRenderedPageBreak/>
        <w:t>POR TANTO:</w:t>
      </w:r>
    </w:p>
    <w:p w14:paraId="302D2965" w14:textId="77777777" w:rsidR="00195F77" w:rsidRPr="00B2590E" w:rsidRDefault="00195F77" w:rsidP="00B2590E">
      <w:pPr>
        <w:tabs>
          <w:tab w:val="left" w:pos="567"/>
        </w:tabs>
        <w:spacing w:before="120" w:after="120"/>
        <w:jc w:val="both"/>
        <w:rPr>
          <w:b/>
          <w:lang w:val="es-MX"/>
        </w:rPr>
      </w:pPr>
      <w:r w:rsidRPr="00B2590E">
        <w:rPr>
          <w:b/>
          <w:lang w:val="es-MX"/>
        </w:rPr>
        <w:t>LA CORTE INTERAMERICANA DE DERECHOS HUMANOS,</w:t>
      </w:r>
    </w:p>
    <w:p w14:paraId="4F99CEDF" w14:textId="5483738A" w:rsidR="00195F77" w:rsidRDefault="00195F77" w:rsidP="00B2590E">
      <w:pPr>
        <w:tabs>
          <w:tab w:val="left" w:pos="567"/>
        </w:tabs>
        <w:spacing w:before="120" w:after="120"/>
        <w:jc w:val="both"/>
        <w:rPr>
          <w:lang w:val="es-MX"/>
        </w:rPr>
      </w:pPr>
      <w:r w:rsidRPr="00B2590E">
        <w:rPr>
          <w:lang w:val="es-MX"/>
        </w:rPr>
        <w:t>en uso de las atribuciones que le confieren el artículo 63.2 de la Convención Americana, y los artículos 27, 31 y 53 del Reglamento,</w:t>
      </w:r>
    </w:p>
    <w:p w14:paraId="51F453EB" w14:textId="77777777" w:rsidR="00250A57" w:rsidRPr="00B2590E" w:rsidRDefault="00250A57" w:rsidP="00B2590E">
      <w:pPr>
        <w:tabs>
          <w:tab w:val="left" w:pos="567"/>
        </w:tabs>
        <w:spacing w:before="120" w:after="120"/>
        <w:jc w:val="both"/>
        <w:rPr>
          <w:lang w:val="es-MX"/>
        </w:rPr>
      </w:pPr>
    </w:p>
    <w:p w14:paraId="5AA23047" w14:textId="77777777" w:rsidR="00195F77" w:rsidRPr="00B2590E" w:rsidRDefault="00195F77" w:rsidP="00B2590E">
      <w:pPr>
        <w:tabs>
          <w:tab w:val="left" w:pos="567"/>
        </w:tabs>
        <w:spacing w:before="120" w:after="120"/>
        <w:jc w:val="both"/>
        <w:rPr>
          <w:b/>
        </w:rPr>
      </w:pPr>
      <w:r w:rsidRPr="00B2590E">
        <w:rPr>
          <w:b/>
          <w:lang w:val="es-MX"/>
        </w:rPr>
        <w:t>RESUELVE</w:t>
      </w:r>
      <w:r w:rsidRPr="00B2590E">
        <w:rPr>
          <w:b/>
        </w:rPr>
        <w:t>:</w:t>
      </w:r>
    </w:p>
    <w:p w14:paraId="2F647276" w14:textId="50B7D967" w:rsidR="00F534D4" w:rsidRPr="00E34258" w:rsidRDefault="00F534D4" w:rsidP="00B2590E">
      <w:pPr>
        <w:pStyle w:val="Numberedparagraphs"/>
        <w:numPr>
          <w:ilvl w:val="0"/>
          <w:numId w:val="3"/>
        </w:numPr>
        <w:tabs>
          <w:tab w:val="num" w:pos="540"/>
          <w:tab w:val="left" w:pos="567"/>
        </w:tabs>
        <w:spacing w:before="120" w:after="120"/>
        <w:rPr>
          <w:color w:val="auto"/>
          <w:sz w:val="20"/>
          <w:szCs w:val="20"/>
        </w:rPr>
      </w:pPr>
      <w:r w:rsidRPr="00E34258">
        <w:rPr>
          <w:color w:val="auto"/>
          <w:sz w:val="20"/>
          <w:szCs w:val="20"/>
        </w:rPr>
        <w:t>Declarar que el proceso iniciado en contra de la señora Cristina A</w:t>
      </w:r>
      <w:r w:rsidR="00E34258" w:rsidRPr="00E34258">
        <w:rPr>
          <w:color w:val="auto"/>
          <w:sz w:val="20"/>
          <w:szCs w:val="20"/>
        </w:rPr>
        <w:t xml:space="preserve">rrom </w:t>
      </w:r>
      <w:proofErr w:type="spellStart"/>
      <w:r w:rsidR="00E34258" w:rsidRPr="00E34258">
        <w:rPr>
          <w:color w:val="auto"/>
          <w:sz w:val="20"/>
          <w:szCs w:val="20"/>
        </w:rPr>
        <w:t>Suhurt</w:t>
      </w:r>
      <w:proofErr w:type="spellEnd"/>
      <w:r w:rsidR="00E34258" w:rsidRPr="00E34258">
        <w:rPr>
          <w:color w:val="auto"/>
          <w:sz w:val="20"/>
          <w:szCs w:val="20"/>
        </w:rPr>
        <w:t xml:space="preserve"> es contrario al artículo 53 del Reglamento de la Corte.</w:t>
      </w:r>
    </w:p>
    <w:p w14:paraId="1B2309E2" w14:textId="62827949" w:rsidR="00195F77" w:rsidRPr="00B2590E" w:rsidRDefault="00195F77" w:rsidP="00F534D4">
      <w:pPr>
        <w:pStyle w:val="Numberedparagraphs"/>
        <w:numPr>
          <w:ilvl w:val="0"/>
          <w:numId w:val="3"/>
        </w:numPr>
        <w:tabs>
          <w:tab w:val="clear" w:pos="720"/>
          <w:tab w:val="num" w:pos="540"/>
          <w:tab w:val="num" w:pos="567"/>
        </w:tabs>
        <w:spacing w:before="120" w:after="120"/>
        <w:rPr>
          <w:color w:val="auto"/>
          <w:sz w:val="20"/>
          <w:szCs w:val="20"/>
        </w:rPr>
      </w:pPr>
      <w:r w:rsidRPr="00E34258">
        <w:rPr>
          <w:color w:val="auto"/>
          <w:sz w:val="20"/>
          <w:szCs w:val="20"/>
        </w:rPr>
        <w:t xml:space="preserve">Ordenar al Estado que adopte las medidas necesarias para que cese el proceso penal iniciado </w:t>
      </w:r>
      <w:r w:rsidR="00CF6EE0">
        <w:rPr>
          <w:color w:val="auto"/>
          <w:sz w:val="20"/>
          <w:szCs w:val="20"/>
        </w:rPr>
        <w:t>contra</w:t>
      </w:r>
      <w:r w:rsidRPr="00E34258">
        <w:rPr>
          <w:color w:val="auto"/>
          <w:sz w:val="20"/>
          <w:szCs w:val="20"/>
        </w:rPr>
        <w:t xml:space="preserve"> la señora Cristina Haydée</w:t>
      </w:r>
      <w:r w:rsidRPr="00B2590E">
        <w:rPr>
          <w:color w:val="auto"/>
          <w:sz w:val="20"/>
          <w:szCs w:val="20"/>
        </w:rPr>
        <w:t xml:space="preserve"> Arrom </w:t>
      </w:r>
      <w:proofErr w:type="spellStart"/>
      <w:r w:rsidRPr="00B2590E">
        <w:rPr>
          <w:color w:val="auto"/>
          <w:sz w:val="20"/>
          <w:szCs w:val="20"/>
        </w:rPr>
        <w:t>Suhurt</w:t>
      </w:r>
      <w:proofErr w:type="spellEnd"/>
      <w:r w:rsidRPr="00B2590E">
        <w:rPr>
          <w:color w:val="auto"/>
          <w:sz w:val="20"/>
          <w:szCs w:val="20"/>
        </w:rPr>
        <w:t xml:space="preserve"> a causa de sus declaraciones ante la Corte, en los términos de los </w:t>
      </w:r>
      <w:r w:rsidR="00AA7104">
        <w:rPr>
          <w:color w:val="auto"/>
          <w:sz w:val="20"/>
          <w:szCs w:val="20"/>
        </w:rPr>
        <w:t>considerandos</w:t>
      </w:r>
      <w:r w:rsidR="00AA7104" w:rsidRPr="00B2590E">
        <w:rPr>
          <w:color w:val="auto"/>
          <w:sz w:val="20"/>
          <w:szCs w:val="20"/>
        </w:rPr>
        <w:t xml:space="preserve"> </w:t>
      </w:r>
      <w:r w:rsidRPr="00B2590E">
        <w:rPr>
          <w:color w:val="auto"/>
          <w:sz w:val="20"/>
          <w:szCs w:val="20"/>
        </w:rPr>
        <w:fldChar w:fldCharType="begin"/>
      </w:r>
      <w:r w:rsidRPr="00B2590E">
        <w:rPr>
          <w:color w:val="auto"/>
          <w:sz w:val="20"/>
          <w:szCs w:val="20"/>
        </w:rPr>
        <w:instrText xml:space="preserve"> REF _Ref25680429 \r \h </w:instrText>
      </w:r>
      <w:r w:rsidR="00B2590E" w:rsidRPr="00B2590E">
        <w:rPr>
          <w:color w:val="auto"/>
          <w:sz w:val="20"/>
          <w:szCs w:val="20"/>
        </w:rPr>
        <w:instrText xml:space="preserve"> \* MERGEFORMAT </w:instrText>
      </w:r>
      <w:r w:rsidRPr="00B2590E">
        <w:rPr>
          <w:color w:val="auto"/>
          <w:sz w:val="20"/>
          <w:szCs w:val="20"/>
        </w:rPr>
      </w:r>
      <w:r w:rsidRPr="00B2590E">
        <w:rPr>
          <w:color w:val="auto"/>
          <w:sz w:val="20"/>
          <w:szCs w:val="20"/>
        </w:rPr>
        <w:fldChar w:fldCharType="separate"/>
      </w:r>
      <w:r w:rsidR="00F937B5">
        <w:rPr>
          <w:rFonts w:hint="cs"/>
          <w:color w:val="auto"/>
          <w:sz w:val="20"/>
          <w:szCs w:val="20"/>
          <w:cs/>
        </w:rPr>
        <w:t>‎</w:t>
      </w:r>
      <w:r w:rsidR="00F937B5">
        <w:rPr>
          <w:color w:val="auto"/>
          <w:sz w:val="20"/>
          <w:szCs w:val="20"/>
        </w:rPr>
        <w:t>1</w:t>
      </w:r>
      <w:r w:rsidRPr="00B2590E">
        <w:rPr>
          <w:color w:val="auto"/>
          <w:sz w:val="20"/>
          <w:szCs w:val="20"/>
        </w:rPr>
        <w:fldChar w:fldCharType="end"/>
      </w:r>
      <w:r w:rsidRPr="00B2590E">
        <w:rPr>
          <w:color w:val="auto"/>
          <w:sz w:val="20"/>
          <w:szCs w:val="20"/>
        </w:rPr>
        <w:t xml:space="preserve"> a </w:t>
      </w:r>
      <w:r w:rsidR="004A1841">
        <w:rPr>
          <w:color w:val="auto"/>
          <w:sz w:val="20"/>
          <w:szCs w:val="20"/>
        </w:rPr>
        <w:fldChar w:fldCharType="begin"/>
      </w:r>
      <w:r w:rsidR="004A1841">
        <w:rPr>
          <w:color w:val="auto"/>
          <w:sz w:val="20"/>
          <w:szCs w:val="20"/>
        </w:rPr>
        <w:instrText xml:space="preserve"> REF _Ref66365065 \r \h </w:instrText>
      </w:r>
      <w:r w:rsidR="004A1841">
        <w:rPr>
          <w:color w:val="auto"/>
          <w:sz w:val="20"/>
          <w:szCs w:val="20"/>
        </w:rPr>
      </w:r>
      <w:r w:rsidR="004A1841">
        <w:rPr>
          <w:color w:val="auto"/>
          <w:sz w:val="20"/>
          <w:szCs w:val="20"/>
        </w:rPr>
        <w:fldChar w:fldCharType="separate"/>
      </w:r>
      <w:r w:rsidR="00F937B5">
        <w:rPr>
          <w:rFonts w:hint="cs"/>
          <w:color w:val="auto"/>
          <w:sz w:val="20"/>
          <w:szCs w:val="20"/>
          <w:cs/>
        </w:rPr>
        <w:t>‎</w:t>
      </w:r>
      <w:r w:rsidR="00F937B5">
        <w:rPr>
          <w:color w:val="auto"/>
          <w:sz w:val="20"/>
          <w:szCs w:val="20"/>
        </w:rPr>
        <w:t>6</w:t>
      </w:r>
      <w:r w:rsidR="004A1841">
        <w:rPr>
          <w:color w:val="auto"/>
          <w:sz w:val="20"/>
          <w:szCs w:val="20"/>
        </w:rPr>
        <w:fldChar w:fldCharType="end"/>
      </w:r>
      <w:r w:rsidRPr="00B2590E">
        <w:rPr>
          <w:color w:val="auto"/>
          <w:sz w:val="20"/>
          <w:szCs w:val="20"/>
        </w:rPr>
        <w:t xml:space="preserve"> de esta Resolución y en cumplimiento de la</w:t>
      </w:r>
      <w:r w:rsidR="00273A63">
        <w:rPr>
          <w:color w:val="auto"/>
          <w:sz w:val="20"/>
          <w:szCs w:val="20"/>
        </w:rPr>
        <w:t>s</w:t>
      </w:r>
      <w:r w:rsidRPr="00B2590E">
        <w:rPr>
          <w:color w:val="auto"/>
          <w:sz w:val="20"/>
          <w:szCs w:val="20"/>
        </w:rPr>
        <w:t xml:space="preserve"> Resoluci</w:t>
      </w:r>
      <w:r w:rsidR="00273A63">
        <w:rPr>
          <w:color w:val="auto"/>
          <w:sz w:val="20"/>
          <w:szCs w:val="20"/>
        </w:rPr>
        <w:t>o</w:t>
      </w:r>
      <w:r w:rsidRPr="00B2590E">
        <w:rPr>
          <w:color w:val="auto"/>
          <w:sz w:val="20"/>
          <w:szCs w:val="20"/>
        </w:rPr>
        <w:t>n</w:t>
      </w:r>
      <w:r w:rsidR="00273A63">
        <w:rPr>
          <w:color w:val="auto"/>
          <w:sz w:val="20"/>
          <w:szCs w:val="20"/>
        </w:rPr>
        <w:t>es</w:t>
      </w:r>
      <w:r w:rsidRPr="00B2590E">
        <w:rPr>
          <w:color w:val="auto"/>
          <w:sz w:val="20"/>
          <w:szCs w:val="20"/>
        </w:rPr>
        <w:t xml:space="preserve"> de la Corte de 14 de marzo </w:t>
      </w:r>
      <w:r w:rsidR="00273A63">
        <w:rPr>
          <w:color w:val="auto"/>
          <w:sz w:val="20"/>
          <w:szCs w:val="20"/>
        </w:rPr>
        <w:t xml:space="preserve">y 26 de noviembre de </w:t>
      </w:r>
      <w:r w:rsidRPr="00B2590E">
        <w:rPr>
          <w:color w:val="auto"/>
          <w:sz w:val="20"/>
          <w:szCs w:val="20"/>
        </w:rPr>
        <w:t>2019.</w:t>
      </w:r>
    </w:p>
    <w:p w14:paraId="2A3EE0C5" w14:textId="131939BC" w:rsidR="00E77E31" w:rsidRDefault="00195F77" w:rsidP="00B2590E">
      <w:pPr>
        <w:pStyle w:val="Numberedparagraphs"/>
        <w:numPr>
          <w:ilvl w:val="0"/>
          <w:numId w:val="3"/>
        </w:numPr>
        <w:tabs>
          <w:tab w:val="num" w:pos="540"/>
          <w:tab w:val="left" w:pos="567"/>
        </w:tabs>
        <w:spacing w:before="120" w:after="120"/>
        <w:rPr>
          <w:color w:val="auto"/>
          <w:sz w:val="20"/>
          <w:szCs w:val="20"/>
        </w:rPr>
      </w:pPr>
      <w:r w:rsidRPr="00B2590E">
        <w:rPr>
          <w:color w:val="auto"/>
          <w:sz w:val="20"/>
          <w:szCs w:val="20"/>
        </w:rPr>
        <w:t>Requerir a la Secretaría de la Corte que notifique la presente Resolución a</w:t>
      </w:r>
      <w:r w:rsidR="00577F58">
        <w:rPr>
          <w:color w:val="auto"/>
          <w:sz w:val="20"/>
          <w:szCs w:val="20"/>
        </w:rPr>
        <w:t>l representante</w:t>
      </w:r>
      <w:r w:rsidRPr="00B2590E">
        <w:rPr>
          <w:color w:val="auto"/>
          <w:sz w:val="20"/>
          <w:szCs w:val="20"/>
        </w:rPr>
        <w:t>, al Estado de Paraguay y a la Comisión Interamericana Derechos Humanos.</w:t>
      </w:r>
    </w:p>
    <w:p w14:paraId="7B79816B" w14:textId="7F66D044" w:rsidR="00B84CB0" w:rsidRDefault="00B84CB0" w:rsidP="00B84CB0">
      <w:pPr>
        <w:pStyle w:val="Numberedparagraphs"/>
        <w:numPr>
          <w:ilvl w:val="0"/>
          <w:numId w:val="0"/>
        </w:numPr>
        <w:tabs>
          <w:tab w:val="left" w:pos="567"/>
        </w:tabs>
        <w:spacing w:before="120" w:after="120"/>
        <w:rPr>
          <w:color w:val="auto"/>
          <w:sz w:val="20"/>
          <w:szCs w:val="20"/>
        </w:rPr>
      </w:pPr>
    </w:p>
    <w:p w14:paraId="033962BB" w14:textId="77777777" w:rsidR="00B84CB0" w:rsidRPr="004B23C7" w:rsidRDefault="00B84CB0" w:rsidP="00B84CB0">
      <w:pPr>
        <w:keepNext/>
        <w:spacing w:after="120"/>
        <w:jc w:val="both"/>
        <w:outlineLvl w:val="0"/>
        <w:rPr>
          <w:rFonts w:eastAsia="Calibri" w:cs="Times"/>
          <w:lang w:val="es-ES" w:eastAsia="es-ES"/>
        </w:rPr>
      </w:pPr>
      <w:r w:rsidRPr="004B23C7">
        <w:rPr>
          <w:rFonts w:eastAsia="Times" w:cs="Courier New"/>
          <w:noProof/>
          <w:lang w:val="es-AR" w:eastAsia="es-ES"/>
        </w:rPr>
        <w:lastRenderedPageBreak/>
        <w:t xml:space="preserve">Corte IDH. </w:t>
      </w:r>
      <w:r w:rsidRPr="004B23C7">
        <w:rPr>
          <w:rFonts w:eastAsia="Times" w:cs="Times"/>
          <w:bCs/>
          <w:i/>
          <w:lang w:val="es-CR" w:eastAsia="es-ES"/>
        </w:rPr>
        <w:t xml:space="preserve">Asunto Cristina Arrom </w:t>
      </w:r>
      <w:proofErr w:type="spellStart"/>
      <w:r w:rsidRPr="004B23C7">
        <w:rPr>
          <w:rFonts w:eastAsia="Times" w:cs="Times"/>
          <w:bCs/>
          <w:i/>
          <w:lang w:val="es-CR" w:eastAsia="es-ES"/>
        </w:rPr>
        <w:t>Suhurt</w:t>
      </w:r>
      <w:proofErr w:type="spellEnd"/>
      <w:r w:rsidRPr="004B23C7">
        <w:rPr>
          <w:rFonts w:eastAsia="Times" w:cs="Times"/>
          <w:bCs/>
          <w:i/>
          <w:lang w:val="es-CR" w:eastAsia="es-ES"/>
        </w:rPr>
        <w:t xml:space="preserve"> y otros Vs. </w:t>
      </w:r>
      <w:r w:rsidRPr="00B84CB0">
        <w:rPr>
          <w:rFonts w:eastAsia="Times" w:cs="Times"/>
          <w:bCs/>
          <w:i/>
          <w:lang w:val="es-CR" w:eastAsia="es-ES"/>
        </w:rPr>
        <w:t>Paraguay</w:t>
      </w:r>
      <w:r w:rsidRPr="004B23C7">
        <w:rPr>
          <w:rFonts w:eastAsia="Times" w:cs="Times"/>
          <w:bCs/>
          <w:i/>
          <w:lang w:val="es-CR" w:eastAsia="es-ES"/>
        </w:rPr>
        <w:t>.</w:t>
      </w:r>
      <w:r w:rsidRPr="00B84CB0">
        <w:rPr>
          <w:rFonts w:eastAsia="Times" w:cs="Times"/>
          <w:bCs/>
          <w:i/>
          <w:lang w:val="es-CR" w:eastAsia="es-ES"/>
        </w:rPr>
        <w:t xml:space="preserve"> </w:t>
      </w:r>
      <w:r w:rsidRPr="004B23C7">
        <w:rPr>
          <w:rFonts w:eastAsia="Calibri" w:cs="Times"/>
          <w:lang w:val="es-ES" w:eastAsia="es-ES"/>
        </w:rPr>
        <w:t>Resolución de la Corte Interamericana de Derechos Humanos de 1</w:t>
      </w:r>
      <w:r>
        <w:rPr>
          <w:rFonts w:eastAsia="Calibri" w:cs="Times"/>
          <w:lang w:val="es-ES" w:eastAsia="es-ES"/>
        </w:rPr>
        <w:t>1</w:t>
      </w:r>
      <w:r w:rsidRPr="004B23C7">
        <w:rPr>
          <w:rFonts w:eastAsia="Calibri" w:cs="Times"/>
          <w:lang w:val="es-ES" w:eastAsia="es-ES"/>
        </w:rPr>
        <w:t xml:space="preserve"> de </w:t>
      </w:r>
      <w:r>
        <w:rPr>
          <w:rFonts w:eastAsia="Calibri" w:cs="Times"/>
          <w:lang w:val="es-ES" w:eastAsia="es-ES"/>
        </w:rPr>
        <w:t>marzo</w:t>
      </w:r>
      <w:r w:rsidRPr="004B23C7">
        <w:rPr>
          <w:rFonts w:eastAsia="Calibri" w:cs="Times"/>
          <w:lang w:val="es-ES_tradnl" w:eastAsia="es-ES"/>
        </w:rPr>
        <w:t xml:space="preserve"> de 202</w:t>
      </w:r>
      <w:r>
        <w:rPr>
          <w:rFonts w:eastAsia="Calibri" w:cs="Times"/>
          <w:lang w:val="es-ES_tradnl" w:eastAsia="es-ES"/>
        </w:rPr>
        <w:t>1</w:t>
      </w:r>
      <w:r w:rsidRPr="004B23C7">
        <w:rPr>
          <w:rFonts w:eastAsia="Calibri" w:cs="Times"/>
          <w:lang w:val="es-ES" w:eastAsia="es-ES"/>
        </w:rPr>
        <w:t xml:space="preserve">. </w:t>
      </w:r>
      <w:r w:rsidRPr="004B23C7">
        <w:rPr>
          <w:rFonts w:eastAsia="Calibri" w:cs="Times"/>
          <w:iCs/>
          <w:lang w:val="es-CR" w:eastAsia="es-ES"/>
        </w:rPr>
        <w:t>Resolución adoptada en San José de Costa Rica por medio de sesión virtual.</w:t>
      </w:r>
    </w:p>
    <w:p w14:paraId="4B8D4207" w14:textId="2024BC5E" w:rsidR="00B84CB0" w:rsidRPr="004B23C7" w:rsidRDefault="00B84CB0" w:rsidP="00B84CB0">
      <w:pPr>
        <w:rPr>
          <w:rFonts w:eastAsia="Calibri" w:cs="Arial"/>
          <w:lang w:val="es-CR"/>
        </w:rPr>
      </w:pPr>
    </w:p>
    <w:p w14:paraId="052AD2D4" w14:textId="77777777" w:rsidR="00B84CB0" w:rsidRPr="004B23C7" w:rsidRDefault="00B84CB0" w:rsidP="00B84CB0">
      <w:pPr>
        <w:rPr>
          <w:rFonts w:eastAsia="Calibri" w:cs="Arial"/>
          <w:lang w:val="es-ES"/>
        </w:rPr>
      </w:pPr>
    </w:p>
    <w:p w14:paraId="4AA8D551" w14:textId="77777777" w:rsidR="00B84CB0" w:rsidRPr="004B23C7" w:rsidRDefault="00B84CB0" w:rsidP="00B84CB0">
      <w:pPr>
        <w:jc w:val="center"/>
        <w:rPr>
          <w:rFonts w:eastAsia="Calibri" w:cs="Arial"/>
          <w:lang w:val="pt-BR"/>
        </w:rPr>
      </w:pPr>
      <w:r w:rsidRPr="004B23C7">
        <w:rPr>
          <w:rFonts w:eastAsia="Calibri" w:cs="Arial"/>
          <w:lang w:val="pt-BR"/>
        </w:rPr>
        <w:t xml:space="preserve">Elizabeth </w:t>
      </w:r>
      <w:proofErr w:type="spellStart"/>
      <w:r w:rsidRPr="004B23C7">
        <w:rPr>
          <w:rFonts w:eastAsia="Calibri" w:cs="Arial"/>
          <w:lang w:val="pt-BR"/>
        </w:rPr>
        <w:t>Odio</w:t>
      </w:r>
      <w:proofErr w:type="spellEnd"/>
      <w:r w:rsidRPr="004B23C7">
        <w:rPr>
          <w:rFonts w:eastAsia="Calibri" w:cs="Arial"/>
          <w:lang w:val="pt-BR"/>
        </w:rPr>
        <w:t xml:space="preserve"> Benito</w:t>
      </w:r>
    </w:p>
    <w:p w14:paraId="4A0C5FB0" w14:textId="77777777" w:rsidR="00B84CB0" w:rsidRPr="004B23C7" w:rsidRDefault="00B84CB0" w:rsidP="00B84CB0">
      <w:pPr>
        <w:jc w:val="center"/>
        <w:rPr>
          <w:rFonts w:eastAsia="Calibri" w:cs="Arial"/>
          <w:lang w:val="pt-BR"/>
        </w:rPr>
      </w:pPr>
      <w:r w:rsidRPr="004B23C7">
        <w:rPr>
          <w:rFonts w:eastAsia="Calibri" w:cs="Arial"/>
          <w:lang w:val="pt-BR"/>
        </w:rPr>
        <w:t>Presidenta</w:t>
      </w:r>
    </w:p>
    <w:p w14:paraId="12C626C9" w14:textId="77777777" w:rsidR="00B84CB0" w:rsidRPr="004B23C7" w:rsidRDefault="00B84CB0" w:rsidP="00B84CB0">
      <w:pPr>
        <w:jc w:val="both"/>
        <w:rPr>
          <w:rFonts w:eastAsia="Calibri" w:cs="Arial"/>
          <w:lang w:val="pt-BR"/>
        </w:rPr>
      </w:pPr>
    </w:p>
    <w:p w14:paraId="56CA9C4C" w14:textId="77777777" w:rsidR="00B84CB0" w:rsidRPr="004B23C7" w:rsidRDefault="00B84CB0" w:rsidP="00B84CB0">
      <w:pPr>
        <w:jc w:val="both"/>
        <w:rPr>
          <w:rFonts w:eastAsia="Calibri" w:cs="Arial"/>
          <w:lang w:val="pt-BR"/>
        </w:rPr>
      </w:pPr>
    </w:p>
    <w:p w14:paraId="35DB010D" w14:textId="77777777" w:rsidR="00B84CB0" w:rsidRPr="004B23C7" w:rsidRDefault="00B84CB0" w:rsidP="00B84CB0">
      <w:pPr>
        <w:jc w:val="both"/>
        <w:rPr>
          <w:rFonts w:eastAsia="Calibri" w:cs="Arial"/>
          <w:lang w:val="pt-BR"/>
        </w:rPr>
      </w:pPr>
    </w:p>
    <w:p w14:paraId="2DC429B7" w14:textId="3E84F9D7" w:rsidR="00B84CB0" w:rsidRPr="004B23C7" w:rsidRDefault="00B84CB0" w:rsidP="00B84CB0">
      <w:pPr>
        <w:rPr>
          <w:rFonts w:eastAsia="Calibri" w:cs="Arial"/>
          <w:lang w:val="pt-BR"/>
        </w:rPr>
      </w:pPr>
      <w:r w:rsidRPr="004B23C7">
        <w:rPr>
          <w:rFonts w:eastAsia="Calibri" w:cs="Arial"/>
          <w:lang w:val="pt-BR"/>
        </w:rPr>
        <w:t>L. Patricio Pazmiño Freire</w:t>
      </w:r>
      <w:r w:rsidRPr="004B23C7">
        <w:rPr>
          <w:rFonts w:eastAsia="Calibri" w:cs="Arial"/>
          <w:lang w:val="pt-BR"/>
        </w:rPr>
        <w:tab/>
      </w:r>
      <w:r w:rsidRPr="004B23C7">
        <w:rPr>
          <w:rFonts w:eastAsia="Calibri" w:cs="Arial"/>
          <w:lang w:val="pt-BR"/>
        </w:rPr>
        <w:tab/>
      </w:r>
      <w:r w:rsidRPr="004B23C7">
        <w:rPr>
          <w:rFonts w:eastAsia="Calibri" w:cs="Arial"/>
          <w:lang w:val="pt-BR"/>
        </w:rPr>
        <w:tab/>
      </w:r>
      <w:r w:rsidRPr="004B23C7">
        <w:rPr>
          <w:rFonts w:eastAsia="Calibri" w:cs="Arial"/>
          <w:lang w:val="pt-BR"/>
        </w:rPr>
        <w:tab/>
      </w:r>
      <w:r w:rsidRPr="004B23C7">
        <w:rPr>
          <w:rFonts w:eastAsia="Calibri" w:cs="Arial"/>
          <w:lang w:val="pt-BR"/>
        </w:rPr>
        <w:tab/>
        <w:t xml:space="preserve">                  Eduardo Vio Grossi</w:t>
      </w:r>
    </w:p>
    <w:p w14:paraId="03C32BD2" w14:textId="77777777" w:rsidR="00B84CB0" w:rsidRPr="004B23C7" w:rsidRDefault="00B84CB0" w:rsidP="00B84CB0">
      <w:pPr>
        <w:rPr>
          <w:rFonts w:eastAsia="Calibri" w:cs="Arial"/>
          <w:lang w:val="pt-BR"/>
        </w:rPr>
      </w:pPr>
    </w:p>
    <w:p w14:paraId="7174DBFF" w14:textId="77777777" w:rsidR="00B84CB0" w:rsidRPr="004B23C7" w:rsidRDefault="00B84CB0" w:rsidP="00B84CB0">
      <w:pPr>
        <w:rPr>
          <w:rFonts w:eastAsia="Calibri" w:cs="Arial"/>
          <w:lang w:val="pt-BR"/>
        </w:rPr>
      </w:pPr>
    </w:p>
    <w:p w14:paraId="2B28B522" w14:textId="77777777" w:rsidR="00B84CB0" w:rsidRPr="004B23C7" w:rsidRDefault="00B84CB0" w:rsidP="00B84CB0">
      <w:pPr>
        <w:jc w:val="both"/>
        <w:rPr>
          <w:rFonts w:eastAsia="Calibri" w:cs="Arial"/>
          <w:lang w:val="pt-BR"/>
        </w:rPr>
      </w:pPr>
    </w:p>
    <w:p w14:paraId="53B9979E" w14:textId="13332FBB" w:rsidR="00B84CB0" w:rsidRPr="004B23C7" w:rsidRDefault="00B84CB0" w:rsidP="00B84CB0">
      <w:pPr>
        <w:rPr>
          <w:rFonts w:eastAsia="Calibri" w:cs="Arial"/>
          <w:lang w:val="pt-BR"/>
        </w:rPr>
      </w:pPr>
      <w:r w:rsidRPr="004B23C7">
        <w:rPr>
          <w:rFonts w:eastAsia="Calibri" w:cs="Arial"/>
          <w:lang w:val="pt-BR"/>
        </w:rPr>
        <w:t xml:space="preserve">Humberto </w:t>
      </w:r>
      <w:proofErr w:type="spellStart"/>
      <w:r w:rsidRPr="004B23C7">
        <w:rPr>
          <w:rFonts w:eastAsia="Calibri" w:cs="Arial"/>
          <w:lang w:val="pt-BR"/>
        </w:rPr>
        <w:t>Antonio</w:t>
      </w:r>
      <w:proofErr w:type="spellEnd"/>
      <w:r w:rsidRPr="004B23C7">
        <w:rPr>
          <w:rFonts w:eastAsia="Calibri" w:cs="Arial"/>
          <w:lang w:val="pt-BR"/>
        </w:rPr>
        <w:t xml:space="preserve"> </w:t>
      </w:r>
      <w:proofErr w:type="spellStart"/>
      <w:r w:rsidRPr="004B23C7">
        <w:rPr>
          <w:rFonts w:eastAsia="Calibri" w:cs="Arial"/>
          <w:lang w:val="pt-BR"/>
        </w:rPr>
        <w:t>Sierra</w:t>
      </w:r>
      <w:proofErr w:type="spellEnd"/>
      <w:r w:rsidRPr="004B23C7">
        <w:rPr>
          <w:rFonts w:eastAsia="Calibri" w:cs="Arial"/>
          <w:lang w:val="pt-BR"/>
        </w:rPr>
        <w:t xml:space="preserve"> Porto</w:t>
      </w:r>
      <w:r w:rsidRPr="004B23C7">
        <w:rPr>
          <w:rFonts w:eastAsia="Calibri" w:cs="Arial"/>
          <w:lang w:val="pt-BR"/>
        </w:rPr>
        <w:tab/>
      </w:r>
      <w:r w:rsidRPr="004B23C7">
        <w:rPr>
          <w:rFonts w:eastAsia="Calibri" w:cs="Arial"/>
          <w:lang w:val="pt-BR"/>
        </w:rPr>
        <w:tab/>
      </w:r>
      <w:r w:rsidRPr="004B23C7">
        <w:rPr>
          <w:rFonts w:eastAsia="Calibri" w:cs="Arial"/>
          <w:lang w:val="pt-BR"/>
        </w:rPr>
        <w:tab/>
        <w:t xml:space="preserve">Eduardo Ferrer </w:t>
      </w:r>
      <w:proofErr w:type="spellStart"/>
      <w:r w:rsidRPr="004B23C7">
        <w:rPr>
          <w:rFonts w:eastAsia="Calibri" w:cs="Arial"/>
          <w:lang w:val="pt-BR"/>
        </w:rPr>
        <w:t>Mac-Gregor</w:t>
      </w:r>
      <w:proofErr w:type="spellEnd"/>
      <w:r w:rsidRPr="004B23C7">
        <w:rPr>
          <w:rFonts w:eastAsia="Calibri" w:cs="Arial"/>
          <w:lang w:val="pt-BR"/>
        </w:rPr>
        <w:t xml:space="preserve"> </w:t>
      </w:r>
      <w:proofErr w:type="spellStart"/>
      <w:r w:rsidRPr="004B23C7">
        <w:rPr>
          <w:rFonts w:eastAsia="Calibri" w:cs="Arial"/>
          <w:lang w:val="pt-BR"/>
        </w:rPr>
        <w:t>Poisot</w:t>
      </w:r>
      <w:proofErr w:type="spellEnd"/>
    </w:p>
    <w:p w14:paraId="4C7BB8F0" w14:textId="7B877420" w:rsidR="00B84CB0" w:rsidRPr="004B23C7" w:rsidRDefault="00B84CB0" w:rsidP="00B84CB0">
      <w:pPr>
        <w:rPr>
          <w:rFonts w:eastAsia="Calibri" w:cs="Arial"/>
          <w:lang w:val="pt-BR"/>
        </w:rPr>
      </w:pPr>
    </w:p>
    <w:p w14:paraId="4172B8E9" w14:textId="77777777" w:rsidR="00B84CB0" w:rsidRPr="004B23C7" w:rsidRDefault="00B84CB0" w:rsidP="00B84CB0">
      <w:pPr>
        <w:rPr>
          <w:rFonts w:eastAsia="Calibri" w:cs="Arial"/>
          <w:lang w:val="pt-BR"/>
        </w:rPr>
      </w:pPr>
    </w:p>
    <w:p w14:paraId="692CA7CC" w14:textId="167EDEF9" w:rsidR="00B84CB0" w:rsidRPr="004B23C7" w:rsidRDefault="00B84CB0" w:rsidP="00B84CB0">
      <w:pPr>
        <w:rPr>
          <w:rFonts w:eastAsia="Calibri" w:cs="Arial"/>
          <w:lang w:val="pt-BR"/>
        </w:rPr>
      </w:pPr>
    </w:p>
    <w:p w14:paraId="712E1F30" w14:textId="77777777" w:rsidR="00B84CB0" w:rsidRPr="004B23C7" w:rsidRDefault="00B84CB0" w:rsidP="00B84CB0">
      <w:pPr>
        <w:jc w:val="center"/>
        <w:rPr>
          <w:rFonts w:eastAsia="Calibri" w:cs="Arial"/>
          <w:lang w:val="pt-BR"/>
        </w:rPr>
      </w:pPr>
      <w:r w:rsidRPr="004B23C7">
        <w:rPr>
          <w:rFonts w:eastAsia="Calibri" w:cs="Arial"/>
          <w:lang w:val="pt-BR"/>
        </w:rPr>
        <w:t>Ricardo C. Pérez Manrique</w:t>
      </w:r>
    </w:p>
    <w:p w14:paraId="116F6BBA" w14:textId="77777777" w:rsidR="00B84CB0" w:rsidRPr="004B23C7" w:rsidRDefault="00B84CB0" w:rsidP="00B84CB0">
      <w:pPr>
        <w:jc w:val="both"/>
        <w:rPr>
          <w:rFonts w:eastAsia="Calibri" w:cs="Arial"/>
          <w:lang w:val="pt-BR"/>
        </w:rPr>
      </w:pPr>
    </w:p>
    <w:p w14:paraId="7A8478A3" w14:textId="77777777" w:rsidR="00B84CB0" w:rsidRPr="004B23C7" w:rsidRDefault="00B84CB0" w:rsidP="00B84CB0">
      <w:pPr>
        <w:jc w:val="both"/>
        <w:rPr>
          <w:rFonts w:eastAsia="Calibri" w:cs="Arial"/>
          <w:lang w:val="pt-BR"/>
        </w:rPr>
      </w:pPr>
    </w:p>
    <w:p w14:paraId="7BAF1ABF" w14:textId="77777777" w:rsidR="00B84CB0" w:rsidRPr="004B23C7" w:rsidRDefault="00B84CB0" w:rsidP="00B84CB0">
      <w:pPr>
        <w:jc w:val="center"/>
        <w:rPr>
          <w:rFonts w:eastAsia="Calibri" w:cs="Arial"/>
          <w:lang w:val="pt-BR"/>
        </w:rPr>
      </w:pPr>
      <w:r w:rsidRPr="004B23C7">
        <w:rPr>
          <w:rFonts w:eastAsia="Calibri" w:cs="Arial"/>
          <w:lang w:val="pt-BR"/>
        </w:rPr>
        <w:t>Pablo Saavedra Alessandri</w:t>
      </w:r>
    </w:p>
    <w:p w14:paraId="07A1FA4A" w14:textId="77777777" w:rsidR="00B84CB0" w:rsidRPr="004B23C7" w:rsidRDefault="00B84CB0" w:rsidP="00B84CB0">
      <w:pPr>
        <w:jc w:val="center"/>
        <w:rPr>
          <w:rFonts w:eastAsia="Calibri" w:cs="Arial"/>
          <w:lang w:val="es-CR"/>
        </w:rPr>
      </w:pPr>
      <w:r w:rsidRPr="004B23C7">
        <w:rPr>
          <w:rFonts w:eastAsia="Calibri" w:cs="Arial"/>
          <w:lang w:val="es-CR"/>
        </w:rPr>
        <w:t>Secretario</w:t>
      </w:r>
    </w:p>
    <w:p w14:paraId="2744ADAD" w14:textId="1C3CA6F0" w:rsidR="00B84CB0" w:rsidRPr="004B23C7" w:rsidRDefault="00B84CB0" w:rsidP="00B84CB0">
      <w:pPr>
        <w:jc w:val="both"/>
        <w:rPr>
          <w:rFonts w:eastAsia="Calibri" w:cs="Arial"/>
          <w:lang w:val="es-CR"/>
        </w:rPr>
      </w:pPr>
      <w:r w:rsidRPr="004B23C7">
        <w:rPr>
          <w:rFonts w:eastAsia="Calibri" w:cs="Arial"/>
          <w:lang w:val="es-CR"/>
        </w:rPr>
        <w:t>Comuníquese y ejecútese,</w:t>
      </w:r>
    </w:p>
    <w:p w14:paraId="10C7A05D" w14:textId="77777777" w:rsidR="00B84CB0" w:rsidRPr="004B23C7" w:rsidRDefault="00B84CB0" w:rsidP="00B84CB0">
      <w:pPr>
        <w:jc w:val="both"/>
        <w:rPr>
          <w:rFonts w:eastAsia="Calibri" w:cs="Arial"/>
          <w:lang w:val="es-CR"/>
        </w:rPr>
      </w:pPr>
    </w:p>
    <w:p w14:paraId="2E350FB5" w14:textId="77777777" w:rsidR="00B84CB0" w:rsidRPr="004B23C7" w:rsidRDefault="00B84CB0" w:rsidP="00B84CB0">
      <w:pPr>
        <w:ind w:left="5664"/>
        <w:jc w:val="center"/>
        <w:rPr>
          <w:rFonts w:eastAsia="Calibri" w:cs="Arial"/>
          <w:lang w:val="es-CR"/>
        </w:rPr>
      </w:pPr>
      <w:r w:rsidRPr="004B23C7">
        <w:rPr>
          <w:rFonts w:eastAsia="Calibri" w:cs="Arial"/>
          <w:lang w:val="es-CR"/>
        </w:rPr>
        <w:t>Elizabeth Odio Benito</w:t>
      </w:r>
    </w:p>
    <w:p w14:paraId="44A8651A" w14:textId="77777777" w:rsidR="00B84CB0" w:rsidRPr="004B23C7" w:rsidRDefault="00B84CB0" w:rsidP="00B84CB0">
      <w:pPr>
        <w:ind w:left="5664"/>
        <w:jc w:val="center"/>
        <w:rPr>
          <w:rFonts w:eastAsia="Calibri" w:cs="Arial"/>
          <w:lang w:val="pt-BR"/>
        </w:rPr>
      </w:pPr>
      <w:r w:rsidRPr="004B23C7">
        <w:rPr>
          <w:rFonts w:eastAsia="Calibri" w:cs="Arial"/>
          <w:lang w:val="pt-BR"/>
        </w:rPr>
        <w:t>Presidenta</w:t>
      </w:r>
    </w:p>
    <w:p w14:paraId="3C660973" w14:textId="77777777" w:rsidR="00B84CB0" w:rsidRPr="004B23C7" w:rsidRDefault="00B84CB0" w:rsidP="00B84CB0">
      <w:pPr>
        <w:jc w:val="both"/>
        <w:rPr>
          <w:rFonts w:eastAsia="Calibri" w:cs="Arial"/>
          <w:lang w:val="pt-BR"/>
        </w:rPr>
      </w:pPr>
    </w:p>
    <w:p w14:paraId="318542F1" w14:textId="77777777" w:rsidR="00B84CB0" w:rsidRPr="004B23C7" w:rsidRDefault="00B84CB0" w:rsidP="00B84CB0">
      <w:pPr>
        <w:jc w:val="both"/>
        <w:rPr>
          <w:rFonts w:eastAsia="Calibri" w:cs="Arial"/>
          <w:lang w:val="es-ES"/>
        </w:rPr>
      </w:pPr>
      <w:r w:rsidRPr="004B23C7">
        <w:rPr>
          <w:rFonts w:eastAsia="Calibri" w:cs="Arial"/>
          <w:lang w:val="es-ES"/>
        </w:rPr>
        <w:t>Pablo Saavedra Alessandri</w:t>
      </w:r>
    </w:p>
    <w:p w14:paraId="6065D9F0" w14:textId="77777777" w:rsidR="00B84CB0" w:rsidRPr="004B23C7" w:rsidRDefault="00B84CB0" w:rsidP="00B84CB0">
      <w:pPr>
        <w:rPr>
          <w:rFonts w:eastAsia="Calibri" w:cs="Arial"/>
        </w:rPr>
      </w:pPr>
      <w:r w:rsidRPr="004B23C7">
        <w:rPr>
          <w:rFonts w:eastAsia="Calibri" w:cs="Arial"/>
          <w:lang w:val="es-ES"/>
        </w:rPr>
        <w:tab/>
      </w:r>
      <w:proofErr w:type="spellStart"/>
      <w:r w:rsidRPr="004B23C7">
        <w:rPr>
          <w:rFonts w:eastAsia="Calibri" w:cs="Arial"/>
        </w:rPr>
        <w:t>Secretario</w:t>
      </w:r>
      <w:proofErr w:type="spellEnd"/>
    </w:p>
    <w:sectPr w:rsidR="00B84CB0" w:rsidRPr="004B23C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8E4CA" w14:textId="77777777" w:rsidR="00BC7DE5" w:rsidRDefault="00BC7DE5" w:rsidP="00195F77">
      <w:r>
        <w:separator/>
      </w:r>
    </w:p>
  </w:endnote>
  <w:endnote w:type="continuationSeparator" w:id="0">
    <w:p w14:paraId="084609FA" w14:textId="77777777" w:rsidR="00BC7DE5" w:rsidRDefault="00BC7DE5" w:rsidP="0019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32856"/>
      <w:docPartObj>
        <w:docPartGallery w:val="Page Numbers (Bottom of Page)"/>
        <w:docPartUnique/>
      </w:docPartObj>
    </w:sdtPr>
    <w:sdtEndPr/>
    <w:sdtContent>
      <w:p w14:paraId="14CD3DC0" w14:textId="13FEBBA0" w:rsidR="00273A63" w:rsidRDefault="00273A63">
        <w:pPr>
          <w:pStyle w:val="Piedepgina"/>
          <w:jc w:val="center"/>
        </w:pPr>
        <w:r>
          <w:fldChar w:fldCharType="begin"/>
        </w:r>
        <w:r>
          <w:instrText>PAGE   \* MERGEFORMAT</w:instrText>
        </w:r>
        <w:r>
          <w:fldChar w:fldCharType="separate"/>
        </w:r>
        <w:r w:rsidR="00577F58" w:rsidRPr="00577F58">
          <w:rPr>
            <w:noProof/>
            <w:lang w:val="es-ES"/>
          </w:rPr>
          <w:t>4</w:t>
        </w:r>
        <w:r>
          <w:fldChar w:fldCharType="end"/>
        </w:r>
      </w:p>
    </w:sdtContent>
  </w:sdt>
  <w:p w14:paraId="20C6AD3E" w14:textId="77777777" w:rsidR="00273A63" w:rsidRDefault="00273A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CEEB7" w14:textId="77777777" w:rsidR="00BC7DE5" w:rsidRDefault="00BC7DE5" w:rsidP="00195F77">
      <w:r>
        <w:separator/>
      </w:r>
    </w:p>
  </w:footnote>
  <w:footnote w:type="continuationSeparator" w:id="0">
    <w:p w14:paraId="0E2EBDA3" w14:textId="77777777" w:rsidR="00BC7DE5" w:rsidRDefault="00BC7DE5" w:rsidP="00195F77">
      <w:r>
        <w:continuationSeparator/>
      </w:r>
    </w:p>
  </w:footnote>
  <w:footnote w:id="1">
    <w:p w14:paraId="7B6BC48A" w14:textId="0C9ECCB4" w:rsidR="00195F77" w:rsidRPr="00E031F4" w:rsidRDefault="00195F77" w:rsidP="00E031F4">
      <w:pPr>
        <w:tabs>
          <w:tab w:val="left" w:pos="567"/>
        </w:tabs>
        <w:spacing w:before="120" w:after="120"/>
        <w:jc w:val="both"/>
        <w:rPr>
          <w:sz w:val="16"/>
          <w:szCs w:val="16"/>
          <w:lang w:val="es-CR"/>
        </w:rPr>
      </w:pPr>
      <w:r w:rsidRPr="00E031F4">
        <w:rPr>
          <w:rStyle w:val="Refdenotaalpie"/>
          <w:rFonts w:eastAsia="MS Mincho"/>
          <w:sz w:val="16"/>
          <w:szCs w:val="16"/>
          <w:lang w:val="es-CR"/>
        </w:rPr>
        <w:t>*</w:t>
      </w:r>
      <w:r w:rsidRPr="00E031F4">
        <w:rPr>
          <w:sz w:val="16"/>
          <w:szCs w:val="16"/>
          <w:lang w:val="es-CR"/>
        </w:rPr>
        <w:t xml:space="preserve"> </w:t>
      </w:r>
      <w:r w:rsidRPr="00E031F4">
        <w:rPr>
          <w:sz w:val="16"/>
          <w:szCs w:val="16"/>
          <w:lang w:val="es-CR"/>
        </w:rPr>
        <w:tab/>
        <w:t>El Juez Eugenio Raúl Zaffaroni se excusó de participar en el presente caso, conforme a lo dispuesto en el artículo 19.2 del Estatuto de la Corte y 21 de su Reglamento, lo cual fue aceptado por l</w:t>
      </w:r>
      <w:r w:rsidR="00B22868">
        <w:rPr>
          <w:sz w:val="16"/>
          <w:szCs w:val="16"/>
          <w:lang w:val="es-CR"/>
        </w:rPr>
        <w:t>a</w:t>
      </w:r>
      <w:r w:rsidRPr="00E031F4">
        <w:rPr>
          <w:sz w:val="16"/>
          <w:szCs w:val="16"/>
          <w:lang w:val="es-CR"/>
        </w:rPr>
        <w:t xml:space="preserve"> Presiden</w:t>
      </w:r>
      <w:r w:rsidR="00B22868">
        <w:rPr>
          <w:sz w:val="16"/>
          <w:szCs w:val="16"/>
          <w:lang w:val="es-CR"/>
        </w:rPr>
        <w:t>cia</w:t>
      </w:r>
      <w:r w:rsidRPr="00E031F4">
        <w:rPr>
          <w:sz w:val="16"/>
          <w:szCs w:val="16"/>
          <w:lang w:val="es-CR"/>
        </w:rPr>
        <w:t xml:space="preserve"> mediante resolución de 16 de enero de 2019. </w:t>
      </w:r>
      <w:r w:rsidR="000B79CE">
        <w:rPr>
          <w:sz w:val="16"/>
          <w:szCs w:val="16"/>
          <w:lang w:val="es-CR"/>
        </w:rPr>
        <w:t>Por lo tanto, no participó en la deliberación y firma de esta Resolución.</w:t>
      </w:r>
    </w:p>
  </w:footnote>
  <w:footnote w:id="2">
    <w:p w14:paraId="705FCCCA" w14:textId="4DC68A11" w:rsidR="00195F77" w:rsidRPr="00E031F4" w:rsidRDefault="00195F77" w:rsidP="00E031F4">
      <w:pPr>
        <w:pStyle w:val="Textonotapie"/>
        <w:tabs>
          <w:tab w:val="left" w:pos="567"/>
        </w:tabs>
        <w:spacing w:before="120" w:after="120"/>
        <w:jc w:val="both"/>
        <w:rPr>
          <w:b/>
          <w:sz w:val="16"/>
          <w:szCs w:val="16"/>
          <w:lang w:val="es-CR"/>
        </w:rPr>
      </w:pPr>
      <w:r w:rsidRPr="00E031F4">
        <w:rPr>
          <w:rStyle w:val="Refdenotaalpie"/>
          <w:rFonts w:eastAsia="MS Mincho"/>
          <w:sz w:val="16"/>
          <w:szCs w:val="16"/>
        </w:rPr>
        <w:footnoteRef/>
      </w:r>
      <w:r w:rsidRPr="00E031F4">
        <w:rPr>
          <w:sz w:val="16"/>
          <w:szCs w:val="16"/>
          <w:lang w:val="es-CR"/>
        </w:rPr>
        <w:t xml:space="preserve">  </w:t>
      </w:r>
      <w:r w:rsidRPr="00E031F4">
        <w:rPr>
          <w:sz w:val="16"/>
          <w:szCs w:val="16"/>
          <w:lang w:val="es-CR"/>
        </w:rPr>
        <w:tab/>
      </w:r>
      <w:r w:rsidRPr="00E031F4">
        <w:rPr>
          <w:i/>
          <w:sz w:val="16"/>
          <w:szCs w:val="16"/>
          <w:lang w:val="es-CR"/>
        </w:rPr>
        <w:t>Cfr.</w:t>
      </w:r>
      <w:r w:rsidRPr="00E031F4">
        <w:rPr>
          <w:sz w:val="16"/>
          <w:szCs w:val="16"/>
          <w:lang w:val="es-CR"/>
        </w:rPr>
        <w:t xml:space="preserve"> </w:t>
      </w:r>
      <w:r w:rsidRPr="00E031F4">
        <w:rPr>
          <w:i/>
          <w:sz w:val="16"/>
          <w:szCs w:val="16"/>
          <w:lang w:val="es-CR"/>
        </w:rPr>
        <w:t xml:space="preserve">Caso Arrom </w:t>
      </w:r>
      <w:proofErr w:type="spellStart"/>
      <w:r w:rsidRPr="00E031F4">
        <w:rPr>
          <w:i/>
          <w:sz w:val="16"/>
          <w:szCs w:val="16"/>
          <w:lang w:val="es-CR"/>
        </w:rPr>
        <w:t>Suhurt</w:t>
      </w:r>
      <w:proofErr w:type="spellEnd"/>
      <w:r w:rsidRPr="00E031F4">
        <w:rPr>
          <w:i/>
          <w:sz w:val="16"/>
          <w:szCs w:val="16"/>
          <w:lang w:val="es-CR"/>
        </w:rPr>
        <w:t xml:space="preserve"> y otros</w:t>
      </w:r>
      <w:r w:rsidRPr="00E031F4">
        <w:rPr>
          <w:sz w:val="16"/>
          <w:szCs w:val="16"/>
          <w:lang w:val="es-CR"/>
        </w:rPr>
        <w:t xml:space="preserve">. Solicitud respecto a Paraguay. Resolución de la Corte Interamericana de Derechos Humanos de 14 de marzo de 2019. Disponible en: </w:t>
      </w:r>
      <w:r w:rsidR="00BC7DE5">
        <w:fldChar w:fldCharType="begin"/>
      </w:r>
      <w:r w:rsidR="00BC7DE5" w:rsidRPr="00297118">
        <w:rPr>
          <w:lang w:val="es-AR"/>
        </w:rPr>
        <w:instrText xml:space="preserve"> HYPERLINK "http://www.corteidh.or.cr/docs/asuntos/arrom_14_03_2019.pdf" </w:instrText>
      </w:r>
      <w:r w:rsidR="00BC7DE5">
        <w:fldChar w:fldCharType="separate"/>
      </w:r>
      <w:r w:rsidRPr="00E031F4">
        <w:rPr>
          <w:rStyle w:val="Hipervnculo"/>
          <w:sz w:val="16"/>
          <w:szCs w:val="16"/>
          <w:lang w:val="es-CR"/>
        </w:rPr>
        <w:t>http://www.corteidh.or.cr/docs/asuntos/arrom_14_03_2019.pdf</w:t>
      </w:r>
      <w:r w:rsidR="00BC7DE5">
        <w:rPr>
          <w:rStyle w:val="Hipervnculo"/>
          <w:sz w:val="16"/>
          <w:szCs w:val="16"/>
          <w:lang w:val="es-CR"/>
        </w:rPr>
        <w:fldChar w:fldCharType="end"/>
      </w:r>
      <w:r w:rsidR="007405DD" w:rsidRPr="00E031F4">
        <w:rPr>
          <w:sz w:val="16"/>
          <w:szCs w:val="16"/>
          <w:lang w:val="es-CR"/>
        </w:rPr>
        <w:t xml:space="preserve">, y </w:t>
      </w:r>
      <w:r w:rsidR="0090770D" w:rsidRPr="00E031F4">
        <w:rPr>
          <w:i/>
          <w:sz w:val="16"/>
          <w:szCs w:val="16"/>
          <w:lang w:val="es-CR"/>
        </w:rPr>
        <w:t>Asunto Cristina</w:t>
      </w:r>
      <w:r w:rsidR="007405DD" w:rsidRPr="00E031F4">
        <w:rPr>
          <w:i/>
          <w:sz w:val="16"/>
          <w:szCs w:val="16"/>
          <w:lang w:val="es-CR"/>
        </w:rPr>
        <w:t xml:space="preserve"> Arrom </w:t>
      </w:r>
      <w:proofErr w:type="spellStart"/>
      <w:r w:rsidR="007405DD" w:rsidRPr="00E031F4">
        <w:rPr>
          <w:i/>
          <w:sz w:val="16"/>
          <w:szCs w:val="16"/>
          <w:lang w:val="es-CR"/>
        </w:rPr>
        <w:t>Suhurt</w:t>
      </w:r>
      <w:proofErr w:type="spellEnd"/>
      <w:r w:rsidR="007405DD" w:rsidRPr="00E031F4">
        <w:rPr>
          <w:i/>
          <w:sz w:val="16"/>
          <w:szCs w:val="16"/>
          <w:lang w:val="es-CR"/>
        </w:rPr>
        <w:t xml:space="preserve"> y otros</w:t>
      </w:r>
      <w:r w:rsidR="007405DD" w:rsidRPr="00E031F4">
        <w:rPr>
          <w:sz w:val="16"/>
          <w:szCs w:val="16"/>
          <w:lang w:val="es-CR"/>
        </w:rPr>
        <w:t xml:space="preserve">. Solicitud respecto a Paraguay. Resolución de la Corte Interamericana de Derechos Humanos de 26 de noviembre de 2019. Disponible en: </w:t>
      </w:r>
      <w:r w:rsidR="00BC7DE5">
        <w:fldChar w:fldCharType="begin"/>
      </w:r>
      <w:r w:rsidR="00BC7DE5" w:rsidRPr="00297118">
        <w:rPr>
          <w:lang w:val="es-AR"/>
        </w:rPr>
        <w:instrText xml:space="preserve"> HYPERLINK "http://www.corteidh.or.cr/docs/asuntos/arrom_26_11_19.docx" </w:instrText>
      </w:r>
      <w:r w:rsidR="00BC7DE5">
        <w:fldChar w:fldCharType="separate"/>
      </w:r>
      <w:r w:rsidR="00961195" w:rsidRPr="00E031F4">
        <w:rPr>
          <w:rStyle w:val="Hipervnculo"/>
          <w:sz w:val="16"/>
          <w:szCs w:val="16"/>
          <w:lang w:val="es-CR"/>
        </w:rPr>
        <w:t>http://www.corteidh.or.cr/docs/asuntos/arrom_26_11_19.docx</w:t>
      </w:r>
      <w:r w:rsidR="00BC7DE5">
        <w:rPr>
          <w:rStyle w:val="Hipervnculo"/>
          <w:sz w:val="16"/>
          <w:szCs w:val="16"/>
          <w:lang w:val="es-CR"/>
        </w:rPr>
        <w:fldChar w:fldCharType="end"/>
      </w:r>
    </w:p>
  </w:footnote>
  <w:footnote w:id="3">
    <w:p w14:paraId="26406422" w14:textId="77777777" w:rsidR="00195F77" w:rsidRPr="00E031F4" w:rsidRDefault="00195F77" w:rsidP="00E031F4">
      <w:pPr>
        <w:pStyle w:val="Textonotapie"/>
        <w:tabs>
          <w:tab w:val="left" w:pos="567"/>
        </w:tabs>
        <w:spacing w:before="120" w:after="120"/>
        <w:jc w:val="both"/>
        <w:rPr>
          <w:sz w:val="16"/>
          <w:szCs w:val="16"/>
          <w:lang w:val="es-CR"/>
        </w:rPr>
      </w:pPr>
      <w:r w:rsidRPr="00E031F4">
        <w:rPr>
          <w:rStyle w:val="Refdenotaalpie"/>
          <w:rFonts w:eastAsia="MS Mincho"/>
          <w:sz w:val="16"/>
          <w:szCs w:val="16"/>
        </w:rPr>
        <w:footnoteRef/>
      </w:r>
      <w:r w:rsidRPr="00E031F4">
        <w:rPr>
          <w:sz w:val="16"/>
          <w:szCs w:val="16"/>
          <w:lang w:val="es-CR"/>
        </w:rPr>
        <w:t xml:space="preserve"> </w:t>
      </w:r>
      <w:r w:rsidRPr="00E031F4">
        <w:rPr>
          <w:sz w:val="16"/>
          <w:szCs w:val="16"/>
          <w:lang w:val="es-CR"/>
        </w:rPr>
        <w:tab/>
        <w:t>De acuerdo con el artículo 53 del Reglamento de la Corte “[l]os Estados no podrán enjuiciar a las presuntas víctimas, a los testigos y a los peritos, a sus representantes o asesores legales ni ejercer represalias contra ellos o sus familiares, a causa de sus declaraciones, dictámenes rendidos o su defensa legal ante la Corte”.</w:t>
      </w:r>
    </w:p>
  </w:footnote>
  <w:footnote w:id="4">
    <w:p w14:paraId="0F4E44D8" w14:textId="06080070" w:rsidR="00195F77" w:rsidRPr="00E031F4" w:rsidRDefault="00195F77" w:rsidP="00E031F4">
      <w:pPr>
        <w:pStyle w:val="Textonotapie"/>
        <w:tabs>
          <w:tab w:val="left" w:pos="567"/>
        </w:tabs>
        <w:spacing w:before="120" w:after="120"/>
        <w:jc w:val="both"/>
        <w:rPr>
          <w:i/>
          <w:sz w:val="16"/>
          <w:szCs w:val="16"/>
          <w:lang w:val="es-CR"/>
        </w:rPr>
      </w:pPr>
      <w:r w:rsidRPr="00E031F4">
        <w:rPr>
          <w:rStyle w:val="Refdenotaalpie"/>
          <w:rFonts w:eastAsia="MS Mincho"/>
          <w:sz w:val="16"/>
          <w:szCs w:val="16"/>
        </w:rPr>
        <w:footnoteRef/>
      </w:r>
      <w:r w:rsidRPr="00E031F4">
        <w:rPr>
          <w:sz w:val="16"/>
          <w:szCs w:val="16"/>
          <w:lang w:val="es-CR"/>
        </w:rPr>
        <w:t xml:space="preserve"> </w:t>
      </w:r>
      <w:r w:rsidRPr="00E031F4">
        <w:rPr>
          <w:sz w:val="16"/>
          <w:szCs w:val="16"/>
          <w:lang w:val="es-CR"/>
        </w:rPr>
        <w:tab/>
      </w:r>
      <w:r w:rsidRPr="00E031F4">
        <w:rPr>
          <w:rStyle w:val="Textoennegrita"/>
          <w:b w:val="0"/>
          <w:i/>
          <w:color w:val="000000"/>
          <w:sz w:val="16"/>
          <w:szCs w:val="16"/>
          <w:lang w:val="es-CR"/>
        </w:rPr>
        <w:t>Caso de Personas Dominicanas y Haitianas Expulsadas Vs. República Dominicana. Excepciones Preliminares, Fondo, Reparaciones y Costas</w:t>
      </w:r>
      <w:r w:rsidRPr="00E031F4">
        <w:rPr>
          <w:rStyle w:val="Textoennegrita"/>
          <w:b w:val="0"/>
          <w:color w:val="000000"/>
          <w:sz w:val="16"/>
          <w:szCs w:val="16"/>
          <w:lang w:val="es-CR"/>
        </w:rPr>
        <w:t>. Sentencia de 28 de agosto de 2014. Serie C No. 282</w:t>
      </w:r>
      <w:r w:rsidRPr="008F53CB">
        <w:rPr>
          <w:sz w:val="16"/>
          <w:szCs w:val="16"/>
          <w:lang w:val="es-CR"/>
        </w:rPr>
        <w:t>,</w:t>
      </w:r>
      <w:r w:rsidRPr="00E031F4">
        <w:rPr>
          <w:sz w:val="16"/>
          <w:szCs w:val="16"/>
          <w:lang w:val="es-CR"/>
        </w:rPr>
        <w:t xml:space="preserve"> párr. 456, y </w:t>
      </w:r>
      <w:r w:rsidRPr="00E031F4">
        <w:rPr>
          <w:i/>
          <w:sz w:val="16"/>
          <w:szCs w:val="16"/>
          <w:lang w:val="es-CR"/>
        </w:rPr>
        <w:t>Caso I.V. Vs. Bolivia. Rechazo de la Solicitud de Medidas Provisionales</w:t>
      </w:r>
      <w:r w:rsidRPr="00E031F4">
        <w:rPr>
          <w:sz w:val="16"/>
          <w:szCs w:val="16"/>
          <w:lang w:val="es-CR"/>
        </w:rPr>
        <w:t xml:space="preserve">. Resolución de la Corte Interamericana de Derechos Humanos de 25 de mayo de 2017, </w:t>
      </w:r>
      <w:r w:rsidR="00AA7104">
        <w:rPr>
          <w:sz w:val="16"/>
          <w:szCs w:val="16"/>
          <w:lang w:val="es-CR"/>
        </w:rPr>
        <w:t>c</w:t>
      </w:r>
      <w:r w:rsidR="00AA7104" w:rsidRPr="00E031F4">
        <w:rPr>
          <w:sz w:val="16"/>
          <w:szCs w:val="16"/>
          <w:lang w:val="es-CR"/>
        </w:rPr>
        <w:t xml:space="preserve">onsiderando </w:t>
      </w:r>
      <w:r w:rsidRPr="00E031F4">
        <w:rPr>
          <w:sz w:val="16"/>
          <w:szCs w:val="16"/>
          <w:lang w:val="es-CR"/>
        </w:rPr>
        <w:t>14.</w:t>
      </w:r>
    </w:p>
  </w:footnote>
  <w:footnote w:id="5">
    <w:p w14:paraId="48B3D9CD" w14:textId="0A633727" w:rsidR="00195F77" w:rsidRPr="00E031F4" w:rsidRDefault="00195F77" w:rsidP="00E031F4">
      <w:pPr>
        <w:pStyle w:val="Textonotapie"/>
        <w:tabs>
          <w:tab w:val="left" w:pos="567"/>
        </w:tabs>
        <w:spacing w:before="120" w:after="120"/>
        <w:jc w:val="both"/>
        <w:rPr>
          <w:sz w:val="16"/>
          <w:szCs w:val="16"/>
          <w:lang w:val="es-CR"/>
        </w:rPr>
      </w:pPr>
      <w:r w:rsidRPr="00E031F4">
        <w:rPr>
          <w:rStyle w:val="Refdenotaalpie"/>
          <w:rFonts w:eastAsia="MS Mincho"/>
          <w:sz w:val="16"/>
          <w:szCs w:val="16"/>
        </w:rPr>
        <w:footnoteRef/>
      </w:r>
      <w:r w:rsidRPr="00E031F4">
        <w:rPr>
          <w:sz w:val="16"/>
          <w:szCs w:val="16"/>
          <w:lang w:val="es-CR"/>
        </w:rPr>
        <w:t xml:space="preserve"> </w:t>
      </w:r>
      <w:r w:rsidRPr="00E031F4">
        <w:rPr>
          <w:sz w:val="16"/>
          <w:szCs w:val="16"/>
          <w:lang w:val="es-CR"/>
        </w:rPr>
        <w:tab/>
      </w:r>
      <w:r w:rsidRPr="00E031F4">
        <w:rPr>
          <w:rFonts w:cs="Arial"/>
          <w:i/>
          <w:color w:val="222222"/>
          <w:sz w:val="16"/>
          <w:szCs w:val="16"/>
          <w:lang w:val="es-CR"/>
        </w:rPr>
        <w:t>Cfr</w:t>
      </w:r>
      <w:r w:rsidRPr="00E031F4">
        <w:rPr>
          <w:rFonts w:cs="Arial"/>
          <w:color w:val="222222"/>
          <w:sz w:val="16"/>
          <w:szCs w:val="16"/>
          <w:lang w:val="es-CR"/>
        </w:rPr>
        <w:t xml:space="preserve">. </w:t>
      </w:r>
      <w:r w:rsidRPr="00E031F4">
        <w:rPr>
          <w:i/>
          <w:sz w:val="16"/>
          <w:szCs w:val="16"/>
          <w:lang w:val="es-CR"/>
        </w:rPr>
        <w:t xml:space="preserve">Caso Arrom </w:t>
      </w:r>
      <w:proofErr w:type="spellStart"/>
      <w:r w:rsidRPr="00E031F4">
        <w:rPr>
          <w:i/>
          <w:sz w:val="16"/>
          <w:szCs w:val="16"/>
          <w:lang w:val="es-CR"/>
        </w:rPr>
        <w:t>Suhurt</w:t>
      </w:r>
      <w:proofErr w:type="spellEnd"/>
      <w:r w:rsidRPr="00E031F4">
        <w:rPr>
          <w:i/>
          <w:sz w:val="16"/>
          <w:szCs w:val="16"/>
          <w:lang w:val="es-CR"/>
        </w:rPr>
        <w:t xml:space="preserve"> y otros</w:t>
      </w:r>
      <w:r w:rsidRPr="00E031F4">
        <w:rPr>
          <w:sz w:val="16"/>
          <w:szCs w:val="16"/>
          <w:lang w:val="es-CR"/>
        </w:rPr>
        <w:t xml:space="preserve">. Solicitud respecto a Paraguay. Resolución de la Corte Interamericana de Derechos Humanos </w:t>
      </w:r>
      <w:r w:rsidR="0090770D" w:rsidRPr="00E031F4">
        <w:rPr>
          <w:sz w:val="16"/>
          <w:szCs w:val="16"/>
          <w:lang w:val="es-CR"/>
        </w:rPr>
        <w:t xml:space="preserve">de 14 de marzo de 2019, </w:t>
      </w:r>
      <w:r w:rsidR="00AA7104">
        <w:rPr>
          <w:sz w:val="16"/>
          <w:szCs w:val="16"/>
          <w:lang w:val="es-CR"/>
        </w:rPr>
        <w:t>considerando</w:t>
      </w:r>
      <w:r w:rsidR="0090770D" w:rsidRPr="00E031F4">
        <w:rPr>
          <w:sz w:val="16"/>
          <w:szCs w:val="16"/>
          <w:lang w:val="es-CR"/>
        </w:rPr>
        <w:t xml:space="preserve"> 4, y </w:t>
      </w:r>
      <w:r w:rsidR="0090770D" w:rsidRPr="00E031F4">
        <w:rPr>
          <w:i/>
          <w:sz w:val="16"/>
          <w:szCs w:val="16"/>
          <w:lang w:val="es-CR"/>
        </w:rPr>
        <w:t xml:space="preserve">Asunto Cristina Arrom </w:t>
      </w:r>
      <w:proofErr w:type="spellStart"/>
      <w:r w:rsidR="0090770D" w:rsidRPr="00E031F4">
        <w:rPr>
          <w:i/>
          <w:sz w:val="16"/>
          <w:szCs w:val="16"/>
          <w:lang w:val="es-CR"/>
        </w:rPr>
        <w:t>Suhurt</w:t>
      </w:r>
      <w:proofErr w:type="spellEnd"/>
      <w:r w:rsidR="0090770D" w:rsidRPr="00E031F4">
        <w:rPr>
          <w:i/>
          <w:sz w:val="16"/>
          <w:szCs w:val="16"/>
          <w:lang w:val="es-CR"/>
        </w:rPr>
        <w:t xml:space="preserve"> y otros</w:t>
      </w:r>
      <w:r w:rsidR="0090770D" w:rsidRPr="00E031F4">
        <w:rPr>
          <w:sz w:val="16"/>
          <w:szCs w:val="16"/>
          <w:lang w:val="es-CR"/>
        </w:rPr>
        <w:t>. Solicitud respecto a Paraguay. Resolución de la Corte Interamericana de Derechos Humanos de 26 de noviembre de 2019, considerando 3.</w:t>
      </w:r>
    </w:p>
  </w:footnote>
  <w:footnote w:id="6">
    <w:p w14:paraId="36B76451" w14:textId="77777777" w:rsidR="00195F77" w:rsidRPr="00E031F4" w:rsidRDefault="00195F77" w:rsidP="00E031F4">
      <w:pPr>
        <w:pStyle w:val="Textonotapie"/>
        <w:tabs>
          <w:tab w:val="left" w:pos="567"/>
        </w:tabs>
        <w:spacing w:before="120" w:after="120"/>
        <w:jc w:val="both"/>
        <w:rPr>
          <w:sz w:val="16"/>
          <w:szCs w:val="16"/>
          <w:lang w:val="es-CR"/>
        </w:rPr>
      </w:pPr>
      <w:r w:rsidRPr="00E031F4">
        <w:rPr>
          <w:rStyle w:val="Refdenotaalpie"/>
          <w:rFonts w:eastAsia="MS Mincho"/>
          <w:sz w:val="16"/>
          <w:szCs w:val="16"/>
        </w:rPr>
        <w:footnoteRef/>
      </w:r>
      <w:r w:rsidRPr="00E031F4">
        <w:rPr>
          <w:sz w:val="16"/>
          <w:szCs w:val="16"/>
          <w:lang w:val="es-CR"/>
        </w:rPr>
        <w:t xml:space="preserve"> </w:t>
      </w:r>
      <w:r w:rsidRPr="00E031F4">
        <w:rPr>
          <w:sz w:val="16"/>
          <w:szCs w:val="16"/>
          <w:lang w:val="es-CR"/>
        </w:rPr>
        <w:tab/>
      </w:r>
      <w:r w:rsidRPr="00E031F4">
        <w:rPr>
          <w:i/>
          <w:sz w:val="16"/>
          <w:szCs w:val="16"/>
          <w:lang w:val="es-CR"/>
        </w:rPr>
        <w:t>Cfr. Caso Radilla Pacheco Vs. México. Excepciones Preliminares, Fondo, Reparaciones y Costas</w:t>
      </w:r>
      <w:r w:rsidRPr="00E031F4">
        <w:rPr>
          <w:sz w:val="16"/>
          <w:szCs w:val="16"/>
          <w:lang w:val="es-CR"/>
        </w:rPr>
        <w:t>. Sentencia de 23 de noviembre de 2009. Serie C No. 209, párr. 340, y</w:t>
      </w:r>
      <w:r w:rsidRPr="00E031F4">
        <w:rPr>
          <w:i/>
          <w:sz w:val="16"/>
          <w:szCs w:val="16"/>
          <w:lang w:val="es-CR"/>
        </w:rPr>
        <w:t xml:space="preserve"> </w:t>
      </w:r>
      <w:r w:rsidR="0090770D" w:rsidRPr="00E031F4">
        <w:rPr>
          <w:i/>
          <w:sz w:val="16"/>
          <w:szCs w:val="16"/>
          <w:lang w:val="es-CR"/>
        </w:rPr>
        <w:t xml:space="preserve">Asunto Cristina Arrom </w:t>
      </w:r>
      <w:proofErr w:type="spellStart"/>
      <w:r w:rsidR="0090770D" w:rsidRPr="00E031F4">
        <w:rPr>
          <w:i/>
          <w:sz w:val="16"/>
          <w:szCs w:val="16"/>
          <w:lang w:val="es-CR"/>
        </w:rPr>
        <w:t>Suhurt</w:t>
      </w:r>
      <w:proofErr w:type="spellEnd"/>
      <w:r w:rsidR="0090770D" w:rsidRPr="00E031F4">
        <w:rPr>
          <w:i/>
          <w:sz w:val="16"/>
          <w:szCs w:val="16"/>
          <w:lang w:val="es-CR"/>
        </w:rPr>
        <w:t xml:space="preserve"> y otros</w:t>
      </w:r>
      <w:r w:rsidR="0090770D" w:rsidRPr="00E031F4">
        <w:rPr>
          <w:sz w:val="16"/>
          <w:szCs w:val="16"/>
          <w:lang w:val="es-CR"/>
        </w:rPr>
        <w:t>. Solicitud respecto a Paraguay. Resolución de la Corte Interamericana de Derechos Humanos de 26 de noviembre de 2019, considerando 4.</w:t>
      </w:r>
    </w:p>
  </w:footnote>
  <w:footnote w:id="7">
    <w:p w14:paraId="34903EE9" w14:textId="77777777" w:rsidR="00195F77" w:rsidRPr="00E031F4" w:rsidRDefault="00195F77" w:rsidP="00E031F4">
      <w:pPr>
        <w:pStyle w:val="Textonotapie"/>
        <w:tabs>
          <w:tab w:val="left" w:pos="567"/>
        </w:tabs>
        <w:spacing w:before="120" w:after="120"/>
        <w:jc w:val="both"/>
        <w:rPr>
          <w:sz w:val="16"/>
          <w:szCs w:val="16"/>
          <w:lang w:val="es-CR"/>
        </w:rPr>
      </w:pPr>
      <w:r w:rsidRPr="00E031F4">
        <w:rPr>
          <w:rStyle w:val="Refdenotaalpie"/>
          <w:rFonts w:eastAsia="MS Mincho"/>
          <w:sz w:val="16"/>
          <w:szCs w:val="16"/>
        </w:rPr>
        <w:footnoteRef/>
      </w:r>
      <w:r w:rsidRPr="00E031F4">
        <w:rPr>
          <w:sz w:val="16"/>
          <w:szCs w:val="16"/>
          <w:lang w:val="es-CR"/>
        </w:rPr>
        <w:t xml:space="preserve">  </w:t>
      </w:r>
      <w:r w:rsidRPr="00E031F4">
        <w:rPr>
          <w:sz w:val="16"/>
          <w:szCs w:val="16"/>
          <w:lang w:val="es-CR"/>
        </w:rPr>
        <w:tab/>
      </w:r>
      <w:r w:rsidRPr="00E031F4">
        <w:rPr>
          <w:i/>
          <w:sz w:val="16"/>
          <w:szCs w:val="16"/>
          <w:lang w:val="es-CR"/>
        </w:rPr>
        <w:t>Cfr. Caso Radilla Pacheco Vs. México. Excepciones Preliminares, Fondo, Reparaciones y Costas</w:t>
      </w:r>
      <w:r w:rsidRPr="00E031F4">
        <w:rPr>
          <w:sz w:val="16"/>
          <w:szCs w:val="16"/>
          <w:lang w:val="es-CR"/>
        </w:rPr>
        <w:t>. Sentencia de 23 de noviembre de 2009. Serie C No. 209, párr. 340</w:t>
      </w:r>
      <w:r w:rsidR="0090770D" w:rsidRPr="00E031F4">
        <w:rPr>
          <w:sz w:val="16"/>
          <w:szCs w:val="16"/>
          <w:lang w:val="es-CR"/>
        </w:rPr>
        <w:t>, y</w:t>
      </w:r>
      <w:r w:rsidR="0090770D" w:rsidRPr="00E031F4">
        <w:rPr>
          <w:i/>
          <w:sz w:val="16"/>
          <w:szCs w:val="16"/>
          <w:lang w:val="es-CR"/>
        </w:rPr>
        <w:t xml:space="preserve"> Asunto Cristina Arrom </w:t>
      </w:r>
      <w:proofErr w:type="spellStart"/>
      <w:r w:rsidR="0090770D" w:rsidRPr="00E031F4">
        <w:rPr>
          <w:i/>
          <w:sz w:val="16"/>
          <w:szCs w:val="16"/>
          <w:lang w:val="es-CR"/>
        </w:rPr>
        <w:t>Suhurt</w:t>
      </w:r>
      <w:proofErr w:type="spellEnd"/>
      <w:r w:rsidR="0090770D" w:rsidRPr="00E031F4">
        <w:rPr>
          <w:i/>
          <w:sz w:val="16"/>
          <w:szCs w:val="16"/>
          <w:lang w:val="es-CR"/>
        </w:rPr>
        <w:t xml:space="preserve"> y otros</w:t>
      </w:r>
      <w:r w:rsidR="0090770D" w:rsidRPr="00E031F4">
        <w:rPr>
          <w:sz w:val="16"/>
          <w:szCs w:val="16"/>
          <w:lang w:val="es-CR"/>
        </w:rPr>
        <w:t>. Solicitud respecto a Paraguay. Resolución de la Corte Interamericana de Derechos Humanos de 26 de noviembre de 2019, considerando 4.</w:t>
      </w:r>
    </w:p>
  </w:footnote>
  <w:footnote w:id="8">
    <w:p w14:paraId="1CCA2F10" w14:textId="77777777" w:rsidR="00195F77" w:rsidRPr="00E031F4" w:rsidRDefault="00195F77" w:rsidP="00E031F4">
      <w:pPr>
        <w:pStyle w:val="Textonotapie"/>
        <w:tabs>
          <w:tab w:val="left" w:pos="540"/>
          <w:tab w:val="left" w:pos="567"/>
        </w:tabs>
        <w:spacing w:before="120" w:after="120"/>
        <w:jc w:val="both"/>
        <w:rPr>
          <w:sz w:val="16"/>
          <w:szCs w:val="16"/>
          <w:lang w:val="es-CR"/>
        </w:rPr>
      </w:pPr>
      <w:r w:rsidRPr="00E031F4">
        <w:rPr>
          <w:rStyle w:val="Refdenotaalpie"/>
          <w:rFonts w:eastAsia="MS Mincho"/>
          <w:sz w:val="16"/>
          <w:szCs w:val="16"/>
        </w:rPr>
        <w:footnoteRef/>
      </w:r>
      <w:r w:rsidRPr="00E031F4">
        <w:rPr>
          <w:sz w:val="16"/>
          <w:szCs w:val="16"/>
          <w:lang w:val="es-CR"/>
        </w:rPr>
        <w:t xml:space="preserve"> </w:t>
      </w:r>
      <w:r w:rsidRPr="00E031F4">
        <w:rPr>
          <w:sz w:val="16"/>
          <w:szCs w:val="16"/>
          <w:lang w:val="es-CR"/>
        </w:rPr>
        <w:tab/>
      </w:r>
      <w:r w:rsidRPr="00E031F4">
        <w:rPr>
          <w:i/>
          <w:sz w:val="16"/>
          <w:szCs w:val="16"/>
          <w:lang w:val="es-CR"/>
        </w:rPr>
        <w:t xml:space="preserve">Cfr. Caso Almonacid Arellano y otros Vs. Chile. Excepciones Preliminares, Fondo, Reparaciones y Costas. </w:t>
      </w:r>
      <w:r w:rsidRPr="00E031F4">
        <w:rPr>
          <w:sz w:val="16"/>
          <w:szCs w:val="16"/>
          <w:lang w:val="es-CR"/>
        </w:rPr>
        <w:t xml:space="preserve">Sentencia de 26 de septiembre de 2006. Serie C No. 154, párr. 124, </w:t>
      </w:r>
      <w:r w:rsidR="0090770D" w:rsidRPr="00E031F4">
        <w:rPr>
          <w:sz w:val="16"/>
          <w:szCs w:val="16"/>
          <w:lang w:val="es-CR"/>
        </w:rPr>
        <w:t>y</w:t>
      </w:r>
      <w:r w:rsidR="0090770D" w:rsidRPr="00E031F4">
        <w:rPr>
          <w:i/>
          <w:sz w:val="16"/>
          <w:szCs w:val="16"/>
          <w:lang w:val="es-CR"/>
        </w:rPr>
        <w:t xml:space="preserve"> Asunto Cristina Arrom </w:t>
      </w:r>
      <w:proofErr w:type="spellStart"/>
      <w:r w:rsidR="0090770D" w:rsidRPr="00E031F4">
        <w:rPr>
          <w:i/>
          <w:sz w:val="16"/>
          <w:szCs w:val="16"/>
          <w:lang w:val="es-CR"/>
        </w:rPr>
        <w:t>Suhurt</w:t>
      </w:r>
      <w:proofErr w:type="spellEnd"/>
      <w:r w:rsidR="0090770D" w:rsidRPr="00E031F4">
        <w:rPr>
          <w:i/>
          <w:sz w:val="16"/>
          <w:szCs w:val="16"/>
          <w:lang w:val="es-CR"/>
        </w:rPr>
        <w:t xml:space="preserve"> y otros</w:t>
      </w:r>
      <w:r w:rsidR="0090770D" w:rsidRPr="00E031F4">
        <w:rPr>
          <w:sz w:val="16"/>
          <w:szCs w:val="16"/>
          <w:lang w:val="es-CR"/>
        </w:rPr>
        <w:t>. Solicitud respecto a Paraguay. Resolución de la Corte Interamericana de Derechos Humanos de 26 de noviembre de 2019, considerando 4</w:t>
      </w:r>
      <w:r w:rsidRPr="00E031F4">
        <w:rPr>
          <w:sz w:val="16"/>
          <w:szCs w:val="16"/>
          <w:lang w:val="es-CR"/>
        </w:rPr>
        <w:t>.</w:t>
      </w:r>
    </w:p>
  </w:footnote>
  <w:footnote w:id="9">
    <w:p w14:paraId="137C380E" w14:textId="1B479089" w:rsidR="00195F77" w:rsidRPr="00E031F4" w:rsidRDefault="00195F77" w:rsidP="00E031F4">
      <w:pPr>
        <w:pStyle w:val="Textonotapie"/>
        <w:tabs>
          <w:tab w:val="left" w:pos="567"/>
        </w:tabs>
        <w:spacing w:before="120" w:after="120"/>
        <w:jc w:val="both"/>
        <w:rPr>
          <w:sz w:val="16"/>
          <w:szCs w:val="16"/>
          <w:lang w:val="es-CR"/>
        </w:rPr>
      </w:pPr>
      <w:r w:rsidRPr="00E031F4">
        <w:rPr>
          <w:rStyle w:val="Refdenotaalpie"/>
          <w:rFonts w:eastAsia="MS Mincho"/>
          <w:sz w:val="16"/>
          <w:szCs w:val="16"/>
        </w:rPr>
        <w:footnoteRef/>
      </w:r>
      <w:r w:rsidRPr="00E031F4">
        <w:rPr>
          <w:sz w:val="16"/>
          <w:szCs w:val="16"/>
          <w:lang w:val="es-CR"/>
        </w:rPr>
        <w:t xml:space="preserve"> </w:t>
      </w:r>
      <w:r w:rsidRPr="00E031F4">
        <w:rPr>
          <w:sz w:val="16"/>
          <w:szCs w:val="16"/>
          <w:lang w:val="es-CR"/>
        </w:rPr>
        <w:tab/>
      </w:r>
      <w:r w:rsidRPr="00E031F4">
        <w:rPr>
          <w:i/>
          <w:sz w:val="16"/>
          <w:szCs w:val="16"/>
          <w:lang w:val="es-CR"/>
        </w:rPr>
        <w:t>Cfr. Caso Cantoral Huamaní y García Santa Cruz Vs. Perú. Excepción Preliminar, Fondo, Reparaciones y Costas.</w:t>
      </w:r>
      <w:r w:rsidRPr="00E031F4">
        <w:rPr>
          <w:sz w:val="16"/>
          <w:szCs w:val="16"/>
          <w:lang w:val="es-CR"/>
        </w:rPr>
        <w:t xml:space="preserve"> Sentencia de 10 de julio de 2007. Serie C No. 167, </w:t>
      </w:r>
      <w:proofErr w:type="spellStart"/>
      <w:r w:rsidRPr="00E031F4">
        <w:rPr>
          <w:sz w:val="16"/>
          <w:szCs w:val="16"/>
          <w:lang w:val="es-CR"/>
        </w:rPr>
        <w:t>párr</w:t>
      </w:r>
      <w:proofErr w:type="spellEnd"/>
      <w:r w:rsidRPr="00E031F4">
        <w:rPr>
          <w:sz w:val="16"/>
          <w:szCs w:val="16"/>
          <w:lang w:val="es-CR"/>
        </w:rPr>
        <w:t xml:space="preserve"> 79, y </w:t>
      </w:r>
      <w:r w:rsidRPr="00E031F4">
        <w:rPr>
          <w:i/>
          <w:sz w:val="16"/>
          <w:szCs w:val="16"/>
          <w:lang w:val="es-CR"/>
        </w:rPr>
        <w:t>Cfr.</w:t>
      </w:r>
      <w:r w:rsidRPr="00E031F4">
        <w:rPr>
          <w:sz w:val="16"/>
          <w:szCs w:val="16"/>
          <w:lang w:val="es-CR"/>
        </w:rPr>
        <w:t xml:space="preserve"> </w:t>
      </w:r>
      <w:r w:rsidRPr="00E031F4">
        <w:rPr>
          <w:i/>
          <w:sz w:val="16"/>
          <w:szCs w:val="16"/>
          <w:lang w:val="es-CR"/>
        </w:rPr>
        <w:t xml:space="preserve">Caso Arrom </w:t>
      </w:r>
      <w:proofErr w:type="spellStart"/>
      <w:r w:rsidRPr="00E031F4">
        <w:rPr>
          <w:i/>
          <w:sz w:val="16"/>
          <w:szCs w:val="16"/>
          <w:lang w:val="es-CR"/>
        </w:rPr>
        <w:t>Suhurt</w:t>
      </w:r>
      <w:proofErr w:type="spellEnd"/>
      <w:r w:rsidRPr="00E031F4">
        <w:rPr>
          <w:i/>
          <w:sz w:val="16"/>
          <w:szCs w:val="16"/>
          <w:lang w:val="es-CR"/>
        </w:rPr>
        <w:t xml:space="preserve"> y otros</w:t>
      </w:r>
      <w:r w:rsidRPr="00E031F4">
        <w:rPr>
          <w:sz w:val="16"/>
          <w:szCs w:val="16"/>
          <w:lang w:val="es-CR"/>
        </w:rPr>
        <w:t xml:space="preserve">. Solicitud respecto a Paraguay. Resolución de la Corte Interamericana de Derechos Humanos de </w:t>
      </w:r>
      <w:r w:rsidR="00AA7104" w:rsidRPr="00E031F4">
        <w:rPr>
          <w:sz w:val="16"/>
          <w:szCs w:val="16"/>
          <w:lang w:val="es-CR"/>
        </w:rPr>
        <w:t>26 de noviembre de 2019,</w:t>
      </w:r>
      <w:r w:rsidRPr="00E031F4">
        <w:rPr>
          <w:sz w:val="16"/>
          <w:szCs w:val="16"/>
          <w:lang w:val="es-CR"/>
        </w:rPr>
        <w:t xml:space="preserve"> considerando </w:t>
      </w:r>
      <w:r w:rsidR="00E21109" w:rsidRPr="00E031F4">
        <w:rPr>
          <w:sz w:val="16"/>
          <w:szCs w:val="16"/>
          <w:lang w:val="es-CR"/>
        </w:rPr>
        <w:t>6</w:t>
      </w:r>
      <w:r w:rsidRPr="00E031F4">
        <w:rPr>
          <w:sz w:val="16"/>
          <w:szCs w:val="16"/>
          <w:lang w:val="es-CR"/>
        </w:rPr>
        <w:t>.</w:t>
      </w:r>
    </w:p>
  </w:footnote>
  <w:footnote w:id="10">
    <w:p w14:paraId="1F7F3041" w14:textId="5DFCBBC6" w:rsidR="00E21109" w:rsidRPr="00E031F4" w:rsidRDefault="00E21109" w:rsidP="00E031F4">
      <w:pPr>
        <w:pStyle w:val="Textonotapie"/>
        <w:tabs>
          <w:tab w:val="left" w:pos="567"/>
        </w:tabs>
        <w:spacing w:before="120" w:after="120"/>
        <w:jc w:val="both"/>
        <w:rPr>
          <w:sz w:val="16"/>
          <w:szCs w:val="16"/>
          <w:lang w:val="es-CR"/>
        </w:rPr>
      </w:pPr>
      <w:r w:rsidRPr="00E031F4">
        <w:rPr>
          <w:rStyle w:val="Refdenotaalpie"/>
          <w:rFonts w:eastAsia="MS Mincho"/>
          <w:sz w:val="16"/>
          <w:szCs w:val="16"/>
        </w:rPr>
        <w:footnoteRef/>
      </w:r>
      <w:r w:rsidRPr="00E031F4">
        <w:rPr>
          <w:sz w:val="16"/>
          <w:szCs w:val="16"/>
          <w:lang w:val="es-CR"/>
        </w:rPr>
        <w:t xml:space="preserve"> </w:t>
      </w:r>
      <w:r w:rsidRPr="00E031F4">
        <w:rPr>
          <w:sz w:val="16"/>
          <w:szCs w:val="16"/>
          <w:lang w:val="es-CR"/>
        </w:rPr>
        <w:tab/>
      </w:r>
      <w:r w:rsidRPr="00E031F4">
        <w:rPr>
          <w:rFonts w:cs="Arial"/>
          <w:i/>
          <w:color w:val="222222"/>
          <w:sz w:val="16"/>
          <w:szCs w:val="16"/>
          <w:lang w:val="es-CR"/>
        </w:rPr>
        <w:t>Cfr</w:t>
      </w:r>
      <w:r w:rsidRPr="00E031F4">
        <w:rPr>
          <w:rFonts w:cs="Arial"/>
          <w:color w:val="222222"/>
          <w:sz w:val="16"/>
          <w:szCs w:val="16"/>
          <w:lang w:val="es-CR"/>
        </w:rPr>
        <w:t xml:space="preserve">. </w:t>
      </w:r>
      <w:r w:rsidRPr="00E031F4">
        <w:rPr>
          <w:i/>
          <w:sz w:val="16"/>
          <w:szCs w:val="16"/>
          <w:lang w:val="es-CR"/>
        </w:rPr>
        <w:t xml:space="preserve">Caso Arrom </w:t>
      </w:r>
      <w:proofErr w:type="spellStart"/>
      <w:r w:rsidRPr="00E031F4">
        <w:rPr>
          <w:i/>
          <w:sz w:val="16"/>
          <w:szCs w:val="16"/>
          <w:lang w:val="es-CR"/>
        </w:rPr>
        <w:t>Suhurt</w:t>
      </w:r>
      <w:proofErr w:type="spellEnd"/>
      <w:r w:rsidRPr="00E031F4">
        <w:rPr>
          <w:i/>
          <w:sz w:val="16"/>
          <w:szCs w:val="16"/>
          <w:lang w:val="es-CR"/>
        </w:rPr>
        <w:t xml:space="preserve"> y otros</w:t>
      </w:r>
      <w:r w:rsidRPr="00E031F4">
        <w:rPr>
          <w:sz w:val="16"/>
          <w:szCs w:val="16"/>
          <w:lang w:val="es-CR"/>
        </w:rPr>
        <w:t xml:space="preserve">. Solicitud respecto a Paraguay. Resolución de la Corte Interamericana de Derechos Humanos de 14 de marzo de 2019, </w:t>
      </w:r>
      <w:r w:rsidR="00AA7104">
        <w:rPr>
          <w:sz w:val="16"/>
          <w:szCs w:val="16"/>
          <w:lang w:val="es-CR"/>
        </w:rPr>
        <w:t>considerando</w:t>
      </w:r>
      <w:r w:rsidRPr="00E031F4">
        <w:rPr>
          <w:sz w:val="16"/>
          <w:szCs w:val="16"/>
          <w:lang w:val="es-CR"/>
        </w:rPr>
        <w:t xml:space="preserve"> 4, y </w:t>
      </w:r>
      <w:r w:rsidRPr="00E031F4">
        <w:rPr>
          <w:i/>
          <w:sz w:val="16"/>
          <w:szCs w:val="16"/>
          <w:lang w:val="es-CR"/>
        </w:rPr>
        <w:t xml:space="preserve">Asunto Cristina Arrom </w:t>
      </w:r>
      <w:proofErr w:type="spellStart"/>
      <w:r w:rsidRPr="00E031F4">
        <w:rPr>
          <w:i/>
          <w:sz w:val="16"/>
          <w:szCs w:val="16"/>
          <w:lang w:val="es-CR"/>
        </w:rPr>
        <w:t>Suhurt</w:t>
      </w:r>
      <w:proofErr w:type="spellEnd"/>
      <w:r w:rsidRPr="00E031F4">
        <w:rPr>
          <w:i/>
          <w:sz w:val="16"/>
          <w:szCs w:val="16"/>
          <w:lang w:val="es-CR"/>
        </w:rPr>
        <w:t xml:space="preserve"> y otros</w:t>
      </w:r>
      <w:r w:rsidRPr="00E031F4">
        <w:rPr>
          <w:sz w:val="16"/>
          <w:szCs w:val="16"/>
          <w:lang w:val="es-CR"/>
        </w:rPr>
        <w:t>. Solicitud respecto a Paraguay. Resolución de la Corte Interamericana de Derechos Humanos de 26 de noviembre de 2019, considerando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E4C21"/>
    <w:multiLevelType w:val="hybridMultilevel"/>
    <w:tmpl w:val="9A985A80"/>
    <w:lvl w:ilvl="0" w:tplc="72244F1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05A6F5C"/>
    <w:multiLevelType w:val="hybridMultilevel"/>
    <w:tmpl w:val="F0A44EE2"/>
    <w:lvl w:ilvl="0" w:tplc="891A315C">
      <w:start w:val="1"/>
      <w:numFmt w:val="decimal"/>
      <w:pStyle w:val="Numberedparagraphs"/>
      <w:lvlText w:val="%1."/>
      <w:lvlJc w:val="left"/>
      <w:pPr>
        <w:tabs>
          <w:tab w:val="num" w:pos="720"/>
        </w:tabs>
        <w:ind w:left="0" w:firstLine="0"/>
      </w:pPr>
      <w:rPr>
        <w:rFonts w:ascii="Verdana" w:hAnsi="Verdana" w:hint="default"/>
        <w:b w:val="0"/>
        <w:i w:val="0"/>
        <w:strike w:val="0"/>
        <w:dstrike w:val="0"/>
        <w:color w:val="auto"/>
        <w:sz w:val="20"/>
        <w:szCs w:val="20"/>
        <w:u w:val="none"/>
        <w:effect w:val="none"/>
        <w:lang w:val="es-CR"/>
      </w:rPr>
    </w:lvl>
    <w:lvl w:ilvl="1" w:tplc="68BECEB8">
      <w:start w:val="1"/>
      <w:numFmt w:val="lowerLetter"/>
      <w:lvlText w:val="%2."/>
      <w:lvlJc w:val="left"/>
      <w:pPr>
        <w:ind w:left="2160" w:hanging="360"/>
      </w:pPr>
      <w:rPr>
        <w:b w:val="0"/>
      </w:rPr>
    </w:lvl>
    <w:lvl w:ilvl="2" w:tplc="0409001B">
      <w:start w:val="1"/>
      <w:numFmt w:val="lowerRoman"/>
      <w:lvlText w:val="%3."/>
      <w:lvlJc w:val="right"/>
      <w:pPr>
        <w:ind w:left="2880" w:hanging="180"/>
      </w:pPr>
    </w:lvl>
    <w:lvl w:ilvl="3" w:tplc="AFEEC726">
      <w:start w:val="1"/>
      <w:numFmt w:val="lowerLetter"/>
      <w:lvlText w:val="%4)"/>
      <w:lvlJc w:val="left"/>
      <w:pPr>
        <w:ind w:left="3960" w:hanging="720"/>
      </w:pPr>
      <w:rPr>
        <w:b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R" w:vendorID="64" w:dllVersion="6" w:nlCheck="1" w:checkStyle="0"/>
  <w:activeWritingStyle w:appName="MSWord" w:lang="es-PE"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MX" w:vendorID="64" w:dllVersion="6" w:nlCheck="1" w:checkStyle="0"/>
  <w:activeWritingStyle w:appName="MSWord" w:lang="es-VE" w:vendorID="64" w:dllVersion="6"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VE" w:vendorID="64" w:dllVersion="4096" w:nlCheck="1" w:checkStyle="0"/>
  <w:activeWritingStyle w:appName="MSWord" w:lang="es-PE"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PE" w:vendorID="64" w:dllVersion="0" w:nlCheck="1" w:checkStyle="0"/>
  <w:activeWritingStyle w:appName="MSWord" w:lang="es-CR" w:vendorID="64" w:dllVersion="0" w:nlCheck="1" w:checkStyle="0"/>
  <w:activeWritingStyle w:appName="MSWord" w:lang="es-ES_tradnl" w:vendorID="64" w:dllVersion="0"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7"/>
    <w:rsid w:val="00003040"/>
    <w:rsid w:val="000172EE"/>
    <w:rsid w:val="00034ECF"/>
    <w:rsid w:val="00095493"/>
    <w:rsid w:val="000B79CE"/>
    <w:rsid w:val="000C1B0C"/>
    <w:rsid w:val="0010630A"/>
    <w:rsid w:val="00195F77"/>
    <w:rsid w:val="00250A57"/>
    <w:rsid w:val="00273A63"/>
    <w:rsid w:val="00297118"/>
    <w:rsid w:val="004A1841"/>
    <w:rsid w:val="004B447D"/>
    <w:rsid w:val="005038E7"/>
    <w:rsid w:val="005736FB"/>
    <w:rsid w:val="00577F58"/>
    <w:rsid w:val="005808E4"/>
    <w:rsid w:val="005B2ED6"/>
    <w:rsid w:val="00630B8F"/>
    <w:rsid w:val="0068039A"/>
    <w:rsid w:val="006A2BCF"/>
    <w:rsid w:val="006E2AE7"/>
    <w:rsid w:val="006E2AF2"/>
    <w:rsid w:val="007405DD"/>
    <w:rsid w:val="00756E75"/>
    <w:rsid w:val="007B6B68"/>
    <w:rsid w:val="007D6B4D"/>
    <w:rsid w:val="007F34E2"/>
    <w:rsid w:val="00835DF0"/>
    <w:rsid w:val="00845C4F"/>
    <w:rsid w:val="00856EF3"/>
    <w:rsid w:val="00862EE6"/>
    <w:rsid w:val="008839C2"/>
    <w:rsid w:val="008F53CB"/>
    <w:rsid w:val="0090770D"/>
    <w:rsid w:val="00913292"/>
    <w:rsid w:val="00961195"/>
    <w:rsid w:val="009E6EEE"/>
    <w:rsid w:val="00A707B0"/>
    <w:rsid w:val="00AA1C23"/>
    <w:rsid w:val="00AA7104"/>
    <w:rsid w:val="00AD1DCF"/>
    <w:rsid w:val="00B22868"/>
    <w:rsid w:val="00B2590E"/>
    <w:rsid w:val="00B84CB0"/>
    <w:rsid w:val="00BC7DE5"/>
    <w:rsid w:val="00BD7D52"/>
    <w:rsid w:val="00CE5568"/>
    <w:rsid w:val="00CF6EE0"/>
    <w:rsid w:val="00D37821"/>
    <w:rsid w:val="00E031F4"/>
    <w:rsid w:val="00E21109"/>
    <w:rsid w:val="00E34258"/>
    <w:rsid w:val="00E64DC2"/>
    <w:rsid w:val="00ED781F"/>
    <w:rsid w:val="00EF7973"/>
    <w:rsid w:val="00F12E3D"/>
    <w:rsid w:val="00F534D4"/>
    <w:rsid w:val="00F806EA"/>
    <w:rsid w:val="00F937B5"/>
    <w:rsid w:val="00FF4B33"/>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521F"/>
  <w15:chartTrackingRefBased/>
  <w15:docId w15:val="{10A72309-14EC-4552-A817-949FD73C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7"/>
    <w:pPr>
      <w:spacing w:after="0" w:line="240" w:lineRule="auto"/>
    </w:pPr>
    <w:rPr>
      <w:rFonts w:ascii="Verdana" w:eastAsia="Times New Roman" w:hAnsi="Verdana" w:cs="Times New Roman"/>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195F77"/>
    <w:rPr>
      <w:color w:val="0000FF"/>
      <w:u w:val="singl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FA Fuﬂnotentext Car"/>
    <w:link w:val="Textonotapie"/>
    <w:semiHidden/>
    <w:qFormat/>
    <w:locked/>
    <w:rsid w:val="00195F77"/>
    <w:rPr>
      <w:rFonts w:ascii="Verdana" w:eastAsia="Times New Roman" w:hAnsi="Verdana"/>
      <w:lang w:val="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
    <w:basedOn w:val="Normal"/>
    <w:link w:val="TextonotapieCar1"/>
    <w:semiHidden/>
    <w:unhideWhenUsed/>
    <w:qFormat/>
    <w:rsid w:val="00195F77"/>
    <w:rPr>
      <w:rFonts w:cstheme="minorBidi"/>
      <w:sz w:val="22"/>
      <w:szCs w:val="22"/>
    </w:rPr>
  </w:style>
  <w:style w:type="character" w:customStyle="1" w:styleId="TextonotapieCar">
    <w:name w:val="Texto nota pie Car"/>
    <w:basedOn w:val="Fuentedeprrafopredeter"/>
    <w:uiPriority w:val="99"/>
    <w:semiHidden/>
    <w:rsid w:val="00195F77"/>
    <w:rPr>
      <w:rFonts w:ascii="Verdana" w:eastAsia="Times New Roman" w:hAnsi="Verdana" w:cs="Times New Roman"/>
      <w:sz w:val="20"/>
      <w:szCs w:val="20"/>
      <w:lang w:val="en-US"/>
    </w:rPr>
  </w:style>
  <w:style w:type="paragraph" w:styleId="Ttulo">
    <w:name w:val="Title"/>
    <w:basedOn w:val="Normal"/>
    <w:next w:val="Normal"/>
    <w:link w:val="TtuloCar"/>
    <w:qFormat/>
    <w:rsid w:val="00195F77"/>
    <w:pPr>
      <w:jc w:val="center"/>
      <w:outlineLvl w:val="0"/>
    </w:pPr>
    <w:rPr>
      <w:b/>
      <w:bCs/>
      <w:kern w:val="28"/>
      <w:lang w:val="es-CR"/>
    </w:rPr>
  </w:style>
  <w:style w:type="character" w:customStyle="1" w:styleId="TtuloCar">
    <w:name w:val="Título Car"/>
    <w:basedOn w:val="Fuentedeprrafopredeter"/>
    <w:link w:val="Ttulo"/>
    <w:rsid w:val="00195F77"/>
    <w:rPr>
      <w:rFonts w:ascii="Verdana" w:eastAsia="Times New Roman" w:hAnsi="Verdana" w:cs="Times New Roman"/>
      <w:b/>
      <w:bCs/>
      <w:kern w:val="28"/>
      <w:sz w:val="20"/>
      <w:szCs w:val="20"/>
    </w:rPr>
  </w:style>
  <w:style w:type="character" w:customStyle="1" w:styleId="PrrafodelistaCar">
    <w:name w:val="Párrafo de lista Car"/>
    <w:aliases w:val="Párrafo de lista1 Car,List Paragraph2 Car,Lista vistosa - Énfasis 11 Car,List Paragraph11 Car"/>
    <w:basedOn w:val="Fuentedeprrafopredeter"/>
    <w:link w:val="Prrafodelista"/>
    <w:locked/>
    <w:rsid w:val="00195F77"/>
  </w:style>
  <w:style w:type="paragraph" w:styleId="Prrafodelista">
    <w:name w:val="List Paragraph"/>
    <w:aliases w:val="Párrafo de lista1,List Paragraph2,Lista vistosa - Énfasis 11,List Paragraph11"/>
    <w:basedOn w:val="Normal"/>
    <w:link w:val="PrrafodelistaCar"/>
    <w:qFormat/>
    <w:rsid w:val="00195F77"/>
    <w:pPr>
      <w:spacing w:after="200" w:line="276" w:lineRule="auto"/>
      <w:ind w:left="720"/>
      <w:contextualSpacing/>
    </w:pPr>
    <w:rPr>
      <w:rFonts w:asciiTheme="minorHAnsi" w:eastAsiaTheme="minorHAnsi" w:hAnsiTheme="minorHAnsi" w:cstheme="minorBidi"/>
      <w:sz w:val="22"/>
      <w:szCs w:val="22"/>
      <w:lang w:val="es-CR"/>
    </w:rPr>
  </w:style>
  <w:style w:type="character" w:customStyle="1" w:styleId="NumberedparagraphsCar">
    <w:name w:val="Numbered paragraphs Car"/>
    <w:basedOn w:val="Fuentedeprrafopredeter"/>
    <w:link w:val="Numberedparagraphs"/>
    <w:locked/>
    <w:rsid w:val="00195F77"/>
    <w:rPr>
      <w:rFonts w:ascii="Verdana" w:eastAsia="MS Mincho" w:hAnsi="Verdana"/>
      <w:color w:val="000000"/>
      <w:lang w:val="es-ES_tradnl"/>
    </w:rPr>
  </w:style>
  <w:style w:type="paragraph" w:customStyle="1" w:styleId="Numberedparagraphs">
    <w:name w:val="Numbered paragraphs"/>
    <w:basedOn w:val="Normal"/>
    <w:link w:val="NumberedparagraphsCar"/>
    <w:qFormat/>
    <w:rsid w:val="00195F77"/>
    <w:pPr>
      <w:numPr>
        <w:numId w:val="1"/>
      </w:numPr>
      <w:jc w:val="both"/>
    </w:pPr>
    <w:rPr>
      <w:rFonts w:eastAsia="MS Mincho" w:cstheme="minorBidi"/>
      <w:color w:val="000000"/>
      <w:sz w:val="22"/>
      <w:szCs w:val="22"/>
      <w:lang w:val="es-ES_tradnl"/>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nhideWhenUsed/>
    <w:qFormat/>
    <w:rsid w:val="00195F7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195F77"/>
    <w:pPr>
      <w:jc w:val="both"/>
    </w:pPr>
    <w:rPr>
      <w:rFonts w:asciiTheme="minorHAnsi" w:eastAsiaTheme="minorHAnsi" w:hAnsiTheme="minorHAnsi" w:cstheme="minorBidi"/>
      <w:sz w:val="22"/>
      <w:szCs w:val="22"/>
      <w:vertAlign w:val="superscript"/>
      <w:lang w:val="es-CR"/>
    </w:rPr>
  </w:style>
  <w:style w:type="character" w:customStyle="1" w:styleId="PrrafodeSentenciaChar">
    <w:name w:val="*. Párrafo de Sentencia Char"/>
    <w:link w:val="PrrafodeSentencia"/>
    <w:locked/>
    <w:rsid w:val="00195F77"/>
    <w:rPr>
      <w:rFonts w:ascii="Verdana" w:eastAsia="MS Mincho" w:hAnsi="Verdana"/>
      <w:color w:val="000000"/>
      <w:lang w:val="es-ES_tradnl"/>
    </w:rPr>
  </w:style>
  <w:style w:type="paragraph" w:customStyle="1" w:styleId="PrrafodeSentencia">
    <w:name w:val="*. Párrafo de Sentencia"/>
    <w:basedOn w:val="Numberedparagraphs"/>
    <w:link w:val="PrrafodeSentenciaChar"/>
    <w:qFormat/>
    <w:rsid w:val="00195F77"/>
    <w:pPr>
      <w:tabs>
        <w:tab w:val="left" w:pos="567"/>
      </w:tabs>
    </w:pPr>
  </w:style>
  <w:style w:type="character" w:styleId="Textoennegrita">
    <w:name w:val="Strong"/>
    <w:basedOn w:val="Fuentedeprrafopredeter"/>
    <w:uiPriority w:val="22"/>
    <w:qFormat/>
    <w:rsid w:val="00195F77"/>
    <w:rPr>
      <w:b/>
      <w:bCs/>
    </w:rPr>
  </w:style>
  <w:style w:type="character" w:styleId="Hipervnculovisitado">
    <w:name w:val="FollowedHyperlink"/>
    <w:basedOn w:val="Fuentedeprrafopredeter"/>
    <w:uiPriority w:val="99"/>
    <w:semiHidden/>
    <w:unhideWhenUsed/>
    <w:rsid w:val="007405DD"/>
    <w:rPr>
      <w:color w:val="954F72" w:themeColor="followedHyperlink"/>
      <w:u w:val="single"/>
    </w:rPr>
  </w:style>
  <w:style w:type="paragraph" w:styleId="Encabezado">
    <w:name w:val="header"/>
    <w:basedOn w:val="Normal"/>
    <w:link w:val="EncabezadoCar"/>
    <w:uiPriority w:val="99"/>
    <w:unhideWhenUsed/>
    <w:rsid w:val="00273A63"/>
    <w:pPr>
      <w:tabs>
        <w:tab w:val="center" w:pos="4419"/>
        <w:tab w:val="right" w:pos="8838"/>
      </w:tabs>
    </w:pPr>
  </w:style>
  <w:style w:type="character" w:customStyle="1" w:styleId="EncabezadoCar">
    <w:name w:val="Encabezado Car"/>
    <w:basedOn w:val="Fuentedeprrafopredeter"/>
    <w:link w:val="Encabezado"/>
    <w:uiPriority w:val="99"/>
    <w:rsid w:val="00273A63"/>
    <w:rPr>
      <w:rFonts w:ascii="Verdana" w:eastAsia="Times New Roman" w:hAnsi="Verdana" w:cs="Times New Roman"/>
      <w:sz w:val="20"/>
      <w:szCs w:val="20"/>
      <w:lang w:val="en-US"/>
    </w:rPr>
  </w:style>
  <w:style w:type="paragraph" w:styleId="Piedepgina">
    <w:name w:val="footer"/>
    <w:basedOn w:val="Normal"/>
    <w:link w:val="PiedepginaCar"/>
    <w:uiPriority w:val="99"/>
    <w:unhideWhenUsed/>
    <w:rsid w:val="00273A63"/>
    <w:pPr>
      <w:tabs>
        <w:tab w:val="center" w:pos="4419"/>
        <w:tab w:val="right" w:pos="8838"/>
      </w:tabs>
    </w:pPr>
  </w:style>
  <w:style w:type="character" w:customStyle="1" w:styleId="PiedepginaCar">
    <w:name w:val="Pie de página Car"/>
    <w:basedOn w:val="Fuentedeprrafopredeter"/>
    <w:link w:val="Piedepgina"/>
    <w:uiPriority w:val="99"/>
    <w:rsid w:val="00273A63"/>
    <w:rPr>
      <w:rFonts w:ascii="Verdana" w:eastAsia="Times New Roman" w:hAnsi="Verdana" w:cs="Times New Roman"/>
      <w:sz w:val="20"/>
      <w:szCs w:val="20"/>
      <w:lang w:val="en-US"/>
    </w:rPr>
  </w:style>
  <w:style w:type="character" w:styleId="Refdecomentario">
    <w:name w:val="annotation reference"/>
    <w:basedOn w:val="Fuentedeprrafopredeter"/>
    <w:uiPriority w:val="99"/>
    <w:semiHidden/>
    <w:unhideWhenUsed/>
    <w:rsid w:val="00AA1C23"/>
    <w:rPr>
      <w:sz w:val="16"/>
      <w:szCs w:val="16"/>
    </w:rPr>
  </w:style>
  <w:style w:type="paragraph" w:styleId="Textocomentario">
    <w:name w:val="annotation text"/>
    <w:basedOn w:val="Normal"/>
    <w:link w:val="TextocomentarioCar"/>
    <w:uiPriority w:val="99"/>
    <w:semiHidden/>
    <w:unhideWhenUsed/>
    <w:rsid w:val="00AA1C23"/>
  </w:style>
  <w:style w:type="character" w:customStyle="1" w:styleId="TextocomentarioCar">
    <w:name w:val="Texto comentario Car"/>
    <w:basedOn w:val="Fuentedeprrafopredeter"/>
    <w:link w:val="Textocomentario"/>
    <w:uiPriority w:val="99"/>
    <w:semiHidden/>
    <w:rsid w:val="00AA1C23"/>
    <w:rPr>
      <w:rFonts w:ascii="Verdana" w:eastAsia="Times New Roman" w:hAnsi="Verdana"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AA1C23"/>
    <w:rPr>
      <w:b/>
      <w:bCs/>
    </w:rPr>
  </w:style>
  <w:style w:type="character" w:customStyle="1" w:styleId="AsuntodelcomentarioCar">
    <w:name w:val="Asunto del comentario Car"/>
    <w:basedOn w:val="TextocomentarioCar"/>
    <w:link w:val="Asuntodelcomentario"/>
    <w:uiPriority w:val="99"/>
    <w:semiHidden/>
    <w:rsid w:val="00AA1C23"/>
    <w:rPr>
      <w:rFonts w:ascii="Verdana" w:eastAsia="Times New Roman" w:hAnsi="Verdana" w:cs="Times New Roman"/>
      <w:b/>
      <w:bCs/>
      <w:sz w:val="20"/>
      <w:szCs w:val="20"/>
      <w:lang w:val="en-US"/>
    </w:rPr>
  </w:style>
  <w:style w:type="paragraph" w:styleId="Textodeglobo">
    <w:name w:val="Balloon Text"/>
    <w:basedOn w:val="Normal"/>
    <w:link w:val="TextodegloboCar"/>
    <w:uiPriority w:val="99"/>
    <w:semiHidden/>
    <w:unhideWhenUsed/>
    <w:rsid w:val="00AA1C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1C23"/>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655945">
      <w:bodyDiv w:val="1"/>
      <w:marLeft w:val="0"/>
      <w:marRight w:val="0"/>
      <w:marTop w:val="0"/>
      <w:marBottom w:val="0"/>
      <w:divBdr>
        <w:top w:val="none" w:sz="0" w:space="0" w:color="auto"/>
        <w:left w:val="none" w:sz="0" w:space="0" w:color="auto"/>
        <w:bottom w:val="none" w:sz="0" w:space="0" w:color="auto"/>
        <w:right w:val="none" w:sz="0" w:space="0" w:color="auto"/>
      </w:divBdr>
    </w:div>
    <w:div w:id="689181299">
      <w:bodyDiv w:val="1"/>
      <w:marLeft w:val="0"/>
      <w:marRight w:val="0"/>
      <w:marTop w:val="0"/>
      <w:marBottom w:val="0"/>
      <w:divBdr>
        <w:top w:val="none" w:sz="0" w:space="0" w:color="auto"/>
        <w:left w:val="none" w:sz="0" w:space="0" w:color="auto"/>
        <w:bottom w:val="none" w:sz="0" w:space="0" w:color="auto"/>
        <w:right w:val="none" w:sz="0" w:space="0" w:color="auto"/>
      </w:divBdr>
    </w:div>
    <w:div w:id="137311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BFA56-80BF-48E6-95A0-68D6DFA8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1330</Words>
  <Characters>7316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2021-03-17T22:31:00Z</cp:lastPrinted>
  <dcterms:created xsi:type="dcterms:W3CDTF">2021-04-16T20:38:00Z</dcterms:created>
  <dcterms:modified xsi:type="dcterms:W3CDTF">2021-04-16T20:38:00Z</dcterms:modified>
</cp:coreProperties>
</file>